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B0541C" w14:textId="77777777" w:rsidR="001341EC" w:rsidRPr="00CE0850" w:rsidRDefault="00857627" w:rsidP="001341EC">
      <w:pPr>
        <w:widowControl w:val="0"/>
        <w:jc w:val="right"/>
        <w:rPr>
          <w:rFonts w:ascii="Book Antiqua" w:hAnsi="Book Antiqua" w:cs="Book Antiqua"/>
          <w:sz w:val="24"/>
          <w:szCs w:val="24"/>
        </w:rPr>
      </w:pPr>
      <w:r>
        <w:rPr>
          <w:rFonts w:ascii="Book Antiqua" w:hAnsi="Book Antiqua" w:cs="Book Antiqua"/>
          <w:sz w:val="24"/>
          <w:szCs w:val="24"/>
        </w:rPr>
        <w:t>630</w:t>
      </w:r>
      <w:r w:rsidR="001341EC" w:rsidRPr="00CE0850">
        <w:rPr>
          <w:rFonts w:ascii="Book Antiqua" w:hAnsi="Book Antiqua" w:cs="Book Antiqua"/>
          <w:sz w:val="24"/>
          <w:szCs w:val="24"/>
        </w:rPr>
        <w:t>-PLA-RH-MI-2019</w:t>
      </w:r>
    </w:p>
    <w:p w14:paraId="04978227" w14:textId="77777777" w:rsidR="001341EC" w:rsidRPr="00CE0850" w:rsidRDefault="001341EC" w:rsidP="001341EC">
      <w:pPr>
        <w:widowControl w:val="0"/>
        <w:jc w:val="right"/>
        <w:rPr>
          <w:rFonts w:ascii="Book Antiqua" w:hAnsi="Book Antiqua" w:cs="Book Antiqua"/>
          <w:sz w:val="24"/>
          <w:szCs w:val="24"/>
        </w:rPr>
      </w:pPr>
      <w:r w:rsidRPr="00EB7D9B">
        <w:rPr>
          <w:rFonts w:ascii="Book Antiqua" w:hAnsi="Book Antiqua" w:cs="Book Antiqua"/>
          <w:sz w:val="24"/>
          <w:szCs w:val="24"/>
        </w:rPr>
        <w:t xml:space="preserve">Ref. SICE: </w:t>
      </w:r>
      <w:r>
        <w:rPr>
          <w:rFonts w:ascii="Book Antiqua" w:hAnsi="Book Antiqua" w:cs="Book Antiqua"/>
          <w:sz w:val="24"/>
          <w:szCs w:val="24"/>
        </w:rPr>
        <w:t>493-19</w:t>
      </w:r>
    </w:p>
    <w:p w14:paraId="4368CCB0" w14:textId="77777777" w:rsidR="001341EC" w:rsidRPr="00CE0850" w:rsidRDefault="001341EC" w:rsidP="001341EC">
      <w:pPr>
        <w:widowControl w:val="0"/>
        <w:rPr>
          <w:rFonts w:ascii="Book Antiqua" w:hAnsi="Book Antiqua" w:cs="Book Antiqua"/>
          <w:sz w:val="24"/>
          <w:szCs w:val="24"/>
        </w:rPr>
      </w:pPr>
    </w:p>
    <w:p w14:paraId="26815075" w14:textId="77777777" w:rsidR="001341EC" w:rsidRPr="00CE0850" w:rsidRDefault="00C15571" w:rsidP="001341EC">
      <w:pPr>
        <w:widowControl w:val="0"/>
        <w:rPr>
          <w:rFonts w:ascii="Book Antiqua" w:hAnsi="Book Antiqua" w:cs="Book Antiqua"/>
          <w:sz w:val="24"/>
          <w:szCs w:val="24"/>
        </w:rPr>
      </w:pPr>
      <w:r>
        <w:rPr>
          <w:rFonts w:ascii="Book Antiqua" w:hAnsi="Book Antiqua" w:cs="Book Antiqua"/>
          <w:sz w:val="24"/>
          <w:szCs w:val="24"/>
        </w:rPr>
        <w:t>8</w:t>
      </w:r>
      <w:r w:rsidR="00857627">
        <w:rPr>
          <w:rFonts w:ascii="Book Antiqua" w:hAnsi="Book Antiqua" w:cs="Book Antiqua"/>
          <w:sz w:val="24"/>
          <w:szCs w:val="24"/>
        </w:rPr>
        <w:t xml:space="preserve"> de mayo</w:t>
      </w:r>
      <w:r w:rsidR="001341EC" w:rsidRPr="00CE0850">
        <w:rPr>
          <w:rFonts w:ascii="Book Antiqua" w:hAnsi="Book Antiqua" w:cs="Book Antiqua"/>
          <w:sz w:val="24"/>
          <w:szCs w:val="24"/>
        </w:rPr>
        <w:t xml:space="preserve"> de 2019</w:t>
      </w:r>
    </w:p>
    <w:p w14:paraId="49F86E26" w14:textId="77777777" w:rsidR="001341EC" w:rsidRPr="00CE0850" w:rsidRDefault="001341EC" w:rsidP="001341EC">
      <w:pPr>
        <w:widowControl w:val="0"/>
        <w:rPr>
          <w:rFonts w:ascii="Book Antiqua" w:hAnsi="Book Antiqua" w:cs="Book Antiqua"/>
          <w:sz w:val="24"/>
          <w:szCs w:val="24"/>
        </w:rPr>
      </w:pPr>
    </w:p>
    <w:p w14:paraId="5AA672E2" w14:textId="77777777" w:rsidR="001341EC" w:rsidRDefault="001341EC" w:rsidP="001341EC">
      <w:pPr>
        <w:widowControl w:val="0"/>
        <w:rPr>
          <w:rFonts w:ascii="Book Antiqua" w:hAnsi="Book Antiqua" w:cs="Book Antiqua"/>
          <w:snapToGrid w:val="0"/>
          <w:sz w:val="24"/>
          <w:szCs w:val="24"/>
        </w:rPr>
      </w:pPr>
    </w:p>
    <w:p w14:paraId="3E922217" w14:textId="77777777" w:rsidR="001341EC" w:rsidRPr="00B5157C" w:rsidRDefault="001341EC" w:rsidP="001341EC">
      <w:pPr>
        <w:widowControl w:val="0"/>
        <w:rPr>
          <w:rFonts w:ascii="Book Antiqua" w:hAnsi="Book Antiqua" w:cs="Book Antiqua"/>
          <w:snapToGrid w:val="0"/>
          <w:sz w:val="24"/>
          <w:szCs w:val="24"/>
        </w:rPr>
      </w:pPr>
    </w:p>
    <w:p w14:paraId="0732ABF8" w14:textId="77777777" w:rsidR="00F94199" w:rsidRPr="00020BDA" w:rsidRDefault="007D236A" w:rsidP="00F94199">
      <w:pPr>
        <w:pStyle w:val="Listaconvietas2"/>
        <w:numPr>
          <w:ilvl w:val="0"/>
          <w:numId w:val="0"/>
        </w:numPr>
        <w:rPr>
          <w:rFonts w:ascii="Book Antiqua" w:hAnsi="Book Antiqua"/>
        </w:rPr>
      </w:pPr>
      <w:r>
        <w:rPr>
          <w:rFonts w:ascii="Book Antiqua" w:hAnsi="Book Antiqua"/>
        </w:rPr>
        <w:t>Licenciada</w:t>
      </w:r>
      <w:r w:rsidR="00F94199" w:rsidRPr="00020BDA">
        <w:rPr>
          <w:rFonts w:ascii="Book Antiqua" w:hAnsi="Book Antiqua"/>
        </w:rPr>
        <w:t xml:space="preserve">              </w:t>
      </w:r>
    </w:p>
    <w:p w14:paraId="3DFBF3E1" w14:textId="77777777" w:rsidR="00167412" w:rsidRDefault="00167412" w:rsidP="00F94199">
      <w:pPr>
        <w:pStyle w:val="Listaconvietas2"/>
        <w:numPr>
          <w:ilvl w:val="0"/>
          <w:numId w:val="0"/>
        </w:numPr>
        <w:rPr>
          <w:rFonts w:ascii="Book Antiqua" w:hAnsi="Book Antiqua"/>
        </w:rPr>
      </w:pPr>
      <w:r>
        <w:rPr>
          <w:rFonts w:ascii="Book Antiqua" w:hAnsi="Book Antiqua"/>
        </w:rPr>
        <w:t>Silvia Navarro Romanini</w:t>
      </w:r>
    </w:p>
    <w:p w14:paraId="05C7CDB7" w14:textId="77777777" w:rsidR="00F94199" w:rsidRPr="00020BDA" w:rsidRDefault="00167412" w:rsidP="00F94199">
      <w:pPr>
        <w:pStyle w:val="Listaconvietas2"/>
        <w:numPr>
          <w:ilvl w:val="0"/>
          <w:numId w:val="0"/>
        </w:numPr>
        <w:rPr>
          <w:rFonts w:ascii="Book Antiqua" w:hAnsi="Book Antiqua"/>
        </w:rPr>
      </w:pPr>
      <w:r>
        <w:rPr>
          <w:rFonts w:ascii="Book Antiqua" w:hAnsi="Book Antiqua"/>
        </w:rPr>
        <w:t>Secretaría General de la Corte</w:t>
      </w:r>
    </w:p>
    <w:p w14:paraId="5D2BAA30" w14:textId="77777777" w:rsidR="00020BDA" w:rsidRDefault="00020BDA" w:rsidP="001341EC">
      <w:pPr>
        <w:widowControl w:val="0"/>
        <w:rPr>
          <w:rFonts w:ascii="Book Antiqua" w:hAnsi="Book Antiqua" w:cs="Book Antiqua"/>
          <w:snapToGrid w:val="0"/>
          <w:color w:val="000000"/>
          <w:sz w:val="24"/>
          <w:szCs w:val="24"/>
          <w:lang w:val="es-ES"/>
        </w:rPr>
      </w:pPr>
    </w:p>
    <w:p w14:paraId="6F2CE2EE" w14:textId="77777777" w:rsidR="00020BDA" w:rsidRDefault="00020BDA" w:rsidP="001341EC">
      <w:pPr>
        <w:widowControl w:val="0"/>
        <w:rPr>
          <w:rFonts w:ascii="Book Antiqua" w:hAnsi="Book Antiqua" w:cs="Book Antiqua"/>
          <w:snapToGrid w:val="0"/>
          <w:color w:val="000000"/>
          <w:sz w:val="24"/>
          <w:szCs w:val="24"/>
          <w:lang w:val="es-ES"/>
        </w:rPr>
      </w:pPr>
    </w:p>
    <w:p w14:paraId="280AA917" w14:textId="77777777" w:rsidR="001341EC" w:rsidRPr="00020BDA" w:rsidRDefault="001341EC" w:rsidP="001341EC">
      <w:pPr>
        <w:widowControl w:val="0"/>
        <w:rPr>
          <w:rFonts w:ascii="Book Antiqua" w:hAnsi="Book Antiqua" w:cs="Book Antiqua"/>
          <w:snapToGrid w:val="0"/>
          <w:color w:val="000000"/>
          <w:sz w:val="24"/>
          <w:szCs w:val="24"/>
        </w:rPr>
      </w:pPr>
      <w:r w:rsidRPr="00020BDA">
        <w:rPr>
          <w:rFonts w:ascii="Book Antiqua" w:hAnsi="Book Antiqua" w:cs="Book Antiqua"/>
          <w:snapToGrid w:val="0"/>
          <w:color w:val="000000"/>
          <w:sz w:val="24"/>
          <w:szCs w:val="24"/>
        </w:rPr>
        <w:t>Estimad</w:t>
      </w:r>
      <w:r w:rsidR="00167412">
        <w:rPr>
          <w:rFonts w:ascii="Book Antiqua" w:hAnsi="Book Antiqua" w:cs="Book Antiqua"/>
          <w:snapToGrid w:val="0"/>
          <w:color w:val="000000"/>
          <w:sz w:val="24"/>
          <w:szCs w:val="24"/>
        </w:rPr>
        <w:t>a</w:t>
      </w:r>
      <w:r w:rsidRPr="00020BDA">
        <w:rPr>
          <w:rFonts w:ascii="Book Antiqua" w:hAnsi="Book Antiqua" w:cs="Book Antiqua"/>
          <w:snapToGrid w:val="0"/>
          <w:color w:val="000000"/>
          <w:sz w:val="24"/>
          <w:szCs w:val="24"/>
        </w:rPr>
        <w:t xml:space="preserve"> señor</w:t>
      </w:r>
      <w:r w:rsidR="00167412">
        <w:rPr>
          <w:rFonts w:ascii="Book Antiqua" w:hAnsi="Book Antiqua" w:cs="Book Antiqua"/>
          <w:snapToGrid w:val="0"/>
          <w:color w:val="000000"/>
          <w:sz w:val="24"/>
          <w:szCs w:val="24"/>
        </w:rPr>
        <w:t>a</w:t>
      </w:r>
      <w:r w:rsidRPr="00020BDA">
        <w:rPr>
          <w:rFonts w:ascii="Book Antiqua" w:hAnsi="Book Antiqua" w:cs="Book Antiqua"/>
          <w:snapToGrid w:val="0"/>
          <w:color w:val="000000"/>
          <w:sz w:val="24"/>
          <w:szCs w:val="24"/>
        </w:rPr>
        <w:t>:</w:t>
      </w:r>
    </w:p>
    <w:p w14:paraId="3C05AF19" w14:textId="77777777" w:rsidR="001341EC" w:rsidRPr="00B5157C" w:rsidRDefault="001341EC" w:rsidP="001341EC">
      <w:pPr>
        <w:widowControl w:val="0"/>
        <w:jc w:val="both"/>
        <w:rPr>
          <w:rFonts w:ascii="Book Antiqua" w:hAnsi="Book Antiqua" w:cs="Book Antiqua"/>
          <w:snapToGrid w:val="0"/>
          <w:sz w:val="24"/>
          <w:szCs w:val="24"/>
        </w:rPr>
      </w:pPr>
    </w:p>
    <w:p w14:paraId="411B2075" w14:textId="77777777" w:rsidR="001341EC" w:rsidRPr="00CE0850" w:rsidRDefault="001341EC" w:rsidP="001341EC">
      <w:pPr>
        <w:spacing w:line="276" w:lineRule="auto"/>
        <w:ind w:firstLine="708"/>
        <w:jc w:val="both"/>
        <w:rPr>
          <w:rFonts w:ascii="Book Antiqua" w:hAnsi="Book Antiqua" w:cs="Book Antiqua"/>
          <w:sz w:val="24"/>
          <w:szCs w:val="24"/>
        </w:rPr>
      </w:pPr>
      <w:r>
        <w:rPr>
          <w:rFonts w:ascii="Book Antiqua" w:hAnsi="Book Antiqua" w:cs="Book Antiqua"/>
          <w:sz w:val="24"/>
          <w:szCs w:val="24"/>
        </w:rPr>
        <w:t>L</w:t>
      </w:r>
      <w:r w:rsidRPr="00B5157C">
        <w:rPr>
          <w:rFonts w:ascii="Book Antiqua" w:hAnsi="Book Antiqua" w:cs="Book Antiqua"/>
          <w:sz w:val="24"/>
          <w:szCs w:val="24"/>
        </w:rPr>
        <w:t>e remito</w:t>
      </w:r>
      <w:r>
        <w:rPr>
          <w:rFonts w:ascii="Book Antiqua" w:hAnsi="Book Antiqua" w:cs="Book Antiqua"/>
          <w:sz w:val="24"/>
          <w:szCs w:val="24"/>
        </w:rPr>
        <w:t xml:space="preserve"> informe suscrito por la Ing. Elena Gabriela Picado González, Jefa</w:t>
      </w:r>
      <w:r w:rsidRPr="00B5157C">
        <w:rPr>
          <w:rFonts w:ascii="Book Antiqua" w:hAnsi="Book Antiqua" w:cs="Book Antiqua"/>
          <w:sz w:val="24"/>
          <w:szCs w:val="24"/>
        </w:rPr>
        <w:t xml:space="preserve"> del S</w:t>
      </w:r>
      <w:r>
        <w:rPr>
          <w:rFonts w:ascii="Book Antiqua" w:hAnsi="Book Antiqua" w:cs="Book Antiqua"/>
          <w:sz w:val="24"/>
          <w:szCs w:val="24"/>
        </w:rPr>
        <w:t>ubproceso</w:t>
      </w:r>
      <w:r w:rsidRPr="00B5157C">
        <w:rPr>
          <w:rFonts w:ascii="Book Antiqua" w:hAnsi="Book Antiqua" w:cs="Book Antiqua"/>
          <w:sz w:val="24"/>
          <w:szCs w:val="24"/>
        </w:rPr>
        <w:t xml:space="preserve"> de</w:t>
      </w:r>
      <w:r>
        <w:rPr>
          <w:rFonts w:ascii="Book Antiqua" w:hAnsi="Book Antiqua" w:cs="Book Antiqua"/>
          <w:sz w:val="24"/>
          <w:szCs w:val="24"/>
        </w:rPr>
        <w:t xml:space="preserve"> Modernización Institucional</w:t>
      </w:r>
      <w:r w:rsidRPr="00B5157C">
        <w:rPr>
          <w:rFonts w:ascii="Book Antiqua" w:hAnsi="Book Antiqua" w:cs="Book Antiqua"/>
          <w:sz w:val="24"/>
          <w:szCs w:val="24"/>
        </w:rPr>
        <w:t xml:space="preserve">, relacionado con </w:t>
      </w:r>
      <w:r>
        <w:rPr>
          <w:rFonts w:ascii="Book Antiqua" w:hAnsi="Book Antiqua" w:cs="Book Antiqua"/>
          <w:sz w:val="24"/>
          <w:szCs w:val="24"/>
        </w:rPr>
        <w:t>el Impacto Organizacional y P</w:t>
      </w:r>
      <w:r w:rsidRPr="00CE0850">
        <w:rPr>
          <w:rFonts w:ascii="Book Antiqua" w:hAnsi="Book Antiqua" w:cs="Book Antiqua"/>
          <w:sz w:val="24"/>
          <w:szCs w:val="24"/>
        </w:rPr>
        <w:t>resupuestario en el Poder Judicial a partir de la promulgación del Nuevo Código Procesal Agrario para el 2020 Ley 9609</w:t>
      </w:r>
      <w:r>
        <w:rPr>
          <w:rFonts w:ascii="Book Antiqua" w:hAnsi="Book Antiqua" w:cs="Book Antiqua"/>
          <w:sz w:val="24"/>
          <w:szCs w:val="24"/>
        </w:rPr>
        <w:t>.</w:t>
      </w:r>
    </w:p>
    <w:p w14:paraId="48B90231" w14:textId="77777777" w:rsidR="001341EC" w:rsidRDefault="001341EC" w:rsidP="00020BDA">
      <w:pPr>
        <w:ind w:firstLine="708"/>
        <w:jc w:val="both"/>
        <w:rPr>
          <w:rFonts w:ascii="Book Antiqua" w:hAnsi="Book Antiqua" w:cs="Book Antiqua"/>
          <w:snapToGrid w:val="0"/>
          <w:sz w:val="24"/>
          <w:szCs w:val="24"/>
          <w:lang w:val="pt-BR"/>
        </w:rPr>
      </w:pPr>
      <w:r w:rsidRPr="00B5157C">
        <w:rPr>
          <w:rStyle w:val="Hipervnculo"/>
          <w:rFonts w:ascii="Book Antiqua" w:hAnsi="Book Antiqua" w:cs="Book Antiqua"/>
          <w:sz w:val="24"/>
          <w:szCs w:val="24"/>
        </w:rPr>
        <w:t xml:space="preserve"> </w:t>
      </w:r>
    </w:p>
    <w:p w14:paraId="7C95FBE5" w14:textId="77777777" w:rsidR="001341EC" w:rsidRPr="007E3F21" w:rsidRDefault="001341EC" w:rsidP="001341EC">
      <w:pPr>
        <w:spacing w:line="276" w:lineRule="auto"/>
        <w:ind w:firstLine="708"/>
        <w:jc w:val="both"/>
        <w:rPr>
          <w:rFonts w:ascii="Book Antiqua" w:hAnsi="Book Antiqua" w:cs="Book Antiqua"/>
          <w:sz w:val="24"/>
          <w:szCs w:val="24"/>
        </w:rPr>
      </w:pPr>
      <w:r w:rsidRPr="007E3F21">
        <w:rPr>
          <w:rFonts w:ascii="Book Antiqua" w:hAnsi="Book Antiqua" w:cs="Book Antiqua"/>
          <w:sz w:val="24"/>
          <w:szCs w:val="24"/>
        </w:rPr>
        <w:t xml:space="preserve">Mediante oficio 481-PLA-RH-MI-2019 del pasado 3 de abril del 2019, se puso en conocimiento el preliminar de este documento a la Comisión de la Jurisdicción Agraria, Dirección Ejecutiva, Escuela Judicial y a la Dirección de Tecnología de Información. Como respuestas se recibieron observaciones por parte de la Escuela Judicial </w:t>
      </w:r>
      <w:r w:rsidRPr="007E3F21">
        <w:rPr>
          <w:rFonts w:ascii="Book Antiqua" w:hAnsi="Book Antiqua" w:cs="Book Antiqua"/>
          <w:i/>
          <w:sz w:val="24"/>
          <w:szCs w:val="24"/>
        </w:rPr>
        <w:t xml:space="preserve">(ver anexo 23 </w:t>
      </w:r>
      <w:r w:rsidR="007B77B3">
        <w:rPr>
          <w:rFonts w:ascii="Book Antiqua" w:hAnsi="Book Antiqua" w:cs="Book Antiqua"/>
          <w:i/>
          <w:sz w:val="24"/>
          <w:szCs w:val="24"/>
        </w:rPr>
        <w:t>r</w:t>
      </w:r>
      <w:r w:rsidRPr="007E3F21">
        <w:rPr>
          <w:rFonts w:ascii="Book Antiqua" w:hAnsi="Book Antiqua" w:cs="Book Antiqua"/>
          <w:i/>
          <w:sz w:val="24"/>
          <w:szCs w:val="24"/>
        </w:rPr>
        <w:t>espuesta emitida bajo oficio EJ-DIR-072-2019)</w:t>
      </w:r>
      <w:r w:rsidRPr="007E3F21">
        <w:rPr>
          <w:rFonts w:ascii="Book Antiqua" w:hAnsi="Book Antiqua" w:cs="Book Antiqua"/>
          <w:sz w:val="24"/>
          <w:szCs w:val="24"/>
        </w:rPr>
        <w:t>, por el Centro de Apoyo, Coordinación y Mejoramiento de la Función Jurisdiccional (</w:t>
      </w:r>
      <w:r w:rsidRPr="00F80EBB">
        <w:rPr>
          <w:rFonts w:ascii="Book Antiqua" w:hAnsi="Book Antiqua" w:cs="Book Antiqua"/>
          <w:i/>
          <w:sz w:val="24"/>
          <w:szCs w:val="24"/>
        </w:rPr>
        <w:t xml:space="preserve">ver anexo 30 </w:t>
      </w:r>
      <w:r w:rsidR="007B77B3">
        <w:rPr>
          <w:rFonts w:ascii="Book Antiqua" w:hAnsi="Book Antiqua" w:cs="Book Antiqua"/>
          <w:i/>
          <w:sz w:val="24"/>
          <w:szCs w:val="24"/>
        </w:rPr>
        <w:t>r</w:t>
      </w:r>
      <w:r w:rsidRPr="00F80EBB">
        <w:rPr>
          <w:rFonts w:ascii="Book Antiqua" w:hAnsi="Book Antiqua"/>
          <w:i/>
          <w:sz w:val="24"/>
          <w:szCs w:val="24"/>
        </w:rPr>
        <w:t>espuesta</w:t>
      </w:r>
      <w:r w:rsidR="007B77B3">
        <w:rPr>
          <w:rFonts w:ascii="Book Antiqua" w:hAnsi="Book Antiqua"/>
          <w:i/>
          <w:sz w:val="24"/>
          <w:szCs w:val="24"/>
        </w:rPr>
        <w:t xml:space="preserve"> del</w:t>
      </w:r>
      <w:r w:rsidRPr="00F80EBB">
        <w:rPr>
          <w:rFonts w:ascii="Book Antiqua" w:hAnsi="Book Antiqua"/>
          <w:i/>
          <w:sz w:val="24"/>
          <w:szCs w:val="24"/>
        </w:rPr>
        <w:t xml:space="preserve"> Lic. Mariano Rodríguez Flores, Jefe </w:t>
      </w:r>
      <w:proofErr w:type="spellStart"/>
      <w:r w:rsidRPr="00F80EBB">
        <w:rPr>
          <w:rFonts w:ascii="Book Antiqua" w:hAnsi="Book Antiqua"/>
          <w:i/>
          <w:sz w:val="24"/>
          <w:szCs w:val="24"/>
        </w:rPr>
        <w:t>a.i</w:t>
      </w:r>
      <w:proofErr w:type="spellEnd"/>
      <w:r w:rsidRPr="00F80EBB">
        <w:rPr>
          <w:rFonts w:ascii="Book Antiqua" w:hAnsi="Book Antiqua"/>
          <w:i/>
          <w:sz w:val="24"/>
          <w:szCs w:val="24"/>
        </w:rPr>
        <w:t xml:space="preserve"> del Área de </w:t>
      </w:r>
      <w:r w:rsidRPr="007E3F21">
        <w:rPr>
          <w:rFonts w:ascii="Book Antiqua" w:hAnsi="Book Antiqua" w:cs="Book Antiqua"/>
          <w:i/>
          <w:sz w:val="24"/>
          <w:szCs w:val="24"/>
        </w:rPr>
        <w:t>Gestión y Apoyo, bajo oficio 209-CACMFJ</w:t>
      </w:r>
      <w:r w:rsidR="0079308B">
        <w:rPr>
          <w:rFonts w:ascii="Book Antiqua" w:hAnsi="Book Antiqua" w:cs="Book Antiqua"/>
          <w:i/>
          <w:sz w:val="24"/>
          <w:szCs w:val="24"/>
        </w:rPr>
        <w:t>-</w:t>
      </w:r>
      <w:r w:rsidRPr="007E3F21">
        <w:rPr>
          <w:rFonts w:ascii="Book Antiqua" w:hAnsi="Book Antiqua" w:cs="Book Antiqua"/>
          <w:i/>
          <w:sz w:val="24"/>
          <w:szCs w:val="24"/>
        </w:rPr>
        <w:t>JEF</w:t>
      </w:r>
      <w:r w:rsidR="0079308B">
        <w:rPr>
          <w:rFonts w:ascii="Book Antiqua" w:hAnsi="Book Antiqua" w:cs="Book Antiqua"/>
          <w:i/>
          <w:sz w:val="24"/>
          <w:szCs w:val="24"/>
        </w:rPr>
        <w:t>-</w:t>
      </w:r>
      <w:r w:rsidRPr="007E3F21">
        <w:rPr>
          <w:rFonts w:ascii="Book Antiqua" w:hAnsi="Book Antiqua" w:cs="Book Antiqua"/>
          <w:i/>
          <w:sz w:val="24"/>
          <w:szCs w:val="24"/>
        </w:rPr>
        <w:t xml:space="preserve">2019). </w:t>
      </w:r>
      <w:r w:rsidRPr="007E3F21">
        <w:rPr>
          <w:rFonts w:ascii="Book Antiqua" w:hAnsi="Book Antiqua" w:cs="Book Antiqua"/>
          <w:sz w:val="24"/>
          <w:szCs w:val="24"/>
        </w:rPr>
        <w:t xml:space="preserve">La Comisión de la Jurisdicción Agraria socializó el informe con los Juzgados Agrarios de todo el territorio nacional, donde sólo se obtuvo observaciones por parte del Juzgado Agrario de San Carlos </w:t>
      </w:r>
      <w:r w:rsidRPr="007E3F21">
        <w:rPr>
          <w:rFonts w:ascii="Book Antiqua" w:hAnsi="Book Antiqua" w:cs="Book Antiqua"/>
          <w:i/>
          <w:sz w:val="24"/>
          <w:szCs w:val="24"/>
        </w:rPr>
        <w:t xml:space="preserve">(ver anexo 24), </w:t>
      </w:r>
      <w:r w:rsidRPr="007E3F21">
        <w:rPr>
          <w:rFonts w:ascii="Book Antiqua" w:hAnsi="Book Antiqua" w:cs="Book Antiqua"/>
          <w:sz w:val="24"/>
          <w:szCs w:val="24"/>
        </w:rPr>
        <w:t xml:space="preserve">Juzgado Agrario de Santa Cruz </w:t>
      </w:r>
      <w:r w:rsidRPr="007E3F21">
        <w:rPr>
          <w:rFonts w:ascii="Book Antiqua" w:hAnsi="Book Antiqua" w:cs="Book Antiqua"/>
          <w:i/>
          <w:sz w:val="24"/>
          <w:szCs w:val="24"/>
        </w:rPr>
        <w:t>(ve</w:t>
      </w:r>
      <w:r w:rsidR="0079308B">
        <w:rPr>
          <w:rFonts w:ascii="Book Antiqua" w:hAnsi="Book Antiqua" w:cs="Book Antiqua"/>
          <w:i/>
          <w:sz w:val="24"/>
          <w:szCs w:val="24"/>
        </w:rPr>
        <w:t>r anexo 25</w:t>
      </w:r>
      <w:r w:rsidRPr="007E3F21">
        <w:rPr>
          <w:rFonts w:ascii="Book Antiqua" w:hAnsi="Book Antiqua" w:cs="Book Antiqua"/>
          <w:i/>
          <w:sz w:val="24"/>
          <w:szCs w:val="24"/>
        </w:rPr>
        <w:t xml:space="preserve">), </w:t>
      </w:r>
      <w:r w:rsidRPr="007E3F21">
        <w:rPr>
          <w:rFonts w:ascii="Book Antiqua" w:hAnsi="Book Antiqua" w:cs="Book Antiqua"/>
          <w:sz w:val="24"/>
          <w:szCs w:val="24"/>
        </w:rPr>
        <w:t xml:space="preserve">la </w:t>
      </w:r>
      <w:r w:rsidR="00817898" w:rsidRPr="007E3F21">
        <w:rPr>
          <w:rFonts w:ascii="Book Antiqua" w:hAnsi="Book Antiqua" w:cs="Book Antiqua"/>
          <w:sz w:val="24"/>
          <w:szCs w:val="24"/>
        </w:rPr>
        <w:t>Licda.</w:t>
      </w:r>
      <w:r w:rsidRPr="007E3F21">
        <w:rPr>
          <w:rFonts w:ascii="Book Antiqua" w:hAnsi="Book Antiqua" w:cs="Book Antiqua"/>
          <w:sz w:val="24"/>
          <w:szCs w:val="24"/>
        </w:rPr>
        <w:t xml:space="preserve"> Silvia S</w:t>
      </w:r>
      <w:r w:rsidR="0079308B">
        <w:rPr>
          <w:rFonts w:ascii="Book Antiqua" w:hAnsi="Book Antiqua" w:cs="Book Antiqua"/>
          <w:sz w:val="24"/>
          <w:szCs w:val="24"/>
        </w:rPr>
        <w:t>á</w:t>
      </w:r>
      <w:r w:rsidRPr="007E3F21">
        <w:rPr>
          <w:rFonts w:ascii="Book Antiqua" w:hAnsi="Book Antiqua" w:cs="Book Antiqua"/>
          <w:sz w:val="24"/>
          <w:szCs w:val="24"/>
        </w:rPr>
        <w:t xml:space="preserve">nchez, Jueza Coordinadora del Juzgado Civil y Trabajo de Upala </w:t>
      </w:r>
      <w:r w:rsidRPr="007E3F21">
        <w:rPr>
          <w:rFonts w:ascii="Book Antiqua" w:hAnsi="Book Antiqua" w:cs="Book Antiqua"/>
          <w:i/>
          <w:sz w:val="24"/>
          <w:szCs w:val="24"/>
        </w:rPr>
        <w:t>(ver anexo 26</w:t>
      </w:r>
      <w:r w:rsidR="007B77B3">
        <w:rPr>
          <w:rFonts w:ascii="Book Antiqua" w:hAnsi="Book Antiqua" w:cs="Book Antiqua"/>
          <w:i/>
          <w:sz w:val="24"/>
          <w:szCs w:val="24"/>
        </w:rPr>
        <w:t>)</w:t>
      </w:r>
      <w:r w:rsidRPr="007E3F21">
        <w:rPr>
          <w:rFonts w:ascii="Book Antiqua" w:hAnsi="Book Antiqua" w:cs="Book Antiqua"/>
          <w:i/>
          <w:sz w:val="24"/>
          <w:szCs w:val="24"/>
        </w:rPr>
        <w:t xml:space="preserve">, </w:t>
      </w:r>
      <w:r w:rsidRPr="007E3F21">
        <w:rPr>
          <w:rFonts w:ascii="Book Antiqua" w:hAnsi="Book Antiqua" w:cs="Book Antiqua"/>
          <w:sz w:val="24"/>
          <w:szCs w:val="24"/>
        </w:rPr>
        <w:t xml:space="preserve">el Juzgado Civil y Trabajo de Upala </w:t>
      </w:r>
      <w:r w:rsidR="0079308B">
        <w:rPr>
          <w:rFonts w:ascii="Book Antiqua" w:hAnsi="Book Antiqua" w:cs="Book Antiqua"/>
          <w:i/>
          <w:sz w:val="24"/>
          <w:szCs w:val="24"/>
        </w:rPr>
        <w:t>(ver anexo 27</w:t>
      </w:r>
      <w:r w:rsidRPr="007E3F21">
        <w:rPr>
          <w:rFonts w:ascii="Book Antiqua" w:hAnsi="Book Antiqua" w:cs="Book Antiqua"/>
          <w:i/>
          <w:sz w:val="24"/>
          <w:szCs w:val="24"/>
        </w:rPr>
        <w:t xml:space="preserve">), </w:t>
      </w:r>
      <w:r w:rsidRPr="007E3F21">
        <w:rPr>
          <w:rFonts w:ascii="Book Antiqua" w:hAnsi="Book Antiqua" w:cs="Book Antiqua"/>
          <w:sz w:val="24"/>
          <w:szCs w:val="24"/>
        </w:rPr>
        <w:t xml:space="preserve">Tribunal Agrario </w:t>
      </w:r>
      <w:r w:rsidRPr="007E3F21">
        <w:rPr>
          <w:rFonts w:ascii="Book Antiqua" w:hAnsi="Book Antiqua" w:cs="Book Antiqua"/>
          <w:i/>
          <w:sz w:val="24"/>
          <w:szCs w:val="24"/>
        </w:rPr>
        <w:t xml:space="preserve">(ver anexo 28) </w:t>
      </w:r>
      <w:r w:rsidRPr="007E3F21">
        <w:rPr>
          <w:rFonts w:ascii="Book Antiqua" w:hAnsi="Book Antiqua" w:cs="Book Antiqua"/>
          <w:sz w:val="24"/>
          <w:szCs w:val="24"/>
        </w:rPr>
        <w:t xml:space="preserve">y observaciones realizada por la </w:t>
      </w:r>
      <w:proofErr w:type="spellStart"/>
      <w:r w:rsidRPr="007E3F21">
        <w:rPr>
          <w:rFonts w:ascii="Book Antiqua" w:hAnsi="Book Antiqua" w:cs="Book Antiqua"/>
          <w:sz w:val="24"/>
          <w:szCs w:val="24"/>
        </w:rPr>
        <w:t>Mba</w:t>
      </w:r>
      <w:proofErr w:type="spellEnd"/>
      <w:r w:rsidRPr="007E3F21">
        <w:rPr>
          <w:rFonts w:ascii="Book Antiqua" w:hAnsi="Book Antiqua" w:cs="Book Antiqua"/>
          <w:sz w:val="24"/>
          <w:szCs w:val="24"/>
        </w:rPr>
        <w:t xml:space="preserve"> Damaris Vargas, Coordinadora Proyecto Implementación del Código Procesal Agrario </w:t>
      </w:r>
      <w:r w:rsidR="0079308B">
        <w:rPr>
          <w:rFonts w:ascii="Book Antiqua" w:hAnsi="Book Antiqua" w:cs="Book Antiqua"/>
          <w:i/>
          <w:sz w:val="24"/>
          <w:szCs w:val="24"/>
        </w:rPr>
        <w:t>(ver anexo 29</w:t>
      </w:r>
      <w:r w:rsidRPr="007E3F21">
        <w:rPr>
          <w:rFonts w:ascii="Book Antiqua" w:hAnsi="Book Antiqua" w:cs="Book Antiqua"/>
          <w:i/>
          <w:sz w:val="24"/>
          <w:szCs w:val="24"/>
        </w:rPr>
        <w:t xml:space="preserve">), </w:t>
      </w:r>
      <w:r w:rsidRPr="007E3F21">
        <w:rPr>
          <w:rFonts w:ascii="Book Antiqua" w:hAnsi="Book Antiqua" w:cs="Book Antiqua"/>
          <w:sz w:val="24"/>
          <w:szCs w:val="24"/>
        </w:rPr>
        <w:t xml:space="preserve">las cuales se consideraron en el informe que se presentan en el apartado de Observaciones. </w:t>
      </w:r>
    </w:p>
    <w:p w14:paraId="20ED8830" w14:textId="77777777" w:rsidR="001341EC" w:rsidRPr="007E3F21" w:rsidRDefault="001341EC" w:rsidP="001341EC">
      <w:pPr>
        <w:widowControl w:val="0"/>
        <w:jc w:val="both"/>
        <w:rPr>
          <w:rFonts w:ascii="Book Antiqua" w:hAnsi="Book Antiqua" w:cs="Book Antiqua"/>
          <w:sz w:val="24"/>
          <w:szCs w:val="24"/>
        </w:rPr>
      </w:pPr>
    </w:p>
    <w:p w14:paraId="538E66FD" w14:textId="77777777" w:rsidR="001341EC" w:rsidRPr="007E3F21" w:rsidRDefault="001341EC" w:rsidP="001341EC">
      <w:pPr>
        <w:widowControl w:val="0"/>
        <w:rPr>
          <w:rFonts w:ascii="Book Antiqua" w:hAnsi="Book Antiqua" w:cs="Book Antiqua"/>
          <w:sz w:val="24"/>
          <w:szCs w:val="24"/>
        </w:rPr>
      </w:pPr>
    </w:p>
    <w:p w14:paraId="1911D1AD" w14:textId="77777777" w:rsidR="001341EC" w:rsidRPr="009C0A09" w:rsidRDefault="001341EC" w:rsidP="001341EC">
      <w:pPr>
        <w:widowControl w:val="0"/>
        <w:rPr>
          <w:rFonts w:ascii="Book Antiqua" w:hAnsi="Book Antiqua" w:cs="Book Antiqua"/>
          <w:snapToGrid w:val="0"/>
          <w:sz w:val="24"/>
          <w:szCs w:val="24"/>
          <w:lang w:val="pt-BR"/>
        </w:rPr>
      </w:pPr>
      <w:r w:rsidRPr="007E3F21">
        <w:rPr>
          <w:rFonts w:ascii="Book Antiqua" w:hAnsi="Book Antiqua" w:cs="Book Antiqua"/>
          <w:snapToGrid w:val="0"/>
          <w:sz w:val="24"/>
          <w:szCs w:val="24"/>
          <w:lang w:val="pt-BR"/>
        </w:rPr>
        <w:lastRenderedPageBreak/>
        <w:t>At</w:t>
      </w:r>
      <w:r w:rsidRPr="009C0A09">
        <w:rPr>
          <w:rFonts w:ascii="Book Antiqua" w:hAnsi="Book Antiqua" w:cs="Book Antiqua"/>
          <w:snapToGrid w:val="0"/>
          <w:sz w:val="24"/>
          <w:szCs w:val="24"/>
          <w:lang w:val="pt-BR"/>
        </w:rPr>
        <w:t>entamente,</w:t>
      </w:r>
    </w:p>
    <w:p w14:paraId="5BA5A48D" w14:textId="77777777" w:rsidR="001341EC" w:rsidRPr="009C0A09" w:rsidRDefault="001341EC" w:rsidP="001341EC">
      <w:pPr>
        <w:widowControl w:val="0"/>
        <w:jc w:val="center"/>
        <w:rPr>
          <w:rFonts w:ascii="Book Antiqua" w:hAnsi="Book Antiqua" w:cs="Book Antiqua"/>
          <w:b/>
          <w:bCs/>
          <w:snapToGrid w:val="0"/>
          <w:sz w:val="24"/>
          <w:szCs w:val="24"/>
          <w:lang w:val="pt-BR"/>
        </w:rPr>
      </w:pPr>
    </w:p>
    <w:p w14:paraId="7CA692BB" w14:textId="77777777" w:rsidR="001341EC" w:rsidRDefault="001341EC" w:rsidP="001341EC">
      <w:pPr>
        <w:widowControl w:val="0"/>
        <w:rPr>
          <w:rFonts w:ascii="Book Antiqua" w:hAnsi="Book Antiqua" w:cs="Book Antiqua"/>
          <w:snapToGrid w:val="0"/>
          <w:sz w:val="24"/>
          <w:szCs w:val="24"/>
          <w:lang w:val="pt-BR"/>
        </w:rPr>
      </w:pPr>
    </w:p>
    <w:p w14:paraId="1D580426" w14:textId="77777777" w:rsidR="001341EC" w:rsidRPr="00756F2C" w:rsidRDefault="001341EC" w:rsidP="001341EC">
      <w:pPr>
        <w:rPr>
          <w:rFonts w:ascii="Book Antiqua" w:hAnsi="Book Antiqua" w:cs="Book Antiqua"/>
          <w:snapToGrid w:val="0"/>
          <w:sz w:val="24"/>
          <w:szCs w:val="24"/>
          <w:lang w:val="pt-BR"/>
        </w:rPr>
      </w:pPr>
      <w:r w:rsidRPr="00756F2C">
        <w:rPr>
          <w:rFonts w:ascii="Book Antiqua" w:hAnsi="Book Antiqua" w:cs="Book Antiqua"/>
          <w:snapToGrid w:val="0"/>
          <w:sz w:val="24"/>
          <w:szCs w:val="24"/>
          <w:lang w:val="pt-BR"/>
        </w:rPr>
        <w:t>Nacira Valverde Bermúdez</w:t>
      </w:r>
    </w:p>
    <w:p w14:paraId="54A3F527" w14:textId="77777777" w:rsidR="001341EC" w:rsidRPr="00756F2C" w:rsidRDefault="001341EC" w:rsidP="001341EC">
      <w:pPr>
        <w:rPr>
          <w:rFonts w:ascii="Book Antiqua" w:hAnsi="Book Antiqua" w:cs="Book Antiqua"/>
          <w:snapToGrid w:val="0"/>
          <w:sz w:val="24"/>
          <w:szCs w:val="24"/>
          <w:lang w:val="pt-BR"/>
        </w:rPr>
      </w:pPr>
      <w:proofErr w:type="spellStart"/>
      <w:r w:rsidRPr="00756F2C">
        <w:rPr>
          <w:rFonts w:ascii="Book Antiqua" w:hAnsi="Book Antiqua" w:cs="Book Antiqua"/>
          <w:snapToGrid w:val="0"/>
          <w:sz w:val="24"/>
          <w:szCs w:val="24"/>
          <w:lang w:val="pt-BR"/>
        </w:rPr>
        <w:t>Directora</w:t>
      </w:r>
      <w:proofErr w:type="spellEnd"/>
      <w:r w:rsidRPr="00756F2C">
        <w:rPr>
          <w:rFonts w:ascii="Book Antiqua" w:hAnsi="Book Antiqua" w:cs="Book Antiqua"/>
          <w:snapToGrid w:val="0"/>
          <w:sz w:val="24"/>
          <w:szCs w:val="24"/>
          <w:lang w:val="pt-BR"/>
        </w:rPr>
        <w:t xml:space="preserve"> </w:t>
      </w:r>
      <w:proofErr w:type="spellStart"/>
      <w:r w:rsidRPr="00756F2C">
        <w:rPr>
          <w:rFonts w:ascii="Book Antiqua" w:hAnsi="Book Antiqua" w:cs="Book Antiqua"/>
          <w:snapToGrid w:val="0"/>
          <w:sz w:val="24"/>
          <w:szCs w:val="24"/>
          <w:lang w:val="pt-BR"/>
        </w:rPr>
        <w:t>a.i</w:t>
      </w:r>
      <w:proofErr w:type="spellEnd"/>
      <w:r w:rsidRPr="00756F2C">
        <w:rPr>
          <w:rFonts w:ascii="Book Antiqua" w:hAnsi="Book Antiqua" w:cs="Book Antiqua"/>
          <w:snapToGrid w:val="0"/>
          <w:sz w:val="24"/>
          <w:szCs w:val="24"/>
          <w:lang w:val="pt-BR"/>
        </w:rPr>
        <w:t>. de Planificación</w:t>
      </w:r>
    </w:p>
    <w:p w14:paraId="3100C0B8" w14:textId="77777777" w:rsidR="001341EC" w:rsidRDefault="001341EC" w:rsidP="001341EC">
      <w:pPr>
        <w:rPr>
          <w:rFonts w:ascii="Book Antiqua" w:hAnsi="Book Antiqua" w:cs="Book Antiqua"/>
        </w:rPr>
      </w:pPr>
    </w:p>
    <w:p w14:paraId="04EE2DBC" w14:textId="77777777" w:rsidR="00794FEE" w:rsidRPr="00857627" w:rsidRDefault="00794FEE" w:rsidP="001341EC">
      <w:pPr>
        <w:rPr>
          <w:rFonts w:ascii="Book Antiqua" w:hAnsi="Book Antiqua" w:cs="Book Antiqua"/>
        </w:rPr>
      </w:pPr>
    </w:p>
    <w:p w14:paraId="405D4570" w14:textId="77777777" w:rsidR="001341EC" w:rsidRDefault="001341EC" w:rsidP="001341EC">
      <w:pPr>
        <w:rPr>
          <w:rFonts w:ascii="Book Antiqua" w:hAnsi="Book Antiqua" w:cs="Book Antiqua"/>
        </w:rPr>
      </w:pPr>
      <w:r w:rsidRPr="001B5417">
        <w:rPr>
          <w:rFonts w:ascii="Book Antiqua" w:hAnsi="Book Antiqua" w:cs="Book Antiqua"/>
        </w:rPr>
        <w:t xml:space="preserve">Copias: </w:t>
      </w:r>
    </w:p>
    <w:p w14:paraId="553D9FBF" w14:textId="77777777" w:rsidR="00857627" w:rsidRPr="00857627" w:rsidRDefault="00857627" w:rsidP="00857627">
      <w:pPr>
        <w:pStyle w:val="Prrafodelista"/>
        <w:widowControl w:val="0"/>
        <w:ind w:left="720"/>
        <w:rPr>
          <w:rFonts w:ascii="Book Antiqua" w:hAnsi="Book Antiqua" w:cs="Book Antiqua"/>
          <w:sz w:val="20"/>
          <w:szCs w:val="20"/>
          <w:lang w:val="es-CR"/>
        </w:rPr>
      </w:pPr>
    </w:p>
    <w:p w14:paraId="382635DC" w14:textId="77777777" w:rsidR="001341EC" w:rsidRPr="001B5417" w:rsidRDefault="001341EC" w:rsidP="001341EC">
      <w:pPr>
        <w:numPr>
          <w:ilvl w:val="0"/>
          <w:numId w:val="1"/>
        </w:numPr>
        <w:rPr>
          <w:rFonts w:ascii="Book Antiqua" w:hAnsi="Book Antiqua" w:cs="Book Antiqua"/>
        </w:rPr>
      </w:pPr>
      <w:r w:rsidRPr="001B5417">
        <w:rPr>
          <w:rFonts w:ascii="Book Antiqua" w:hAnsi="Book Antiqua" w:cs="Book Antiqua"/>
        </w:rPr>
        <w:t>Archivo</w:t>
      </w:r>
    </w:p>
    <w:p w14:paraId="2CECF9BD" w14:textId="77777777" w:rsidR="001341EC" w:rsidRDefault="001341EC" w:rsidP="001341EC">
      <w:pPr>
        <w:rPr>
          <w:rFonts w:ascii="Book Antiqua" w:hAnsi="Book Antiqua" w:cs="Book Antiqua"/>
          <w:lang w:val="es-ES"/>
        </w:rPr>
      </w:pPr>
    </w:p>
    <w:p w14:paraId="1A357FB6" w14:textId="77777777" w:rsidR="00794FEE" w:rsidRPr="001B5417" w:rsidRDefault="00794FEE" w:rsidP="001341EC">
      <w:pPr>
        <w:rPr>
          <w:rFonts w:ascii="Book Antiqua" w:hAnsi="Book Antiqua" w:cs="Book Antiqua"/>
          <w:lang w:val="es-ES"/>
        </w:rPr>
      </w:pPr>
    </w:p>
    <w:p w14:paraId="11711780" w14:textId="77777777" w:rsidR="001341EC" w:rsidRPr="001B5417" w:rsidRDefault="00BE6EAE" w:rsidP="001341EC">
      <w:pPr>
        <w:rPr>
          <w:rFonts w:ascii="Book Antiqua" w:hAnsi="Book Antiqua" w:cs="Book Antiqua"/>
          <w:lang w:val="es-ES"/>
        </w:rPr>
      </w:pPr>
      <w:proofErr w:type="spellStart"/>
      <w:r>
        <w:rPr>
          <w:rFonts w:ascii="Book Antiqua" w:hAnsi="Book Antiqua" w:cs="Book Antiqua"/>
          <w:lang w:val="es-ES"/>
        </w:rPr>
        <w:t>xba</w:t>
      </w:r>
      <w:proofErr w:type="spellEnd"/>
    </w:p>
    <w:p w14:paraId="3A9F4DAF" w14:textId="77777777" w:rsidR="001341EC" w:rsidRDefault="001341EC" w:rsidP="001341EC">
      <w:pPr>
        <w:rPr>
          <w:rFonts w:ascii="Book Antiqua" w:hAnsi="Book Antiqua" w:cs="Book Antiqua"/>
          <w:lang w:val="es-ES"/>
        </w:rPr>
      </w:pPr>
    </w:p>
    <w:p w14:paraId="0C7417A8" w14:textId="77777777" w:rsidR="001341EC" w:rsidRPr="001B5417" w:rsidRDefault="001341EC" w:rsidP="001341EC">
      <w:pPr>
        <w:rPr>
          <w:rFonts w:ascii="Book Antiqua" w:hAnsi="Book Antiqua" w:cs="Book Antiqua"/>
          <w:lang w:val="es-ES"/>
        </w:rPr>
      </w:pPr>
    </w:p>
    <w:p w14:paraId="5CBC3CC8" w14:textId="77777777" w:rsidR="001341EC" w:rsidRPr="001B5417" w:rsidRDefault="001341EC" w:rsidP="001341EC">
      <w:pPr>
        <w:rPr>
          <w:rFonts w:ascii="Book Antiqua" w:hAnsi="Book Antiqua" w:cs="Book Antiqua"/>
          <w:lang w:val="es-ES"/>
        </w:rPr>
      </w:pPr>
    </w:p>
    <w:p w14:paraId="3C7499B3" w14:textId="77777777" w:rsidR="001341EC" w:rsidRPr="001B5417" w:rsidRDefault="001341EC" w:rsidP="001341EC">
      <w:pPr>
        <w:rPr>
          <w:rFonts w:ascii="Book Antiqua" w:hAnsi="Book Antiqua" w:cs="Book Antiqua"/>
          <w:lang w:val="es-ES"/>
        </w:rPr>
      </w:pPr>
    </w:p>
    <w:p w14:paraId="60394815" w14:textId="77777777" w:rsidR="001341EC" w:rsidRPr="001B5417" w:rsidRDefault="001341EC" w:rsidP="001341EC">
      <w:pPr>
        <w:rPr>
          <w:rFonts w:ascii="Book Antiqua" w:hAnsi="Book Antiqua" w:cs="Book Antiqua"/>
          <w:lang w:val="es-ES"/>
        </w:rPr>
      </w:pPr>
    </w:p>
    <w:p w14:paraId="108F4897" w14:textId="77777777" w:rsidR="001341EC" w:rsidRPr="001B5417" w:rsidRDefault="001341EC" w:rsidP="001341EC">
      <w:pPr>
        <w:rPr>
          <w:rFonts w:ascii="Book Antiqua" w:hAnsi="Book Antiqua" w:cs="Book Antiqua"/>
          <w:lang w:val="es-ES"/>
        </w:rPr>
      </w:pPr>
    </w:p>
    <w:p w14:paraId="63E07F1A" w14:textId="77777777" w:rsidR="001341EC" w:rsidRPr="001B5417" w:rsidRDefault="001341EC" w:rsidP="001341EC">
      <w:pPr>
        <w:rPr>
          <w:rFonts w:ascii="Book Antiqua" w:hAnsi="Book Antiqua" w:cs="Book Antiqua"/>
          <w:lang w:val="es-ES"/>
        </w:rPr>
      </w:pPr>
    </w:p>
    <w:p w14:paraId="3678F5C4" w14:textId="77777777" w:rsidR="001341EC" w:rsidRPr="001B5417" w:rsidRDefault="001341EC" w:rsidP="001341EC">
      <w:pPr>
        <w:rPr>
          <w:rFonts w:ascii="Book Antiqua" w:hAnsi="Book Antiqua" w:cs="Book Antiqua"/>
          <w:lang w:val="es-ES"/>
        </w:rPr>
      </w:pPr>
    </w:p>
    <w:p w14:paraId="59793A91" w14:textId="77777777" w:rsidR="001341EC" w:rsidRPr="001B5417" w:rsidRDefault="001341EC" w:rsidP="001341EC">
      <w:pPr>
        <w:rPr>
          <w:rFonts w:ascii="Book Antiqua" w:hAnsi="Book Antiqua" w:cs="Book Antiqua"/>
          <w:lang w:val="es-ES"/>
        </w:rPr>
      </w:pPr>
    </w:p>
    <w:p w14:paraId="1AC8A8C4" w14:textId="77777777" w:rsidR="001341EC" w:rsidRPr="001B5417" w:rsidRDefault="001341EC" w:rsidP="001341EC">
      <w:pPr>
        <w:rPr>
          <w:rFonts w:ascii="Book Antiqua" w:hAnsi="Book Antiqua" w:cs="Book Antiqua"/>
          <w:lang w:val="es-ES"/>
        </w:rPr>
      </w:pPr>
    </w:p>
    <w:p w14:paraId="1EFF23BF" w14:textId="77777777" w:rsidR="001341EC" w:rsidRPr="001B5417" w:rsidRDefault="001341EC" w:rsidP="001341EC">
      <w:pPr>
        <w:rPr>
          <w:rFonts w:ascii="Book Antiqua" w:hAnsi="Book Antiqua" w:cs="Book Antiqua"/>
          <w:lang w:val="es-ES"/>
        </w:rPr>
      </w:pPr>
    </w:p>
    <w:p w14:paraId="3D0B273C" w14:textId="77777777" w:rsidR="001341EC" w:rsidRPr="001B5417" w:rsidRDefault="001341EC" w:rsidP="001341EC">
      <w:pPr>
        <w:rPr>
          <w:rFonts w:ascii="Book Antiqua" w:hAnsi="Book Antiqua" w:cs="Book Antiqua"/>
          <w:lang w:val="es-ES"/>
        </w:rPr>
      </w:pPr>
    </w:p>
    <w:p w14:paraId="6FED0242" w14:textId="77777777" w:rsidR="001341EC" w:rsidRPr="001B5417" w:rsidRDefault="001341EC" w:rsidP="001341EC">
      <w:pPr>
        <w:rPr>
          <w:rFonts w:ascii="Book Antiqua" w:hAnsi="Book Antiqua" w:cs="Book Antiqua"/>
          <w:lang w:val="es-ES"/>
        </w:rPr>
      </w:pPr>
    </w:p>
    <w:p w14:paraId="727C9988" w14:textId="77777777" w:rsidR="001341EC" w:rsidRDefault="001341EC" w:rsidP="001341EC">
      <w:pPr>
        <w:rPr>
          <w:rFonts w:ascii="Book Antiqua" w:hAnsi="Book Antiqua" w:cs="Book Antiqua"/>
          <w:lang w:val="es-ES"/>
        </w:rPr>
      </w:pPr>
    </w:p>
    <w:p w14:paraId="311AE47A" w14:textId="77777777" w:rsidR="001341EC" w:rsidRDefault="001341EC" w:rsidP="001341EC">
      <w:pPr>
        <w:tabs>
          <w:tab w:val="left" w:pos="1828"/>
        </w:tabs>
        <w:rPr>
          <w:rFonts w:ascii="Book Antiqua" w:hAnsi="Book Antiqua" w:cs="Book Antiqua"/>
          <w:lang w:val="es-ES"/>
        </w:rPr>
        <w:sectPr w:rsidR="001341EC" w:rsidSect="00165AA6">
          <w:headerReference w:type="default" r:id="rId7"/>
          <w:footerReference w:type="default" r:id="rId8"/>
          <w:pgSz w:w="12242" w:h="15842" w:code="1"/>
          <w:pgMar w:top="2268" w:right="1701" w:bottom="1134" w:left="1701" w:header="709" w:footer="709" w:gutter="0"/>
          <w:cols w:space="708"/>
          <w:docGrid w:linePitch="360"/>
        </w:sectPr>
      </w:pPr>
      <w:r>
        <w:rPr>
          <w:rFonts w:ascii="Book Antiqua" w:hAnsi="Book Antiqua" w:cs="Book Antiqua"/>
          <w:lang w:val="es-ES"/>
        </w:rPr>
        <w:tab/>
      </w:r>
    </w:p>
    <w:p w14:paraId="6FBBEFB7" w14:textId="77777777" w:rsidR="001341EC" w:rsidRDefault="001341EC" w:rsidP="001341EC">
      <w:pPr>
        <w:spacing w:line="276" w:lineRule="auto"/>
        <w:jc w:val="center"/>
        <w:rPr>
          <w:rFonts w:ascii="Book Antiqua" w:hAnsi="Book Antiqua"/>
          <w:b/>
          <w:i/>
          <w:sz w:val="40"/>
          <w:szCs w:val="40"/>
        </w:rPr>
      </w:pPr>
    </w:p>
    <w:p w14:paraId="17E81FB1" w14:textId="77777777" w:rsidR="00BE6EAE" w:rsidRPr="00F53CB0" w:rsidRDefault="00BE6EAE" w:rsidP="001341EC">
      <w:pPr>
        <w:spacing w:line="276" w:lineRule="auto"/>
        <w:jc w:val="center"/>
        <w:rPr>
          <w:rFonts w:ascii="Book Antiqua" w:hAnsi="Book Antiqua"/>
          <w:b/>
          <w:i/>
          <w:sz w:val="40"/>
          <w:szCs w:val="40"/>
        </w:rPr>
      </w:pPr>
    </w:p>
    <w:p w14:paraId="3F148578" w14:textId="77777777" w:rsidR="00BE6EAE" w:rsidRDefault="001341EC" w:rsidP="001341EC">
      <w:pPr>
        <w:spacing w:line="276" w:lineRule="auto"/>
        <w:jc w:val="center"/>
        <w:rPr>
          <w:rFonts w:ascii="Book Antiqua" w:hAnsi="Book Antiqua"/>
          <w:b/>
          <w:i/>
          <w:sz w:val="40"/>
          <w:szCs w:val="40"/>
        </w:rPr>
      </w:pPr>
      <w:r w:rsidRPr="00F53CB0">
        <w:rPr>
          <w:rFonts w:ascii="Book Antiqua" w:hAnsi="Book Antiqua"/>
          <w:b/>
          <w:i/>
          <w:sz w:val="40"/>
          <w:szCs w:val="40"/>
        </w:rPr>
        <w:t>Impacto organizacional y presupuestario en el Poder Judicial a partir de la promulgación del Nuevo Código Procesal Agrario para el 2020</w:t>
      </w:r>
    </w:p>
    <w:p w14:paraId="115120F7" w14:textId="77777777" w:rsidR="001341EC" w:rsidRPr="00F53CB0" w:rsidRDefault="001341EC" w:rsidP="001341EC">
      <w:pPr>
        <w:spacing w:line="276" w:lineRule="auto"/>
        <w:jc w:val="center"/>
        <w:rPr>
          <w:rFonts w:ascii="Book Antiqua" w:hAnsi="Book Antiqua"/>
          <w:b/>
          <w:i/>
          <w:sz w:val="40"/>
          <w:szCs w:val="40"/>
        </w:rPr>
      </w:pPr>
      <w:r w:rsidRPr="00F53CB0">
        <w:rPr>
          <w:rFonts w:ascii="Book Antiqua" w:hAnsi="Book Antiqua"/>
          <w:b/>
          <w:i/>
          <w:sz w:val="40"/>
          <w:szCs w:val="40"/>
        </w:rPr>
        <w:t xml:space="preserve"> Ley 9609</w:t>
      </w:r>
    </w:p>
    <w:p w14:paraId="706A6B6F" w14:textId="77777777" w:rsidR="001341EC" w:rsidRPr="00F53CB0" w:rsidRDefault="001341EC" w:rsidP="001341EC">
      <w:pPr>
        <w:spacing w:line="276" w:lineRule="auto"/>
        <w:jc w:val="center"/>
        <w:rPr>
          <w:rFonts w:ascii="Book Antiqua" w:hAnsi="Book Antiqua"/>
          <w:sz w:val="40"/>
          <w:szCs w:val="40"/>
        </w:rPr>
      </w:pPr>
    </w:p>
    <w:p w14:paraId="3DA87B02" w14:textId="77777777" w:rsidR="001341EC" w:rsidRPr="00F53CB0" w:rsidRDefault="001341EC" w:rsidP="001341EC">
      <w:pPr>
        <w:spacing w:line="276" w:lineRule="auto"/>
        <w:rPr>
          <w:rFonts w:ascii="Book Antiqua" w:hAnsi="Book Antiqua"/>
          <w:sz w:val="36"/>
          <w:szCs w:val="40"/>
        </w:rPr>
      </w:pPr>
    </w:p>
    <w:p w14:paraId="0383D4F8" w14:textId="77777777" w:rsidR="001341EC" w:rsidRPr="00F53CB0" w:rsidRDefault="001341EC" w:rsidP="001341EC">
      <w:pPr>
        <w:spacing w:line="276" w:lineRule="auto"/>
        <w:jc w:val="both"/>
        <w:rPr>
          <w:rFonts w:ascii="Book Antiqua" w:hAnsi="Book Antiqua"/>
          <w:sz w:val="18"/>
        </w:rPr>
      </w:pPr>
    </w:p>
    <w:p w14:paraId="738DEE61" w14:textId="77777777" w:rsidR="001341EC" w:rsidRPr="00F53CB0" w:rsidRDefault="00BE6EAE" w:rsidP="001341EC">
      <w:pPr>
        <w:spacing w:line="276" w:lineRule="auto"/>
        <w:jc w:val="center"/>
        <w:rPr>
          <w:rFonts w:ascii="Book Antiqua" w:hAnsi="Book Antiqua"/>
          <w:sz w:val="36"/>
          <w:szCs w:val="40"/>
        </w:rPr>
      </w:pPr>
      <w:r>
        <w:rPr>
          <w:rFonts w:ascii="Book Antiqua" w:hAnsi="Book Antiqua"/>
          <w:sz w:val="36"/>
          <w:szCs w:val="40"/>
        </w:rPr>
        <w:t>630</w:t>
      </w:r>
      <w:r w:rsidR="001341EC" w:rsidRPr="00F53CB0">
        <w:rPr>
          <w:rFonts w:ascii="Book Antiqua" w:hAnsi="Book Antiqua"/>
          <w:sz w:val="36"/>
          <w:szCs w:val="40"/>
        </w:rPr>
        <w:t>-PLA-RH-MI-2019</w:t>
      </w:r>
    </w:p>
    <w:p w14:paraId="26FEF999" w14:textId="77777777" w:rsidR="001341EC" w:rsidRPr="00F53CB0" w:rsidRDefault="001341EC" w:rsidP="001341EC">
      <w:pPr>
        <w:spacing w:line="276" w:lineRule="auto"/>
        <w:rPr>
          <w:rFonts w:ascii="Book Antiqua" w:hAnsi="Book Antiqua"/>
          <w:sz w:val="36"/>
          <w:szCs w:val="40"/>
        </w:rPr>
      </w:pPr>
    </w:p>
    <w:p w14:paraId="1EBA2DE3" w14:textId="77777777" w:rsidR="001341EC" w:rsidRPr="00F53CB0" w:rsidRDefault="001341EC" w:rsidP="001341EC">
      <w:pPr>
        <w:tabs>
          <w:tab w:val="left" w:pos="3679"/>
        </w:tabs>
        <w:spacing w:line="276" w:lineRule="auto"/>
        <w:jc w:val="center"/>
        <w:rPr>
          <w:rFonts w:ascii="Book Antiqua" w:hAnsi="Book Antiqua"/>
          <w:sz w:val="36"/>
          <w:szCs w:val="40"/>
        </w:rPr>
      </w:pPr>
    </w:p>
    <w:p w14:paraId="677F25FE" w14:textId="77777777" w:rsidR="001341EC" w:rsidRPr="00F53CB0" w:rsidRDefault="00BE6EAE" w:rsidP="001341EC">
      <w:pPr>
        <w:spacing w:after="160" w:line="259" w:lineRule="auto"/>
        <w:jc w:val="center"/>
        <w:rPr>
          <w:rFonts w:ascii="Book Antiqua" w:hAnsi="Book Antiqua"/>
          <w:sz w:val="36"/>
          <w:szCs w:val="40"/>
        </w:rPr>
      </w:pPr>
      <w:r>
        <w:rPr>
          <w:rFonts w:ascii="Book Antiqua" w:hAnsi="Book Antiqua"/>
          <w:sz w:val="36"/>
          <w:szCs w:val="40"/>
        </w:rPr>
        <w:t>Mayo</w:t>
      </w:r>
      <w:r w:rsidR="001341EC" w:rsidRPr="00F53CB0">
        <w:rPr>
          <w:rFonts w:ascii="Book Antiqua" w:hAnsi="Book Antiqua"/>
          <w:sz w:val="36"/>
          <w:szCs w:val="40"/>
        </w:rPr>
        <w:t xml:space="preserve"> 2019</w:t>
      </w:r>
    </w:p>
    <w:p w14:paraId="13E17AE3" w14:textId="77777777" w:rsidR="001341EC" w:rsidRPr="00F53CB0" w:rsidRDefault="001341EC" w:rsidP="001341EC">
      <w:pPr>
        <w:spacing w:after="160" w:line="259" w:lineRule="auto"/>
        <w:rPr>
          <w:rFonts w:ascii="Book Antiqua" w:hAnsi="Book Antiqua"/>
          <w:sz w:val="36"/>
          <w:szCs w:val="40"/>
        </w:rPr>
      </w:pPr>
    </w:p>
    <w:p w14:paraId="4C34025F" w14:textId="77777777" w:rsidR="001341EC" w:rsidRPr="00F53CB0" w:rsidRDefault="001341EC" w:rsidP="001341EC">
      <w:pPr>
        <w:spacing w:after="160" w:line="259" w:lineRule="auto"/>
        <w:rPr>
          <w:rFonts w:ascii="Book Antiqua" w:hAnsi="Book Antiqua"/>
          <w:sz w:val="36"/>
          <w:szCs w:val="40"/>
        </w:rPr>
        <w:sectPr w:rsidR="001341EC" w:rsidRPr="00F53CB0">
          <w:headerReference w:type="default" r:id="rId9"/>
          <w:footerReference w:type="default" r:id="rId10"/>
          <w:pgSz w:w="12240" w:h="15840"/>
          <w:pgMar w:top="1417" w:right="1701" w:bottom="1417" w:left="1701" w:header="708" w:footer="708" w:gutter="0"/>
          <w:cols w:space="708"/>
          <w:docGrid w:linePitch="360"/>
        </w:sectPr>
      </w:pPr>
    </w:p>
    <w:p w14:paraId="024BE14A" w14:textId="77777777" w:rsidR="001341EC" w:rsidRPr="00082401" w:rsidRDefault="001341EC" w:rsidP="001341EC">
      <w:pPr>
        <w:pStyle w:val="Ttulo1"/>
        <w:keepLines/>
        <w:numPr>
          <w:ilvl w:val="0"/>
          <w:numId w:val="42"/>
        </w:numPr>
        <w:pBdr>
          <w:top w:val="single" w:sz="4" w:space="1" w:color="4F81BD"/>
          <w:left w:val="single" w:sz="4" w:space="4" w:color="4F81BD"/>
          <w:bottom w:val="single" w:sz="4" w:space="1" w:color="4F81BD"/>
          <w:right w:val="single" w:sz="4" w:space="4" w:color="4F81BD"/>
        </w:pBdr>
        <w:shd w:val="clear" w:color="auto" w:fill="B8CCE4"/>
        <w:tabs>
          <w:tab w:val="clear" w:pos="4680"/>
        </w:tabs>
        <w:spacing w:before="240"/>
        <w:ind w:right="191"/>
        <w:rPr>
          <w:rStyle w:val="nfasis"/>
          <w:rFonts w:ascii="Book Antiqua" w:hAnsi="Book Antiqua"/>
          <w:b w:val="0"/>
          <w:bCs w:val="0"/>
          <w:i/>
          <w:iCs/>
          <w:color w:val="auto"/>
        </w:rPr>
      </w:pPr>
      <w:r w:rsidRPr="00082401">
        <w:rPr>
          <w:rStyle w:val="nfasis"/>
          <w:rFonts w:ascii="Book Antiqua" w:hAnsi="Book Antiqua"/>
          <w:i/>
          <w:iCs/>
        </w:rPr>
        <w:lastRenderedPageBreak/>
        <w:t>ANTECEDENTES</w:t>
      </w:r>
    </w:p>
    <w:p w14:paraId="340E8124" w14:textId="77777777" w:rsidR="001341EC" w:rsidRPr="00055D4B" w:rsidRDefault="001341EC" w:rsidP="001341EC">
      <w:pPr>
        <w:jc w:val="both"/>
        <w:rPr>
          <w:rFonts w:ascii="Book Antiqua" w:hAnsi="Book Antiqua"/>
          <w:b/>
          <w:sz w:val="22"/>
        </w:rPr>
      </w:pPr>
    </w:p>
    <w:p w14:paraId="2B7D10D5" w14:textId="77777777" w:rsidR="001341EC" w:rsidRPr="00055D4B" w:rsidRDefault="001341EC" w:rsidP="001341EC">
      <w:pPr>
        <w:jc w:val="both"/>
        <w:rPr>
          <w:rFonts w:ascii="Book Antiqua" w:hAnsi="Book Antiqua"/>
          <w:sz w:val="22"/>
        </w:rPr>
      </w:pPr>
      <w:bookmarkStart w:id="0" w:name="_Hlk7170525"/>
      <w:r w:rsidRPr="00055D4B">
        <w:rPr>
          <w:rFonts w:ascii="Book Antiqua" w:hAnsi="Book Antiqua"/>
          <w:sz w:val="22"/>
        </w:rPr>
        <w:t xml:space="preserve">El proyecto de Ley que contempla la creación del “Código Procesal Agrario”, el cual fue aprobado bajo Decreto Legislativo 9609 el 27 de febrero del 2019, el cual entra en vigencia un año después de su publicación en el Diario Oficial La Gaceta. </w:t>
      </w:r>
    </w:p>
    <w:bookmarkEnd w:id="0"/>
    <w:p w14:paraId="77FB822F" w14:textId="77777777" w:rsidR="001341EC" w:rsidRPr="00055D4B" w:rsidRDefault="001341EC" w:rsidP="001341EC">
      <w:pPr>
        <w:jc w:val="both"/>
        <w:rPr>
          <w:rFonts w:ascii="Book Antiqua" w:hAnsi="Book Antiqua"/>
          <w:sz w:val="22"/>
        </w:rPr>
      </w:pPr>
    </w:p>
    <w:p w14:paraId="06BE37DE" w14:textId="77777777" w:rsidR="001341EC" w:rsidRPr="00055D4B" w:rsidRDefault="001341EC" w:rsidP="001341EC">
      <w:pPr>
        <w:jc w:val="both"/>
        <w:rPr>
          <w:rFonts w:ascii="Book Antiqua" w:hAnsi="Book Antiqua"/>
          <w:sz w:val="22"/>
        </w:rPr>
      </w:pPr>
      <w:r w:rsidRPr="00055D4B">
        <w:rPr>
          <w:rFonts w:ascii="Book Antiqua" w:hAnsi="Book Antiqua"/>
          <w:sz w:val="22"/>
        </w:rPr>
        <w:t>El proyecto se tramitó en la Asamblea Legislativa bajo el expediente legislativo 15.887, fue dictaminado por la Comisión Permanente de Asuntos Jurídicos el 11 de junio del 2013.</w:t>
      </w:r>
    </w:p>
    <w:p w14:paraId="4A71FD9D" w14:textId="77777777" w:rsidR="001341EC" w:rsidRPr="00055D4B" w:rsidRDefault="001341EC" w:rsidP="001341EC">
      <w:pPr>
        <w:jc w:val="both"/>
        <w:rPr>
          <w:rFonts w:ascii="Book Antiqua" w:hAnsi="Book Antiqua"/>
          <w:sz w:val="22"/>
        </w:rPr>
      </w:pPr>
    </w:p>
    <w:p w14:paraId="121B5232" w14:textId="77777777" w:rsidR="001341EC" w:rsidRPr="00055D4B" w:rsidRDefault="001341EC" w:rsidP="001341EC">
      <w:pPr>
        <w:jc w:val="both"/>
        <w:rPr>
          <w:rFonts w:ascii="Book Antiqua" w:hAnsi="Book Antiqua"/>
          <w:sz w:val="22"/>
        </w:rPr>
      </w:pPr>
      <w:r w:rsidRPr="00055D4B">
        <w:rPr>
          <w:rFonts w:ascii="Book Antiqua" w:hAnsi="Book Antiqua"/>
          <w:sz w:val="22"/>
        </w:rPr>
        <w:t>El Código Procesal Agrario impulsa una reforma basada en la oralidad por audiencias que elimina las limitaciones actuales de la Ley de Jurisdicción Agraria, la cual establece un modelo procesal verbal y no desecha los beneficios de la escritura en etapas en las que ésta es fundamental, como lo son la interposición de la demanda, la contestación, la contrademanda y la réplica, en los supuestos en los que estas dos últimas proceden. Sin embargo, no mantiene el sistema tradicional, sino que facilita el trámite virtual de tales gestiones y la gestión en línea para que las personas usuarias tengan acceso a sistemas informáticos, garantizando así, economía y celeridad a las partes.</w:t>
      </w:r>
    </w:p>
    <w:p w14:paraId="3D2CF9B1" w14:textId="77777777" w:rsidR="001341EC" w:rsidRPr="00055D4B" w:rsidRDefault="001341EC" w:rsidP="001341EC">
      <w:pPr>
        <w:jc w:val="both"/>
        <w:rPr>
          <w:rFonts w:ascii="Book Antiqua" w:hAnsi="Book Antiqua"/>
          <w:sz w:val="22"/>
        </w:rPr>
      </w:pPr>
    </w:p>
    <w:p w14:paraId="0173D79E" w14:textId="77777777" w:rsidR="001341EC" w:rsidRPr="00055D4B" w:rsidRDefault="001341EC" w:rsidP="001341EC">
      <w:pPr>
        <w:jc w:val="both"/>
        <w:rPr>
          <w:rFonts w:ascii="Book Antiqua" w:hAnsi="Book Antiqua"/>
          <w:sz w:val="22"/>
        </w:rPr>
      </w:pPr>
      <w:bookmarkStart w:id="1" w:name="_Hlk3994674"/>
      <w:r w:rsidRPr="00055D4B">
        <w:rPr>
          <w:rFonts w:ascii="Book Antiqua" w:hAnsi="Book Antiqua"/>
          <w:sz w:val="22"/>
        </w:rPr>
        <w:t xml:space="preserve">Por lo anterior, </w:t>
      </w:r>
      <w:bookmarkEnd w:id="1"/>
      <w:r w:rsidRPr="00055D4B">
        <w:rPr>
          <w:rFonts w:ascii="Book Antiqua" w:hAnsi="Book Antiqua"/>
          <w:sz w:val="22"/>
        </w:rPr>
        <w:t>surge la necesidad de analizar los posibles cambios que implicaría a nivel de estructura organizativa de los despachos y oficinas del Poder Judicial, así como los costos presupuestarios en 2020 para su debida implementación.</w:t>
      </w:r>
    </w:p>
    <w:p w14:paraId="5423737B" w14:textId="77777777" w:rsidR="001341EC" w:rsidRPr="00055D4B" w:rsidRDefault="001341EC" w:rsidP="001341EC">
      <w:pPr>
        <w:jc w:val="both"/>
        <w:rPr>
          <w:rFonts w:ascii="Book Antiqua" w:hAnsi="Book Antiqua"/>
          <w:sz w:val="22"/>
        </w:rPr>
      </w:pPr>
    </w:p>
    <w:p w14:paraId="6F122088" w14:textId="77777777" w:rsidR="001341EC" w:rsidRPr="00055D4B" w:rsidRDefault="001341EC" w:rsidP="001341EC">
      <w:pPr>
        <w:jc w:val="both"/>
        <w:rPr>
          <w:rFonts w:ascii="Book Antiqua" w:hAnsi="Book Antiqua"/>
          <w:sz w:val="22"/>
          <w:lang w:eastAsia="en-US"/>
        </w:rPr>
      </w:pPr>
      <w:bookmarkStart w:id="2" w:name="_Hlk518567303"/>
      <w:r w:rsidRPr="00055D4B">
        <w:rPr>
          <w:rFonts w:ascii="Book Antiqua" w:hAnsi="Book Antiqua"/>
          <w:sz w:val="22"/>
        </w:rPr>
        <w:t>Estudio 27-PLA-MI-2017, el cual fue remitido al Consejo Superior, conocido y aprobado en la sesión 39-17 (Presupuesto 2018), celebrada el 26 de abril de 2017, artículo IV, así como las reconsideraciones planteadas en la sesión extraordinaria 43-17, celebrada el 05 de mayo de 2017 del Consejo Superior del Poder Judicial, que se citan a continuación:</w:t>
      </w:r>
    </w:p>
    <w:p w14:paraId="2576E776" w14:textId="77777777" w:rsidR="001341EC" w:rsidRPr="00055D4B" w:rsidRDefault="001341EC" w:rsidP="001341EC">
      <w:pPr>
        <w:jc w:val="both"/>
        <w:rPr>
          <w:rFonts w:ascii="Book Antiqua" w:hAnsi="Book Antiqua"/>
          <w:sz w:val="22"/>
        </w:rPr>
      </w:pPr>
    </w:p>
    <w:p w14:paraId="5D9A5CA0" w14:textId="77777777" w:rsidR="001341EC" w:rsidRPr="00055D4B" w:rsidRDefault="001341EC" w:rsidP="001341EC">
      <w:pPr>
        <w:numPr>
          <w:ilvl w:val="0"/>
          <w:numId w:val="2"/>
        </w:numPr>
        <w:jc w:val="both"/>
        <w:rPr>
          <w:rFonts w:ascii="Book Antiqua" w:hAnsi="Book Antiqua"/>
          <w:sz w:val="22"/>
        </w:rPr>
      </w:pPr>
      <w:r w:rsidRPr="00055D4B">
        <w:rPr>
          <w:rFonts w:ascii="Book Antiqua" w:hAnsi="Book Antiqua"/>
          <w:b/>
          <w:bCs/>
          <w:sz w:val="22"/>
        </w:rPr>
        <w:t xml:space="preserve">Artículo VIII: </w:t>
      </w:r>
      <w:r w:rsidRPr="00055D4B">
        <w:rPr>
          <w:rFonts w:ascii="Book Antiqua" w:hAnsi="Book Antiqua"/>
          <w:sz w:val="22"/>
        </w:rPr>
        <w:t xml:space="preserve">se acoge la reconsideración presentada y en consecuencia, se modifica la recomendación “13.4”, del informe 27-PLA-MI-2017 del Proyecto de Ley denominado Código Procesal Agrario, por lo tanto se contará con cinco plazas extraordinarias de Defensora o Defensor Público, para que realice las funciones de suplencia, contraparte y de curador procesal, según las nuevas labores que le delega el Código Procesal Agrario. </w:t>
      </w:r>
    </w:p>
    <w:p w14:paraId="05E06043" w14:textId="77777777" w:rsidR="001341EC" w:rsidRPr="00055D4B" w:rsidRDefault="001341EC" w:rsidP="001341EC">
      <w:pPr>
        <w:jc w:val="both"/>
        <w:rPr>
          <w:rFonts w:ascii="Book Antiqua" w:eastAsia="Calibri" w:hAnsi="Book Antiqua"/>
          <w:sz w:val="22"/>
        </w:rPr>
      </w:pPr>
    </w:p>
    <w:p w14:paraId="0BD9A0AB" w14:textId="77777777" w:rsidR="001341EC" w:rsidRPr="00055D4B" w:rsidRDefault="001341EC" w:rsidP="001341EC">
      <w:pPr>
        <w:numPr>
          <w:ilvl w:val="0"/>
          <w:numId w:val="2"/>
        </w:numPr>
        <w:jc w:val="both"/>
        <w:rPr>
          <w:rFonts w:ascii="Book Antiqua" w:hAnsi="Book Antiqua"/>
          <w:sz w:val="22"/>
        </w:rPr>
      </w:pPr>
      <w:r w:rsidRPr="00055D4B">
        <w:rPr>
          <w:rFonts w:ascii="Book Antiqua" w:hAnsi="Book Antiqua"/>
          <w:b/>
          <w:bCs/>
          <w:sz w:val="22"/>
        </w:rPr>
        <w:t>Artículo IX:</w:t>
      </w:r>
      <w:r w:rsidRPr="00055D4B">
        <w:rPr>
          <w:rFonts w:ascii="Book Antiqua" w:hAnsi="Book Antiqua"/>
          <w:sz w:val="22"/>
        </w:rPr>
        <w:t xml:space="preserve"> se acoge la reconsideración presentada y se modifica lo dispuesto en la sesión extraordinaria 39-17 (Presupuesto 2018) celebrada el 26 de abril de 2017, artículo IV, en consecuencia, la plaza aprobada en forma extraordinaria para el Tribunal Agrario de Técnica o Técnico Judicial 2 será de categoría “3”.</w:t>
      </w:r>
    </w:p>
    <w:p w14:paraId="36F567AF" w14:textId="77777777" w:rsidR="001341EC" w:rsidRDefault="001341EC" w:rsidP="001341EC">
      <w:pPr>
        <w:jc w:val="both"/>
        <w:rPr>
          <w:rFonts w:ascii="Book Antiqua" w:eastAsia="Calibri" w:hAnsi="Book Antiqua"/>
          <w:sz w:val="22"/>
        </w:rPr>
      </w:pPr>
    </w:p>
    <w:p w14:paraId="7F977AD0" w14:textId="77777777" w:rsidR="001341EC" w:rsidRDefault="001341EC" w:rsidP="001341EC">
      <w:pPr>
        <w:jc w:val="both"/>
        <w:rPr>
          <w:rFonts w:ascii="Book Antiqua" w:eastAsia="Calibri" w:hAnsi="Book Antiqua"/>
          <w:sz w:val="22"/>
        </w:rPr>
      </w:pPr>
    </w:p>
    <w:p w14:paraId="714F8062" w14:textId="77777777" w:rsidR="001341EC" w:rsidRDefault="001341EC" w:rsidP="001341EC">
      <w:pPr>
        <w:jc w:val="both"/>
        <w:rPr>
          <w:rFonts w:ascii="Book Antiqua" w:eastAsia="Calibri" w:hAnsi="Book Antiqua"/>
          <w:sz w:val="22"/>
        </w:rPr>
      </w:pPr>
    </w:p>
    <w:p w14:paraId="11FD3580" w14:textId="77777777" w:rsidR="001341EC" w:rsidRPr="00055D4B" w:rsidRDefault="001341EC" w:rsidP="001341EC">
      <w:pPr>
        <w:jc w:val="both"/>
        <w:rPr>
          <w:rFonts w:ascii="Book Antiqua" w:eastAsia="Calibri" w:hAnsi="Book Antiqua"/>
          <w:sz w:val="22"/>
        </w:rPr>
      </w:pPr>
    </w:p>
    <w:p w14:paraId="39FA39C1" w14:textId="77777777" w:rsidR="001341EC" w:rsidRPr="00055D4B" w:rsidRDefault="001341EC" w:rsidP="001341EC">
      <w:pPr>
        <w:numPr>
          <w:ilvl w:val="0"/>
          <w:numId w:val="2"/>
        </w:numPr>
        <w:jc w:val="both"/>
        <w:rPr>
          <w:rFonts w:ascii="Book Antiqua" w:hAnsi="Book Antiqua"/>
          <w:sz w:val="22"/>
        </w:rPr>
      </w:pPr>
      <w:r w:rsidRPr="00055D4B">
        <w:rPr>
          <w:rFonts w:ascii="Book Antiqua" w:hAnsi="Book Antiqua"/>
          <w:b/>
          <w:bCs/>
          <w:sz w:val="22"/>
        </w:rPr>
        <w:lastRenderedPageBreak/>
        <w:t>Artículo XI:</w:t>
      </w:r>
      <w:r w:rsidRPr="00055D4B">
        <w:rPr>
          <w:rFonts w:ascii="Book Antiqua" w:hAnsi="Book Antiqua"/>
          <w:sz w:val="22"/>
        </w:rPr>
        <w:t xml:space="preserve"> se autoriza la creación de dos plazas extraordinarias de juez o jueza categoría 3 del escalafón de agrario para la atención en forma itinerante de la etapa de ejecución de los procesos agrarios ubicadas en el Centro de Apoyo a la Función Jurisdiccional, debiendo ser utilizadas en otras necesidades para cubrir su carga de trabajo si se llegará a requerir.</w:t>
      </w:r>
    </w:p>
    <w:p w14:paraId="4F867B2D" w14:textId="77777777" w:rsidR="001341EC" w:rsidRPr="00055D4B" w:rsidRDefault="001341EC" w:rsidP="001341EC">
      <w:pPr>
        <w:jc w:val="both"/>
        <w:rPr>
          <w:rFonts w:ascii="Book Antiqua" w:eastAsia="Calibri" w:hAnsi="Book Antiqua"/>
          <w:sz w:val="22"/>
        </w:rPr>
      </w:pPr>
    </w:p>
    <w:p w14:paraId="753053EC" w14:textId="77777777" w:rsidR="001341EC" w:rsidRPr="00055D4B" w:rsidRDefault="001341EC" w:rsidP="001341EC">
      <w:pPr>
        <w:jc w:val="both"/>
        <w:rPr>
          <w:rFonts w:ascii="Book Antiqua" w:hAnsi="Book Antiqua"/>
          <w:sz w:val="22"/>
        </w:rPr>
      </w:pPr>
      <w:r w:rsidRPr="00055D4B">
        <w:rPr>
          <w:rFonts w:ascii="Book Antiqua" w:hAnsi="Book Antiqua"/>
          <w:sz w:val="22"/>
        </w:rPr>
        <w:t>Sin embargo, en ese momento al no considerarse como Ley aprobada, la Corte Plena dispuso no incluir recursos como parte del anteproyecto de presupuesto del Poder Judicial para el 2018.</w:t>
      </w:r>
    </w:p>
    <w:p w14:paraId="5A10781F" w14:textId="77777777" w:rsidR="001341EC" w:rsidRPr="00055D4B" w:rsidRDefault="001341EC" w:rsidP="001341EC">
      <w:pPr>
        <w:jc w:val="both"/>
        <w:rPr>
          <w:rFonts w:ascii="Book Antiqua" w:hAnsi="Book Antiqua"/>
          <w:sz w:val="22"/>
        </w:rPr>
      </w:pPr>
    </w:p>
    <w:p w14:paraId="44DD32F9" w14:textId="77777777" w:rsidR="001341EC" w:rsidRPr="00055D4B" w:rsidRDefault="001341EC" w:rsidP="001341EC">
      <w:pPr>
        <w:spacing w:after="120"/>
        <w:jc w:val="both"/>
        <w:rPr>
          <w:rFonts w:ascii="Book Antiqua" w:hAnsi="Book Antiqua"/>
          <w:sz w:val="22"/>
        </w:rPr>
      </w:pPr>
      <w:r w:rsidRPr="00055D4B">
        <w:rPr>
          <w:rFonts w:ascii="Book Antiqua" w:hAnsi="Book Antiqua"/>
          <w:sz w:val="22"/>
        </w:rPr>
        <w:t>En el Informe 27-PLA-MI-2017, del 26 de abril del 2017, relacionado con el Impacto organizacional y presupuestario en el Poder Judicial ante la posible aprobación en ese momento del Proyecto de Ley denominado Código Procesal de Agrario, en el cual se determina la necesidad de asignar 7 plazas ordinarias de Defensora o Defensor Público para garantizar al menos un profesional por cada Juzgado Agrario y 5 plazas extraordinarias de Defensora o Defensor Público, para que realice las funciones de suplencia, contraparte y de curador procesal, según las nuevas labores que le delega el Código Procesal Agrario. Estas últimas plazas destacadas, en Liberia, San Ramón, San José, Guápiles y Corredores.</w:t>
      </w:r>
    </w:p>
    <w:p w14:paraId="74F96201" w14:textId="77777777" w:rsidR="001341EC" w:rsidRDefault="001341EC" w:rsidP="001341EC">
      <w:pPr>
        <w:spacing w:after="120"/>
        <w:jc w:val="both"/>
        <w:rPr>
          <w:rFonts w:ascii="Book Antiqua" w:hAnsi="Book Antiqua"/>
          <w:sz w:val="22"/>
        </w:rPr>
      </w:pPr>
    </w:p>
    <w:p w14:paraId="1E31C19E" w14:textId="77777777" w:rsidR="001341EC" w:rsidRPr="00055D4B" w:rsidRDefault="001341EC" w:rsidP="001341EC">
      <w:pPr>
        <w:spacing w:after="120"/>
        <w:jc w:val="both"/>
        <w:rPr>
          <w:rFonts w:ascii="Book Antiqua" w:hAnsi="Book Antiqua"/>
          <w:sz w:val="22"/>
        </w:rPr>
      </w:pPr>
      <w:r w:rsidRPr="00055D4B">
        <w:rPr>
          <w:rFonts w:ascii="Book Antiqua" w:hAnsi="Book Antiqua"/>
          <w:sz w:val="22"/>
        </w:rPr>
        <w:t>El oficio 7550-17 acuerdo tomado por la Corte Plena, en la sesión N° 15-17 celebrada el 31 de mayo del año 2017, se adiciona dos recursos extraordinarios para materia Agraria, quedando un total de siete plazas extraordinarias de Defensora o Defensor Público</w:t>
      </w:r>
    </w:p>
    <w:p w14:paraId="75DD8A9C" w14:textId="77777777" w:rsidR="001341EC" w:rsidRDefault="001341EC" w:rsidP="001341EC">
      <w:pPr>
        <w:spacing w:after="120"/>
        <w:jc w:val="both"/>
        <w:rPr>
          <w:rFonts w:ascii="Book Antiqua" w:hAnsi="Book Antiqua"/>
          <w:sz w:val="22"/>
        </w:rPr>
      </w:pPr>
    </w:p>
    <w:p w14:paraId="4F1B7610" w14:textId="77777777" w:rsidR="001341EC" w:rsidRPr="00055D4B" w:rsidRDefault="001341EC" w:rsidP="001341EC">
      <w:pPr>
        <w:spacing w:after="120"/>
        <w:jc w:val="both"/>
        <w:rPr>
          <w:rFonts w:ascii="Book Antiqua" w:hAnsi="Book Antiqua"/>
          <w:sz w:val="22"/>
        </w:rPr>
      </w:pPr>
      <w:r w:rsidRPr="00055D4B">
        <w:rPr>
          <w:rFonts w:ascii="Book Antiqua" w:hAnsi="Book Antiqua"/>
          <w:sz w:val="22"/>
        </w:rPr>
        <w:t>En el informe 20-PLA-OI-2018 realizado por la Dirección de Planificación el 16 de marzo del 2018, relacionado con el Análisis de las Plazas Nuevas aprobadas por Corte Plena para apoyar la Materia Agraria (Tribunal y Defesa Pública Agraria), se emite la recomendación de las 7 plazas extraordinarias para la Atención de materia Agraria, por todo el período 2018 en apoyo del plan de descongestionamiento del Tribunal Agrario. Se estima la continuidad de las plazas de Defensores para el período 2019.</w:t>
      </w:r>
    </w:p>
    <w:p w14:paraId="6B8D1329" w14:textId="77777777" w:rsidR="001341EC" w:rsidRPr="00055D4B" w:rsidRDefault="001341EC" w:rsidP="001341EC">
      <w:pPr>
        <w:jc w:val="both"/>
        <w:rPr>
          <w:rFonts w:ascii="Book Antiqua" w:hAnsi="Book Antiqua"/>
          <w:sz w:val="22"/>
        </w:rPr>
      </w:pPr>
    </w:p>
    <w:bookmarkEnd w:id="2"/>
    <w:p w14:paraId="1E24F373" w14:textId="77777777" w:rsidR="001341EC" w:rsidRPr="00055D4B" w:rsidRDefault="001341EC" w:rsidP="001341EC">
      <w:pPr>
        <w:spacing w:after="120"/>
        <w:jc w:val="both"/>
        <w:rPr>
          <w:rFonts w:ascii="Book Antiqua" w:hAnsi="Book Antiqua"/>
          <w:sz w:val="22"/>
        </w:rPr>
      </w:pPr>
      <w:r w:rsidRPr="00055D4B">
        <w:rPr>
          <w:rFonts w:ascii="Book Antiqua" w:hAnsi="Book Antiqua"/>
          <w:sz w:val="22"/>
        </w:rPr>
        <w:t>Posteriormente, se tiene el informe 820-PLA-2018, de la Dirección de Planificación que contienen el informe 193-MI-2018-B que contiene el estudio y estimación del posible costo que representa la implementación del Código Procesal Agrario, así como de las posibles fuentes de financiamiento; enviado a la Magistrada Carmen</w:t>
      </w:r>
      <w:r>
        <w:rPr>
          <w:rFonts w:ascii="Book Antiqua" w:hAnsi="Book Antiqua"/>
          <w:sz w:val="22"/>
        </w:rPr>
        <w:t xml:space="preserve"> M</w:t>
      </w:r>
      <w:r w:rsidRPr="00055D4B">
        <w:rPr>
          <w:rFonts w:ascii="Book Antiqua" w:hAnsi="Book Antiqua"/>
          <w:sz w:val="22"/>
        </w:rPr>
        <w:t>aría Escoto Fernández, Presidenta en Ejercicio de la Corte Suprema de Justicia, el 19 de julio del 2018.</w:t>
      </w:r>
    </w:p>
    <w:p w14:paraId="0A9C3775" w14:textId="77777777" w:rsidR="001341EC" w:rsidRDefault="001341EC" w:rsidP="001341EC">
      <w:pPr>
        <w:spacing w:after="120"/>
        <w:jc w:val="both"/>
        <w:rPr>
          <w:rFonts w:ascii="Book Antiqua" w:hAnsi="Book Antiqua"/>
          <w:sz w:val="22"/>
        </w:rPr>
      </w:pPr>
    </w:p>
    <w:p w14:paraId="26082B38" w14:textId="77777777" w:rsidR="001341EC" w:rsidRDefault="001341EC" w:rsidP="001341EC">
      <w:pPr>
        <w:spacing w:after="120"/>
        <w:jc w:val="both"/>
        <w:rPr>
          <w:rFonts w:ascii="Book Antiqua" w:hAnsi="Book Antiqua"/>
          <w:sz w:val="22"/>
        </w:rPr>
      </w:pPr>
    </w:p>
    <w:p w14:paraId="226EC129" w14:textId="77777777" w:rsidR="001341EC" w:rsidRPr="00055D4B" w:rsidRDefault="001341EC" w:rsidP="001341EC">
      <w:pPr>
        <w:spacing w:after="120"/>
        <w:jc w:val="both"/>
        <w:rPr>
          <w:rFonts w:ascii="Book Antiqua" w:hAnsi="Book Antiqua"/>
          <w:sz w:val="22"/>
        </w:rPr>
      </w:pPr>
    </w:p>
    <w:p w14:paraId="0DF5161E" w14:textId="77777777" w:rsidR="001341EC" w:rsidRPr="00055D4B" w:rsidRDefault="001341EC" w:rsidP="001341EC">
      <w:pPr>
        <w:spacing w:after="120"/>
        <w:jc w:val="both"/>
        <w:rPr>
          <w:rFonts w:ascii="Book Antiqua" w:hAnsi="Book Antiqua"/>
          <w:sz w:val="22"/>
        </w:rPr>
      </w:pPr>
      <w:r>
        <w:rPr>
          <w:rFonts w:ascii="Book Antiqua" w:hAnsi="Book Antiqua"/>
          <w:sz w:val="22"/>
        </w:rPr>
        <w:lastRenderedPageBreak/>
        <w:t>En</w:t>
      </w:r>
      <w:r w:rsidRPr="00055D4B">
        <w:rPr>
          <w:rFonts w:ascii="Book Antiqua" w:hAnsi="Book Antiqua"/>
          <w:sz w:val="22"/>
        </w:rPr>
        <w:t xml:space="preserve"> el oficio 0292-P-2018, de la Presidencia de la Corte Suprema de Justicia relacionado con el informe emitido por la Dirección de Planificación respecto a los escenarios sobre la posible implementación del Código Procesal Agrario; enviado a la Señora Carolina Hidalgo Herrera, Presidenta de la Asamblea Legislativa el 19 de julio de 2018.</w:t>
      </w:r>
    </w:p>
    <w:p w14:paraId="0E5E36AC" w14:textId="77777777" w:rsidR="001341EC" w:rsidRDefault="001341EC" w:rsidP="001341EC">
      <w:pPr>
        <w:jc w:val="both"/>
        <w:rPr>
          <w:rFonts w:ascii="Book Antiqua" w:hAnsi="Book Antiqua"/>
          <w:sz w:val="22"/>
        </w:rPr>
      </w:pPr>
    </w:p>
    <w:p w14:paraId="4F6419AF" w14:textId="77777777" w:rsidR="001341EC" w:rsidRPr="00126FA8" w:rsidRDefault="001341EC" w:rsidP="001341EC">
      <w:pPr>
        <w:pStyle w:val="Prrafodelista"/>
        <w:spacing w:after="240"/>
        <w:ind w:left="0"/>
        <w:jc w:val="both"/>
        <w:rPr>
          <w:rFonts w:ascii="Book Antiqua" w:hAnsi="Book Antiqua" w:cs="Times New Roman"/>
          <w:sz w:val="22"/>
          <w:szCs w:val="20"/>
          <w:lang w:val="es-CR"/>
        </w:rPr>
      </w:pPr>
      <w:r w:rsidRPr="00126FA8">
        <w:rPr>
          <w:rFonts w:ascii="Book Antiqua" w:hAnsi="Book Antiqua" w:cs="Times New Roman"/>
          <w:sz w:val="22"/>
          <w:szCs w:val="20"/>
          <w:lang w:val="es-CR"/>
        </w:rPr>
        <w:t>Finalmente el 3 de abril del 2019 se remite el preliminar de este informe 481-PLA-RH-MI-2019, vía correo electrónico a la Comisión de la Jurisdicción Agraria, los cuales lo socializaron con todos los Juzgados Agrarios del país, Dirección Ejecutiva, Escuela Judicial y a la Dirección de Tecnología de la Información y  emiten las siguientes observaciones:</w:t>
      </w:r>
    </w:p>
    <w:p w14:paraId="4E3A2710" w14:textId="77777777" w:rsidR="001341EC" w:rsidRPr="00126FA8" w:rsidRDefault="001341EC" w:rsidP="001341EC">
      <w:pPr>
        <w:pStyle w:val="Prrafodelista"/>
        <w:spacing w:after="240"/>
        <w:ind w:left="0"/>
        <w:jc w:val="center"/>
        <w:rPr>
          <w:rFonts w:ascii="Book Antiqua" w:hAnsi="Book Antiqua" w:cs="Times New Roman"/>
          <w:b/>
          <w:sz w:val="22"/>
          <w:szCs w:val="20"/>
          <w:lang w:val="es-CR"/>
        </w:rPr>
      </w:pPr>
      <w:r w:rsidRPr="00126FA8">
        <w:rPr>
          <w:rFonts w:ascii="Book Antiqua" w:hAnsi="Book Antiqua" w:cs="Times New Roman"/>
          <w:b/>
          <w:sz w:val="22"/>
          <w:szCs w:val="20"/>
          <w:lang w:val="es-CR"/>
        </w:rPr>
        <w:t>Observaciones realizadas por la Comisión de la Jurisdicción de la Jurisdicción Agraria, Despachos involucrados, Escuela Judicial y el Centro de Apoyo, Coordinación y Mejoramiento de la Función Jurisdiccional</w:t>
      </w:r>
    </w:p>
    <w:tbl>
      <w:tblPr>
        <w:tblW w:w="0" w:type="auto"/>
        <w:tblCellMar>
          <w:left w:w="70" w:type="dxa"/>
          <w:right w:w="70" w:type="dxa"/>
        </w:tblCellMar>
        <w:tblLook w:val="04A0" w:firstRow="1" w:lastRow="0" w:firstColumn="1" w:lastColumn="0" w:noHBand="0" w:noVBand="1"/>
      </w:tblPr>
      <w:tblGrid>
        <w:gridCol w:w="513"/>
        <w:gridCol w:w="4664"/>
        <w:gridCol w:w="3615"/>
      </w:tblGrid>
      <w:tr w:rsidR="001341EC" w:rsidRPr="00126FA8" w14:paraId="1F02CE99" w14:textId="77777777" w:rsidTr="00165AA6">
        <w:trPr>
          <w:trHeight w:val="20"/>
          <w:tblHeader/>
        </w:trPr>
        <w:tc>
          <w:tcPr>
            <w:tcW w:w="512" w:type="dxa"/>
            <w:tcBorders>
              <w:top w:val="double" w:sz="6" w:space="0" w:color="4472C4"/>
              <w:left w:val="double" w:sz="6" w:space="0" w:color="4472C4"/>
              <w:bottom w:val="double" w:sz="6" w:space="0" w:color="4472C4"/>
              <w:right w:val="double" w:sz="6" w:space="0" w:color="4472C4"/>
            </w:tcBorders>
            <w:shd w:val="clear" w:color="000000" w:fill="4472C4"/>
            <w:vAlign w:val="center"/>
          </w:tcPr>
          <w:p w14:paraId="27F97E82" w14:textId="77777777" w:rsidR="001341EC" w:rsidRPr="00126FA8" w:rsidRDefault="001341EC" w:rsidP="00165AA6">
            <w:pPr>
              <w:jc w:val="center"/>
              <w:rPr>
                <w:rFonts w:ascii="Book Antiqua" w:eastAsia="Calibri" w:hAnsi="Book Antiqua"/>
                <w:b/>
                <w:bCs/>
                <w:color w:val="FFFFFF"/>
                <w:sz w:val="22"/>
                <w:szCs w:val="22"/>
                <w:lang w:eastAsia="es-CR"/>
              </w:rPr>
            </w:pPr>
          </w:p>
        </w:tc>
        <w:tc>
          <w:tcPr>
            <w:tcW w:w="4664" w:type="dxa"/>
            <w:tcBorders>
              <w:top w:val="double" w:sz="6" w:space="0" w:color="4472C4"/>
              <w:left w:val="double" w:sz="6" w:space="0" w:color="4472C4"/>
              <w:bottom w:val="double" w:sz="6" w:space="0" w:color="4472C4"/>
              <w:right w:val="double" w:sz="6" w:space="0" w:color="4472C4"/>
            </w:tcBorders>
            <w:shd w:val="clear" w:color="000000" w:fill="4472C4"/>
            <w:vAlign w:val="center"/>
            <w:hideMark/>
          </w:tcPr>
          <w:p w14:paraId="29771812" w14:textId="77777777" w:rsidR="001341EC" w:rsidRPr="00126FA8" w:rsidRDefault="001341EC" w:rsidP="00165AA6">
            <w:pPr>
              <w:jc w:val="center"/>
              <w:rPr>
                <w:rFonts w:ascii="Book Antiqua" w:hAnsi="Book Antiqua"/>
                <w:b/>
                <w:bCs/>
                <w:color w:val="FFFFFF"/>
                <w:sz w:val="22"/>
                <w:szCs w:val="22"/>
                <w:lang w:eastAsia="es-CR"/>
              </w:rPr>
            </w:pPr>
            <w:r w:rsidRPr="00126FA8">
              <w:rPr>
                <w:rFonts w:ascii="Book Antiqua" w:eastAsia="Calibri" w:hAnsi="Book Antiqua"/>
                <w:b/>
                <w:bCs/>
                <w:color w:val="FFFFFF"/>
                <w:sz w:val="22"/>
                <w:szCs w:val="22"/>
                <w:lang w:eastAsia="es-CR"/>
              </w:rPr>
              <w:t xml:space="preserve">Observaciones </w:t>
            </w:r>
          </w:p>
        </w:tc>
        <w:tc>
          <w:tcPr>
            <w:tcW w:w="3802" w:type="dxa"/>
            <w:tcBorders>
              <w:top w:val="double" w:sz="6" w:space="0" w:color="4472C4"/>
              <w:left w:val="nil"/>
              <w:bottom w:val="double" w:sz="6" w:space="0" w:color="4472C4"/>
              <w:right w:val="double" w:sz="6" w:space="0" w:color="4472C4"/>
            </w:tcBorders>
            <w:shd w:val="clear" w:color="000000" w:fill="4472C4"/>
            <w:vAlign w:val="center"/>
            <w:hideMark/>
          </w:tcPr>
          <w:p w14:paraId="58E33205" w14:textId="77777777" w:rsidR="001341EC" w:rsidRPr="00126FA8" w:rsidRDefault="001341EC" w:rsidP="00165AA6">
            <w:pPr>
              <w:jc w:val="center"/>
              <w:rPr>
                <w:rFonts w:ascii="Book Antiqua" w:hAnsi="Book Antiqua"/>
                <w:b/>
                <w:bCs/>
                <w:color w:val="FFFFFF"/>
                <w:sz w:val="22"/>
                <w:szCs w:val="22"/>
                <w:lang w:eastAsia="es-CR"/>
              </w:rPr>
            </w:pPr>
            <w:r w:rsidRPr="00126FA8">
              <w:rPr>
                <w:rFonts w:ascii="Book Antiqua" w:eastAsia="Calibri" w:hAnsi="Book Antiqua"/>
                <w:b/>
                <w:bCs/>
                <w:color w:val="FFFFFF"/>
                <w:sz w:val="22"/>
                <w:szCs w:val="22"/>
                <w:lang w:eastAsia="es-CR"/>
              </w:rPr>
              <w:t>Posición de la Dirección de Planificación</w:t>
            </w:r>
          </w:p>
        </w:tc>
      </w:tr>
      <w:tr w:rsidR="001341EC" w:rsidRPr="00126FA8" w14:paraId="1F140B7D"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shd w:val="clear" w:color="auto" w:fill="DEEAF6"/>
            <w:vAlign w:val="center"/>
          </w:tcPr>
          <w:p w14:paraId="49BC82D2" w14:textId="77777777" w:rsidR="001341EC" w:rsidRPr="00126FA8" w:rsidRDefault="001341EC" w:rsidP="00165AA6">
            <w:pPr>
              <w:jc w:val="center"/>
              <w:rPr>
                <w:rFonts w:ascii="Book Antiqua" w:hAnsi="Book Antiqua"/>
                <w:b/>
                <w:i/>
                <w:iCs/>
                <w:sz w:val="22"/>
                <w:szCs w:val="22"/>
                <w:lang w:eastAsia="es-CR"/>
              </w:rPr>
            </w:pPr>
          </w:p>
        </w:tc>
        <w:tc>
          <w:tcPr>
            <w:tcW w:w="8466" w:type="dxa"/>
            <w:gridSpan w:val="2"/>
            <w:tcBorders>
              <w:top w:val="double" w:sz="6" w:space="0" w:color="4472C4"/>
              <w:left w:val="double" w:sz="6" w:space="0" w:color="4472C4"/>
              <w:bottom w:val="double" w:sz="6" w:space="0" w:color="4472C4"/>
              <w:right w:val="double" w:sz="6" w:space="0" w:color="4472C4"/>
            </w:tcBorders>
            <w:shd w:val="clear" w:color="auto" w:fill="DEEAF6"/>
            <w:vAlign w:val="center"/>
            <w:hideMark/>
          </w:tcPr>
          <w:p w14:paraId="5FF397D1" w14:textId="77777777" w:rsidR="001341EC" w:rsidRPr="00126FA8" w:rsidRDefault="001341EC" w:rsidP="00165AA6">
            <w:pPr>
              <w:rPr>
                <w:rFonts w:ascii="Book Antiqua" w:hAnsi="Book Antiqua"/>
                <w:b/>
                <w:i/>
                <w:iCs/>
                <w:sz w:val="22"/>
                <w:szCs w:val="22"/>
                <w:lang w:eastAsia="es-CR"/>
              </w:rPr>
            </w:pPr>
            <w:r w:rsidRPr="00126FA8">
              <w:rPr>
                <w:rFonts w:ascii="Book Antiqua" w:hAnsi="Book Antiqua"/>
                <w:b/>
                <w:i/>
                <w:iCs/>
                <w:sz w:val="22"/>
                <w:szCs w:val="22"/>
                <w:lang w:eastAsia="es-CR"/>
              </w:rPr>
              <w:t xml:space="preserve">Ileana Guillén Rodríguez, Directora de la Escuela Judicial </w:t>
            </w:r>
          </w:p>
        </w:tc>
      </w:tr>
      <w:tr w:rsidR="001341EC" w:rsidRPr="00126FA8" w14:paraId="6394EC9C" w14:textId="77777777" w:rsidTr="00165AA6">
        <w:trPr>
          <w:trHeight w:val="20"/>
        </w:trPr>
        <w:tc>
          <w:tcPr>
            <w:tcW w:w="512" w:type="dxa"/>
            <w:tcBorders>
              <w:top w:val="double" w:sz="6" w:space="0" w:color="4472C4"/>
              <w:left w:val="double" w:sz="6" w:space="0" w:color="4472C4"/>
              <w:bottom w:val="nil"/>
              <w:right w:val="double" w:sz="6" w:space="0" w:color="4472C4"/>
            </w:tcBorders>
            <w:vAlign w:val="center"/>
          </w:tcPr>
          <w:p w14:paraId="5F0976BA" w14:textId="77777777" w:rsidR="001341EC" w:rsidRPr="00126FA8" w:rsidRDefault="001341EC" w:rsidP="00165AA6">
            <w:pPr>
              <w:jc w:val="center"/>
              <w:rPr>
                <w:rFonts w:ascii="Book Antiqua" w:hAnsi="Book Antiqua"/>
                <w:sz w:val="22"/>
                <w:szCs w:val="22"/>
                <w:lang w:eastAsia="es-CR"/>
              </w:rPr>
            </w:pPr>
          </w:p>
        </w:tc>
        <w:tc>
          <w:tcPr>
            <w:tcW w:w="4664" w:type="dxa"/>
            <w:tcBorders>
              <w:top w:val="double" w:sz="6" w:space="0" w:color="4472C4"/>
              <w:left w:val="double" w:sz="6" w:space="0" w:color="4472C4"/>
              <w:bottom w:val="nil"/>
              <w:right w:val="double" w:sz="6" w:space="0" w:color="4472C4"/>
            </w:tcBorders>
            <w:shd w:val="clear" w:color="auto" w:fill="auto"/>
            <w:vAlign w:val="center"/>
            <w:hideMark/>
          </w:tcPr>
          <w:p w14:paraId="091C9FE1" w14:textId="77777777" w:rsidR="00F44362" w:rsidRDefault="00F44362" w:rsidP="00165AA6">
            <w:pPr>
              <w:jc w:val="both"/>
              <w:rPr>
                <w:rFonts w:ascii="Book Antiqua" w:hAnsi="Book Antiqua"/>
                <w:sz w:val="22"/>
                <w:szCs w:val="22"/>
                <w:lang w:eastAsia="es-CR"/>
              </w:rPr>
            </w:pPr>
          </w:p>
          <w:p w14:paraId="2A2E3A34" w14:textId="77777777" w:rsidR="001341EC"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1.         Sobre el punto;</w:t>
            </w:r>
          </w:p>
          <w:p w14:paraId="4A7BB0F6" w14:textId="77777777" w:rsidR="00F44362" w:rsidRPr="00126FA8" w:rsidRDefault="00F44362" w:rsidP="00165AA6">
            <w:pPr>
              <w:jc w:val="both"/>
              <w:rPr>
                <w:rFonts w:ascii="Book Antiqua" w:hAnsi="Book Antiqua"/>
                <w:sz w:val="22"/>
                <w:szCs w:val="22"/>
                <w:lang w:eastAsia="es-CR"/>
              </w:rPr>
            </w:pPr>
          </w:p>
        </w:tc>
        <w:tc>
          <w:tcPr>
            <w:tcW w:w="3802" w:type="dxa"/>
            <w:vMerge w:val="restart"/>
            <w:tcBorders>
              <w:top w:val="nil"/>
              <w:left w:val="double" w:sz="6" w:space="0" w:color="4472C4"/>
              <w:bottom w:val="double" w:sz="6" w:space="0" w:color="4472C4"/>
              <w:right w:val="double" w:sz="6" w:space="0" w:color="4472C4"/>
            </w:tcBorders>
            <w:shd w:val="clear" w:color="auto" w:fill="auto"/>
            <w:vAlign w:val="center"/>
            <w:hideMark/>
          </w:tcPr>
          <w:p w14:paraId="06409F91" w14:textId="77777777" w:rsidR="001341EC" w:rsidRPr="00F43A2A" w:rsidRDefault="001341EC" w:rsidP="00165AA6">
            <w:pPr>
              <w:jc w:val="both"/>
              <w:rPr>
                <w:rFonts w:ascii="Book Antiqua" w:hAnsi="Book Antiqua" w:cs="Arial"/>
                <w:sz w:val="22"/>
                <w:szCs w:val="22"/>
                <w:lang w:val="es-ES_tradnl"/>
              </w:rPr>
            </w:pPr>
            <w:r w:rsidRPr="00F43A2A">
              <w:rPr>
                <w:rFonts w:ascii="Book Antiqua" w:hAnsi="Book Antiqua" w:cs="Arial"/>
                <w:sz w:val="22"/>
                <w:szCs w:val="22"/>
                <w:lang w:val="es-ES_tradnl"/>
              </w:rPr>
              <w:t>En la reunión que se hace mención, se conversó temas de capacitación tanto las planteadas para el 2019 como el plan de capacitaciones que se espera implementar para el 2020.</w:t>
            </w:r>
          </w:p>
          <w:p w14:paraId="78363B1D" w14:textId="77777777" w:rsidR="001341EC" w:rsidRPr="001D1C4B" w:rsidRDefault="001341EC" w:rsidP="00165AA6">
            <w:pPr>
              <w:jc w:val="both"/>
              <w:rPr>
                <w:rFonts w:ascii="Book Antiqua" w:hAnsi="Book Antiqua" w:cs="Arial"/>
                <w:sz w:val="22"/>
                <w:szCs w:val="22"/>
                <w:lang w:val="es-ES_tradnl"/>
              </w:rPr>
            </w:pPr>
          </w:p>
          <w:p w14:paraId="5386C5A3" w14:textId="77777777" w:rsidR="001341EC" w:rsidRPr="001D1C4B" w:rsidRDefault="001341EC" w:rsidP="00165AA6">
            <w:pPr>
              <w:jc w:val="both"/>
              <w:rPr>
                <w:rFonts w:ascii="Book Antiqua" w:hAnsi="Book Antiqua" w:cs="Arial"/>
                <w:sz w:val="22"/>
                <w:szCs w:val="22"/>
                <w:lang w:val="es-ES_tradnl"/>
              </w:rPr>
            </w:pPr>
            <w:r w:rsidRPr="001D1C4B">
              <w:rPr>
                <w:rFonts w:ascii="Book Antiqua" w:hAnsi="Book Antiqua" w:cs="Arial"/>
                <w:sz w:val="22"/>
                <w:szCs w:val="22"/>
                <w:lang w:val="es-ES_tradnl"/>
              </w:rPr>
              <w:t>Se toma nota. Lo anterior, fue contemplado en el informe en consulta.</w:t>
            </w:r>
          </w:p>
          <w:p w14:paraId="7458F306" w14:textId="77777777" w:rsidR="001341EC" w:rsidRPr="00126FA8" w:rsidRDefault="001341EC" w:rsidP="00165AA6">
            <w:pPr>
              <w:jc w:val="both"/>
              <w:rPr>
                <w:rFonts w:ascii="Book Antiqua" w:hAnsi="Book Antiqua" w:cs="Arial"/>
                <w:sz w:val="22"/>
                <w:szCs w:val="22"/>
                <w:lang w:val="es-ES_tradnl"/>
              </w:rPr>
            </w:pPr>
          </w:p>
          <w:p w14:paraId="13703434" w14:textId="77777777" w:rsidR="001341EC" w:rsidRPr="00126FA8" w:rsidRDefault="001341EC" w:rsidP="00165AA6">
            <w:pPr>
              <w:jc w:val="both"/>
              <w:rPr>
                <w:rFonts w:ascii="Book Antiqua" w:hAnsi="Book Antiqua" w:cs="Arial"/>
                <w:sz w:val="22"/>
                <w:szCs w:val="22"/>
                <w:lang w:val="es-ES_tradnl"/>
              </w:rPr>
            </w:pPr>
            <w:r w:rsidRPr="00126FA8">
              <w:rPr>
                <w:rFonts w:ascii="Book Antiqua" w:hAnsi="Book Antiqua" w:cs="Arial"/>
                <w:sz w:val="22"/>
                <w:szCs w:val="22"/>
                <w:lang w:val="es-ES_tradnl"/>
              </w:rPr>
              <w:t>Las observaciones no modifican el contenido de este oficio.</w:t>
            </w:r>
          </w:p>
          <w:p w14:paraId="528F6EA7" w14:textId="77777777" w:rsidR="001341EC" w:rsidRPr="00126FA8" w:rsidRDefault="001341EC" w:rsidP="00165AA6">
            <w:pPr>
              <w:jc w:val="both"/>
              <w:rPr>
                <w:rFonts w:ascii="Book Antiqua" w:hAnsi="Book Antiqua" w:cs="Arial"/>
                <w:sz w:val="22"/>
                <w:szCs w:val="22"/>
                <w:lang w:val="es-ES_tradnl"/>
              </w:rPr>
            </w:pPr>
          </w:p>
        </w:tc>
      </w:tr>
      <w:tr w:rsidR="001341EC" w:rsidRPr="00126FA8" w14:paraId="33BDEAAF" w14:textId="77777777" w:rsidTr="00165AA6">
        <w:trPr>
          <w:trHeight w:val="20"/>
        </w:trPr>
        <w:tc>
          <w:tcPr>
            <w:tcW w:w="512" w:type="dxa"/>
            <w:tcBorders>
              <w:top w:val="nil"/>
              <w:left w:val="double" w:sz="6" w:space="0" w:color="4472C4"/>
              <w:bottom w:val="nil"/>
              <w:right w:val="double" w:sz="6" w:space="0" w:color="4472C4"/>
            </w:tcBorders>
            <w:vAlign w:val="center"/>
          </w:tcPr>
          <w:p w14:paraId="634604BF" w14:textId="77777777" w:rsidR="001341EC" w:rsidRPr="00126FA8" w:rsidRDefault="001341EC" w:rsidP="00165AA6">
            <w:pPr>
              <w:rPr>
                <w:rFonts w:ascii="Book Antiqua" w:hAnsi="Book Antiqua" w:cs="Calibri Light"/>
                <w:i/>
                <w:iCs/>
                <w:sz w:val="22"/>
                <w:szCs w:val="22"/>
                <w:lang w:eastAsia="es-CR"/>
              </w:rPr>
            </w:pPr>
          </w:p>
        </w:tc>
        <w:tc>
          <w:tcPr>
            <w:tcW w:w="4664" w:type="dxa"/>
            <w:tcBorders>
              <w:top w:val="nil"/>
              <w:left w:val="double" w:sz="6" w:space="0" w:color="4472C4"/>
              <w:bottom w:val="nil"/>
              <w:right w:val="double" w:sz="6" w:space="0" w:color="4472C4"/>
            </w:tcBorders>
            <w:shd w:val="clear" w:color="auto" w:fill="auto"/>
            <w:noWrap/>
            <w:vAlign w:val="center"/>
            <w:hideMark/>
          </w:tcPr>
          <w:p w14:paraId="1030F8B1" w14:textId="77777777" w:rsidR="00F44362" w:rsidRPr="00126FA8" w:rsidRDefault="001341EC" w:rsidP="00F44362">
            <w:pPr>
              <w:jc w:val="both"/>
              <w:rPr>
                <w:rFonts w:ascii="Book Antiqua" w:hAnsi="Book Antiqua"/>
                <w:i/>
                <w:iCs/>
                <w:sz w:val="22"/>
                <w:szCs w:val="22"/>
                <w:lang w:eastAsia="es-CR"/>
              </w:rPr>
            </w:pPr>
            <w:r w:rsidRPr="00126FA8">
              <w:rPr>
                <w:rFonts w:ascii="Book Antiqua" w:hAnsi="Book Antiqua" w:cs="Calibri Light"/>
                <w:i/>
                <w:iCs/>
                <w:sz w:val="22"/>
                <w:szCs w:val="22"/>
                <w:lang w:eastAsia="es-CR"/>
              </w:rPr>
              <w:t>“…El 27 de febrero del año en curso, se mantuvo una reunión con el Magistrado Luis Guillermo Rivas y la Licenciada Damaris Vargas, donde asiste el Ingeniero Dixon Li y el Ing. Arnold Alvarado, ambos de la Dirección de Planificación, para conversar respecto a los criterios emitidos sobre el informe base 820-PLA-2018. Adicional, participó de la reunión vía telefónica el licenciado Gustavo Céspedes, Abogado Gestor de Capacitación de la Escuela Judicial, con quien se conversa en relación con el plan de capacitaciones que tienen para la población de la materia Agraria para el 2020…”</w:t>
            </w:r>
          </w:p>
        </w:tc>
        <w:tc>
          <w:tcPr>
            <w:tcW w:w="3802" w:type="dxa"/>
            <w:vMerge/>
            <w:tcBorders>
              <w:top w:val="nil"/>
              <w:left w:val="double" w:sz="6" w:space="0" w:color="4472C4"/>
              <w:bottom w:val="double" w:sz="6" w:space="0" w:color="4472C4"/>
              <w:right w:val="double" w:sz="6" w:space="0" w:color="4472C4"/>
            </w:tcBorders>
            <w:vAlign w:val="center"/>
            <w:hideMark/>
          </w:tcPr>
          <w:p w14:paraId="41C167F5" w14:textId="77777777" w:rsidR="001341EC" w:rsidRPr="00126FA8" w:rsidRDefault="001341EC" w:rsidP="00165AA6">
            <w:pPr>
              <w:rPr>
                <w:rFonts w:ascii="Book Antiqua" w:hAnsi="Book Antiqua"/>
                <w:sz w:val="22"/>
                <w:szCs w:val="22"/>
                <w:lang w:eastAsia="es-CR"/>
              </w:rPr>
            </w:pPr>
          </w:p>
        </w:tc>
      </w:tr>
      <w:tr w:rsidR="001341EC" w:rsidRPr="00126FA8" w14:paraId="0A86E267" w14:textId="77777777" w:rsidTr="00165AA6">
        <w:trPr>
          <w:trHeight w:val="20"/>
        </w:trPr>
        <w:tc>
          <w:tcPr>
            <w:tcW w:w="512" w:type="dxa"/>
            <w:tcBorders>
              <w:top w:val="nil"/>
              <w:left w:val="double" w:sz="6" w:space="0" w:color="4472C4"/>
              <w:bottom w:val="nil"/>
              <w:right w:val="double" w:sz="6" w:space="0" w:color="4472C4"/>
            </w:tcBorders>
            <w:vAlign w:val="center"/>
          </w:tcPr>
          <w:p w14:paraId="17E11CC2" w14:textId="77777777" w:rsidR="001341EC" w:rsidRPr="00126FA8" w:rsidRDefault="001341EC" w:rsidP="00165AA6">
            <w:pPr>
              <w:jc w:val="center"/>
              <w:rPr>
                <w:rFonts w:ascii="Book Antiqua" w:hAnsi="Book Antiqua"/>
                <w:b/>
                <w:sz w:val="22"/>
                <w:szCs w:val="22"/>
                <w:lang w:val="es-ES" w:eastAsia="es-CR"/>
              </w:rPr>
            </w:pPr>
            <w:r w:rsidRPr="00126FA8">
              <w:rPr>
                <w:rFonts w:ascii="Book Antiqua" w:hAnsi="Book Antiqua"/>
                <w:b/>
                <w:sz w:val="22"/>
                <w:szCs w:val="22"/>
                <w:lang w:val="es-ES" w:eastAsia="es-CR"/>
              </w:rPr>
              <w:t>1</w:t>
            </w:r>
          </w:p>
        </w:tc>
        <w:tc>
          <w:tcPr>
            <w:tcW w:w="4664" w:type="dxa"/>
            <w:tcBorders>
              <w:top w:val="nil"/>
              <w:left w:val="double" w:sz="6" w:space="0" w:color="4472C4"/>
              <w:bottom w:val="nil"/>
              <w:right w:val="double" w:sz="6" w:space="0" w:color="4472C4"/>
            </w:tcBorders>
            <w:shd w:val="clear" w:color="auto" w:fill="auto"/>
            <w:vAlign w:val="center"/>
            <w:hideMark/>
          </w:tcPr>
          <w:p w14:paraId="32190882" w14:textId="77777777" w:rsidR="001341EC" w:rsidRDefault="001341EC" w:rsidP="00165AA6">
            <w:pPr>
              <w:jc w:val="both"/>
              <w:rPr>
                <w:rFonts w:ascii="Book Antiqua" w:hAnsi="Book Antiqua"/>
                <w:sz w:val="22"/>
                <w:szCs w:val="22"/>
                <w:lang w:val="es-ES" w:eastAsia="es-CR"/>
              </w:rPr>
            </w:pPr>
            <w:r w:rsidRPr="00126FA8">
              <w:rPr>
                <w:rFonts w:ascii="Book Antiqua" w:hAnsi="Book Antiqua"/>
                <w:sz w:val="22"/>
                <w:szCs w:val="22"/>
                <w:lang w:val="es-ES" w:eastAsia="es-CR"/>
              </w:rPr>
              <w:t xml:space="preserve">informa el </w:t>
            </w:r>
            <w:proofErr w:type="spellStart"/>
            <w:r w:rsidRPr="00126FA8">
              <w:rPr>
                <w:rFonts w:ascii="Book Antiqua" w:hAnsi="Book Antiqua"/>
                <w:sz w:val="22"/>
                <w:szCs w:val="22"/>
                <w:lang w:val="es-ES" w:eastAsia="es-CR"/>
              </w:rPr>
              <w:t>Msc</w:t>
            </w:r>
            <w:proofErr w:type="spellEnd"/>
            <w:r w:rsidRPr="00126FA8">
              <w:rPr>
                <w:rFonts w:ascii="Book Antiqua" w:hAnsi="Book Antiqua"/>
                <w:sz w:val="22"/>
                <w:szCs w:val="22"/>
                <w:lang w:val="es-ES" w:eastAsia="es-CR"/>
              </w:rPr>
              <w:t xml:space="preserve">. Céspedes Chinchilla que el tema de lo que se conversó, fue referente a las actividades planteadas para 2019, de las cuáles señaló que se trataba de una serie de talleres ordinarios de actualización para la jurisdicción agraria, y que cada uno de ellos tenía una duración de 1 día. Además, se conversó acerca de que los mismos habían sido definidos PREVIO a la aprobación del proyecto del Código Procesal Agrario, por lo </w:t>
            </w:r>
            <w:r w:rsidR="00817898" w:rsidRPr="00126FA8">
              <w:rPr>
                <w:rFonts w:ascii="Book Antiqua" w:hAnsi="Book Antiqua"/>
                <w:sz w:val="22"/>
                <w:szCs w:val="22"/>
                <w:lang w:val="es-ES" w:eastAsia="es-CR"/>
              </w:rPr>
              <w:t>cual</w:t>
            </w:r>
            <w:r w:rsidRPr="00126FA8">
              <w:rPr>
                <w:rFonts w:ascii="Book Antiqua" w:hAnsi="Book Antiqua"/>
                <w:sz w:val="22"/>
                <w:szCs w:val="22"/>
                <w:lang w:val="es-ES" w:eastAsia="es-CR"/>
              </w:rPr>
              <w:t xml:space="preserve"> no estaban pensados para los aspectos </w:t>
            </w:r>
            <w:r w:rsidRPr="00126FA8">
              <w:rPr>
                <w:rFonts w:ascii="Book Antiqua" w:hAnsi="Book Antiqua"/>
                <w:sz w:val="22"/>
                <w:szCs w:val="22"/>
                <w:lang w:val="es-ES" w:eastAsia="es-CR"/>
              </w:rPr>
              <w:lastRenderedPageBreak/>
              <w:t>esenciales de la reforma y que en todo caso que una actividad de 1 día, a lo sumo, permitiría refrescar conocimientos o procedimientos.</w:t>
            </w:r>
          </w:p>
          <w:p w14:paraId="05682864" w14:textId="77777777" w:rsidR="004A6752" w:rsidRPr="00126FA8" w:rsidRDefault="004A6752" w:rsidP="00165AA6">
            <w:pPr>
              <w:jc w:val="both"/>
              <w:rPr>
                <w:rFonts w:ascii="Book Antiqua" w:hAnsi="Book Antiqua"/>
                <w:sz w:val="22"/>
                <w:szCs w:val="22"/>
                <w:lang w:eastAsia="es-CR"/>
              </w:rPr>
            </w:pPr>
          </w:p>
        </w:tc>
        <w:tc>
          <w:tcPr>
            <w:tcW w:w="3802" w:type="dxa"/>
            <w:vMerge/>
            <w:tcBorders>
              <w:top w:val="nil"/>
              <w:left w:val="double" w:sz="6" w:space="0" w:color="4472C4"/>
              <w:bottom w:val="double" w:sz="6" w:space="0" w:color="4472C4"/>
              <w:right w:val="double" w:sz="6" w:space="0" w:color="4472C4"/>
            </w:tcBorders>
            <w:vAlign w:val="center"/>
            <w:hideMark/>
          </w:tcPr>
          <w:p w14:paraId="07E22A8C" w14:textId="77777777" w:rsidR="001341EC" w:rsidRPr="00126FA8" w:rsidRDefault="001341EC" w:rsidP="00165AA6">
            <w:pPr>
              <w:rPr>
                <w:rFonts w:ascii="Book Antiqua" w:hAnsi="Book Antiqua"/>
                <w:sz w:val="22"/>
                <w:szCs w:val="22"/>
                <w:lang w:eastAsia="es-CR"/>
              </w:rPr>
            </w:pPr>
          </w:p>
        </w:tc>
      </w:tr>
      <w:tr w:rsidR="001341EC" w:rsidRPr="00126FA8" w14:paraId="62C430E9" w14:textId="77777777" w:rsidTr="00165AA6">
        <w:trPr>
          <w:trHeight w:val="20"/>
        </w:trPr>
        <w:tc>
          <w:tcPr>
            <w:tcW w:w="512" w:type="dxa"/>
            <w:tcBorders>
              <w:top w:val="double" w:sz="6" w:space="0" w:color="4472C4"/>
              <w:left w:val="double" w:sz="6" w:space="0" w:color="4472C4"/>
              <w:bottom w:val="nil"/>
              <w:right w:val="double" w:sz="6" w:space="0" w:color="4472C4"/>
            </w:tcBorders>
            <w:vAlign w:val="center"/>
          </w:tcPr>
          <w:p w14:paraId="73A83CF7" w14:textId="77777777" w:rsidR="001341EC" w:rsidRPr="00126FA8" w:rsidRDefault="001341EC" w:rsidP="00165AA6">
            <w:pPr>
              <w:jc w:val="center"/>
              <w:rPr>
                <w:rFonts w:ascii="Book Antiqua" w:hAnsi="Book Antiqua"/>
                <w:sz w:val="22"/>
                <w:szCs w:val="22"/>
                <w:lang w:eastAsia="es-CR"/>
              </w:rPr>
            </w:pPr>
            <w:r w:rsidRPr="00126FA8">
              <w:rPr>
                <w:rFonts w:ascii="Book Antiqua" w:hAnsi="Book Antiqua"/>
                <w:b/>
                <w:sz w:val="22"/>
                <w:szCs w:val="22"/>
                <w:lang w:val="es-ES" w:eastAsia="es-CR"/>
              </w:rPr>
              <w:t>2</w:t>
            </w:r>
          </w:p>
        </w:tc>
        <w:tc>
          <w:tcPr>
            <w:tcW w:w="4664" w:type="dxa"/>
            <w:tcBorders>
              <w:top w:val="double" w:sz="6" w:space="0" w:color="4472C4"/>
              <w:left w:val="double" w:sz="6" w:space="0" w:color="4472C4"/>
              <w:bottom w:val="nil"/>
              <w:right w:val="double" w:sz="6" w:space="0" w:color="4472C4"/>
            </w:tcBorders>
            <w:shd w:val="clear" w:color="auto" w:fill="auto"/>
            <w:vAlign w:val="center"/>
            <w:hideMark/>
          </w:tcPr>
          <w:p w14:paraId="1837CEBD" w14:textId="77777777" w:rsidR="001341EC" w:rsidRDefault="001341EC" w:rsidP="00165AA6">
            <w:pPr>
              <w:rPr>
                <w:rFonts w:ascii="Book Antiqua" w:hAnsi="Book Antiqua"/>
                <w:sz w:val="22"/>
                <w:szCs w:val="22"/>
                <w:lang w:eastAsia="es-CR"/>
              </w:rPr>
            </w:pPr>
            <w:r w:rsidRPr="00126FA8">
              <w:rPr>
                <w:rFonts w:ascii="Book Antiqua" w:hAnsi="Book Antiqua"/>
                <w:sz w:val="22"/>
                <w:szCs w:val="22"/>
                <w:lang w:eastAsia="es-CR"/>
              </w:rPr>
              <w:t xml:space="preserve">2.           Sobre el tema; </w:t>
            </w:r>
          </w:p>
          <w:p w14:paraId="3002D7A4" w14:textId="77777777" w:rsidR="004A6752" w:rsidRPr="00126FA8" w:rsidRDefault="004A6752" w:rsidP="00165AA6">
            <w:pPr>
              <w:rPr>
                <w:rFonts w:ascii="Book Antiqua" w:hAnsi="Book Antiqua"/>
                <w:sz w:val="22"/>
                <w:szCs w:val="22"/>
                <w:lang w:eastAsia="es-CR"/>
              </w:rPr>
            </w:pPr>
          </w:p>
        </w:tc>
        <w:tc>
          <w:tcPr>
            <w:tcW w:w="3802" w:type="dxa"/>
            <w:vMerge w:val="restart"/>
            <w:tcBorders>
              <w:top w:val="nil"/>
              <w:left w:val="double" w:sz="6" w:space="0" w:color="4472C4"/>
              <w:bottom w:val="double" w:sz="6" w:space="0" w:color="4472C4"/>
              <w:right w:val="double" w:sz="6" w:space="0" w:color="4472C4"/>
            </w:tcBorders>
            <w:shd w:val="clear" w:color="auto" w:fill="auto"/>
            <w:vAlign w:val="center"/>
            <w:hideMark/>
          </w:tcPr>
          <w:p w14:paraId="78178425" w14:textId="77777777" w:rsidR="001341EC" w:rsidRPr="00F43A2A" w:rsidRDefault="001341EC" w:rsidP="00165AA6">
            <w:pPr>
              <w:jc w:val="both"/>
              <w:rPr>
                <w:rFonts w:ascii="Book Antiqua" w:hAnsi="Book Antiqua" w:cs="Arial"/>
                <w:sz w:val="22"/>
                <w:szCs w:val="22"/>
                <w:lang w:val="es-ES_tradnl"/>
              </w:rPr>
            </w:pPr>
            <w:r w:rsidRPr="00126FA8">
              <w:rPr>
                <w:rFonts w:ascii="Book Antiqua" w:hAnsi="Book Antiqua"/>
                <w:sz w:val="22"/>
                <w:szCs w:val="22"/>
              </w:rPr>
              <w:t> </w:t>
            </w:r>
            <w:r w:rsidRPr="00F43A2A">
              <w:rPr>
                <w:rFonts w:ascii="Book Antiqua" w:hAnsi="Book Antiqua" w:cs="Arial"/>
                <w:sz w:val="22"/>
                <w:szCs w:val="22"/>
                <w:lang w:val="es-ES_tradnl"/>
              </w:rPr>
              <w:t xml:space="preserve">Se toma nota de la observación realizada. </w:t>
            </w:r>
          </w:p>
          <w:p w14:paraId="393569EA" w14:textId="77777777" w:rsidR="001341EC" w:rsidRPr="001D1C4B" w:rsidRDefault="001341EC" w:rsidP="00165AA6">
            <w:pPr>
              <w:jc w:val="both"/>
              <w:rPr>
                <w:rFonts w:ascii="Book Antiqua" w:hAnsi="Book Antiqua" w:cs="Arial"/>
                <w:sz w:val="22"/>
                <w:szCs w:val="22"/>
                <w:lang w:val="es-ES_tradnl"/>
              </w:rPr>
            </w:pPr>
            <w:r w:rsidRPr="001D1C4B">
              <w:rPr>
                <w:rFonts w:ascii="Book Antiqua" w:hAnsi="Book Antiqua" w:cs="Arial"/>
                <w:sz w:val="22"/>
                <w:szCs w:val="22"/>
                <w:lang w:val="es-ES_tradnl"/>
              </w:rPr>
              <w:t>En el informe se menciona que solo siete personas únicamente mostraron interés en la capacitación indicada</w:t>
            </w:r>
            <w:r w:rsidR="00817898" w:rsidRPr="001D1C4B">
              <w:rPr>
                <w:rFonts w:ascii="Book Antiqua" w:hAnsi="Book Antiqua" w:cs="Arial"/>
                <w:sz w:val="22"/>
                <w:szCs w:val="22"/>
                <w:lang w:val="es-ES_tradnl"/>
              </w:rPr>
              <w:t>.</w:t>
            </w:r>
          </w:p>
          <w:p w14:paraId="512D1431" w14:textId="77777777" w:rsidR="001341EC" w:rsidRPr="001D1C4B" w:rsidRDefault="001341EC" w:rsidP="00165AA6">
            <w:pPr>
              <w:jc w:val="both"/>
              <w:rPr>
                <w:rFonts w:ascii="Book Antiqua" w:hAnsi="Book Antiqua" w:cs="Arial"/>
                <w:sz w:val="22"/>
                <w:szCs w:val="22"/>
                <w:lang w:val="es-ES_tradnl"/>
              </w:rPr>
            </w:pPr>
          </w:p>
          <w:p w14:paraId="496C8201" w14:textId="77777777" w:rsidR="001341EC" w:rsidRPr="00126FA8" w:rsidRDefault="001341EC" w:rsidP="004A6752">
            <w:pPr>
              <w:jc w:val="both"/>
              <w:rPr>
                <w:rFonts w:ascii="Book Antiqua" w:hAnsi="Book Antiqua"/>
                <w:sz w:val="22"/>
                <w:szCs w:val="22"/>
                <w:lang w:eastAsia="es-CR"/>
              </w:rPr>
            </w:pPr>
            <w:r w:rsidRPr="00126FA8">
              <w:rPr>
                <w:rFonts w:ascii="Book Antiqua" w:hAnsi="Book Antiqua" w:cs="Arial"/>
                <w:sz w:val="22"/>
                <w:szCs w:val="22"/>
                <w:lang w:val="es-ES_tradnl"/>
              </w:rPr>
              <w:t>Las observaciones no modifican el contenido de este oficio.</w:t>
            </w:r>
          </w:p>
        </w:tc>
      </w:tr>
      <w:tr w:rsidR="001341EC" w:rsidRPr="00126FA8" w14:paraId="408A6D65" w14:textId="77777777" w:rsidTr="00165AA6">
        <w:trPr>
          <w:trHeight w:val="20"/>
        </w:trPr>
        <w:tc>
          <w:tcPr>
            <w:tcW w:w="512" w:type="dxa"/>
            <w:tcBorders>
              <w:top w:val="nil"/>
              <w:left w:val="double" w:sz="6" w:space="0" w:color="4472C4"/>
              <w:bottom w:val="nil"/>
              <w:right w:val="double" w:sz="6" w:space="0" w:color="4472C4"/>
            </w:tcBorders>
            <w:vAlign w:val="center"/>
          </w:tcPr>
          <w:p w14:paraId="1B953E9A" w14:textId="77777777" w:rsidR="001341EC" w:rsidRPr="00126FA8" w:rsidRDefault="001341EC" w:rsidP="00165AA6">
            <w:pPr>
              <w:jc w:val="center"/>
              <w:rPr>
                <w:rFonts w:ascii="Book Antiqua" w:hAnsi="Book Antiqua"/>
                <w:i/>
                <w:iCs/>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478F5942" w14:textId="77777777" w:rsidR="001341EC" w:rsidRPr="00126FA8" w:rsidRDefault="001341EC" w:rsidP="00165AA6">
            <w:pPr>
              <w:jc w:val="both"/>
              <w:rPr>
                <w:rFonts w:ascii="Book Antiqua" w:hAnsi="Book Antiqua"/>
                <w:i/>
                <w:iCs/>
                <w:sz w:val="22"/>
                <w:szCs w:val="22"/>
                <w:lang w:eastAsia="es-CR"/>
              </w:rPr>
            </w:pPr>
            <w:r w:rsidRPr="00126FA8">
              <w:rPr>
                <w:rFonts w:ascii="Book Antiqua" w:hAnsi="Book Antiqua"/>
                <w:i/>
                <w:iCs/>
                <w:sz w:val="22"/>
                <w:szCs w:val="22"/>
                <w:lang w:eastAsia="es-CR"/>
              </w:rPr>
              <w:t>“….Capacitación en Conciliación a las personas juzgadoras agrarias:</w:t>
            </w:r>
          </w:p>
        </w:tc>
        <w:tc>
          <w:tcPr>
            <w:tcW w:w="3802" w:type="dxa"/>
            <w:vMerge/>
            <w:tcBorders>
              <w:top w:val="nil"/>
              <w:left w:val="double" w:sz="6" w:space="0" w:color="4472C4"/>
              <w:bottom w:val="double" w:sz="6" w:space="0" w:color="4472C4"/>
              <w:right w:val="double" w:sz="6" w:space="0" w:color="4472C4"/>
            </w:tcBorders>
            <w:vAlign w:val="center"/>
            <w:hideMark/>
          </w:tcPr>
          <w:p w14:paraId="61602579" w14:textId="77777777" w:rsidR="001341EC" w:rsidRPr="00126FA8" w:rsidRDefault="001341EC" w:rsidP="00165AA6">
            <w:pPr>
              <w:rPr>
                <w:rFonts w:ascii="Book Antiqua" w:hAnsi="Book Antiqua"/>
                <w:sz w:val="22"/>
                <w:szCs w:val="22"/>
                <w:lang w:eastAsia="es-CR"/>
              </w:rPr>
            </w:pPr>
          </w:p>
        </w:tc>
      </w:tr>
      <w:tr w:rsidR="001341EC" w:rsidRPr="00126FA8" w14:paraId="57A3F032" w14:textId="77777777" w:rsidTr="00165AA6">
        <w:trPr>
          <w:trHeight w:val="20"/>
        </w:trPr>
        <w:tc>
          <w:tcPr>
            <w:tcW w:w="512" w:type="dxa"/>
            <w:tcBorders>
              <w:top w:val="nil"/>
              <w:left w:val="double" w:sz="6" w:space="0" w:color="4472C4"/>
              <w:bottom w:val="nil"/>
              <w:right w:val="double" w:sz="6" w:space="0" w:color="4472C4"/>
            </w:tcBorders>
            <w:vAlign w:val="center"/>
          </w:tcPr>
          <w:p w14:paraId="19939EC0" w14:textId="77777777" w:rsidR="001341EC" w:rsidRPr="00126FA8" w:rsidRDefault="001341EC" w:rsidP="00165AA6">
            <w:pPr>
              <w:jc w:val="center"/>
              <w:rPr>
                <w:rFonts w:ascii="Book Antiqua" w:hAnsi="Book Antiqua"/>
                <w:i/>
                <w:iCs/>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4F3DE42C" w14:textId="77777777" w:rsidR="001341EC" w:rsidRPr="00126FA8" w:rsidRDefault="001341EC" w:rsidP="00165AA6">
            <w:pPr>
              <w:jc w:val="both"/>
              <w:rPr>
                <w:rFonts w:ascii="Book Antiqua" w:hAnsi="Book Antiqua"/>
                <w:i/>
                <w:iCs/>
                <w:sz w:val="22"/>
                <w:szCs w:val="22"/>
                <w:lang w:eastAsia="es-CR"/>
              </w:rPr>
            </w:pPr>
          </w:p>
        </w:tc>
        <w:tc>
          <w:tcPr>
            <w:tcW w:w="3802" w:type="dxa"/>
            <w:vMerge/>
            <w:tcBorders>
              <w:top w:val="nil"/>
              <w:left w:val="double" w:sz="6" w:space="0" w:color="4472C4"/>
              <w:bottom w:val="double" w:sz="6" w:space="0" w:color="4472C4"/>
              <w:right w:val="double" w:sz="6" w:space="0" w:color="4472C4"/>
            </w:tcBorders>
            <w:vAlign w:val="center"/>
            <w:hideMark/>
          </w:tcPr>
          <w:p w14:paraId="14673D36" w14:textId="77777777" w:rsidR="001341EC" w:rsidRPr="00126FA8" w:rsidRDefault="001341EC" w:rsidP="00165AA6">
            <w:pPr>
              <w:rPr>
                <w:rFonts w:ascii="Book Antiqua" w:hAnsi="Book Antiqua"/>
                <w:sz w:val="22"/>
                <w:szCs w:val="22"/>
                <w:lang w:eastAsia="es-CR"/>
              </w:rPr>
            </w:pPr>
          </w:p>
        </w:tc>
      </w:tr>
      <w:tr w:rsidR="001341EC" w:rsidRPr="00126FA8" w14:paraId="1AB87F1B" w14:textId="77777777" w:rsidTr="00165AA6">
        <w:trPr>
          <w:trHeight w:val="20"/>
        </w:trPr>
        <w:tc>
          <w:tcPr>
            <w:tcW w:w="512" w:type="dxa"/>
            <w:tcBorders>
              <w:top w:val="nil"/>
              <w:left w:val="double" w:sz="6" w:space="0" w:color="4472C4"/>
              <w:bottom w:val="nil"/>
              <w:right w:val="double" w:sz="6" w:space="0" w:color="4472C4"/>
            </w:tcBorders>
            <w:vAlign w:val="center"/>
          </w:tcPr>
          <w:p w14:paraId="4742951E" w14:textId="77777777" w:rsidR="001341EC" w:rsidRPr="00126FA8" w:rsidRDefault="001341EC" w:rsidP="00165AA6">
            <w:pPr>
              <w:jc w:val="center"/>
              <w:rPr>
                <w:rFonts w:ascii="Book Antiqua" w:hAnsi="Book Antiqua" w:cs="Courier New"/>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605F6967" w14:textId="77777777" w:rsidR="001341EC" w:rsidRPr="00126FA8" w:rsidRDefault="001341EC" w:rsidP="00165AA6">
            <w:pPr>
              <w:jc w:val="both"/>
              <w:rPr>
                <w:rFonts w:ascii="Book Antiqua" w:hAnsi="Book Antiqua" w:cs="Courier New"/>
                <w:sz w:val="22"/>
                <w:szCs w:val="22"/>
                <w:lang w:eastAsia="es-CR"/>
              </w:rPr>
            </w:pPr>
            <w:r w:rsidRPr="00126FA8">
              <w:rPr>
                <w:rFonts w:ascii="Book Antiqua" w:hAnsi="Book Antiqua" w:cs="Courier New"/>
                <w:sz w:val="22"/>
                <w:szCs w:val="22"/>
                <w:lang w:eastAsia="es-CR"/>
              </w:rPr>
              <w:t>o</w:t>
            </w:r>
            <w:r w:rsidRPr="00126FA8">
              <w:rPr>
                <w:rFonts w:ascii="Book Antiqua" w:hAnsi="Book Antiqua"/>
                <w:sz w:val="22"/>
                <w:szCs w:val="22"/>
                <w:lang w:eastAsia="es-CR"/>
              </w:rPr>
              <w:t xml:space="preserve">   </w:t>
            </w:r>
            <w:r w:rsidRPr="00126FA8">
              <w:rPr>
                <w:rFonts w:ascii="Book Antiqua" w:hAnsi="Book Antiqua" w:cs="Courier New"/>
                <w:i/>
                <w:iCs/>
                <w:sz w:val="22"/>
                <w:szCs w:val="22"/>
                <w:lang w:eastAsia="es-CR"/>
              </w:rPr>
              <w:t>Se coordinó con la Escuela Judicial la inclusión de 20 cupos para personas juzgadoras agrarias y 5 espacios para personas defensoras públicas Agrarias en el Subprograma Resolución Alterna de Conflictos del Programa de Especialización, el cual se ejecutará en el 2019. A la fecha, existen siete personas interesadas …</w:t>
            </w:r>
          </w:p>
        </w:tc>
        <w:tc>
          <w:tcPr>
            <w:tcW w:w="3802" w:type="dxa"/>
            <w:vMerge/>
            <w:tcBorders>
              <w:top w:val="nil"/>
              <w:left w:val="double" w:sz="6" w:space="0" w:color="4472C4"/>
              <w:bottom w:val="double" w:sz="6" w:space="0" w:color="4472C4"/>
              <w:right w:val="double" w:sz="6" w:space="0" w:color="4472C4"/>
            </w:tcBorders>
            <w:vAlign w:val="center"/>
            <w:hideMark/>
          </w:tcPr>
          <w:p w14:paraId="475B7586" w14:textId="77777777" w:rsidR="001341EC" w:rsidRPr="00126FA8" w:rsidRDefault="001341EC" w:rsidP="00165AA6">
            <w:pPr>
              <w:rPr>
                <w:rFonts w:ascii="Book Antiqua" w:hAnsi="Book Antiqua"/>
                <w:sz w:val="22"/>
                <w:szCs w:val="22"/>
                <w:lang w:eastAsia="es-CR"/>
              </w:rPr>
            </w:pPr>
          </w:p>
        </w:tc>
      </w:tr>
      <w:tr w:rsidR="001341EC" w:rsidRPr="00126FA8" w14:paraId="3394DA08" w14:textId="77777777" w:rsidTr="00165AA6">
        <w:trPr>
          <w:trHeight w:val="20"/>
        </w:trPr>
        <w:tc>
          <w:tcPr>
            <w:tcW w:w="512" w:type="dxa"/>
            <w:tcBorders>
              <w:top w:val="nil"/>
              <w:left w:val="double" w:sz="6" w:space="0" w:color="4472C4"/>
              <w:bottom w:val="nil"/>
              <w:right w:val="double" w:sz="6" w:space="0" w:color="4472C4"/>
            </w:tcBorders>
            <w:vAlign w:val="center"/>
          </w:tcPr>
          <w:p w14:paraId="32F0F817" w14:textId="77777777" w:rsidR="001341EC" w:rsidRPr="00126FA8" w:rsidRDefault="001341EC" w:rsidP="00165AA6">
            <w:pPr>
              <w:jc w:val="center"/>
              <w:rPr>
                <w:rFonts w:ascii="Book Antiqua" w:hAnsi="Book Antiqua" w:cs="Calibri Light"/>
                <w:i/>
                <w:iCs/>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tcPr>
          <w:p w14:paraId="616A568E" w14:textId="77777777" w:rsidR="001341EC" w:rsidRPr="00126FA8" w:rsidRDefault="001341EC" w:rsidP="00165AA6">
            <w:pPr>
              <w:jc w:val="both"/>
              <w:rPr>
                <w:rFonts w:ascii="Book Antiqua" w:hAnsi="Book Antiqua"/>
                <w:i/>
                <w:iCs/>
                <w:sz w:val="22"/>
                <w:szCs w:val="22"/>
                <w:lang w:eastAsia="es-CR"/>
              </w:rPr>
            </w:pPr>
          </w:p>
        </w:tc>
        <w:tc>
          <w:tcPr>
            <w:tcW w:w="3802" w:type="dxa"/>
            <w:vMerge/>
            <w:tcBorders>
              <w:top w:val="nil"/>
              <w:left w:val="double" w:sz="6" w:space="0" w:color="4472C4"/>
              <w:bottom w:val="double" w:sz="6" w:space="0" w:color="4472C4"/>
              <w:right w:val="double" w:sz="6" w:space="0" w:color="4472C4"/>
            </w:tcBorders>
            <w:vAlign w:val="center"/>
            <w:hideMark/>
          </w:tcPr>
          <w:p w14:paraId="47877B60" w14:textId="77777777" w:rsidR="001341EC" w:rsidRPr="00126FA8" w:rsidRDefault="001341EC" w:rsidP="00165AA6">
            <w:pPr>
              <w:rPr>
                <w:rFonts w:ascii="Book Antiqua" w:hAnsi="Book Antiqua"/>
                <w:sz w:val="22"/>
                <w:szCs w:val="22"/>
                <w:lang w:eastAsia="es-CR"/>
              </w:rPr>
            </w:pPr>
          </w:p>
        </w:tc>
      </w:tr>
      <w:tr w:rsidR="001341EC" w:rsidRPr="00126FA8" w14:paraId="0B20FFDD" w14:textId="77777777" w:rsidTr="00165AA6">
        <w:trPr>
          <w:trHeight w:val="20"/>
        </w:trPr>
        <w:tc>
          <w:tcPr>
            <w:tcW w:w="512" w:type="dxa"/>
            <w:tcBorders>
              <w:top w:val="nil"/>
              <w:left w:val="double" w:sz="6" w:space="0" w:color="4472C4"/>
              <w:bottom w:val="nil"/>
              <w:right w:val="double" w:sz="6" w:space="0" w:color="4472C4"/>
            </w:tcBorders>
            <w:vAlign w:val="center"/>
          </w:tcPr>
          <w:p w14:paraId="707D3BAC" w14:textId="77777777" w:rsidR="001341EC" w:rsidRPr="00126FA8" w:rsidRDefault="001341EC" w:rsidP="00165AA6">
            <w:pPr>
              <w:jc w:val="center"/>
              <w:rPr>
                <w:rFonts w:ascii="Book Antiqua" w:hAnsi="Book Antiqua" w:cs="Calibri Light"/>
                <w:i/>
                <w:iCs/>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tcPr>
          <w:p w14:paraId="0F671C5D" w14:textId="77777777" w:rsidR="001341EC" w:rsidRPr="00126FA8" w:rsidRDefault="001341EC" w:rsidP="00165AA6">
            <w:pPr>
              <w:jc w:val="both"/>
              <w:rPr>
                <w:rFonts w:ascii="Book Antiqua" w:hAnsi="Book Antiqua" w:cs="Calibri Light"/>
                <w:i/>
                <w:iCs/>
                <w:sz w:val="22"/>
                <w:szCs w:val="22"/>
                <w:lang w:eastAsia="es-CR"/>
              </w:rPr>
            </w:pPr>
            <w:r w:rsidRPr="00126FA8">
              <w:rPr>
                <w:rFonts w:ascii="Book Antiqua" w:hAnsi="Book Antiqua" w:cs="Calibri Light"/>
                <w:i/>
                <w:iCs/>
                <w:sz w:val="22"/>
                <w:szCs w:val="22"/>
                <w:lang w:eastAsia="es-CR"/>
              </w:rPr>
              <w:t xml:space="preserve">…Sin embargo, en correo remitido por el </w:t>
            </w:r>
            <w:proofErr w:type="spellStart"/>
            <w:r w:rsidRPr="00126FA8">
              <w:rPr>
                <w:rFonts w:ascii="Book Antiqua" w:hAnsi="Book Antiqua" w:cs="Calibri Light"/>
                <w:i/>
                <w:iCs/>
                <w:sz w:val="22"/>
                <w:szCs w:val="22"/>
                <w:lang w:eastAsia="es-CR"/>
              </w:rPr>
              <w:t>M.Sc</w:t>
            </w:r>
            <w:proofErr w:type="spellEnd"/>
            <w:r w:rsidRPr="00126FA8">
              <w:rPr>
                <w:rFonts w:ascii="Book Antiqua" w:hAnsi="Book Antiqua" w:cs="Calibri Light"/>
                <w:i/>
                <w:iCs/>
                <w:sz w:val="22"/>
                <w:szCs w:val="22"/>
                <w:lang w:eastAsia="es-CR"/>
              </w:rPr>
              <w:t xml:space="preserve">. Gustavo Céspedes, Abogado Gestor de Capacitación de la Escuela Judicial, el 25 de marzo del 2019, indica los siguientes: </w:t>
            </w:r>
          </w:p>
          <w:p w14:paraId="01B7DE67" w14:textId="77777777" w:rsidR="001341EC" w:rsidRDefault="001341EC" w:rsidP="00165AA6">
            <w:pPr>
              <w:jc w:val="both"/>
              <w:rPr>
                <w:rFonts w:ascii="Book Antiqua" w:hAnsi="Book Antiqua" w:cs="Calibri Light"/>
                <w:i/>
                <w:iCs/>
                <w:sz w:val="22"/>
                <w:szCs w:val="22"/>
                <w:lang w:eastAsia="es-CR"/>
              </w:rPr>
            </w:pPr>
            <w:r w:rsidRPr="00126FA8">
              <w:rPr>
                <w:rFonts w:ascii="Book Antiqua" w:hAnsi="Book Antiqua" w:cs="Calibri Light"/>
                <w:i/>
                <w:iCs/>
                <w:sz w:val="22"/>
                <w:szCs w:val="22"/>
                <w:lang w:eastAsia="es-CR"/>
              </w:rPr>
              <w:t xml:space="preserve">“…analizando el interés mostrado por las personas juzgadoras de los despachos destinatarios, el mismo resulta exiguo, motivo por el cuál con instrucciones de la Dirección de la Escuela Judicial, no se considera oportuno, en esta oportunidad, ejecutar las capacitaciones aludidas…”(ver anexo 19 Sobre cursos de CONCILIACIÓN EN MATERIA AGRARIA)…”;  </w:t>
            </w:r>
          </w:p>
          <w:p w14:paraId="05DBB4E4" w14:textId="77777777" w:rsidR="004A6752" w:rsidRPr="00126FA8" w:rsidRDefault="004A6752" w:rsidP="00165AA6">
            <w:pPr>
              <w:jc w:val="both"/>
              <w:rPr>
                <w:rFonts w:ascii="Book Antiqua" w:hAnsi="Book Antiqua"/>
                <w:i/>
                <w:iCs/>
                <w:sz w:val="22"/>
                <w:szCs w:val="22"/>
                <w:lang w:eastAsia="es-CR"/>
              </w:rPr>
            </w:pPr>
          </w:p>
        </w:tc>
        <w:tc>
          <w:tcPr>
            <w:tcW w:w="3802" w:type="dxa"/>
            <w:vMerge/>
            <w:tcBorders>
              <w:top w:val="nil"/>
              <w:left w:val="double" w:sz="6" w:space="0" w:color="4472C4"/>
              <w:bottom w:val="double" w:sz="6" w:space="0" w:color="4472C4"/>
              <w:right w:val="double" w:sz="6" w:space="0" w:color="4472C4"/>
            </w:tcBorders>
            <w:vAlign w:val="center"/>
            <w:hideMark/>
          </w:tcPr>
          <w:p w14:paraId="58B74D65" w14:textId="77777777" w:rsidR="001341EC" w:rsidRPr="00126FA8" w:rsidRDefault="001341EC" w:rsidP="00165AA6">
            <w:pPr>
              <w:rPr>
                <w:rFonts w:ascii="Book Antiqua" w:hAnsi="Book Antiqua"/>
                <w:sz w:val="22"/>
                <w:szCs w:val="22"/>
                <w:lang w:eastAsia="es-CR"/>
              </w:rPr>
            </w:pPr>
          </w:p>
        </w:tc>
      </w:tr>
      <w:tr w:rsidR="001341EC" w:rsidRPr="00126FA8" w14:paraId="6EA9DAA7" w14:textId="77777777" w:rsidTr="00165AA6">
        <w:trPr>
          <w:trHeight w:val="20"/>
        </w:trPr>
        <w:tc>
          <w:tcPr>
            <w:tcW w:w="512" w:type="dxa"/>
            <w:tcBorders>
              <w:top w:val="nil"/>
              <w:left w:val="double" w:sz="6" w:space="0" w:color="4472C4"/>
              <w:bottom w:val="nil"/>
              <w:right w:val="double" w:sz="6" w:space="0" w:color="4472C4"/>
            </w:tcBorders>
            <w:vAlign w:val="center"/>
          </w:tcPr>
          <w:p w14:paraId="0C048639" w14:textId="77777777" w:rsidR="001341EC" w:rsidRPr="00126FA8" w:rsidRDefault="001341EC" w:rsidP="00165AA6">
            <w:pPr>
              <w:jc w:val="center"/>
              <w:rPr>
                <w:rFonts w:ascii="Book Antiqua" w:hAnsi="Book Antiqua" w:cs="Calibri Light"/>
                <w:i/>
                <w:iCs/>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tcPr>
          <w:p w14:paraId="249DF061" w14:textId="77777777" w:rsidR="001341EC" w:rsidRPr="00126FA8" w:rsidRDefault="001341EC" w:rsidP="00165AA6">
            <w:pPr>
              <w:jc w:val="both"/>
              <w:rPr>
                <w:rFonts w:ascii="Book Antiqua" w:hAnsi="Book Antiqua"/>
                <w:i/>
                <w:iCs/>
                <w:sz w:val="22"/>
                <w:szCs w:val="22"/>
                <w:lang w:eastAsia="es-CR"/>
              </w:rPr>
            </w:pPr>
            <w:r w:rsidRPr="00126FA8">
              <w:rPr>
                <w:rFonts w:ascii="Book Antiqua" w:hAnsi="Book Antiqua"/>
                <w:sz w:val="22"/>
                <w:szCs w:val="22"/>
                <w:lang w:eastAsia="es-CR"/>
              </w:rPr>
              <w:t xml:space="preserve">Doña Kattia Escalante en su calidad de Subdirectora </w:t>
            </w:r>
            <w:proofErr w:type="spellStart"/>
            <w:r w:rsidRPr="00126FA8">
              <w:rPr>
                <w:rFonts w:ascii="Book Antiqua" w:hAnsi="Book Antiqua"/>
                <w:sz w:val="22"/>
                <w:szCs w:val="22"/>
                <w:lang w:eastAsia="es-CR"/>
              </w:rPr>
              <w:t>a.i.</w:t>
            </w:r>
            <w:proofErr w:type="spellEnd"/>
            <w:r w:rsidRPr="00126FA8">
              <w:rPr>
                <w:rFonts w:ascii="Book Antiqua" w:hAnsi="Book Antiqua"/>
                <w:sz w:val="22"/>
                <w:szCs w:val="22"/>
                <w:lang w:eastAsia="es-CR"/>
              </w:rPr>
              <w:t xml:space="preserve">, ofreció la colaboración de la Escuela Judicial y la suya propia como facilitadora, para desarrollar un proceso de formación en temas de Conciliación, dirigido a personas juzgadoras agrarias y de manera adicional, otorgar espacio a personas defensoras agrarias. Ante consulta de la Comisión Agraria, solamente 2 personas juzgadoras y 5 personas defensoras manifestaron interés, por lo </w:t>
            </w:r>
            <w:proofErr w:type="spellStart"/>
            <w:r w:rsidRPr="00126FA8">
              <w:rPr>
                <w:rFonts w:ascii="Book Antiqua" w:hAnsi="Book Antiqua"/>
                <w:sz w:val="22"/>
                <w:szCs w:val="22"/>
                <w:lang w:eastAsia="es-CR"/>
              </w:rPr>
              <w:t>cuál</w:t>
            </w:r>
            <w:proofErr w:type="spellEnd"/>
            <w:r w:rsidRPr="00126FA8">
              <w:rPr>
                <w:rFonts w:ascii="Book Antiqua" w:hAnsi="Book Antiqua"/>
                <w:sz w:val="22"/>
                <w:szCs w:val="22"/>
                <w:lang w:eastAsia="es-CR"/>
              </w:rPr>
              <w:t xml:space="preserve">, giré </w:t>
            </w:r>
            <w:r w:rsidRPr="00126FA8">
              <w:rPr>
                <w:rFonts w:ascii="Book Antiqua" w:hAnsi="Book Antiqua"/>
                <w:sz w:val="22"/>
                <w:szCs w:val="22"/>
                <w:lang w:eastAsia="es-CR"/>
              </w:rPr>
              <w:lastRenderedPageBreak/>
              <w:t>instrucciones a don Gustavo Céspedes y a doña Kattia, de no ejecutar el mismo.</w:t>
            </w:r>
          </w:p>
        </w:tc>
        <w:tc>
          <w:tcPr>
            <w:tcW w:w="3802" w:type="dxa"/>
            <w:vMerge/>
            <w:tcBorders>
              <w:top w:val="nil"/>
              <w:left w:val="double" w:sz="6" w:space="0" w:color="4472C4"/>
              <w:bottom w:val="double" w:sz="6" w:space="0" w:color="4472C4"/>
              <w:right w:val="double" w:sz="6" w:space="0" w:color="4472C4"/>
            </w:tcBorders>
            <w:vAlign w:val="center"/>
            <w:hideMark/>
          </w:tcPr>
          <w:p w14:paraId="5A1B9181" w14:textId="77777777" w:rsidR="001341EC" w:rsidRPr="00126FA8" w:rsidRDefault="001341EC" w:rsidP="00165AA6">
            <w:pPr>
              <w:rPr>
                <w:rFonts w:ascii="Book Antiqua" w:hAnsi="Book Antiqua"/>
                <w:sz w:val="22"/>
                <w:szCs w:val="22"/>
                <w:lang w:eastAsia="es-CR"/>
              </w:rPr>
            </w:pPr>
          </w:p>
        </w:tc>
      </w:tr>
      <w:tr w:rsidR="001341EC" w:rsidRPr="00126FA8" w14:paraId="241A517D" w14:textId="77777777" w:rsidTr="00165AA6">
        <w:trPr>
          <w:trHeight w:val="20"/>
        </w:trPr>
        <w:tc>
          <w:tcPr>
            <w:tcW w:w="512" w:type="dxa"/>
            <w:tcBorders>
              <w:top w:val="nil"/>
              <w:left w:val="double" w:sz="6" w:space="0" w:color="4472C4"/>
              <w:bottom w:val="nil"/>
              <w:right w:val="double" w:sz="6" w:space="0" w:color="4472C4"/>
            </w:tcBorders>
            <w:vAlign w:val="center"/>
          </w:tcPr>
          <w:p w14:paraId="05361BE0" w14:textId="77777777" w:rsidR="001341EC" w:rsidRPr="00126FA8" w:rsidRDefault="001341EC" w:rsidP="00165AA6">
            <w:pPr>
              <w:jc w:val="center"/>
              <w:rPr>
                <w:rFonts w:ascii="Book Antiqua" w:hAnsi="Book Antiqua" w:cs="Calibri Light"/>
                <w:i/>
                <w:iCs/>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tcPr>
          <w:p w14:paraId="07D826BD" w14:textId="77777777" w:rsidR="001341EC" w:rsidRPr="00126FA8" w:rsidRDefault="001341EC" w:rsidP="00165AA6">
            <w:pPr>
              <w:jc w:val="both"/>
              <w:rPr>
                <w:rFonts w:ascii="Book Antiqua" w:hAnsi="Book Antiqua"/>
                <w:i/>
                <w:iCs/>
                <w:sz w:val="22"/>
                <w:szCs w:val="22"/>
                <w:lang w:eastAsia="es-CR"/>
              </w:rPr>
            </w:pPr>
          </w:p>
        </w:tc>
        <w:tc>
          <w:tcPr>
            <w:tcW w:w="3802" w:type="dxa"/>
            <w:vMerge/>
            <w:tcBorders>
              <w:top w:val="nil"/>
              <w:left w:val="double" w:sz="6" w:space="0" w:color="4472C4"/>
              <w:bottom w:val="double" w:sz="6" w:space="0" w:color="4472C4"/>
              <w:right w:val="double" w:sz="6" w:space="0" w:color="4472C4"/>
            </w:tcBorders>
            <w:vAlign w:val="center"/>
            <w:hideMark/>
          </w:tcPr>
          <w:p w14:paraId="0A52C348" w14:textId="77777777" w:rsidR="001341EC" w:rsidRPr="00126FA8" w:rsidRDefault="001341EC" w:rsidP="00165AA6">
            <w:pPr>
              <w:rPr>
                <w:rFonts w:ascii="Book Antiqua" w:hAnsi="Book Antiqua"/>
                <w:sz w:val="22"/>
                <w:szCs w:val="22"/>
                <w:lang w:eastAsia="es-CR"/>
              </w:rPr>
            </w:pPr>
          </w:p>
        </w:tc>
      </w:tr>
      <w:tr w:rsidR="001341EC" w:rsidRPr="00126FA8" w14:paraId="30BD3F76" w14:textId="77777777" w:rsidTr="00F44362">
        <w:trPr>
          <w:trHeight w:val="23"/>
        </w:trPr>
        <w:tc>
          <w:tcPr>
            <w:tcW w:w="512" w:type="dxa"/>
            <w:tcBorders>
              <w:top w:val="nil"/>
              <w:left w:val="double" w:sz="6" w:space="0" w:color="4472C4"/>
              <w:bottom w:val="double" w:sz="6" w:space="0" w:color="4472C4"/>
              <w:right w:val="double" w:sz="6" w:space="0" w:color="4472C4"/>
            </w:tcBorders>
            <w:vAlign w:val="center"/>
          </w:tcPr>
          <w:p w14:paraId="20B4E1F5" w14:textId="77777777" w:rsidR="001341EC" w:rsidRPr="00126FA8"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double" w:sz="6" w:space="0" w:color="4472C4"/>
              <w:right w:val="double" w:sz="6" w:space="0" w:color="4472C4"/>
            </w:tcBorders>
            <w:shd w:val="clear" w:color="auto" w:fill="auto"/>
            <w:vAlign w:val="center"/>
          </w:tcPr>
          <w:p w14:paraId="564D3AA9" w14:textId="77777777" w:rsidR="001341EC" w:rsidRPr="00126FA8" w:rsidRDefault="001341EC" w:rsidP="00165AA6">
            <w:pPr>
              <w:jc w:val="both"/>
              <w:rPr>
                <w:rFonts w:ascii="Book Antiqua" w:hAnsi="Book Antiqua"/>
                <w:sz w:val="22"/>
                <w:szCs w:val="22"/>
                <w:lang w:eastAsia="es-CR"/>
              </w:rPr>
            </w:pPr>
          </w:p>
        </w:tc>
        <w:tc>
          <w:tcPr>
            <w:tcW w:w="3802" w:type="dxa"/>
            <w:vMerge/>
            <w:tcBorders>
              <w:top w:val="nil"/>
              <w:left w:val="double" w:sz="6" w:space="0" w:color="4472C4"/>
              <w:bottom w:val="double" w:sz="6" w:space="0" w:color="4472C4"/>
              <w:right w:val="double" w:sz="6" w:space="0" w:color="4472C4"/>
            </w:tcBorders>
            <w:vAlign w:val="center"/>
            <w:hideMark/>
          </w:tcPr>
          <w:p w14:paraId="6BD04A3F" w14:textId="77777777" w:rsidR="001341EC" w:rsidRPr="00126FA8" w:rsidRDefault="001341EC" w:rsidP="00165AA6">
            <w:pPr>
              <w:rPr>
                <w:rFonts w:ascii="Book Antiqua" w:hAnsi="Book Antiqua"/>
                <w:sz w:val="22"/>
                <w:szCs w:val="22"/>
                <w:lang w:eastAsia="es-CR"/>
              </w:rPr>
            </w:pPr>
          </w:p>
        </w:tc>
      </w:tr>
      <w:tr w:rsidR="001341EC" w:rsidRPr="00126FA8" w14:paraId="7D85ECC3" w14:textId="77777777" w:rsidTr="00165AA6">
        <w:trPr>
          <w:trHeight w:val="20"/>
        </w:trPr>
        <w:tc>
          <w:tcPr>
            <w:tcW w:w="512" w:type="dxa"/>
            <w:tcBorders>
              <w:top w:val="double" w:sz="6" w:space="0" w:color="4472C4"/>
              <w:left w:val="double" w:sz="6" w:space="0" w:color="4472C4"/>
              <w:bottom w:val="nil"/>
              <w:right w:val="double" w:sz="6" w:space="0" w:color="4472C4"/>
            </w:tcBorders>
            <w:vAlign w:val="center"/>
          </w:tcPr>
          <w:p w14:paraId="67384CFC" w14:textId="77777777" w:rsidR="001341EC" w:rsidRPr="00126FA8" w:rsidRDefault="001341EC" w:rsidP="00165AA6">
            <w:pPr>
              <w:jc w:val="center"/>
              <w:rPr>
                <w:rFonts w:ascii="Book Antiqua" w:hAnsi="Book Antiqua"/>
                <w:sz w:val="22"/>
                <w:szCs w:val="22"/>
                <w:lang w:eastAsia="es-CR"/>
              </w:rPr>
            </w:pPr>
          </w:p>
        </w:tc>
        <w:tc>
          <w:tcPr>
            <w:tcW w:w="4664" w:type="dxa"/>
            <w:tcBorders>
              <w:top w:val="double" w:sz="6" w:space="0" w:color="4472C4"/>
              <w:left w:val="double" w:sz="6" w:space="0" w:color="4472C4"/>
              <w:bottom w:val="nil"/>
              <w:right w:val="double" w:sz="6" w:space="0" w:color="4472C4"/>
            </w:tcBorders>
            <w:shd w:val="clear" w:color="auto" w:fill="auto"/>
            <w:vAlign w:val="center"/>
            <w:hideMark/>
          </w:tcPr>
          <w:p w14:paraId="75EE4572"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3. Sobre los apartados </w:t>
            </w:r>
            <w:r w:rsidRPr="00126FA8">
              <w:rPr>
                <w:rFonts w:ascii="Book Antiqua" w:hAnsi="Book Antiqua"/>
                <w:i/>
                <w:iCs/>
                <w:sz w:val="22"/>
                <w:szCs w:val="22"/>
                <w:lang w:eastAsia="es-CR"/>
              </w:rPr>
              <w:t>3.14. Requerimiento de Capacitación, 3.15. Acciones Propuestas, 3.16. Recurso humano y presupuesto requerido para capacitación y 3.17. Resumen de propuesta de capacitación</w:t>
            </w:r>
            <w:r w:rsidRPr="00126FA8">
              <w:rPr>
                <w:rFonts w:ascii="Book Antiqua" w:hAnsi="Book Antiqua"/>
                <w:sz w:val="22"/>
                <w:szCs w:val="22"/>
                <w:lang w:eastAsia="es-CR"/>
              </w:rPr>
              <w:t xml:space="preserve">, resulta de sumo interés mantener la perspectiva de la capacitación que se realizó en el mes de diciembre. Misma que surgió como una oportunidad no planificada ni prevista con la debida antelación, pero que por el interés institucional y de la manera más profesional se realizó. Para ello, consideró oportuno tener en cuenta el correo electrónico del </w:t>
            </w:r>
            <w:proofErr w:type="spellStart"/>
            <w:r w:rsidRPr="00126FA8">
              <w:rPr>
                <w:rFonts w:ascii="Book Antiqua" w:hAnsi="Book Antiqua"/>
                <w:sz w:val="22"/>
                <w:szCs w:val="22"/>
                <w:lang w:eastAsia="es-CR"/>
              </w:rPr>
              <w:t>M.Sc</w:t>
            </w:r>
            <w:proofErr w:type="spellEnd"/>
            <w:r w:rsidRPr="00126FA8">
              <w:rPr>
                <w:rFonts w:ascii="Book Antiqua" w:hAnsi="Book Antiqua"/>
                <w:sz w:val="22"/>
                <w:szCs w:val="22"/>
                <w:lang w:eastAsia="es-CR"/>
              </w:rPr>
              <w:t>. Gustavo Céspedes Chinchilla, Gestor de Capacitación de esta Escuela y a quien le encomendé la coordinación de estas acciones.</w:t>
            </w:r>
          </w:p>
        </w:tc>
        <w:tc>
          <w:tcPr>
            <w:tcW w:w="3802" w:type="dxa"/>
            <w:vMerge w:val="restart"/>
            <w:tcBorders>
              <w:top w:val="nil"/>
              <w:left w:val="double" w:sz="6" w:space="0" w:color="4472C4"/>
              <w:right w:val="double" w:sz="6" w:space="0" w:color="4472C4"/>
            </w:tcBorders>
            <w:shd w:val="clear" w:color="auto" w:fill="auto"/>
            <w:vAlign w:val="center"/>
            <w:hideMark/>
          </w:tcPr>
          <w:p w14:paraId="50EB27D1"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r w:rsidRPr="00F43A2A">
              <w:rPr>
                <w:rFonts w:ascii="Book Antiqua" w:hAnsi="Book Antiqua" w:cs="Arial"/>
                <w:sz w:val="22"/>
                <w:szCs w:val="22"/>
                <w:lang w:val="es-ES_tradnl"/>
              </w:rPr>
              <w:t>Referente a la propuesta de capacitación para el 2020, doña Damaris Vargas menciona en el correo electrónico remitidos el 08/03/2019</w:t>
            </w:r>
            <w:r w:rsidRPr="00126FA8">
              <w:rPr>
                <w:rFonts w:ascii="Book Antiqua" w:hAnsi="Book Antiqua"/>
                <w:sz w:val="22"/>
                <w:szCs w:val="22"/>
                <w:lang w:eastAsia="es-CR"/>
              </w:rPr>
              <w:t xml:space="preserve"> </w:t>
            </w:r>
            <w:r w:rsidRPr="00126FA8">
              <w:rPr>
                <w:rFonts w:ascii="Book Antiqua" w:hAnsi="Book Antiqua"/>
                <w:b/>
                <w:i/>
                <w:sz w:val="22"/>
                <w:szCs w:val="22"/>
                <w:lang w:eastAsia="es-CR"/>
              </w:rPr>
              <w:t xml:space="preserve">(ver anexo 22 </w:t>
            </w:r>
            <w:r w:rsidRPr="00F43A2A">
              <w:rPr>
                <w:rFonts w:ascii="Book Antiqua" w:hAnsi="Book Antiqua"/>
                <w:b/>
                <w:i/>
                <w:sz w:val="22"/>
                <w:szCs w:val="22"/>
              </w:rPr>
              <w:t>Correo consulta sobre formulación presupuestaria 2020 asociada a capacitación del CPA)</w:t>
            </w:r>
            <w:r w:rsidRPr="001D1C4B">
              <w:rPr>
                <w:rFonts w:ascii="Book Antiqua" w:hAnsi="Book Antiqua"/>
                <w:sz w:val="22"/>
                <w:szCs w:val="22"/>
              </w:rPr>
              <w:t xml:space="preserve"> </w:t>
            </w:r>
            <w:r w:rsidRPr="00126FA8">
              <w:rPr>
                <w:rFonts w:ascii="Book Antiqua" w:hAnsi="Book Antiqua"/>
                <w:sz w:val="22"/>
                <w:szCs w:val="22"/>
                <w:lang w:eastAsia="es-CR"/>
              </w:rPr>
              <w:t xml:space="preserve"> lo siguiente: </w:t>
            </w:r>
          </w:p>
          <w:p w14:paraId="68634B13" w14:textId="77777777" w:rsidR="001341EC" w:rsidRPr="00126FA8" w:rsidRDefault="001341EC" w:rsidP="00165AA6">
            <w:pPr>
              <w:jc w:val="both"/>
              <w:rPr>
                <w:rFonts w:ascii="Book Antiqua" w:hAnsi="Book Antiqua"/>
                <w:sz w:val="22"/>
                <w:szCs w:val="22"/>
                <w:lang w:eastAsia="es-CR"/>
              </w:rPr>
            </w:pPr>
          </w:p>
          <w:p w14:paraId="4444030D" w14:textId="77777777" w:rsidR="001341EC" w:rsidRPr="00126FA8" w:rsidRDefault="001341EC" w:rsidP="00165AA6">
            <w:pPr>
              <w:ind w:left="70" w:right="55"/>
              <w:jc w:val="both"/>
              <w:rPr>
                <w:rFonts w:ascii="Book Antiqua" w:hAnsi="Book Antiqua"/>
                <w:i/>
                <w:sz w:val="22"/>
                <w:szCs w:val="22"/>
                <w:lang w:eastAsia="es-CR"/>
              </w:rPr>
            </w:pPr>
            <w:r w:rsidRPr="00126FA8">
              <w:rPr>
                <w:rFonts w:ascii="Book Antiqua" w:hAnsi="Book Antiqua"/>
                <w:i/>
                <w:sz w:val="22"/>
                <w:szCs w:val="22"/>
                <w:lang w:eastAsia="es-CR"/>
              </w:rPr>
              <w:t xml:space="preserve">“… se realizó una sesión de trabajo por parte la señora Kattia Escalante Barboza, Subdirectora </w:t>
            </w:r>
            <w:proofErr w:type="spellStart"/>
            <w:r w:rsidRPr="00126FA8">
              <w:rPr>
                <w:rFonts w:ascii="Book Antiqua" w:hAnsi="Book Antiqua"/>
                <w:i/>
                <w:sz w:val="22"/>
                <w:szCs w:val="22"/>
                <w:lang w:eastAsia="es-CR"/>
              </w:rPr>
              <w:t>a.i.</w:t>
            </w:r>
            <w:proofErr w:type="spellEnd"/>
            <w:r w:rsidRPr="00126FA8">
              <w:rPr>
                <w:rFonts w:ascii="Book Antiqua" w:hAnsi="Book Antiqua"/>
                <w:i/>
                <w:sz w:val="22"/>
                <w:szCs w:val="22"/>
                <w:lang w:eastAsia="es-CR"/>
              </w:rPr>
              <w:t xml:space="preserve"> de la Escuela Judicial y el señor Gustavo Céspedes Chinchilla, Gestor de Capacitación Agraria, informaron su disposición de mantener la propuesta que socializó don Gustavo en comunicado electrónico del 27 de febrero de 2019, la cual tiene fecha 29 de marzo de 2017. </w:t>
            </w:r>
          </w:p>
          <w:p w14:paraId="0035D9D3" w14:textId="77777777" w:rsidR="001341EC" w:rsidRPr="00126FA8" w:rsidRDefault="001341EC" w:rsidP="00165AA6">
            <w:pPr>
              <w:ind w:left="70" w:right="55"/>
              <w:jc w:val="both"/>
              <w:rPr>
                <w:rFonts w:ascii="Book Antiqua" w:hAnsi="Book Antiqua"/>
                <w:i/>
                <w:spacing w:val="-2"/>
                <w:sz w:val="22"/>
                <w:szCs w:val="22"/>
                <w:lang w:eastAsia="en-US"/>
              </w:rPr>
            </w:pPr>
            <w:r w:rsidRPr="00126FA8">
              <w:rPr>
                <w:rFonts w:ascii="Book Antiqua" w:hAnsi="Book Antiqua"/>
                <w:i/>
                <w:spacing w:val="-2"/>
                <w:sz w:val="22"/>
                <w:szCs w:val="22"/>
                <w:lang w:eastAsia="en-US"/>
              </w:rPr>
              <w:t xml:space="preserve">Dicha propuesta se socializó con todas las personas juzgadoras Agrarias y con las defensoras públicas Agrarias a efecto de emitieran su criterio rindiendo sugerencias u observaciones, según se desprende del comunicado adjunto; no obstante, al ser las 16:30 de este día, plazo conferido oportunamente, no se recibieron aportes. Únicamente, la licenciada Paola Rodríguez del Juzgado Mixto de Upala, suplente de la jueza Agraria de ese despacho, pidió se considere la capacitación a esa oficina, no sólo para una persona técnica, sino para las demás personas técnicas y coordinadora judicial, pues todas atienden la materias Agraria y el licenciado Frank Alvarez Hernández, </w:t>
            </w:r>
            <w:r w:rsidRPr="00126FA8">
              <w:rPr>
                <w:rFonts w:ascii="Book Antiqua" w:hAnsi="Book Antiqua"/>
                <w:i/>
                <w:spacing w:val="-2"/>
                <w:sz w:val="22"/>
                <w:szCs w:val="22"/>
                <w:lang w:eastAsia="en-US"/>
              </w:rPr>
              <w:lastRenderedPageBreak/>
              <w:t>Coordinador del Proyecto de Implementación de la Reforma Procesal Agraria de la Defensa Pública”</w:t>
            </w:r>
          </w:p>
          <w:p w14:paraId="2CF22DCC" w14:textId="77777777" w:rsidR="001341EC" w:rsidRPr="00126FA8" w:rsidRDefault="001341EC" w:rsidP="00165AA6">
            <w:pPr>
              <w:jc w:val="both"/>
              <w:rPr>
                <w:rFonts w:ascii="Book Antiqua" w:hAnsi="Book Antiqua"/>
                <w:sz w:val="22"/>
                <w:szCs w:val="22"/>
                <w:lang w:eastAsia="es-CR"/>
              </w:rPr>
            </w:pPr>
          </w:p>
          <w:p w14:paraId="61D3C326"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Como se indica en líneas anteriores, dicha propuesta para el 2020 fue socializada y aprobada en una sesión de trabajo.</w:t>
            </w:r>
          </w:p>
          <w:p w14:paraId="13F28171" w14:textId="77777777" w:rsidR="001341EC" w:rsidRPr="00126FA8" w:rsidRDefault="001341EC" w:rsidP="00165AA6">
            <w:pPr>
              <w:jc w:val="both"/>
              <w:rPr>
                <w:rFonts w:ascii="Book Antiqua" w:hAnsi="Book Antiqua"/>
                <w:sz w:val="22"/>
                <w:szCs w:val="22"/>
                <w:lang w:eastAsia="es-CR"/>
              </w:rPr>
            </w:pPr>
          </w:p>
          <w:p w14:paraId="595C9076"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Por otro lado, relacionado a la capacitación realizada durante diciembre del 2019, el </w:t>
            </w:r>
            <w:proofErr w:type="spellStart"/>
            <w:r w:rsidRPr="00126FA8">
              <w:rPr>
                <w:rFonts w:ascii="Book Antiqua" w:hAnsi="Book Antiqua"/>
                <w:sz w:val="22"/>
                <w:szCs w:val="22"/>
                <w:lang w:eastAsia="es-CR"/>
              </w:rPr>
              <w:t>Msc</w:t>
            </w:r>
            <w:proofErr w:type="spellEnd"/>
            <w:r w:rsidRPr="00126FA8">
              <w:rPr>
                <w:rFonts w:ascii="Book Antiqua" w:hAnsi="Book Antiqua"/>
                <w:sz w:val="22"/>
                <w:szCs w:val="22"/>
                <w:lang w:eastAsia="es-CR"/>
              </w:rPr>
              <w:t>. Gustavo Céspedes menciona que dicha capacitación solo fue</w:t>
            </w:r>
            <w:r>
              <w:rPr>
                <w:rFonts w:ascii="Book Antiqua" w:hAnsi="Book Antiqua"/>
                <w:sz w:val="22"/>
                <w:szCs w:val="22"/>
                <w:lang w:eastAsia="es-CR"/>
              </w:rPr>
              <w:t xml:space="preserve"> </w:t>
            </w:r>
            <w:r w:rsidRPr="00126FA8">
              <w:rPr>
                <w:rFonts w:ascii="Book Antiqua" w:hAnsi="Book Antiqua"/>
                <w:sz w:val="22"/>
                <w:szCs w:val="22"/>
                <w:lang w:val="es-ES" w:eastAsia="es-CR"/>
              </w:rPr>
              <w:t>“</w:t>
            </w:r>
            <w:r w:rsidRPr="00126FA8">
              <w:rPr>
                <w:rFonts w:ascii="Book Antiqua" w:hAnsi="Book Antiqua"/>
                <w:b/>
                <w:bCs/>
                <w:i/>
                <w:iCs/>
                <w:sz w:val="22"/>
                <w:szCs w:val="22"/>
                <w:lang w:val="es-ES" w:eastAsia="es-CR"/>
              </w:rPr>
              <w:t>informativa y no evaluada</w:t>
            </w:r>
            <w:r>
              <w:rPr>
                <w:rFonts w:ascii="Book Antiqua" w:hAnsi="Book Antiqua"/>
                <w:b/>
                <w:bCs/>
                <w:i/>
                <w:iCs/>
                <w:sz w:val="22"/>
                <w:szCs w:val="22"/>
                <w:lang w:val="es-ES" w:eastAsia="es-CR"/>
              </w:rPr>
              <w:t>”.</w:t>
            </w:r>
            <w:r w:rsidRPr="00126FA8">
              <w:rPr>
                <w:rFonts w:ascii="Book Antiqua" w:hAnsi="Book Antiqua"/>
                <w:sz w:val="22"/>
                <w:szCs w:val="22"/>
                <w:lang w:eastAsia="es-CR"/>
              </w:rPr>
              <w:t xml:space="preserve"> Sin embargo, la Dirección de Planificación únicamente tiene conocimiento de la propuesta realizada por impacto de Reforma desde el 2017, es decir, se desconocía que la capacitación por impacto de Reforma Agraria, requiera de una </w:t>
            </w:r>
            <w:r w:rsidRPr="00F43A2A">
              <w:rPr>
                <w:rFonts w:ascii="Book Antiqua" w:hAnsi="Book Antiqua"/>
                <w:sz w:val="22"/>
                <w:szCs w:val="22"/>
                <w:lang w:eastAsia="es-CR"/>
              </w:rPr>
              <w:t>capacitación inform</w:t>
            </w:r>
            <w:r w:rsidRPr="001D1C4B">
              <w:rPr>
                <w:rFonts w:ascii="Book Antiqua" w:hAnsi="Book Antiqua"/>
                <w:sz w:val="22"/>
                <w:szCs w:val="22"/>
                <w:lang w:eastAsia="es-CR"/>
              </w:rPr>
              <w:t>ativa</w:t>
            </w:r>
            <w:r w:rsidRPr="00126FA8">
              <w:rPr>
                <w:rFonts w:ascii="Book Antiqua" w:hAnsi="Book Antiqua"/>
                <w:sz w:val="22"/>
                <w:szCs w:val="22"/>
                <w:lang w:eastAsia="es-CR"/>
              </w:rPr>
              <w:t xml:space="preserve"> y posteriormente capacitación para los temas de fondo de la Reforma. </w:t>
            </w:r>
          </w:p>
          <w:p w14:paraId="4F1ED27D" w14:textId="77777777" w:rsidR="001341EC" w:rsidRPr="00126FA8" w:rsidRDefault="001341EC" w:rsidP="00165AA6">
            <w:pPr>
              <w:jc w:val="both"/>
              <w:rPr>
                <w:rFonts w:ascii="Book Antiqua" w:hAnsi="Book Antiqua"/>
                <w:sz w:val="22"/>
                <w:szCs w:val="22"/>
                <w:lang w:eastAsia="es-CR"/>
              </w:rPr>
            </w:pPr>
          </w:p>
          <w:p w14:paraId="6C7DD428"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Incluso en el oficio de Presidencia, 292-P-2018, remitido a la Asamblea Legislativa, firmado por la Magistrada Presidente en ejercicio de la Corte Plena y Presidenta de la Comisión Agraria en ese momento doña Carmen Maria Escoto, </w:t>
            </w:r>
            <w:r>
              <w:rPr>
                <w:rFonts w:ascii="Book Antiqua" w:hAnsi="Book Antiqua"/>
                <w:sz w:val="22"/>
                <w:szCs w:val="22"/>
                <w:lang w:eastAsia="es-CR"/>
              </w:rPr>
              <w:t xml:space="preserve">no se visualiza </w:t>
            </w:r>
            <w:r w:rsidRPr="00126FA8">
              <w:rPr>
                <w:rFonts w:ascii="Book Antiqua" w:hAnsi="Book Antiqua"/>
                <w:sz w:val="22"/>
                <w:szCs w:val="22"/>
                <w:lang w:eastAsia="es-CR"/>
              </w:rPr>
              <w:t>este nuevo requerimiento, incluso se considera oportuno para cubrir las necesidades de capacitación, la utilización de viernes de cada mes, con los que cuenta la Jurisdicción Agraria para reuniones</w:t>
            </w:r>
            <w:r>
              <w:rPr>
                <w:rFonts w:ascii="Book Antiqua" w:hAnsi="Book Antiqua"/>
                <w:sz w:val="22"/>
                <w:szCs w:val="22"/>
                <w:lang w:eastAsia="es-CR"/>
              </w:rPr>
              <w:t xml:space="preserve"> de</w:t>
            </w:r>
            <w:r w:rsidRPr="00126FA8">
              <w:rPr>
                <w:rFonts w:ascii="Book Antiqua" w:hAnsi="Book Antiqua"/>
                <w:sz w:val="22"/>
                <w:szCs w:val="22"/>
                <w:lang w:eastAsia="es-CR"/>
              </w:rPr>
              <w:t xml:space="preserve"> capacitación, de forma que no se incurra en gastos adicionales.</w:t>
            </w:r>
          </w:p>
          <w:p w14:paraId="3240FF10" w14:textId="77777777" w:rsidR="001341EC" w:rsidRPr="00126FA8" w:rsidRDefault="001341EC" w:rsidP="00165AA6">
            <w:pPr>
              <w:jc w:val="both"/>
              <w:rPr>
                <w:rFonts w:ascii="Book Antiqua" w:hAnsi="Book Antiqua"/>
                <w:sz w:val="22"/>
                <w:szCs w:val="22"/>
                <w:lang w:eastAsia="es-CR"/>
              </w:rPr>
            </w:pPr>
          </w:p>
          <w:p w14:paraId="0285DE76"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Adicionalmente, el Consejo Superior aprobó en sesión 86-18 celebrada el 2 de octubre del 2018, articulo XV, que literalmente dice:</w:t>
            </w:r>
          </w:p>
          <w:p w14:paraId="64B3F995" w14:textId="77777777" w:rsidR="001341EC" w:rsidRPr="00126FA8" w:rsidRDefault="001341EC" w:rsidP="00165AA6">
            <w:pPr>
              <w:ind w:left="70" w:right="55"/>
              <w:jc w:val="both"/>
              <w:rPr>
                <w:rFonts w:ascii="Book Antiqua" w:hAnsi="Book Antiqua"/>
                <w:i/>
                <w:sz w:val="22"/>
                <w:szCs w:val="22"/>
                <w:lang w:val="es-ES_tradnl"/>
              </w:rPr>
            </w:pPr>
            <w:r w:rsidRPr="00126FA8">
              <w:rPr>
                <w:rFonts w:ascii="Book Antiqua" w:hAnsi="Book Antiqua"/>
                <w:sz w:val="22"/>
                <w:szCs w:val="22"/>
                <w:lang w:eastAsia="es-CR"/>
              </w:rPr>
              <w:t>“…</w:t>
            </w:r>
            <w:r w:rsidRPr="00126FA8">
              <w:rPr>
                <w:rFonts w:ascii="Book Antiqua" w:hAnsi="Book Antiqua"/>
                <w:i/>
                <w:sz w:val="22"/>
                <w:szCs w:val="22"/>
                <w:lang w:val="es-ES_tradnl"/>
              </w:rPr>
              <w:t xml:space="preserve">Aprobar la realización de las actividades de </w:t>
            </w:r>
            <w:r w:rsidRPr="00126FA8">
              <w:rPr>
                <w:rFonts w:ascii="Book Antiqua" w:hAnsi="Book Antiqua"/>
                <w:b/>
                <w:i/>
                <w:sz w:val="22"/>
                <w:szCs w:val="22"/>
                <w:u w:val="single"/>
                <w:lang w:val="es-ES_tradnl"/>
              </w:rPr>
              <w:t>capacitación</w:t>
            </w:r>
            <w:r w:rsidRPr="00126FA8">
              <w:rPr>
                <w:rFonts w:ascii="Book Antiqua" w:hAnsi="Book Antiqua"/>
                <w:i/>
                <w:sz w:val="22"/>
                <w:szCs w:val="22"/>
                <w:lang w:val="es-ES_tradnl"/>
              </w:rPr>
              <w:t xml:space="preserve"> en el nuevo Código Procesal Agrario durante las siguientes fechas: 3 al 7, 10 al 14 y 17 al 21 de diciembre de 2018, dirigidas a la siguiente población: 09 personas juzgadoras categoría 4 del Tribunal Agrario (incluye Sección Extraordinaria); 26 personas juzgadoras agrarias categoría 3 de los Juzgados Agrarios y de los Juzgados Mixtos que conocen de la materia agraria; 15 personas juzgadoras categoría 1 (de las cuales 01 corresponde al juez 1 Tramitador del Tribunal Agrario y 14 personas juzgadoras supernumerarias de las Administraciones Regionales), quienes atienden suplencias de la Jurisdicción Agraria; 05 personas profesionales en Derecho 3b quienes fungen como letradas de la Sala Primera de la Corte Suprema de Justicia; 22 personas defensoras públicas agrarias en plazas ordinarias, extraordinarias y suplentes; y 80 personas técnicas judiciales, coordinadoras judiciales y asistentes judiciales agrarias…”, </w:t>
            </w:r>
          </w:p>
          <w:p w14:paraId="677AA31E" w14:textId="77777777" w:rsidR="001341EC" w:rsidRPr="00126FA8" w:rsidRDefault="001341EC" w:rsidP="00165AA6">
            <w:pPr>
              <w:jc w:val="both"/>
              <w:rPr>
                <w:rFonts w:ascii="Book Antiqua" w:hAnsi="Book Antiqua"/>
                <w:sz w:val="22"/>
                <w:szCs w:val="22"/>
                <w:lang w:eastAsia="es-CR"/>
              </w:rPr>
            </w:pPr>
          </w:p>
          <w:p w14:paraId="66D0AC82"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La Dirección de Planificación analiza que lo aprobado anteriormente, viene a cubrir lo planteado desde el 2017 como requerimiento de capacitación por impacto de Reforma. El monto aportado para fines de capacitación por el Poder Judicial fue de ¢63 579 298,76 destinado a dicha jurisdicción. </w:t>
            </w:r>
          </w:p>
          <w:p w14:paraId="6E76E5AB" w14:textId="77777777" w:rsidR="001341EC" w:rsidRPr="00126FA8" w:rsidRDefault="001341EC" w:rsidP="00165AA6">
            <w:pPr>
              <w:jc w:val="both"/>
              <w:rPr>
                <w:rFonts w:ascii="Book Antiqua" w:hAnsi="Book Antiqua"/>
                <w:sz w:val="22"/>
                <w:szCs w:val="22"/>
                <w:lang w:eastAsia="es-CR"/>
              </w:rPr>
            </w:pPr>
          </w:p>
          <w:p w14:paraId="6255C748" w14:textId="77777777" w:rsidR="001341EC" w:rsidRPr="00126FA8" w:rsidRDefault="001341EC" w:rsidP="00165AA6">
            <w:pPr>
              <w:pStyle w:val="Default"/>
              <w:jc w:val="both"/>
              <w:rPr>
                <w:rFonts w:ascii="Book Antiqua" w:eastAsia="Times New Roman" w:hAnsi="Book Antiqua" w:cs="Times New Roman"/>
                <w:color w:val="auto"/>
                <w:sz w:val="22"/>
                <w:szCs w:val="22"/>
                <w:lang w:eastAsia="es-CR"/>
              </w:rPr>
            </w:pPr>
            <w:r w:rsidRPr="00126FA8">
              <w:rPr>
                <w:rFonts w:ascii="Book Antiqua" w:eastAsia="Times New Roman" w:hAnsi="Book Antiqua" w:cs="Times New Roman"/>
                <w:color w:val="auto"/>
                <w:sz w:val="22"/>
                <w:szCs w:val="22"/>
                <w:lang w:eastAsia="es-CR"/>
              </w:rPr>
              <w:t>La Dirección de Planificación toma en consideración lo otorgado por el Consejo Superior en el 2018 y la diferencia con respecto a la recomendación remitida por doña Damaris en cuanto a la propuesta de Capacitación (misma del 2017), y se plasma en el informe para fines de presupuesto 2020.</w:t>
            </w:r>
          </w:p>
          <w:p w14:paraId="0FCB003B" w14:textId="77777777" w:rsidR="001341EC" w:rsidRPr="00126FA8" w:rsidRDefault="001341EC" w:rsidP="00165AA6">
            <w:pPr>
              <w:pStyle w:val="Default"/>
              <w:jc w:val="both"/>
              <w:rPr>
                <w:rFonts w:ascii="Book Antiqua" w:eastAsia="Times New Roman" w:hAnsi="Book Antiqua" w:cs="Times New Roman"/>
                <w:color w:val="auto"/>
                <w:sz w:val="22"/>
                <w:szCs w:val="22"/>
                <w:lang w:eastAsia="es-CR"/>
              </w:rPr>
            </w:pPr>
          </w:p>
          <w:p w14:paraId="79D4A08F" w14:textId="77777777" w:rsidR="001341EC" w:rsidRPr="00126FA8" w:rsidRDefault="001341EC" w:rsidP="00165AA6">
            <w:pPr>
              <w:pStyle w:val="Default"/>
              <w:jc w:val="both"/>
              <w:rPr>
                <w:rFonts w:ascii="Book Antiqua" w:eastAsia="Times New Roman" w:hAnsi="Book Antiqua" w:cs="Times New Roman"/>
                <w:color w:val="auto"/>
                <w:sz w:val="22"/>
                <w:szCs w:val="22"/>
                <w:lang w:eastAsia="es-CR"/>
              </w:rPr>
            </w:pPr>
            <w:r w:rsidRPr="00126FA8">
              <w:rPr>
                <w:rFonts w:ascii="Book Antiqua" w:eastAsia="Times New Roman" w:hAnsi="Book Antiqua" w:cs="Times New Roman"/>
                <w:color w:val="auto"/>
                <w:sz w:val="22"/>
                <w:szCs w:val="22"/>
                <w:lang w:eastAsia="es-CR"/>
              </w:rPr>
              <w:t>Cualquier otra propuesta de capacitación, debe estar sustentada por criterios técnicos profesionales por medio de las oficinas competentes para dicho trabajo., por lo cual se somete a consideración del Consejo Superior la nueva solicitud de la Escuela Judicial.</w:t>
            </w:r>
          </w:p>
          <w:p w14:paraId="6D2098F0" w14:textId="77777777" w:rsidR="001341EC" w:rsidRPr="00126FA8" w:rsidRDefault="001341EC" w:rsidP="00165AA6">
            <w:pPr>
              <w:pStyle w:val="Default"/>
              <w:jc w:val="both"/>
              <w:rPr>
                <w:rFonts w:ascii="Book Antiqua" w:eastAsia="Times New Roman" w:hAnsi="Book Antiqua" w:cs="Times New Roman"/>
                <w:color w:val="auto"/>
                <w:sz w:val="22"/>
                <w:szCs w:val="22"/>
                <w:lang w:eastAsia="es-CR"/>
              </w:rPr>
            </w:pPr>
          </w:p>
          <w:p w14:paraId="16982D4B" w14:textId="77777777" w:rsidR="001341EC" w:rsidRPr="00126FA8" w:rsidRDefault="001341EC" w:rsidP="00165AA6">
            <w:pPr>
              <w:pStyle w:val="Default"/>
              <w:jc w:val="both"/>
              <w:rPr>
                <w:rFonts w:ascii="Book Antiqua" w:eastAsia="Times New Roman" w:hAnsi="Book Antiqua" w:cs="Times New Roman"/>
                <w:color w:val="auto"/>
                <w:sz w:val="22"/>
                <w:szCs w:val="22"/>
                <w:lang w:eastAsia="es-CR"/>
              </w:rPr>
            </w:pPr>
            <w:r w:rsidRPr="00126FA8">
              <w:rPr>
                <w:rFonts w:ascii="Book Antiqua" w:eastAsia="Times New Roman" w:hAnsi="Book Antiqua" w:cs="Times New Roman"/>
                <w:color w:val="auto"/>
                <w:sz w:val="22"/>
                <w:szCs w:val="22"/>
                <w:lang w:eastAsia="es-CR"/>
              </w:rPr>
              <w:t>Se incorpora la solicitud dentro de las recomendaciones del presente informe.</w:t>
            </w:r>
          </w:p>
          <w:p w14:paraId="670E64B2" w14:textId="77777777" w:rsidR="001341EC" w:rsidRPr="00126FA8" w:rsidRDefault="001341EC" w:rsidP="00165AA6">
            <w:pPr>
              <w:pStyle w:val="Default"/>
              <w:jc w:val="both"/>
              <w:rPr>
                <w:rFonts w:ascii="Book Antiqua" w:eastAsia="Times New Roman" w:hAnsi="Book Antiqua" w:cs="Times New Roman"/>
                <w:color w:val="auto"/>
                <w:sz w:val="22"/>
                <w:szCs w:val="22"/>
                <w:highlight w:val="yellow"/>
                <w:lang w:eastAsia="es-CR"/>
              </w:rPr>
            </w:pPr>
          </w:p>
          <w:p w14:paraId="2E39E153" w14:textId="77777777" w:rsidR="001341EC" w:rsidRPr="00F43A2A" w:rsidRDefault="001341EC" w:rsidP="00165AA6">
            <w:pPr>
              <w:pStyle w:val="Default"/>
              <w:jc w:val="both"/>
              <w:rPr>
                <w:rFonts w:ascii="Book Antiqua" w:hAnsi="Book Antiqua"/>
                <w:sz w:val="22"/>
                <w:szCs w:val="22"/>
                <w:lang w:eastAsia="es-CR"/>
              </w:rPr>
            </w:pPr>
          </w:p>
        </w:tc>
      </w:tr>
      <w:tr w:rsidR="001341EC" w:rsidRPr="00126FA8" w14:paraId="2669C2EB" w14:textId="77777777" w:rsidTr="00165AA6">
        <w:trPr>
          <w:trHeight w:val="20"/>
        </w:trPr>
        <w:tc>
          <w:tcPr>
            <w:tcW w:w="512" w:type="dxa"/>
            <w:tcBorders>
              <w:top w:val="nil"/>
              <w:left w:val="double" w:sz="6" w:space="0" w:color="4472C4"/>
              <w:bottom w:val="nil"/>
              <w:right w:val="double" w:sz="6" w:space="0" w:color="4472C4"/>
            </w:tcBorders>
            <w:vAlign w:val="center"/>
          </w:tcPr>
          <w:p w14:paraId="15D8FD36" w14:textId="77777777" w:rsidR="001341EC" w:rsidRPr="00126FA8" w:rsidRDefault="001341EC" w:rsidP="00165AA6">
            <w:pPr>
              <w:jc w:val="center"/>
              <w:rPr>
                <w:rFonts w:ascii="Book Antiqua" w:hAnsi="Book Antiqua"/>
                <w:color w:val="000000"/>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4076CA92" w14:textId="77777777" w:rsidR="001341EC" w:rsidRPr="00126FA8" w:rsidRDefault="001341EC" w:rsidP="00165AA6">
            <w:pPr>
              <w:rPr>
                <w:rFonts w:ascii="Book Antiqua" w:hAnsi="Book Antiqua"/>
                <w:color w:val="000000"/>
                <w:sz w:val="22"/>
                <w:szCs w:val="22"/>
                <w:lang w:eastAsia="es-CR"/>
              </w:rPr>
            </w:pPr>
            <w:r w:rsidRPr="00126FA8">
              <w:rPr>
                <w:rFonts w:ascii="Book Antiqua" w:hAnsi="Book Antiqua"/>
                <w:color w:val="000000"/>
                <w:sz w:val="22"/>
                <w:szCs w:val="22"/>
                <w:lang w:eastAsia="es-CR"/>
              </w:rPr>
              <w:t> </w:t>
            </w:r>
          </w:p>
        </w:tc>
        <w:tc>
          <w:tcPr>
            <w:tcW w:w="3802" w:type="dxa"/>
            <w:vMerge/>
            <w:tcBorders>
              <w:left w:val="double" w:sz="6" w:space="0" w:color="4472C4"/>
              <w:right w:val="double" w:sz="6" w:space="0" w:color="4472C4"/>
            </w:tcBorders>
            <w:vAlign w:val="center"/>
            <w:hideMark/>
          </w:tcPr>
          <w:p w14:paraId="28462798" w14:textId="77777777" w:rsidR="001341EC" w:rsidRPr="00126FA8" w:rsidRDefault="001341EC" w:rsidP="00165AA6">
            <w:pPr>
              <w:rPr>
                <w:rFonts w:ascii="Book Antiqua" w:hAnsi="Book Antiqua"/>
                <w:sz w:val="22"/>
                <w:szCs w:val="22"/>
                <w:lang w:eastAsia="es-CR"/>
              </w:rPr>
            </w:pPr>
          </w:p>
        </w:tc>
      </w:tr>
      <w:tr w:rsidR="001341EC" w:rsidRPr="00126FA8" w14:paraId="56874CED" w14:textId="77777777" w:rsidTr="00165AA6">
        <w:trPr>
          <w:trHeight w:val="20"/>
        </w:trPr>
        <w:tc>
          <w:tcPr>
            <w:tcW w:w="512" w:type="dxa"/>
            <w:tcBorders>
              <w:top w:val="nil"/>
              <w:left w:val="double" w:sz="6" w:space="0" w:color="4472C4"/>
              <w:bottom w:val="nil"/>
              <w:right w:val="double" w:sz="6" w:space="0" w:color="4472C4"/>
            </w:tcBorders>
            <w:vAlign w:val="center"/>
          </w:tcPr>
          <w:p w14:paraId="42677CE6"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172F60FE"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Del correo de don Gustavo, existen dos recomendaciones de suma importancia a destacar:</w:t>
            </w:r>
          </w:p>
        </w:tc>
        <w:tc>
          <w:tcPr>
            <w:tcW w:w="3802" w:type="dxa"/>
            <w:vMerge/>
            <w:tcBorders>
              <w:left w:val="double" w:sz="6" w:space="0" w:color="4472C4"/>
              <w:right w:val="double" w:sz="6" w:space="0" w:color="4472C4"/>
            </w:tcBorders>
            <w:vAlign w:val="center"/>
            <w:hideMark/>
          </w:tcPr>
          <w:p w14:paraId="0FA8B729" w14:textId="77777777" w:rsidR="001341EC" w:rsidRPr="00126FA8" w:rsidRDefault="001341EC" w:rsidP="00165AA6">
            <w:pPr>
              <w:rPr>
                <w:rFonts w:ascii="Book Antiqua" w:hAnsi="Book Antiqua"/>
                <w:sz w:val="22"/>
                <w:szCs w:val="22"/>
                <w:lang w:eastAsia="es-CR"/>
              </w:rPr>
            </w:pPr>
          </w:p>
        </w:tc>
      </w:tr>
      <w:tr w:rsidR="001341EC" w:rsidRPr="00126FA8" w14:paraId="00B23E87" w14:textId="77777777" w:rsidTr="00165AA6">
        <w:trPr>
          <w:trHeight w:val="20"/>
        </w:trPr>
        <w:tc>
          <w:tcPr>
            <w:tcW w:w="512" w:type="dxa"/>
            <w:tcBorders>
              <w:top w:val="nil"/>
              <w:left w:val="double" w:sz="6" w:space="0" w:color="4472C4"/>
              <w:bottom w:val="nil"/>
              <w:right w:val="double" w:sz="6" w:space="0" w:color="4472C4"/>
            </w:tcBorders>
            <w:vAlign w:val="center"/>
          </w:tcPr>
          <w:p w14:paraId="1F9F004F"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31DB92DE" w14:textId="77777777" w:rsidR="001341EC" w:rsidRPr="00126FA8" w:rsidRDefault="001341EC" w:rsidP="00165AA6">
            <w:pPr>
              <w:jc w:val="center"/>
              <w:rPr>
                <w:rFonts w:ascii="Book Antiqua" w:hAnsi="Book Antiqua"/>
                <w:sz w:val="22"/>
                <w:szCs w:val="22"/>
                <w:lang w:val="es-ES" w:eastAsia="es-CR"/>
              </w:rPr>
            </w:pPr>
            <w:r w:rsidRPr="00126FA8">
              <w:rPr>
                <w:rFonts w:ascii="Book Antiqua" w:hAnsi="Book Antiqua"/>
                <w:sz w:val="22"/>
                <w:szCs w:val="22"/>
                <w:lang w:val="es-ES" w:eastAsia="es-CR"/>
              </w:rPr>
              <w:object w:dxaOrig="1513" w:dyaOrig="984" w14:anchorId="559695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5pt;height:49pt" o:ole="">
                  <v:imagedata r:id="rId11" o:title=""/>
                </v:shape>
                <o:OLEObject Type="Embed" ProgID="Word.Document.12" ShapeID="_x0000_i1027" DrawAspect="Icon" ObjectID="_1687780052" r:id="rId12">
                  <o:FieldCodes>\s</o:FieldCodes>
                </o:OLEObject>
              </w:object>
            </w:r>
          </w:p>
        </w:tc>
        <w:tc>
          <w:tcPr>
            <w:tcW w:w="3802" w:type="dxa"/>
            <w:vMerge/>
            <w:tcBorders>
              <w:left w:val="double" w:sz="6" w:space="0" w:color="4472C4"/>
              <w:right w:val="double" w:sz="6" w:space="0" w:color="4472C4"/>
            </w:tcBorders>
            <w:vAlign w:val="center"/>
            <w:hideMark/>
          </w:tcPr>
          <w:p w14:paraId="4F9E2304" w14:textId="77777777" w:rsidR="001341EC" w:rsidRPr="00126FA8" w:rsidRDefault="001341EC" w:rsidP="00165AA6">
            <w:pPr>
              <w:rPr>
                <w:rFonts w:ascii="Book Antiqua" w:hAnsi="Book Antiqua"/>
                <w:sz w:val="22"/>
                <w:szCs w:val="22"/>
                <w:lang w:eastAsia="es-CR"/>
              </w:rPr>
            </w:pPr>
          </w:p>
        </w:tc>
      </w:tr>
      <w:tr w:rsidR="001341EC" w:rsidRPr="00126FA8" w14:paraId="5707F4C5" w14:textId="77777777" w:rsidTr="00165AA6">
        <w:trPr>
          <w:trHeight w:val="20"/>
        </w:trPr>
        <w:tc>
          <w:tcPr>
            <w:tcW w:w="512" w:type="dxa"/>
            <w:tcBorders>
              <w:top w:val="nil"/>
              <w:left w:val="double" w:sz="6" w:space="0" w:color="4472C4"/>
              <w:bottom w:val="nil"/>
              <w:right w:val="double" w:sz="6" w:space="0" w:color="4472C4"/>
            </w:tcBorders>
            <w:vAlign w:val="center"/>
          </w:tcPr>
          <w:p w14:paraId="51156E00"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3E29CF3E"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 xml:space="preserve">En primer lugar: </w:t>
            </w:r>
          </w:p>
        </w:tc>
        <w:tc>
          <w:tcPr>
            <w:tcW w:w="3802" w:type="dxa"/>
            <w:vMerge/>
            <w:tcBorders>
              <w:left w:val="double" w:sz="6" w:space="0" w:color="4472C4"/>
              <w:right w:val="double" w:sz="6" w:space="0" w:color="4472C4"/>
            </w:tcBorders>
            <w:vAlign w:val="center"/>
            <w:hideMark/>
          </w:tcPr>
          <w:p w14:paraId="65004946" w14:textId="77777777" w:rsidR="001341EC" w:rsidRPr="00126FA8" w:rsidRDefault="001341EC" w:rsidP="00165AA6">
            <w:pPr>
              <w:rPr>
                <w:rFonts w:ascii="Book Antiqua" w:hAnsi="Book Antiqua"/>
                <w:sz w:val="22"/>
                <w:szCs w:val="22"/>
                <w:lang w:eastAsia="es-CR"/>
              </w:rPr>
            </w:pPr>
          </w:p>
        </w:tc>
      </w:tr>
      <w:tr w:rsidR="001341EC" w:rsidRPr="00126FA8" w14:paraId="71F1FFB0" w14:textId="77777777" w:rsidTr="00165AA6">
        <w:trPr>
          <w:trHeight w:val="20"/>
        </w:trPr>
        <w:tc>
          <w:tcPr>
            <w:tcW w:w="512" w:type="dxa"/>
            <w:vMerge w:val="restart"/>
            <w:tcBorders>
              <w:top w:val="nil"/>
              <w:left w:val="double" w:sz="6" w:space="0" w:color="4472C4"/>
              <w:right w:val="double" w:sz="6" w:space="0" w:color="4472C4"/>
            </w:tcBorders>
            <w:vAlign w:val="center"/>
          </w:tcPr>
          <w:p w14:paraId="67460A72" w14:textId="77777777" w:rsidR="001341EC" w:rsidRPr="00126FA8" w:rsidRDefault="001341EC" w:rsidP="00165AA6">
            <w:pPr>
              <w:jc w:val="center"/>
              <w:rPr>
                <w:rFonts w:ascii="Book Antiqua" w:hAnsi="Book Antiqua"/>
                <w:b/>
                <w:sz w:val="22"/>
                <w:szCs w:val="22"/>
                <w:lang w:val="es-ES" w:eastAsia="es-CR"/>
              </w:rPr>
            </w:pPr>
            <w:r w:rsidRPr="00126FA8">
              <w:rPr>
                <w:rFonts w:ascii="Book Antiqua" w:hAnsi="Book Antiqua"/>
                <w:b/>
                <w:sz w:val="22"/>
                <w:szCs w:val="22"/>
                <w:lang w:val="es-ES" w:eastAsia="es-CR"/>
              </w:rPr>
              <w:t>3</w:t>
            </w:r>
          </w:p>
        </w:tc>
        <w:tc>
          <w:tcPr>
            <w:tcW w:w="4664" w:type="dxa"/>
            <w:tcBorders>
              <w:top w:val="nil"/>
              <w:left w:val="double" w:sz="6" w:space="0" w:color="4472C4"/>
              <w:bottom w:val="nil"/>
              <w:right w:val="double" w:sz="6" w:space="0" w:color="4472C4"/>
            </w:tcBorders>
            <w:shd w:val="clear" w:color="auto" w:fill="auto"/>
            <w:vAlign w:val="center"/>
            <w:hideMark/>
          </w:tcPr>
          <w:p w14:paraId="050BB24D"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 </w:t>
            </w:r>
          </w:p>
        </w:tc>
        <w:tc>
          <w:tcPr>
            <w:tcW w:w="3802" w:type="dxa"/>
            <w:vMerge/>
            <w:tcBorders>
              <w:left w:val="double" w:sz="6" w:space="0" w:color="4472C4"/>
              <w:right w:val="double" w:sz="6" w:space="0" w:color="4472C4"/>
            </w:tcBorders>
            <w:vAlign w:val="center"/>
            <w:hideMark/>
          </w:tcPr>
          <w:p w14:paraId="2CC3E341" w14:textId="77777777" w:rsidR="001341EC" w:rsidRPr="00126FA8" w:rsidRDefault="001341EC" w:rsidP="00165AA6">
            <w:pPr>
              <w:rPr>
                <w:rFonts w:ascii="Book Antiqua" w:hAnsi="Book Antiqua"/>
                <w:sz w:val="22"/>
                <w:szCs w:val="22"/>
                <w:lang w:eastAsia="es-CR"/>
              </w:rPr>
            </w:pPr>
          </w:p>
        </w:tc>
      </w:tr>
      <w:tr w:rsidR="001341EC" w:rsidRPr="00126FA8" w14:paraId="47C65578" w14:textId="77777777" w:rsidTr="00165AA6">
        <w:trPr>
          <w:trHeight w:val="20"/>
        </w:trPr>
        <w:tc>
          <w:tcPr>
            <w:tcW w:w="512" w:type="dxa"/>
            <w:vMerge/>
            <w:tcBorders>
              <w:left w:val="double" w:sz="6" w:space="0" w:color="4472C4"/>
              <w:right w:val="double" w:sz="6" w:space="0" w:color="4472C4"/>
            </w:tcBorders>
            <w:vAlign w:val="center"/>
          </w:tcPr>
          <w:p w14:paraId="6BEB034A" w14:textId="77777777" w:rsidR="001341EC" w:rsidRPr="00126FA8" w:rsidRDefault="001341EC" w:rsidP="00165AA6">
            <w:pPr>
              <w:jc w:val="center"/>
              <w:rPr>
                <w:rFonts w:ascii="Book Antiqua" w:hAnsi="Book Antiqua"/>
                <w:color w:val="333333"/>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31EA0D91" w14:textId="77777777" w:rsidR="001341EC" w:rsidRPr="00126FA8" w:rsidRDefault="001341EC" w:rsidP="00165AA6">
            <w:pPr>
              <w:rPr>
                <w:rFonts w:ascii="Book Antiqua" w:hAnsi="Book Antiqua"/>
                <w:color w:val="333333"/>
                <w:sz w:val="22"/>
                <w:szCs w:val="22"/>
                <w:lang w:eastAsia="es-CR"/>
              </w:rPr>
            </w:pPr>
            <w:r w:rsidRPr="00126FA8">
              <w:rPr>
                <w:rFonts w:ascii="Book Antiqua" w:hAnsi="Book Antiqua"/>
                <w:color w:val="333333"/>
                <w:sz w:val="22"/>
                <w:szCs w:val="22"/>
                <w:lang w:eastAsia="es-CR"/>
              </w:rPr>
              <w:t>“Ahora bien, conociendo ya el texto aprobado finalmente; considero que lo procedente es realizar un proceso de definición de las necesidades reales de capacitación para estas actividades iniciales, y proseguir con el diseño y ejecución de las mismas.”</w:t>
            </w:r>
          </w:p>
        </w:tc>
        <w:tc>
          <w:tcPr>
            <w:tcW w:w="3802" w:type="dxa"/>
            <w:vMerge/>
            <w:tcBorders>
              <w:left w:val="double" w:sz="6" w:space="0" w:color="4472C4"/>
              <w:right w:val="double" w:sz="6" w:space="0" w:color="4472C4"/>
            </w:tcBorders>
            <w:vAlign w:val="center"/>
            <w:hideMark/>
          </w:tcPr>
          <w:p w14:paraId="7B174BDD" w14:textId="77777777" w:rsidR="001341EC" w:rsidRPr="00126FA8" w:rsidRDefault="001341EC" w:rsidP="00165AA6">
            <w:pPr>
              <w:rPr>
                <w:rFonts w:ascii="Book Antiqua" w:hAnsi="Book Antiqua"/>
                <w:sz w:val="22"/>
                <w:szCs w:val="22"/>
                <w:lang w:eastAsia="es-CR"/>
              </w:rPr>
            </w:pPr>
          </w:p>
        </w:tc>
      </w:tr>
      <w:tr w:rsidR="001341EC" w:rsidRPr="00126FA8" w14:paraId="69C9E844" w14:textId="77777777" w:rsidTr="00165AA6">
        <w:trPr>
          <w:trHeight w:val="20"/>
        </w:trPr>
        <w:tc>
          <w:tcPr>
            <w:tcW w:w="512" w:type="dxa"/>
            <w:vMerge/>
            <w:tcBorders>
              <w:left w:val="double" w:sz="6" w:space="0" w:color="4472C4"/>
              <w:right w:val="double" w:sz="6" w:space="0" w:color="4472C4"/>
            </w:tcBorders>
            <w:vAlign w:val="center"/>
          </w:tcPr>
          <w:p w14:paraId="1EC9C3EC" w14:textId="77777777" w:rsidR="001341EC" w:rsidRPr="00126FA8"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3D6DFAB8"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p>
        </w:tc>
        <w:tc>
          <w:tcPr>
            <w:tcW w:w="3802" w:type="dxa"/>
            <w:vMerge/>
            <w:tcBorders>
              <w:left w:val="double" w:sz="6" w:space="0" w:color="4472C4"/>
              <w:right w:val="double" w:sz="6" w:space="0" w:color="4472C4"/>
            </w:tcBorders>
            <w:vAlign w:val="center"/>
            <w:hideMark/>
          </w:tcPr>
          <w:p w14:paraId="3F383159" w14:textId="77777777" w:rsidR="001341EC" w:rsidRPr="00126FA8" w:rsidRDefault="001341EC" w:rsidP="00165AA6">
            <w:pPr>
              <w:rPr>
                <w:rFonts w:ascii="Book Antiqua" w:hAnsi="Book Antiqua"/>
                <w:sz w:val="22"/>
                <w:szCs w:val="22"/>
                <w:lang w:eastAsia="es-CR"/>
              </w:rPr>
            </w:pPr>
          </w:p>
        </w:tc>
      </w:tr>
      <w:tr w:rsidR="001341EC" w:rsidRPr="00126FA8" w14:paraId="654E12AC" w14:textId="77777777" w:rsidTr="00165AA6">
        <w:trPr>
          <w:trHeight w:val="279"/>
        </w:trPr>
        <w:tc>
          <w:tcPr>
            <w:tcW w:w="512" w:type="dxa"/>
            <w:vMerge/>
            <w:tcBorders>
              <w:left w:val="double" w:sz="6" w:space="0" w:color="4472C4"/>
              <w:right w:val="double" w:sz="6" w:space="0" w:color="4472C4"/>
            </w:tcBorders>
            <w:vAlign w:val="center"/>
          </w:tcPr>
          <w:p w14:paraId="01E056BE" w14:textId="77777777" w:rsidR="001341EC" w:rsidRPr="00126FA8"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166C68EE"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Incluso, dentro del cuadro de tareas propuesto se contempló lo siguiente: </w:t>
            </w:r>
          </w:p>
        </w:tc>
        <w:tc>
          <w:tcPr>
            <w:tcW w:w="3802" w:type="dxa"/>
            <w:vMerge/>
            <w:tcBorders>
              <w:left w:val="double" w:sz="6" w:space="0" w:color="4472C4"/>
              <w:right w:val="double" w:sz="6" w:space="0" w:color="4472C4"/>
            </w:tcBorders>
            <w:vAlign w:val="center"/>
            <w:hideMark/>
          </w:tcPr>
          <w:p w14:paraId="580224E4" w14:textId="77777777" w:rsidR="001341EC" w:rsidRPr="00126FA8" w:rsidRDefault="001341EC" w:rsidP="00165AA6">
            <w:pPr>
              <w:rPr>
                <w:rFonts w:ascii="Book Antiqua" w:hAnsi="Book Antiqua"/>
                <w:sz w:val="22"/>
                <w:szCs w:val="22"/>
                <w:lang w:eastAsia="es-CR"/>
              </w:rPr>
            </w:pPr>
          </w:p>
        </w:tc>
      </w:tr>
      <w:tr w:rsidR="001341EC" w:rsidRPr="00126FA8" w14:paraId="60327545" w14:textId="77777777" w:rsidTr="00165AA6">
        <w:trPr>
          <w:trHeight w:val="20"/>
        </w:trPr>
        <w:tc>
          <w:tcPr>
            <w:tcW w:w="512" w:type="dxa"/>
            <w:vMerge/>
            <w:tcBorders>
              <w:left w:val="double" w:sz="6" w:space="0" w:color="4472C4"/>
              <w:right w:val="double" w:sz="6" w:space="0" w:color="4472C4"/>
            </w:tcBorders>
            <w:vAlign w:val="center"/>
          </w:tcPr>
          <w:p w14:paraId="7F2F3423" w14:textId="77777777" w:rsidR="001341EC" w:rsidRPr="00126FA8"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single" w:sz="8" w:space="0" w:color="000000"/>
              <w:right w:val="double" w:sz="6" w:space="0" w:color="4472C4"/>
            </w:tcBorders>
            <w:shd w:val="clear" w:color="auto" w:fill="auto"/>
            <w:vAlign w:val="center"/>
            <w:hideMark/>
          </w:tcPr>
          <w:p w14:paraId="50F012E2"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p>
          <w:tbl>
            <w:tblPr>
              <w:tblW w:w="0" w:type="auto"/>
              <w:tblInd w:w="339" w:type="dxa"/>
              <w:tblBorders>
                <w:top w:val="single" w:sz="8" w:space="0" w:color="000000"/>
                <w:left w:val="single" w:sz="8" w:space="0" w:color="000000"/>
                <w:bottom w:val="single" w:sz="8" w:space="0" w:color="000000"/>
                <w:insideH w:val="single" w:sz="8" w:space="0" w:color="000000"/>
              </w:tblBorders>
              <w:tblCellMar>
                <w:top w:w="55" w:type="dxa"/>
                <w:left w:w="44" w:type="dxa"/>
                <w:bottom w:w="55" w:type="dxa"/>
                <w:right w:w="55" w:type="dxa"/>
              </w:tblCellMar>
              <w:tblLook w:val="04A0" w:firstRow="1" w:lastRow="0" w:firstColumn="1" w:lastColumn="0" w:noHBand="0" w:noVBand="1"/>
            </w:tblPr>
            <w:tblGrid>
              <w:gridCol w:w="1269"/>
              <w:gridCol w:w="1410"/>
              <w:gridCol w:w="1496"/>
            </w:tblGrid>
            <w:tr w:rsidR="001341EC" w:rsidRPr="00126FA8" w14:paraId="2625A4CB" w14:textId="77777777" w:rsidTr="00165AA6">
              <w:trPr>
                <w:tblHeader/>
              </w:trPr>
              <w:tc>
                <w:tcPr>
                  <w:tcW w:w="0" w:type="auto"/>
                  <w:tcBorders>
                    <w:top w:val="single" w:sz="8" w:space="0" w:color="000000"/>
                    <w:left w:val="single" w:sz="8" w:space="0" w:color="000000"/>
                    <w:bottom w:val="single" w:sz="8" w:space="0" w:color="000000"/>
                  </w:tcBorders>
                  <w:shd w:val="clear" w:color="auto" w:fill="CC9999"/>
                </w:tcPr>
                <w:p w14:paraId="25113ECC" w14:textId="77777777" w:rsidR="001341EC" w:rsidRPr="00126FA8" w:rsidRDefault="001341EC" w:rsidP="00165AA6">
                  <w:pPr>
                    <w:jc w:val="center"/>
                    <w:rPr>
                      <w:rFonts w:ascii="Book Antiqua" w:hAnsi="Book Antiqua"/>
                      <w:sz w:val="22"/>
                      <w:szCs w:val="22"/>
                    </w:rPr>
                  </w:pPr>
                  <w:r w:rsidRPr="00126FA8">
                    <w:rPr>
                      <w:rFonts w:ascii="Book Antiqua" w:hAnsi="Book Antiqua"/>
                      <w:b/>
                      <w:bCs/>
                      <w:color w:val="FFFFFF"/>
                      <w:sz w:val="22"/>
                      <w:szCs w:val="22"/>
                    </w:rPr>
                    <w:t>Proyecto</w:t>
                  </w:r>
                </w:p>
              </w:tc>
              <w:tc>
                <w:tcPr>
                  <w:tcW w:w="0" w:type="auto"/>
                  <w:tcBorders>
                    <w:top w:val="single" w:sz="8" w:space="0" w:color="000000"/>
                    <w:left w:val="single" w:sz="8" w:space="0" w:color="000000"/>
                    <w:bottom w:val="single" w:sz="8" w:space="0" w:color="000000"/>
                  </w:tcBorders>
                  <w:shd w:val="clear" w:color="auto" w:fill="CC9999"/>
                </w:tcPr>
                <w:p w14:paraId="21A2D1A8" w14:textId="77777777" w:rsidR="001341EC" w:rsidRPr="00126FA8" w:rsidRDefault="001341EC" w:rsidP="00165AA6">
                  <w:pPr>
                    <w:jc w:val="center"/>
                    <w:rPr>
                      <w:rFonts w:ascii="Book Antiqua" w:hAnsi="Book Antiqua"/>
                      <w:sz w:val="22"/>
                      <w:szCs w:val="22"/>
                    </w:rPr>
                  </w:pPr>
                  <w:r w:rsidRPr="00126FA8">
                    <w:rPr>
                      <w:rFonts w:ascii="Book Antiqua" w:hAnsi="Book Antiqua"/>
                      <w:b/>
                      <w:bCs/>
                      <w:color w:val="FFFFFF"/>
                      <w:sz w:val="22"/>
                      <w:szCs w:val="22"/>
                    </w:rPr>
                    <w:t>Tarea</w:t>
                  </w:r>
                </w:p>
              </w:tc>
              <w:tc>
                <w:tcPr>
                  <w:tcW w:w="0" w:type="auto"/>
                  <w:tcBorders>
                    <w:top w:val="single" w:sz="8" w:space="0" w:color="000000"/>
                    <w:left w:val="single" w:sz="8" w:space="0" w:color="000000"/>
                    <w:bottom w:val="single" w:sz="8" w:space="0" w:color="000000"/>
                  </w:tcBorders>
                  <w:shd w:val="clear" w:color="auto" w:fill="CC9999"/>
                </w:tcPr>
                <w:p w14:paraId="7E51E0AF" w14:textId="77777777" w:rsidR="001341EC" w:rsidRPr="00126FA8" w:rsidRDefault="001341EC" w:rsidP="00165AA6">
                  <w:pPr>
                    <w:jc w:val="center"/>
                    <w:rPr>
                      <w:rFonts w:ascii="Book Antiqua" w:hAnsi="Book Antiqua"/>
                      <w:sz w:val="22"/>
                      <w:szCs w:val="22"/>
                    </w:rPr>
                  </w:pPr>
                  <w:r w:rsidRPr="00126FA8">
                    <w:rPr>
                      <w:rFonts w:ascii="Book Antiqua" w:hAnsi="Book Antiqua"/>
                      <w:b/>
                      <w:bCs/>
                      <w:color w:val="FFFFFF"/>
                      <w:sz w:val="22"/>
                      <w:szCs w:val="22"/>
                    </w:rPr>
                    <w:t>Entregable</w:t>
                  </w:r>
                </w:p>
              </w:tc>
            </w:tr>
            <w:tr w:rsidR="001341EC" w:rsidRPr="00126FA8" w14:paraId="16D10317" w14:textId="77777777" w:rsidTr="00165AA6">
              <w:trPr>
                <w:trHeight w:val="917"/>
              </w:trPr>
              <w:tc>
                <w:tcPr>
                  <w:tcW w:w="0" w:type="auto"/>
                  <w:tcBorders>
                    <w:top w:val="single" w:sz="8" w:space="0" w:color="000000"/>
                    <w:left w:val="single" w:sz="8" w:space="0" w:color="000000"/>
                    <w:bottom w:val="single" w:sz="8" w:space="0" w:color="000000"/>
                  </w:tcBorders>
                  <w:shd w:val="clear" w:color="auto" w:fill="DDDDDD"/>
                </w:tcPr>
                <w:p w14:paraId="0D2FC61B" w14:textId="77777777" w:rsidR="001341EC" w:rsidRPr="00126FA8" w:rsidRDefault="001341EC" w:rsidP="00165AA6">
                  <w:pPr>
                    <w:rPr>
                      <w:rFonts w:ascii="Book Antiqua" w:hAnsi="Book Antiqua"/>
                      <w:sz w:val="22"/>
                      <w:szCs w:val="22"/>
                    </w:rPr>
                  </w:pPr>
                  <w:r w:rsidRPr="00126FA8">
                    <w:rPr>
                      <w:rFonts w:ascii="Book Antiqua" w:hAnsi="Book Antiqua"/>
                      <w:sz w:val="22"/>
                      <w:szCs w:val="22"/>
                    </w:rPr>
                    <w:lastRenderedPageBreak/>
                    <w:t>Definición de actividades a realizar</w:t>
                  </w:r>
                </w:p>
              </w:tc>
              <w:tc>
                <w:tcPr>
                  <w:tcW w:w="0" w:type="auto"/>
                  <w:tcBorders>
                    <w:top w:val="single" w:sz="8" w:space="0" w:color="000000"/>
                    <w:left w:val="single" w:sz="8" w:space="0" w:color="000000"/>
                    <w:bottom w:val="single" w:sz="8" w:space="0" w:color="000000"/>
                  </w:tcBorders>
                  <w:shd w:val="clear" w:color="auto" w:fill="DDDDDD"/>
                </w:tcPr>
                <w:p w14:paraId="7CCFC2C9" w14:textId="77777777" w:rsidR="001341EC" w:rsidRPr="00126FA8" w:rsidRDefault="001341EC" w:rsidP="00165AA6">
                  <w:pPr>
                    <w:rPr>
                      <w:rFonts w:ascii="Book Antiqua" w:hAnsi="Book Antiqua"/>
                      <w:sz w:val="22"/>
                      <w:szCs w:val="22"/>
                    </w:rPr>
                  </w:pPr>
                  <w:r w:rsidRPr="00126FA8">
                    <w:rPr>
                      <w:rFonts w:ascii="Book Antiqua" w:hAnsi="Book Antiqua"/>
                      <w:sz w:val="22"/>
                      <w:szCs w:val="22"/>
                    </w:rPr>
                    <w:t>Elaboración del mapa funcional</w:t>
                  </w:r>
                </w:p>
                <w:p w14:paraId="49709613" w14:textId="77777777" w:rsidR="001341EC" w:rsidRPr="00126FA8" w:rsidRDefault="001341EC" w:rsidP="00165AA6">
                  <w:pPr>
                    <w:rPr>
                      <w:rFonts w:ascii="Book Antiqua" w:hAnsi="Book Antiqua"/>
                      <w:sz w:val="22"/>
                      <w:szCs w:val="22"/>
                    </w:rPr>
                  </w:pPr>
                  <w:r w:rsidRPr="00126FA8">
                    <w:rPr>
                      <w:rFonts w:ascii="Book Antiqua" w:hAnsi="Book Antiqua"/>
                      <w:sz w:val="22"/>
                      <w:szCs w:val="22"/>
                    </w:rPr>
                    <w:t>Definición de actividades de capacitación según puesto</w:t>
                  </w:r>
                </w:p>
              </w:tc>
              <w:tc>
                <w:tcPr>
                  <w:tcW w:w="0" w:type="auto"/>
                  <w:tcBorders>
                    <w:top w:val="single" w:sz="8" w:space="0" w:color="000000"/>
                    <w:left w:val="single" w:sz="8" w:space="0" w:color="000000"/>
                    <w:bottom w:val="single" w:sz="8" w:space="0" w:color="000000"/>
                  </w:tcBorders>
                  <w:shd w:val="clear" w:color="auto" w:fill="DDDDDD"/>
                </w:tcPr>
                <w:p w14:paraId="7F3A36E2" w14:textId="77777777" w:rsidR="001341EC" w:rsidRPr="00126FA8" w:rsidRDefault="001341EC" w:rsidP="00165AA6">
                  <w:pPr>
                    <w:rPr>
                      <w:rFonts w:ascii="Book Antiqua" w:hAnsi="Book Antiqua"/>
                      <w:sz w:val="22"/>
                      <w:szCs w:val="22"/>
                    </w:rPr>
                  </w:pPr>
                  <w:r w:rsidRPr="00126FA8">
                    <w:rPr>
                      <w:rFonts w:ascii="Book Antiqua" w:hAnsi="Book Antiqua"/>
                      <w:sz w:val="22"/>
                      <w:szCs w:val="22"/>
                    </w:rPr>
                    <w:t>Mapa funcional según puesto</w:t>
                  </w:r>
                </w:p>
                <w:p w14:paraId="77587016" w14:textId="77777777" w:rsidR="001341EC" w:rsidRPr="00126FA8" w:rsidRDefault="001341EC" w:rsidP="00165AA6">
                  <w:pPr>
                    <w:rPr>
                      <w:rFonts w:ascii="Book Antiqua" w:hAnsi="Book Antiqua"/>
                      <w:sz w:val="22"/>
                      <w:szCs w:val="22"/>
                    </w:rPr>
                  </w:pPr>
                  <w:r w:rsidRPr="00126FA8">
                    <w:rPr>
                      <w:rFonts w:ascii="Book Antiqua" w:hAnsi="Book Antiqua"/>
                      <w:sz w:val="22"/>
                      <w:szCs w:val="22"/>
                    </w:rPr>
                    <w:t>Módulos a diseñar y competencias a abarcar</w:t>
                  </w:r>
                </w:p>
              </w:tc>
            </w:tr>
          </w:tbl>
          <w:p w14:paraId="6B705003" w14:textId="77777777" w:rsidR="001341EC" w:rsidRPr="00126FA8" w:rsidRDefault="001341EC" w:rsidP="00165AA6">
            <w:pPr>
              <w:jc w:val="both"/>
              <w:rPr>
                <w:rFonts w:ascii="Book Antiqua" w:hAnsi="Book Antiqua"/>
                <w:sz w:val="22"/>
                <w:szCs w:val="22"/>
                <w:lang w:eastAsia="es-CR"/>
              </w:rPr>
            </w:pPr>
          </w:p>
        </w:tc>
        <w:tc>
          <w:tcPr>
            <w:tcW w:w="3802" w:type="dxa"/>
            <w:vMerge/>
            <w:tcBorders>
              <w:left w:val="double" w:sz="6" w:space="0" w:color="4472C4"/>
              <w:right w:val="double" w:sz="6" w:space="0" w:color="4472C4"/>
            </w:tcBorders>
            <w:vAlign w:val="center"/>
            <w:hideMark/>
          </w:tcPr>
          <w:p w14:paraId="4EBA67F1" w14:textId="77777777" w:rsidR="001341EC" w:rsidRPr="00126FA8" w:rsidRDefault="001341EC" w:rsidP="00165AA6">
            <w:pPr>
              <w:rPr>
                <w:rFonts w:ascii="Book Antiqua" w:hAnsi="Book Antiqua"/>
                <w:sz w:val="22"/>
                <w:szCs w:val="22"/>
                <w:lang w:eastAsia="es-CR"/>
              </w:rPr>
            </w:pPr>
          </w:p>
        </w:tc>
      </w:tr>
      <w:tr w:rsidR="001341EC" w:rsidRPr="00126FA8" w14:paraId="53E0DF53" w14:textId="77777777" w:rsidTr="00165AA6">
        <w:trPr>
          <w:trHeight w:val="20"/>
        </w:trPr>
        <w:tc>
          <w:tcPr>
            <w:tcW w:w="512" w:type="dxa"/>
            <w:vMerge/>
            <w:tcBorders>
              <w:left w:val="double" w:sz="6" w:space="0" w:color="4472C4"/>
              <w:right w:val="double" w:sz="6" w:space="0" w:color="4472C4"/>
            </w:tcBorders>
            <w:vAlign w:val="center"/>
          </w:tcPr>
          <w:p w14:paraId="0AC9C76A" w14:textId="77777777" w:rsidR="001341EC" w:rsidRPr="00126FA8" w:rsidRDefault="001341EC" w:rsidP="00165AA6">
            <w:pPr>
              <w:jc w:val="center"/>
              <w:rPr>
                <w:rFonts w:ascii="Book Antiqua" w:hAnsi="Book Antiqua"/>
                <w:sz w:val="22"/>
                <w:szCs w:val="22"/>
                <w:lang w:eastAsia="es-CR"/>
              </w:rPr>
            </w:pPr>
          </w:p>
        </w:tc>
        <w:tc>
          <w:tcPr>
            <w:tcW w:w="4664" w:type="dxa"/>
            <w:tcBorders>
              <w:top w:val="single" w:sz="8" w:space="0" w:color="000000"/>
              <w:left w:val="double" w:sz="6" w:space="0" w:color="4472C4"/>
              <w:bottom w:val="nil"/>
              <w:right w:val="double" w:sz="6" w:space="0" w:color="4472C4"/>
            </w:tcBorders>
            <w:shd w:val="clear" w:color="auto" w:fill="auto"/>
            <w:vAlign w:val="center"/>
            <w:hideMark/>
          </w:tcPr>
          <w:p w14:paraId="79F3DDD5"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p>
        </w:tc>
        <w:tc>
          <w:tcPr>
            <w:tcW w:w="3802" w:type="dxa"/>
            <w:vMerge/>
            <w:tcBorders>
              <w:left w:val="double" w:sz="6" w:space="0" w:color="4472C4"/>
              <w:right w:val="double" w:sz="6" w:space="0" w:color="4472C4"/>
            </w:tcBorders>
            <w:vAlign w:val="center"/>
            <w:hideMark/>
          </w:tcPr>
          <w:p w14:paraId="1B923AA7" w14:textId="77777777" w:rsidR="001341EC" w:rsidRPr="00126FA8" w:rsidRDefault="001341EC" w:rsidP="00165AA6">
            <w:pPr>
              <w:rPr>
                <w:rFonts w:ascii="Book Antiqua" w:hAnsi="Book Antiqua"/>
                <w:sz w:val="22"/>
                <w:szCs w:val="22"/>
                <w:lang w:eastAsia="es-CR"/>
              </w:rPr>
            </w:pPr>
          </w:p>
        </w:tc>
      </w:tr>
      <w:tr w:rsidR="001341EC" w:rsidRPr="00126FA8" w14:paraId="3CF81A50" w14:textId="77777777" w:rsidTr="00165AA6">
        <w:trPr>
          <w:trHeight w:val="20"/>
        </w:trPr>
        <w:tc>
          <w:tcPr>
            <w:tcW w:w="512" w:type="dxa"/>
            <w:vMerge/>
            <w:tcBorders>
              <w:left w:val="double" w:sz="6" w:space="0" w:color="4472C4"/>
              <w:right w:val="double" w:sz="6" w:space="0" w:color="4472C4"/>
            </w:tcBorders>
            <w:vAlign w:val="center"/>
          </w:tcPr>
          <w:p w14:paraId="74E45801"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77110AEE"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Posterior a ello, en una sesión de la Comisión de la Jurisdicción Agraria, se solicitó que la capacitación a impartir durante diciembre de 2018 fuera de carácter “</w:t>
            </w:r>
            <w:r w:rsidRPr="00126FA8">
              <w:rPr>
                <w:rFonts w:ascii="Book Antiqua" w:hAnsi="Book Antiqua"/>
                <w:b/>
                <w:bCs/>
                <w:i/>
                <w:iCs/>
                <w:sz w:val="22"/>
                <w:szCs w:val="22"/>
                <w:lang w:val="es-ES" w:eastAsia="es-CR"/>
              </w:rPr>
              <w:t>informativa y no evaluada</w:t>
            </w:r>
            <w:r w:rsidRPr="00126FA8">
              <w:rPr>
                <w:rFonts w:ascii="Book Antiqua" w:hAnsi="Book Antiqua"/>
                <w:sz w:val="22"/>
                <w:szCs w:val="22"/>
                <w:lang w:val="es-ES" w:eastAsia="es-CR"/>
              </w:rPr>
              <w:t xml:space="preserve">”, lo </w:t>
            </w:r>
            <w:proofErr w:type="spellStart"/>
            <w:r w:rsidRPr="00126FA8">
              <w:rPr>
                <w:rFonts w:ascii="Book Antiqua" w:hAnsi="Book Antiqua"/>
                <w:sz w:val="22"/>
                <w:szCs w:val="22"/>
                <w:lang w:val="es-ES" w:eastAsia="es-CR"/>
              </w:rPr>
              <w:t>cuál</w:t>
            </w:r>
            <w:proofErr w:type="spellEnd"/>
            <w:r w:rsidRPr="00126FA8">
              <w:rPr>
                <w:rFonts w:ascii="Book Antiqua" w:hAnsi="Book Antiqua"/>
                <w:sz w:val="22"/>
                <w:szCs w:val="22"/>
                <w:lang w:val="es-ES" w:eastAsia="es-CR"/>
              </w:rPr>
              <w:t xml:space="preserve"> desde un punto de vista de Capacitación resulta válido en un primer estudio del proceso de desarrollo de competencias profesionales.</w:t>
            </w:r>
          </w:p>
        </w:tc>
        <w:tc>
          <w:tcPr>
            <w:tcW w:w="3802" w:type="dxa"/>
            <w:vMerge/>
            <w:tcBorders>
              <w:left w:val="double" w:sz="6" w:space="0" w:color="4472C4"/>
              <w:right w:val="double" w:sz="6" w:space="0" w:color="4472C4"/>
            </w:tcBorders>
            <w:vAlign w:val="center"/>
            <w:hideMark/>
          </w:tcPr>
          <w:p w14:paraId="63DD544E" w14:textId="77777777" w:rsidR="001341EC" w:rsidRPr="00126FA8" w:rsidRDefault="001341EC" w:rsidP="00165AA6">
            <w:pPr>
              <w:rPr>
                <w:rFonts w:ascii="Book Antiqua" w:hAnsi="Book Antiqua"/>
                <w:sz w:val="22"/>
                <w:szCs w:val="22"/>
                <w:lang w:eastAsia="es-CR"/>
              </w:rPr>
            </w:pPr>
          </w:p>
        </w:tc>
      </w:tr>
      <w:tr w:rsidR="001341EC" w:rsidRPr="00126FA8" w14:paraId="7A744636" w14:textId="77777777" w:rsidTr="00165AA6">
        <w:trPr>
          <w:trHeight w:val="20"/>
        </w:trPr>
        <w:tc>
          <w:tcPr>
            <w:tcW w:w="512" w:type="dxa"/>
            <w:vMerge/>
            <w:tcBorders>
              <w:left w:val="double" w:sz="6" w:space="0" w:color="4472C4"/>
              <w:bottom w:val="nil"/>
              <w:right w:val="double" w:sz="6" w:space="0" w:color="4472C4"/>
            </w:tcBorders>
            <w:vAlign w:val="center"/>
          </w:tcPr>
          <w:p w14:paraId="15165112" w14:textId="77777777" w:rsidR="001341EC" w:rsidRPr="00126FA8"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1430E97F"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p>
        </w:tc>
        <w:tc>
          <w:tcPr>
            <w:tcW w:w="3802" w:type="dxa"/>
            <w:vMerge/>
            <w:tcBorders>
              <w:left w:val="double" w:sz="6" w:space="0" w:color="4472C4"/>
              <w:right w:val="double" w:sz="6" w:space="0" w:color="4472C4"/>
            </w:tcBorders>
            <w:vAlign w:val="center"/>
            <w:hideMark/>
          </w:tcPr>
          <w:p w14:paraId="337A6B54" w14:textId="77777777" w:rsidR="001341EC" w:rsidRPr="00126FA8" w:rsidRDefault="001341EC" w:rsidP="00165AA6">
            <w:pPr>
              <w:rPr>
                <w:rFonts w:ascii="Book Antiqua" w:hAnsi="Book Antiqua"/>
                <w:sz w:val="22"/>
                <w:szCs w:val="22"/>
                <w:lang w:eastAsia="es-CR"/>
              </w:rPr>
            </w:pPr>
          </w:p>
        </w:tc>
      </w:tr>
      <w:tr w:rsidR="001341EC" w:rsidRPr="00126FA8" w14:paraId="5D7011F9" w14:textId="77777777" w:rsidTr="00165AA6">
        <w:trPr>
          <w:trHeight w:val="20"/>
        </w:trPr>
        <w:tc>
          <w:tcPr>
            <w:tcW w:w="512" w:type="dxa"/>
            <w:tcBorders>
              <w:top w:val="nil"/>
              <w:left w:val="double" w:sz="6" w:space="0" w:color="4472C4"/>
              <w:bottom w:val="nil"/>
              <w:right w:val="double" w:sz="6" w:space="0" w:color="4472C4"/>
            </w:tcBorders>
            <w:vAlign w:val="center"/>
          </w:tcPr>
          <w:p w14:paraId="59B67782" w14:textId="77777777" w:rsidR="001341EC" w:rsidRPr="00126FA8"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481393A9"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En otras palabras, la capacitación se diseñó para abarcar e informar sobre una gran serie de temas, pero no para profundizar en los mismos, ni para reforzar o generar competencias específicas en determinadas funciones propias de las distintas personas que se desempeñan en la jurisdicción agraria.</w:t>
            </w:r>
          </w:p>
        </w:tc>
        <w:tc>
          <w:tcPr>
            <w:tcW w:w="3802" w:type="dxa"/>
            <w:vMerge/>
            <w:tcBorders>
              <w:left w:val="double" w:sz="6" w:space="0" w:color="4472C4"/>
              <w:right w:val="double" w:sz="6" w:space="0" w:color="4472C4"/>
            </w:tcBorders>
            <w:vAlign w:val="center"/>
            <w:hideMark/>
          </w:tcPr>
          <w:p w14:paraId="3214A7A4" w14:textId="77777777" w:rsidR="001341EC" w:rsidRPr="00126FA8" w:rsidRDefault="001341EC" w:rsidP="00165AA6">
            <w:pPr>
              <w:rPr>
                <w:rFonts w:ascii="Book Antiqua" w:hAnsi="Book Antiqua"/>
                <w:sz w:val="22"/>
                <w:szCs w:val="22"/>
                <w:lang w:eastAsia="es-CR"/>
              </w:rPr>
            </w:pPr>
          </w:p>
        </w:tc>
      </w:tr>
      <w:tr w:rsidR="001341EC" w:rsidRPr="00126FA8" w14:paraId="1382F153" w14:textId="77777777" w:rsidTr="00165AA6">
        <w:trPr>
          <w:trHeight w:val="20"/>
        </w:trPr>
        <w:tc>
          <w:tcPr>
            <w:tcW w:w="512" w:type="dxa"/>
            <w:tcBorders>
              <w:top w:val="nil"/>
              <w:left w:val="double" w:sz="6" w:space="0" w:color="4472C4"/>
              <w:bottom w:val="nil"/>
              <w:right w:val="double" w:sz="6" w:space="0" w:color="4472C4"/>
            </w:tcBorders>
            <w:vAlign w:val="center"/>
          </w:tcPr>
          <w:p w14:paraId="2F6E5DAB" w14:textId="77777777" w:rsidR="001341EC" w:rsidRPr="00126FA8"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380C254A"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p>
        </w:tc>
        <w:tc>
          <w:tcPr>
            <w:tcW w:w="3802" w:type="dxa"/>
            <w:vMerge/>
            <w:tcBorders>
              <w:left w:val="double" w:sz="6" w:space="0" w:color="4472C4"/>
              <w:right w:val="double" w:sz="6" w:space="0" w:color="4472C4"/>
            </w:tcBorders>
            <w:vAlign w:val="center"/>
            <w:hideMark/>
          </w:tcPr>
          <w:p w14:paraId="44FF5C41" w14:textId="77777777" w:rsidR="001341EC" w:rsidRPr="00126FA8" w:rsidRDefault="001341EC" w:rsidP="00165AA6">
            <w:pPr>
              <w:rPr>
                <w:rFonts w:ascii="Book Antiqua" w:hAnsi="Book Antiqua"/>
                <w:sz w:val="22"/>
                <w:szCs w:val="22"/>
                <w:lang w:eastAsia="es-CR"/>
              </w:rPr>
            </w:pPr>
          </w:p>
        </w:tc>
      </w:tr>
      <w:tr w:rsidR="001341EC" w:rsidRPr="00126FA8" w14:paraId="09223542" w14:textId="77777777" w:rsidTr="00165AA6">
        <w:trPr>
          <w:trHeight w:val="20"/>
        </w:trPr>
        <w:tc>
          <w:tcPr>
            <w:tcW w:w="512" w:type="dxa"/>
            <w:tcBorders>
              <w:top w:val="nil"/>
              <w:left w:val="double" w:sz="6" w:space="0" w:color="4472C4"/>
              <w:bottom w:val="nil"/>
              <w:right w:val="double" w:sz="6" w:space="0" w:color="4472C4"/>
            </w:tcBorders>
            <w:vAlign w:val="center"/>
          </w:tcPr>
          <w:p w14:paraId="2170AA1D" w14:textId="77777777" w:rsidR="001341EC" w:rsidRPr="00126FA8"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7A3ACD69"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El acompañamiento de la capacitación durante un proceso de implementación de una reforma procesal no se puede limitar a un aspecto cuantitativo, considerando solamente el número de personas que se presentaron a una actividad determinada sin analizar la naturaleza y objetivos de la misma.</w:t>
            </w:r>
          </w:p>
        </w:tc>
        <w:tc>
          <w:tcPr>
            <w:tcW w:w="3802" w:type="dxa"/>
            <w:vMerge/>
            <w:tcBorders>
              <w:left w:val="double" w:sz="6" w:space="0" w:color="4472C4"/>
              <w:right w:val="double" w:sz="6" w:space="0" w:color="4472C4"/>
            </w:tcBorders>
            <w:vAlign w:val="center"/>
            <w:hideMark/>
          </w:tcPr>
          <w:p w14:paraId="3CE71BCC" w14:textId="77777777" w:rsidR="001341EC" w:rsidRPr="00126FA8" w:rsidRDefault="001341EC" w:rsidP="00165AA6">
            <w:pPr>
              <w:rPr>
                <w:rFonts w:ascii="Book Antiqua" w:hAnsi="Book Antiqua"/>
                <w:sz w:val="22"/>
                <w:szCs w:val="22"/>
                <w:lang w:eastAsia="es-CR"/>
              </w:rPr>
            </w:pPr>
          </w:p>
        </w:tc>
      </w:tr>
      <w:tr w:rsidR="001341EC" w:rsidRPr="00126FA8" w14:paraId="031E526E" w14:textId="77777777" w:rsidTr="00165AA6">
        <w:trPr>
          <w:trHeight w:val="20"/>
        </w:trPr>
        <w:tc>
          <w:tcPr>
            <w:tcW w:w="512" w:type="dxa"/>
            <w:tcBorders>
              <w:top w:val="nil"/>
              <w:left w:val="double" w:sz="6" w:space="0" w:color="4472C4"/>
              <w:bottom w:val="nil"/>
              <w:right w:val="double" w:sz="6" w:space="0" w:color="4472C4"/>
            </w:tcBorders>
            <w:vAlign w:val="center"/>
          </w:tcPr>
          <w:p w14:paraId="0061D7C8" w14:textId="77777777" w:rsidR="001341EC" w:rsidRPr="00126FA8"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449FCCFA"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p>
        </w:tc>
        <w:tc>
          <w:tcPr>
            <w:tcW w:w="3802" w:type="dxa"/>
            <w:vMerge/>
            <w:tcBorders>
              <w:left w:val="double" w:sz="6" w:space="0" w:color="4472C4"/>
              <w:right w:val="double" w:sz="6" w:space="0" w:color="4472C4"/>
            </w:tcBorders>
            <w:vAlign w:val="center"/>
            <w:hideMark/>
          </w:tcPr>
          <w:p w14:paraId="41876AF0" w14:textId="77777777" w:rsidR="001341EC" w:rsidRPr="00126FA8" w:rsidRDefault="001341EC" w:rsidP="00165AA6">
            <w:pPr>
              <w:rPr>
                <w:rFonts w:ascii="Book Antiqua" w:hAnsi="Book Antiqua"/>
                <w:sz w:val="22"/>
                <w:szCs w:val="22"/>
                <w:lang w:eastAsia="es-CR"/>
              </w:rPr>
            </w:pPr>
          </w:p>
        </w:tc>
      </w:tr>
      <w:tr w:rsidR="001341EC" w:rsidRPr="00126FA8" w14:paraId="3A49A5C2" w14:textId="77777777" w:rsidTr="00165AA6">
        <w:trPr>
          <w:trHeight w:val="20"/>
        </w:trPr>
        <w:tc>
          <w:tcPr>
            <w:tcW w:w="512" w:type="dxa"/>
            <w:tcBorders>
              <w:top w:val="nil"/>
              <w:left w:val="double" w:sz="6" w:space="0" w:color="4472C4"/>
              <w:bottom w:val="nil"/>
              <w:right w:val="double" w:sz="6" w:space="0" w:color="4472C4"/>
            </w:tcBorders>
            <w:vAlign w:val="center"/>
          </w:tcPr>
          <w:p w14:paraId="3D4D0640" w14:textId="77777777" w:rsidR="001341EC" w:rsidRPr="00126FA8"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4EF5993F"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Lo más importante para el éxito de una reforma procesal -cuando de capacitación hablamos-, en lo que al desempeño de la labor jurisdiccional se refiere, radica en la capacidad que tengan las personas para realizar una serie de funciones que requieren de diferentes competencias ya sean cognitivas, </w:t>
            </w:r>
            <w:r w:rsidRPr="00126FA8">
              <w:rPr>
                <w:rFonts w:ascii="Book Antiqua" w:hAnsi="Book Antiqua"/>
                <w:sz w:val="22"/>
                <w:szCs w:val="22"/>
                <w:lang w:eastAsia="es-CR"/>
              </w:rPr>
              <w:lastRenderedPageBreak/>
              <w:t>procedimentales o actitudinales.</w:t>
            </w:r>
          </w:p>
        </w:tc>
        <w:tc>
          <w:tcPr>
            <w:tcW w:w="3802" w:type="dxa"/>
            <w:vMerge/>
            <w:tcBorders>
              <w:left w:val="double" w:sz="6" w:space="0" w:color="4472C4"/>
              <w:right w:val="double" w:sz="6" w:space="0" w:color="4472C4"/>
            </w:tcBorders>
            <w:vAlign w:val="center"/>
            <w:hideMark/>
          </w:tcPr>
          <w:p w14:paraId="3F04E81E" w14:textId="77777777" w:rsidR="001341EC" w:rsidRPr="00126FA8" w:rsidRDefault="001341EC" w:rsidP="00165AA6">
            <w:pPr>
              <w:rPr>
                <w:rFonts w:ascii="Book Antiqua" w:hAnsi="Book Antiqua"/>
                <w:sz w:val="22"/>
                <w:szCs w:val="22"/>
                <w:lang w:eastAsia="es-CR"/>
              </w:rPr>
            </w:pPr>
          </w:p>
        </w:tc>
      </w:tr>
      <w:tr w:rsidR="001341EC" w:rsidRPr="00126FA8" w14:paraId="4054F1CC" w14:textId="77777777" w:rsidTr="00165AA6">
        <w:trPr>
          <w:trHeight w:val="20"/>
        </w:trPr>
        <w:tc>
          <w:tcPr>
            <w:tcW w:w="512" w:type="dxa"/>
            <w:tcBorders>
              <w:top w:val="nil"/>
              <w:left w:val="double" w:sz="6" w:space="0" w:color="4472C4"/>
              <w:bottom w:val="nil"/>
              <w:right w:val="double" w:sz="6" w:space="0" w:color="4472C4"/>
            </w:tcBorders>
            <w:vAlign w:val="center"/>
          </w:tcPr>
          <w:p w14:paraId="3668DBAB"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6FC000F1"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 </w:t>
            </w:r>
          </w:p>
        </w:tc>
        <w:tc>
          <w:tcPr>
            <w:tcW w:w="3802" w:type="dxa"/>
            <w:vMerge/>
            <w:tcBorders>
              <w:left w:val="double" w:sz="6" w:space="0" w:color="4472C4"/>
              <w:right w:val="double" w:sz="6" w:space="0" w:color="4472C4"/>
            </w:tcBorders>
            <w:vAlign w:val="center"/>
            <w:hideMark/>
          </w:tcPr>
          <w:p w14:paraId="33F104E1" w14:textId="77777777" w:rsidR="001341EC" w:rsidRPr="00126FA8" w:rsidRDefault="001341EC" w:rsidP="00165AA6">
            <w:pPr>
              <w:rPr>
                <w:rFonts w:ascii="Book Antiqua" w:hAnsi="Book Antiqua"/>
                <w:sz w:val="22"/>
                <w:szCs w:val="22"/>
                <w:lang w:eastAsia="es-CR"/>
              </w:rPr>
            </w:pPr>
          </w:p>
        </w:tc>
      </w:tr>
      <w:tr w:rsidR="001341EC" w:rsidRPr="00126FA8" w14:paraId="619E4F1C" w14:textId="77777777" w:rsidTr="00165AA6">
        <w:trPr>
          <w:trHeight w:val="20"/>
        </w:trPr>
        <w:tc>
          <w:tcPr>
            <w:tcW w:w="512" w:type="dxa"/>
            <w:tcBorders>
              <w:top w:val="nil"/>
              <w:left w:val="double" w:sz="6" w:space="0" w:color="4472C4"/>
              <w:bottom w:val="nil"/>
              <w:right w:val="double" w:sz="6" w:space="0" w:color="4472C4"/>
            </w:tcBorders>
            <w:vAlign w:val="center"/>
          </w:tcPr>
          <w:p w14:paraId="15CCF295" w14:textId="77777777" w:rsidR="001341EC" w:rsidRPr="00126FA8" w:rsidRDefault="001341EC" w:rsidP="00165AA6">
            <w:pPr>
              <w:jc w:val="center"/>
              <w:rPr>
                <w:rFonts w:ascii="Book Antiqua" w:hAnsi="Book Antiqua"/>
                <w:b/>
                <w:bCs/>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7282FEF0" w14:textId="77777777" w:rsidR="001341EC" w:rsidRPr="00126FA8" w:rsidRDefault="001341EC" w:rsidP="00165AA6">
            <w:pPr>
              <w:jc w:val="both"/>
              <w:rPr>
                <w:rFonts w:ascii="Book Antiqua" w:hAnsi="Book Antiqua"/>
                <w:b/>
                <w:bCs/>
                <w:sz w:val="22"/>
                <w:szCs w:val="22"/>
                <w:lang w:eastAsia="es-CR"/>
              </w:rPr>
            </w:pPr>
            <w:r w:rsidRPr="00126FA8">
              <w:rPr>
                <w:rFonts w:ascii="Book Antiqua" w:hAnsi="Book Antiqua"/>
                <w:b/>
                <w:bCs/>
                <w:sz w:val="22"/>
                <w:szCs w:val="22"/>
                <w:lang w:val="es-ES" w:eastAsia="es-CR"/>
              </w:rPr>
              <w:t>Desde un punto de vista técnico-metodológico, esta Escuela Judicial considera que replicar los cursos impartidos en el mes de diciembre, desde ningún punto de vista podría permitir el desarrollo o fortalecimiento de las competencias que se requieren en la administración de justicia agraria</w:t>
            </w:r>
            <w:r w:rsidRPr="00126FA8">
              <w:rPr>
                <w:rFonts w:ascii="Book Antiqua" w:hAnsi="Book Antiqua"/>
                <w:sz w:val="22"/>
                <w:szCs w:val="22"/>
                <w:lang w:val="es-ES" w:eastAsia="es-CR"/>
              </w:rPr>
              <w:t>.</w:t>
            </w:r>
          </w:p>
        </w:tc>
        <w:tc>
          <w:tcPr>
            <w:tcW w:w="3802" w:type="dxa"/>
            <w:vMerge/>
            <w:tcBorders>
              <w:left w:val="double" w:sz="6" w:space="0" w:color="4472C4"/>
              <w:right w:val="double" w:sz="6" w:space="0" w:color="4472C4"/>
            </w:tcBorders>
            <w:vAlign w:val="center"/>
            <w:hideMark/>
          </w:tcPr>
          <w:p w14:paraId="267B41F6" w14:textId="77777777" w:rsidR="001341EC" w:rsidRPr="00126FA8" w:rsidRDefault="001341EC" w:rsidP="00165AA6">
            <w:pPr>
              <w:rPr>
                <w:rFonts w:ascii="Book Antiqua" w:hAnsi="Book Antiqua"/>
                <w:sz w:val="22"/>
                <w:szCs w:val="22"/>
                <w:lang w:eastAsia="es-CR"/>
              </w:rPr>
            </w:pPr>
          </w:p>
        </w:tc>
      </w:tr>
      <w:tr w:rsidR="001341EC" w:rsidRPr="00126FA8" w14:paraId="5CDF2BE0" w14:textId="77777777" w:rsidTr="00165AA6">
        <w:trPr>
          <w:trHeight w:val="20"/>
        </w:trPr>
        <w:tc>
          <w:tcPr>
            <w:tcW w:w="512" w:type="dxa"/>
            <w:tcBorders>
              <w:top w:val="nil"/>
              <w:left w:val="double" w:sz="6" w:space="0" w:color="4472C4"/>
              <w:bottom w:val="nil"/>
              <w:right w:val="double" w:sz="6" w:space="0" w:color="4472C4"/>
            </w:tcBorders>
            <w:vAlign w:val="center"/>
          </w:tcPr>
          <w:p w14:paraId="114DCFB9"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7126AAEB"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 </w:t>
            </w:r>
          </w:p>
        </w:tc>
        <w:tc>
          <w:tcPr>
            <w:tcW w:w="3802" w:type="dxa"/>
            <w:vMerge/>
            <w:tcBorders>
              <w:left w:val="double" w:sz="6" w:space="0" w:color="4472C4"/>
              <w:right w:val="double" w:sz="6" w:space="0" w:color="4472C4"/>
            </w:tcBorders>
            <w:vAlign w:val="center"/>
            <w:hideMark/>
          </w:tcPr>
          <w:p w14:paraId="7377FAD8" w14:textId="77777777" w:rsidR="001341EC" w:rsidRPr="00126FA8" w:rsidRDefault="001341EC" w:rsidP="00165AA6">
            <w:pPr>
              <w:rPr>
                <w:rFonts w:ascii="Book Antiqua" w:hAnsi="Book Antiqua"/>
                <w:sz w:val="22"/>
                <w:szCs w:val="22"/>
                <w:lang w:eastAsia="es-CR"/>
              </w:rPr>
            </w:pPr>
          </w:p>
        </w:tc>
      </w:tr>
      <w:tr w:rsidR="001341EC" w:rsidRPr="00126FA8" w14:paraId="25BC7773" w14:textId="77777777" w:rsidTr="00165AA6">
        <w:trPr>
          <w:trHeight w:val="20"/>
        </w:trPr>
        <w:tc>
          <w:tcPr>
            <w:tcW w:w="512" w:type="dxa"/>
            <w:tcBorders>
              <w:top w:val="nil"/>
              <w:left w:val="double" w:sz="6" w:space="0" w:color="4472C4"/>
              <w:bottom w:val="nil"/>
              <w:right w:val="double" w:sz="6" w:space="0" w:color="4472C4"/>
            </w:tcBorders>
            <w:vAlign w:val="center"/>
          </w:tcPr>
          <w:p w14:paraId="78A31081"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22BD26CB"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Considera esta Dirección, que un adecuado abordaje y acompañamiento durante la implementación de la reforma procesal agraria, implica obligatoriamente actividades formativas, dirigidas a competencias específicas según la población que se debe abarcar.</w:t>
            </w:r>
          </w:p>
        </w:tc>
        <w:tc>
          <w:tcPr>
            <w:tcW w:w="3802" w:type="dxa"/>
            <w:vMerge/>
            <w:tcBorders>
              <w:left w:val="double" w:sz="6" w:space="0" w:color="4472C4"/>
              <w:right w:val="double" w:sz="6" w:space="0" w:color="4472C4"/>
            </w:tcBorders>
            <w:vAlign w:val="center"/>
            <w:hideMark/>
          </w:tcPr>
          <w:p w14:paraId="4D85EC06" w14:textId="77777777" w:rsidR="001341EC" w:rsidRPr="00126FA8" w:rsidRDefault="001341EC" w:rsidP="00165AA6">
            <w:pPr>
              <w:rPr>
                <w:rFonts w:ascii="Book Antiqua" w:hAnsi="Book Antiqua"/>
                <w:sz w:val="22"/>
                <w:szCs w:val="22"/>
                <w:lang w:eastAsia="es-CR"/>
              </w:rPr>
            </w:pPr>
          </w:p>
        </w:tc>
      </w:tr>
      <w:tr w:rsidR="001341EC" w:rsidRPr="00126FA8" w14:paraId="2BE84059" w14:textId="77777777" w:rsidTr="00165AA6">
        <w:trPr>
          <w:trHeight w:val="20"/>
        </w:trPr>
        <w:tc>
          <w:tcPr>
            <w:tcW w:w="512" w:type="dxa"/>
            <w:tcBorders>
              <w:top w:val="nil"/>
              <w:left w:val="double" w:sz="6" w:space="0" w:color="4472C4"/>
              <w:bottom w:val="nil"/>
              <w:right w:val="double" w:sz="6" w:space="0" w:color="4472C4"/>
            </w:tcBorders>
            <w:vAlign w:val="center"/>
          </w:tcPr>
          <w:p w14:paraId="4A3F4560"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78556277"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 xml:space="preserve"> </w:t>
            </w:r>
          </w:p>
        </w:tc>
        <w:tc>
          <w:tcPr>
            <w:tcW w:w="3802" w:type="dxa"/>
            <w:vMerge/>
            <w:tcBorders>
              <w:left w:val="double" w:sz="6" w:space="0" w:color="4472C4"/>
              <w:right w:val="double" w:sz="6" w:space="0" w:color="4472C4"/>
            </w:tcBorders>
            <w:vAlign w:val="center"/>
            <w:hideMark/>
          </w:tcPr>
          <w:p w14:paraId="7EAF7353" w14:textId="77777777" w:rsidR="001341EC" w:rsidRPr="00126FA8" w:rsidRDefault="001341EC" w:rsidP="00165AA6">
            <w:pPr>
              <w:rPr>
                <w:rFonts w:ascii="Book Antiqua" w:hAnsi="Book Antiqua"/>
                <w:sz w:val="22"/>
                <w:szCs w:val="22"/>
                <w:lang w:eastAsia="es-CR"/>
              </w:rPr>
            </w:pPr>
          </w:p>
        </w:tc>
      </w:tr>
      <w:tr w:rsidR="001341EC" w:rsidRPr="00126FA8" w14:paraId="26C0617A" w14:textId="77777777" w:rsidTr="00165AA6">
        <w:trPr>
          <w:trHeight w:val="20"/>
        </w:trPr>
        <w:tc>
          <w:tcPr>
            <w:tcW w:w="512" w:type="dxa"/>
            <w:tcBorders>
              <w:top w:val="nil"/>
              <w:left w:val="double" w:sz="6" w:space="0" w:color="4472C4"/>
              <w:bottom w:val="nil"/>
              <w:right w:val="double" w:sz="6" w:space="0" w:color="4472C4"/>
            </w:tcBorders>
            <w:vAlign w:val="center"/>
          </w:tcPr>
          <w:p w14:paraId="07F9604A"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04EFB514"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A este momento, luego de tener la experiencia de la actividad informativa de diciembre y otros insumos, podríamos identificar diferentes poblaciones, con necesidades y niveles de profundidad distintos.</w:t>
            </w:r>
          </w:p>
        </w:tc>
        <w:tc>
          <w:tcPr>
            <w:tcW w:w="3802" w:type="dxa"/>
            <w:vMerge/>
            <w:tcBorders>
              <w:left w:val="double" w:sz="6" w:space="0" w:color="4472C4"/>
              <w:right w:val="double" w:sz="6" w:space="0" w:color="4472C4"/>
            </w:tcBorders>
            <w:vAlign w:val="center"/>
            <w:hideMark/>
          </w:tcPr>
          <w:p w14:paraId="7B026A99" w14:textId="77777777" w:rsidR="001341EC" w:rsidRPr="00126FA8" w:rsidRDefault="001341EC" w:rsidP="00165AA6">
            <w:pPr>
              <w:rPr>
                <w:rFonts w:ascii="Book Antiqua" w:hAnsi="Book Antiqua"/>
                <w:sz w:val="22"/>
                <w:szCs w:val="22"/>
                <w:lang w:eastAsia="es-CR"/>
              </w:rPr>
            </w:pPr>
          </w:p>
        </w:tc>
      </w:tr>
      <w:tr w:rsidR="001341EC" w:rsidRPr="00126FA8" w14:paraId="7408C150" w14:textId="77777777" w:rsidTr="00165AA6">
        <w:trPr>
          <w:trHeight w:val="20"/>
        </w:trPr>
        <w:tc>
          <w:tcPr>
            <w:tcW w:w="512" w:type="dxa"/>
            <w:tcBorders>
              <w:top w:val="nil"/>
              <w:left w:val="double" w:sz="6" w:space="0" w:color="4472C4"/>
              <w:bottom w:val="nil"/>
              <w:right w:val="double" w:sz="6" w:space="0" w:color="4472C4"/>
            </w:tcBorders>
            <w:vAlign w:val="center"/>
          </w:tcPr>
          <w:p w14:paraId="3D683C65"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62E1B592"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 </w:t>
            </w:r>
          </w:p>
        </w:tc>
        <w:tc>
          <w:tcPr>
            <w:tcW w:w="3802" w:type="dxa"/>
            <w:vMerge/>
            <w:tcBorders>
              <w:left w:val="double" w:sz="6" w:space="0" w:color="4472C4"/>
              <w:right w:val="double" w:sz="6" w:space="0" w:color="4472C4"/>
            </w:tcBorders>
            <w:vAlign w:val="center"/>
            <w:hideMark/>
          </w:tcPr>
          <w:p w14:paraId="07FF9BCD" w14:textId="77777777" w:rsidR="001341EC" w:rsidRPr="00126FA8" w:rsidRDefault="001341EC" w:rsidP="00165AA6">
            <w:pPr>
              <w:rPr>
                <w:rFonts w:ascii="Book Antiqua" w:hAnsi="Book Antiqua"/>
                <w:sz w:val="22"/>
                <w:szCs w:val="22"/>
                <w:lang w:eastAsia="es-CR"/>
              </w:rPr>
            </w:pPr>
          </w:p>
        </w:tc>
      </w:tr>
      <w:tr w:rsidR="001341EC" w:rsidRPr="00126FA8" w14:paraId="203AA058" w14:textId="77777777" w:rsidTr="00165AA6">
        <w:trPr>
          <w:trHeight w:val="20"/>
        </w:trPr>
        <w:tc>
          <w:tcPr>
            <w:tcW w:w="512" w:type="dxa"/>
            <w:tcBorders>
              <w:top w:val="nil"/>
              <w:left w:val="double" w:sz="6" w:space="0" w:color="4472C4"/>
              <w:bottom w:val="nil"/>
              <w:right w:val="double" w:sz="6" w:space="0" w:color="4472C4"/>
            </w:tcBorders>
            <w:vAlign w:val="center"/>
          </w:tcPr>
          <w:p w14:paraId="0EED22F6"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3A62E573"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Por ejemplo: Personas Juzgadoras 4, Personas Juzgadoras 3 propietarias o interinas, con una gran experiencia y formación académica en la materia sumamente especializada, personas juzgadoras 3 con escasa experiencia y una formación académica NO ESPECIALIZADA en la materia, personas juzgadoras supernumerarias (que por regla general no fueron evaluadas en materia agraria, ni tienen formación en la materia) y por último, personas técnicas judiciales.</w:t>
            </w:r>
          </w:p>
        </w:tc>
        <w:tc>
          <w:tcPr>
            <w:tcW w:w="3802" w:type="dxa"/>
            <w:vMerge/>
            <w:tcBorders>
              <w:left w:val="double" w:sz="6" w:space="0" w:color="4472C4"/>
              <w:right w:val="double" w:sz="6" w:space="0" w:color="4472C4"/>
            </w:tcBorders>
            <w:vAlign w:val="center"/>
            <w:hideMark/>
          </w:tcPr>
          <w:p w14:paraId="7F093B73" w14:textId="77777777" w:rsidR="001341EC" w:rsidRPr="00126FA8" w:rsidRDefault="001341EC" w:rsidP="00165AA6">
            <w:pPr>
              <w:rPr>
                <w:rFonts w:ascii="Book Antiqua" w:hAnsi="Book Antiqua"/>
                <w:sz w:val="22"/>
                <w:szCs w:val="22"/>
                <w:lang w:eastAsia="es-CR"/>
              </w:rPr>
            </w:pPr>
          </w:p>
        </w:tc>
      </w:tr>
      <w:tr w:rsidR="001341EC" w:rsidRPr="00126FA8" w14:paraId="45F9BC6C" w14:textId="77777777" w:rsidTr="00165AA6">
        <w:trPr>
          <w:trHeight w:val="20"/>
        </w:trPr>
        <w:tc>
          <w:tcPr>
            <w:tcW w:w="512" w:type="dxa"/>
            <w:tcBorders>
              <w:top w:val="nil"/>
              <w:left w:val="double" w:sz="6" w:space="0" w:color="4472C4"/>
              <w:bottom w:val="nil"/>
              <w:right w:val="double" w:sz="6" w:space="0" w:color="4472C4"/>
            </w:tcBorders>
            <w:vAlign w:val="center"/>
          </w:tcPr>
          <w:p w14:paraId="0426034C"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41593E58"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 </w:t>
            </w:r>
          </w:p>
        </w:tc>
        <w:tc>
          <w:tcPr>
            <w:tcW w:w="3802" w:type="dxa"/>
            <w:vMerge/>
            <w:tcBorders>
              <w:left w:val="double" w:sz="6" w:space="0" w:color="4472C4"/>
              <w:right w:val="double" w:sz="6" w:space="0" w:color="4472C4"/>
            </w:tcBorders>
            <w:vAlign w:val="center"/>
            <w:hideMark/>
          </w:tcPr>
          <w:p w14:paraId="17B9979A" w14:textId="77777777" w:rsidR="001341EC" w:rsidRPr="00126FA8" w:rsidRDefault="001341EC" w:rsidP="00165AA6">
            <w:pPr>
              <w:rPr>
                <w:rFonts w:ascii="Book Antiqua" w:hAnsi="Book Antiqua"/>
                <w:sz w:val="22"/>
                <w:szCs w:val="22"/>
                <w:lang w:eastAsia="es-CR"/>
              </w:rPr>
            </w:pPr>
          </w:p>
        </w:tc>
      </w:tr>
      <w:tr w:rsidR="001341EC" w:rsidRPr="00126FA8" w14:paraId="50FF49E9" w14:textId="77777777" w:rsidTr="00165AA6">
        <w:trPr>
          <w:trHeight w:val="20"/>
        </w:trPr>
        <w:tc>
          <w:tcPr>
            <w:tcW w:w="512" w:type="dxa"/>
            <w:tcBorders>
              <w:top w:val="nil"/>
              <w:left w:val="double" w:sz="6" w:space="0" w:color="4472C4"/>
              <w:bottom w:val="nil"/>
              <w:right w:val="double" w:sz="6" w:space="0" w:color="4472C4"/>
            </w:tcBorders>
            <w:vAlign w:val="center"/>
          </w:tcPr>
          <w:p w14:paraId="18BE4E08"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57C457BB"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 xml:space="preserve">  Es importante recordar que cuando el Poder Judicial determinó, por acuerdo de Corte Plena, que el Modelo de Capacitación a aplicar era el modelo por </w:t>
            </w:r>
            <w:r w:rsidRPr="00126FA8">
              <w:rPr>
                <w:rFonts w:ascii="Book Antiqua" w:hAnsi="Book Antiqua"/>
                <w:b/>
                <w:bCs/>
                <w:sz w:val="22"/>
                <w:szCs w:val="22"/>
                <w:lang w:val="es-ES" w:eastAsia="es-CR"/>
              </w:rPr>
              <w:t>competencias profesionales</w:t>
            </w:r>
            <w:r w:rsidRPr="00126FA8">
              <w:rPr>
                <w:rFonts w:ascii="Book Antiqua" w:hAnsi="Book Antiqua"/>
                <w:sz w:val="22"/>
                <w:szCs w:val="22"/>
                <w:lang w:val="es-ES" w:eastAsia="es-CR"/>
              </w:rPr>
              <w:t xml:space="preserve">, eso implicó que </w:t>
            </w:r>
            <w:r w:rsidRPr="00126FA8">
              <w:rPr>
                <w:rFonts w:ascii="Book Antiqua" w:hAnsi="Book Antiqua"/>
                <w:sz w:val="22"/>
                <w:szCs w:val="22"/>
                <w:lang w:val="es-ES" w:eastAsia="es-CR"/>
              </w:rPr>
              <w:lastRenderedPageBreak/>
              <w:t>abandonáramos la idea de actividades de capacitación donde se abarcaran “temarios” o “contenidos” de manera magistral. Esa decisión implica que la capacitación debería adaptarse a la función que se realiza desde cada puesto, reconociendo la existencia de diferentes niveles de desarrollo de las competencias requeridas para ello.</w:t>
            </w:r>
          </w:p>
        </w:tc>
        <w:tc>
          <w:tcPr>
            <w:tcW w:w="3802" w:type="dxa"/>
            <w:vMerge/>
            <w:tcBorders>
              <w:left w:val="double" w:sz="6" w:space="0" w:color="4472C4"/>
              <w:right w:val="double" w:sz="6" w:space="0" w:color="4472C4"/>
            </w:tcBorders>
            <w:vAlign w:val="center"/>
            <w:hideMark/>
          </w:tcPr>
          <w:p w14:paraId="22667E12" w14:textId="77777777" w:rsidR="001341EC" w:rsidRPr="00126FA8" w:rsidRDefault="001341EC" w:rsidP="00165AA6">
            <w:pPr>
              <w:rPr>
                <w:rFonts w:ascii="Book Antiqua" w:hAnsi="Book Antiqua"/>
                <w:sz w:val="22"/>
                <w:szCs w:val="22"/>
                <w:lang w:eastAsia="es-CR"/>
              </w:rPr>
            </w:pPr>
          </w:p>
        </w:tc>
      </w:tr>
      <w:tr w:rsidR="001341EC" w:rsidRPr="00126FA8" w14:paraId="228C8632" w14:textId="77777777" w:rsidTr="00165AA6">
        <w:trPr>
          <w:trHeight w:val="20"/>
        </w:trPr>
        <w:tc>
          <w:tcPr>
            <w:tcW w:w="512" w:type="dxa"/>
            <w:tcBorders>
              <w:top w:val="nil"/>
              <w:left w:val="double" w:sz="6" w:space="0" w:color="4472C4"/>
              <w:bottom w:val="nil"/>
              <w:right w:val="double" w:sz="6" w:space="0" w:color="4472C4"/>
            </w:tcBorders>
            <w:vAlign w:val="center"/>
          </w:tcPr>
          <w:p w14:paraId="6CC35386"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1C681A64"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 </w:t>
            </w:r>
          </w:p>
        </w:tc>
        <w:tc>
          <w:tcPr>
            <w:tcW w:w="3802" w:type="dxa"/>
            <w:vMerge/>
            <w:tcBorders>
              <w:left w:val="double" w:sz="6" w:space="0" w:color="4472C4"/>
              <w:right w:val="double" w:sz="6" w:space="0" w:color="4472C4"/>
            </w:tcBorders>
            <w:vAlign w:val="center"/>
            <w:hideMark/>
          </w:tcPr>
          <w:p w14:paraId="60C93895" w14:textId="77777777" w:rsidR="001341EC" w:rsidRPr="00126FA8" w:rsidRDefault="001341EC" w:rsidP="00165AA6">
            <w:pPr>
              <w:rPr>
                <w:rFonts w:ascii="Book Antiqua" w:hAnsi="Book Antiqua"/>
                <w:sz w:val="22"/>
                <w:szCs w:val="22"/>
                <w:lang w:eastAsia="es-CR"/>
              </w:rPr>
            </w:pPr>
          </w:p>
        </w:tc>
      </w:tr>
      <w:tr w:rsidR="001341EC" w:rsidRPr="00126FA8" w14:paraId="6DD6FC45" w14:textId="77777777" w:rsidTr="00165AA6">
        <w:trPr>
          <w:trHeight w:val="20"/>
        </w:trPr>
        <w:tc>
          <w:tcPr>
            <w:tcW w:w="512" w:type="dxa"/>
            <w:tcBorders>
              <w:top w:val="nil"/>
              <w:left w:val="double" w:sz="6" w:space="0" w:color="4472C4"/>
              <w:bottom w:val="nil"/>
              <w:right w:val="double" w:sz="6" w:space="0" w:color="4472C4"/>
            </w:tcBorders>
            <w:vAlign w:val="center"/>
          </w:tcPr>
          <w:p w14:paraId="0404EC62" w14:textId="77777777" w:rsidR="001341EC" w:rsidRPr="00126FA8" w:rsidRDefault="001341EC" w:rsidP="00165AA6">
            <w:pPr>
              <w:jc w:val="center"/>
              <w:rPr>
                <w:rFonts w:ascii="Book Antiqua" w:hAnsi="Book Antiqua"/>
                <w:b/>
                <w:bCs/>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4BED1244" w14:textId="77777777" w:rsidR="001341EC" w:rsidRPr="00126FA8" w:rsidRDefault="001341EC" w:rsidP="00165AA6">
            <w:pPr>
              <w:jc w:val="both"/>
              <w:rPr>
                <w:rFonts w:ascii="Book Antiqua" w:hAnsi="Book Antiqua"/>
                <w:b/>
                <w:bCs/>
                <w:sz w:val="22"/>
                <w:szCs w:val="22"/>
                <w:lang w:eastAsia="es-CR"/>
              </w:rPr>
            </w:pPr>
            <w:r w:rsidRPr="00126FA8">
              <w:rPr>
                <w:rFonts w:ascii="Book Antiqua" w:hAnsi="Book Antiqua"/>
                <w:b/>
                <w:bCs/>
                <w:sz w:val="22"/>
                <w:szCs w:val="22"/>
                <w:lang w:val="es-ES" w:eastAsia="es-CR"/>
              </w:rPr>
              <w:t>Es por ello, que desde todo punto de vista, la capacitación para la reforma procesal agraria, no podría llevarse a cabo de manera satisfactoria, eficaz y eficiente, con los recursos que se pretenden asignar</w:t>
            </w:r>
            <w:r w:rsidRPr="00126FA8">
              <w:rPr>
                <w:rFonts w:ascii="Book Antiqua" w:hAnsi="Book Antiqua"/>
                <w:sz w:val="22"/>
                <w:szCs w:val="22"/>
                <w:lang w:val="es-ES" w:eastAsia="es-CR"/>
              </w:rPr>
              <w:t>.</w:t>
            </w:r>
          </w:p>
        </w:tc>
        <w:tc>
          <w:tcPr>
            <w:tcW w:w="3802" w:type="dxa"/>
            <w:vMerge/>
            <w:tcBorders>
              <w:left w:val="double" w:sz="6" w:space="0" w:color="4472C4"/>
              <w:right w:val="double" w:sz="6" w:space="0" w:color="4472C4"/>
            </w:tcBorders>
            <w:vAlign w:val="center"/>
            <w:hideMark/>
          </w:tcPr>
          <w:p w14:paraId="60E28A0D" w14:textId="77777777" w:rsidR="001341EC" w:rsidRPr="00126FA8" w:rsidRDefault="001341EC" w:rsidP="00165AA6">
            <w:pPr>
              <w:rPr>
                <w:rFonts w:ascii="Book Antiqua" w:hAnsi="Book Antiqua"/>
                <w:sz w:val="22"/>
                <w:szCs w:val="22"/>
                <w:lang w:eastAsia="es-CR"/>
              </w:rPr>
            </w:pPr>
          </w:p>
        </w:tc>
      </w:tr>
      <w:tr w:rsidR="001341EC" w:rsidRPr="00126FA8" w14:paraId="0C0C408D" w14:textId="77777777" w:rsidTr="00165AA6">
        <w:trPr>
          <w:trHeight w:val="20"/>
        </w:trPr>
        <w:tc>
          <w:tcPr>
            <w:tcW w:w="512" w:type="dxa"/>
            <w:tcBorders>
              <w:top w:val="nil"/>
              <w:left w:val="double" w:sz="6" w:space="0" w:color="4472C4"/>
              <w:bottom w:val="nil"/>
              <w:right w:val="double" w:sz="6" w:space="0" w:color="4472C4"/>
            </w:tcBorders>
            <w:vAlign w:val="center"/>
          </w:tcPr>
          <w:p w14:paraId="6B98E451"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637BDE00"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 </w:t>
            </w:r>
          </w:p>
        </w:tc>
        <w:tc>
          <w:tcPr>
            <w:tcW w:w="3802" w:type="dxa"/>
            <w:vMerge/>
            <w:tcBorders>
              <w:left w:val="double" w:sz="6" w:space="0" w:color="4472C4"/>
              <w:right w:val="double" w:sz="6" w:space="0" w:color="4472C4"/>
            </w:tcBorders>
            <w:vAlign w:val="center"/>
            <w:hideMark/>
          </w:tcPr>
          <w:p w14:paraId="22009977" w14:textId="77777777" w:rsidR="001341EC" w:rsidRPr="00126FA8" w:rsidRDefault="001341EC" w:rsidP="00165AA6">
            <w:pPr>
              <w:rPr>
                <w:rFonts w:ascii="Book Antiqua" w:hAnsi="Book Antiqua"/>
                <w:sz w:val="22"/>
                <w:szCs w:val="22"/>
                <w:lang w:eastAsia="es-CR"/>
              </w:rPr>
            </w:pPr>
          </w:p>
        </w:tc>
      </w:tr>
      <w:tr w:rsidR="001341EC" w:rsidRPr="00126FA8" w14:paraId="6973950C" w14:textId="77777777" w:rsidTr="00165AA6">
        <w:trPr>
          <w:trHeight w:val="20"/>
        </w:trPr>
        <w:tc>
          <w:tcPr>
            <w:tcW w:w="512" w:type="dxa"/>
            <w:tcBorders>
              <w:top w:val="nil"/>
              <w:left w:val="double" w:sz="6" w:space="0" w:color="4472C4"/>
              <w:bottom w:val="nil"/>
              <w:right w:val="double" w:sz="6" w:space="0" w:color="4472C4"/>
            </w:tcBorders>
            <w:vAlign w:val="center"/>
          </w:tcPr>
          <w:p w14:paraId="4D151E4A" w14:textId="77777777" w:rsidR="001341EC" w:rsidRPr="00126FA8" w:rsidRDefault="001341EC" w:rsidP="00165AA6">
            <w:pPr>
              <w:jc w:val="center"/>
              <w:rPr>
                <w:rFonts w:ascii="Book Antiqua" w:hAnsi="Book Antiqua"/>
                <w:sz w:val="22"/>
                <w:szCs w:val="22"/>
                <w:lang w:val="es-ES"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3E37D825"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val="es-ES" w:eastAsia="es-CR"/>
              </w:rPr>
              <w:t>En virtud de lo anterior, someto a su análisis las presentes consideraciones, con la finalidad que lo recomendado en el oficio 481-PLA-RH-MI-2019, en lo referente a capacitación sea modificado y adecuado a necesidades reales, que consideren aspectos técnicos-metodológicos propios de la formación y capacitación, aspectos que le corresponde definir a la instancia que me honra dirigir.</w:t>
            </w:r>
          </w:p>
        </w:tc>
        <w:tc>
          <w:tcPr>
            <w:tcW w:w="3802" w:type="dxa"/>
            <w:vMerge/>
            <w:tcBorders>
              <w:left w:val="double" w:sz="6" w:space="0" w:color="4472C4"/>
              <w:right w:val="double" w:sz="6" w:space="0" w:color="4472C4"/>
            </w:tcBorders>
            <w:vAlign w:val="center"/>
            <w:hideMark/>
          </w:tcPr>
          <w:p w14:paraId="7F6BE66B" w14:textId="77777777" w:rsidR="001341EC" w:rsidRPr="00126FA8" w:rsidRDefault="001341EC" w:rsidP="00165AA6">
            <w:pPr>
              <w:rPr>
                <w:rFonts w:ascii="Book Antiqua" w:hAnsi="Book Antiqua"/>
                <w:sz w:val="22"/>
                <w:szCs w:val="22"/>
                <w:lang w:eastAsia="es-CR"/>
              </w:rPr>
            </w:pPr>
          </w:p>
        </w:tc>
      </w:tr>
      <w:tr w:rsidR="001341EC" w:rsidRPr="00126FA8" w14:paraId="3A649352" w14:textId="77777777" w:rsidTr="00165AA6">
        <w:trPr>
          <w:trHeight w:val="20"/>
        </w:trPr>
        <w:tc>
          <w:tcPr>
            <w:tcW w:w="512" w:type="dxa"/>
            <w:tcBorders>
              <w:top w:val="nil"/>
              <w:left w:val="double" w:sz="6" w:space="0" w:color="4472C4"/>
              <w:bottom w:val="double" w:sz="6" w:space="0" w:color="4472C4"/>
              <w:right w:val="double" w:sz="6" w:space="0" w:color="4472C4"/>
            </w:tcBorders>
            <w:vAlign w:val="center"/>
          </w:tcPr>
          <w:p w14:paraId="1229E912" w14:textId="77777777" w:rsidR="001341EC" w:rsidRPr="00126FA8"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double" w:sz="6" w:space="0" w:color="4472C4"/>
              <w:right w:val="double" w:sz="6" w:space="0" w:color="4472C4"/>
            </w:tcBorders>
            <w:shd w:val="clear" w:color="auto" w:fill="auto"/>
            <w:vAlign w:val="center"/>
            <w:hideMark/>
          </w:tcPr>
          <w:p w14:paraId="6CDF06BE" w14:textId="77777777" w:rsidR="001341EC" w:rsidRPr="00126FA8" w:rsidRDefault="001341EC" w:rsidP="00165AA6">
            <w:pPr>
              <w:jc w:val="center"/>
              <w:rPr>
                <w:rFonts w:ascii="Book Antiqua" w:hAnsi="Book Antiqua"/>
                <w:sz w:val="22"/>
                <w:szCs w:val="22"/>
                <w:lang w:eastAsia="es-CR"/>
              </w:rPr>
            </w:pPr>
            <w:r w:rsidRPr="00126FA8">
              <w:rPr>
                <w:rFonts w:ascii="Book Antiqua" w:hAnsi="Book Antiqua"/>
                <w:sz w:val="22"/>
                <w:szCs w:val="22"/>
                <w:lang w:eastAsia="es-CR"/>
              </w:rPr>
              <w:t> </w:t>
            </w:r>
          </w:p>
        </w:tc>
        <w:tc>
          <w:tcPr>
            <w:tcW w:w="3802" w:type="dxa"/>
            <w:vMerge/>
            <w:tcBorders>
              <w:left w:val="double" w:sz="6" w:space="0" w:color="4472C4"/>
              <w:bottom w:val="double" w:sz="6" w:space="0" w:color="4472C4"/>
              <w:right w:val="double" w:sz="6" w:space="0" w:color="4472C4"/>
            </w:tcBorders>
            <w:vAlign w:val="center"/>
            <w:hideMark/>
          </w:tcPr>
          <w:p w14:paraId="4312917F" w14:textId="77777777" w:rsidR="001341EC" w:rsidRPr="00126FA8" w:rsidRDefault="001341EC" w:rsidP="00165AA6">
            <w:pPr>
              <w:rPr>
                <w:rFonts w:ascii="Book Antiqua" w:hAnsi="Book Antiqua"/>
                <w:sz w:val="22"/>
                <w:szCs w:val="22"/>
                <w:lang w:eastAsia="es-CR"/>
              </w:rPr>
            </w:pPr>
          </w:p>
        </w:tc>
      </w:tr>
      <w:tr w:rsidR="001341EC" w:rsidRPr="00126FA8" w14:paraId="592F823E"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shd w:val="clear" w:color="auto" w:fill="DEEAF6"/>
            <w:vAlign w:val="center"/>
          </w:tcPr>
          <w:p w14:paraId="3F7496FE" w14:textId="77777777" w:rsidR="001341EC" w:rsidRPr="00126FA8" w:rsidRDefault="001341EC" w:rsidP="00165AA6">
            <w:pPr>
              <w:jc w:val="center"/>
              <w:rPr>
                <w:rFonts w:ascii="Book Antiqua" w:hAnsi="Book Antiqua"/>
                <w:b/>
                <w:i/>
                <w:sz w:val="22"/>
                <w:szCs w:val="22"/>
                <w:lang w:eastAsia="es-CR"/>
              </w:rPr>
            </w:pPr>
          </w:p>
        </w:tc>
        <w:tc>
          <w:tcPr>
            <w:tcW w:w="8466" w:type="dxa"/>
            <w:gridSpan w:val="2"/>
            <w:tcBorders>
              <w:top w:val="double" w:sz="6" w:space="0" w:color="4472C4"/>
              <w:left w:val="double" w:sz="6" w:space="0" w:color="4472C4"/>
              <w:bottom w:val="double" w:sz="6" w:space="0" w:color="4472C4"/>
              <w:right w:val="double" w:sz="6" w:space="0" w:color="4472C4"/>
            </w:tcBorders>
            <w:shd w:val="clear" w:color="auto" w:fill="DEEAF6"/>
            <w:vAlign w:val="center"/>
            <w:hideMark/>
          </w:tcPr>
          <w:p w14:paraId="76D15ED1" w14:textId="77777777" w:rsidR="001341EC" w:rsidRPr="00126FA8" w:rsidRDefault="001341EC" w:rsidP="00165AA6">
            <w:pPr>
              <w:rPr>
                <w:rFonts w:ascii="Book Antiqua" w:hAnsi="Book Antiqua"/>
                <w:b/>
                <w:i/>
                <w:sz w:val="22"/>
                <w:szCs w:val="22"/>
                <w:lang w:eastAsia="es-CR"/>
              </w:rPr>
            </w:pPr>
            <w:r w:rsidRPr="00126FA8">
              <w:rPr>
                <w:rFonts w:ascii="Book Antiqua" w:hAnsi="Book Antiqua"/>
                <w:b/>
                <w:i/>
                <w:sz w:val="22"/>
                <w:szCs w:val="22"/>
                <w:lang w:eastAsia="es-CR"/>
              </w:rPr>
              <w:t>Lic. Federico Villalobos Chacón, Juez Coordinador, Juzgado Agrario San Carlos</w:t>
            </w:r>
          </w:p>
        </w:tc>
      </w:tr>
      <w:tr w:rsidR="001341EC" w:rsidRPr="00126FA8" w14:paraId="35D4E80B"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0EA46A5B" w14:textId="77777777" w:rsidR="001341EC" w:rsidRPr="00F43A2A" w:rsidRDefault="001341EC" w:rsidP="00165AA6">
            <w:pPr>
              <w:jc w:val="center"/>
              <w:rPr>
                <w:rFonts w:ascii="Book Antiqua" w:hAnsi="Book Antiqua"/>
                <w:sz w:val="22"/>
                <w:szCs w:val="22"/>
                <w:lang w:val="es-MX" w:eastAsia="es-CR"/>
              </w:rPr>
            </w:pPr>
            <w:r w:rsidRPr="00F43A2A">
              <w:rPr>
                <w:rFonts w:ascii="Book Antiqua" w:hAnsi="Book Antiqua"/>
                <w:sz w:val="22"/>
                <w:szCs w:val="22"/>
                <w:lang w:val="es-MX" w:eastAsia="es-CR"/>
              </w:rPr>
              <w:t>1</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5490D2C4"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val="es-MX" w:eastAsia="es-CR"/>
              </w:rPr>
              <w:t>Respecto a la distribución de la defensa pública en relación con el Juzgado Agrario de San Carlos (página 12) se debe considerar que esta situación incide en la coordinación de agendas entre el Juzgado de Upala y el de San Carlos cuando las personas usuarias son representadas por la defensa pública.</w:t>
            </w:r>
          </w:p>
        </w:tc>
        <w:tc>
          <w:tcPr>
            <w:tcW w:w="3802" w:type="dxa"/>
            <w:tcBorders>
              <w:top w:val="nil"/>
              <w:left w:val="nil"/>
              <w:bottom w:val="double" w:sz="6" w:space="0" w:color="4472C4"/>
              <w:right w:val="double" w:sz="6" w:space="0" w:color="4472C4"/>
            </w:tcBorders>
            <w:shd w:val="clear" w:color="auto" w:fill="auto"/>
            <w:vAlign w:val="center"/>
            <w:hideMark/>
          </w:tcPr>
          <w:p w14:paraId="52F27B66"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Con respecto a esta observación, efectivamente incide en las agendas de ambos Despachos, por lo cual se debe a someter estrictamente a una coordinación previa, tal y cual se trabaja actualmente por parte de la Defensa Pública.</w:t>
            </w:r>
          </w:p>
          <w:p w14:paraId="3B74DBDC" w14:textId="77777777" w:rsidR="001341EC" w:rsidRPr="00126FA8" w:rsidRDefault="001341EC" w:rsidP="00165AA6">
            <w:pPr>
              <w:jc w:val="both"/>
              <w:rPr>
                <w:rFonts w:ascii="Book Antiqua" w:hAnsi="Book Antiqua"/>
                <w:sz w:val="22"/>
                <w:szCs w:val="22"/>
                <w:lang w:eastAsia="es-CR"/>
              </w:rPr>
            </w:pPr>
          </w:p>
          <w:p w14:paraId="0D235EAB" w14:textId="77777777" w:rsidR="001341EC"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La observación no modifica el contenido del informe. </w:t>
            </w:r>
          </w:p>
          <w:p w14:paraId="20F36E23" w14:textId="77777777" w:rsidR="00F44362" w:rsidRPr="00126FA8" w:rsidRDefault="00F44362" w:rsidP="00165AA6">
            <w:pPr>
              <w:jc w:val="both"/>
              <w:rPr>
                <w:rFonts w:ascii="Book Antiqua" w:hAnsi="Book Antiqua"/>
                <w:sz w:val="22"/>
                <w:szCs w:val="22"/>
                <w:lang w:eastAsia="es-CR"/>
              </w:rPr>
            </w:pPr>
          </w:p>
        </w:tc>
      </w:tr>
      <w:tr w:rsidR="001341EC" w:rsidRPr="00126FA8" w14:paraId="454D2114"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43D6B1BB"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2</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1E6D3491"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En términos generales y ante el promedio de ingreso de asuntos mensuales es claro, este Juzgado tiene un promedio mayor al de los otros Juzgados Agrarios del país, no obstante, este promedio mensual se hace con base en </w:t>
            </w:r>
            <w:r w:rsidRPr="001D1C4B">
              <w:rPr>
                <w:rFonts w:ascii="Book Antiqua" w:hAnsi="Book Antiqua"/>
                <w:sz w:val="22"/>
                <w:szCs w:val="22"/>
                <w:lang w:eastAsia="es-CR"/>
              </w:rPr>
              <w:lastRenderedPageBreak/>
              <w:t>los últimos tres años, creemos que esos datos no pueden considerarse como una proyección, ya que al ampliar la competencia, existe un alto grado de probabilidad de que el ingreso mensual aumente y por consiguiente se incremente el circulante de los juzgados.</w:t>
            </w:r>
          </w:p>
        </w:tc>
        <w:tc>
          <w:tcPr>
            <w:tcW w:w="3802" w:type="dxa"/>
            <w:tcBorders>
              <w:top w:val="nil"/>
              <w:left w:val="nil"/>
              <w:bottom w:val="double" w:sz="6" w:space="0" w:color="4472C4"/>
              <w:right w:val="double" w:sz="6" w:space="0" w:color="4472C4"/>
            </w:tcBorders>
            <w:shd w:val="clear" w:color="auto" w:fill="auto"/>
            <w:vAlign w:val="center"/>
            <w:hideMark/>
          </w:tcPr>
          <w:p w14:paraId="5E866C26"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xml:space="preserve"> La Dirección de Planificación valida el dato del promedio mensual, ya que se está considerando el comportamiento estadístico del Despacho en específico de los </w:t>
            </w:r>
            <w:r w:rsidRPr="00126FA8">
              <w:rPr>
                <w:rFonts w:ascii="Book Antiqua" w:hAnsi="Book Antiqua"/>
                <w:sz w:val="22"/>
                <w:szCs w:val="22"/>
                <w:lang w:eastAsia="es-CR"/>
              </w:rPr>
              <w:lastRenderedPageBreak/>
              <w:t xml:space="preserve">últimos tres años. </w:t>
            </w:r>
          </w:p>
          <w:p w14:paraId="65EFE6F6" w14:textId="77777777" w:rsidR="001341EC" w:rsidRPr="00126FA8" w:rsidRDefault="001341EC" w:rsidP="00165AA6">
            <w:pPr>
              <w:jc w:val="both"/>
              <w:rPr>
                <w:rFonts w:ascii="Book Antiqua" w:hAnsi="Book Antiqua"/>
                <w:sz w:val="22"/>
                <w:szCs w:val="22"/>
                <w:lang w:eastAsia="es-CR"/>
              </w:rPr>
            </w:pPr>
          </w:p>
          <w:p w14:paraId="3F7C608E"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Es importante mencionar, que la propuesta no se alinea a aumentar la competencia territorial de los Juzgados Agrarios, cada uno continuaría con su área de atracción correspondiente, por ende; el promedio calculado como proyección es </w:t>
            </w:r>
            <w:r w:rsidR="00817898" w:rsidRPr="00126FA8">
              <w:rPr>
                <w:rFonts w:ascii="Book Antiqua" w:hAnsi="Book Antiqua"/>
                <w:sz w:val="22"/>
                <w:szCs w:val="22"/>
                <w:lang w:eastAsia="es-CR"/>
              </w:rPr>
              <w:t>correcta</w:t>
            </w:r>
            <w:r w:rsidRPr="00126FA8">
              <w:rPr>
                <w:rFonts w:ascii="Book Antiqua" w:hAnsi="Book Antiqua"/>
                <w:sz w:val="22"/>
                <w:szCs w:val="22"/>
                <w:lang w:eastAsia="es-CR"/>
              </w:rPr>
              <w:t xml:space="preserve">. </w:t>
            </w:r>
          </w:p>
          <w:p w14:paraId="219104B9" w14:textId="77777777" w:rsidR="001341EC" w:rsidRPr="00126FA8" w:rsidRDefault="001341EC" w:rsidP="00165AA6">
            <w:pPr>
              <w:jc w:val="both"/>
              <w:rPr>
                <w:rFonts w:ascii="Book Antiqua" w:hAnsi="Book Antiqua"/>
                <w:sz w:val="22"/>
                <w:szCs w:val="22"/>
                <w:lang w:eastAsia="es-CR"/>
              </w:rPr>
            </w:pPr>
          </w:p>
          <w:p w14:paraId="536EFE94"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El aumento de competencia se refiere a las personas juzgadoras en el conocimiento de procesos de otros Despachos pertenecientes a otros Circuitos Judiciales como se menciona en el informe, para la atención de los asuntos entrados, el dictado de sentencia y emisión de resoluciones que den por terminado por otros motivos. La colaboración solo la realizarán los Despachos que por su carga de trabajo cuenten con capacidad operativa para realizarla, lo anterior con una coordinación previa. </w:t>
            </w:r>
          </w:p>
          <w:p w14:paraId="642957A5" w14:textId="77777777" w:rsidR="001341EC" w:rsidRPr="00126FA8" w:rsidRDefault="001341EC" w:rsidP="00165AA6">
            <w:pPr>
              <w:pStyle w:val="Prrafodelista"/>
              <w:numPr>
                <w:ilvl w:val="2"/>
                <w:numId w:val="0"/>
              </w:numPr>
              <w:jc w:val="both"/>
              <w:rPr>
                <w:rFonts w:ascii="Book Antiqua" w:hAnsi="Book Antiqua"/>
                <w:sz w:val="22"/>
                <w:szCs w:val="22"/>
                <w:lang w:eastAsia="es-CR"/>
              </w:rPr>
            </w:pPr>
            <w:r w:rsidRPr="00126FA8">
              <w:rPr>
                <w:rFonts w:ascii="Book Antiqua" w:hAnsi="Book Antiqua"/>
                <w:sz w:val="22"/>
                <w:szCs w:val="22"/>
                <w:lang w:eastAsia="es-CR"/>
              </w:rPr>
              <w:t>Según se indica en la recomendación sería mediante planes de trabajo.</w:t>
            </w:r>
          </w:p>
          <w:p w14:paraId="211433A7" w14:textId="77777777" w:rsidR="001341EC" w:rsidRPr="00126FA8" w:rsidRDefault="001341EC" w:rsidP="00165AA6">
            <w:pPr>
              <w:pStyle w:val="Prrafodelista"/>
              <w:numPr>
                <w:ilvl w:val="2"/>
                <w:numId w:val="0"/>
              </w:numPr>
              <w:ind w:left="1146" w:hanging="720"/>
              <w:jc w:val="both"/>
              <w:rPr>
                <w:rFonts w:ascii="Book Antiqua" w:hAnsi="Book Antiqua"/>
                <w:sz w:val="22"/>
                <w:szCs w:val="22"/>
                <w:lang w:eastAsia="es-CR"/>
              </w:rPr>
            </w:pPr>
          </w:p>
          <w:p w14:paraId="1F0E57ED" w14:textId="77777777" w:rsidR="001341EC" w:rsidRPr="00126FA8" w:rsidRDefault="001341EC" w:rsidP="00165AA6">
            <w:pPr>
              <w:pStyle w:val="Prrafodelista"/>
              <w:numPr>
                <w:ilvl w:val="2"/>
                <w:numId w:val="0"/>
              </w:numPr>
              <w:jc w:val="both"/>
              <w:rPr>
                <w:rFonts w:ascii="Book Antiqua" w:hAnsi="Book Antiqua"/>
                <w:i/>
                <w:sz w:val="22"/>
                <w:szCs w:val="22"/>
                <w:lang w:val="es-ES_tradnl"/>
              </w:rPr>
            </w:pPr>
            <w:r w:rsidRPr="00126FA8">
              <w:rPr>
                <w:rFonts w:ascii="Book Antiqua" w:hAnsi="Book Antiqua"/>
                <w:i/>
                <w:sz w:val="22"/>
                <w:szCs w:val="22"/>
                <w:lang w:eastAsia="es-CR"/>
              </w:rPr>
              <w:t xml:space="preserve">“… </w:t>
            </w:r>
            <w:r w:rsidRPr="00126FA8">
              <w:rPr>
                <w:rFonts w:ascii="Book Antiqua" w:hAnsi="Book Antiqua"/>
                <w:i/>
                <w:sz w:val="22"/>
                <w:szCs w:val="22"/>
                <w:lang w:val="es-ES_tradnl"/>
              </w:rPr>
              <w:t>de previo se deberá establecer el plan de trabajo y momento oportuno para iniciar el proyecto, es necesario realizar esto durante el año 2019 para prepararse a la entrada en vigencia del nuevo código procesal agrario.”</w:t>
            </w:r>
          </w:p>
          <w:p w14:paraId="044FD2CD" w14:textId="77777777" w:rsidR="001341EC" w:rsidRPr="00126FA8" w:rsidRDefault="001341EC" w:rsidP="00165AA6">
            <w:pPr>
              <w:jc w:val="both"/>
              <w:rPr>
                <w:rFonts w:ascii="Book Antiqua" w:hAnsi="Book Antiqua"/>
                <w:sz w:val="22"/>
                <w:szCs w:val="22"/>
                <w:lang w:eastAsia="es-CR"/>
              </w:rPr>
            </w:pPr>
          </w:p>
          <w:p w14:paraId="0556C2B1" w14:textId="77777777" w:rsidR="001341EC" w:rsidRPr="00126FA8" w:rsidRDefault="001341EC" w:rsidP="00165AA6">
            <w:pPr>
              <w:jc w:val="both"/>
              <w:rPr>
                <w:rFonts w:ascii="Book Antiqua" w:hAnsi="Book Antiqua"/>
                <w:sz w:val="22"/>
                <w:szCs w:val="22"/>
                <w:lang w:eastAsia="es-CR"/>
              </w:rPr>
            </w:pPr>
          </w:p>
          <w:p w14:paraId="6C77A6F6"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La observación no modifica el contenido del informe.  </w:t>
            </w:r>
          </w:p>
        </w:tc>
      </w:tr>
      <w:tr w:rsidR="001341EC" w:rsidRPr="00126FA8" w14:paraId="40B395E9"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3AFAE3E4"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3</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460583AF"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Asimismo, la proyección que se hace de que se realicen al menos ocho audiencias fuera de </w:t>
            </w:r>
            <w:r w:rsidRPr="001D1C4B">
              <w:rPr>
                <w:rFonts w:ascii="Book Antiqua" w:hAnsi="Book Antiqua"/>
                <w:sz w:val="22"/>
                <w:szCs w:val="22"/>
                <w:lang w:eastAsia="es-CR"/>
              </w:rPr>
              <w:lastRenderedPageBreak/>
              <w:t>la oficina que equivalen al menos a ocho sentencias, no considera las particularidades del proceso, la complejidad del asunto y si existe alguna etapa posterior a la audiencia que impida el dictado de la sentencia después de que esta se realiza, como sería un informe técnico adicional para un acuerdo conciliatorio, o la audiencia final en casos de información posesoria, o bien los reconocimientos judiciales para resolver una medida cautelar, sólo por mencion</w:t>
            </w:r>
            <w:r w:rsidRPr="00126FA8">
              <w:rPr>
                <w:rFonts w:ascii="Book Antiqua" w:hAnsi="Book Antiqua"/>
                <w:sz w:val="22"/>
                <w:szCs w:val="22"/>
                <w:lang w:eastAsia="es-CR"/>
              </w:rPr>
              <w:t>ar algunos supuestos.</w:t>
            </w:r>
          </w:p>
        </w:tc>
        <w:tc>
          <w:tcPr>
            <w:tcW w:w="3802" w:type="dxa"/>
            <w:tcBorders>
              <w:top w:val="nil"/>
              <w:left w:val="nil"/>
              <w:bottom w:val="double" w:sz="6" w:space="0" w:color="4472C4"/>
              <w:right w:val="double" w:sz="6" w:space="0" w:color="4472C4"/>
            </w:tcBorders>
            <w:shd w:val="clear" w:color="auto" w:fill="auto"/>
            <w:vAlign w:val="center"/>
            <w:hideMark/>
          </w:tcPr>
          <w:p w14:paraId="5C99B2F4"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xml:space="preserve"> En este punto es importante aclarar que adicional a la cantidad de ocho </w:t>
            </w:r>
            <w:r w:rsidRPr="00126FA8">
              <w:rPr>
                <w:rFonts w:ascii="Book Antiqua" w:hAnsi="Book Antiqua"/>
                <w:sz w:val="22"/>
                <w:szCs w:val="22"/>
                <w:lang w:eastAsia="es-CR"/>
              </w:rPr>
              <w:lastRenderedPageBreak/>
              <w:t>audiencias que se espera realice cada persona juzgadora fuera de la oficina, con una alta probabilidad de terminar en sentencia, se espera que también se realicen  en el Juzgado, lo anterior, bajo los parámetros ya utilizados por los Despachos (en el informe se establece un porcentaje de terminados por sentencia y un porcentaje de terminados por otras razones, por despacho), lo anterior más, los espacios que se deben programar para la atención de temas urgentes como las medidas cautelares,  por lo cual las sentencias en su mayoría serán resultado las audiencias fuera del Despacho, pero podrá ser también resultado de otro tipo de audiencias, así como de los casos de puro derecho o terminados por otras razones, de forma que se logre dar soporte a la entrada de asuntos del despacho..</w:t>
            </w:r>
          </w:p>
          <w:p w14:paraId="0F732771" w14:textId="77777777" w:rsidR="001341EC" w:rsidRPr="00126FA8" w:rsidRDefault="001341EC" w:rsidP="00165AA6">
            <w:pPr>
              <w:jc w:val="both"/>
              <w:rPr>
                <w:rFonts w:ascii="Book Antiqua" w:hAnsi="Book Antiqua"/>
                <w:sz w:val="22"/>
                <w:szCs w:val="22"/>
                <w:lang w:eastAsia="es-CR"/>
              </w:rPr>
            </w:pPr>
          </w:p>
          <w:p w14:paraId="4FBCC3A3"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Se concluye  que a nivel de todos los Despachos Agrarios del país, en promedio para atender la entrada de asuntos de los despachos, se deben terminar al menos ochos asuntos por sentencia y siete asuntos terminados por otras razones.</w:t>
            </w:r>
          </w:p>
          <w:p w14:paraId="17AA16CA" w14:textId="77777777" w:rsidR="001341EC" w:rsidRPr="00126FA8" w:rsidRDefault="001341EC" w:rsidP="00165AA6">
            <w:pPr>
              <w:jc w:val="both"/>
              <w:rPr>
                <w:rFonts w:ascii="Book Antiqua" w:hAnsi="Book Antiqua"/>
                <w:sz w:val="22"/>
                <w:szCs w:val="22"/>
                <w:lang w:eastAsia="es-CR"/>
              </w:rPr>
            </w:pPr>
          </w:p>
          <w:p w14:paraId="7338FD4D"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En el caso de la complejidad es una variable aleatoria, presente en los despachos y que está contenida en los resultados o asuntos terminados de los datos históricos de cada despacho. </w:t>
            </w:r>
          </w:p>
          <w:p w14:paraId="6C5A5C78" w14:textId="77777777" w:rsidR="001341EC" w:rsidRPr="00126FA8" w:rsidRDefault="001341EC" w:rsidP="00165AA6">
            <w:pPr>
              <w:jc w:val="both"/>
              <w:rPr>
                <w:rFonts w:ascii="Book Antiqua" w:hAnsi="Book Antiqua"/>
                <w:sz w:val="22"/>
                <w:szCs w:val="22"/>
                <w:lang w:eastAsia="es-CR"/>
              </w:rPr>
            </w:pPr>
          </w:p>
          <w:p w14:paraId="619A5E34"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p w14:paraId="7A1CDF68" w14:textId="77777777" w:rsidR="001341EC" w:rsidRPr="00126FA8" w:rsidRDefault="001341EC" w:rsidP="00165AA6">
            <w:pPr>
              <w:jc w:val="both"/>
              <w:rPr>
                <w:rFonts w:ascii="Book Antiqua" w:hAnsi="Book Antiqua"/>
                <w:sz w:val="22"/>
                <w:szCs w:val="22"/>
                <w:lang w:eastAsia="es-CR"/>
              </w:rPr>
            </w:pPr>
          </w:p>
        </w:tc>
      </w:tr>
      <w:tr w:rsidR="001341EC" w:rsidRPr="00126FA8" w14:paraId="5AA295E5"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448AF2AC"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4</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218C80F6"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Considerar que esta propuesta permitiría atender el 100% de la entrada de asuntos, sin crecimiento de los circulantes, nos parece un poco precipitada, pues existen diferentes factores que puedan influir para ello.  Nótese que según los datos estadísticos de nuestro Juzgado, el promedio de ingresos y de asuntos finalizados es superior al promedio, lo que ha conllevado un esfuerzo adicional de las personas juzgadoras por reducir la mora y reducir el circulante; pero no se debe obviar la condición humana de quienes impartimos justicia, pretendiendo brindarle una solución sólo numérica. En nuestro caso, a pesar de encontrarnos sobre el promedio, no nos ajustamos a la propuesta q</w:t>
            </w:r>
            <w:r w:rsidRPr="00126FA8">
              <w:rPr>
                <w:rFonts w:ascii="Book Antiqua" w:hAnsi="Book Antiqua"/>
                <w:sz w:val="22"/>
                <w:szCs w:val="22"/>
                <w:lang w:eastAsia="es-CR"/>
              </w:rPr>
              <w:t xml:space="preserve">ue se hace en el informe, por lo que nos preocupa sean aprobados estos datos; esto a pesar de que la dinámica de la oficina ha obtenido un resultado positivo, el cual ha sido valorado con éxito incluso por las personas usuarias.   </w:t>
            </w:r>
          </w:p>
        </w:tc>
        <w:tc>
          <w:tcPr>
            <w:tcW w:w="3802" w:type="dxa"/>
            <w:tcBorders>
              <w:top w:val="nil"/>
              <w:left w:val="nil"/>
              <w:bottom w:val="double" w:sz="6" w:space="0" w:color="4472C4"/>
              <w:right w:val="double" w:sz="6" w:space="0" w:color="4472C4"/>
            </w:tcBorders>
            <w:shd w:val="clear" w:color="auto" w:fill="auto"/>
            <w:vAlign w:val="center"/>
            <w:hideMark/>
          </w:tcPr>
          <w:p w14:paraId="263C13FE" w14:textId="77777777" w:rsidR="001341EC" w:rsidRPr="00F43A2A"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Según análisis para atender la entrada de asuntos se propone la cuota mencionada en el informe, con la finalidad de optimizar el recurso con que cuenta la Institución y en apego a lo aprobado por la C</w:t>
            </w:r>
            <w:r>
              <w:rPr>
                <w:rFonts w:ascii="Book Antiqua" w:hAnsi="Book Antiqua"/>
                <w:sz w:val="22"/>
                <w:szCs w:val="22"/>
                <w:lang w:eastAsia="es-CR"/>
              </w:rPr>
              <w:t>orte Plena en sesión del 18 de septiembre 2000, artículo XXII, en donde se establece una cuota entre 8 y 14 asuntos para los Juzgados Agrarios.</w:t>
            </w:r>
          </w:p>
          <w:p w14:paraId="69D7BAB5" w14:textId="77777777" w:rsidR="001341EC" w:rsidRPr="001D1C4B" w:rsidRDefault="001341EC" w:rsidP="00165AA6">
            <w:pPr>
              <w:jc w:val="both"/>
              <w:rPr>
                <w:rFonts w:ascii="Book Antiqua" w:hAnsi="Book Antiqua"/>
                <w:sz w:val="22"/>
                <w:szCs w:val="22"/>
                <w:lang w:eastAsia="es-CR"/>
              </w:rPr>
            </w:pPr>
          </w:p>
          <w:p w14:paraId="14229DE1"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Para fines del circulante, se proponen planes de descongestionamiento para lograr su disminución.</w:t>
            </w:r>
          </w:p>
          <w:p w14:paraId="0F0F7857" w14:textId="77777777" w:rsidR="001341EC" w:rsidRPr="00126FA8" w:rsidRDefault="001341EC" w:rsidP="00165AA6">
            <w:pPr>
              <w:jc w:val="both"/>
              <w:rPr>
                <w:rFonts w:ascii="Book Antiqua" w:hAnsi="Book Antiqua"/>
                <w:sz w:val="22"/>
                <w:szCs w:val="22"/>
                <w:lang w:eastAsia="es-CR"/>
              </w:rPr>
            </w:pPr>
          </w:p>
          <w:p w14:paraId="5F884C8A"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Se toma nota de los esfuerzos que el personal del Despacho realiza para conseguir esas cifras.  </w:t>
            </w:r>
          </w:p>
          <w:p w14:paraId="0AED270C" w14:textId="77777777" w:rsidR="001341EC" w:rsidRPr="00126FA8" w:rsidRDefault="001341EC" w:rsidP="00165AA6">
            <w:pPr>
              <w:jc w:val="both"/>
              <w:rPr>
                <w:rFonts w:ascii="Book Antiqua" w:hAnsi="Book Antiqua"/>
                <w:sz w:val="22"/>
                <w:szCs w:val="22"/>
                <w:lang w:eastAsia="es-CR"/>
              </w:rPr>
            </w:pPr>
          </w:p>
          <w:p w14:paraId="46FFB3D4"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73CE1737"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2A5D4FC7"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5</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58CA5A1C"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Es importante recalcar que el estudio no ahonda en el esfuerzo físico que requiere el traslado al juicio en el campo, el cual puede abarcar más de un día.  Tampoco ahonda en la labor que deriva de consultas y firma de proveído, ni en aquellos autos que no necesariamente finalizan el expediente, pero sí requieren un alto esfuerzo intelectual.</w:t>
            </w:r>
          </w:p>
        </w:tc>
        <w:tc>
          <w:tcPr>
            <w:tcW w:w="3802" w:type="dxa"/>
            <w:tcBorders>
              <w:top w:val="nil"/>
              <w:left w:val="nil"/>
              <w:bottom w:val="double" w:sz="6" w:space="0" w:color="4472C4"/>
              <w:right w:val="double" w:sz="6" w:space="0" w:color="4472C4"/>
            </w:tcBorders>
            <w:shd w:val="clear" w:color="auto" w:fill="auto"/>
            <w:vAlign w:val="center"/>
            <w:hideMark/>
          </w:tcPr>
          <w:p w14:paraId="65EFD5B0"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 La Dirección de Planificación conoce del esfuerzo que se requiere para realizar las labores en las diferentes giras fuera del Despacho, por lo que se ha considerado en el momento de realizar la propuesta de cuota, tomando en consideración que es una variable que se presenta en los datos históricos del despacho y a la dinámica de trabajo que tienen actualmente. </w:t>
            </w:r>
          </w:p>
          <w:p w14:paraId="3CE5A1E5" w14:textId="77777777" w:rsidR="001341EC" w:rsidRPr="00126FA8" w:rsidRDefault="001341EC" w:rsidP="00165AA6">
            <w:pPr>
              <w:jc w:val="both"/>
              <w:rPr>
                <w:rFonts w:ascii="Book Antiqua" w:hAnsi="Book Antiqua"/>
                <w:sz w:val="22"/>
                <w:szCs w:val="22"/>
                <w:lang w:eastAsia="es-CR"/>
              </w:rPr>
            </w:pPr>
          </w:p>
          <w:p w14:paraId="5080A9AE"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La labor cotidiana de la Jueza o Juez dentro del Despacho, se tiene identificada dentro de los abordajes realizados por la Dirección de Planificación. </w:t>
            </w:r>
          </w:p>
          <w:p w14:paraId="72FA49BB" w14:textId="77777777" w:rsidR="001341EC" w:rsidRPr="00126FA8" w:rsidRDefault="001341EC" w:rsidP="00165AA6">
            <w:pPr>
              <w:jc w:val="both"/>
              <w:rPr>
                <w:rFonts w:ascii="Book Antiqua" w:hAnsi="Book Antiqua"/>
                <w:sz w:val="22"/>
                <w:szCs w:val="22"/>
                <w:lang w:eastAsia="es-CR"/>
              </w:rPr>
            </w:pPr>
          </w:p>
          <w:p w14:paraId="06EB7CC1"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Es por lo anterior; que todas las variables tanto de recurso humano </w:t>
            </w:r>
            <w:r w:rsidRPr="00126FA8">
              <w:rPr>
                <w:rFonts w:ascii="Book Antiqua" w:hAnsi="Book Antiqua"/>
                <w:sz w:val="22"/>
                <w:szCs w:val="22"/>
                <w:lang w:eastAsia="es-CR"/>
              </w:rPr>
              <w:lastRenderedPageBreak/>
              <w:t xml:space="preserve">como de infraestructura física y tecnológica, también son </w:t>
            </w:r>
            <w:r w:rsidR="00817898" w:rsidRPr="00126FA8">
              <w:rPr>
                <w:rFonts w:ascii="Book Antiqua" w:hAnsi="Book Antiqua"/>
                <w:sz w:val="22"/>
                <w:szCs w:val="22"/>
                <w:lang w:eastAsia="es-CR"/>
              </w:rPr>
              <w:t>tomadas</w:t>
            </w:r>
            <w:r w:rsidRPr="00126FA8">
              <w:rPr>
                <w:rFonts w:ascii="Book Antiqua" w:hAnsi="Book Antiqua"/>
                <w:sz w:val="22"/>
                <w:szCs w:val="22"/>
                <w:lang w:eastAsia="es-CR"/>
              </w:rPr>
              <w:t xml:space="preserve"> en cuenta para el desarrollo de la labor sustancial de las Juezas y Jueces Agrarios.</w:t>
            </w:r>
          </w:p>
          <w:p w14:paraId="131DA84C"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0FBEA938"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445D8E3E"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6</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5426C4B4"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En la página 64 y siguientes se explica el proceso de nuestro Despacho al día de hoy.  En su momento solicitamos el informe técnico que respaldaba el cambio de la matriz de indicadores, sin que tuviéramos un resultado positivo, por el contrario, se disminuyeron los plazos en algunos supuestos igualándolos al establecido en la Ley, lo cual consideramos una interpretación errada, pues las matrices de indicadores deberían contar con antecedentes y estudios que permiten su instalación, no una equiparación de los plazos de Ley, pues esto implicaría que como consecuencia se encuentre en el p</w:t>
            </w:r>
            <w:r w:rsidRPr="00126FA8">
              <w:rPr>
                <w:rFonts w:ascii="Book Antiqua" w:hAnsi="Book Antiqua"/>
                <w:sz w:val="22"/>
                <w:szCs w:val="22"/>
                <w:lang w:eastAsia="es-CR"/>
              </w:rPr>
              <w:t>lazo o no; generando como consecuencia que la mayoría de oficinas se encuentren catalogadas como críticas (un solo indicador en rojo cataloga a la oficina en crítica), a pesar de que el desempeño en general sea excelente y el punto en concreto se pueda atacar mediante un plan remedial.</w:t>
            </w:r>
          </w:p>
        </w:tc>
        <w:tc>
          <w:tcPr>
            <w:tcW w:w="3802" w:type="dxa"/>
            <w:tcBorders>
              <w:top w:val="nil"/>
              <w:left w:val="nil"/>
              <w:bottom w:val="double" w:sz="6" w:space="0" w:color="4472C4"/>
              <w:right w:val="double" w:sz="6" w:space="0" w:color="4472C4"/>
            </w:tcBorders>
            <w:shd w:val="clear" w:color="auto" w:fill="auto"/>
            <w:vAlign w:val="center"/>
            <w:hideMark/>
          </w:tcPr>
          <w:p w14:paraId="6E55019C"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La definición de los parámetros de medición para un despacho u oficina en general, están definidos por datos históricos, por plazos de Ley y por capacidad operativa; es por esto; que en ocasiones los Indicadores son similares a los plazos establecidos en la Ley. Lo anterior, no es una omisión, es un criterio correcto y avalado técnicamente. </w:t>
            </w:r>
          </w:p>
          <w:p w14:paraId="4E2B9DCE" w14:textId="77777777" w:rsidR="001341EC" w:rsidRPr="00126FA8" w:rsidRDefault="001341EC" w:rsidP="00165AA6">
            <w:pPr>
              <w:jc w:val="both"/>
              <w:rPr>
                <w:rFonts w:ascii="Book Antiqua" w:hAnsi="Book Antiqua"/>
                <w:sz w:val="22"/>
                <w:szCs w:val="22"/>
                <w:lang w:eastAsia="es-CR"/>
              </w:rPr>
            </w:pPr>
          </w:p>
          <w:p w14:paraId="7A51C378"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 </w:t>
            </w:r>
          </w:p>
          <w:p w14:paraId="2DC4D86B"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Cada matriz es ajustada a los estudios técnicos de cada despacho, la actualización y modificación de los parámetros, queda sujeto al seguimiento que llevan los Equipos de mejora, la Administración, el Consejo de Administración, que dan paso a una nueva solicitud a Planificación.</w:t>
            </w:r>
          </w:p>
          <w:p w14:paraId="73AF443B" w14:textId="77777777" w:rsidR="001341EC" w:rsidRPr="00126FA8" w:rsidRDefault="001341EC" w:rsidP="00165AA6">
            <w:pPr>
              <w:jc w:val="both"/>
              <w:rPr>
                <w:rFonts w:ascii="Book Antiqua" w:hAnsi="Book Antiqua"/>
                <w:sz w:val="22"/>
                <w:szCs w:val="22"/>
                <w:lang w:eastAsia="es-CR"/>
              </w:rPr>
            </w:pPr>
          </w:p>
          <w:p w14:paraId="25D97097" w14:textId="77777777" w:rsidR="001341EC" w:rsidRPr="00F43A2A"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Los colores son indicadores para ejecutar el proceso de mejora continua parte del Modelo de Sostenibilidad, en donde</w:t>
            </w:r>
            <w:r>
              <w:rPr>
                <w:rFonts w:ascii="Book Antiqua" w:hAnsi="Book Antiqua"/>
                <w:sz w:val="22"/>
                <w:szCs w:val="22"/>
                <w:lang w:eastAsia="es-CR"/>
              </w:rPr>
              <w:t xml:space="preserve"> </w:t>
            </w:r>
            <w:r w:rsidRPr="00F43A2A">
              <w:rPr>
                <w:rFonts w:ascii="Book Antiqua" w:hAnsi="Book Antiqua"/>
                <w:sz w:val="22"/>
                <w:szCs w:val="22"/>
                <w:lang w:eastAsia="es-CR"/>
              </w:rPr>
              <w:t xml:space="preserve">es necesario analizar la totalidad de las variables evaluadas a través del tiempo y con esto definir si se considera o no crítica la situación específica de la oficina. </w:t>
            </w:r>
          </w:p>
          <w:p w14:paraId="21C10CBA" w14:textId="77777777" w:rsidR="001341EC" w:rsidRPr="001D1C4B" w:rsidRDefault="001341EC" w:rsidP="00165AA6">
            <w:pPr>
              <w:jc w:val="both"/>
              <w:rPr>
                <w:rFonts w:ascii="Book Antiqua" w:hAnsi="Book Antiqua"/>
                <w:sz w:val="22"/>
                <w:szCs w:val="22"/>
                <w:lang w:eastAsia="es-CR"/>
              </w:rPr>
            </w:pPr>
          </w:p>
          <w:p w14:paraId="0611F412"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En el caso de encontrar Indicadores bajo el parámetro deseado, se </w:t>
            </w:r>
            <w:r w:rsidRPr="001D1C4B">
              <w:rPr>
                <w:rFonts w:ascii="Book Antiqua" w:hAnsi="Book Antiqua"/>
                <w:sz w:val="22"/>
                <w:szCs w:val="22"/>
                <w:lang w:eastAsia="es-CR"/>
              </w:rPr>
              <w:lastRenderedPageBreak/>
              <w:t xml:space="preserve">realizan planes remediales con la finalidad de mejorar </w:t>
            </w:r>
            <w:r w:rsidR="00817898" w:rsidRPr="001D1C4B">
              <w:rPr>
                <w:rFonts w:ascii="Book Antiqua" w:hAnsi="Book Antiqua"/>
                <w:sz w:val="22"/>
                <w:szCs w:val="22"/>
                <w:lang w:eastAsia="es-CR"/>
              </w:rPr>
              <w:t>la</w:t>
            </w:r>
            <w:r w:rsidRPr="001D1C4B">
              <w:rPr>
                <w:rFonts w:ascii="Book Antiqua" w:hAnsi="Book Antiqua"/>
                <w:sz w:val="22"/>
                <w:szCs w:val="22"/>
                <w:lang w:eastAsia="es-CR"/>
              </w:rPr>
              <w:t xml:space="preserve"> situación, tal y como lo indica la persona juzgadora. </w:t>
            </w:r>
          </w:p>
          <w:p w14:paraId="79CD085D" w14:textId="77777777" w:rsidR="001341EC" w:rsidRPr="00126FA8" w:rsidRDefault="001341EC" w:rsidP="00165AA6">
            <w:pPr>
              <w:jc w:val="both"/>
              <w:rPr>
                <w:rFonts w:ascii="Book Antiqua" w:hAnsi="Book Antiqua"/>
                <w:sz w:val="22"/>
                <w:szCs w:val="22"/>
                <w:lang w:eastAsia="es-CR"/>
              </w:rPr>
            </w:pPr>
          </w:p>
          <w:p w14:paraId="49C6CFF8" w14:textId="77777777" w:rsidR="001341EC" w:rsidRPr="00126FA8" w:rsidRDefault="001341EC" w:rsidP="00165AA6">
            <w:pPr>
              <w:jc w:val="both"/>
              <w:rPr>
                <w:rFonts w:ascii="Book Antiqua" w:hAnsi="Book Antiqua"/>
                <w:sz w:val="22"/>
                <w:szCs w:val="22"/>
                <w:lang w:eastAsia="es-CR"/>
              </w:rPr>
            </w:pPr>
          </w:p>
          <w:p w14:paraId="6B25446B"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71C8F75B" w14:textId="77777777" w:rsidTr="00165AA6">
        <w:trPr>
          <w:trHeight w:val="20"/>
        </w:trPr>
        <w:tc>
          <w:tcPr>
            <w:tcW w:w="512" w:type="dxa"/>
            <w:tcBorders>
              <w:top w:val="double" w:sz="6" w:space="0" w:color="4472C4"/>
              <w:left w:val="double" w:sz="6" w:space="0" w:color="4472C4"/>
              <w:right w:val="double" w:sz="6" w:space="0" w:color="4472C4"/>
            </w:tcBorders>
            <w:vAlign w:val="center"/>
          </w:tcPr>
          <w:p w14:paraId="206E95FF"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7</w:t>
            </w:r>
          </w:p>
        </w:tc>
        <w:tc>
          <w:tcPr>
            <w:tcW w:w="4664" w:type="dxa"/>
            <w:tcBorders>
              <w:top w:val="double" w:sz="6" w:space="0" w:color="4472C4"/>
              <w:left w:val="double" w:sz="6" w:space="0" w:color="4472C4"/>
              <w:right w:val="double" w:sz="6" w:space="0" w:color="4472C4"/>
            </w:tcBorders>
            <w:shd w:val="clear" w:color="auto" w:fill="auto"/>
            <w:vAlign w:val="center"/>
            <w:hideMark/>
          </w:tcPr>
          <w:p w14:paraId="4D7D2A82"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El informe remitido no explica las razones por las cuales un Juzgado es considerado como crítico (página 73) ni expone propuestas para descongestionar el circulante en las fases iniciales.</w:t>
            </w:r>
          </w:p>
        </w:tc>
        <w:tc>
          <w:tcPr>
            <w:tcW w:w="3802" w:type="dxa"/>
            <w:tcBorders>
              <w:top w:val="nil"/>
              <w:left w:val="nil"/>
              <w:bottom w:val="double" w:sz="6" w:space="0" w:color="4472C4"/>
              <w:right w:val="double" w:sz="6" w:space="0" w:color="4472C4"/>
            </w:tcBorders>
            <w:shd w:val="clear" w:color="auto" w:fill="auto"/>
            <w:vAlign w:val="center"/>
            <w:hideMark/>
          </w:tcPr>
          <w:p w14:paraId="55D49305" w14:textId="77777777" w:rsidR="001341EC" w:rsidRPr="00F43A2A"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En este apartado, se encuentra crítico que gran porcentaje de los circulantes estén en fase de Demanda, ya que lo que ideal es lograr mover el circulante de la fase de demanda hasta la fase de ejecución. Es de nuestro conocimiento que</w:t>
            </w:r>
            <w:r>
              <w:rPr>
                <w:rFonts w:ascii="Book Antiqua" w:hAnsi="Book Antiqua"/>
                <w:sz w:val="22"/>
                <w:szCs w:val="22"/>
                <w:lang w:eastAsia="es-CR"/>
              </w:rPr>
              <w:t xml:space="preserve"> </w:t>
            </w:r>
            <w:r w:rsidRPr="00F43A2A">
              <w:rPr>
                <w:rFonts w:ascii="Book Antiqua" w:hAnsi="Book Antiqua"/>
                <w:sz w:val="22"/>
                <w:szCs w:val="22"/>
                <w:lang w:eastAsia="es-CR"/>
              </w:rPr>
              <w:t>en algunos casos, los asuntos se mantienen en fases específicas debido a la gestión pendiente de las partes.</w:t>
            </w:r>
          </w:p>
          <w:p w14:paraId="5718FFD5"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Se establece como parte de las recomendaciones (ver página 74 del informe en consulta)</w:t>
            </w:r>
            <w:r>
              <w:rPr>
                <w:rFonts w:ascii="Book Antiqua" w:hAnsi="Book Antiqua"/>
                <w:sz w:val="22"/>
                <w:szCs w:val="22"/>
                <w:lang w:eastAsia="es-CR"/>
              </w:rPr>
              <w:t xml:space="preserve"> </w:t>
            </w:r>
            <w:r w:rsidRPr="00F43A2A">
              <w:rPr>
                <w:rFonts w:ascii="Book Antiqua" w:hAnsi="Book Antiqua"/>
                <w:sz w:val="22"/>
                <w:szCs w:val="22"/>
                <w:lang w:eastAsia="es-CR"/>
              </w:rPr>
              <w:t>para descongestionar dicha fase, revisiones periódicas del Circulante, con el propósito de depurar expedientes que tienen más de seis meses de no tener actividad procesal alguna, aumentar la cantidad de proveído de las personas técnicas judi</w:t>
            </w:r>
            <w:r w:rsidRPr="001D1C4B">
              <w:rPr>
                <w:rFonts w:ascii="Book Antiqua" w:hAnsi="Book Antiqua"/>
                <w:sz w:val="22"/>
                <w:szCs w:val="22"/>
                <w:lang w:eastAsia="es-CR"/>
              </w:rPr>
              <w:t>ciales de forma que se atiendan más escritos.</w:t>
            </w:r>
            <w:r w:rsidRPr="001D1C4B" w:rsidDel="00DF6E28">
              <w:rPr>
                <w:rFonts w:ascii="Book Antiqua" w:hAnsi="Book Antiqua"/>
                <w:sz w:val="22"/>
                <w:szCs w:val="22"/>
                <w:lang w:eastAsia="es-CR"/>
              </w:rPr>
              <w:t xml:space="preserve"> </w:t>
            </w:r>
          </w:p>
          <w:p w14:paraId="751B601F" w14:textId="77777777" w:rsidR="001341EC" w:rsidRPr="00F43A2A" w:rsidRDefault="001341EC" w:rsidP="00165AA6">
            <w:pPr>
              <w:jc w:val="both"/>
              <w:rPr>
                <w:rFonts w:ascii="Book Antiqua" w:hAnsi="Book Antiqua"/>
                <w:i/>
                <w:sz w:val="22"/>
                <w:szCs w:val="22"/>
              </w:rPr>
            </w:pPr>
            <w:r w:rsidRPr="001D1C4B">
              <w:rPr>
                <w:rFonts w:ascii="Book Antiqua" w:hAnsi="Book Antiqua"/>
                <w:sz w:val="22"/>
                <w:szCs w:val="22"/>
                <w:lang w:eastAsia="es-CR"/>
              </w:rPr>
              <w:t xml:space="preserve">Además, el informe indica: </w:t>
            </w:r>
            <w:r w:rsidRPr="00126FA8">
              <w:rPr>
                <w:rFonts w:ascii="Book Antiqua" w:hAnsi="Book Antiqua"/>
                <w:i/>
                <w:sz w:val="22"/>
                <w:szCs w:val="22"/>
              </w:rPr>
              <w:t xml:space="preserve">En </w:t>
            </w:r>
            <w:r w:rsidRPr="00F43A2A">
              <w:rPr>
                <w:rFonts w:ascii="Book Antiqua" w:hAnsi="Book Antiqua"/>
                <w:i/>
                <w:sz w:val="22"/>
                <w:szCs w:val="22"/>
              </w:rPr>
              <w:t>el caso de los Juzgados Agrarios en los cuales cuentan con mayor cantidad de expedientes en el circulante y un elevado pendiente de dictado de sentencia, se debe de cubrir con la colaboración de las personas juzgadoras supernumerarias con que cuenta el Centro de Apoyo, Coordinación y Mejoramiento de la Función Jurisdiccional.</w:t>
            </w:r>
          </w:p>
          <w:p w14:paraId="36438BFC" w14:textId="77777777" w:rsidR="001341EC" w:rsidRPr="00126FA8" w:rsidRDefault="001341EC" w:rsidP="00165AA6">
            <w:pPr>
              <w:jc w:val="both"/>
              <w:rPr>
                <w:rFonts w:ascii="Book Antiqua" w:hAnsi="Book Antiqua"/>
                <w:i/>
                <w:sz w:val="22"/>
                <w:szCs w:val="22"/>
                <w:lang w:eastAsia="es-CR"/>
              </w:rPr>
            </w:pPr>
          </w:p>
          <w:p w14:paraId="585E0CCD" w14:textId="77777777" w:rsidR="001341EC" w:rsidRPr="001D1C4B" w:rsidRDefault="001341EC" w:rsidP="00165AA6">
            <w:pPr>
              <w:jc w:val="both"/>
              <w:rPr>
                <w:rFonts w:ascii="Book Antiqua" w:hAnsi="Book Antiqua"/>
                <w:i/>
                <w:sz w:val="22"/>
                <w:szCs w:val="22"/>
              </w:rPr>
            </w:pPr>
            <w:r w:rsidRPr="00126FA8">
              <w:rPr>
                <w:rFonts w:ascii="Book Antiqua" w:hAnsi="Book Antiqua"/>
                <w:sz w:val="22"/>
                <w:szCs w:val="22"/>
                <w:lang w:eastAsia="es-CR"/>
              </w:rPr>
              <w:lastRenderedPageBreak/>
              <w:t>Finalmente, se indica en el informe</w:t>
            </w:r>
            <w:r w:rsidRPr="00126FA8">
              <w:rPr>
                <w:rFonts w:ascii="Book Antiqua" w:hAnsi="Book Antiqua"/>
                <w:i/>
                <w:sz w:val="22"/>
                <w:szCs w:val="22"/>
                <w:lang w:eastAsia="es-CR"/>
              </w:rPr>
              <w:t>. “</w:t>
            </w:r>
            <w:r w:rsidRPr="00F43A2A">
              <w:rPr>
                <w:rFonts w:ascii="Book Antiqua" w:hAnsi="Book Antiqua"/>
                <w:i/>
                <w:sz w:val="22"/>
                <w:szCs w:val="22"/>
              </w:rPr>
              <w:t xml:space="preserve">Los datos mostrados anteriormente, recalcan la necesidad de que los </w:t>
            </w:r>
            <w:r w:rsidRPr="001D1C4B">
              <w:rPr>
                <w:rFonts w:ascii="Book Antiqua" w:hAnsi="Book Antiqua"/>
                <w:i/>
                <w:sz w:val="22"/>
                <w:szCs w:val="22"/>
              </w:rPr>
              <w:t>planes de descongestionamiento que se realicen en materia Agraria deben enfocarse en, atacar el circulante de forma que este inicie a moverse de forma más rápida a través de las distintas fases del proceso para llegar a fase de juicio y ejecución.  Lo anterior es un punto relevante para el Centro de Apoyo, Coordinación y Mejoramiento de la Función Jurisdiccional, para que amplié los planes que realiza en reducción del pendiente de fallo con apoyo en el trámite.”</w:t>
            </w:r>
          </w:p>
          <w:p w14:paraId="2B1DEE8A" w14:textId="77777777" w:rsidR="001341EC" w:rsidRPr="00126FA8" w:rsidRDefault="001341EC" w:rsidP="00165AA6">
            <w:pPr>
              <w:jc w:val="both"/>
              <w:rPr>
                <w:rFonts w:ascii="Book Antiqua" w:hAnsi="Book Antiqua"/>
                <w:i/>
                <w:sz w:val="22"/>
                <w:szCs w:val="22"/>
                <w:lang w:eastAsia="es-CR"/>
              </w:rPr>
            </w:pPr>
          </w:p>
          <w:p w14:paraId="3654E459" w14:textId="77777777" w:rsidR="001341EC" w:rsidRPr="00126FA8" w:rsidRDefault="001341EC" w:rsidP="00165AA6">
            <w:pPr>
              <w:jc w:val="both"/>
              <w:rPr>
                <w:rFonts w:ascii="Book Antiqua" w:hAnsi="Book Antiqua"/>
                <w:sz w:val="22"/>
                <w:szCs w:val="22"/>
                <w:lang w:eastAsia="es-CR"/>
              </w:rPr>
            </w:pPr>
            <w:r w:rsidRPr="00F43A2A">
              <w:rPr>
                <w:rFonts w:ascii="Book Antiqua" w:hAnsi="Book Antiqua"/>
                <w:sz w:val="22"/>
                <w:szCs w:val="22"/>
                <w:lang w:eastAsia="es-CR"/>
              </w:rPr>
              <w:t xml:space="preserve">La observación no modifica el contenido del </w:t>
            </w:r>
            <w:r w:rsidRPr="001D1C4B">
              <w:rPr>
                <w:rFonts w:ascii="Book Antiqua" w:hAnsi="Book Antiqua"/>
                <w:sz w:val="22"/>
                <w:szCs w:val="22"/>
                <w:lang w:eastAsia="es-CR"/>
              </w:rPr>
              <w:t>informe.</w:t>
            </w:r>
          </w:p>
        </w:tc>
      </w:tr>
      <w:tr w:rsidR="001341EC" w:rsidRPr="00126FA8" w14:paraId="2678AD80" w14:textId="77777777" w:rsidTr="00165AA6">
        <w:trPr>
          <w:trHeight w:val="20"/>
        </w:trPr>
        <w:tc>
          <w:tcPr>
            <w:tcW w:w="512" w:type="dxa"/>
            <w:tcBorders>
              <w:top w:val="double" w:sz="4" w:space="0" w:color="4472C4"/>
              <w:left w:val="double" w:sz="4" w:space="0" w:color="4472C4"/>
              <w:right w:val="double" w:sz="4" w:space="0" w:color="4472C4"/>
            </w:tcBorders>
            <w:vAlign w:val="center"/>
          </w:tcPr>
          <w:p w14:paraId="45C653C5"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8</w:t>
            </w:r>
          </w:p>
        </w:tc>
        <w:tc>
          <w:tcPr>
            <w:tcW w:w="4664" w:type="dxa"/>
            <w:tcBorders>
              <w:top w:val="double" w:sz="4" w:space="0" w:color="4472C4"/>
              <w:left w:val="double" w:sz="4" w:space="0" w:color="4472C4"/>
              <w:right w:val="double" w:sz="4" w:space="0" w:color="4472C4"/>
            </w:tcBorders>
            <w:shd w:val="clear" w:color="auto" w:fill="auto"/>
            <w:vAlign w:val="center"/>
            <w:hideMark/>
          </w:tcPr>
          <w:p w14:paraId="64889431" w14:textId="77777777" w:rsidR="001341EC" w:rsidRPr="00795EF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Específicamente en relación con el punto "Se recomienda aprobar la metodología de trabajo establecida en el Cuadro 7 y 8 de este informe, en donde tres despachos requieren de colaboración en el dictado de sentencias, al mantener la entrada de asuntos mayor a su capacidad instalada (Santa Cruz, Pérez Zeledón y Pococí) y pueden recibir colaboración de cuatro despachos (Liberia y Alajuela a Santa Cruz, Corredores a Pérez Zeledón y Limón a Pococí y Pérez Zeledón), que por el contrario tienen capacidad instalada superior a la cantidad de asuntos entrados por mes por plaza de Jueza o Juez. Para lo cual de previo se deberá establecer el plan de trabajo y momento oportuno para iniciar el proyecto, es necesario realizar esto durante el año 2019 para prepa</w:t>
            </w:r>
            <w:r w:rsidRPr="00795EFB">
              <w:rPr>
                <w:rFonts w:ascii="Book Antiqua" w:hAnsi="Book Antiqua"/>
                <w:sz w:val="22"/>
                <w:szCs w:val="22"/>
                <w:lang w:eastAsia="es-CR"/>
              </w:rPr>
              <w:t>rarse a la entrada en vigencia del nuevo código procesal agrario."</w:t>
            </w:r>
          </w:p>
        </w:tc>
        <w:tc>
          <w:tcPr>
            <w:tcW w:w="3802" w:type="dxa"/>
            <w:tcBorders>
              <w:top w:val="double" w:sz="4" w:space="0" w:color="4472C4"/>
              <w:left w:val="double" w:sz="4" w:space="0" w:color="4472C4"/>
              <w:right w:val="double" w:sz="4" w:space="0" w:color="4472C4"/>
            </w:tcBorders>
            <w:shd w:val="clear" w:color="auto" w:fill="auto"/>
            <w:vAlign w:val="center"/>
            <w:hideMark/>
          </w:tcPr>
          <w:p w14:paraId="66A9FDA8"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p>
          <w:p w14:paraId="2274F86A"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Como se hace mención en líneas anteriores, la solicitud de ampliación de la competencia de los Despachos Agrarios no va a sufrir variación en la entrada de asuntos por oficina.</w:t>
            </w:r>
          </w:p>
          <w:p w14:paraId="7C6AC0F0"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Lo que se propone es que los Despachos que tengan capacidad operativa para brindar apoyo a otros despachos, brinden la ayuda a los Despachos que se presentan mayor cantidad de asuntos entrados con el dictado de sentencias y la emisión de otras resoluciones que den por terminado el proceso.</w:t>
            </w:r>
          </w:p>
        </w:tc>
      </w:tr>
      <w:tr w:rsidR="001341EC" w:rsidRPr="00126FA8" w14:paraId="51E3BFAD" w14:textId="77777777" w:rsidTr="00165AA6">
        <w:trPr>
          <w:trHeight w:val="20"/>
        </w:trPr>
        <w:tc>
          <w:tcPr>
            <w:tcW w:w="512" w:type="dxa"/>
            <w:tcBorders>
              <w:left w:val="double" w:sz="6" w:space="0" w:color="4472C4"/>
              <w:bottom w:val="nil"/>
              <w:right w:val="double" w:sz="6" w:space="0" w:color="4472C4"/>
            </w:tcBorders>
            <w:vAlign w:val="center"/>
          </w:tcPr>
          <w:p w14:paraId="7EA4DA24" w14:textId="77777777" w:rsidR="001341EC" w:rsidRPr="00F43A2A" w:rsidRDefault="001341EC" w:rsidP="00165AA6">
            <w:pPr>
              <w:jc w:val="center"/>
              <w:rPr>
                <w:rFonts w:ascii="Book Antiqua" w:hAnsi="Book Antiqua"/>
                <w:sz w:val="22"/>
                <w:szCs w:val="22"/>
                <w:lang w:eastAsia="es-CR"/>
              </w:rPr>
            </w:pPr>
          </w:p>
        </w:tc>
        <w:tc>
          <w:tcPr>
            <w:tcW w:w="4664" w:type="dxa"/>
            <w:tcBorders>
              <w:left w:val="double" w:sz="6" w:space="0" w:color="4472C4"/>
              <w:bottom w:val="nil"/>
              <w:right w:val="double" w:sz="4" w:space="0" w:color="4472C4"/>
            </w:tcBorders>
            <w:shd w:val="clear" w:color="auto" w:fill="auto"/>
            <w:vAlign w:val="center"/>
            <w:hideMark/>
          </w:tcPr>
          <w:p w14:paraId="1551A4B2"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Nos parece que, de previo a pretender ampliar la competencia de los Juzgados Agrarios, a nivel nacional, y como una propuesta para asumir el reto de la entrada en </w:t>
            </w:r>
            <w:r w:rsidRPr="001D1C4B">
              <w:rPr>
                <w:rFonts w:ascii="Book Antiqua" w:hAnsi="Book Antiqua"/>
                <w:sz w:val="22"/>
                <w:szCs w:val="22"/>
                <w:lang w:eastAsia="es-CR"/>
              </w:rPr>
              <w:lastRenderedPageBreak/>
              <w:t>vigencia del nuevo Código Procesal Agrario, en todos los Juzgados Agrarios se realice:</w:t>
            </w:r>
          </w:p>
        </w:tc>
        <w:tc>
          <w:tcPr>
            <w:tcW w:w="3802" w:type="dxa"/>
            <w:tcBorders>
              <w:left w:val="double" w:sz="4" w:space="0" w:color="4472C4"/>
              <w:bottom w:val="nil"/>
              <w:right w:val="double" w:sz="4" w:space="0" w:color="4472C4"/>
            </w:tcBorders>
            <w:shd w:val="clear" w:color="auto" w:fill="auto"/>
            <w:vAlign w:val="center"/>
            <w:hideMark/>
          </w:tcPr>
          <w:p w14:paraId="7827FFD3" w14:textId="77777777" w:rsidR="001341EC" w:rsidRPr="00795EFB" w:rsidRDefault="001341EC" w:rsidP="00165AA6">
            <w:pPr>
              <w:jc w:val="both"/>
              <w:rPr>
                <w:rFonts w:ascii="Book Antiqua" w:hAnsi="Book Antiqua"/>
                <w:sz w:val="22"/>
                <w:szCs w:val="22"/>
                <w:lang w:eastAsia="es-CR"/>
              </w:rPr>
            </w:pPr>
            <w:r w:rsidRPr="00795EFB">
              <w:rPr>
                <w:rFonts w:ascii="Book Antiqua" w:hAnsi="Book Antiqua"/>
                <w:sz w:val="22"/>
                <w:szCs w:val="22"/>
                <w:lang w:eastAsia="es-CR"/>
              </w:rPr>
              <w:lastRenderedPageBreak/>
              <w:t xml:space="preserve">Pautas que se proponen como parte del cronograma de la Comisión Agraria: </w:t>
            </w:r>
          </w:p>
          <w:p w14:paraId="318E4694" w14:textId="77777777" w:rsidR="001341EC" w:rsidRPr="00126FA8" w:rsidRDefault="001341EC" w:rsidP="00165AA6">
            <w:pPr>
              <w:pStyle w:val="Prrafodelista"/>
              <w:numPr>
                <w:ilvl w:val="0"/>
                <w:numId w:val="46"/>
              </w:numPr>
              <w:ind w:left="0" w:firstLine="0"/>
              <w:jc w:val="both"/>
              <w:rPr>
                <w:rFonts w:ascii="Book Antiqua" w:hAnsi="Book Antiqua"/>
                <w:sz w:val="22"/>
                <w:szCs w:val="22"/>
                <w:lang w:eastAsia="es-CR"/>
              </w:rPr>
            </w:pPr>
            <w:r w:rsidRPr="00795EFB">
              <w:rPr>
                <w:rFonts w:ascii="Book Antiqua" w:hAnsi="Book Antiqua"/>
                <w:b/>
                <w:bCs/>
                <w:sz w:val="22"/>
                <w:szCs w:val="22"/>
                <w:lang w:eastAsia="es-CR"/>
              </w:rPr>
              <w:t xml:space="preserve">Inventario de expedientes: </w:t>
            </w:r>
            <w:r w:rsidRPr="00795EFB">
              <w:rPr>
                <w:rFonts w:ascii="Book Antiqua" w:hAnsi="Book Antiqua"/>
                <w:bCs/>
                <w:sz w:val="22"/>
                <w:szCs w:val="22"/>
                <w:lang w:eastAsia="es-CR"/>
              </w:rPr>
              <w:t xml:space="preserve">El </w:t>
            </w:r>
            <w:r w:rsidRPr="00795EFB">
              <w:rPr>
                <w:rFonts w:ascii="Book Antiqua" w:hAnsi="Book Antiqua"/>
                <w:bCs/>
                <w:sz w:val="22"/>
                <w:szCs w:val="22"/>
                <w:lang w:eastAsia="es-CR"/>
              </w:rPr>
              <w:lastRenderedPageBreak/>
              <w:t>inventario deben realizarlo todos los Juzgados Agrarios del país, una vez al año en cumplimiento con l</w:t>
            </w:r>
            <w:r>
              <w:rPr>
                <w:rFonts w:ascii="Book Antiqua" w:hAnsi="Book Antiqua"/>
                <w:bCs/>
                <w:sz w:val="22"/>
                <w:szCs w:val="22"/>
                <w:lang w:eastAsia="es-CR"/>
              </w:rPr>
              <w:t xml:space="preserve">os lineamientos establecido por el Consejo Superior y que han </w:t>
            </w:r>
            <w:r w:rsidR="00817898">
              <w:rPr>
                <w:rFonts w:ascii="Book Antiqua" w:hAnsi="Book Antiqua"/>
                <w:bCs/>
                <w:sz w:val="22"/>
                <w:szCs w:val="22"/>
                <w:lang w:eastAsia="es-CR"/>
              </w:rPr>
              <w:t>sido</w:t>
            </w:r>
            <w:r>
              <w:rPr>
                <w:rFonts w:ascii="Book Antiqua" w:hAnsi="Book Antiqua"/>
                <w:bCs/>
                <w:sz w:val="22"/>
                <w:szCs w:val="22"/>
                <w:lang w:eastAsia="es-CR"/>
              </w:rPr>
              <w:t xml:space="preserve"> comunicados por</w:t>
            </w:r>
            <w:r w:rsidRPr="00795EFB">
              <w:rPr>
                <w:rFonts w:ascii="Book Antiqua" w:hAnsi="Book Antiqua"/>
                <w:bCs/>
                <w:sz w:val="22"/>
                <w:szCs w:val="22"/>
                <w:lang w:eastAsia="es-CR"/>
              </w:rPr>
              <w:t xml:space="preserve"> circulares de la Dirección Ejecutiva, sin embargo, en esta oportunidad se están realizando previo a los abordajes de la Dirección de Planificación. En este caso según cronograma se estima que el Juzgado realizará el inventario en la segunda semana de junio del presente año.</w:t>
            </w:r>
          </w:p>
          <w:p w14:paraId="3A36583C" w14:textId="77777777" w:rsidR="001341EC" w:rsidRPr="00126FA8" w:rsidRDefault="001341EC" w:rsidP="00165AA6">
            <w:pPr>
              <w:jc w:val="both"/>
              <w:rPr>
                <w:rFonts w:ascii="Book Antiqua" w:hAnsi="Book Antiqua"/>
                <w:sz w:val="22"/>
                <w:szCs w:val="22"/>
                <w:lang w:eastAsia="es-CR"/>
              </w:rPr>
            </w:pPr>
            <w:r w:rsidRPr="00F43A2A">
              <w:rPr>
                <w:rFonts w:ascii="Book Antiqua" w:hAnsi="Book Antiqua"/>
                <w:bCs/>
                <w:sz w:val="22"/>
                <w:szCs w:val="22"/>
                <w:lang w:eastAsia="es-CR"/>
              </w:rPr>
              <w:t xml:space="preserve"> </w:t>
            </w:r>
          </w:p>
        </w:tc>
      </w:tr>
      <w:tr w:rsidR="001341EC" w:rsidRPr="00126FA8" w14:paraId="2DE8362D" w14:textId="77777777" w:rsidTr="00165AA6">
        <w:trPr>
          <w:trHeight w:val="20"/>
        </w:trPr>
        <w:tc>
          <w:tcPr>
            <w:tcW w:w="512" w:type="dxa"/>
            <w:tcBorders>
              <w:top w:val="nil"/>
              <w:left w:val="double" w:sz="6" w:space="0" w:color="4472C4"/>
              <w:bottom w:val="nil"/>
              <w:right w:val="double" w:sz="6" w:space="0" w:color="4472C4"/>
            </w:tcBorders>
            <w:vAlign w:val="center"/>
          </w:tcPr>
          <w:p w14:paraId="293D2D6F" w14:textId="77777777" w:rsidR="001341EC" w:rsidRPr="00F43A2A"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nil"/>
              <w:right w:val="double" w:sz="4" w:space="0" w:color="4472C4"/>
            </w:tcBorders>
            <w:shd w:val="clear" w:color="auto" w:fill="auto"/>
            <w:vAlign w:val="center"/>
            <w:hideMark/>
          </w:tcPr>
          <w:p w14:paraId="2B04D025"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1) </w:t>
            </w:r>
            <w:r w:rsidRPr="001D1C4B">
              <w:rPr>
                <w:rFonts w:ascii="Book Antiqua" w:hAnsi="Book Antiqua"/>
                <w:b/>
                <w:bCs/>
                <w:sz w:val="22"/>
                <w:szCs w:val="22"/>
                <w:lang w:eastAsia="es-CR"/>
              </w:rPr>
              <w:t>El inventario que está programado</w:t>
            </w:r>
            <w:r w:rsidRPr="001D1C4B">
              <w:rPr>
                <w:rFonts w:ascii="Book Antiqua" w:hAnsi="Book Antiqua"/>
                <w:sz w:val="22"/>
                <w:szCs w:val="22"/>
                <w:lang w:eastAsia="es-CR"/>
              </w:rPr>
              <w:t xml:space="preserve"> por el departamento de planificación, según cronograma que enviaran con antelación, (en ese sentido se aclara que, por razones que desconocemos, nosotros no estamos incluidos en dicha programación)</w:t>
            </w:r>
          </w:p>
        </w:tc>
        <w:tc>
          <w:tcPr>
            <w:tcW w:w="3802" w:type="dxa"/>
            <w:tcBorders>
              <w:top w:val="nil"/>
              <w:left w:val="double" w:sz="4" w:space="0" w:color="4472C4"/>
              <w:bottom w:val="nil"/>
              <w:right w:val="double" w:sz="4" w:space="0" w:color="4472C4"/>
            </w:tcBorders>
            <w:shd w:val="clear" w:color="auto" w:fill="auto"/>
            <w:vAlign w:val="center"/>
            <w:hideMark/>
          </w:tcPr>
          <w:p w14:paraId="72B1E697"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2. </w:t>
            </w:r>
            <w:r w:rsidRPr="00F43A2A">
              <w:rPr>
                <w:rFonts w:ascii="Book Antiqua" w:hAnsi="Book Antiqua"/>
                <w:b/>
                <w:bCs/>
                <w:sz w:val="22"/>
                <w:szCs w:val="22"/>
                <w:lang w:eastAsia="es-CR"/>
              </w:rPr>
              <w:t>Se instalen los indic</w:t>
            </w:r>
            <w:r w:rsidRPr="001D1C4B">
              <w:rPr>
                <w:rFonts w:ascii="Book Antiqua" w:hAnsi="Book Antiqua"/>
                <w:b/>
                <w:bCs/>
                <w:sz w:val="22"/>
                <w:szCs w:val="22"/>
                <w:lang w:eastAsia="es-CR"/>
              </w:rPr>
              <w:t xml:space="preserve">adores de gestión: </w:t>
            </w:r>
            <w:r w:rsidRPr="001D1C4B">
              <w:rPr>
                <w:rFonts w:ascii="Book Antiqua" w:hAnsi="Book Antiqua"/>
                <w:bCs/>
                <w:sz w:val="22"/>
                <w:szCs w:val="22"/>
                <w:lang w:eastAsia="es-CR"/>
              </w:rPr>
              <w:t xml:space="preserve">Al concluir con el abordaje de los despachos que está realizando la Dirección de Planificación, todos los juzgados contarán con Indicadores de Gestión, derivados de un informe técnico. Se coincide que esto se realizará de previo a la propuesta de ampliar competencias para colaboración con otros despachos por entrada en vigencia.  </w:t>
            </w:r>
          </w:p>
        </w:tc>
      </w:tr>
      <w:tr w:rsidR="001341EC" w:rsidRPr="00126FA8" w14:paraId="7206A532" w14:textId="77777777" w:rsidTr="00165AA6">
        <w:trPr>
          <w:trHeight w:val="20"/>
        </w:trPr>
        <w:tc>
          <w:tcPr>
            <w:tcW w:w="512" w:type="dxa"/>
            <w:tcBorders>
              <w:top w:val="nil"/>
              <w:left w:val="double" w:sz="6" w:space="0" w:color="4472C4"/>
              <w:bottom w:val="nil"/>
              <w:right w:val="double" w:sz="6" w:space="0" w:color="4472C4"/>
            </w:tcBorders>
            <w:vAlign w:val="center"/>
          </w:tcPr>
          <w:p w14:paraId="407337FC" w14:textId="77777777" w:rsidR="001341EC" w:rsidRPr="00F43A2A"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nil"/>
              <w:right w:val="double" w:sz="4" w:space="0" w:color="4472C4"/>
            </w:tcBorders>
            <w:shd w:val="clear" w:color="auto" w:fill="auto"/>
            <w:vAlign w:val="center"/>
            <w:hideMark/>
          </w:tcPr>
          <w:p w14:paraId="1F379E02"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2) </w:t>
            </w:r>
            <w:r w:rsidRPr="001D1C4B">
              <w:rPr>
                <w:rFonts w:ascii="Book Antiqua" w:hAnsi="Book Antiqua"/>
                <w:b/>
                <w:bCs/>
                <w:sz w:val="22"/>
                <w:szCs w:val="22"/>
                <w:lang w:eastAsia="es-CR"/>
              </w:rPr>
              <w:t>Se instalen los indicadores de gestión</w:t>
            </w:r>
            <w:r w:rsidRPr="001D1C4B">
              <w:rPr>
                <w:rFonts w:ascii="Book Antiqua" w:hAnsi="Book Antiqua"/>
                <w:sz w:val="22"/>
                <w:szCs w:val="22"/>
                <w:lang w:eastAsia="es-CR"/>
              </w:rPr>
              <w:t xml:space="preserve"> en las oficinas que aún no cuentan con este recurso y se le den al menos de tres a seis meses de seguimiento con el </w:t>
            </w:r>
            <w:r w:rsidRPr="00795EFB">
              <w:rPr>
                <w:rFonts w:ascii="Book Antiqua" w:hAnsi="Book Antiqua"/>
                <w:sz w:val="22"/>
                <w:szCs w:val="22"/>
                <w:lang w:eastAsia="es-CR"/>
              </w:rPr>
              <w:t>fin de que se pueda medir la dinámica de cada oficina y contar con mayores elementos, antes de pretender estandarizar a todos los Juzgados, pues cada uno cuenta con particularidades que nos diferencian, los cuales van desde la competencia territorial, hast</w:t>
            </w:r>
            <w:r w:rsidRPr="00126FA8">
              <w:rPr>
                <w:rFonts w:ascii="Book Antiqua" w:hAnsi="Book Antiqua"/>
                <w:sz w:val="22"/>
                <w:szCs w:val="22"/>
                <w:lang w:eastAsia="es-CR"/>
              </w:rPr>
              <w:t xml:space="preserve">a el tipo de proceso que ingresa.  Asimismo, se debe valorar si de verdad, y a raíz precisamente de dichas diferencias, es posible hacer una estandarización de los parámetros e indicadores, o por el contrario, se debe considerar la dinámica de cada oficina.  </w:t>
            </w:r>
            <w:r w:rsidRPr="00126FA8">
              <w:rPr>
                <w:rFonts w:ascii="Book Antiqua" w:hAnsi="Book Antiqua"/>
                <w:sz w:val="22"/>
                <w:szCs w:val="22"/>
                <w:lang w:eastAsia="es-CR"/>
              </w:rPr>
              <w:lastRenderedPageBreak/>
              <w:t>Además, se debe contar con el estudio técnico que respalde los indicadores establecidos, si estos responden a históricos de oficina, a la capacidad operativa del Despacho o a los plazos establecidos por la ley.  Con el mayor de los respetos consideramos, que de previo a hacer un plan de trabajo NACIONAL, deben realizarse planes remediales por cada oficina, para atacar la mora o demás problemática que se arroje de los resultados obtenidos.</w:t>
            </w:r>
          </w:p>
        </w:tc>
        <w:tc>
          <w:tcPr>
            <w:tcW w:w="3802" w:type="dxa"/>
            <w:tcBorders>
              <w:top w:val="nil"/>
              <w:left w:val="double" w:sz="4" w:space="0" w:color="4472C4"/>
              <w:bottom w:val="nil"/>
              <w:right w:val="double" w:sz="6" w:space="0" w:color="4472C4"/>
            </w:tcBorders>
            <w:shd w:val="clear" w:color="auto" w:fill="auto"/>
            <w:vAlign w:val="center"/>
            <w:hideMark/>
          </w:tcPr>
          <w:p w14:paraId="33B575F0" w14:textId="77777777" w:rsidR="001341EC" w:rsidRPr="00126FA8" w:rsidRDefault="001341EC" w:rsidP="00165AA6">
            <w:pPr>
              <w:jc w:val="both"/>
              <w:rPr>
                <w:rFonts w:ascii="Book Antiqua" w:hAnsi="Book Antiqua"/>
                <w:bCs/>
                <w:sz w:val="22"/>
                <w:szCs w:val="22"/>
                <w:lang w:eastAsia="es-CR"/>
              </w:rPr>
            </w:pPr>
            <w:r w:rsidRPr="00126FA8">
              <w:rPr>
                <w:rFonts w:ascii="Book Antiqua" w:hAnsi="Book Antiqua"/>
                <w:b/>
                <w:bCs/>
                <w:sz w:val="22"/>
                <w:szCs w:val="22"/>
                <w:lang w:eastAsia="es-CR"/>
              </w:rPr>
              <w:lastRenderedPageBreak/>
              <w:t xml:space="preserve">3. Cada despacho realice un plan de descongestionamiento: </w:t>
            </w:r>
            <w:r w:rsidRPr="00126FA8">
              <w:rPr>
                <w:rFonts w:ascii="Book Antiqua" w:hAnsi="Book Antiqua"/>
                <w:bCs/>
                <w:sz w:val="22"/>
                <w:szCs w:val="22"/>
                <w:lang w:eastAsia="es-CR"/>
              </w:rPr>
              <w:t xml:space="preserve">Previo a los abordajes se están realizando los inventarios correspondientes, con el objetivo de mantener el circulante actualizado con las fases, estados, procedimientos, tareas, entre otros; según se indicó en el punto 1 y en lo posible reducir los circulantes por fase como resultado de la depuración.  </w:t>
            </w:r>
          </w:p>
          <w:p w14:paraId="537A4F67" w14:textId="77777777" w:rsidR="001341EC" w:rsidRPr="00126FA8" w:rsidRDefault="001341EC" w:rsidP="00165AA6">
            <w:pPr>
              <w:jc w:val="both"/>
              <w:rPr>
                <w:rFonts w:ascii="Book Antiqua" w:hAnsi="Book Antiqua"/>
                <w:bCs/>
                <w:sz w:val="22"/>
                <w:szCs w:val="22"/>
                <w:lang w:eastAsia="es-CR"/>
              </w:rPr>
            </w:pPr>
          </w:p>
          <w:p w14:paraId="16450CBE"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017DDF6C" w14:textId="77777777" w:rsidTr="00165AA6">
        <w:trPr>
          <w:trHeight w:val="20"/>
        </w:trPr>
        <w:tc>
          <w:tcPr>
            <w:tcW w:w="512" w:type="dxa"/>
            <w:tcBorders>
              <w:top w:val="nil"/>
              <w:left w:val="double" w:sz="6" w:space="0" w:color="4472C4"/>
              <w:bottom w:val="nil"/>
              <w:right w:val="double" w:sz="6" w:space="0" w:color="4472C4"/>
            </w:tcBorders>
            <w:vAlign w:val="center"/>
          </w:tcPr>
          <w:p w14:paraId="03FC56A5" w14:textId="77777777" w:rsidR="001341EC" w:rsidRPr="00F43A2A"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0294A594"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3) </w:t>
            </w:r>
            <w:r w:rsidRPr="001D1C4B">
              <w:rPr>
                <w:rFonts w:ascii="Book Antiqua" w:hAnsi="Book Antiqua"/>
                <w:b/>
                <w:bCs/>
                <w:sz w:val="22"/>
                <w:szCs w:val="22"/>
                <w:lang w:eastAsia="es-CR"/>
              </w:rPr>
              <w:t xml:space="preserve">Cada despacho realice un plan de descongestionamiento </w:t>
            </w:r>
            <w:r w:rsidRPr="001D1C4B">
              <w:rPr>
                <w:rFonts w:ascii="Book Antiqua" w:hAnsi="Book Antiqua"/>
                <w:sz w:val="22"/>
                <w:szCs w:val="22"/>
                <w:lang w:eastAsia="es-CR"/>
              </w:rPr>
              <w:t>a nivel interno con el fin de disminuir el porcentaje de expedientes que se encuentran en la fase ini</w:t>
            </w:r>
            <w:r w:rsidRPr="00126FA8">
              <w:rPr>
                <w:rFonts w:ascii="Book Antiqua" w:hAnsi="Book Antiqua"/>
                <w:sz w:val="22"/>
                <w:szCs w:val="22"/>
                <w:lang w:eastAsia="es-CR"/>
              </w:rPr>
              <w:t>cial, y se realicen las depuraciones correspondientes con el fin de disminuir los circulantes y que se actualicen las fases de cada proceso en todos los Despachos a fin de ver reflejado el estado real de cada proceso.</w:t>
            </w:r>
          </w:p>
        </w:tc>
        <w:tc>
          <w:tcPr>
            <w:tcW w:w="3802" w:type="dxa"/>
            <w:tcBorders>
              <w:top w:val="nil"/>
              <w:left w:val="nil"/>
              <w:bottom w:val="double" w:sz="6" w:space="0" w:color="4472C4"/>
              <w:right w:val="double" w:sz="6" w:space="0" w:color="4472C4"/>
            </w:tcBorders>
            <w:shd w:val="clear" w:color="auto" w:fill="auto"/>
            <w:vAlign w:val="center"/>
            <w:hideMark/>
          </w:tcPr>
          <w:p w14:paraId="1BA0C3A2" w14:textId="77777777" w:rsidR="001341EC" w:rsidRPr="00126FA8" w:rsidRDefault="001341EC" w:rsidP="00165AA6">
            <w:pPr>
              <w:rPr>
                <w:rFonts w:ascii="Book Antiqua" w:hAnsi="Book Antiqua"/>
                <w:sz w:val="22"/>
                <w:szCs w:val="22"/>
                <w:lang w:eastAsia="es-CR"/>
              </w:rPr>
            </w:pPr>
            <w:r w:rsidRPr="00126FA8">
              <w:rPr>
                <w:rFonts w:ascii="Book Antiqua" w:hAnsi="Book Antiqua"/>
                <w:sz w:val="22"/>
                <w:szCs w:val="22"/>
                <w:lang w:eastAsia="es-CR"/>
              </w:rPr>
              <w:t> </w:t>
            </w:r>
          </w:p>
        </w:tc>
      </w:tr>
      <w:tr w:rsidR="001341EC" w:rsidRPr="00126FA8" w14:paraId="1F7B6AA5"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54F0D3E0"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9</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35FD2792"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 Solicitamos se aclare el término de "ampliación de la competencia",  si responde a la posibilidad de dictar sentencias de fondo debido a la facilidad del escritorio virtual, o bien a raíz del principio de identidad física de la persona juzgadora, conllevaría un traslado del juez o jueza a otro circuito con el fin de realizar el juicio y proceder posteriormente al dictado de la sentencia de fondo.  </w:t>
            </w:r>
          </w:p>
        </w:tc>
        <w:tc>
          <w:tcPr>
            <w:tcW w:w="3802" w:type="dxa"/>
            <w:tcBorders>
              <w:top w:val="nil"/>
              <w:left w:val="nil"/>
              <w:bottom w:val="double" w:sz="6" w:space="0" w:color="4472C4"/>
              <w:right w:val="double" w:sz="6" w:space="0" w:color="4472C4"/>
            </w:tcBorders>
            <w:shd w:val="clear" w:color="auto" w:fill="auto"/>
            <w:vAlign w:val="center"/>
            <w:hideMark/>
          </w:tcPr>
          <w:p w14:paraId="4BE3E042"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Como se indicó en líneas anteriores, la colaboración a otros despachos, se refiere a la atención de los expedientes que no pueden ser atendidos por el mismo despacho durante el mes. Esto provocaría la atención de las causas en todos sus extremos. Se debe tomar en consideración las herramientas electrónicas con las que cuenta el Poder Judicial, como lo es el expediente electrónico, para facilitar la atención de estos asuntos, por ejemplo los expedientes de puro derecho o expedientes para terminar por otras razones, sin embargo, no exime expedientes en donde se requiera ir al campo.</w:t>
            </w:r>
          </w:p>
          <w:p w14:paraId="001F241D" w14:textId="77777777" w:rsidR="001341EC" w:rsidRPr="00126FA8" w:rsidRDefault="001341EC" w:rsidP="00165AA6">
            <w:pPr>
              <w:jc w:val="both"/>
              <w:rPr>
                <w:rFonts w:ascii="Book Antiqua" w:hAnsi="Book Antiqua"/>
                <w:sz w:val="22"/>
                <w:szCs w:val="22"/>
                <w:lang w:eastAsia="es-CR"/>
              </w:rPr>
            </w:pPr>
          </w:p>
          <w:p w14:paraId="45B921BC"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Los mecánicos de cómo se brindará la colaboración serán definidos de previo, mediante un plan de trabajo, </w:t>
            </w:r>
            <w:r w:rsidRPr="00126FA8">
              <w:rPr>
                <w:rFonts w:ascii="Book Antiqua" w:hAnsi="Book Antiqua"/>
                <w:sz w:val="22"/>
                <w:szCs w:val="22"/>
                <w:lang w:eastAsia="es-CR"/>
              </w:rPr>
              <w:lastRenderedPageBreak/>
              <w:t>en donde se definan las variables que mayor beneficio tienen para ambos despachos y sobre todo en beneficio de la persona usuaria.</w:t>
            </w:r>
          </w:p>
          <w:p w14:paraId="6A5001C9" w14:textId="77777777" w:rsidR="001341EC" w:rsidRPr="00126FA8" w:rsidRDefault="001341EC" w:rsidP="00165AA6">
            <w:pPr>
              <w:jc w:val="both"/>
              <w:rPr>
                <w:rFonts w:ascii="Book Antiqua" w:hAnsi="Book Antiqua"/>
                <w:sz w:val="22"/>
                <w:szCs w:val="22"/>
                <w:lang w:eastAsia="es-CR"/>
              </w:rPr>
            </w:pPr>
          </w:p>
          <w:p w14:paraId="1A61781A" w14:textId="77777777" w:rsidR="001341EC" w:rsidRPr="00126FA8" w:rsidRDefault="001341EC" w:rsidP="00165AA6">
            <w:pPr>
              <w:jc w:val="both"/>
              <w:rPr>
                <w:rFonts w:ascii="Book Antiqua" w:hAnsi="Book Antiqua"/>
                <w:sz w:val="22"/>
                <w:szCs w:val="22"/>
                <w:lang w:eastAsia="es-CR"/>
              </w:rPr>
            </w:pPr>
          </w:p>
          <w:p w14:paraId="28494F7E"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0F4C076F"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5CB6F58F"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10</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71F762EF"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Al hablar el informe de ampliación de la competencia de los Juzgados Agrarios solicitamos se aclare a que personal judicial involucra, si únicamente se refiere a personas juzgadoras o incluye a personas técnicas.</w:t>
            </w:r>
          </w:p>
        </w:tc>
        <w:tc>
          <w:tcPr>
            <w:tcW w:w="3802" w:type="dxa"/>
            <w:tcBorders>
              <w:top w:val="nil"/>
              <w:left w:val="nil"/>
              <w:bottom w:val="double" w:sz="6" w:space="0" w:color="4472C4"/>
              <w:right w:val="double" w:sz="6" w:space="0" w:color="4472C4"/>
            </w:tcBorders>
            <w:shd w:val="clear" w:color="auto" w:fill="auto"/>
            <w:vAlign w:val="center"/>
            <w:hideMark/>
          </w:tcPr>
          <w:p w14:paraId="3A9B71EC"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Lo mencionado anteriormente, únicamente involucra a la persona juzgadora de los Despachos. </w:t>
            </w:r>
          </w:p>
          <w:p w14:paraId="786E3163" w14:textId="77777777" w:rsidR="001341EC" w:rsidRPr="00126FA8" w:rsidRDefault="001341EC" w:rsidP="00165AA6">
            <w:pPr>
              <w:jc w:val="both"/>
              <w:rPr>
                <w:rFonts w:ascii="Book Antiqua" w:hAnsi="Book Antiqua"/>
                <w:sz w:val="22"/>
                <w:szCs w:val="22"/>
                <w:lang w:eastAsia="es-CR"/>
              </w:rPr>
            </w:pPr>
          </w:p>
          <w:p w14:paraId="3669AE2F"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75EAF123"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72C5F64D"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11</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2F86E508"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Al detectarse que el porcentaje de expedientes en etapa inicial es alto, si el concepto de "ampliación de la competencia" también se extiende a reducir los expedientes que se encuentran en esta etapa. De considerar que es así, clarificar como se atacaría y si eso conlleva resolución del proveído por parte de personas juzgadoras y técnicas de otros Circuitos.</w:t>
            </w:r>
          </w:p>
        </w:tc>
        <w:tc>
          <w:tcPr>
            <w:tcW w:w="3802" w:type="dxa"/>
            <w:tcBorders>
              <w:top w:val="nil"/>
              <w:left w:val="nil"/>
              <w:bottom w:val="double" w:sz="6" w:space="0" w:color="4472C4"/>
              <w:right w:val="double" w:sz="6" w:space="0" w:color="4472C4"/>
            </w:tcBorders>
            <w:shd w:val="clear" w:color="auto" w:fill="auto"/>
            <w:vAlign w:val="center"/>
            <w:hideMark/>
          </w:tcPr>
          <w:p w14:paraId="650D1D86"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Como bien se menciona, la colaboración sería para la entrada de asuntos, lo que involucra las tareas necesarias para la atención de estos asuntos y no para colaborar en los planes de descongestionamiento referente a la disminución del circulante en las distintas fases.</w:t>
            </w:r>
          </w:p>
          <w:p w14:paraId="433291AB" w14:textId="77777777" w:rsidR="001341EC" w:rsidRPr="00126FA8" w:rsidRDefault="001341EC" w:rsidP="00165AA6">
            <w:pPr>
              <w:jc w:val="both"/>
              <w:rPr>
                <w:rFonts w:ascii="Book Antiqua" w:hAnsi="Book Antiqua"/>
                <w:sz w:val="22"/>
                <w:szCs w:val="22"/>
                <w:lang w:eastAsia="es-CR"/>
              </w:rPr>
            </w:pPr>
          </w:p>
          <w:p w14:paraId="060B2DDB"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6B4B0A53"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5131CFF6"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12</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7F040121"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Consideramos que debe realizarse una proyección del posible aumento en el circulante de cada Juzgado, al momento de la entrada en vigencia del Nuevo Código Procesal Agrario.  Se ha realizado un análisis del impacto que generaría la ampliación de la competencia, lo anterior conforme a la capacidad instalada que cada Juzgado tiene para asumir las funciones en la actualidad y las que tendrá a partir de ese momento.</w:t>
            </w:r>
          </w:p>
        </w:tc>
        <w:tc>
          <w:tcPr>
            <w:tcW w:w="3802" w:type="dxa"/>
            <w:tcBorders>
              <w:top w:val="nil"/>
              <w:left w:val="nil"/>
              <w:bottom w:val="double" w:sz="6" w:space="0" w:color="4472C4"/>
              <w:right w:val="double" w:sz="6" w:space="0" w:color="4472C4"/>
            </w:tcBorders>
            <w:shd w:val="clear" w:color="auto" w:fill="auto"/>
            <w:vAlign w:val="center"/>
            <w:hideMark/>
          </w:tcPr>
          <w:p w14:paraId="57AC5D5A"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En casos en donde se detecte incremento de la entrada de asuntos, se tiene identificado en el Cuadro 5 cuales tienen capacidad de atención de más asuntos y los que no la tienen.</w:t>
            </w:r>
          </w:p>
          <w:p w14:paraId="0A862409" w14:textId="77777777" w:rsidR="001341EC" w:rsidRPr="00126FA8" w:rsidRDefault="001341EC" w:rsidP="00165AA6">
            <w:pPr>
              <w:jc w:val="both"/>
              <w:rPr>
                <w:rFonts w:ascii="Book Antiqua" w:hAnsi="Book Antiqua"/>
                <w:sz w:val="22"/>
                <w:szCs w:val="22"/>
                <w:lang w:eastAsia="es-CR"/>
              </w:rPr>
            </w:pPr>
          </w:p>
          <w:p w14:paraId="572114AE"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El impacto de un posible incremento será sujeto de estudio una vez entrada en vigencia la Ley, por ahora, a nivel de sistemas no es posible cuantificar los que se atenderá por la Jurisdicción Agrario y que eran competencia de otras jurisdicciones</w:t>
            </w:r>
          </w:p>
          <w:p w14:paraId="2B2345E2" w14:textId="77777777" w:rsidR="001341EC" w:rsidRPr="00126FA8" w:rsidRDefault="001341EC" w:rsidP="00165AA6">
            <w:pPr>
              <w:jc w:val="both"/>
              <w:rPr>
                <w:rFonts w:ascii="Book Antiqua" w:hAnsi="Book Antiqua"/>
                <w:sz w:val="22"/>
                <w:szCs w:val="22"/>
                <w:lang w:eastAsia="es-CR"/>
              </w:rPr>
            </w:pPr>
          </w:p>
          <w:p w14:paraId="033CAD72" w14:textId="77777777" w:rsidR="001341EC" w:rsidRPr="00F43A2A" w:rsidRDefault="001341EC" w:rsidP="00165AA6">
            <w:pPr>
              <w:jc w:val="both"/>
              <w:rPr>
                <w:rFonts w:ascii="Book Antiqua" w:hAnsi="Book Antiqua"/>
                <w:sz w:val="22"/>
                <w:szCs w:val="22"/>
                <w:lang w:eastAsia="es-CR"/>
              </w:rPr>
            </w:pPr>
          </w:p>
          <w:p w14:paraId="49D6A6AF"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En el presente informe se realiza el análisis de la entrada de asuntos, capacidad instalada y el circulante de cada oficina. </w:t>
            </w:r>
          </w:p>
          <w:p w14:paraId="4AC5713A" w14:textId="77777777" w:rsidR="001341EC" w:rsidRPr="001D1C4B" w:rsidRDefault="001341EC" w:rsidP="00165AA6">
            <w:pPr>
              <w:jc w:val="both"/>
              <w:rPr>
                <w:rFonts w:ascii="Book Antiqua" w:hAnsi="Book Antiqua"/>
                <w:sz w:val="22"/>
                <w:szCs w:val="22"/>
                <w:lang w:eastAsia="es-CR"/>
              </w:rPr>
            </w:pPr>
          </w:p>
          <w:p w14:paraId="13958CE6"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11C1777F"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38D809E3"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13</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53002D7E"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Se identifique con claridad las funciones que podría realizar los Jueces Supernumerarios del Centro de Apoyo, Coordinación y Mejoramiento de la Función Jurisdiccional, así como las personas Juzgadoras Supernumerarias de los diferentes circuitos, con el fin de aprovechar este recurso existente.  Se indique expresamente si estas personas juzgadoras pueden realizar señalamientos en el campo, de cual tipo, o si su labor es únicamente destinada al fallo. Si este fuera el supuesto, se aclare las cuotas de la resolución de asuntos (tomando en consideración que no hacen juicios, ni firman proveído) pues en las Circulares del Consejo Superior no indican la cuota de autos y de sentencias que deben dictar el cuerpo de supernumerarios para agrario, en los</w:t>
            </w:r>
            <w:r w:rsidRPr="00126FA8">
              <w:rPr>
                <w:rFonts w:ascii="Book Antiqua" w:hAnsi="Book Antiqua"/>
                <w:sz w:val="22"/>
                <w:szCs w:val="22"/>
                <w:lang w:eastAsia="es-CR"/>
              </w:rPr>
              <w:t xml:space="preserve"> planes de descongestionamiento iniciados como consecuencia de los indicadores, lo que sí hacen entro materia.  Además, que se aclare los tipos de procesos que pueden conocer, y en caso de considerar que no se pueden conocer "asuntos complejos" que se defina que incluiría éste término. </w:t>
            </w:r>
          </w:p>
        </w:tc>
        <w:tc>
          <w:tcPr>
            <w:tcW w:w="3802" w:type="dxa"/>
            <w:tcBorders>
              <w:top w:val="nil"/>
              <w:left w:val="nil"/>
              <w:bottom w:val="double" w:sz="6" w:space="0" w:color="4472C4"/>
              <w:right w:val="double" w:sz="6" w:space="0" w:color="4472C4"/>
            </w:tcBorders>
            <w:shd w:val="clear" w:color="auto" w:fill="auto"/>
            <w:vAlign w:val="center"/>
            <w:hideMark/>
          </w:tcPr>
          <w:p w14:paraId="48DE276B" w14:textId="77777777" w:rsidR="001341EC" w:rsidRDefault="001341EC" w:rsidP="00165AA6">
            <w:pPr>
              <w:pStyle w:val="Default"/>
              <w:jc w:val="both"/>
              <w:rPr>
                <w:rFonts w:ascii="Book Antiqua" w:hAnsi="Book Antiqua" w:cs="Times New Roman"/>
                <w:color w:val="auto"/>
                <w:sz w:val="22"/>
                <w:szCs w:val="22"/>
              </w:rPr>
            </w:pPr>
            <w:r w:rsidRPr="00126FA8">
              <w:rPr>
                <w:rFonts w:ascii="Book Antiqua" w:hAnsi="Book Antiqua" w:cs="Times New Roman"/>
                <w:color w:val="auto"/>
                <w:sz w:val="22"/>
                <w:szCs w:val="22"/>
              </w:rPr>
              <w:t xml:space="preserve">En la sesión de la Comisión </w:t>
            </w:r>
            <w:r w:rsidRPr="00FF2A4F">
              <w:rPr>
                <w:rFonts w:ascii="Book Antiqua" w:hAnsi="Book Antiqua" w:cs="Times New Roman"/>
                <w:color w:val="auto"/>
                <w:sz w:val="22"/>
                <w:szCs w:val="22"/>
              </w:rPr>
              <w:t>celebrada el 29 de marzo de 2019, Artículo XXXII</w:t>
            </w:r>
            <w:r>
              <w:rPr>
                <w:rFonts w:ascii="Book Antiqua" w:hAnsi="Book Antiqua" w:cs="Times New Roman"/>
                <w:color w:val="auto"/>
                <w:sz w:val="22"/>
                <w:szCs w:val="22"/>
              </w:rPr>
              <w:t xml:space="preserve"> </w:t>
            </w:r>
            <w:r w:rsidRPr="00F43A2A">
              <w:rPr>
                <w:rFonts w:ascii="Book Antiqua" w:hAnsi="Book Antiqua" w:cs="Times New Roman"/>
                <w:color w:val="auto"/>
                <w:sz w:val="22"/>
                <w:szCs w:val="22"/>
              </w:rPr>
              <w:t>se conoció la propuesta del CACMFJ para que las personas juzgadoras supernumerarias cumplan con la cuota definida por Corte Plena de 8 a 14 asuntos</w:t>
            </w:r>
            <w:r w:rsidRPr="001D1C4B">
              <w:rPr>
                <w:rFonts w:ascii="Book Antiqua" w:hAnsi="Book Antiqua" w:cs="Times New Roman"/>
                <w:color w:val="auto"/>
                <w:sz w:val="22"/>
                <w:szCs w:val="22"/>
              </w:rPr>
              <w:t xml:space="preserve"> para una persona juzgadora agraria de primera instancia más un 50%</w:t>
            </w:r>
            <w:r>
              <w:rPr>
                <w:rFonts w:ascii="Book Antiqua" w:hAnsi="Book Antiqua" w:cs="Times New Roman"/>
                <w:color w:val="auto"/>
                <w:sz w:val="22"/>
                <w:szCs w:val="22"/>
              </w:rPr>
              <w:t xml:space="preserve">, según lo externado por doña Damaris </w:t>
            </w:r>
            <w:r w:rsidRPr="00F43A2A">
              <w:rPr>
                <w:rFonts w:ascii="Book Antiqua" w:hAnsi="Book Antiqua" w:cs="Times New Roman"/>
                <w:color w:val="auto"/>
                <w:sz w:val="22"/>
                <w:szCs w:val="22"/>
              </w:rPr>
              <w:t xml:space="preserve"> </w:t>
            </w:r>
            <w:r>
              <w:rPr>
                <w:rFonts w:ascii="Book Antiqua" w:hAnsi="Book Antiqua" w:cs="Times New Roman"/>
                <w:color w:val="auto"/>
                <w:sz w:val="22"/>
                <w:szCs w:val="22"/>
              </w:rPr>
              <w:t xml:space="preserve">Vargas, </w:t>
            </w:r>
            <w:r w:rsidRPr="00F43A2A">
              <w:rPr>
                <w:rFonts w:ascii="Book Antiqua" w:hAnsi="Book Antiqua" w:cs="Times New Roman"/>
                <w:color w:val="auto"/>
                <w:sz w:val="22"/>
                <w:szCs w:val="22"/>
              </w:rPr>
              <w:t>porque no atienden personas usuarias, consultas de personal de apoyo y audiencias fuera del despacho; quienes se ocuparán de colaborar con exp</w:t>
            </w:r>
            <w:r w:rsidRPr="001D1C4B">
              <w:rPr>
                <w:rFonts w:ascii="Book Antiqua" w:hAnsi="Book Antiqua" w:cs="Times New Roman"/>
                <w:color w:val="auto"/>
                <w:sz w:val="22"/>
                <w:szCs w:val="22"/>
              </w:rPr>
              <w:t>edientes complejos y sencillos de los despachos que tienen más asuntos pendientes de fallo, lo cual no necesariamente debe coincidir con los más antiguos, aprovechando así las lecciones aprendidas de la implementación de las reformas procesales laboral y civil.</w:t>
            </w:r>
            <w:r>
              <w:rPr>
                <w:rFonts w:ascii="Book Antiqua" w:hAnsi="Book Antiqua" w:cs="Times New Roman"/>
                <w:color w:val="auto"/>
                <w:sz w:val="22"/>
                <w:szCs w:val="22"/>
              </w:rPr>
              <w:t xml:space="preserve"> Se adjunta acta</w:t>
            </w:r>
          </w:p>
          <w:p w14:paraId="0D9B1C40" w14:textId="77777777" w:rsidR="001341EC" w:rsidRPr="00F43A2A" w:rsidRDefault="001341EC" w:rsidP="00165AA6">
            <w:pPr>
              <w:pStyle w:val="Default"/>
              <w:jc w:val="both"/>
              <w:rPr>
                <w:rFonts w:ascii="Book Antiqua" w:hAnsi="Book Antiqua" w:cs="Times New Roman"/>
                <w:color w:val="auto"/>
                <w:sz w:val="22"/>
                <w:szCs w:val="22"/>
              </w:rPr>
            </w:pPr>
            <w:r>
              <w:rPr>
                <w:rFonts w:ascii="Book Antiqua" w:hAnsi="Book Antiqua" w:cs="Times New Roman"/>
                <w:color w:val="auto"/>
                <w:sz w:val="22"/>
                <w:szCs w:val="22"/>
              </w:rPr>
              <w:t xml:space="preserve"> </w:t>
            </w:r>
            <w:r w:rsidRPr="00BC28F6">
              <w:rPr>
                <w:rFonts w:ascii="Book Antiqua" w:hAnsi="Book Antiqua" w:cs="Times New Roman"/>
                <w:color w:val="auto"/>
                <w:sz w:val="22"/>
                <w:szCs w:val="22"/>
              </w:rPr>
              <w:object w:dxaOrig="1508" w:dyaOrig="983" w14:anchorId="0CF9778D">
                <v:shape id="_x0000_i1028" type="#_x0000_t75" style="width:75.5pt;height:49pt" o:ole="">
                  <v:imagedata r:id="rId13" o:title=""/>
                </v:shape>
                <o:OLEObject Type="Embed" ProgID="AcroExch.Document.DC" ShapeID="_x0000_i1028" DrawAspect="Icon" ObjectID="_1687780053" r:id="rId14"/>
              </w:object>
            </w:r>
          </w:p>
          <w:p w14:paraId="129777B4" w14:textId="77777777" w:rsidR="001341EC" w:rsidRPr="001D1C4B" w:rsidRDefault="001341EC" w:rsidP="00165AA6">
            <w:pPr>
              <w:pStyle w:val="Default"/>
              <w:jc w:val="both"/>
              <w:rPr>
                <w:rFonts w:ascii="Book Antiqua" w:hAnsi="Book Antiqua" w:cs="Times New Roman"/>
                <w:color w:val="auto"/>
                <w:sz w:val="22"/>
                <w:szCs w:val="22"/>
              </w:rPr>
            </w:pPr>
          </w:p>
          <w:p w14:paraId="57D7ED8F" w14:textId="77777777" w:rsidR="001341EC" w:rsidRPr="001D1C4B" w:rsidRDefault="001341EC" w:rsidP="00165AA6">
            <w:pPr>
              <w:pStyle w:val="Default"/>
              <w:jc w:val="both"/>
              <w:rPr>
                <w:rFonts w:ascii="Book Antiqua" w:hAnsi="Book Antiqua" w:cs="Times New Roman"/>
                <w:color w:val="auto"/>
                <w:sz w:val="22"/>
                <w:szCs w:val="22"/>
              </w:rPr>
            </w:pPr>
            <w:r w:rsidRPr="001D1C4B">
              <w:rPr>
                <w:rFonts w:ascii="Book Antiqua" w:hAnsi="Book Antiqua"/>
                <w:sz w:val="22"/>
                <w:szCs w:val="22"/>
                <w:lang w:eastAsia="es-CR"/>
              </w:rPr>
              <w:t>La observación no modifica el contenido del informe.</w:t>
            </w:r>
          </w:p>
        </w:tc>
      </w:tr>
      <w:tr w:rsidR="001341EC" w:rsidRPr="00126FA8" w14:paraId="74DB0AC5"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4611EFDE"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14</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392C0259"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-Se aclare si el grado de personas juzgadoras especialistas en derecho agrario y ambiental incluye únicamente a las personas graduadas </w:t>
            </w:r>
            <w:r w:rsidRPr="001D1C4B">
              <w:rPr>
                <w:rFonts w:ascii="Book Antiqua" w:hAnsi="Book Antiqua"/>
                <w:sz w:val="22"/>
                <w:szCs w:val="22"/>
                <w:lang w:eastAsia="es-CR"/>
              </w:rPr>
              <w:lastRenderedPageBreak/>
              <w:t>en la Especialidad en Derechos Agrario o se extiende a aquellas que realizaron la especialización impartida por la Escuela Judicial. Además se aclare si ese término se aplica sólo para quienes trabajan como Jueces Agrarios destacados en los Juzgados o bien si también alcanza al cuerpo de Jueces Supernumerarios que cuenten con cualquiera de estas dos especialidades.</w:t>
            </w:r>
          </w:p>
        </w:tc>
        <w:tc>
          <w:tcPr>
            <w:tcW w:w="3802" w:type="dxa"/>
            <w:tcBorders>
              <w:top w:val="nil"/>
              <w:left w:val="nil"/>
              <w:bottom w:val="double" w:sz="6" w:space="0" w:color="4472C4"/>
              <w:right w:val="double" w:sz="6" w:space="0" w:color="4472C4"/>
            </w:tcBorders>
            <w:shd w:val="clear" w:color="auto" w:fill="auto"/>
            <w:vAlign w:val="center"/>
            <w:hideMark/>
          </w:tcPr>
          <w:p w14:paraId="6862DCFB"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xml:space="preserve">La Dirección de Planificación no es el ente competente para la aclaración del grado de especialización de las </w:t>
            </w:r>
            <w:r w:rsidRPr="00126FA8">
              <w:rPr>
                <w:rFonts w:ascii="Book Antiqua" w:hAnsi="Book Antiqua"/>
                <w:sz w:val="22"/>
                <w:szCs w:val="22"/>
                <w:lang w:eastAsia="es-CR"/>
              </w:rPr>
              <w:lastRenderedPageBreak/>
              <w:t xml:space="preserve">personas juzgadoras, se deberá remitir la consulta a Gestión Humana.  </w:t>
            </w:r>
          </w:p>
          <w:p w14:paraId="33C4826B" w14:textId="77777777" w:rsidR="001341EC" w:rsidRPr="00126FA8" w:rsidRDefault="001341EC" w:rsidP="00165AA6">
            <w:pPr>
              <w:jc w:val="both"/>
              <w:rPr>
                <w:rFonts w:ascii="Book Antiqua" w:hAnsi="Book Antiqua"/>
                <w:sz w:val="22"/>
                <w:szCs w:val="22"/>
                <w:lang w:eastAsia="es-CR"/>
              </w:rPr>
            </w:pPr>
          </w:p>
          <w:p w14:paraId="14CC18AB" w14:textId="77777777" w:rsidR="001341EC" w:rsidRPr="00126FA8" w:rsidRDefault="001341EC" w:rsidP="00165AA6">
            <w:pPr>
              <w:jc w:val="both"/>
              <w:rPr>
                <w:rFonts w:ascii="Book Antiqua" w:hAnsi="Book Antiqua"/>
                <w:sz w:val="22"/>
                <w:szCs w:val="22"/>
                <w:lang w:eastAsia="es-CR"/>
              </w:rPr>
            </w:pPr>
            <w:r w:rsidRPr="00F43A2A">
              <w:rPr>
                <w:rFonts w:ascii="Book Antiqua" w:hAnsi="Book Antiqua"/>
                <w:sz w:val="22"/>
                <w:szCs w:val="22"/>
                <w:lang w:eastAsia="es-CR"/>
              </w:rPr>
              <w:t>La observación no modifica el contenido del informe.</w:t>
            </w:r>
          </w:p>
        </w:tc>
      </w:tr>
      <w:tr w:rsidR="001341EC" w:rsidRPr="00126FA8" w14:paraId="3DDD0FDB"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12391FAE"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15</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34811048"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-Se aclare los alcances de la labor encomendada al Centro de Apoyo, Coordinación y Mejoramiento a la Función Jurisdiccional (página 85) respecto a velar por el cumplimiento de las cuotas del personal juzgador establecidos en el cuadro 6 y el cumplimiento de cuotas de trabajo de Juezas, Jueces, técnicos y técnicas, dentro del plan de descongestionamiento.</w:t>
            </w:r>
          </w:p>
        </w:tc>
        <w:tc>
          <w:tcPr>
            <w:tcW w:w="3802" w:type="dxa"/>
            <w:tcBorders>
              <w:top w:val="nil"/>
              <w:left w:val="nil"/>
              <w:bottom w:val="double" w:sz="6" w:space="0" w:color="4472C4"/>
              <w:right w:val="double" w:sz="6" w:space="0" w:color="4472C4"/>
            </w:tcBorders>
            <w:shd w:val="clear" w:color="auto" w:fill="auto"/>
            <w:vAlign w:val="center"/>
            <w:hideMark/>
          </w:tcPr>
          <w:p w14:paraId="565A6B3A"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Las funciones del CACMFJ están dadas de su creación, dentro de las que se encuentran el velar por el cumplimiento de las cuotas de personal juzgador y de las técnicas o técnicos judiciales del Ámbito Jurisdiccional, sea por su labor ordinaria o como parte de los Planes de Descongestionamiento. </w:t>
            </w:r>
          </w:p>
          <w:p w14:paraId="65D07E70" w14:textId="77777777" w:rsidR="001341EC" w:rsidRPr="00126FA8" w:rsidRDefault="001341EC" w:rsidP="00165AA6">
            <w:pPr>
              <w:jc w:val="both"/>
              <w:rPr>
                <w:rFonts w:ascii="Book Antiqua" w:hAnsi="Book Antiqua"/>
                <w:sz w:val="22"/>
                <w:szCs w:val="22"/>
                <w:lang w:eastAsia="es-CR"/>
              </w:rPr>
            </w:pPr>
          </w:p>
          <w:p w14:paraId="0A8F7DE2"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4FE6BA13" w14:textId="77777777" w:rsidTr="00165AA6">
        <w:trPr>
          <w:trHeight w:val="20"/>
        </w:trPr>
        <w:tc>
          <w:tcPr>
            <w:tcW w:w="512" w:type="dxa"/>
            <w:tcBorders>
              <w:top w:val="nil"/>
              <w:left w:val="double" w:sz="6" w:space="0" w:color="4472C4"/>
              <w:bottom w:val="double" w:sz="4" w:space="0" w:color="4472C4"/>
              <w:right w:val="double" w:sz="6" w:space="0" w:color="4472C4"/>
            </w:tcBorders>
            <w:shd w:val="clear" w:color="auto" w:fill="DEEAF6"/>
            <w:vAlign w:val="center"/>
          </w:tcPr>
          <w:p w14:paraId="64B62CB5" w14:textId="77777777" w:rsidR="001341EC" w:rsidRPr="00126FA8" w:rsidRDefault="001341EC" w:rsidP="00165AA6">
            <w:pPr>
              <w:jc w:val="center"/>
              <w:rPr>
                <w:rFonts w:ascii="Book Antiqua" w:hAnsi="Book Antiqua"/>
                <w:b/>
                <w:i/>
                <w:sz w:val="22"/>
                <w:szCs w:val="22"/>
                <w:lang w:eastAsia="es-CR"/>
              </w:rPr>
            </w:pPr>
          </w:p>
        </w:tc>
        <w:tc>
          <w:tcPr>
            <w:tcW w:w="8466" w:type="dxa"/>
            <w:gridSpan w:val="2"/>
            <w:tcBorders>
              <w:top w:val="nil"/>
              <w:left w:val="double" w:sz="6" w:space="0" w:color="4472C4"/>
              <w:bottom w:val="double" w:sz="4" w:space="0" w:color="4472C4"/>
              <w:right w:val="double" w:sz="6" w:space="0" w:color="4472C4"/>
            </w:tcBorders>
            <w:shd w:val="clear" w:color="auto" w:fill="DEEAF6"/>
            <w:vAlign w:val="center"/>
            <w:hideMark/>
          </w:tcPr>
          <w:p w14:paraId="3BDE0807" w14:textId="77777777" w:rsidR="001341EC" w:rsidRPr="00126FA8" w:rsidRDefault="001341EC" w:rsidP="00165AA6">
            <w:pPr>
              <w:rPr>
                <w:rFonts w:ascii="Book Antiqua" w:hAnsi="Book Antiqua"/>
                <w:b/>
                <w:i/>
                <w:sz w:val="22"/>
                <w:szCs w:val="22"/>
                <w:lang w:eastAsia="es-CR"/>
              </w:rPr>
            </w:pPr>
            <w:r w:rsidRPr="00126FA8">
              <w:rPr>
                <w:rFonts w:ascii="Book Antiqua" w:hAnsi="Book Antiqua"/>
                <w:b/>
                <w:i/>
                <w:sz w:val="22"/>
                <w:szCs w:val="22"/>
                <w:lang w:eastAsia="es-CR"/>
              </w:rPr>
              <w:t xml:space="preserve">Lic. </w:t>
            </w:r>
            <w:proofErr w:type="spellStart"/>
            <w:r w:rsidRPr="00126FA8">
              <w:rPr>
                <w:rFonts w:ascii="Book Antiqua" w:hAnsi="Book Antiqua"/>
                <w:b/>
                <w:i/>
                <w:sz w:val="22"/>
                <w:szCs w:val="22"/>
                <w:lang w:eastAsia="es-CR"/>
              </w:rPr>
              <w:t>Wálter</w:t>
            </w:r>
            <w:proofErr w:type="spellEnd"/>
            <w:r w:rsidRPr="00126FA8">
              <w:rPr>
                <w:rFonts w:ascii="Book Antiqua" w:hAnsi="Book Antiqua"/>
                <w:b/>
                <w:i/>
                <w:sz w:val="22"/>
                <w:szCs w:val="22"/>
                <w:lang w:eastAsia="es-CR"/>
              </w:rPr>
              <w:t xml:space="preserve"> Ávila Quirós, Juez Coordinador, Juzgado Agrario Santa Cruz</w:t>
            </w:r>
          </w:p>
        </w:tc>
      </w:tr>
      <w:tr w:rsidR="001341EC" w:rsidRPr="00126FA8" w14:paraId="06FF65F6" w14:textId="77777777" w:rsidTr="00165AA6">
        <w:trPr>
          <w:trHeight w:val="20"/>
        </w:trPr>
        <w:tc>
          <w:tcPr>
            <w:tcW w:w="512" w:type="dxa"/>
            <w:tcBorders>
              <w:top w:val="double" w:sz="4" w:space="0" w:color="4472C4"/>
              <w:left w:val="double" w:sz="6" w:space="0" w:color="4472C4"/>
              <w:bottom w:val="double" w:sz="6" w:space="0" w:color="4472C4"/>
              <w:right w:val="double" w:sz="6" w:space="0" w:color="4472C4"/>
            </w:tcBorders>
            <w:vAlign w:val="center"/>
          </w:tcPr>
          <w:p w14:paraId="617D5A52"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1</w:t>
            </w:r>
          </w:p>
        </w:tc>
        <w:tc>
          <w:tcPr>
            <w:tcW w:w="4664" w:type="dxa"/>
            <w:tcBorders>
              <w:top w:val="double" w:sz="4" w:space="0" w:color="4472C4"/>
              <w:left w:val="double" w:sz="6" w:space="0" w:color="4472C4"/>
              <w:bottom w:val="double" w:sz="6" w:space="0" w:color="4472C4"/>
              <w:right w:val="double" w:sz="6" w:space="0" w:color="4472C4"/>
            </w:tcBorders>
            <w:shd w:val="clear" w:color="auto" w:fill="auto"/>
            <w:vAlign w:val="center"/>
            <w:hideMark/>
          </w:tcPr>
          <w:p w14:paraId="20FED974"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En cuanto a la forma que se organiza la Defensa Pública para presentar el servicio a este Despacho no tenemos objeción, sería conveniente se retorne la plaza de defensor público agrario a Nicoya como en otros tiempos la hubo, a fin de dar mayor estabilidad y atención al usuario.</w:t>
            </w:r>
          </w:p>
        </w:tc>
        <w:tc>
          <w:tcPr>
            <w:tcW w:w="3802" w:type="dxa"/>
            <w:tcBorders>
              <w:top w:val="double" w:sz="4" w:space="0" w:color="4472C4"/>
              <w:left w:val="nil"/>
              <w:bottom w:val="double" w:sz="6" w:space="0" w:color="4472C4"/>
              <w:right w:val="double" w:sz="6" w:space="0" w:color="4472C4"/>
            </w:tcBorders>
            <w:shd w:val="clear" w:color="auto" w:fill="auto"/>
            <w:vAlign w:val="center"/>
            <w:hideMark/>
          </w:tcPr>
          <w:p w14:paraId="6BE8EC90"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Del análisis realizado para la construcción de informe, se identifica que a nivel de la Defensa Pública se mantendrá la carga de trabajo por zona, por lo cual no se visualizan modificaciones en la cantidad ni distribución de recurso.</w:t>
            </w:r>
          </w:p>
          <w:p w14:paraId="61C83DB5" w14:textId="77777777" w:rsidR="001341EC" w:rsidRPr="00126FA8" w:rsidRDefault="001341EC" w:rsidP="00165AA6">
            <w:pPr>
              <w:jc w:val="both"/>
              <w:rPr>
                <w:rFonts w:ascii="Book Antiqua" w:hAnsi="Book Antiqua"/>
                <w:sz w:val="22"/>
                <w:szCs w:val="22"/>
                <w:lang w:eastAsia="es-CR"/>
              </w:rPr>
            </w:pPr>
          </w:p>
          <w:p w14:paraId="59F42A16"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5B9FF6FC"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0EF74B4A"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2</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400FFCD9"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Respecto de la oralidad y tramitación electrónica, se ha tratado de avanzar en el tema con los medios que se cuenta,  ya que si bien desde mediados del año  2017 somos Despacho electrónico, tenemos algunas limitaciones de recursos que provocan retraso en los procesos, toda vez se ha solicitado equipo electrónico portátil (</w:t>
            </w:r>
            <w:proofErr w:type="spellStart"/>
            <w:r w:rsidRPr="001D1C4B">
              <w:rPr>
                <w:rFonts w:ascii="Book Antiqua" w:hAnsi="Book Antiqua"/>
                <w:sz w:val="22"/>
                <w:szCs w:val="22"/>
                <w:lang w:eastAsia="es-CR"/>
              </w:rPr>
              <w:t>tablet</w:t>
            </w:r>
            <w:proofErr w:type="spellEnd"/>
            <w:r w:rsidRPr="001D1C4B">
              <w:rPr>
                <w:rFonts w:ascii="Book Antiqua" w:hAnsi="Book Antiqua"/>
                <w:sz w:val="22"/>
                <w:szCs w:val="22"/>
                <w:lang w:eastAsia="es-CR"/>
              </w:rPr>
              <w:t xml:space="preserve"> con internet)  pa</w:t>
            </w:r>
            <w:r w:rsidRPr="00126FA8">
              <w:rPr>
                <w:rFonts w:ascii="Book Antiqua" w:hAnsi="Book Antiqua"/>
                <w:sz w:val="22"/>
                <w:szCs w:val="22"/>
                <w:lang w:eastAsia="es-CR"/>
              </w:rPr>
              <w:t xml:space="preserve">ra poder consultar los expedientes </w:t>
            </w:r>
            <w:r w:rsidRPr="00126FA8">
              <w:rPr>
                <w:rFonts w:ascii="Book Antiqua" w:hAnsi="Book Antiqua"/>
                <w:sz w:val="22"/>
                <w:szCs w:val="22"/>
                <w:lang w:eastAsia="es-CR"/>
              </w:rPr>
              <w:lastRenderedPageBreak/>
              <w:t>desde el campo donde se ésta llevando a cabo el juicio y aún no se nos ha facilitado, lo cual ocasiona suspensiones de juicios ante incidentes de nulidad interpuestos oralmente en la audiencia, lo cual provoca que no puedan ser resueltos en el campo debido a la falta de acceso al expediente electrónico, provocando la suspensión de la audiencia; igualmente se solicitó una grabadora de audio porque sólo hay una y en mal estado, lo cual tampoco se ha facilitado, por último contamos con un equipo de cómputo en el mostrador de atención al público que tiene más de diez años, lo cual lo hace demasiado lento y obsoleto, empero por más que se ha solicitado su reemplazo no se ha tenido respuesta alguna.</w:t>
            </w:r>
          </w:p>
        </w:tc>
        <w:tc>
          <w:tcPr>
            <w:tcW w:w="3802" w:type="dxa"/>
            <w:tcBorders>
              <w:top w:val="nil"/>
              <w:left w:val="nil"/>
              <w:bottom w:val="double" w:sz="6" w:space="0" w:color="4472C4"/>
              <w:right w:val="double" w:sz="6" w:space="0" w:color="4472C4"/>
            </w:tcBorders>
            <w:shd w:val="clear" w:color="auto" w:fill="auto"/>
            <w:vAlign w:val="center"/>
            <w:hideMark/>
          </w:tcPr>
          <w:p w14:paraId="4063D5B1"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Se toma nota de la observación. Se aclara que como parte de este informe se presupuesta equipo portátil especial para el personal juzgador, así como equipo de audio y video. Ver apartado 3.9 de este informe y propuesta de Dirección de Tecnología en anexo 2.</w:t>
            </w:r>
          </w:p>
          <w:p w14:paraId="5109BE5E" w14:textId="77777777" w:rsidR="001341EC" w:rsidRPr="00126FA8" w:rsidRDefault="001341EC" w:rsidP="00165AA6">
            <w:pPr>
              <w:jc w:val="both"/>
              <w:rPr>
                <w:rFonts w:ascii="Book Antiqua" w:hAnsi="Book Antiqua"/>
                <w:sz w:val="22"/>
                <w:szCs w:val="22"/>
                <w:lang w:eastAsia="es-CR"/>
              </w:rPr>
            </w:pPr>
          </w:p>
          <w:p w14:paraId="7DD8F888"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Es recomendable que el Despacho, antes de ir a realizar la audiencia fuera de la oficia descargue a modo de respaldo el documento del expediente y guardar en la computadora que llevan a la audiencia.</w:t>
            </w:r>
          </w:p>
          <w:p w14:paraId="07C37830" w14:textId="77777777" w:rsidR="001341EC" w:rsidRPr="00126FA8" w:rsidRDefault="001341EC" w:rsidP="00165AA6">
            <w:pPr>
              <w:jc w:val="both"/>
              <w:rPr>
                <w:rFonts w:ascii="Book Antiqua" w:hAnsi="Book Antiqua"/>
                <w:sz w:val="22"/>
                <w:szCs w:val="22"/>
                <w:lang w:eastAsia="es-CR"/>
              </w:rPr>
            </w:pPr>
          </w:p>
          <w:p w14:paraId="70E689CC"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Consulta realizada vía correo electrónico </w:t>
            </w:r>
            <w:r w:rsidRPr="00126FA8">
              <w:rPr>
                <w:rFonts w:ascii="Book Antiqua" w:hAnsi="Book Antiqua"/>
                <w:i/>
                <w:sz w:val="22"/>
                <w:szCs w:val="22"/>
                <w:lang w:eastAsia="es-CR"/>
              </w:rPr>
              <w:t>(ver anexo 31</w:t>
            </w:r>
            <w:r w:rsidRPr="00126FA8">
              <w:rPr>
                <w:rFonts w:ascii="Book Antiqua" w:hAnsi="Book Antiqua"/>
                <w:i/>
                <w:sz w:val="22"/>
                <w:szCs w:val="22"/>
              </w:rPr>
              <w:t xml:space="preserve"> Respuesta sobre consulta Administración Regional de Santa Cruz)</w:t>
            </w:r>
            <w:r w:rsidRPr="00126FA8">
              <w:rPr>
                <w:rFonts w:ascii="Book Antiqua" w:hAnsi="Book Antiqua"/>
                <w:sz w:val="22"/>
                <w:szCs w:val="22"/>
                <w:lang w:eastAsia="es-CR"/>
              </w:rPr>
              <w:t xml:space="preserve"> a la Administración Regional, se indica lo siguiente:</w:t>
            </w:r>
          </w:p>
          <w:p w14:paraId="5741586F" w14:textId="77777777" w:rsidR="001341EC" w:rsidRPr="00126FA8" w:rsidRDefault="001341EC" w:rsidP="00165AA6">
            <w:pPr>
              <w:jc w:val="both"/>
              <w:rPr>
                <w:rFonts w:ascii="Book Antiqua" w:hAnsi="Book Antiqua"/>
                <w:i/>
                <w:sz w:val="22"/>
                <w:szCs w:val="22"/>
                <w:lang w:eastAsia="es-CR"/>
              </w:rPr>
            </w:pPr>
            <w:r w:rsidRPr="00126FA8">
              <w:rPr>
                <w:rFonts w:ascii="Book Antiqua" w:hAnsi="Book Antiqua"/>
                <w:i/>
                <w:sz w:val="22"/>
                <w:szCs w:val="22"/>
                <w:lang w:eastAsia="es-CR"/>
              </w:rPr>
              <w:t xml:space="preserve">“…en </w:t>
            </w:r>
            <w:r w:rsidRPr="00126FA8">
              <w:rPr>
                <w:rFonts w:ascii="Book Antiqua" w:hAnsi="Book Antiqua"/>
                <w:i/>
                <w:color w:val="000000"/>
                <w:sz w:val="22"/>
                <w:szCs w:val="22"/>
                <w:lang w:val="es-ES"/>
              </w:rPr>
              <w:t xml:space="preserve">cuanto a la disponibilidad de equipo de cómputo </w:t>
            </w:r>
            <w:proofErr w:type="spellStart"/>
            <w:r w:rsidRPr="00126FA8">
              <w:rPr>
                <w:rFonts w:ascii="Book Antiqua" w:hAnsi="Book Antiqua"/>
                <w:i/>
                <w:color w:val="000000"/>
                <w:sz w:val="22"/>
                <w:szCs w:val="22"/>
                <w:lang w:val="es-ES"/>
              </w:rPr>
              <w:t>portatil</w:t>
            </w:r>
            <w:proofErr w:type="spellEnd"/>
            <w:r w:rsidRPr="00126FA8">
              <w:rPr>
                <w:rFonts w:ascii="Book Antiqua" w:hAnsi="Book Antiqua"/>
                <w:i/>
                <w:color w:val="000000"/>
                <w:sz w:val="22"/>
                <w:szCs w:val="22"/>
                <w:lang w:val="es-ES"/>
              </w:rPr>
              <w:t>, esta administración si cuenta con equipo el cual se presta a los despachos cuando así lo requieren…”</w:t>
            </w:r>
          </w:p>
          <w:p w14:paraId="00EA87F3" w14:textId="77777777" w:rsidR="001341EC" w:rsidRPr="00126FA8" w:rsidRDefault="001341EC" w:rsidP="00165AA6">
            <w:pPr>
              <w:jc w:val="both"/>
              <w:rPr>
                <w:rFonts w:ascii="Book Antiqua" w:hAnsi="Book Antiqua"/>
                <w:b/>
                <w:sz w:val="22"/>
                <w:szCs w:val="22"/>
                <w:lang w:eastAsia="es-CR"/>
              </w:rPr>
            </w:pPr>
          </w:p>
          <w:p w14:paraId="406E1ECA"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56F49245"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22D3116B"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3</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164FF09E"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En lo referente a requerimiento de vehículo: como se podrá ver de los datos estadísticos somos el Juzgado más grande del país en cuanto a circulante, por ende con más salidas al campo y casos terminados, sin embargo la administración solo proporciona vehículo cuando una de las partes es asistida por la Defensa Pública, lo que nos obliga a tener que  trasladarnos en taxis y vehículos particulares, muchas veces en muy malas condiciones mecánicas con conductores temerarios, del que no se sabe si tendrán pólizas o licencias al día, de los que muchas veces ha habido que pedir reemplazo, no obstante pese a ello es interesante ver como el informe puesto en conocimiento únicamente sugiere reforzar de tal recu</w:t>
            </w:r>
            <w:r w:rsidRPr="00126FA8">
              <w:rPr>
                <w:rFonts w:ascii="Book Antiqua" w:hAnsi="Book Antiqua"/>
                <w:sz w:val="22"/>
                <w:szCs w:val="22"/>
                <w:lang w:eastAsia="es-CR"/>
              </w:rPr>
              <w:t xml:space="preserve">rso a las Administraciones de Goicoechea, San Ramón, Pérez Zeledón, Puntarenas y San Carlos, lo cual no consideramos ni equitativo ni proporcionado, </w:t>
            </w:r>
            <w:r w:rsidRPr="00126FA8">
              <w:rPr>
                <w:rFonts w:ascii="Book Antiqua" w:hAnsi="Book Antiqua"/>
                <w:sz w:val="22"/>
                <w:szCs w:val="22"/>
                <w:lang w:eastAsia="es-CR"/>
              </w:rPr>
              <w:lastRenderedPageBreak/>
              <w:t xml:space="preserve">dada la forma como se distribuye tal recurso, en tanto si por necesidad y cantidad de asuntos se refiere, deberíamos estar en primer lugar, sin embargo para sorpresa nuestra se nos excluye de tal reparto, nótese que actualmente según los datos más recientes de Planificación en la distribución de cargas de trabajo el circulante fue de 810 expedientes, lo que equivale a 405 asuntos por juez, el doble de los que tienen algunos Despachos donde incluso hay dos jueces, en razón de lo cual solicitamos un estudio más detallado y objetivo, donde se tome en  consideración las necesidades de zonas con mayores índices de pobreza y cantidad de asuntos, como lo es Santa Cruz, donde se atienden zonas indígenas como </w:t>
            </w:r>
            <w:proofErr w:type="spellStart"/>
            <w:r w:rsidRPr="00126FA8">
              <w:rPr>
                <w:rFonts w:ascii="Book Antiqua" w:hAnsi="Book Antiqua"/>
                <w:sz w:val="22"/>
                <w:szCs w:val="22"/>
                <w:lang w:eastAsia="es-CR"/>
              </w:rPr>
              <w:t>Matambú</w:t>
            </w:r>
            <w:proofErr w:type="spellEnd"/>
            <w:r w:rsidRPr="00126FA8">
              <w:rPr>
                <w:rFonts w:ascii="Book Antiqua" w:hAnsi="Book Antiqua"/>
                <w:sz w:val="22"/>
                <w:szCs w:val="22"/>
                <w:lang w:eastAsia="es-CR"/>
              </w:rPr>
              <w:t>, así como lugares marginados donde para llegar se tarda entre tres, cuatro y hasta cinco horas dado el mal estado de las carreteras de acceso (verbigracia Paquera, Lepanto, Jicaral y Nosara), con lo cual consideramos  se nos discrimina enormemente respecto a la forma en que se están asignando vehículos y plazas a otros Despachos de la Jurisdicción Agraria.</w:t>
            </w:r>
          </w:p>
        </w:tc>
        <w:tc>
          <w:tcPr>
            <w:tcW w:w="3802" w:type="dxa"/>
            <w:tcBorders>
              <w:top w:val="nil"/>
              <w:left w:val="nil"/>
              <w:bottom w:val="double" w:sz="6" w:space="0" w:color="4472C4"/>
              <w:right w:val="double" w:sz="6" w:space="0" w:color="4472C4"/>
            </w:tcBorders>
            <w:shd w:val="clear" w:color="auto" w:fill="auto"/>
            <w:vAlign w:val="center"/>
            <w:hideMark/>
          </w:tcPr>
          <w:p w14:paraId="13CEA076"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La cantidad de audiencias a realizar fuera del Despacho está ligada la capacidad operativa por persona juzgadora para realizar esa tarea; ya que se trabajan parámetros institucionales en el tema; por lo tanto; entre mayor cantidad de recurso humano mayor será la cantidad de audiencias por realizar. Lo anterior, evidencia que no es correcta la apreciación de la persona Juzgadora al indicar que la necesidad de vehículo está amparada a la entrada de asuntos nuevos y circulante.</w:t>
            </w:r>
          </w:p>
          <w:p w14:paraId="78EE9825" w14:textId="77777777" w:rsidR="001341EC" w:rsidRPr="00126FA8" w:rsidRDefault="001341EC" w:rsidP="00165AA6">
            <w:pPr>
              <w:jc w:val="both"/>
              <w:rPr>
                <w:rFonts w:ascii="Book Antiqua" w:hAnsi="Book Antiqua"/>
                <w:sz w:val="22"/>
                <w:szCs w:val="22"/>
                <w:lang w:eastAsia="es-CR"/>
              </w:rPr>
            </w:pPr>
          </w:p>
          <w:p w14:paraId="744FB601"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Adicionalmente, el análisis de las necesidades de vehículo por Circuito se realizó tomando en consideración el criterio de la Dirección Ejecutiva, </w:t>
            </w:r>
            <w:r w:rsidRPr="00126FA8">
              <w:rPr>
                <w:rFonts w:ascii="Book Antiqua" w:hAnsi="Book Antiqua"/>
                <w:sz w:val="22"/>
                <w:szCs w:val="22"/>
                <w:lang w:eastAsia="es-CR"/>
              </w:rPr>
              <w:lastRenderedPageBreak/>
              <w:t xml:space="preserve">quienes tiene claro que la necesidad es de contar con disponibilidad de vehículos dos veces por semana por Jueza o Juez, es decir cuatro veces a la semana en el caso de Santa Cruz.   </w:t>
            </w:r>
          </w:p>
          <w:p w14:paraId="31063A3A" w14:textId="77777777" w:rsidR="001341EC" w:rsidRPr="001D1C4B" w:rsidRDefault="001341EC" w:rsidP="00165AA6">
            <w:pPr>
              <w:jc w:val="both"/>
              <w:rPr>
                <w:rFonts w:ascii="Book Antiqua" w:hAnsi="Book Antiqua"/>
                <w:sz w:val="22"/>
                <w:szCs w:val="22"/>
                <w:lang w:eastAsia="es-CR"/>
              </w:rPr>
            </w:pPr>
            <w:r w:rsidRPr="00F43A2A">
              <w:rPr>
                <w:rFonts w:ascii="Book Antiqua" w:hAnsi="Book Antiqua"/>
                <w:sz w:val="22"/>
                <w:szCs w:val="22"/>
                <w:lang w:eastAsia="es-CR"/>
              </w:rPr>
              <w:t>La observ</w:t>
            </w:r>
            <w:r w:rsidRPr="001D1C4B">
              <w:rPr>
                <w:rFonts w:ascii="Book Antiqua" w:hAnsi="Book Antiqua"/>
                <w:sz w:val="22"/>
                <w:szCs w:val="22"/>
                <w:lang w:eastAsia="es-CR"/>
              </w:rPr>
              <w:t>ación no modifica el contenido del informe.</w:t>
            </w:r>
          </w:p>
        </w:tc>
      </w:tr>
      <w:tr w:rsidR="001341EC" w:rsidRPr="00126FA8" w14:paraId="21DBDFCF" w14:textId="77777777" w:rsidTr="00165AA6">
        <w:trPr>
          <w:trHeight w:val="20"/>
        </w:trPr>
        <w:tc>
          <w:tcPr>
            <w:tcW w:w="512" w:type="dxa"/>
            <w:tcBorders>
              <w:top w:val="nil"/>
              <w:left w:val="double" w:sz="6" w:space="0" w:color="4472C4"/>
              <w:bottom w:val="nil"/>
              <w:right w:val="double" w:sz="4" w:space="0" w:color="4472C4"/>
            </w:tcBorders>
            <w:vAlign w:val="center"/>
          </w:tcPr>
          <w:p w14:paraId="7F9C3AAD"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4</w:t>
            </w:r>
          </w:p>
        </w:tc>
        <w:tc>
          <w:tcPr>
            <w:tcW w:w="4664" w:type="dxa"/>
            <w:tcBorders>
              <w:top w:val="nil"/>
              <w:left w:val="double" w:sz="6" w:space="0" w:color="4472C4"/>
              <w:bottom w:val="nil"/>
              <w:right w:val="double" w:sz="4" w:space="0" w:color="4472C4"/>
            </w:tcBorders>
            <w:shd w:val="clear" w:color="auto" w:fill="auto"/>
            <w:vAlign w:val="center"/>
            <w:hideMark/>
          </w:tcPr>
          <w:p w14:paraId="27840858"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En cuanto al tema de la capacitación, nos parece se debe continuar el proceso desde una perspectiva formativa con cursos teóricos prácticos en la Escuela Judicial.</w:t>
            </w:r>
          </w:p>
        </w:tc>
        <w:tc>
          <w:tcPr>
            <w:tcW w:w="3802" w:type="dxa"/>
            <w:tcBorders>
              <w:top w:val="nil"/>
              <w:left w:val="double" w:sz="4" w:space="0" w:color="4472C4"/>
              <w:bottom w:val="double" w:sz="6" w:space="0" w:color="4472C4"/>
              <w:right w:val="double" w:sz="6" w:space="0" w:color="4472C4"/>
            </w:tcBorders>
            <w:shd w:val="clear" w:color="auto" w:fill="auto"/>
            <w:vAlign w:val="center"/>
            <w:hideMark/>
          </w:tcPr>
          <w:p w14:paraId="0F40D770"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Se toma nota de la observación.</w:t>
            </w:r>
          </w:p>
          <w:p w14:paraId="45959165" w14:textId="77777777" w:rsidR="001341EC" w:rsidRPr="00126FA8" w:rsidRDefault="001341EC" w:rsidP="00165AA6">
            <w:pPr>
              <w:jc w:val="both"/>
              <w:rPr>
                <w:rFonts w:ascii="Book Antiqua" w:hAnsi="Book Antiqua"/>
                <w:sz w:val="22"/>
                <w:szCs w:val="22"/>
                <w:lang w:eastAsia="es-CR"/>
              </w:rPr>
            </w:pPr>
          </w:p>
          <w:p w14:paraId="15F7A1E4"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Esta Dirección mantiene la recomendación emitida y se adiciona lo solicitado por la Escuela Judicial. </w:t>
            </w:r>
          </w:p>
          <w:p w14:paraId="580A6545"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766B8918" w14:textId="77777777" w:rsidTr="00165AA6">
        <w:trPr>
          <w:trHeight w:val="20"/>
        </w:trPr>
        <w:tc>
          <w:tcPr>
            <w:tcW w:w="512" w:type="dxa"/>
            <w:tcBorders>
              <w:top w:val="double" w:sz="6" w:space="0" w:color="4472C4"/>
              <w:left w:val="double" w:sz="6" w:space="0" w:color="4472C4"/>
              <w:bottom w:val="double" w:sz="6" w:space="0" w:color="4472C4"/>
              <w:right w:val="double" w:sz="4" w:space="0" w:color="4472C4"/>
            </w:tcBorders>
            <w:vAlign w:val="center"/>
          </w:tcPr>
          <w:p w14:paraId="0B25D694"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5</w:t>
            </w:r>
          </w:p>
        </w:tc>
        <w:tc>
          <w:tcPr>
            <w:tcW w:w="4664" w:type="dxa"/>
            <w:tcBorders>
              <w:top w:val="double" w:sz="6" w:space="0" w:color="4472C4"/>
              <w:left w:val="double" w:sz="6" w:space="0" w:color="4472C4"/>
              <w:bottom w:val="double" w:sz="6" w:space="0" w:color="4472C4"/>
              <w:right w:val="double" w:sz="4" w:space="0" w:color="4472C4"/>
            </w:tcBorders>
            <w:shd w:val="clear" w:color="auto" w:fill="auto"/>
            <w:vAlign w:val="center"/>
            <w:hideMark/>
          </w:tcPr>
          <w:p w14:paraId="45A59F17"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Sobre el tema de la tramitación electrónica, se debe continuar con la capacitación de forma presencial al personal, implementar mejoras sistemáticas como el voto automático y reparto de expedientes de forma diferenciada, donde se permita llevar una cuota distinta al asistente coordinador, dado el recargo de labores administrativas.</w:t>
            </w:r>
          </w:p>
        </w:tc>
        <w:tc>
          <w:tcPr>
            <w:tcW w:w="3802" w:type="dxa"/>
            <w:tcBorders>
              <w:top w:val="nil"/>
              <w:left w:val="double" w:sz="4" w:space="0" w:color="4472C4"/>
              <w:bottom w:val="double" w:sz="6" w:space="0" w:color="4472C4"/>
              <w:right w:val="double" w:sz="6" w:space="0" w:color="4472C4"/>
            </w:tcBorders>
            <w:shd w:val="clear" w:color="auto" w:fill="auto"/>
            <w:vAlign w:val="center"/>
            <w:hideMark/>
          </w:tcPr>
          <w:p w14:paraId="7DD51F73"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Se toma nota de la observación.</w:t>
            </w:r>
          </w:p>
          <w:p w14:paraId="742486C5" w14:textId="77777777" w:rsidR="001341EC" w:rsidRPr="00126FA8" w:rsidRDefault="001341EC" w:rsidP="00165AA6">
            <w:pPr>
              <w:jc w:val="both"/>
              <w:rPr>
                <w:rFonts w:ascii="Book Antiqua" w:hAnsi="Book Antiqua"/>
                <w:sz w:val="22"/>
                <w:szCs w:val="22"/>
                <w:lang w:eastAsia="es-CR"/>
              </w:rPr>
            </w:pPr>
          </w:p>
          <w:p w14:paraId="3853277B"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Durante los abordajes que se realizan en los juzgados Agrarios por parte de la Dirección de Planificación, se atienden las necesidades de implementación de las mejoras tecnológicas existentes y en caso de requerir recapacitación se solicita </w:t>
            </w:r>
            <w:r w:rsidRPr="00126FA8">
              <w:rPr>
                <w:rFonts w:ascii="Book Antiqua" w:hAnsi="Book Antiqua"/>
                <w:sz w:val="22"/>
                <w:szCs w:val="22"/>
                <w:lang w:eastAsia="es-CR"/>
              </w:rPr>
              <w:lastRenderedPageBreak/>
              <w:t xml:space="preserve">como parte de las propuestas de solución. </w:t>
            </w:r>
          </w:p>
          <w:p w14:paraId="691E7385" w14:textId="77777777" w:rsidR="001341EC" w:rsidRPr="00126FA8" w:rsidRDefault="001341EC" w:rsidP="00165AA6">
            <w:pPr>
              <w:jc w:val="both"/>
              <w:rPr>
                <w:rFonts w:ascii="Book Antiqua" w:hAnsi="Book Antiqua"/>
                <w:sz w:val="22"/>
                <w:szCs w:val="22"/>
                <w:lang w:eastAsia="es-CR"/>
              </w:rPr>
            </w:pPr>
          </w:p>
          <w:p w14:paraId="5042AD5A"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En caso de alguna necesidad específica en el uso del sistema para la tramitación el Despacho debe gestionar directamente con la Dirección de Tecnología de la Información mediante reporte.</w:t>
            </w:r>
          </w:p>
          <w:p w14:paraId="29012F16" w14:textId="77777777" w:rsidR="001341EC" w:rsidRPr="00126FA8" w:rsidRDefault="001341EC" w:rsidP="00165AA6">
            <w:pPr>
              <w:jc w:val="both"/>
              <w:rPr>
                <w:rFonts w:ascii="Book Antiqua" w:hAnsi="Book Antiqua"/>
                <w:sz w:val="22"/>
                <w:szCs w:val="22"/>
                <w:lang w:eastAsia="es-CR"/>
              </w:rPr>
            </w:pPr>
          </w:p>
          <w:p w14:paraId="2D782D38"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541924AE"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16775010"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6</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7A47307A"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En cuanto al rediseño de despachos y la recomendación de facilitar una tercera plaza de juez al Juzgado Agrario de Santa Cruz por espacio de dos meses, si bien aplaudimos y agradecemos dicha iniciativa, la misma resulta insuficiente en cuanto al tiempo de asignación de dicha plaza por tratarse de un problema tan complejo como es el descongestionamiento de un despacho tan grande como el nuestro, pues no se tomó en cuenta el impacto que tendrá la entrada en vigencia del nuevo Código Procesal Agrario con la ampliación de competencias, donde actualmente el proveído está a siete y ocho meses en algunos casos, y si bien por el momento se han manejado términos relativamente cortos en cuanto al dictado de sentencia, ello en gran parte obedece a </w:t>
            </w:r>
            <w:r w:rsidRPr="00126FA8">
              <w:rPr>
                <w:rFonts w:ascii="Book Antiqua" w:hAnsi="Book Antiqua"/>
                <w:sz w:val="22"/>
                <w:szCs w:val="22"/>
                <w:lang w:eastAsia="es-CR"/>
              </w:rPr>
              <w:t xml:space="preserve">que los juzgadores a cargo trabajamos durante el período de huelga, lo cual no implica que al imponerse cuotas de 15 expediente de proveído por auxiliar, éstos términos se puedan seguir manejando de la forma en que se ha hecho;  de manera tal que si los datos estadísticos de nuestro circulante actual (810 expedientes) justifican de sobra una tercera plaza de forma definitiva, no se comprende el motivo por el cual el Departamento de Estadística no recomienda la tercera plaza por  </w:t>
            </w:r>
            <w:r w:rsidRPr="00126FA8">
              <w:rPr>
                <w:rFonts w:ascii="Book Antiqua" w:hAnsi="Book Antiqua"/>
                <w:sz w:val="22"/>
                <w:szCs w:val="22"/>
                <w:lang w:eastAsia="es-CR"/>
              </w:rPr>
              <w:lastRenderedPageBreak/>
              <w:t>un plazo mayor a los dos meses, así mismo dado la cantidad de circulante consideramos importante la implementación de una plaza más de auxiliar a fin de contribuir con el descongestionamiento del Despacho.</w:t>
            </w:r>
          </w:p>
        </w:tc>
        <w:tc>
          <w:tcPr>
            <w:tcW w:w="3802" w:type="dxa"/>
            <w:tcBorders>
              <w:top w:val="nil"/>
              <w:left w:val="nil"/>
              <w:bottom w:val="double" w:sz="6" w:space="0" w:color="4472C4"/>
              <w:right w:val="double" w:sz="6" w:space="0" w:color="4472C4"/>
            </w:tcBorders>
            <w:shd w:val="clear" w:color="auto" w:fill="auto"/>
            <w:vAlign w:val="center"/>
            <w:hideMark/>
          </w:tcPr>
          <w:p w14:paraId="181BC124"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El importante mencionar que los recursos institucionales son limitados y reconocemos los esfuerzos que realiza el CACMFJ por asegurar la optimización del uso de los recursos. Se aclara que la plaza del plan de trabajo temporal es del CACMFJ.</w:t>
            </w:r>
          </w:p>
          <w:p w14:paraId="7BCD4FA0" w14:textId="77777777" w:rsidR="001341EC" w:rsidRPr="00126FA8" w:rsidRDefault="001341EC" w:rsidP="00165AA6">
            <w:pPr>
              <w:jc w:val="both"/>
              <w:rPr>
                <w:rFonts w:ascii="Book Antiqua" w:hAnsi="Book Antiqua"/>
                <w:sz w:val="22"/>
                <w:szCs w:val="22"/>
                <w:lang w:eastAsia="es-CR"/>
              </w:rPr>
            </w:pPr>
          </w:p>
          <w:p w14:paraId="0E74AD41"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El plan de trabajo es para mejorar la situación del circulante actual del Despacho de forma que pueda mejorar su condición ante la próxima entrada en vigencia del Código Procesal Agrario.  El plan es congruente con su objetivo y no cuenta con omisiones.</w:t>
            </w:r>
          </w:p>
          <w:p w14:paraId="2D276178" w14:textId="77777777" w:rsidR="001341EC" w:rsidRPr="00126FA8" w:rsidRDefault="001341EC" w:rsidP="00165AA6">
            <w:pPr>
              <w:jc w:val="both"/>
              <w:rPr>
                <w:rFonts w:ascii="Book Antiqua" w:hAnsi="Book Antiqua"/>
                <w:sz w:val="22"/>
                <w:szCs w:val="22"/>
                <w:lang w:eastAsia="es-CR"/>
              </w:rPr>
            </w:pPr>
          </w:p>
          <w:p w14:paraId="5AD2FDAD"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Del análisis realizado sobre la carga de trabajo de los Despachos no se generan recomendaciones de aumentar la cantidad de personas juzgadoras ni personas técnicas judiciales en ese Juzgado como parte de su estructura ordinaria, si son sujetos de colaboración para la atención de la carga de trabajo. </w:t>
            </w:r>
          </w:p>
          <w:p w14:paraId="6B5AC1D1" w14:textId="77777777" w:rsidR="001341EC" w:rsidRPr="00126FA8" w:rsidRDefault="001341EC" w:rsidP="00165AA6">
            <w:pPr>
              <w:jc w:val="both"/>
              <w:rPr>
                <w:rFonts w:ascii="Book Antiqua" w:hAnsi="Book Antiqua"/>
                <w:sz w:val="22"/>
                <w:szCs w:val="22"/>
                <w:lang w:eastAsia="es-CR"/>
              </w:rPr>
            </w:pPr>
          </w:p>
          <w:p w14:paraId="13CA6551"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Durante el abordaje realizado por los profesionales del Subproceso de </w:t>
            </w:r>
            <w:r w:rsidRPr="00126FA8">
              <w:rPr>
                <w:rFonts w:ascii="Book Antiqua" w:hAnsi="Book Antiqua"/>
                <w:sz w:val="22"/>
                <w:szCs w:val="22"/>
                <w:lang w:eastAsia="es-CR"/>
              </w:rPr>
              <w:lastRenderedPageBreak/>
              <w:t>Modernización Institucional en el Juzgado de Santa Cruz se identificó que el promedio de expedientes tramitados por día dedicado al trámite es de 3 (en ese cálculo se excluye el tiempo invertidos por los técnicos judiciales en el acompañamiento en audiencias y lo invertido en la manifestación.)</w:t>
            </w:r>
            <w:r w:rsidRPr="00126FA8">
              <w:rPr>
                <w:rFonts w:ascii="Book Antiqua" w:hAnsi="Book Antiqua"/>
                <w:i/>
                <w:sz w:val="22"/>
                <w:szCs w:val="22"/>
                <w:lang w:eastAsia="es-CR"/>
              </w:rPr>
              <w:t xml:space="preserve">(ver anexo 32 </w:t>
            </w:r>
            <w:r w:rsidRPr="00126FA8">
              <w:rPr>
                <w:rFonts w:ascii="Book Antiqua" w:hAnsi="Book Antiqua"/>
                <w:i/>
                <w:sz w:val="22"/>
                <w:szCs w:val="22"/>
              </w:rPr>
              <w:t>Información sobre proveído Juzgado Agrario de Santa Cruz)</w:t>
            </w:r>
            <w:r w:rsidRPr="00126FA8">
              <w:rPr>
                <w:rFonts w:ascii="Book Antiqua" w:hAnsi="Book Antiqua"/>
                <w:i/>
                <w:sz w:val="22"/>
                <w:szCs w:val="22"/>
                <w:lang w:eastAsia="es-CR"/>
              </w:rPr>
              <w:t xml:space="preserve">; </w:t>
            </w:r>
            <w:r w:rsidRPr="00126FA8">
              <w:rPr>
                <w:rFonts w:ascii="Book Antiqua" w:hAnsi="Book Antiqua"/>
                <w:sz w:val="22"/>
                <w:szCs w:val="22"/>
                <w:lang w:eastAsia="es-CR"/>
              </w:rPr>
              <w:t xml:space="preserve">por lo tanto; se hace necesario aumentar el trámite para reducir el circulante. </w:t>
            </w:r>
          </w:p>
          <w:p w14:paraId="569D879A" w14:textId="77777777" w:rsidR="001341EC" w:rsidRPr="00126FA8" w:rsidRDefault="001341EC" w:rsidP="00165AA6">
            <w:pPr>
              <w:jc w:val="both"/>
              <w:rPr>
                <w:rFonts w:ascii="Book Antiqua" w:hAnsi="Book Antiqua"/>
                <w:sz w:val="22"/>
                <w:szCs w:val="22"/>
                <w:lang w:eastAsia="es-CR"/>
              </w:rPr>
            </w:pPr>
          </w:p>
          <w:p w14:paraId="7467FB1B"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6BAA968E" w14:textId="77777777" w:rsidTr="00165AA6">
        <w:trPr>
          <w:trHeight w:val="20"/>
        </w:trPr>
        <w:tc>
          <w:tcPr>
            <w:tcW w:w="512" w:type="dxa"/>
            <w:tcBorders>
              <w:top w:val="nil"/>
              <w:left w:val="double" w:sz="6" w:space="0" w:color="4472C4"/>
              <w:bottom w:val="double" w:sz="4" w:space="0" w:color="4472C4"/>
              <w:right w:val="double" w:sz="4" w:space="0" w:color="4472C4"/>
            </w:tcBorders>
            <w:vAlign w:val="center"/>
          </w:tcPr>
          <w:p w14:paraId="63A11A60"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7</w:t>
            </w:r>
          </w:p>
        </w:tc>
        <w:tc>
          <w:tcPr>
            <w:tcW w:w="4664" w:type="dxa"/>
            <w:tcBorders>
              <w:top w:val="nil"/>
              <w:left w:val="double" w:sz="6" w:space="0" w:color="4472C4"/>
              <w:bottom w:val="double" w:sz="4" w:space="0" w:color="4472C4"/>
              <w:right w:val="double" w:sz="4" w:space="0" w:color="4472C4"/>
            </w:tcBorders>
            <w:shd w:val="clear" w:color="auto" w:fill="auto"/>
            <w:vAlign w:val="center"/>
            <w:hideMark/>
          </w:tcPr>
          <w:p w14:paraId="367DB5AF"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Por otra parte el tratar de solucionar la parte del fallo con la colaboración de jueces de otros Despachos, no resulta ser la solución más viable y correcta,  dado la diversidad de criterios en cuanto a aspectos de trámite, por cuanto las veces que se ha intentado resolver el retraso en el fallo con la colaboración de los jueces supernumerarios de éste circuito judicial,  prácticamente el 50% de asuntos que admiten para resolver los devuelven por considerar hay trámite incompleto, por de</w:t>
            </w:r>
            <w:r w:rsidRPr="00AA1D61">
              <w:rPr>
                <w:rFonts w:ascii="Book Antiqua" w:hAnsi="Book Antiqua"/>
                <w:sz w:val="22"/>
                <w:szCs w:val="22"/>
                <w:lang w:eastAsia="es-CR"/>
              </w:rPr>
              <w:t>talles que no les parece en cuanto al proveído, por ende lo más conveniente es que la persona juzgadora que venga a colaborar tenga a cargo trámite y fallo del expediente de forma igualitaria al resto de los juzgadores del Despacho y así evitar éste tipo d</w:t>
            </w:r>
            <w:r w:rsidRPr="00126FA8">
              <w:rPr>
                <w:rFonts w:ascii="Book Antiqua" w:hAnsi="Book Antiqua"/>
                <w:sz w:val="22"/>
                <w:szCs w:val="22"/>
                <w:lang w:eastAsia="es-CR"/>
              </w:rPr>
              <w:t>e inconveniente. De igual forma la experiencia suscitada con el Centro de Conciliaciones no ha sido buena, dado que también tiene limitantes de recursos que les impide ir al campo a atender éste tipo de asuntos, por ende en ninguna de las veces que se enviado expediente ha podido conciliar alguno.</w:t>
            </w:r>
          </w:p>
        </w:tc>
        <w:tc>
          <w:tcPr>
            <w:tcW w:w="3802" w:type="dxa"/>
            <w:tcBorders>
              <w:top w:val="nil"/>
              <w:left w:val="double" w:sz="4" w:space="0" w:color="4472C4"/>
              <w:bottom w:val="double" w:sz="6" w:space="0" w:color="4472C4"/>
              <w:right w:val="double" w:sz="6" w:space="0" w:color="4472C4"/>
            </w:tcBorders>
            <w:shd w:val="clear" w:color="auto" w:fill="auto"/>
            <w:vAlign w:val="center"/>
            <w:hideMark/>
          </w:tcPr>
          <w:p w14:paraId="0FAFC821" w14:textId="77777777" w:rsidR="001341EC" w:rsidRPr="00F43A2A"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r w:rsidRPr="00F43A2A">
              <w:rPr>
                <w:rFonts w:ascii="Book Antiqua" w:hAnsi="Book Antiqua"/>
                <w:sz w:val="22"/>
                <w:szCs w:val="22"/>
                <w:lang w:eastAsia="es-CR"/>
              </w:rPr>
              <w:t>Se toma nota del comentario del Juez y se comparte la observación de la colaboración en trámite y fallo del expediente</w:t>
            </w:r>
          </w:p>
          <w:p w14:paraId="659D4D63" w14:textId="77777777" w:rsidR="001341EC" w:rsidRPr="001D1C4B" w:rsidRDefault="001341EC" w:rsidP="00165AA6">
            <w:pPr>
              <w:jc w:val="both"/>
              <w:rPr>
                <w:rFonts w:ascii="Book Antiqua" w:hAnsi="Book Antiqua"/>
                <w:sz w:val="22"/>
                <w:szCs w:val="22"/>
                <w:lang w:eastAsia="es-CR"/>
              </w:rPr>
            </w:pPr>
          </w:p>
          <w:p w14:paraId="5EAEC008" w14:textId="77777777" w:rsidR="001341EC" w:rsidRPr="00AA1D61"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Es de importancia manifestar la relevancia de optimizar la utilización de los recursos insti</w:t>
            </w:r>
            <w:r w:rsidRPr="00AA1D61">
              <w:rPr>
                <w:rFonts w:ascii="Book Antiqua" w:hAnsi="Book Antiqua"/>
                <w:sz w:val="22"/>
                <w:szCs w:val="22"/>
                <w:lang w:eastAsia="es-CR"/>
              </w:rPr>
              <w:t>tucionales existentes como son la capacidad operativa existente y el Centro de Conciliaciones.</w:t>
            </w:r>
          </w:p>
          <w:p w14:paraId="7109D06A" w14:textId="77777777" w:rsidR="001341EC" w:rsidRPr="00126FA8" w:rsidRDefault="001341EC" w:rsidP="00165AA6">
            <w:pPr>
              <w:jc w:val="both"/>
              <w:rPr>
                <w:rFonts w:ascii="Book Antiqua" w:hAnsi="Book Antiqua"/>
                <w:sz w:val="22"/>
                <w:szCs w:val="22"/>
                <w:lang w:eastAsia="es-CR"/>
              </w:rPr>
            </w:pPr>
          </w:p>
          <w:p w14:paraId="208D66B9"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3D81A430" w14:textId="77777777" w:rsidTr="00165AA6">
        <w:trPr>
          <w:trHeight w:val="20"/>
        </w:trPr>
        <w:tc>
          <w:tcPr>
            <w:tcW w:w="512" w:type="dxa"/>
            <w:tcBorders>
              <w:top w:val="nil"/>
              <w:left w:val="double" w:sz="6" w:space="0" w:color="4472C4"/>
              <w:bottom w:val="nil"/>
              <w:right w:val="double" w:sz="6" w:space="0" w:color="4472C4"/>
            </w:tcBorders>
            <w:shd w:val="clear" w:color="auto" w:fill="DEEAF6"/>
            <w:vAlign w:val="center"/>
          </w:tcPr>
          <w:p w14:paraId="0A5EAD24" w14:textId="77777777" w:rsidR="001341EC" w:rsidRPr="00126FA8" w:rsidRDefault="001341EC" w:rsidP="00165AA6">
            <w:pPr>
              <w:jc w:val="center"/>
              <w:rPr>
                <w:rFonts w:ascii="Book Antiqua" w:hAnsi="Book Antiqua"/>
                <w:b/>
                <w:i/>
                <w:sz w:val="22"/>
                <w:szCs w:val="22"/>
                <w:lang w:eastAsia="es-CR"/>
              </w:rPr>
            </w:pPr>
          </w:p>
        </w:tc>
        <w:tc>
          <w:tcPr>
            <w:tcW w:w="8466" w:type="dxa"/>
            <w:gridSpan w:val="2"/>
            <w:tcBorders>
              <w:top w:val="nil"/>
              <w:left w:val="double" w:sz="6" w:space="0" w:color="4472C4"/>
              <w:bottom w:val="nil"/>
              <w:right w:val="double" w:sz="6" w:space="0" w:color="4472C4"/>
            </w:tcBorders>
            <w:shd w:val="clear" w:color="auto" w:fill="DEEAF6"/>
            <w:vAlign w:val="center"/>
            <w:hideMark/>
          </w:tcPr>
          <w:p w14:paraId="6D24F2C0" w14:textId="77777777" w:rsidR="001341EC" w:rsidRPr="00126FA8" w:rsidRDefault="001341EC" w:rsidP="00165AA6">
            <w:pPr>
              <w:rPr>
                <w:rFonts w:ascii="Book Antiqua" w:hAnsi="Book Antiqua"/>
                <w:b/>
                <w:i/>
                <w:sz w:val="22"/>
                <w:szCs w:val="22"/>
                <w:lang w:eastAsia="es-CR"/>
              </w:rPr>
            </w:pPr>
            <w:proofErr w:type="spellStart"/>
            <w:r w:rsidRPr="00126FA8">
              <w:rPr>
                <w:rFonts w:ascii="Book Antiqua" w:hAnsi="Book Antiqua"/>
                <w:b/>
                <w:i/>
                <w:sz w:val="22"/>
                <w:szCs w:val="22"/>
                <w:lang w:eastAsia="es-CR"/>
              </w:rPr>
              <w:t>MSc</w:t>
            </w:r>
            <w:proofErr w:type="spellEnd"/>
            <w:r w:rsidRPr="00126FA8">
              <w:rPr>
                <w:rFonts w:ascii="Book Antiqua" w:hAnsi="Book Antiqua"/>
                <w:b/>
                <w:i/>
                <w:sz w:val="22"/>
                <w:szCs w:val="22"/>
                <w:lang w:eastAsia="es-CR"/>
              </w:rPr>
              <w:t>. Silvia Elena Sánchez Blanco Jueza Coordinadora, Juzgado Agrario Upala</w:t>
            </w:r>
          </w:p>
        </w:tc>
      </w:tr>
      <w:tr w:rsidR="001341EC" w:rsidRPr="00126FA8" w14:paraId="660AB88A"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3184A9C5"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1</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4971A65C"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Dentro de las alternativas propuestas para dar contención a la materia agraria, se han manejado planes el descongestionamiento de despachos brindando apoyo con el dictado de sentencias. No obstante, esta colaboración ha resultado un sueño en muchos despachos como el que representamo</w:t>
            </w:r>
            <w:r w:rsidRPr="00795EFB">
              <w:rPr>
                <w:rFonts w:ascii="Book Antiqua" w:hAnsi="Book Antiqua"/>
                <w:sz w:val="22"/>
                <w:szCs w:val="22"/>
                <w:lang w:eastAsia="es-CR"/>
              </w:rPr>
              <w:t>s y la mora judicial cada día incrementa así como el ingreso de nuevos asuntos. De la propuesta enviada, se denota una estrategia para subsanar el atraso en el fallo, sin embargo; consideramos que sería más eficiente que dicha labor sea cargo de los jueces</w:t>
            </w:r>
            <w:r w:rsidRPr="00126FA8">
              <w:rPr>
                <w:rFonts w:ascii="Book Antiqua" w:hAnsi="Book Antiqua"/>
                <w:sz w:val="22"/>
                <w:szCs w:val="22"/>
                <w:lang w:eastAsia="es-CR"/>
              </w:rPr>
              <w:t xml:space="preserve"> dedicados a la mora con la creación de nuevas plazas y así distribuir de forma equitativa las cargas de trabajo. Es conocido que por la especialidad de la materia, la persona juzgadora debe salir de la oficina hasta tres días a la semana para la realización de giras, siendo esto una variable que no se considera al momento de evaluar por qué quien juzga, no dicta más sentencias o existe mora en la firma de los expedientes. Por ejemplo, en ocasiones el personal técnico debe esperar que la persona juzgadora llegue al despacho para evacuar alguna duda sin poder avanzar de forma más eficaz en la tramitación.</w:t>
            </w:r>
          </w:p>
        </w:tc>
        <w:tc>
          <w:tcPr>
            <w:tcW w:w="3802" w:type="dxa"/>
            <w:tcBorders>
              <w:top w:val="double" w:sz="4" w:space="0" w:color="4472C4"/>
              <w:left w:val="nil"/>
              <w:bottom w:val="double" w:sz="6" w:space="0" w:color="4472C4"/>
              <w:right w:val="double" w:sz="6" w:space="0" w:color="4472C4"/>
            </w:tcBorders>
            <w:shd w:val="clear" w:color="auto" w:fill="auto"/>
            <w:vAlign w:val="center"/>
            <w:hideMark/>
          </w:tcPr>
          <w:p w14:paraId="2807EF51"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 </w:t>
            </w:r>
          </w:p>
          <w:p w14:paraId="5374AC60" w14:textId="77777777" w:rsidR="001341EC" w:rsidRPr="00126FA8" w:rsidRDefault="001341EC" w:rsidP="00165AA6">
            <w:pPr>
              <w:jc w:val="both"/>
              <w:rPr>
                <w:rFonts w:ascii="Book Antiqua" w:hAnsi="Book Antiqua"/>
                <w:sz w:val="22"/>
                <w:szCs w:val="22"/>
                <w:lang w:eastAsia="es-CR"/>
              </w:rPr>
            </w:pPr>
          </w:p>
          <w:p w14:paraId="3E05B053"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Se conocen las particularidades de la materia y son tomadas en cuenta en el análisis que se realiza, se reitera que se tiene restricciones presupuestarias de creación de plazas nuevas y solo en casos de estricta necesidad como es el caso de Upala y de ahí el planteamiento de colaboración entre otros despachos. </w:t>
            </w:r>
          </w:p>
          <w:p w14:paraId="7B4A24A2" w14:textId="77777777" w:rsidR="001341EC" w:rsidRPr="00126FA8" w:rsidRDefault="001341EC" w:rsidP="00165AA6">
            <w:pPr>
              <w:jc w:val="both"/>
              <w:rPr>
                <w:rFonts w:ascii="Book Antiqua" w:hAnsi="Book Antiqua"/>
                <w:sz w:val="22"/>
                <w:szCs w:val="22"/>
                <w:lang w:eastAsia="es-CR"/>
              </w:rPr>
            </w:pPr>
          </w:p>
          <w:p w14:paraId="666C5BCD"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5D927F21"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445663A5"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2</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41397ECB"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Otra situación a tomar en cuenta es que en esta oficina no sólo se ha sufrido una reforma procesal, en el año 2016 entró en vigencia la reforma laboral y ahora en octubre de 2018 enfrentamos la reforma civil, debiendo tomar el despacho las medidas necesarias que aunque no se quiera siempre afectan las otras materias.</w:t>
            </w:r>
          </w:p>
        </w:tc>
        <w:tc>
          <w:tcPr>
            <w:tcW w:w="3802" w:type="dxa"/>
            <w:tcBorders>
              <w:top w:val="nil"/>
              <w:left w:val="nil"/>
              <w:bottom w:val="double" w:sz="6" w:space="0" w:color="4472C4"/>
              <w:right w:val="double" w:sz="6" w:space="0" w:color="4472C4"/>
            </w:tcBorders>
            <w:shd w:val="clear" w:color="auto" w:fill="auto"/>
            <w:vAlign w:val="center"/>
            <w:hideMark/>
          </w:tcPr>
          <w:p w14:paraId="55C20105" w14:textId="77777777" w:rsidR="001341EC" w:rsidRPr="00101606" w:rsidRDefault="001341EC" w:rsidP="00165AA6">
            <w:pPr>
              <w:jc w:val="both"/>
              <w:rPr>
                <w:rFonts w:ascii="Book Antiqua" w:hAnsi="Book Antiqua"/>
                <w:sz w:val="22"/>
                <w:szCs w:val="22"/>
                <w:lang w:eastAsia="es-CR"/>
              </w:rPr>
            </w:pPr>
            <w:r w:rsidRPr="00101606">
              <w:rPr>
                <w:rFonts w:ascii="Book Antiqua" w:hAnsi="Book Antiqua"/>
                <w:sz w:val="22"/>
                <w:szCs w:val="22"/>
                <w:lang w:eastAsia="es-CR"/>
              </w:rPr>
              <w:t xml:space="preserve"> Se toma nota de lo expresado por la Jueza, en el caso de Reforma Civil, fue considerada la carga de trabajo de este despacho en el informe 555-PLA-MI-RH-2019. </w:t>
            </w:r>
          </w:p>
          <w:p w14:paraId="0EADFD67" w14:textId="77777777" w:rsidR="001341EC" w:rsidRPr="00126FA8" w:rsidRDefault="001341EC" w:rsidP="00165AA6">
            <w:pPr>
              <w:jc w:val="both"/>
              <w:rPr>
                <w:rFonts w:ascii="Book Antiqua" w:hAnsi="Book Antiqua"/>
                <w:sz w:val="22"/>
                <w:szCs w:val="22"/>
                <w:lang w:eastAsia="es-CR"/>
              </w:rPr>
            </w:pPr>
          </w:p>
          <w:p w14:paraId="43DF1110" w14:textId="77777777" w:rsidR="001341EC"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p w14:paraId="5F9E78F0" w14:textId="77777777" w:rsidR="007A4037" w:rsidRPr="00126FA8" w:rsidRDefault="007A4037" w:rsidP="00165AA6">
            <w:pPr>
              <w:jc w:val="both"/>
              <w:rPr>
                <w:rFonts w:ascii="Book Antiqua" w:hAnsi="Book Antiqua"/>
                <w:sz w:val="22"/>
                <w:szCs w:val="22"/>
                <w:lang w:eastAsia="es-CR"/>
              </w:rPr>
            </w:pPr>
          </w:p>
        </w:tc>
      </w:tr>
      <w:tr w:rsidR="001341EC" w:rsidRPr="00126FA8" w14:paraId="2C47D163"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5823FD10"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3</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77B0341D" w14:textId="77777777" w:rsidR="001341EC" w:rsidRPr="00795EF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Buscar alternativas como la implantación de equipos de conciliadores especializados, sería importante siempre y cuando el recurso sea utilizado de la menor forma posible. En distintas materias se ha implementado esta práctica y ha traído buenos resultados, sin </w:t>
            </w:r>
            <w:r w:rsidRPr="001D1C4B">
              <w:rPr>
                <w:rFonts w:ascii="Book Antiqua" w:hAnsi="Book Antiqua"/>
                <w:sz w:val="22"/>
                <w:szCs w:val="22"/>
                <w:lang w:eastAsia="es-CR"/>
              </w:rPr>
              <w:lastRenderedPageBreak/>
              <w:t xml:space="preserve">embargo; </w:t>
            </w:r>
            <w:r w:rsidRPr="00795EFB">
              <w:rPr>
                <w:rFonts w:ascii="Book Antiqua" w:hAnsi="Book Antiqua"/>
                <w:sz w:val="22"/>
                <w:szCs w:val="22"/>
                <w:lang w:eastAsia="es-CR"/>
              </w:rPr>
              <w:t>debe manejarse de forma especial tomando en consideración las condiciones especiales que cada región posee.</w:t>
            </w:r>
          </w:p>
        </w:tc>
        <w:tc>
          <w:tcPr>
            <w:tcW w:w="3802" w:type="dxa"/>
            <w:tcBorders>
              <w:top w:val="nil"/>
              <w:left w:val="nil"/>
              <w:bottom w:val="double" w:sz="6" w:space="0" w:color="4472C4"/>
              <w:right w:val="double" w:sz="6" w:space="0" w:color="4472C4"/>
            </w:tcBorders>
            <w:shd w:val="clear" w:color="auto" w:fill="auto"/>
            <w:vAlign w:val="center"/>
            <w:hideMark/>
          </w:tcPr>
          <w:p w14:paraId="3DCC2C8E" w14:textId="77777777" w:rsidR="001341EC" w:rsidRPr="00101606" w:rsidRDefault="001341EC" w:rsidP="00165AA6">
            <w:pPr>
              <w:jc w:val="both"/>
              <w:rPr>
                <w:rFonts w:ascii="Book Antiqua" w:hAnsi="Book Antiqua"/>
                <w:sz w:val="22"/>
                <w:szCs w:val="22"/>
                <w:lang w:eastAsia="es-CR"/>
              </w:rPr>
            </w:pPr>
            <w:r w:rsidRPr="00AC6F49">
              <w:rPr>
                <w:rFonts w:ascii="Book Antiqua" w:hAnsi="Book Antiqua"/>
                <w:sz w:val="22"/>
                <w:szCs w:val="22"/>
                <w:lang w:eastAsia="es-CR"/>
              </w:rPr>
              <w:lastRenderedPageBreak/>
              <w:t xml:space="preserve"> Se toma nota de lo expresado por la Jueza, la Comisión de la Jurisdicción Agraria, está realizando esfuerzos para maximizar los recursos de conciliación, según </w:t>
            </w:r>
            <w:r w:rsidRPr="00AC6F49">
              <w:rPr>
                <w:rFonts w:ascii="Book Antiqua" w:hAnsi="Book Antiqua"/>
                <w:sz w:val="22"/>
                <w:szCs w:val="22"/>
              </w:rPr>
              <w:t xml:space="preserve">acuerdo tomado por dicha Comisión en sesión </w:t>
            </w:r>
            <w:r w:rsidRPr="00AC6F49">
              <w:rPr>
                <w:rFonts w:ascii="Book Antiqua" w:hAnsi="Book Antiqua"/>
                <w:sz w:val="22"/>
                <w:szCs w:val="22"/>
              </w:rPr>
              <w:lastRenderedPageBreak/>
              <w:t>ordinaria celebrada el 29 de junio del 2018, artículo XVIII</w:t>
            </w:r>
            <w:r w:rsidRPr="00101606">
              <w:rPr>
                <w:rFonts w:ascii="Book Antiqua" w:hAnsi="Book Antiqua"/>
                <w:sz w:val="22"/>
                <w:szCs w:val="22"/>
                <w:lang w:eastAsia="es-CR"/>
              </w:rPr>
              <w:t xml:space="preserve">. </w:t>
            </w:r>
          </w:p>
          <w:p w14:paraId="5CD60C57" w14:textId="77777777" w:rsidR="001341EC" w:rsidRPr="00126FA8" w:rsidRDefault="001341EC" w:rsidP="00165AA6">
            <w:pPr>
              <w:jc w:val="both"/>
              <w:rPr>
                <w:rFonts w:ascii="Book Antiqua" w:hAnsi="Book Antiqua"/>
                <w:sz w:val="22"/>
                <w:szCs w:val="22"/>
                <w:lang w:eastAsia="es-CR"/>
              </w:rPr>
            </w:pPr>
          </w:p>
          <w:p w14:paraId="1AA44DC2"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r w:rsidR="001341EC" w:rsidRPr="00126FA8" w14:paraId="3BCA54AD"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5A38887F"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4</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45D95F8E" w14:textId="77777777" w:rsidR="001341EC" w:rsidRPr="00AC6F49"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En el informe presentado no se ventila la posibilidad de especializar el Juzgado Agrario, situación que realmente nos afecta ya que con la cantidad de asuntos por atender en la zona, es inmanejable para una persona juzgadora llevar la carga laboral del despacho, especialmente que existe recargo de la materia penal juvenil así como la </w:t>
            </w:r>
            <w:r w:rsidRPr="00795EFB">
              <w:rPr>
                <w:rFonts w:ascii="Book Antiqua" w:hAnsi="Book Antiqua"/>
                <w:sz w:val="22"/>
                <w:szCs w:val="22"/>
                <w:lang w:eastAsia="es-CR"/>
              </w:rPr>
              <w:t>disponibilidad en violencia doméstica y penal juvenil. El atender disponibilidad una vez cada tres semanas es una situación que afecta en gran manera las labores durante el día ya que; existen ocasiones donde se debe trabajar durante muchas horas en la mad</w:t>
            </w:r>
            <w:r w:rsidRPr="00AC6F49">
              <w:rPr>
                <w:rFonts w:ascii="Book Antiqua" w:hAnsi="Book Antiqua"/>
                <w:sz w:val="22"/>
                <w:szCs w:val="22"/>
                <w:lang w:eastAsia="es-CR"/>
              </w:rPr>
              <w:t>rugada y es desgastante para cualquier ser humano trabajar sin tan siquiera poder dormir.</w:t>
            </w:r>
          </w:p>
        </w:tc>
        <w:tc>
          <w:tcPr>
            <w:tcW w:w="3802" w:type="dxa"/>
            <w:tcBorders>
              <w:top w:val="nil"/>
              <w:left w:val="nil"/>
              <w:bottom w:val="double" w:sz="6" w:space="0" w:color="4472C4"/>
              <w:right w:val="double" w:sz="6" w:space="0" w:color="4472C4"/>
            </w:tcBorders>
            <w:shd w:val="clear" w:color="auto" w:fill="auto"/>
            <w:vAlign w:val="center"/>
            <w:hideMark/>
          </w:tcPr>
          <w:p w14:paraId="3F33A83F" w14:textId="77777777" w:rsidR="001341EC" w:rsidRPr="00126FA8" w:rsidRDefault="001341EC" w:rsidP="00165AA6">
            <w:pPr>
              <w:jc w:val="both"/>
              <w:rPr>
                <w:rFonts w:ascii="Book Antiqua" w:hAnsi="Book Antiqua"/>
                <w:sz w:val="22"/>
                <w:szCs w:val="22"/>
                <w:lang w:eastAsia="es-CR"/>
              </w:rPr>
            </w:pPr>
            <w:r w:rsidRPr="00101606">
              <w:rPr>
                <w:rFonts w:ascii="Book Antiqua" w:hAnsi="Book Antiqua"/>
                <w:sz w:val="22"/>
                <w:szCs w:val="22"/>
                <w:lang w:eastAsia="es-CR"/>
              </w:rPr>
              <w:t xml:space="preserve"> El informe contempla el aumento de capacidad operativa para atender la carga de trabajo en materia Agraria del Juzgado Mixto de Upala (creación de una plaza de Jueza o Juez); adicionalmente en el tema de de la especialización,  se indica en el contenido del informe, la necesidad de la reducción de costos y además; </w:t>
            </w:r>
            <w:r w:rsidRPr="00126FA8">
              <w:rPr>
                <w:rFonts w:ascii="Book Antiqua" w:hAnsi="Book Antiqua"/>
                <w:sz w:val="22"/>
                <w:szCs w:val="22"/>
              </w:rPr>
              <w:t>es importante mencionar que mediante correo electrónico del 29 de junio de 2018, remitido por la Magistrada Carmen María Escoto Fernández, Presidenta de la Comisión de la Jurisdicción Agraria, manifiesta lo siguiente: “</w:t>
            </w:r>
            <w:r w:rsidRPr="00126FA8">
              <w:rPr>
                <w:rFonts w:ascii="Book Antiqua" w:hAnsi="Book Antiqua"/>
                <w:i/>
                <w:color w:val="000000"/>
                <w:sz w:val="22"/>
                <w:szCs w:val="22"/>
                <w:lang w:eastAsia="en-US"/>
              </w:rPr>
              <w:t>En relación con la especialización del Juzgado Mixto de Upala para que se disponga la creación de un Juzgado Agrario, se estima que no es conveniente la especialización de éste u otro despacho, pues el presupuesto del Poder Judicial y la situación Fiscal del país no amerita incrementar los costos de operación de las oficinas judiciales, pues somos conscientes de que una decisión de esa naturaleza implicaría muchas inversiones de contratación de nuevas edificaciones, personal, equipo y otros. Por ende, se considera no deben especializarse los despachos agrarios con ocasión de la implementación del proyecto”.</w:t>
            </w:r>
          </w:p>
        </w:tc>
      </w:tr>
      <w:tr w:rsidR="001341EC" w:rsidRPr="00126FA8" w14:paraId="1889C06E" w14:textId="77777777" w:rsidTr="00165AA6">
        <w:trPr>
          <w:trHeight w:val="20"/>
        </w:trPr>
        <w:tc>
          <w:tcPr>
            <w:tcW w:w="512" w:type="dxa"/>
            <w:tcBorders>
              <w:top w:val="nil"/>
              <w:left w:val="double" w:sz="6" w:space="0" w:color="4472C4"/>
              <w:bottom w:val="nil"/>
              <w:right w:val="double" w:sz="6" w:space="0" w:color="4472C4"/>
            </w:tcBorders>
            <w:vAlign w:val="center"/>
          </w:tcPr>
          <w:p w14:paraId="5C1F37E1"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5</w:t>
            </w:r>
          </w:p>
        </w:tc>
        <w:tc>
          <w:tcPr>
            <w:tcW w:w="4664" w:type="dxa"/>
            <w:tcBorders>
              <w:top w:val="nil"/>
              <w:left w:val="double" w:sz="6" w:space="0" w:color="4472C4"/>
              <w:bottom w:val="nil"/>
              <w:right w:val="double" w:sz="6" w:space="0" w:color="4472C4"/>
            </w:tcBorders>
            <w:shd w:val="clear" w:color="auto" w:fill="auto"/>
            <w:vAlign w:val="center"/>
            <w:hideMark/>
          </w:tcPr>
          <w:p w14:paraId="34AF9412" w14:textId="77777777" w:rsidR="001341EC" w:rsidRPr="00795EF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No omitimos indicar que la carga laboral de las personas técnicas de este despacho judicial alcanza una cuota de 15 expedientes diarios </w:t>
            </w:r>
            <w:r w:rsidRPr="001D1C4B">
              <w:rPr>
                <w:rFonts w:ascii="Book Antiqua" w:hAnsi="Book Antiqua"/>
                <w:sz w:val="22"/>
                <w:szCs w:val="22"/>
                <w:lang w:eastAsia="es-CR"/>
              </w:rPr>
              <w:lastRenderedPageBreak/>
              <w:t>para una total mensual de 300 expedientes esto, debe producirse en las 6 materias (agrario, penal juvenil, civil, familia, laboral y violencia doméstica); d</w:t>
            </w:r>
            <w:r w:rsidRPr="00795EFB">
              <w:rPr>
                <w:rFonts w:ascii="Book Antiqua" w:hAnsi="Book Antiqua"/>
                <w:sz w:val="22"/>
                <w:szCs w:val="22"/>
                <w:lang w:eastAsia="es-CR"/>
              </w:rPr>
              <w:t>onde cada materia posee particularidad y necesidades específicas con poblaciones en igualdad de derechos.</w:t>
            </w:r>
          </w:p>
        </w:tc>
        <w:tc>
          <w:tcPr>
            <w:tcW w:w="3802" w:type="dxa"/>
            <w:tcBorders>
              <w:top w:val="double" w:sz="4" w:space="0" w:color="4472C4"/>
              <w:left w:val="nil"/>
              <w:bottom w:val="double" w:sz="6" w:space="0" w:color="4472C4"/>
              <w:right w:val="double" w:sz="6" w:space="0" w:color="4472C4"/>
            </w:tcBorders>
            <w:shd w:val="clear" w:color="auto" w:fill="auto"/>
            <w:vAlign w:val="center"/>
            <w:hideMark/>
          </w:tcPr>
          <w:p w14:paraId="4ED04E81" w14:textId="77777777" w:rsidR="001341EC" w:rsidRPr="00AC6F49" w:rsidRDefault="001341EC" w:rsidP="00165AA6">
            <w:pPr>
              <w:jc w:val="both"/>
              <w:rPr>
                <w:rFonts w:ascii="Book Antiqua" w:hAnsi="Book Antiqua"/>
                <w:sz w:val="22"/>
                <w:szCs w:val="22"/>
                <w:lang w:eastAsia="es-CR"/>
              </w:rPr>
            </w:pPr>
            <w:r w:rsidRPr="00AC6F49">
              <w:rPr>
                <w:rFonts w:ascii="Book Antiqua" w:hAnsi="Book Antiqua"/>
                <w:sz w:val="22"/>
                <w:szCs w:val="22"/>
                <w:lang w:eastAsia="es-CR"/>
              </w:rPr>
              <w:lastRenderedPageBreak/>
              <w:t>Es de</w:t>
            </w:r>
            <w:r>
              <w:rPr>
                <w:rFonts w:ascii="Book Antiqua" w:hAnsi="Book Antiqua"/>
                <w:sz w:val="22"/>
                <w:szCs w:val="22"/>
                <w:lang w:eastAsia="es-CR"/>
              </w:rPr>
              <w:t xml:space="preserve">l conocimiento de la Dirección de Planificación </w:t>
            </w:r>
            <w:r w:rsidRPr="00AC6F49">
              <w:rPr>
                <w:rFonts w:ascii="Book Antiqua" w:hAnsi="Book Antiqua"/>
                <w:sz w:val="22"/>
                <w:szCs w:val="22"/>
                <w:lang w:eastAsia="es-CR"/>
              </w:rPr>
              <w:t xml:space="preserve">la carga de trabajo del juzgado en cuestión y la cuota de </w:t>
            </w:r>
            <w:r w:rsidRPr="00AC6F49">
              <w:rPr>
                <w:rFonts w:ascii="Book Antiqua" w:hAnsi="Book Antiqua"/>
                <w:sz w:val="22"/>
                <w:szCs w:val="22"/>
                <w:lang w:eastAsia="es-CR"/>
              </w:rPr>
              <w:lastRenderedPageBreak/>
              <w:t xml:space="preserve">trabajo establecida para la persona técnico judicial. </w:t>
            </w:r>
          </w:p>
          <w:p w14:paraId="28608E25" w14:textId="77777777" w:rsidR="001341EC" w:rsidRPr="00126FA8" w:rsidRDefault="001341EC" w:rsidP="00165AA6">
            <w:pPr>
              <w:jc w:val="both"/>
              <w:rPr>
                <w:rFonts w:ascii="Book Antiqua" w:hAnsi="Book Antiqua"/>
                <w:sz w:val="22"/>
                <w:szCs w:val="22"/>
                <w:lang w:eastAsia="es-CR"/>
              </w:rPr>
            </w:pPr>
          </w:p>
          <w:p w14:paraId="1B39EEC5" w14:textId="77777777" w:rsidR="001341EC" w:rsidRPr="00126FA8" w:rsidRDefault="001341EC" w:rsidP="00165AA6">
            <w:pPr>
              <w:jc w:val="both"/>
              <w:rPr>
                <w:rFonts w:ascii="Book Antiqua" w:hAnsi="Book Antiqua"/>
                <w:sz w:val="22"/>
                <w:szCs w:val="22"/>
                <w:lang w:eastAsia="es-CR"/>
              </w:rPr>
            </w:pPr>
            <w:r w:rsidRPr="00F43A2A">
              <w:rPr>
                <w:rFonts w:ascii="Book Antiqua" w:hAnsi="Book Antiqua"/>
                <w:sz w:val="22"/>
                <w:szCs w:val="22"/>
                <w:lang w:eastAsia="es-CR"/>
              </w:rPr>
              <w:t>La observ</w:t>
            </w:r>
            <w:r w:rsidRPr="001D1C4B">
              <w:rPr>
                <w:rFonts w:ascii="Book Antiqua" w:hAnsi="Book Antiqua"/>
                <w:sz w:val="22"/>
                <w:szCs w:val="22"/>
                <w:lang w:eastAsia="es-CR"/>
              </w:rPr>
              <w:t>ación no modifica el contenido del informe.</w:t>
            </w:r>
          </w:p>
        </w:tc>
      </w:tr>
      <w:tr w:rsidR="001341EC" w:rsidRPr="00126FA8" w14:paraId="34776B9A"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77A7ECA9"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6</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002F1226" w14:textId="77777777" w:rsidR="001341EC" w:rsidRPr="00795EF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Otra situación a valorar es que desde que se inició con la Reforma Procesal Laboral y consecuentemente con la Reforma Procesal Civil, ambas jurisdicciones implementaron la creación salas de juicio, sin embargo; a esta fecha no se logra materializar el recurso por cuanto aún no realiza la adjudicación del edificio. Las condiciones de infraestructura que poseemos no son las requeridas para trabajar, en muchos momentos debemos sufrir fuertes olores de aguas negras</w:t>
            </w:r>
            <w:r w:rsidRPr="00795EFB">
              <w:rPr>
                <w:rFonts w:ascii="Book Antiqua" w:hAnsi="Book Antiqua"/>
                <w:sz w:val="22"/>
                <w:szCs w:val="22"/>
                <w:lang w:eastAsia="es-CR"/>
              </w:rPr>
              <w:t>, ingreso de plagas y hasta lidiar con animales como sapos, culebras, arañas y otros en la oficina.</w:t>
            </w:r>
          </w:p>
        </w:tc>
        <w:tc>
          <w:tcPr>
            <w:tcW w:w="3802" w:type="dxa"/>
            <w:tcBorders>
              <w:top w:val="nil"/>
              <w:left w:val="nil"/>
              <w:bottom w:val="double" w:sz="6" w:space="0" w:color="4472C4"/>
              <w:right w:val="double" w:sz="6" w:space="0" w:color="4472C4"/>
            </w:tcBorders>
            <w:shd w:val="clear" w:color="auto" w:fill="auto"/>
            <w:vAlign w:val="center"/>
            <w:hideMark/>
          </w:tcPr>
          <w:p w14:paraId="28D7EDEF" w14:textId="77777777" w:rsidR="001341EC" w:rsidRPr="00F43A2A"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r w:rsidRPr="00F43A2A">
              <w:rPr>
                <w:rFonts w:ascii="Book Antiqua" w:hAnsi="Book Antiqua"/>
                <w:sz w:val="22"/>
                <w:szCs w:val="22"/>
                <w:lang w:eastAsia="es-CR"/>
              </w:rPr>
              <w:t xml:space="preserve">Se toma nota de lo expresado por la Jueza. La Dirección Ejecutiva según indica en el informe está trabajando </w:t>
            </w:r>
            <w:r>
              <w:rPr>
                <w:rFonts w:ascii="Book Antiqua" w:hAnsi="Book Antiqua"/>
                <w:sz w:val="22"/>
                <w:szCs w:val="22"/>
                <w:lang w:eastAsia="es-CR"/>
              </w:rPr>
              <w:t>en atender el requerimiento.</w:t>
            </w:r>
          </w:p>
          <w:p w14:paraId="7ECFB127" w14:textId="77777777" w:rsidR="001341EC" w:rsidRPr="001D1C4B" w:rsidRDefault="001341EC" w:rsidP="00165AA6">
            <w:pPr>
              <w:jc w:val="both"/>
              <w:rPr>
                <w:rFonts w:ascii="Book Antiqua" w:hAnsi="Book Antiqua"/>
                <w:sz w:val="22"/>
                <w:szCs w:val="22"/>
                <w:lang w:eastAsia="es-CR"/>
              </w:rPr>
            </w:pPr>
          </w:p>
          <w:p w14:paraId="00CC30C3"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La observación no modifica el co</w:t>
            </w:r>
            <w:r w:rsidRPr="00795EFB">
              <w:rPr>
                <w:rFonts w:ascii="Book Antiqua" w:hAnsi="Book Antiqua"/>
                <w:sz w:val="22"/>
                <w:szCs w:val="22"/>
                <w:lang w:eastAsia="es-CR"/>
              </w:rPr>
              <w:t>ntenido del informe.</w:t>
            </w:r>
          </w:p>
        </w:tc>
      </w:tr>
      <w:tr w:rsidR="001341EC" w:rsidRPr="00126FA8" w14:paraId="5BD7152F"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6467C6B7"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7</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7C3F42AA"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Por todo lo anterior, tomando en consideración las peculiaridades de la oficina, se propone la separación del Juzgado Agrario como un juzgado especializado y con el personal técnico y juzgador debidamente capacitado y así brindar un servicio público de calidad. </w:t>
            </w:r>
          </w:p>
        </w:tc>
        <w:tc>
          <w:tcPr>
            <w:tcW w:w="3802" w:type="dxa"/>
            <w:tcBorders>
              <w:top w:val="nil"/>
              <w:left w:val="nil"/>
              <w:bottom w:val="double" w:sz="6" w:space="0" w:color="4472C4"/>
              <w:right w:val="double" w:sz="6" w:space="0" w:color="4472C4"/>
            </w:tcBorders>
            <w:shd w:val="clear" w:color="auto" w:fill="auto"/>
            <w:vAlign w:val="center"/>
            <w:hideMark/>
          </w:tcPr>
          <w:p w14:paraId="21ED76BC" w14:textId="77777777" w:rsidR="001341EC" w:rsidRPr="00AC6F49" w:rsidRDefault="001341EC" w:rsidP="00165AA6">
            <w:pPr>
              <w:jc w:val="both"/>
              <w:rPr>
                <w:rFonts w:ascii="Book Antiqua" w:hAnsi="Book Antiqua"/>
                <w:sz w:val="22"/>
                <w:szCs w:val="22"/>
                <w:lang w:eastAsia="es-CR"/>
              </w:rPr>
            </w:pPr>
            <w:r w:rsidRPr="00AC6F49">
              <w:rPr>
                <w:rFonts w:ascii="Book Antiqua" w:hAnsi="Book Antiqua"/>
                <w:sz w:val="22"/>
                <w:szCs w:val="22"/>
                <w:lang w:eastAsia="es-CR"/>
              </w:rPr>
              <w:t> Se reitera lo indicado en observaciones anteriores.</w:t>
            </w:r>
          </w:p>
          <w:p w14:paraId="2DF0D141" w14:textId="77777777" w:rsidR="001341EC" w:rsidRPr="00AC6F49" w:rsidRDefault="001341EC" w:rsidP="00165AA6">
            <w:pPr>
              <w:jc w:val="both"/>
              <w:rPr>
                <w:rFonts w:ascii="Book Antiqua" w:hAnsi="Book Antiqua"/>
                <w:sz w:val="22"/>
                <w:szCs w:val="22"/>
                <w:lang w:eastAsia="es-CR"/>
              </w:rPr>
            </w:pPr>
          </w:p>
          <w:p w14:paraId="0A9884FB" w14:textId="77777777" w:rsidR="001341EC" w:rsidRPr="00AC6F49" w:rsidRDefault="001341EC" w:rsidP="00165AA6">
            <w:pPr>
              <w:jc w:val="both"/>
              <w:rPr>
                <w:rFonts w:ascii="Book Antiqua" w:hAnsi="Book Antiqua"/>
                <w:sz w:val="22"/>
                <w:szCs w:val="22"/>
              </w:rPr>
            </w:pPr>
            <w:r w:rsidRPr="00AC6F49">
              <w:rPr>
                <w:rFonts w:ascii="Book Antiqua" w:hAnsi="Book Antiqua"/>
                <w:sz w:val="22"/>
                <w:szCs w:val="22"/>
                <w:lang w:eastAsia="es-CR"/>
              </w:rPr>
              <w:t xml:space="preserve">El informe contempla el aumento de capacidad operativa para atender la carga de trabajo en materia Agraria del Juzgado Mixto de Upala (creación de </w:t>
            </w:r>
            <w:r w:rsidR="00817898" w:rsidRPr="00AC6F49">
              <w:rPr>
                <w:rFonts w:ascii="Book Antiqua" w:hAnsi="Book Antiqua"/>
                <w:sz w:val="22"/>
                <w:szCs w:val="22"/>
                <w:lang w:eastAsia="es-CR"/>
              </w:rPr>
              <w:t>una</w:t>
            </w:r>
            <w:r w:rsidRPr="00AC6F49">
              <w:rPr>
                <w:rFonts w:ascii="Book Antiqua" w:hAnsi="Book Antiqua"/>
                <w:sz w:val="22"/>
                <w:szCs w:val="22"/>
                <w:lang w:eastAsia="es-CR"/>
              </w:rPr>
              <w:t xml:space="preserve"> plaza de Jueza o Juez)</w:t>
            </w:r>
            <w:r>
              <w:rPr>
                <w:rFonts w:ascii="Book Antiqua" w:hAnsi="Book Antiqua"/>
                <w:sz w:val="22"/>
                <w:szCs w:val="22"/>
                <w:lang w:eastAsia="es-CR"/>
              </w:rPr>
              <w:t xml:space="preserve"> de acuerdo a las limitaciones presupuestarias vigentes, así como el criterio externado en su momento </w:t>
            </w:r>
            <w:r w:rsidRPr="00AC6F49">
              <w:rPr>
                <w:rFonts w:ascii="Book Antiqua" w:hAnsi="Book Antiqua"/>
                <w:sz w:val="22"/>
                <w:szCs w:val="22"/>
                <w:lang w:eastAsia="es-CR"/>
              </w:rPr>
              <w:t xml:space="preserve"> por la Comisión Agraria.</w:t>
            </w:r>
          </w:p>
          <w:p w14:paraId="183246E9" w14:textId="77777777" w:rsidR="001341EC" w:rsidRPr="00126FA8" w:rsidRDefault="001341EC" w:rsidP="00165AA6">
            <w:pPr>
              <w:rPr>
                <w:rFonts w:ascii="Book Antiqua" w:hAnsi="Book Antiqua"/>
                <w:sz w:val="22"/>
                <w:szCs w:val="22"/>
                <w:lang w:eastAsia="es-CR"/>
              </w:rPr>
            </w:pPr>
          </w:p>
        </w:tc>
      </w:tr>
      <w:tr w:rsidR="001341EC" w:rsidRPr="00126FA8" w14:paraId="78DCA3DA"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6554A348"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8</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7B0900FB"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Las recomendaciones brindadas contemplan una baja inversión en la destinación de recurso humano adicional: Si bien, se sabe y se conoce de las limitaciones económicas del Estado y del Poder Judicial para sufragar este tipo de rubros, es necesario se consideren que las soluciones no sean únicamente paliativos, ya que a largo plazo se requerirá siempre una inversión en el recurso humano, no sólo aumentando en cantidad, sino también en </w:t>
            </w:r>
            <w:r w:rsidRPr="001D1C4B">
              <w:rPr>
                <w:rFonts w:ascii="Book Antiqua" w:hAnsi="Book Antiqua"/>
                <w:sz w:val="22"/>
                <w:szCs w:val="22"/>
                <w:lang w:eastAsia="es-CR"/>
              </w:rPr>
              <w:lastRenderedPageBreak/>
              <w:t>cuanto al mejoramiento de este.</w:t>
            </w:r>
          </w:p>
        </w:tc>
        <w:tc>
          <w:tcPr>
            <w:tcW w:w="3802" w:type="dxa"/>
            <w:tcBorders>
              <w:top w:val="nil"/>
              <w:left w:val="nil"/>
              <w:bottom w:val="double" w:sz="6" w:space="0" w:color="4472C4"/>
              <w:right w:val="double" w:sz="6" w:space="0" w:color="4472C4"/>
            </w:tcBorders>
            <w:shd w:val="clear" w:color="auto" w:fill="auto"/>
            <w:vAlign w:val="center"/>
            <w:hideMark/>
          </w:tcPr>
          <w:p w14:paraId="237798BE" w14:textId="77777777" w:rsidR="001341EC" w:rsidRPr="00795EF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lastRenderedPageBreak/>
              <w:t>S</w:t>
            </w:r>
            <w:r w:rsidRPr="00795EFB">
              <w:rPr>
                <w:rFonts w:ascii="Book Antiqua" w:hAnsi="Book Antiqua"/>
                <w:sz w:val="22"/>
                <w:szCs w:val="22"/>
                <w:lang w:eastAsia="es-CR"/>
              </w:rPr>
              <w:t>e toma nota. Las recomendaciones emitidas en el informe corresponden al análisis realizado, el cual contempla las limitaciones y las necesidades Institucionales.</w:t>
            </w:r>
          </w:p>
          <w:p w14:paraId="3E2B78BB" w14:textId="77777777" w:rsidR="001341EC" w:rsidRPr="00AC6F49" w:rsidRDefault="001341EC" w:rsidP="00165AA6">
            <w:pPr>
              <w:jc w:val="both"/>
              <w:rPr>
                <w:rFonts w:ascii="Book Antiqua" w:hAnsi="Book Antiqua"/>
                <w:sz w:val="22"/>
                <w:szCs w:val="22"/>
                <w:lang w:eastAsia="es-CR"/>
              </w:rPr>
            </w:pPr>
          </w:p>
          <w:p w14:paraId="24C37141" w14:textId="77777777" w:rsidR="001341EC" w:rsidRPr="00126FA8" w:rsidRDefault="001341EC" w:rsidP="00165AA6">
            <w:pPr>
              <w:jc w:val="both"/>
              <w:rPr>
                <w:rFonts w:ascii="Book Antiqua" w:hAnsi="Book Antiqua"/>
                <w:sz w:val="22"/>
                <w:szCs w:val="22"/>
                <w:lang w:eastAsia="es-CR"/>
              </w:rPr>
            </w:pPr>
            <w:r w:rsidRPr="00AC6F49">
              <w:rPr>
                <w:rFonts w:ascii="Book Antiqua" w:hAnsi="Book Antiqua"/>
                <w:sz w:val="22"/>
                <w:szCs w:val="22"/>
                <w:lang w:eastAsia="es-CR"/>
              </w:rPr>
              <w:t>La observación no modifica el contenido del informe.</w:t>
            </w:r>
          </w:p>
        </w:tc>
      </w:tr>
      <w:tr w:rsidR="001341EC" w:rsidRPr="00126FA8" w14:paraId="48A3EDA0"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4386C8D9"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9</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24D400FA" w14:textId="77777777" w:rsidR="001341EC" w:rsidRPr="00795EF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Los rubros destinados para capacitaciones son imprescindibles. Deben además contemplarse y apoyarse los espacios de capacitación en las reuniones mensuales del Consejo Nacional de Jurisdicción Agraria con independencia judicial. Al ser una tarea desarrollada por los propios juzgadores, no req</w:t>
            </w:r>
            <w:r w:rsidRPr="00795EFB">
              <w:rPr>
                <w:rFonts w:ascii="Book Antiqua" w:hAnsi="Book Antiqua"/>
                <w:sz w:val="22"/>
                <w:szCs w:val="22"/>
                <w:lang w:eastAsia="es-CR"/>
              </w:rPr>
              <w:t>uiere de autorización de viáticos, sustitución de funcionarios, gastos por hospedajes, ni gastos por capacitadores.</w:t>
            </w:r>
          </w:p>
        </w:tc>
        <w:tc>
          <w:tcPr>
            <w:tcW w:w="3802" w:type="dxa"/>
            <w:tcBorders>
              <w:top w:val="nil"/>
              <w:left w:val="nil"/>
              <w:bottom w:val="double" w:sz="6" w:space="0" w:color="4472C4"/>
              <w:right w:val="double" w:sz="6" w:space="0" w:color="4472C4"/>
            </w:tcBorders>
            <w:shd w:val="clear" w:color="auto" w:fill="auto"/>
            <w:vAlign w:val="center"/>
            <w:hideMark/>
          </w:tcPr>
          <w:p w14:paraId="74364FFB" w14:textId="77777777" w:rsidR="001341EC" w:rsidRPr="00AC6F49" w:rsidRDefault="001341EC" w:rsidP="00165AA6">
            <w:pPr>
              <w:jc w:val="both"/>
              <w:rPr>
                <w:rFonts w:ascii="Book Antiqua" w:hAnsi="Book Antiqua"/>
                <w:sz w:val="22"/>
                <w:szCs w:val="22"/>
                <w:lang w:eastAsia="es-CR"/>
              </w:rPr>
            </w:pPr>
            <w:r w:rsidRPr="00AC6F49">
              <w:rPr>
                <w:rFonts w:ascii="Book Antiqua" w:hAnsi="Book Antiqua"/>
                <w:sz w:val="22"/>
                <w:szCs w:val="22"/>
                <w:lang w:eastAsia="es-CR"/>
              </w:rPr>
              <w:t xml:space="preserve">Se coincide que deben aprovecharse los espacios mensuales para capacitación de la Jurisdicción Agraria. </w:t>
            </w:r>
          </w:p>
          <w:p w14:paraId="62A7563B" w14:textId="77777777" w:rsidR="001341EC" w:rsidRPr="00126FA8" w:rsidRDefault="001341EC" w:rsidP="00165AA6">
            <w:pPr>
              <w:jc w:val="both"/>
              <w:rPr>
                <w:rFonts w:ascii="Book Antiqua" w:hAnsi="Book Antiqua"/>
                <w:sz w:val="22"/>
                <w:szCs w:val="22"/>
                <w:lang w:eastAsia="es-CR"/>
              </w:rPr>
            </w:pPr>
            <w:r w:rsidRPr="00AC6F49">
              <w:rPr>
                <w:rFonts w:ascii="Book Antiqua" w:hAnsi="Book Antiqua"/>
                <w:sz w:val="22"/>
                <w:szCs w:val="22"/>
                <w:lang w:eastAsia="es-CR"/>
              </w:rPr>
              <w:t>La observación no modifica el contenido del informe.</w:t>
            </w:r>
          </w:p>
        </w:tc>
      </w:tr>
      <w:tr w:rsidR="001341EC" w:rsidRPr="00126FA8" w14:paraId="39DFE723"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53DFE4F2"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10</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4F5EFF3D" w14:textId="77777777" w:rsidR="001341EC" w:rsidRPr="00AC6F49"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El dictado de la sentencia oral y realización de audiencias orales podrían reducir el tiempo de obtención del fallo final de los procesos, pero aumentarán el plazo para la espera de celebración de las audiencias. Es necesario evaluar predicciones de lo que significará realizar diferentes audiencias por procesos ordinarios. No se está contemplando un rediseño real acorde a la gestión de cada despacho. Es importante considerarse también parámetros cualitativos, como lejanía y accesibilid</w:t>
            </w:r>
            <w:r w:rsidRPr="00795EFB">
              <w:rPr>
                <w:rFonts w:ascii="Book Antiqua" w:hAnsi="Book Antiqua"/>
                <w:sz w:val="22"/>
                <w:szCs w:val="22"/>
                <w:lang w:eastAsia="es-CR"/>
              </w:rPr>
              <w:t>ad al lugar del conflicto desde el Despacho, complejidad de los casos, espacio físico para realización de audiencias en Despacho, recargos de tramitación y fallo, los cuales son algunos aspectos que pueden incidir en el aumento de las fechas de espera; así</w:t>
            </w:r>
            <w:r w:rsidRPr="00AC6F49">
              <w:rPr>
                <w:rFonts w:ascii="Book Antiqua" w:hAnsi="Book Antiqua"/>
                <w:sz w:val="22"/>
                <w:szCs w:val="22"/>
                <w:lang w:eastAsia="es-CR"/>
              </w:rPr>
              <w:t xml:space="preserve"> como los parámetros cuantitativos referentes a cantidad de asuntos listos para señalar y pendientes de hacer audiencia, circulantes; entre otros.  </w:t>
            </w:r>
          </w:p>
        </w:tc>
        <w:tc>
          <w:tcPr>
            <w:tcW w:w="3802" w:type="dxa"/>
            <w:tcBorders>
              <w:top w:val="nil"/>
              <w:left w:val="nil"/>
              <w:bottom w:val="double" w:sz="6" w:space="0" w:color="4472C4"/>
              <w:right w:val="double" w:sz="6" w:space="0" w:color="4472C4"/>
            </w:tcBorders>
            <w:shd w:val="clear" w:color="auto" w:fill="auto"/>
            <w:vAlign w:val="center"/>
            <w:hideMark/>
          </w:tcPr>
          <w:p w14:paraId="0A72B383" w14:textId="77777777" w:rsidR="001341EC" w:rsidRPr="00795EFB"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r w:rsidRPr="00F43A2A">
              <w:rPr>
                <w:rFonts w:ascii="Book Antiqua" w:hAnsi="Book Antiqua"/>
                <w:sz w:val="22"/>
                <w:szCs w:val="22"/>
                <w:lang w:eastAsia="es-CR"/>
              </w:rPr>
              <w:t>Actualmente la Dirección de Planificación realiza abordajes a los diferentes Despachos, por lo que la gest</w:t>
            </w:r>
            <w:r w:rsidRPr="001D1C4B">
              <w:rPr>
                <w:rFonts w:ascii="Book Antiqua" w:hAnsi="Book Antiqua"/>
                <w:sz w:val="22"/>
                <w:szCs w:val="22"/>
                <w:lang w:eastAsia="es-CR"/>
              </w:rPr>
              <w:t xml:space="preserve">ión real de cada uno y cada una de sus particularidades, se evalúa en este abordaje, esto previo a la entrada en vigencia de la Ley. Ahora bien, se proyecta la cantidad de audiencias orales fuera del despacho por plaza de Jueza o Juez </w:t>
            </w:r>
            <w:r w:rsidRPr="001D1C4B">
              <w:rPr>
                <w:rFonts w:ascii="Book Antiqua" w:hAnsi="Book Antiqua"/>
                <w:b/>
                <w:sz w:val="22"/>
                <w:szCs w:val="22"/>
                <w:lang w:eastAsia="es-CR"/>
              </w:rPr>
              <w:t>según su capacidad in</w:t>
            </w:r>
            <w:r w:rsidRPr="00795EFB">
              <w:rPr>
                <w:rFonts w:ascii="Book Antiqua" w:hAnsi="Book Antiqua"/>
                <w:b/>
                <w:sz w:val="22"/>
                <w:szCs w:val="22"/>
                <w:lang w:eastAsia="es-CR"/>
              </w:rPr>
              <w:t>stalada</w:t>
            </w:r>
            <w:r w:rsidRPr="00795EFB">
              <w:rPr>
                <w:rFonts w:ascii="Book Antiqua" w:hAnsi="Book Antiqua"/>
                <w:sz w:val="22"/>
                <w:szCs w:val="22"/>
                <w:lang w:eastAsia="es-CR"/>
              </w:rPr>
              <w:t>, para la atención de los distintos tipos de procesos del despacho.</w:t>
            </w:r>
          </w:p>
          <w:p w14:paraId="6D5D4EBA" w14:textId="77777777" w:rsidR="001341EC" w:rsidRPr="00AC6F49" w:rsidRDefault="001341EC" w:rsidP="00165AA6">
            <w:pPr>
              <w:jc w:val="both"/>
              <w:rPr>
                <w:rFonts w:ascii="Book Antiqua" w:hAnsi="Book Antiqua"/>
                <w:sz w:val="22"/>
                <w:szCs w:val="22"/>
                <w:lang w:eastAsia="es-CR"/>
              </w:rPr>
            </w:pPr>
          </w:p>
          <w:p w14:paraId="2FA220DE" w14:textId="77777777" w:rsidR="001341EC" w:rsidRPr="00126FA8" w:rsidRDefault="001341EC" w:rsidP="00165AA6">
            <w:pPr>
              <w:jc w:val="both"/>
              <w:rPr>
                <w:rFonts w:ascii="Book Antiqua" w:hAnsi="Book Antiqua"/>
                <w:sz w:val="22"/>
                <w:szCs w:val="22"/>
                <w:lang w:eastAsia="es-CR"/>
              </w:rPr>
            </w:pPr>
            <w:r w:rsidRPr="00AC6F49">
              <w:rPr>
                <w:rFonts w:ascii="Book Antiqua" w:hAnsi="Book Antiqua"/>
                <w:sz w:val="22"/>
                <w:szCs w:val="22"/>
                <w:lang w:eastAsia="es-CR"/>
              </w:rPr>
              <w:t xml:space="preserve">Es importante indicar que adicionalmente a los asuntos que se deben señalar en sus agendas, los Juzgados tienen una cuota para la atención de los asuntos entrados que contempla no </w:t>
            </w:r>
            <w:r w:rsidRPr="00126FA8">
              <w:rPr>
                <w:rFonts w:ascii="Book Antiqua" w:hAnsi="Book Antiqua"/>
                <w:sz w:val="22"/>
                <w:szCs w:val="22"/>
                <w:lang w:eastAsia="es-CR"/>
              </w:rPr>
              <w:t>solo la cantidad de asuntos terminados por sentencia (requiera o no audiencia oral) y una cantidad de asuntos de terminados por otras razones, esto basado en el comportamiento histórico de cada despacho, según se muestra en el cuadro 5.</w:t>
            </w:r>
          </w:p>
          <w:p w14:paraId="79D3C2AE" w14:textId="77777777" w:rsidR="001341EC" w:rsidRPr="00126FA8" w:rsidRDefault="001341EC" w:rsidP="00165AA6">
            <w:pPr>
              <w:jc w:val="both"/>
              <w:rPr>
                <w:rFonts w:ascii="Book Antiqua" w:hAnsi="Book Antiqua"/>
                <w:sz w:val="22"/>
                <w:szCs w:val="22"/>
                <w:lang w:eastAsia="es-CR"/>
              </w:rPr>
            </w:pPr>
          </w:p>
          <w:p w14:paraId="4BE08BD7"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Cada Juzgado debe hacer uso efectivo de la agenda, donde se </w:t>
            </w:r>
            <w:r w:rsidRPr="00126FA8">
              <w:rPr>
                <w:rFonts w:ascii="Book Antiqua" w:hAnsi="Book Antiqua"/>
                <w:sz w:val="22"/>
                <w:szCs w:val="22"/>
                <w:lang w:eastAsia="es-CR"/>
              </w:rPr>
              <w:lastRenderedPageBreak/>
              <w:t xml:space="preserve">espera que se realicen ocho señalamientos mínimo a audiencia por mes, con altos porcentajes de efectividad de realización de las mismas </w:t>
            </w:r>
          </w:p>
          <w:p w14:paraId="0061900D" w14:textId="77777777" w:rsidR="001341EC" w:rsidRPr="00F43A2A"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Para fines de los indicadores de Gestión, se consideran aspectos cualitativos como lejanía y accesibilidad, según el tiempo que se invirtió en las audiencias fuera del Despachos, esto con el fin de indicar la</w:t>
            </w:r>
            <w:r>
              <w:rPr>
                <w:rFonts w:ascii="Book Antiqua" w:hAnsi="Book Antiqua"/>
                <w:sz w:val="22"/>
                <w:szCs w:val="22"/>
                <w:lang w:eastAsia="es-CR"/>
              </w:rPr>
              <w:t>s</w:t>
            </w:r>
            <w:r w:rsidRPr="00F43A2A">
              <w:rPr>
                <w:rFonts w:ascii="Book Antiqua" w:hAnsi="Book Antiqua"/>
                <w:sz w:val="22"/>
                <w:szCs w:val="22"/>
                <w:lang w:eastAsia="es-CR"/>
              </w:rPr>
              <w:t xml:space="preserve"> cuotas diferenciadas. </w:t>
            </w:r>
          </w:p>
        </w:tc>
      </w:tr>
      <w:tr w:rsidR="001341EC" w:rsidRPr="00126FA8" w14:paraId="551BF4F5"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5DB30E32"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11</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39346C48"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De la competencia territorial nacional: No puede considerarse una solución para el descongestionamiento de Despachos. Por el contrario, trasladar asuntos por competencias extendidas no sólo sería ir en detrimento de la calidad del servicio que se brinda, lo cual es antagónico a la naturaleza de la Reforma, debido a que conlleva traslados de expedient</w:t>
            </w:r>
            <w:r w:rsidRPr="00795EFB">
              <w:rPr>
                <w:rFonts w:ascii="Book Antiqua" w:hAnsi="Book Antiqua"/>
                <w:sz w:val="22"/>
                <w:szCs w:val="22"/>
                <w:lang w:eastAsia="es-CR"/>
              </w:rPr>
              <w:t xml:space="preserve">es e inaplicabilidad del principio procesal de inmediatez; sino también ir en detrimento de las condiciones laborales de quienes trabajamos en la jurisdicción. Genera </w:t>
            </w:r>
            <w:proofErr w:type="spellStart"/>
            <w:r w:rsidRPr="00795EFB">
              <w:rPr>
                <w:rFonts w:ascii="Book Antiqua" w:hAnsi="Book Antiqua"/>
                <w:sz w:val="22"/>
                <w:szCs w:val="22"/>
                <w:lang w:eastAsia="es-CR"/>
              </w:rPr>
              <w:t>desestimulación</w:t>
            </w:r>
            <w:proofErr w:type="spellEnd"/>
            <w:r w:rsidRPr="00795EFB">
              <w:rPr>
                <w:rFonts w:ascii="Book Antiqua" w:hAnsi="Book Antiqua"/>
                <w:sz w:val="22"/>
                <w:szCs w:val="22"/>
                <w:lang w:eastAsia="es-CR"/>
              </w:rPr>
              <w:t xml:space="preserve"> al buen desempeño; perjudica los índices y estadísticas reales de cada De</w:t>
            </w:r>
            <w:r w:rsidRPr="00126FA8">
              <w:rPr>
                <w:rFonts w:ascii="Book Antiqua" w:hAnsi="Book Antiqua"/>
                <w:sz w:val="22"/>
                <w:szCs w:val="22"/>
                <w:lang w:eastAsia="es-CR"/>
              </w:rPr>
              <w:t>spacho pues se traslada la mora judicial de un Despacho a otro; y no se contempla en el informe el plan específico de acción con esta idea.</w:t>
            </w:r>
          </w:p>
        </w:tc>
        <w:tc>
          <w:tcPr>
            <w:tcW w:w="3802" w:type="dxa"/>
            <w:tcBorders>
              <w:top w:val="nil"/>
              <w:left w:val="nil"/>
              <w:bottom w:val="double" w:sz="6" w:space="0" w:color="4472C4"/>
              <w:right w:val="double" w:sz="6" w:space="0" w:color="4472C4"/>
            </w:tcBorders>
            <w:shd w:val="clear" w:color="auto" w:fill="auto"/>
            <w:vAlign w:val="center"/>
            <w:hideMark/>
          </w:tcPr>
          <w:p w14:paraId="2B2AD103"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Se debe maximizar el uso de los recursos tecnológicos como el Escritorio virtual, así como de los recursos humano y físicos.</w:t>
            </w:r>
          </w:p>
          <w:p w14:paraId="24A1252D"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Lo que se propone es que los Despachos brinden colaboración en  la entrada de </w:t>
            </w:r>
            <w:r w:rsidR="00817898" w:rsidRPr="00126FA8">
              <w:rPr>
                <w:rFonts w:ascii="Book Antiqua" w:hAnsi="Book Antiqua"/>
                <w:sz w:val="22"/>
                <w:szCs w:val="22"/>
                <w:lang w:eastAsia="es-CR"/>
              </w:rPr>
              <w:t>asuntos,</w:t>
            </w:r>
            <w:r w:rsidRPr="00126FA8">
              <w:rPr>
                <w:rFonts w:ascii="Book Antiqua" w:hAnsi="Book Antiqua"/>
                <w:sz w:val="22"/>
                <w:szCs w:val="22"/>
                <w:lang w:eastAsia="es-CR"/>
              </w:rPr>
              <w:t xml:space="preserve"> al mantener la entrada de asuntos mayor a su capacidad instalada.</w:t>
            </w:r>
          </w:p>
        </w:tc>
      </w:tr>
      <w:tr w:rsidR="001341EC" w:rsidRPr="00126FA8" w14:paraId="51D525B4"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2C912B07"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12</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582C8515"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Descongestionamiento de los Despachos con plan piloto: Si bien se entiende una vez </w:t>
            </w:r>
            <w:proofErr w:type="spellStart"/>
            <w:r w:rsidRPr="001D1C4B">
              <w:rPr>
                <w:rFonts w:ascii="Book Antiqua" w:hAnsi="Book Antiqua"/>
                <w:sz w:val="22"/>
                <w:szCs w:val="22"/>
                <w:lang w:eastAsia="es-CR"/>
              </w:rPr>
              <w:t>mas</w:t>
            </w:r>
            <w:proofErr w:type="spellEnd"/>
            <w:r w:rsidRPr="001D1C4B">
              <w:rPr>
                <w:rFonts w:ascii="Book Antiqua" w:hAnsi="Book Antiqua"/>
                <w:sz w:val="22"/>
                <w:szCs w:val="22"/>
                <w:lang w:eastAsia="es-CR"/>
              </w:rPr>
              <w:t xml:space="preserve"> que los recursos son limitados, es necesario que el descongestionamiento se brinde a todos los Despachos Agrarios en general, con un programa donde se incluyan todos los Despachos y que este apoyo se realice antes de la entrada en vigencia de la reforma procesal agraria. De la experiencia generada por la reforma laboral y civil se puede notar que no se ha logrado descongestionar esos </w:t>
            </w:r>
            <w:r w:rsidRPr="001D1C4B">
              <w:rPr>
                <w:rFonts w:ascii="Book Antiqua" w:hAnsi="Book Antiqua"/>
                <w:sz w:val="22"/>
                <w:szCs w:val="22"/>
                <w:lang w:eastAsia="es-CR"/>
              </w:rPr>
              <w:lastRenderedPageBreak/>
              <w:t>Despachos, debido a que no se logró eliminar la mora judicial antes de la entrada en vigencia de las reformas y los escritorios</w:t>
            </w:r>
            <w:r w:rsidRPr="00795EFB">
              <w:rPr>
                <w:rFonts w:ascii="Book Antiqua" w:hAnsi="Book Antiqua"/>
                <w:sz w:val="22"/>
                <w:szCs w:val="22"/>
                <w:lang w:eastAsia="es-CR"/>
              </w:rPr>
              <w:t xml:space="preserve"> entraron con retrasos. Situación que a la fecha ha costado que se reduzca. Es necesario evitar esa experiencia para la materia agraria, pues es imprescindible que se ataque la mora judicial antes de la entrada en vigencia de la reforma, en todos los Despa</w:t>
            </w:r>
            <w:r w:rsidRPr="00126FA8">
              <w:rPr>
                <w:rFonts w:ascii="Book Antiqua" w:hAnsi="Book Antiqua"/>
                <w:sz w:val="22"/>
                <w:szCs w:val="22"/>
                <w:lang w:eastAsia="es-CR"/>
              </w:rPr>
              <w:t>chos.</w:t>
            </w:r>
          </w:p>
        </w:tc>
        <w:tc>
          <w:tcPr>
            <w:tcW w:w="3802" w:type="dxa"/>
            <w:tcBorders>
              <w:top w:val="nil"/>
              <w:left w:val="nil"/>
              <w:bottom w:val="double" w:sz="6" w:space="0" w:color="4472C4"/>
              <w:right w:val="double" w:sz="6" w:space="0" w:color="4472C4"/>
            </w:tcBorders>
            <w:shd w:val="clear" w:color="auto" w:fill="auto"/>
            <w:vAlign w:val="center"/>
            <w:hideMark/>
          </w:tcPr>
          <w:p w14:paraId="3EFA52CB" w14:textId="77777777" w:rsidR="001341EC" w:rsidRPr="00F43A2A"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Actualmente se han identificado los despachos críticos en el pendiente de dictado de sentencia, donde el Centro de Apoyo Coordinación y Mejoramiento de la Función Jurisdiccional, tiene dos personas juzgadoras supernumerarias trabajando con el Juzgado Agrario del II Circ</w:t>
            </w:r>
            <w:r>
              <w:rPr>
                <w:rFonts w:ascii="Book Antiqua" w:hAnsi="Book Antiqua"/>
                <w:sz w:val="22"/>
                <w:szCs w:val="22"/>
                <w:lang w:eastAsia="es-CR"/>
              </w:rPr>
              <w:t>uito</w:t>
            </w:r>
            <w:r w:rsidRPr="00F43A2A">
              <w:rPr>
                <w:rFonts w:ascii="Book Antiqua" w:hAnsi="Book Antiqua"/>
                <w:sz w:val="22"/>
                <w:szCs w:val="22"/>
                <w:lang w:eastAsia="es-CR"/>
              </w:rPr>
              <w:t xml:space="preserve"> Jud</w:t>
            </w:r>
            <w:r>
              <w:rPr>
                <w:rFonts w:ascii="Book Antiqua" w:hAnsi="Book Antiqua"/>
                <w:sz w:val="22"/>
                <w:szCs w:val="22"/>
                <w:lang w:eastAsia="es-CR"/>
              </w:rPr>
              <w:t>icial</w:t>
            </w:r>
            <w:r w:rsidRPr="00F43A2A">
              <w:rPr>
                <w:rFonts w:ascii="Book Antiqua" w:hAnsi="Book Antiqua"/>
                <w:sz w:val="22"/>
                <w:szCs w:val="22"/>
                <w:lang w:eastAsia="es-CR"/>
              </w:rPr>
              <w:t xml:space="preserve"> de San José y próximamente en el Juzgado Agrario de Puntarenas. </w:t>
            </w:r>
          </w:p>
          <w:p w14:paraId="2446F942"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lastRenderedPageBreak/>
              <w:t>Efectivamente, se coincide que debe brindar colaboración a todo el país, tomando en consideración los despachos de mayor criticidad y con las variables indicadas en el apartado 3.2.1 de este informe.</w:t>
            </w:r>
          </w:p>
        </w:tc>
      </w:tr>
      <w:tr w:rsidR="001341EC" w:rsidRPr="00126FA8" w14:paraId="0987687F"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7914443A"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13</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198A5D1C"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Debe considerarse que la estandarización o normalización de las tareas en el Escritorio Virtual necesariamente tiene que realizarse de una manera más práctica y simplificada.</w:t>
            </w:r>
          </w:p>
        </w:tc>
        <w:tc>
          <w:tcPr>
            <w:tcW w:w="3802" w:type="dxa"/>
            <w:tcBorders>
              <w:top w:val="nil"/>
              <w:left w:val="nil"/>
              <w:bottom w:val="double" w:sz="6" w:space="0" w:color="4472C4"/>
              <w:right w:val="double" w:sz="6" w:space="0" w:color="4472C4"/>
            </w:tcBorders>
            <w:shd w:val="clear" w:color="auto" w:fill="auto"/>
            <w:vAlign w:val="center"/>
            <w:hideMark/>
          </w:tcPr>
          <w:p w14:paraId="6C22AE58"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r w:rsidRPr="00F43A2A">
              <w:rPr>
                <w:rFonts w:ascii="Book Antiqua" w:hAnsi="Book Antiqua"/>
                <w:sz w:val="22"/>
                <w:szCs w:val="22"/>
                <w:lang w:eastAsia="es-CR"/>
              </w:rPr>
              <w:t>Actualmente la Dirección de Plan</w:t>
            </w:r>
            <w:r w:rsidRPr="001D1C4B">
              <w:rPr>
                <w:rFonts w:ascii="Book Antiqua" w:hAnsi="Book Antiqua"/>
                <w:sz w:val="22"/>
                <w:szCs w:val="22"/>
                <w:lang w:eastAsia="es-CR"/>
              </w:rPr>
              <w:t xml:space="preserve">ificación está realizando abordajes a los diferente Despachos según cronograma, donde se está estandarizando las tareas y ubicaciones a nivel del Escritorio Virtual, colocando los expedientes en las tareas correspondientes y en las ubicaciones, esto como parte de los Inventarios de expedientes durante el 2019. </w:t>
            </w:r>
          </w:p>
        </w:tc>
      </w:tr>
      <w:tr w:rsidR="001341EC" w:rsidRPr="00126FA8" w14:paraId="0E49A494"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2AC093CC"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14</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38F2D3C6"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En la definición de los parámetros y métricas de indicadores debe considerarse y garantizarse la independencia judicial de criterios de las personas juzgadoras. Es necesario que se considere que el aumento de la tramitación de los asuntos no puede fijarse o estandarizarse de manera rígida, pues también ello depende de un análisis y estudio de cada proceso en concreto.</w:t>
            </w:r>
          </w:p>
        </w:tc>
        <w:tc>
          <w:tcPr>
            <w:tcW w:w="3802" w:type="dxa"/>
            <w:tcBorders>
              <w:top w:val="nil"/>
              <w:left w:val="nil"/>
              <w:bottom w:val="double" w:sz="6" w:space="0" w:color="4472C4"/>
              <w:right w:val="double" w:sz="6" w:space="0" w:color="4472C4"/>
            </w:tcBorders>
            <w:shd w:val="clear" w:color="auto" w:fill="auto"/>
            <w:vAlign w:val="center"/>
            <w:hideMark/>
          </w:tcPr>
          <w:p w14:paraId="56B32487"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 La definición de parámetros se considera únicamente la naturaleza del Despacho en los indicadores de rendimiento estadístico (entrada, salida, circulante) esto porque las variables no son iguales de un Despacho a otro. </w:t>
            </w:r>
          </w:p>
          <w:p w14:paraId="318D2177"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En cuanto a los indicadores de Plazos y de Rendimiento Operacional, se considera que se tiene que estandarizar a nivel de Juzgados Agrarios y obedece a un análisis técnico de datos históricos, que tomó en consideración el criterio de expertos en materia agraria. </w:t>
            </w:r>
          </w:p>
        </w:tc>
      </w:tr>
      <w:tr w:rsidR="001341EC" w:rsidRPr="00126FA8" w14:paraId="0F8A47D6"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3A3B8D25"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15</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19A293F1" w14:textId="77777777" w:rsidR="001341EC" w:rsidRPr="00795EF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Es necesario analizar las condiciones o factores cualitativos para determinar la capacidad operativa real de cada Despacho. Este dato en el informe parece contemplar únicamente un cálculo matemático. No se consideran factores humanos, factores </w:t>
            </w:r>
            <w:r w:rsidRPr="001D1C4B">
              <w:rPr>
                <w:rFonts w:ascii="Book Antiqua" w:hAnsi="Book Antiqua"/>
                <w:sz w:val="22"/>
                <w:szCs w:val="22"/>
                <w:lang w:eastAsia="es-CR"/>
              </w:rPr>
              <w:lastRenderedPageBreak/>
              <w:t>procesales y hasta factores ajenos al Despacho que inciden en la capacidad operativa real en cada caso. Se comparte</w:t>
            </w:r>
            <w:r w:rsidRPr="00795EFB">
              <w:rPr>
                <w:rFonts w:ascii="Book Antiqua" w:hAnsi="Book Antiqua"/>
                <w:sz w:val="22"/>
                <w:szCs w:val="22"/>
                <w:lang w:eastAsia="es-CR"/>
              </w:rPr>
              <w:t xml:space="preserve"> la estandarización de cuotas mínimas, sin embargo, los índices y números mínimos deben ser ponderados y </w:t>
            </w:r>
            <w:proofErr w:type="spellStart"/>
            <w:r w:rsidRPr="00795EFB">
              <w:rPr>
                <w:rFonts w:ascii="Book Antiqua" w:hAnsi="Book Antiqua"/>
                <w:sz w:val="22"/>
                <w:szCs w:val="22"/>
                <w:lang w:eastAsia="es-CR"/>
              </w:rPr>
              <w:t>preveerse</w:t>
            </w:r>
            <w:proofErr w:type="spellEnd"/>
            <w:r w:rsidRPr="00795EFB">
              <w:rPr>
                <w:rFonts w:ascii="Book Antiqua" w:hAnsi="Book Antiqua"/>
                <w:sz w:val="22"/>
                <w:szCs w:val="22"/>
                <w:lang w:eastAsia="es-CR"/>
              </w:rPr>
              <w:t xml:space="preserve"> los factores de incidencia para cada Despacho.</w:t>
            </w:r>
          </w:p>
        </w:tc>
        <w:tc>
          <w:tcPr>
            <w:tcW w:w="3802" w:type="dxa"/>
            <w:tcBorders>
              <w:top w:val="nil"/>
              <w:left w:val="nil"/>
              <w:bottom w:val="double" w:sz="6" w:space="0" w:color="4472C4"/>
              <w:right w:val="double" w:sz="6" w:space="0" w:color="4472C4"/>
            </w:tcBorders>
            <w:shd w:val="clear" w:color="auto" w:fill="auto"/>
            <w:vAlign w:val="center"/>
            <w:hideMark/>
          </w:tcPr>
          <w:p w14:paraId="0D1253AE"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Se reitera lo indicado en el punto anterior, en relación a la definición de cuotas.</w:t>
            </w:r>
          </w:p>
          <w:p w14:paraId="1320E67F" w14:textId="77777777" w:rsidR="001341EC" w:rsidRPr="00F43A2A" w:rsidRDefault="001341EC" w:rsidP="00165AA6">
            <w:pPr>
              <w:jc w:val="both"/>
              <w:rPr>
                <w:rFonts w:ascii="Book Antiqua" w:hAnsi="Book Antiqua"/>
                <w:sz w:val="22"/>
                <w:szCs w:val="22"/>
                <w:lang w:eastAsia="es-CR"/>
              </w:rPr>
            </w:pPr>
          </w:p>
          <w:p w14:paraId="70375706"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La cuota de tramitación del personal técnico judicial que se propone es de </w:t>
            </w:r>
            <w:r w:rsidRPr="001D1C4B">
              <w:rPr>
                <w:rFonts w:ascii="Book Antiqua" w:hAnsi="Book Antiqua"/>
                <w:sz w:val="22"/>
                <w:szCs w:val="22"/>
                <w:lang w:eastAsia="es-CR"/>
              </w:rPr>
              <w:lastRenderedPageBreak/>
              <w:t>15 proyectos de resolución diarios. Esta cuota va a sufrir variaciones en cuanto la realización de otras funciones, como es el caso de la atención de la manifestación (en el caso de no haber</w:t>
            </w:r>
            <w:r w:rsidRPr="00795EFB">
              <w:rPr>
                <w:rFonts w:ascii="Book Antiqua" w:hAnsi="Book Antiqua"/>
                <w:sz w:val="22"/>
                <w:szCs w:val="22"/>
                <w:lang w:eastAsia="es-CR"/>
              </w:rPr>
              <w:t xml:space="preserve"> manifestador), atención de llamadas telefónicas y la cantidad de veces que sale de gira con las personas juzgadoras a las audiencias fuera del </w:t>
            </w:r>
            <w:r w:rsidRPr="00126FA8">
              <w:rPr>
                <w:rFonts w:ascii="Book Antiqua" w:hAnsi="Book Antiqua"/>
                <w:sz w:val="22"/>
                <w:szCs w:val="22"/>
                <w:lang w:eastAsia="es-CR"/>
              </w:rPr>
              <w:t xml:space="preserve">despacho. </w:t>
            </w:r>
          </w:p>
          <w:p w14:paraId="16126690" w14:textId="77777777" w:rsidR="001341EC" w:rsidRPr="00126FA8" w:rsidRDefault="001341EC" w:rsidP="00165AA6">
            <w:pPr>
              <w:jc w:val="both"/>
              <w:rPr>
                <w:rFonts w:ascii="Book Antiqua" w:hAnsi="Book Antiqua"/>
                <w:sz w:val="22"/>
                <w:szCs w:val="22"/>
                <w:lang w:eastAsia="es-CR"/>
              </w:rPr>
            </w:pPr>
          </w:p>
          <w:p w14:paraId="5AF54CA5" w14:textId="77777777" w:rsidR="001341EC" w:rsidRPr="001D1C4B" w:rsidRDefault="001341EC" w:rsidP="00165AA6">
            <w:pPr>
              <w:jc w:val="both"/>
              <w:rPr>
                <w:rFonts w:ascii="Book Antiqua" w:hAnsi="Book Antiqua"/>
                <w:sz w:val="22"/>
                <w:szCs w:val="22"/>
                <w:lang w:eastAsia="es-CR"/>
              </w:rPr>
            </w:pPr>
            <w:r w:rsidRPr="00F43A2A">
              <w:rPr>
                <w:rFonts w:ascii="Book Antiqua" w:hAnsi="Book Antiqua"/>
                <w:sz w:val="22"/>
                <w:szCs w:val="22"/>
                <w:lang w:eastAsia="es-CR"/>
              </w:rPr>
              <w:t>Es importante indicar que como parte del Modelo de Sostenibilidad, se ha indicado que en casos de no</w:t>
            </w:r>
            <w:r w:rsidRPr="001D1C4B">
              <w:rPr>
                <w:rFonts w:ascii="Book Antiqua" w:hAnsi="Book Antiqua"/>
                <w:sz w:val="22"/>
                <w:szCs w:val="22"/>
                <w:lang w:eastAsia="es-CR"/>
              </w:rPr>
              <w:t xml:space="preserve"> lograr cumplir con las cuotas mínimas establecidas para toma de decisiones, los despachos deberán rendir cuentas o justificaciones como parte de su labor en la función pública, dentro de las que se incluyen particularidad presentadas durante un tiempo, una causa, complejidad, días disponibles, </w:t>
            </w:r>
            <w:r w:rsidR="00817898" w:rsidRPr="001D1C4B">
              <w:rPr>
                <w:rFonts w:ascii="Book Antiqua" w:hAnsi="Book Antiqua"/>
                <w:sz w:val="22"/>
                <w:szCs w:val="22"/>
                <w:lang w:eastAsia="es-CR"/>
              </w:rPr>
              <w:t>etc.</w:t>
            </w:r>
            <w:r w:rsidRPr="001D1C4B">
              <w:rPr>
                <w:rFonts w:ascii="Book Antiqua" w:hAnsi="Book Antiqua"/>
                <w:sz w:val="22"/>
                <w:szCs w:val="22"/>
                <w:lang w:eastAsia="es-CR"/>
              </w:rPr>
              <w:t>, esto como parte de las minutas de reuniones mensuales y como parte de los Planes remediales de cada despacho.</w:t>
            </w:r>
          </w:p>
        </w:tc>
      </w:tr>
      <w:tr w:rsidR="001341EC" w:rsidRPr="00126FA8" w14:paraId="560CD66D"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46F293D0"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16</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631D7FCE"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El apoyo que se pueda generar por el equipo de conciliadores especializados sería importante siempre y cuando sean convocadas de manera temprana en el traslado de las demandas, de lo contrario la experiencia ha permitido observar que se generan atrasos a los procedimientos y la mayoría de las veces, se generó un resultado infructuoso.</w:t>
            </w:r>
          </w:p>
        </w:tc>
        <w:tc>
          <w:tcPr>
            <w:tcW w:w="3802" w:type="dxa"/>
            <w:tcBorders>
              <w:top w:val="nil"/>
              <w:left w:val="nil"/>
              <w:bottom w:val="double" w:sz="6" w:space="0" w:color="4472C4"/>
              <w:right w:val="double" w:sz="6" w:space="0" w:color="4472C4"/>
            </w:tcBorders>
            <w:shd w:val="clear" w:color="auto" w:fill="auto"/>
            <w:vAlign w:val="center"/>
            <w:hideMark/>
          </w:tcPr>
          <w:p w14:paraId="7DBCFB97"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 Se toma nota de ese punto. El mismo debe ser parte de las capacitaciones que la Comisión Agraria está coordinando con los Centros de Conciliación y como parte de las buenas prácticas institucionales.  </w:t>
            </w:r>
          </w:p>
        </w:tc>
      </w:tr>
      <w:tr w:rsidR="001341EC" w:rsidRPr="00126FA8" w14:paraId="2D47B663"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458AF621"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17</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7F11245B" w14:textId="77777777" w:rsidR="001341EC" w:rsidRPr="00101606"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La conformación del Juzgado Mixto de Upala es sumamente diferente a la conformación de los demás Despachos especializados por lo que no debe realizarse la comparación y equiparación de las cargas de trabajo de </w:t>
            </w:r>
            <w:r w:rsidRPr="001D1C4B">
              <w:rPr>
                <w:rFonts w:ascii="Book Antiqua" w:hAnsi="Book Antiqua"/>
                <w:sz w:val="22"/>
                <w:szCs w:val="22"/>
                <w:lang w:eastAsia="es-CR"/>
              </w:rPr>
              <w:lastRenderedPageBreak/>
              <w:t>nuestro Despacho con Juzgados especializados donde, no se tienen los mismos parámetros cualitativos. A saber en</w:t>
            </w:r>
            <w:r w:rsidRPr="00795EFB">
              <w:rPr>
                <w:rFonts w:ascii="Book Antiqua" w:hAnsi="Book Antiqua"/>
                <w:sz w:val="22"/>
                <w:szCs w:val="22"/>
                <w:lang w:eastAsia="es-CR"/>
              </w:rPr>
              <w:t xml:space="preserve"> el Juzgado se tramitan seis (06) materias (Agrario, Laboral, Civil, Familia, Violencia Doméstica y Penal Juvenil; todas las cuales, exigen por su naturaleza, formas de trabajo muy diferentes y muy especializadas; cuyas respuestas, muchas veces deben ser i</w:t>
            </w:r>
            <w:r w:rsidRPr="00101606">
              <w:rPr>
                <w:rFonts w:ascii="Book Antiqua" w:hAnsi="Book Antiqua"/>
                <w:sz w:val="22"/>
                <w:szCs w:val="22"/>
                <w:lang w:eastAsia="es-CR"/>
              </w:rPr>
              <w:t>nmediatas. Ello incide en los tiempos reales de respuesta y el congestionamiento del Despacho de manera global.</w:t>
            </w:r>
          </w:p>
        </w:tc>
        <w:tc>
          <w:tcPr>
            <w:tcW w:w="3802" w:type="dxa"/>
            <w:tcBorders>
              <w:top w:val="nil"/>
              <w:left w:val="nil"/>
              <w:bottom w:val="double" w:sz="6" w:space="0" w:color="4472C4"/>
              <w:right w:val="double" w:sz="6" w:space="0" w:color="4472C4"/>
            </w:tcBorders>
            <w:shd w:val="clear" w:color="auto" w:fill="auto"/>
            <w:vAlign w:val="center"/>
            <w:hideMark/>
          </w:tcPr>
          <w:p w14:paraId="4FACA521" w14:textId="77777777" w:rsidR="001341EC" w:rsidRPr="001D1C4B"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w:t>
            </w:r>
            <w:r w:rsidRPr="00F43A2A">
              <w:rPr>
                <w:rFonts w:ascii="Book Antiqua" w:hAnsi="Book Antiqua"/>
                <w:sz w:val="22"/>
                <w:szCs w:val="22"/>
                <w:lang w:eastAsia="es-CR"/>
              </w:rPr>
              <w:t>Se tiene claro que el Juzgado es de naturaleza mixto, pero lo que se está analizando es meramente la carga de trabajo que obedece a materia agr</w:t>
            </w:r>
            <w:r w:rsidRPr="001D1C4B">
              <w:rPr>
                <w:rFonts w:ascii="Book Antiqua" w:hAnsi="Book Antiqua"/>
                <w:sz w:val="22"/>
                <w:szCs w:val="22"/>
                <w:lang w:eastAsia="es-CR"/>
              </w:rPr>
              <w:t xml:space="preserve">aria y el comportamiento tanto de la </w:t>
            </w:r>
            <w:r w:rsidRPr="001D1C4B">
              <w:rPr>
                <w:rFonts w:ascii="Book Antiqua" w:hAnsi="Book Antiqua"/>
                <w:sz w:val="22"/>
                <w:szCs w:val="22"/>
                <w:lang w:eastAsia="es-CR"/>
              </w:rPr>
              <w:lastRenderedPageBreak/>
              <w:t xml:space="preserve">entrada, terminados y circulante, donde bien se resalta que la entrada cumple con los parámetros de especialización por lo que se hacen las propuestas al respecto para fortalecer con recurso humano y además las particularidades de la materia en la zona. </w:t>
            </w:r>
            <w:r>
              <w:rPr>
                <w:rFonts w:ascii="Book Antiqua" w:hAnsi="Book Antiqua"/>
                <w:sz w:val="22"/>
                <w:szCs w:val="22"/>
                <w:lang w:eastAsia="es-CR"/>
              </w:rPr>
              <w:t>De tal forma que se impacte en general la carga de trabajo del despacho.</w:t>
            </w:r>
          </w:p>
        </w:tc>
      </w:tr>
      <w:tr w:rsidR="001341EC" w:rsidRPr="00126FA8" w14:paraId="1F566A0B"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332CADD0"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18</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5414C0BB"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Adicionalmente, la mayoría de la población usuaria del Despacho presenta condiciones de vulnerabilidad por razones de etnia, edad, y género. Las cuotas y cargas de trabajo deben ir acorde a la realidad del Despacho y a las condiciones que el Juzgado requiere.</w:t>
            </w:r>
          </w:p>
        </w:tc>
        <w:tc>
          <w:tcPr>
            <w:tcW w:w="3802" w:type="dxa"/>
            <w:tcBorders>
              <w:top w:val="nil"/>
              <w:left w:val="nil"/>
              <w:bottom w:val="double" w:sz="6" w:space="0" w:color="4472C4"/>
              <w:right w:val="double" w:sz="6" w:space="0" w:color="4472C4"/>
            </w:tcBorders>
            <w:shd w:val="clear" w:color="auto" w:fill="auto"/>
            <w:vAlign w:val="center"/>
            <w:hideMark/>
          </w:tcPr>
          <w:p w14:paraId="3B329A4E" w14:textId="77777777" w:rsidR="001341EC" w:rsidRPr="00126FA8" w:rsidRDefault="001341EC" w:rsidP="00165AA6">
            <w:pPr>
              <w:rPr>
                <w:rFonts w:ascii="Book Antiqua" w:hAnsi="Book Antiqua"/>
                <w:sz w:val="22"/>
                <w:szCs w:val="22"/>
                <w:lang w:eastAsia="es-CR"/>
              </w:rPr>
            </w:pPr>
            <w:r w:rsidRPr="00126FA8">
              <w:rPr>
                <w:rFonts w:ascii="Book Antiqua" w:hAnsi="Book Antiqua"/>
                <w:sz w:val="22"/>
                <w:szCs w:val="22"/>
                <w:lang w:eastAsia="es-CR"/>
              </w:rPr>
              <w:t> </w:t>
            </w:r>
            <w:r w:rsidRPr="00F43A2A">
              <w:rPr>
                <w:rFonts w:ascii="Book Antiqua" w:hAnsi="Book Antiqua"/>
                <w:sz w:val="22"/>
                <w:szCs w:val="22"/>
                <w:lang w:eastAsia="es-CR"/>
              </w:rPr>
              <w:t>Se responde en con lo anterior.</w:t>
            </w:r>
            <w:r w:rsidRPr="00126FA8">
              <w:rPr>
                <w:rFonts w:ascii="Book Antiqua" w:hAnsi="Book Antiqua"/>
                <w:sz w:val="22"/>
                <w:szCs w:val="22"/>
                <w:lang w:eastAsia="es-CR"/>
              </w:rPr>
              <w:t xml:space="preserve"> </w:t>
            </w:r>
          </w:p>
        </w:tc>
      </w:tr>
      <w:tr w:rsidR="001341EC" w:rsidRPr="00126FA8" w14:paraId="262BACAE"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512EFB51"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19</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126C2BAB"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En el informe se deja de lado la posibilidad de la especialización de la materia Agraria y separación del Despacho como un Juzgado independiente y especializado, y plantea por el contrario la generación de una plaza adicional para nombrar una persona juzgadora y una persona técnica que se encarguen de la materia agraria; sin embargo, se insiste una vez más que en imprescindible que se considere y apoye más bien la especializac</w:t>
            </w:r>
            <w:r w:rsidRPr="00795EFB">
              <w:rPr>
                <w:rFonts w:ascii="Book Antiqua" w:hAnsi="Book Antiqua"/>
                <w:sz w:val="22"/>
                <w:szCs w:val="22"/>
                <w:lang w:eastAsia="es-CR"/>
              </w:rPr>
              <w:t>ión del Juzgado con su separación física. Ahora bien, se hace observar que de considerarse lo contrario, el nombramiento de una segunda persona juzgadora que se encargue de esta materia, resulta oportuno. No obstante, es necesario que se mantenga, por conv</w:t>
            </w:r>
            <w:r w:rsidRPr="000C41D4">
              <w:rPr>
                <w:rFonts w:ascii="Book Antiqua" w:hAnsi="Book Antiqua"/>
                <w:sz w:val="22"/>
                <w:szCs w:val="22"/>
                <w:lang w:eastAsia="es-CR"/>
              </w:rPr>
              <w:t>eniencia institucional, que al nombrarse en estas plazas recomendadas, se establezcan los requerimientos para las plazas en juzgados mixtos en cuanto a la disposición de tramitar y conocer por las diferentes materias del juzgado y cumplir con el rol de dis</w:t>
            </w:r>
            <w:r w:rsidRPr="00126FA8">
              <w:rPr>
                <w:rFonts w:ascii="Book Antiqua" w:hAnsi="Book Antiqua"/>
                <w:sz w:val="22"/>
                <w:szCs w:val="22"/>
                <w:lang w:eastAsia="es-CR"/>
              </w:rPr>
              <w:t>ponibilidad.</w:t>
            </w:r>
          </w:p>
        </w:tc>
        <w:tc>
          <w:tcPr>
            <w:tcW w:w="3802" w:type="dxa"/>
            <w:tcBorders>
              <w:top w:val="nil"/>
              <w:left w:val="nil"/>
              <w:bottom w:val="double" w:sz="6" w:space="0" w:color="4472C4"/>
              <w:right w:val="double" w:sz="6" w:space="0" w:color="4472C4"/>
            </w:tcBorders>
            <w:shd w:val="clear" w:color="auto" w:fill="auto"/>
            <w:vAlign w:val="center"/>
            <w:hideMark/>
          </w:tcPr>
          <w:p w14:paraId="5AD3FF69" w14:textId="77777777" w:rsidR="001341EC" w:rsidRPr="00F43A2A"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w:t>
            </w:r>
            <w:r w:rsidRPr="00F43A2A">
              <w:rPr>
                <w:rFonts w:ascii="Book Antiqua" w:hAnsi="Book Antiqua"/>
                <w:sz w:val="22"/>
                <w:szCs w:val="22"/>
                <w:lang w:eastAsia="es-CR"/>
              </w:rPr>
              <w:t>Se aclara que se asignará un recurso juzgador adicional para que colabore con la materia Agraria; no se contempla un recurso nuevo de persona técnica judicial (ver cuadro 16).</w:t>
            </w:r>
          </w:p>
          <w:p w14:paraId="11FA3324" w14:textId="77777777" w:rsidR="001341EC" w:rsidRPr="001D1C4B" w:rsidRDefault="001341EC" w:rsidP="00165AA6">
            <w:pPr>
              <w:jc w:val="both"/>
              <w:rPr>
                <w:rFonts w:ascii="Book Antiqua" w:hAnsi="Book Antiqua"/>
                <w:sz w:val="22"/>
                <w:szCs w:val="22"/>
                <w:lang w:eastAsia="es-CR"/>
              </w:rPr>
            </w:pPr>
          </w:p>
          <w:p w14:paraId="4688B74E" w14:textId="77777777" w:rsidR="001341EC" w:rsidRPr="00795EF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Se toma nota de lo indicado, se indica que según acuerdo del Cons</w:t>
            </w:r>
            <w:r w:rsidRPr="00795EFB">
              <w:rPr>
                <w:rFonts w:ascii="Book Antiqua" w:hAnsi="Book Antiqua"/>
                <w:sz w:val="22"/>
                <w:szCs w:val="22"/>
                <w:lang w:eastAsia="es-CR"/>
              </w:rPr>
              <w:t>ejo Superior, las plazas que se encuentran en despachos mixtos, pueden colaborar con todas la materias que se conocen en este Juzgado.</w:t>
            </w:r>
          </w:p>
          <w:p w14:paraId="05ED1344" w14:textId="77777777" w:rsidR="001341EC" w:rsidRPr="00126FA8" w:rsidRDefault="001341EC" w:rsidP="00165AA6">
            <w:pPr>
              <w:jc w:val="both"/>
              <w:rPr>
                <w:rFonts w:ascii="Book Antiqua" w:hAnsi="Book Antiqua"/>
                <w:sz w:val="22"/>
                <w:szCs w:val="22"/>
                <w:lang w:eastAsia="es-CR"/>
              </w:rPr>
            </w:pPr>
          </w:p>
          <w:p w14:paraId="7308C8B4"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El comentario, modifica el contenido del informe, se modifica el punto 23 y 24 del apartado de Elementos Resolutivos y se adiciona lo indicado por el Consejo Superior.</w:t>
            </w:r>
          </w:p>
          <w:p w14:paraId="330899A7" w14:textId="77777777" w:rsidR="001341EC" w:rsidRDefault="001341EC" w:rsidP="00165AA6">
            <w:pPr>
              <w:spacing w:before="100" w:beforeAutospacing="1" w:after="100" w:afterAutospacing="1"/>
              <w:ind w:right="169"/>
              <w:jc w:val="both"/>
              <w:rPr>
                <w:rFonts w:ascii="Book Antiqua" w:hAnsi="Book Antiqua"/>
                <w:i/>
                <w:iCs/>
                <w:lang w:val="es-MX" w:eastAsia="en-US"/>
              </w:rPr>
            </w:pPr>
            <w:r>
              <w:rPr>
                <w:rFonts w:ascii="Book Antiqua" w:hAnsi="Book Antiqua"/>
                <w:sz w:val="22"/>
                <w:szCs w:val="22"/>
                <w:lang w:eastAsia="es-CR"/>
              </w:rPr>
              <w:t xml:space="preserve">Es importante indicar que en apego a la Ley Orgánica del Poder Judicial </w:t>
            </w:r>
            <w:r>
              <w:rPr>
                <w:rFonts w:ascii="Book Antiqua" w:hAnsi="Book Antiqua"/>
                <w:sz w:val="22"/>
                <w:szCs w:val="22"/>
                <w:lang w:eastAsia="es-CR"/>
              </w:rPr>
              <w:lastRenderedPageBreak/>
              <w:t>“</w:t>
            </w:r>
            <w:r>
              <w:rPr>
                <w:rFonts w:ascii="Book Antiqua" w:hAnsi="Book Antiqua"/>
                <w:i/>
                <w:iCs/>
                <w:lang w:val="es-MX"/>
              </w:rPr>
              <w:t>Artículo 46.- Los acuerdos y las disposiciones de la Corte relativas al establecimiento y la definición de una circunscripción territorial, o los que conciernan al recargo de competencias, el traslado y la conversión de despachos judiciales y de cargos o puestos, deberán fundamentarse en la ineludible eficiencia del servicio, la especialización de los órganos judiciales y de los tribunales jurisdiccionales y la equidad necesaria de las cargas de trabajo. En razón del volumen de trabajo y la obligada eficiencia del servicio público de la justicia, la Corte podrá nombrar más integrantes de los tribunales, en forma temporal o definitiva; también podrá abrir y cerrar - por esas mismas razones nuevas oficinas y órganos adscritos a los tribunales, en cualquier lugar del país. En los tribunales mixtos, la Corte podrá dividir funciones por materia, de manera que se especialicen los servicios de administración de justicia. Cuando las necesidades del servicio lo impongan, la Corte podrá dividir un tribunal mixto en tribunales especializados. Cuando la carga de trabajo no amerite abrir otro órgano jurisdiccional ni judicial, la Corte o el Consejo podrán asignar jueces y otros servidores itinerantes, para que se trasladen a los lugares donde deba brindarse el servicio con mayor eficiencia. (Así reformado por el artículo 1° de la Ley N° 7728 de 15 de diciembre de 1997). “</w:t>
            </w:r>
            <w:r w:rsidRPr="00126FA8">
              <w:rPr>
                <w:rFonts w:ascii="Book Antiqua" w:hAnsi="Book Antiqua"/>
                <w:iCs/>
                <w:lang w:val="es-MX"/>
              </w:rPr>
              <w:t xml:space="preserve"> y además </w:t>
            </w:r>
            <w:r>
              <w:rPr>
                <w:rFonts w:ascii="Book Antiqua" w:hAnsi="Book Antiqua"/>
                <w:iCs/>
                <w:lang w:val="es-MX"/>
              </w:rPr>
              <w:t xml:space="preserve">en apego </w:t>
            </w:r>
            <w:r w:rsidRPr="00126FA8">
              <w:rPr>
                <w:rFonts w:ascii="Book Antiqua" w:hAnsi="Book Antiqua"/>
                <w:iCs/>
                <w:lang w:val="es-MX"/>
              </w:rPr>
              <w:t xml:space="preserve">a acuerdos del Consejo Superior en donde se </w:t>
            </w:r>
            <w:r>
              <w:rPr>
                <w:rFonts w:ascii="Book Antiqua" w:hAnsi="Book Antiqua"/>
                <w:iCs/>
                <w:lang w:val="es-MX"/>
              </w:rPr>
              <w:t>establece que</w:t>
            </w:r>
            <w:r w:rsidRPr="00126FA8">
              <w:rPr>
                <w:rFonts w:ascii="Book Antiqua" w:hAnsi="Book Antiqua"/>
                <w:iCs/>
                <w:lang w:val="es-MX"/>
              </w:rPr>
              <w:t xml:space="preserve"> todos las juezas y jueces que conforman estructuras mixtas debe colaborar con las otras materias, para que exista una distribución equitativa d las cargas de trabajo.</w:t>
            </w:r>
            <w:r>
              <w:rPr>
                <w:rFonts w:ascii="Book Antiqua" w:hAnsi="Book Antiqua"/>
                <w:i/>
                <w:iCs/>
                <w:lang w:val="es-MX"/>
              </w:rPr>
              <w:t xml:space="preserve"> (Consejo Superior, sesión 77-14, articulo LVIII, sesión 79-11 artículo LXVI, </w:t>
            </w:r>
            <w:r>
              <w:rPr>
                <w:rFonts w:cs="Arial"/>
                <w:lang w:eastAsia="en-US"/>
              </w:rPr>
              <w:t>sesión 26-12, artículo LIII</w:t>
            </w:r>
            <w:r>
              <w:rPr>
                <w:rFonts w:ascii="Book Antiqua" w:hAnsi="Book Antiqua"/>
                <w:i/>
                <w:iCs/>
                <w:lang w:val="es-MX"/>
              </w:rPr>
              <w:t>)</w:t>
            </w:r>
          </w:p>
          <w:p w14:paraId="6BFB63AC" w14:textId="77777777" w:rsidR="001341EC" w:rsidRPr="00F43A2A" w:rsidRDefault="001341EC" w:rsidP="00165AA6">
            <w:pPr>
              <w:jc w:val="both"/>
              <w:rPr>
                <w:rFonts w:ascii="Book Antiqua" w:hAnsi="Book Antiqua"/>
                <w:sz w:val="22"/>
                <w:szCs w:val="22"/>
                <w:lang w:eastAsia="es-CR"/>
              </w:rPr>
            </w:pPr>
          </w:p>
        </w:tc>
      </w:tr>
      <w:tr w:rsidR="001341EC" w:rsidRPr="00126FA8" w14:paraId="5DF839D1"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748C57F7"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20</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471786E1"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Es importante hacer ver que resulta </w:t>
            </w:r>
            <w:r w:rsidRPr="001D1C4B">
              <w:rPr>
                <w:rFonts w:ascii="Book Antiqua" w:hAnsi="Book Antiqua"/>
                <w:sz w:val="22"/>
                <w:szCs w:val="22"/>
                <w:lang w:eastAsia="es-CR"/>
              </w:rPr>
              <w:lastRenderedPageBreak/>
              <w:t>imprescindible que el juzgado tenga, sin embargo, la especialización y separación física. Véase que, de acuerdo a los datos arrojados en el informe, indiscutiblemente los índices de asuntos entrados van en alza y si se analiza en proyección, la especialización del Despacho es ineludible, debido a que la zona lo amerita, pues incluso el cantón está en expansión productiva; se tiene problemas aún de tenencia d</w:t>
            </w:r>
            <w:r w:rsidRPr="00795EFB">
              <w:rPr>
                <w:rFonts w:ascii="Book Antiqua" w:hAnsi="Book Antiqua"/>
                <w:sz w:val="22"/>
                <w:szCs w:val="22"/>
                <w:lang w:eastAsia="es-CR"/>
              </w:rPr>
              <w:t>e tierras y además se tiene competencia respecto de territorio indígena y zonas fronterizas. La solución debe verse no a corto plazo sino a largo plazo. Se reitera que la tramitación no especializada en los despachos hace que materias que ameritan una resp</w:t>
            </w:r>
            <w:r w:rsidRPr="00126FA8">
              <w:rPr>
                <w:rFonts w:ascii="Book Antiqua" w:hAnsi="Book Antiqua"/>
                <w:sz w:val="22"/>
                <w:szCs w:val="22"/>
                <w:lang w:eastAsia="es-CR"/>
              </w:rPr>
              <w:t>uesta judicial inmediata como Violencia Doméstica y Penal Juvenil ahoguen la tramitación de las otras como Agrario, precisamente por la cantidad de asuntos que ya se tienen en circulante.</w:t>
            </w:r>
          </w:p>
        </w:tc>
        <w:tc>
          <w:tcPr>
            <w:tcW w:w="3802" w:type="dxa"/>
            <w:tcBorders>
              <w:top w:val="nil"/>
              <w:left w:val="nil"/>
              <w:bottom w:val="double" w:sz="6" w:space="0" w:color="4472C4"/>
              <w:right w:val="double" w:sz="6" w:space="0" w:color="4472C4"/>
            </w:tcBorders>
            <w:shd w:val="clear" w:color="auto" w:fill="auto"/>
            <w:vAlign w:val="center"/>
            <w:hideMark/>
          </w:tcPr>
          <w:p w14:paraId="6C9E5228"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xml:space="preserve">Se reitera lo indicado en </w:t>
            </w:r>
            <w:r w:rsidRPr="00126FA8">
              <w:rPr>
                <w:rFonts w:ascii="Book Antiqua" w:hAnsi="Book Antiqua"/>
                <w:sz w:val="22"/>
                <w:szCs w:val="22"/>
                <w:lang w:eastAsia="es-CR"/>
              </w:rPr>
              <w:lastRenderedPageBreak/>
              <w:t>observaciones anteriores.</w:t>
            </w:r>
          </w:p>
          <w:p w14:paraId="10C2C25E" w14:textId="77777777" w:rsidR="001341EC" w:rsidRPr="00126FA8" w:rsidRDefault="001341EC" w:rsidP="00165AA6">
            <w:pPr>
              <w:jc w:val="both"/>
              <w:rPr>
                <w:rFonts w:ascii="Book Antiqua" w:hAnsi="Book Antiqua"/>
                <w:sz w:val="22"/>
                <w:szCs w:val="22"/>
                <w:lang w:eastAsia="es-CR"/>
              </w:rPr>
            </w:pPr>
          </w:p>
          <w:p w14:paraId="1AA7511D" w14:textId="77777777" w:rsidR="001341EC" w:rsidRDefault="001341EC" w:rsidP="00165AA6">
            <w:pPr>
              <w:jc w:val="both"/>
              <w:rPr>
                <w:rFonts w:ascii="Book Antiqua" w:hAnsi="Book Antiqua"/>
                <w:i/>
                <w:color w:val="000000"/>
                <w:sz w:val="22"/>
                <w:szCs w:val="22"/>
                <w:lang w:eastAsia="en-US"/>
              </w:rPr>
            </w:pPr>
            <w:r w:rsidRPr="00126FA8">
              <w:rPr>
                <w:rFonts w:ascii="Book Antiqua" w:hAnsi="Book Antiqua"/>
                <w:sz w:val="22"/>
                <w:szCs w:val="22"/>
                <w:lang w:eastAsia="es-CR"/>
              </w:rPr>
              <w:t xml:space="preserve">El informe contempla el aumento de capacidad operativa para atender la carga de trabajo en materia Agraria del Juzgado Mixto de Upala; adicionalmente en el tema  de la especialización,  se indica en el contenido del informe, la necesidad de la reducción de costos y además; </w:t>
            </w:r>
            <w:r w:rsidRPr="00126FA8">
              <w:rPr>
                <w:rFonts w:ascii="Book Antiqua" w:hAnsi="Book Antiqua"/>
                <w:sz w:val="22"/>
                <w:szCs w:val="22"/>
              </w:rPr>
              <w:t>es importante mencionar que mediante correo electrónico del 29 de junio de 2018, remitido por la Magistrada Carmen María Escoto Fernández, Presidenta de la Comisión de la Jurisdicción Agraria, manifiesta lo siguiente: “</w:t>
            </w:r>
            <w:r w:rsidRPr="00126FA8">
              <w:rPr>
                <w:rFonts w:ascii="Book Antiqua" w:hAnsi="Book Antiqua"/>
                <w:i/>
                <w:color w:val="000000"/>
                <w:sz w:val="22"/>
                <w:szCs w:val="22"/>
                <w:lang w:eastAsia="en-US"/>
              </w:rPr>
              <w:t>En relación con la especialización del Juzgado Mixto de Upala para que se disponga la creación de un Juzgado Agrario, se estima que no es conveniente la especialización de éste u otro despacho, pues el presupuesto del Poder Judicial y la situación Fiscal del país no amerita incrementar los costos de operación de las oficinas judiciales, pues somos conscientes de que una decisión de esa naturaleza implicaría muchas inversiones de contratación de nuevas edificaciones, personal, equipo y otros. Por ende, se considera no deben especializarse los despachos agrarios con ocasión de la implementación del proyecto”.</w:t>
            </w:r>
          </w:p>
          <w:p w14:paraId="1FDF8B85" w14:textId="77777777" w:rsidR="007A4037" w:rsidRPr="00126FA8" w:rsidRDefault="007A4037" w:rsidP="00165AA6">
            <w:pPr>
              <w:jc w:val="both"/>
              <w:rPr>
                <w:rFonts w:ascii="Book Antiqua" w:hAnsi="Book Antiqua"/>
                <w:sz w:val="22"/>
                <w:szCs w:val="22"/>
                <w:lang w:eastAsia="es-CR"/>
              </w:rPr>
            </w:pPr>
          </w:p>
        </w:tc>
      </w:tr>
      <w:tr w:rsidR="001341EC" w:rsidRPr="00126FA8" w14:paraId="607CA6A8" w14:textId="77777777" w:rsidTr="00165AA6">
        <w:trPr>
          <w:trHeight w:val="20"/>
        </w:trPr>
        <w:tc>
          <w:tcPr>
            <w:tcW w:w="512" w:type="dxa"/>
            <w:tcBorders>
              <w:top w:val="nil"/>
              <w:left w:val="double" w:sz="6" w:space="0" w:color="4472C4"/>
              <w:bottom w:val="nil"/>
              <w:right w:val="double" w:sz="4" w:space="0" w:color="4472C4"/>
            </w:tcBorders>
            <w:vAlign w:val="center"/>
          </w:tcPr>
          <w:p w14:paraId="16CEF23A"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21</w:t>
            </w:r>
          </w:p>
        </w:tc>
        <w:tc>
          <w:tcPr>
            <w:tcW w:w="4664" w:type="dxa"/>
            <w:tcBorders>
              <w:top w:val="nil"/>
              <w:left w:val="double" w:sz="6" w:space="0" w:color="4472C4"/>
              <w:bottom w:val="nil"/>
              <w:right w:val="double" w:sz="4" w:space="0" w:color="4472C4"/>
            </w:tcBorders>
            <w:shd w:val="clear" w:color="auto" w:fill="auto"/>
            <w:vAlign w:val="center"/>
            <w:hideMark/>
          </w:tcPr>
          <w:p w14:paraId="1C2F52BF"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De no especializarse este Juzgado, la carga de trabajo y la estandarización de las cuotas de trabajo para sentencias y proveído deben ser ponderadas de manera diferente para nuestro Despacho, ya que no deben equipararse a los Juzgados Especializados. Actualmente, la cuota de sentencias para Agrario está designada en 8 expedientes y el proveído por </w:t>
            </w:r>
            <w:r w:rsidRPr="001D1C4B">
              <w:rPr>
                <w:rFonts w:ascii="Book Antiqua" w:hAnsi="Book Antiqua"/>
                <w:sz w:val="22"/>
                <w:szCs w:val="22"/>
                <w:lang w:eastAsia="es-CR"/>
              </w:rPr>
              <w:lastRenderedPageBreak/>
              <w:t>semana por persona técnica es de 15 expedientes en esa materia, pero debe considerarse qu</w:t>
            </w:r>
            <w:r w:rsidRPr="00795EFB">
              <w:rPr>
                <w:rFonts w:ascii="Book Antiqua" w:hAnsi="Book Antiqua"/>
                <w:sz w:val="22"/>
                <w:szCs w:val="22"/>
                <w:lang w:eastAsia="es-CR"/>
              </w:rPr>
              <w:t xml:space="preserve">e las personas técnicas tramitan todas las materias todos los días, con diferentes tareas, muchas de orden prioritario en las otras materias. En igual sentido, la cantidad de audiencias que puedan realizarse está también limitado por las audiencias que se </w:t>
            </w:r>
            <w:r w:rsidRPr="00126FA8">
              <w:rPr>
                <w:rFonts w:ascii="Book Antiqua" w:hAnsi="Book Antiqua"/>
                <w:sz w:val="22"/>
                <w:szCs w:val="22"/>
                <w:lang w:eastAsia="es-CR"/>
              </w:rPr>
              <w:t>realizan en las demás materias, debe contemplarse que el vehículo, por ejemplo, está asignado para el Despacho únicamente dos días a la semana, para realizar diligencias en todas las materias y no es un uso exclusivo para la materia Agraria. Es importante decir, que las cuotas de trabajo en un Jugado Mixto como el nuestro, no deben ser superior a las que se definan para los juzgados especializados.</w:t>
            </w:r>
          </w:p>
        </w:tc>
        <w:tc>
          <w:tcPr>
            <w:tcW w:w="3802" w:type="dxa"/>
            <w:tcBorders>
              <w:top w:val="nil"/>
              <w:left w:val="double" w:sz="4" w:space="0" w:color="4472C4"/>
              <w:bottom w:val="double" w:sz="6" w:space="0" w:color="4472C4"/>
              <w:right w:val="double" w:sz="6" w:space="0" w:color="4472C4"/>
            </w:tcBorders>
            <w:shd w:val="clear" w:color="auto" w:fill="auto"/>
            <w:vAlign w:val="center"/>
            <w:hideMark/>
          </w:tcPr>
          <w:p w14:paraId="5E861B4A"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xml:space="preserve"> En todos los casos de los despachos que atienden más de una materia se definen cuotas específicas para estos en cada materia, basados en los datos de los juzgados especializados, la representatividad de cada una de las materias en la entrada de asuntos, las particularidades de cada materia y </w:t>
            </w:r>
            <w:r w:rsidRPr="00126FA8">
              <w:rPr>
                <w:rFonts w:ascii="Book Antiqua" w:hAnsi="Book Antiqua"/>
                <w:sz w:val="22"/>
                <w:szCs w:val="22"/>
                <w:lang w:eastAsia="es-CR"/>
              </w:rPr>
              <w:lastRenderedPageBreak/>
              <w:t xml:space="preserve">del Juzgado. Lo anterior aplica para trámite, dictado de sentencia, realización de audiencias, entre otros. </w:t>
            </w:r>
          </w:p>
          <w:p w14:paraId="59D1BEAC" w14:textId="77777777" w:rsidR="001341EC" w:rsidRPr="00126FA8" w:rsidRDefault="001341EC" w:rsidP="00165AA6">
            <w:pPr>
              <w:jc w:val="both"/>
              <w:rPr>
                <w:rFonts w:ascii="Book Antiqua" w:hAnsi="Book Antiqua"/>
                <w:sz w:val="22"/>
                <w:szCs w:val="22"/>
                <w:lang w:eastAsia="es-CR"/>
              </w:rPr>
            </w:pPr>
          </w:p>
          <w:p w14:paraId="5E8CAFB0" w14:textId="77777777" w:rsidR="001341EC" w:rsidRPr="001D1C4B" w:rsidRDefault="001341EC" w:rsidP="00165AA6">
            <w:pPr>
              <w:widowControl w:val="0"/>
              <w:jc w:val="both"/>
              <w:rPr>
                <w:rFonts w:ascii="Book Antiqua" w:hAnsi="Book Antiqua"/>
                <w:sz w:val="22"/>
                <w:szCs w:val="22"/>
                <w:lang w:eastAsia="es-CR"/>
              </w:rPr>
            </w:pPr>
            <w:r w:rsidRPr="00126FA8">
              <w:rPr>
                <w:rFonts w:ascii="Book Antiqua" w:hAnsi="Book Antiqua"/>
                <w:sz w:val="22"/>
                <w:szCs w:val="22"/>
                <w:lang w:eastAsia="es-CR"/>
              </w:rPr>
              <w:t>Las personas técnicas judiciales del Juzgado Mixto de Upala tienen una cuota de trabajo definida por materia, la cual deben realizar en cumplimiento a lo indicado en 437-PLA-2017 aprobado por el Consejo Superior sesión 19-17, artículo LVI</w:t>
            </w:r>
            <w:r w:rsidR="00817898">
              <w:rPr>
                <w:rFonts w:ascii="Book Antiqua" w:hAnsi="Book Antiqua"/>
                <w:sz w:val="22"/>
                <w:szCs w:val="22"/>
                <w:lang w:eastAsia="es-CR"/>
              </w:rPr>
              <w:t>,</w:t>
            </w:r>
            <w:r w:rsidRPr="00126FA8">
              <w:rPr>
                <w:rFonts w:ascii="Book Antiqua" w:hAnsi="Book Antiqua"/>
                <w:sz w:val="22"/>
                <w:szCs w:val="22"/>
                <w:lang w:eastAsia="es-CR"/>
              </w:rPr>
              <w:t xml:space="preserve"> </w:t>
            </w:r>
            <w:r w:rsidRPr="00126FA8">
              <w:rPr>
                <w:rFonts w:ascii="Book Antiqua" w:hAnsi="Book Antiqua" w:cs="Book Antiqua"/>
                <w:sz w:val="22"/>
                <w:szCs w:val="22"/>
              </w:rPr>
              <w:t>relacionado con el i</w:t>
            </w:r>
            <w:r w:rsidRPr="00126FA8">
              <w:rPr>
                <w:rFonts w:ascii="Book Antiqua" w:hAnsi="Book Antiqua" w:cs="Arial"/>
                <w:sz w:val="22"/>
                <w:szCs w:val="22"/>
              </w:rPr>
              <w:t>nforme del proyecto</w:t>
            </w:r>
            <w:r w:rsidRPr="00F43A2A">
              <w:rPr>
                <w:rFonts w:ascii="Book Antiqua" w:hAnsi="Book Antiqua" w:cs="Arial"/>
                <w:sz w:val="22"/>
                <w:szCs w:val="22"/>
              </w:rPr>
              <w:t xml:space="preserve"> realizado en el Juzgado Civil, Trabajo y Familia del II Circuito Judicial de Alajuela, sede Upala en el marco de la Reforma al Código de Trabajo</w:t>
            </w:r>
            <w:r w:rsidRPr="001D1C4B">
              <w:rPr>
                <w:rFonts w:ascii="Book Antiqua" w:hAnsi="Book Antiqua"/>
                <w:sz w:val="22"/>
                <w:szCs w:val="22"/>
                <w:lang w:eastAsia="es-CR"/>
              </w:rPr>
              <w:t xml:space="preserve">; lo cual pretende garantizar que se atienda cada materia según su representatividad en la carga de trabajo para evitar que se deje el trámite en alguna materia por una supuesta prioridad. </w:t>
            </w:r>
          </w:p>
          <w:p w14:paraId="563CDFA8" w14:textId="77777777" w:rsidR="001341EC" w:rsidRPr="00126FA8" w:rsidRDefault="001341EC" w:rsidP="00165AA6">
            <w:pPr>
              <w:widowControl w:val="0"/>
              <w:jc w:val="both"/>
              <w:rPr>
                <w:rFonts w:ascii="Book Antiqua" w:hAnsi="Book Antiqua"/>
                <w:sz w:val="22"/>
                <w:szCs w:val="22"/>
                <w:lang w:eastAsia="es-CR"/>
              </w:rPr>
            </w:pPr>
            <w:r w:rsidRPr="00126FA8">
              <w:rPr>
                <w:rFonts w:ascii="Book Antiqua" w:hAnsi="Book Antiqua"/>
                <w:sz w:val="22"/>
                <w:szCs w:val="22"/>
                <w:lang w:eastAsia="es-CR"/>
              </w:rPr>
              <w:t>Es importante indicar que materia agraria se prevén dos plazas especializadas, la actual mantendría la carga de trabajo de Penal Juvenil, la cuota de esta última si debe ser ajustada a la condición de la plaza, tal y cual se encuentra actualmente, la otra plaza si mantiene las cargas de un Juzgado especializado</w:t>
            </w:r>
          </w:p>
          <w:p w14:paraId="785D1F5F" w14:textId="77777777" w:rsidR="001341EC" w:rsidRDefault="001341EC" w:rsidP="00165AA6">
            <w:pPr>
              <w:jc w:val="both"/>
              <w:rPr>
                <w:rFonts w:ascii="Book Antiqua" w:hAnsi="Book Antiqua"/>
                <w:sz w:val="22"/>
                <w:szCs w:val="22"/>
                <w:lang w:eastAsia="es-CR"/>
              </w:rPr>
            </w:pPr>
          </w:p>
          <w:p w14:paraId="27897C92" w14:textId="77777777" w:rsidR="007A4037" w:rsidRPr="00126FA8" w:rsidRDefault="007A4037" w:rsidP="00165AA6">
            <w:pPr>
              <w:jc w:val="both"/>
              <w:rPr>
                <w:rFonts w:ascii="Book Antiqua" w:hAnsi="Book Antiqua"/>
                <w:sz w:val="22"/>
                <w:szCs w:val="22"/>
                <w:lang w:eastAsia="es-CR"/>
              </w:rPr>
            </w:pPr>
          </w:p>
        </w:tc>
      </w:tr>
      <w:tr w:rsidR="001341EC" w:rsidRPr="00126FA8" w14:paraId="5BA381CD"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29126F06"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22</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4339F38D"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El equipo técnico del Despacho en este momento está conformado por una coordinadora judicial, una auxiliar de servicios generales, así como cuatro personas técnicas judiciales y un técnico manifestador. Adicionalmente, se cuenta, para el año 2019 con una plaza extraordinaria de técnico judicial, lo cual genera un total de 5 personas técnicas judiciales y 1 técnico manifestador. Es </w:t>
            </w:r>
            <w:r w:rsidRPr="001D1C4B">
              <w:rPr>
                <w:rFonts w:ascii="Book Antiqua" w:hAnsi="Book Antiqua"/>
                <w:sz w:val="22"/>
                <w:szCs w:val="22"/>
                <w:lang w:eastAsia="es-CR"/>
              </w:rPr>
              <w:lastRenderedPageBreak/>
              <w:t>necesario se aclare y defina el total de personas técnicas judiciales que corresponderían para el Juzgado. Es decir, si la plaza adicional que se prevé corresponde a una plaza más, p</w:t>
            </w:r>
            <w:r w:rsidRPr="00795EFB">
              <w:rPr>
                <w:rFonts w:ascii="Book Antiqua" w:hAnsi="Book Antiqua"/>
                <w:sz w:val="22"/>
                <w:szCs w:val="22"/>
                <w:lang w:eastAsia="es-CR"/>
              </w:rPr>
              <w:t>ara lograr una conformación de seis personas técnicas judiciales, o bien si, por el contrario, es lograr una conformación de cinco personas técnicas judiciales también para el año 2020, que es como se ha venido trabajando por el apoyo de la plaza extraordi</w:t>
            </w:r>
            <w:r w:rsidRPr="00126FA8">
              <w:rPr>
                <w:rFonts w:ascii="Book Antiqua" w:hAnsi="Book Antiqua"/>
                <w:sz w:val="22"/>
                <w:szCs w:val="22"/>
                <w:lang w:eastAsia="es-CR"/>
              </w:rPr>
              <w:t>naria dada por la implementación de la reforma procesal laboral.</w:t>
            </w:r>
          </w:p>
        </w:tc>
        <w:tc>
          <w:tcPr>
            <w:tcW w:w="3802" w:type="dxa"/>
            <w:tcBorders>
              <w:top w:val="nil"/>
              <w:left w:val="nil"/>
              <w:bottom w:val="double" w:sz="6" w:space="0" w:color="4472C4"/>
              <w:right w:val="double" w:sz="6" w:space="0" w:color="4472C4"/>
            </w:tcBorders>
            <w:shd w:val="clear" w:color="auto" w:fill="auto"/>
            <w:vAlign w:val="center"/>
            <w:hideMark/>
          </w:tcPr>
          <w:p w14:paraId="21412ECF"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Se aclara que se asignará un recurso juzgador adicional para que colabore con la materia Agraria; no se contempla un recurso nuevo de persona técnica judicial (ver cuadro 16).</w:t>
            </w:r>
          </w:p>
          <w:p w14:paraId="5CAD72B8" w14:textId="77777777" w:rsidR="001341EC" w:rsidRPr="00126FA8" w:rsidRDefault="001341EC" w:rsidP="00165AA6">
            <w:pPr>
              <w:jc w:val="both"/>
              <w:rPr>
                <w:rFonts w:ascii="Book Antiqua" w:hAnsi="Book Antiqua"/>
                <w:sz w:val="22"/>
                <w:szCs w:val="22"/>
                <w:lang w:eastAsia="es-CR"/>
              </w:rPr>
            </w:pPr>
          </w:p>
          <w:p w14:paraId="0516ED8A" w14:textId="77777777" w:rsidR="001341EC" w:rsidRPr="00F43A2A"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En el caso de aprobarse el informe de Presupuesto “Análisis de la </w:t>
            </w:r>
            <w:r w:rsidRPr="00126FA8">
              <w:rPr>
                <w:rFonts w:ascii="Book Antiqua" w:hAnsi="Book Antiqua"/>
                <w:sz w:val="22"/>
                <w:szCs w:val="22"/>
                <w:lang w:eastAsia="es-CR"/>
              </w:rPr>
              <w:lastRenderedPageBreak/>
              <w:t xml:space="preserve">continuidad de plazas extraordinarias para el 2020 asignadas ante la implementación de la Reforma al Código de Trabajo”, se mantendría la estructura de </w:t>
            </w:r>
            <w:r>
              <w:rPr>
                <w:rFonts w:ascii="Book Antiqua" w:hAnsi="Book Antiqua"/>
                <w:sz w:val="22"/>
                <w:szCs w:val="22"/>
                <w:lang w:eastAsia="es-CR"/>
              </w:rPr>
              <w:t>seis</w:t>
            </w:r>
            <w:r w:rsidRPr="00F43A2A">
              <w:rPr>
                <w:rFonts w:ascii="Book Antiqua" w:hAnsi="Book Antiqua"/>
                <w:sz w:val="22"/>
                <w:szCs w:val="22"/>
                <w:lang w:eastAsia="es-CR"/>
              </w:rPr>
              <w:t xml:space="preserve"> personas técnicas judiciales</w:t>
            </w:r>
            <w:r>
              <w:rPr>
                <w:rFonts w:ascii="Book Antiqua" w:hAnsi="Book Antiqua"/>
                <w:sz w:val="22"/>
                <w:szCs w:val="22"/>
                <w:lang w:eastAsia="es-CR"/>
              </w:rPr>
              <w:t>, tal y como se mantiene actualmente</w:t>
            </w:r>
            <w:r w:rsidRPr="00F43A2A">
              <w:rPr>
                <w:rFonts w:ascii="Book Antiqua" w:hAnsi="Book Antiqua"/>
                <w:sz w:val="22"/>
                <w:szCs w:val="22"/>
                <w:lang w:eastAsia="es-CR"/>
              </w:rPr>
              <w:t xml:space="preserve">.  </w:t>
            </w:r>
          </w:p>
        </w:tc>
      </w:tr>
      <w:tr w:rsidR="001341EC" w:rsidRPr="00126FA8" w14:paraId="159B6E6D" w14:textId="77777777" w:rsidTr="00165AA6">
        <w:trPr>
          <w:trHeight w:val="20"/>
        </w:trPr>
        <w:tc>
          <w:tcPr>
            <w:tcW w:w="512" w:type="dxa"/>
            <w:tcBorders>
              <w:top w:val="nil"/>
              <w:left w:val="double" w:sz="6" w:space="0" w:color="4472C4"/>
              <w:bottom w:val="nil"/>
              <w:right w:val="double" w:sz="6" w:space="0" w:color="4472C4"/>
            </w:tcBorders>
            <w:vAlign w:val="center"/>
          </w:tcPr>
          <w:p w14:paraId="2AB777EE"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23</w:t>
            </w:r>
          </w:p>
        </w:tc>
        <w:tc>
          <w:tcPr>
            <w:tcW w:w="4664" w:type="dxa"/>
            <w:tcBorders>
              <w:top w:val="nil"/>
              <w:left w:val="double" w:sz="6" w:space="0" w:color="4472C4"/>
              <w:bottom w:val="nil"/>
              <w:right w:val="double" w:sz="6" w:space="0" w:color="4472C4"/>
            </w:tcBorders>
            <w:shd w:val="clear" w:color="auto" w:fill="auto"/>
            <w:vAlign w:val="center"/>
            <w:hideMark/>
          </w:tcPr>
          <w:p w14:paraId="5B80B2DC"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En el informe se recomienda la generación de esas dos plazas (persona juzgadora y persona técnica) por un plazo de doce meses en condición de plazas extraordinarias, sin embargo, debe establecerse desde ya la necesidad que dichas plazas sean ordinarias y además se </w:t>
            </w:r>
            <w:proofErr w:type="spellStart"/>
            <w:r w:rsidRPr="001D1C4B">
              <w:rPr>
                <w:rFonts w:ascii="Book Antiqua" w:hAnsi="Book Antiqua"/>
                <w:sz w:val="22"/>
                <w:szCs w:val="22"/>
                <w:lang w:eastAsia="es-CR"/>
              </w:rPr>
              <w:t>ordinarié</w:t>
            </w:r>
            <w:proofErr w:type="spellEnd"/>
            <w:r w:rsidRPr="001D1C4B">
              <w:rPr>
                <w:rFonts w:ascii="Book Antiqua" w:hAnsi="Book Antiqua"/>
                <w:sz w:val="22"/>
                <w:szCs w:val="22"/>
                <w:lang w:eastAsia="es-CR"/>
              </w:rPr>
              <w:t xml:space="preserve"> la plaza extraordinaria de técnico judicial que actualmente tiene el Despacho aprobada para este año 2019. Quedando una conformación una estructura mínima así:</w:t>
            </w:r>
          </w:p>
          <w:p w14:paraId="735A941C"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Cuatro personas juzgadoras </w:t>
            </w:r>
          </w:p>
          <w:p w14:paraId="74F0EF7A"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Una persona coordinadora judicial II</w:t>
            </w:r>
          </w:p>
          <w:p w14:paraId="5A201E85"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Seis personas técnicas judiciales II</w:t>
            </w:r>
          </w:p>
          <w:p w14:paraId="1D3FB042"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Una persona técnico manifestador II</w:t>
            </w:r>
          </w:p>
          <w:p w14:paraId="2F598295"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Una persona auxiliar de servicios generales </w:t>
            </w:r>
          </w:p>
        </w:tc>
        <w:tc>
          <w:tcPr>
            <w:tcW w:w="3802" w:type="dxa"/>
            <w:tcBorders>
              <w:top w:val="nil"/>
              <w:left w:val="nil"/>
              <w:bottom w:val="double" w:sz="4" w:space="0" w:color="4472C4"/>
              <w:right w:val="double" w:sz="6" w:space="0" w:color="4472C4"/>
            </w:tcBorders>
            <w:shd w:val="clear" w:color="auto" w:fill="auto"/>
            <w:vAlign w:val="center"/>
            <w:hideMark/>
          </w:tcPr>
          <w:p w14:paraId="17F36739" w14:textId="77777777" w:rsidR="001341EC" w:rsidRPr="001D1C4B"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Se aclara</w:t>
            </w:r>
            <w:r>
              <w:rPr>
                <w:rFonts w:ascii="Book Antiqua" w:hAnsi="Book Antiqua"/>
                <w:sz w:val="22"/>
                <w:szCs w:val="22"/>
                <w:lang w:eastAsia="es-CR"/>
              </w:rPr>
              <w:t xml:space="preserve"> </w:t>
            </w:r>
            <w:r w:rsidRPr="00F43A2A">
              <w:rPr>
                <w:rFonts w:ascii="Book Antiqua" w:hAnsi="Book Antiqua"/>
                <w:sz w:val="22"/>
                <w:szCs w:val="22"/>
                <w:lang w:eastAsia="es-CR"/>
              </w:rPr>
              <w:t>que se asignará un recurso juzgador adicional para que colabore con la materia Agraria; no se contempla un recurs</w:t>
            </w:r>
            <w:r w:rsidRPr="001D1C4B">
              <w:rPr>
                <w:rFonts w:ascii="Book Antiqua" w:hAnsi="Book Antiqua"/>
                <w:sz w:val="22"/>
                <w:szCs w:val="22"/>
                <w:lang w:eastAsia="es-CR"/>
              </w:rPr>
              <w:t xml:space="preserve">o nuevo de persona técnica judicial (ver cuadro 16). De las observaciones anteriores emitidas por la Jueza, se realiza el ajuste en el informe para mejor entendimiento. </w:t>
            </w:r>
          </w:p>
          <w:p w14:paraId="6FCBA80E" w14:textId="77777777" w:rsidR="001341EC" w:rsidRPr="001D1C4B" w:rsidRDefault="001341EC" w:rsidP="00165AA6">
            <w:pPr>
              <w:jc w:val="both"/>
              <w:rPr>
                <w:rFonts w:ascii="Book Antiqua" w:hAnsi="Book Antiqua"/>
                <w:sz w:val="22"/>
                <w:szCs w:val="22"/>
                <w:lang w:eastAsia="es-CR"/>
              </w:rPr>
            </w:pPr>
          </w:p>
          <w:p w14:paraId="72FB23AF"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La valoración de la continuación de la plaza se persona juzgadora de forma extraordinaria u ordinaria será un tema que se evalúe en el ejercicio presupuestario. </w:t>
            </w:r>
          </w:p>
          <w:p w14:paraId="2794E17E" w14:textId="77777777" w:rsidR="001341EC" w:rsidRPr="00126FA8" w:rsidRDefault="001341EC" w:rsidP="00165AA6">
            <w:pPr>
              <w:jc w:val="both"/>
              <w:rPr>
                <w:rFonts w:ascii="Book Antiqua" w:hAnsi="Book Antiqua"/>
                <w:sz w:val="22"/>
                <w:szCs w:val="22"/>
                <w:lang w:eastAsia="es-CR"/>
              </w:rPr>
            </w:pPr>
          </w:p>
        </w:tc>
      </w:tr>
      <w:tr w:rsidR="001341EC" w:rsidRPr="00126FA8" w14:paraId="2D15A7D2"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06E8024D"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24</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0DACE804"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Otro aspecto importante de señalar, es que, en la actualidad, nos encontramos a la espera de las remodelaciones del inmueble que fueron recomendadas con ocasión de la reforma laboral para el edificio, las cuales aún a la fecha están pendientes; por lo cual resulta necesario contemplar si ya para la entrada en vigencia se pueda contar con los espacios físicos previstos, o bien se pueda </w:t>
            </w:r>
            <w:proofErr w:type="spellStart"/>
            <w:r w:rsidRPr="001D1C4B">
              <w:rPr>
                <w:rFonts w:ascii="Book Antiqua" w:hAnsi="Book Antiqua"/>
                <w:sz w:val="22"/>
                <w:szCs w:val="22"/>
                <w:lang w:eastAsia="es-CR"/>
              </w:rPr>
              <w:t>preveer</w:t>
            </w:r>
            <w:proofErr w:type="spellEnd"/>
            <w:r w:rsidRPr="001D1C4B">
              <w:rPr>
                <w:rFonts w:ascii="Book Antiqua" w:hAnsi="Book Antiqua"/>
                <w:sz w:val="22"/>
                <w:szCs w:val="22"/>
                <w:lang w:eastAsia="es-CR"/>
              </w:rPr>
              <w:t xml:space="preserve"> desde este momento, opciones temporales en caso contrario.</w:t>
            </w:r>
          </w:p>
        </w:tc>
        <w:tc>
          <w:tcPr>
            <w:tcW w:w="3802" w:type="dxa"/>
            <w:tcBorders>
              <w:top w:val="double" w:sz="4" w:space="0" w:color="4472C4"/>
              <w:left w:val="nil"/>
              <w:bottom w:val="double" w:sz="6" w:space="0" w:color="4472C4"/>
              <w:right w:val="double" w:sz="6" w:space="0" w:color="4472C4"/>
            </w:tcBorders>
            <w:shd w:val="clear" w:color="auto" w:fill="auto"/>
            <w:vAlign w:val="center"/>
            <w:hideMark/>
          </w:tcPr>
          <w:p w14:paraId="3D4DA317"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El seguimiento a las contrataciones de espacio físico es responsabilidad de la Dirección Ejecutiva, quién sería el ente encargado de brindar la información sobre el estado de la contratación.</w:t>
            </w:r>
          </w:p>
          <w:p w14:paraId="667687B0" w14:textId="77777777" w:rsidR="001341EC" w:rsidRPr="00126FA8" w:rsidRDefault="001341EC" w:rsidP="00165AA6">
            <w:pPr>
              <w:jc w:val="both"/>
              <w:rPr>
                <w:rFonts w:ascii="Book Antiqua" w:hAnsi="Book Antiqua"/>
                <w:sz w:val="22"/>
                <w:szCs w:val="22"/>
                <w:lang w:eastAsia="es-CR"/>
              </w:rPr>
            </w:pPr>
          </w:p>
          <w:p w14:paraId="6C405F13"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Ver lo indicado por la Dirección Ejecutiva en anexo 14.</w:t>
            </w:r>
          </w:p>
          <w:p w14:paraId="7C8C4A91" w14:textId="77777777" w:rsidR="001341EC" w:rsidRPr="00126FA8" w:rsidRDefault="001341EC" w:rsidP="00165AA6">
            <w:pPr>
              <w:jc w:val="both"/>
              <w:rPr>
                <w:rFonts w:ascii="Book Antiqua" w:hAnsi="Book Antiqua"/>
                <w:sz w:val="22"/>
                <w:szCs w:val="22"/>
                <w:lang w:eastAsia="es-CR"/>
              </w:rPr>
            </w:pPr>
          </w:p>
        </w:tc>
      </w:tr>
      <w:tr w:rsidR="001341EC" w:rsidRPr="00126FA8" w14:paraId="7E440155" w14:textId="77777777" w:rsidTr="00165AA6">
        <w:trPr>
          <w:trHeight w:val="20"/>
        </w:trPr>
        <w:tc>
          <w:tcPr>
            <w:tcW w:w="512" w:type="dxa"/>
            <w:tcBorders>
              <w:top w:val="nil"/>
              <w:left w:val="double" w:sz="6" w:space="0" w:color="4472C4"/>
              <w:bottom w:val="nil"/>
              <w:right w:val="double" w:sz="6" w:space="0" w:color="4472C4"/>
            </w:tcBorders>
            <w:vAlign w:val="center"/>
          </w:tcPr>
          <w:p w14:paraId="32D3E29B" w14:textId="77777777" w:rsidR="001341EC" w:rsidRPr="00F43A2A" w:rsidRDefault="001341EC" w:rsidP="00165AA6">
            <w:pPr>
              <w:jc w:val="center"/>
              <w:rPr>
                <w:rFonts w:ascii="Book Antiqua" w:hAnsi="Book Antiqua"/>
                <w:sz w:val="22"/>
                <w:szCs w:val="22"/>
                <w:lang w:eastAsia="es-CR"/>
              </w:rPr>
            </w:pPr>
          </w:p>
        </w:tc>
        <w:tc>
          <w:tcPr>
            <w:tcW w:w="4664" w:type="dxa"/>
            <w:tcBorders>
              <w:top w:val="nil"/>
              <w:left w:val="double" w:sz="6" w:space="0" w:color="4472C4"/>
              <w:bottom w:val="nil"/>
              <w:right w:val="double" w:sz="6" w:space="0" w:color="4472C4"/>
            </w:tcBorders>
            <w:shd w:val="clear" w:color="auto" w:fill="auto"/>
            <w:vAlign w:val="center"/>
            <w:hideMark/>
          </w:tcPr>
          <w:p w14:paraId="05A91A72"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xml:space="preserve">Finalmente, respecto a los datos estadísticos brindados en el informe, siendo que al día de </w:t>
            </w:r>
            <w:r w:rsidRPr="001D1C4B">
              <w:rPr>
                <w:rFonts w:ascii="Book Antiqua" w:hAnsi="Book Antiqua"/>
                <w:sz w:val="22"/>
                <w:szCs w:val="22"/>
                <w:lang w:eastAsia="es-CR"/>
              </w:rPr>
              <w:lastRenderedPageBreak/>
              <w:t xml:space="preserve">hoy me encuentro nombrada fuera del Juzgado Mixto de Upala, de acuerdo a la información que me brindaran las compañeras en Upala, los números aportados concuerdan plenamente con los datos indicados en el informe. </w:t>
            </w:r>
          </w:p>
        </w:tc>
        <w:tc>
          <w:tcPr>
            <w:tcW w:w="3802" w:type="dxa"/>
            <w:tcBorders>
              <w:top w:val="nil"/>
              <w:left w:val="nil"/>
              <w:bottom w:val="nil"/>
              <w:right w:val="double" w:sz="6" w:space="0" w:color="4472C4"/>
            </w:tcBorders>
            <w:shd w:val="clear" w:color="auto" w:fill="auto"/>
            <w:vAlign w:val="center"/>
            <w:hideMark/>
          </w:tcPr>
          <w:p w14:paraId="43683B7D"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xml:space="preserve"> Se toma nota de lo indicado por la Jueza respecto a la coincidencia de </w:t>
            </w:r>
            <w:r w:rsidRPr="00126FA8">
              <w:rPr>
                <w:rFonts w:ascii="Book Antiqua" w:hAnsi="Book Antiqua"/>
                <w:sz w:val="22"/>
                <w:szCs w:val="22"/>
                <w:lang w:eastAsia="es-CR"/>
              </w:rPr>
              <w:lastRenderedPageBreak/>
              <w:t>los datos.</w:t>
            </w:r>
          </w:p>
          <w:p w14:paraId="10BF0D78" w14:textId="77777777" w:rsidR="001341EC" w:rsidRPr="00126FA8" w:rsidRDefault="001341EC" w:rsidP="00165AA6">
            <w:pPr>
              <w:jc w:val="both"/>
              <w:rPr>
                <w:rFonts w:ascii="Book Antiqua" w:hAnsi="Book Antiqua"/>
                <w:sz w:val="22"/>
                <w:szCs w:val="22"/>
                <w:lang w:eastAsia="es-CR"/>
              </w:rPr>
            </w:pPr>
          </w:p>
          <w:p w14:paraId="0C746D05" w14:textId="77777777" w:rsidR="001341EC" w:rsidRPr="00126FA8" w:rsidRDefault="001341EC" w:rsidP="00165AA6">
            <w:pPr>
              <w:jc w:val="both"/>
              <w:rPr>
                <w:rFonts w:ascii="Book Antiqua" w:hAnsi="Book Antiqua"/>
                <w:sz w:val="22"/>
                <w:szCs w:val="22"/>
                <w:lang w:eastAsia="es-CR"/>
              </w:rPr>
            </w:pPr>
          </w:p>
          <w:p w14:paraId="698703AC" w14:textId="77777777" w:rsidR="001341EC" w:rsidRPr="00126FA8" w:rsidRDefault="001341EC" w:rsidP="00165AA6">
            <w:pPr>
              <w:jc w:val="both"/>
              <w:rPr>
                <w:rFonts w:ascii="Book Antiqua" w:hAnsi="Book Antiqua"/>
                <w:sz w:val="22"/>
                <w:szCs w:val="22"/>
                <w:lang w:eastAsia="es-CR"/>
              </w:rPr>
            </w:pPr>
          </w:p>
          <w:p w14:paraId="7BA4D9C9"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Se reitera lo indicado en el punto 17</w:t>
            </w:r>
          </w:p>
        </w:tc>
      </w:tr>
      <w:tr w:rsidR="001341EC" w:rsidRPr="00126FA8" w14:paraId="0583E41B" w14:textId="77777777" w:rsidTr="00165AA6">
        <w:trPr>
          <w:trHeight w:val="20"/>
        </w:trPr>
        <w:tc>
          <w:tcPr>
            <w:tcW w:w="512" w:type="dxa"/>
            <w:tcBorders>
              <w:top w:val="nil"/>
              <w:left w:val="double" w:sz="6" w:space="0" w:color="4472C4"/>
              <w:bottom w:val="double" w:sz="6" w:space="0" w:color="4472C4"/>
              <w:right w:val="double" w:sz="6" w:space="0" w:color="4472C4"/>
            </w:tcBorders>
            <w:vAlign w:val="center"/>
          </w:tcPr>
          <w:p w14:paraId="11F409E6"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lastRenderedPageBreak/>
              <w:t>25</w:t>
            </w:r>
          </w:p>
        </w:tc>
        <w:tc>
          <w:tcPr>
            <w:tcW w:w="4664" w:type="dxa"/>
            <w:tcBorders>
              <w:top w:val="nil"/>
              <w:left w:val="double" w:sz="6" w:space="0" w:color="4472C4"/>
              <w:bottom w:val="double" w:sz="6" w:space="0" w:color="4472C4"/>
              <w:right w:val="double" w:sz="6" w:space="0" w:color="4472C4"/>
            </w:tcBorders>
            <w:shd w:val="clear" w:color="auto" w:fill="auto"/>
            <w:vAlign w:val="center"/>
            <w:hideMark/>
          </w:tcPr>
          <w:p w14:paraId="5A2C854F" w14:textId="77777777" w:rsidR="001341EC" w:rsidRPr="00795EF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Ahora bien, importante señalar que en el informe se definen ideales y parámetros iguales para el Juzgado Mixto y los demás especializados, omitiendo se insiste, las características propias del Despacho e incluso, los rediseños que se han generado en los últimos años con ocasión a las reformas labora y civil, po</w:t>
            </w:r>
            <w:r w:rsidRPr="00795EFB">
              <w:rPr>
                <w:rFonts w:ascii="Book Antiqua" w:hAnsi="Book Antiqua"/>
                <w:sz w:val="22"/>
                <w:szCs w:val="22"/>
                <w:lang w:eastAsia="es-CR"/>
              </w:rPr>
              <w:t xml:space="preserve">r el Departamento de Planificación.  </w:t>
            </w:r>
          </w:p>
        </w:tc>
        <w:tc>
          <w:tcPr>
            <w:tcW w:w="3802" w:type="dxa"/>
            <w:tcBorders>
              <w:top w:val="nil"/>
              <w:left w:val="nil"/>
              <w:bottom w:val="double" w:sz="6" w:space="0" w:color="4472C4"/>
              <w:right w:val="double" w:sz="6" w:space="0" w:color="4472C4"/>
            </w:tcBorders>
            <w:shd w:val="clear" w:color="auto" w:fill="auto"/>
            <w:vAlign w:val="center"/>
            <w:hideMark/>
          </w:tcPr>
          <w:p w14:paraId="79030FD9" w14:textId="77777777" w:rsidR="001341EC" w:rsidRPr="00126FA8" w:rsidRDefault="001341EC" w:rsidP="00165AA6">
            <w:pPr>
              <w:rPr>
                <w:rFonts w:ascii="Book Antiqua" w:hAnsi="Book Antiqua"/>
                <w:sz w:val="22"/>
                <w:szCs w:val="22"/>
                <w:lang w:eastAsia="es-CR"/>
              </w:rPr>
            </w:pPr>
            <w:r w:rsidRPr="00126FA8">
              <w:rPr>
                <w:rFonts w:ascii="Book Antiqua" w:hAnsi="Book Antiqua"/>
                <w:sz w:val="22"/>
                <w:szCs w:val="22"/>
                <w:lang w:eastAsia="es-CR"/>
              </w:rPr>
              <w:t> </w:t>
            </w:r>
          </w:p>
        </w:tc>
      </w:tr>
      <w:tr w:rsidR="001341EC" w:rsidRPr="00126FA8" w14:paraId="79995FC0"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2FD2A56B"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26</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hideMark/>
          </w:tcPr>
          <w:p w14:paraId="3F20C9E5" w14:textId="77777777" w:rsidR="001341EC" w:rsidRPr="00126FA8"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Debe contemplarse que en este momento, el circulante para la materia agraria en Upala es de 465 (a febrero 2019) y que adicionalmente, para la materia penal juvenil es de 91 asuntos (a febrero 2019), que generan una carga significativa de procesos y procedimientos en esta otra materia. Así, de no generase especialización y separación del Juzgado, o bien, la especialización de la materia con una estructura mínima de dos personas juzgadores para agrario; sería una ú</w:t>
            </w:r>
            <w:r w:rsidRPr="00795EFB">
              <w:rPr>
                <w:rFonts w:ascii="Book Antiqua" w:hAnsi="Book Antiqua"/>
                <w:sz w:val="22"/>
                <w:szCs w:val="22"/>
                <w:lang w:eastAsia="es-CR"/>
              </w:rPr>
              <w:t>nica y misma persona juzgadora quien deberá atender estas dos materias con las limitaciones que ello conlleva. Adicionalmente, el Despacho a febrero 2019, alcanzó un circulante global de más de 2000 casos, donde la materia de Violencia Doméstica es la mate</w:t>
            </w:r>
            <w:r w:rsidRPr="00126FA8">
              <w:rPr>
                <w:rFonts w:ascii="Book Antiqua" w:hAnsi="Book Antiqua"/>
                <w:sz w:val="22"/>
                <w:szCs w:val="22"/>
                <w:lang w:eastAsia="es-CR"/>
              </w:rPr>
              <w:t xml:space="preserve">ria que mayor entrada, afluencia de usuarios, consultas, y tramitación en general genera (596 casos), así como por otro lado, la materia laboral, la cual producto de las reformas en esta materia, ha tenido un aumento en el ingreso de casos (348 casos); por lo que en lo que respecta al trabajo técnico, estos asuntos demandan mucha atención y tramitación. Además, se tiene que la materia de Familia representa </w:t>
            </w:r>
            <w:r w:rsidRPr="00126FA8">
              <w:rPr>
                <w:rFonts w:ascii="Book Antiqua" w:hAnsi="Book Antiqua"/>
                <w:sz w:val="22"/>
                <w:szCs w:val="22"/>
                <w:lang w:eastAsia="es-CR"/>
              </w:rPr>
              <w:lastRenderedPageBreak/>
              <w:t>aproximadamente el 13% del circulante global (280 casos) y la materia Civil aproximadamente el 12% (263 casos).</w:t>
            </w:r>
          </w:p>
        </w:tc>
        <w:tc>
          <w:tcPr>
            <w:tcW w:w="3802" w:type="dxa"/>
            <w:tcBorders>
              <w:top w:val="nil"/>
              <w:left w:val="nil"/>
              <w:bottom w:val="double" w:sz="4" w:space="0" w:color="4472C4"/>
              <w:right w:val="double" w:sz="6" w:space="0" w:color="4472C4"/>
            </w:tcBorders>
            <w:shd w:val="clear" w:color="auto" w:fill="auto"/>
            <w:vAlign w:val="center"/>
            <w:hideMark/>
          </w:tcPr>
          <w:p w14:paraId="67EE2FBB"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Se reitera lo indicado en observaciones anteriores sobre que el informe contempla el aumento de capacidad operativa para atender la carga de trabajo en materia Agraria del Juzgado Mixto de Upala.</w:t>
            </w:r>
          </w:p>
          <w:p w14:paraId="37A9F519" w14:textId="77777777" w:rsidR="001341EC" w:rsidRPr="00126FA8" w:rsidRDefault="001341EC" w:rsidP="00165AA6">
            <w:pPr>
              <w:jc w:val="both"/>
              <w:rPr>
                <w:rFonts w:ascii="Book Antiqua" w:hAnsi="Book Antiqua"/>
                <w:sz w:val="22"/>
                <w:szCs w:val="22"/>
                <w:lang w:eastAsia="es-CR"/>
              </w:rPr>
            </w:pPr>
          </w:p>
          <w:p w14:paraId="0E2C8399"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Se toma nota del comentario sobre la situación del circulante. </w:t>
            </w:r>
          </w:p>
          <w:p w14:paraId="5CC12AF2" w14:textId="77777777" w:rsidR="001341EC" w:rsidRPr="00126FA8" w:rsidRDefault="001341EC" w:rsidP="00165AA6">
            <w:pPr>
              <w:rPr>
                <w:rFonts w:ascii="Book Antiqua" w:hAnsi="Book Antiqua"/>
                <w:sz w:val="22"/>
                <w:szCs w:val="22"/>
                <w:lang w:eastAsia="es-CR"/>
              </w:rPr>
            </w:pPr>
          </w:p>
        </w:tc>
      </w:tr>
      <w:tr w:rsidR="001341EC" w:rsidRPr="00126FA8" w14:paraId="0113A21D" w14:textId="77777777" w:rsidTr="00165AA6">
        <w:trPr>
          <w:trHeight w:val="20"/>
        </w:trPr>
        <w:tc>
          <w:tcPr>
            <w:tcW w:w="512" w:type="dxa"/>
            <w:tcBorders>
              <w:top w:val="double" w:sz="6" w:space="0" w:color="4472C4"/>
              <w:left w:val="double" w:sz="6" w:space="0" w:color="4472C4"/>
              <w:bottom w:val="double" w:sz="4" w:space="0" w:color="4472C4"/>
              <w:right w:val="double" w:sz="6" w:space="0" w:color="4472C4"/>
            </w:tcBorders>
            <w:shd w:val="clear" w:color="auto" w:fill="DEEAF6"/>
            <w:vAlign w:val="center"/>
          </w:tcPr>
          <w:p w14:paraId="0BFB40CA" w14:textId="77777777" w:rsidR="001341EC" w:rsidRPr="00126FA8" w:rsidRDefault="001341EC" w:rsidP="00165AA6">
            <w:pPr>
              <w:jc w:val="center"/>
              <w:rPr>
                <w:rFonts w:ascii="Book Antiqua" w:hAnsi="Book Antiqua"/>
                <w:b/>
                <w:i/>
                <w:sz w:val="22"/>
                <w:szCs w:val="22"/>
                <w:lang w:eastAsia="es-CR"/>
              </w:rPr>
            </w:pPr>
          </w:p>
        </w:tc>
        <w:tc>
          <w:tcPr>
            <w:tcW w:w="8466" w:type="dxa"/>
            <w:gridSpan w:val="2"/>
            <w:tcBorders>
              <w:top w:val="double" w:sz="6" w:space="0" w:color="4472C4"/>
              <w:left w:val="double" w:sz="6" w:space="0" w:color="4472C4"/>
              <w:bottom w:val="double" w:sz="4" w:space="0" w:color="4472C4"/>
              <w:right w:val="double" w:sz="6" w:space="0" w:color="4472C4"/>
            </w:tcBorders>
            <w:shd w:val="clear" w:color="auto" w:fill="DEEAF6"/>
            <w:vAlign w:val="center"/>
          </w:tcPr>
          <w:p w14:paraId="40F1388F" w14:textId="77777777" w:rsidR="001341EC" w:rsidRPr="00126FA8" w:rsidRDefault="001341EC" w:rsidP="00165AA6">
            <w:pPr>
              <w:rPr>
                <w:rFonts w:ascii="Book Antiqua" w:hAnsi="Book Antiqua"/>
                <w:sz w:val="22"/>
                <w:szCs w:val="22"/>
                <w:lang w:eastAsia="es-CR"/>
              </w:rPr>
            </w:pPr>
            <w:r w:rsidRPr="00126FA8">
              <w:rPr>
                <w:rFonts w:ascii="Book Antiqua" w:hAnsi="Book Antiqua"/>
                <w:b/>
                <w:i/>
                <w:sz w:val="22"/>
                <w:szCs w:val="22"/>
                <w:lang w:eastAsia="es-CR"/>
              </w:rPr>
              <w:t>Lic. William Arburola Castillo, Juez Coordinador Juzgado Agrario de Pérez Zeledón</w:t>
            </w:r>
            <w:r w:rsidRPr="00126FA8">
              <w:rPr>
                <w:rFonts w:ascii="Book Antiqua" w:hAnsi="Book Antiqua"/>
                <w:sz w:val="22"/>
                <w:szCs w:val="22"/>
                <w:lang w:eastAsia="es-CR"/>
              </w:rPr>
              <w:t xml:space="preserve"> </w:t>
            </w:r>
          </w:p>
        </w:tc>
      </w:tr>
      <w:tr w:rsidR="001341EC" w:rsidRPr="00126FA8" w14:paraId="57A29E62" w14:textId="77777777" w:rsidTr="00165AA6">
        <w:trPr>
          <w:trHeight w:val="20"/>
        </w:trPr>
        <w:tc>
          <w:tcPr>
            <w:tcW w:w="512" w:type="dxa"/>
            <w:tcBorders>
              <w:top w:val="double" w:sz="6" w:space="0" w:color="4472C4"/>
              <w:left w:val="double" w:sz="6" w:space="0" w:color="4472C4"/>
              <w:bottom w:val="double" w:sz="4" w:space="0" w:color="4472C4"/>
              <w:right w:val="double" w:sz="6" w:space="0" w:color="4472C4"/>
            </w:tcBorders>
            <w:vAlign w:val="center"/>
          </w:tcPr>
          <w:p w14:paraId="693EF60B" w14:textId="77777777" w:rsidR="001341EC" w:rsidRPr="00F43A2A" w:rsidRDefault="001341EC" w:rsidP="00165AA6">
            <w:pPr>
              <w:pStyle w:val="NormalWeb"/>
              <w:ind w:left="142" w:right="120"/>
              <w:jc w:val="center"/>
              <w:rPr>
                <w:rFonts w:ascii="Book Antiqua" w:hAnsi="Book Antiqua" w:cs="Arial"/>
                <w:sz w:val="22"/>
                <w:szCs w:val="22"/>
                <w:lang w:val="es-MX"/>
              </w:rPr>
            </w:pPr>
            <w:r w:rsidRPr="00F43A2A">
              <w:rPr>
                <w:rFonts w:ascii="Book Antiqua" w:hAnsi="Book Antiqua" w:cs="Arial"/>
                <w:sz w:val="22"/>
                <w:szCs w:val="22"/>
                <w:lang w:val="es-MX"/>
              </w:rPr>
              <w:t>1</w:t>
            </w:r>
          </w:p>
        </w:tc>
        <w:tc>
          <w:tcPr>
            <w:tcW w:w="4664" w:type="dxa"/>
            <w:tcBorders>
              <w:top w:val="double" w:sz="6" w:space="0" w:color="4472C4"/>
              <w:left w:val="double" w:sz="6" w:space="0" w:color="4472C4"/>
              <w:bottom w:val="double" w:sz="4" w:space="0" w:color="4472C4"/>
              <w:right w:val="double" w:sz="6" w:space="0" w:color="4472C4"/>
            </w:tcBorders>
            <w:shd w:val="clear" w:color="auto" w:fill="auto"/>
            <w:vAlign w:val="center"/>
          </w:tcPr>
          <w:p w14:paraId="2F71F717" w14:textId="77777777" w:rsidR="001341EC" w:rsidRPr="00126FA8" w:rsidRDefault="001341EC" w:rsidP="00165AA6">
            <w:pPr>
              <w:pStyle w:val="NormalWeb"/>
              <w:ind w:left="142" w:right="120"/>
              <w:jc w:val="both"/>
              <w:rPr>
                <w:rFonts w:ascii="Book Antiqua" w:hAnsi="Book Antiqua" w:cs="Arial"/>
                <w:sz w:val="22"/>
                <w:szCs w:val="22"/>
              </w:rPr>
            </w:pPr>
            <w:r w:rsidRPr="001D1C4B">
              <w:rPr>
                <w:rFonts w:ascii="Book Antiqua" w:hAnsi="Book Antiqua" w:cs="Arial"/>
                <w:sz w:val="22"/>
                <w:szCs w:val="22"/>
              </w:rPr>
              <w:t>“…no considero que sea prudente dotar a los jueces agrarios de una competencia territorial nacional, por cuanto uno de los principios básicos en todas las materias es que los jueces conozcan un área geográfica determinada, debe entenderse que si bien es cierto el derecho es el mismo en todo el territorio nacional, las particularidades de cada territorio hacen necesario que los jueces conozcan bien o teng</w:t>
            </w:r>
            <w:r w:rsidRPr="00795EFB">
              <w:rPr>
                <w:rFonts w:ascii="Book Antiqua" w:hAnsi="Book Antiqua" w:cs="Arial"/>
                <w:sz w:val="22"/>
                <w:szCs w:val="22"/>
              </w:rPr>
              <w:t>an un grado medio de conocimiento de la cultura que predomina en el área en el cual dicta el derecho, por cuanto en esta materia los aspectos culturales, sociales y económicos ejercen un papel fundamental en la resolución de todos los asuntos, ya que una c</w:t>
            </w:r>
            <w:r w:rsidRPr="00126FA8">
              <w:rPr>
                <w:rFonts w:ascii="Book Antiqua" w:hAnsi="Book Antiqua" w:cs="Arial"/>
                <w:sz w:val="22"/>
                <w:szCs w:val="22"/>
              </w:rPr>
              <w:t>omprensión global del conflicto genera una mejor solución que aquellas que van encaminadas sólo a dictar el derecho…</w:t>
            </w:r>
            <w:r w:rsidRPr="00126FA8">
              <w:rPr>
                <w:rFonts w:ascii="Book Antiqua" w:hAnsi="Book Antiqua" w:cs="Arial"/>
                <w:sz w:val="22"/>
                <w:szCs w:val="22"/>
                <w:lang w:val="es-MX"/>
              </w:rPr>
              <w:t>”</w:t>
            </w:r>
            <w:r w:rsidRPr="00126FA8">
              <w:rPr>
                <w:rFonts w:ascii="Book Antiqua" w:hAnsi="Book Antiqua" w:cs="Arial"/>
                <w:sz w:val="22"/>
                <w:szCs w:val="22"/>
              </w:rPr>
              <w:t xml:space="preserve"> </w:t>
            </w:r>
          </w:p>
          <w:p w14:paraId="4220EC4C" w14:textId="77777777" w:rsidR="001341EC" w:rsidRPr="00126FA8" w:rsidRDefault="001341EC" w:rsidP="00165AA6">
            <w:pPr>
              <w:pStyle w:val="NormalWeb"/>
              <w:ind w:left="142" w:right="120"/>
              <w:jc w:val="both"/>
              <w:rPr>
                <w:rFonts w:ascii="Book Antiqua" w:hAnsi="Book Antiqua" w:cs="Arial"/>
                <w:sz w:val="22"/>
                <w:szCs w:val="22"/>
              </w:rPr>
            </w:pPr>
          </w:p>
        </w:tc>
        <w:tc>
          <w:tcPr>
            <w:tcW w:w="3802" w:type="dxa"/>
            <w:tcBorders>
              <w:top w:val="double" w:sz="4" w:space="0" w:color="4472C4"/>
              <w:left w:val="nil"/>
              <w:bottom w:val="double" w:sz="4" w:space="0" w:color="4472C4"/>
              <w:right w:val="double" w:sz="6" w:space="0" w:color="4472C4"/>
            </w:tcBorders>
            <w:shd w:val="clear" w:color="auto" w:fill="auto"/>
            <w:vAlign w:val="center"/>
          </w:tcPr>
          <w:p w14:paraId="0415E945"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Este punto se responde en la observación 8 realizada por el Juzgado Agrario de San Carlos. </w:t>
            </w:r>
          </w:p>
        </w:tc>
      </w:tr>
      <w:tr w:rsidR="001341EC" w:rsidRPr="00126FA8" w14:paraId="21F90158" w14:textId="77777777" w:rsidTr="00165AA6">
        <w:trPr>
          <w:trHeight w:val="20"/>
        </w:trPr>
        <w:tc>
          <w:tcPr>
            <w:tcW w:w="512" w:type="dxa"/>
            <w:tcBorders>
              <w:top w:val="double" w:sz="6" w:space="0" w:color="4472C4"/>
              <w:left w:val="double" w:sz="6" w:space="0" w:color="4472C4"/>
              <w:bottom w:val="double" w:sz="4" w:space="0" w:color="4472C4"/>
              <w:right w:val="double" w:sz="6" w:space="0" w:color="4472C4"/>
            </w:tcBorders>
            <w:vAlign w:val="center"/>
          </w:tcPr>
          <w:p w14:paraId="14A2F6C9" w14:textId="77777777" w:rsidR="001341EC" w:rsidRPr="00F43A2A" w:rsidRDefault="001341EC" w:rsidP="00165AA6">
            <w:pPr>
              <w:pStyle w:val="NormalWeb"/>
              <w:ind w:left="142" w:right="120"/>
              <w:jc w:val="center"/>
              <w:rPr>
                <w:rFonts w:ascii="Book Antiqua" w:hAnsi="Book Antiqua" w:cs="Arial"/>
                <w:sz w:val="22"/>
                <w:szCs w:val="22"/>
              </w:rPr>
            </w:pPr>
            <w:r w:rsidRPr="00F43A2A">
              <w:rPr>
                <w:rFonts w:ascii="Book Antiqua" w:hAnsi="Book Antiqua" w:cs="Arial"/>
                <w:sz w:val="22"/>
                <w:szCs w:val="22"/>
              </w:rPr>
              <w:t>2</w:t>
            </w:r>
          </w:p>
        </w:tc>
        <w:tc>
          <w:tcPr>
            <w:tcW w:w="4664" w:type="dxa"/>
            <w:tcBorders>
              <w:top w:val="double" w:sz="6" w:space="0" w:color="4472C4"/>
              <w:left w:val="double" w:sz="6" w:space="0" w:color="4472C4"/>
              <w:bottom w:val="double" w:sz="4" w:space="0" w:color="4472C4"/>
              <w:right w:val="double" w:sz="6" w:space="0" w:color="4472C4"/>
            </w:tcBorders>
            <w:shd w:val="clear" w:color="auto" w:fill="auto"/>
            <w:vAlign w:val="center"/>
          </w:tcPr>
          <w:p w14:paraId="4AE2470C" w14:textId="77777777" w:rsidR="001341EC" w:rsidRPr="00126FA8" w:rsidRDefault="001341EC" w:rsidP="00165AA6">
            <w:pPr>
              <w:pStyle w:val="NormalWeb"/>
              <w:ind w:left="142" w:right="120"/>
              <w:jc w:val="both"/>
              <w:rPr>
                <w:rFonts w:ascii="Book Antiqua" w:hAnsi="Book Antiqua" w:cs="Arial"/>
                <w:sz w:val="22"/>
                <w:szCs w:val="22"/>
              </w:rPr>
            </w:pPr>
            <w:r w:rsidRPr="001D1C4B">
              <w:rPr>
                <w:rFonts w:ascii="Book Antiqua" w:hAnsi="Book Antiqua" w:cs="Arial"/>
                <w:sz w:val="22"/>
                <w:szCs w:val="22"/>
              </w:rPr>
              <w:t>“…no comparto que el Juzgado Agrario de P</w:t>
            </w:r>
            <w:r w:rsidRPr="00795EFB">
              <w:rPr>
                <w:rFonts w:ascii="Book Antiqua" w:hAnsi="Book Antiqua" w:cs="Arial"/>
                <w:sz w:val="22"/>
                <w:szCs w:val="22"/>
              </w:rPr>
              <w:t>érez Zeledón delegue conocimiento de sus expedientes en el Juzgado Agrario de Corredores por cuanto considera el suscrito que si contamos con la capacidad para cumplir con los parámetros establecidos para el dictado de sentencias y finalización de procesos</w:t>
            </w:r>
            <w:r w:rsidRPr="00126FA8">
              <w:rPr>
                <w:rFonts w:ascii="Book Antiqua" w:hAnsi="Book Antiqua" w:cs="Arial"/>
                <w:sz w:val="22"/>
                <w:szCs w:val="22"/>
              </w:rPr>
              <w:t xml:space="preserve">, en el entendido que las estadísticas nos permiten tener un conocimiento factual de la realidad, más no siempre las mismas se cumplen por cuanto hay diversos factores que inciden en ellas, de esta manera en un mes podríamos tener que el fallo del juzgador sea escaso por la poca finalización de los asuntos, pero en otro mes exista un dictado de sentencias más abundante, y si bien es cierto se prevé </w:t>
            </w:r>
            <w:r w:rsidRPr="00126FA8">
              <w:rPr>
                <w:rFonts w:ascii="Book Antiqua" w:hAnsi="Book Antiqua" w:cs="Arial"/>
                <w:sz w:val="22"/>
                <w:szCs w:val="22"/>
              </w:rPr>
              <w:lastRenderedPageBreak/>
              <w:t>que con la entrada en vigencia del Código Procesal Agrario por mes haya una finalización de ocho procesos de conocimiento, el mismo no es un dato seguro por cuanto la realización de las audiencias de juicio no sólo depende del juzgado, sino de las partes involucradas en el proceso, así como aspectos naturales que influyen en esta materia.</w:t>
            </w:r>
          </w:p>
          <w:p w14:paraId="65CC82E1" w14:textId="77777777" w:rsidR="001341EC" w:rsidRPr="00126FA8" w:rsidRDefault="001341EC" w:rsidP="00165AA6">
            <w:pPr>
              <w:pStyle w:val="NormalWeb"/>
              <w:ind w:left="142" w:right="120"/>
              <w:jc w:val="both"/>
              <w:rPr>
                <w:rFonts w:ascii="Book Antiqua" w:hAnsi="Book Antiqua" w:cs="Arial"/>
                <w:sz w:val="22"/>
                <w:szCs w:val="22"/>
                <w:lang w:val="es-MX"/>
              </w:rPr>
            </w:pPr>
            <w:r w:rsidRPr="00126FA8">
              <w:rPr>
                <w:rFonts w:ascii="Book Antiqua" w:hAnsi="Book Antiqua" w:cs="Arial"/>
                <w:sz w:val="22"/>
                <w:szCs w:val="22"/>
              </w:rPr>
              <w:t>Así mismo dotar de competencia nacional o trasladar expedientes a otros juzgados para el dictado de su fallo incide directamente en la inmediación, identidad física del juzgador y concentración, los cuales son principios que recoge atinadamente la reforma procesal agraria…</w:t>
            </w:r>
            <w:r w:rsidRPr="00126FA8">
              <w:rPr>
                <w:rFonts w:ascii="Book Antiqua" w:hAnsi="Book Antiqua" w:cs="Arial"/>
                <w:sz w:val="22"/>
                <w:szCs w:val="22"/>
                <w:lang w:val="es-MX"/>
              </w:rPr>
              <w:t>”</w:t>
            </w:r>
          </w:p>
          <w:p w14:paraId="71C5E4AD" w14:textId="77777777" w:rsidR="001341EC" w:rsidRPr="00126FA8" w:rsidRDefault="001341EC" w:rsidP="00165AA6">
            <w:pPr>
              <w:jc w:val="both"/>
              <w:rPr>
                <w:rFonts w:ascii="Book Antiqua" w:hAnsi="Book Antiqua"/>
                <w:sz w:val="22"/>
                <w:szCs w:val="22"/>
                <w:lang w:eastAsia="es-CR"/>
              </w:rPr>
            </w:pPr>
          </w:p>
        </w:tc>
        <w:tc>
          <w:tcPr>
            <w:tcW w:w="3802" w:type="dxa"/>
            <w:tcBorders>
              <w:top w:val="double" w:sz="4" w:space="0" w:color="4472C4"/>
              <w:left w:val="nil"/>
              <w:bottom w:val="double" w:sz="4" w:space="0" w:color="4472C4"/>
              <w:right w:val="double" w:sz="6" w:space="0" w:color="4472C4"/>
            </w:tcBorders>
            <w:shd w:val="clear" w:color="auto" w:fill="auto"/>
            <w:vAlign w:val="center"/>
          </w:tcPr>
          <w:p w14:paraId="4FE2B31D"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 xml:space="preserve">El aumento de competencia se refiere a las personas juzgadoras en el conocimiento de procesos de otros Despachos pertenecientes a otros Circuitos Judiciales como se menciona en el informe, para la atención de los asuntos entrados, el dictado de sentencia y emisión de resoluciones que den por terminado por otros motivos. La colaboración solo la realizarán los Despachos que por su carga de trabajo cuenten con capacidad operativa para realizarla, lo anterior con una coordinación previa y maximizando los recursos tecnológicos existentes. </w:t>
            </w:r>
          </w:p>
          <w:p w14:paraId="46FE3986" w14:textId="77777777" w:rsidR="001341EC" w:rsidRPr="00126FA8" w:rsidRDefault="001341EC" w:rsidP="00165AA6">
            <w:pPr>
              <w:pStyle w:val="Prrafodelista"/>
              <w:numPr>
                <w:ilvl w:val="2"/>
                <w:numId w:val="0"/>
              </w:numPr>
              <w:jc w:val="both"/>
              <w:rPr>
                <w:rFonts w:ascii="Book Antiqua" w:hAnsi="Book Antiqua"/>
                <w:sz w:val="22"/>
                <w:szCs w:val="22"/>
                <w:lang w:eastAsia="es-CR"/>
              </w:rPr>
            </w:pPr>
          </w:p>
          <w:p w14:paraId="21F1A94A" w14:textId="77777777" w:rsidR="001341EC" w:rsidRPr="00126FA8" w:rsidRDefault="001341EC" w:rsidP="00165AA6">
            <w:pPr>
              <w:pStyle w:val="Prrafodelista"/>
              <w:numPr>
                <w:ilvl w:val="2"/>
                <w:numId w:val="0"/>
              </w:numPr>
              <w:jc w:val="both"/>
              <w:rPr>
                <w:rFonts w:ascii="Book Antiqua" w:hAnsi="Book Antiqua"/>
                <w:sz w:val="22"/>
                <w:szCs w:val="22"/>
                <w:lang w:eastAsia="es-CR"/>
              </w:rPr>
            </w:pPr>
            <w:r w:rsidRPr="00126FA8">
              <w:rPr>
                <w:rFonts w:ascii="Book Antiqua" w:hAnsi="Book Antiqua"/>
                <w:sz w:val="22"/>
                <w:szCs w:val="22"/>
                <w:lang w:eastAsia="es-CR"/>
              </w:rPr>
              <w:lastRenderedPageBreak/>
              <w:t>Según se indica en la recomendación sería mediante planes de trabajo.</w:t>
            </w:r>
          </w:p>
          <w:p w14:paraId="4EF84D08" w14:textId="77777777" w:rsidR="001341EC" w:rsidRPr="00126FA8" w:rsidRDefault="001341EC" w:rsidP="00165AA6">
            <w:pPr>
              <w:pStyle w:val="Prrafodelista"/>
              <w:numPr>
                <w:ilvl w:val="2"/>
                <w:numId w:val="0"/>
              </w:numPr>
              <w:ind w:left="1146" w:hanging="720"/>
              <w:jc w:val="both"/>
              <w:rPr>
                <w:rFonts w:ascii="Book Antiqua" w:hAnsi="Book Antiqua"/>
                <w:sz w:val="22"/>
                <w:szCs w:val="22"/>
                <w:lang w:eastAsia="es-CR"/>
              </w:rPr>
            </w:pPr>
          </w:p>
          <w:p w14:paraId="26AFFAE2" w14:textId="77777777" w:rsidR="001341EC" w:rsidRPr="00126FA8" w:rsidRDefault="001341EC" w:rsidP="00165AA6">
            <w:pPr>
              <w:pStyle w:val="Prrafodelista"/>
              <w:numPr>
                <w:ilvl w:val="2"/>
                <w:numId w:val="0"/>
              </w:numPr>
              <w:jc w:val="both"/>
              <w:rPr>
                <w:rFonts w:ascii="Book Antiqua" w:hAnsi="Book Antiqua"/>
                <w:i/>
                <w:sz w:val="22"/>
                <w:szCs w:val="22"/>
                <w:lang w:val="es-ES_tradnl"/>
              </w:rPr>
            </w:pPr>
            <w:r w:rsidRPr="00126FA8">
              <w:rPr>
                <w:rFonts w:ascii="Book Antiqua" w:hAnsi="Book Antiqua"/>
                <w:i/>
                <w:sz w:val="22"/>
                <w:szCs w:val="22"/>
                <w:lang w:eastAsia="es-CR"/>
              </w:rPr>
              <w:t xml:space="preserve">“… </w:t>
            </w:r>
            <w:r w:rsidRPr="00126FA8">
              <w:rPr>
                <w:rFonts w:ascii="Book Antiqua" w:hAnsi="Book Antiqua"/>
                <w:i/>
                <w:sz w:val="22"/>
                <w:szCs w:val="22"/>
                <w:lang w:val="es-ES_tradnl"/>
              </w:rPr>
              <w:t>de previo se deberá establecer el plan de trabajo y momento oportuno para iniciar el proyecto, es necesario realizar esto durante el año 2019 para prepararse a la entrada en vigencia del nuevo código procesal agrario.”</w:t>
            </w:r>
          </w:p>
          <w:p w14:paraId="483874D0" w14:textId="77777777" w:rsidR="001341EC" w:rsidRPr="00126FA8" w:rsidRDefault="001341EC" w:rsidP="00165AA6">
            <w:pPr>
              <w:jc w:val="both"/>
              <w:rPr>
                <w:rFonts w:ascii="Book Antiqua" w:hAnsi="Book Antiqua"/>
                <w:sz w:val="22"/>
                <w:szCs w:val="22"/>
                <w:lang w:eastAsia="es-CR"/>
              </w:rPr>
            </w:pPr>
          </w:p>
          <w:p w14:paraId="38E618B1" w14:textId="77777777" w:rsidR="001341EC" w:rsidRPr="00126FA8" w:rsidRDefault="001341EC" w:rsidP="00165AA6">
            <w:pPr>
              <w:jc w:val="both"/>
              <w:rPr>
                <w:rFonts w:ascii="Book Antiqua" w:hAnsi="Book Antiqua"/>
                <w:sz w:val="22"/>
                <w:szCs w:val="22"/>
                <w:lang w:eastAsia="es-CR"/>
              </w:rPr>
            </w:pPr>
          </w:p>
          <w:p w14:paraId="6E4E22ED"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La observación no modifica el contenido del informe.  </w:t>
            </w:r>
          </w:p>
          <w:p w14:paraId="469EDC21" w14:textId="77777777" w:rsidR="001341EC" w:rsidRPr="00126FA8" w:rsidRDefault="001341EC" w:rsidP="00165AA6">
            <w:pPr>
              <w:jc w:val="both"/>
              <w:rPr>
                <w:rFonts w:ascii="Book Antiqua" w:hAnsi="Book Antiqua"/>
                <w:sz w:val="22"/>
                <w:szCs w:val="22"/>
                <w:lang w:eastAsia="es-CR"/>
              </w:rPr>
            </w:pPr>
          </w:p>
          <w:p w14:paraId="576FA58B" w14:textId="77777777" w:rsidR="001341EC" w:rsidRPr="00126FA8" w:rsidRDefault="001341EC" w:rsidP="00165AA6">
            <w:pPr>
              <w:jc w:val="both"/>
              <w:rPr>
                <w:rFonts w:ascii="Book Antiqua" w:hAnsi="Book Antiqua"/>
                <w:sz w:val="22"/>
                <w:szCs w:val="22"/>
                <w:lang w:eastAsia="es-CR"/>
              </w:rPr>
            </w:pPr>
          </w:p>
          <w:p w14:paraId="712EB13E"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 </w:t>
            </w:r>
          </w:p>
          <w:p w14:paraId="27527902"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  </w:t>
            </w:r>
          </w:p>
        </w:tc>
      </w:tr>
      <w:tr w:rsidR="001341EC" w:rsidRPr="00126FA8" w14:paraId="1FC16677" w14:textId="77777777" w:rsidTr="00165AA6">
        <w:trPr>
          <w:trHeight w:val="20"/>
        </w:trPr>
        <w:tc>
          <w:tcPr>
            <w:tcW w:w="512" w:type="dxa"/>
            <w:tcBorders>
              <w:top w:val="double" w:sz="6" w:space="0" w:color="4472C4"/>
              <w:left w:val="double" w:sz="6" w:space="0" w:color="4472C4"/>
              <w:bottom w:val="double" w:sz="4" w:space="0" w:color="4472C4"/>
              <w:right w:val="double" w:sz="6" w:space="0" w:color="4472C4"/>
            </w:tcBorders>
            <w:shd w:val="clear" w:color="auto" w:fill="DEEAF6"/>
            <w:vAlign w:val="center"/>
          </w:tcPr>
          <w:p w14:paraId="68B5489C" w14:textId="77777777" w:rsidR="001341EC" w:rsidRPr="00126FA8" w:rsidRDefault="001341EC" w:rsidP="00165AA6">
            <w:pPr>
              <w:jc w:val="center"/>
              <w:rPr>
                <w:rFonts w:ascii="Book Antiqua" w:hAnsi="Book Antiqua"/>
                <w:b/>
                <w:i/>
                <w:sz w:val="22"/>
                <w:szCs w:val="22"/>
                <w:lang w:eastAsia="es-CR"/>
              </w:rPr>
            </w:pPr>
          </w:p>
        </w:tc>
        <w:tc>
          <w:tcPr>
            <w:tcW w:w="8466" w:type="dxa"/>
            <w:gridSpan w:val="2"/>
            <w:tcBorders>
              <w:top w:val="double" w:sz="6" w:space="0" w:color="4472C4"/>
              <w:left w:val="double" w:sz="6" w:space="0" w:color="4472C4"/>
              <w:bottom w:val="double" w:sz="4" w:space="0" w:color="4472C4"/>
              <w:right w:val="double" w:sz="6" w:space="0" w:color="4472C4"/>
            </w:tcBorders>
            <w:shd w:val="clear" w:color="auto" w:fill="DEEAF6"/>
            <w:vAlign w:val="center"/>
          </w:tcPr>
          <w:p w14:paraId="0DAF78FE" w14:textId="77777777" w:rsidR="001341EC" w:rsidRPr="00126FA8" w:rsidRDefault="001341EC" w:rsidP="00165AA6">
            <w:pPr>
              <w:rPr>
                <w:rFonts w:ascii="Book Antiqua" w:hAnsi="Book Antiqua"/>
                <w:b/>
                <w:i/>
                <w:sz w:val="22"/>
                <w:szCs w:val="22"/>
                <w:lang w:eastAsia="es-CR"/>
              </w:rPr>
            </w:pPr>
            <w:r w:rsidRPr="00126FA8">
              <w:rPr>
                <w:rFonts w:ascii="Book Antiqua" w:hAnsi="Book Antiqua"/>
                <w:b/>
                <w:i/>
                <w:sz w:val="22"/>
                <w:szCs w:val="22"/>
                <w:lang w:eastAsia="es-CR"/>
              </w:rPr>
              <w:t xml:space="preserve">Tribunal Agrario </w:t>
            </w:r>
          </w:p>
        </w:tc>
      </w:tr>
      <w:tr w:rsidR="001341EC" w:rsidRPr="00126FA8" w14:paraId="7BEE02C7" w14:textId="77777777" w:rsidTr="00165AA6">
        <w:trPr>
          <w:trHeight w:val="20"/>
        </w:trPr>
        <w:tc>
          <w:tcPr>
            <w:tcW w:w="512" w:type="dxa"/>
            <w:tcBorders>
              <w:top w:val="double" w:sz="6" w:space="0" w:color="4472C4"/>
              <w:left w:val="double" w:sz="6" w:space="0" w:color="4472C4"/>
              <w:bottom w:val="double" w:sz="4" w:space="0" w:color="4472C4"/>
              <w:right w:val="double" w:sz="6" w:space="0" w:color="4472C4"/>
            </w:tcBorders>
            <w:vAlign w:val="center"/>
          </w:tcPr>
          <w:p w14:paraId="5984B3ED" w14:textId="77777777" w:rsidR="001341EC" w:rsidRPr="00F43A2A" w:rsidRDefault="001341EC" w:rsidP="00165AA6">
            <w:pPr>
              <w:jc w:val="center"/>
              <w:rPr>
                <w:rFonts w:ascii="Book Antiqua" w:hAnsi="Book Antiqua"/>
                <w:sz w:val="22"/>
                <w:szCs w:val="22"/>
                <w:lang w:eastAsia="es-CR"/>
              </w:rPr>
            </w:pPr>
            <w:r w:rsidRPr="00F43A2A">
              <w:rPr>
                <w:rFonts w:ascii="Book Antiqua" w:hAnsi="Book Antiqua"/>
                <w:sz w:val="22"/>
                <w:szCs w:val="22"/>
                <w:lang w:eastAsia="es-CR"/>
              </w:rPr>
              <w:t>1</w:t>
            </w:r>
          </w:p>
        </w:tc>
        <w:tc>
          <w:tcPr>
            <w:tcW w:w="4664" w:type="dxa"/>
            <w:tcBorders>
              <w:top w:val="double" w:sz="6" w:space="0" w:color="4472C4"/>
              <w:left w:val="double" w:sz="6" w:space="0" w:color="4472C4"/>
              <w:bottom w:val="double" w:sz="4" w:space="0" w:color="4472C4"/>
              <w:right w:val="double" w:sz="6" w:space="0" w:color="4472C4"/>
            </w:tcBorders>
            <w:shd w:val="clear" w:color="auto" w:fill="auto"/>
            <w:vAlign w:val="center"/>
          </w:tcPr>
          <w:p w14:paraId="52F77CFD" w14:textId="77777777" w:rsidR="001341EC" w:rsidRPr="001D1C4B" w:rsidRDefault="001341EC" w:rsidP="00165AA6">
            <w:pPr>
              <w:jc w:val="both"/>
              <w:rPr>
                <w:rFonts w:ascii="Book Antiqua" w:hAnsi="Book Antiqua"/>
                <w:sz w:val="22"/>
                <w:szCs w:val="22"/>
                <w:lang w:eastAsia="es-CR"/>
              </w:rPr>
            </w:pPr>
            <w:r w:rsidRPr="001D1C4B">
              <w:rPr>
                <w:rFonts w:ascii="Book Antiqua" w:hAnsi="Book Antiqua"/>
                <w:sz w:val="22"/>
                <w:szCs w:val="22"/>
                <w:lang w:eastAsia="es-CR"/>
              </w:rPr>
              <w:t>“… de no haberse considerado el impacto que va a tener el Código Procesal Agrario, en segunda instancia, a partir de su entrada en vigor. Consideramos que es fundamental se profundice o corrija el estudio de planificación, así como el presupuesto, en lo relativo a:</w:t>
            </w:r>
          </w:p>
          <w:p w14:paraId="7B82D358" w14:textId="77777777" w:rsidR="001341EC" w:rsidRPr="00126FA8" w:rsidRDefault="001341EC" w:rsidP="00165AA6">
            <w:pPr>
              <w:numPr>
                <w:ilvl w:val="1"/>
                <w:numId w:val="31"/>
              </w:numPr>
              <w:jc w:val="both"/>
              <w:rPr>
                <w:rFonts w:ascii="Book Antiqua" w:hAnsi="Book Antiqua"/>
                <w:sz w:val="22"/>
                <w:szCs w:val="22"/>
                <w:lang w:eastAsia="es-CR"/>
              </w:rPr>
            </w:pPr>
            <w:r w:rsidRPr="00126FA8">
              <w:rPr>
                <w:rFonts w:ascii="Book Antiqua" w:hAnsi="Book Antiqua"/>
                <w:sz w:val="22"/>
                <w:szCs w:val="22"/>
                <w:lang w:eastAsia="es-CR"/>
              </w:rPr>
              <w:t>La creación de una Sección adicional en el Tribunal Agrario, con el correspondiente personal técnico auxiliar de apoyo, para destinar una de las secciones actuales, a fin de poder atender todas las causas tramitadas con la legislación anterior (Transitorio I y II)</w:t>
            </w:r>
          </w:p>
          <w:p w14:paraId="64F2C436" w14:textId="77777777" w:rsidR="001341EC" w:rsidRPr="00126FA8" w:rsidRDefault="001341EC" w:rsidP="00165AA6">
            <w:pPr>
              <w:numPr>
                <w:ilvl w:val="1"/>
                <w:numId w:val="31"/>
              </w:numPr>
              <w:jc w:val="both"/>
              <w:rPr>
                <w:rFonts w:ascii="Book Antiqua" w:hAnsi="Book Antiqua"/>
                <w:sz w:val="22"/>
                <w:szCs w:val="22"/>
                <w:lang w:eastAsia="es-CR"/>
              </w:rPr>
            </w:pPr>
            <w:r w:rsidRPr="00126FA8">
              <w:rPr>
                <w:rFonts w:ascii="Book Antiqua" w:hAnsi="Book Antiqua"/>
                <w:sz w:val="22"/>
                <w:szCs w:val="22"/>
                <w:lang w:eastAsia="es-CR"/>
              </w:rPr>
              <w:t xml:space="preserve">Establecer una proyección de impacto de la reforma, en cuanto a la cantidad de casos adicionales que ingresaran al Tribunal Agrario como producto de las nuevas competencias materiales </w:t>
            </w:r>
            <w:r w:rsidRPr="00126FA8">
              <w:rPr>
                <w:rFonts w:ascii="Book Antiqua" w:hAnsi="Book Antiqua"/>
                <w:sz w:val="22"/>
                <w:szCs w:val="22"/>
                <w:lang w:eastAsia="es-CR"/>
              </w:rPr>
              <w:lastRenderedPageBreak/>
              <w:t>(Articulo 2 y 11, en relación al Transitorio III).</w:t>
            </w:r>
          </w:p>
          <w:p w14:paraId="505E4586" w14:textId="77777777" w:rsidR="001341EC" w:rsidRPr="00126FA8" w:rsidRDefault="001341EC" w:rsidP="00165AA6">
            <w:pPr>
              <w:numPr>
                <w:ilvl w:val="1"/>
                <w:numId w:val="31"/>
              </w:numPr>
              <w:jc w:val="both"/>
              <w:rPr>
                <w:rFonts w:ascii="Book Antiqua" w:hAnsi="Book Antiqua"/>
                <w:sz w:val="22"/>
                <w:szCs w:val="22"/>
                <w:lang w:eastAsia="es-CR"/>
              </w:rPr>
            </w:pPr>
            <w:r w:rsidRPr="00126FA8">
              <w:rPr>
                <w:rFonts w:ascii="Book Antiqua" w:hAnsi="Book Antiqua"/>
                <w:sz w:val="22"/>
                <w:szCs w:val="22"/>
                <w:lang w:eastAsia="es-CR"/>
              </w:rPr>
              <w:t>De igual modo, dado que la reforma prevé la existencia de audiencias orales en segunda instancia, se debe realizar una proyección del impacto de la reforma, en la realización de dichas audiencias, el tiempo que se invertirá en las mismas, en relación al número de sentencias -cuotas- que se van a exigir a cada persona juzgadora (articulo 206 y Transitorio III), tomando en consideración la disminución en el trámite de competencias y el incremento de cuestiones de fondo.</w:t>
            </w:r>
          </w:p>
          <w:p w14:paraId="4B9E13D3" w14:textId="77777777" w:rsidR="001341EC" w:rsidRPr="00126FA8" w:rsidRDefault="001341EC" w:rsidP="00165AA6">
            <w:pPr>
              <w:numPr>
                <w:ilvl w:val="1"/>
                <w:numId w:val="31"/>
              </w:numPr>
              <w:jc w:val="both"/>
              <w:rPr>
                <w:rFonts w:ascii="Book Antiqua" w:hAnsi="Book Antiqua"/>
                <w:sz w:val="22"/>
                <w:szCs w:val="22"/>
                <w:lang w:eastAsia="es-CR"/>
              </w:rPr>
            </w:pPr>
            <w:r w:rsidRPr="00126FA8">
              <w:rPr>
                <w:rFonts w:ascii="Book Antiqua" w:hAnsi="Book Antiqua"/>
                <w:sz w:val="22"/>
                <w:szCs w:val="22"/>
                <w:lang w:eastAsia="es-CR"/>
              </w:rPr>
              <w:t>Se evidencia, lamentablemente, la carencia de un estudio de planificación y demás órganos, para garantizar el acercamiento de la Justicia agraria de segunda instancia a las zonas rurales. Es decir, no se destinan recursos, ni mucho menos estudios para valorar la necesidad de creación de otras sedes del Tribunal de apelación, para ofrecer un servicio público eficiente y de calidad (</w:t>
            </w:r>
            <w:proofErr w:type="spellStart"/>
            <w:r w:rsidRPr="00126FA8">
              <w:rPr>
                <w:rFonts w:ascii="Book Antiqua" w:hAnsi="Book Antiqua"/>
                <w:sz w:val="22"/>
                <w:szCs w:val="22"/>
                <w:lang w:eastAsia="es-CR"/>
              </w:rPr>
              <w:t>articulo</w:t>
            </w:r>
            <w:proofErr w:type="spellEnd"/>
            <w:r w:rsidRPr="00126FA8">
              <w:rPr>
                <w:rFonts w:ascii="Book Antiqua" w:hAnsi="Book Antiqua"/>
                <w:sz w:val="22"/>
                <w:szCs w:val="22"/>
                <w:lang w:eastAsia="es-CR"/>
              </w:rPr>
              <w:t xml:space="preserve"> 9, párrafo II, 15, párrafo tercero y Transitorio V).</w:t>
            </w:r>
          </w:p>
          <w:p w14:paraId="0A6B5FF2" w14:textId="77777777" w:rsidR="001341EC" w:rsidRPr="00126FA8" w:rsidRDefault="001341EC" w:rsidP="00165AA6">
            <w:pPr>
              <w:numPr>
                <w:ilvl w:val="1"/>
                <w:numId w:val="31"/>
              </w:numPr>
              <w:jc w:val="both"/>
              <w:rPr>
                <w:rFonts w:ascii="Book Antiqua" w:hAnsi="Book Antiqua"/>
                <w:sz w:val="22"/>
                <w:szCs w:val="22"/>
                <w:lang w:eastAsia="es-CR"/>
              </w:rPr>
            </w:pPr>
            <w:r w:rsidRPr="00126FA8">
              <w:rPr>
                <w:rFonts w:ascii="Book Antiqua" w:hAnsi="Book Antiqua"/>
                <w:sz w:val="22"/>
                <w:szCs w:val="22"/>
                <w:lang w:eastAsia="es-CR"/>
              </w:rPr>
              <w:t xml:space="preserve">La recalificación de las categorías salariales de la personas juzgadoras de segunda instancia, así como la previsión de contenido económico para el pago de las </w:t>
            </w:r>
            <w:r w:rsidRPr="00126FA8">
              <w:rPr>
                <w:rFonts w:ascii="Book Antiqua" w:hAnsi="Book Antiqua"/>
                <w:sz w:val="22"/>
                <w:szCs w:val="22"/>
                <w:lang w:eastAsia="es-CR"/>
              </w:rPr>
              <w:lastRenderedPageBreak/>
              <w:t>mismas, con el fin de garantizar la estabilidad y especialización, atendiendo a la función y cargas adicionales (Transitorio VI) …”</w:t>
            </w:r>
          </w:p>
        </w:tc>
        <w:tc>
          <w:tcPr>
            <w:tcW w:w="3802" w:type="dxa"/>
            <w:tcBorders>
              <w:top w:val="double" w:sz="4" w:space="0" w:color="4472C4"/>
              <w:left w:val="nil"/>
              <w:bottom w:val="double" w:sz="4" w:space="0" w:color="4472C4"/>
              <w:right w:val="double" w:sz="6" w:space="0" w:color="4472C4"/>
            </w:tcBorders>
            <w:shd w:val="clear" w:color="auto" w:fill="auto"/>
            <w:vAlign w:val="center"/>
          </w:tcPr>
          <w:p w14:paraId="544C75AB"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lastRenderedPageBreak/>
              <w:t>Se toma nota de las observaciones.</w:t>
            </w:r>
          </w:p>
          <w:p w14:paraId="144B0827" w14:textId="77777777" w:rsidR="001341EC" w:rsidRPr="00126FA8" w:rsidRDefault="001341EC" w:rsidP="00165AA6">
            <w:pPr>
              <w:jc w:val="both"/>
              <w:rPr>
                <w:rFonts w:ascii="Book Antiqua" w:hAnsi="Book Antiqua"/>
                <w:sz w:val="22"/>
                <w:szCs w:val="22"/>
                <w:lang w:eastAsia="es-CR"/>
              </w:rPr>
            </w:pPr>
          </w:p>
          <w:p w14:paraId="1D846A48"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Se incluye un apartado en el presente informe, donde se considera el impacto de que sufrirá el Tribunal una vez entrada en vigencia el Código Procesal Agrario.</w:t>
            </w:r>
          </w:p>
        </w:tc>
      </w:tr>
      <w:tr w:rsidR="001341EC" w:rsidRPr="00126FA8" w14:paraId="1B226554" w14:textId="77777777" w:rsidTr="00165AA6">
        <w:trPr>
          <w:trHeight w:val="20"/>
        </w:trPr>
        <w:tc>
          <w:tcPr>
            <w:tcW w:w="512" w:type="dxa"/>
            <w:tcBorders>
              <w:top w:val="double" w:sz="6" w:space="0" w:color="4472C4"/>
              <w:left w:val="double" w:sz="6" w:space="0" w:color="4472C4"/>
              <w:bottom w:val="double" w:sz="4" w:space="0" w:color="4472C4"/>
              <w:right w:val="double" w:sz="6" w:space="0" w:color="4472C4"/>
            </w:tcBorders>
            <w:shd w:val="clear" w:color="auto" w:fill="DEEAF6"/>
            <w:vAlign w:val="center"/>
          </w:tcPr>
          <w:p w14:paraId="74ED7617" w14:textId="77777777" w:rsidR="001341EC" w:rsidRPr="00126FA8" w:rsidRDefault="001341EC" w:rsidP="00165AA6">
            <w:pPr>
              <w:jc w:val="center"/>
              <w:rPr>
                <w:rFonts w:ascii="Book Antiqua" w:hAnsi="Book Antiqua"/>
                <w:b/>
                <w:i/>
                <w:sz w:val="22"/>
                <w:szCs w:val="22"/>
                <w:lang w:eastAsia="es-CR"/>
              </w:rPr>
            </w:pPr>
          </w:p>
        </w:tc>
        <w:tc>
          <w:tcPr>
            <w:tcW w:w="8466" w:type="dxa"/>
            <w:gridSpan w:val="2"/>
            <w:tcBorders>
              <w:top w:val="double" w:sz="6" w:space="0" w:color="4472C4"/>
              <w:left w:val="double" w:sz="6" w:space="0" w:color="4472C4"/>
              <w:bottom w:val="double" w:sz="4" w:space="0" w:color="4472C4"/>
              <w:right w:val="double" w:sz="6" w:space="0" w:color="4472C4"/>
            </w:tcBorders>
            <w:shd w:val="clear" w:color="auto" w:fill="DEEAF6"/>
            <w:vAlign w:val="center"/>
          </w:tcPr>
          <w:p w14:paraId="54D83C7A" w14:textId="77777777" w:rsidR="001341EC" w:rsidRPr="00126FA8" w:rsidRDefault="001341EC" w:rsidP="00165AA6">
            <w:pPr>
              <w:rPr>
                <w:rFonts w:ascii="Book Antiqua" w:hAnsi="Book Antiqua"/>
                <w:b/>
                <w:i/>
                <w:sz w:val="22"/>
                <w:szCs w:val="22"/>
                <w:lang w:eastAsia="es-CR"/>
              </w:rPr>
            </w:pPr>
            <w:proofErr w:type="spellStart"/>
            <w:r w:rsidRPr="00126FA8">
              <w:rPr>
                <w:rFonts w:ascii="Book Antiqua" w:hAnsi="Book Antiqua"/>
                <w:b/>
                <w:i/>
                <w:sz w:val="22"/>
                <w:szCs w:val="22"/>
                <w:lang w:eastAsia="es-CR"/>
              </w:rPr>
              <w:t>Mba</w:t>
            </w:r>
            <w:proofErr w:type="spellEnd"/>
            <w:r w:rsidRPr="00126FA8">
              <w:rPr>
                <w:rFonts w:ascii="Book Antiqua" w:hAnsi="Book Antiqua"/>
                <w:b/>
                <w:i/>
                <w:sz w:val="22"/>
                <w:szCs w:val="22"/>
                <w:lang w:eastAsia="es-CR"/>
              </w:rPr>
              <w:t xml:space="preserve">. Damaris Vargas Vásquez, </w:t>
            </w:r>
          </w:p>
          <w:p w14:paraId="0694F25C" w14:textId="77777777" w:rsidR="001341EC" w:rsidRPr="00126FA8" w:rsidRDefault="001341EC" w:rsidP="00165AA6">
            <w:pPr>
              <w:rPr>
                <w:rFonts w:ascii="Book Antiqua" w:hAnsi="Book Antiqua"/>
                <w:b/>
                <w:i/>
                <w:sz w:val="22"/>
                <w:szCs w:val="22"/>
                <w:lang w:eastAsia="es-CR"/>
              </w:rPr>
            </w:pPr>
            <w:r w:rsidRPr="00126FA8">
              <w:rPr>
                <w:rFonts w:ascii="Book Antiqua" w:hAnsi="Book Antiqua"/>
                <w:b/>
                <w:i/>
                <w:sz w:val="22"/>
                <w:szCs w:val="22"/>
                <w:lang w:eastAsia="es-CR"/>
              </w:rPr>
              <w:t>Coordinadora Proyecto Implementación del Código Procesal Agrario</w:t>
            </w:r>
          </w:p>
        </w:tc>
      </w:tr>
      <w:tr w:rsidR="001341EC" w:rsidRPr="00126FA8" w14:paraId="5332745E"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1195F9F2" w14:textId="77777777" w:rsidR="001341EC" w:rsidRPr="00F43A2A" w:rsidRDefault="001341EC" w:rsidP="00165AA6">
            <w:pPr>
              <w:jc w:val="center"/>
              <w:rPr>
                <w:rFonts w:ascii="Book Antiqua" w:hAnsi="Book Antiqua"/>
                <w:sz w:val="22"/>
                <w:szCs w:val="22"/>
              </w:rPr>
            </w:pPr>
            <w:r w:rsidRPr="00F43A2A">
              <w:rPr>
                <w:rFonts w:ascii="Book Antiqua" w:hAnsi="Book Antiqua"/>
                <w:sz w:val="22"/>
                <w:szCs w:val="22"/>
              </w:rPr>
              <w:t>1</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41A275C2" w14:textId="77777777" w:rsidR="001341EC" w:rsidRPr="00795EFB" w:rsidRDefault="001341EC" w:rsidP="00165AA6">
            <w:pPr>
              <w:jc w:val="both"/>
              <w:rPr>
                <w:rFonts w:ascii="Book Antiqua" w:hAnsi="Book Antiqua"/>
                <w:sz w:val="22"/>
                <w:szCs w:val="22"/>
                <w:lang w:eastAsia="en-US"/>
              </w:rPr>
            </w:pPr>
            <w:r w:rsidRPr="001D1C4B">
              <w:rPr>
                <w:rFonts w:ascii="Book Antiqua" w:hAnsi="Book Antiqua"/>
                <w:sz w:val="22"/>
                <w:szCs w:val="22"/>
              </w:rPr>
              <w:t xml:space="preserve">Les comento he estado preocupada por el impacto de la ampliación de la competencia en procesos sucesorios y cobratorios en la Jurisdicción Agraria con ocasión del Código Procesal Agraria a partir de febrero de 2020. </w:t>
            </w:r>
          </w:p>
          <w:p w14:paraId="108C59D6" w14:textId="77777777" w:rsidR="001341EC" w:rsidRPr="00126FA8" w:rsidRDefault="001341EC" w:rsidP="00165AA6">
            <w:pPr>
              <w:jc w:val="both"/>
              <w:rPr>
                <w:rFonts w:ascii="Book Antiqua" w:hAnsi="Book Antiqua"/>
                <w:sz w:val="22"/>
                <w:szCs w:val="22"/>
              </w:rPr>
            </w:pPr>
          </w:p>
          <w:p w14:paraId="735F2FB8" w14:textId="77777777" w:rsidR="001341EC" w:rsidRPr="00126FA8" w:rsidRDefault="001341EC" w:rsidP="00165AA6">
            <w:pPr>
              <w:jc w:val="both"/>
              <w:rPr>
                <w:rFonts w:ascii="Book Antiqua" w:hAnsi="Book Antiqua"/>
                <w:sz w:val="22"/>
                <w:szCs w:val="22"/>
              </w:rPr>
            </w:pPr>
            <w:r w:rsidRPr="00126FA8">
              <w:rPr>
                <w:rFonts w:ascii="Book Antiqua" w:hAnsi="Book Antiqua"/>
                <w:sz w:val="22"/>
                <w:szCs w:val="22"/>
              </w:rPr>
              <w:t xml:space="preserve">En el caso de los Sucesorios ahora nos corresponden sólo los asuntos vinculados con las sucesiones de inmueble adjudicados por INDER o que se deriven de fincas de éste, y con el CPA corresponderán las sucesorios de todos los bienes destinados o </w:t>
            </w:r>
            <w:proofErr w:type="spellStart"/>
            <w:r w:rsidRPr="00126FA8">
              <w:rPr>
                <w:rFonts w:ascii="Book Antiqua" w:hAnsi="Book Antiqua"/>
                <w:sz w:val="22"/>
                <w:szCs w:val="22"/>
              </w:rPr>
              <w:t>destinables</w:t>
            </w:r>
            <w:proofErr w:type="spellEnd"/>
            <w:r w:rsidRPr="00126FA8">
              <w:rPr>
                <w:rFonts w:ascii="Book Antiqua" w:hAnsi="Book Antiqua"/>
                <w:sz w:val="22"/>
                <w:szCs w:val="22"/>
              </w:rPr>
              <w:t xml:space="preserve"> a la actividad de producción agraria –que ahora se ven en civil- y que podrían ser mucho. </w:t>
            </w:r>
          </w:p>
          <w:p w14:paraId="25B6A2E7" w14:textId="77777777" w:rsidR="001341EC" w:rsidRPr="00126FA8" w:rsidRDefault="001341EC" w:rsidP="00165AA6">
            <w:pPr>
              <w:jc w:val="both"/>
              <w:rPr>
                <w:rFonts w:ascii="Book Antiqua" w:hAnsi="Book Antiqua"/>
                <w:sz w:val="22"/>
                <w:szCs w:val="22"/>
              </w:rPr>
            </w:pPr>
          </w:p>
          <w:p w14:paraId="6A943189" w14:textId="77777777" w:rsidR="001341EC" w:rsidRPr="00126FA8" w:rsidRDefault="001341EC" w:rsidP="00165AA6">
            <w:pPr>
              <w:jc w:val="both"/>
              <w:rPr>
                <w:rFonts w:ascii="Book Antiqua" w:hAnsi="Book Antiqua"/>
                <w:sz w:val="22"/>
                <w:szCs w:val="22"/>
              </w:rPr>
            </w:pPr>
            <w:r w:rsidRPr="00126FA8">
              <w:rPr>
                <w:rFonts w:ascii="Book Antiqua" w:hAnsi="Book Antiqua"/>
                <w:sz w:val="22"/>
                <w:szCs w:val="22"/>
              </w:rPr>
              <w:t xml:space="preserve">Mayor cantidad corresponde a los procesos de cobro pues ahora conocemos únicamente aquellos en los que el plan de inversión del crédito esté vinculado con una actividad de producción agraria; mientras que con el CPA será competencia de los despachos Agrarios todos los procesos de cobro relacionados con lo anterior y con los supuestos en los que, independientemente del plan de inversión, se haya dado como garantía un bien destinado o </w:t>
            </w:r>
            <w:proofErr w:type="spellStart"/>
            <w:r w:rsidRPr="00126FA8">
              <w:rPr>
                <w:rFonts w:ascii="Book Antiqua" w:hAnsi="Book Antiqua"/>
                <w:sz w:val="22"/>
                <w:szCs w:val="22"/>
              </w:rPr>
              <w:t>destinable</w:t>
            </w:r>
            <w:proofErr w:type="spellEnd"/>
            <w:r w:rsidRPr="00126FA8">
              <w:rPr>
                <w:rFonts w:ascii="Book Antiqua" w:hAnsi="Book Antiqua"/>
                <w:sz w:val="22"/>
                <w:szCs w:val="22"/>
              </w:rPr>
              <w:t xml:space="preserve"> a la actividad de producción agraria, que estimo son muchos. </w:t>
            </w:r>
          </w:p>
          <w:p w14:paraId="523D48C2" w14:textId="77777777" w:rsidR="001341EC" w:rsidRPr="00126FA8" w:rsidRDefault="001341EC" w:rsidP="00165AA6">
            <w:pPr>
              <w:jc w:val="both"/>
              <w:rPr>
                <w:rFonts w:ascii="Book Antiqua" w:hAnsi="Book Antiqua"/>
                <w:sz w:val="22"/>
                <w:szCs w:val="22"/>
              </w:rPr>
            </w:pPr>
          </w:p>
          <w:p w14:paraId="141D1B36" w14:textId="77777777" w:rsidR="001341EC" w:rsidRPr="00126FA8" w:rsidRDefault="001341EC" w:rsidP="00165AA6">
            <w:pPr>
              <w:jc w:val="both"/>
              <w:rPr>
                <w:rFonts w:ascii="Book Antiqua" w:hAnsi="Book Antiqua"/>
                <w:sz w:val="22"/>
                <w:szCs w:val="22"/>
              </w:rPr>
            </w:pPr>
            <w:r w:rsidRPr="00126FA8">
              <w:rPr>
                <w:rFonts w:ascii="Book Antiqua" w:hAnsi="Book Antiqua"/>
                <w:sz w:val="22"/>
                <w:szCs w:val="22"/>
              </w:rPr>
              <w:t xml:space="preserve">También se amplía la competencia en otros asuntos ambientales, contenciosos administrativos, de administración por intervención judicial, obtenciones vegetales, entre otros; sin embargo, estimo a corto plazo el impacto no va a ser tan significativo en </w:t>
            </w:r>
            <w:r w:rsidRPr="00126FA8">
              <w:rPr>
                <w:rFonts w:ascii="Book Antiqua" w:hAnsi="Book Antiqua"/>
                <w:sz w:val="22"/>
                <w:szCs w:val="22"/>
              </w:rPr>
              <w:lastRenderedPageBreak/>
              <w:t>relación con la cantidad de asuntos.</w:t>
            </w:r>
          </w:p>
          <w:p w14:paraId="3BA9AD33" w14:textId="77777777" w:rsidR="001341EC" w:rsidRPr="00126FA8" w:rsidRDefault="001341EC" w:rsidP="00165AA6">
            <w:pPr>
              <w:jc w:val="both"/>
              <w:rPr>
                <w:rFonts w:ascii="Book Antiqua" w:hAnsi="Book Antiqua"/>
                <w:sz w:val="22"/>
                <w:szCs w:val="22"/>
                <w:lang w:eastAsia="es-CR"/>
              </w:rPr>
            </w:pPr>
          </w:p>
        </w:tc>
        <w:tc>
          <w:tcPr>
            <w:tcW w:w="3802" w:type="dxa"/>
            <w:tcBorders>
              <w:top w:val="nil"/>
              <w:left w:val="nil"/>
              <w:bottom w:val="double" w:sz="6" w:space="0" w:color="4472C4"/>
              <w:right w:val="double" w:sz="6" w:space="0" w:color="4472C4"/>
            </w:tcBorders>
            <w:shd w:val="clear" w:color="auto" w:fill="auto"/>
            <w:vAlign w:val="center"/>
          </w:tcPr>
          <w:p w14:paraId="77665B69" w14:textId="77777777" w:rsidR="001341EC" w:rsidRPr="00126FA8" w:rsidRDefault="001341EC" w:rsidP="00165AA6">
            <w:pPr>
              <w:jc w:val="both"/>
              <w:rPr>
                <w:rFonts w:ascii="Book Antiqua" w:hAnsi="Book Antiqua"/>
                <w:sz w:val="22"/>
                <w:szCs w:val="22"/>
                <w:lang w:eastAsia="es-CR"/>
              </w:rPr>
            </w:pPr>
          </w:p>
          <w:p w14:paraId="2CCDBBD7" w14:textId="77777777" w:rsidR="001341EC" w:rsidRPr="00126FA8" w:rsidRDefault="001341EC" w:rsidP="00165AA6">
            <w:pPr>
              <w:jc w:val="both"/>
              <w:rPr>
                <w:rFonts w:ascii="Book Antiqua" w:hAnsi="Book Antiqua"/>
                <w:sz w:val="22"/>
                <w:szCs w:val="22"/>
                <w:lang w:eastAsia="es-CR"/>
              </w:rPr>
            </w:pPr>
          </w:p>
          <w:p w14:paraId="6BABE1C6" w14:textId="77777777" w:rsidR="001341EC" w:rsidRPr="00126FA8" w:rsidRDefault="001341EC" w:rsidP="00165AA6">
            <w:pPr>
              <w:jc w:val="both"/>
              <w:rPr>
                <w:rFonts w:ascii="Book Antiqua" w:hAnsi="Book Antiqua"/>
                <w:sz w:val="22"/>
                <w:szCs w:val="22"/>
                <w:lang w:eastAsia="es-CR"/>
              </w:rPr>
            </w:pPr>
          </w:p>
          <w:p w14:paraId="3C014B63" w14:textId="77777777" w:rsidR="001341EC" w:rsidRPr="00126FA8" w:rsidRDefault="001341EC" w:rsidP="00165AA6">
            <w:pPr>
              <w:jc w:val="both"/>
              <w:rPr>
                <w:rFonts w:ascii="Book Antiqua" w:hAnsi="Book Antiqua"/>
                <w:sz w:val="22"/>
                <w:szCs w:val="22"/>
                <w:lang w:eastAsia="es-CR"/>
              </w:rPr>
            </w:pPr>
          </w:p>
          <w:p w14:paraId="18B5E285"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Sobre esta observación, en este momento no es posible cuantificar la cantidad de casos que se hace mención, por su naturaleza actual.</w:t>
            </w:r>
          </w:p>
          <w:p w14:paraId="14BFBBB8" w14:textId="77777777" w:rsidR="001341EC" w:rsidRPr="00126FA8" w:rsidRDefault="001341EC" w:rsidP="00165AA6">
            <w:pPr>
              <w:jc w:val="both"/>
              <w:rPr>
                <w:rFonts w:ascii="Book Antiqua" w:hAnsi="Book Antiqua"/>
                <w:sz w:val="22"/>
                <w:szCs w:val="22"/>
                <w:lang w:eastAsia="es-CR"/>
              </w:rPr>
            </w:pPr>
          </w:p>
          <w:p w14:paraId="1A914C8D"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Estos datos son objeto de seguimiento o una vez entrada en vigencia el Código Procesal Agrario. </w:t>
            </w:r>
          </w:p>
        </w:tc>
      </w:tr>
      <w:tr w:rsidR="001341EC" w:rsidRPr="00126FA8" w14:paraId="15AA7510" w14:textId="77777777" w:rsidTr="00165AA6">
        <w:trPr>
          <w:trHeight w:val="20"/>
        </w:trPr>
        <w:tc>
          <w:tcPr>
            <w:tcW w:w="8978" w:type="dxa"/>
            <w:gridSpan w:val="3"/>
            <w:tcBorders>
              <w:top w:val="double" w:sz="6" w:space="0" w:color="4472C4"/>
              <w:left w:val="double" w:sz="6" w:space="0" w:color="4472C4"/>
              <w:bottom w:val="double" w:sz="6" w:space="0" w:color="4472C4"/>
              <w:right w:val="double" w:sz="6" w:space="0" w:color="4472C4"/>
            </w:tcBorders>
            <w:shd w:val="clear" w:color="auto" w:fill="DEEAF6"/>
            <w:vAlign w:val="center"/>
          </w:tcPr>
          <w:p w14:paraId="51A72E5D" w14:textId="77777777" w:rsidR="001341EC" w:rsidRPr="00126FA8" w:rsidRDefault="001341EC" w:rsidP="00165AA6">
            <w:pPr>
              <w:rPr>
                <w:rFonts w:ascii="Book Antiqua" w:hAnsi="Book Antiqua"/>
                <w:b/>
                <w:i/>
                <w:sz w:val="22"/>
                <w:szCs w:val="22"/>
                <w:lang w:eastAsia="es-CR"/>
              </w:rPr>
            </w:pPr>
            <w:r w:rsidRPr="00126FA8">
              <w:rPr>
                <w:rFonts w:ascii="Book Antiqua" w:hAnsi="Book Antiqua"/>
                <w:b/>
                <w:i/>
                <w:sz w:val="22"/>
                <w:szCs w:val="22"/>
                <w:lang w:eastAsia="es-CR"/>
              </w:rPr>
              <w:t xml:space="preserve">Lic. Mariano Rodríguez Flores, Jefe </w:t>
            </w:r>
            <w:proofErr w:type="spellStart"/>
            <w:r w:rsidRPr="00126FA8">
              <w:rPr>
                <w:rFonts w:ascii="Book Antiqua" w:hAnsi="Book Antiqua"/>
                <w:b/>
                <w:i/>
                <w:sz w:val="22"/>
                <w:szCs w:val="22"/>
                <w:lang w:eastAsia="es-CR"/>
              </w:rPr>
              <w:t>a.i</w:t>
            </w:r>
            <w:proofErr w:type="spellEnd"/>
            <w:r w:rsidRPr="00126FA8">
              <w:rPr>
                <w:rFonts w:ascii="Book Antiqua" w:hAnsi="Book Antiqua"/>
                <w:b/>
                <w:i/>
                <w:sz w:val="22"/>
                <w:szCs w:val="22"/>
                <w:lang w:eastAsia="es-CR"/>
              </w:rPr>
              <w:t xml:space="preserve"> del Área de Gestión y Apoyo</w:t>
            </w:r>
          </w:p>
        </w:tc>
      </w:tr>
      <w:tr w:rsidR="001341EC" w:rsidRPr="00126FA8" w14:paraId="25EED57D"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4759A108" w14:textId="77777777" w:rsidR="001341EC" w:rsidRPr="00F43A2A" w:rsidRDefault="001341EC" w:rsidP="00165AA6">
            <w:pPr>
              <w:jc w:val="center"/>
              <w:rPr>
                <w:rFonts w:ascii="Book Antiqua" w:hAnsi="Book Antiqua"/>
                <w:sz w:val="22"/>
                <w:szCs w:val="22"/>
              </w:rPr>
            </w:pPr>
          </w:p>
          <w:p w14:paraId="54838EEA" w14:textId="77777777" w:rsidR="001341EC" w:rsidRPr="001D1C4B" w:rsidRDefault="001341EC" w:rsidP="00165AA6">
            <w:pPr>
              <w:jc w:val="center"/>
              <w:rPr>
                <w:rFonts w:ascii="Book Antiqua" w:hAnsi="Book Antiqua"/>
                <w:sz w:val="22"/>
                <w:szCs w:val="22"/>
              </w:rPr>
            </w:pPr>
          </w:p>
          <w:p w14:paraId="560E8D22" w14:textId="77777777" w:rsidR="001341EC" w:rsidRPr="001D1C4B" w:rsidRDefault="001341EC" w:rsidP="00165AA6">
            <w:pPr>
              <w:jc w:val="center"/>
              <w:rPr>
                <w:rFonts w:ascii="Book Antiqua" w:hAnsi="Book Antiqua"/>
                <w:sz w:val="22"/>
                <w:szCs w:val="22"/>
              </w:rPr>
            </w:pPr>
          </w:p>
          <w:p w14:paraId="0749414C" w14:textId="77777777" w:rsidR="001341EC" w:rsidRPr="00126FA8" w:rsidRDefault="001341EC" w:rsidP="00165AA6">
            <w:pPr>
              <w:jc w:val="center"/>
              <w:rPr>
                <w:rFonts w:ascii="Book Antiqua" w:hAnsi="Book Antiqua"/>
                <w:sz w:val="22"/>
                <w:szCs w:val="22"/>
              </w:rPr>
            </w:pPr>
            <w:r w:rsidRPr="00126FA8">
              <w:rPr>
                <w:rFonts w:ascii="Book Antiqua" w:hAnsi="Book Antiqua"/>
                <w:sz w:val="22"/>
                <w:szCs w:val="22"/>
              </w:rPr>
              <w:t>1</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05AC253" w14:textId="77777777" w:rsidR="001341EC" w:rsidRPr="00126FA8" w:rsidRDefault="001341EC" w:rsidP="00165AA6">
            <w:pPr>
              <w:jc w:val="both"/>
              <w:rPr>
                <w:rFonts w:ascii="Book Antiqua" w:hAnsi="Book Antiqua"/>
                <w:sz w:val="22"/>
                <w:szCs w:val="22"/>
              </w:rPr>
            </w:pPr>
            <w:r w:rsidRPr="00126FA8">
              <w:rPr>
                <w:rFonts w:ascii="Book Antiqua" w:hAnsi="Book Antiqua"/>
                <w:sz w:val="22"/>
                <w:szCs w:val="22"/>
              </w:rPr>
              <w:t>Respecto a lo indicado en las páginas 71 y 74:</w:t>
            </w:r>
          </w:p>
          <w:p w14:paraId="54DDA917" w14:textId="77777777" w:rsidR="001341EC" w:rsidRPr="00126FA8" w:rsidRDefault="001341EC" w:rsidP="00165AA6">
            <w:pPr>
              <w:jc w:val="both"/>
              <w:rPr>
                <w:rFonts w:ascii="Book Antiqua" w:hAnsi="Book Antiqua"/>
                <w:i/>
                <w:sz w:val="22"/>
                <w:szCs w:val="22"/>
              </w:rPr>
            </w:pPr>
          </w:p>
          <w:p w14:paraId="56ACC75F" w14:textId="77777777" w:rsidR="001341EC" w:rsidRPr="00126FA8" w:rsidRDefault="001341EC" w:rsidP="00165AA6">
            <w:pPr>
              <w:jc w:val="both"/>
              <w:rPr>
                <w:rFonts w:ascii="Book Antiqua" w:hAnsi="Book Antiqua"/>
                <w:i/>
                <w:sz w:val="22"/>
                <w:szCs w:val="22"/>
              </w:rPr>
            </w:pPr>
            <w:r w:rsidRPr="00126FA8">
              <w:rPr>
                <w:rFonts w:ascii="Book Antiqua" w:hAnsi="Book Antiqua"/>
                <w:i/>
                <w:sz w:val="22"/>
                <w:szCs w:val="22"/>
              </w:rPr>
              <w:t>“Al respecto, se informa que el CACMFJ ha brindado apoyo y seguirá colaborando con los asuntos pendientes de fallo en los diferentes juzgados agrarios del país, de acuerdo con indicadores elevados de los juzgados y recomendaciones de la jueza Damaris Vargas Vásquez. Actualmente se brinda colaboración con el Juzgado Agrario del II Circuito Judicial de San José y próximamente al Juzgado Agrario de Puntarenas.</w:t>
            </w:r>
          </w:p>
          <w:p w14:paraId="3D69768E" w14:textId="77777777" w:rsidR="001341EC" w:rsidRPr="00126FA8" w:rsidRDefault="001341EC" w:rsidP="00165AA6">
            <w:pPr>
              <w:jc w:val="both"/>
              <w:rPr>
                <w:rFonts w:ascii="Book Antiqua" w:hAnsi="Book Antiqua"/>
                <w:i/>
                <w:sz w:val="22"/>
                <w:szCs w:val="22"/>
              </w:rPr>
            </w:pPr>
            <w:r w:rsidRPr="00126FA8">
              <w:rPr>
                <w:rFonts w:ascii="Book Antiqua" w:hAnsi="Book Antiqua"/>
                <w:i/>
                <w:sz w:val="22"/>
                <w:szCs w:val="22"/>
              </w:rPr>
              <w:t xml:space="preserve"> En cuanto a la ampliación de los planes de trabajo en la parte de trámite, el Consejo Superior en sesión N°17-2015 celebrada el 26 de febrero del 2015, artículo XX, establece que la ayuda que brinda el Centro a través de la modalidad a distancia es exclusivamente para expedientes judiciales que se encuentran listos para fallo.</w:t>
            </w:r>
          </w:p>
          <w:p w14:paraId="11F606C5" w14:textId="77777777" w:rsidR="001341EC" w:rsidRPr="00126FA8" w:rsidRDefault="001341EC" w:rsidP="00165AA6">
            <w:pPr>
              <w:jc w:val="both"/>
              <w:rPr>
                <w:rFonts w:ascii="Book Antiqua" w:hAnsi="Book Antiqua"/>
                <w:i/>
                <w:sz w:val="22"/>
                <w:szCs w:val="22"/>
              </w:rPr>
            </w:pPr>
            <w:r w:rsidRPr="00126FA8">
              <w:rPr>
                <w:rFonts w:ascii="Book Antiqua" w:hAnsi="Book Antiqua"/>
                <w:i/>
                <w:sz w:val="22"/>
                <w:szCs w:val="22"/>
              </w:rPr>
              <w:t xml:space="preserve">Se informa que actualmente el Centro cuenta con dos recursos de jueces destacados en materia agraria. La plaza Nº 363524 de Juez Supernumerario, actualmente ocupada en propiedad por la licenciada </w:t>
            </w:r>
            <w:proofErr w:type="spellStart"/>
            <w:r w:rsidRPr="00126FA8">
              <w:rPr>
                <w:rFonts w:ascii="Book Antiqua" w:hAnsi="Book Antiqua"/>
                <w:i/>
                <w:sz w:val="22"/>
                <w:szCs w:val="22"/>
              </w:rPr>
              <w:t>Sugeily</w:t>
            </w:r>
            <w:proofErr w:type="spellEnd"/>
            <w:r w:rsidRPr="00126FA8">
              <w:rPr>
                <w:rFonts w:ascii="Book Antiqua" w:hAnsi="Book Antiqua"/>
                <w:i/>
                <w:sz w:val="22"/>
                <w:szCs w:val="22"/>
              </w:rPr>
              <w:t xml:space="preserve"> Hernández Azofeifa, asignada en el puesto por acuerdo del Consejo Superior sesión Nº 61-18 celebrada el 10 de julio del 2018, artículo LII. Traslado que obedece a recomendaciones y criterio médico.  Así mismo, la plaza Nº 100884 de Juez 3 ocupada actualmente en propiedad por el licenciado Juan Carlos Castillo López, trasladado por acuerdo del Consejo Superior sesión Nº 24-16 celebrada el 10 de marzo del 2016, artículo LXIII.</w:t>
            </w:r>
          </w:p>
          <w:p w14:paraId="266E7D99" w14:textId="77777777" w:rsidR="001341EC" w:rsidRPr="00126FA8" w:rsidRDefault="001341EC" w:rsidP="00165AA6">
            <w:pPr>
              <w:ind w:right="-1"/>
              <w:jc w:val="both"/>
              <w:rPr>
                <w:rFonts w:ascii="Book Antiqua" w:hAnsi="Book Antiqua" w:cs="Calibri"/>
                <w:sz w:val="22"/>
                <w:szCs w:val="22"/>
                <w:lang w:eastAsia="es-CR"/>
              </w:rPr>
            </w:pPr>
            <w:r w:rsidRPr="00126FA8">
              <w:rPr>
                <w:rFonts w:ascii="Book Antiqua" w:hAnsi="Book Antiqua"/>
                <w:i/>
                <w:sz w:val="22"/>
                <w:szCs w:val="22"/>
              </w:rPr>
              <w:t xml:space="preserve">Ambas plazas laboran bajo la modalidad de teletrabajo, según acuerdo del Consejo Superior sesión Nº 65-18 celebrada el 19 de julio del 2018, artículo LXX, así como la sesión Nº 6-19 celebrada el 15 de enero del 2019, artículo LXXXIII, ambos recursos atienden fallo de diferentes juzgados </w:t>
            </w:r>
            <w:r w:rsidRPr="00126FA8">
              <w:rPr>
                <w:rFonts w:ascii="Book Antiqua" w:hAnsi="Book Antiqua"/>
                <w:i/>
                <w:sz w:val="22"/>
                <w:szCs w:val="22"/>
              </w:rPr>
              <w:lastRenderedPageBreak/>
              <w:t>agrarios del país de conformidad con lo dispuesto por el Consejo Superior.</w:t>
            </w:r>
          </w:p>
        </w:tc>
        <w:tc>
          <w:tcPr>
            <w:tcW w:w="3802" w:type="dxa"/>
            <w:tcBorders>
              <w:top w:val="double" w:sz="6" w:space="0" w:color="4472C4"/>
              <w:left w:val="nil"/>
              <w:bottom w:val="double" w:sz="6" w:space="0" w:color="4472C4"/>
              <w:right w:val="double" w:sz="6" w:space="0" w:color="4472C4"/>
            </w:tcBorders>
            <w:shd w:val="clear" w:color="auto" w:fill="auto"/>
            <w:vAlign w:val="center"/>
          </w:tcPr>
          <w:p w14:paraId="77D51BBD" w14:textId="77777777" w:rsidR="001341EC" w:rsidRPr="001D1C4B" w:rsidRDefault="001341EC" w:rsidP="00165AA6">
            <w:pPr>
              <w:jc w:val="both"/>
              <w:rPr>
                <w:rFonts w:ascii="Book Antiqua" w:hAnsi="Book Antiqua"/>
                <w:sz w:val="22"/>
                <w:szCs w:val="22"/>
                <w:lang w:eastAsia="es-CR"/>
              </w:rPr>
            </w:pPr>
            <w:r w:rsidRPr="00F43A2A">
              <w:rPr>
                <w:rFonts w:ascii="Book Antiqua" w:hAnsi="Book Antiqua"/>
                <w:sz w:val="22"/>
                <w:szCs w:val="22"/>
                <w:lang w:eastAsia="es-CR"/>
              </w:rPr>
              <w:lastRenderedPageBreak/>
              <w:t>Mu</w:t>
            </w:r>
            <w:r w:rsidRPr="001D1C4B">
              <w:rPr>
                <w:rFonts w:ascii="Book Antiqua" w:hAnsi="Book Antiqua"/>
                <w:sz w:val="22"/>
                <w:szCs w:val="22"/>
                <w:lang w:eastAsia="es-CR"/>
              </w:rPr>
              <w:t>chas gracias por el aporte, se toma nota.</w:t>
            </w:r>
          </w:p>
          <w:p w14:paraId="4596149A" w14:textId="77777777" w:rsidR="001341EC" w:rsidRPr="001D1C4B" w:rsidRDefault="001341EC" w:rsidP="00165AA6">
            <w:pPr>
              <w:jc w:val="both"/>
              <w:rPr>
                <w:rFonts w:ascii="Book Antiqua" w:hAnsi="Book Antiqua"/>
                <w:sz w:val="22"/>
                <w:szCs w:val="22"/>
                <w:lang w:eastAsia="es-CR"/>
              </w:rPr>
            </w:pPr>
          </w:p>
          <w:p w14:paraId="29A12400"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El aporte realizado por el CACMFJ no modifica el presente informe. </w:t>
            </w:r>
          </w:p>
        </w:tc>
      </w:tr>
      <w:tr w:rsidR="001341EC" w:rsidRPr="00126FA8" w14:paraId="41888109"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5680ECCF" w14:textId="77777777" w:rsidR="001341EC" w:rsidRPr="00F43A2A" w:rsidRDefault="001341EC" w:rsidP="00165AA6">
            <w:pPr>
              <w:jc w:val="center"/>
              <w:rPr>
                <w:rFonts w:ascii="Book Antiqua" w:hAnsi="Book Antiqua"/>
                <w:sz w:val="22"/>
                <w:szCs w:val="22"/>
              </w:rPr>
            </w:pPr>
            <w:r w:rsidRPr="00F43A2A">
              <w:rPr>
                <w:rFonts w:ascii="Book Antiqua" w:hAnsi="Book Antiqua"/>
                <w:sz w:val="22"/>
                <w:szCs w:val="22"/>
              </w:rPr>
              <w:t>2</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2B099738" w14:textId="77777777" w:rsidR="001341EC" w:rsidRPr="00F43A2A" w:rsidRDefault="001341EC" w:rsidP="00165AA6">
            <w:pPr>
              <w:jc w:val="both"/>
              <w:rPr>
                <w:rFonts w:ascii="Book Antiqua" w:hAnsi="Book Antiqua"/>
                <w:sz w:val="22"/>
                <w:szCs w:val="22"/>
              </w:rPr>
            </w:pPr>
            <w:r w:rsidRPr="001D1C4B">
              <w:rPr>
                <w:rFonts w:ascii="Book Antiqua" w:hAnsi="Book Antiqua"/>
                <w:sz w:val="22"/>
                <w:szCs w:val="22"/>
              </w:rPr>
              <w:t>Respecto a lo referente al</w:t>
            </w:r>
            <w:r w:rsidRPr="00126FA8">
              <w:rPr>
                <w:rFonts w:ascii="Book Antiqua" w:hAnsi="Book Antiqua"/>
                <w:sz w:val="22"/>
                <w:szCs w:val="22"/>
              </w:rPr>
              <w:t xml:space="preserve"> </w:t>
            </w:r>
            <w:r w:rsidRPr="00F43A2A">
              <w:rPr>
                <w:rFonts w:ascii="Book Antiqua" w:hAnsi="Book Antiqua"/>
                <w:sz w:val="22"/>
                <w:szCs w:val="22"/>
              </w:rPr>
              <w:t>Juzgado Agrario del II Circuito Judicial de Guanacaste (Santa Cruz), página 74:</w:t>
            </w:r>
          </w:p>
          <w:p w14:paraId="29FB06E7" w14:textId="77777777" w:rsidR="001341EC" w:rsidRPr="001D1C4B" w:rsidRDefault="001341EC" w:rsidP="00165AA6">
            <w:pPr>
              <w:jc w:val="both"/>
              <w:rPr>
                <w:rFonts w:ascii="Book Antiqua" w:hAnsi="Book Antiqua"/>
                <w:sz w:val="22"/>
                <w:szCs w:val="22"/>
              </w:rPr>
            </w:pPr>
          </w:p>
          <w:p w14:paraId="1E44914E" w14:textId="77777777" w:rsidR="001341EC" w:rsidRPr="00126FA8" w:rsidRDefault="001341EC" w:rsidP="00165AA6">
            <w:pPr>
              <w:jc w:val="both"/>
              <w:rPr>
                <w:rFonts w:ascii="Book Antiqua" w:hAnsi="Book Antiqua"/>
                <w:i/>
                <w:sz w:val="22"/>
                <w:szCs w:val="22"/>
              </w:rPr>
            </w:pPr>
            <w:r w:rsidRPr="001D1C4B">
              <w:rPr>
                <w:rFonts w:ascii="Book Antiqua" w:hAnsi="Book Antiqua"/>
                <w:i/>
                <w:sz w:val="22"/>
                <w:szCs w:val="22"/>
              </w:rPr>
              <w:t xml:space="preserve">“Con respecto a la plaza indicada </w:t>
            </w:r>
            <w:r w:rsidRPr="00795EFB">
              <w:rPr>
                <w:rFonts w:ascii="Book Antiqua" w:hAnsi="Book Antiqua"/>
                <w:i/>
                <w:sz w:val="22"/>
                <w:szCs w:val="22"/>
              </w:rPr>
              <w:t>que se destinará a colaborar con el Juzgado Agrario de Santa Cruz, la asignación no se ha realizado aún, debido a la carencia de una persona juzgadora elegible que quiera trasladarse a la zona, lo anterior fue informado en reunión sostenida el pasado 28 de</w:t>
            </w:r>
            <w:r w:rsidRPr="00126FA8">
              <w:rPr>
                <w:rFonts w:ascii="Book Antiqua" w:hAnsi="Book Antiqua"/>
                <w:i/>
                <w:sz w:val="22"/>
                <w:szCs w:val="22"/>
              </w:rPr>
              <w:t xml:space="preserve"> marzo del 2019, con la jueza Damaris Vargas Vásquez.</w:t>
            </w:r>
          </w:p>
          <w:p w14:paraId="47871874" w14:textId="77777777" w:rsidR="001341EC" w:rsidRPr="00126FA8" w:rsidRDefault="001341EC" w:rsidP="00165AA6">
            <w:pPr>
              <w:jc w:val="both"/>
              <w:rPr>
                <w:rFonts w:ascii="Book Antiqua" w:hAnsi="Book Antiqua"/>
                <w:sz w:val="22"/>
                <w:szCs w:val="22"/>
              </w:rPr>
            </w:pPr>
            <w:r w:rsidRPr="00126FA8">
              <w:rPr>
                <w:rFonts w:ascii="Book Antiqua" w:hAnsi="Book Antiqua"/>
                <w:i/>
                <w:sz w:val="22"/>
                <w:szCs w:val="22"/>
              </w:rPr>
              <w:t>En cuanto a las variables indicadas a las plazas de este Centro, se indica lo acordado por el Consejo Superior en sesión N°17-2015 celebrada el 26 de febrero del 2015, artículo XX, establece que la ayuda que brinda el Centro a</w:t>
            </w:r>
            <w:r w:rsidRPr="00126FA8">
              <w:rPr>
                <w:rFonts w:ascii="Book Antiqua" w:hAnsi="Book Antiqua"/>
                <w:sz w:val="22"/>
                <w:szCs w:val="22"/>
              </w:rPr>
              <w:t xml:space="preserve"> </w:t>
            </w:r>
            <w:r w:rsidRPr="00126FA8">
              <w:rPr>
                <w:rFonts w:ascii="Book Antiqua" w:hAnsi="Book Antiqua"/>
                <w:i/>
                <w:sz w:val="22"/>
                <w:szCs w:val="22"/>
              </w:rPr>
              <w:t>través de la modalidad a distancia es exclusivamente para expedientes judiciales que se encuentran listos para fallo”.</w:t>
            </w:r>
          </w:p>
        </w:tc>
        <w:tc>
          <w:tcPr>
            <w:tcW w:w="3802" w:type="dxa"/>
            <w:tcBorders>
              <w:top w:val="double" w:sz="6" w:space="0" w:color="4472C4"/>
              <w:left w:val="nil"/>
              <w:bottom w:val="double" w:sz="6" w:space="0" w:color="4472C4"/>
              <w:right w:val="double" w:sz="6" w:space="0" w:color="4472C4"/>
            </w:tcBorders>
            <w:shd w:val="clear" w:color="auto" w:fill="auto"/>
            <w:vAlign w:val="center"/>
          </w:tcPr>
          <w:p w14:paraId="24C2000C"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En el correo incluido en </w:t>
            </w:r>
            <w:r>
              <w:rPr>
                <w:rFonts w:ascii="Book Antiqua" w:hAnsi="Book Antiqua"/>
                <w:sz w:val="22"/>
                <w:szCs w:val="22"/>
                <w:lang w:eastAsia="es-CR"/>
              </w:rPr>
              <w:t>el</w:t>
            </w:r>
            <w:r w:rsidRPr="00F43A2A">
              <w:rPr>
                <w:rFonts w:ascii="Book Antiqua" w:hAnsi="Book Antiqua"/>
                <w:sz w:val="22"/>
                <w:szCs w:val="22"/>
                <w:lang w:eastAsia="es-CR"/>
              </w:rPr>
              <w:t xml:space="preserve"> anexo 9, </w:t>
            </w:r>
            <w:r w:rsidRPr="001D1C4B">
              <w:rPr>
                <w:rFonts w:ascii="Book Antiqua" w:hAnsi="Book Antiqua"/>
                <w:i/>
                <w:sz w:val="22"/>
                <w:szCs w:val="22"/>
              </w:rPr>
              <w:t xml:space="preserve">Consulta sobre plaza agraria para el plan de descongestionamiento, </w:t>
            </w:r>
            <w:r w:rsidRPr="001D1C4B">
              <w:rPr>
                <w:rFonts w:ascii="Book Antiqua" w:hAnsi="Book Antiqua"/>
                <w:sz w:val="22"/>
                <w:szCs w:val="22"/>
              </w:rPr>
              <w:t>se indic</w:t>
            </w:r>
            <w:r w:rsidRPr="00795EFB">
              <w:rPr>
                <w:rFonts w:ascii="Book Antiqua" w:hAnsi="Book Antiqua"/>
                <w:sz w:val="22"/>
                <w:szCs w:val="22"/>
              </w:rPr>
              <w:t xml:space="preserve">a por parte de doña Damaris Vargas, que el Despacho en cuestión, es uno de los Despachos que poseen mayor cantidad de expedientes en el circulante, más no así de expedientes pendientes del dictado de sentencia, por lo que se hace la propuesta por parte de </w:t>
            </w:r>
            <w:r w:rsidRPr="00126FA8">
              <w:rPr>
                <w:rFonts w:ascii="Book Antiqua" w:hAnsi="Book Antiqua"/>
                <w:sz w:val="22"/>
                <w:szCs w:val="22"/>
              </w:rPr>
              <w:t xml:space="preserve">la </w:t>
            </w:r>
            <w:proofErr w:type="spellStart"/>
            <w:r w:rsidRPr="00126FA8">
              <w:rPr>
                <w:rFonts w:ascii="Book Antiqua" w:hAnsi="Book Antiqua"/>
                <w:sz w:val="22"/>
                <w:szCs w:val="22"/>
              </w:rPr>
              <w:t>Mba</w:t>
            </w:r>
            <w:proofErr w:type="spellEnd"/>
            <w:r w:rsidRPr="00126FA8">
              <w:rPr>
                <w:rFonts w:ascii="Book Antiqua" w:hAnsi="Book Antiqua"/>
                <w:sz w:val="22"/>
                <w:szCs w:val="22"/>
              </w:rPr>
              <w:t xml:space="preserve">. Liliana Saborío, de que esa plaza primeramente se dedique a revisar de manera minuciosa todo el circulante en trámite de este despacho, para no desaprovechar ese recurso en un despacho que está urgido de apoyo ante el alto circulante que maneja, comparado con los demás Juzgados del país. </w:t>
            </w:r>
            <w:r w:rsidRPr="00126FA8">
              <w:rPr>
                <w:rFonts w:ascii="Book Antiqua" w:hAnsi="Book Antiqua"/>
                <w:sz w:val="22"/>
                <w:szCs w:val="22"/>
                <w:lang w:eastAsia="es-CR"/>
              </w:rPr>
              <w:t xml:space="preserve"> </w:t>
            </w:r>
          </w:p>
        </w:tc>
      </w:tr>
      <w:tr w:rsidR="001341EC" w:rsidRPr="00126FA8" w14:paraId="0E80EA8F"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2CCB0459" w14:textId="77777777" w:rsidR="001341EC" w:rsidRPr="00F43A2A" w:rsidRDefault="001341EC" w:rsidP="00165AA6">
            <w:pPr>
              <w:jc w:val="center"/>
              <w:rPr>
                <w:rFonts w:ascii="Book Antiqua" w:hAnsi="Book Antiqua"/>
                <w:sz w:val="22"/>
                <w:szCs w:val="22"/>
              </w:rPr>
            </w:pPr>
            <w:r w:rsidRPr="00F43A2A">
              <w:rPr>
                <w:rFonts w:ascii="Book Antiqua" w:hAnsi="Book Antiqua"/>
                <w:sz w:val="22"/>
                <w:szCs w:val="22"/>
              </w:rPr>
              <w:t>3</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03728827" w14:textId="77777777" w:rsidR="001341EC" w:rsidRPr="001D1C4B" w:rsidRDefault="001341EC" w:rsidP="00165AA6">
            <w:pPr>
              <w:jc w:val="both"/>
              <w:rPr>
                <w:rFonts w:ascii="Book Antiqua" w:hAnsi="Book Antiqua"/>
                <w:sz w:val="22"/>
                <w:szCs w:val="22"/>
              </w:rPr>
            </w:pPr>
            <w:r w:rsidRPr="001D1C4B">
              <w:rPr>
                <w:rFonts w:ascii="Book Antiqua" w:hAnsi="Book Antiqua"/>
                <w:sz w:val="22"/>
                <w:szCs w:val="22"/>
              </w:rPr>
              <w:t>Respecto al elemento resolutivo 11 de la página 76 y el elemento resolutivo 40 de la página 81 se manifiesta:</w:t>
            </w:r>
          </w:p>
          <w:p w14:paraId="5BDDEE06" w14:textId="77777777" w:rsidR="001341EC" w:rsidRPr="001D1C4B" w:rsidRDefault="001341EC" w:rsidP="00165AA6">
            <w:pPr>
              <w:jc w:val="both"/>
              <w:rPr>
                <w:rFonts w:ascii="Book Antiqua" w:hAnsi="Book Antiqua"/>
                <w:i/>
                <w:sz w:val="22"/>
                <w:szCs w:val="22"/>
              </w:rPr>
            </w:pPr>
          </w:p>
          <w:p w14:paraId="6C013C4F" w14:textId="77777777" w:rsidR="001341EC" w:rsidRPr="00126FA8" w:rsidRDefault="001341EC" w:rsidP="00165AA6">
            <w:pPr>
              <w:jc w:val="both"/>
              <w:rPr>
                <w:rFonts w:ascii="Book Antiqua" w:hAnsi="Book Antiqua"/>
                <w:i/>
                <w:sz w:val="22"/>
                <w:szCs w:val="22"/>
              </w:rPr>
            </w:pPr>
            <w:r w:rsidRPr="00126FA8">
              <w:rPr>
                <w:rFonts w:ascii="Book Antiqua" w:hAnsi="Book Antiqua"/>
                <w:i/>
                <w:sz w:val="22"/>
                <w:szCs w:val="22"/>
              </w:rPr>
              <w:t>Debe indicarse que los recursos de este Centro atienden únicamente asuntos pendientes de fallo conforme con lo dispuesto por el Consejo Superior en sesión N°17-2015 celebrada el 26 de febrero del 2015, artículo XX.</w:t>
            </w:r>
          </w:p>
        </w:tc>
        <w:tc>
          <w:tcPr>
            <w:tcW w:w="3802" w:type="dxa"/>
            <w:tcBorders>
              <w:top w:val="double" w:sz="6" w:space="0" w:color="4472C4"/>
              <w:left w:val="nil"/>
              <w:bottom w:val="double" w:sz="6" w:space="0" w:color="4472C4"/>
              <w:right w:val="double" w:sz="6" w:space="0" w:color="4472C4"/>
            </w:tcBorders>
            <w:shd w:val="clear" w:color="auto" w:fill="auto"/>
            <w:vAlign w:val="center"/>
          </w:tcPr>
          <w:p w14:paraId="0673A4A1" w14:textId="77777777" w:rsidR="001341EC" w:rsidRPr="00126FA8" w:rsidRDefault="001341EC" w:rsidP="00165AA6">
            <w:pPr>
              <w:jc w:val="both"/>
              <w:rPr>
                <w:rFonts w:ascii="Book Antiqua" w:hAnsi="Book Antiqua"/>
                <w:i/>
                <w:sz w:val="22"/>
                <w:szCs w:val="22"/>
              </w:rPr>
            </w:pPr>
            <w:r w:rsidRPr="00126FA8">
              <w:rPr>
                <w:rFonts w:ascii="Book Antiqua" w:hAnsi="Book Antiqua"/>
                <w:sz w:val="22"/>
                <w:szCs w:val="22"/>
              </w:rPr>
              <w:t xml:space="preserve">En el informe 820-PLA-2018, se incluye </w:t>
            </w:r>
            <w:r w:rsidRPr="00126FA8">
              <w:rPr>
                <w:rFonts w:ascii="Book Antiqua" w:hAnsi="Book Antiqua"/>
                <w:b/>
                <w:i/>
                <w:sz w:val="22"/>
                <w:szCs w:val="22"/>
              </w:rPr>
              <w:t>Informe Costos de Implementación de acuerdo a la Comisión del Proyecto de Modernización de la Jurisdicción Agraria,</w:t>
            </w:r>
            <w:r w:rsidRPr="00126FA8">
              <w:rPr>
                <w:rFonts w:ascii="Book Antiqua" w:hAnsi="Book Antiqua"/>
                <w:sz w:val="22"/>
                <w:szCs w:val="22"/>
              </w:rPr>
              <w:t xml:space="preserve"> donde literalmente se indica referente a la Conciliación y Ejecución lo siguiente: </w:t>
            </w:r>
            <w:r w:rsidRPr="00126FA8">
              <w:rPr>
                <w:rFonts w:ascii="Book Antiqua" w:hAnsi="Book Antiqua"/>
                <w:i/>
                <w:sz w:val="22"/>
                <w:szCs w:val="22"/>
              </w:rPr>
              <w:t xml:space="preserve">“…Estas funciones se mantienen en los puestos ya existentes de jueces y juezas agrarias por lo que no es necesaria la creación de más plazas. La atención especializada que se menciona en el proyecto, de estimarse necesario por el Consejo Superior previo informe de la Dirección de Planificación, recaerá en las dos plazas de personas juzgadoras supernumerarias agrarias que pertenecen al Centro de Apoyo, Coordinación y Mejoramiento de la </w:t>
            </w:r>
            <w:r w:rsidRPr="00126FA8">
              <w:rPr>
                <w:rFonts w:ascii="Book Antiqua" w:hAnsi="Book Antiqua"/>
                <w:i/>
                <w:sz w:val="22"/>
                <w:szCs w:val="22"/>
              </w:rPr>
              <w:lastRenderedPageBreak/>
              <w:t>Función Jurisdiccional, quienes son personas juzgadoras especialistas en materia agraria…”</w:t>
            </w:r>
          </w:p>
          <w:p w14:paraId="1D7F66C5" w14:textId="77777777" w:rsidR="001341EC" w:rsidRPr="00126FA8" w:rsidRDefault="001341EC" w:rsidP="00165AA6">
            <w:pPr>
              <w:jc w:val="both"/>
              <w:rPr>
                <w:rFonts w:ascii="Book Antiqua" w:hAnsi="Book Antiqua"/>
                <w:i/>
                <w:sz w:val="22"/>
                <w:szCs w:val="22"/>
              </w:rPr>
            </w:pPr>
          </w:p>
          <w:p w14:paraId="3B964279" w14:textId="77777777" w:rsidR="001341EC" w:rsidRPr="00126FA8" w:rsidRDefault="001341EC" w:rsidP="00165AA6">
            <w:pPr>
              <w:jc w:val="both"/>
              <w:rPr>
                <w:rFonts w:ascii="Book Antiqua" w:hAnsi="Book Antiqua"/>
                <w:sz w:val="22"/>
                <w:szCs w:val="22"/>
                <w:lang w:eastAsia="es-CR"/>
              </w:rPr>
            </w:pPr>
            <w:r w:rsidRPr="00F43A2A">
              <w:rPr>
                <w:rFonts w:ascii="Book Antiqua" w:hAnsi="Book Antiqua"/>
                <w:sz w:val="22"/>
                <w:szCs w:val="22"/>
                <w:lang w:eastAsia="es-CR"/>
              </w:rPr>
              <w:t>La observación no modifica el contenido del informe.</w:t>
            </w:r>
          </w:p>
        </w:tc>
      </w:tr>
      <w:tr w:rsidR="001341EC" w:rsidRPr="00126FA8" w14:paraId="41652E6F"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02B3382F" w14:textId="77777777" w:rsidR="001341EC" w:rsidRPr="00F43A2A" w:rsidRDefault="001341EC" w:rsidP="00165AA6">
            <w:pPr>
              <w:jc w:val="center"/>
              <w:rPr>
                <w:rFonts w:ascii="Book Antiqua" w:hAnsi="Book Antiqua"/>
                <w:sz w:val="22"/>
                <w:szCs w:val="22"/>
              </w:rPr>
            </w:pPr>
            <w:r w:rsidRPr="00F43A2A">
              <w:rPr>
                <w:rFonts w:ascii="Book Antiqua" w:hAnsi="Book Antiqua"/>
                <w:sz w:val="22"/>
                <w:szCs w:val="22"/>
              </w:rPr>
              <w:lastRenderedPageBreak/>
              <w:t>4</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307F1A73" w14:textId="77777777" w:rsidR="001341EC" w:rsidRPr="001D1C4B" w:rsidRDefault="001341EC" w:rsidP="00165AA6">
            <w:pPr>
              <w:jc w:val="both"/>
              <w:rPr>
                <w:rFonts w:ascii="Book Antiqua" w:hAnsi="Book Antiqua"/>
                <w:sz w:val="22"/>
                <w:szCs w:val="22"/>
              </w:rPr>
            </w:pPr>
            <w:r w:rsidRPr="001D1C4B">
              <w:rPr>
                <w:rFonts w:ascii="Book Antiqua" w:hAnsi="Book Antiqua"/>
                <w:sz w:val="22"/>
                <w:szCs w:val="22"/>
              </w:rPr>
              <w:t>Elemento resolutivo 41, señala:</w:t>
            </w:r>
          </w:p>
          <w:p w14:paraId="17266A2D" w14:textId="77777777" w:rsidR="001341EC" w:rsidRPr="001D1C4B" w:rsidRDefault="001341EC" w:rsidP="00165AA6">
            <w:pPr>
              <w:jc w:val="both"/>
              <w:rPr>
                <w:rFonts w:ascii="Book Antiqua" w:hAnsi="Book Antiqua"/>
                <w:sz w:val="22"/>
                <w:szCs w:val="22"/>
              </w:rPr>
            </w:pPr>
          </w:p>
          <w:p w14:paraId="37C3F3E6" w14:textId="77777777" w:rsidR="001341EC" w:rsidRPr="00126FA8" w:rsidRDefault="001341EC" w:rsidP="00165AA6">
            <w:pPr>
              <w:jc w:val="both"/>
              <w:rPr>
                <w:rFonts w:ascii="Book Antiqua" w:hAnsi="Book Antiqua"/>
                <w:sz w:val="22"/>
                <w:szCs w:val="22"/>
              </w:rPr>
            </w:pPr>
            <w:r w:rsidRPr="00126FA8">
              <w:rPr>
                <w:rFonts w:ascii="Book Antiqua" w:hAnsi="Book Antiqua"/>
                <w:i/>
                <w:sz w:val="22"/>
                <w:szCs w:val="22"/>
              </w:rPr>
              <w:t>Como se señaló anteriormente, en cuanto a la ampliación de los planes de trabajo en la parte de trámite, el Consejo Superior en sesión N°17-2015 celebrada el 26 de febrero del 2015, artículo XX, establece que la ayuda que brinda el Centro a través de la modalidad a distancia es exclusivamente para expedientes judiciales que se encuentran listos para fallo.</w:t>
            </w:r>
          </w:p>
        </w:tc>
        <w:tc>
          <w:tcPr>
            <w:tcW w:w="3802" w:type="dxa"/>
            <w:tcBorders>
              <w:top w:val="double" w:sz="6" w:space="0" w:color="4472C4"/>
              <w:left w:val="nil"/>
              <w:bottom w:val="double" w:sz="6" w:space="0" w:color="4472C4"/>
              <w:right w:val="double" w:sz="6" w:space="0" w:color="4472C4"/>
            </w:tcBorders>
            <w:shd w:val="clear" w:color="auto" w:fill="auto"/>
            <w:vAlign w:val="center"/>
          </w:tcPr>
          <w:p w14:paraId="73709731"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 xml:space="preserve">Esta observación se contesta con la respuesta emitida por la Dirección de Planificación en la segunda observación realizada por el CACMFJ. </w:t>
            </w:r>
          </w:p>
        </w:tc>
      </w:tr>
      <w:tr w:rsidR="001341EC" w:rsidRPr="00126FA8" w14:paraId="3A42F5E5" w14:textId="77777777" w:rsidTr="00165AA6">
        <w:trPr>
          <w:trHeight w:val="20"/>
        </w:trPr>
        <w:tc>
          <w:tcPr>
            <w:tcW w:w="512" w:type="dxa"/>
            <w:tcBorders>
              <w:top w:val="double" w:sz="6" w:space="0" w:color="4472C4"/>
              <w:left w:val="double" w:sz="6" w:space="0" w:color="4472C4"/>
              <w:bottom w:val="double" w:sz="6" w:space="0" w:color="4472C4"/>
              <w:right w:val="double" w:sz="6" w:space="0" w:color="4472C4"/>
            </w:tcBorders>
            <w:vAlign w:val="center"/>
          </w:tcPr>
          <w:p w14:paraId="61B32712" w14:textId="77777777" w:rsidR="007A4037" w:rsidRDefault="007A4037" w:rsidP="00165AA6">
            <w:pPr>
              <w:jc w:val="center"/>
              <w:rPr>
                <w:rFonts w:ascii="Book Antiqua" w:hAnsi="Book Antiqua"/>
                <w:sz w:val="22"/>
                <w:szCs w:val="22"/>
              </w:rPr>
            </w:pPr>
          </w:p>
          <w:p w14:paraId="30EEDA12" w14:textId="77777777" w:rsidR="001341EC" w:rsidRPr="00F43A2A" w:rsidRDefault="001341EC" w:rsidP="00165AA6">
            <w:pPr>
              <w:jc w:val="center"/>
              <w:rPr>
                <w:rFonts w:ascii="Book Antiqua" w:hAnsi="Book Antiqua"/>
                <w:sz w:val="22"/>
                <w:szCs w:val="22"/>
              </w:rPr>
            </w:pPr>
            <w:r w:rsidRPr="00F43A2A">
              <w:rPr>
                <w:rFonts w:ascii="Book Antiqua" w:hAnsi="Book Antiqua"/>
                <w:sz w:val="22"/>
                <w:szCs w:val="22"/>
              </w:rPr>
              <w:t>5</w:t>
            </w:r>
          </w:p>
        </w:tc>
        <w:tc>
          <w:tcPr>
            <w:tcW w:w="4664" w:type="dxa"/>
            <w:tcBorders>
              <w:top w:val="double" w:sz="6" w:space="0" w:color="4472C4"/>
              <w:left w:val="double" w:sz="6" w:space="0" w:color="4472C4"/>
              <w:bottom w:val="double" w:sz="6" w:space="0" w:color="4472C4"/>
              <w:right w:val="double" w:sz="6" w:space="0" w:color="4472C4"/>
            </w:tcBorders>
            <w:shd w:val="clear" w:color="auto" w:fill="auto"/>
            <w:vAlign w:val="center"/>
          </w:tcPr>
          <w:p w14:paraId="5630BA08" w14:textId="77777777" w:rsidR="001341EC" w:rsidRPr="001D1C4B" w:rsidRDefault="001341EC" w:rsidP="00165AA6">
            <w:pPr>
              <w:jc w:val="both"/>
              <w:rPr>
                <w:rFonts w:ascii="Book Antiqua" w:hAnsi="Book Antiqua"/>
                <w:sz w:val="22"/>
                <w:szCs w:val="22"/>
              </w:rPr>
            </w:pPr>
            <w:r w:rsidRPr="001D1C4B">
              <w:rPr>
                <w:rFonts w:ascii="Book Antiqua" w:hAnsi="Book Antiqua"/>
                <w:sz w:val="22"/>
                <w:szCs w:val="22"/>
              </w:rPr>
              <w:t>Respecto a las recomendaciones de la página 87 se indica:</w:t>
            </w:r>
          </w:p>
          <w:p w14:paraId="265DA86A" w14:textId="77777777" w:rsidR="001341EC" w:rsidRPr="001D1C4B" w:rsidRDefault="001341EC" w:rsidP="00165AA6">
            <w:pPr>
              <w:jc w:val="both"/>
              <w:rPr>
                <w:rFonts w:ascii="Book Antiqua" w:hAnsi="Book Antiqua"/>
                <w:sz w:val="22"/>
                <w:szCs w:val="22"/>
              </w:rPr>
            </w:pPr>
          </w:p>
          <w:p w14:paraId="7212A65F" w14:textId="77777777" w:rsidR="001341EC" w:rsidRPr="00126FA8" w:rsidRDefault="001341EC" w:rsidP="00165AA6">
            <w:pPr>
              <w:jc w:val="both"/>
              <w:rPr>
                <w:rFonts w:ascii="Book Antiqua" w:hAnsi="Book Antiqua"/>
                <w:i/>
                <w:sz w:val="22"/>
                <w:szCs w:val="22"/>
              </w:rPr>
            </w:pPr>
            <w:r w:rsidRPr="00126FA8">
              <w:rPr>
                <w:rFonts w:ascii="Book Antiqua" w:hAnsi="Book Antiqua"/>
                <w:i/>
                <w:sz w:val="22"/>
                <w:szCs w:val="22"/>
              </w:rPr>
              <w:t>“Este Centro dará el seguimiento de los indicadores de gestión de todos los despachos agrarios  del país, así Como se señaló anteriormente, en cuanto a la ampliación de los planes de trabajo en la parte de trámite para los jueces de este Centro, el Consejo Superior en sesión N°17-2015 celebrada el 26 de febrero del 2015, artículo XX, establece que la ayuda que brinda el Centro a través de la modalidad a distancia es exclusivamente para expedientes judiciales que se encuentran listos para fallo.</w:t>
            </w:r>
          </w:p>
          <w:p w14:paraId="50858FBC" w14:textId="77777777" w:rsidR="001341EC" w:rsidRPr="00126FA8" w:rsidRDefault="001341EC" w:rsidP="00165AA6">
            <w:pPr>
              <w:jc w:val="both"/>
              <w:rPr>
                <w:rFonts w:ascii="Book Antiqua" w:hAnsi="Book Antiqua"/>
                <w:sz w:val="22"/>
                <w:szCs w:val="22"/>
              </w:rPr>
            </w:pPr>
            <w:r w:rsidRPr="00126FA8">
              <w:rPr>
                <w:rFonts w:ascii="Book Antiqua" w:hAnsi="Book Antiqua"/>
                <w:i/>
                <w:sz w:val="22"/>
                <w:szCs w:val="22"/>
              </w:rPr>
              <w:t xml:space="preserve">Con respecto al personal técnico deberán coordinar con las respectivas administraciones, para brindar colaboraciones, si bien el Centro cuenta con personal técnico supernumerario no es posible designar fuera del área metropolitana en razón a un tema presupuestario como por ejemplo en gastos de </w:t>
            </w:r>
            <w:proofErr w:type="spellStart"/>
            <w:r w:rsidRPr="00126FA8">
              <w:rPr>
                <w:rFonts w:ascii="Book Antiqua" w:hAnsi="Book Antiqua"/>
                <w:i/>
                <w:sz w:val="22"/>
                <w:szCs w:val="22"/>
              </w:rPr>
              <w:t>zonaje</w:t>
            </w:r>
            <w:proofErr w:type="spellEnd"/>
            <w:r w:rsidRPr="00126FA8">
              <w:rPr>
                <w:rFonts w:ascii="Book Antiqua" w:hAnsi="Book Antiqua"/>
                <w:i/>
                <w:sz w:val="22"/>
                <w:szCs w:val="22"/>
              </w:rPr>
              <w:t>, transporte y viáticos”.</w:t>
            </w:r>
          </w:p>
        </w:tc>
        <w:tc>
          <w:tcPr>
            <w:tcW w:w="3802" w:type="dxa"/>
            <w:tcBorders>
              <w:top w:val="double" w:sz="6" w:space="0" w:color="4472C4"/>
              <w:left w:val="nil"/>
              <w:bottom w:val="double" w:sz="6" w:space="0" w:color="4472C4"/>
              <w:right w:val="double" w:sz="6" w:space="0" w:color="4472C4"/>
            </w:tcBorders>
            <w:shd w:val="clear" w:color="auto" w:fill="auto"/>
            <w:vAlign w:val="center"/>
          </w:tcPr>
          <w:p w14:paraId="2EE7F7A4"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Se toma nota de la observación.</w:t>
            </w:r>
          </w:p>
          <w:p w14:paraId="141407FA"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Lo indicado se responde en la observación anterior.</w:t>
            </w:r>
          </w:p>
          <w:p w14:paraId="5F82BA8A" w14:textId="77777777" w:rsidR="001341EC" w:rsidRPr="00126FA8" w:rsidRDefault="001341EC" w:rsidP="00165AA6">
            <w:pPr>
              <w:jc w:val="both"/>
              <w:rPr>
                <w:rFonts w:ascii="Book Antiqua" w:hAnsi="Book Antiqua"/>
                <w:sz w:val="22"/>
                <w:szCs w:val="22"/>
                <w:lang w:eastAsia="es-CR"/>
              </w:rPr>
            </w:pPr>
          </w:p>
          <w:p w14:paraId="353B2D3B" w14:textId="77777777" w:rsidR="001341EC" w:rsidRPr="00126FA8" w:rsidRDefault="001341EC" w:rsidP="00165AA6">
            <w:pPr>
              <w:jc w:val="both"/>
              <w:rPr>
                <w:rFonts w:ascii="Book Antiqua" w:hAnsi="Book Antiqua"/>
                <w:sz w:val="22"/>
                <w:szCs w:val="22"/>
                <w:lang w:eastAsia="es-CR"/>
              </w:rPr>
            </w:pPr>
            <w:r w:rsidRPr="00126FA8">
              <w:rPr>
                <w:rFonts w:ascii="Book Antiqua" w:hAnsi="Book Antiqua"/>
                <w:sz w:val="22"/>
                <w:szCs w:val="22"/>
                <w:lang w:eastAsia="es-CR"/>
              </w:rPr>
              <w:t>La observación no modifica el contenido del informe.</w:t>
            </w:r>
          </w:p>
        </w:tc>
      </w:tr>
    </w:tbl>
    <w:p w14:paraId="35E01447" w14:textId="77777777" w:rsidR="001341EC" w:rsidRPr="00A645E5" w:rsidRDefault="001341EC" w:rsidP="001341EC">
      <w:pPr>
        <w:pStyle w:val="Ttulo1"/>
        <w:keepLines/>
        <w:numPr>
          <w:ilvl w:val="0"/>
          <w:numId w:val="42"/>
        </w:numPr>
        <w:pBdr>
          <w:top w:val="single" w:sz="4" w:space="1" w:color="4F81BD"/>
          <w:left w:val="single" w:sz="4" w:space="4" w:color="4F81BD"/>
          <w:bottom w:val="single" w:sz="4" w:space="1" w:color="4F81BD"/>
          <w:right w:val="single" w:sz="4" w:space="4" w:color="4F81BD"/>
        </w:pBdr>
        <w:shd w:val="clear" w:color="auto" w:fill="B8CCE4"/>
        <w:tabs>
          <w:tab w:val="clear" w:pos="4680"/>
        </w:tabs>
        <w:spacing w:before="240"/>
        <w:ind w:right="191"/>
        <w:rPr>
          <w:rStyle w:val="nfasis"/>
          <w:rFonts w:ascii="Book Antiqua" w:hAnsi="Book Antiqua"/>
          <w:i/>
          <w:iCs/>
          <w:sz w:val="22"/>
        </w:rPr>
      </w:pPr>
      <w:bookmarkStart w:id="3" w:name="_Hlk518567426"/>
      <w:r w:rsidRPr="00A645E5">
        <w:rPr>
          <w:rStyle w:val="nfasis"/>
          <w:rFonts w:ascii="Book Antiqua" w:hAnsi="Book Antiqua"/>
          <w:i/>
          <w:iCs/>
          <w:sz w:val="22"/>
        </w:rPr>
        <w:t>METODOLOGÍA</w:t>
      </w:r>
    </w:p>
    <w:p w14:paraId="7076C992" w14:textId="77777777" w:rsidR="001341EC" w:rsidRPr="00055D4B" w:rsidRDefault="001341EC" w:rsidP="001341EC">
      <w:pPr>
        <w:ind w:left="360"/>
        <w:jc w:val="both"/>
        <w:rPr>
          <w:rFonts w:ascii="Book Antiqua" w:hAnsi="Book Antiqua"/>
          <w:b/>
          <w:sz w:val="22"/>
        </w:rPr>
      </w:pPr>
    </w:p>
    <w:p w14:paraId="181FE7D1" w14:textId="77777777" w:rsidR="001341EC" w:rsidRPr="00055D4B" w:rsidRDefault="001341EC" w:rsidP="001341EC">
      <w:pPr>
        <w:jc w:val="both"/>
        <w:rPr>
          <w:rFonts w:ascii="Book Antiqua" w:hAnsi="Book Antiqua"/>
          <w:sz w:val="22"/>
        </w:rPr>
      </w:pPr>
      <w:r w:rsidRPr="00055D4B">
        <w:rPr>
          <w:rFonts w:ascii="Book Antiqua" w:hAnsi="Book Antiqua"/>
          <w:sz w:val="22"/>
        </w:rPr>
        <w:t xml:space="preserve">Dado lo anterior, se integró un equipo de trabajo interdisciplinario con representantes de la Dirección de Planificación y de la Comisión de Asuntos Agrarios, con la finalidad de </w:t>
      </w:r>
      <w:r w:rsidRPr="00055D4B">
        <w:rPr>
          <w:rFonts w:ascii="Book Antiqua" w:hAnsi="Book Antiqua"/>
          <w:sz w:val="22"/>
        </w:rPr>
        <w:lastRenderedPageBreak/>
        <w:t xml:space="preserve">analizar el impacto que tendrán los posibles cambios con la entrada en vigencia del Código Procesal Agrario en el Poder Judicial. </w:t>
      </w:r>
    </w:p>
    <w:p w14:paraId="1B0D077B" w14:textId="77777777" w:rsidR="001341EC" w:rsidRPr="00055D4B" w:rsidRDefault="001341EC" w:rsidP="001341EC">
      <w:pPr>
        <w:jc w:val="both"/>
        <w:rPr>
          <w:rFonts w:ascii="Book Antiqua" w:hAnsi="Book Antiqua"/>
          <w:sz w:val="22"/>
        </w:rPr>
      </w:pPr>
    </w:p>
    <w:p w14:paraId="5DE4C942" w14:textId="77777777" w:rsidR="001341EC" w:rsidRPr="00055D4B" w:rsidRDefault="001341EC" w:rsidP="001341EC">
      <w:pPr>
        <w:jc w:val="both"/>
        <w:rPr>
          <w:rFonts w:ascii="Book Antiqua" w:hAnsi="Book Antiqua"/>
          <w:sz w:val="22"/>
        </w:rPr>
      </w:pPr>
      <w:r w:rsidRPr="00055D4B">
        <w:rPr>
          <w:rFonts w:ascii="Book Antiqua" w:hAnsi="Book Antiqua"/>
          <w:sz w:val="22"/>
        </w:rPr>
        <w:t xml:space="preserve">Para la confección del presente informe se utilizó como documento de referencia, el informe 820-PLA-2018, realizado el 18 de julio del 2018 por la Dirección de Planificación, el cual es fundamental para el análisis. </w:t>
      </w:r>
      <w:r w:rsidRPr="00055D4B">
        <w:rPr>
          <w:rFonts w:ascii="Book Antiqua" w:hAnsi="Book Antiqua"/>
          <w:b/>
          <w:i/>
          <w:sz w:val="22"/>
        </w:rPr>
        <w:t>(ver anexo 3 Informe 820-PLA-2018 Posible costo que representa la implementación del Código Procesal Agraria)</w:t>
      </w:r>
    </w:p>
    <w:p w14:paraId="2D09BF12" w14:textId="77777777" w:rsidR="001341EC" w:rsidRPr="00055D4B" w:rsidRDefault="001341EC" w:rsidP="001341EC">
      <w:pPr>
        <w:jc w:val="both"/>
        <w:rPr>
          <w:rFonts w:ascii="Book Antiqua" w:hAnsi="Book Antiqua"/>
          <w:sz w:val="22"/>
        </w:rPr>
      </w:pPr>
    </w:p>
    <w:p w14:paraId="69F3E410" w14:textId="77777777" w:rsidR="001341EC" w:rsidRPr="00055D4B" w:rsidRDefault="001341EC" w:rsidP="001341EC">
      <w:pPr>
        <w:jc w:val="both"/>
        <w:rPr>
          <w:rFonts w:ascii="Book Antiqua" w:hAnsi="Book Antiqua"/>
          <w:sz w:val="22"/>
        </w:rPr>
      </w:pPr>
      <w:r w:rsidRPr="00055D4B">
        <w:rPr>
          <w:rFonts w:ascii="Book Antiqua" w:hAnsi="Book Antiqua"/>
          <w:sz w:val="22"/>
        </w:rPr>
        <w:t xml:space="preserve">El 08 de enero, la Sra. Damaris Vargas Vásquez, MBA, Coordinadora del Proyecto Modernización de la Jurisdicción Agraria y el Licenciado Frank Álvarez de la Defensa Pública, realizan una capacitación sobre los cambios que plantea el Código Procesal Agrario en relación con la legislación actual desde la perspectiva de la Judicatura y la Defensa Pública. </w:t>
      </w:r>
    </w:p>
    <w:p w14:paraId="4C812170" w14:textId="77777777" w:rsidR="001341EC" w:rsidRPr="00055D4B" w:rsidRDefault="001341EC" w:rsidP="001341EC">
      <w:pPr>
        <w:jc w:val="both"/>
        <w:rPr>
          <w:rFonts w:ascii="Book Antiqua" w:hAnsi="Book Antiqua"/>
          <w:sz w:val="22"/>
        </w:rPr>
      </w:pPr>
    </w:p>
    <w:p w14:paraId="10ECA78C" w14:textId="77777777" w:rsidR="001341EC" w:rsidRPr="00055D4B" w:rsidRDefault="001341EC" w:rsidP="001341EC">
      <w:pPr>
        <w:jc w:val="both"/>
        <w:rPr>
          <w:rFonts w:ascii="Book Antiqua" w:hAnsi="Book Antiqua"/>
          <w:sz w:val="22"/>
        </w:rPr>
      </w:pPr>
      <w:r w:rsidRPr="00055D4B">
        <w:rPr>
          <w:rFonts w:ascii="Book Antiqua" w:hAnsi="Book Antiqua"/>
          <w:sz w:val="22"/>
        </w:rPr>
        <w:t xml:space="preserve">Se realiza una reunión el 19 de febrero con la Sra. Damaris Vargas Vásquez, MBA, Coordinadora del Proyecto Modernización de la Jurisdicción Agraria, en la sala de sesiones de la Dirección de Planificación, donde se conversaron temas relacionados del informe base 820-PLA-2018. Se remite el citado informe vía correo electrónico a la Sra. Vargas con indicaciones, para el análisis del mismo con la Comisión Agraria, para la emisión de criterios. </w:t>
      </w:r>
    </w:p>
    <w:p w14:paraId="61E461E0" w14:textId="77777777" w:rsidR="001341EC" w:rsidRPr="00055D4B" w:rsidRDefault="001341EC" w:rsidP="001341EC">
      <w:pPr>
        <w:jc w:val="both"/>
        <w:rPr>
          <w:rFonts w:ascii="Book Antiqua" w:hAnsi="Book Antiqua"/>
          <w:sz w:val="22"/>
        </w:rPr>
      </w:pPr>
    </w:p>
    <w:p w14:paraId="118BBB2D" w14:textId="77777777" w:rsidR="001341EC" w:rsidRPr="00055D4B" w:rsidRDefault="001341EC" w:rsidP="001341EC">
      <w:pPr>
        <w:jc w:val="both"/>
        <w:rPr>
          <w:rFonts w:ascii="Book Antiqua" w:hAnsi="Book Antiqua"/>
          <w:sz w:val="22"/>
        </w:rPr>
      </w:pPr>
      <w:r w:rsidRPr="00055D4B">
        <w:rPr>
          <w:rFonts w:ascii="Book Antiqua" w:hAnsi="Book Antiqua"/>
          <w:sz w:val="22"/>
        </w:rPr>
        <w:t>El 27 de febrero del año en curso, se mantuvo una reunión con el Magistrado Luis Guillermo Rivas y la Licenciada Damaris Vargas, donde asiste el Ingeniero Dixon Li y el Ing. Arnold Alvarado, ambos de la Dirección de Planificación, para conversar respecto a los criterios emitidos sobre el informe base 820-PLA-2018. Adicional, participó de la reunión vía telefónica el licenciado Gustavo Céspedes, Abogado Gestor de Capacitación de la Escuela Judicial, con quien se conversa</w:t>
      </w:r>
      <w:r>
        <w:rPr>
          <w:rFonts w:ascii="Book Antiqua" w:hAnsi="Book Antiqua"/>
          <w:sz w:val="22"/>
        </w:rPr>
        <w:t xml:space="preserve"> referente a las actividades planteadas para el 2019 y</w:t>
      </w:r>
      <w:r w:rsidRPr="00055D4B">
        <w:rPr>
          <w:rFonts w:ascii="Book Antiqua" w:hAnsi="Book Antiqua"/>
          <w:sz w:val="22"/>
        </w:rPr>
        <w:t xml:space="preserve"> en relación con el plan de capacitaciones que tienen para la población de la materia Agraria para el 2020. </w:t>
      </w:r>
    </w:p>
    <w:p w14:paraId="389856EF" w14:textId="77777777" w:rsidR="001341EC" w:rsidRPr="00055D4B" w:rsidRDefault="001341EC" w:rsidP="001341EC">
      <w:pPr>
        <w:jc w:val="both"/>
        <w:rPr>
          <w:rFonts w:ascii="Book Antiqua" w:hAnsi="Book Antiqua"/>
          <w:sz w:val="22"/>
        </w:rPr>
      </w:pPr>
    </w:p>
    <w:p w14:paraId="474BE165" w14:textId="77777777" w:rsidR="001341EC" w:rsidRDefault="001341EC" w:rsidP="001341EC">
      <w:pPr>
        <w:jc w:val="both"/>
        <w:rPr>
          <w:rFonts w:ascii="Book Antiqua" w:hAnsi="Book Antiqua"/>
          <w:sz w:val="22"/>
        </w:rPr>
      </w:pPr>
      <w:r w:rsidRPr="00055D4B">
        <w:rPr>
          <w:rFonts w:ascii="Book Antiqua" w:hAnsi="Book Antiqua"/>
          <w:sz w:val="22"/>
        </w:rPr>
        <w:t xml:space="preserve">Se realizan consultas y solicitudes directas a la Dirección Ejecutiva al Licenciado Melvin Obando, de la Sección de Análisis y Ejecución, con respecto a costos de adquisición de recursos necesarios para la implementación del informe de presupuesto.  </w:t>
      </w:r>
    </w:p>
    <w:p w14:paraId="4512BFF9" w14:textId="77777777" w:rsidR="00F44362" w:rsidRDefault="00F44362" w:rsidP="001341EC">
      <w:pPr>
        <w:jc w:val="both"/>
        <w:rPr>
          <w:rFonts w:ascii="Book Antiqua" w:hAnsi="Book Antiqua"/>
          <w:sz w:val="22"/>
        </w:rPr>
      </w:pPr>
    </w:p>
    <w:bookmarkEnd w:id="3"/>
    <w:p w14:paraId="7B5B9CF4" w14:textId="77777777" w:rsidR="001341EC" w:rsidRPr="00A645E5" w:rsidRDefault="001341EC" w:rsidP="001341EC">
      <w:pPr>
        <w:pStyle w:val="Ttulo1"/>
        <w:keepLines/>
        <w:numPr>
          <w:ilvl w:val="0"/>
          <w:numId w:val="42"/>
        </w:numPr>
        <w:pBdr>
          <w:top w:val="single" w:sz="4" w:space="1" w:color="4F81BD"/>
          <w:left w:val="single" w:sz="4" w:space="4" w:color="4F81BD"/>
          <w:bottom w:val="single" w:sz="4" w:space="1" w:color="4F81BD"/>
          <w:right w:val="single" w:sz="4" w:space="4" w:color="4F81BD"/>
        </w:pBdr>
        <w:shd w:val="clear" w:color="auto" w:fill="B8CCE4"/>
        <w:tabs>
          <w:tab w:val="clear" w:pos="4680"/>
        </w:tabs>
        <w:spacing w:before="240"/>
        <w:ind w:right="191"/>
        <w:rPr>
          <w:rStyle w:val="nfasis"/>
          <w:rFonts w:ascii="Book Antiqua" w:hAnsi="Book Antiqua"/>
          <w:b w:val="0"/>
          <w:bCs w:val="0"/>
          <w:i/>
          <w:iCs/>
          <w:color w:val="auto"/>
          <w:sz w:val="22"/>
        </w:rPr>
      </w:pPr>
      <w:r w:rsidRPr="00A645E5">
        <w:rPr>
          <w:rStyle w:val="nfasis"/>
          <w:rFonts w:ascii="Book Antiqua" w:hAnsi="Book Antiqua"/>
          <w:i/>
          <w:iCs/>
          <w:sz w:val="22"/>
        </w:rPr>
        <w:t>INFORMACIÓN RELEVANTE</w:t>
      </w:r>
    </w:p>
    <w:p w14:paraId="04A13342" w14:textId="77777777" w:rsidR="001341EC" w:rsidRPr="00A645E5" w:rsidRDefault="001341EC" w:rsidP="001341EC">
      <w:pPr>
        <w:jc w:val="both"/>
        <w:rPr>
          <w:rFonts w:ascii="Book Antiqua" w:hAnsi="Book Antiqua"/>
          <w:sz w:val="22"/>
        </w:rPr>
      </w:pPr>
    </w:p>
    <w:p w14:paraId="37380CC5" w14:textId="77777777" w:rsidR="001341EC" w:rsidRPr="00A645E5" w:rsidRDefault="001341EC" w:rsidP="001341EC">
      <w:pPr>
        <w:pStyle w:val="Ttulo2"/>
        <w:keepLines/>
        <w:numPr>
          <w:ilvl w:val="1"/>
          <w:numId w:val="42"/>
        </w:numPr>
        <w:spacing w:before="40" w:after="0"/>
        <w:rPr>
          <w:rFonts w:ascii="Book Antiqua" w:hAnsi="Book Antiqua"/>
          <w:sz w:val="22"/>
        </w:rPr>
      </w:pPr>
      <w:r w:rsidRPr="00A645E5">
        <w:rPr>
          <w:rFonts w:ascii="Book Antiqua" w:hAnsi="Book Antiqua"/>
          <w:sz w:val="22"/>
        </w:rPr>
        <w:t xml:space="preserve">Conformación Actual de la Jurisdicción Agraria </w:t>
      </w:r>
    </w:p>
    <w:p w14:paraId="7C4EB854" w14:textId="77777777" w:rsidR="001341EC" w:rsidRPr="00055D4B" w:rsidRDefault="001341EC" w:rsidP="001341EC">
      <w:pPr>
        <w:jc w:val="both"/>
        <w:rPr>
          <w:rFonts w:ascii="Book Antiqua" w:hAnsi="Book Antiqua"/>
          <w:sz w:val="22"/>
        </w:rPr>
      </w:pPr>
    </w:p>
    <w:p w14:paraId="73027BC1" w14:textId="77777777" w:rsidR="001341EC" w:rsidRPr="00055D4B" w:rsidRDefault="001341EC" w:rsidP="001341EC">
      <w:pPr>
        <w:jc w:val="both"/>
        <w:rPr>
          <w:rFonts w:ascii="Book Antiqua" w:hAnsi="Book Antiqua"/>
          <w:sz w:val="22"/>
        </w:rPr>
      </w:pPr>
      <w:r w:rsidRPr="00055D4B">
        <w:rPr>
          <w:rFonts w:ascii="Book Antiqua" w:hAnsi="Book Antiqua"/>
          <w:sz w:val="22"/>
        </w:rPr>
        <w:t>A continuación, se presenta la conformación actual de los Juzgados y Oficinas que conocen la materia Agraria.</w:t>
      </w:r>
    </w:p>
    <w:p w14:paraId="41528417" w14:textId="77777777" w:rsidR="001341EC" w:rsidRPr="00055D4B" w:rsidRDefault="001341EC" w:rsidP="001341EC">
      <w:pPr>
        <w:jc w:val="both"/>
        <w:rPr>
          <w:rFonts w:ascii="Book Antiqua" w:hAnsi="Book Antiqua"/>
          <w:sz w:val="22"/>
        </w:rPr>
      </w:pPr>
    </w:p>
    <w:p w14:paraId="15A22C44" w14:textId="77777777" w:rsidR="001341EC" w:rsidRPr="00F53CB0" w:rsidRDefault="001341EC" w:rsidP="001341EC">
      <w:pPr>
        <w:jc w:val="both"/>
        <w:rPr>
          <w:rFonts w:ascii="Book Antiqua" w:hAnsi="Book Antiqua"/>
        </w:rPr>
      </w:pPr>
    </w:p>
    <w:p w14:paraId="0988F23D" w14:textId="77777777" w:rsidR="001341EC" w:rsidRPr="00A645E5" w:rsidRDefault="001341EC" w:rsidP="001341EC">
      <w:pPr>
        <w:pStyle w:val="Ttulo2"/>
        <w:keepLines/>
        <w:numPr>
          <w:ilvl w:val="1"/>
          <w:numId w:val="42"/>
        </w:numPr>
        <w:spacing w:before="40" w:after="0"/>
        <w:rPr>
          <w:rFonts w:ascii="Book Antiqua" w:hAnsi="Book Antiqua"/>
          <w:sz w:val="22"/>
        </w:rPr>
      </w:pPr>
      <w:r w:rsidRPr="00A645E5">
        <w:rPr>
          <w:rFonts w:ascii="Book Antiqua" w:hAnsi="Book Antiqua"/>
          <w:sz w:val="22"/>
        </w:rPr>
        <w:lastRenderedPageBreak/>
        <w:t>Ámbito Jurisdiccional</w:t>
      </w:r>
    </w:p>
    <w:p w14:paraId="65C1D737" w14:textId="77777777" w:rsidR="001341EC" w:rsidRPr="00055D4B" w:rsidRDefault="001341EC" w:rsidP="001341EC">
      <w:pPr>
        <w:jc w:val="both"/>
        <w:rPr>
          <w:rFonts w:ascii="Book Antiqua" w:hAnsi="Book Antiqua"/>
          <w:sz w:val="22"/>
        </w:rPr>
      </w:pPr>
    </w:p>
    <w:p w14:paraId="586A36A4" w14:textId="77777777" w:rsidR="001341EC" w:rsidRPr="00055D4B" w:rsidRDefault="001341EC" w:rsidP="001341EC">
      <w:pPr>
        <w:jc w:val="both"/>
        <w:rPr>
          <w:rFonts w:ascii="Book Antiqua" w:hAnsi="Book Antiqua"/>
          <w:sz w:val="22"/>
        </w:rPr>
      </w:pPr>
      <w:r w:rsidRPr="00055D4B">
        <w:rPr>
          <w:rFonts w:ascii="Book Antiqua" w:hAnsi="Book Antiqua"/>
          <w:sz w:val="22"/>
        </w:rPr>
        <w:t>En el siguiente cuadro se presenta la actual organización con que cuenta la jurisdicción agraria.</w:t>
      </w:r>
    </w:p>
    <w:p w14:paraId="7DBF0D5D"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 xml:space="preserve">Cuadro </w:t>
      </w:r>
      <w:r w:rsidR="009A23D1" w:rsidRPr="00126FA8">
        <w:rPr>
          <w:rFonts w:ascii="Book Antiqua" w:hAnsi="Book Antiqua"/>
          <w:bCs w:val="0"/>
          <w:iCs/>
          <w:sz w:val="22"/>
          <w:szCs w:val="24"/>
          <w:lang w:val="es-CR"/>
        </w:rPr>
        <w:fldChar w:fldCharType="begin"/>
      </w:r>
      <w:r w:rsidRPr="00126FA8">
        <w:rPr>
          <w:rFonts w:ascii="Book Antiqua" w:hAnsi="Book Antiqua"/>
          <w:bCs w:val="0"/>
          <w:iCs/>
          <w:sz w:val="22"/>
          <w:szCs w:val="24"/>
          <w:lang w:val="es-CR"/>
        </w:rPr>
        <w:instrText xml:space="preserve"> SEQ Cuadro \* ARABIC </w:instrText>
      </w:r>
      <w:r w:rsidR="009A23D1" w:rsidRPr="00126FA8">
        <w:rPr>
          <w:rFonts w:ascii="Book Antiqua" w:hAnsi="Book Antiqua"/>
          <w:bCs w:val="0"/>
          <w:iCs/>
          <w:sz w:val="22"/>
          <w:szCs w:val="24"/>
          <w:lang w:val="es-CR"/>
        </w:rPr>
        <w:fldChar w:fldCharType="separate"/>
      </w:r>
      <w:r w:rsidRPr="00126FA8">
        <w:rPr>
          <w:rFonts w:ascii="Book Antiqua" w:hAnsi="Book Antiqua"/>
          <w:bCs w:val="0"/>
          <w:iCs/>
          <w:noProof/>
          <w:sz w:val="22"/>
          <w:szCs w:val="24"/>
          <w:lang w:val="es-CR"/>
        </w:rPr>
        <w:t>1</w:t>
      </w:r>
      <w:r w:rsidR="009A23D1" w:rsidRPr="00126FA8">
        <w:rPr>
          <w:rFonts w:ascii="Book Antiqua" w:hAnsi="Book Antiqua"/>
          <w:bCs w:val="0"/>
          <w:iCs/>
          <w:sz w:val="22"/>
          <w:szCs w:val="24"/>
          <w:lang w:val="es-CR"/>
        </w:rPr>
        <w:fldChar w:fldCharType="end"/>
      </w:r>
    </w:p>
    <w:p w14:paraId="2570962F"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Despachos que conforman la Jurisdicción Agraria</w:t>
      </w:r>
    </w:p>
    <w:tbl>
      <w:tblPr>
        <w:tblW w:w="7460" w:type="dxa"/>
        <w:jc w:val="center"/>
        <w:tblBorders>
          <w:top w:val="double" w:sz="4" w:space="0" w:color="auto"/>
          <w:left w:val="double" w:sz="4" w:space="0" w:color="auto"/>
          <w:bottom w:val="double" w:sz="4" w:space="0" w:color="auto"/>
          <w:right w:val="double" w:sz="4" w:space="0" w:color="auto"/>
          <w:insideH w:val="double" w:sz="4" w:space="0" w:color="1F497D"/>
          <w:insideV w:val="double" w:sz="4" w:space="0" w:color="1F497D"/>
        </w:tblBorders>
        <w:tblCellMar>
          <w:left w:w="70" w:type="dxa"/>
          <w:right w:w="70" w:type="dxa"/>
        </w:tblCellMar>
        <w:tblLook w:val="04A0" w:firstRow="1" w:lastRow="0" w:firstColumn="1" w:lastColumn="0" w:noHBand="0" w:noVBand="1"/>
      </w:tblPr>
      <w:tblGrid>
        <w:gridCol w:w="2320"/>
        <w:gridCol w:w="1420"/>
        <w:gridCol w:w="1240"/>
        <w:gridCol w:w="1240"/>
        <w:gridCol w:w="1240"/>
      </w:tblGrid>
      <w:tr w:rsidR="001341EC" w:rsidRPr="00493BFE" w14:paraId="054413FC" w14:textId="77777777" w:rsidTr="00165AA6">
        <w:trPr>
          <w:trHeight w:val="20"/>
          <w:jc w:val="center"/>
        </w:trPr>
        <w:tc>
          <w:tcPr>
            <w:tcW w:w="2320" w:type="dxa"/>
            <w:shd w:val="clear" w:color="000000" w:fill="8DB4E2"/>
            <w:vAlign w:val="center"/>
            <w:hideMark/>
          </w:tcPr>
          <w:p w14:paraId="6B3E440A"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lang w:eastAsia="es-CR"/>
              </w:rPr>
              <w:t>Juzgados Especializados</w:t>
            </w:r>
          </w:p>
        </w:tc>
        <w:tc>
          <w:tcPr>
            <w:tcW w:w="1420" w:type="dxa"/>
            <w:shd w:val="clear" w:color="000000" w:fill="8DB4E2"/>
            <w:vAlign w:val="center"/>
            <w:hideMark/>
          </w:tcPr>
          <w:p w14:paraId="4EC531F6"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lang w:eastAsia="es-CR"/>
              </w:rPr>
              <w:t>Juzgados</w:t>
            </w:r>
          </w:p>
          <w:p w14:paraId="7E1A8DCB"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lang w:eastAsia="es-CR"/>
              </w:rPr>
              <w:t>Mixtos</w:t>
            </w:r>
          </w:p>
        </w:tc>
        <w:tc>
          <w:tcPr>
            <w:tcW w:w="1240" w:type="dxa"/>
            <w:shd w:val="clear" w:color="000000" w:fill="8DB4E2"/>
          </w:tcPr>
          <w:p w14:paraId="5BBEA65F"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lang w:eastAsia="es-CR"/>
              </w:rPr>
              <w:t>Tribunal (segunda instancia)</w:t>
            </w:r>
          </w:p>
        </w:tc>
        <w:tc>
          <w:tcPr>
            <w:tcW w:w="1240" w:type="dxa"/>
            <w:shd w:val="clear" w:color="000000" w:fill="8DB4E2"/>
          </w:tcPr>
          <w:p w14:paraId="3C016DA4"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lang w:eastAsia="es-CR"/>
              </w:rPr>
              <w:t>Sala Primera (última instancia)</w:t>
            </w:r>
          </w:p>
        </w:tc>
        <w:tc>
          <w:tcPr>
            <w:tcW w:w="1240" w:type="dxa"/>
            <w:shd w:val="clear" w:color="000000" w:fill="8DB4E2"/>
            <w:vAlign w:val="center"/>
          </w:tcPr>
          <w:p w14:paraId="1DD81255"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lang w:eastAsia="es-CR"/>
              </w:rPr>
              <w:t>Total</w:t>
            </w:r>
          </w:p>
        </w:tc>
      </w:tr>
      <w:tr w:rsidR="001341EC" w:rsidRPr="00493BFE" w14:paraId="6DE01FF4" w14:textId="77777777" w:rsidTr="00165AA6">
        <w:trPr>
          <w:trHeight w:val="20"/>
          <w:jc w:val="center"/>
        </w:trPr>
        <w:tc>
          <w:tcPr>
            <w:tcW w:w="2320" w:type="dxa"/>
            <w:shd w:val="clear" w:color="auto" w:fill="auto"/>
            <w:vAlign w:val="center"/>
            <w:hideMark/>
          </w:tcPr>
          <w:p w14:paraId="1FBF5A81" w14:textId="77777777" w:rsidR="001341EC" w:rsidRPr="00055D4B" w:rsidRDefault="001341EC" w:rsidP="00165AA6">
            <w:pPr>
              <w:jc w:val="center"/>
              <w:rPr>
                <w:rFonts w:ascii="Book Antiqua" w:hAnsi="Book Antiqua"/>
                <w:lang w:eastAsia="es-CR"/>
              </w:rPr>
            </w:pPr>
            <w:r w:rsidRPr="00055D4B">
              <w:rPr>
                <w:rFonts w:ascii="Book Antiqua" w:hAnsi="Book Antiqua"/>
                <w:sz w:val="22"/>
                <w:lang w:eastAsia="es-CR"/>
              </w:rPr>
              <w:t>12</w:t>
            </w:r>
          </w:p>
        </w:tc>
        <w:tc>
          <w:tcPr>
            <w:tcW w:w="1420" w:type="dxa"/>
            <w:shd w:val="clear" w:color="auto" w:fill="auto"/>
            <w:vAlign w:val="center"/>
            <w:hideMark/>
          </w:tcPr>
          <w:p w14:paraId="0AFFC3EF" w14:textId="77777777" w:rsidR="001341EC" w:rsidRPr="00055D4B" w:rsidRDefault="001341EC" w:rsidP="00165AA6">
            <w:pPr>
              <w:jc w:val="center"/>
              <w:rPr>
                <w:rFonts w:ascii="Book Antiqua" w:hAnsi="Book Antiqua"/>
                <w:lang w:eastAsia="es-CR"/>
              </w:rPr>
            </w:pPr>
            <w:r w:rsidRPr="00055D4B">
              <w:rPr>
                <w:rFonts w:ascii="Book Antiqua" w:hAnsi="Book Antiqua"/>
                <w:sz w:val="22"/>
                <w:lang w:eastAsia="es-CR"/>
              </w:rPr>
              <w:t>3</w:t>
            </w:r>
          </w:p>
        </w:tc>
        <w:tc>
          <w:tcPr>
            <w:tcW w:w="1240" w:type="dxa"/>
          </w:tcPr>
          <w:p w14:paraId="110C5CBA" w14:textId="77777777" w:rsidR="001341EC" w:rsidRPr="00055D4B" w:rsidRDefault="001341EC" w:rsidP="00165AA6">
            <w:pPr>
              <w:jc w:val="center"/>
              <w:rPr>
                <w:rFonts w:ascii="Book Antiqua" w:hAnsi="Book Antiqua"/>
                <w:lang w:eastAsia="es-CR"/>
              </w:rPr>
            </w:pPr>
            <w:r w:rsidRPr="00055D4B">
              <w:rPr>
                <w:rFonts w:ascii="Book Antiqua" w:hAnsi="Book Antiqua"/>
                <w:sz w:val="22"/>
                <w:lang w:eastAsia="es-CR"/>
              </w:rPr>
              <w:t>1</w:t>
            </w:r>
          </w:p>
        </w:tc>
        <w:tc>
          <w:tcPr>
            <w:tcW w:w="1240" w:type="dxa"/>
          </w:tcPr>
          <w:p w14:paraId="224E0830" w14:textId="77777777" w:rsidR="001341EC" w:rsidRPr="00055D4B" w:rsidRDefault="001341EC" w:rsidP="00165AA6">
            <w:pPr>
              <w:jc w:val="center"/>
              <w:rPr>
                <w:rFonts w:ascii="Book Antiqua" w:hAnsi="Book Antiqua"/>
                <w:lang w:eastAsia="es-CR"/>
              </w:rPr>
            </w:pPr>
            <w:r w:rsidRPr="00055D4B">
              <w:rPr>
                <w:rFonts w:ascii="Book Antiqua" w:hAnsi="Book Antiqua"/>
                <w:sz w:val="22"/>
                <w:lang w:eastAsia="es-CR"/>
              </w:rPr>
              <w:t>1</w:t>
            </w:r>
          </w:p>
        </w:tc>
        <w:tc>
          <w:tcPr>
            <w:tcW w:w="1240" w:type="dxa"/>
            <w:vAlign w:val="center"/>
          </w:tcPr>
          <w:p w14:paraId="269CF141" w14:textId="77777777" w:rsidR="001341EC" w:rsidRPr="00055D4B" w:rsidRDefault="001341EC" w:rsidP="00165AA6">
            <w:pPr>
              <w:jc w:val="center"/>
              <w:rPr>
                <w:rFonts w:ascii="Book Antiqua" w:hAnsi="Book Antiqua"/>
                <w:lang w:eastAsia="es-CR"/>
              </w:rPr>
            </w:pPr>
            <w:r w:rsidRPr="00055D4B">
              <w:rPr>
                <w:rFonts w:ascii="Book Antiqua" w:hAnsi="Book Antiqua"/>
                <w:sz w:val="22"/>
                <w:lang w:eastAsia="es-CR"/>
              </w:rPr>
              <w:t>17</w:t>
            </w:r>
          </w:p>
        </w:tc>
      </w:tr>
    </w:tbl>
    <w:p w14:paraId="4A36CF92" w14:textId="77777777" w:rsidR="001341EC" w:rsidRPr="00F53CB0" w:rsidRDefault="001341EC" w:rsidP="001341EC">
      <w:pPr>
        <w:ind w:left="1276" w:right="1798"/>
        <w:jc w:val="both"/>
        <w:rPr>
          <w:rFonts w:ascii="Book Antiqua" w:hAnsi="Book Antiqua"/>
          <w:b/>
          <w:i/>
          <w:sz w:val="18"/>
        </w:rPr>
      </w:pPr>
      <w:r w:rsidRPr="00F53CB0">
        <w:rPr>
          <w:rFonts w:ascii="Book Antiqua" w:hAnsi="Book Antiqua"/>
          <w:b/>
          <w:i/>
          <w:sz w:val="18"/>
        </w:rPr>
        <w:t>Fuente: Elaboración propia.</w:t>
      </w:r>
    </w:p>
    <w:p w14:paraId="33C5FEAA" w14:textId="77777777" w:rsidR="001341EC" w:rsidRPr="00F53CB0" w:rsidRDefault="001341EC" w:rsidP="001341EC">
      <w:pPr>
        <w:ind w:left="993" w:right="1798"/>
        <w:jc w:val="both"/>
        <w:rPr>
          <w:rFonts w:ascii="Book Antiqua" w:hAnsi="Book Antiqua"/>
          <w:b/>
          <w:i/>
          <w:sz w:val="18"/>
        </w:rPr>
      </w:pPr>
    </w:p>
    <w:p w14:paraId="4DC78571" w14:textId="77777777" w:rsidR="001341EC" w:rsidRPr="00055D4B" w:rsidRDefault="001341EC" w:rsidP="001341EC">
      <w:pPr>
        <w:jc w:val="both"/>
        <w:rPr>
          <w:rFonts w:ascii="Book Antiqua" w:hAnsi="Book Antiqua"/>
          <w:sz w:val="22"/>
        </w:rPr>
      </w:pPr>
    </w:p>
    <w:p w14:paraId="7A57170A" w14:textId="77777777" w:rsidR="001341EC" w:rsidRPr="00055D4B" w:rsidRDefault="001341EC" w:rsidP="001341EC">
      <w:pPr>
        <w:jc w:val="both"/>
        <w:rPr>
          <w:rFonts w:ascii="Book Antiqua" w:hAnsi="Book Antiqua"/>
          <w:sz w:val="22"/>
        </w:rPr>
      </w:pPr>
      <w:r w:rsidRPr="00055D4B">
        <w:rPr>
          <w:rFonts w:ascii="Book Antiqua" w:hAnsi="Book Antiqua"/>
          <w:sz w:val="22"/>
        </w:rPr>
        <w:t>Del cuadro anterior se observa que la Jurisdicción Agraria está conformada por una cantidad mayor de despachos jurisdiccionales especializados (82%), quedando en una condición mixta tres Juzgados (en las zonas de Buenos Aires, Upala y Turrialba) y existe un único Tribunal Agrario con sede en San Jose, Goicoechea que tiene la competencia en segunda instancia a nivel nacional, además de que la última instancia en materia agraria le corresponde a la Sala Primera.</w:t>
      </w:r>
    </w:p>
    <w:p w14:paraId="7A1BD669" w14:textId="77777777" w:rsidR="001341EC" w:rsidRPr="00055D4B" w:rsidRDefault="001341EC" w:rsidP="001341EC">
      <w:pPr>
        <w:jc w:val="both"/>
        <w:rPr>
          <w:rFonts w:ascii="Book Antiqua" w:hAnsi="Book Antiqua"/>
          <w:sz w:val="22"/>
        </w:rPr>
      </w:pPr>
    </w:p>
    <w:p w14:paraId="18FD7D0C" w14:textId="77777777" w:rsidR="001341EC" w:rsidRPr="00055D4B" w:rsidRDefault="001341EC" w:rsidP="001341EC">
      <w:pPr>
        <w:jc w:val="both"/>
        <w:rPr>
          <w:rFonts w:ascii="Book Antiqua" w:hAnsi="Book Antiqua"/>
          <w:sz w:val="22"/>
        </w:rPr>
      </w:pPr>
      <w:r w:rsidRPr="00055D4B">
        <w:rPr>
          <w:rFonts w:ascii="Book Antiqua" w:hAnsi="Book Antiqua"/>
          <w:sz w:val="22"/>
        </w:rPr>
        <w:t xml:space="preserve">Actualmente la Jurisdicción Agraria ha implementado la herramienta del Escritorio Virtual en todos los Despachos judiciales a saber, dando cumplimiento al uso del expediente electrónico y a la Política de Cero Papel: </w:t>
      </w:r>
    </w:p>
    <w:p w14:paraId="4FB2F56C" w14:textId="77777777" w:rsidR="001341EC" w:rsidRPr="00055D4B" w:rsidRDefault="001341EC" w:rsidP="001341EC">
      <w:pPr>
        <w:jc w:val="both"/>
        <w:rPr>
          <w:rFonts w:ascii="Book Antiqua" w:hAnsi="Book Antiqua"/>
          <w:sz w:val="22"/>
        </w:rPr>
      </w:pPr>
    </w:p>
    <w:p w14:paraId="1F7E15B1"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 xml:space="preserve">Sala Primera (híbrido), </w:t>
      </w:r>
    </w:p>
    <w:p w14:paraId="4312D887"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Tribunal Agrario,</w:t>
      </w:r>
    </w:p>
    <w:p w14:paraId="450999D8"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Agrario del Segundo Circuito Judicial de San José</w:t>
      </w:r>
    </w:p>
    <w:p w14:paraId="1C5FD567"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Agrario del Primer Circuito Judicial de Alajuela</w:t>
      </w:r>
    </w:p>
    <w:p w14:paraId="238A9368"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Agrario del Segundo Circuito Judicial de Alajuela</w:t>
      </w:r>
    </w:p>
    <w:p w14:paraId="1645BF18"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Agrario del Tercer Circuito Judicial de Alajuela</w:t>
      </w:r>
    </w:p>
    <w:p w14:paraId="0CC0CC0C"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Agrario del Circuito Judicial de Cartago</w:t>
      </w:r>
    </w:p>
    <w:p w14:paraId="5B60910B"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Agrario de Puntarenas</w:t>
      </w:r>
    </w:p>
    <w:p w14:paraId="22A9450A"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Agrario del Primer Circuito Judicial de la Zona Sur</w:t>
      </w:r>
    </w:p>
    <w:p w14:paraId="52CA55A4"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Agrario del Segundo Circuito Judicial de la Zona Sur</w:t>
      </w:r>
    </w:p>
    <w:p w14:paraId="37445995"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Agrario del Primer Circuito Judicial de Guanacaste</w:t>
      </w:r>
    </w:p>
    <w:p w14:paraId="542D7D46"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Agrario del Segundo Circuito Judicial de Guanacaste</w:t>
      </w:r>
    </w:p>
    <w:p w14:paraId="702BBF97"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Agrario del Primer Circuito Judicial de la Zona Atlántica</w:t>
      </w:r>
    </w:p>
    <w:p w14:paraId="596209E7"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Civil y Trabajo del Segundo Circuito Judicial de Alajuela (Upala)</w:t>
      </w:r>
    </w:p>
    <w:p w14:paraId="2122BB1C"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Civil, Trabajo y Familia Buenos Aires</w:t>
      </w:r>
    </w:p>
    <w:p w14:paraId="4C70F2FE"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Civil, Trabajo y Agrario de Turrialba</w:t>
      </w:r>
    </w:p>
    <w:p w14:paraId="2426E19A" w14:textId="77777777" w:rsidR="001341EC" w:rsidRPr="00055D4B" w:rsidRDefault="001341EC" w:rsidP="001341EC">
      <w:pPr>
        <w:numPr>
          <w:ilvl w:val="0"/>
          <w:numId w:val="3"/>
        </w:numPr>
        <w:jc w:val="both"/>
        <w:rPr>
          <w:rFonts w:ascii="Book Antiqua" w:hAnsi="Book Antiqua"/>
          <w:sz w:val="22"/>
        </w:rPr>
      </w:pPr>
      <w:r w:rsidRPr="00055D4B">
        <w:rPr>
          <w:rFonts w:ascii="Book Antiqua" w:hAnsi="Book Antiqua"/>
          <w:sz w:val="22"/>
        </w:rPr>
        <w:t>Juzgado Agrario del Segundo Circuito Judicial de la Zona Atlántica</w:t>
      </w:r>
    </w:p>
    <w:p w14:paraId="02A996EF" w14:textId="77777777" w:rsidR="001341EC" w:rsidRPr="00055D4B" w:rsidRDefault="001341EC" w:rsidP="001341EC">
      <w:pPr>
        <w:ind w:left="720"/>
        <w:jc w:val="both"/>
        <w:rPr>
          <w:rFonts w:ascii="Book Antiqua" w:hAnsi="Book Antiqua"/>
          <w:sz w:val="22"/>
        </w:rPr>
      </w:pPr>
    </w:p>
    <w:p w14:paraId="3F0FF4F7" w14:textId="77777777" w:rsidR="001341EC" w:rsidRPr="00055D4B" w:rsidRDefault="001341EC" w:rsidP="001341EC">
      <w:pPr>
        <w:jc w:val="both"/>
        <w:rPr>
          <w:rFonts w:ascii="Book Antiqua" w:hAnsi="Book Antiqua"/>
          <w:sz w:val="22"/>
        </w:rPr>
      </w:pPr>
    </w:p>
    <w:p w14:paraId="62356CAA" w14:textId="77777777" w:rsidR="001341EC" w:rsidRPr="00A645E5" w:rsidRDefault="001341EC" w:rsidP="001341EC">
      <w:pPr>
        <w:pStyle w:val="Ttulo2"/>
        <w:keepLines/>
        <w:numPr>
          <w:ilvl w:val="1"/>
          <w:numId w:val="42"/>
        </w:numPr>
        <w:spacing w:before="40" w:after="0"/>
        <w:rPr>
          <w:rFonts w:ascii="Book Antiqua" w:hAnsi="Book Antiqua"/>
          <w:sz w:val="22"/>
        </w:rPr>
      </w:pPr>
      <w:r>
        <w:rPr>
          <w:rFonts w:ascii="Book Antiqua" w:hAnsi="Book Antiqua"/>
          <w:sz w:val="22"/>
          <w:lang w:val="es-MX"/>
        </w:rPr>
        <w:t xml:space="preserve"> </w:t>
      </w:r>
      <w:r w:rsidRPr="00A645E5">
        <w:rPr>
          <w:rFonts w:ascii="Book Antiqua" w:hAnsi="Book Antiqua"/>
          <w:sz w:val="22"/>
        </w:rPr>
        <w:t>Ámbito Auxiliar de Justicia</w:t>
      </w:r>
    </w:p>
    <w:p w14:paraId="3696AACC" w14:textId="77777777" w:rsidR="001341EC" w:rsidRPr="00055D4B" w:rsidRDefault="001341EC" w:rsidP="001341EC">
      <w:pPr>
        <w:jc w:val="both"/>
        <w:rPr>
          <w:rFonts w:ascii="Book Antiqua" w:hAnsi="Book Antiqua"/>
          <w:sz w:val="22"/>
        </w:rPr>
      </w:pPr>
    </w:p>
    <w:p w14:paraId="4D23234F" w14:textId="77777777" w:rsidR="001341EC" w:rsidRPr="00055D4B" w:rsidRDefault="001341EC" w:rsidP="001341EC">
      <w:pPr>
        <w:jc w:val="both"/>
        <w:rPr>
          <w:rFonts w:ascii="Book Antiqua" w:hAnsi="Book Antiqua"/>
          <w:sz w:val="22"/>
        </w:rPr>
      </w:pPr>
      <w:r w:rsidRPr="00055D4B">
        <w:rPr>
          <w:rFonts w:ascii="Book Antiqua" w:hAnsi="Book Antiqua"/>
          <w:sz w:val="22"/>
        </w:rPr>
        <w:t>Con base en la información aportada por la Administración de la Defensa Pública, se determina que, a la fecha, la Defensa Pública cuenta con 16 plazas de Defensor Público en materia Agraria, distribuidas en 14 Circuitos Judiciales del país, según el siguiente detalle:</w:t>
      </w:r>
    </w:p>
    <w:p w14:paraId="580E6750" w14:textId="77777777" w:rsidR="001341EC" w:rsidRDefault="001341EC" w:rsidP="001341EC">
      <w:pPr>
        <w:pStyle w:val="Descripcin"/>
        <w:widowControl/>
        <w:autoSpaceDE/>
        <w:autoSpaceDN/>
        <w:adjustRightInd/>
        <w:spacing w:line="276" w:lineRule="auto"/>
        <w:jc w:val="center"/>
        <w:rPr>
          <w:rFonts w:ascii="Book Antiqua" w:hAnsi="Book Antiqua"/>
          <w:b w:val="0"/>
          <w:bCs w:val="0"/>
          <w:i/>
          <w:iCs/>
          <w:sz w:val="22"/>
          <w:szCs w:val="24"/>
          <w:lang w:val="es-CR"/>
        </w:rPr>
      </w:pPr>
    </w:p>
    <w:p w14:paraId="3B9E4B31"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 xml:space="preserve">Cuadro </w:t>
      </w:r>
      <w:r w:rsidR="009A23D1" w:rsidRPr="00126FA8">
        <w:rPr>
          <w:rFonts w:ascii="Book Antiqua" w:hAnsi="Book Antiqua"/>
          <w:bCs w:val="0"/>
          <w:iCs/>
          <w:sz w:val="22"/>
          <w:szCs w:val="24"/>
          <w:lang w:val="es-CR"/>
        </w:rPr>
        <w:fldChar w:fldCharType="begin"/>
      </w:r>
      <w:r w:rsidRPr="00126FA8">
        <w:rPr>
          <w:rFonts w:ascii="Book Antiqua" w:hAnsi="Book Antiqua"/>
          <w:bCs w:val="0"/>
          <w:iCs/>
          <w:sz w:val="22"/>
          <w:szCs w:val="24"/>
          <w:lang w:val="es-CR"/>
        </w:rPr>
        <w:instrText xml:space="preserve"> SEQ Cuadro \* ARABIC </w:instrText>
      </w:r>
      <w:r w:rsidR="009A23D1" w:rsidRPr="00126FA8">
        <w:rPr>
          <w:rFonts w:ascii="Book Antiqua" w:hAnsi="Book Antiqua"/>
          <w:bCs w:val="0"/>
          <w:iCs/>
          <w:sz w:val="22"/>
          <w:szCs w:val="24"/>
          <w:lang w:val="es-CR"/>
        </w:rPr>
        <w:fldChar w:fldCharType="separate"/>
      </w:r>
      <w:r w:rsidRPr="00126FA8">
        <w:rPr>
          <w:rFonts w:ascii="Book Antiqua" w:hAnsi="Book Antiqua"/>
          <w:bCs w:val="0"/>
          <w:iCs/>
          <w:sz w:val="22"/>
          <w:szCs w:val="24"/>
          <w:lang w:val="es-CR"/>
        </w:rPr>
        <w:t>2</w:t>
      </w:r>
      <w:r w:rsidR="009A23D1" w:rsidRPr="00126FA8">
        <w:rPr>
          <w:rFonts w:ascii="Book Antiqua" w:hAnsi="Book Antiqua"/>
          <w:bCs w:val="0"/>
          <w:iCs/>
          <w:sz w:val="22"/>
          <w:szCs w:val="24"/>
          <w:lang w:val="es-CR"/>
        </w:rPr>
        <w:fldChar w:fldCharType="end"/>
      </w:r>
    </w:p>
    <w:p w14:paraId="42B77C8E"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Ubicación de las plazas de Defensora o Defensor Público de acuerdo con condición y Circuito Judicial</w:t>
      </w:r>
    </w:p>
    <w:p w14:paraId="143220B1" w14:textId="77777777" w:rsidR="001341EC" w:rsidRPr="00A834C8" w:rsidRDefault="001341EC" w:rsidP="001341EC">
      <w:pPr>
        <w:rPr>
          <w:rFonts w:ascii="Book Antiqua" w:hAnsi="Book Antiqua"/>
          <w:sz w:val="22"/>
          <w:szCs w:val="22"/>
        </w:rPr>
      </w:pPr>
    </w:p>
    <w:tbl>
      <w:tblPr>
        <w:tblW w:w="0" w:type="auto"/>
        <w:tblCellMar>
          <w:left w:w="70" w:type="dxa"/>
          <w:right w:w="70" w:type="dxa"/>
        </w:tblCellMar>
        <w:tblLook w:val="04A0" w:firstRow="1" w:lastRow="0" w:firstColumn="1" w:lastColumn="0" w:noHBand="0" w:noVBand="1"/>
      </w:tblPr>
      <w:tblGrid>
        <w:gridCol w:w="2622"/>
        <w:gridCol w:w="2123"/>
        <w:gridCol w:w="4047"/>
      </w:tblGrid>
      <w:tr w:rsidR="001341EC" w:rsidRPr="00493BFE" w14:paraId="02E33AF6" w14:textId="77777777" w:rsidTr="00165AA6">
        <w:trPr>
          <w:cantSplit/>
          <w:trHeight w:val="20"/>
        </w:trPr>
        <w:tc>
          <w:tcPr>
            <w:tcW w:w="0" w:type="auto"/>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621CD641" w14:textId="77777777" w:rsidR="001341EC" w:rsidRPr="00A834C8" w:rsidRDefault="001341EC" w:rsidP="00165AA6">
            <w:pPr>
              <w:jc w:val="center"/>
              <w:rPr>
                <w:rFonts w:ascii="Book Antiqua" w:hAnsi="Book Antiqua"/>
                <w:b/>
                <w:bCs/>
                <w:color w:val="000000"/>
                <w:lang w:eastAsia="es-CR"/>
              </w:rPr>
            </w:pPr>
            <w:r w:rsidRPr="00A834C8">
              <w:rPr>
                <w:rFonts w:ascii="Book Antiqua" w:hAnsi="Book Antiqua"/>
                <w:b/>
                <w:bCs/>
                <w:color w:val="000000"/>
                <w:sz w:val="22"/>
                <w:szCs w:val="22"/>
                <w:lang w:eastAsia="es-CR"/>
              </w:rPr>
              <w:t>Cantidad de Plazas de Defensor</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07545F0C" w14:textId="77777777" w:rsidR="001341EC" w:rsidRPr="00A834C8" w:rsidRDefault="001341EC" w:rsidP="00165AA6">
            <w:pPr>
              <w:jc w:val="center"/>
              <w:rPr>
                <w:rFonts w:ascii="Book Antiqua" w:hAnsi="Book Antiqua"/>
                <w:b/>
                <w:bCs/>
                <w:color w:val="000000"/>
                <w:lang w:eastAsia="es-CR"/>
              </w:rPr>
            </w:pPr>
            <w:r w:rsidRPr="00A834C8">
              <w:rPr>
                <w:rFonts w:ascii="Book Antiqua" w:hAnsi="Book Antiqua"/>
                <w:b/>
                <w:bCs/>
                <w:color w:val="000000"/>
                <w:sz w:val="22"/>
                <w:szCs w:val="22"/>
                <w:lang w:eastAsia="es-CR"/>
              </w:rPr>
              <w:t>Condición de la Plaza</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4ACF0442" w14:textId="77777777" w:rsidR="001341EC" w:rsidRPr="00A834C8" w:rsidRDefault="001341EC" w:rsidP="00165AA6">
            <w:pPr>
              <w:jc w:val="center"/>
              <w:rPr>
                <w:rFonts w:ascii="Book Antiqua" w:hAnsi="Book Antiqua"/>
                <w:b/>
                <w:bCs/>
                <w:color w:val="000000"/>
                <w:lang w:eastAsia="es-CR"/>
              </w:rPr>
            </w:pPr>
            <w:r w:rsidRPr="00A834C8">
              <w:rPr>
                <w:rFonts w:ascii="Book Antiqua" w:hAnsi="Book Antiqua"/>
                <w:b/>
                <w:bCs/>
                <w:color w:val="000000"/>
                <w:sz w:val="22"/>
                <w:szCs w:val="22"/>
                <w:lang w:eastAsia="es-CR"/>
              </w:rPr>
              <w:t>Destacada en:</w:t>
            </w:r>
          </w:p>
        </w:tc>
      </w:tr>
      <w:tr w:rsidR="001341EC" w:rsidRPr="00493BFE" w14:paraId="4B942CA4"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259A0D1"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 Coordinador</w:t>
            </w:r>
          </w:p>
        </w:tc>
        <w:tc>
          <w:tcPr>
            <w:tcW w:w="0" w:type="auto"/>
            <w:tcBorders>
              <w:top w:val="nil"/>
              <w:left w:val="nil"/>
              <w:bottom w:val="double" w:sz="6" w:space="0" w:color="1F497D"/>
              <w:right w:val="double" w:sz="6" w:space="0" w:color="1F497D"/>
            </w:tcBorders>
            <w:shd w:val="clear" w:color="auto" w:fill="auto"/>
            <w:vAlign w:val="center"/>
            <w:hideMark/>
          </w:tcPr>
          <w:p w14:paraId="237B6DA3"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Ordinaria en propiedad</w:t>
            </w:r>
          </w:p>
        </w:tc>
        <w:tc>
          <w:tcPr>
            <w:tcW w:w="0" w:type="auto"/>
            <w:tcBorders>
              <w:top w:val="nil"/>
              <w:left w:val="nil"/>
              <w:bottom w:val="double" w:sz="6" w:space="0" w:color="1F497D"/>
              <w:right w:val="double" w:sz="6" w:space="0" w:color="1F497D"/>
            </w:tcBorders>
            <w:shd w:val="clear" w:color="auto" w:fill="auto"/>
            <w:vAlign w:val="center"/>
            <w:hideMark/>
          </w:tcPr>
          <w:p w14:paraId="5129CC6C"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el Primer Circuito Judicial de San José</w:t>
            </w:r>
          </w:p>
        </w:tc>
      </w:tr>
      <w:tr w:rsidR="001341EC" w:rsidRPr="00493BFE" w14:paraId="0086307B"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E816E84"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67976C0"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Ordinaria en propiedad</w:t>
            </w:r>
          </w:p>
        </w:tc>
        <w:tc>
          <w:tcPr>
            <w:tcW w:w="0" w:type="auto"/>
            <w:tcBorders>
              <w:top w:val="nil"/>
              <w:left w:val="nil"/>
              <w:bottom w:val="double" w:sz="6" w:space="0" w:color="1F497D"/>
              <w:right w:val="double" w:sz="6" w:space="0" w:color="1F497D"/>
            </w:tcBorders>
            <w:shd w:val="clear" w:color="auto" w:fill="auto"/>
            <w:vAlign w:val="center"/>
            <w:hideMark/>
          </w:tcPr>
          <w:p w14:paraId="4CCD7173"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Guápiles</w:t>
            </w:r>
          </w:p>
        </w:tc>
      </w:tr>
      <w:tr w:rsidR="001341EC" w:rsidRPr="00493BFE" w14:paraId="4477932B"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6FEA125"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6178E6B3"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Ordinaria en propiedad</w:t>
            </w:r>
          </w:p>
        </w:tc>
        <w:tc>
          <w:tcPr>
            <w:tcW w:w="0" w:type="auto"/>
            <w:tcBorders>
              <w:top w:val="nil"/>
              <w:left w:val="nil"/>
              <w:bottom w:val="double" w:sz="6" w:space="0" w:color="1F497D"/>
              <w:right w:val="double" w:sz="6" w:space="0" w:color="1F497D"/>
            </w:tcBorders>
            <w:shd w:val="clear" w:color="auto" w:fill="auto"/>
            <w:vAlign w:val="center"/>
            <w:hideMark/>
          </w:tcPr>
          <w:p w14:paraId="763759A9"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Limón</w:t>
            </w:r>
          </w:p>
        </w:tc>
      </w:tr>
      <w:tr w:rsidR="001341EC" w:rsidRPr="00493BFE" w14:paraId="7E163746"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A55AC51"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03C07526"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Ordinaria en propiedad</w:t>
            </w:r>
          </w:p>
        </w:tc>
        <w:tc>
          <w:tcPr>
            <w:tcW w:w="0" w:type="auto"/>
            <w:tcBorders>
              <w:top w:val="nil"/>
              <w:left w:val="nil"/>
              <w:bottom w:val="double" w:sz="6" w:space="0" w:color="1F497D"/>
              <w:right w:val="double" w:sz="6" w:space="0" w:color="1F497D"/>
            </w:tcBorders>
            <w:shd w:val="clear" w:color="auto" w:fill="auto"/>
            <w:vAlign w:val="center"/>
            <w:hideMark/>
          </w:tcPr>
          <w:p w14:paraId="095ADE7E"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Pérez Zeledón</w:t>
            </w:r>
          </w:p>
        </w:tc>
      </w:tr>
      <w:tr w:rsidR="001341EC" w:rsidRPr="00493BFE" w14:paraId="194B4149"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5537EC7"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5F3365FE"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Ordinaria en propiedad</w:t>
            </w:r>
          </w:p>
        </w:tc>
        <w:tc>
          <w:tcPr>
            <w:tcW w:w="0" w:type="auto"/>
            <w:tcBorders>
              <w:top w:val="nil"/>
              <w:left w:val="nil"/>
              <w:bottom w:val="double" w:sz="6" w:space="0" w:color="1F497D"/>
              <w:right w:val="double" w:sz="6" w:space="0" w:color="1F497D"/>
            </w:tcBorders>
            <w:shd w:val="clear" w:color="auto" w:fill="auto"/>
            <w:vAlign w:val="center"/>
            <w:hideMark/>
          </w:tcPr>
          <w:p w14:paraId="51DCA8F9"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Ciudad Neily</w:t>
            </w:r>
          </w:p>
        </w:tc>
      </w:tr>
      <w:tr w:rsidR="001341EC" w:rsidRPr="00493BFE" w14:paraId="4520146A"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714456A"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5FB7E0AD"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Ordinaria en propiedad</w:t>
            </w:r>
          </w:p>
        </w:tc>
        <w:tc>
          <w:tcPr>
            <w:tcW w:w="0" w:type="auto"/>
            <w:tcBorders>
              <w:top w:val="nil"/>
              <w:left w:val="nil"/>
              <w:bottom w:val="double" w:sz="6" w:space="0" w:color="1F497D"/>
              <w:right w:val="double" w:sz="6" w:space="0" w:color="1F497D"/>
            </w:tcBorders>
            <w:shd w:val="clear" w:color="auto" w:fill="auto"/>
            <w:vAlign w:val="center"/>
            <w:hideMark/>
          </w:tcPr>
          <w:p w14:paraId="2C333FB7"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Liberia</w:t>
            </w:r>
          </w:p>
        </w:tc>
      </w:tr>
      <w:tr w:rsidR="001341EC" w:rsidRPr="00493BFE" w14:paraId="4A31106F"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ABC048A"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A0720C4"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Ordinaria en propiedad</w:t>
            </w:r>
          </w:p>
        </w:tc>
        <w:tc>
          <w:tcPr>
            <w:tcW w:w="0" w:type="auto"/>
            <w:tcBorders>
              <w:top w:val="nil"/>
              <w:left w:val="nil"/>
              <w:bottom w:val="double" w:sz="6" w:space="0" w:color="1F497D"/>
              <w:right w:val="double" w:sz="6" w:space="0" w:color="1F497D"/>
            </w:tcBorders>
            <w:shd w:val="clear" w:color="auto" w:fill="auto"/>
            <w:vAlign w:val="center"/>
            <w:hideMark/>
          </w:tcPr>
          <w:p w14:paraId="1E80B1C8"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Nicoya (adscrita a Santa Cruz)</w:t>
            </w:r>
          </w:p>
        </w:tc>
      </w:tr>
      <w:tr w:rsidR="001341EC" w:rsidRPr="00493BFE" w14:paraId="59320536"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75056CD"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401EE691"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Ordinaria vacante</w:t>
            </w:r>
          </w:p>
        </w:tc>
        <w:tc>
          <w:tcPr>
            <w:tcW w:w="0" w:type="auto"/>
            <w:tcBorders>
              <w:top w:val="nil"/>
              <w:left w:val="nil"/>
              <w:bottom w:val="double" w:sz="6" w:space="0" w:color="1F497D"/>
              <w:right w:val="double" w:sz="6" w:space="0" w:color="1F497D"/>
            </w:tcBorders>
            <w:shd w:val="clear" w:color="auto" w:fill="auto"/>
            <w:vAlign w:val="center"/>
            <w:hideMark/>
          </w:tcPr>
          <w:p w14:paraId="7C801852"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Buenos Aires</w:t>
            </w:r>
          </w:p>
        </w:tc>
      </w:tr>
      <w:tr w:rsidR="001341EC" w:rsidRPr="00493BFE" w14:paraId="4357AE14"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EFED988"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41EC2C58"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Extraordinaria</w:t>
            </w:r>
          </w:p>
        </w:tc>
        <w:tc>
          <w:tcPr>
            <w:tcW w:w="0" w:type="auto"/>
            <w:tcBorders>
              <w:top w:val="nil"/>
              <w:left w:val="nil"/>
              <w:bottom w:val="double" w:sz="6" w:space="0" w:color="1F497D"/>
              <w:right w:val="double" w:sz="6" w:space="0" w:color="1F497D"/>
            </w:tcBorders>
            <w:shd w:val="clear" w:color="auto" w:fill="auto"/>
            <w:vAlign w:val="center"/>
            <w:hideMark/>
          </w:tcPr>
          <w:p w14:paraId="1C6E0237"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el Primer Circuito de San José</w:t>
            </w:r>
          </w:p>
        </w:tc>
      </w:tr>
      <w:tr w:rsidR="001341EC" w:rsidRPr="00493BFE" w14:paraId="6A00CE21"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5BE14A7"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382B06E9"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Extraordinaria</w:t>
            </w:r>
          </w:p>
        </w:tc>
        <w:tc>
          <w:tcPr>
            <w:tcW w:w="0" w:type="auto"/>
            <w:tcBorders>
              <w:top w:val="nil"/>
              <w:left w:val="nil"/>
              <w:bottom w:val="double" w:sz="6" w:space="0" w:color="1F497D"/>
              <w:right w:val="double" w:sz="6" w:space="0" w:color="1F497D"/>
            </w:tcBorders>
            <w:shd w:val="clear" w:color="auto" w:fill="auto"/>
            <w:vAlign w:val="center"/>
            <w:hideMark/>
          </w:tcPr>
          <w:p w14:paraId="65B4F3FB"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Turrialba</w:t>
            </w:r>
          </w:p>
        </w:tc>
      </w:tr>
      <w:tr w:rsidR="001341EC" w:rsidRPr="00493BFE" w14:paraId="5C38BBEE"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BF0C20C"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E511C14"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Extraordinaria</w:t>
            </w:r>
          </w:p>
        </w:tc>
        <w:tc>
          <w:tcPr>
            <w:tcW w:w="0" w:type="auto"/>
            <w:tcBorders>
              <w:top w:val="nil"/>
              <w:left w:val="nil"/>
              <w:bottom w:val="double" w:sz="6" w:space="0" w:color="1F497D"/>
              <w:right w:val="double" w:sz="6" w:space="0" w:color="1F497D"/>
            </w:tcBorders>
            <w:shd w:val="clear" w:color="auto" w:fill="auto"/>
            <w:vAlign w:val="center"/>
            <w:hideMark/>
          </w:tcPr>
          <w:p w14:paraId="28AEFD50"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Cartago</w:t>
            </w:r>
          </w:p>
        </w:tc>
      </w:tr>
      <w:tr w:rsidR="001341EC" w:rsidRPr="00493BFE" w14:paraId="78F254CD"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78E7973"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7FD5D809"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Extraordinaria</w:t>
            </w:r>
          </w:p>
        </w:tc>
        <w:tc>
          <w:tcPr>
            <w:tcW w:w="0" w:type="auto"/>
            <w:tcBorders>
              <w:top w:val="nil"/>
              <w:left w:val="nil"/>
              <w:bottom w:val="double" w:sz="6" w:space="0" w:color="1F497D"/>
              <w:right w:val="double" w:sz="6" w:space="0" w:color="1F497D"/>
            </w:tcBorders>
            <w:shd w:val="clear" w:color="auto" w:fill="auto"/>
            <w:vAlign w:val="center"/>
            <w:hideMark/>
          </w:tcPr>
          <w:p w14:paraId="49CDD85D"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Alajuela</w:t>
            </w:r>
          </w:p>
        </w:tc>
      </w:tr>
      <w:tr w:rsidR="001341EC" w:rsidRPr="00493BFE" w14:paraId="57E77491"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3AC47B2"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034717AA"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Extraordinaria</w:t>
            </w:r>
          </w:p>
        </w:tc>
        <w:tc>
          <w:tcPr>
            <w:tcW w:w="0" w:type="auto"/>
            <w:tcBorders>
              <w:top w:val="nil"/>
              <w:left w:val="nil"/>
              <w:bottom w:val="double" w:sz="6" w:space="0" w:color="1F497D"/>
              <w:right w:val="double" w:sz="6" w:space="0" w:color="1F497D"/>
            </w:tcBorders>
            <w:shd w:val="clear" w:color="auto" w:fill="auto"/>
            <w:vAlign w:val="center"/>
            <w:hideMark/>
          </w:tcPr>
          <w:p w14:paraId="59637760"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San Ramón</w:t>
            </w:r>
          </w:p>
        </w:tc>
      </w:tr>
      <w:tr w:rsidR="001341EC" w:rsidRPr="00493BFE" w14:paraId="5DF884DA"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56FD596"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0E61BF73"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Extraordinaria</w:t>
            </w:r>
          </w:p>
        </w:tc>
        <w:tc>
          <w:tcPr>
            <w:tcW w:w="0" w:type="auto"/>
            <w:tcBorders>
              <w:top w:val="nil"/>
              <w:left w:val="nil"/>
              <w:bottom w:val="double" w:sz="6" w:space="0" w:color="1F497D"/>
              <w:right w:val="double" w:sz="6" w:space="0" w:color="1F497D"/>
            </w:tcBorders>
            <w:shd w:val="clear" w:color="auto" w:fill="auto"/>
            <w:vAlign w:val="center"/>
            <w:hideMark/>
          </w:tcPr>
          <w:p w14:paraId="56FA5E17"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Upala</w:t>
            </w:r>
          </w:p>
        </w:tc>
      </w:tr>
      <w:tr w:rsidR="001341EC" w:rsidRPr="00493BFE" w14:paraId="4FCD2279"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220D79A3"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7A001EE7"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Extraordinaria</w:t>
            </w:r>
          </w:p>
        </w:tc>
        <w:tc>
          <w:tcPr>
            <w:tcW w:w="0" w:type="auto"/>
            <w:tcBorders>
              <w:top w:val="nil"/>
              <w:left w:val="nil"/>
              <w:bottom w:val="double" w:sz="6" w:space="0" w:color="1F497D"/>
              <w:right w:val="double" w:sz="6" w:space="0" w:color="1F497D"/>
            </w:tcBorders>
            <w:shd w:val="clear" w:color="auto" w:fill="auto"/>
            <w:vAlign w:val="center"/>
            <w:hideMark/>
          </w:tcPr>
          <w:p w14:paraId="71AE8910"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Defensa Pública en Puntarenas</w:t>
            </w:r>
          </w:p>
        </w:tc>
      </w:tr>
    </w:tbl>
    <w:p w14:paraId="0BB058F2" w14:textId="77777777" w:rsidR="001341EC" w:rsidRPr="00F53CB0" w:rsidRDefault="001341EC" w:rsidP="001341EC">
      <w:pPr>
        <w:jc w:val="both"/>
        <w:rPr>
          <w:rFonts w:ascii="Book Antiqua" w:hAnsi="Book Antiqua"/>
          <w:b/>
          <w:i/>
          <w:sz w:val="18"/>
        </w:rPr>
      </w:pPr>
      <w:r w:rsidRPr="00F53CB0">
        <w:rPr>
          <w:rFonts w:ascii="Book Antiqua" w:hAnsi="Book Antiqua"/>
          <w:b/>
          <w:i/>
          <w:sz w:val="18"/>
        </w:rPr>
        <w:t xml:space="preserve">Fuente: Defensa Pública </w:t>
      </w:r>
    </w:p>
    <w:p w14:paraId="0750FF5A" w14:textId="77777777" w:rsidR="001341EC" w:rsidRPr="00F53CB0" w:rsidRDefault="001341EC" w:rsidP="001341EC">
      <w:pPr>
        <w:jc w:val="both"/>
        <w:rPr>
          <w:rFonts w:ascii="Book Antiqua" w:hAnsi="Book Antiqua"/>
        </w:rPr>
      </w:pPr>
    </w:p>
    <w:p w14:paraId="4960E574" w14:textId="77777777" w:rsidR="001341EC" w:rsidRPr="00055D4B" w:rsidRDefault="001341EC" w:rsidP="00FE7CB4">
      <w:pPr>
        <w:spacing w:line="236" w:lineRule="auto"/>
        <w:ind w:right="49"/>
        <w:jc w:val="both"/>
        <w:rPr>
          <w:rFonts w:ascii="Book Antiqua" w:hAnsi="Book Antiqua"/>
          <w:sz w:val="22"/>
        </w:rPr>
      </w:pPr>
      <w:r w:rsidRPr="00055D4B">
        <w:rPr>
          <w:rFonts w:ascii="Book Antiqua" w:hAnsi="Book Antiqua"/>
          <w:sz w:val="22"/>
        </w:rPr>
        <w:t>Para atender a las personas usuarias, de los casos tramitados en cada Juzgado Agrario, es necesario que se asigne a varios Defensoras y Defensores Públicas Agrarias.</w:t>
      </w:r>
    </w:p>
    <w:p w14:paraId="254F711A" w14:textId="77777777" w:rsidR="001341EC" w:rsidRPr="00055D4B" w:rsidRDefault="001341EC" w:rsidP="001341EC">
      <w:pPr>
        <w:spacing w:line="236" w:lineRule="auto"/>
        <w:ind w:right="260"/>
        <w:jc w:val="both"/>
        <w:rPr>
          <w:rFonts w:ascii="Book Antiqua" w:hAnsi="Book Antiqua"/>
          <w:sz w:val="22"/>
        </w:rPr>
      </w:pPr>
    </w:p>
    <w:p w14:paraId="73B2C3BD"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lastRenderedPageBreak/>
        <w:t>Las personas usuarias de la materia Agraria atendidas por la Defensa Pública son en su mayoría integrantes de poblaciones en condiciones de vulnerabilidad, a quienes se les debe asegurar el derecho de defensa como parte integral del derecho al acceso a la Justicia.</w:t>
      </w:r>
      <w:r w:rsidRPr="00055D4B">
        <w:rPr>
          <w:rFonts w:ascii="Book Antiqua" w:hAnsi="Book Antiqua"/>
          <w:b/>
          <w:i/>
          <w:sz w:val="22"/>
          <w:szCs w:val="22"/>
        </w:rPr>
        <w:t xml:space="preserve"> </w:t>
      </w:r>
    </w:p>
    <w:p w14:paraId="2C0C2CF0" w14:textId="77777777" w:rsidR="001341EC" w:rsidRPr="00055D4B" w:rsidRDefault="001341EC" w:rsidP="001341EC">
      <w:pPr>
        <w:spacing w:line="236" w:lineRule="auto"/>
        <w:ind w:right="260"/>
        <w:jc w:val="both"/>
        <w:rPr>
          <w:rFonts w:ascii="Book Antiqua" w:hAnsi="Book Antiqua"/>
          <w:sz w:val="22"/>
          <w:szCs w:val="22"/>
        </w:rPr>
      </w:pPr>
    </w:p>
    <w:p w14:paraId="6A24AFA7"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Las plazas existentes (ordinarias y extraordinarias)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w:t>
      </w:r>
    </w:p>
    <w:p w14:paraId="1C7389EA" w14:textId="77777777" w:rsidR="001341EC" w:rsidRPr="00055D4B" w:rsidRDefault="001341EC" w:rsidP="001341EC">
      <w:pPr>
        <w:jc w:val="both"/>
        <w:rPr>
          <w:rFonts w:ascii="Book Antiqua" w:hAnsi="Book Antiqua"/>
          <w:sz w:val="22"/>
          <w:szCs w:val="22"/>
        </w:rPr>
      </w:pPr>
    </w:p>
    <w:p w14:paraId="177E8D3C"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A continuación, se explica cómo se atenderán los casos en los que existan intereses contrapuestos en una causa: </w:t>
      </w:r>
    </w:p>
    <w:p w14:paraId="6CFCE540" w14:textId="77777777" w:rsidR="001341EC" w:rsidRPr="00055D4B" w:rsidRDefault="001341EC" w:rsidP="001341EC">
      <w:pPr>
        <w:jc w:val="both"/>
        <w:rPr>
          <w:rFonts w:ascii="Book Antiqua" w:hAnsi="Book Antiqua"/>
          <w:sz w:val="22"/>
          <w:szCs w:val="22"/>
        </w:rPr>
      </w:pPr>
    </w:p>
    <w:p w14:paraId="3CF3B9C4"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Pr>
          <w:rFonts w:ascii="Book Antiqua" w:hAnsi="Book Antiqua"/>
          <w:sz w:val="22"/>
          <w:szCs w:val="22"/>
        </w:rPr>
        <w:t xml:space="preserve"> </w:t>
      </w:r>
      <w:r w:rsidRPr="00A645E5">
        <w:rPr>
          <w:rFonts w:ascii="Book Antiqua" w:hAnsi="Book Antiqua"/>
          <w:sz w:val="22"/>
          <w:szCs w:val="22"/>
        </w:rPr>
        <w:t xml:space="preserve">Juzgado Agrario de Liberia </w:t>
      </w:r>
    </w:p>
    <w:p w14:paraId="6D2A753C" w14:textId="77777777" w:rsidR="001341EC" w:rsidRPr="00055D4B" w:rsidRDefault="001341EC" w:rsidP="001341EC">
      <w:pPr>
        <w:spacing w:line="234" w:lineRule="auto"/>
        <w:ind w:right="260"/>
        <w:jc w:val="both"/>
        <w:rPr>
          <w:rFonts w:ascii="Book Antiqua" w:hAnsi="Book Antiqua"/>
          <w:sz w:val="22"/>
          <w:szCs w:val="22"/>
        </w:rPr>
      </w:pPr>
    </w:p>
    <w:p w14:paraId="10E06142"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La atención de las personas usuarias cuyos casos se tramitan en el Juzgado Agrario de Liberia las realiza la plaza de Defensor Público Agrario o Defensora Pública Agraria destacada en la Oficina Regional de la Defensa Pública de Liberia. En caso de que una persona usuaria contraparte requiera de los servicios de la Defensa Pública, aquélla es atendida por recargo por la plaza de Defensor Público Agrario o Defensora Pública Agraria destacada en la Oficina Regional de la Defensa Pública de Nicoya.</w:t>
      </w:r>
    </w:p>
    <w:p w14:paraId="0AFFC82B" w14:textId="77777777" w:rsidR="001341EC" w:rsidRPr="00055D4B" w:rsidRDefault="001341EC" w:rsidP="001341EC">
      <w:pPr>
        <w:spacing w:line="236" w:lineRule="auto"/>
        <w:ind w:right="260"/>
        <w:jc w:val="both"/>
        <w:rPr>
          <w:rFonts w:ascii="Book Antiqua" w:hAnsi="Book Antiqua"/>
          <w:sz w:val="22"/>
          <w:szCs w:val="22"/>
        </w:rPr>
      </w:pPr>
    </w:p>
    <w:p w14:paraId="11AECD06"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 Liberia, se procede de la siguiente forma:</w:t>
      </w:r>
    </w:p>
    <w:p w14:paraId="79FC29E1" w14:textId="77777777" w:rsidR="001341EC" w:rsidRPr="00055D4B" w:rsidRDefault="001341EC" w:rsidP="001341EC">
      <w:pPr>
        <w:spacing w:line="219" w:lineRule="exact"/>
        <w:rPr>
          <w:rFonts w:ascii="Book Antiqua" w:hAnsi="Book Antiqua"/>
          <w:sz w:val="22"/>
          <w:szCs w:val="22"/>
        </w:rPr>
      </w:pPr>
    </w:p>
    <w:p w14:paraId="59DFA09C" w14:textId="77777777" w:rsidR="001341EC" w:rsidRPr="00055D4B" w:rsidRDefault="001341EC" w:rsidP="001341EC">
      <w:pPr>
        <w:numPr>
          <w:ilvl w:val="0"/>
          <w:numId w:val="5"/>
        </w:numPr>
        <w:tabs>
          <w:tab w:val="clear" w:pos="0"/>
          <w:tab w:val="left" w:pos="980"/>
        </w:tabs>
        <w:spacing w:line="235"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Liberia;</w:t>
      </w:r>
    </w:p>
    <w:p w14:paraId="732174E2" w14:textId="77777777" w:rsidR="001341EC" w:rsidRPr="00055D4B" w:rsidRDefault="001341EC" w:rsidP="001341EC">
      <w:pPr>
        <w:spacing w:line="13" w:lineRule="exact"/>
        <w:rPr>
          <w:rFonts w:ascii="Book Antiqua" w:hAnsi="Book Antiqua"/>
          <w:sz w:val="22"/>
          <w:szCs w:val="22"/>
        </w:rPr>
      </w:pPr>
    </w:p>
    <w:p w14:paraId="658DF7BD" w14:textId="77777777" w:rsidR="001341EC" w:rsidRDefault="001341EC" w:rsidP="001341EC">
      <w:pPr>
        <w:numPr>
          <w:ilvl w:val="0"/>
          <w:numId w:val="5"/>
        </w:numPr>
        <w:tabs>
          <w:tab w:val="clear" w:pos="0"/>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Nicoya;</w:t>
      </w:r>
    </w:p>
    <w:p w14:paraId="1265EE65" w14:textId="77777777" w:rsidR="001341EC" w:rsidRDefault="001341EC" w:rsidP="001341EC">
      <w:pPr>
        <w:pStyle w:val="Prrafodelista"/>
        <w:rPr>
          <w:rFonts w:ascii="Book Antiqua" w:hAnsi="Book Antiqua"/>
          <w:sz w:val="22"/>
          <w:szCs w:val="22"/>
        </w:rPr>
      </w:pPr>
    </w:p>
    <w:p w14:paraId="6B775F46" w14:textId="77777777" w:rsidR="001341EC" w:rsidRPr="00055D4B" w:rsidRDefault="001341EC" w:rsidP="001341EC">
      <w:pPr>
        <w:spacing w:line="12" w:lineRule="exact"/>
        <w:rPr>
          <w:rFonts w:ascii="Book Antiqua" w:hAnsi="Book Antiqua"/>
          <w:sz w:val="22"/>
          <w:szCs w:val="22"/>
        </w:rPr>
      </w:pPr>
    </w:p>
    <w:p w14:paraId="5D8EDE50" w14:textId="77777777" w:rsidR="001341EC" w:rsidRPr="00055D4B" w:rsidRDefault="001341EC" w:rsidP="001341EC">
      <w:pPr>
        <w:numPr>
          <w:ilvl w:val="0"/>
          <w:numId w:val="5"/>
        </w:numPr>
        <w:tabs>
          <w:tab w:val="clear" w:pos="0"/>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Las otras personas usuarias son atendidas por alguna o algunas de las otras plazas de Defensor Público Agrario o Defensora Pública Agraria destacadas en otras oficinas regionales de la Defensa Pública (verbigracia, Puntarenas, San Ramón) o por la plaza de Coordinación, según lo disponga con criterio técnico el Defensor Público Agrario Coordinador de la Unidad de Defensa Agraria.</w:t>
      </w:r>
    </w:p>
    <w:p w14:paraId="4CF393D4" w14:textId="77777777" w:rsidR="001341EC" w:rsidRPr="00055D4B" w:rsidRDefault="001341EC" w:rsidP="001341EC">
      <w:pPr>
        <w:spacing w:line="234" w:lineRule="auto"/>
        <w:ind w:right="260"/>
        <w:jc w:val="both"/>
        <w:rPr>
          <w:rFonts w:ascii="Book Antiqua" w:hAnsi="Book Antiqua"/>
          <w:sz w:val="22"/>
          <w:szCs w:val="22"/>
        </w:rPr>
      </w:pPr>
    </w:p>
    <w:p w14:paraId="377B1404"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sidRPr="00A645E5">
        <w:rPr>
          <w:rFonts w:ascii="Book Antiqua" w:hAnsi="Book Antiqua"/>
          <w:sz w:val="22"/>
          <w:szCs w:val="22"/>
        </w:rPr>
        <w:t xml:space="preserve">Juzgado Agrario de Santa Cruz </w:t>
      </w:r>
    </w:p>
    <w:p w14:paraId="07BBBBCB" w14:textId="77777777" w:rsidR="001341EC" w:rsidRPr="00055D4B" w:rsidRDefault="001341EC" w:rsidP="001341EC">
      <w:pPr>
        <w:spacing w:line="234" w:lineRule="auto"/>
        <w:ind w:right="260"/>
        <w:jc w:val="both"/>
        <w:rPr>
          <w:rFonts w:ascii="Book Antiqua" w:hAnsi="Book Antiqua"/>
          <w:sz w:val="22"/>
          <w:szCs w:val="22"/>
        </w:rPr>
      </w:pPr>
    </w:p>
    <w:p w14:paraId="48200229"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 xml:space="preserve">Respecto de la atención de las personas usuarias cuyos casos se tramitan en el Juzgado Agrario de Santa Cruz. La atención de las personas usuarias cuyos casos se tramitan en </w:t>
      </w:r>
      <w:r w:rsidRPr="00055D4B">
        <w:rPr>
          <w:rFonts w:ascii="Book Antiqua" w:hAnsi="Book Antiqua"/>
          <w:sz w:val="22"/>
          <w:szCs w:val="22"/>
        </w:rPr>
        <w:lastRenderedPageBreak/>
        <w:t>el Juzgado Agrario de Santa Cruz la realiza la plaza de Defensor Público Agrario o Defensora Pública Agraria destacada en la Oficina Regional de la Defensa Pública de Nicoya. En caso de que una persona usuaria contraparte requiera de los servicios de la Defensa Pública, aquélla es atendida por recargo por la plaza de Defensor Público Agrario o Defensora Pública Agraria destacada en la Oficina Regional de la Defensa Pública de Liberia.</w:t>
      </w:r>
    </w:p>
    <w:p w14:paraId="0EFFA734" w14:textId="77777777" w:rsidR="001341EC" w:rsidRPr="00055D4B" w:rsidRDefault="001341EC" w:rsidP="001341EC">
      <w:pPr>
        <w:spacing w:line="295" w:lineRule="exact"/>
        <w:rPr>
          <w:rFonts w:ascii="Book Antiqua" w:hAnsi="Book Antiqua"/>
          <w:sz w:val="22"/>
          <w:szCs w:val="22"/>
        </w:rPr>
      </w:pPr>
    </w:p>
    <w:p w14:paraId="00BE343C"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 Santa Cruz, se procede de la siguiente forma:</w:t>
      </w:r>
    </w:p>
    <w:p w14:paraId="1BE69A12" w14:textId="77777777" w:rsidR="001341EC" w:rsidRPr="00055D4B" w:rsidRDefault="001341EC" w:rsidP="001341EC">
      <w:pPr>
        <w:spacing w:line="292" w:lineRule="exact"/>
        <w:rPr>
          <w:rFonts w:ascii="Book Antiqua" w:hAnsi="Book Antiqua"/>
          <w:sz w:val="22"/>
          <w:szCs w:val="22"/>
        </w:rPr>
      </w:pPr>
    </w:p>
    <w:p w14:paraId="78B167D3" w14:textId="77777777" w:rsidR="001341EC" w:rsidRPr="00055D4B" w:rsidRDefault="001341EC" w:rsidP="001341EC">
      <w:pPr>
        <w:numPr>
          <w:ilvl w:val="0"/>
          <w:numId w:val="6"/>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Nicoya;</w:t>
      </w:r>
    </w:p>
    <w:p w14:paraId="48E8F357" w14:textId="77777777" w:rsidR="001341EC" w:rsidRPr="00055D4B" w:rsidRDefault="001341EC" w:rsidP="001341EC">
      <w:pPr>
        <w:spacing w:line="12" w:lineRule="exact"/>
        <w:rPr>
          <w:rFonts w:ascii="Book Antiqua" w:hAnsi="Book Antiqua"/>
          <w:sz w:val="22"/>
          <w:szCs w:val="22"/>
        </w:rPr>
      </w:pPr>
    </w:p>
    <w:p w14:paraId="2BCC1F35" w14:textId="77777777" w:rsidR="001341EC" w:rsidRPr="00055D4B" w:rsidRDefault="001341EC" w:rsidP="001341EC">
      <w:pPr>
        <w:numPr>
          <w:ilvl w:val="0"/>
          <w:numId w:val="6"/>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Liberia;</w:t>
      </w:r>
    </w:p>
    <w:p w14:paraId="50D5FC7C" w14:textId="77777777" w:rsidR="001341EC" w:rsidRPr="00055D4B" w:rsidRDefault="001341EC" w:rsidP="001341EC">
      <w:pPr>
        <w:spacing w:line="13" w:lineRule="exact"/>
        <w:rPr>
          <w:rFonts w:ascii="Book Antiqua" w:hAnsi="Book Antiqua"/>
          <w:sz w:val="22"/>
          <w:szCs w:val="22"/>
        </w:rPr>
      </w:pPr>
    </w:p>
    <w:p w14:paraId="3C43FEC8" w14:textId="77777777" w:rsidR="001341EC" w:rsidRPr="00055D4B" w:rsidRDefault="001341EC" w:rsidP="001341EC">
      <w:pPr>
        <w:numPr>
          <w:ilvl w:val="0"/>
          <w:numId w:val="6"/>
        </w:numPr>
        <w:tabs>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Las otras personas usuarias son atendidas por alguna o algunas de las otras plazas de Defensor Público Agrario o Defensora Pública Agraria destacadas en otras oficinas regionales de la Defensa Pública (verbigracia, Puntarenas, San Ramón) o por la plaza de Coordinación, según lo disponga con criterio técnico el Defensor Público Agrario Coordinador de la Unidad de Defensa Agraria.</w:t>
      </w:r>
    </w:p>
    <w:p w14:paraId="1792216A" w14:textId="77777777" w:rsidR="001341EC" w:rsidRPr="00055D4B" w:rsidRDefault="001341EC" w:rsidP="001341EC">
      <w:pPr>
        <w:pStyle w:val="Prrafodelista"/>
        <w:rPr>
          <w:rFonts w:ascii="Book Antiqua" w:hAnsi="Book Antiqua"/>
          <w:sz w:val="22"/>
          <w:szCs w:val="22"/>
          <w:lang w:val="es-CR"/>
        </w:rPr>
      </w:pPr>
    </w:p>
    <w:p w14:paraId="5C18A26B"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Pr>
          <w:rFonts w:ascii="Book Antiqua" w:hAnsi="Book Antiqua"/>
          <w:sz w:val="22"/>
          <w:szCs w:val="22"/>
        </w:rPr>
        <w:t xml:space="preserve"> </w:t>
      </w:r>
      <w:r w:rsidRPr="00A645E5">
        <w:rPr>
          <w:rFonts w:ascii="Book Antiqua" w:hAnsi="Book Antiqua"/>
          <w:sz w:val="22"/>
          <w:szCs w:val="22"/>
        </w:rPr>
        <w:t xml:space="preserve">Juzgado Agrario de Puntarenas </w:t>
      </w:r>
    </w:p>
    <w:p w14:paraId="381BC494" w14:textId="77777777" w:rsidR="001341EC" w:rsidRPr="00055D4B" w:rsidRDefault="001341EC" w:rsidP="001341EC">
      <w:pPr>
        <w:pStyle w:val="Prrafodelista"/>
        <w:rPr>
          <w:rFonts w:ascii="Book Antiqua" w:hAnsi="Book Antiqua"/>
          <w:sz w:val="22"/>
          <w:szCs w:val="22"/>
          <w:lang w:val="es-CR"/>
        </w:rPr>
      </w:pPr>
    </w:p>
    <w:p w14:paraId="1C513636"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Respecto de la atención de las personas usuarias cuyos casos se tramitan en el Juzgado Agrario de Puntarenas. La atención de las personas usuarias cuyos casos se tramitan en el Juzgado Agrario de Puntarenas la realiza la plaza de Defensor Público Agrario o Defensora Pública Agraria destacada en la oficina regional de la Defensa Pública de Puntarenas. En caso de que una persona usuaria contraparte requiera de los servicios de la Defensa Pública, aquélla es atendida por recargo por la plaza de Defensor Público Agrario o Defensora Pública Agraria destacada en la oficina regional de la Defensa Pública de San Ramón.</w:t>
      </w:r>
    </w:p>
    <w:p w14:paraId="7299844A" w14:textId="77777777" w:rsidR="001341EC" w:rsidRPr="00055D4B" w:rsidRDefault="001341EC" w:rsidP="001341EC">
      <w:pPr>
        <w:spacing w:line="293" w:lineRule="exact"/>
        <w:rPr>
          <w:rFonts w:ascii="Book Antiqua" w:hAnsi="Book Antiqua"/>
          <w:sz w:val="22"/>
          <w:szCs w:val="22"/>
        </w:rPr>
      </w:pPr>
    </w:p>
    <w:p w14:paraId="06750073"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 Puntarenas, se procede de la siguiente forma:</w:t>
      </w:r>
    </w:p>
    <w:p w14:paraId="519EEF1A" w14:textId="77777777" w:rsidR="001341EC" w:rsidRPr="00055D4B" w:rsidRDefault="001341EC" w:rsidP="001341EC">
      <w:pPr>
        <w:spacing w:line="295" w:lineRule="exact"/>
        <w:rPr>
          <w:rFonts w:ascii="Book Antiqua" w:hAnsi="Book Antiqua"/>
          <w:sz w:val="22"/>
          <w:szCs w:val="22"/>
        </w:rPr>
      </w:pPr>
    </w:p>
    <w:p w14:paraId="5947A28B" w14:textId="77777777" w:rsidR="001341EC" w:rsidRPr="00055D4B" w:rsidRDefault="001341EC" w:rsidP="001341EC">
      <w:pPr>
        <w:numPr>
          <w:ilvl w:val="0"/>
          <w:numId w:val="7"/>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Puntarenas;</w:t>
      </w:r>
    </w:p>
    <w:p w14:paraId="2C339021" w14:textId="77777777" w:rsidR="001341EC" w:rsidRPr="00055D4B" w:rsidRDefault="001341EC" w:rsidP="001341EC">
      <w:pPr>
        <w:spacing w:line="12" w:lineRule="exact"/>
        <w:rPr>
          <w:rFonts w:ascii="Book Antiqua" w:hAnsi="Book Antiqua"/>
          <w:sz w:val="22"/>
          <w:szCs w:val="22"/>
        </w:rPr>
      </w:pPr>
    </w:p>
    <w:p w14:paraId="512D0F77" w14:textId="77777777" w:rsidR="001341EC" w:rsidRPr="00055D4B" w:rsidRDefault="001341EC" w:rsidP="001341EC">
      <w:pPr>
        <w:numPr>
          <w:ilvl w:val="0"/>
          <w:numId w:val="7"/>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lastRenderedPageBreak/>
        <w:t>Otra es atendida por la plaza de Defensor Público Agrario o Defensora Pública Agraria destacada en la oficina regional de la Defensa Pública de San Ramón;</w:t>
      </w:r>
    </w:p>
    <w:p w14:paraId="48B71B07" w14:textId="77777777" w:rsidR="001341EC" w:rsidRPr="00055D4B" w:rsidRDefault="001341EC" w:rsidP="001341EC">
      <w:pPr>
        <w:spacing w:line="12" w:lineRule="exact"/>
        <w:rPr>
          <w:rFonts w:ascii="Book Antiqua" w:hAnsi="Book Antiqua"/>
          <w:sz w:val="22"/>
          <w:szCs w:val="22"/>
        </w:rPr>
      </w:pPr>
    </w:p>
    <w:p w14:paraId="3394AA5E" w14:textId="77777777" w:rsidR="001341EC" w:rsidRPr="00055D4B" w:rsidRDefault="001341EC" w:rsidP="001341EC">
      <w:pPr>
        <w:numPr>
          <w:ilvl w:val="0"/>
          <w:numId w:val="7"/>
        </w:numPr>
        <w:tabs>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Las otras personas usuarias son atendidas por alguna o algunas de las otras plazas de Defensor Público Agrario o Defensora Pública Agraria destacadas en otras oficinas regionales de la Defensa Pública (verbigracia, Alajuela, San José) o por la plaza de Coordinación, según lo disponga con criterio técnico el Defensor Público Agrario Coordinador de la Unidad de Defensa Agraria.</w:t>
      </w:r>
    </w:p>
    <w:p w14:paraId="6958B548" w14:textId="77777777" w:rsidR="001341EC" w:rsidRPr="00055D4B" w:rsidRDefault="001341EC" w:rsidP="001341EC">
      <w:pPr>
        <w:tabs>
          <w:tab w:val="left" w:pos="980"/>
        </w:tabs>
        <w:spacing w:line="238" w:lineRule="auto"/>
        <w:ind w:right="260"/>
        <w:jc w:val="both"/>
        <w:rPr>
          <w:rFonts w:ascii="Book Antiqua" w:hAnsi="Book Antiqua"/>
          <w:sz w:val="22"/>
          <w:szCs w:val="22"/>
        </w:rPr>
      </w:pPr>
    </w:p>
    <w:p w14:paraId="0B2F82E5"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Pr>
          <w:rFonts w:ascii="Book Antiqua" w:hAnsi="Book Antiqua"/>
          <w:sz w:val="22"/>
          <w:szCs w:val="22"/>
        </w:rPr>
        <w:t xml:space="preserve"> </w:t>
      </w:r>
      <w:r w:rsidRPr="00A645E5">
        <w:rPr>
          <w:rFonts w:ascii="Book Antiqua" w:hAnsi="Book Antiqua"/>
          <w:sz w:val="22"/>
          <w:szCs w:val="22"/>
        </w:rPr>
        <w:t xml:space="preserve">Juzgado Agrario de San Ramón </w:t>
      </w:r>
    </w:p>
    <w:p w14:paraId="38BD48B5" w14:textId="77777777" w:rsidR="001341EC" w:rsidRPr="00055D4B" w:rsidRDefault="001341EC" w:rsidP="001341EC">
      <w:pPr>
        <w:spacing w:line="292" w:lineRule="exact"/>
        <w:rPr>
          <w:rFonts w:ascii="Book Antiqua" w:hAnsi="Book Antiqua"/>
          <w:sz w:val="22"/>
          <w:szCs w:val="22"/>
        </w:rPr>
      </w:pPr>
    </w:p>
    <w:p w14:paraId="509B2676"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Respecto de la atención de las personas usuarias cuyos casos se tramitan en el Juzgado Agrario de San Ramón. La atención de las personas usuarias cuyos casos se tramitan en el Juzgado Agrario de San Ramón la realiza la plaza de Defensor Público Agrario o Defensora Pública Agraria destacada en la oficina regional de la Defensa Pública de San Ramón. En caso de que una persona usuaria contraparte requiera de los servicios de la Defensa Pública, aquélla es atendida por recargo por la plaza de Defensor Público Agrario o Defensora Pública Agraria destacada en la oficina regional de la Defensa Pública de Puntarenas.</w:t>
      </w:r>
    </w:p>
    <w:p w14:paraId="6B1F6D7B" w14:textId="77777777" w:rsidR="001341EC" w:rsidRPr="00055D4B" w:rsidRDefault="001341EC" w:rsidP="001341EC">
      <w:pPr>
        <w:jc w:val="both"/>
        <w:rPr>
          <w:rFonts w:ascii="Book Antiqua" w:hAnsi="Book Antiqua"/>
          <w:sz w:val="22"/>
          <w:szCs w:val="22"/>
        </w:rPr>
      </w:pPr>
    </w:p>
    <w:p w14:paraId="2FB8081D"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 San Ramón, se procede de la siguiente forma:</w:t>
      </w:r>
    </w:p>
    <w:p w14:paraId="421C00E6" w14:textId="77777777" w:rsidR="001341EC" w:rsidRPr="00055D4B" w:rsidRDefault="001341EC" w:rsidP="001341EC">
      <w:pPr>
        <w:spacing w:line="236" w:lineRule="auto"/>
        <w:ind w:left="260" w:right="260"/>
        <w:jc w:val="both"/>
        <w:rPr>
          <w:rFonts w:ascii="Book Antiqua" w:hAnsi="Book Antiqua"/>
          <w:sz w:val="22"/>
          <w:szCs w:val="22"/>
        </w:rPr>
      </w:pPr>
    </w:p>
    <w:p w14:paraId="475B5284" w14:textId="77777777" w:rsidR="001341EC" w:rsidRPr="00055D4B" w:rsidRDefault="001341EC" w:rsidP="001341EC">
      <w:pPr>
        <w:numPr>
          <w:ilvl w:val="0"/>
          <w:numId w:val="8"/>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San Ramón;</w:t>
      </w:r>
    </w:p>
    <w:p w14:paraId="15797F6D" w14:textId="77777777" w:rsidR="001341EC" w:rsidRPr="00055D4B" w:rsidRDefault="001341EC" w:rsidP="001341EC">
      <w:pPr>
        <w:spacing w:line="12" w:lineRule="exact"/>
        <w:rPr>
          <w:rFonts w:ascii="Book Antiqua" w:hAnsi="Book Antiqua"/>
          <w:sz w:val="22"/>
          <w:szCs w:val="22"/>
        </w:rPr>
      </w:pPr>
    </w:p>
    <w:p w14:paraId="711A3A88" w14:textId="77777777" w:rsidR="001341EC" w:rsidRPr="00055D4B" w:rsidRDefault="001341EC" w:rsidP="001341EC">
      <w:pPr>
        <w:numPr>
          <w:ilvl w:val="0"/>
          <w:numId w:val="8"/>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Puntarenas;</w:t>
      </w:r>
    </w:p>
    <w:p w14:paraId="16446D9E" w14:textId="77777777" w:rsidR="001341EC" w:rsidRPr="00055D4B" w:rsidRDefault="001341EC" w:rsidP="001341EC">
      <w:pPr>
        <w:spacing w:line="12" w:lineRule="exact"/>
        <w:rPr>
          <w:rFonts w:ascii="Book Antiqua" w:hAnsi="Book Antiqua"/>
          <w:sz w:val="22"/>
          <w:szCs w:val="22"/>
        </w:rPr>
      </w:pPr>
    </w:p>
    <w:p w14:paraId="5A2E03C3" w14:textId="77777777" w:rsidR="001341EC" w:rsidRPr="00055D4B" w:rsidRDefault="001341EC" w:rsidP="001341EC">
      <w:pPr>
        <w:numPr>
          <w:ilvl w:val="0"/>
          <w:numId w:val="8"/>
        </w:numPr>
        <w:tabs>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Las otras personas usuarias son atendidas por alguna o algunas de las otras plazas de Defensor Público Agrario o Defensora Pública Agraria destacadas en otras oficinas regionales de la Defensa Pública (verbigracia, Alajuela, San José, San Carlos) o por la plaza de Coordinación, según lo disponga con criterio técnico el Defensor Público Agrario Coordinador de la Unidad de Defensa Agraria.</w:t>
      </w:r>
    </w:p>
    <w:p w14:paraId="325346FA" w14:textId="77777777" w:rsidR="001341EC" w:rsidRPr="00055D4B" w:rsidRDefault="001341EC" w:rsidP="001341EC">
      <w:pPr>
        <w:spacing w:line="234" w:lineRule="auto"/>
        <w:ind w:right="260"/>
        <w:jc w:val="both"/>
        <w:rPr>
          <w:rFonts w:ascii="Book Antiqua" w:hAnsi="Book Antiqua"/>
          <w:sz w:val="22"/>
          <w:szCs w:val="22"/>
        </w:rPr>
      </w:pPr>
    </w:p>
    <w:p w14:paraId="3FD6B751"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Pr>
          <w:rFonts w:ascii="Book Antiqua" w:hAnsi="Book Antiqua"/>
          <w:sz w:val="22"/>
          <w:szCs w:val="22"/>
        </w:rPr>
        <w:t xml:space="preserve"> </w:t>
      </w:r>
      <w:r w:rsidRPr="00A645E5">
        <w:rPr>
          <w:rFonts w:ascii="Book Antiqua" w:hAnsi="Book Antiqua"/>
          <w:sz w:val="22"/>
          <w:szCs w:val="22"/>
        </w:rPr>
        <w:t xml:space="preserve">Juzgado Agrario de Upala </w:t>
      </w:r>
    </w:p>
    <w:p w14:paraId="2B4377BE" w14:textId="77777777" w:rsidR="001341EC" w:rsidRPr="00055D4B" w:rsidRDefault="001341EC" w:rsidP="001341EC">
      <w:pPr>
        <w:spacing w:line="234" w:lineRule="auto"/>
        <w:ind w:right="260"/>
        <w:jc w:val="both"/>
        <w:rPr>
          <w:rFonts w:ascii="Book Antiqua" w:hAnsi="Book Antiqua"/>
          <w:sz w:val="22"/>
          <w:szCs w:val="22"/>
        </w:rPr>
      </w:pPr>
    </w:p>
    <w:p w14:paraId="56557B47"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 xml:space="preserve">Respecto de la atención de las personas usuarias cuyos casos se tramitan en el Juzgado Agrario de Upala. La atención de las personas usuarias cuyos casos se tramitan en el Juzgado Agrario de Upala la realiza la plaza de Defensor Público Agrario o Defensora Pública Agraria destacada en la oficina regional de la Defensa Pública de Upala. En caso de que una persona usuaria contraparte requiera de los servicios de la Defensa Pública, </w:t>
      </w:r>
      <w:r w:rsidRPr="00055D4B">
        <w:rPr>
          <w:rFonts w:ascii="Book Antiqua" w:hAnsi="Book Antiqua"/>
          <w:sz w:val="22"/>
          <w:szCs w:val="22"/>
        </w:rPr>
        <w:lastRenderedPageBreak/>
        <w:t>aquélla es atendida por recargo por la plaza de Defensor Público Agrario o Defensora Pública Agraria destacada en la oficina regional de la Defensa Pública de San Carlos.</w:t>
      </w:r>
    </w:p>
    <w:p w14:paraId="28674908" w14:textId="77777777" w:rsidR="001341EC" w:rsidRPr="00055D4B" w:rsidRDefault="001341EC" w:rsidP="001341EC">
      <w:pPr>
        <w:pStyle w:val="Prrafodelista"/>
        <w:spacing w:line="234" w:lineRule="auto"/>
        <w:ind w:left="284" w:right="260"/>
        <w:jc w:val="both"/>
        <w:rPr>
          <w:rFonts w:ascii="Book Antiqua" w:hAnsi="Book Antiqua"/>
          <w:sz w:val="22"/>
          <w:szCs w:val="22"/>
          <w:lang w:val="es-CR"/>
        </w:rPr>
      </w:pPr>
    </w:p>
    <w:p w14:paraId="1D698383"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 Upala, se procede de la siguiente forma:</w:t>
      </w:r>
    </w:p>
    <w:p w14:paraId="73E6F6A1" w14:textId="77777777" w:rsidR="001341EC" w:rsidRPr="00055D4B" w:rsidRDefault="001341EC" w:rsidP="001341EC">
      <w:pPr>
        <w:spacing w:line="292" w:lineRule="exact"/>
        <w:rPr>
          <w:rFonts w:ascii="Book Antiqua" w:hAnsi="Book Antiqua"/>
          <w:sz w:val="22"/>
          <w:szCs w:val="22"/>
        </w:rPr>
      </w:pPr>
    </w:p>
    <w:p w14:paraId="7E90679C" w14:textId="77777777" w:rsidR="001341EC" w:rsidRPr="00055D4B" w:rsidRDefault="001341EC" w:rsidP="001341EC">
      <w:pPr>
        <w:numPr>
          <w:ilvl w:val="0"/>
          <w:numId w:val="9"/>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Upala;</w:t>
      </w:r>
    </w:p>
    <w:p w14:paraId="04E3C5E2" w14:textId="77777777" w:rsidR="001341EC" w:rsidRPr="00055D4B" w:rsidRDefault="001341EC" w:rsidP="001341EC">
      <w:pPr>
        <w:spacing w:line="12" w:lineRule="exact"/>
        <w:rPr>
          <w:rFonts w:ascii="Book Antiqua" w:hAnsi="Book Antiqua"/>
          <w:sz w:val="22"/>
          <w:szCs w:val="22"/>
        </w:rPr>
      </w:pPr>
    </w:p>
    <w:p w14:paraId="312B2C78" w14:textId="77777777" w:rsidR="001341EC" w:rsidRPr="00055D4B" w:rsidRDefault="001341EC" w:rsidP="001341EC">
      <w:pPr>
        <w:numPr>
          <w:ilvl w:val="0"/>
          <w:numId w:val="9"/>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San Carlos;</w:t>
      </w:r>
    </w:p>
    <w:p w14:paraId="6055C85D" w14:textId="77777777" w:rsidR="001341EC" w:rsidRPr="00055D4B" w:rsidRDefault="001341EC" w:rsidP="001341EC">
      <w:pPr>
        <w:spacing w:line="13" w:lineRule="exact"/>
        <w:rPr>
          <w:rFonts w:ascii="Book Antiqua" w:hAnsi="Book Antiqua"/>
          <w:sz w:val="22"/>
          <w:szCs w:val="22"/>
        </w:rPr>
      </w:pPr>
    </w:p>
    <w:p w14:paraId="55F490A5" w14:textId="77777777" w:rsidR="001341EC" w:rsidRPr="00055D4B" w:rsidRDefault="001341EC" w:rsidP="001341EC">
      <w:pPr>
        <w:numPr>
          <w:ilvl w:val="0"/>
          <w:numId w:val="9"/>
        </w:numPr>
        <w:tabs>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Las otras personas usuarias son atendidas por alguna o algunas de las otras plazas de Defensor Público Agrario o Defensora Pública Agraria destacadas en otras oficinas regionales de la Defensa Pública (verbigracia, Alajuela, San Ramón) o por la plaza de Coordinación, según lo disponga con criterio técnico el Defensor Público Agrario Coordinador de la Unidad de Defensa Agraria.</w:t>
      </w:r>
    </w:p>
    <w:p w14:paraId="225DE342" w14:textId="77777777" w:rsidR="001341EC" w:rsidRPr="00055D4B" w:rsidRDefault="001341EC" w:rsidP="001341EC">
      <w:pPr>
        <w:jc w:val="both"/>
        <w:rPr>
          <w:rFonts w:ascii="Book Antiqua" w:hAnsi="Book Antiqua"/>
          <w:sz w:val="22"/>
          <w:szCs w:val="22"/>
        </w:rPr>
      </w:pPr>
    </w:p>
    <w:p w14:paraId="06E4223D"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Pr>
          <w:rFonts w:ascii="Book Antiqua" w:hAnsi="Book Antiqua"/>
          <w:sz w:val="22"/>
          <w:szCs w:val="22"/>
        </w:rPr>
        <w:t xml:space="preserve"> </w:t>
      </w:r>
      <w:r w:rsidRPr="00A645E5">
        <w:rPr>
          <w:rFonts w:ascii="Book Antiqua" w:hAnsi="Book Antiqua"/>
          <w:sz w:val="22"/>
          <w:szCs w:val="22"/>
        </w:rPr>
        <w:t xml:space="preserve">Juzgado Agrario de San Carlos </w:t>
      </w:r>
    </w:p>
    <w:p w14:paraId="790227AB" w14:textId="77777777" w:rsidR="001341EC" w:rsidRPr="00055D4B" w:rsidRDefault="001341EC" w:rsidP="001341EC">
      <w:pPr>
        <w:jc w:val="both"/>
        <w:rPr>
          <w:rFonts w:ascii="Book Antiqua" w:hAnsi="Book Antiqua"/>
          <w:sz w:val="22"/>
          <w:szCs w:val="22"/>
        </w:rPr>
      </w:pPr>
    </w:p>
    <w:p w14:paraId="62B8BD16"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Respecto de la atención de las personas usuarias cuyos casos se tramitan en el Juzgado Agrario de San Carlos. La atención de las personas usuarias cuyos casos se tramitan en el Juzgado Agrario de San Carlos la realiza la plaza de Defensor Público Agrario o Defensora Pública Agraria destacada en la oficina regional de la Defensa Pública de San Carlos. En caso de que una persona usuaria contraparte requiera de los servicios de la Defensa Pública, aquélla es atendida por recargo por la plaza de Defensor Público Agrario o Defensora Pública Agraria destacada en la oficina regional de la Defensa Pública de Upala.</w:t>
      </w:r>
    </w:p>
    <w:p w14:paraId="643AD978" w14:textId="77777777" w:rsidR="001341EC" w:rsidRPr="00055D4B" w:rsidRDefault="001341EC" w:rsidP="001341EC">
      <w:pPr>
        <w:spacing w:line="293" w:lineRule="exact"/>
        <w:rPr>
          <w:rFonts w:ascii="Book Antiqua" w:hAnsi="Book Antiqua"/>
          <w:sz w:val="22"/>
          <w:szCs w:val="22"/>
        </w:rPr>
      </w:pPr>
    </w:p>
    <w:p w14:paraId="40B5C0B0"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 San Carlos, se procede de la siguiente forma:</w:t>
      </w:r>
    </w:p>
    <w:p w14:paraId="17ADEF97" w14:textId="77777777" w:rsidR="001341EC" w:rsidRPr="00055D4B" w:rsidRDefault="001341EC" w:rsidP="001341EC">
      <w:pPr>
        <w:spacing w:line="295" w:lineRule="exact"/>
        <w:rPr>
          <w:rFonts w:ascii="Book Antiqua" w:hAnsi="Book Antiqua"/>
          <w:sz w:val="22"/>
          <w:szCs w:val="22"/>
        </w:rPr>
      </w:pPr>
    </w:p>
    <w:p w14:paraId="06CD2A8F" w14:textId="77777777" w:rsidR="001341EC" w:rsidRPr="00055D4B" w:rsidRDefault="001341EC" w:rsidP="001341EC">
      <w:pPr>
        <w:numPr>
          <w:ilvl w:val="0"/>
          <w:numId w:val="10"/>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San Carlos;</w:t>
      </w:r>
    </w:p>
    <w:p w14:paraId="07E653FE" w14:textId="77777777" w:rsidR="001341EC" w:rsidRPr="00055D4B" w:rsidRDefault="001341EC" w:rsidP="001341EC">
      <w:pPr>
        <w:spacing w:line="12" w:lineRule="exact"/>
        <w:rPr>
          <w:rFonts w:ascii="Book Antiqua" w:hAnsi="Book Antiqua"/>
          <w:sz w:val="22"/>
          <w:szCs w:val="22"/>
        </w:rPr>
      </w:pPr>
    </w:p>
    <w:p w14:paraId="2A30F8EA" w14:textId="77777777" w:rsidR="001341EC" w:rsidRPr="00055D4B" w:rsidRDefault="001341EC" w:rsidP="001341EC">
      <w:pPr>
        <w:numPr>
          <w:ilvl w:val="0"/>
          <w:numId w:val="10"/>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Upala;</w:t>
      </w:r>
    </w:p>
    <w:p w14:paraId="33C9E0FB" w14:textId="77777777" w:rsidR="001341EC" w:rsidRPr="00055D4B" w:rsidRDefault="001341EC" w:rsidP="001341EC">
      <w:pPr>
        <w:spacing w:line="12" w:lineRule="exact"/>
        <w:rPr>
          <w:rFonts w:ascii="Book Antiqua" w:hAnsi="Book Antiqua"/>
          <w:sz w:val="22"/>
          <w:szCs w:val="22"/>
        </w:rPr>
      </w:pPr>
    </w:p>
    <w:p w14:paraId="62C8CAF5" w14:textId="77777777" w:rsidR="001341EC" w:rsidRPr="00055D4B" w:rsidRDefault="001341EC" w:rsidP="001341EC">
      <w:pPr>
        <w:numPr>
          <w:ilvl w:val="0"/>
          <w:numId w:val="10"/>
        </w:numPr>
        <w:tabs>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 xml:space="preserve">Las otras personas usuarias son atendidas por alguna o algunas de las otras plazas de Defensor Público Agrario o Defensora Pública Agraria destacadas en otras oficinas regionales de la Defensa Pública (verbigracia, Alajuela, San Ramón) o por la plaza de Coordinación, según lo disponga con criterio </w:t>
      </w:r>
      <w:r w:rsidRPr="00055D4B">
        <w:rPr>
          <w:rFonts w:ascii="Book Antiqua" w:hAnsi="Book Antiqua"/>
          <w:sz w:val="22"/>
          <w:szCs w:val="22"/>
        </w:rPr>
        <w:lastRenderedPageBreak/>
        <w:t>técnico el Defensor Público Agrario Coordinador de la Unidad de Defensa Agraria.</w:t>
      </w:r>
    </w:p>
    <w:p w14:paraId="4C1F07AC" w14:textId="77777777" w:rsidR="001341EC" w:rsidRPr="00055D4B" w:rsidRDefault="001341EC" w:rsidP="001341EC">
      <w:pPr>
        <w:spacing w:line="292" w:lineRule="exact"/>
        <w:rPr>
          <w:rFonts w:ascii="Book Antiqua" w:hAnsi="Book Antiqua"/>
          <w:sz w:val="22"/>
          <w:szCs w:val="22"/>
        </w:rPr>
      </w:pPr>
    </w:p>
    <w:p w14:paraId="5D763630"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Pr>
          <w:rFonts w:ascii="Book Antiqua" w:hAnsi="Book Antiqua"/>
          <w:sz w:val="22"/>
          <w:szCs w:val="22"/>
        </w:rPr>
        <w:t xml:space="preserve"> </w:t>
      </w:r>
      <w:r w:rsidRPr="00A645E5">
        <w:rPr>
          <w:rFonts w:ascii="Book Antiqua" w:hAnsi="Book Antiqua"/>
          <w:sz w:val="22"/>
          <w:szCs w:val="22"/>
        </w:rPr>
        <w:t xml:space="preserve">Juzgado Agrario de Limón </w:t>
      </w:r>
    </w:p>
    <w:p w14:paraId="1B09AE13" w14:textId="77777777" w:rsidR="001341EC" w:rsidRPr="00055D4B" w:rsidRDefault="001341EC" w:rsidP="001341EC">
      <w:pPr>
        <w:jc w:val="both"/>
        <w:rPr>
          <w:rFonts w:ascii="Book Antiqua" w:hAnsi="Book Antiqua"/>
          <w:sz w:val="22"/>
          <w:szCs w:val="22"/>
        </w:rPr>
      </w:pPr>
    </w:p>
    <w:p w14:paraId="5D67D230"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Respecto de la atención de las personas usuarias cuyos casos se tramitan en el Juzgado Agrario de Limón. La atención de las personas usuarias cuyos casos se tramitan en el Juzgado Agrario de Limón la realizan las dos plazas de Defensor Público Agrario o Defensora Pública Agraria destacadas en la oficina regional de la Defensa Pública de Limón, atendiendo ambas también a las personas usuarias que tengan interés contrapuesto.</w:t>
      </w:r>
    </w:p>
    <w:p w14:paraId="72F7599F" w14:textId="77777777" w:rsidR="001341EC" w:rsidRPr="00055D4B" w:rsidRDefault="001341EC" w:rsidP="001341EC">
      <w:pPr>
        <w:spacing w:line="293" w:lineRule="exact"/>
        <w:rPr>
          <w:rFonts w:ascii="Book Antiqua" w:hAnsi="Book Antiqua"/>
          <w:sz w:val="22"/>
          <w:szCs w:val="22"/>
        </w:rPr>
      </w:pPr>
    </w:p>
    <w:p w14:paraId="16360EF7"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 Limón, se procede de la siguiente forma:</w:t>
      </w:r>
    </w:p>
    <w:p w14:paraId="32E8EA48" w14:textId="77777777" w:rsidR="001341EC" w:rsidRPr="00055D4B" w:rsidRDefault="001341EC" w:rsidP="001341EC">
      <w:pPr>
        <w:spacing w:line="219" w:lineRule="exact"/>
        <w:rPr>
          <w:rFonts w:ascii="Book Antiqua" w:hAnsi="Book Antiqua"/>
          <w:sz w:val="22"/>
          <w:szCs w:val="22"/>
        </w:rPr>
      </w:pPr>
    </w:p>
    <w:p w14:paraId="2C7089C0" w14:textId="77777777" w:rsidR="001341EC" w:rsidRPr="00055D4B" w:rsidRDefault="001341EC" w:rsidP="001341EC">
      <w:pPr>
        <w:numPr>
          <w:ilvl w:val="0"/>
          <w:numId w:val="11"/>
        </w:numPr>
        <w:tabs>
          <w:tab w:val="left" w:pos="980"/>
        </w:tabs>
        <w:spacing w:line="235"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Limón;</w:t>
      </w:r>
    </w:p>
    <w:p w14:paraId="74614A10" w14:textId="77777777" w:rsidR="001341EC" w:rsidRPr="00055D4B" w:rsidRDefault="001341EC" w:rsidP="001341EC">
      <w:pPr>
        <w:spacing w:line="13" w:lineRule="exact"/>
        <w:rPr>
          <w:rFonts w:ascii="Book Antiqua" w:hAnsi="Book Antiqua"/>
          <w:sz w:val="22"/>
          <w:szCs w:val="22"/>
        </w:rPr>
      </w:pPr>
    </w:p>
    <w:p w14:paraId="5363344F" w14:textId="77777777" w:rsidR="001341EC" w:rsidRPr="00055D4B" w:rsidRDefault="001341EC" w:rsidP="001341EC">
      <w:pPr>
        <w:numPr>
          <w:ilvl w:val="0"/>
          <w:numId w:val="11"/>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segunda plaza de Defensor Público Agrario o Defensora Pública Agraria destacada en la oficina regional de la Defensa Pública de Limón;</w:t>
      </w:r>
    </w:p>
    <w:p w14:paraId="1FDA9524" w14:textId="77777777" w:rsidR="001341EC" w:rsidRPr="00055D4B" w:rsidRDefault="001341EC" w:rsidP="001341EC">
      <w:pPr>
        <w:spacing w:line="12" w:lineRule="exact"/>
        <w:rPr>
          <w:rFonts w:ascii="Book Antiqua" w:hAnsi="Book Antiqua"/>
          <w:sz w:val="22"/>
          <w:szCs w:val="22"/>
        </w:rPr>
      </w:pPr>
    </w:p>
    <w:p w14:paraId="1F9842C6" w14:textId="77777777" w:rsidR="001341EC" w:rsidRPr="00055D4B" w:rsidRDefault="001341EC" w:rsidP="001341EC">
      <w:pPr>
        <w:numPr>
          <w:ilvl w:val="0"/>
          <w:numId w:val="11"/>
        </w:numPr>
        <w:tabs>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Las otras personas usuarias son atendidas por alguna o algunas de las otras plazas de Defensor Público Agrario o Defensora Pública Agraria destacadas en otras oficinas regionales de la Defensa Pública (verbigracia, Guápiles, Turrialba) o por la plaza de Coordinación, según lo disponga con criterio técnico el Defensor Público Agrario Coordinador de la Unidad de Defensa Agraria.</w:t>
      </w:r>
    </w:p>
    <w:p w14:paraId="2F465E5A" w14:textId="77777777" w:rsidR="001341EC" w:rsidRDefault="001341EC" w:rsidP="001341EC">
      <w:pPr>
        <w:spacing w:line="294" w:lineRule="exact"/>
        <w:rPr>
          <w:rFonts w:ascii="Book Antiqua" w:hAnsi="Book Antiqua"/>
          <w:sz w:val="22"/>
          <w:szCs w:val="22"/>
        </w:rPr>
      </w:pPr>
    </w:p>
    <w:p w14:paraId="399E73EB" w14:textId="77777777" w:rsidR="001341EC" w:rsidRDefault="001341EC" w:rsidP="001341EC">
      <w:pPr>
        <w:spacing w:line="294" w:lineRule="exact"/>
        <w:rPr>
          <w:rFonts w:ascii="Book Antiqua" w:hAnsi="Book Antiqua"/>
          <w:sz w:val="22"/>
          <w:szCs w:val="22"/>
        </w:rPr>
      </w:pPr>
    </w:p>
    <w:p w14:paraId="0ED1D451" w14:textId="77777777" w:rsidR="001341EC" w:rsidRPr="00055D4B" w:rsidRDefault="001341EC" w:rsidP="001341EC">
      <w:pPr>
        <w:spacing w:line="294" w:lineRule="exact"/>
        <w:rPr>
          <w:rFonts w:ascii="Book Antiqua" w:hAnsi="Book Antiqua"/>
          <w:sz w:val="22"/>
          <w:szCs w:val="22"/>
        </w:rPr>
      </w:pPr>
    </w:p>
    <w:p w14:paraId="22CAE804"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sidRPr="00A645E5">
        <w:rPr>
          <w:rFonts w:ascii="Book Antiqua" w:hAnsi="Book Antiqua"/>
          <w:sz w:val="22"/>
          <w:szCs w:val="22"/>
        </w:rPr>
        <w:t xml:space="preserve">Juzgado Agrario de Guápiles </w:t>
      </w:r>
    </w:p>
    <w:p w14:paraId="5D33AAF5" w14:textId="77777777" w:rsidR="001341EC" w:rsidRPr="00055D4B" w:rsidRDefault="001341EC" w:rsidP="001341EC">
      <w:pPr>
        <w:spacing w:line="234" w:lineRule="auto"/>
        <w:ind w:right="260"/>
        <w:jc w:val="both"/>
        <w:rPr>
          <w:rFonts w:ascii="Book Antiqua" w:hAnsi="Book Antiqua"/>
          <w:sz w:val="22"/>
          <w:szCs w:val="22"/>
        </w:rPr>
      </w:pPr>
    </w:p>
    <w:p w14:paraId="22325A1D"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Respecto de la atención de las personas usuarias cuyos casos se tramitan en el Juzgado Agrario de Guápiles. La atención de las personas usuarias cuyos casos se tramitan en el Juzgado Agrario de Guápiles la realiza la plaza de Defensor Público Agrario o Defensora Pública Agraria destacada en la oficina regional de la Defensa Pública de Guápiles. En caso de que una persona usuaria contraparte requiera de los servicios de la Defensa Pública, aquélla es atendida por recargo por la plaza de Defensor Público Agrario o Defensora Pública Agraria destacada en la oficina regional de la Defensa Pública de Turrialba.</w:t>
      </w:r>
    </w:p>
    <w:p w14:paraId="00B7CD9A" w14:textId="77777777" w:rsidR="001341EC" w:rsidRPr="00055D4B" w:rsidRDefault="001341EC" w:rsidP="001341EC">
      <w:pPr>
        <w:spacing w:line="295" w:lineRule="exact"/>
        <w:rPr>
          <w:rFonts w:ascii="Book Antiqua" w:hAnsi="Book Antiqua"/>
          <w:sz w:val="22"/>
          <w:szCs w:val="22"/>
        </w:rPr>
      </w:pPr>
    </w:p>
    <w:p w14:paraId="26572FDD"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lastRenderedPageBreak/>
        <w:t>En caso de que sean más de dos personas usuarias (actora, demanda y terceras interesadas) las que intervengan en un proceso agrario tramitado en el Juzgado Agrario de Guápiles, se procede de la siguiente forma:</w:t>
      </w:r>
    </w:p>
    <w:p w14:paraId="79D3FD7C" w14:textId="77777777" w:rsidR="001341EC" w:rsidRPr="00055D4B" w:rsidRDefault="001341EC" w:rsidP="001341EC">
      <w:pPr>
        <w:spacing w:line="295" w:lineRule="exact"/>
        <w:rPr>
          <w:rFonts w:ascii="Book Antiqua" w:hAnsi="Book Antiqua"/>
          <w:sz w:val="22"/>
          <w:szCs w:val="22"/>
        </w:rPr>
      </w:pPr>
    </w:p>
    <w:p w14:paraId="54B07F56" w14:textId="77777777" w:rsidR="001341EC" w:rsidRPr="00055D4B" w:rsidRDefault="001341EC" w:rsidP="001341EC">
      <w:pPr>
        <w:numPr>
          <w:ilvl w:val="0"/>
          <w:numId w:val="12"/>
        </w:numPr>
        <w:tabs>
          <w:tab w:val="left" w:pos="980"/>
        </w:tabs>
        <w:spacing w:line="235"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Guápiles;</w:t>
      </w:r>
    </w:p>
    <w:p w14:paraId="1211DD16" w14:textId="77777777" w:rsidR="001341EC" w:rsidRPr="00055D4B" w:rsidRDefault="001341EC" w:rsidP="001341EC">
      <w:pPr>
        <w:spacing w:line="13" w:lineRule="exact"/>
        <w:rPr>
          <w:rFonts w:ascii="Book Antiqua" w:hAnsi="Book Antiqua"/>
          <w:sz w:val="22"/>
          <w:szCs w:val="22"/>
        </w:rPr>
      </w:pPr>
    </w:p>
    <w:p w14:paraId="525B5C79" w14:textId="77777777" w:rsidR="001341EC" w:rsidRPr="00055D4B" w:rsidRDefault="001341EC" w:rsidP="001341EC">
      <w:pPr>
        <w:numPr>
          <w:ilvl w:val="0"/>
          <w:numId w:val="12"/>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Turrialba;</w:t>
      </w:r>
    </w:p>
    <w:p w14:paraId="15F772BD" w14:textId="77777777" w:rsidR="001341EC" w:rsidRPr="00055D4B" w:rsidRDefault="001341EC" w:rsidP="001341EC">
      <w:pPr>
        <w:spacing w:line="12" w:lineRule="exact"/>
        <w:rPr>
          <w:rFonts w:ascii="Book Antiqua" w:hAnsi="Book Antiqua"/>
          <w:sz w:val="22"/>
          <w:szCs w:val="22"/>
        </w:rPr>
      </w:pPr>
    </w:p>
    <w:p w14:paraId="50F97BE6" w14:textId="77777777" w:rsidR="001341EC" w:rsidRPr="00055D4B" w:rsidRDefault="001341EC" w:rsidP="001341EC">
      <w:pPr>
        <w:numPr>
          <w:ilvl w:val="0"/>
          <w:numId w:val="12"/>
        </w:numPr>
        <w:tabs>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Las otras personas usuarias son atendidas por alguna o algunas de las otras plazas de Defensor Público Agrario o Defensora Pública Agraria destacadas en otras oficinas regionales de la Defensa Pública (verbigracia, Cartago, San José, San Carlos) o por la plaza de Coordinación, según lo disponga con criterio técnico el Defensor Público Agrario Coordinador de la Unidad de Defensa Agraria.</w:t>
      </w:r>
    </w:p>
    <w:p w14:paraId="0E130C16" w14:textId="77777777" w:rsidR="001341EC" w:rsidRPr="00055D4B" w:rsidRDefault="001341EC" w:rsidP="001341EC">
      <w:pPr>
        <w:spacing w:line="294" w:lineRule="exact"/>
        <w:rPr>
          <w:rFonts w:ascii="Book Antiqua" w:hAnsi="Book Antiqua"/>
          <w:sz w:val="22"/>
          <w:szCs w:val="22"/>
        </w:rPr>
      </w:pPr>
    </w:p>
    <w:p w14:paraId="0BC36031"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sidRPr="00A645E5">
        <w:rPr>
          <w:rFonts w:ascii="Book Antiqua" w:hAnsi="Book Antiqua"/>
          <w:sz w:val="22"/>
          <w:szCs w:val="22"/>
        </w:rPr>
        <w:t xml:space="preserve">Juzgado Agrario de Turrialba </w:t>
      </w:r>
    </w:p>
    <w:p w14:paraId="614DF41E" w14:textId="77777777" w:rsidR="001341EC" w:rsidRPr="00055D4B" w:rsidRDefault="001341EC" w:rsidP="001341EC">
      <w:pPr>
        <w:spacing w:line="234" w:lineRule="auto"/>
        <w:ind w:right="260"/>
        <w:jc w:val="both"/>
        <w:rPr>
          <w:rFonts w:ascii="Book Antiqua" w:hAnsi="Book Antiqua"/>
          <w:sz w:val="22"/>
          <w:szCs w:val="22"/>
        </w:rPr>
      </w:pPr>
    </w:p>
    <w:p w14:paraId="069B0535"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Respecto de la atención de las personas usuarias cuyos casos se tramitan en el Juzgado Agrario de Turrialba. La atención de las personas usuarias cuyos casos se tramitan en el Juzgado Agrario de Turrialba la realiza la plaza de Defensor Público Agrario o Defensora Pública Agraria destacada en la oficina regional de la Defensa Pública de Turrialba. En caso de que una persona usuaria contraparte requiera de los servicios de la Defensa Pública, aquélla es atendida por recargo por la plaza de Defensor Público Agrario o Defensora Pública Agraria destacada en la oficina regional de la Defensa Pública de Cartago.</w:t>
      </w:r>
    </w:p>
    <w:p w14:paraId="042381B9" w14:textId="77777777" w:rsidR="001341EC" w:rsidRPr="00055D4B" w:rsidRDefault="001341EC" w:rsidP="001341EC">
      <w:pPr>
        <w:spacing w:line="295" w:lineRule="exact"/>
        <w:rPr>
          <w:rFonts w:ascii="Book Antiqua" w:hAnsi="Book Antiqua"/>
          <w:sz w:val="22"/>
          <w:szCs w:val="22"/>
        </w:rPr>
      </w:pPr>
    </w:p>
    <w:p w14:paraId="613443E9"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 Turrialba, se procede de la siguiente forma:</w:t>
      </w:r>
    </w:p>
    <w:p w14:paraId="2D1E3A35" w14:textId="77777777" w:rsidR="001341EC" w:rsidRPr="00055D4B" w:rsidRDefault="001341EC" w:rsidP="001341EC">
      <w:pPr>
        <w:spacing w:line="293" w:lineRule="exact"/>
        <w:rPr>
          <w:rFonts w:ascii="Book Antiqua" w:hAnsi="Book Antiqua"/>
          <w:sz w:val="22"/>
          <w:szCs w:val="22"/>
        </w:rPr>
      </w:pPr>
    </w:p>
    <w:p w14:paraId="7BABC0B1" w14:textId="77777777" w:rsidR="001341EC" w:rsidRPr="00055D4B" w:rsidRDefault="001341EC" w:rsidP="001341EC">
      <w:pPr>
        <w:numPr>
          <w:ilvl w:val="0"/>
          <w:numId w:val="13"/>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Turrialba;</w:t>
      </w:r>
    </w:p>
    <w:p w14:paraId="070C4469" w14:textId="77777777" w:rsidR="001341EC" w:rsidRPr="00055D4B" w:rsidRDefault="001341EC" w:rsidP="001341EC">
      <w:pPr>
        <w:spacing w:line="12" w:lineRule="exact"/>
        <w:rPr>
          <w:rFonts w:ascii="Book Antiqua" w:hAnsi="Book Antiqua"/>
          <w:sz w:val="22"/>
          <w:szCs w:val="22"/>
        </w:rPr>
      </w:pPr>
    </w:p>
    <w:p w14:paraId="7CA9183A" w14:textId="77777777" w:rsidR="001341EC" w:rsidRPr="00055D4B" w:rsidRDefault="001341EC" w:rsidP="001341EC">
      <w:pPr>
        <w:numPr>
          <w:ilvl w:val="0"/>
          <w:numId w:val="13"/>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Cartago;</w:t>
      </w:r>
    </w:p>
    <w:p w14:paraId="7E137016" w14:textId="77777777" w:rsidR="001341EC" w:rsidRPr="00055D4B" w:rsidRDefault="001341EC" w:rsidP="001341EC">
      <w:pPr>
        <w:spacing w:line="12" w:lineRule="exact"/>
        <w:rPr>
          <w:rFonts w:ascii="Book Antiqua" w:hAnsi="Book Antiqua"/>
          <w:sz w:val="22"/>
          <w:szCs w:val="22"/>
        </w:rPr>
      </w:pPr>
    </w:p>
    <w:p w14:paraId="4AC0087B" w14:textId="77777777" w:rsidR="001341EC" w:rsidRPr="00055D4B" w:rsidRDefault="001341EC" w:rsidP="001341EC">
      <w:pPr>
        <w:numPr>
          <w:ilvl w:val="0"/>
          <w:numId w:val="13"/>
        </w:numPr>
        <w:tabs>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Las otras personas usuarias son atendidas por alguna o algunas de las otras plazas de Defensor Público Agrario o Defensora Pública Agraria destacadas en otras oficinas regionales de la Defensa Pública (verbigracia, San José, Alajuela) o por la plaza de Coordinación, según lo disponga con criterio técnico el Defensor Público Agrario Coordinador de la Unidad de Defensa Agraria.</w:t>
      </w:r>
    </w:p>
    <w:p w14:paraId="441246B4" w14:textId="77777777" w:rsidR="001341EC" w:rsidRPr="00055D4B" w:rsidRDefault="001341EC" w:rsidP="001341EC">
      <w:pPr>
        <w:spacing w:line="294" w:lineRule="exact"/>
        <w:rPr>
          <w:rFonts w:ascii="Book Antiqua" w:hAnsi="Book Antiqua"/>
          <w:sz w:val="22"/>
          <w:szCs w:val="22"/>
        </w:rPr>
      </w:pPr>
    </w:p>
    <w:p w14:paraId="0C2F3013"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sidRPr="00A645E5">
        <w:rPr>
          <w:rFonts w:ascii="Book Antiqua" w:hAnsi="Book Antiqua"/>
          <w:sz w:val="22"/>
          <w:szCs w:val="22"/>
        </w:rPr>
        <w:t xml:space="preserve">Juzgado Agrario de Cartago </w:t>
      </w:r>
    </w:p>
    <w:p w14:paraId="095403BA" w14:textId="77777777" w:rsidR="001341EC" w:rsidRPr="00055D4B" w:rsidRDefault="001341EC" w:rsidP="001341EC">
      <w:pPr>
        <w:spacing w:line="234" w:lineRule="auto"/>
        <w:ind w:right="260"/>
        <w:jc w:val="both"/>
        <w:rPr>
          <w:rFonts w:ascii="Book Antiqua" w:hAnsi="Book Antiqua"/>
          <w:sz w:val="22"/>
          <w:szCs w:val="22"/>
        </w:rPr>
      </w:pPr>
    </w:p>
    <w:p w14:paraId="771F9A3C"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Respecto de la atención de las personas usuarias cuyos casos se tramitan en el Juzgado Agrario de Cartago.  La atención de las personas usuarias cuyos casos se tramitan en el Juzgado Agrario de Cartago la realiza la plaza de Defensor Público Agrario o Defensora Pública Agraria destacada en la oficina regional de la Defensa Pública de Cartago. En caso de que una persona usuaria contraparte requiera de los servicios de la Defensa Pública, aquélla es atendida por recargo por la plaza de Defensor Público Agrario o Defensora Pública Agraria destacada en la oficina regional de la Defensa Pública de Turrialba.</w:t>
      </w:r>
    </w:p>
    <w:p w14:paraId="126CDB52" w14:textId="77777777" w:rsidR="001341EC" w:rsidRPr="00055D4B" w:rsidRDefault="001341EC" w:rsidP="001341EC">
      <w:pPr>
        <w:spacing w:line="295" w:lineRule="exact"/>
        <w:rPr>
          <w:rFonts w:ascii="Book Antiqua" w:hAnsi="Book Antiqua"/>
          <w:sz w:val="22"/>
          <w:szCs w:val="22"/>
        </w:rPr>
      </w:pPr>
    </w:p>
    <w:p w14:paraId="7526A570"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 Cartago, se procede de la siguiente forma:</w:t>
      </w:r>
    </w:p>
    <w:p w14:paraId="66A5B2EB" w14:textId="77777777" w:rsidR="001341EC" w:rsidRPr="00055D4B" w:rsidRDefault="001341EC" w:rsidP="001341EC">
      <w:pPr>
        <w:jc w:val="both"/>
        <w:rPr>
          <w:rFonts w:ascii="Book Antiqua" w:hAnsi="Book Antiqua"/>
          <w:sz w:val="22"/>
          <w:szCs w:val="22"/>
        </w:rPr>
      </w:pPr>
    </w:p>
    <w:p w14:paraId="7DCDDDAC" w14:textId="77777777" w:rsidR="001341EC" w:rsidRPr="00055D4B" w:rsidRDefault="001341EC" w:rsidP="001341EC">
      <w:pPr>
        <w:spacing w:line="219" w:lineRule="exact"/>
        <w:rPr>
          <w:rFonts w:ascii="Book Antiqua" w:hAnsi="Book Antiqua"/>
          <w:sz w:val="22"/>
          <w:szCs w:val="22"/>
        </w:rPr>
      </w:pPr>
    </w:p>
    <w:p w14:paraId="5DBE1CCC" w14:textId="77777777" w:rsidR="001341EC" w:rsidRPr="00055D4B" w:rsidRDefault="001341EC" w:rsidP="001341EC">
      <w:pPr>
        <w:numPr>
          <w:ilvl w:val="0"/>
          <w:numId w:val="14"/>
        </w:numPr>
        <w:tabs>
          <w:tab w:val="left" w:pos="980"/>
        </w:tabs>
        <w:spacing w:line="235"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Cartago;</w:t>
      </w:r>
    </w:p>
    <w:p w14:paraId="6163AE20" w14:textId="77777777" w:rsidR="001341EC" w:rsidRPr="00055D4B" w:rsidRDefault="001341EC" w:rsidP="001341EC">
      <w:pPr>
        <w:spacing w:line="13" w:lineRule="exact"/>
        <w:rPr>
          <w:rFonts w:ascii="Book Antiqua" w:hAnsi="Book Antiqua"/>
          <w:sz w:val="22"/>
          <w:szCs w:val="22"/>
        </w:rPr>
      </w:pPr>
    </w:p>
    <w:p w14:paraId="481BF0AB" w14:textId="77777777" w:rsidR="001341EC" w:rsidRPr="00055D4B" w:rsidRDefault="001341EC" w:rsidP="001341EC">
      <w:pPr>
        <w:numPr>
          <w:ilvl w:val="0"/>
          <w:numId w:val="14"/>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Turrialba;</w:t>
      </w:r>
    </w:p>
    <w:p w14:paraId="72ECB14D" w14:textId="77777777" w:rsidR="001341EC" w:rsidRPr="00055D4B" w:rsidRDefault="001341EC" w:rsidP="001341EC">
      <w:pPr>
        <w:spacing w:line="12" w:lineRule="exact"/>
        <w:rPr>
          <w:rFonts w:ascii="Book Antiqua" w:hAnsi="Book Antiqua"/>
          <w:sz w:val="22"/>
          <w:szCs w:val="22"/>
        </w:rPr>
      </w:pPr>
    </w:p>
    <w:p w14:paraId="7D5AC75D" w14:textId="77777777" w:rsidR="001341EC" w:rsidRPr="00055D4B" w:rsidRDefault="001341EC" w:rsidP="001341EC">
      <w:pPr>
        <w:numPr>
          <w:ilvl w:val="0"/>
          <w:numId w:val="14"/>
        </w:numPr>
        <w:tabs>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Las otras personas usuarias son atendidas por alguna o algunas de las otras plazas de Defensor Público Agrario o Defensora Pública Agraria destacadas en otras oficinas regionales de la Defensa Pública (verbigracia, San José, Alajuela) o por la plaza de Coordinación, según lo disponga con criterio técnico el Defensor Público Agrario Coordinador de la Unidad de Defensa Agraria.</w:t>
      </w:r>
    </w:p>
    <w:p w14:paraId="1E9F264F" w14:textId="77777777" w:rsidR="001341EC" w:rsidRDefault="001341EC" w:rsidP="001341EC">
      <w:pPr>
        <w:spacing w:line="294" w:lineRule="exact"/>
        <w:rPr>
          <w:rFonts w:ascii="Book Antiqua" w:hAnsi="Book Antiqua"/>
          <w:sz w:val="22"/>
          <w:szCs w:val="22"/>
        </w:rPr>
      </w:pPr>
    </w:p>
    <w:p w14:paraId="5A8D7159" w14:textId="77777777" w:rsidR="001341EC" w:rsidRDefault="001341EC" w:rsidP="001341EC">
      <w:pPr>
        <w:spacing w:line="294" w:lineRule="exact"/>
        <w:rPr>
          <w:rFonts w:ascii="Book Antiqua" w:hAnsi="Book Antiqua"/>
          <w:sz w:val="22"/>
          <w:szCs w:val="22"/>
        </w:rPr>
      </w:pPr>
    </w:p>
    <w:p w14:paraId="7F425C90" w14:textId="77777777" w:rsidR="001341EC" w:rsidRPr="00055D4B" w:rsidRDefault="001341EC" w:rsidP="001341EC">
      <w:pPr>
        <w:spacing w:line="294" w:lineRule="exact"/>
        <w:rPr>
          <w:rFonts w:ascii="Book Antiqua" w:hAnsi="Book Antiqua"/>
          <w:sz w:val="22"/>
          <w:szCs w:val="22"/>
        </w:rPr>
      </w:pPr>
    </w:p>
    <w:p w14:paraId="2FE5FC78"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sidRPr="00A645E5">
        <w:rPr>
          <w:rFonts w:ascii="Book Antiqua" w:hAnsi="Book Antiqua"/>
          <w:sz w:val="22"/>
          <w:szCs w:val="22"/>
        </w:rPr>
        <w:t xml:space="preserve">Juzgado Agrario de Alajuela </w:t>
      </w:r>
    </w:p>
    <w:p w14:paraId="251360AF" w14:textId="77777777" w:rsidR="001341EC" w:rsidRPr="00055D4B" w:rsidRDefault="001341EC" w:rsidP="001341EC">
      <w:pPr>
        <w:spacing w:line="234" w:lineRule="auto"/>
        <w:ind w:right="260"/>
        <w:jc w:val="both"/>
        <w:rPr>
          <w:rFonts w:ascii="Book Antiqua" w:hAnsi="Book Antiqua"/>
          <w:sz w:val="22"/>
          <w:szCs w:val="22"/>
        </w:rPr>
      </w:pPr>
    </w:p>
    <w:p w14:paraId="7370F249"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Respecto de la atención de las personas usuarias cuyos casos se tramitan en el Juzgado Agrario de Alajuela.  La atención de las personas usuarias cuyos casos se tramitan en el Juzgado Agrario de Alajuela la realiza la plaza de Defensor Público Agrario o Defensora Pública Agraria destacada en la oficina regional de la Defensa Pública de Alajuela. En caso de que una persona usuaria contraparte requiera de los servicios de la Defensa Pública, aquélla es atendida por recargo por la plaza de Defensor Público Agrario o Defensora Pública Agraria destacada en la oficina regional de la Defensa Pública de San José.</w:t>
      </w:r>
    </w:p>
    <w:p w14:paraId="4F0BDD1E" w14:textId="77777777" w:rsidR="001341EC" w:rsidRPr="00055D4B" w:rsidRDefault="001341EC" w:rsidP="001341EC">
      <w:pPr>
        <w:spacing w:line="295" w:lineRule="exact"/>
        <w:rPr>
          <w:rFonts w:ascii="Book Antiqua" w:hAnsi="Book Antiqua"/>
          <w:sz w:val="22"/>
          <w:szCs w:val="22"/>
        </w:rPr>
      </w:pPr>
    </w:p>
    <w:p w14:paraId="152EB8D1"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lastRenderedPageBreak/>
        <w:t>En caso de que sean más de dos personas usuarias (actora, demanda y terceras interesadas) las que intervengan en un proceso agrario tramitado en el Juzgado Agrario de Alajuela, se procede de la siguiente forma:</w:t>
      </w:r>
    </w:p>
    <w:p w14:paraId="3C74F980" w14:textId="77777777" w:rsidR="001341EC" w:rsidRPr="00055D4B" w:rsidRDefault="001341EC" w:rsidP="001341EC">
      <w:pPr>
        <w:spacing w:line="295" w:lineRule="exact"/>
        <w:rPr>
          <w:rFonts w:ascii="Book Antiqua" w:hAnsi="Book Antiqua"/>
          <w:sz w:val="22"/>
          <w:szCs w:val="22"/>
        </w:rPr>
      </w:pPr>
    </w:p>
    <w:p w14:paraId="6E947997" w14:textId="77777777" w:rsidR="001341EC" w:rsidRPr="00055D4B" w:rsidRDefault="001341EC" w:rsidP="001341EC">
      <w:pPr>
        <w:numPr>
          <w:ilvl w:val="0"/>
          <w:numId w:val="15"/>
        </w:numPr>
        <w:tabs>
          <w:tab w:val="left" w:pos="980"/>
        </w:tabs>
        <w:spacing w:line="235"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Alajuela;</w:t>
      </w:r>
    </w:p>
    <w:p w14:paraId="51098ABE" w14:textId="77777777" w:rsidR="001341EC" w:rsidRPr="00055D4B" w:rsidRDefault="001341EC" w:rsidP="001341EC">
      <w:pPr>
        <w:spacing w:line="13" w:lineRule="exact"/>
        <w:rPr>
          <w:rFonts w:ascii="Book Antiqua" w:hAnsi="Book Antiqua"/>
          <w:sz w:val="22"/>
          <w:szCs w:val="22"/>
        </w:rPr>
      </w:pPr>
    </w:p>
    <w:p w14:paraId="761C82A5" w14:textId="77777777" w:rsidR="001341EC" w:rsidRPr="00055D4B" w:rsidRDefault="001341EC" w:rsidP="001341EC">
      <w:pPr>
        <w:numPr>
          <w:ilvl w:val="0"/>
          <w:numId w:val="15"/>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San José;</w:t>
      </w:r>
    </w:p>
    <w:p w14:paraId="3ECCFC29" w14:textId="77777777" w:rsidR="001341EC" w:rsidRPr="00055D4B" w:rsidRDefault="001341EC" w:rsidP="001341EC">
      <w:pPr>
        <w:spacing w:line="12" w:lineRule="exact"/>
        <w:rPr>
          <w:rFonts w:ascii="Book Antiqua" w:hAnsi="Book Antiqua"/>
          <w:sz w:val="22"/>
          <w:szCs w:val="22"/>
        </w:rPr>
      </w:pPr>
    </w:p>
    <w:p w14:paraId="58F2936D" w14:textId="77777777" w:rsidR="001341EC" w:rsidRPr="00055D4B" w:rsidRDefault="001341EC" w:rsidP="001341EC">
      <w:pPr>
        <w:numPr>
          <w:ilvl w:val="0"/>
          <w:numId w:val="15"/>
        </w:numPr>
        <w:tabs>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Las otras personas usuarias son atendidas por alguna o algunas de las otras plazas de Defensor Público Agrario o Defensora Pública Agraria destacadas en otras oficinas regionales de la Defensa Pública (verbigracia, Cartago, San Ramón) o por la plaza de Coordinación, según lo disponga con criterio técnico el Defensor Público Agrario Coordinador de la Unidad de Defensa Agraria.</w:t>
      </w:r>
    </w:p>
    <w:p w14:paraId="6D0E90F7" w14:textId="77777777" w:rsidR="001341EC" w:rsidRPr="00055D4B" w:rsidRDefault="001341EC" w:rsidP="001341EC">
      <w:pPr>
        <w:spacing w:line="294" w:lineRule="exact"/>
        <w:rPr>
          <w:rFonts w:ascii="Book Antiqua" w:hAnsi="Book Antiqua"/>
          <w:sz w:val="22"/>
          <w:szCs w:val="22"/>
        </w:rPr>
      </w:pPr>
    </w:p>
    <w:p w14:paraId="62DC41CC"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sidRPr="00A645E5">
        <w:rPr>
          <w:rFonts w:ascii="Book Antiqua" w:hAnsi="Book Antiqua"/>
          <w:sz w:val="22"/>
          <w:szCs w:val="22"/>
        </w:rPr>
        <w:t>Juzgado Agrario del II Circuito Judicial de San José</w:t>
      </w:r>
    </w:p>
    <w:p w14:paraId="36D528DE" w14:textId="77777777" w:rsidR="001341EC" w:rsidRPr="00055D4B" w:rsidRDefault="001341EC" w:rsidP="001341EC">
      <w:pPr>
        <w:spacing w:line="234" w:lineRule="auto"/>
        <w:ind w:right="260"/>
        <w:jc w:val="both"/>
        <w:rPr>
          <w:rFonts w:ascii="Book Antiqua" w:hAnsi="Book Antiqua"/>
          <w:sz w:val="22"/>
          <w:szCs w:val="22"/>
        </w:rPr>
      </w:pPr>
    </w:p>
    <w:p w14:paraId="2A8DACDC"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Respecto de la atención de las personas usuarias cuyos casos se tramitan en el Juzgado Agrario del II Circuito Judicial de San José.  La atención de las personas usuarias cuyos casos se tramitan en el Juzgado Agrario del Segundo Circuito Judicial de San José la realiza la plaza de Defensor Público Agrario o Defensora Pública Agraria destacada en la oficina regional de la Defensa Pública del Primer Circuito Judicial de San José. En caso de que una persona usuaria contraparte requiera de los servicios de la Defensa Pública, aquélla es atendida por recargo por la plaza de Defensor Público Agrario o Defensora Pública Agraria destacada en la oficina regional de la Defensa Pública de Alajuela.</w:t>
      </w:r>
    </w:p>
    <w:p w14:paraId="182D3018" w14:textId="77777777" w:rsidR="001341EC" w:rsidRPr="00055D4B" w:rsidRDefault="001341EC" w:rsidP="001341EC">
      <w:pPr>
        <w:spacing w:line="295" w:lineRule="exact"/>
        <w:rPr>
          <w:rFonts w:ascii="Book Antiqua" w:hAnsi="Book Antiqua"/>
          <w:sz w:val="22"/>
          <w:szCs w:val="22"/>
        </w:rPr>
      </w:pPr>
    </w:p>
    <w:p w14:paraId="189AB6BA" w14:textId="77777777" w:rsidR="001341EC" w:rsidRPr="00055D4B" w:rsidRDefault="001341EC" w:rsidP="001341EC">
      <w:pPr>
        <w:spacing w:line="237" w:lineRule="auto"/>
        <w:ind w:right="260"/>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del Segundo Circuito Judicial de San José, se procede de la siguiente forma:</w:t>
      </w:r>
    </w:p>
    <w:p w14:paraId="0260C548" w14:textId="77777777" w:rsidR="001341EC" w:rsidRPr="00055D4B" w:rsidRDefault="001341EC" w:rsidP="001341EC">
      <w:pPr>
        <w:spacing w:line="293" w:lineRule="exact"/>
        <w:rPr>
          <w:rFonts w:ascii="Book Antiqua" w:hAnsi="Book Antiqua"/>
          <w:sz w:val="22"/>
          <w:szCs w:val="22"/>
        </w:rPr>
      </w:pPr>
    </w:p>
    <w:p w14:paraId="557D081D" w14:textId="77777777" w:rsidR="001341EC" w:rsidRPr="00055D4B" w:rsidRDefault="001341EC" w:rsidP="001341EC">
      <w:pPr>
        <w:numPr>
          <w:ilvl w:val="0"/>
          <w:numId w:val="16"/>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del Primer Circuito Judicial de San José;</w:t>
      </w:r>
    </w:p>
    <w:p w14:paraId="38AD19C7" w14:textId="77777777" w:rsidR="001341EC" w:rsidRPr="00055D4B" w:rsidRDefault="001341EC" w:rsidP="001341EC">
      <w:pPr>
        <w:spacing w:line="12" w:lineRule="exact"/>
        <w:rPr>
          <w:rFonts w:ascii="Book Antiqua" w:hAnsi="Book Antiqua"/>
          <w:sz w:val="22"/>
          <w:szCs w:val="22"/>
        </w:rPr>
      </w:pPr>
    </w:p>
    <w:p w14:paraId="63C2BE95" w14:textId="77777777" w:rsidR="001341EC" w:rsidRPr="00055D4B" w:rsidRDefault="001341EC" w:rsidP="001341EC">
      <w:pPr>
        <w:numPr>
          <w:ilvl w:val="0"/>
          <w:numId w:val="16"/>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Alajuela;</w:t>
      </w:r>
    </w:p>
    <w:p w14:paraId="41164B6C" w14:textId="77777777" w:rsidR="001341EC" w:rsidRPr="00055D4B" w:rsidRDefault="001341EC" w:rsidP="001341EC">
      <w:pPr>
        <w:spacing w:line="12" w:lineRule="exact"/>
        <w:rPr>
          <w:rFonts w:ascii="Book Antiqua" w:hAnsi="Book Antiqua"/>
          <w:sz w:val="22"/>
          <w:szCs w:val="22"/>
        </w:rPr>
      </w:pPr>
    </w:p>
    <w:p w14:paraId="0F583A4A" w14:textId="77777777" w:rsidR="001341EC" w:rsidRPr="00055D4B" w:rsidRDefault="001341EC" w:rsidP="001341EC">
      <w:pPr>
        <w:numPr>
          <w:ilvl w:val="0"/>
          <w:numId w:val="16"/>
        </w:numPr>
        <w:tabs>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 xml:space="preserve">Las otras personas usuarias son atendidas por alguna o algunas de las otras plazas de Defensor Público Agrario o Defensora Pública Agraria destacadas en otras oficinas regionales de la Defensa Pública (verbigracia, Cartago, San Ramón) o por la plaza de Coordinación, según lo disponga con criterio </w:t>
      </w:r>
      <w:r w:rsidRPr="00055D4B">
        <w:rPr>
          <w:rFonts w:ascii="Book Antiqua" w:hAnsi="Book Antiqua"/>
          <w:sz w:val="22"/>
          <w:szCs w:val="22"/>
        </w:rPr>
        <w:lastRenderedPageBreak/>
        <w:t>técnico el Defensor Público Agrario Coordinador de la Unidad de Defensa Agraria.</w:t>
      </w:r>
    </w:p>
    <w:p w14:paraId="46C0EA5F" w14:textId="77777777" w:rsidR="001341EC" w:rsidRPr="00055D4B" w:rsidRDefault="001341EC" w:rsidP="001341EC">
      <w:pPr>
        <w:spacing w:line="294" w:lineRule="exact"/>
        <w:rPr>
          <w:rFonts w:ascii="Book Antiqua" w:hAnsi="Book Antiqua"/>
          <w:sz w:val="22"/>
          <w:szCs w:val="22"/>
        </w:rPr>
      </w:pPr>
    </w:p>
    <w:p w14:paraId="71EC0EE8"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sidRPr="00A645E5">
        <w:rPr>
          <w:rFonts w:ascii="Book Antiqua" w:hAnsi="Book Antiqua"/>
          <w:sz w:val="22"/>
          <w:szCs w:val="22"/>
        </w:rPr>
        <w:t xml:space="preserve">Juzgado Agrario de Pérez Zeledón </w:t>
      </w:r>
    </w:p>
    <w:p w14:paraId="0804D6AA" w14:textId="77777777" w:rsidR="001341EC" w:rsidRPr="00055D4B" w:rsidRDefault="001341EC" w:rsidP="001341EC">
      <w:pPr>
        <w:spacing w:line="234" w:lineRule="auto"/>
        <w:ind w:right="260"/>
        <w:jc w:val="both"/>
        <w:rPr>
          <w:rFonts w:ascii="Book Antiqua" w:hAnsi="Book Antiqua"/>
          <w:sz w:val="22"/>
          <w:szCs w:val="22"/>
        </w:rPr>
      </w:pPr>
    </w:p>
    <w:p w14:paraId="3CABFF51"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Respecto de la atención de las personas usuarias cuyos casos se tramitan en el Juzgado Agrario de Pérez Zeledón. La atención de las personas usuarias cuyos casos se tramitan en el Juzgado Agrario de Pérez Zeledón la realiza la plaza de Defensor Público Agrario o Defensora Pública Agraria destacada en la oficina regional de la Defensa Pública de Pérez Zeledón. En caso de que una persona usuaria contraparte requiera de los servicios de la Defensa Pública, aquélla es atendida por recargo por la plaza de Defensor Público Agrario o Defensora Pública Agraria destacada en la oficina regional de la Defensa Pública de Cartago.</w:t>
      </w:r>
    </w:p>
    <w:p w14:paraId="2D6E8BD0" w14:textId="77777777" w:rsidR="001341EC" w:rsidRPr="00055D4B" w:rsidRDefault="001341EC" w:rsidP="001341EC">
      <w:pPr>
        <w:spacing w:line="237" w:lineRule="auto"/>
        <w:ind w:left="260" w:right="260"/>
        <w:jc w:val="both"/>
        <w:rPr>
          <w:rFonts w:ascii="Book Antiqua" w:hAnsi="Book Antiqua"/>
          <w:sz w:val="22"/>
          <w:szCs w:val="22"/>
        </w:rPr>
      </w:pPr>
    </w:p>
    <w:p w14:paraId="04F665AF"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 Pérez Zeledón, se procede de la siguiente forma:</w:t>
      </w:r>
    </w:p>
    <w:p w14:paraId="7BA7AA1C" w14:textId="77777777" w:rsidR="001341EC" w:rsidRPr="00055D4B" w:rsidRDefault="001341EC" w:rsidP="001341EC">
      <w:pPr>
        <w:spacing w:line="219" w:lineRule="exact"/>
        <w:rPr>
          <w:rFonts w:ascii="Book Antiqua" w:hAnsi="Book Antiqua"/>
          <w:sz w:val="22"/>
          <w:szCs w:val="22"/>
        </w:rPr>
      </w:pPr>
    </w:p>
    <w:p w14:paraId="6A35F592" w14:textId="77777777" w:rsidR="001341EC" w:rsidRPr="00055D4B" w:rsidRDefault="001341EC" w:rsidP="001341EC">
      <w:pPr>
        <w:numPr>
          <w:ilvl w:val="0"/>
          <w:numId w:val="17"/>
        </w:numPr>
        <w:tabs>
          <w:tab w:val="left" w:pos="980"/>
        </w:tabs>
        <w:spacing w:line="235"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Pérez Zeledón;</w:t>
      </w:r>
    </w:p>
    <w:p w14:paraId="331AD68E" w14:textId="77777777" w:rsidR="001341EC" w:rsidRPr="00055D4B" w:rsidRDefault="001341EC" w:rsidP="001341EC">
      <w:pPr>
        <w:spacing w:line="13" w:lineRule="exact"/>
        <w:rPr>
          <w:rFonts w:ascii="Book Antiqua" w:hAnsi="Book Antiqua"/>
          <w:sz w:val="22"/>
          <w:szCs w:val="22"/>
        </w:rPr>
      </w:pPr>
    </w:p>
    <w:p w14:paraId="27A5CA5F" w14:textId="77777777" w:rsidR="001341EC" w:rsidRPr="00055D4B" w:rsidRDefault="001341EC" w:rsidP="001341EC">
      <w:pPr>
        <w:numPr>
          <w:ilvl w:val="0"/>
          <w:numId w:val="17"/>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Cartago;</w:t>
      </w:r>
    </w:p>
    <w:p w14:paraId="1E516E9D" w14:textId="77777777" w:rsidR="001341EC" w:rsidRPr="00055D4B" w:rsidRDefault="001341EC" w:rsidP="001341EC">
      <w:pPr>
        <w:spacing w:line="12" w:lineRule="exact"/>
        <w:rPr>
          <w:rFonts w:ascii="Book Antiqua" w:hAnsi="Book Antiqua"/>
          <w:sz w:val="22"/>
          <w:szCs w:val="22"/>
        </w:rPr>
      </w:pPr>
    </w:p>
    <w:p w14:paraId="350D372E" w14:textId="77777777" w:rsidR="001341EC" w:rsidRPr="00055D4B" w:rsidRDefault="001341EC" w:rsidP="001341EC">
      <w:pPr>
        <w:numPr>
          <w:ilvl w:val="0"/>
          <w:numId w:val="17"/>
        </w:numPr>
        <w:tabs>
          <w:tab w:val="left" w:pos="980"/>
        </w:tabs>
        <w:spacing w:line="238" w:lineRule="auto"/>
        <w:ind w:left="980" w:right="260" w:hanging="358"/>
        <w:jc w:val="both"/>
        <w:rPr>
          <w:rFonts w:ascii="Book Antiqua" w:hAnsi="Book Antiqua"/>
          <w:sz w:val="22"/>
          <w:szCs w:val="22"/>
        </w:rPr>
      </w:pPr>
      <w:r w:rsidRPr="00055D4B">
        <w:rPr>
          <w:rFonts w:ascii="Book Antiqua" w:hAnsi="Book Antiqua"/>
          <w:sz w:val="22"/>
          <w:szCs w:val="22"/>
        </w:rPr>
        <w:t>Las otras personas usuarias son atendidas por alguna o algunas de las otras plazas de Defensor Público Agrario o Defensora Pública Agraria destacadas en otras oficinas regionales de la Defensa Pública (verbigracia, Buenos Aires, Corredores) o por la plaza de Coordinación, según lo disponga con criterio técnico el Defensor Público Agrario Coordinador de la Unidad de Defensa Agraria.</w:t>
      </w:r>
    </w:p>
    <w:p w14:paraId="570AB7C0" w14:textId="77777777" w:rsidR="001341EC" w:rsidRDefault="001341EC" w:rsidP="001341EC">
      <w:pPr>
        <w:spacing w:line="294" w:lineRule="exact"/>
        <w:rPr>
          <w:rFonts w:ascii="Book Antiqua" w:hAnsi="Book Antiqua"/>
          <w:sz w:val="22"/>
          <w:szCs w:val="22"/>
        </w:rPr>
      </w:pPr>
    </w:p>
    <w:p w14:paraId="51382AFF" w14:textId="77777777" w:rsidR="001341EC" w:rsidRDefault="001341EC" w:rsidP="001341EC">
      <w:pPr>
        <w:spacing w:line="294" w:lineRule="exact"/>
        <w:rPr>
          <w:rFonts w:ascii="Book Antiqua" w:hAnsi="Book Antiqua"/>
          <w:sz w:val="22"/>
          <w:szCs w:val="22"/>
        </w:rPr>
      </w:pPr>
    </w:p>
    <w:p w14:paraId="72D66834" w14:textId="77777777" w:rsidR="001341EC" w:rsidRPr="00055D4B" w:rsidRDefault="001341EC" w:rsidP="001341EC">
      <w:pPr>
        <w:spacing w:line="294" w:lineRule="exact"/>
        <w:rPr>
          <w:rFonts w:ascii="Book Antiqua" w:hAnsi="Book Antiqua"/>
          <w:sz w:val="22"/>
          <w:szCs w:val="22"/>
        </w:rPr>
      </w:pPr>
    </w:p>
    <w:p w14:paraId="26687E7D"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sidRPr="00A645E5">
        <w:rPr>
          <w:rFonts w:ascii="Book Antiqua" w:hAnsi="Book Antiqua"/>
          <w:sz w:val="22"/>
          <w:szCs w:val="22"/>
        </w:rPr>
        <w:t xml:space="preserve">Juzgado Agrario de Corredores </w:t>
      </w:r>
    </w:p>
    <w:p w14:paraId="11C954F5" w14:textId="77777777" w:rsidR="001341EC" w:rsidRPr="00055D4B" w:rsidRDefault="001341EC" w:rsidP="001341EC">
      <w:pPr>
        <w:spacing w:line="236" w:lineRule="auto"/>
        <w:ind w:left="260" w:right="260"/>
        <w:jc w:val="both"/>
        <w:rPr>
          <w:rFonts w:ascii="Book Antiqua" w:hAnsi="Book Antiqua"/>
          <w:sz w:val="22"/>
          <w:szCs w:val="22"/>
        </w:rPr>
      </w:pPr>
    </w:p>
    <w:p w14:paraId="73CD02C8"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Respecto de la atención de las personas usuarias cuyos casos se tramitan en el Juzgado Agrario de Corredores. La atención de las personas usuarias cuyos casos se tramitan en el Juzgado Agrario de Corredores la realiza la plaza de Defensor Público Agrario o Defensora Pública Agraria destacada en la oficina regional de la Defensa Pública de Corredores. En caso de que una persona usuaria contraparte requiera de los servicios de la Defensa Pública, aquélla es atendida por recargo por la plaza de Defensor Público Agrario o Defensora Pública Agraria destacada en la oficina regional de la Defensa Pública de Buenos Aires o Pérez Zeledón, según lo determine con criterio técnico el Defensor Público Agrario Coordinador de la Unidad de Defensa Agraria.</w:t>
      </w:r>
    </w:p>
    <w:p w14:paraId="1AF0B350" w14:textId="77777777" w:rsidR="001341EC" w:rsidRPr="00055D4B" w:rsidRDefault="001341EC" w:rsidP="001341EC">
      <w:pPr>
        <w:spacing w:line="292" w:lineRule="exact"/>
        <w:rPr>
          <w:rFonts w:ascii="Book Antiqua" w:hAnsi="Book Antiqua"/>
          <w:sz w:val="22"/>
          <w:szCs w:val="22"/>
        </w:rPr>
      </w:pPr>
    </w:p>
    <w:p w14:paraId="1F1BB2E5"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 Corredores, se procede de la siguiente forma:</w:t>
      </w:r>
    </w:p>
    <w:p w14:paraId="04AAC2D4" w14:textId="77777777" w:rsidR="001341EC" w:rsidRPr="00055D4B" w:rsidRDefault="001341EC" w:rsidP="001341EC">
      <w:pPr>
        <w:spacing w:line="292" w:lineRule="exact"/>
        <w:rPr>
          <w:rFonts w:ascii="Book Antiqua" w:hAnsi="Book Antiqua"/>
          <w:sz w:val="22"/>
          <w:szCs w:val="22"/>
        </w:rPr>
      </w:pPr>
    </w:p>
    <w:p w14:paraId="2600E502" w14:textId="77777777" w:rsidR="001341EC" w:rsidRPr="00055D4B" w:rsidRDefault="001341EC" w:rsidP="001341EC">
      <w:pPr>
        <w:numPr>
          <w:ilvl w:val="0"/>
          <w:numId w:val="18"/>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 destacada en la oficina de la Defensa Pública de Corredores;</w:t>
      </w:r>
    </w:p>
    <w:p w14:paraId="0B5E34BA" w14:textId="77777777" w:rsidR="001341EC" w:rsidRPr="00055D4B" w:rsidRDefault="001341EC" w:rsidP="001341EC">
      <w:pPr>
        <w:spacing w:line="13" w:lineRule="exact"/>
        <w:rPr>
          <w:rFonts w:ascii="Book Antiqua" w:hAnsi="Book Antiqua"/>
          <w:sz w:val="22"/>
          <w:szCs w:val="22"/>
        </w:rPr>
      </w:pPr>
    </w:p>
    <w:p w14:paraId="3819837C" w14:textId="77777777" w:rsidR="001341EC" w:rsidRPr="00055D4B" w:rsidRDefault="001341EC" w:rsidP="001341EC">
      <w:pPr>
        <w:numPr>
          <w:ilvl w:val="0"/>
          <w:numId w:val="18"/>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Buenos Aires;</w:t>
      </w:r>
    </w:p>
    <w:p w14:paraId="45D60390" w14:textId="77777777" w:rsidR="001341EC" w:rsidRPr="00055D4B" w:rsidRDefault="001341EC" w:rsidP="001341EC">
      <w:pPr>
        <w:spacing w:line="12" w:lineRule="exact"/>
        <w:rPr>
          <w:rFonts w:ascii="Book Antiqua" w:hAnsi="Book Antiqua"/>
          <w:sz w:val="22"/>
          <w:szCs w:val="22"/>
        </w:rPr>
      </w:pPr>
    </w:p>
    <w:p w14:paraId="3E538B25" w14:textId="77777777" w:rsidR="001341EC" w:rsidRPr="00055D4B" w:rsidRDefault="001341EC" w:rsidP="001341EC">
      <w:pPr>
        <w:numPr>
          <w:ilvl w:val="0"/>
          <w:numId w:val="18"/>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Las otras personas usuarias son atendidas por alguna o algunas de las otras plazas de Defensor Público Agrario o Defensora Pública Agraria destacadas en otras oficinas regionales de la Defensa Pública (verbigracia, Pérez Zeledón, Cartago), según lo disponga con criterio técnico el Defensor Público Agrario Coordinador de la Unidad de Defensa Agraria.</w:t>
      </w:r>
    </w:p>
    <w:p w14:paraId="260DF07F" w14:textId="77777777" w:rsidR="001341EC" w:rsidRPr="00055D4B" w:rsidRDefault="001341EC" w:rsidP="001341EC">
      <w:pPr>
        <w:spacing w:line="292" w:lineRule="exact"/>
        <w:rPr>
          <w:rFonts w:ascii="Book Antiqua" w:hAnsi="Book Antiqua"/>
          <w:sz w:val="22"/>
          <w:szCs w:val="22"/>
        </w:rPr>
      </w:pPr>
    </w:p>
    <w:p w14:paraId="7FCFFABF"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t>En caso de que una de las personas usuarias sea indígena, ésta será atendida por la plaza de Defensor Público Agrario o Defensora Pública Agraria de Buenos Aires.</w:t>
      </w:r>
    </w:p>
    <w:p w14:paraId="68D35D95" w14:textId="77777777" w:rsidR="001341EC" w:rsidRPr="00055D4B" w:rsidRDefault="001341EC" w:rsidP="001341EC">
      <w:pPr>
        <w:spacing w:line="295" w:lineRule="exact"/>
        <w:rPr>
          <w:rFonts w:ascii="Book Antiqua" w:hAnsi="Book Antiqua"/>
          <w:sz w:val="22"/>
          <w:szCs w:val="22"/>
        </w:rPr>
      </w:pPr>
    </w:p>
    <w:p w14:paraId="0FBA0210" w14:textId="77777777" w:rsidR="001341EC" w:rsidRPr="00A645E5" w:rsidRDefault="001341EC" w:rsidP="001341EC">
      <w:pPr>
        <w:pStyle w:val="Ttulo3"/>
        <w:keepLines/>
        <w:numPr>
          <w:ilvl w:val="2"/>
          <w:numId w:val="42"/>
        </w:numPr>
        <w:spacing w:before="40" w:after="0"/>
        <w:rPr>
          <w:rFonts w:ascii="Book Antiqua" w:hAnsi="Book Antiqua"/>
          <w:sz w:val="22"/>
          <w:szCs w:val="22"/>
        </w:rPr>
      </w:pPr>
      <w:r w:rsidRPr="00A645E5">
        <w:rPr>
          <w:rFonts w:ascii="Book Antiqua" w:hAnsi="Book Antiqua"/>
          <w:sz w:val="22"/>
          <w:szCs w:val="22"/>
        </w:rPr>
        <w:t xml:space="preserve">Juzgado Agrario de Buenos Aires </w:t>
      </w:r>
    </w:p>
    <w:p w14:paraId="6DEDC69F" w14:textId="77777777" w:rsidR="001341EC" w:rsidRPr="00055D4B" w:rsidRDefault="001341EC" w:rsidP="001341EC">
      <w:pPr>
        <w:spacing w:line="234" w:lineRule="auto"/>
        <w:ind w:right="260"/>
        <w:jc w:val="both"/>
        <w:rPr>
          <w:rFonts w:ascii="Book Antiqua" w:hAnsi="Book Antiqua"/>
          <w:sz w:val="22"/>
          <w:szCs w:val="22"/>
        </w:rPr>
      </w:pPr>
    </w:p>
    <w:p w14:paraId="55E9C569" w14:textId="77777777" w:rsidR="001341EC" w:rsidRPr="00055D4B" w:rsidRDefault="001341EC" w:rsidP="001341EC">
      <w:pPr>
        <w:spacing w:line="234" w:lineRule="auto"/>
        <w:ind w:right="260"/>
        <w:jc w:val="both"/>
        <w:rPr>
          <w:rFonts w:ascii="Book Antiqua" w:hAnsi="Book Antiqua"/>
          <w:sz w:val="22"/>
          <w:szCs w:val="22"/>
        </w:rPr>
      </w:pPr>
      <w:r w:rsidRPr="00055D4B">
        <w:rPr>
          <w:rFonts w:ascii="Book Antiqua" w:hAnsi="Book Antiqua"/>
          <w:sz w:val="22"/>
          <w:szCs w:val="22"/>
        </w:rPr>
        <w:t>Respecto de la atención de las personas usuarias cuyos casos se tramitan en el Juzgado Agrario de Buenos Aires. La atención de las personas usuarias cuyos casos se tramitan en el Juzgado Agrario de Buenos Aires la realiza la plaza de Defensor Público Agrario-Indígena o Defensora Pública Agraria-Indígena destacada en la oficina regional de la Defensa Pública de Buenos Aires. En caso de que una persona usuaria contraparte requiera de los servicios de la Defensa Pública, aquélla es atendida por recargo por la plaza de Defensor Público Agrario o Defensora Pública Agraria destacada en la oficina regional de la Defensa Pública de Pérez Zeledón o Corredores, según lo determine con criterio técnico el Defensor Público Agrario Coordinador de la Unidad de Defensa Agraria.</w:t>
      </w:r>
    </w:p>
    <w:p w14:paraId="04472C88" w14:textId="77777777" w:rsidR="001341EC" w:rsidRPr="00055D4B" w:rsidRDefault="001341EC" w:rsidP="001341EC">
      <w:pPr>
        <w:spacing w:line="292" w:lineRule="exact"/>
        <w:rPr>
          <w:rFonts w:ascii="Book Antiqua" w:hAnsi="Book Antiqua"/>
          <w:sz w:val="22"/>
          <w:szCs w:val="22"/>
        </w:rPr>
      </w:pPr>
    </w:p>
    <w:p w14:paraId="398419A6" w14:textId="77777777" w:rsidR="001341EC" w:rsidRPr="00055D4B" w:rsidRDefault="001341EC" w:rsidP="001341EC">
      <w:pPr>
        <w:spacing w:line="236" w:lineRule="auto"/>
        <w:ind w:right="260"/>
        <w:jc w:val="both"/>
        <w:rPr>
          <w:rFonts w:ascii="Book Antiqua" w:hAnsi="Book Antiqua"/>
          <w:sz w:val="22"/>
          <w:szCs w:val="22"/>
        </w:rPr>
      </w:pPr>
      <w:r w:rsidRPr="00055D4B">
        <w:rPr>
          <w:rFonts w:ascii="Book Antiqua" w:hAnsi="Book Antiqua"/>
          <w:sz w:val="22"/>
          <w:szCs w:val="22"/>
        </w:rPr>
        <w:t>En caso de que sean más de dos personas usuarias (actora, demanda y terceras interesadas) las que intervengan en un proceso agrario tramitado en el Juzgado Agrario de Buenos Aires, se procede de la siguiente forma:</w:t>
      </w:r>
    </w:p>
    <w:p w14:paraId="1BD8D0A5" w14:textId="77777777" w:rsidR="001341EC" w:rsidRPr="00055D4B" w:rsidRDefault="001341EC" w:rsidP="001341EC">
      <w:pPr>
        <w:spacing w:line="293" w:lineRule="exact"/>
        <w:rPr>
          <w:rFonts w:ascii="Book Antiqua" w:hAnsi="Book Antiqua"/>
          <w:sz w:val="22"/>
          <w:szCs w:val="22"/>
        </w:rPr>
      </w:pPr>
    </w:p>
    <w:p w14:paraId="67C90D86" w14:textId="77777777" w:rsidR="001341EC" w:rsidRPr="00055D4B" w:rsidRDefault="001341EC" w:rsidP="001341EC">
      <w:pPr>
        <w:numPr>
          <w:ilvl w:val="0"/>
          <w:numId w:val="19"/>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Una de ellas es atendida por la plaza de Defensor Público Agrario o Defensora Pública Agraria-Indígena destacada en la oficina de la Defensa Pública de Buenos Aires;</w:t>
      </w:r>
    </w:p>
    <w:p w14:paraId="2718C7BD" w14:textId="77777777" w:rsidR="001341EC" w:rsidRPr="00055D4B" w:rsidRDefault="001341EC" w:rsidP="001341EC">
      <w:pPr>
        <w:spacing w:line="12" w:lineRule="exact"/>
        <w:rPr>
          <w:rFonts w:ascii="Book Antiqua" w:hAnsi="Book Antiqua"/>
          <w:sz w:val="22"/>
          <w:szCs w:val="22"/>
        </w:rPr>
      </w:pPr>
    </w:p>
    <w:p w14:paraId="7CB37360" w14:textId="77777777" w:rsidR="001341EC" w:rsidRPr="00055D4B" w:rsidRDefault="001341EC" w:rsidP="001341EC">
      <w:pPr>
        <w:numPr>
          <w:ilvl w:val="0"/>
          <w:numId w:val="19"/>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Otra es atendida por la plaza de Defensor Público Agrario o Defensora Pública Agraria destacada en la oficina regional de la Defensa Pública de Pérez Zeledón;</w:t>
      </w:r>
    </w:p>
    <w:p w14:paraId="0B5E224A" w14:textId="77777777" w:rsidR="001341EC" w:rsidRPr="00055D4B" w:rsidRDefault="001341EC" w:rsidP="001341EC">
      <w:pPr>
        <w:spacing w:line="12" w:lineRule="exact"/>
        <w:rPr>
          <w:rFonts w:ascii="Book Antiqua" w:hAnsi="Book Antiqua"/>
          <w:sz w:val="22"/>
          <w:szCs w:val="22"/>
        </w:rPr>
      </w:pPr>
    </w:p>
    <w:p w14:paraId="35562077" w14:textId="77777777" w:rsidR="001341EC" w:rsidRPr="00055D4B" w:rsidRDefault="001341EC" w:rsidP="001341EC">
      <w:pPr>
        <w:numPr>
          <w:ilvl w:val="0"/>
          <w:numId w:val="19"/>
        </w:numPr>
        <w:tabs>
          <w:tab w:val="left" w:pos="980"/>
        </w:tabs>
        <w:spacing w:line="237" w:lineRule="auto"/>
        <w:ind w:left="980" w:right="260" w:hanging="358"/>
        <w:jc w:val="both"/>
        <w:rPr>
          <w:rFonts w:ascii="Book Antiqua" w:hAnsi="Book Antiqua"/>
          <w:sz w:val="22"/>
          <w:szCs w:val="22"/>
        </w:rPr>
      </w:pPr>
      <w:r w:rsidRPr="00055D4B">
        <w:rPr>
          <w:rFonts w:ascii="Book Antiqua" w:hAnsi="Book Antiqua"/>
          <w:sz w:val="22"/>
          <w:szCs w:val="22"/>
        </w:rPr>
        <w:lastRenderedPageBreak/>
        <w:t>Las otras personas usuarias son atendidas por alguna o algunas de las otras plazas de Defensor Público Agrario o Defensora Pública Agraria destacadas en otras oficinas regionales de la Defensa Pública (verbigracia, Pérez Zeledón, Cartago), según lo disponga con criterio técnico el Defensor Público Agrario Coordinador de la Unidad de Defensa Agraria.</w:t>
      </w:r>
    </w:p>
    <w:p w14:paraId="442835D2" w14:textId="77777777" w:rsidR="001341EC" w:rsidRPr="00055D4B" w:rsidRDefault="001341EC" w:rsidP="001341EC">
      <w:pPr>
        <w:spacing w:line="298" w:lineRule="exact"/>
        <w:rPr>
          <w:rFonts w:ascii="Book Antiqua" w:hAnsi="Book Antiqua"/>
          <w:sz w:val="22"/>
          <w:szCs w:val="22"/>
        </w:rPr>
      </w:pPr>
    </w:p>
    <w:p w14:paraId="55A582CB" w14:textId="77777777" w:rsidR="001341EC" w:rsidRPr="00055D4B" w:rsidRDefault="001341EC" w:rsidP="001341EC">
      <w:pPr>
        <w:spacing w:line="236" w:lineRule="auto"/>
        <w:ind w:left="260" w:right="260"/>
        <w:jc w:val="both"/>
        <w:rPr>
          <w:rFonts w:ascii="Book Antiqua" w:hAnsi="Book Antiqua"/>
          <w:sz w:val="22"/>
          <w:szCs w:val="22"/>
        </w:rPr>
      </w:pPr>
      <w:r w:rsidRPr="00055D4B">
        <w:rPr>
          <w:rFonts w:ascii="Book Antiqua" w:hAnsi="Book Antiqua"/>
          <w:sz w:val="22"/>
          <w:szCs w:val="22"/>
        </w:rPr>
        <w:t>En caso de que una de las personas usuarias sea indígena, ésta es atendida siempre por la plaza de Defensor Público Agrario-Indígena o Defensora Pública Agraria-Indígena de Buenos Aires.</w:t>
      </w:r>
    </w:p>
    <w:p w14:paraId="499786DA" w14:textId="77777777" w:rsidR="001341EC" w:rsidRPr="00055D4B" w:rsidRDefault="001341EC" w:rsidP="001341EC">
      <w:pPr>
        <w:spacing w:line="295" w:lineRule="exact"/>
        <w:rPr>
          <w:rFonts w:ascii="Book Antiqua" w:hAnsi="Book Antiqua"/>
          <w:sz w:val="22"/>
          <w:szCs w:val="22"/>
        </w:rPr>
      </w:pPr>
    </w:p>
    <w:p w14:paraId="551D429E" w14:textId="77777777" w:rsidR="001341EC" w:rsidRPr="00055D4B" w:rsidRDefault="001341EC" w:rsidP="001341EC">
      <w:pPr>
        <w:numPr>
          <w:ilvl w:val="0"/>
          <w:numId w:val="18"/>
        </w:numPr>
        <w:tabs>
          <w:tab w:val="left" w:pos="980"/>
        </w:tabs>
        <w:spacing w:line="236" w:lineRule="auto"/>
        <w:ind w:left="980" w:right="260" w:hanging="358"/>
        <w:jc w:val="both"/>
        <w:rPr>
          <w:rFonts w:ascii="Book Antiqua" w:hAnsi="Book Antiqua"/>
          <w:sz w:val="22"/>
          <w:szCs w:val="22"/>
        </w:rPr>
      </w:pPr>
      <w:r w:rsidRPr="00055D4B">
        <w:rPr>
          <w:rFonts w:ascii="Book Antiqua" w:hAnsi="Book Antiqua"/>
          <w:sz w:val="22"/>
          <w:szCs w:val="22"/>
        </w:rPr>
        <w:t>Nótese que la atención de personas usuarias indígenas en los casos que se tramitan en vía judicial agraria es siempre la prioridad de la plaza de Defensor Público Agrario-Indígena o Defensora Pública Agraria-Indígena de Buenos Aires.</w:t>
      </w:r>
    </w:p>
    <w:p w14:paraId="5E91970A" w14:textId="77777777" w:rsidR="001341EC" w:rsidRPr="00055D4B" w:rsidRDefault="001341EC" w:rsidP="001341EC">
      <w:pPr>
        <w:jc w:val="both"/>
        <w:rPr>
          <w:rFonts w:ascii="Book Antiqua" w:hAnsi="Book Antiqua"/>
          <w:sz w:val="22"/>
          <w:szCs w:val="22"/>
        </w:rPr>
      </w:pPr>
    </w:p>
    <w:p w14:paraId="125C4D34"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Otro punto es que la Defensa Pública requiere de estudios técnicos en topografía y geodesia; entre otros, como parte de su estrategia de defensa.  En la actualidad, estos estudios los realizan con los peritos oficiales del Poder Judicial; sin embargo, se dan casos en que estos informes técnicos, no se contratan producto del bajo contenido presupuestario en la subpartida asociada a este rubro. </w:t>
      </w:r>
    </w:p>
    <w:p w14:paraId="7A0A6CF3" w14:textId="77777777" w:rsidR="001341EC" w:rsidRPr="00055D4B" w:rsidRDefault="001341EC" w:rsidP="001341EC">
      <w:pPr>
        <w:tabs>
          <w:tab w:val="left" w:pos="980"/>
        </w:tabs>
        <w:spacing w:line="238" w:lineRule="auto"/>
        <w:ind w:right="260"/>
        <w:jc w:val="both"/>
        <w:rPr>
          <w:rFonts w:ascii="Book Antiqua" w:hAnsi="Book Antiqua"/>
          <w:sz w:val="22"/>
          <w:szCs w:val="22"/>
        </w:rPr>
      </w:pPr>
    </w:p>
    <w:p w14:paraId="7D0294CB"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En virtud de lo anterior, se plantea costear esos peritajes del Fondo de Apoyo a la Defensa Pública Agraria que establece el artículo 47 del Código Procesal Agrario, para atender en forma oportuna esos estudios. </w:t>
      </w:r>
    </w:p>
    <w:p w14:paraId="67132CF3" w14:textId="77777777" w:rsidR="001341EC" w:rsidRPr="00055D4B" w:rsidRDefault="001341EC" w:rsidP="001341EC">
      <w:pPr>
        <w:jc w:val="both"/>
        <w:rPr>
          <w:rFonts w:ascii="Book Antiqua" w:hAnsi="Book Antiqua"/>
          <w:sz w:val="22"/>
          <w:szCs w:val="22"/>
        </w:rPr>
      </w:pPr>
    </w:p>
    <w:p w14:paraId="65B05432"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Por último la Defensa Pública manifiesta que tomando como referencia la experiencia y los procedimientos y labores existentes en la Defensa Pública y en la Administración de la Defensa Pública en cobro de honorarios en materia Penal, las costas procesales que genera el servicio de los Abogados de Asistencia Legal (Trabajo), indican que efectivamente para el manejo, registro, control contable, presupuestario y ejecución de los recursos que genere el Código Procesal Agrario, </w:t>
      </w:r>
      <w:r w:rsidRPr="00055D4B">
        <w:rPr>
          <w:rFonts w:ascii="Book Antiqua" w:hAnsi="Book Antiqua"/>
          <w:sz w:val="22"/>
          <w:szCs w:val="22"/>
          <w:u w:val="single"/>
        </w:rPr>
        <w:t>es necesario el refuerzo para la Administración de la Defensa Pública de un puesto de Técnico Administrativo 2</w:t>
      </w:r>
      <w:r w:rsidRPr="00055D4B">
        <w:rPr>
          <w:rFonts w:ascii="Book Antiqua" w:hAnsi="Book Antiqua"/>
          <w:sz w:val="22"/>
          <w:szCs w:val="22"/>
        </w:rPr>
        <w:t>.</w:t>
      </w:r>
    </w:p>
    <w:p w14:paraId="389AEDE9" w14:textId="77777777" w:rsidR="001341EC" w:rsidRPr="00055D4B" w:rsidRDefault="001341EC" w:rsidP="001341EC">
      <w:pPr>
        <w:rPr>
          <w:rFonts w:ascii="Book Antiqua" w:hAnsi="Book Antiqua"/>
          <w:sz w:val="22"/>
          <w:szCs w:val="22"/>
        </w:rPr>
      </w:pPr>
    </w:p>
    <w:p w14:paraId="2AA5E521" w14:textId="77777777" w:rsidR="001341EC" w:rsidRPr="00055D4B" w:rsidRDefault="001341EC" w:rsidP="001341EC">
      <w:pPr>
        <w:ind w:left="360"/>
        <w:jc w:val="both"/>
        <w:rPr>
          <w:rFonts w:ascii="Book Antiqua" w:hAnsi="Book Antiqua"/>
          <w:sz w:val="22"/>
          <w:szCs w:val="22"/>
        </w:rPr>
      </w:pPr>
    </w:p>
    <w:p w14:paraId="3953E287"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Del estudio realizado al Código Procesal Agrario (Ley 9609), se identificaron las siguientes variaciones en lo que respecta a la organización y funcionamiento de los despachos y oficinas judiciales:</w:t>
      </w:r>
    </w:p>
    <w:p w14:paraId="62263014" w14:textId="77777777" w:rsidR="001341EC" w:rsidRPr="00055D4B" w:rsidRDefault="001341EC" w:rsidP="001341EC">
      <w:pPr>
        <w:jc w:val="both"/>
        <w:rPr>
          <w:rFonts w:ascii="Book Antiqua" w:hAnsi="Book Antiqua"/>
          <w:sz w:val="22"/>
          <w:szCs w:val="22"/>
        </w:rPr>
      </w:pPr>
    </w:p>
    <w:p w14:paraId="6E0F63B4" w14:textId="77777777" w:rsidR="001341EC" w:rsidRPr="000D3830" w:rsidRDefault="001341EC" w:rsidP="001341EC">
      <w:pPr>
        <w:pStyle w:val="Ttulo2"/>
        <w:keepLines/>
        <w:numPr>
          <w:ilvl w:val="1"/>
          <w:numId w:val="42"/>
        </w:numPr>
        <w:spacing w:before="40" w:after="0"/>
        <w:rPr>
          <w:rFonts w:ascii="Book Antiqua" w:hAnsi="Book Antiqua"/>
          <w:i w:val="0"/>
          <w:sz w:val="22"/>
          <w:szCs w:val="22"/>
        </w:rPr>
      </w:pPr>
      <w:r w:rsidRPr="000D3830">
        <w:rPr>
          <w:rFonts w:ascii="Book Antiqua" w:hAnsi="Book Antiqua"/>
          <w:sz w:val="22"/>
          <w:szCs w:val="22"/>
        </w:rPr>
        <w:t xml:space="preserve"> </w:t>
      </w:r>
      <w:r w:rsidRPr="000D3830">
        <w:rPr>
          <w:rFonts w:ascii="Book Antiqua" w:hAnsi="Book Antiqua"/>
          <w:i w:val="0"/>
          <w:sz w:val="22"/>
          <w:szCs w:val="22"/>
        </w:rPr>
        <w:t>Atribuciones a la Corte Plena</w:t>
      </w:r>
      <w:r>
        <w:rPr>
          <w:rFonts w:ascii="Book Antiqua" w:hAnsi="Book Antiqua"/>
          <w:i w:val="0"/>
          <w:sz w:val="22"/>
          <w:szCs w:val="22"/>
        </w:rPr>
        <w:t xml:space="preserve"> sobre la Jurisdicción Agraria</w:t>
      </w:r>
    </w:p>
    <w:p w14:paraId="5F70D491" w14:textId="77777777" w:rsidR="001341EC" w:rsidRPr="00055D4B" w:rsidRDefault="001341EC" w:rsidP="001341EC">
      <w:pPr>
        <w:rPr>
          <w:rFonts w:ascii="Book Antiqua" w:hAnsi="Book Antiqua"/>
          <w:sz w:val="22"/>
          <w:szCs w:val="22"/>
          <w:lang w:eastAsia="en-US"/>
        </w:rPr>
      </w:pPr>
    </w:p>
    <w:p w14:paraId="0697B956"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Se faculta a la Corte Plena para regular el crecimiento de los Juzgados y del Tribunal Agrario, según los requerimientos de trabajo para ofrecer un servicio público eficiente y de calidad, de acuerdo con el artículo 9:</w:t>
      </w:r>
    </w:p>
    <w:p w14:paraId="05ADD8FC" w14:textId="77777777" w:rsidR="001341EC" w:rsidRPr="00055D4B" w:rsidRDefault="001341EC" w:rsidP="001341EC">
      <w:pPr>
        <w:ind w:right="541"/>
        <w:jc w:val="both"/>
        <w:rPr>
          <w:rFonts w:ascii="Book Antiqua" w:hAnsi="Book Antiqua" w:cs="Arial-BoldMT"/>
          <w:b/>
          <w:bCs/>
          <w:color w:val="000000"/>
          <w:sz w:val="22"/>
          <w:szCs w:val="22"/>
        </w:rPr>
      </w:pPr>
    </w:p>
    <w:p w14:paraId="7969EC9F" w14:textId="77777777" w:rsidR="001341EC" w:rsidRPr="00055D4B" w:rsidRDefault="001341EC" w:rsidP="001341EC">
      <w:pPr>
        <w:ind w:left="540" w:right="541"/>
        <w:jc w:val="both"/>
        <w:rPr>
          <w:rFonts w:ascii="Book Antiqua" w:hAnsi="Book Antiqua" w:cs="Arial-BoldMT"/>
          <w:b/>
          <w:bCs/>
          <w:i/>
          <w:color w:val="000000"/>
          <w:sz w:val="22"/>
          <w:szCs w:val="22"/>
        </w:rPr>
      </w:pPr>
      <w:r w:rsidRPr="00055D4B">
        <w:rPr>
          <w:rFonts w:ascii="Book Antiqua" w:hAnsi="Book Antiqua" w:cs="Arial-BoldMT"/>
          <w:b/>
          <w:bCs/>
          <w:i/>
          <w:color w:val="000000"/>
          <w:sz w:val="22"/>
          <w:szCs w:val="22"/>
        </w:rPr>
        <w:lastRenderedPageBreak/>
        <w:t>“ARTÍCULO 9.- Órganos jurisdiccionales</w:t>
      </w:r>
    </w:p>
    <w:p w14:paraId="6FA78EFD" w14:textId="77777777" w:rsidR="001341EC" w:rsidRPr="00055D4B" w:rsidRDefault="001341EC" w:rsidP="001341EC">
      <w:pPr>
        <w:ind w:left="540" w:right="541"/>
        <w:jc w:val="both"/>
        <w:rPr>
          <w:rFonts w:ascii="Book Antiqua" w:hAnsi="Book Antiqua" w:cs="Arial-BoldMT"/>
          <w:b/>
          <w:bCs/>
          <w:i/>
          <w:color w:val="000000"/>
          <w:sz w:val="22"/>
          <w:szCs w:val="22"/>
        </w:rPr>
      </w:pPr>
    </w:p>
    <w:p w14:paraId="0A256A3D" w14:textId="77777777" w:rsidR="001341EC" w:rsidRPr="00055D4B" w:rsidRDefault="001341EC" w:rsidP="001341EC">
      <w:pPr>
        <w:ind w:left="540" w:right="541"/>
        <w:jc w:val="both"/>
        <w:rPr>
          <w:rFonts w:ascii="Book Antiqua" w:hAnsi="Book Antiqua" w:cs="ArialMT"/>
          <w:i/>
          <w:color w:val="000000"/>
          <w:sz w:val="22"/>
          <w:szCs w:val="22"/>
        </w:rPr>
      </w:pPr>
      <w:r w:rsidRPr="00055D4B">
        <w:rPr>
          <w:rFonts w:ascii="Book Antiqua" w:hAnsi="Book Antiqua" w:cs="ArialMT"/>
          <w:i/>
          <w:color w:val="000000"/>
          <w:sz w:val="22"/>
          <w:szCs w:val="22"/>
        </w:rPr>
        <w:t>(…)</w:t>
      </w:r>
    </w:p>
    <w:p w14:paraId="5869500B" w14:textId="77777777" w:rsidR="001341EC" w:rsidRPr="00055D4B" w:rsidRDefault="001341EC" w:rsidP="001341EC">
      <w:pPr>
        <w:ind w:left="540" w:right="541"/>
        <w:jc w:val="both"/>
        <w:rPr>
          <w:rFonts w:ascii="Book Antiqua" w:hAnsi="Book Antiqua" w:cs="ArialMT"/>
          <w:i/>
          <w:color w:val="000000"/>
          <w:sz w:val="22"/>
          <w:szCs w:val="22"/>
        </w:rPr>
      </w:pPr>
    </w:p>
    <w:p w14:paraId="5B30A470" w14:textId="77777777" w:rsidR="001341EC" w:rsidRPr="00055D4B" w:rsidRDefault="001341EC" w:rsidP="001341EC">
      <w:pPr>
        <w:ind w:left="540" w:right="541"/>
        <w:jc w:val="both"/>
        <w:rPr>
          <w:rFonts w:ascii="Book Antiqua" w:hAnsi="Book Antiqua" w:cs="ArialMT"/>
          <w:i/>
          <w:color w:val="000000"/>
          <w:sz w:val="22"/>
          <w:szCs w:val="22"/>
        </w:rPr>
      </w:pPr>
      <w:r w:rsidRPr="00055D4B">
        <w:rPr>
          <w:rFonts w:ascii="Book Antiqua" w:hAnsi="Book Antiqua" w:cs="ArialMT"/>
          <w:i/>
          <w:color w:val="000000"/>
          <w:sz w:val="22"/>
          <w:szCs w:val="22"/>
        </w:rPr>
        <w:t>Para su organización, funcionamiento y conformación, se aplicará lo dispuesto en este Código y en la Ley N.° 7333, Ley Orgánica del Poder Judicial, de 5 de mayo de 1993, y sus reformas. Con ese fin, el Tribunal Agrario deberá constituirse con las secciones que sean necesarias y tendrá su sede en el Segundo Circuito Judicial de San José, sin perjuicio de que la Corte Plena disponga la creación de otras sedes regionales del Tribunal, conforme a los requerimientos de trabajo para ofrecer un servicio público eficiente y de calidad.</w:t>
      </w:r>
    </w:p>
    <w:p w14:paraId="742152D9" w14:textId="77777777" w:rsidR="001341EC" w:rsidRPr="00055D4B" w:rsidRDefault="001341EC" w:rsidP="001341EC">
      <w:pPr>
        <w:ind w:left="540" w:right="541"/>
        <w:jc w:val="both"/>
        <w:rPr>
          <w:rFonts w:ascii="Book Antiqua" w:hAnsi="Book Antiqua" w:cs="ArialMT"/>
          <w:i/>
          <w:color w:val="000000"/>
          <w:sz w:val="22"/>
          <w:szCs w:val="22"/>
        </w:rPr>
      </w:pPr>
    </w:p>
    <w:p w14:paraId="3D7439D5" w14:textId="77777777" w:rsidR="001341EC" w:rsidRPr="00055D4B" w:rsidRDefault="001341EC" w:rsidP="001341EC">
      <w:pPr>
        <w:ind w:left="540" w:right="541"/>
        <w:jc w:val="both"/>
        <w:rPr>
          <w:rFonts w:ascii="Book Antiqua" w:hAnsi="Book Antiqua" w:cs="ArialMT"/>
          <w:i/>
          <w:color w:val="000000"/>
          <w:sz w:val="22"/>
          <w:szCs w:val="22"/>
        </w:rPr>
      </w:pPr>
      <w:r w:rsidRPr="00055D4B">
        <w:rPr>
          <w:rFonts w:ascii="Book Antiqua" w:hAnsi="Book Antiqua" w:cs="ArialMT"/>
          <w:i/>
          <w:color w:val="000000"/>
          <w:sz w:val="22"/>
          <w:szCs w:val="22"/>
        </w:rPr>
        <w:t>Los juzgados contarán con las personas juzgadoras que sean necesarias. Se faculta a la Corte Plena para que amplíe las sedes de los Juzgados Agrarios conforme a los criterios señalados”.</w:t>
      </w:r>
    </w:p>
    <w:p w14:paraId="2EDB628B" w14:textId="77777777" w:rsidR="001341EC" w:rsidRPr="00055D4B" w:rsidRDefault="001341EC" w:rsidP="001341EC">
      <w:pPr>
        <w:jc w:val="both"/>
        <w:rPr>
          <w:rFonts w:ascii="Book Antiqua" w:hAnsi="Book Antiqua"/>
          <w:sz w:val="22"/>
          <w:szCs w:val="22"/>
        </w:rPr>
      </w:pPr>
    </w:p>
    <w:p w14:paraId="316030E2"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Es dable indicar que las referidas potestades están amparadas en la actual Ley Orgánica del Poder Judicial, por lo que lo consignado en el proyecto del Código Procesal Agrario reafirma lo estipulado en esa normativa.</w:t>
      </w:r>
    </w:p>
    <w:p w14:paraId="52402564" w14:textId="77777777" w:rsidR="001341EC" w:rsidRPr="00055D4B" w:rsidRDefault="001341EC" w:rsidP="001341EC">
      <w:pPr>
        <w:jc w:val="both"/>
        <w:rPr>
          <w:rFonts w:ascii="Book Antiqua" w:hAnsi="Book Antiqua"/>
          <w:sz w:val="22"/>
          <w:szCs w:val="22"/>
        </w:rPr>
      </w:pPr>
    </w:p>
    <w:p w14:paraId="01E75EA0" w14:textId="77777777" w:rsidR="001341EC" w:rsidRPr="00055D4B" w:rsidRDefault="001341EC" w:rsidP="001341EC">
      <w:pPr>
        <w:jc w:val="both"/>
        <w:rPr>
          <w:rFonts w:ascii="Book Antiqua" w:hAnsi="Book Antiqua"/>
          <w:b/>
          <w:sz w:val="22"/>
          <w:szCs w:val="22"/>
        </w:rPr>
      </w:pPr>
    </w:p>
    <w:p w14:paraId="2425C5D1" w14:textId="77777777" w:rsidR="001341EC" w:rsidRPr="000D3830" w:rsidRDefault="001341EC" w:rsidP="001341EC">
      <w:pPr>
        <w:pStyle w:val="Ttulo2"/>
        <w:keepLines/>
        <w:numPr>
          <w:ilvl w:val="1"/>
          <w:numId w:val="42"/>
        </w:numPr>
        <w:spacing w:before="40" w:after="0"/>
        <w:rPr>
          <w:rFonts w:ascii="Book Antiqua" w:hAnsi="Book Antiqua"/>
          <w:i w:val="0"/>
          <w:sz w:val="22"/>
          <w:szCs w:val="22"/>
        </w:rPr>
      </w:pPr>
      <w:r w:rsidRPr="00055D4B">
        <w:rPr>
          <w:sz w:val="22"/>
          <w:szCs w:val="22"/>
        </w:rPr>
        <w:t xml:space="preserve"> </w:t>
      </w:r>
      <w:r w:rsidRPr="000D3830">
        <w:rPr>
          <w:rFonts w:ascii="Book Antiqua" w:hAnsi="Book Antiqua"/>
          <w:i w:val="0"/>
          <w:sz w:val="22"/>
          <w:szCs w:val="22"/>
        </w:rPr>
        <w:t>Ampliación de competencias del Recurso de C</w:t>
      </w:r>
      <w:r>
        <w:rPr>
          <w:rFonts w:ascii="Book Antiqua" w:hAnsi="Book Antiqua"/>
          <w:i w:val="0"/>
          <w:sz w:val="22"/>
          <w:szCs w:val="22"/>
        </w:rPr>
        <w:t>asación</w:t>
      </w:r>
    </w:p>
    <w:p w14:paraId="5822A46A" w14:textId="77777777" w:rsidR="001341EC" w:rsidRPr="00055D4B" w:rsidRDefault="001341EC" w:rsidP="001341EC">
      <w:pPr>
        <w:jc w:val="both"/>
        <w:rPr>
          <w:rFonts w:ascii="Book Antiqua" w:hAnsi="Book Antiqua"/>
          <w:sz w:val="22"/>
          <w:szCs w:val="22"/>
        </w:rPr>
      </w:pPr>
    </w:p>
    <w:p w14:paraId="440A5DE9"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El Código Procesal Agrario mantiene la competencia actual de la Sala Primera en la atención de los recursos de casación por razones de fondo, con base en el artículo 210: </w:t>
      </w:r>
    </w:p>
    <w:p w14:paraId="5CC18098" w14:textId="77777777" w:rsidR="001341EC" w:rsidRPr="00055D4B" w:rsidRDefault="001341EC" w:rsidP="001341EC">
      <w:pPr>
        <w:jc w:val="both"/>
        <w:rPr>
          <w:rFonts w:ascii="Book Antiqua" w:hAnsi="Book Antiqua"/>
          <w:sz w:val="22"/>
          <w:szCs w:val="22"/>
        </w:rPr>
      </w:pPr>
    </w:p>
    <w:p w14:paraId="066F35F7" w14:textId="77777777" w:rsidR="001341EC" w:rsidRPr="00055D4B" w:rsidRDefault="001341EC" w:rsidP="001341EC">
      <w:pPr>
        <w:ind w:left="540" w:right="541"/>
        <w:jc w:val="both"/>
        <w:rPr>
          <w:rFonts w:ascii="Book Antiqua" w:hAnsi="Book Antiqua" w:cs="Arial-BoldMT"/>
          <w:b/>
          <w:bCs/>
          <w:i/>
          <w:color w:val="000000"/>
          <w:sz w:val="22"/>
          <w:szCs w:val="22"/>
        </w:rPr>
      </w:pPr>
      <w:r w:rsidRPr="00055D4B">
        <w:rPr>
          <w:rFonts w:ascii="Book Antiqua" w:hAnsi="Book Antiqua" w:cs="Arial-BoldMT"/>
          <w:b/>
          <w:bCs/>
          <w:color w:val="000000"/>
          <w:sz w:val="22"/>
          <w:szCs w:val="22"/>
        </w:rPr>
        <w:t>“</w:t>
      </w:r>
      <w:r w:rsidRPr="00055D4B">
        <w:rPr>
          <w:rFonts w:ascii="Book Antiqua" w:hAnsi="Book Antiqua" w:cs="Arial-BoldMT"/>
          <w:b/>
          <w:bCs/>
          <w:i/>
          <w:color w:val="000000"/>
          <w:sz w:val="22"/>
          <w:szCs w:val="22"/>
        </w:rPr>
        <w:t>ARTÍCULO 210.- Casación por razones de fondo</w:t>
      </w:r>
    </w:p>
    <w:p w14:paraId="73760A09" w14:textId="77777777" w:rsidR="001341EC" w:rsidRPr="00055D4B" w:rsidRDefault="001341EC" w:rsidP="001341EC">
      <w:pPr>
        <w:ind w:left="540" w:right="541"/>
        <w:jc w:val="both"/>
        <w:rPr>
          <w:rFonts w:ascii="Book Antiqua" w:hAnsi="Book Antiqua" w:cs="ArialMT"/>
          <w:i/>
          <w:color w:val="000000"/>
          <w:sz w:val="22"/>
          <w:szCs w:val="22"/>
        </w:rPr>
      </w:pPr>
      <w:r w:rsidRPr="00055D4B">
        <w:rPr>
          <w:rFonts w:ascii="Book Antiqua" w:hAnsi="Book Antiqua" w:cs="ArialMT"/>
          <w:i/>
          <w:color w:val="000000"/>
          <w:sz w:val="22"/>
          <w:szCs w:val="22"/>
        </w:rPr>
        <w:t>Procederá el recurso de casación por razones de fondo, cuando se base en:</w:t>
      </w:r>
    </w:p>
    <w:p w14:paraId="126BFC26" w14:textId="77777777" w:rsidR="001341EC" w:rsidRPr="00055D4B" w:rsidRDefault="001341EC" w:rsidP="001341EC">
      <w:pPr>
        <w:pStyle w:val="Prrafodelista"/>
        <w:numPr>
          <w:ilvl w:val="0"/>
          <w:numId w:val="39"/>
        </w:numPr>
        <w:rPr>
          <w:rFonts w:ascii="Book Antiqua" w:hAnsi="Book Antiqua"/>
          <w:i/>
          <w:sz w:val="22"/>
          <w:szCs w:val="22"/>
          <w:lang w:val="es-CR"/>
        </w:rPr>
      </w:pPr>
      <w:r w:rsidRPr="00055D4B">
        <w:rPr>
          <w:rFonts w:ascii="Book Antiqua" w:hAnsi="Book Antiqua"/>
          <w:i/>
          <w:sz w:val="22"/>
          <w:szCs w:val="22"/>
          <w:lang w:val="es-CR"/>
        </w:rPr>
        <w:t>La violación de los principios y las normas sustantivas aplicables al caso concreto. Esta causal comprende la infracción a las normas sobre la apreciación de la prueba.</w:t>
      </w:r>
    </w:p>
    <w:p w14:paraId="53B50177" w14:textId="77777777" w:rsidR="001341EC" w:rsidRPr="00055D4B" w:rsidRDefault="001341EC" w:rsidP="001341EC">
      <w:pPr>
        <w:ind w:left="540" w:right="541"/>
        <w:jc w:val="both"/>
        <w:rPr>
          <w:rFonts w:ascii="Book Antiqua" w:hAnsi="Book Antiqua" w:cs="ArialMT"/>
          <w:i/>
          <w:color w:val="000000"/>
          <w:sz w:val="22"/>
          <w:szCs w:val="22"/>
        </w:rPr>
      </w:pPr>
    </w:p>
    <w:p w14:paraId="62060CE4" w14:textId="77777777" w:rsidR="001341EC" w:rsidRPr="00055D4B" w:rsidRDefault="001341EC" w:rsidP="001341EC">
      <w:pPr>
        <w:pStyle w:val="Prrafodelista"/>
        <w:numPr>
          <w:ilvl w:val="0"/>
          <w:numId w:val="39"/>
        </w:numPr>
        <w:rPr>
          <w:rFonts w:ascii="Book Antiqua" w:hAnsi="Book Antiqua"/>
          <w:i/>
          <w:sz w:val="22"/>
          <w:szCs w:val="22"/>
          <w:lang w:val="es-CR"/>
        </w:rPr>
      </w:pPr>
      <w:r w:rsidRPr="00055D4B">
        <w:rPr>
          <w:rFonts w:ascii="Book Antiqua" w:hAnsi="Book Antiqua"/>
          <w:i/>
          <w:sz w:val="22"/>
          <w:szCs w:val="22"/>
          <w:lang w:val="es-CR"/>
        </w:rPr>
        <w:t>El quebranto de la cosa juzgada material”.</w:t>
      </w:r>
    </w:p>
    <w:p w14:paraId="1D297ECA" w14:textId="77777777" w:rsidR="001341EC" w:rsidRPr="00055D4B" w:rsidRDefault="001341EC" w:rsidP="001341EC">
      <w:pPr>
        <w:jc w:val="both"/>
        <w:rPr>
          <w:rFonts w:ascii="Book Antiqua" w:hAnsi="Book Antiqua"/>
          <w:sz w:val="22"/>
          <w:szCs w:val="22"/>
        </w:rPr>
      </w:pPr>
    </w:p>
    <w:p w14:paraId="5BF1DDCD"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Sin embargo, esas funciones se amplían al establecer la posibilidad de interponer recursos de casación por razones procesales, es decir por aspectos de forma, para garantizar la tutela judicial efectiva de las personas usuarias, de acuerdo con el artículo 209:</w:t>
      </w:r>
    </w:p>
    <w:p w14:paraId="68D6FA2E" w14:textId="77777777" w:rsidR="001341EC" w:rsidRPr="00055D4B" w:rsidRDefault="001341EC" w:rsidP="001341EC">
      <w:pPr>
        <w:jc w:val="both"/>
        <w:rPr>
          <w:rFonts w:ascii="Book Antiqua" w:hAnsi="Book Antiqua"/>
          <w:sz w:val="22"/>
          <w:szCs w:val="22"/>
        </w:rPr>
      </w:pPr>
    </w:p>
    <w:p w14:paraId="1A48A874" w14:textId="77777777" w:rsidR="001341EC" w:rsidRPr="00055D4B" w:rsidRDefault="001341EC" w:rsidP="001341EC">
      <w:pPr>
        <w:ind w:left="540" w:right="541"/>
        <w:jc w:val="both"/>
        <w:rPr>
          <w:rFonts w:ascii="Book Antiqua" w:hAnsi="Book Antiqua" w:cs="Arial-BoldMT"/>
          <w:b/>
          <w:bCs/>
          <w:i/>
          <w:color w:val="000000"/>
          <w:sz w:val="22"/>
          <w:szCs w:val="22"/>
        </w:rPr>
      </w:pPr>
      <w:r w:rsidRPr="00055D4B">
        <w:rPr>
          <w:rFonts w:ascii="Book Antiqua" w:hAnsi="Book Antiqua" w:cs="Arial-BoldMT"/>
          <w:b/>
          <w:bCs/>
          <w:i/>
          <w:color w:val="000000"/>
          <w:sz w:val="22"/>
          <w:szCs w:val="22"/>
        </w:rPr>
        <w:t>“ARTÍCULO 209.- Casación por razones procesales</w:t>
      </w:r>
    </w:p>
    <w:p w14:paraId="707339A3" w14:textId="77777777" w:rsidR="001341EC" w:rsidRPr="00055D4B" w:rsidRDefault="001341EC" w:rsidP="001341EC">
      <w:pPr>
        <w:ind w:left="540" w:right="541"/>
        <w:jc w:val="both"/>
        <w:rPr>
          <w:rFonts w:ascii="Book Antiqua" w:hAnsi="Book Antiqua" w:cs="Arial-BoldMT"/>
          <w:b/>
          <w:bCs/>
          <w:i/>
          <w:color w:val="000000"/>
          <w:sz w:val="22"/>
          <w:szCs w:val="22"/>
        </w:rPr>
      </w:pPr>
    </w:p>
    <w:p w14:paraId="0F7717B5" w14:textId="77777777" w:rsidR="001341EC" w:rsidRPr="00055D4B" w:rsidRDefault="001341EC" w:rsidP="001341EC">
      <w:pPr>
        <w:ind w:left="540" w:right="541"/>
        <w:jc w:val="both"/>
        <w:rPr>
          <w:rFonts w:ascii="Book Antiqua" w:hAnsi="Book Antiqua" w:cs="Arial-BoldMT"/>
          <w:b/>
          <w:bCs/>
          <w:i/>
          <w:color w:val="000000"/>
          <w:sz w:val="22"/>
          <w:szCs w:val="22"/>
        </w:rPr>
      </w:pPr>
      <w:r w:rsidRPr="00055D4B">
        <w:rPr>
          <w:rFonts w:ascii="Book Antiqua" w:hAnsi="Book Antiqua" w:cs="ArialMT"/>
          <w:i/>
          <w:color w:val="000000"/>
          <w:sz w:val="22"/>
          <w:szCs w:val="22"/>
        </w:rPr>
        <w:t>El recurso de casación será admisible por motivos de orden procesal, cuando se funde en</w:t>
      </w:r>
      <w:r w:rsidRPr="00055D4B">
        <w:rPr>
          <w:rFonts w:ascii="Book Antiqua" w:hAnsi="Book Antiqua" w:cs="Arial-BoldMT"/>
          <w:b/>
          <w:bCs/>
          <w:i/>
          <w:color w:val="000000"/>
          <w:sz w:val="22"/>
          <w:szCs w:val="22"/>
        </w:rPr>
        <w:t>:</w:t>
      </w:r>
    </w:p>
    <w:p w14:paraId="66D52709" w14:textId="77777777" w:rsidR="001341EC" w:rsidRPr="00055D4B" w:rsidRDefault="001341EC" w:rsidP="001341EC">
      <w:pPr>
        <w:ind w:left="540" w:right="541"/>
        <w:jc w:val="both"/>
        <w:rPr>
          <w:rFonts w:ascii="Book Antiqua" w:hAnsi="Book Antiqua" w:cs="Arial-BoldMT"/>
          <w:b/>
          <w:bCs/>
          <w:i/>
          <w:color w:val="000000"/>
          <w:sz w:val="22"/>
          <w:szCs w:val="22"/>
        </w:rPr>
      </w:pPr>
    </w:p>
    <w:p w14:paraId="1A476B86" w14:textId="77777777" w:rsidR="001341EC" w:rsidRPr="00055D4B" w:rsidRDefault="001341EC" w:rsidP="001341EC">
      <w:pPr>
        <w:pStyle w:val="Prrafodelista"/>
        <w:numPr>
          <w:ilvl w:val="0"/>
          <w:numId w:val="40"/>
        </w:numPr>
        <w:rPr>
          <w:rFonts w:ascii="Book Antiqua" w:hAnsi="Book Antiqua"/>
          <w:i/>
          <w:sz w:val="22"/>
          <w:szCs w:val="22"/>
          <w:lang w:val="es-CR"/>
        </w:rPr>
      </w:pPr>
      <w:r w:rsidRPr="00055D4B">
        <w:rPr>
          <w:rFonts w:ascii="Book Antiqua" w:hAnsi="Book Antiqua"/>
          <w:i/>
          <w:sz w:val="22"/>
          <w:szCs w:val="22"/>
          <w:lang w:val="es-CR"/>
        </w:rPr>
        <w:lastRenderedPageBreak/>
        <w:t>La infracción o errónea aplicación de las normas procesales esenciales para garantizar el debido proceso, siempre que la actividad defectuosa produzca indefensión y no se haya subsanado conforme a la ley.</w:t>
      </w:r>
    </w:p>
    <w:p w14:paraId="40F4B2B2" w14:textId="77777777" w:rsidR="001341EC" w:rsidRPr="00055D4B" w:rsidRDefault="001341EC" w:rsidP="001341EC">
      <w:pPr>
        <w:ind w:left="540" w:right="541"/>
        <w:jc w:val="both"/>
        <w:rPr>
          <w:rFonts w:ascii="Book Antiqua" w:hAnsi="Book Antiqua" w:cs="TimesNewRomanPSMT"/>
          <w:i/>
          <w:color w:val="000000"/>
          <w:sz w:val="22"/>
          <w:szCs w:val="22"/>
        </w:rPr>
      </w:pPr>
    </w:p>
    <w:p w14:paraId="0678274A" w14:textId="77777777" w:rsidR="001341EC" w:rsidRPr="00055D4B" w:rsidRDefault="001341EC" w:rsidP="001341EC">
      <w:pPr>
        <w:pStyle w:val="Prrafodelista"/>
        <w:numPr>
          <w:ilvl w:val="0"/>
          <w:numId w:val="40"/>
        </w:numPr>
        <w:rPr>
          <w:rFonts w:ascii="Book Antiqua" w:hAnsi="Book Antiqua"/>
          <w:i/>
          <w:sz w:val="22"/>
          <w:szCs w:val="22"/>
          <w:lang w:val="es-CR"/>
        </w:rPr>
      </w:pPr>
      <w:r w:rsidRPr="00055D4B">
        <w:rPr>
          <w:rFonts w:ascii="Book Antiqua" w:hAnsi="Book Antiqua" w:cs="Arial-BoldMT"/>
          <w:b/>
          <w:bCs/>
          <w:i/>
          <w:color w:val="000000"/>
          <w:sz w:val="22"/>
          <w:szCs w:val="22"/>
          <w:lang w:val="es-CR"/>
        </w:rPr>
        <w:t>b</w:t>
      </w:r>
      <w:r w:rsidRPr="00055D4B">
        <w:rPr>
          <w:rFonts w:ascii="Book Antiqua" w:hAnsi="Book Antiqua"/>
          <w:i/>
          <w:sz w:val="22"/>
          <w:szCs w:val="22"/>
          <w:lang w:val="es-CR"/>
        </w:rPr>
        <w:t>) La vulneración de la inmediación en la audiencia de juicio o en la deliberación.</w:t>
      </w:r>
    </w:p>
    <w:p w14:paraId="4A880671" w14:textId="77777777" w:rsidR="001341EC" w:rsidRPr="00055D4B" w:rsidRDefault="001341EC" w:rsidP="001341EC">
      <w:pPr>
        <w:pStyle w:val="Prrafodelista"/>
        <w:ind w:left="1260"/>
        <w:rPr>
          <w:rFonts w:ascii="Book Antiqua" w:hAnsi="Book Antiqua"/>
          <w:i/>
          <w:sz w:val="22"/>
          <w:szCs w:val="22"/>
          <w:lang w:val="es-CR"/>
        </w:rPr>
      </w:pPr>
    </w:p>
    <w:p w14:paraId="5F6BFE9B" w14:textId="77777777" w:rsidR="001341EC" w:rsidRPr="00055D4B" w:rsidRDefault="001341EC" w:rsidP="001341EC">
      <w:pPr>
        <w:pStyle w:val="Prrafodelista"/>
        <w:numPr>
          <w:ilvl w:val="0"/>
          <w:numId w:val="40"/>
        </w:numPr>
        <w:rPr>
          <w:rFonts w:ascii="Book Antiqua" w:hAnsi="Book Antiqua"/>
          <w:i/>
          <w:sz w:val="22"/>
          <w:szCs w:val="22"/>
          <w:lang w:val="es-CR"/>
        </w:rPr>
      </w:pPr>
      <w:r w:rsidRPr="00055D4B">
        <w:rPr>
          <w:rFonts w:ascii="Book Antiqua" w:hAnsi="Book Antiqua"/>
          <w:i/>
          <w:sz w:val="22"/>
          <w:szCs w:val="22"/>
          <w:lang w:val="es-CR"/>
        </w:rPr>
        <w:t>La falta, insuficiencia o contradicción grave en la fundamentación de la sentencia.</w:t>
      </w:r>
    </w:p>
    <w:p w14:paraId="4D136D2E" w14:textId="77777777" w:rsidR="001341EC" w:rsidRPr="00055D4B" w:rsidRDefault="001341EC" w:rsidP="001341EC">
      <w:pPr>
        <w:pStyle w:val="Prrafodelista"/>
        <w:ind w:left="1260"/>
        <w:rPr>
          <w:rFonts w:ascii="Book Antiqua" w:hAnsi="Book Antiqua"/>
          <w:i/>
          <w:sz w:val="22"/>
          <w:szCs w:val="22"/>
          <w:lang w:val="es-CR"/>
        </w:rPr>
      </w:pPr>
    </w:p>
    <w:p w14:paraId="7D5054A0" w14:textId="77777777" w:rsidR="001341EC" w:rsidRPr="00055D4B" w:rsidRDefault="001341EC" w:rsidP="001341EC">
      <w:pPr>
        <w:pStyle w:val="Prrafodelista"/>
        <w:numPr>
          <w:ilvl w:val="0"/>
          <w:numId w:val="40"/>
        </w:numPr>
        <w:rPr>
          <w:rFonts w:ascii="Book Antiqua" w:hAnsi="Book Antiqua"/>
          <w:i/>
          <w:sz w:val="22"/>
          <w:szCs w:val="22"/>
          <w:lang w:val="es-CR"/>
        </w:rPr>
      </w:pPr>
      <w:r w:rsidRPr="00055D4B">
        <w:rPr>
          <w:rFonts w:ascii="Book Antiqua" w:hAnsi="Book Antiqua"/>
          <w:i/>
          <w:sz w:val="22"/>
          <w:szCs w:val="22"/>
          <w:lang w:val="es-CR"/>
        </w:rPr>
        <w:t>La fundamentación de la sentencia se base en prueba ilegítima o introducida ilegalmente al proceso.</w:t>
      </w:r>
    </w:p>
    <w:p w14:paraId="0DCB72F1" w14:textId="77777777" w:rsidR="001341EC" w:rsidRPr="00055D4B" w:rsidRDefault="001341EC" w:rsidP="001341EC">
      <w:pPr>
        <w:ind w:left="540" w:right="541"/>
        <w:jc w:val="both"/>
        <w:rPr>
          <w:rFonts w:ascii="Book Antiqua" w:hAnsi="Book Antiqua" w:cs="Arial-BoldMT"/>
          <w:b/>
          <w:bCs/>
          <w:i/>
          <w:color w:val="000000"/>
          <w:sz w:val="22"/>
          <w:szCs w:val="22"/>
        </w:rPr>
      </w:pPr>
    </w:p>
    <w:p w14:paraId="510541EB" w14:textId="77777777" w:rsidR="001341EC" w:rsidRPr="00055D4B" w:rsidRDefault="001341EC" w:rsidP="001341EC">
      <w:pPr>
        <w:pStyle w:val="Prrafodelista"/>
        <w:numPr>
          <w:ilvl w:val="0"/>
          <w:numId w:val="40"/>
        </w:numPr>
        <w:rPr>
          <w:rFonts w:ascii="Book Antiqua" w:hAnsi="Book Antiqua"/>
          <w:i/>
          <w:sz w:val="22"/>
          <w:szCs w:val="22"/>
          <w:lang w:val="es-CR"/>
        </w:rPr>
      </w:pPr>
      <w:r w:rsidRPr="00055D4B">
        <w:rPr>
          <w:rFonts w:ascii="Book Antiqua" w:hAnsi="Book Antiqua"/>
          <w:i/>
          <w:sz w:val="22"/>
          <w:szCs w:val="22"/>
          <w:lang w:val="es-CR"/>
        </w:rPr>
        <w:t>La incongruencia de la sentencia. No se incurrirá en dicha causal cuando se otorguen derechos de carácter indisponible u otorgados por el legislador, siempre que su existencia se haya debatido y demostrado en el proceso.</w:t>
      </w:r>
    </w:p>
    <w:p w14:paraId="51BEC151" w14:textId="77777777" w:rsidR="001341EC" w:rsidRPr="00055D4B" w:rsidRDefault="001341EC" w:rsidP="001341EC">
      <w:pPr>
        <w:pStyle w:val="Prrafodelista"/>
        <w:ind w:left="1260"/>
        <w:rPr>
          <w:rFonts w:ascii="Book Antiqua" w:hAnsi="Book Antiqua"/>
          <w:i/>
          <w:sz w:val="22"/>
          <w:szCs w:val="22"/>
          <w:lang w:val="es-CR"/>
        </w:rPr>
      </w:pPr>
    </w:p>
    <w:p w14:paraId="1E0B1E50" w14:textId="77777777" w:rsidR="001341EC" w:rsidRPr="00055D4B" w:rsidRDefault="001341EC" w:rsidP="001341EC">
      <w:pPr>
        <w:pStyle w:val="Prrafodelista"/>
        <w:numPr>
          <w:ilvl w:val="0"/>
          <w:numId w:val="40"/>
        </w:numPr>
        <w:rPr>
          <w:rFonts w:ascii="Book Antiqua" w:hAnsi="Book Antiqua"/>
          <w:i/>
          <w:sz w:val="22"/>
          <w:szCs w:val="22"/>
          <w:lang w:val="es-CR"/>
        </w:rPr>
      </w:pPr>
      <w:r w:rsidRPr="00055D4B">
        <w:rPr>
          <w:rFonts w:ascii="Book Antiqua" w:hAnsi="Book Antiqua"/>
          <w:i/>
          <w:sz w:val="22"/>
          <w:szCs w:val="22"/>
          <w:lang w:val="es-CR"/>
        </w:rPr>
        <w:t>La inobservancia de las disposiciones previstas en este Código para la deliberación, la integración del tribunal y el plazo de la emisión de la resolución impugnada.</w:t>
      </w:r>
    </w:p>
    <w:p w14:paraId="2B96AD65" w14:textId="77777777" w:rsidR="001341EC" w:rsidRPr="00055D4B" w:rsidRDefault="001341EC" w:rsidP="001341EC">
      <w:pPr>
        <w:ind w:right="541"/>
        <w:jc w:val="both"/>
        <w:rPr>
          <w:rFonts w:ascii="Book Antiqua" w:hAnsi="Book Antiqua" w:cs="ArialMT"/>
          <w:i/>
          <w:color w:val="000000"/>
          <w:sz w:val="22"/>
          <w:szCs w:val="22"/>
        </w:rPr>
      </w:pPr>
    </w:p>
    <w:p w14:paraId="4E86B65C" w14:textId="77777777" w:rsidR="001341EC" w:rsidRPr="00055D4B" w:rsidRDefault="001341EC" w:rsidP="001341EC">
      <w:pPr>
        <w:ind w:right="541"/>
        <w:jc w:val="both"/>
        <w:rPr>
          <w:rFonts w:ascii="Book Antiqua" w:hAnsi="Book Antiqua" w:cs="ArialMT"/>
          <w:i/>
          <w:color w:val="000000"/>
          <w:sz w:val="22"/>
          <w:szCs w:val="22"/>
        </w:rPr>
      </w:pPr>
      <w:r w:rsidRPr="00055D4B">
        <w:rPr>
          <w:rFonts w:ascii="Book Antiqua" w:hAnsi="Book Antiqua" w:cs="ArialMT"/>
          <w:i/>
          <w:color w:val="000000"/>
          <w:sz w:val="22"/>
          <w:szCs w:val="22"/>
        </w:rPr>
        <w:t>No serán motivos para recurrir, la falta de pronunciamiento sobre las costas o los procesos incidentales sin influencia directa en el fondo del asunto, o cuando no se haya pedido subsanar la omisión por medio de adición.</w:t>
      </w:r>
    </w:p>
    <w:p w14:paraId="210EC9E1" w14:textId="77777777" w:rsidR="001341EC" w:rsidRPr="00055D4B" w:rsidRDefault="001341EC" w:rsidP="001341EC">
      <w:pPr>
        <w:ind w:left="540" w:right="541"/>
        <w:jc w:val="both"/>
        <w:rPr>
          <w:rFonts w:ascii="Book Antiqua" w:hAnsi="Book Antiqua" w:cs="ArialMT"/>
          <w:i/>
          <w:color w:val="000000"/>
          <w:sz w:val="22"/>
          <w:szCs w:val="22"/>
        </w:rPr>
      </w:pPr>
    </w:p>
    <w:p w14:paraId="4F638A23" w14:textId="77777777" w:rsidR="001341EC" w:rsidRPr="00055D4B" w:rsidRDefault="001341EC" w:rsidP="001341EC">
      <w:pPr>
        <w:rPr>
          <w:rFonts w:ascii="Book Antiqua" w:hAnsi="Book Antiqua" w:cs="ArialMT"/>
          <w:i/>
          <w:color w:val="000000"/>
          <w:sz w:val="22"/>
          <w:szCs w:val="22"/>
        </w:rPr>
      </w:pPr>
      <w:r w:rsidRPr="00055D4B">
        <w:rPr>
          <w:rFonts w:ascii="Book Antiqua" w:hAnsi="Book Antiqua" w:cs="ArialMT"/>
          <w:i/>
          <w:color w:val="000000"/>
          <w:sz w:val="22"/>
          <w:szCs w:val="22"/>
        </w:rPr>
        <w:t>La parte a quien haya perjudicado la inobservancia de la ley procesal podrá alegar una causal de casación por razones procesales. Lo anterior si oportunamente se agotaron todos los recursos contra lo resuelto”.</w:t>
      </w:r>
    </w:p>
    <w:p w14:paraId="38B752E8" w14:textId="77777777" w:rsidR="001341EC" w:rsidRPr="00055D4B" w:rsidRDefault="001341EC" w:rsidP="001341EC">
      <w:pPr>
        <w:rPr>
          <w:rFonts w:ascii="Book Antiqua" w:hAnsi="Book Antiqua" w:cs="ArialMT"/>
          <w:i/>
          <w:color w:val="000000"/>
          <w:sz w:val="22"/>
          <w:szCs w:val="22"/>
        </w:rPr>
      </w:pPr>
    </w:p>
    <w:p w14:paraId="6BF46139" w14:textId="77777777" w:rsidR="001341EC" w:rsidRPr="000D3830" w:rsidRDefault="001341EC" w:rsidP="001341EC">
      <w:pPr>
        <w:pStyle w:val="Ttulo2"/>
        <w:keepLines/>
        <w:numPr>
          <w:ilvl w:val="1"/>
          <w:numId w:val="42"/>
        </w:numPr>
        <w:spacing w:before="40" w:after="0"/>
        <w:rPr>
          <w:rFonts w:ascii="Book Antiqua" w:hAnsi="Book Antiqua"/>
          <w:i w:val="0"/>
          <w:sz w:val="22"/>
          <w:szCs w:val="22"/>
        </w:rPr>
      </w:pPr>
      <w:r w:rsidRPr="000D3830">
        <w:rPr>
          <w:rFonts w:ascii="Book Antiqua" w:hAnsi="Book Antiqua"/>
          <w:i w:val="0"/>
          <w:sz w:val="22"/>
          <w:szCs w:val="22"/>
        </w:rPr>
        <w:t xml:space="preserve">Juzgadores especialistas para </w:t>
      </w:r>
      <w:bookmarkStart w:id="4" w:name="_Hlk518482819"/>
      <w:r w:rsidRPr="000D3830">
        <w:rPr>
          <w:rFonts w:ascii="Book Antiqua" w:hAnsi="Book Antiqua"/>
          <w:i w:val="0"/>
          <w:sz w:val="22"/>
          <w:szCs w:val="22"/>
        </w:rPr>
        <w:t>conciliaciones y ejecución</w:t>
      </w:r>
      <w:bookmarkEnd w:id="4"/>
    </w:p>
    <w:p w14:paraId="1942CAD6" w14:textId="77777777" w:rsidR="001341EC" w:rsidRPr="00055D4B" w:rsidRDefault="001341EC" w:rsidP="001341EC">
      <w:pPr>
        <w:rPr>
          <w:rFonts w:ascii="Book Antiqua" w:hAnsi="Book Antiqua"/>
          <w:sz w:val="22"/>
          <w:szCs w:val="22"/>
          <w:lang w:eastAsia="en-US"/>
        </w:rPr>
      </w:pPr>
    </w:p>
    <w:p w14:paraId="326C226C"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Los artículos 9 y 13 del proyecto incorporan las figuras de conciliadores y ejecutores para atender la jurisdicción agraria en forma prioritaria, así como apoyar en otras funciones según lo permitan las cargas de trabajo. Además, se prevé que las funciones de ejecución se realicen de forma itinerante, según se observa:</w:t>
      </w:r>
    </w:p>
    <w:p w14:paraId="7971694A" w14:textId="77777777" w:rsidR="001341EC" w:rsidRDefault="001341EC" w:rsidP="001341EC">
      <w:pPr>
        <w:jc w:val="both"/>
        <w:rPr>
          <w:rFonts w:ascii="Book Antiqua" w:hAnsi="Book Antiqua"/>
          <w:sz w:val="22"/>
          <w:szCs w:val="22"/>
        </w:rPr>
      </w:pPr>
    </w:p>
    <w:p w14:paraId="0EE136D8" w14:textId="77777777" w:rsidR="001341EC" w:rsidRDefault="001341EC" w:rsidP="001341EC">
      <w:pPr>
        <w:jc w:val="both"/>
        <w:rPr>
          <w:rFonts w:ascii="Book Antiqua" w:hAnsi="Book Antiqua"/>
          <w:sz w:val="22"/>
          <w:szCs w:val="22"/>
        </w:rPr>
      </w:pPr>
    </w:p>
    <w:p w14:paraId="7101B2CA" w14:textId="77777777" w:rsidR="001341EC" w:rsidRDefault="001341EC" w:rsidP="001341EC">
      <w:pPr>
        <w:jc w:val="both"/>
        <w:rPr>
          <w:rFonts w:ascii="Book Antiqua" w:hAnsi="Book Antiqua"/>
          <w:sz w:val="22"/>
          <w:szCs w:val="22"/>
        </w:rPr>
      </w:pPr>
    </w:p>
    <w:p w14:paraId="6934E3AB" w14:textId="77777777" w:rsidR="00F44362" w:rsidRDefault="00F44362" w:rsidP="001341EC">
      <w:pPr>
        <w:jc w:val="both"/>
        <w:rPr>
          <w:rFonts w:ascii="Book Antiqua" w:hAnsi="Book Antiqua"/>
          <w:sz w:val="22"/>
          <w:szCs w:val="22"/>
        </w:rPr>
      </w:pPr>
    </w:p>
    <w:p w14:paraId="2D0F13BA" w14:textId="77777777" w:rsidR="00F44362" w:rsidRPr="00055D4B" w:rsidRDefault="00F44362" w:rsidP="001341EC">
      <w:pPr>
        <w:jc w:val="both"/>
        <w:rPr>
          <w:rFonts w:ascii="Book Antiqua" w:hAnsi="Book Antiqua"/>
          <w:sz w:val="22"/>
          <w:szCs w:val="22"/>
        </w:rPr>
      </w:pPr>
    </w:p>
    <w:p w14:paraId="3674A308" w14:textId="77777777" w:rsidR="001341EC" w:rsidRPr="00055D4B" w:rsidRDefault="001341EC" w:rsidP="001341EC">
      <w:pPr>
        <w:ind w:left="540" w:right="541"/>
        <w:jc w:val="both"/>
        <w:rPr>
          <w:rFonts w:ascii="Book Antiqua" w:hAnsi="Book Antiqua" w:cs="Arial-BoldMT"/>
          <w:b/>
          <w:bCs/>
          <w:i/>
          <w:color w:val="000000"/>
          <w:sz w:val="22"/>
          <w:szCs w:val="22"/>
        </w:rPr>
      </w:pPr>
      <w:r w:rsidRPr="00055D4B">
        <w:rPr>
          <w:rFonts w:ascii="Book Antiqua" w:hAnsi="Book Antiqua" w:cs="Arial-BoldMT"/>
          <w:b/>
          <w:bCs/>
          <w:i/>
          <w:color w:val="000000"/>
          <w:sz w:val="22"/>
          <w:szCs w:val="22"/>
        </w:rPr>
        <w:t>“ARTÍCULO 9.- Órganos jurisdiccionales</w:t>
      </w:r>
    </w:p>
    <w:p w14:paraId="339F494B" w14:textId="77777777" w:rsidR="001341EC" w:rsidRPr="00055D4B" w:rsidRDefault="001341EC" w:rsidP="001341EC">
      <w:pPr>
        <w:ind w:left="540" w:right="541"/>
        <w:jc w:val="both"/>
        <w:rPr>
          <w:rFonts w:ascii="Book Antiqua" w:hAnsi="Book Antiqua" w:cs="Arial-BoldMT"/>
          <w:b/>
          <w:bCs/>
          <w:i/>
          <w:color w:val="000000"/>
          <w:sz w:val="22"/>
          <w:szCs w:val="22"/>
        </w:rPr>
      </w:pPr>
    </w:p>
    <w:p w14:paraId="00CB7E7E" w14:textId="77777777" w:rsidR="001341EC" w:rsidRPr="00055D4B" w:rsidRDefault="001341EC" w:rsidP="001341EC">
      <w:pPr>
        <w:ind w:left="540" w:right="541"/>
        <w:jc w:val="both"/>
        <w:rPr>
          <w:rFonts w:ascii="Book Antiqua" w:hAnsi="Book Antiqua"/>
          <w:i/>
          <w:sz w:val="22"/>
          <w:szCs w:val="22"/>
        </w:rPr>
      </w:pPr>
      <w:r w:rsidRPr="00055D4B">
        <w:rPr>
          <w:rFonts w:ascii="Book Antiqua" w:hAnsi="Book Antiqua" w:cs="ArialMT"/>
          <w:i/>
          <w:color w:val="000000"/>
          <w:sz w:val="22"/>
          <w:szCs w:val="22"/>
        </w:rPr>
        <w:t>La jurisdicción agraria estará a cargo de los juzgados y los tribunales agrarios, integrados por las personas juzgadoras especializadas y por la Sala Primera de la Corte Suprema de Justicia. Además, se contará con un equipo especializado de personas juzgadoras especialistas en materia agraria, a cargo de conciliaciones y de ejecución, sin perjuicio de que por las cargas de trabajo asuman funciones de las demás personas juzgadoras para lograr una gestión más eficiente.</w:t>
      </w:r>
    </w:p>
    <w:p w14:paraId="19C05CC0" w14:textId="77777777" w:rsidR="001341EC" w:rsidRPr="00055D4B" w:rsidRDefault="001341EC" w:rsidP="001341EC">
      <w:pPr>
        <w:ind w:left="540" w:right="541"/>
        <w:jc w:val="both"/>
        <w:rPr>
          <w:rFonts w:ascii="Book Antiqua" w:hAnsi="Book Antiqua"/>
          <w:i/>
          <w:sz w:val="22"/>
          <w:szCs w:val="22"/>
        </w:rPr>
      </w:pPr>
    </w:p>
    <w:p w14:paraId="03B2F557" w14:textId="77777777" w:rsidR="001341EC" w:rsidRPr="00055D4B" w:rsidRDefault="001341EC" w:rsidP="001341EC">
      <w:pPr>
        <w:ind w:left="540" w:right="541"/>
        <w:jc w:val="both"/>
        <w:rPr>
          <w:rFonts w:ascii="Book Antiqua" w:hAnsi="Book Antiqua"/>
          <w:i/>
          <w:sz w:val="22"/>
          <w:szCs w:val="22"/>
        </w:rPr>
      </w:pPr>
      <w:r w:rsidRPr="00055D4B">
        <w:rPr>
          <w:rFonts w:ascii="Book Antiqua" w:hAnsi="Book Antiqua"/>
          <w:i/>
          <w:sz w:val="22"/>
          <w:szCs w:val="22"/>
        </w:rPr>
        <w:t>(…)</w:t>
      </w:r>
    </w:p>
    <w:p w14:paraId="037AC371" w14:textId="77777777" w:rsidR="001341EC" w:rsidRPr="00055D4B" w:rsidRDefault="001341EC" w:rsidP="001341EC">
      <w:pPr>
        <w:ind w:left="540" w:right="541"/>
        <w:jc w:val="both"/>
        <w:rPr>
          <w:rFonts w:ascii="Book Antiqua" w:hAnsi="Book Antiqua"/>
          <w:i/>
          <w:sz w:val="22"/>
          <w:szCs w:val="22"/>
        </w:rPr>
      </w:pPr>
    </w:p>
    <w:p w14:paraId="17A8840F" w14:textId="77777777" w:rsidR="001341EC" w:rsidRPr="00055D4B" w:rsidRDefault="001341EC" w:rsidP="001341EC">
      <w:pPr>
        <w:ind w:right="541"/>
        <w:jc w:val="both"/>
        <w:rPr>
          <w:rFonts w:ascii="Book Antiqua" w:hAnsi="Book Antiqua"/>
          <w:sz w:val="22"/>
          <w:szCs w:val="22"/>
        </w:rPr>
      </w:pPr>
      <w:r w:rsidRPr="00055D4B">
        <w:rPr>
          <w:rFonts w:ascii="Book Antiqua" w:hAnsi="Book Antiqua"/>
          <w:sz w:val="22"/>
          <w:szCs w:val="22"/>
        </w:rPr>
        <w:t xml:space="preserve">Al respecto es importante indicar que estas funciones se mantienen en los puestos ya existentes de Juezas y Jueces agrarias, quienes logran dar soporte a la entrada de asuntos nuevos, así como a las conciliaciones y ejecuciones, por lo que el criterio de la Dirección de Planificación es mantener las funciones actuales con la misma cantidad de plazas. </w:t>
      </w:r>
    </w:p>
    <w:p w14:paraId="36DEDF8C" w14:textId="77777777" w:rsidR="001341EC" w:rsidRPr="00055D4B" w:rsidRDefault="001341EC" w:rsidP="001341EC">
      <w:pPr>
        <w:ind w:left="540" w:right="541"/>
        <w:jc w:val="both"/>
        <w:rPr>
          <w:rFonts w:ascii="Book Antiqua" w:hAnsi="Book Antiqua"/>
          <w:sz w:val="22"/>
          <w:szCs w:val="22"/>
        </w:rPr>
      </w:pPr>
    </w:p>
    <w:p w14:paraId="1F32C083" w14:textId="77777777" w:rsidR="001341EC" w:rsidRPr="00055D4B" w:rsidRDefault="001341EC" w:rsidP="001341EC">
      <w:pPr>
        <w:ind w:right="541"/>
        <w:jc w:val="both"/>
        <w:rPr>
          <w:rStyle w:val="Refdecomentario"/>
          <w:rFonts w:ascii="Book Antiqua" w:hAnsi="Book Antiqua"/>
          <w:sz w:val="22"/>
          <w:szCs w:val="22"/>
        </w:rPr>
      </w:pPr>
      <w:r w:rsidRPr="00055D4B">
        <w:rPr>
          <w:rFonts w:ascii="Book Antiqua" w:hAnsi="Book Antiqua"/>
          <w:sz w:val="22"/>
          <w:szCs w:val="22"/>
        </w:rPr>
        <w:t xml:space="preserve">En caso de ser necesario, según el criterio de la Comisión del Proyecto de Modernización de la Jurisdicción Agraria, emitido en el 2018 como respuesta al oficio 767-PLA-2018 del 6 de julio de 2018, la atención especializada que se menciona en la Ley recaerá en las dos plazas de personas juzgadoras supernumerarias agrarias que pertenecen al Centro de Apoyo, Coordinación y Mejoramiento de la Función Jurisdiccional. </w:t>
      </w:r>
    </w:p>
    <w:p w14:paraId="791017AF" w14:textId="77777777" w:rsidR="001341EC" w:rsidRPr="00055D4B" w:rsidRDefault="001341EC" w:rsidP="001341EC">
      <w:pPr>
        <w:ind w:left="540" w:right="541"/>
        <w:jc w:val="both"/>
        <w:rPr>
          <w:rFonts w:ascii="Book Antiqua" w:hAnsi="Book Antiqua"/>
          <w:sz w:val="22"/>
          <w:szCs w:val="22"/>
        </w:rPr>
      </w:pPr>
    </w:p>
    <w:p w14:paraId="79699A51" w14:textId="77777777" w:rsidR="001341EC" w:rsidRPr="00055D4B" w:rsidRDefault="001341EC" w:rsidP="001341EC">
      <w:pPr>
        <w:ind w:left="540" w:right="541"/>
        <w:jc w:val="both"/>
        <w:rPr>
          <w:rFonts w:ascii="Book Antiqua" w:hAnsi="Book Antiqua"/>
          <w:sz w:val="22"/>
          <w:szCs w:val="22"/>
        </w:rPr>
      </w:pPr>
    </w:p>
    <w:p w14:paraId="63521E78" w14:textId="77777777" w:rsidR="001341EC" w:rsidRPr="00055D4B" w:rsidRDefault="001341EC" w:rsidP="001341EC">
      <w:pPr>
        <w:ind w:left="540" w:right="541"/>
        <w:jc w:val="both"/>
        <w:rPr>
          <w:rFonts w:ascii="Book Antiqua" w:hAnsi="Book Antiqua"/>
          <w:sz w:val="22"/>
          <w:szCs w:val="22"/>
        </w:rPr>
      </w:pPr>
    </w:p>
    <w:p w14:paraId="6067C3F9" w14:textId="77777777" w:rsidR="001341EC" w:rsidRPr="00055D4B" w:rsidRDefault="001341EC" w:rsidP="001341EC">
      <w:pPr>
        <w:ind w:left="540" w:right="541"/>
        <w:jc w:val="both"/>
        <w:rPr>
          <w:rFonts w:ascii="Book Antiqua" w:hAnsi="Book Antiqua" w:cs="Arial-BoldMT"/>
          <w:b/>
          <w:bCs/>
          <w:i/>
          <w:sz w:val="22"/>
          <w:szCs w:val="22"/>
        </w:rPr>
      </w:pPr>
      <w:r w:rsidRPr="00055D4B">
        <w:rPr>
          <w:rFonts w:ascii="Book Antiqua" w:hAnsi="Book Antiqua" w:cs="Arial-BoldMT"/>
          <w:b/>
          <w:bCs/>
          <w:i/>
          <w:sz w:val="22"/>
          <w:szCs w:val="22"/>
        </w:rPr>
        <w:t>ARTÍCULO 13.- Funciones de las personas juzgadoras agrarias a cargo de la ejecución</w:t>
      </w:r>
    </w:p>
    <w:p w14:paraId="07D61442" w14:textId="77777777" w:rsidR="001341EC" w:rsidRPr="00055D4B" w:rsidRDefault="001341EC" w:rsidP="001341EC">
      <w:pPr>
        <w:ind w:left="540" w:right="541"/>
        <w:jc w:val="both"/>
        <w:rPr>
          <w:rFonts w:ascii="Book Antiqua" w:hAnsi="Book Antiqua" w:cs="ArialMT"/>
          <w:i/>
          <w:sz w:val="22"/>
          <w:szCs w:val="22"/>
        </w:rPr>
      </w:pPr>
    </w:p>
    <w:p w14:paraId="3AD3D190" w14:textId="77777777" w:rsidR="001341EC" w:rsidRPr="00055D4B" w:rsidRDefault="001341EC" w:rsidP="001341EC">
      <w:pPr>
        <w:ind w:left="540" w:right="541"/>
        <w:jc w:val="both"/>
        <w:rPr>
          <w:rFonts w:ascii="Book Antiqua" w:hAnsi="Book Antiqua" w:cs="ArialMT"/>
          <w:i/>
          <w:sz w:val="22"/>
          <w:szCs w:val="22"/>
        </w:rPr>
      </w:pPr>
      <w:r w:rsidRPr="00055D4B">
        <w:rPr>
          <w:rFonts w:ascii="Book Antiqua" w:hAnsi="Book Antiqua" w:cs="ArialMT"/>
          <w:i/>
          <w:sz w:val="22"/>
          <w:szCs w:val="22"/>
        </w:rPr>
        <w:t>Las personas juzgadoras agrarias, a cargo de la ejecución, ejecutarán las sentencias y demás resoluciones que, conforme a la ley, deban tramitarse por medio del proceso de ejecución; además, los procesos monitorios, de ejecución hipotecaria y prendaria.</w:t>
      </w:r>
    </w:p>
    <w:p w14:paraId="6B1B53E2" w14:textId="77777777" w:rsidR="001341EC" w:rsidRPr="00055D4B" w:rsidRDefault="001341EC" w:rsidP="001341EC">
      <w:pPr>
        <w:ind w:left="540" w:right="541"/>
        <w:jc w:val="both"/>
        <w:rPr>
          <w:rFonts w:ascii="Book Antiqua" w:hAnsi="Book Antiqua" w:cs="ArialMT"/>
          <w:i/>
          <w:sz w:val="22"/>
          <w:szCs w:val="22"/>
        </w:rPr>
      </w:pPr>
    </w:p>
    <w:p w14:paraId="126DE563" w14:textId="77777777" w:rsidR="001341EC" w:rsidRPr="00055D4B" w:rsidRDefault="001341EC" w:rsidP="001341EC">
      <w:pPr>
        <w:ind w:left="540" w:right="541"/>
        <w:jc w:val="both"/>
        <w:rPr>
          <w:rFonts w:ascii="Book Antiqua" w:hAnsi="Book Antiqua"/>
          <w:i/>
          <w:sz w:val="22"/>
          <w:szCs w:val="22"/>
        </w:rPr>
      </w:pPr>
      <w:r w:rsidRPr="00055D4B">
        <w:rPr>
          <w:rFonts w:ascii="Book Antiqua" w:hAnsi="Book Antiqua" w:cs="ArialMT"/>
          <w:i/>
          <w:sz w:val="22"/>
          <w:szCs w:val="22"/>
        </w:rPr>
        <w:t>Deberán asumir otras funciones, incluso aquellas asignadas a las personas juzgadoras decisoras, cuando la organización del despacho lo requiera. De ser necesario serán itinerantes, abarcando la competencia territorial de dos o más tribunales agrarios”.</w:t>
      </w:r>
    </w:p>
    <w:p w14:paraId="1D05CA2E" w14:textId="77777777" w:rsidR="001341EC" w:rsidRPr="00055D4B" w:rsidRDefault="001341EC" w:rsidP="001341EC">
      <w:pPr>
        <w:jc w:val="both"/>
        <w:rPr>
          <w:rFonts w:ascii="Book Antiqua" w:hAnsi="Book Antiqua"/>
          <w:sz w:val="22"/>
          <w:szCs w:val="22"/>
        </w:rPr>
      </w:pPr>
    </w:p>
    <w:p w14:paraId="0229F791" w14:textId="77777777" w:rsidR="001341EC" w:rsidRPr="00055D4B" w:rsidRDefault="001341EC" w:rsidP="001341EC">
      <w:pPr>
        <w:ind w:left="540" w:right="541"/>
        <w:jc w:val="both"/>
        <w:rPr>
          <w:rFonts w:ascii="Book Antiqua" w:hAnsi="Book Antiqua" w:cs="Arial-BoldMT"/>
          <w:b/>
          <w:bCs/>
          <w:i/>
          <w:sz w:val="22"/>
          <w:szCs w:val="22"/>
        </w:rPr>
      </w:pPr>
      <w:r w:rsidRPr="00055D4B">
        <w:rPr>
          <w:rFonts w:ascii="Book Antiqua" w:hAnsi="Book Antiqua" w:cs="Arial-BoldMT"/>
          <w:b/>
          <w:bCs/>
          <w:i/>
          <w:sz w:val="22"/>
          <w:szCs w:val="22"/>
        </w:rPr>
        <w:t>ARTÍCULO 186- Conciliación en audiencias</w:t>
      </w:r>
    </w:p>
    <w:p w14:paraId="1F0B39A3"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 </w:t>
      </w:r>
    </w:p>
    <w:p w14:paraId="0CAEF265" w14:textId="77777777" w:rsidR="001341EC" w:rsidRPr="00055D4B" w:rsidRDefault="001341EC" w:rsidP="001341EC">
      <w:pPr>
        <w:ind w:left="540" w:right="541"/>
        <w:jc w:val="both"/>
        <w:rPr>
          <w:rFonts w:ascii="Book Antiqua" w:hAnsi="Book Antiqua" w:cs="ArialMT"/>
          <w:i/>
          <w:sz w:val="22"/>
          <w:szCs w:val="22"/>
        </w:rPr>
      </w:pPr>
      <w:r w:rsidRPr="00055D4B">
        <w:rPr>
          <w:rFonts w:ascii="Book Antiqua" w:hAnsi="Book Antiqua" w:cs="ArialMT"/>
          <w:i/>
          <w:sz w:val="22"/>
          <w:szCs w:val="22"/>
        </w:rPr>
        <w:t>“La conciliación, en cualquier audiencia, será puesta en práctica por las personas juzgadoras agrarias, salvo que exista la posibilidad de que se apersone en el acto una persona especializada en conciliación agraria. Los tribunales informarán a las partes de su derecho a conciliar, para que lo gestionen con antelación a la programación de las audiencias”</w:t>
      </w:r>
    </w:p>
    <w:p w14:paraId="2E95BE72" w14:textId="77777777" w:rsidR="001341EC" w:rsidRPr="00055D4B" w:rsidRDefault="001341EC" w:rsidP="001341EC">
      <w:pPr>
        <w:ind w:left="540" w:right="541"/>
        <w:jc w:val="both"/>
        <w:rPr>
          <w:rFonts w:ascii="Book Antiqua" w:hAnsi="Book Antiqua" w:cs="ArialMT"/>
          <w:i/>
          <w:sz w:val="22"/>
          <w:szCs w:val="22"/>
        </w:rPr>
      </w:pPr>
    </w:p>
    <w:p w14:paraId="41B7E645"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Asimismo, el Transitorio II establece un plazo de seis meses, a partir de la entrada en vigencia del Código Procesal Agrario, para designar un equipo de personas juzgadoras conciliadoras especialistas en Derecho Agrario y Ambiental. </w:t>
      </w:r>
    </w:p>
    <w:p w14:paraId="4709AA26" w14:textId="77777777" w:rsidR="001341EC" w:rsidRPr="00055D4B" w:rsidRDefault="001341EC" w:rsidP="001341EC">
      <w:pPr>
        <w:jc w:val="both"/>
        <w:rPr>
          <w:rFonts w:ascii="Book Antiqua" w:hAnsi="Book Antiqua"/>
          <w:sz w:val="22"/>
          <w:szCs w:val="22"/>
        </w:rPr>
      </w:pPr>
    </w:p>
    <w:p w14:paraId="58D15FC6" w14:textId="77777777" w:rsidR="001341EC" w:rsidRPr="00055D4B" w:rsidRDefault="001341EC" w:rsidP="001341EC">
      <w:pPr>
        <w:jc w:val="both"/>
        <w:rPr>
          <w:rFonts w:ascii="Book Antiqua" w:hAnsi="Book Antiqua"/>
          <w:b/>
          <w:bCs/>
          <w:sz w:val="22"/>
          <w:szCs w:val="22"/>
        </w:rPr>
      </w:pPr>
      <w:r w:rsidRPr="00055D4B">
        <w:rPr>
          <w:rFonts w:ascii="Book Antiqua" w:hAnsi="Book Antiqua"/>
          <w:sz w:val="22"/>
          <w:szCs w:val="22"/>
        </w:rPr>
        <w:t xml:space="preserve">Se debe de indicar que estas funciones se mantienen en los puestos ya existentes de Jueces y Juezas Agrarias por lo que no es necesaria la creación de más plazas para estas funciones específicas, además, la Comisión de la Jurisdicción Agraria le solicitó al Centro de </w:t>
      </w:r>
      <w:r w:rsidRPr="00055D4B">
        <w:rPr>
          <w:rFonts w:ascii="Book Antiqua" w:hAnsi="Book Antiqua"/>
          <w:sz w:val="22"/>
          <w:szCs w:val="22"/>
        </w:rPr>
        <w:lastRenderedPageBreak/>
        <w:t>Conciliación del Poder Judicial colaboración para apoyar a los Juzgados Agrarios en la realización de conciliaciones que se señalan, según acuerdo tomado por dicha Comisión en sesión ordinaria celebrada el 29 de junio del 2018, artículo XVIII.</w:t>
      </w:r>
    </w:p>
    <w:p w14:paraId="73542550" w14:textId="77777777" w:rsidR="001341EC" w:rsidRPr="00055D4B" w:rsidRDefault="001341EC" w:rsidP="001341EC">
      <w:pPr>
        <w:jc w:val="both"/>
        <w:rPr>
          <w:rFonts w:ascii="Book Antiqua" w:hAnsi="Book Antiqua"/>
          <w:b/>
          <w:sz w:val="22"/>
          <w:szCs w:val="22"/>
        </w:rPr>
      </w:pPr>
    </w:p>
    <w:p w14:paraId="7E286DF6"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En consecuencia, de lo mencionado y al inicio del Proyecto de la Implementación de la Reforma Procesal Agraria, durante la primera sesión de seguimiento de dicho proyecto, en la minuta 01-2019 del 15 de enero </w:t>
      </w:r>
      <w:r w:rsidRPr="00055D4B">
        <w:rPr>
          <w:rFonts w:ascii="Book Antiqua" w:hAnsi="Book Antiqua"/>
          <w:b/>
          <w:i/>
          <w:sz w:val="22"/>
          <w:szCs w:val="22"/>
        </w:rPr>
        <w:t>(ver anexo 13 Minuta de primera sesión de seguimiento Implementación Reforma Procesal Agraria</w:t>
      </w:r>
      <w:r w:rsidRPr="00055D4B">
        <w:rPr>
          <w:rFonts w:ascii="Book Antiqua" w:hAnsi="Book Antiqua"/>
          <w:sz w:val="22"/>
          <w:szCs w:val="22"/>
        </w:rPr>
        <w:t xml:space="preserve">), se acordó:  </w:t>
      </w:r>
    </w:p>
    <w:p w14:paraId="700F78F7" w14:textId="77777777" w:rsidR="001341EC" w:rsidRPr="00055D4B" w:rsidRDefault="001341EC" w:rsidP="001341EC">
      <w:pPr>
        <w:jc w:val="both"/>
        <w:rPr>
          <w:rFonts w:ascii="Book Antiqua" w:hAnsi="Book Antiqua"/>
          <w:sz w:val="22"/>
          <w:szCs w:val="22"/>
        </w:rPr>
      </w:pPr>
    </w:p>
    <w:p w14:paraId="1CA08CA6" w14:textId="77777777" w:rsidR="001341EC" w:rsidRPr="00055D4B" w:rsidRDefault="001341EC" w:rsidP="001341EC">
      <w:pPr>
        <w:ind w:left="709" w:right="1041"/>
        <w:jc w:val="both"/>
        <w:rPr>
          <w:rFonts w:ascii="Book Antiqua" w:hAnsi="Book Antiqua"/>
          <w:i/>
          <w:sz w:val="22"/>
          <w:szCs w:val="22"/>
        </w:rPr>
      </w:pPr>
      <w:r w:rsidRPr="00055D4B">
        <w:rPr>
          <w:rFonts w:ascii="Book Antiqua" w:hAnsi="Book Antiqua"/>
          <w:i/>
          <w:sz w:val="22"/>
          <w:szCs w:val="22"/>
        </w:rPr>
        <w:t>“…</w:t>
      </w:r>
    </w:p>
    <w:p w14:paraId="56408BF4" w14:textId="77777777" w:rsidR="001341EC" w:rsidRPr="00055D4B" w:rsidRDefault="001341EC" w:rsidP="001341EC">
      <w:pPr>
        <w:ind w:left="709" w:right="1041"/>
        <w:jc w:val="both"/>
        <w:rPr>
          <w:rFonts w:ascii="Book Antiqua" w:hAnsi="Book Antiqua"/>
          <w:sz w:val="22"/>
          <w:szCs w:val="22"/>
        </w:rPr>
      </w:pPr>
      <w:r w:rsidRPr="00055D4B">
        <w:rPr>
          <w:rFonts w:ascii="Book Antiqua" w:hAnsi="Book Antiqua"/>
          <w:i/>
          <w:sz w:val="22"/>
          <w:szCs w:val="22"/>
        </w:rPr>
        <w:t>2) La conciliación previa facultativa a la que hace alusión el Código, aspecto que estima de especial relevancia pues se puede constituir en un plan piloto para que causas sean atendidas por el Centro y la Defensa Pública. Solicita se coordinen acciones de capacitación en Agrario a personas juzgadoras conciliadoras y en conciliación a las personas juzgadoras Agrarias para un mayor aprovechamiento. Informa la jueza Damaris Vargas Vásquez que ya se tiene coordinada una fecha de reunión con la señora Kattia Escalante de la Escuela Judicial para dar inicio a la coordinación de la citada capacitación, por lo que se realizarán las articulaciones respectivas con el Centro de Conciliación y la Defensa Pública…”</w:t>
      </w:r>
    </w:p>
    <w:p w14:paraId="0545ECB5" w14:textId="77777777" w:rsidR="001341EC" w:rsidRPr="00055D4B" w:rsidRDefault="001341EC" w:rsidP="001341EC">
      <w:pPr>
        <w:jc w:val="both"/>
        <w:rPr>
          <w:rFonts w:ascii="Book Antiqua" w:hAnsi="Book Antiqua"/>
          <w:sz w:val="22"/>
          <w:szCs w:val="22"/>
        </w:rPr>
      </w:pPr>
    </w:p>
    <w:p w14:paraId="66967FCB"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En cumplimiento de lo anterior, entre las acciones que se realizan en el tema, según lo informado por la Licenciada Damaris Vargas Vásquez, Gestora en materia Agraria, mediante correo electrónico del 21 de marzo del año en curso </w:t>
      </w:r>
      <w:r w:rsidRPr="00055D4B">
        <w:rPr>
          <w:rFonts w:ascii="Book Antiqua" w:hAnsi="Book Antiqua"/>
          <w:b/>
          <w:i/>
          <w:sz w:val="22"/>
          <w:szCs w:val="22"/>
        </w:rPr>
        <w:t>(ver anexo 10 Respuesta a información Solicitada a la Licda. Vargas respecto Capacitación Conciliación)</w:t>
      </w:r>
      <w:r w:rsidRPr="00055D4B">
        <w:rPr>
          <w:rFonts w:ascii="Book Antiqua" w:hAnsi="Book Antiqua"/>
          <w:sz w:val="22"/>
          <w:szCs w:val="22"/>
        </w:rPr>
        <w:t xml:space="preserve"> se menciona lo siguiente:</w:t>
      </w:r>
    </w:p>
    <w:p w14:paraId="36B176BF" w14:textId="77777777" w:rsidR="001341EC" w:rsidRPr="00055D4B" w:rsidRDefault="001341EC" w:rsidP="001341EC">
      <w:pPr>
        <w:jc w:val="both"/>
        <w:rPr>
          <w:rFonts w:ascii="Book Antiqua" w:hAnsi="Book Antiqua"/>
          <w:sz w:val="22"/>
          <w:szCs w:val="22"/>
        </w:rPr>
      </w:pPr>
    </w:p>
    <w:p w14:paraId="51255BB9" w14:textId="77777777" w:rsidR="001341EC" w:rsidRPr="00055D4B" w:rsidRDefault="001341EC" w:rsidP="001341EC">
      <w:pPr>
        <w:pStyle w:val="Prrafodelista"/>
        <w:numPr>
          <w:ilvl w:val="0"/>
          <w:numId w:val="28"/>
        </w:numPr>
        <w:jc w:val="both"/>
        <w:rPr>
          <w:rFonts w:ascii="Book Antiqua" w:hAnsi="Book Antiqua"/>
          <w:sz w:val="22"/>
          <w:szCs w:val="22"/>
          <w:lang w:val="es-CR"/>
        </w:rPr>
      </w:pPr>
      <w:r w:rsidRPr="00055D4B">
        <w:rPr>
          <w:rFonts w:ascii="Book Antiqua" w:hAnsi="Book Antiqua"/>
          <w:sz w:val="22"/>
          <w:szCs w:val="22"/>
          <w:lang w:val="es-CR"/>
        </w:rPr>
        <w:t xml:space="preserve">Se trabaja en el diseño de capacitaciones en Derecho Agrario y en el nuevo Código Procesal Agrario para personas jugadoras conciliadoras en conjunto con la Escuela Judicial: </w:t>
      </w:r>
    </w:p>
    <w:p w14:paraId="213C95FC" w14:textId="77777777" w:rsidR="001341EC" w:rsidRPr="000D3830" w:rsidRDefault="001341EC" w:rsidP="001341EC">
      <w:pPr>
        <w:pStyle w:val="Prrafodelista"/>
        <w:numPr>
          <w:ilvl w:val="1"/>
          <w:numId w:val="28"/>
        </w:numPr>
        <w:jc w:val="both"/>
        <w:rPr>
          <w:rFonts w:ascii="Book Antiqua" w:hAnsi="Book Antiqua"/>
          <w:sz w:val="22"/>
          <w:szCs w:val="22"/>
          <w:lang w:val="es-CR"/>
        </w:rPr>
      </w:pPr>
      <w:r w:rsidRPr="00055D4B">
        <w:rPr>
          <w:rFonts w:ascii="Book Antiqua" w:hAnsi="Book Antiqua"/>
          <w:sz w:val="22"/>
          <w:szCs w:val="22"/>
          <w:lang w:val="es-CR"/>
        </w:rPr>
        <w:t xml:space="preserve">Ejemplo de ello en la próxima participación de las Jueza y Jueces conciliadores es el taller de Medidas Cautelares en los procesos Agrarios. </w:t>
      </w:r>
      <w:r w:rsidRPr="00055D4B">
        <w:rPr>
          <w:rFonts w:ascii="Book Antiqua" w:hAnsi="Book Antiqua"/>
          <w:b/>
          <w:i/>
          <w:sz w:val="22"/>
          <w:szCs w:val="22"/>
          <w:lang w:val="es-CR"/>
        </w:rPr>
        <w:t xml:space="preserve">(ver anexo 15 </w:t>
      </w:r>
      <w:r w:rsidRPr="00055D4B">
        <w:rPr>
          <w:rFonts w:ascii="Book Antiqua" w:hAnsi="Book Antiqua"/>
          <w:b/>
          <w:i/>
          <w:sz w:val="22"/>
          <w:szCs w:val="22"/>
        </w:rPr>
        <w:t>Participación de personas juzgadoras conciliadoras en el Taller Medidas Cautelares)</w:t>
      </w:r>
    </w:p>
    <w:p w14:paraId="2C52ACDB" w14:textId="77777777" w:rsidR="001341EC" w:rsidRDefault="001341EC" w:rsidP="001341EC">
      <w:pPr>
        <w:pStyle w:val="Prrafodelista"/>
        <w:jc w:val="both"/>
        <w:rPr>
          <w:rFonts w:ascii="Book Antiqua" w:hAnsi="Book Antiqua"/>
          <w:b/>
          <w:i/>
          <w:sz w:val="22"/>
          <w:szCs w:val="22"/>
        </w:rPr>
      </w:pPr>
    </w:p>
    <w:p w14:paraId="7ABE0BE5" w14:textId="77777777" w:rsidR="001341EC" w:rsidRPr="00055D4B" w:rsidRDefault="001341EC" w:rsidP="001341EC">
      <w:pPr>
        <w:pStyle w:val="Prrafodelista"/>
        <w:jc w:val="both"/>
        <w:rPr>
          <w:rFonts w:ascii="Book Antiqua" w:hAnsi="Book Antiqua"/>
          <w:sz w:val="22"/>
          <w:szCs w:val="22"/>
          <w:lang w:val="es-CR"/>
        </w:rPr>
      </w:pPr>
    </w:p>
    <w:p w14:paraId="67DB5530" w14:textId="77777777" w:rsidR="001341EC" w:rsidRDefault="001341EC" w:rsidP="001341EC">
      <w:pPr>
        <w:pStyle w:val="Prrafodelista"/>
        <w:numPr>
          <w:ilvl w:val="0"/>
          <w:numId w:val="28"/>
        </w:numPr>
        <w:jc w:val="both"/>
        <w:rPr>
          <w:rFonts w:ascii="Book Antiqua" w:hAnsi="Book Antiqua"/>
          <w:sz w:val="22"/>
          <w:szCs w:val="22"/>
          <w:lang w:val="es-CR"/>
        </w:rPr>
      </w:pPr>
      <w:r w:rsidRPr="00055D4B">
        <w:rPr>
          <w:rFonts w:ascii="Book Antiqua" w:hAnsi="Book Antiqua"/>
          <w:sz w:val="22"/>
          <w:szCs w:val="22"/>
          <w:lang w:val="es-CR"/>
        </w:rPr>
        <w:t>Capacitación en Conciliación a las personas juzgadoras agrarias:</w:t>
      </w:r>
    </w:p>
    <w:p w14:paraId="645FFC29" w14:textId="77777777" w:rsidR="001341EC" w:rsidRPr="00055D4B" w:rsidRDefault="001341EC" w:rsidP="001341EC">
      <w:pPr>
        <w:pStyle w:val="Prrafodelista"/>
        <w:ind w:left="774"/>
        <w:jc w:val="both"/>
        <w:rPr>
          <w:rFonts w:ascii="Book Antiqua" w:hAnsi="Book Antiqua"/>
          <w:sz w:val="22"/>
          <w:szCs w:val="22"/>
          <w:lang w:val="es-CR"/>
        </w:rPr>
      </w:pPr>
    </w:p>
    <w:p w14:paraId="5159960C" w14:textId="77777777" w:rsidR="001341EC" w:rsidRPr="00055D4B" w:rsidRDefault="001341EC" w:rsidP="001341EC">
      <w:pPr>
        <w:pStyle w:val="Prrafodelista"/>
        <w:numPr>
          <w:ilvl w:val="1"/>
          <w:numId w:val="28"/>
        </w:numPr>
        <w:jc w:val="both"/>
        <w:rPr>
          <w:rFonts w:ascii="Book Antiqua" w:hAnsi="Book Antiqua"/>
          <w:sz w:val="22"/>
          <w:szCs w:val="22"/>
          <w:lang w:val="es-CR"/>
        </w:rPr>
      </w:pPr>
      <w:r w:rsidRPr="00055D4B">
        <w:rPr>
          <w:rFonts w:ascii="Book Antiqua" w:hAnsi="Book Antiqua"/>
          <w:sz w:val="22"/>
          <w:szCs w:val="22"/>
          <w:lang w:val="es-CR"/>
        </w:rPr>
        <w:t>Se coordinó con la Escuela Judicial la inclusión de 20 cupos para personas juzgadoras agrarias y 5 espacios para personas defensoras públicas Agrarias en el Subprograma Resolución Alterna de Conflictos del Programa de Especialización, el cual se ejecutará en el 2019. A la fecha, existen siete personas interesadas</w:t>
      </w:r>
    </w:p>
    <w:p w14:paraId="74DE2C70" w14:textId="77777777" w:rsidR="001341EC" w:rsidRPr="00055D4B" w:rsidRDefault="001341EC" w:rsidP="001341EC">
      <w:pPr>
        <w:jc w:val="both"/>
        <w:rPr>
          <w:rFonts w:ascii="Book Antiqua" w:hAnsi="Book Antiqua"/>
          <w:sz w:val="22"/>
          <w:szCs w:val="22"/>
        </w:rPr>
      </w:pPr>
    </w:p>
    <w:p w14:paraId="0A5BBBFA"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lastRenderedPageBreak/>
        <w:t xml:space="preserve">Adicionalmente, 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 donde se contemplan los siguientes despachos. </w:t>
      </w:r>
    </w:p>
    <w:p w14:paraId="7C471FE3" w14:textId="77777777" w:rsidR="001341EC" w:rsidRPr="00055D4B" w:rsidRDefault="001341EC" w:rsidP="001341EC">
      <w:pPr>
        <w:jc w:val="both"/>
        <w:rPr>
          <w:rFonts w:ascii="Book Antiqua" w:hAnsi="Book Antiqua"/>
          <w:sz w:val="22"/>
          <w:szCs w:val="22"/>
        </w:rPr>
      </w:pPr>
    </w:p>
    <w:p w14:paraId="4F9F3EE6" w14:textId="77777777" w:rsidR="001341EC" w:rsidRPr="00055D4B" w:rsidRDefault="001341EC" w:rsidP="001341EC">
      <w:pPr>
        <w:numPr>
          <w:ilvl w:val="0"/>
          <w:numId w:val="29"/>
        </w:numPr>
        <w:jc w:val="both"/>
        <w:rPr>
          <w:rFonts w:ascii="Book Antiqua" w:hAnsi="Book Antiqua"/>
          <w:sz w:val="22"/>
          <w:szCs w:val="22"/>
        </w:rPr>
      </w:pPr>
      <w:r w:rsidRPr="00055D4B">
        <w:rPr>
          <w:rFonts w:ascii="Book Antiqua" w:hAnsi="Book Antiqua"/>
          <w:sz w:val="22"/>
          <w:szCs w:val="22"/>
        </w:rPr>
        <w:t>Juzgado Agrario del Primer Circuito Judicial de la Zona Atlántica (Limón)</w:t>
      </w:r>
    </w:p>
    <w:p w14:paraId="2B3CEC13" w14:textId="77777777" w:rsidR="001341EC" w:rsidRPr="00055D4B" w:rsidRDefault="001341EC" w:rsidP="001341EC">
      <w:pPr>
        <w:numPr>
          <w:ilvl w:val="0"/>
          <w:numId w:val="29"/>
        </w:numPr>
        <w:jc w:val="both"/>
        <w:rPr>
          <w:rFonts w:ascii="Book Antiqua" w:hAnsi="Book Antiqua"/>
          <w:sz w:val="22"/>
          <w:szCs w:val="22"/>
        </w:rPr>
      </w:pPr>
      <w:r w:rsidRPr="00055D4B">
        <w:rPr>
          <w:rFonts w:ascii="Book Antiqua" w:hAnsi="Book Antiqua"/>
          <w:sz w:val="22"/>
          <w:szCs w:val="22"/>
        </w:rPr>
        <w:t>Juzgado Agrario del Segundo Circuito Judicial de la Zona Atlántica (Guápiles)</w:t>
      </w:r>
    </w:p>
    <w:p w14:paraId="5B396BAB" w14:textId="77777777" w:rsidR="001341EC" w:rsidRPr="00055D4B" w:rsidRDefault="001341EC" w:rsidP="001341EC">
      <w:pPr>
        <w:numPr>
          <w:ilvl w:val="0"/>
          <w:numId w:val="29"/>
        </w:numPr>
        <w:jc w:val="both"/>
        <w:rPr>
          <w:rFonts w:ascii="Book Antiqua" w:hAnsi="Book Antiqua"/>
          <w:sz w:val="22"/>
          <w:szCs w:val="22"/>
        </w:rPr>
      </w:pPr>
      <w:r w:rsidRPr="00055D4B">
        <w:rPr>
          <w:rFonts w:ascii="Book Antiqua" w:hAnsi="Book Antiqua"/>
          <w:sz w:val="22"/>
          <w:szCs w:val="22"/>
        </w:rPr>
        <w:t>Juzgado Agrario del I Circuito Judicial de la Zona Sur (Pérez Zeledón)</w:t>
      </w:r>
    </w:p>
    <w:p w14:paraId="44E465FF" w14:textId="77777777" w:rsidR="001341EC" w:rsidRPr="00055D4B" w:rsidRDefault="001341EC" w:rsidP="001341EC">
      <w:pPr>
        <w:numPr>
          <w:ilvl w:val="0"/>
          <w:numId w:val="29"/>
        </w:numPr>
        <w:jc w:val="both"/>
        <w:rPr>
          <w:rFonts w:ascii="Book Antiqua" w:hAnsi="Book Antiqua"/>
          <w:sz w:val="22"/>
          <w:szCs w:val="22"/>
        </w:rPr>
      </w:pPr>
      <w:r w:rsidRPr="00055D4B">
        <w:rPr>
          <w:rFonts w:ascii="Book Antiqua" w:hAnsi="Book Antiqua"/>
          <w:sz w:val="22"/>
          <w:szCs w:val="22"/>
        </w:rPr>
        <w:t>Juzgado Agrario del Segundo Circuito Judicial de Guanacaste (Santa Cruz)</w:t>
      </w:r>
    </w:p>
    <w:p w14:paraId="0929D08A" w14:textId="77777777" w:rsidR="001341EC" w:rsidRPr="00055D4B" w:rsidRDefault="001341EC" w:rsidP="001341EC">
      <w:pPr>
        <w:numPr>
          <w:ilvl w:val="0"/>
          <w:numId w:val="29"/>
        </w:numPr>
        <w:jc w:val="both"/>
        <w:rPr>
          <w:rFonts w:ascii="Book Antiqua" w:hAnsi="Book Antiqua"/>
          <w:sz w:val="22"/>
          <w:szCs w:val="22"/>
        </w:rPr>
      </w:pPr>
      <w:r w:rsidRPr="00055D4B">
        <w:rPr>
          <w:rFonts w:ascii="Book Antiqua" w:hAnsi="Book Antiqua"/>
          <w:sz w:val="22"/>
          <w:szCs w:val="22"/>
        </w:rPr>
        <w:t>Juzgado Agrario de Puntarenas</w:t>
      </w:r>
    </w:p>
    <w:p w14:paraId="2431FD00" w14:textId="77777777" w:rsidR="001341EC" w:rsidRPr="00055D4B" w:rsidRDefault="001341EC" w:rsidP="001341EC">
      <w:pPr>
        <w:numPr>
          <w:ilvl w:val="0"/>
          <w:numId w:val="29"/>
        </w:numPr>
        <w:jc w:val="both"/>
        <w:rPr>
          <w:rFonts w:ascii="Book Antiqua" w:hAnsi="Book Antiqua"/>
          <w:sz w:val="22"/>
          <w:szCs w:val="22"/>
        </w:rPr>
      </w:pPr>
      <w:r w:rsidRPr="00055D4B">
        <w:rPr>
          <w:rFonts w:ascii="Book Antiqua" w:hAnsi="Book Antiqua"/>
          <w:sz w:val="22"/>
          <w:szCs w:val="22"/>
        </w:rPr>
        <w:t>Juzgado Agrario del Primer Circuito Judicial de Guanacaste (Liberia)</w:t>
      </w:r>
    </w:p>
    <w:p w14:paraId="2CC3ABB0" w14:textId="77777777" w:rsidR="001341EC" w:rsidRPr="00055D4B" w:rsidRDefault="001341EC" w:rsidP="001341EC">
      <w:pPr>
        <w:ind w:left="720"/>
        <w:jc w:val="both"/>
        <w:rPr>
          <w:rFonts w:ascii="Book Antiqua" w:hAnsi="Book Antiqua"/>
          <w:sz w:val="22"/>
          <w:szCs w:val="22"/>
        </w:rPr>
      </w:pPr>
    </w:p>
    <w:p w14:paraId="699E4BBD" w14:textId="77777777" w:rsidR="001341EC" w:rsidRPr="00055D4B" w:rsidRDefault="001341EC" w:rsidP="001341EC">
      <w:pPr>
        <w:ind w:left="720"/>
        <w:jc w:val="both"/>
        <w:rPr>
          <w:rFonts w:ascii="Book Antiqua" w:hAnsi="Book Antiqua"/>
          <w:sz w:val="22"/>
          <w:szCs w:val="22"/>
        </w:rPr>
      </w:pPr>
      <w:r w:rsidRPr="00055D4B">
        <w:rPr>
          <w:rFonts w:ascii="Book Antiqua" w:hAnsi="Book Antiqua"/>
          <w:sz w:val="22"/>
          <w:szCs w:val="22"/>
        </w:rPr>
        <w:t>En este caso este despacho estaría sujeto a conseguir una sede pues el Centro de Conciliación no tiene sede en Liberia, aunado a ello, en este momento el Juzgado Agrario de Liberia está siendo abordado por dos personas juzgadoras y una adicional por una coyuntura de medida cautelar laboral, sin que se tenga certeza la fecha límite de conclusión de ese apoyo.</w:t>
      </w:r>
    </w:p>
    <w:p w14:paraId="78CC7277" w14:textId="77777777" w:rsidR="001341EC" w:rsidRPr="00055D4B" w:rsidRDefault="001341EC" w:rsidP="001341EC">
      <w:pPr>
        <w:jc w:val="both"/>
        <w:rPr>
          <w:rFonts w:ascii="Book Antiqua" w:hAnsi="Book Antiqua"/>
          <w:sz w:val="22"/>
          <w:szCs w:val="22"/>
        </w:rPr>
      </w:pPr>
    </w:p>
    <w:p w14:paraId="56503325"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Sin embargo, en correo remitido por el </w:t>
      </w:r>
      <w:proofErr w:type="spellStart"/>
      <w:r w:rsidRPr="00055D4B">
        <w:rPr>
          <w:rFonts w:ascii="Book Antiqua" w:hAnsi="Book Antiqua"/>
          <w:sz w:val="22"/>
          <w:szCs w:val="22"/>
        </w:rPr>
        <w:t>M.Sc</w:t>
      </w:r>
      <w:proofErr w:type="spellEnd"/>
      <w:r w:rsidRPr="00055D4B">
        <w:rPr>
          <w:rFonts w:ascii="Book Antiqua" w:hAnsi="Book Antiqua"/>
          <w:sz w:val="22"/>
          <w:szCs w:val="22"/>
        </w:rPr>
        <w:t xml:space="preserve">. Gustavo Céspedes, Abogado Gestor de Capacitación de la Escuela Judicial, el 25 de marzo del 2019, indica los siguientes: </w:t>
      </w:r>
    </w:p>
    <w:p w14:paraId="5DC6EC47" w14:textId="77777777" w:rsidR="001341EC" w:rsidRPr="00055D4B" w:rsidRDefault="001341EC" w:rsidP="001341EC">
      <w:pPr>
        <w:jc w:val="both"/>
        <w:rPr>
          <w:rFonts w:ascii="Book Antiqua" w:hAnsi="Book Antiqua"/>
          <w:sz w:val="22"/>
          <w:szCs w:val="22"/>
        </w:rPr>
      </w:pPr>
    </w:p>
    <w:p w14:paraId="336357D4" w14:textId="77777777" w:rsidR="001341EC" w:rsidRPr="00055D4B" w:rsidRDefault="001341EC" w:rsidP="001341EC">
      <w:pPr>
        <w:ind w:left="851" w:right="1183"/>
        <w:jc w:val="both"/>
        <w:rPr>
          <w:rFonts w:ascii="Book Antiqua" w:hAnsi="Book Antiqua"/>
          <w:i/>
          <w:sz w:val="22"/>
          <w:szCs w:val="22"/>
        </w:rPr>
      </w:pPr>
      <w:r w:rsidRPr="00055D4B">
        <w:rPr>
          <w:rFonts w:ascii="Book Antiqua" w:hAnsi="Book Antiqua"/>
          <w:i/>
          <w:sz w:val="22"/>
          <w:szCs w:val="22"/>
        </w:rPr>
        <w:t>“…analizando el interés mostrado por las personas juzgadoras de los despachos destinatarios, el mismo resulta exiguo, motivo por el cuál con instrucciones de la Dirección de la Escuela Judicial, no se considera oportuno, en esta oportunidad, ejecutar las capacitaciones aludidas…”</w:t>
      </w:r>
      <w:r w:rsidRPr="00055D4B">
        <w:rPr>
          <w:rFonts w:ascii="Book Antiqua" w:hAnsi="Book Antiqua"/>
          <w:b/>
          <w:i/>
          <w:sz w:val="22"/>
          <w:szCs w:val="22"/>
        </w:rPr>
        <w:t>(ver anexo 19 Sobre cursos de CONCILIACIÓN EN MATERIA AGRARIA)</w:t>
      </w:r>
    </w:p>
    <w:p w14:paraId="052D3969" w14:textId="77777777" w:rsidR="001341EC" w:rsidRPr="00055D4B" w:rsidRDefault="001341EC" w:rsidP="001341EC">
      <w:pPr>
        <w:ind w:left="714"/>
        <w:jc w:val="both"/>
        <w:rPr>
          <w:rFonts w:ascii="Book Antiqua" w:hAnsi="Book Antiqua"/>
          <w:sz w:val="22"/>
          <w:szCs w:val="22"/>
        </w:rPr>
      </w:pPr>
    </w:p>
    <w:p w14:paraId="33001902"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El plan piloto se ejecutaría en un principio durante este 2019, específicamente del 16 de mayo al 16 de noviembre de 2019, durante siete meses. La información anterior corresponde a lo indicado por la Licenciada Vargas, por medio de correo electrónico del 21 de marzo de presente año. </w:t>
      </w:r>
      <w:r w:rsidRPr="00055D4B">
        <w:rPr>
          <w:rFonts w:ascii="Book Antiqua" w:hAnsi="Book Antiqua"/>
          <w:b/>
          <w:i/>
          <w:sz w:val="22"/>
          <w:szCs w:val="22"/>
        </w:rPr>
        <w:t>(ver anexo 11 Plan Piloto Colaboración del Centro de Conciliación del Poder Judicial para el proyecto de implementación del Código Procesal Agrario</w:t>
      </w:r>
      <w:r w:rsidRPr="00055D4B">
        <w:rPr>
          <w:rFonts w:ascii="Book Antiqua" w:hAnsi="Book Antiqua"/>
          <w:sz w:val="22"/>
          <w:szCs w:val="22"/>
        </w:rPr>
        <w:t xml:space="preserve">). </w:t>
      </w:r>
    </w:p>
    <w:p w14:paraId="25CC2D7B" w14:textId="77777777" w:rsidR="001341EC" w:rsidRPr="00055D4B" w:rsidRDefault="001341EC" w:rsidP="001341EC">
      <w:pPr>
        <w:jc w:val="both"/>
        <w:rPr>
          <w:rFonts w:ascii="Book Antiqua" w:hAnsi="Book Antiqua"/>
          <w:sz w:val="22"/>
          <w:szCs w:val="22"/>
        </w:rPr>
      </w:pPr>
    </w:p>
    <w:p w14:paraId="24F993AA" w14:textId="77777777" w:rsidR="001341EC" w:rsidRPr="00055D4B" w:rsidRDefault="001341EC" w:rsidP="001341EC">
      <w:pPr>
        <w:jc w:val="both"/>
        <w:rPr>
          <w:rFonts w:ascii="Book Antiqua" w:hAnsi="Book Antiqua"/>
          <w:sz w:val="22"/>
          <w:szCs w:val="22"/>
        </w:rPr>
      </w:pPr>
    </w:p>
    <w:p w14:paraId="15A29B48" w14:textId="77777777" w:rsidR="001341EC" w:rsidRPr="000D3830" w:rsidRDefault="001341EC" w:rsidP="001341EC">
      <w:pPr>
        <w:pStyle w:val="Ttulo2"/>
        <w:keepLines/>
        <w:numPr>
          <w:ilvl w:val="1"/>
          <w:numId w:val="42"/>
        </w:numPr>
        <w:spacing w:before="40" w:after="0"/>
        <w:rPr>
          <w:rFonts w:ascii="Book Antiqua" w:hAnsi="Book Antiqua"/>
          <w:i w:val="0"/>
          <w:sz w:val="22"/>
          <w:szCs w:val="22"/>
        </w:rPr>
      </w:pPr>
      <w:r w:rsidRPr="000D3830">
        <w:rPr>
          <w:rFonts w:ascii="Book Antiqua" w:hAnsi="Book Antiqua"/>
          <w:i w:val="0"/>
          <w:sz w:val="22"/>
          <w:szCs w:val="22"/>
        </w:rPr>
        <w:t>Inte</w:t>
      </w:r>
      <w:r>
        <w:rPr>
          <w:rFonts w:ascii="Book Antiqua" w:hAnsi="Book Antiqua"/>
          <w:i w:val="0"/>
          <w:sz w:val="22"/>
          <w:szCs w:val="22"/>
        </w:rPr>
        <w:t>rvención de la Defensa Pública</w:t>
      </w:r>
    </w:p>
    <w:p w14:paraId="1A2BC751" w14:textId="77777777" w:rsidR="001341EC" w:rsidRPr="00055D4B" w:rsidRDefault="001341EC" w:rsidP="001341EC">
      <w:pPr>
        <w:jc w:val="both"/>
        <w:rPr>
          <w:rFonts w:ascii="Book Antiqua" w:hAnsi="Book Antiqua"/>
          <w:sz w:val="22"/>
          <w:szCs w:val="22"/>
        </w:rPr>
      </w:pPr>
    </w:p>
    <w:p w14:paraId="1C8A1DB5"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El artículo 44 del Código Procesal Agrario menciona el deber de las partes de actuar con patrocinio letrado, en los siguientes términos:</w:t>
      </w:r>
    </w:p>
    <w:p w14:paraId="79A273D4" w14:textId="77777777" w:rsidR="001341EC" w:rsidRPr="00055D4B" w:rsidRDefault="001341EC" w:rsidP="001341EC">
      <w:pPr>
        <w:jc w:val="both"/>
        <w:rPr>
          <w:rFonts w:ascii="Book Antiqua" w:hAnsi="Book Antiqua"/>
          <w:sz w:val="22"/>
          <w:szCs w:val="22"/>
        </w:rPr>
      </w:pPr>
    </w:p>
    <w:p w14:paraId="68428C5E" w14:textId="77777777" w:rsidR="001341EC" w:rsidRPr="00055D4B" w:rsidRDefault="001341EC" w:rsidP="001341EC">
      <w:pPr>
        <w:ind w:left="540" w:right="541"/>
        <w:jc w:val="both"/>
        <w:rPr>
          <w:rFonts w:ascii="Book Antiqua" w:hAnsi="Book Antiqua" w:cs="Arial-BoldMT"/>
          <w:b/>
          <w:bCs/>
          <w:i/>
          <w:color w:val="000000"/>
          <w:sz w:val="22"/>
          <w:szCs w:val="22"/>
        </w:rPr>
      </w:pPr>
      <w:r w:rsidRPr="00055D4B">
        <w:rPr>
          <w:rFonts w:ascii="Book Antiqua" w:hAnsi="Book Antiqua" w:cs="Arial-BoldMT"/>
          <w:b/>
          <w:bCs/>
          <w:i/>
          <w:color w:val="000000"/>
          <w:sz w:val="22"/>
          <w:szCs w:val="22"/>
        </w:rPr>
        <w:t>“ARTÍCULO 44.- Patrocinio letrado</w:t>
      </w:r>
    </w:p>
    <w:p w14:paraId="5C0FD1D5" w14:textId="77777777" w:rsidR="001341EC" w:rsidRPr="00055D4B" w:rsidRDefault="001341EC" w:rsidP="001341EC">
      <w:pPr>
        <w:ind w:left="540" w:right="541"/>
        <w:jc w:val="both"/>
        <w:rPr>
          <w:rFonts w:ascii="Book Antiqua" w:hAnsi="Book Antiqua" w:cs="ArialMT"/>
          <w:i/>
          <w:color w:val="000000"/>
          <w:sz w:val="22"/>
          <w:szCs w:val="22"/>
        </w:rPr>
      </w:pPr>
    </w:p>
    <w:p w14:paraId="65F1B07E" w14:textId="77777777" w:rsidR="001341EC" w:rsidRPr="00055D4B" w:rsidRDefault="001341EC" w:rsidP="001341EC">
      <w:pPr>
        <w:ind w:left="540" w:right="541"/>
        <w:jc w:val="both"/>
        <w:rPr>
          <w:rFonts w:ascii="Book Antiqua" w:hAnsi="Book Antiqua"/>
          <w:i/>
          <w:sz w:val="22"/>
          <w:szCs w:val="22"/>
        </w:rPr>
      </w:pPr>
      <w:r w:rsidRPr="00055D4B">
        <w:rPr>
          <w:rFonts w:ascii="Book Antiqua" w:hAnsi="Book Antiqua" w:cs="ArialMT"/>
          <w:i/>
          <w:color w:val="000000"/>
          <w:sz w:val="22"/>
          <w:szCs w:val="22"/>
        </w:rPr>
        <w:lastRenderedPageBreak/>
        <w:t>Las partes deberán actuar con patrocinio letrado, salvo que sean profesionales en derecho. Se otorgará el patrocinio letrado gratuito, conforme lo establece esta ley. Quien autentique será responsable de su contenido. Su firma implicará, salvo manifestación expresa en contrario, la dirección del proceso con las facultades de actuar en nombre de la parte para todo lo que le beneficie, siempre y cuando no se requiera su participación personal o poder especial judicial”.</w:t>
      </w:r>
    </w:p>
    <w:p w14:paraId="040CC2FE" w14:textId="77777777" w:rsidR="001341EC" w:rsidRPr="00055D4B" w:rsidRDefault="001341EC" w:rsidP="001341EC">
      <w:pPr>
        <w:jc w:val="both"/>
        <w:rPr>
          <w:rFonts w:ascii="Book Antiqua" w:hAnsi="Book Antiqua"/>
          <w:sz w:val="22"/>
          <w:szCs w:val="22"/>
        </w:rPr>
      </w:pPr>
    </w:p>
    <w:p w14:paraId="78A14F5B"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Por su parte, el artículo 51 regula las condiciones del patrocinio letrado gratuito que brindará la Defensa Pública, priorizando la atención en aquellas personas con limitaciones económicas:</w:t>
      </w:r>
    </w:p>
    <w:p w14:paraId="5F6E4207" w14:textId="77777777" w:rsidR="001341EC" w:rsidRPr="00055D4B" w:rsidRDefault="001341EC" w:rsidP="001341EC">
      <w:pPr>
        <w:jc w:val="both"/>
        <w:rPr>
          <w:rFonts w:ascii="Book Antiqua" w:hAnsi="Book Antiqua"/>
          <w:sz w:val="22"/>
          <w:szCs w:val="22"/>
        </w:rPr>
      </w:pPr>
    </w:p>
    <w:p w14:paraId="23E7FD02" w14:textId="77777777" w:rsidR="001341EC" w:rsidRPr="00055D4B" w:rsidRDefault="001341EC" w:rsidP="001341EC">
      <w:pPr>
        <w:ind w:left="540" w:right="541"/>
        <w:jc w:val="both"/>
        <w:rPr>
          <w:rFonts w:ascii="Book Antiqua" w:hAnsi="Book Antiqua" w:cs="Arial-BoldMT"/>
          <w:b/>
          <w:bCs/>
          <w:i/>
          <w:color w:val="000000"/>
          <w:sz w:val="22"/>
          <w:szCs w:val="22"/>
        </w:rPr>
      </w:pPr>
      <w:r w:rsidRPr="00055D4B">
        <w:rPr>
          <w:rFonts w:ascii="Book Antiqua" w:hAnsi="Book Antiqua" w:cs="Arial-BoldMT"/>
          <w:b/>
          <w:bCs/>
          <w:i/>
          <w:color w:val="000000"/>
          <w:sz w:val="22"/>
          <w:szCs w:val="22"/>
        </w:rPr>
        <w:t>“ARTÍCULO 51.- Defensa técnica gratuita</w:t>
      </w:r>
    </w:p>
    <w:p w14:paraId="15E1EFE0" w14:textId="77777777" w:rsidR="001341EC" w:rsidRPr="00055D4B" w:rsidRDefault="001341EC" w:rsidP="001341EC">
      <w:pPr>
        <w:ind w:left="540" w:right="541"/>
        <w:jc w:val="both"/>
        <w:rPr>
          <w:rFonts w:ascii="Book Antiqua" w:hAnsi="Book Antiqua" w:cs="ArialMT"/>
          <w:i/>
          <w:color w:val="000000"/>
          <w:sz w:val="22"/>
          <w:szCs w:val="22"/>
        </w:rPr>
      </w:pPr>
    </w:p>
    <w:p w14:paraId="17BC160E" w14:textId="77777777" w:rsidR="001341EC" w:rsidRPr="00055D4B" w:rsidRDefault="001341EC" w:rsidP="001341EC">
      <w:pPr>
        <w:ind w:left="540" w:right="541"/>
        <w:jc w:val="both"/>
        <w:rPr>
          <w:rFonts w:ascii="Book Antiqua" w:hAnsi="Book Antiqua" w:cs="ArialMT"/>
          <w:i/>
          <w:color w:val="000000"/>
          <w:sz w:val="22"/>
          <w:szCs w:val="22"/>
        </w:rPr>
      </w:pPr>
      <w:r w:rsidRPr="00055D4B">
        <w:rPr>
          <w:rFonts w:ascii="Book Antiqua" w:hAnsi="Book Antiqua" w:cs="ArialMT"/>
          <w:b/>
          <w:i/>
          <w:color w:val="000000"/>
          <w:sz w:val="22"/>
          <w:szCs w:val="22"/>
          <w:u w:val="single"/>
        </w:rPr>
        <w:t xml:space="preserve">Las partes tendrán acceso a la defensa técnica gratuita especializada, siempre y cuando acrediten plenamente que carecen de recursos económicos suficientes, para lo cual deben emitir una declaración jurada ante la Defensa Pública, cuyos datos serán verificados por ésta. </w:t>
      </w:r>
      <w:r w:rsidRPr="00055D4B">
        <w:rPr>
          <w:rFonts w:ascii="Book Antiqua" w:hAnsi="Book Antiqua" w:cs="ArialMT"/>
          <w:b/>
          <w:i/>
          <w:color w:val="000000"/>
          <w:sz w:val="22"/>
          <w:szCs w:val="22"/>
        </w:rPr>
        <w:t>(Lo subrayado no pertenece al documento original</w:t>
      </w:r>
      <w:r w:rsidRPr="00055D4B">
        <w:rPr>
          <w:rFonts w:ascii="Book Antiqua" w:hAnsi="Book Antiqua" w:cs="ArialMT"/>
          <w:i/>
          <w:color w:val="000000"/>
          <w:sz w:val="22"/>
          <w:szCs w:val="22"/>
        </w:rPr>
        <w:t>).Las partes interesadas deberán pedir directamente este beneficio en las oficinas de la Defensa Pública de cada circuito judicial y se acreditará su aceptación en la primera resolución que de curso al proceso. Si se acredita que quien solicita la defensa técnica tiene recursos económicos suficientes para sufragar el costo de la asesoría legal, dicha dependencia requerirá su pago, a través de los mecanismos legales pertinentes.”.</w:t>
      </w:r>
    </w:p>
    <w:p w14:paraId="25A6DAF9" w14:textId="77777777" w:rsidR="001341EC" w:rsidRPr="00055D4B" w:rsidRDefault="001341EC" w:rsidP="001341EC">
      <w:pPr>
        <w:jc w:val="both"/>
        <w:rPr>
          <w:rFonts w:ascii="Book Antiqua" w:hAnsi="Book Antiqua"/>
          <w:sz w:val="22"/>
          <w:szCs w:val="22"/>
        </w:rPr>
      </w:pPr>
    </w:p>
    <w:p w14:paraId="0D2B4BAA"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Además, el artículo 45 impone la designación de abogados suplentes para evitar la suspensión de las audiencias:</w:t>
      </w:r>
    </w:p>
    <w:p w14:paraId="51027DFE" w14:textId="77777777" w:rsidR="001341EC" w:rsidRPr="00055D4B" w:rsidRDefault="001341EC" w:rsidP="001341EC">
      <w:pPr>
        <w:jc w:val="both"/>
        <w:rPr>
          <w:rFonts w:ascii="Book Antiqua" w:hAnsi="Book Antiqua"/>
          <w:sz w:val="22"/>
          <w:szCs w:val="22"/>
        </w:rPr>
      </w:pPr>
    </w:p>
    <w:p w14:paraId="67A84CD1" w14:textId="77777777" w:rsidR="001341EC" w:rsidRPr="00055D4B" w:rsidRDefault="001341EC" w:rsidP="001341EC">
      <w:pPr>
        <w:ind w:left="540" w:right="541"/>
        <w:jc w:val="both"/>
        <w:rPr>
          <w:rFonts w:ascii="Book Antiqua" w:hAnsi="Book Antiqua" w:cs="Arial-BoldMT"/>
          <w:b/>
          <w:bCs/>
          <w:i/>
          <w:color w:val="000000"/>
          <w:sz w:val="22"/>
          <w:szCs w:val="22"/>
        </w:rPr>
      </w:pPr>
      <w:r w:rsidRPr="00055D4B">
        <w:rPr>
          <w:rFonts w:ascii="Book Antiqua" w:hAnsi="Book Antiqua" w:cs="Arial-BoldMT"/>
          <w:b/>
          <w:bCs/>
          <w:i/>
          <w:color w:val="000000"/>
          <w:sz w:val="22"/>
          <w:szCs w:val="22"/>
        </w:rPr>
        <w:t>“ARTÍCULO 45.- Abogadas o abogados suplentes</w:t>
      </w:r>
    </w:p>
    <w:p w14:paraId="3E97DC12" w14:textId="77777777" w:rsidR="001341EC" w:rsidRPr="00055D4B" w:rsidRDefault="001341EC" w:rsidP="001341EC">
      <w:pPr>
        <w:ind w:left="540" w:right="541"/>
        <w:jc w:val="both"/>
        <w:rPr>
          <w:rFonts w:ascii="Book Antiqua" w:hAnsi="Book Antiqua" w:cs="ArialMT"/>
          <w:i/>
          <w:color w:val="000000"/>
          <w:sz w:val="22"/>
          <w:szCs w:val="22"/>
        </w:rPr>
      </w:pPr>
    </w:p>
    <w:p w14:paraId="62E278D3" w14:textId="77777777" w:rsidR="001341EC" w:rsidRPr="00055D4B" w:rsidRDefault="001341EC" w:rsidP="001341EC">
      <w:pPr>
        <w:ind w:left="540" w:right="541"/>
        <w:jc w:val="both"/>
        <w:rPr>
          <w:rFonts w:ascii="Book Antiqua" w:hAnsi="Book Antiqua" w:cs="ArialMT"/>
          <w:i/>
          <w:color w:val="000000"/>
          <w:sz w:val="22"/>
          <w:szCs w:val="22"/>
        </w:rPr>
      </w:pPr>
      <w:r w:rsidRPr="00055D4B">
        <w:rPr>
          <w:rFonts w:ascii="Book Antiqua" w:hAnsi="Book Antiqua" w:cs="ArialMT"/>
          <w:i/>
          <w:color w:val="000000"/>
          <w:sz w:val="22"/>
          <w:szCs w:val="22"/>
        </w:rPr>
        <w:t xml:space="preserve">Con el fin de evitar la posposición de audiencias, la persona abogada directora podrá designar a uno o dos suplentes, sin que ello implique costo adicional de honorarios para la parte, siempre y cuando la parte que representa así lo autorice en forma expresa, </w:t>
      </w:r>
      <w:r w:rsidRPr="00055D4B">
        <w:rPr>
          <w:rFonts w:ascii="Book Antiqua" w:hAnsi="Book Antiqua" w:cs="ArialMT"/>
          <w:b/>
          <w:i/>
          <w:color w:val="000000"/>
          <w:sz w:val="22"/>
          <w:szCs w:val="22"/>
          <w:u w:val="single"/>
        </w:rPr>
        <w:t>sin que sea obligatoria tal designación</w:t>
      </w:r>
      <w:r w:rsidRPr="00055D4B">
        <w:rPr>
          <w:rFonts w:ascii="Book Antiqua" w:hAnsi="Book Antiqua" w:cs="ArialMT"/>
          <w:i/>
          <w:color w:val="000000"/>
          <w:sz w:val="22"/>
          <w:szCs w:val="22"/>
        </w:rPr>
        <w:t>, (lo subrayado y resaltado no pertenece al original) quienes sean suplentes tendrán las mismas facultades de actuación en el proceso.”</w:t>
      </w:r>
    </w:p>
    <w:p w14:paraId="25423223" w14:textId="77777777" w:rsidR="001341EC" w:rsidRPr="00055D4B" w:rsidRDefault="001341EC" w:rsidP="001341EC">
      <w:pPr>
        <w:ind w:left="540" w:right="541"/>
        <w:jc w:val="both"/>
        <w:rPr>
          <w:rFonts w:ascii="Book Antiqua" w:hAnsi="Book Antiqua"/>
          <w:i/>
          <w:sz w:val="22"/>
          <w:szCs w:val="22"/>
        </w:rPr>
      </w:pPr>
      <w:r w:rsidRPr="00055D4B">
        <w:rPr>
          <w:rFonts w:ascii="Book Antiqua" w:hAnsi="Book Antiqua" w:cs="ArialMT"/>
          <w:i/>
          <w:color w:val="000000"/>
          <w:sz w:val="22"/>
          <w:szCs w:val="22"/>
        </w:rPr>
        <w:t>”.</w:t>
      </w:r>
    </w:p>
    <w:p w14:paraId="778A2960" w14:textId="77777777" w:rsidR="001341EC" w:rsidRPr="00055D4B" w:rsidRDefault="001341EC" w:rsidP="001341EC">
      <w:pPr>
        <w:jc w:val="both"/>
        <w:rPr>
          <w:rFonts w:ascii="Book Antiqua" w:hAnsi="Book Antiqua"/>
          <w:sz w:val="22"/>
          <w:szCs w:val="22"/>
        </w:rPr>
      </w:pPr>
    </w:p>
    <w:p w14:paraId="0A623EB7"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Cabe indicar que, en el presente, la Defensa Pública brinda sus servicios a ambas partes en los procesos agrarios y no requiere de más plazas, según se amplió en el apartado anterior.</w:t>
      </w:r>
    </w:p>
    <w:p w14:paraId="760CA940" w14:textId="77777777" w:rsidR="001341EC" w:rsidRPr="00055D4B" w:rsidRDefault="001341EC" w:rsidP="001341EC">
      <w:pPr>
        <w:jc w:val="both"/>
        <w:rPr>
          <w:rFonts w:ascii="Book Antiqua" w:hAnsi="Book Antiqua"/>
          <w:sz w:val="22"/>
          <w:szCs w:val="22"/>
          <w:highlight w:val="yellow"/>
        </w:rPr>
      </w:pPr>
    </w:p>
    <w:p w14:paraId="5EC5F3FC" w14:textId="77777777" w:rsidR="001341EC" w:rsidRPr="00055D4B" w:rsidRDefault="001341EC" w:rsidP="001341EC">
      <w:pPr>
        <w:jc w:val="both"/>
        <w:rPr>
          <w:rFonts w:ascii="Book Antiqua" w:hAnsi="Book Antiqua"/>
          <w:color w:val="000000"/>
          <w:sz w:val="22"/>
          <w:szCs w:val="22"/>
        </w:rPr>
      </w:pPr>
      <w:r w:rsidRPr="00055D4B">
        <w:rPr>
          <w:rFonts w:ascii="Book Antiqua" w:hAnsi="Book Antiqua"/>
          <w:sz w:val="22"/>
          <w:szCs w:val="22"/>
        </w:rPr>
        <w:t xml:space="preserve">Como se hace mención en el apartado de </w:t>
      </w:r>
      <w:r w:rsidRPr="00055D4B">
        <w:rPr>
          <w:rFonts w:ascii="Book Antiqua" w:hAnsi="Book Antiqua"/>
          <w:i/>
          <w:sz w:val="22"/>
          <w:szCs w:val="22"/>
        </w:rPr>
        <w:t>Antecedentes</w:t>
      </w:r>
      <w:r w:rsidRPr="00055D4B">
        <w:rPr>
          <w:rFonts w:ascii="Book Antiqua" w:hAnsi="Book Antiqua"/>
          <w:sz w:val="22"/>
          <w:szCs w:val="22"/>
        </w:rPr>
        <w:t>, mediante oficio 7550-17 del 5 de mayo, de la Secretaría General de la Corte, se remite el acuerdo del Consejo Superior, sesión 15-17 del 31 de mayo, donde se dispuso:</w:t>
      </w:r>
      <w:r w:rsidRPr="00055D4B">
        <w:rPr>
          <w:rFonts w:ascii="Book Antiqua" w:hAnsi="Book Antiqua"/>
          <w:color w:val="000000"/>
          <w:sz w:val="22"/>
          <w:szCs w:val="22"/>
        </w:rPr>
        <w:t xml:space="preserve"> </w:t>
      </w:r>
    </w:p>
    <w:p w14:paraId="6B2DEE93" w14:textId="77777777" w:rsidR="001341EC" w:rsidRPr="00055D4B" w:rsidRDefault="001341EC" w:rsidP="001341EC">
      <w:pPr>
        <w:jc w:val="both"/>
        <w:rPr>
          <w:rFonts w:ascii="Book Antiqua" w:hAnsi="Book Antiqua"/>
          <w:color w:val="000000"/>
          <w:sz w:val="22"/>
          <w:szCs w:val="22"/>
        </w:rPr>
      </w:pPr>
    </w:p>
    <w:p w14:paraId="5C266A0C" w14:textId="77777777" w:rsidR="001341EC" w:rsidRPr="00055D4B" w:rsidRDefault="001341EC" w:rsidP="001341EC">
      <w:pPr>
        <w:jc w:val="both"/>
        <w:rPr>
          <w:rFonts w:ascii="Book Antiqua" w:hAnsi="Book Antiqua"/>
          <w:i/>
          <w:color w:val="000000"/>
          <w:sz w:val="22"/>
          <w:szCs w:val="22"/>
        </w:rPr>
      </w:pPr>
      <w:r w:rsidRPr="00055D4B">
        <w:rPr>
          <w:rFonts w:ascii="Book Antiqua" w:hAnsi="Book Antiqua"/>
          <w:i/>
          <w:color w:val="000000"/>
          <w:sz w:val="22"/>
          <w:szCs w:val="22"/>
        </w:rPr>
        <w:lastRenderedPageBreak/>
        <w:t xml:space="preserve">“Acoger la solicitud de la Magistrada Escoto, en consecuencia, otorgar a la Jurisdicción Agraria el recurso de </w:t>
      </w:r>
      <w:r w:rsidRPr="00055D4B">
        <w:rPr>
          <w:rFonts w:ascii="Book Antiqua" w:hAnsi="Book Antiqua"/>
          <w:b/>
          <w:i/>
          <w:color w:val="000000"/>
          <w:sz w:val="22"/>
          <w:szCs w:val="22"/>
        </w:rPr>
        <w:t>7 plazas extraordinarias</w:t>
      </w:r>
      <w:r w:rsidRPr="00055D4B">
        <w:rPr>
          <w:rFonts w:ascii="Book Antiqua" w:hAnsi="Book Antiqua"/>
          <w:i/>
          <w:color w:val="000000"/>
          <w:sz w:val="22"/>
          <w:szCs w:val="22"/>
        </w:rPr>
        <w:t xml:space="preserve"> (la negrita no es del original) de Defensora o Defensor Público para garantizar al menos un profesional por cada Juzgado Agrario a nivel nacional (…)”</w:t>
      </w:r>
    </w:p>
    <w:p w14:paraId="48BF36E2" w14:textId="77777777" w:rsidR="001341EC" w:rsidRPr="00055D4B" w:rsidRDefault="001341EC" w:rsidP="001341EC">
      <w:pPr>
        <w:jc w:val="both"/>
        <w:rPr>
          <w:rFonts w:ascii="Book Antiqua" w:hAnsi="Book Antiqua"/>
          <w:sz w:val="22"/>
          <w:szCs w:val="22"/>
          <w:highlight w:val="yellow"/>
        </w:rPr>
      </w:pPr>
    </w:p>
    <w:p w14:paraId="6AA964D9" w14:textId="77777777" w:rsidR="001341EC" w:rsidRPr="00055D4B" w:rsidRDefault="001341EC" w:rsidP="001341EC">
      <w:pPr>
        <w:jc w:val="both"/>
        <w:rPr>
          <w:rFonts w:ascii="Book Antiqua" w:hAnsi="Book Antiqua"/>
          <w:color w:val="000000"/>
          <w:sz w:val="22"/>
          <w:szCs w:val="22"/>
        </w:rPr>
      </w:pPr>
      <w:r w:rsidRPr="00055D4B">
        <w:rPr>
          <w:rFonts w:ascii="Book Antiqua" w:hAnsi="Book Antiqua"/>
          <w:color w:val="000000"/>
          <w:sz w:val="22"/>
          <w:szCs w:val="22"/>
        </w:rPr>
        <w:t>Posteriormente, 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siete plazas extraordinarias de Defensor Público para la atención de materia Agraria, por todo el período 2018 en apoyo del plan de descongestionamiento del Tribunal Agrario, y se estima la continuidad de las plazas de defensores para el período 2019.</w:t>
      </w:r>
    </w:p>
    <w:p w14:paraId="7F8ED67C" w14:textId="77777777" w:rsidR="001341EC" w:rsidRPr="00055D4B" w:rsidRDefault="001341EC" w:rsidP="001341EC">
      <w:pPr>
        <w:jc w:val="both"/>
        <w:rPr>
          <w:rFonts w:ascii="Book Antiqua" w:hAnsi="Book Antiqua"/>
          <w:sz w:val="22"/>
          <w:szCs w:val="22"/>
          <w:highlight w:val="yellow"/>
        </w:rPr>
      </w:pPr>
    </w:p>
    <w:p w14:paraId="25C74457"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Por último, mediante oficio JEFDP-63-2019 del 5 de febrero, remite al Consejo Superior del Poder Judicial, lo dispuesto por esa Dirección, que de forma textual señala: </w:t>
      </w:r>
    </w:p>
    <w:p w14:paraId="689589A8" w14:textId="77777777" w:rsidR="001341EC" w:rsidRPr="00055D4B" w:rsidRDefault="001341EC" w:rsidP="001341EC">
      <w:pPr>
        <w:jc w:val="both"/>
        <w:rPr>
          <w:rFonts w:ascii="Book Antiqua" w:hAnsi="Book Antiqua"/>
          <w:sz w:val="22"/>
          <w:szCs w:val="22"/>
        </w:rPr>
      </w:pPr>
    </w:p>
    <w:p w14:paraId="4BCED9E2" w14:textId="77777777" w:rsidR="001341EC" w:rsidRPr="00055D4B" w:rsidRDefault="001341EC" w:rsidP="001341EC">
      <w:pPr>
        <w:jc w:val="both"/>
        <w:rPr>
          <w:rFonts w:ascii="Book Antiqua" w:hAnsi="Book Antiqua"/>
          <w:i/>
          <w:sz w:val="22"/>
          <w:szCs w:val="22"/>
        </w:rPr>
      </w:pPr>
      <w:r w:rsidRPr="00055D4B">
        <w:rPr>
          <w:rFonts w:ascii="Book Antiqua" w:hAnsi="Book Antiqua"/>
          <w:i/>
          <w:sz w:val="22"/>
          <w:szCs w:val="22"/>
        </w:rPr>
        <w:t>“(…) los defensores públicos de materia agraria, quienes como parte de su labor profesional ya han tramitado caso de población indígena y que como parte de su  formación académica en una mayoría de casos ya han sido capacitados en materia indígena por estudios universitarios de especialidad, asuman la representación de la población indígena en materia contenciosa administrativa,  lo cual, ante la carencia de recursos que enfrenta la institución, se solicita sea avalado por este Consejo Superior en su condición de superior administrativo (…)”</w:t>
      </w:r>
    </w:p>
    <w:p w14:paraId="59898380" w14:textId="77777777" w:rsidR="001341EC" w:rsidRPr="00055D4B" w:rsidRDefault="001341EC" w:rsidP="001341EC">
      <w:pPr>
        <w:jc w:val="both"/>
        <w:rPr>
          <w:rFonts w:ascii="Book Antiqua" w:hAnsi="Book Antiqua"/>
          <w:sz w:val="22"/>
          <w:szCs w:val="22"/>
        </w:rPr>
      </w:pPr>
    </w:p>
    <w:p w14:paraId="0B869B85" w14:textId="77777777" w:rsidR="001341EC" w:rsidRPr="000D3830" w:rsidRDefault="001341EC" w:rsidP="001341EC">
      <w:pPr>
        <w:pStyle w:val="Ttulo2"/>
        <w:keepLines/>
        <w:numPr>
          <w:ilvl w:val="1"/>
          <w:numId w:val="42"/>
        </w:numPr>
        <w:spacing w:before="40" w:after="0"/>
        <w:rPr>
          <w:rFonts w:ascii="Book Antiqua" w:hAnsi="Book Antiqua"/>
          <w:i w:val="0"/>
          <w:sz w:val="22"/>
          <w:szCs w:val="22"/>
        </w:rPr>
      </w:pPr>
      <w:r>
        <w:rPr>
          <w:rFonts w:ascii="Book Antiqua" w:hAnsi="Book Antiqua"/>
          <w:i w:val="0"/>
          <w:sz w:val="22"/>
          <w:szCs w:val="22"/>
        </w:rPr>
        <w:t xml:space="preserve"> Atención a personas indígenas</w:t>
      </w:r>
    </w:p>
    <w:p w14:paraId="460904DF" w14:textId="77777777" w:rsidR="001341EC" w:rsidRPr="00055D4B" w:rsidRDefault="001341EC" w:rsidP="001341EC">
      <w:pPr>
        <w:jc w:val="both"/>
        <w:rPr>
          <w:rFonts w:ascii="Book Antiqua" w:hAnsi="Book Antiqua"/>
          <w:b/>
          <w:sz w:val="22"/>
          <w:szCs w:val="22"/>
        </w:rPr>
      </w:pPr>
    </w:p>
    <w:p w14:paraId="630CCAC2"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El Código Procesal Agrario incorpora normas referidas a procesos vinculados con personas indígenas para procurarles una tutela judicial efectiva, según se constató en varios artículos que se mencionan a continuación:</w:t>
      </w:r>
    </w:p>
    <w:p w14:paraId="7CCB55F4" w14:textId="77777777" w:rsidR="001341EC" w:rsidRPr="00055D4B" w:rsidRDefault="001341EC" w:rsidP="001341EC">
      <w:pPr>
        <w:jc w:val="both"/>
        <w:rPr>
          <w:rFonts w:ascii="Book Antiqua" w:hAnsi="Book Antiqua"/>
          <w:sz w:val="22"/>
          <w:szCs w:val="22"/>
        </w:rPr>
      </w:pPr>
    </w:p>
    <w:p w14:paraId="1FAD7DE9" w14:textId="77777777" w:rsidR="001341EC" w:rsidRPr="00055D4B" w:rsidRDefault="001341EC" w:rsidP="001341EC">
      <w:pPr>
        <w:numPr>
          <w:ilvl w:val="0"/>
          <w:numId w:val="20"/>
        </w:numPr>
        <w:jc w:val="both"/>
        <w:rPr>
          <w:rFonts w:ascii="Book Antiqua" w:hAnsi="Book Antiqua"/>
          <w:sz w:val="22"/>
          <w:szCs w:val="22"/>
        </w:rPr>
      </w:pPr>
      <w:r w:rsidRPr="00055D4B">
        <w:rPr>
          <w:rFonts w:ascii="Book Antiqua" w:hAnsi="Book Antiqua"/>
          <w:sz w:val="22"/>
          <w:szCs w:val="22"/>
        </w:rPr>
        <w:t>El deber de considerar el derecho indígena, los dictámenes periciales culturales y sus formas de solución de conflictos, al momento de aplicar la normativa procesal (artículo 221);</w:t>
      </w:r>
    </w:p>
    <w:p w14:paraId="5DC40851" w14:textId="77777777" w:rsidR="001341EC" w:rsidRPr="00055D4B" w:rsidRDefault="001341EC" w:rsidP="001341EC">
      <w:pPr>
        <w:numPr>
          <w:ilvl w:val="0"/>
          <w:numId w:val="20"/>
        </w:numPr>
        <w:jc w:val="both"/>
        <w:rPr>
          <w:rFonts w:ascii="Book Antiqua" w:hAnsi="Book Antiqua"/>
          <w:sz w:val="22"/>
          <w:szCs w:val="22"/>
        </w:rPr>
      </w:pPr>
      <w:r w:rsidRPr="00055D4B">
        <w:rPr>
          <w:rFonts w:ascii="Book Antiqua" w:hAnsi="Book Antiqua"/>
          <w:sz w:val="22"/>
          <w:szCs w:val="22"/>
        </w:rPr>
        <w:t>La traducción de resoluciones y actuaciones a su idioma, así como el nombramiento de intérpretes con cargo al Poder Judicial (artículos 59 y 126);</w:t>
      </w:r>
    </w:p>
    <w:p w14:paraId="447FFFDD" w14:textId="77777777" w:rsidR="001341EC" w:rsidRPr="00055D4B" w:rsidRDefault="001341EC" w:rsidP="001341EC">
      <w:pPr>
        <w:numPr>
          <w:ilvl w:val="0"/>
          <w:numId w:val="20"/>
        </w:numPr>
        <w:jc w:val="both"/>
        <w:rPr>
          <w:rFonts w:ascii="Book Antiqua" w:hAnsi="Book Antiqua"/>
          <w:sz w:val="22"/>
          <w:szCs w:val="22"/>
        </w:rPr>
      </w:pPr>
      <w:r w:rsidRPr="00055D4B">
        <w:rPr>
          <w:rFonts w:ascii="Book Antiqua" w:hAnsi="Book Antiqua"/>
          <w:sz w:val="22"/>
          <w:szCs w:val="22"/>
        </w:rPr>
        <w:t>La colaboración por parte del Poder Judicial o de las entidades públicas competentes, para cubrir los gastos derivados de la prueba en custodia (artículo 163).</w:t>
      </w:r>
    </w:p>
    <w:p w14:paraId="7D87A576" w14:textId="77777777" w:rsidR="001341EC" w:rsidRPr="00055D4B" w:rsidRDefault="001341EC" w:rsidP="001341EC">
      <w:pPr>
        <w:numPr>
          <w:ilvl w:val="0"/>
          <w:numId w:val="20"/>
        </w:numPr>
        <w:jc w:val="both"/>
        <w:rPr>
          <w:rFonts w:ascii="Book Antiqua" w:hAnsi="Book Antiqua"/>
          <w:sz w:val="22"/>
          <w:szCs w:val="22"/>
        </w:rPr>
      </w:pPr>
      <w:r w:rsidRPr="00055D4B">
        <w:rPr>
          <w:rFonts w:ascii="Book Antiqua" w:hAnsi="Book Antiqua"/>
          <w:sz w:val="22"/>
          <w:szCs w:val="22"/>
        </w:rPr>
        <w:t>La puesta en práctica de los modelos alternativos para la solución de conflictos, conforme al derecho indígena, así como la especialización en derecho indígena de la defensa técnica legal gratuita (artículo 221); y</w:t>
      </w:r>
    </w:p>
    <w:p w14:paraId="57E39A73" w14:textId="77777777" w:rsidR="001341EC" w:rsidRPr="00055D4B" w:rsidRDefault="001341EC" w:rsidP="001341EC">
      <w:pPr>
        <w:numPr>
          <w:ilvl w:val="0"/>
          <w:numId w:val="20"/>
        </w:numPr>
        <w:jc w:val="both"/>
        <w:rPr>
          <w:rFonts w:ascii="Book Antiqua" w:hAnsi="Book Antiqua"/>
          <w:sz w:val="22"/>
          <w:szCs w:val="22"/>
        </w:rPr>
      </w:pPr>
      <w:r w:rsidRPr="00055D4B">
        <w:rPr>
          <w:rFonts w:ascii="Book Antiqua" w:hAnsi="Book Antiqua"/>
          <w:sz w:val="22"/>
          <w:szCs w:val="22"/>
        </w:rPr>
        <w:t>La improcedencia de la ejecución provisional en los contratos y en bienes ubicados en territorios indígenas o pertenecientes a sus comunidades (artículo 299).</w:t>
      </w:r>
    </w:p>
    <w:p w14:paraId="51A90DE9" w14:textId="77777777" w:rsidR="001341EC" w:rsidRPr="00055D4B" w:rsidRDefault="001341EC" w:rsidP="001341EC">
      <w:pPr>
        <w:numPr>
          <w:ilvl w:val="0"/>
          <w:numId w:val="20"/>
        </w:numPr>
        <w:jc w:val="both"/>
        <w:rPr>
          <w:rFonts w:ascii="Book Antiqua" w:hAnsi="Book Antiqua"/>
          <w:sz w:val="22"/>
          <w:szCs w:val="22"/>
        </w:rPr>
      </w:pPr>
      <w:r w:rsidRPr="00055D4B">
        <w:rPr>
          <w:rFonts w:ascii="Book Antiqua" w:hAnsi="Book Antiqua"/>
          <w:sz w:val="22"/>
          <w:szCs w:val="22"/>
        </w:rPr>
        <w:t xml:space="preserve">Se le nombrará una persona intérprete, cuyo costo estará a cargo de quien lo requiera, salvo que se trate de una declaración de parte o testimonial. Si se trata de personas indígenas o patrocinadas por la defensa pública, la persona intérprete </w:t>
      </w:r>
      <w:r w:rsidRPr="00055D4B">
        <w:rPr>
          <w:rFonts w:ascii="Book Antiqua" w:hAnsi="Book Antiqua"/>
          <w:sz w:val="22"/>
          <w:szCs w:val="22"/>
        </w:rPr>
        <w:lastRenderedPageBreak/>
        <w:t>deberá ser suplida a cargo del Poder Judicial. Lo será también cuando se brinde permanentemente el servicio de traducción en el idioma correspondiente, en el circuito judicial al que pertenece el tribunal. (artículo 59)</w:t>
      </w:r>
    </w:p>
    <w:p w14:paraId="5D877F35" w14:textId="77777777" w:rsidR="001341EC" w:rsidRPr="00055D4B" w:rsidRDefault="001341EC" w:rsidP="001341EC">
      <w:pPr>
        <w:jc w:val="both"/>
        <w:rPr>
          <w:rFonts w:ascii="Book Antiqua" w:hAnsi="Book Antiqua"/>
          <w:bCs/>
          <w:sz w:val="22"/>
          <w:szCs w:val="22"/>
        </w:rPr>
      </w:pPr>
    </w:p>
    <w:p w14:paraId="3227ECBF" w14:textId="77777777" w:rsidR="001341EC" w:rsidRPr="00055D4B" w:rsidRDefault="001341EC" w:rsidP="001341EC">
      <w:pPr>
        <w:jc w:val="both"/>
        <w:rPr>
          <w:rFonts w:ascii="Book Antiqua" w:hAnsi="Book Antiqua"/>
          <w:bCs/>
          <w:sz w:val="22"/>
          <w:szCs w:val="22"/>
        </w:rPr>
      </w:pPr>
      <w:r w:rsidRPr="00055D4B">
        <w:rPr>
          <w:rFonts w:ascii="Book Antiqua" w:hAnsi="Book Antiqua"/>
          <w:bCs/>
          <w:sz w:val="22"/>
          <w:szCs w:val="22"/>
        </w:rPr>
        <w:t>En la actualidad el Poder Judicial viene asumiendo los costos en los casos en que forme parte una persona indígena en materia agraria.</w:t>
      </w:r>
    </w:p>
    <w:p w14:paraId="40B222B8" w14:textId="77777777" w:rsidR="001341EC" w:rsidRPr="00055D4B" w:rsidRDefault="001341EC" w:rsidP="001341EC">
      <w:pPr>
        <w:jc w:val="both"/>
        <w:rPr>
          <w:rFonts w:ascii="Book Antiqua" w:hAnsi="Book Antiqua"/>
          <w:bCs/>
          <w:sz w:val="22"/>
          <w:szCs w:val="22"/>
        </w:rPr>
      </w:pPr>
      <w:r w:rsidRPr="00055D4B">
        <w:rPr>
          <w:rFonts w:ascii="Book Antiqua" w:hAnsi="Book Antiqua"/>
          <w:bCs/>
          <w:sz w:val="22"/>
          <w:szCs w:val="22"/>
        </w:rPr>
        <w:t xml:space="preserve"> </w:t>
      </w:r>
    </w:p>
    <w:p w14:paraId="0CEAC3B0" w14:textId="77777777" w:rsidR="001341EC" w:rsidRPr="000D3830" w:rsidRDefault="001341EC" w:rsidP="001341EC">
      <w:pPr>
        <w:pStyle w:val="Ttulo2"/>
        <w:keepLines/>
        <w:numPr>
          <w:ilvl w:val="1"/>
          <w:numId w:val="42"/>
        </w:numPr>
        <w:spacing w:before="40" w:after="0"/>
        <w:rPr>
          <w:rFonts w:ascii="Book Antiqua" w:hAnsi="Book Antiqua"/>
          <w:i w:val="0"/>
          <w:sz w:val="22"/>
          <w:szCs w:val="22"/>
        </w:rPr>
      </w:pPr>
      <w:r w:rsidRPr="000D3830">
        <w:rPr>
          <w:rFonts w:ascii="Book Antiqua" w:hAnsi="Book Antiqua"/>
          <w:i w:val="0"/>
          <w:sz w:val="22"/>
          <w:szCs w:val="22"/>
        </w:rPr>
        <w:t>Oral</w:t>
      </w:r>
      <w:r>
        <w:rPr>
          <w:rFonts w:ascii="Book Antiqua" w:hAnsi="Book Antiqua"/>
          <w:i w:val="0"/>
          <w:sz w:val="22"/>
          <w:szCs w:val="22"/>
        </w:rPr>
        <w:t>idad y tramitación electrónica</w:t>
      </w:r>
    </w:p>
    <w:p w14:paraId="2561FE6C" w14:textId="77777777" w:rsidR="001341EC" w:rsidRPr="00055D4B" w:rsidRDefault="001341EC" w:rsidP="001341EC">
      <w:pPr>
        <w:jc w:val="both"/>
        <w:rPr>
          <w:rFonts w:ascii="Book Antiqua" w:hAnsi="Book Antiqua"/>
          <w:sz w:val="22"/>
          <w:szCs w:val="22"/>
        </w:rPr>
      </w:pPr>
    </w:p>
    <w:p w14:paraId="3B6A33A6"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El Código Procesal Agrario introduce varias disposiciones relacionadas con la oralidad y la tramitación electrónica de los procesos agrarios, entre ellos lo indicado en el artículo 170 sobre la concentración de actos en audiencias orales; además el artículo 179 establece que cada Tribunal tendrá un registro de control de audiencias, lo que implicará para los Juzgados Agrarios llevar un orden en cuanto a las audiencias realizadas. De igual forma el artículo 180 se refiere al deber de registrar las audiencias en soportes aptos para la grabación y la reproducción de audio y video, o al menos en audio.</w:t>
      </w:r>
    </w:p>
    <w:p w14:paraId="744C4CE8" w14:textId="77777777" w:rsidR="001341EC" w:rsidRPr="00055D4B" w:rsidRDefault="001341EC" w:rsidP="001341EC">
      <w:pPr>
        <w:tabs>
          <w:tab w:val="left" w:pos="7009"/>
        </w:tabs>
        <w:jc w:val="both"/>
        <w:rPr>
          <w:rFonts w:ascii="Book Antiqua" w:hAnsi="Book Antiqua"/>
          <w:sz w:val="22"/>
          <w:szCs w:val="22"/>
        </w:rPr>
      </w:pPr>
      <w:r w:rsidRPr="00055D4B">
        <w:rPr>
          <w:rFonts w:ascii="Book Antiqua" w:hAnsi="Book Antiqua"/>
          <w:sz w:val="22"/>
          <w:szCs w:val="22"/>
        </w:rPr>
        <w:tab/>
      </w:r>
    </w:p>
    <w:p w14:paraId="2E2F45CF"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Además, el artículo 60 menciona lo relacionado a la formación del expediente electrónico, así como su consulta y conservación por esos medios.</w:t>
      </w:r>
    </w:p>
    <w:p w14:paraId="6695F4D5" w14:textId="77777777" w:rsidR="001341EC" w:rsidRPr="00055D4B" w:rsidRDefault="001341EC" w:rsidP="001341EC">
      <w:pPr>
        <w:jc w:val="both"/>
        <w:rPr>
          <w:rFonts w:ascii="Book Antiqua" w:hAnsi="Book Antiqua"/>
          <w:sz w:val="22"/>
          <w:szCs w:val="22"/>
        </w:rPr>
      </w:pPr>
    </w:p>
    <w:p w14:paraId="21DE7908"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Debido a que las audiencias se realizan fuera del despacho, será necesario que las Juezas y los Jueces Agrarios, dispongan de equipos de cómputo y sistemas de grabación móviles para trasladarlos al lugar del conflicto, de conformidad con el principio de itinerancia que rige esta materia. Estos equipos deben tener la capacidad de discernir o aislar el sonido ambiente, así como soportar extremos climáticos como sol, polvo, humedad, entre otros. Estos equipos tienen un costo aproximado $3.250 dólares, traducido al tipo de cambio (</w:t>
      </w:r>
      <w:r w:rsidRPr="00055D4B">
        <w:rPr>
          <w:sz w:val="22"/>
          <w:szCs w:val="22"/>
        </w:rPr>
        <w:t>₡</w:t>
      </w:r>
      <w:r w:rsidRPr="00055D4B">
        <w:rPr>
          <w:rFonts w:ascii="Book Antiqua" w:hAnsi="Book Antiqua"/>
          <w:sz w:val="22"/>
          <w:szCs w:val="22"/>
        </w:rPr>
        <w:t xml:space="preserve">643,47 colones), según oficio 2526-DTI-2018 del Directora Tecnología de la Información y Comunicaciones del Poder Judicial, lo cual se espera equipar a las 34 personas juzgadoras de los Juzgados que atienden la materia Agraria. Asimismo, los traslados a las fincas requieren la disponibilidad de vehículos institucionales, siendo que este servicio lo brindan las Administraciones Regionales una o dos veces por semana, aspecto que limita la atención oportuna de las audiencias señaladas en agenda. </w:t>
      </w:r>
      <w:r w:rsidRPr="00055D4B">
        <w:rPr>
          <w:rFonts w:ascii="Book Antiqua" w:hAnsi="Book Antiqua"/>
          <w:b/>
          <w:i/>
          <w:sz w:val="22"/>
          <w:szCs w:val="22"/>
        </w:rPr>
        <w:t>(ver anexo 2 Oficio de Presupuesto Informe 2526-DTI-2018)</w:t>
      </w:r>
    </w:p>
    <w:p w14:paraId="6ED5DFBA" w14:textId="77777777" w:rsidR="001341EC" w:rsidRPr="00055D4B" w:rsidRDefault="001341EC" w:rsidP="001341EC">
      <w:pPr>
        <w:jc w:val="both"/>
        <w:rPr>
          <w:rFonts w:ascii="Book Antiqua" w:hAnsi="Book Antiqua"/>
          <w:sz w:val="22"/>
          <w:szCs w:val="22"/>
        </w:rPr>
      </w:pPr>
    </w:p>
    <w:p w14:paraId="1DF4C8C6"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Es dable indicar que estos aspectos vienen siendo interiorizados por los Juzgados Agrarios del país, en la medida de sus posibilidades, de acuerdo con los recursos institucionales asignados para ejercer sus labores.</w:t>
      </w:r>
    </w:p>
    <w:p w14:paraId="52C7247A" w14:textId="77777777" w:rsidR="001341EC" w:rsidRPr="00055D4B" w:rsidRDefault="001341EC" w:rsidP="001341EC">
      <w:pPr>
        <w:jc w:val="both"/>
        <w:rPr>
          <w:rFonts w:ascii="Book Antiqua" w:hAnsi="Book Antiqua"/>
          <w:sz w:val="22"/>
          <w:szCs w:val="22"/>
        </w:rPr>
      </w:pPr>
    </w:p>
    <w:p w14:paraId="3CCF4046"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Es importante indicar que los Juzgados Agrarios y el Tribunal Agrario ya funcionan de manera electrónica, pues a julio de 2017 se produjo el cierre de la brecha digital gracias a la colaboración de las Direcciones de Tecnología de la Información, Planificación y Ejecutiva. De ahí, que los procesos se tramitan, mediante el sistema de Escritorio Virtual. Por ello, no requiere costos adicionales para la implantación electrónica.</w:t>
      </w:r>
    </w:p>
    <w:p w14:paraId="75E1A31B" w14:textId="77777777" w:rsidR="001341EC" w:rsidRPr="00055D4B" w:rsidRDefault="001341EC" w:rsidP="001341EC">
      <w:pPr>
        <w:jc w:val="both"/>
        <w:rPr>
          <w:rFonts w:ascii="Book Antiqua" w:hAnsi="Book Antiqua"/>
          <w:sz w:val="22"/>
          <w:szCs w:val="22"/>
        </w:rPr>
      </w:pPr>
    </w:p>
    <w:p w14:paraId="6C3B2F4D" w14:textId="77777777" w:rsidR="001341EC" w:rsidRPr="000D3830" w:rsidRDefault="001341EC" w:rsidP="001341EC">
      <w:pPr>
        <w:pStyle w:val="Ttulo2"/>
        <w:keepLines/>
        <w:numPr>
          <w:ilvl w:val="1"/>
          <w:numId w:val="42"/>
        </w:numPr>
        <w:spacing w:before="40" w:after="0"/>
        <w:rPr>
          <w:rFonts w:ascii="Book Antiqua" w:hAnsi="Book Antiqua"/>
          <w:i w:val="0"/>
          <w:sz w:val="22"/>
          <w:szCs w:val="22"/>
        </w:rPr>
      </w:pPr>
      <w:r>
        <w:rPr>
          <w:rFonts w:ascii="Book Antiqua" w:hAnsi="Book Antiqua"/>
          <w:i w:val="0"/>
          <w:sz w:val="22"/>
          <w:szCs w:val="22"/>
        </w:rPr>
        <w:lastRenderedPageBreak/>
        <w:t>Fuentes de financiamiento</w:t>
      </w:r>
    </w:p>
    <w:p w14:paraId="35929DC6" w14:textId="77777777" w:rsidR="001341EC" w:rsidRPr="00055D4B" w:rsidRDefault="001341EC" w:rsidP="001341EC">
      <w:pPr>
        <w:rPr>
          <w:rFonts w:ascii="Book Antiqua" w:hAnsi="Book Antiqua"/>
          <w:sz w:val="22"/>
          <w:szCs w:val="22"/>
        </w:rPr>
      </w:pPr>
    </w:p>
    <w:p w14:paraId="54BB980F" w14:textId="77777777" w:rsidR="001341EC" w:rsidRPr="00055D4B" w:rsidRDefault="001341EC" w:rsidP="001341EC">
      <w:pPr>
        <w:rPr>
          <w:rFonts w:ascii="Book Antiqua" w:hAnsi="Book Antiqua"/>
          <w:sz w:val="22"/>
          <w:szCs w:val="22"/>
          <w:lang w:eastAsia="en-US"/>
        </w:rPr>
      </w:pPr>
      <w:r w:rsidRPr="00055D4B">
        <w:rPr>
          <w:rFonts w:ascii="Book Antiqua" w:hAnsi="Book Antiqua"/>
          <w:sz w:val="22"/>
          <w:szCs w:val="22"/>
        </w:rPr>
        <w:t>El Código Procesal Agrario, plantea dos opciones de financiamiento, como se detallan a continuación:</w:t>
      </w:r>
    </w:p>
    <w:p w14:paraId="3BC55D34" w14:textId="77777777" w:rsidR="001341EC" w:rsidRPr="00055D4B" w:rsidRDefault="001341EC" w:rsidP="001341EC">
      <w:pPr>
        <w:rPr>
          <w:rFonts w:ascii="Book Antiqua" w:hAnsi="Book Antiqua"/>
          <w:sz w:val="22"/>
          <w:szCs w:val="22"/>
        </w:rPr>
      </w:pPr>
    </w:p>
    <w:p w14:paraId="1D9560FF" w14:textId="77777777" w:rsidR="001341EC" w:rsidRDefault="001341EC" w:rsidP="001341EC">
      <w:pPr>
        <w:numPr>
          <w:ilvl w:val="0"/>
          <w:numId w:val="21"/>
        </w:numPr>
        <w:jc w:val="both"/>
        <w:rPr>
          <w:rFonts w:ascii="Book Antiqua" w:hAnsi="Book Antiqua"/>
          <w:sz w:val="22"/>
          <w:szCs w:val="22"/>
        </w:rPr>
      </w:pPr>
      <w:r w:rsidRPr="00055D4B">
        <w:rPr>
          <w:rFonts w:ascii="Book Antiqua" w:hAnsi="Book Antiqua"/>
          <w:sz w:val="22"/>
          <w:szCs w:val="22"/>
        </w:rPr>
        <w:t>Los montos de las multas impuestas a las personas usuarias por su no asistencia de manera injustificada a las audiencias de prueba se impondrá una multa del 50% de un salario base, establecido según el artículo 2 de la Ley  7337, de 5 de mayo de 1993; pasan a formar un fondo de financiamiento de la Jurisdicción Agraria. (artículo 72)</w:t>
      </w:r>
    </w:p>
    <w:p w14:paraId="06B6C698" w14:textId="77777777" w:rsidR="001341EC" w:rsidRPr="00055D4B" w:rsidRDefault="001341EC" w:rsidP="001341EC">
      <w:pPr>
        <w:ind w:left="720"/>
        <w:jc w:val="both"/>
        <w:rPr>
          <w:rFonts w:ascii="Book Antiqua" w:hAnsi="Book Antiqua"/>
          <w:sz w:val="22"/>
          <w:szCs w:val="22"/>
        </w:rPr>
      </w:pPr>
    </w:p>
    <w:p w14:paraId="2CED7249" w14:textId="77777777" w:rsidR="001341EC" w:rsidRPr="00055D4B" w:rsidRDefault="001341EC" w:rsidP="001341EC">
      <w:pPr>
        <w:numPr>
          <w:ilvl w:val="0"/>
          <w:numId w:val="21"/>
        </w:numPr>
        <w:jc w:val="both"/>
        <w:rPr>
          <w:rFonts w:ascii="Book Antiqua" w:hAnsi="Book Antiqua"/>
          <w:sz w:val="22"/>
          <w:szCs w:val="22"/>
        </w:rPr>
      </w:pPr>
      <w:r w:rsidRPr="00055D4B">
        <w:rPr>
          <w:rFonts w:ascii="Book Antiqua" w:hAnsi="Book Antiqua"/>
          <w:sz w:val="22"/>
          <w:szCs w:val="22"/>
        </w:rPr>
        <w:t>Las sumas provenientes de las costas personales que deben cancelarse a las personas usuarias que han sido defendidas por defensores públicos agrarios, montos que se asignarán un 50% a fortalecer la Defensa Pública Agraria y otro 50% a la Jurisdicción Agraria. (artículo 47)</w:t>
      </w:r>
    </w:p>
    <w:p w14:paraId="2C4635C9" w14:textId="77777777" w:rsidR="001341EC" w:rsidRPr="00055D4B" w:rsidRDefault="001341EC" w:rsidP="001341EC">
      <w:pPr>
        <w:jc w:val="both"/>
        <w:rPr>
          <w:rFonts w:ascii="Book Antiqua" w:eastAsia="Calibri" w:hAnsi="Book Antiqua"/>
          <w:sz w:val="22"/>
          <w:szCs w:val="22"/>
        </w:rPr>
      </w:pPr>
    </w:p>
    <w:p w14:paraId="1C8A1CA4"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79797107" w14:textId="77777777" w:rsidR="001341EC" w:rsidRPr="00055D4B" w:rsidRDefault="001341EC" w:rsidP="001341EC">
      <w:pPr>
        <w:jc w:val="both"/>
        <w:rPr>
          <w:rFonts w:ascii="Book Antiqua" w:hAnsi="Book Antiqua"/>
          <w:sz w:val="22"/>
          <w:szCs w:val="22"/>
        </w:rPr>
      </w:pPr>
    </w:p>
    <w:p w14:paraId="42F21540"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En el caso los recursos que ingresan a la Defensa, es necesario contar con un recurso para hacer frente a la administración del fondo en la Defensa Pública.  Sin embargo, considera la Dirección de Planificación que los asuntos que ingresan a esta materia son pocos por lo que se podría valorar a lo interno de la Defensa Pública atender las labores con el recurso ordinario. </w:t>
      </w:r>
    </w:p>
    <w:p w14:paraId="5C260DE4" w14:textId="77777777" w:rsidR="001341EC" w:rsidRPr="00055D4B" w:rsidRDefault="001341EC" w:rsidP="001341EC">
      <w:pPr>
        <w:jc w:val="both"/>
        <w:rPr>
          <w:rFonts w:ascii="Book Antiqua" w:hAnsi="Book Antiqua"/>
          <w:sz w:val="22"/>
          <w:szCs w:val="22"/>
        </w:rPr>
      </w:pPr>
    </w:p>
    <w:p w14:paraId="3AEFD545"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Por lo anterior, según políticas internas es necesaria la creación de reglamentos para la administración de los fondos que ingresaran tanto a la Defensa Pública como a la Jurisdicción Agraria. </w:t>
      </w:r>
    </w:p>
    <w:p w14:paraId="1DD5920F" w14:textId="77777777" w:rsidR="001341EC" w:rsidRPr="00055D4B" w:rsidRDefault="001341EC" w:rsidP="001341EC">
      <w:pPr>
        <w:jc w:val="both"/>
        <w:rPr>
          <w:rFonts w:ascii="Book Antiqua" w:hAnsi="Book Antiqua"/>
          <w:sz w:val="22"/>
          <w:szCs w:val="22"/>
        </w:rPr>
      </w:pPr>
    </w:p>
    <w:p w14:paraId="255102B2" w14:textId="77777777" w:rsidR="001341EC" w:rsidRPr="00055D4B" w:rsidRDefault="001341EC" w:rsidP="001341EC">
      <w:pPr>
        <w:jc w:val="both"/>
        <w:rPr>
          <w:rFonts w:ascii="Book Antiqua" w:hAnsi="Book Antiqua"/>
          <w:sz w:val="22"/>
          <w:szCs w:val="22"/>
        </w:rPr>
      </w:pPr>
    </w:p>
    <w:p w14:paraId="2FE137D0" w14:textId="77777777" w:rsidR="001341EC" w:rsidRPr="00126FA8" w:rsidRDefault="001341EC" w:rsidP="001341EC">
      <w:pPr>
        <w:pStyle w:val="Ttulo2"/>
        <w:keepLines/>
        <w:numPr>
          <w:ilvl w:val="1"/>
          <w:numId w:val="42"/>
        </w:numPr>
        <w:spacing w:before="40" w:after="0"/>
        <w:rPr>
          <w:rFonts w:ascii="Book Antiqua" w:hAnsi="Book Antiqua"/>
          <w:i w:val="0"/>
          <w:sz w:val="22"/>
          <w:szCs w:val="24"/>
        </w:rPr>
      </w:pPr>
      <w:r w:rsidRPr="00126FA8">
        <w:rPr>
          <w:rFonts w:ascii="Book Antiqua" w:hAnsi="Book Antiqua"/>
          <w:i w:val="0"/>
          <w:sz w:val="22"/>
          <w:szCs w:val="24"/>
        </w:rPr>
        <w:t>Economía Procesal</w:t>
      </w:r>
    </w:p>
    <w:p w14:paraId="6E26F589" w14:textId="77777777" w:rsidR="001341EC" w:rsidRPr="00055D4B" w:rsidRDefault="001341EC" w:rsidP="001341EC">
      <w:pPr>
        <w:jc w:val="both"/>
        <w:rPr>
          <w:rFonts w:ascii="Book Antiqua" w:hAnsi="Book Antiqua"/>
          <w:sz w:val="22"/>
          <w:szCs w:val="22"/>
        </w:rPr>
      </w:pPr>
    </w:p>
    <w:p w14:paraId="67A673D7"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En el diagrama que se muestra a continuación se puede observar los pasos requeridos actualmente para la ejecución del proceso de atención de asuntos de la materia Agraria.</w:t>
      </w:r>
    </w:p>
    <w:p w14:paraId="77B6EEAC" w14:textId="77777777" w:rsidR="001341EC" w:rsidRPr="00055D4B" w:rsidRDefault="001341EC" w:rsidP="001341EC">
      <w:pPr>
        <w:jc w:val="both"/>
        <w:rPr>
          <w:rFonts w:ascii="Book Antiqua" w:hAnsi="Book Antiqua"/>
          <w:sz w:val="22"/>
          <w:szCs w:val="22"/>
        </w:rPr>
      </w:pPr>
    </w:p>
    <w:p w14:paraId="3FEF2815"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 xml:space="preserve">Figura </w:t>
      </w:r>
      <w:r w:rsidR="009A23D1" w:rsidRPr="00126FA8">
        <w:rPr>
          <w:rFonts w:ascii="Book Antiqua" w:hAnsi="Book Antiqua"/>
          <w:bCs w:val="0"/>
          <w:iCs/>
          <w:sz w:val="22"/>
          <w:szCs w:val="24"/>
          <w:lang w:val="es-CR"/>
        </w:rPr>
        <w:fldChar w:fldCharType="begin"/>
      </w:r>
      <w:r w:rsidRPr="00126FA8">
        <w:rPr>
          <w:rFonts w:ascii="Book Antiqua" w:hAnsi="Book Antiqua"/>
          <w:bCs w:val="0"/>
          <w:iCs/>
          <w:sz w:val="22"/>
          <w:szCs w:val="24"/>
          <w:lang w:val="es-CR"/>
        </w:rPr>
        <w:instrText xml:space="preserve"> SEQ Diagrama \* ARABIC </w:instrText>
      </w:r>
      <w:r w:rsidR="009A23D1" w:rsidRPr="00126FA8">
        <w:rPr>
          <w:rFonts w:ascii="Book Antiqua" w:hAnsi="Book Antiqua"/>
          <w:bCs w:val="0"/>
          <w:iCs/>
          <w:sz w:val="22"/>
          <w:szCs w:val="24"/>
          <w:lang w:val="es-CR"/>
        </w:rPr>
        <w:fldChar w:fldCharType="separate"/>
      </w:r>
      <w:r w:rsidRPr="00126FA8">
        <w:rPr>
          <w:rFonts w:ascii="Book Antiqua" w:hAnsi="Book Antiqua"/>
          <w:bCs w:val="0"/>
          <w:iCs/>
          <w:sz w:val="22"/>
          <w:szCs w:val="24"/>
          <w:lang w:val="es-CR"/>
        </w:rPr>
        <w:t>1</w:t>
      </w:r>
      <w:r w:rsidR="009A23D1" w:rsidRPr="00126FA8">
        <w:rPr>
          <w:rFonts w:ascii="Book Antiqua" w:hAnsi="Book Antiqua"/>
          <w:bCs w:val="0"/>
          <w:iCs/>
          <w:sz w:val="22"/>
          <w:szCs w:val="24"/>
          <w:lang w:val="es-CR"/>
        </w:rPr>
        <w:fldChar w:fldCharType="end"/>
      </w:r>
    </w:p>
    <w:p w14:paraId="54E1812C"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Flujograma del Proceso actual de tramitación de la materia Agraria</w:t>
      </w:r>
    </w:p>
    <w:p w14:paraId="6A256320" w14:textId="77777777" w:rsidR="001341EC" w:rsidRPr="00F53CB0" w:rsidRDefault="001341EC" w:rsidP="001341EC">
      <w:pPr>
        <w:jc w:val="center"/>
        <w:rPr>
          <w:rFonts w:ascii="Book Antiqua" w:hAnsi="Book Antiqua"/>
        </w:rPr>
      </w:pPr>
      <w:r>
        <w:rPr>
          <w:rFonts w:ascii="Book Antiqua" w:hAnsi="Book Antiqua"/>
          <w:noProof/>
          <w:lang w:val="es-ES"/>
        </w:rPr>
        <w:lastRenderedPageBreak/>
        <w:drawing>
          <wp:inline distT="0" distB="0" distL="0" distR="0" wp14:anchorId="596C244D" wp14:editId="24B99423">
            <wp:extent cx="4861560" cy="3375660"/>
            <wp:effectExtent l="19050" t="0" r="0" b="0"/>
            <wp:docPr id="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 cstate="print"/>
                    <a:srcRect/>
                    <a:stretch>
                      <a:fillRect/>
                    </a:stretch>
                  </pic:blipFill>
                  <pic:spPr bwMode="auto">
                    <a:xfrm>
                      <a:off x="0" y="0"/>
                      <a:ext cx="4861560" cy="3375660"/>
                    </a:xfrm>
                    <a:prstGeom prst="rect">
                      <a:avLst/>
                    </a:prstGeom>
                    <a:noFill/>
                    <a:ln w="9525">
                      <a:noFill/>
                      <a:miter lim="800000"/>
                      <a:headEnd/>
                      <a:tailEnd/>
                    </a:ln>
                  </pic:spPr>
                </pic:pic>
              </a:graphicData>
            </a:graphic>
          </wp:inline>
        </w:drawing>
      </w:r>
    </w:p>
    <w:p w14:paraId="3758C347" w14:textId="77777777" w:rsidR="001341EC" w:rsidRPr="00F53CB0" w:rsidRDefault="001341EC" w:rsidP="001341EC">
      <w:pPr>
        <w:ind w:left="567" w:right="616"/>
        <w:jc w:val="both"/>
        <w:rPr>
          <w:rFonts w:ascii="Book Antiqua" w:hAnsi="Book Antiqua"/>
          <w:b/>
          <w:i/>
          <w:sz w:val="18"/>
          <w:szCs w:val="18"/>
          <w:lang w:eastAsia="en-US"/>
        </w:rPr>
      </w:pPr>
      <w:r w:rsidRPr="00F53CB0">
        <w:rPr>
          <w:rFonts w:ascii="Book Antiqua" w:hAnsi="Book Antiqua"/>
          <w:b/>
          <w:i/>
          <w:sz w:val="18"/>
          <w:szCs w:val="18"/>
          <w:lang w:eastAsia="en-US"/>
        </w:rPr>
        <w:t xml:space="preserve">Fuente: Subproceso de Modernización Institucional. </w:t>
      </w:r>
    </w:p>
    <w:p w14:paraId="63484FE9" w14:textId="77777777" w:rsidR="001341EC" w:rsidRPr="00F53CB0" w:rsidRDefault="001341EC" w:rsidP="001341EC">
      <w:pPr>
        <w:jc w:val="both"/>
        <w:rPr>
          <w:rFonts w:ascii="Book Antiqua" w:hAnsi="Book Antiqua"/>
        </w:rPr>
      </w:pPr>
    </w:p>
    <w:p w14:paraId="682E84AB" w14:textId="77777777" w:rsidR="001341EC" w:rsidRPr="00055D4B" w:rsidRDefault="001341EC" w:rsidP="001341EC">
      <w:pPr>
        <w:jc w:val="both"/>
        <w:rPr>
          <w:rFonts w:ascii="Book Antiqua" w:hAnsi="Book Antiqua"/>
          <w:sz w:val="22"/>
        </w:rPr>
      </w:pPr>
      <w:r w:rsidRPr="00055D4B">
        <w:rPr>
          <w:rFonts w:ascii="Book Antiqua" w:hAnsi="Book Antiqua"/>
          <w:sz w:val="22"/>
        </w:rPr>
        <w:t>Con la implementación del Código Procesal Agrario surgen una serie de ajustes que vienen a reducir los tiempos de proceso y agilización de los trámites, a continuación, se detallan algunos de los principales cambios:</w:t>
      </w:r>
    </w:p>
    <w:p w14:paraId="5BA48AF5" w14:textId="77777777" w:rsidR="001341EC" w:rsidRPr="00055D4B" w:rsidRDefault="001341EC" w:rsidP="001341EC">
      <w:pPr>
        <w:jc w:val="both"/>
        <w:rPr>
          <w:rFonts w:ascii="Book Antiqua" w:hAnsi="Book Antiqua"/>
          <w:sz w:val="22"/>
        </w:rPr>
      </w:pPr>
    </w:p>
    <w:p w14:paraId="5273B5FD" w14:textId="77777777" w:rsidR="001341EC" w:rsidRPr="00055D4B" w:rsidRDefault="001341EC" w:rsidP="001341EC">
      <w:pPr>
        <w:pStyle w:val="Prrafodelista"/>
        <w:numPr>
          <w:ilvl w:val="0"/>
          <w:numId w:val="22"/>
        </w:numPr>
        <w:jc w:val="both"/>
        <w:rPr>
          <w:rFonts w:ascii="Book Antiqua" w:hAnsi="Book Antiqua"/>
          <w:sz w:val="22"/>
          <w:lang w:val="es-CR"/>
        </w:rPr>
      </w:pPr>
      <w:r w:rsidRPr="00055D4B">
        <w:rPr>
          <w:rFonts w:ascii="Book Antiqua" w:hAnsi="Book Antiqua"/>
          <w:sz w:val="22"/>
          <w:lang w:val="es-CR"/>
        </w:rPr>
        <w:t xml:space="preserve">La declaración de las incompetencias se podrá declarar de oficio en el Juzgado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3C1994B6" w14:textId="77777777" w:rsidR="001341EC" w:rsidRPr="00055D4B" w:rsidRDefault="001341EC" w:rsidP="001341EC">
      <w:pPr>
        <w:jc w:val="both"/>
        <w:rPr>
          <w:rFonts w:ascii="Book Antiqua" w:hAnsi="Book Antiqua"/>
          <w:sz w:val="22"/>
        </w:rPr>
      </w:pPr>
    </w:p>
    <w:p w14:paraId="3C6ACFE0" w14:textId="77777777" w:rsidR="001341EC" w:rsidRPr="00055D4B" w:rsidRDefault="001341EC" w:rsidP="001341EC">
      <w:pPr>
        <w:pStyle w:val="Prrafodelista"/>
        <w:numPr>
          <w:ilvl w:val="0"/>
          <w:numId w:val="22"/>
        </w:numPr>
        <w:jc w:val="both"/>
        <w:rPr>
          <w:rFonts w:ascii="Book Antiqua" w:hAnsi="Book Antiqua"/>
          <w:sz w:val="22"/>
          <w:lang w:val="es-CR"/>
        </w:rPr>
      </w:pPr>
      <w:r w:rsidRPr="00055D4B">
        <w:rPr>
          <w:rFonts w:ascii="Book Antiqua" w:hAnsi="Book Antiqua"/>
          <w:sz w:val="22"/>
          <w:lang w:val="es-CR"/>
        </w:rPr>
        <w:t>Otro aspecto importante que permite agilidad en el proceso, serán las audiencias previas que se deben realizar en el sitio (artículo 173 del CPA), esto va a permitir que en esa audiencia se concentren varias acciones (conciliaciones, medidas cautelares, defensas previas, incidentes, ampliaciones, entre otras) del proceso, permitiendo agilizar el proceso.</w:t>
      </w:r>
    </w:p>
    <w:p w14:paraId="68B5A255" w14:textId="77777777" w:rsidR="001341EC" w:rsidRPr="00055D4B" w:rsidRDefault="001341EC" w:rsidP="001341EC">
      <w:pPr>
        <w:pStyle w:val="Prrafodelista"/>
        <w:rPr>
          <w:rFonts w:ascii="Book Antiqua" w:hAnsi="Book Antiqua"/>
          <w:sz w:val="22"/>
          <w:lang w:val="es-CR"/>
        </w:rPr>
      </w:pPr>
    </w:p>
    <w:p w14:paraId="1B218E8B" w14:textId="77777777" w:rsidR="001341EC" w:rsidRPr="00055D4B" w:rsidRDefault="001341EC" w:rsidP="001341EC">
      <w:pPr>
        <w:jc w:val="both"/>
        <w:rPr>
          <w:rFonts w:ascii="Book Antiqua" w:hAnsi="Book Antiqua"/>
          <w:sz w:val="22"/>
        </w:rPr>
      </w:pPr>
    </w:p>
    <w:p w14:paraId="7166210B" w14:textId="77777777" w:rsidR="001341EC" w:rsidRPr="00055D4B" w:rsidRDefault="001341EC" w:rsidP="001341EC">
      <w:pPr>
        <w:pStyle w:val="Prrafodelista"/>
        <w:numPr>
          <w:ilvl w:val="0"/>
          <w:numId w:val="22"/>
        </w:numPr>
        <w:jc w:val="both"/>
        <w:rPr>
          <w:rFonts w:ascii="Book Antiqua" w:hAnsi="Book Antiqua"/>
          <w:sz w:val="22"/>
          <w:lang w:val="es-CR"/>
        </w:rPr>
      </w:pPr>
      <w:bookmarkStart w:id="5" w:name="_Hlk862116"/>
      <w:r w:rsidRPr="00055D4B">
        <w:rPr>
          <w:rFonts w:ascii="Book Antiqua" w:hAnsi="Book Antiqua"/>
          <w:sz w:val="22"/>
          <w:lang w:val="es-CR"/>
        </w:rPr>
        <w:t xml:space="preserve">Actualmente la legislación establece que las sentencias se deben de dictar de forma </w:t>
      </w:r>
      <w:bookmarkEnd w:id="5"/>
      <w:r w:rsidRPr="00055D4B">
        <w:rPr>
          <w:rFonts w:ascii="Book Antiqua" w:hAnsi="Book Antiqua"/>
          <w:sz w:val="22"/>
          <w:lang w:val="es-CR"/>
        </w:rPr>
        <w:t xml:space="preserve">escrita y estableciendo un plazo para la elaboración, con la implementación del CPA establece que las sentencias se dicten de forma oral al momento del juicio o audiencia (artículo 79), esto va a permitir agilizar los procesos y beneficiar a la </w:t>
      </w:r>
      <w:r w:rsidRPr="00055D4B">
        <w:rPr>
          <w:rFonts w:ascii="Book Antiqua" w:hAnsi="Book Antiqua"/>
          <w:sz w:val="22"/>
          <w:lang w:val="es-CR"/>
        </w:rPr>
        <w:lastRenderedPageBreak/>
        <w:t xml:space="preserve">persona usuaria, incluso que la Apelación sea presentada de forma siguiente al dictado de la sentencia. </w:t>
      </w:r>
    </w:p>
    <w:p w14:paraId="760E85D3" w14:textId="77777777" w:rsidR="001341EC" w:rsidRPr="00055D4B" w:rsidRDefault="001341EC" w:rsidP="001341EC">
      <w:pPr>
        <w:pStyle w:val="Prrafodelista"/>
        <w:rPr>
          <w:rFonts w:ascii="Book Antiqua" w:hAnsi="Book Antiqua"/>
          <w:sz w:val="22"/>
          <w:lang w:val="es-CR"/>
        </w:rPr>
      </w:pPr>
    </w:p>
    <w:p w14:paraId="2630DFF9" w14:textId="77777777" w:rsidR="001341EC" w:rsidRPr="00055D4B" w:rsidRDefault="001341EC" w:rsidP="001341EC">
      <w:pPr>
        <w:jc w:val="both"/>
        <w:rPr>
          <w:rFonts w:ascii="Book Antiqua" w:hAnsi="Book Antiqua"/>
          <w:sz w:val="22"/>
        </w:rPr>
      </w:pPr>
      <w:r w:rsidRPr="00055D4B">
        <w:rPr>
          <w:rFonts w:ascii="Book Antiqua" w:hAnsi="Book Antiqua"/>
          <w:sz w:val="22"/>
        </w:rPr>
        <w:t>Por razones de seguridad e integridad del Tribunal y demás asistentes a la audiencia u otras razones referidas al tiempo y el lugar donde se realice la audiencia, la sentencia podrá emitirse en el plazo de cinco días. En supuestos de excepcional complejidad, su dictado íntegro se podrá realizar en el plazo de veintidós días hábiles. El tribunal deberá exponer el fundamento de la decisión.</w:t>
      </w:r>
    </w:p>
    <w:p w14:paraId="3C0D11B9" w14:textId="77777777" w:rsidR="001341EC" w:rsidRPr="00055D4B" w:rsidRDefault="001341EC" w:rsidP="001341EC">
      <w:pPr>
        <w:jc w:val="both"/>
        <w:rPr>
          <w:rFonts w:ascii="Book Antiqua" w:hAnsi="Book Antiqua"/>
          <w:bCs/>
          <w:sz w:val="22"/>
        </w:rPr>
      </w:pPr>
    </w:p>
    <w:p w14:paraId="5C6DBDDF" w14:textId="77777777" w:rsidR="001341EC" w:rsidRPr="00055D4B" w:rsidRDefault="001341EC" w:rsidP="001341EC">
      <w:pPr>
        <w:jc w:val="both"/>
        <w:rPr>
          <w:rFonts w:ascii="Book Antiqua" w:hAnsi="Book Antiqua"/>
          <w:sz w:val="22"/>
        </w:rPr>
      </w:pPr>
      <w:r w:rsidRPr="00055D4B">
        <w:rPr>
          <w:rFonts w:ascii="Book Antiqua" w:hAnsi="Book Antiqua"/>
          <w:sz w:val="22"/>
        </w:rPr>
        <w:t xml:space="preserve">En seguida se muestra el nuevo proceso que se plantea en el Código Procesal Agrario (CPA), donde se estima que impulsará una tramitación más simple y expedita, gracias al uso de la conciliación y la oralidad. </w:t>
      </w:r>
    </w:p>
    <w:p w14:paraId="791A01C7" w14:textId="77777777" w:rsidR="001341EC" w:rsidRPr="00055D4B" w:rsidRDefault="001341EC" w:rsidP="001341EC">
      <w:pPr>
        <w:pStyle w:val="Descripcin"/>
        <w:widowControl/>
        <w:autoSpaceDE/>
        <w:autoSpaceDN/>
        <w:adjustRightInd/>
        <w:spacing w:line="276" w:lineRule="auto"/>
        <w:jc w:val="center"/>
        <w:rPr>
          <w:rFonts w:ascii="Book Antiqua" w:hAnsi="Book Antiqua"/>
          <w:b w:val="0"/>
          <w:bCs w:val="0"/>
          <w:i/>
          <w:iCs/>
          <w:color w:val="1F497D"/>
          <w:sz w:val="22"/>
          <w:szCs w:val="24"/>
          <w:lang w:val="es-CR"/>
        </w:rPr>
      </w:pPr>
    </w:p>
    <w:p w14:paraId="75C33377"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 xml:space="preserve">Figura </w:t>
      </w:r>
      <w:r w:rsidR="009A23D1" w:rsidRPr="00126FA8">
        <w:rPr>
          <w:rFonts w:ascii="Book Antiqua" w:hAnsi="Book Antiqua"/>
          <w:bCs w:val="0"/>
          <w:iCs/>
          <w:sz w:val="22"/>
          <w:szCs w:val="24"/>
          <w:lang w:val="es-CR"/>
        </w:rPr>
        <w:fldChar w:fldCharType="begin"/>
      </w:r>
      <w:r w:rsidRPr="00126FA8">
        <w:rPr>
          <w:rFonts w:ascii="Book Antiqua" w:hAnsi="Book Antiqua"/>
          <w:bCs w:val="0"/>
          <w:iCs/>
          <w:sz w:val="22"/>
          <w:szCs w:val="24"/>
          <w:lang w:val="es-CR"/>
        </w:rPr>
        <w:instrText xml:space="preserve"> SEQ Diagrama \* ARABIC </w:instrText>
      </w:r>
      <w:r w:rsidR="009A23D1" w:rsidRPr="00126FA8">
        <w:rPr>
          <w:rFonts w:ascii="Book Antiqua" w:hAnsi="Book Antiqua"/>
          <w:bCs w:val="0"/>
          <w:iCs/>
          <w:sz w:val="22"/>
          <w:szCs w:val="24"/>
          <w:lang w:val="es-CR"/>
        </w:rPr>
        <w:fldChar w:fldCharType="separate"/>
      </w:r>
      <w:r w:rsidRPr="00126FA8">
        <w:rPr>
          <w:rFonts w:ascii="Book Antiqua" w:hAnsi="Book Antiqua"/>
          <w:bCs w:val="0"/>
          <w:iCs/>
          <w:sz w:val="22"/>
          <w:szCs w:val="24"/>
          <w:lang w:val="es-CR"/>
        </w:rPr>
        <w:t>2</w:t>
      </w:r>
      <w:r w:rsidR="009A23D1" w:rsidRPr="00126FA8">
        <w:rPr>
          <w:rFonts w:ascii="Book Antiqua" w:hAnsi="Book Antiqua"/>
          <w:bCs w:val="0"/>
          <w:iCs/>
          <w:sz w:val="22"/>
          <w:szCs w:val="24"/>
          <w:lang w:val="es-CR"/>
        </w:rPr>
        <w:fldChar w:fldCharType="end"/>
      </w:r>
    </w:p>
    <w:p w14:paraId="5C9A45F4"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Flujograma del Nuevo Proceso según el Proyecto de Código Procesal Agrario</w:t>
      </w:r>
    </w:p>
    <w:p w14:paraId="257A86DF" w14:textId="77777777" w:rsidR="001341EC" w:rsidRPr="00F53CB0" w:rsidRDefault="001341EC" w:rsidP="001341EC">
      <w:pPr>
        <w:jc w:val="center"/>
        <w:rPr>
          <w:rFonts w:ascii="Book Antiqua" w:hAnsi="Book Antiqua"/>
        </w:rPr>
      </w:pPr>
      <w:r w:rsidRPr="00F53CB0">
        <w:rPr>
          <w:rFonts w:ascii="Book Antiqua" w:hAnsi="Book Antiqua"/>
        </w:rPr>
        <w:object w:dxaOrig="13313" w:dyaOrig="9558" w14:anchorId="7E74C758">
          <v:shape id="_x0000_i1029" type="#_x0000_t75" style="width:438pt;height:257.5pt" o:ole="">
            <v:imagedata r:id="rId16" o:title=""/>
          </v:shape>
          <o:OLEObject Type="Embed" ProgID="Visio.Drawing.11" ShapeID="_x0000_i1029" DrawAspect="Content" ObjectID="_1687780054" r:id="rId17"/>
        </w:object>
      </w:r>
    </w:p>
    <w:p w14:paraId="6894DBB2" w14:textId="77777777" w:rsidR="001341EC" w:rsidRPr="00F53CB0" w:rsidRDefault="001341EC" w:rsidP="001341EC">
      <w:pPr>
        <w:jc w:val="both"/>
        <w:rPr>
          <w:rFonts w:ascii="Book Antiqua" w:hAnsi="Book Antiqua"/>
          <w:b/>
          <w:i/>
          <w:sz w:val="18"/>
          <w:szCs w:val="18"/>
          <w:lang w:eastAsia="en-US"/>
        </w:rPr>
      </w:pPr>
      <w:r w:rsidRPr="00F53CB0">
        <w:rPr>
          <w:rFonts w:ascii="Book Antiqua" w:hAnsi="Book Antiqua"/>
          <w:b/>
          <w:i/>
          <w:sz w:val="18"/>
          <w:szCs w:val="18"/>
          <w:lang w:eastAsia="en-US"/>
        </w:rPr>
        <w:t>Fuente: Subproceso de Modernización Institucional.</w:t>
      </w:r>
    </w:p>
    <w:p w14:paraId="31BD2ED4" w14:textId="77777777" w:rsidR="001341EC" w:rsidRPr="00F53CB0" w:rsidRDefault="001341EC" w:rsidP="001341EC">
      <w:pPr>
        <w:jc w:val="both"/>
        <w:rPr>
          <w:rFonts w:ascii="Book Antiqua" w:hAnsi="Book Antiqua"/>
        </w:rPr>
      </w:pPr>
    </w:p>
    <w:p w14:paraId="41BA5BD3" w14:textId="77777777" w:rsidR="001341EC" w:rsidRPr="00055D4B" w:rsidRDefault="001341EC" w:rsidP="001341EC">
      <w:pPr>
        <w:jc w:val="both"/>
        <w:rPr>
          <w:rFonts w:ascii="Book Antiqua" w:hAnsi="Book Antiqua"/>
          <w:sz w:val="22"/>
        </w:rPr>
      </w:pPr>
      <w:r w:rsidRPr="00055D4B">
        <w:rPr>
          <w:rFonts w:ascii="Book Antiqua" w:hAnsi="Book Antiqua"/>
          <w:sz w:val="22"/>
        </w:rPr>
        <w:t>Importante mencionar, que se espera que, con este nuevo proceso agrario, los tiempos de respuesta en el dictado de la resolución disminuyan considerablemente; principalmente por incorporar la fase de conciliación que se desarrolla en las actividades de la audiencia preliminar.</w:t>
      </w:r>
    </w:p>
    <w:p w14:paraId="25617B34" w14:textId="77777777" w:rsidR="001341EC" w:rsidRDefault="001341EC" w:rsidP="001341EC">
      <w:pPr>
        <w:rPr>
          <w:rFonts w:ascii="Book Antiqua" w:hAnsi="Book Antiqua"/>
          <w:sz w:val="22"/>
          <w:lang w:eastAsia="en-US"/>
        </w:rPr>
      </w:pPr>
    </w:p>
    <w:p w14:paraId="27C053A8" w14:textId="77777777" w:rsidR="001341EC" w:rsidRPr="00055D4B" w:rsidRDefault="001341EC" w:rsidP="001341EC">
      <w:pPr>
        <w:rPr>
          <w:rFonts w:ascii="Book Antiqua" w:hAnsi="Book Antiqua"/>
          <w:sz w:val="22"/>
          <w:lang w:eastAsia="en-US"/>
        </w:rPr>
      </w:pPr>
    </w:p>
    <w:p w14:paraId="18561EBD" w14:textId="77777777" w:rsidR="001341EC" w:rsidRPr="000D3830" w:rsidRDefault="001341EC" w:rsidP="001341EC">
      <w:pPr>
        <w:pStyle w:val="Ttulo2"/>
        <w:keepLines/>
        <w:numPr>
          <w:ilvl w:val="1"/>
          <w:numId w:val="42"/>
        </w:numPr>
        <w:spacing w:before="40" w:after="0"/>
        <w:rPr>
          <w:rFonts w:ascii="Book Antiqua" w:hAnsi="Book Antiqua"/>
          <w:i w:val="0"/>
          <w:sz w:val="22"/>
        </w:rPr>
      </w:pPr>
      <w:r w:rsidRPr="000D3830">
        <w:rPr>
          <w:rFonts w:ascii="Book Antiqua" w:hAnsi="Book Antiqua"/>
          <w:i w:val="0"/>
          <w:sz w:val="22"/>
        </w:rPr>
        <w:lastRenderedPageBreak/>
        <w:t>Análisis de cargas de trabajo para determinar la posibilidad de especializa</w:t>
      </w:r>
      <w:r>
        <w:rPr>
          <w:rFonts w:ascii="Book Antiqua" w:hAnsi="Book Antiqua"/>
          <w:i w:val="0"/>
          <w:sz w:val="22"/>
        </w:rPr>
        <w:t xml:space="preserve">ción de </w:t>
      </w:r>
      <w:r w:rsidRPr="000D3830">
        <w:rPr>
          <w:rFonts w:ascii="Book Antiqua" w:hAnsi="Book Antiqua"/>
          <w:i w:val="0"/>
          <w:sz w:val="22"/>
        </w:rPr>
        <w:t>despachos</w:t>
      </w:r>
    </w:p>
    <w:p w14:paraId="3AE5EFCF" w14:textId="77777777" w:rsidR="001341EC" w:rsidRPr="00055D4B" w:rsidRDefault="001341EC" w:rsidP="001341EC">
      <w:pPr>
        <w:ind w:left="720"/>
        <w:jc w:val="both"/>
        <w:rPr>
          <w:rFonts w:ascii="Book Antiqua" w:hAnsi="Book Antiqua"/>
          <w:b/>
          <w:sz w:val="22"/>
        </w:rPr>
      </w:pPr>
    </w:p>
    <w:p w14:paraId="222DA60D" w14:textId="77777777" w:rsidR="001341EC" w:rsidRPr="00055D4B" w:rsidRDefault="001341EC" w:rsidP="001341EC">
      <w:pPr>
        <w:spacing w:line="252" w:lineRule="auto"/>
        <w:jc w:val="both"/>
        <w:rPr>
          <w:rFonts w:ascii="Book Antiqua" w:hAnsi="Book Antiqua"/>
          <w:sz w:val="22"/>
        </w:rPr>
      </w:pPr>
      <w:r w:rsidRPr="00055D4B">
        <w:rPr>
          <w:rFonts w:ascii="Book Antiqua" w:hAnsi="Book Antiqua"/>
          <w:sz w:val="22"/>
        </w:rPr>
        <w:t xml:space="preserve">En el informe 27-PLA-MI-2017 de la Dirección de Planificación, se incorpora un estudio de cargas de trabajo de los Juzgados Mixtos en los que se tramita la materia Agraria, esto a solicitud en ese momento de la Jueza Damaris Vargas Vásquez, MBA, Coordinadora del Proyecto Modernización de la Jurisdicción Agraria, en nota del 23 de marzo del 2017, para que se determine la viabilidad y especializar Upala. </w:t>
      </w:r>
      <w:r w:rsidRPr="00055D4B">
        <w:rPr>
          <w:rFonts w:ascii="Book Antiqua" w:hAnsi="Book Antiqua"/>
          <w:b/>
          <w:i/>
          <w:sz w:val="22"/>
        </w:rPr>
        <w:t>(ver anexo 1, Solicitud de la Jueza Damaris Vargas Vásquez, MBA).</w:t>
      </w:r>
    </w:p>
    <w:p w14:paraId="4C480FFF" w14:textId="77777777" w:rsidR="001341EC" w:rsidRPr="00055D4B" w:rsidRDefault="001341EC" w:rsidP="001341EC">
      <w:pPr>
        <w:spacing w:line="252" w:lineRule="auto"/>
        <w:jc w:val="both"/>
        <w:rPr>
          <w:rFonts w:ascii="Book Antiqua" w:hAnsi="Book Antiqua"/>
          <w:sz w:val="22"/>
        </w:rPr>
      </w:pPr>
    </w:p>
    <w:p w14:paraId="039A8A39" w14:textId="77777777" w:rsidR="001341EC" w:rsidRPr="00055D4B" w:rsidRDefault="001341EC" w:rsidP="001341EC">
      <w:pPr>
        <w:spacing w:line="252" w:lineRule="auto"/>
        <w:jc w:val="both"/>
        <w:rPr>
          <w:rFonts w:ascii="Book Antiqua" w:hAnsi="Book Antiqua"/>
          <w:sz w:val="22"/>
        </w:rPr>
      </w:pPr>
      <w:r w:rsidRPr="00055D4B">
        <w:rPr>
          <w:rFonts w:ascii="Book Antiqua" w:hAnsi="Book Antiqua"/>
          <w:sz w:val="22"/>
        </w:rPr>
        <w:t>Tomando en consideración el impacto del nuevo Código Procesal Agrario para el 2021, es importante actualizar este análisis como se muestra a continuación:</w:t>
      </w:r>
    </w:p>
    <w:p w14:paraId="5AB5655A" w14:textId="77777777" w:rsidR="001341EC" w:rsidRPr="00055D4B" w:rsidRDefault="001341EC" w:rsidP="001341EC">
      <w:pPr>
        <w:spacing w:line="252" w:lineRule="auto"/>
        <w:jc w:val="both"/>
        <w:rPr>
          <w:rFonts w:ascii="Book Antiqua" w:hAnsi="Book Antiqua"/>
          <w:sz w:val="22"/>
        </w:rPr>
      </w:pPr>
    </w:p>
    <w:p w14:paraId="7BFE13D2" w14:textId="77777777" w:rsidR="001341EC" w:rsidRPr="00055D4B" w:rsidRDefault="001341EC" w:rsidP="001341EC">
      <w:pPr>
        <w:jc w:val="center"/>
        <w:rPr>
          <w:rFonts w:ascii="Book Antiqua" w:hAnsi="Book Antiqua"/>
          <w:sz w:val="22"/>
        </w:rPr>
      </w:pPr>
    </w:p>
    <w:p w14:paraId="5D4B4F3B" w14:textId="77777777" w:rsidR="001341EC" w:rsidRPr="00055D4B" w:rsidRDefault="001341EC" w:rsidP="001341EC">
      <w:pPr>
        <w:rPr>
          <w:rFonts w:ascii="Book Antiqua" w:hAnsi="Book Antiqua"/>
          <w:sz w:val="22"/>
        </w:rPr>
        <w:sectPr w:rsidR="001341EC" w:rsidRPr="00055D4B">
          <w:pgSz w:w="12240" w:h="15840"/>
          <w:pgMar w:top="1417" w:right="1701" w:bottom="1417" w:left="1701" w:header="708" w:footer="708" w:gutter="0"/>
          <w:cols w:space="708"/>
          <w:docGrid w:linePitch="360"/>
        </w:sectPr>
      </w:pPr>
    </w:p>
    <w:p w14:paraId="2D2B72A9" w14:textId="77777777" w:rsidR="001341EC" w:rsidRPr="00055D4B" w:rsidRDefault="001341EC" w:rsidP="00FE7CB4">
      <w:pPr>
        <w:jc w:val="both"/>
        <w:rPr>
          <w:rFonts w:ascii="Book Antiqua" w:hAnsi="Book Antiqua"/>
          <w:sz w:val="22"/>
          <w:szCs w:val="22"/>
        </w:rPr>
      </w:pPr>
      <w:r w:rsidRPr="00055D4B">
        <w:rPr>
          <w:rFonts w:ascii="Book Antiqua" w:hAnsi="Book Antiqua"/>
          <w:sz w:val="22"/>
          <w:szCs w:val="22"/>
        </w:rPr>
        <w:lastRenderedPageBreak/>
        <w:t>Se presenta a continuación, el análisis comparativo de las cargas de trabajo en los juzgados que atienden materia Agraria:</w:t>
      </w:r>
    </w:p>
    <w:p w14:paraId="76DA8A45" w14:textId="77777777" w:rsidR="001341EC" w:rsidRPr="00055D4B" w:rsidRDefault="001341EC" w:rsidP="001341EC">
      <w:pPr>
        <w:rPr>
          <w:rFonts w:ascii="Book Antiqua" w:hAnsi="Book Antiqua"/>
          <w:sz w:val="22"/>
          <w:szCs w:val="22"/>
        </w:rPr>
      </w:pPr>
    </w:p>
    <w:p w14:paraId="38F760D8"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 xml:space="preserve">Cuadro </w:t>
      </w:r>
      <w:r w:rsidR="009A23D1" w:rsidRPr="00126FA8">
        <w:rPr>
          <w:rFonts w:ascii="Book Antiqua" w:hAnsi="Book Antiqua"/>
          <w:bCs w:val="0"/>
          <w:iCs/>
          <w:sz w:val="22"/>
          <w:szCs w:val="24"/>
          <w:lang w:val="es-CR"/>
        </w:rPr>
        <w:fldChar w:fldCharType="begin"/>
      </w:r>
      <w:r w:rsidRPr="00126FA8">
        <w:rPr>
          <w:rFonts w:ascii="Book Antiqua" w:hAnsi="Book Antiqua"/>
          <w:bCs w:val="0"/>
          <w:iCs/>
          <w:sz w:val="22"/>
          <w:szCs w:val="24"/>
          <w:lang w:val="es-CR"/>
        </w:rPr>
        <w:instrText xml:space="preserve"> SEQ Cuadro \* ARABIC </w:instrText>
      </w:r>
      <w:r w:rsidR="009A23D1" w:rsidRPr="00126FA8">
        <w:rPr>
          <w:rFonts w:ascii="Book Antiqua" w:hAnsi="Book Antiqua"/>
          <w:bCs w:val="0"/>
          <w:iCs/>
          <w:sz w:val="22"/>
          <w:szCs w:val="24"/>
          <w:lang w:val="es-CR"/>
        </w:rPr>
        <w:fldChar w:fldCharType="separate"/>
      </w:r>
      <w:r w:rsidRPr="00126FA8">
        <w:rPr>
          <w:rFonts w:ascii="Book Antiqua" w:hAnsi="Book Antiqua"/>
          <w:bCs w:val="0"/>
          <w:iCs/>
          <w:sz w:val="22"/>
          <w:szCs w:val="24"/>
          <w:lang w:val="es-CR"/>
        </w:rPr>
        <w:t>3</w:t>
      </w:r>
      <w:r w:rsidR="009A23D1" w:rsidRPr="00126FA8">
        <w:rPr>
          <w:rFonts w:ascii="Book Antiqua" w:hAnsi="Book Antiqua"/>
          <w:bCs w:val="0"/>
          <w:iCs/>
          <w:sz w:val="22"/>
          <w:szCs w:val="24"/>
          <w:lang w:val="es-CR"/>
        </w:rPr>
        <w:fldChar w:fldCharType="end"/>
      </w:r>
    </w:p>
    <w:p w14:paraId="054B07FA"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 xml:space="preserve">Análisis comparativo de la cantidad de asuntos entrados en el 2018 para los Juzgados Agrarios a nivel nacional </w:t>
      </w:r>
    </w:p>
    <w:p w14:paraId="2A7DBC91" w14:textId="77777777" w:rsidR="001341EC" w:rsidRDefault="001341EC" w:rsidP="001341EC"/>
    <w:tbl>
      <w:tblPr>
        <w:tblW w:w="0" w:type="auto"/>
        <w:jc w:val="center"/>
        <w:tblCellMar>
          <w:left w:w="0" w:type="dxa"/>
          <w:right w:w="0" w:type="dxa"/>
        </w:tblCellMar>
        <w:tblLook w:val="04A0" w:firstRow="1" w:lastRow="0" w:firstColumn="1" w:lastColumn="0" w:noHBand="0" w:noVBand="1"/>
      </w:tblPr>
      <w:tblGrid>
        <w:gridCol w:w="1704"/>
        <w:gridCol w:w="1247"/>
        <w:gridCol w:w="1115"/>
        <w:gridCol w:w="1537"/>
        <w:gridCol w:w="1214"/>
        <w:gridCol w:w="1641"/>
      </w:tblGrid>
      <w:tr w:rsidR="001341EC" w:rsidRPr="002F64AC" w14:paraId="64230654" w14:textId="77777777" w:rsidTr="007A4037">
        <w:trPr>
          <w:trHeight w:val="1308"/>
          <w:jc w:val="center"/>
        </w:trPr>
        <w:tc>
          <w:tcPr>
            <w:tcW w:w="0" w:type="auto"/>
            <w:tcBorders>
              <w:top w:val="double" w:sz="6" w:space="0" w:color="1F497D"/>
              <w:left w:val="double" w:sz="6" w:space="0" w:color="1F497D"/>
              <w:bottom w:val="double" w:sz="6" w:space="0" w:color="1F497D"/>
              <w:right w:val="double" w:sz="6" w:space="0" w:color="1F497D"/>
            </w:tcBorders>
            <w:shd w:val="clear" w:color="000000" w:fill="8DB4E2"/>
            <w:tcMar>
              <w:top w:w="15" w:type="dxa"/>
              <w:left w:w="15" w:type="dxa"/>
              <w:bottom w:w="0" w:type="dxa"/>
              <w:right w:w="15" w:type="dxa"/>
            </w:tcMar>
            <w:vAlign w:val="center"/>
            <w:hideMark/>
          </w:tcPr>
          <w:p w14:paraId="34B7C9BD" w14:textId="77777777" w:rsidR="001341EC" w:rsidRPr="002F64AC" w:rsidRDefault="001341EC" w:rsidP="00165AA6">
            <w:pPr>
              <w:jc w:val="center"/>
              <w:rPr>
                <w:rFonts w:ascii="Book Antiqua" w:hAnsi="Book Antiqua"/>
                <w:b/>
                <w:bCs/>
                <w:color w:val="000000"/>
                <w:lang w:eastAsia="es-CR"/>
              </w:rPr>
            </w:pPr>
            <w:r w:rsidRPr="002F64AC">
              <w:rPr>
                <w:rFonts w:ascii="Book Antiqua" w:hAnsi="Book Antiqua"/>
                <w:b/>
                <w:bCs/>
                <w:color w:val="000000"/>
              </w:rPr>
              <w:t>Despacho</w:t>
            </w:r>
          </w:p>
        </w:tc>
        <w:tc>
          <w:tcPr>
            <w:tcW w:w="0" w:type="auto"/>
            <w:tcBorders>
              <w:top w:val="double" w:sz="6" w:space="0" w:color="1F497D"/>
              <w:left w:val="nil"/>
              <w:bottom w:val="double" w:sz="6" w:space="0" w:color="1F497D"/>
              <w:right w:val="double" w:sz="6" w:space="0" w:color="1F497D"/>
            </w:tcBorders>
            <w:shd w:val="clear" w:color="000000" w:fill="8DB4E2"/>
            <w:tcMar>
              <w:top w:w="15" w:type="dxa"/>
              <w:left w:w="15" w:type="dxa"/>
              <w:bottom w:w="0" w:type="dxa"/>
              <w:right w:w="15" w:type="dxa"/>
            </w:tcMar>
            <w:vAlign w:val="center"/>
            <w:hideMark/>
          </w:tcPr>
          <w:p w14:paraId="09C320F2" w14:textId="77777777" w:rsidR="001341EC" w:rsidRPr="002F64AC" w:rsidRDefault="001341EC" w:rsidP="00165AA6">
            <w:pPr>
              <w:jc w:val="center"/>
              <w:rPr>
                <w:rFonts w:ascii="Book Antiqua" w:hAnsi="Book Antiqua"/>
                <w:b/>
                <w:bCs/>
                <w:color w:val="000000"/>
              </w:rPr>
            </w:pPr>
            <w:r w:rsidRPr="002F64AC">
              <w:rPr>
                <w:rFonts w:ascii="Book Antiqua" w:hAnsi="Book Antiqua"/>
                <w:b/>
                <w:bCs/>
                <w:color w:val="000000"/>
              </w:rPr>
              <w:t>Entrada Promedio Mensual</w:t>
            </w:r>
          </w:p>
        </w:tc>
        <w:tc>
          <w:tcPr>
            <w:tcW w:w="0" w:type="auto"/>
            <w:tcBorders>
              <w:top w:val="double" w:sz="6" w:space="0" w:color="1F497D"/>
              <w:left w:val="nil"/>
              <w:bottom w:val="double" w:sz="6" w:space="0" w:color="1F497D"/>
              <w:right w:val="double" w:sz="6" w:space="0" w:color="1F497D"/>
            </w:tcBorders>
            <w:shd w:val="clear" w:color="000000" w:fill="8DB4E2"/>
            <w:tcMar>
              <w:top w:w="15" w:type="dxa"/>
              <w:left w:w="15" w:type="dxa"/>
              <w:bottom w:w="0" w:type="dxa"/>
              <w:right w:w="15" w:type="dxa"/>
            </w:tcMar>
            <w:vAlign w:val="center"/>
            <w:hideMark/>
          </w:tcPr>
          <w:p w14:paraId="1DD389C1" w14:textId="77777777" w:rsidR="001341EC" w:rsidRPr="002F64AC" w:rsidRDefault="001341EC" w:rsidP="00165AA6">
            <w:pPr>
              <w:jc w:val="center"/>
              <w:rPr>
                <w:rFonts w:ascii="Book Antiqua" w:hAnsi="Book Antiqua"/>
                <w:b/>
                <w:bCs/>
                <w:color w:val="000000"/>
              </w:rPr>
            </w:pPr>
            <w:r w:rsidRPr="002F64AC">
              <w:rPr>
                <w:rFonts w:ascii="Book Antiqua" w:hAnsi="Book Antiqua"/>
                <w:b/>
                <w:bCs/>
                <w:color w:val="000000"/>
              </w:rPr>
              <w:t>Cantidad Jueza o Juez</w:t>
            </w:r>
          </w:p>
        </w:tc>
        <w:tc>
          <w:tcPr>
            <w:tcW w:w="0" w:type="auto"/>
            <w:tcBorders>
              <w:top w:val="double" w:sz="6" w:space="0" w:color="1F497D"/>
              <w:left w:val="nil"/>
              <w:bottom w:val="double" w:sz="6" w:space="0" w:color="1F497D"/>
              <w:right w:val="double" w:sz="6" w:space="0" w:color="1F497D"/>
            </w:tcBorders>
            <w:shd w:val="clear" w:color="000000" w:fill="8DB4E2"/>
            <w:tcMar>
              <w:top w:w="15" w:type="dxa"/>
              <w:left w:w="15" w:type="dxa"/>
              <w:bottom w:w="0" w:type="dxa"/>
              <w:right w:w="15" w:type="dxa"/>
            </w:tcMar>
            <w:vAlign w:val="center"/>
            <w:hideMark/>
          </w:tcPr>
          <w:p w14:paraId="57588089" w14:textId="77777777" w:rsidR="001341EC" w:rsidRPr="002F64AC" w:rsidRDefault="001341EC" w:rsidP="00165AA6">
            <w:pPr>
              <w:jc w:val="center"/>
              <w:rPr>
                <w:rFonts w:ascii="Book Antiqua" w:hAnsi="Book Antiqua"/>
                <w:b/>
                <w:bCs/>
                <w:color w:val="000000"/>
              </w:rPr>
            </w:pPr>
            <w:r w:rsidRPr="002F64AC">
              <w:rPr>
                <w:rFonts w:ascii="Book Antiqua" w:hAnsi="Book Antiqua"/>
                <w:b/>
                <w:bCs/>
                <w:color w:val="000000"/>
              </w:rPr>
              <w:t>Entrada Promedio mensual por Jueza o Juez</w:t>
            </w:r>
          </w:p>
        </w:tc>
        <w:tc>
          <w:tcPr>
            <w:tcW w:w="0" w:type="auto"/>
            <w:tcBorders>
              <w:top w:val="double" w:sz="6" w:space="0" w:color="1F497D"/>
              <w:left w:val="nil"/>
              <w:bottom w:val="double" w:sz="6" w:space="0" w:color="1F497D"/>
              <w:right w:val="double" w:sz="6" w:space="0" w:color="1F497D"/>
            </w:tcBorders>
            <w:shd w:val="clear" w:color="000000" w:fill="8DB4E2"/>
            <w:tcMar>
              <w:top w:w="15" w:type="dxa"/>
              <w:left w:w="15" w:type="dxa"/>
              <w:bottom w:w="0" w:type="dxa"/>
              <w:right w:w="15" w:type="dxa"/>
            </w:tcMar>
            <w:vAlign w:val="center"/>
            <w:hideMark/>
          </w:tcPr>
          <w:p w14:paraId="7947F649" w14:textId="77777777" w:rsidR="001341EC" w:rsidRPr="002F64AC" w:rsidRDefault="001341EC" w:rsidP="00165AA6">
            <w:pPr>
              <w:jc w:val="center"/>
              <w:rPr>
                <w:rFonts w:ascii="Book Antiqua" w:hAnsi="Book Antiqua"/>
                <w:b/>
                <w:bCs/>
                <w:color w:val="000000"/>
              </w:rPr>
            </w:pPr>
            <w:r w:rsidRPr="002F64AC">
              <w:rPr>
                <w:rFonts w:ascii="Book Antiqua" w:hAnsi="Book Antiqua"/>
                <w:b/>
                <w:bCs/>
                <w:color w:val="000000"/>
              </w:rPr>
              <w:t>Cantidad Técnica o Técnico</w:t>
            </w:r>
          </w:p>
        </w:tc>
        <w:tc>
          <w:tcPr>
            <w:tcW w:w="0" w:type="auto"/>
            <w:tcBorders>
              <w:top w:val="double" w:sz="6" w:space="0" w:color="1F497D"/>
              <w:left w:val="nil"/>
              <w:bottom w:val="double" w:sz="6" w:space="0" w:color="1F497D"/>
              <w:right w:val="double" w:sz="6" w:space="0" w:color="1F497D"/>
            </w:tcBorders>
            <w:shd w:val="clear" w:color="000000" w:fill="8DB4E2"/>
            <w:tcMar>
              <w:top w:w="15" w:type="dxa"/>
              <w:left w:w="15" w:type="dxa"/>
              <w:bottom w:w="0" w:type="dxa"/>
              <w:right w:w="15" w:type="dxa"/>
            </w:tcMar>
            <w:vAlign w:val="center"/>
            <w:hideMark/>
          </w:tcPr>
          <w:p w14:paraId="58C04BA6" w14:textId="77777777" w:rsidR="001341EC" w:rsidRPr="002F64AC" w:rsidRDefault="001341EC" w:rsidP="00165AA6">
            <w:pPr>
              <w:jc w:val="center"/>
              <w:rPr>
                <w:rFonts w:ascii="Book Antiqua" w:hAnsi="Book Antiqua"/>
                <w:b/>
                <w:bCs/>
                <w:color w:val="000000"/>
              </w:rPr>
            </w:pPr>
            <w:r w:rsidRPr="002F64AC">
              <w:rPr>
                <w:rFonts w:ascii="Book Antiqua" w:hAnsi="Book Antiqua"/>
                <w:b/>
                <w:bCs/>
                <w:color w:val="000000"/>
              </w:rPr>
              <w:t>Entrada Promedio Mensual por Técnica o Técnico</w:t>
            </w:r>
          </w:p>
        </w:tc>
      </w:tr>
      <w:tr w:rsidR="001341EC" w:rsidRPr="002F64AC" w14:paraId="643E54CC"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EB6BB5A" w14:textId="77777777" w:rsidR="001341EC" w:rsidRPr="002F64AC" w:rsidRDefault="001341EC" w:rsidP="00165AA6">
            <w:pPr>
              <w:rPr>
                <w:rFonts w:ascii="Book Antiqua" w:hAnsi="Book Antiqua"/>
                <w:i/>
              </w:rPr>
            </w:pPr>
            <w:r w:rsidRPr="002F64AC">
              <w:rPr>
                <w:rFonts w:ascii="Book Antiqua" w:hAnsi="Book Antiqua"/>
                <w:i/>
              </w:rPr>
              <w:t>Juzgado Agrario de Santa Cruz</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33E48AF" w14:textId="77777777" w:rsidR="001341EC" w:rsidRPr="002F64AC" w:rsidRDefault="001341EC" w:rsidP="00165AA6">
            <w:pPr>
              <w:jc w:val="center"/>
              <w:rPr>
                <w:rFonts w:ascii="Book Antiqua" w:hAnsi="Book Antiqua"/>
                <w:i/>
              </w:rPr>
            </w:pPr>
            <w:r w:rsidRPr="002F64AC">
              <w:rPr>
                <w:rFonts w:ascii="Book Antiqua" w:hAnsi="Book Antiqua"/>
                <w:i/>
              </w:rPr>
              <w:t>40</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7772502" w14:textId="77777777" w:rsidR="001341EC" w:rsidRPr="002F64AC" w:rsidRDefault="001341EC" w:rsidP="00165AA6">
            <w:pPr>
              <w:jc w:val="center"/>
              <w:rPr>
                <w:rFonts w:ascii="Book Antiqua" w:hAnsi="Book Antiqua"/>
                <w:i/>
              </w:rPr>
            </w:pPr>
            <w:r w:rsidRPr="002F64AC">
              <w:rPr>
                <w:rFonts w:ascii="Book Antiqua" w:hAnsi="Book Antiqua"/>
                <w:i/>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0D3A9D9" w14:textId="77777777" w:rsidR="001341EC" w:rsidRPr="002F64AC" w:rsidRDefault="001341EC" w:rsidP="00165AA6">
            <w:pPr>
              <w:jc w:val="center"/>
              <w:rPr>
                <w:rFonts w:ascii="Book Antiqua" w:hAnsi="Book Antiqua"/>
                <w:i/>
              </w:rPr>
            </w:pPr>
            <w:r w:rsidRPr="002F64AC">
              <w:rPr>
                <w:rFonts w:ascii="Book Antiqua" w:hAnsi="Book Antiqua"/>
                <w:i/>
              </w:rPr>
              <w:t>20</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327C7DE" w14:textId="77777777" w:rsidR="001341EC" w:rsidRPr="002F64AC" w:rsidRDefault="001341EC" w:rsidP="00165AA6">
            <w:pPr>
              <w:jc w:val="center"/>
              <w:rPr>
                <w:rFonts w:ascii="Book Antiqua" w:hAnsi="Book Antiqua"/>
                <w:i/>
              </w:rPr>
            </w:pPr>
            <w:r w:rsidRPr="002F64AC">
              <w:rPr>
                <w:rFonts w:ascii="Book Antiqua" w:hAnsi="Book Antiqua"/>
                <w:i/>
              </w:rPr>
              <w:t>4</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82B67E9" w14:textId="77777777" w:rsidR="001341EC" w:rsidRPr="002F64AC" w:rsidRDefault="001341EC" w:rsidP="00165AA6">
            <w:pPr>
              <w:jc w:val="center"/>
              <w:rPr>
                <w:rFonts w:ascii="Book Antiqua" w:hAnsi="Book Antiqua"/>
                <w:i/>
              </w:rPr>
            </w:pPr>
            <w:r w:rsidRPr="002F64AC">
              <w:rPr>
                <w:rFonts w:ascii="Book Antiqua" w:hAnsi="Book Antiqua"/>
                <w:i/>
              </w:rPr>
              <w:t>10</w:t>
            </w:r>
          </w:p>
        </w:tc>
      </w:tr>
      <w:tr w:rsidR="001341EC" w:rsidRPr="002F64AC" w14:paraId="622FBA5B"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647F950" w14:textId="77777777" w:rsidR="001341EC" w:rsidRPr="002F64AC" w:rsidRDefault="001341EC" w:rsidP="00165AA6">
            <w:pPr>
              <w:rPr>
                <w:rFonts w:ascii="Book Antiqua" w:hAnsi="Book Antiqua"/>
                <w:i/>
              </w:rPr>
            </w:pPr>
            <w:r w:rsidRPr="002F64AC">
              <w:rPr>
                <w:rFonts w:ascii="Book Antiqua" w:hAnsi="Book Antiqua"/>
                <w:i/>
              </w:rPr>
              <w:t>Juzgado Agrario de San Carlos</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2345EC8" w14:textId="77777777" w:rsidR="001341EC" w:rsidRPr="002F64AC" w:rsidRDefault="001341EC" w:rsidP="00165AA6">
            <w:pPr>
              <w:jc w:val="center"/>
              <w:rPr>
                <w:rFonts w:ascii="Book Antiqua" w:hAnsi="Book Antiqua"/>
                <w:i/>
              </w:rPr>
            </w:pPr>
            <w:r w:rsidRPr="002F64AC">
              <w:rPr>
                <w:rFonts w:ascii="Book Antiqua" w:hAnsi="Book Antiqua"/>
                <w:i/>
              </w:rPr>
              <w:t>38</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E250E00" w14:textId="77777777" w:rsidR="001341EC" w:rsidRPr="002F64AC" w:rsidRDefault="001341EC" w:rsidP="00165AA6">
            <w:pPr>
              <w:jc w:val="center"/>
              <w:rPr>
                <w:rFonts w:ascii="Book Antiqua" w:hAnsi="Book Antiqua"/>
                <w:i/>
              </w:rPr>
            </w:pPr>
            <w:r w:rsidRPr="002F64AC">
              <w:rPr>
                <w:rFonts w:ascii="Book Antiqua" w:hAnsi="Book Antiqua"/>
                <w:i/>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E96ECB2" w14:textId="77777777" w:rsidR="001341EC" w:rsidRPr="002F64AC" w:rsidRDefault="001341EC" w:rsidP="00165AA6">
            <w:pPr>
              <w:jc w:val="center"/>
              <w:rPr>
                <w:rFonts w:ascii="Book Antiqua" w:hAnsi="Book Antiqua"/>
                <w:i/>
              </w:rPr>
            </w:pPr>
            <w:r w:rsidRPr="002F64AC">
              <w:rPr>
                <w:rFonts w:ascii="Book Antiqua" w:hAnsi="Book Antiqua"/>
                <w:i/>
              </w:rPr>
              <w:t>19</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F032235" w14:textId="77777777" w:rsidR="001341EC" w:rsidRPr="002F64AC" w:rsidRDefault="001341EC" w:rsidP="00165AA6">
            <w:pPr>
              <w:jc w:val="center"/>
              <w:rPr>
                <w:rFonts w:ascii="Book Antiqua" w:hAnsi="Book Antiqua"/>
                <w:i/>
              </w:rPr>
            </w:pPr>
            <w:r w:rsidRPr="002F64AC">
              <w:rPr>
                <w:rFonts w:ascii="Book Antiqua" w:hAnsi="Book Antiqua"/>
                <w:i/>
              </w:rPr>
              <w:t>3</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6443846" w14:textId="77777777" w:rsidR="001341EC" w:rsidRPr="002F64AC" w:rsidRDefault="001341EC" w:rsidP="00165AA6">
            <w:pPr>
              <w:jc w:val="center"/>
              <w:rPr>
                <w:rFonts w:ascii="Book Antiqua" w:hAnsi="Book Antiqua"/>
                <w:i/>
              </w:rPr>
            </w:pPr>
            <w:r w:rsidRPr="002F64AC">
              <w:rPr>
                <w:rFonts w:ascii="Book Antiqua" w:hAnsi="Book Antiqua"/>
                <w:i/>
              </w:rPr>
              <w:t>13</w:t>
            </w:r>
          </w:p>
        </w:tc>
      </w:tr>
      <w:tr w:rsidR="001341EC" w:rsidRPr="002F64AC" w14:paraId="337FD1B0"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C0D2899" w14:textId="77777777" w:rsidR="001341EC" w:rsidRPr="002F64AC" w:rsidRDefault="001341EC" w:rsidP="00165AA6">
            <w:pPr>
              <w:rPr>
                <w:rFonts w:ascii="Book Antiqua" w:hAnsi="Book Antiqua"/>
                <w:i/>
              </w:rPr>
            </w:pPr>
            <w:r w:rsidRPr="002F64AC">
              <w:rPr>
                <w:rFonts w:ascii="Book Antiqua" w:hAnsi="Book Antiqua"/>
                <w:i/>
              </w:rPr>
              <w:t>Juzgado Agrario de Guápiles</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FDB52DD" w14:textId="77777777" w:rsidR="001341EC" w:rsidRPr="002F64AC" w:rsidRDefault="001341EC" w:rsidP="00165AA6">
            <w:pPr>
              <w:jc w:val="center"/>
              <w:rPr>
                <w:rFonts w:ascii="Book Antiqua" w:hAnsi="Book Antiqua"/>
                <w:i/>
              </w:rPr>
            </w:pPr>
            <w:r w:rsidRPr="002F64AC">
              <w:rPr>
                <w:rFonts w:ascii="Book Antiqua" w:hAnsi="Book Antiqua"/>
                <w:i/>
              </w:rPr>
              <w:t>37</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C06EDF6" w14:textId="77777777" w:rsidR="001341EC" w:rsidRPr="002F64AC" w:rsidRDefault="001341EC" w:rsidP="00165AA6">
            <w:pPr>
              <w:jc w:val="center"/>
              <w:rPr>
                <w:rFonts w:ascii="Book Antiqua" w:hAnsi="Book Antiqua"/>
                <w:i/>
              </w:rPr>
            </w:pPr>
            <w:r w:rsidRPr="002F64AC">
              <w:rPr>
                <w:rFonts w:ascii="Book Antiqua" w:hAnsi="Book Antiqua"/>
                <w:i/>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0E3ABA4" w14:textId="77777777" w:rsidR="001341EC" w:rsidRPr="002F64AC" w:rsidRDefault="001341EC" w:rsidP="00165AA6">
            <w:pPr>
              <w:jc w:val="center"/>
              <w:rPr>
                <w:rFonts w:ascii="Book Antiqua" w:hAnsi="Book Antiqua"/>
                <w:i/>
              </w:rPr>
            </w:pPr>
            <w:r w:rsidRPr="002F64AC">
              <w:rPr>
                <w:rFonts w:ascii="Book Antiqua" w:hAnsi="Book Antiqua"/>
                <w:i/>
              </w:rPr>
              <w:t>19</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93C9209" w14:textId="77777777" w:rsidR="001341EC" w:rsidRPr="002F64AC" w:rsidRDefault="001341EC" w:rsidP="00165AA6">
            <w:pPr>
              <w:jc w:val="center"/>
              <w:rPr>
                <w:rFonts w:ascii="Book Antiqua" w:hAnsi="Book Antiqua"/>
                <w:i/>
              </w:rPr>
            </w:pPr>
            <w:r w:rsidRPr="002F64AC">
              <w:rPr>
                <w:rFonts w:ascii="Book Antiqua" w:hAnsi="Book Antiqua"/>
                <w:i/>
              </w:rPr>
              <w:t>5</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3BB4CD8" w14:textId="77777777" w:rsidR="001341EC" w:rsidRPr="002F64AC" w:rsidRDefault="001341EC" w:rsidP="00165AA6">
            <w:pPr>
              <w:jc w:val="center"/>
              <w:rPr>
                <w:rFonts w:ascii="Book Antiqua" w:hAnsi="Book Antiqua"/>
                <w:i/>
              </w:rPr>
            </w:pPr>
            <w:r w:rsidRPr="002F64AC">
              <w:rPr>
                <w:rFonts w:ascii="Book Antiqua" w:hAnsi="Book Antiqua"/>
                <w:i/>
              </w:rPr>
              <w:t>7</w:t>
            </w:r>
          </w:p>
        </w:tc>
      </w:tr>
      <w:tr w:rsidR="001341EC" w:rsidRPr="002F64AC" w14:paraId="3E03BAE7"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99C10E6" w14:textId="77777777" w:rsidR="001341EC" w:rsidRPr="002F64AC" w:rsidRDefault="001341EC" w:rsidP="00165AA6">
            <w:pPr>
              <w:rPr>
                <w:rFonts w:ascii="Book Antiqua" w:hAnsi="Book Antiqua"/>
                <w:i/>
              </w:rPr>
            </w:pPr>
            <w:r w:rsidRPr="002F64AC">
              <w:rPr>
                <w:rFonts w:ascii="Book Antiqua" w:hAnsi="Book Antiqua"/>
                <w:i/>
              </w:rPr>
              <w:t>Juzgado Agrario de Puntarenas*</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34117BB" w14:textId="77777777" w:rsidR="001341EC" w:rsidRPr="002F64AC" w:rsidRDefault="001341EC" w:rsidP="00165AA6">
            <w:pPr>
              <w:jc w:val="center"/>
              <w:rPr>
                <w:rFonts w:ascii="Book Antiqua" w:hAnsi="Book Antiqua"/>
                <w:i/>
              </w:rPr>
            </w:pPr>
            <w:r w:rsidRPr="002F64AC">
              <w:rPr>
                <w:rFonts w:ascii="Book Antiqua" w:hAnsi="Book Antiqua"/>
                <w:i/>
              </w:rPr>
              <w:t>30</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338220B" w14:textId="77777777" w:rsidR="001341EC" w:rsidRPr="002F64AC" w:rsidRDefault="001341EC" w:rsidP="00165AA6">
            <w:pPr>
              <w:jc w:val="center"/>
              <w:rPr>
                <w:rFonts w:ascii="Book Antiqua" w:hAnsi="Book Antiqua"/>
                <w:i/>
              </w:rPr>
            </w:pPr>
            <w:r w:rsidRPr="002F64AC">
              <w:rPr>
                <w:rFonts w:ascii="Book Antiqua" w:hAnsi="Book Antiqua"/>
                <w:i/>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B7EFA48" w14:textId="77777777" w:rsidR="001341EC" w:rsidRPr="002F64AC" w:rsidRDefault="001341EC" w:rsidP="00165AA6">
            <w:pPr>
              <w:jc w:val="center"/>
              <w:rPr>
                <w:rFonts w:ascii="Book Antiqua" w:hAnsi="Book Antiqua"/>
                <w:i/>
              </w:rPr>
            </w:pPr>
            <w:r w:rsidRPr="002F64AC">
              <w:rPr>
                <w:rFonts w:ascii="Book Antiqua" w:hAnsi="Book Antiqua"/>
                <w:i/>
              </w:rPr>
              <w:t>15</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154777E" w14:textId="77777777" w:rsidR="001341EC" w:rsidRPr="002F64AC" w:rsidRDefault="001341EC" w:rsidP="00165AA6">
            <w:pPr>
              <w:jc w:val="center"/>
              <w:rPr>
                <w:rFonts w:ascii="Book Antiqua" w:hAnsi="Book Antiqua"/>
                <w:i/>
              </w:rPr>
            </w:pPr>
            <w:r w:rsidRPr="002F64AC">
              <w:rPr>
                <w:rFonts w:ascii="Book Antiqua" w:hAnsi="Book Antiqua"/>
                <w:i/>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07906BA" w14:textId="77777777" w:rsidR="001341EC" w:rsidRPr="002F64AC" w:rsidRDefault="001341EC" w:rsidP="00165AA6">
            <w:pPr>
              <w:jc w:val="center"/>
              <w:rPr>
                <w:rFonts w:ascii="Book Antiqua" w:hAnsi="Book Antiqua"/>
                <w:i/>
              </w:rPr>
            </w:pPr>
            <w:r w:rsidRPr="002F64AC">
              <w:rPr>
                <w:rFonts w:ascii="Book Antiqua" w:hAnsi="Book Antiqua"/>
                <w:i/>
              </w:rPr>
              <w:t>15</w:t>
            </w:r>
          </w:p>
        </w:tc>
      </w:tr>
      <w:tr w:rsidR="001341EC" w:rsidRPr="002F64AC" w14:paraId="44EA5062"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02605A3" w14:textId="77777777" w:rsidR="001341EC" w:rsidRPr="002F64AC" w:rsidRDefault="001341EC" w:rsidP="00165AA6">
            <w:pPr>
              <w:rPr>
                <w:rFonts w:ascii="Book Antiqua" w:hAnsi="Book Antiqua"/>
              </w:rPr>
            </w:pPr>
            <w:r w:rsidRPr="002F64AC">
              <w:rPr>
                <w:rFonts w:ascii="Book Antiqua" w:hAnsi="Book Antiqua"/>
              </w:rPr>
              <w:t>Juzgado Agrario de Goicoechea</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DB31BBA" w14:textId="77777777" w:rsidR="001341EC" w:rsidRPr="002F64AC" w:rsidRDefault="001341EC" w:rsidP="00165AA6">
            <w:pPr>
              <w:jc w:val="center"/>
              <w:rPr>
                <w:rFonts w:ascii="Book Antiqua" w:hAnsi="Book Antiqua"/>
              </w:rPr>
            </w:pPr>
            <w:r w:rsidRPr="002F64AC">
              <w:rPr>
                <w:rFonts w:ascii="Book Antiqua" w:hAnsi="Book Antiqua"/>
              </w:rPr>
              <w:t>29</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B3B7C6C" w14:textId="77777777" w:rsidR="001341EC" w:rsidRPr="002F64AC" w:rsidRDefault="001341EC" w:rsidP="00165AA6">
            <w:pPr>
              <w:jc w:val="center"/>
              <w:rPr>
                <w:rFonts w:ascii="Book Antiqua" w:hAnsi="Book Antiqua"/>
              </w:rPr>
            </w:pPr>
            <w:r w:rsidRPr="002F64AC">
              <w:rPr>
                <w:rFonts w:ascii="Book Antiqua" w:hAnsi="Book Antiqua"/>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4210A82" w14:textId="77777777" w:rsidR="001341EC" w:rsidRPr="002F64AC" w:rsidRDefault="001341EC" w:rsidP="00165AA6">
            <w:pPr>
              <w:jc w:val="center"/>
              <w:rPr>
                <w:rFonts w:ascii="Book Antiqua" w:hAnsi="Book Antiqua"/>
              </w:rPr>
            </w:pPr>
            <w:r w:rsidRPr="002F64AC">
              <w:rPr>
                <w:rFonts w:ascii="Book Antiqua" w:hAnsi="Book Antiqua"/>
              </w:rPr>
              <w:t>15</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29CFDD0" w14:textId="77777777" w:rsidR="001341EC" w:rsidRPr="002F64AC" w:rsidRDefault="001341EC" w:rsidP="00165AA6">
            <w:pPr>
              <w:jc w:val="center"/>
              <w:rPr>
                <w:rFonts w:ascii="Book Antiqua" w:hAnsi="Book Antiqua"/>
              </w:rPr>
            </w:pPr>
            <w:r w:rsidRPr="002F64AC">
              <w:rPr>
                <w:rFonts w:ascii="Book Antiqua" w:hAnsi="Book Antiqua"/>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BC1CD36" w14:textId="77777777" w:rsidR="001341EC" w:rsidRPr="002F64AC" w:rsidRDefault="001341EC" w:rsidP="00165AA6">
            <w:pPr>
              <w:jc w:val="center"/>
              <w:rPr>
                <w:rFonts w:ascii="Book Antiqua" w:hAnsi="Book Antiqua"/>
              </w:rPr>
            </w:pPr>
            <w:r w:rsidRPr="002F64AC">
              <w:rPr>
                <w:rFonts w:ascii="Book Antiqua" w:hAnsi="Book Antiqua"/>
              </w:rPr>
              <w:t>15</w:t>
            </w:r>
          </w:p>
        </w:tc>
      </w:tr>
      <w:tr w:rsidR="001341EC" w:rsidRPr="002F64AC" w14:paraId="4CD6CA22"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C1A892E" w14:textId="77777777" w:rsidR="001341EC" w:rsidRPr="002F64AC" w:rsidRDefault="001341EC" w:rsidP="00165AA6">
            <w:pPr>
              <w:rPr>
                <w:rFonts w:ascii="Book Antiqua" w:hAnsi="Book Antiqua"/>
              </w:rPr>
            </w:pPr>
            <w:r w:rsidRPr="002F64AC">
              <w:rPr>
                <w:rFonts w:ascii="Book Antiqua" w:hAnsi="Book Antiqua"/>
              </w:rPr>
              <w:t>Juzgado Agrario de Limón</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10D91C9" w14:textId="77777777" w:rsidR="001341EC" w:rsidRPr="002F64AC" w:rsidRDefault="001341EC" w:rsidP="00165AA6">
            <w:pPr>
              <w:jc w:val="center"/>
              <w:rPr>
                <w:rFonts w:ascii="Book Antiqua" w:hAnsi="Book Antiqua"/>
              </w:rPr>
            </w:pPr>
            <w:r w:rsidRPr="002F64AC">
              <w:rPr>
                <w:rFonts w:ascii="Book Antiqua" w:hAnsi="Book Antiqua"/>
              </w:rPr>
              <w:t>28</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09EB167" w14:textId="77777777" w:rsidR="001341EC" w:rsidRPr="002F64AC" w:rsidRDefault="001341EC" w:rsidP="00165AA6">
            <w:pPr>
              <w:jc w:val="center"/>
              <w:rPr>
                <w:rFonts w:ascii="Book Antiqua" w:hAnsi="Book Antiqua"/>
              </w:rPr>
            </w:pPr>
            <w:r w:rsidRPr="002F64AC">
              <w:rPr>
                <w:rFonts w:ascii="Book Antiqua" w:hAnsi="Book Antiqua"/>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30866AE" w14:textId="77777777" w:rsidR="001341EC" w:rsidRPr="002F64AC" w:rsidRDefault="001341EC" w:rsidP="00165AA6">
            <w:pPr>
              <w:jc w:val="center"/>
              <w:rPr>
                <w:rFonts w:ascii="Book Antiqua" w:hAnsi="Book Antiqua"/>
              </w:rPr>
            </w:pPr>
            <w:r w:rsidRPr="002F64AC">
              <w:rPr>
                <w:rFonts w:ascii="Book Antiqua" w:hAnsi="Book Antiqua"/>
              </w:rPr>
              <w:t>14</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457E5C5" w14:textId="77777777" w:rsidR="001341EC" w:rsidRPr="002F64AC" w:rsidRDefault="001341EC" w:rsidP="00165AA6">
            <w:pPr>
              <w:jc w:val="center"/>
              <w:rPr>
                <w:rFonts w:ascii="Book Antiqua" w:hAnsi="Book Antiqua"/>
              </w:rPr>
            </w:pPr>
            <w:r w:rsidRPr="002F64AC">
              <w:rPr>
                <w:rFonts w:ascii="Book Antiqua" w:hAnsi="Book Antiqua"/>
              </w:rPr>
              <w:t>4</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B169820" w14:textId="77777777" w:rsidR="001341EC" w:rsidRPr="002F64AC" w:rsidRDefault="001341EC" w:rsidP="00165AA6">
            <w:pPr>
              <w:jc w:val="center"/>
              <w:rPr>
                <w:rFonts w:ascii="Book Antiqua" w:hAnsi="Book Antiqua"/>
              </w:rPr>
            </w:pPr>
            <w:r w:rsidRPr="002F64AC">
              <w:rPr>
                <w:rFonts w:ascii="Book Antiqua" w:hAnsi="Book Antiqua"/>
              </w:rPr>
              <w:t>7</w:t>
            </w:r>
          </w:p>
        </w:tc>
      </w:tr>
      <w:tr w:rsidR="001341EC" w:rsidRPr="002F64AC" w14:paraId="08E234E7"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7155144" w14:textId="77777777" w:rsidR="001341EC" w:rsidRPr="002F64AC" w:rsidRDefault="001341EC" w:rsidP="00165AA6">
            <w:pPr>
              <w:rPr>
                <w:rFonts w:ascii="Book Antiqua" w:hAnsi="Book Antiqua"/>
              </w:rPr>
            </w:pPr>
            <w:r w:rsidRPr="002F64AC">
              <w:rPr>
                <w:rFonts w:ascii="Book Antiqua" w:hAnsi="Book Antiqua"/>
              </w:rPr>
              <w:t>Juzgado Agrario de San Ramón</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7DB9284" w14:textId="77777777" w:rsidR="001341EC" w:rsidRPr="002F64AC" w:rsidRDefault="001341EC" w:rsidP="00165AA6">
            <w:pPr>
              <w:jc w:val="center"/>
              <w:rPr>
                <w:rFonts w:ascii="Book Antiqua" w:hAnsi="Book Antiqua"/>
              </w:rPr>
            </w:pPr>
            <w:r w:rsidRPr="002F64AC">
              <w:rPr>
                <w:rFonts w:ascii="Book Antiqua" w:hAnsi="Book Antiqua"/>
              </w:rPr>
              <w:t>27</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D90B29B" w14:textId="77777777" w:rsidR="001341EC" w:rsidRPr="002F64AC" w:rsidRDefault="001341EC" w:rsidP="00165AA6">
            <w:pPr>
              <w:jc w:val="center"/>
              <w:rPr>
                <w:rFonts w:ascii="Book Antiqua" w:hAnsi="Book Antiqua"/>
              </w:rPr>
            </w:pPr>
            <w:r w:rsidRPr="002F64AC">
              <w:rPr>
                <w:rFonts w:ascii="Book Antiqua" w:hAnsi="Book Antiqua"/>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320F0A7" w14:textId="77777777" w:rsidR="001341EC" w:rsidRPr="002F64AC" w:rsidRDefault="001341EC" w:rsidP="00165AA6">
            <w:pPr>
              <w:jc w:val="center"/>
              <w:rPr>
                <w:rFonts w:ascii="Book Antiqua" w:hAnsi="Book Antiqua"/>
              </w:rPr>
            </w:pPr>
            <w:r w:rsidRPr="002F64AC">
              <w:rPr>
                <w:rFonts w:ascii="Book Antiqua" w:hAnsi="Book Antiqua"/>
              </w:rPr>
              <w:t>14</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1BCF264" w14:textId="77777777" w:rsidR="001341EC" w:rsidRPr="002F64AC" w:rsidRDefault="001341EC" w:rsidP="00165AA6">
            <w:pPr>
              <w:jc w:val="center"/>
              <w:rPr>
                <w:rFonts w:ascii="Book Antiqua" w:hAnsi="Book Antiqua"/>
              </w:rPr>
            </w:pPr>
            <w:r w:rsidRPr="002F64AC">
              <w:rPr>
                <w:rFonts w:ascii="Book Antiqua" w:hAnsi="Book Antiqua"/>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8AB90E4" w14:textId="77777777" w:rsidR="001341EC" w:rsidRPr="002F64AC" w:rsidRDefault="001341EC" w:rsidP="00165AA6">
            <w:pPr>
              <w:jc w:val="center"/>
              <w:rPr>
                <w:rFonts w:ascii="Book Antiqua" w:hAnsi="Book Antiqua"/>
              </w:rPr>
            </w:pPr>
            <w:r w:rsidRPr="002F64AC">
              <w:rPr>
                <w:rFonts w:ascii="Book Antiqua" w:hAnsi="Book Antiqua"/>
              </w:rPr>
              <w:t>14</w:t>
            </w:r>
          </w:p>
        </w:tc>
      </w:tr>
      <w:tr w:rsidR="001341EC" w:rsidRPr="002F64AC" w14:paraId="532B7D09"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9142CA0" w14:textId="77777777" w:rsidR="001341EC" w:rsidRPr="002F64AC" w:rsidRDefault="001341EC" w:rsidP="00165AA6">
            <w:pPr>
              <w:rPr>
                <w:rFonts w:ascii="Book Antiqua" w:hAnsi="Book Antiqua"/>
              </w:rPr>
            </w:pPr>
            <w:r w:rsidRPr="002F64AC">
              <w:rPr>
                <w:rFonts w:ascii="Book Antiqua" w:hAnsi="Book Antiqua"/>
              </w:rPr>
              <w:t>Juzgado Agrario de Liberia</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600E47F" w14:textId="77777777" w:rsidR="001341EC" w:rsidRPr="002F64AC" w:rsidRDefault="001341EC" w:rsidP="00165AA6">
            <w:pPr>
              <w:jc w:val="center"/>
              <w:rPr>
                <w:rFonts w:ascii="Book Antiqua" w:hAnsi="Book Antiqua"/>
              </w:rPr>
            </w:pPr>
            <w:r w:rsidRPr="002F64AC">
              <w:rPr>
                <w:rFonts w:ascii="Book Antiqua" w:hAnsi="Book Antiqua"/>
              </w:rPr>
              <w:t>25</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B4AA4F8" w14:textId="77777777" w:rsidR="001341EC" w:rsidRPr="002F64AC" w:rsidRDefault="001341EC" w:rsidP="00165AA6">
            <w:pPr>
              <w:jc w:val="center"/>
              <w:rPr>
                <w:rFonts w:ascii="Book Antiqua" w:hAnsi="Book Antiqua"/>
              </w:rPr>
            </w:pPr>
            <w:r w:rsidRPr="002F64AC">
              <w:rPr>
                <w:rFonts w:ascii="Book Antiqua" w:hAnsi="Book Antiqua"/>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9A786D9" w14:textId="77777777" w:rsidR="001341EC" w:rsidRPr="002F64AC" w:rsidRDefault="001341EC" w:rsidP="00165AA6">
            <w:pPr>
              <w:jc w:val="center"/>
              <w:rPr>
                <w:rFonts w:ascii="Book Antiqua" w:hAnsi="Book Antiqua"/>
              </w:rPr>
            </w:pPr>
            <w:r w:rsidRPr="002F64AC">
              <w:rPr>
                <w:rFonts w:ascii="Book Antiqua" w:hAnsi="Book Antiqua"/>
              </w:rPr>
              <w:t>13</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AED1AFB" w14:textId="77777777" w:rsidR="001341EC" w:rsidRPr="002F64AC" w:rsidRDefault="001341EC" w:rsidP="00165AA6">
            <w:pPr>
              <w:jc w:val="center"/>
              <w:rPr>
                <w:rFonts w:ascii="Book Antiqua" w:hAnsi="Book Antiqua"/>
              </w:rPr>
            </w:pPr>
            <w:r w:rsidRPr="002F64AC">
              <w:rPr>
                <w:rFonts w:ascii="Book Antiqua" w:hAnsi="Book Antiqua"/>
              </w:rPr>
              <w:t>4</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530FB74" w14:textId="77777777" w:rsidR="001341EC" w:rsidRPr="002F64AC" w:rsidRDefault="001341EC" w:rsidP="00165AA6">
            <w:pPr>
              <w:jc w:val="center"/>
              <w:rPr>
                <w:rFonts w:ascii="Book Antiqua" w:hAnsi="Book Antiqua"/>
              </w:rPr>
            </w:pPr>
            <w:r w:rsidRPr="002F64AC">
              <w:rPr>
                <w:rFonts w:ascii="Book Antiqua" w:hAnsi="Book Antiqua"/>
              </w:rPr>
              <w:t>6</w:t>
            </w:r>
          </w:p>
        </w:tc>
      </w:tr>
      <w:tr w:rsidR="001341EC" w:rsidRPr="002F64AC" w14:paraId="6CC53376"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668B1B0" w14:textId="77777777" w:rsidR="001341EC" w:rsidRPr="002F64AC" w:rsidRDefault="001341EC" w:rsidP="00165AA6">
            <w:pPr>
              <w:rPr>
                <w:rFonts w:ascii="Book Antiqua" w:hAnsi="Book Antiqua"/>
              </w:rPr>
            </w:pPr>
            <w:r w:rsidRPr="002F64AC">
              <w:rPr>
                <w:rFonts w:ascii="Book Antiqua" w:hAnsi="Book Antiqua"/>
              </w:rPr>
              <w:t>Juzgado Agrario de Cartago</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9758A99" w14:textId="77777777" w:rsidR="001341EC" w:rsidRPr="002F64AC" w:rsidRDefault="001341EC" w:rsidP="00165AA6">
            <w:pPr>
              <w:jc w:val="center"/>
              <w:rPr>
                <w:rFonts w:ascii="Book Antiqua" w:hAnsi="Book Antiqua"/>
              </w:rPr>
            </w:pPr>
            <w:r w:rsidRPr="002F64AC">
              <w:rPr>
                <w:rFonts w:ascii="Book Antiqua" w:hAnsi="Book Antiqua"/>
              </w:rPr>
              <w:t>24</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D52EB5E" w14:textId="77777777" w:rsidR="001341EC" w:rsidRPr="002F64AC" w:rsidRDefault="001341EC" w:rsidP="00165AA6">
            <w:pPr>
              <w:jc w:val="center"/>
              <w:rPr>
                <w:rFonts w:ascii="Book Antiqua" w:hAnsi="Book Antiqua"/>
              </w:rPr>
            </w:pPr>
            <w:r w:rsidRPr="002F64AC">
              <w:rPr>
                <w:rFonts w:ascii="Book Antiqua" w:hAnsi="Book Antiqua"/>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11C628C" w14:textId="77777777" w:rsidR="001341EC" w:rsidRPr="002F64AC" w:rsidRDefault="001341EC" w:rsidP="00165AA6">
            <w:pPr>
              <w:jc w:val="center"/>
              <w:rPr>
                <w:rFonts w:ascii="Book Antiqua" w:hAnsi="Book Antiqua"/>
              </w:rPr>
            </w:pPr>
            <w:r w:rsidRPr="002F64AC">
              <w:rPr>
                <w:rFonts w:ascii="Book Antiqua" w:hAnsi="Book Antiqua"/>
              </w:rPr>
              <w:t>12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8FD4FD4" w14:textId="77777777" w:rsidR="001341EC" w:rsidRPr="002F64AC" w:rsidRDefault="001341EC" w:rsidP="00165AA6">
            <w:pPr>
              <w:jc w:val="center"/>
              <w:rPr>
                <w:rFonts w:ascii="Book Antiqua" w:hAnsi="Book Antiqua"/>
              </w:rPr>
            </w:pPr>
            <w:r w:rsidRPr="002F64AC">
              <w:rPr>
                <w:rFonts w:ascii="Book Antiqua" w:hAnsi="Book Antiqua"/>
              </w:rPr>
              <w:t>3</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8EC4FFC" w14:textId="77777777" w:rsidR="001341EC" w:rsidRPr="002F64AC" w:rsidRDefault="001341EC" w:rsidP="00165AA6">
            <w:pPr>
              <w:jc w:val="center"/>
              <w:rPr>
                <w:rFonts w:ascii="Book Antiqua" w:hAnsi="Book Antiqua"/>
              </w:rPr>
            </w:pPr>
            <w:r w:rsidRPr="002F64AC">
              <w:rPr>
                <w:rFonts w:ascii="Book Antiqua" w:hAnsi="Book Antiqua"/>
              </w:rPr>
              <w:t>8</w:t>
            </w:r>
          </w:p>
        </w:tc>
      </w:tr>
      <w:tr w:rsidR="001341EC" w:rsidRPr="002F64AC" w14:paraId="08CB9636"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454298E" w14:textId="77777777" w:rsidR="001341EC" w:rsidRPr="002F64AC" w:rsidRDefault="001341EC" w:rsidP="00165AA6">
            <w:pPr>
              <w:rPr>
                <w:rFonts w:ascii="Book Antiqua" w:hAnsi="Book Antiqua"/>
              </w:rPr>
            </w:pPr>
            <w:r w:rsidRPr="002F64AC">
              <w:rPr>
                <w:rFonts w:ascii="Book Antiqua" w:hAnsi="Book Antiqua"/>
              </w:rPr>
              <w:t xml:space="preserve">Juzgado Agrario de Alajuela </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BCB17D0" w14:textId="77777777" w:rsidR="001341EC" w:rsidRPr="002F64AC" w:rsidRDefault="001341EC" w:rsidP="00165AA6">
            <w:pPr>
              <w:jc w:val="center"/>
              <w:rPr>
                <w:rFonts w:ascii="Book Antiqua" w:hAnsi="Book Antiqua"/>
              </w:rPr>
            </w:pPr>
            <w:r w:rsidRPr="002F64AC">
              <w:rPr>
                <w:rFonts w:ascii="Book Antiqua" w:hAnsi="Book Antiqua"/>
              </w:rPr>
              <w:t>23</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95D3745" w14:textId="77777777" w:rsidR="001341EC" w:rsidRPr="002F64AC" w:rsidRDefault="001341EC" w:rsidP="00165AA6">
            <w:pPr>
              <w:jc w:val="center"/>
              <w:rPr>
                <w:rFonts w:ascii="Book Antiqua" w:hAnsi="Book Antiqua"/>
              </w:rPr>
            </w:pPr>
            <w:r w:rsidRPr="002F64AC">
              <w:rPr>
                <w:rFonts w:ascii="Book Antiqua" w:hAnsi="Book Antiqua"/>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81E0817" w14:textId="77777777" w:rsidR="001341EC" w:rsidRPr="002F64AC" w:rsidRDefault="001341EC" w:rsidP="00165AA6">
            <w:pPr>
              <w:jc w:val="center"/>
              <w:rPr>
                <w:rFonts w:ascii="Book Antiqua" w:hAnsi="Book Antiqua"/>
              </w:rPr>
            </w:pPr>
            <w:r w:rsidRPr="002F64AC">
              <w:rPr>
                <w:rFonts w:ascii="Book Antiqua" w:hAnsi="Book Antiqua"/>
              </w:rPr>
              <w:t>12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32932C6" w14:textId="77777777" w:rsidR="001341EC" w:rsidRPr="002F64AC" w:rsidRDefault="001341EC" w:rsidP="00165AA6">
            <w:pPr>
              <w:jc w:val="center"/>
              <w:rPr>
                <w:rFonts w:ascii="Book Antiqua" w:hAnsi="Book Antiqua"/>
              </w:rPr>
            </w:pPr>
            <w:r w:rsidRPr="002F64AC">
              <w:rPr>
                <w:rFonts w:ascii="Book Antiqua" w:hAnsi="Book Antiqua"/>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E8D964B" w14:textId="77777777" w:rsidR="001341EC" w:rsidRPr="002F64AC" w:rsidRDefault="001341EC" w:rsidP="00165AA6">
            <w:pPr>
              <w:jc w:val="center"/>
              <w:rPr>
                <w:rFonts w:ascii="Book Antiqua" w:hAnsi="Book Antiqua"/>
              </w:rPr>
            </w:pPr>
            <w:r w:rsidRPr="002F64AC">
              <w:rPr>
                <w:rFonts w:ascii="Book Antiqua" w:hAnsi="Book Antiqua"/>
              </w:rPr>
              <w:t>12</w:t>
            </w:r>
          </w:p>
        </w:tc>
      </w:tr>
      <w:tr w:rsidR="001341EC" w:rsidRPr="002F64AC" w14:paraId="5C90540E"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54E5CBA" w14:textId="77777777" w:rsidR="001341EC" w:rsidRPr="002F64AC" w:rsidRDefault="001341EC" w:rsidP="00165AA6">
            <w:pPr>
              <w:rPr>
                <w:rFonts w:ascii="Book Antiqua" w:hAnsi="Book Antiqua"/>
              </w:rPr>
            </w:pPr>
            <w:r w:rsidRPr="002F64AC">
              <w:rPr>
                <w:rFonts w:ascii="Book Antiqua" w:hAnsi="Book Antiqua"/>
              </w:rPr>
              <w:t>Juzgado Agrario de Corredores</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A480D82" w14:textId="77777777" w:rsidR="001341EC" w:rsidRPr="002F64AC" w:rsidRDefault="001341EC" w:rsidP="00165AA6">
            <w:pPr>
              <w:jc w:val="center"/>
              <w:rPr>
                <w:rFonts w:ascii="Book Antiqua" w:hAnsi="Book Antiqua"/>
              </w:rPr>
            </w:pPr>
            <w:r w:rsidRPr="002F64AC">
              <w:rPr>
                <w:rFonts w:ascii="Book Antiqua" w:hAnsi="Book Antiqua"/>
              </w:rPr>
              <w:t>22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93B0813" w14:textId="77777777" w:rsidR="001341EC" w:rsidRPr="002F64AC" w:rsidRDefault="001341EC" w:rsidP="00165AA6">
            <w:pPr>
              <w:jc w:val="center"/>
              <w:rPr>
                <w:rFonts w:ascii="Book Antiqua" w:hAnsi="Book Antiqua"/>
              </w:rPr>
            </w:pPr>
            <w:r w:rsidRPr="002F64AC">
              <w:rPr>
                <w:rFonts w:ascii="Book Antiqua" w:hAnsi="Book Antiqua"/>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8B17E31" w14:textId="77777777" w:rsidR="001341EC" w:rsidRPr="002F64AC" w:rsidRDefault="001341EC" w:rsidP="00165AA6">
            <w:pPr>
              <w:jc w:val="center"/>
              <w:rPr>
                <w:rFonts w:ascii="Book Antiqua" w:hAnsi="Book Antiqua"/>
              </w:rPr>
            </w:pPr>
            <w:r w:rsidRPr="002F64AC">
              <w:rPr>
                <w:rFonts w:ascii="Book Antiqua" w:hAnsi="Book Antiqua"/>
              </w:rPr>
              <w:t>11</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C430DF8" w14:textId="77777777" w:rsidR="001341EC" w:rsidRPr="002F64AC" w:rsidRDefault="001341EC" w:rsidP="00165AA6">
            <w:pPr>
              <w:jc w:val="center"/>
              <w:rPr>
                <w:rFonts w:ascii="Book Antiqua" w:hAnsi="Book Antiqua"/>
              </w:rPr>
            </w:pPr>
            <w:r w:rsidRPr="002F64AC">
              <w:rPr>
                <w:rFonts w:ascii="Book Antiqua" w:hAnsi="Book Antiqua"/>
              </w:rPr>
              <w:t>3</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37BB9B7" w14:textId="77777777" w:rsidR="001341EC" w:rsidRPr="002F64AC" w:rsidRDefault="001341EC" w:rsidP="00165AA6">
            <w:pPr>
              <w:jc w:val="center"/>
              <w:rPr>
                <w:rFonts w:ascii="Book Antiqua" w:hAnsi="Book Antiqua"/>
              </w:rPr>
            </w:pPr>
            <w:r w:rsidRPr="002F64AC">
              <w:rPr>
                <w:rFonts w:ascii="Book Antiqua" w:hAnsi="Book Antiqua"/>
              </w:rPr>
              <w:t>7</w:t>
            </w:r>
          </w:p>
        </w:tc>
      </w:tr>
      <w:tr w:rsidR="001341EC" w:rsidRPr="002F64AC" w14:paraId="2EC2A56D"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7F58E3B" w14:textId="77777777" w:rsidR="001341EC" w:rsidRPr="002F64AC" w:rsidRDefault="001341EC" w:rsidP="00165AA6">
            <w:pPr>
              <w:rPr>
                <w:rFonts w:ascii="Book Antiqua" w:hAnsi="Book Antiqua"/>
                <w:i/>
              </w:rPr>
            </w:pPr>
            <w:r w:rsidRPr="002F64AC">
              <w:rPr>
                <w:rFonts w:ascii="Book Antiqua" w:hAnsi="Book Antiqua"/>
                <w:i/>
              </w:rPr>
              <w:t>Juzgado Civil y Trabajo de Upala</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25E2B8D" w14:textId="77777777" w:rsidR="001341EC" w:rsidRPr="002F64AC" w:rsidRDefault="001341EC" w:rsidP="00165AA6">
            <w:pPr>
              <w:jc w:val="center"/>
              <w:rPr>
                <w:rFonts w:ascii="Book Antiqua" w:hAnsi="Book Antiqua"/>
                <w:i/>
              </w:rPr>
            </w:pPr>
            <w:r w:rsidRPr="002F64AC">
              <w:rPr>
                <w:rFonts w:ascii="Book Antiqua" w:hAnsi="Book Antiqua"/>
                <w:i/>
              </w:rPr>
              <w:t>21</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1B989F4" w14:textId="77777777" w:rsidR="001341EC" w:rsidRPr="002F64AC" w:rsidRDefault="001341EC" w:rsidP="00165AA6">
            <w:pPr>
              <w:jc w:val="center"/>
              <w:rPr>
                <w:rFonts w:ascii="Book Antiqua" w:hAnsi="Book Antiqua"/>
                <w:i/>
              </w:rPr>
            </w:pPr>
            <w:r w:rsidRPr="002F64AC">
              <w:rPr>
                <w:rFonts w:ascii="Book Antiqua" w:hAnsi="Book Antiqua"/>
                <w:i/>
              </w:rPr>
              <w:t>1</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5EE254B" w14:textId="77777777" w:rsidR="001341EC" w:rsidRPr="002F64AC" w:rsidRDefault="001341EC" w:rsidP="00165AA6">
            <w:pPr>
              <w:jc w:val="center"/>
              <w:rPr>
                <w:rFonts w:ascii="Book Antiqua" w:hAnsi="Book Antiqua"/>
                <w:i/>
              </w:rPr>
            </w:pPr>
            <w:r w:rsidRPr="002F64AC">
              <w:rPr>
                <w:rFonts w:ascii="Book Antiqua" w:hAnsi="Book Antiqua"/>
                <w:i/>
              </w:rPr>
              <w:t>21</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C1964F2" w14:textId="77777777" w:rsidR="001341EC" w:rsidRPr="002F64AC" w:rsidRDefault="001341EC" w:rsidP="00165AA6">
            <w:pPr>
              <w:jc w:val="center"/>
              <w:rPr>
                <w:rFonts w:ascii="Book Antiqua" w:hAnsi="Book Antiqua"/>
                <w:i/>
              </w:rPr>
            </w:pPr>
            <w:r w:rsidRPr="002F64AC">
              <w:rPr>
                <w:rFonts w:ascii="Book Antiqua" w:hAnsi="Book Antiqua"/>
                <w:i/>
              </w:rPr>
              <w:t>5</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5426252" w14:textId="77777777" w:rsidR="001341EC" w:rsidRPr="002F64AC" w:rsidRDefault="001341EC" w:rsidP="00165AA6">
            <w:pPr>
              <w:jc w:val="center"/>
              <w:rPr>
                <w:rFonts w:ascii="Book Antiqua" w:hAnsi="Book Antiqua"/>
                <w:i/>
              </w:rPr>
            </w:pPr>
            <w:r w:rsidRPr="002F64AC">
              <w:rPr>
                <w:rFonts w:ascii="Book Antiqua" w:hAnsi="Book Antiqua"/>
                <w:i/>
              </w:rPr>
              <w:t>4</w:t>
            </w:r>
          </w:p>
        </w:tc>
      </w:tr>
      <w:tr w:rsidR="001341EC" w:rsidRPr="002F64AC" w14:paraId="3A68EB30"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C5124EE" w14:textId="77777777" w:rsidR="001341EC" w:rsidRPr="002F64AC" w:rsidRDefault="001341EC" w:rsidP="00165AA6">
            <w:pPr>
              <w:rPr>
                <w:rFonts w:ascii="Book Antiqua" w:hAnsi="Book Antiqua"/>
                <w:i/>
              </w:rPr>
            </w:pPr>
            <w:r w:rsidRPr="002F64AC">
              <w:rPr>
                <w:rFonts w:ascii="Book Antiqua" w:hAnsi="Book Antiqua"/>
                <w:i/>
              </w:rPr>
              <w:t>Juzgado Agrario de Pérez Zeledón</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002B299" w14:textId="77777777" w:rsidR="001341EC" w:rsidRPr="002F64AC" w:rsidRDefault="001341EC" w:rsidP="00165AA6">
            <w:pPr>
              <w:jc w:val="center"/>
              <w:rPr>
                <w:rFonts w:ascii="Book Antiqua" w:hAnsi="Book Antiqua"/>
                <w:i/>
              </w:rPr>
            </w:pPr>
            <w:r w:rsidRPr="002F64AC">
              <w:rPr>
                <w:rFonts w:ascii="Book Antiqua" w:hAnsi="Book Antiqua"/>
                <w:i/>
              </w:rPr>
              <w:t>16</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28A8667" w14:textId="77777777" w:rsidR="001341EC" w:rsidRPr="002F64AC" w:rsidRDefault="001341EC" w:rsidP="00165AA6">
            <w:pPr>
              <w:jc w:val="center"/>
              <w:rPr>
                <w:rFonts w:ascii="Book Antiqua" w:hAnsi="Book Antiqua"/>
                <w:i/>
              </w:rPr>
            </w:pPr>
            <w:r w:rsidRPr="002F64AC">
              <w:rPr>
                <w:rFonts w:ascii="Book Antiqua" w:hAnsi="Book Antiqua"/>
                <w:i/>
              </w:rPr>
              <w:t>1</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752E9B1" w14:textId="77777777" w:rsidR="001341EC" w:rsidRPr="002F64AC" w:rsidRDefault="001341EC" w:rsidP="00165AA6">
            <w:pPr>
              <w:jc w:val="center"/>
              <w:rPr>
                <w:rFonts w:ascii="Book Antiqua" w:hAnsi="Book Antiqua"/>
                <w:i/>
              </w:rPr>
            </w:pPr>
            <w:r w:rsidRPr="002F64AC">
              <w:rPr>
                <w:rFonts w:ascii="Book Antiqua" w:hAnsi="Book Antiqua"/>
                <w:i/>
              </w:rPr>
              <w:t>16</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2DC280E" w14:textId="77777777" w:rsidR="001341EC" w:rsidRPr="002F64AC" w:rsidRDefault="001341EC" w:rsidP="00165AA6">
            <w:pPr>
              <w:jc w:val="center"/>
              <w:rPr>
                <w:rFonts w:ascii="Book Antiqua" w:hAnsi="Book Antiqua"/>
                <w:i/>
              </w:rPr>
            </w:pPr>
            <w:r w:rsidRPr="002F64AC">
              <w:rPr>
                <w:rFonts w:ascii="Book Antiqua" w:hAnsi="Book Antiqua"/>
                <w:i/>
              </w:rPr>
              <w:t>2</w:t>
            </w:r>
          </w:p>
        </w:tc>
        <w:tc>
          <w:tcPr>
            <w:tcW w:w="0" w:type="auto"/>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2F98B7D" w14:textId="77777777" w:rsidR="001341EC" w:rsidRPr="002F64AC" w:rsidRDefault="001341EC" w:rsidP="00165AA6">
            <w:pPr>
              <w:jc w:val="center"/>
              <w:rPr>
                <w:rFonts w:ascii="Book Antiqua" w:hAnsi="Book Antiqua"/>
                <w:i/>
              </w:rPr>
            </w:pPr>
            <w:r w:rsidRPr="002F64AC">
              <w:rPr>
                <w:rFonts w:ascii="Book Antiqua" w:hAnsi="Book Antiqua"/>
                <w:i/>
              </w:rPr>
              <w:t>8</w:t>
            </w:r>
          </w:p>
        </w:tc>
      </w:tr>
      <w:tr w:rsidR="001341EC" w:rsidRPr="002F64AC" w14:paraId="16E2A913" w14:textId="77777777" w:rsidTr="00165AA6">
        <w:trPr>
          <w:trHeight w:val="336"/>
          <w:jc w:val="center"/>
        </w:trPr>
        <w:tc>
          <w:tcPr>
            <w:tcW w:w="0" w:type="auto"/>
            <w:tcBorders>
              <w:top w:val="nil"/>
              <w:left w:val="double" w:sz="6" w:space="0" w:color="1F497D"/>
              <w:bottom w:val="double" w:sz="6" w:space="0" w:color="1F497D"/>
              <w:right w:val="double" w:sz="6" w:space="0" w:color="1F497D"/>
            </w:tcBorders>
            <w:shd w:val="clear" w:color="000000" w:fill="B7DEE8"/>
            <w:tcMar>
              <w:top w:w="15" w:type="dxa"/>
              <w:left w:w="15" w:type="dxa"/>
              <w:bottom w:w="0" w:type="dxa"/>
              <w:right w:w="15" w:type="dxa"/>
            </w:tcMar>
            <w:vAlign w:val="center"/>
            <w:hideMark/>
          </w:tcPr>
          <w:p w14:paraId="661373CB" w14:textId="77777777" w:rsidR="001341EC" w:rsidRPr="002F64AC" w:rsidRDefault="001341EC" w:rsidP="00165AA6">
            <w:pPr>
              <w:rPr>
                <w:rFonts w:ascii="Book Antiqua" w:hAnsi="Book Antiqua"/>
              </w:rPr>
            </w:pPr>
            <w:r w:rsidRPr="002F64AC">
              <w:rPr>
                <w:rFonts w:ascii="Book Antiqua" w:hAnsi="Book Antiqua"/>
              </w:rPr>
              <w:t>Juzgado Civil, Trabajo y Familia de Buenos Aires</w:t>
            </w:r>
          </w:p>
        </w:tc>
        <w:tc>
          <w:tcPr>
            <w:tcW w:w="0" w:type="auto"/>
            <w:tcBorders>
              <w:top w:val="nil"/>
              <w:left w:val="nil"/>
              <w:bottom w:val="double" w:sz="6" w:space="0" w:color="1F497D"/>
              <w:right w:val="double" w:sz="6" w:space="0" w:color="1F497D"/>
            </w:tcBorders>
            <w:shd w:val="clear" w:color="000000" w:fill="B7DEE8"/>
            <w:tcMar>
              <w:top w:w="15" w:type="dxa"/>
              <w:left w:w="15" w:type="dxa"/>
              <w:bottom w:w="0" w:type="dxa"/>
              <w:right w:w="15" w:type="dxa"/>
            </w:tcMar>
            <w:vAlign w:val="center"/>
            <w:hideMark/>
          </w:tcPr>
          <w:p w14:paraId="134E1E0C" w14:textId="77777777" w:rsidR="001341EC" w:rsidRPr="002F64AC" w:rsidRDefault="001341EC" w:rsidP="00165AA6">
            <w:pPr>
              <w:jc w:val="center"/>
              <w:rPr>
                <w:rFonts w:ascii="Book Antiqua" w:hAnsi="Book Antiqua"/>
              </w:rPr>
            </w:pPr>
            <w:r w:rsidRPr="002F64AC">
              <w:rPr>
                <w:rFonts w:ascii="Book Antiqua" w:hAnsi="Book Antiqua"/>
              </w:rPr>
              <w:t>9</w:t>
            </w:r>
          </w:p>
        </w:tc>
        <w:tc>
          <w:tcPr>
            <w:tcW w:w="0" w:type="auto"/>
            <w:tcBorders>
              <w:top w:val="nil"/>
              <w:left w:val="nil"/>
              <w:bottom w:val="double" w:sz="6" w:space="0" w:color="1F497D"/>
              <w:right w:val="double" w:sz="6" w:space="0" w:color="1F497D"/>
            </w:tcBorders>
            <w:shd w:val="clear" w:color="000000" w:fill="B7DEE8"/>
            <w:tcMar>
              <w:top w:w="15" w:type="dxa"/>
              <w:left w:w="15" w:type="dxa"/>
              <w:bottom w:w="0" w:type="dxa"/>
              <w:right w:w="15" w:type="dxa"/>
            </w:tcMar>
            <w:vAlign w:val="center"/>
            <w:hideMark/>
          </w:tcPr>
          <w:p w14:paraId="36E36A08" w14:textId="77777777" w:rsidR="001341EC" w:rsidRPr="002F64AC" w:rsidRDefault="001341EC" w:rsidP="00165AA6">
            <w:pPr>
              <w:jc w:val="center"/>
              <w:rPr>
                <w:rFonts w:ascii="Book Antiqua" w:hAnsi="Book Antiqua"/>
              </w:rPr>
            </w:pPr>
            <w:r w:rsidRPr="002F64AC">
              <w:rPr>
                <w:rFonts w:ascii="Book Antiqua" w:hAnsi="Book Antiqua"/>
              </w:rPr>
              <w:t>1</w:t>
            </w:r>
          </w:p>
        </w:tc>
        <w:tc>
          <w:tcPr>
            <w:tcW w:w="0" w:type="auto"/>
            <w:tcBorders>
              <w:top w:val="nil"/>
              <w:left w:val="nil"/>
              <w:bottom w:val="double" w:sz="6" w:space="0" w:color="1F497D"/>
              <w:right w:val="double" w:sz="6" w:space="0" w:color="1F497D"/>
            </w:tcBorders>
            <w:shd w:val="clear" w:color="000000" w:fill="B7DEE8"/>
            <w:tcMar>
              <w:top w:w="15" w:type="dxa"/>
              <w:left w:w="15" w:type="dxa"/>
              <w:bottom w:w="0" w:type="dxa"/>
              <w:right w:w="15" w:type="dxa"/>
            </w:tcMar>
            <w:vAlign w:val="center"/>
            <w:hideMark/>
          </w:tcPr>
          <w:p w14:paraId="4D678D2C" w14:textId="77777777" w:rsidR="001341EC" w:rsidRPr="002F64AC" w:rsidRDefault="001341EC" w:rsidP="00165AA6">
            <w:pPr>
              <w:jc w:val="center"/>
              <w:rPr>
                <w:rFonts w:ascii="Book Antiqua" w:hAnsi="Book Antiqua"/>
              </w:rPr>
            </w:pPr>
            <w:r w:rsidRPr="002F64AC">
              <w:rPr>
                <w:rFonts w:ascii="Book Antiqua" w:hAnsi="Book Antiqua"/>
              </w:rPr>
              <w:t>9</w:t>
            </w:r>
          </w:p>
        </w:tc>
        <w:tc>
          <w:tcPr>
            <w:tcW w:w="0" w:type="auto"/>
            <w:tcBorders>
              <w:top w:val="nil"/>
              <w:left w:val="nil"/>
              <w:bottom w:val="double" w:sz="6" w:space="0" w:color="1F497D"/>
              <w:right w:val="double" w:sz="6" w:space="0" w:color="1F497D"/>
            </w:tcBorders>
            <w:shd w:val="clear" w:color="000000" w:fill="B7DEE8"/>
            <w:tcMar>
              <w:top w:w="15" w:type="dxa"/>
              <w:left w:w="15" w:type="dxa"/>
              <w:bottom w:w="0" w:type="dxa"/>
              <w:right w:w="15" w:type="dxa"/>
            </w:tcMar>
            <w:vAlign w:val="center"/>
            <w:hideMark/>
          </w:tcPr>
          <w:p w14:paraId="189FA9C7" w14:textId="77777777" w:rsidR="001341EC" w:rsidRPr="002F64AC" w:rsidRDefault="001341EC" w:rsidP="00165AA6">
            <w:pPr>
              <w:jc w:val="center"/>
              <w:rPr>
                <w:rFonts w:ascii="Book Antiqua" w:hAnsi="Book Antiqua"/>
              </w:rPr>
            </w:pPr>
            <w:r w:rsidRPr="002F64AC">
              <w:rPr>
                <w:rFonts w:ascii="Book Antiqua" w:hAnsi="Book Antiqua"/>
              </w:rPr>
              <w:t>3</w:t>
            </w:r>
          </w:p>
        </w:tc>
        <w:tc>
          <w:tcPr>
            <w:tcW w:w="0" w:type="auto"/>
            <w:tcBorders>
              <w:top w:val="nil"/>
              <w:left w:val="nil"/>
              <w:bottom w:val="double" w:sz="6" w:space="0" w:color="1F497D"/>
              <w:right w:val="double" w:sz="6" w:space="0" w:color="1F497D"/>
            </w:tcBorders>
            <w:shd w:val="clear" w:color="000000" w:fill="B7DEE8"/>
            <w:tcMar>
              <w:top w:w="15" w:type="dxa"/>
              <w:left w:w="15" w:type="dxa"/>
              <w:bottom w:w="0" w:type="dxa"/>
              <w:right w:w="15" w:type="dxa"/>
            </w:tcMar>
            <w:vAlign w:val="center"/>
            <w:hideMark/>
          </w:tcPr>
          <w:p w14:paraId="4040F423" w14:textId="77777777" w:rsidR="001341EC" w:rsidRPr="002F64AC" w:rsidRDefault="001341EC" w:rsidP="00165AA6">
            <w:pPr>
              <w:jc w:val="center"/>
              <w:rPr>
                <w:rFonts w:ascii="Book Antiqua" w:hAnsi="Book Antiqua"/>
              </w:rPr>
            </w:pPr>
            <w:r w:rsidRPr="002F64AC">
              <w:rPr>
                <w:rFonts w:ascii="Book Antiqua" w:hAnsi="Book Antiqua"/>
              </w:rPr>
              <w:t>3</w:t>
            </w:r>
          </w:p>
        </w:tc>
      </w:tr>
      <w:tr w:rsidR="001341EC" w:rsidRPr="002F64AC" w14:paraId="7BD396C9" w14:textId="77777777" w:rsidTr="00165AA6">
        <w:trPr>
          <w:trHeight w:val="336"/>
          <w:jc w:val="center"/>
        </w:trPr>
        <w:tc>
          <w:tcPr>
            <w:tcW w:w="0" w:type="auto"/>
            <w:tcBorders>
              <w:top w:val="nil"/>
              <w:left w:val="double" w:sz="6" w:space="0" w:color="1F497D"/>
              <w:bottom w:val="nil"/>
              <w:right w:val="double" w:sz="6" w:space="0" w:color="1F497D"/>
            </w:tcBorders>
            <w:shd w:val="clear" w:color="000000" w:fill="B7DEE8"/>
            <w:tcMar>
              <w:top w:w="15" w:type="dxa"/>
              <w:left w:w="15" w:type="dxa"/>
              <w:bottom w:w="0" w:type="dxa"/>
              <w:right w:w="15" w:type="dxa"/>
            </w:tcMar>
            <w:vAlign w:val="center"/>
            <w:hideMark/>
          </w:tcPr>
          <w:p w14:paraId="107D06E3" w14:textId="77777777" w:rsidR="001341EC" w:rsidRPr="002F64AC" w:rsidRDefault="001341EC" w:rsidP="00165AA6">
            <w:pPr>
              <w:rPr>
                <w:rFonts w:ascii="Book Antiqua" w:hAnsi="Book Antiqua"/>
              </w:rPr>
            </w:pPr>
            <w:r w:rsidRPr="002F64AC">
              <w:rPr>
                <w:rFonts w:ascii="Book Antiqua" w:hAnsi="Book Antiqua"/>
              </w:rPr>
              <w:t>Juzgado Civil, Trabajo y Agrario de Turrialba</w:t>
            </w:r>
          </w:p>
        </w:tc>
        <w:tc>
          <w:tcPr>
            <w:tcW w:w="0" w:type="auto"/>
            <w:tcBorders>
              <w:top w:val="nil"/>
              <w:left w:val="nil"/>
              <w:bottom w:val="nil"/>
              <w:right w:val="double" w:sz="6" w:space="0" w:color="1F497D"/>
            </w:tcBorders>
            <w:shd w:val="clear" w:color="000000" w:fill="B7DEE8"/>
            <w:tcMar>
              <w:top w:w="15" w:type="dxa"/>
              <w:left w:w="15" w:type="dxa"/>
              <w:bottom w:w="0" w:type="dxa"/>
              <w:right w:w="15" w:type="dxa"/>
            </w:tcMar>
            <w:vAlign w:val="center"/>
            <w:hideMark/>
          </w:tcPr>
          <w:p w14:paraId="277DE2CC" w14:textId="77777777" w:rsidR="001341EC" w:rsidRPr="002F64AC" w:rsidRDefault="001341EC" w:rsidP="00165AA6">
            <w:pPr>
              <w:jc w:val="center"/>
              <w:rPr>
                <w:rFonts w:ascii="Book Antiqua" w:hAnsi="Book Antiqua"/>
              </w:rPr>
            </w:pPr>
            <w:r w:rsidRPr="002F64AC">
              <w:rPr>
                <w:rFonts w:ascii="Book Antiqua" w:hAnsi="Book Antiqua"/>
              </w:rPr>
              <w:t>9</w:t>
            </w:r>
          </w:p>
        </w:tc>
        <w:tc>
          <w:tcPr>
            <w:tcW w:w="0" w:type="auto"/>
            <w:tcBorders>
              <w:top w:val="nil"/>
              <w:left w:val="nil"/>
              <w:bottom w:val="nil"/>
              <w:right w:val="double" w:sz="6" w:space="0" w:color="1F497D"/>
            </w:tcBorders>
            <w:shd w:val="clear" w:color="000000" w:fill="B7DEE8"/>
            <w:tcMar>
              <w:top w:w="15" w:type="dxa"/>
              <w:left w:w="15" w:type="dxa"/>
              <w:bottom w:w="0" w:type="dxa"/>
              <w:right w:w="15" w:type="dxa"/>
            </w:tcMar>
            <w:vAlign w:val="center"/>
            <w:hideMark/>
          </w:tcPr>
          <w:p w14:paraId="237265A8" w14:textId="77777777" w:rsidR="001341EC" w:rsidRPr="002F64AC" w:rsidRDefault="001341EC" w:rsidP="00165AA6">
            <w:pPr>
              <w:jc w:val="center"/>
              <w:rPr>
                <w:rFonts w:ascii="Book Antiqua" w:hAnsi="Book Antiqua"/>
              </w:rPr>
            </w:pPr>
            <w:r w:rsidRPr="002F64AC">
              <w:rPr>
                <w:rFonts w:ascii="Book Antiqua" w:hAnsi="Book Antiqua"/>
              </w:rPr>
              <w:t>1</w:t>
            </w:r>
          </w:p>
        </w:tc>
        <w:tc>
          <w:tcPr>
            <w:tcW w:w="0" w:type="auto"/>
            <w:tcBorders>
              <w:top w:val="nil"/>
              <w:left w:val="nil"/>
              <w:bottom w:val="nil"/>
              <w:right w:val="double" w:sz="6" w:space="0" w:color="1F497D"/>
            </w:tcBorders>
            <w:shd w:val="clear" w:color="000000" w:fill="B7DEE8"/>
            <w:tcMar>
              <w:top w:w="15" w:type="dxa"/>
              <w:left w:w="15" w:type="dxa"/>
              <w:bottom w:w="0" w:type="dxa"/>
              <w:right w:w="15" w:type="dxa"/>
            </w:tcMar>
            <w:vAlign w:val="center"/>
            <w:hideMark/>
          </w:tcPr>
          <w:p w14:paraId="76B2A4B0" w14:textId="77777777" w:rsidR="001341EC" w:rsidRPr="002F64AC" w:rsidRDefault="001341EC" w:rsidP="00165AA6">
            <w:pPr>
              <w:jc w:val="center"/>
              <w:rPr>
                <w:rFonts w:ascii="Book Antiqua" w:hAnsi="Book Antiqua"/>
              </w:rPr>
            </w:pPr>
            <w:r w:rsidRPr="002F64AC">
              <w:rPr>
                <w:rFonts w:ascii="Book Antiqua" w:hAnsi="Book Antiqua"/>
              </w:rPr>
              <w:t>9</w:t>
            </w:r>
          </w:p>
        </w:tc>
        <w:tc>
          <w:tcPr>
            <w:tcW w:w="0" w:type="auto"/>
            <w:tcBorders>
              <w:top w:val="nil"/>
              <w:left w:val="nil"/>
              <w:bottom w:val="nil"/>
              <w:right w:val="double" w:sz="6" w:space="0" w:color="1F497D"/>
            </w:tcBorders>
            <w:shd w:val="clear" w:color="000000" w:fill="B7DEE8"/>
            <w:tcMar>
              <w:top w:w="15" w:type="dxa"/>
              <w:left w:w="15" w:type="dxa"/>
              <w:bottom w:w="0" w:type="dxa"/>
              <w:right w:w="15" w:type="dxa"/>
            </w:tcMar>
            <w:vAlign w:val="center"/>
            <w:hideMark/>
          </w:tcPr>
          <w:p w14:paraId="3E64D8CB" w14:textId="77777777" w:rsidR="001341EC" w:rsidRPr="002F64AC" w:rsidRDefault="001341EC" w:rsidP="00165AA6">
            <w:pPr>
              <w:jc w:val="center"/>
              <w:rPr>
                <w:rFonts w:ascii="Book Antiqua" w:hAnsi="Book Antiqua"/>
              </w:rPr>
            </w:pPr>
            <w:r w:rsidRPr="002F64AC">
              <w:rPr>
                <w:rFonts w:ascii="Book Antiqua" w:hAnsi="Book Antiqua"/>
              </w:rPr>
              <w:t>1</w:t>
            </w:r>
          </w:p>
        </w:tc>
        <w:tc>
          <w:tcPr>
            <w:tcW w:w="0" w:type="auto"/>
            <w:tcBorders>
              <w:top w:val="nil"/>
              <w:left w:val="nil"/>
              <w:bottom w:val="nil"/>
              <w:right w:val="double" w:sz="6" w:space="0" w:color="1F497D"/>
            </w:tcBorders>
            <w:shd w:val="clear" w:color="000000" w:fill="B7DEE8"/>
            <w:tcMar>
              <w:top w:w="15" w:type="dxa"/>
              <w:left w:w="15" w:type="dxa"/>
              <w:bottom w:w="0" w:type="dxa"/>
              <w:right w:w="15" w:type="dxa"/>
            </w:tcMar>
            <w:vAlign w:val="center"/>
            <w:hideMark/>
          </w:tcPr>
          <w:p w14:paraId="3DDDAA1B" w14:textId="77777777" w:rsidR="001341EC" w:rsidRPr="002F64AC" w:rsidRDefault="001341EC" w:rsidP="00165AA6">
            <w:pPr>
              <w:jc w:val="center"/>
              <w:rPr>
                <w:rFonts w:ascii="Book Antiqua" w:hAnsi="Book Antiqua"/>
              </w:rPr>
            </w:pPr>
            <w:r w:rsidRPr="002F64AC">
              <w:rPr>
                <w:rFonts w:ascii="Book Antiqua" w:hAnsi="Book Antiqua"/>
              </w:rPr>
              <w:t>9</w:t>
            </w:r>
          </w:p>
        </w:tc>
      </w:tr>
      <w:tr w:rsidR="001341EC" w:rsidRPr="002F64AC" w14:paraId="1249469A" w14:textId="77777777" w:rsidTr="00F44362">
        <w:trPr>
          <w:trHeight w:val="72"/>
          <w:jc w:val="center"/>
        </w:trPr>
        <w:tc>
          <w:tcPr>
            <w:tcW w:w="0" w:type="auto"/>
            <w:tcBorders>
              <w:top w:val="nil"/>
              <w:left w:val="double" w:sz="6" w:space="0" w:color="1F497D"/>
              <w:bottom w:val="double" w:sz="6" w:space="0" w:color="1F497D"/>
              <w:right w:val="double" w:sz="6" w:space="0" w:color="1F497D"/>
            </w:tcBorders>
            <w:shd w:val="clear" w:color="000000" w:fill="B7DEE8"/>
            <w:tcMar>
              <w:top w:w="15" w:type="dxa"/>
              <w:left w:w="15" w:type="dxa"/>
              <w:bottom w:w="0" w:type="dxa"/>
              <w:right w:w="15" w:type="dxa"/>
            </w:tcMar>
            <w:vAlign w:val="center"/>
          </w:tcPr>
          <w:p w14:paraId="7F4C9A12" w14:textId="77777777" w:rsidR="001341EC" w:rsidRPr="002F64AC" w:rsidRDefault="001341EC" w:rsidP="00165AA6">
            <w:pPr>
              <w:rPr>
                <w:rFonts w:ascii="Book Antiqua" w:hAnsi="Book Antiqua"/>
              </w:rPr>
            </w:pPr>
          </w:p>
        </w:tc>
        <w:tc>
          <w:tcPr>
            <w:tcW w:w="0" w:type="auto"/>
            <w:tcBorders>
              <w:top w:val="nil"/>
              <w:left w:val="nil"/>
              <w:bottom w:val="double" w:sz="6" w:space="0" w:color="1F497D"/>
              <w:right w:val="double" w:sz="6" w:space="0" w:color="1F497D"/>
            </w:tcBorders>
            <w:shd w:val="clear" w:color="000000" w:fill="B7DEE8"/>
            <w:tcMar>
              <w:top w:w="15" w:type="dxa"/>
              <w:left w:w="15" w:type="dxa"/>
              <w:bottom w:w="0" w:type="dxa"/>
              <w:right w:w="15" w:type="dxa"/>
            </w:tcMar>
            <w:vAlign w:val="center"/>
          </w:tcPr>
          <w:p w14:paraId="38BFAAE3" w14:textId="77777777" w:rsidR="001341EC" w:rsidRPr="002F64AC" w:rsidRDefault="001341EC" w:rsidP="00165AA6">
            <w:pPr>
              <w:jc w:val="center"/>
              <w:rPr>
                <w:rFonts w:ascii="Book Antiqua" w:hAnsi="Book Antiqua"/>
              </w:rPr>
            </w:pPr>
          </w:p>
        </w:tc>
        <w:tc>
          <w:tcPr>
            <w:tcW w:w="0" w:type="auto"/>
            <w:tcBorders>
              <w:top w:val="nil"/>
              <w:left w:val="nil"/>
              <w:bottom w:val="double" w:sz="6" w:space="0" w:color="1F497D"/>
              <w:right w:val="double" w:sz="6" w:space="0" w:color="1F497D"/>
            </w:tcBorders>
            <w:shd w:val="clear" w:color="000000" w:fill="B7DEE8"/>
            <w:tcMar>
              <w:top w:w="15" w:type="dxa"/>
              <w:left w:w="15" w:type="dxa"/>
              <w:bottom w:w="0" w:type="dxa"/>
              <w:right w:w="15" w:type="dxa"/>
            </w:tcMar>
            <w:vAlign w:val="center"/>
          </w:tcPr>
          <w:p w14:paraId="2C0B942B" w14:textId="77777777" w:rsidR="001341EC" w:rsidRPr="002F64AC" w:rsidRDefault="001341EC" w:rsidP="00165AA6">
            <w:pPr>
              <w:jc w:val="center"/>
              <w:rPr>
                <w:rFonts w:ascii="Book Antiqua" w:hAnsi="Book Antiqua"/>
              </w:rPr>
            </w:pPr>
          </w:p>
        </w:tc>
        <w:tc>
          <w:tcPr>
            <w:tcW w:w="0" w:type="auto"/>
            <w:tcBorders>
              <w:top w:val="nil"/>
              <w:left w:val="nil"/>
              <w:bottom w:val="double" w:sz="6" w:space="0" w:color="1F497D"/>
              <w:right w:val="double" w:sz="6" w:space="0" w:color="1F497D"/>
            </w:tcBorders>
            <w:shd w:val="clear" w:color="000000" w:fill="B7DEE8"/>
            <w:tcMar>
              <w:top w:w="15" w:type="dxa"/>
              <w:left w:w="15" w:type="dxa"/>
              <w:bottom w:w="0" w:type="dxa"/>
              <w:right w:w="15" w:type="dxa"/>
            </w:tcMar>
            <w:vAlign w:val="center"/>
          </w:tcPr>
          <w:p w14:paraId="533FF6F5" w14:textId="77777777" w:rsidR="001341EC" w:rsidRPr="002F64AC" w:rsidRDefault="001341EC" w:rsidP="00165AA6">
            <w:pPr>
              <w:jc w:val="center"/>
              <w:rPr>
                <w:rFonts w:ascii="Book Antiqua" w:hAnsi="Book Antiqua"/>
              </w:rPr>
            </w:pPr>
          </w:p>
        </w:tc>
        <w:tc>
          <w:tcPr>
            <w:tcW w:w="0" w:type="auto"/>
            <w:tcBorders>
              <w:top w:val="nil"/>
              <w:left w:val="nil"/>
              <w:bottom w:val="double" w:sz="6" w:space="0" w:color="1F497D"/>
              <w:right w:val="double" w:sz="6" w:space="0" w:color="1F497D"/>
            </w:tcBorders>
            <w:shd w:val="clear" w:color="000000" w:fill="B7DEE8"/>
            <w:tcMar>
              <w:top w:w="15" w:type="dxa"/>
              <w:left w:w="15" w:type="dxa"/>
              <w:bottom w:w="0" w:type="dxa"/>
              <w:right w:w="15" w:type="dxa"/>
            </w:tcMar>
            <w:vAlign w:val="center"/>
          </w:tcPr>
          <w:p w14:paraId="57F1FDD4" w14:textId="77777777" w:rsidR="001341EC" w:rsidRPr="002F64AC" w:rsidRDefault="001341EC" w:rsidP="00165AA6">
            <w:pPr>
              <w:jc w:val="center"/>
              <w:rPr>
                <w:rFonts w:ascii="Book Antiqua" w:hAnsi="Book Antiqua"/>
              </w:rPr>
            </w:pPr>
          </w:p>
        </w:tc>
        <w:tc>
          <w:tcPr>
            <w:tcW w:w="0" w:type="auto"/>
            <w:tcBorders>
              <w:top w:val="nil"/>
              <w:left w:val="nil"/>
              <w:bottom w:val="double" w:sz="6" w:space="0" w:color="1F497D"/>
              <w:right w:val="double" w:sz="6" w:space="0" w:color="1F497D"/>
            </w:tcBorders>
            <w:shd w:val="clear" w:color="000000" w:fill="B7DEE8"/>
            <w:tcMar>
              <w:top w:w="15" w:type="dxa"/>
              <w:left w:w="15" w:type="dxa"/>
              <w:bottom w:w="0" w:type="dxa"/>
              <w:right w:w="15" w:type="dxa"/>
            </w:tcMar>
            <w:vAlign w:val="center"/>
          </w:tcPr>
          <w:p w14:paraId="79A38C46" w14:textId="77777777" w:rsidR="001341EC" w:rsidRPr="002F64AC" w:rsidRDefault="001341EC" w:rsidP="00165AA6">
            <w:pPr>
              <w:jc w:val="center"/>
              <w:rPr>
                <w:rFonts w:ascii="Book Antiqua" w:hAnsi="Book Antiqua"/>
              </w:rPr>
            </w:pPr>
          </w:p>
        </w:tc>
      </w:tr>
    </w:tbl>
    <w:p w14:paraId="20264E73" w14:textId="77777777" w:rsidR="001341EC" w:rsidRDefault="001341EC" w:rsidP="001341EC">
      <w:pPr>
        <w:rPr>
          <w:rFonts w:ascii="Book Antiqua" w:hAnsi="Book Antiqua"/>
          <w:b/>
          <w:i/>
          <w:sz w:val="18"/>
          <w:lang w:eastAsia="en-US"/>
        </w:rPr>
      </w:pPr>
      <w:r w:rsidRPr="00F53CB0">
        <w:rPr>
          <w:rFonts w:ascii="Book Antiqua" w:hAnsi="Book Antiqua"/>
          <w:b/>
          <w:i/>
          <w:sz w:val="18"/>
          <w:lang w:eastAsia="en-US"/>
        </w:rPr>
        <w:t xml:space="preserve"> Fuente: Elaboración propia con base en datos del sistema SIGMA, Subproceso de Modernización </w:t>
      </w:r>
    </w:p>
    <w:p w14:paraId="789C56B5" w14:textId="77777777" w:rsidR="001341EC" w:rsidRPr="00F44362" w:rsidRDefault="001341EC" w:rsidP="00F44362">
      <w:pPr>
        <w:jc w:val="both"/>
        <w:rPr>
          <w:rFonts w:ascii="Book Antiqua" w:hAnsi="Book Antiqua"/>
        </w:rPr>
      </w:pPr>
      <w:r w:rsidRPr="00F44362">
        <w:rPr>
          <w:rFonts w:ascii="Book Antiqua" w:hAnsi="Book Antiqua"/>
        </w:rPr>
        <w:t>*</w:t>
      </w:r>
      <w:r w:rsidRPr="00D314B4">
        <w:rPr>
          <w:rFonts w:ascii="Book Antiqua" w:hAnsi="Book Antiqua"/>
          <w:i/>
        </w:rPr>
        <w:t>El Juzgado Agrario de Puntarenas sufrió una separación con la materia Civil en la entrada en vigencia el Nuevo Código procesal Civil, a partir del 8 de octubre 2018 cuenta con dos personas Juzgadoras.</w:t>
      </w:r>
      <w:r w:rsidRPr="00F44362">
        <w:rPr>
          <w:rFonts w:ascii="Book Antiqua" w:hAnsi="Book Antiqua"/>
        </w:rPr>
        <w:t xml:space="preserve"> </w:t>
      </w:r>
    </w:p>
    <w:p w14:paraId="20B76228" w14:textId="77777777" w:rsidR="001341EC" w:rsidRPr="00055D4B" w:rsidRDefault="001341EC" w:rsidP="001341EC">
      <w:pPr>
        <w:rPr>
          <w:rFonts w:ascii="Book Antiqua" w:hAnsi="Book Antiqua"/>
          <w:sz w:val="22"/>
        </w:rPr>
      </w:pPr>
    </w:p>
    <w:p w14:paraId="363D4A82" w14:textId="77777777" w:rsidR="001341EC" w:rsidRPr="00055D4B" w:rsidRDefault="001341EC" w:rsidP="001341EC">
      <w:pPr>
        <w:jc w:val="both"/>
        <w:rPr>
          <w:rFonts w:ascii="Book Antiqua" w:hAnsi="Book Antiqua"/>
          <w:sz w:val="22"/>
        </w:rPr>
      </w:pPr>
      <w:r w:rsidRPr="00055D4B">
        <w:rPr>
          <w:rFonts w:ascii="Book Antiqua" w:hAnsi="Book Antiqua"/>
          <w:sz w:val="22"/>
        </w:rPr>
        <w:t>Para recomendar la especialización de un Juzgado se considera un parámetro de 20 a 30 asuntos entrados.</w:t>
      </w:r>
    </w:p>
    <w:p w14:paraId="68603CFC" w14:textId="77777777" w:rsidR="001341EC" w:rsidRPr="00055D4B" w:rsidRDefault="001341EC" w:rsidP="001341EC">
      <w:pPr>
        <w:jc w:val="both"/>
        <w:rPr>
          <w:rFonts w:ascii="Book Antiqua" w:hAnsi="Book Antiqua"/>
          <w:sz w:val="22"/>
        </w:rPr>
      </w:pPr>
      <w:r w:rsidRPr="00055D4B">
        <w:rPr>
          <w:rFonts w:ascii="Book Antiqua" w:hAnsi="Book Antiqua"/>
          <w:sz w:val="22"/>
        </w:rPr>
        <w:t xml:space="preserve"> </w:t>
      </w:r>
    </w:p>
    <w:p w14:paraId="4F106EA1" w14:textId="77777777" w:rsidR="001341EC" w:rsidRPr="00055D4B" w:rsidRDefault="001341EC" w:rsidP="001341EC">
      <w:pPr>
        <w:jc w:val="both"/>
        <w:rPr>
          <w:rFonts w:ascii="Book Antiqua" w:hAnsi="Book Antiqua"/>
          <w:sz w:val="22"/>
        </w:rPr>
      </w:pPr>
      <w:r w:rsidRPr="00055D4B">
        <w:rPr>
          <w:rFonts w:ascii="Book Antiqua" w:hAnsi="Book Antiqua"/>
          <w:sz w:val="22"/>
        </w:rPr>
        <w:t xml:space="preserve">Por tanto; de acuerdo con lo anterior, se indica: </w:t>
      </w:r>
    </w:p>
    <w:p w14:paraId="44710395" w14:textId="77777777" w:rsidR="001341EC" w:rsidRPr="00055D4B" w:rsidRDefault="001341EC" w:rsidP="001341EC">
      <w:pPr>
        <w:rPr>
          <w:rFonts w:ascii="Book Antiqua" w:hAnsi="Book Antiqua"/>
          <w:sz w:val="22"/>
        </w:rPr>
      </w:pPr>
    </w:p>
    <w:p w14:paraId="3EA356F3" w14:textId="77777777" w:rsidR="001341EC" w:rsidRPr="000D3830" w:rsidRDefault="001341EC" w:rsidP="001341EC">
      <w:pPr>
        <w:pStyle w:val="Ttulo3"/>
        <w:keepLines/>
        <w:numPr>
          <w:ilvl w:val="2"/>
          <w:numId w:val="42"/>
        </w:numPr>
        <w:spacing w:before="40" w:after="0"/>
        <w:rPr>
          <w:rFonts w:ascii="Book Antiqua" w:hAnsi="Book Antiqua"/>
          <w:sz w:val="22"/>
        </w:rPr>
      </w:pPr>
      <w:r w:rsidRPr="000D3830">
        <w:rPr>
          <w:rFonts w:ascii="Book Antiqua" w:hAnsi="Book Antiqua"/>
          <w:sz w:val="22"/>
        </w:rPr>
        <w:t>Juzgado Agrario de Upala</w:t>
      </w:r>
    </w:p>
    <w:p w14:paraId="1B4B90BB" w14:textId="77777777" w:rsidR="001341EC" w:rsidRPr="000D3830" w:rsidRDefault="001341EC" w:rsidP="001341EC"/>
    <w:p w14:paraId="3CFC115A" w14:textId="77777777" w:rsidR="001341EC" w:rsidRDefault="001341EC" w:rsidP="001341EC">
      <w:pPr>
        <w:jc w:val="both"/>
        <w:rPr>
          <w:rFonts w:ascii="Book Antiqua" w:hAnsi="Book Antiqua"/>
          <w:sz w:val="22"/>
        </w:rPr>
      </w:pPr>
      <w:r w:rsidRPr="00055D4B">
        <w:rPr>
          <w:rFonts w:ascii="Book Antiqua" w:hAnsi="Book Antiqua"/>
          <w:sz w:val="22"/>
        </w:rPr>
        <w:t>En el caso de Upala, quien actualmente tramita varias materias y en el caso de la Jueza a cargo de la materia agraria, debe tramitar adicionalmente la materia Penal Juvenil, al mostrar una entrada de 21 asuntos mensuales (se ubica dentro del parámetro de 20 a 30 casos), cumple con el parámetro para la especialización; por lo cual, contaría con una estructura de dos personas juzgadoras, un Coordinador Judicial y dos personas técnicas judiciales. Además del acondicionamiento del de la infraestructura física y tecnológica.</w:t>
      </w:r>
    </w:p>
    <w:p w14:paraId="2D32851C" w14:textId="77777777" w:rsidR="001341EC" w:rsidRDefault="001341EC" w:rsidP="001341EC">
      <w:pPr>
        <w:rPr>
          <w:rFonts w:ascii="Book Antiqua" w:hAnsi="Book Antiqua"/>
          <w:sz w:val="22"/>
        </w:rPr>
      </w:pPr>
    </w:p>
    <w:p w14:paraId="06294DBB" w14:textId="77777777" w:rsidR="001341EC" w:rsidRPr="00055D4B" w:rsidRDefault="001341EC" w:rsidP="001341EC">
      <w:pPr>
        <w:jc w:val="both"/>
        <w:rPr>
          <w:rFonts w:ascii="Book Antiqua" w:hAnsi="Book Antiqua"/>
          <w:sz w:val="22"/>
        </w:rPr>
      </w:pPr>
      <w:r w:rsidRPr="00055D4B">
        <w:rPr>
          <w:rFonts w:ascii="Book Antiqua" w:hAnsi="Book Antiqua"/>
          <w:sz w:val="22"/>
        </w:rPr>
        <w:t>Es importante mencionar, que mediante consulta realizada a la Dirección Ejecutiva sobre la especialización de la materia Agraria en la Zona de Upala, mediante correo electrónico del 31 de marzo del 2017, el señor Rodrigo Arroyo Guzmán, Subdirector Ejecutivo, indica que se debe considerar dentro de los costos de implementación el alquiler de un local para albergar el nuevo Juzgado Agrario de Upala.</w:t>
      </w:r>
    </w:p>
    <w:p w14:paraId="7997A824" w14:textId="77777777" w:rsidR="001341EC" w:rsidRPr="00055D4B" w:rsidRDefault="001341EC" w:rsidP="001341EC">
      <w:pPr>
        <w:jc w:val="both"/>
        <w:rPr>
          <w:rFonts w:ascii="Book Antiqua" w:hAnsi="Book Antiqua"/>
          <w:sz w:val="22"/>
        </w:rPr>
      </w:pPr>
    </w:p>
    <w:p w14:paraId="4A1A6989" w14:textId="77777777" w:rsidR="001341EC" w:rsidRPr="00055D4B" w:rsidRDefault="001341EC" w:rsidP="001341EC">
      <w:pPr>
        <w:jc w:val="both"/>
        <w:rPr>
          <w:rFonts w:ascii="Book Antiqua" w:hAnsi="Book Antiqua"/>
          <w:sz w:val="22"/>
        </w:rPr>
      </w:pPr>
      <w:r w:rsidRPr="00055D4B">
        <w:rPr>
          <w:rFonts w:ascii="Book Antiqua" w:hAnsi="Book Antiqua"/>
          <w:sz w:val="22"/>
        </w:rPr>
        <w:t xml:space="preserve">La Dirección de Tecnología mediante oficio 2526-DTI-2018, del 5 de julio del 2018 presenta la actualización del oficio 1316-DTI-2017, del 3 de abril del 2018, donde se indicó que la futura entrada del Código Procesal Agrario, entre muchos aspectos contempla un cambio a nivel tecnológico en los despachos judiciales que atienden dicha materia. Lo anterior, nos obliga a determinar un presupuesto que permita ejecutar todas las tareas y acciones necesarias para dotar a los mismos de las herramientas tecnológicas y los dispositivos requeridos para la utilización de estas aplicaciones. </w:t>
      </w:r>
      <w:r w:rsidRPr="00055D4B">
        <w:rPr>
          <w:rFonts w:ascii="Book Antiqua" w:hAnsi="Book Antiqua"/>
          <w:b/>
          <w:sz w:val="22"/>
        </w:rPr>
        <w:t>(</w:t>
      </w:r>
      <w:r w:rsidRPr="00055D4B">
        <w:rPr>
          <w:rFonts w:ascii="Book Antiqua" w:hAnsi="Book Antiqua"/>
          <w:b/>
          <w:i/>
          <w:sz w:val="22"/>
        </w:rPr>
        <w:t>ver anexo 2.</w:t>
      </w:r>
      <w:r w:rsidRPr="00055D4B">
        <w:rPr>
          <w:rFonts w:ascii="Book Antiqua" w:hAnsi="Book Antiqua"/>
          <w:b/>
          <w:sz w:val="22"/>
        </w:rPr>
        <w:t xml:space="preserve"> </w:t>
      </w:r>
      <w:r w:rsidRPr="00055D4B">
        <w:rPr>
          <w:rFonts w:ascii="Book Antiqua" w:hAnsi="Book Antiqua"/>
          <w:b/>
          <w:i/>
          <w:sz w:val="22"/>
          <w:szCs w:val="22"/>
        </w:rPr>
        <w:t>Oficio de Presupuesto Informe 2526-DTI-2018)</w:t>
      </w:r>
    </w:p>
    <w:p w14:paraId="724F7B5E" w14:textId="77777777" w:rsidR="001341EC" w:rsidRPr="00055D4B" w:rsidRDefault="001341EC" w:rsidP="001341EC">
      <w:pPr>
        <w:jc w:val="both"/>
        <w:rPr>
          <w:rFonts w:ascii="Book Antiqua" w:hAnsi="Book Antiqua"/>
          <w:sz w:val="22"/>
          <w:lang w:eastAsia="en-US"/>
        </w:rPr>
      </w:pPr>
    </w:p>
    <w:p w14:paraId="6E3CB3BD" w14:textId="77777777" w:rsidR="001341EC" w:rsidRPr="00055D4B" w:rsidRDefault="001341EC" w:rsidP="001341EC">
      <w:pPr>
        <w:jc w:val="both"/>
        <w:rPr>
          <w:rFonts w:ascii="Book Antiqua" w:hAnsi="Book Antiqua"/>
          <w:sz w:val="22"/>
        </w:rPr>
      </w:pPr>
      <w:r w:rsidRPr="00055D4B">
        <w:rPr>
          <w:rFonts w:ascii="Book Antiqua" w:hAnsi="Book Antiqua"/>
          <w:sz w:val="22"/>
        </w:rPr>
        <w:t xml:space="preserve">Por tal razón, se deben presupuestar los costos que implican los servicios de herramientas tecnológicas, dispositivos periféricos, equipo de cómputo, enlaces de comunicación, equipos de grabación de audiencias, entre otros y que se deben ejecutar durante el desarrollo del proyecto de implementación de sistemas. </w:t>
      </w:r>
    </w:p>
    <w:p w14:paraId="29C85DC3" w14:textId="77777777" w:rsidR="001341EC" w:rsidRPr="00055D4B" w:rsidRDefault="001341EC" w:rsidP="001341EC">
      <w:pPr>
        <w:rPr>
          <w:rFonts w:ascii="Book Antiqua" w:hAnsi="Book Antiqua"/>
          <w:sz w:val="22"/>
        </w:rPr>
      </w:pPr>
    </w:p>
    <w:p w14:paraId="06C1BE50" w14:textId="77777777" w:rsidR="001341EC" w:rsidRPr="00055D4B" w:rsidRDefault="001341EC" w:rsidP="001341EC">
      <w:pPr>
        <w:jc w:val="both"/>
        <w:rPr>
          <w:rFonts w:ascii="Book Antiqua" w:hAnsi="Book Antiqua" w:cs="Times-Roman"/>
          <w:sz w:val="22"/>
          <w:highlight w:val="yellow"/>
        </w:rPr>
      </w:pPr>
      <w:r w:rsidRPr="00055D4B">
        <w:rPr>
          <w:rFonts w:ascii="Book Antiqua" w:hAnsi="Book Antiqua"/>
          <w:sz w:val="22"/>
        </w:rPr>
        <w:t>Ahora bien, tomando en consideración la observación dada por la Comisión Agraria del informe 27-PLA-MI-2017 antecedente del presente informe, enviado a consulta</w:t>
      </w:r>
      <w:r w:rsidRPr="00055D4B">
        <w:rPr>
          <w:rFonts w:ascii="Book Antiqua" w:hAnsi="Book Antiqua" w:cs="Times-Roman"/>
          <w:sz w:val="22"/>
        </w:rPr>
        <w:t xml:space="preserve">, la Dirección de Planificación en el informe 820-PLA-2018 replantea una solución y se recomienda crear una plaza de Jueza o Juez Agrario adicional a la existente en el Juzgado Mixto de Upala, dicha medida permitiría tener un ahorro en el alquiler de un local, así como, en enlaces de comunicación y recurso humano para completar las estructuras de un Juzgado Agrario. </w:t>
      </w:r>
    </w:p>
    <w:p w14:paraId="51AEA694" w14:textId="77777777" w:rsidR="001341EC" w:rsidRPr="00055D4B" w:rsidRDefault="001341EC" w:rsidP="001341EC">
      <w:pPr>
        <w:jc w:val="both"/>
        <w:rPr>
          <w:rFonts w:ascii="Book Antiqua" w:hAnsi="Book Antiqua" w:cs="Times-Roman"/>
          <w:sz w:val="22"/>
        </w:rPr>
      </w:pPr>
    </w:p>
    <w:p w14:paraId="3439595A" w14:textId="77777777" w:rsidR="001341EC" w:rsidRPr="00055D4B" w:rsidRDefault="001341EC" w:rsidP="001341EC">
      <w:pPr>
        <w:jc w:val="both"/>
        <w:rPr>
          <w:rFonts w:ascii="Book Antiqua" w:hAnsi="Book Antiqua"/>
          <w:sz w:val="22"/>
        </w:rPr>
      </w:pPr>
      <w:r w:rsidRPr="00055D4B">
        <w:rPr>
          <w:rFonts w:ascii="Book Antiqua" w:hAnsi="Book Antiqua"/>
          <w:sz w:val="22"/>
        </w:rPr>
        <w:t>Es importante indicar que mediante correo electrónico del 29 de junio de 2018, remitido por la Magistrada Carmen María Escoto Fernández, Presidenta de la Comisión de la Jurisdicción Agraria, manifiesta lo siguiente: “</w:t>
      </w:r>
      <w:r w:rsidRPr="00055D4B">
        <w:rPr>
          <w:rFonts w:ascii="Book Antiqua" w:hAnsi="Book Antiqua"/>
          <w:i/>
          <w:color w:val="000000"/>
          <w:sz w:val="22"/>
          <w:lang w:eastAsia="en-US"/>
        </w:rPr>
        <w:t xml:space="preserve">En relación con la especialización del </w:t>
      </w:r>
      <w:r w:rsidRPr="00055D4B">
        <w:rPr>
          <w:rFonts w:ascii="Book Antiqua" w:hAnsi="Book Antiqua"/>
          <w:i/>
          <w:color w:val="000000"/>
          <w:sz w:val="22"/>
          <w:lang w:eastAsia="en-US"/>
        </w:rPr>
        <w:lastRenderedPageBreak/>
        <w:t xml:space="preserve">Juzgado Mixto de Upala para que se disponga la creación de un Juzgado Agrario, se estima que no es conveniente la especialización de éste u otro despacho, pues el presupuesto del Poder Judicial y la situación Fiscal del país no amerita incrementar los costos de operación de las oficinas judiciales, pues somos conscientes de que una decisión de esa naturaleza implicaría muchas inversiones de contratación de nuevas edificaciones, personal, equipo y otros. Por ende, se considera no deben especializarse los despachos agrarios con ocasión de la implementación del proyecto”. </w:t>
      </w:r>
    </w:p>
    <w:p w14:paraId="1725A684" w14:textId="77777777" w:rsidR="001341EC" w:rsidRPr="00055D4B" w:rsidRDefault="001341EC" w:rsidP="001341EC">
      <w:pPr>
        <w:jc w:val="both"/>
        <w:rPr>
          <w:rFonts w:ascii="Book Antiqua" w:hAnsi="Book Antiqua" w:cs="Times-Roman"/>
          <w:sz w:val="22"/>
        </w:rPr>
      </w:pPr>
    </w:p>
    <w:p w14:paraId="1A71E11C" w14:textId="77777777" w:rsidR="001341EC" w:rsidRPr="00055D4B" w:rsidRDefault="001341EC" w:rsidP="001341EC">
      <w:pPr>
        <w:jc w:val="both"/>
        <w:rPr>
          <w:rFonts w:ascii="Book Antiqua" w:hAnsi="Book Antiqua" w:cs="Times-Roman"/>
          <w:sz w:val="22"/>
        </w:rPr>
      </w:pPr>
      <w:r w:rsidRPr="00055D4B">
        <w:rPr>
          <w:rFonts w:ascii="Book Antiqua" w:hAnsi="Book Antiqua" w:cs="Times-Roman"/>
          <w:sz w:val="22"/>
        </w:rPr>
        <w:t xml:space="preserve">Además, según consulta realizada a la Dirección Ejecutiva, el local que alberga el actual Juzgado Mixto de Upala tiene capacidad para incorporar la plaza recomendada. </w:t>
      </w:r>
      <w:r w:rsidRPr="00055D4B">
        <w:rPr>
          <w:rFonts w:ascii="Book Antiqua" w:hAnsi="Book Antiqua" w:cs="Times-Roman"/>
          <w:b/>
          <w:i/>
          <w:sz w:val="22"/>
        </w:rPr>
        <w:t xml:space="preserve">(ver anexo 14 </w:t>
      </w:r>
      <w:r w:rsidRPr="00055D4B">
        <w:rPr>
          <w:rFonts w:ascii="Book Antiqua" w:hAnsi="Book Antiqua"/>
          <w:b/>
          <w:i/>
          <w:sz w:val="22"/>
          <w:szCs w:val="22"/>
        </w:rPr>
        <w:t>Correo sobre consulta de espacio físico en el Juzgado Civil y Trabajo de Upala)</w:t>
      </w:r>
      <w:r w:rsidRPr="00055D4B">
        <w:rPr>
          <w:rFonts w:ascii="Book Antiqua" w:hAnsi="Book Antiqua" w:cs="Times-Roman"/>
          <w:sz w:val="22"/>
        </w:rPr>
        <w:t xml:space="preserve">  </w:t>
      </w:r>
    </w:p>
    <w:p w14:paraId="1DD5A9C5" w14:textId="77777777" w:rsidR="001341EC" w:rsidRPr="00055D4B" w:rsidRDefault="001341EC" w:rsidP="001341EC">
      <w:pPr>
        <w:jc w:val="both"/>
        <w:rPr>
          <w:rFonts w:ascii="Book Antiqua" w:hAnsi="Book Antiqua" w:cs="Times-Roman"/>
          <w:sz w:val="22"/>
        </w:rPr>
      </w:pPr>
    </w:p>
    <w:p w14:paraId="28DE9FB1" w14:textId="77777777" w:rsidR="001341EC" w:rsidRPr="00055D4B" w:rsidRDefault="001341EC" w:rsidP="001341EC">
      <w:pPr>
        <w:pStyle w:val="Pa2"/>
        <w:spacing w:line="276" w:lineRule="auto"/>
        <w:jc w:val="both"/>
        <w:rPr>
          <w:rFonts w:ascii="Book Antiqua" w:hAnsi="Book Antiqua" w:cs="Times-Roman"/>
          <w:sz w:val="22"/>
          <w:lang w:val="es-CR"/>
        </w:rPr>
      </w:pPr>
      <w:r w:rsidRPr="00055D4B">
        <w:rPr>
          <w:rFonts w:ascii="Book Antiqua" w:hAnsi="Book Antiqua" w:cs="Times-Roman"/>
          <w:sz w:val="22"/>
          <w:lang w:val="es-CR"/>
        </w:rPr>
        <w:t xml:space="preserve">Dicha recomendación va acorde a lo establecido en el artículo 9 del Nuevo Código Procesal Agrario, que establece </w:t>
      </w:r>
      <w:r w:rsidRPr="00055D4B">
        <w:rPr>
          <w:rFonts w:ascii="Book Antiqua" w:hAnsi="Book Antiqua" w:cs="Times-Roman"/>
          <w:i/>
          <w:sz w:val="22"/>
          <w:lang w:val="es-CR"/>
        </w:rPr>
        <w:t>“Órganos jurisdiccionales: La Jurisdicción Agraria estará a cargo de los Juzgados y Tribunales Agrarios, integrados por personas juzgadoras especializadas; y por la Sala Primera de la Corte Suprema de Justicia. Además, se contará con un equipo especializado de personas juzgadoras especialistas en materia agraria, a cargo de conciliaciones y de ejecución, sin perjuicio que por las cargas de trabajo asuman funciones de las demás personas juzgadoras para lograr una gestión más eficiente.”</w:t>
      </w:r>
    </w:p>
    <w:p w14:paraId="7FA11AD2" w14:textId="77777777" w:rsidR="001341EC" w:rsidRPr="00055D4B" w:rsidRDefault="001341EC" w:rsidP="001341EC">
      <w:pPr>
        <w:jc w:val="both"/>
        <w:rPr>
          <w:rFonts w:ascii="Book Antiqua" w:hAnsi="Book Antiqua" w:cs="Times-Roman"/>
          <w:sz w:val="22"/>
        </w:rPr>
      </w:pPr>
    </w:p>
    <w:p w14:paraId="628EDC1A" w14:textId="77777777" w:rsidR="001341EC" w:rsidRPr="00055D4B" w:rsidRDefault="001341EC" w:rsidP="001341EC">
      <w:pPr>
        <w:pStyle w:val="Pa2"/>
        <w:spacing w:line="276" w:lineRule="auto"/>
        <w:jc w:val="both"/>
        <w:rPr>
          <w:rFonts w:ascii="Book Antiqua" w:hAnsi="Book Antiqua" w:cs="Times-Roman"/>
          <w:sz w:val="22"/>
          <w:lang w:val="es-CR"/>
        </w:rPr>
      </w:pPr>
      <w:r w:rsidRPr="00055D4B">
        <w:rPr>
          <w:rFonts w:ascii="Book Antiqua" w:hAnsi="Book Antiqua" w:cs="Times-Roman"/>
          <w:sz w:val="22"/>
          <w:lang w:val="es-CR"/>
        </w:rPr>
        <w:t>Por lo cual, la plaza recomendada de Jueza o Juez Agrario estaría asumiendo la materia Agraria de forma especializada y manteniendo la estructura actual de distribución del trabajo de las personas juzgadoras que conforman actualmente el Juzgado Mixto de Upala, es decir, dos plazas de Jueza o Juez seguirían conociendo la materia Agraria, solamente que la plaza actual, también tendría como recargo el seguir conociendo la materia de Penal Juvenil, tal y como a la fecha lo viene realizando.</w:t>
      </w:r>
    </w:p>
    <w:p w14:paraId="1D9ECE5A" w14:textId="77777777" w:rsidR="001341EC" w:rsidRPr="00055D4B" w:rsidRDefault="001341EC" w:rsidP="001341EC">
      <w:pPr>
        <w:pStyle w:val="Pa2"/>
        <w:spacing w:line="276" w:lineRule="auto"/>
        <w:jc w:val="both"/>
        <w:rPr>
          <w:rFonts w:ascii="Book Antiqua" w:hAnsi="Book Antiqua" w:cs="Times-Roman"/>
          <w:sz w:val="22"/>
          <w:lang w:val="es-CR"/>
        </w:rPr>
      </w:pPr>
    </w:p>
    <w:p w14:paraId="705F24AA" w14:textId="77777777" w:rsidR="001341EC" w:rsidRDefault="001341EC" w:rsidP="001341EC">
      <w:pPr>
        <w:pStyle w:val="Pa2"/>
        <w:spacing w:line="276" w:lineRule="auto"/>
        <w:jc w:val="both"/>
        <w:rPr>
          <w:rFonts w:ascii="Book Antiqua" w:hAnsi="Book Antiqua" w:cs="Times-Roman"/>
          <w:sz w:val="22"/>
          <w:lang w:val="es-CR"/>
        </w:rPr>
      </w:pPr>
      <w:r w:rsidRPr="00055D4B">
        <w:rPr>
          <w:rFonts w:ascii="Book Antiqua" w:hAnsi="Book Antiqua" w:cs="Times-Roman"/>
          <w:sz w:val="22"/>
          <w:lang w:val="es-CR"/>
        </w:rPr>
        <w:t xml:space="preserve">Dicho ajuste tendría una repercusión en la estimación de los costos asociados, de acuerdo con el criterio técnico de la Dirección de Planificación, lo cual se traduce en una reducción del 31,7% en los costos indicados en el informe 767-PLA-2018, según se puede observar en los apartados siguientes. </w:t>
      </w:r>
    </w:p>
    <w:p w14:paraId="0D0E8306" w14:textId="77777777" w:rsidR="00D314B4" w:rsidRPr="00D314B4" w:rsidRDefault="00D314B4" w:rsidP="00D314B4"/>
    <w:p w14:paraId="00C53B00" w14:textId="77777777" w:rsidR="001341EC" w:rsidRDefault="001341EC" w:rsidP="001341EC">
      <w:pPr>
        <w:pStyle w:val="Ttulo3"/>
        <w:keepLines/>
        <w:numPr>
          <w:ilvl w:val="2"/>
          <w:numId w:val="42"/>
        </w:numPr>
        <w:spacing w:before="40" w:after="0"/>
        <w:jc w:val="both"/>
        <w:rPr>
          <w:rFonts w:ascii="Book Antiqua" w:hAnsi="Book Antiqua"/>
          <w:sz w:val="22"/>
        </w:rPr>
      </w:pPr>
      <w:r w:rsidRPr="000D3830">
        <w:rPr>
          <w:rFonts w:ascii="Book Antiqua" w:hAnsi="Book Antiqua"/>
          <w:sz w:val="22"/>
        </w:rPr>
        <w:t>Caso particular de la especialización del Juzgado Agrario de Puntarenas</w:t>
      </w:r>
    </w:p>
    <w:p w14:paraId="29751CDC" w14:textId="77777777" w:rsidR="001341EC" w:rsidRPr="000D3830" w:rsidRDefault="001341EC" w:rsidP="001341EC"/>
    <w:p w14:paraId="0CE0DDB2" w14:textId="77777777" w:rsidR="001341EC" w:rsidRPr="00055D4B" w:rsidRDefault="001341EC" w:rsidP="001341EC">
      <w:pPr>
        <w:jc w:val="both"/>
        <w:rPr>
          <w:rFonts w:ascii="Book Antiqua" w:hAnsi="Book Antiqua"/>
          <w:b/>
          <w:i/>
          <w:sz w:val="36"/>
          <w:szCs w:val="40"/>
        </w:rPr>
      </w:pPr>
      <w:r w:rsidRPr="00055D4B">
        <w:rPr>
          <w:rFonts w:ascii="Book Antiqua" w:hAnsi="Book Antiqua"/>
          <w:sz w:val="22"/>
        </w:rPr>
        <w:t xml:space="preserve">El Juzgado Agrario de Puntarenas (antiguo Juzgado Civil y Agrario de Puntarenas) logra la separación y  producto de la especialización de la materia Civil, </w:t>
      </w:r>
      <w:r w:rsidRPr="00055D4B">
        <w:rPr>
          <w:rFonts w:ascii="Book Antiqua" w:hAnsi="Book Antiqua"/>
          <w:color w:val="000000"/>
          <w:sz w:val="22"/>
        </w:rPr>
        <w:t>según lo definido en el 24-PLA-MI-2017 referente al Impacto organizacional y presupuestario en el Poder Judicial a partir de la promulgación del Nuevo Código Procesal Civil para el 2018, donde se estableció tanto la cantidad de entrada de asuntos nuevos y circulante con el que se proyecta que va iniciar el Juzgado Civil de Puntarenas y por ende la especialización del Juzgado Agrario de Puntarenas</w:t>
      </w:r>
      <w:r w:rsidRPr="00055D4B">
        <w:rPr>
          <w:rFonts w:ascii="Book Antiqua" w:hAnsi="Book Antiqua"/>
          <w:sz w:val="22"/>
        </w:rPr>
        <w:t xml:space="preserve"> </w:t>
      </w:r>
    </w:p>
    <w:p w14:paraId="29A5B65E" w14:textId="77777777" w:rsidR="001341EC" w:rsidRPr="00F53CB0" w:rsidRDefault="001341EC" w:rsidP="001341EC">
      <w:pPr>
        <w:jc w:val="both"/>
        <w:rPr>
          <w:rFonts w:ascii="Book Antiqua" w:hAnsi="Book Antiqua"/>
        </w:rPr>
      </w:pPr>
    </w:p>
    <w:p w14:paraId="5551F4EC" w14:textId="77777777" w:rsidR="001341EC" w:rsidRPr="000D3830" w:rsidRDefault="001341EC" w:rsidP="001341EC">
      <w:pPr>
        <w:pStyle w:val="Ttulo3"/>
        <w:keepLines/>
        <w:numPr>
          <w:ilvl w:val="2"/>
          <w:numId w:val="42"/>
        </w:numPr>
        <w:spacing w:before="40" w:after="0"/>
        <w:jc w:val="both"/>
        <w:rPr>
          <w:rFonts w:ascii="Book Antiqua" w:hAnsi="Book Antiqua"/>
          <w:sz w:val="22"/>
          <w:szCs w:val="22"/>
        </w:rPr>
      </w:pPr>
      <w:bookmarkStart w:id="6" w:name="_Hlk4604989"/>
      <w:bookmarkStart w:id="7" w:name="_Hlk4490439"/>
      <w:r w:rsidRPr="000D3830">
        <w:rPr>
          <w:rFonts w:ascii="Book Antiqua" w:hAnsi="Book Antiqua"/>
          <w:sz w:val="22"/>
          <w:szCs w:val="22"/>
        </w:rPr>
        <w:lastRenderedPageBreak/>
        <w:t>Juzgado Agrario de Santa Cruz, San Carlos, I Circuito Judicial de la Zona Sur Pérez Zeledón y II Circuito Judicial de Zona Atlántica (Guápiles)</w:t>
      </w:r>
      <w:bookmarkEnd w:id="6"/>
    </w:p>
    <w:p w14:paraId="442DEFD7" w14:textId="77777777" w:rsidR="001341EC" w:rsidRPr="00055D4B" w:rsidRDefault="001341EC" w:rsidP="001341EC">
      <w:pPr>
        <w:jc w:val="both"/>
        <w:rPr>
          <w:rFonts w:ascii="Book Antiqua" w:hAnsi="Book Antiqua"/>
          <w:b/>
          <w:sz w:val="22"/>
          <w:szCs w:val="22"/>
        </w:rPr>
      </w:pPr>
    </w:p>
    <w:p w14:paraId="3156F50E" w14:textId="77777777" w:rsidR="001341EC" w:rsidRPr="00055D4B" w:rsidRDefault="001341EC" w:rsidP="001341EC">
      <w:pPr>
        <w:jc w:val="both"/>
        <w:rPr>
          <w:rFonts w:ascii="Book Antiqua" w:hAnsi="Book Antiqua"/>
          <w:sz w:val="22"/>
          <w:szCs w:val="22"/>
        </w:rPr>
      </w:pPr>
      <w:bookmarkStart w:id="8" w:name="_Hlk4604655"/>
      <w:r w:rsidRPr="00055D4B">
        <w:rPr>
          <w:rFonts w:ascii="Book Antiqua" w:hAnsi="Book Antiqua"/>
          <w:sz w:val="22"/>
          <w:szCs w:val="22"/>
        </w:rPr>
        <w:t>Es importante realizar un análisis detallado de los Juzgados de Santa Cruz, San Carlos, Pérez Zeledón y Guápiles, esto por cuanto se encuentran fuera del parámetro de la cantidad de asuntos entrados por plaza de Jueza y Juez con la estimación de la cantidad de casos entrados, donde el promedio de atención de casos por plaza de Jueza o Juez es de 15 asuntos mensuales.</w:t>
      </w:r>
    </w:p>
    <w:p w14:paraId="7003EDC7" w14:textId="77777777" w:rsidR="001341EC" w:rsidRPr="00055D4B" w:rsidRDefault="001341EC" w:rsidP="001341EC">
      <w:pPr>
        <w:jc w:val="both"/>
        <w:rPr>
          <w:rFonts w:ascii="Book Antiqua" w:hAnsi="Book Antiqua"/>
          <w:sz w:val="22"/>
          <w:szCs w:val="22"/>
        </w:rPr>
      </w:pPr>
    </w:p>
    <w:p w14:paraId="61C5E75F"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En los últimos tres años la cantidad de casos entrados para esto despachos se muestra a continuación:</w:t>
      </w:r>
    </w:p>
    <w:p w14:paraId="004A1FED" w14:textId="77777777" w:rsidR="001341EC" w:rsidRPr="00055D4B" w:rsidRDefault="001341EC" w:rsidP="001341EC">
      <w:pPr>
        <w:jc w:val="both"/>
        <w:rPr>
          <w:rFonts w:ascii="Book Antiqua" w:hAnsi="Book Antiqua"/>
          <w:sz w:val="22"/>
          <w:szCs w:val="22"/>
        </w:rPr>
      </w:pPr>
    </w:p>
    <w:p w14:paraId="36B7769A" w14:textId="77777777" w:rsidR="001341EC" w:rsidRPr="00E47893"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E47893">
        <w:rPr>
          <w:rFonts w:ascii="Book Antiqua" w:hAnsi="Book Antiqua"/>
          <w:bCs w:val="0"/>
          <w:iCs/>
          <w:sz w:val="22"/>
          <w:szCs w:val="24"/>
          <w:lang w:val="es-CR"/>
        </w:rPr>
        <w:t xml:space="preserve">Cuadro </w:t>
      </w:r>
      <w:r w:rsidR="009A23D1" w:rsidRPr="00E47893">
        <w:rPr>
          <w:rFonts w:ascii="Book Antiqua" w:hAnsi="Book Antiqua"/>
          <w:bCs w:val="0"/>
          <w:iCs/>
          <w:sz w:val="22"/>
          <w:szCs w:val="24"/>
          <w:lang w:val="es-CR"/>
        </w:rPr>
        <w:fldChar w:fldCharType="begin"/>
      </w:r>
      <w:r w:rsidRPr="00126FA8">
        <w:rPr>
          <w:rFonts w:ascii="Book Antiqua" w:hAnsi="Book Antiqua"/>
          <w:bCs w:val="0"/>
          <w:iCs/>
          <w:sz w:val="22"/>
          <w:szCs w:val="24"/>
          <w:lang w:val="es-CR"/>
        </w:rPr>
        <w:instrText xml:space="preserve"> SEQ Cuadro \* ARABIC </w:instrText>
      </w:r>
      <w:r w:rsidR="009A23D1" w:rsidRPr="00E47893">
        <w:rPr>
          <w:rFonts w:ascii="Book Antiqua" w:hAnsi="Book Antiqua"/>
          <w:bCs w:val="0"/>
          <w:iCs/>
          <w:sz w:val="22"/>
          <w:szCs w:val="24"/>
          <w:lang w:val="es-CR"/>
        </w:rPr>
        <w:fldChar w:fldCharType="separate"/>
      </w:r>
      <w:r w:rsidRPr="00126FA8">
        <w:rPr>
          <w:rFonts w:ascii="Book Antiqua" w:hAnsi="Book Antiqua"/>
          <w:bCs w:val="0"/>
          <w:iCs/>
          <w:sz w:val="22"/>
          <w:szCs w:val="24"/>
          <w:lang w:val="es-CR"/>
        </w:rPr>
        <w:t>4</w:t>
      </w:r>
      <w:r w:rsidR="009A23D1" w:rsidRPr="00E47893">
        <w:rPr>
          <w:rFonts w:ascii="Book Antiqua" w:hAnsi="Book Antiqua"/>
          <w:bCs w:val="0"/>
          <w:iCs/>
          <w:sz w:val="22"/>
          <w:szCs w:val="24"/>
          <w:lang w:val="es-CR"/>
        </w:rPr>
        <w:fldChar w:fldCharType="end"/>
      </w:r>
    </w:p>
    <w:p w14:paraId="374DD1EE" w14:textId="77777777" w:rsidR="001341EC" w:rsidRPr="00E47893"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E47893">
        <w:rPr>
          <w:rFonts w:ascii="Book Antiqua" w:hAnsi="Book Antiqua"/>
          <w:bCs w:val="0"/>
          <w:iCs/>
          <w:sz w:val="22"/>
          <w:szCs w:val="24"/>
          <w:lang w:val="es-CR"/>
        </w:rPr>
        <w:t>Promedio mensual de asuntos entrados por plaza de Jueza o Juez en los últimos tres años</w:t>
      </w:r>
    </w:p>
    <w:tbl>
      <w:tblPr>
        <w:tblW w:w="5000" w:type="pct"/>
        <w:tblBorders>
          <w:top w:val="double" w:sz="4" w:space="0" w:color="1F497D"/>
          <w:left w:val="double" w:sz="4" w:space="0" w:color="1F497D"/>
          <w:bottom w:val="double" w:sz="4" w:space="0" w:color="1F497D"/>
          <w:right w:val="double" w:sz="4" w:space="0" w:color="1F497D"/>
          <w:insideH w:val="double" w:sz="4" w:space="0" w:color="1F497D"/>
          <w:insideV w:val="double" w:sz="4" w:space="0" w:color="1F497D"/>
        </w:tblBorders>
        <w:tblLayout w:type="fixed"/>
        <w:tblCellMar>
          <w:left w:w="70" w:type="dxa"/>
          <w:right w:w="70" w:type="dxa"/>
        </w:tblCellMar>
        <w:tblLook w:val="04A0" w:firstRow="1" w:lastRow="0" w:firstColumn="1" w:lastColumn="0" w:noHBand="0" w:noVBand="1"/>
      </w:tblPr>
      <w:tblGrid>
        <w:gridCol w:w="2172"/>
        <w:gridCol w:w="1088"/>
        <w:gridCol w:w="817"/>
        <w:gridCol w:w="1090"/>
        <w:gridCol w:w="815"/>
        <w:gridCol w:w="817"/>
        <w:gridCol w:w="907"/>
        <w:gridCol w:w="768"/>
      </w:tblGrid>
      <w:tr w:rsidR="001341EC" w:rsidRPr="00493BFE" w14:paraId="0C5D8BCE" w14:textId="77777777" w:rsidTr="00165AA6">
        <w:trPr>
          <w:trHeight w:val="1820"/>
        </w:trPr>
        <w:tc>
          <w:tcPr>
            <w:tcW w:w="1282" w:type="pct"/>
            <w:shd w:val="clear" w:color="auto" w:fill="8DB4E2"/>
            <w:vAlign w:val="center"/>
            <w:hideMark/>
          </w:tcPr>
          <w:p w14:paraId="3F7B7379"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Juzgado</w:t>
            </w:r>
          </w:p>
        </w:tc>
        <w:tc>
          <w:tcPr>
            <w:tcW w:w="642" w:type="pct"/>
            <w:shd w:val="clear" w:color="auto" w:fill="8DB4E2"/>
            <w:vAlign w:val="center"/>
            <w:hideMark/>
          </w:tcPr>
          <w:p w14:paraId="7E09C4E4" w14:textId="77777777" w:rsidR="001341EC" w:rsidRPr="00055D4B" w:rsidRDefault="001341EC" w:rsidP="00165AA6">
            <w:pPr>
              <w:jc w:val="center"/>
              <w:rPr>
                <w:rFonts w:ascii="Book Antiqua" w:hAnsi="Book Antiqua"/>
                <w:b/>
                <w:bCs/>
                <w:color w:val="000000"/>
                <w:lang w:eastAsia="es-CR"/>
              </w:rPr>
            </w:pPr>
            <w:proofErr w:type="spellStart"/>
            <w:r w:rsidRPr="00055D4B">
              <w:rPr>
                <w:rFonts w:ascii="Book Antiqua" w:hAnsi="Book Antiqua"/>
                <w:b/>
                <w:bCs/>
                <w:color w:val="000000"/>
                <w:sz w:val="22"/>
                <w:szCs w:val="22"/>
                <w:lang w:eastAsia="es-CR"/>
              </w:rPr>
              <w:t>Prom</w:t>
            </w:r>
            <w:proofErr w:type="spellEnd"/>
            <w:r w:rsidRPr="00055D4B">
              <w:rPr>
                <w:rFonts w:ascii="Book Antiqua" w:hAnsi="Book Antiqua"/>
                <w:b/>
                <w:bCs/>
                <w:color w:val="000000"/>
                <w:sz w:val="22"/>
                <w:szCs w:val="22"/>
                <w:lang w:eastAsia="es-CR"/>
              </w:rPr>
              <w:t>. Entrada por Mes 2016</w:t>
            </w:r>
          </w:p>
        </w:tc>
        <w:tc>
          <w:tcPr>
            <w:tcW w:w="482" w:type="pct"/>
            <w:shd w:val="clear" w:color="auto" w:fill="8DB4E2"/>
            <w:vAlign w:val="center"/>
            <w:hideMark/>
          </w:tcPr>
          <w:p w14:paraId="57D35A29" w14:textId="77777777" w:rsidR="001341EC" w:rsidRPr="00055D4B" w:rsidRDefault="001341EC" w:rsidP="00165AA6">
            <w:pPr>
              <w:jc w:val="center"/>
              <w:rPr>
                <w:rFonts w:ascii="Book Antiqua" w:hAnsi="Book Antiqua"/>
                <w:b/>
                <w:bCs/>
                <w:color w:val="000000"/>
                <w:lang w:eastAsia="es-CR"/>
              </w:rPr>
            </w:pPr>
            <w:proofErr w:type="spellStart"/>
            <w:r w:rsidRPr="00055D4B">
              <w:rPr>
                <w:rFonts w:ascii="Book Antiqua" w:hAnsi="Book Antiqua"/>
                <w:b/>
                <w:bCs/>
                <w:color w:val="000000"/>
                <w:sz w:val="22"/>
                <w:szCs w:val="22"/>
                <w:lang w:eastAsia="es-CR"/>
              </w:rPr>
              <w:t>Prom</w:t>
            </w:r>
            <w:proofErr w:type="spellEnd"/>
            <w:r w:rsidRPr="00055D4B">
              <w:rPr>
                <w:rFonts w:ascii="Book Antiqua" w:hAnsi="Book Antiqua"/>
                <w:b/>
                <w:bCs/>
                <w:color w:val="000000"/>
                <w:sz w:val="22"/>
                <w:szCs w:val="22"/>
                <w:lang w:eastAsia="es-CR"/>
              </w:rPr>
              <w:t>./mes/Juez</w:t>
            </w:r>
          </w:p>
        </w:tc>
        <w:tc>
          <w:tcPr>
            <w:tcW w:w="643" w:type="pct"/>
            <w:shd w:val="clear" w:color="auto" w:fill="8DB4E2"/>
            <w:vAlign w:val="center"/>
            <w:hideMark/>
          </w:tcPr>
          <w:p w14:paraId="6236B022" w14:textId="77777777" w:rsidR="001341EC" w:rsidRPr="00055D4B" w:rsidRDefault="001341EC" w:rsidP="00165AA6">
            <w:pPr>
              <w:jc w:val="center"/>
              <w:rPr>
                <w:rFonts w:ascii="Book Antiqua" w:hAnsi="Book Antiqua"/>
                <w:b/>
                <w:bCs/>
                <w:color w:val="000000"/>
                <w:lang w:eastAsia="es-CR"/>
              </w:rPr>
            </w:pPr>
            <w:proofErr w:type="spellStart"/>
            <w:r w:rsidRPr="00055D4B">
              <w:rPr>
                <w:rFonts w:ascii="Book Antiqua" w:hAnsi="Book Antiqua"/>
                <w:b/>
                <w:bCs/>
                <w:color w:val="000000"/>
                <w:sz w:val="22"/>
                <w:szCs w:val="22"/>
                <w:lang w:eastAsia="es-CR"/>
              </w:rPr>
              <w:t>Prom</w:t>
            </w:r>
            <w:proofErr w:type="spellEnd"/>
            <w:r w:rsidRPr="00055D4B">
              <w:rPr>
                <w:rFonts w:ascii="Book Antiqua" w:hAnsi="Book Antiqua"/>
                <w:b/>
                <w:bCs/>
                <w:color w:val="000000"/>
                <w:sz w:val="22"/>
                <w:szCs w:val="22"/>
                <w:lang w:eastAsia="es-CR"/>
              </w:rPr>
              <w:t>. Entrada por Mes 2017</w:t>
            </w:r>
          </w:p>
        </w:tc>
        <w:tc>
          <w:tcPr>
            <w:tcW w:w="481" w:type="pct"/>
            <w:shd w:val="clear" w:color="auto" w:fill="8DB4E2"/>
            <w:vAlign w:val="center"/>
            <w:hideMark/>
          </w:tcPr>
          <w:p w14:paraId="670FEF00" w14:textId="77777777" w:rsidR="001341EC" w:rsidRPr="00055D4B" w:rsidRDefault="001341EC" w:rsidP="00165AA6">
            <w:pPr>
              <w:jc w:val="center"/>
              <w:rPr>
                <w:rFonts w:ascii="Book Antiqua" w:hAnsi="Book Antiqua"/>
                <w:b/>
                <w:bCs/>
                <w:color w:val="000000"/>
                <w:lang w:eastAsia="es-CR"/>
              </w:rPr>
            </w:pPr>
            <w:proofErr w:type="spellStart"/>
            <w:r w:rsidRPr="00055D4B">
              <w:rPr>
                <w:rFonts w:ascii="Book Antiqua" w:hAnsi="Book Antiqua"/>
                <w:b/>
                <w:bCs/>
                <w:color w:val="000000"/>
                <w:sz w:val="22"/>
                <w:szCs w:val="22"/>
                <w:lang w:eastAsia="es-CR"/>
              </w:rPr>
              <w:t>Prom.o</w:t>
            </w:r>
            <w:proofErr w:type="spellEnd"/>
            <w:r w:rsidRPr="00055D4B">
              <w:rPr>
                <w:rFonts w:ascii="Book Antiqua" w:hAnsi="Book Antiqua"/>
                <w:b/>
                <w:bCs/>
                <w:color w:val="000000"/>
                <w:sz w:val="22"/>
                <w:szCs w:val="22"/>
                <w:lang w:eastAsia="es-CR"/>
              </w:rPr>
              <w:t>/mes/Juez</w:t>
            </w:r>
          </w:p>
        </w:tc>
        <w:tc>
          <w:tcPr>
            <w:tcW w:w="482" w:type="pct"/>
            <w:shd w:val="clear" w:color="auto" w:fill="8DB4E2"/>
            <w:vAlign w:val="center"/>
            <w:hideMark/>
          </w:tcPr>
          <w:p w14:paraId="6950CD5B" w14:textId="77777777" w:rsidR="001341EC" w:rsidRPr="00055D4B" w:rsidRDefault="001341EC" w:rsidP="00165AA6">
            <w:pPr>
              <w:jc w:val="center"/>
              <w:rPr>
                <w:rFonts w:ascii="Book Antiqua" w:hAnsi="Book Antiqua"/>
                <w:b/>
                <w:bCs/>
                <w:color w:val="000000"/>
                <w:lang w:eastAsia="es-CR"/>
              </w:rPr>
            </w:pPr>
            <w:proofErr w:type="spellStart"/>
            <w:r w:rsidRPr="00055D4B">
              <w:rPr>
                <w:rFonts w:ascii="Book Antiqua" w:hAnsi="Book Antiqua"/>
                <w:b/>
                <w:bCs/>
                <w:color w:val="000000"/>
                <w:sz w:val="22"/>
                <w:szCs w:val="22"/>
                <w:lang w:eastAsia="es-CR"/>
              </w:rPr>
              <w:t>Prom.entrada</w:t>
            </w:r>
            <w:proofErr w:type="spellEnd"/>
            <w:r w:rsidRPr="00055D4B">
              <w:rPr>
                <w:rFonts w:ascii="Book Antiqua" w:hAnsi="Book Antiqua"/>
                <w:b/>
                <w:bCs/>
                <w:color w:val="000000"/>
                <w:sz w:val="22"/>
                <w:szCs w:val="22"/>
                <w:lang w:eastAsia="es-CR"/>
              </w:rPr>
              <w:t xml:space="preserve"> por Mes 2018</w:t>
            </w:r>
          </w:p>
        </w:tc>
        <w:tc>
          <w:tcPr>
            <w:tcW w:w="535" w:type="pct"/>
            <w:shd w:val="clear" w:color="auto" w:fill="8DB4E2"/>
            <w:vAlign w:val="center"/>
            <w:hideMark/>
          </w:tcPr>
          <w:p w14:paraId="5BE30DA6" w14:textId="77777777" w:rsidR="001341EC" w:rsidRPr="00055D4B" w:rsidRDefault="001341EC" w:rsidP="00165AA6">
            <w:pPr>
              <w:jc w:val="center"/>
              <w:rPr>
                <w:rFonts w:ascii="Book Antiqua" w:hAnsi="Book Antiqua"/>
                <w:b/>
                <w:bCs/>
                <w:color w:val="000000"/>
                <w:lang w:eastAsia="es-CR"/>
              </w:rPr>
            </w:pPr>
            <w:proofErr w:type="spellStart"/>
            <w:r w:rsidRPr="00055D4B">
              <w:rPr>
                <w:rFonts w:ascii="Book Antiqua" w:hAnsi="Book Antiqua"/>
                <w:b/>
                <w:bCs/>
                <w:color w:val="000000"/>
                <w:sz w:val="22"/>
                <w:szCs w:val="22"/>
                <w:lang w:eastAsia="es-CR"/>
              </w:rPr>
              <w:t>Prom</w:t>
            </w:r>
            <w:proofErr w:type="spellEnd"/>
            <w:r w:rsidRPr="00055D4B">
              <w:rPr>
                <w:rFonts w:ascii="Book Antiqua" w:hAnsi="Book Antiqua"/>
                <w:b/>
                <w:bCs/>
                <w:color w:val="000000"/>
                <w:sz w:val="22"/>
                <w:szCs w:val="22"/>
                <w:lang w:eastAsia="es-CR"/>
              </w:rPr>
              <w:t>./mes/Juez</w:t>
            </w:r>
          </w:p>
        </w:tc>
        <w:tc>
          <w:tcPr>
            <w:tcW w:w="453" w:type="pct"/>
            <w:shd w:val="clear" w:color="auto" w:fill="8DB4E2"/>
            <w:vAlign w:val="center"/>
            <w:hideMark/>
          </w:tcPr>
          <w:p w14:paraId="308F813B" w14:textId="77777777" w:rsidR="001341EC" w:rsidRPr="00055D4B" w:rsidRDefault="001341EC" w:rsidP="00165AA6">
            <w:pPr>
              <w:jc w:val="center"/>
              <w:rPr>
                <w:rFonts w:ascii="Book Antiqua" w:hAnsi="Book Antiqua"/>
                <w:b/>
                <w:bCs/>
                <w:color w:val="000000"/>
                <w:lang w:eastAsia="es-CR"/>
              </w:rPr>
            </w:pPr>
            <w:proofErr w:type="spellStart"/>
            <w:r w:rsidRPr="00055D4B">
              <w:rPr>
                <w:rFonts w:ascii="Book Antiqua" w:hAnsi="Book Antiqua"/>
                <w:b/>
                <w:bCs/>
                <w:color w:val="000000"/>
                <w:sz w:val="22"/>
                <w:szCs w:val="22"/>
                <w:lang w:eastAsia="es-CR"/>
              </w:rPr>
              <w:t>Prom</w:t>
            </w:r>
            <w:proofErr w:type="spellEnd"/>
            <w:r w:rsidRPr="00055D4B">
              <w:rPr>
                <w:rFonts w:ascii="Book Antiqua" w:hAnsi="Book Antiqua"/>
                <w:b/>
                <w:bCs/>
                <w:color w:val="000000"/>
                <w:sz w:val="22"/>
                <w:szCs w:val="22"/>
                <w:lang w:eastAsia="es-CR"/>
              </w:rPr>
              <w:t xml:space="preserve"> plaza de Jueza o Juez  </w:t>
            </w:r>
          </w:p>
        </w:tc>
      </w:tr>
      <w:tr w:rsidR="001341EC" w:rsidRPr="00493BFE" w14:paraId="0FBF515F" w14:textId="77777777" w:rsidTr="00165AA6">
        <w:trPr>
          <w:trHeight w:val="1040"/>
        </w:trPr>
        <w:tc>
          <w:tcPr>
            <w:tcW w:w="1282" w:type="pct"/>
            <w:shd w:val="clear" w:color="auto" w:fill="auto"/>
            <w:vAlign w:val="center"/>
            <w:hideMark/>
          </w:tcPr>
          <w:p w14:paraId="7BC9095E"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 xml:space="preserve">Juzgado Agrario II Circ. </w:t>
            </w:r>
            <w:proofErr w:type="spellStart"/>
            <w:r w:rsidRPr="00055D4B">
              <w:rPr>
                <w:rFonts w:ascii="Book Antiqua" w:hAnsi="Book Antiqua" w:cs="Calibri"/>
                <w:sz w:val="22"/>
                <w:szCs w:val="22"/>
                <w:lang w:eastAsia="es-CR"/>
              </w:rPr>
              <w:t>Jud</w:t>
            </w:r>
            <w:proofErr w:type="spellEnd"/>
            <w:r w:rsidRPr="00055D4B">
              <w:rPr>
                <w:rFonts w:ascii="Book Antiqua" w:hAnsi="Book Antiqua" w:cs="Calibri"/>
                <w:sz w:val="22"/>
                <w:szCs w:val="22"/>
                <w:lang w:eastAsia="es-CR"/>
              </w:rPr>
              <w:t>. Alajuela (San Carlos)</w:t>
            </w:r>
          </w:p>
        </w:tc>
        <w:tc>
          <w:tcPr>
            <w:tcW w:w="642" w:type="pct"/>
            <w:shd w:val="clear" w:color="auto" w:fill="auto"/>
            <w:vAlign w:val="center"/>
            <w:hideMark/>
          </w:tcPr>
          <w:p w14:paraId="6A794971"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34</w:t>
            </w:r>
          </w:p>
        </w:tc>
        <w:tc>
          <w:tcPr>
            <w:tcW w:w="482" w:type="pct"/>
            <w:shd w:val="clear" w:color="000000" w:fill="D9E1F2"/>
            <w:vAlign w:val="center"/>
            <w:hideMark/>
          </w:tcPr>
          <w:p w14:paraId="4A035C47" w14:textId="77777777" w:rsidR="001341EC" w:rsidRPr="00055D4B" w:rsidRDefault="001341EC" w:rsidP="00165AA6">
            <w:pPr>
              <w:jc w:val="center"/>
              <w:rPr>
                <w:rFonts w:ascii="Book Antiqua" w:hAnsi="Book Antiqua" w:cs="Calibri"/>
                <w:b/>
                <w:color w:val="000000"/>
                <w:lang w:eastAsia="es-CR"/>
              </w:rPr>
            </w:pPr>
            <w:r w:rsidRPr="00055D4B">
              <w:rPr>
                <w:rFonts w:ascii="Book Antiqua" w:hAnsi="Book Antiqua" w:cs="Calibri"/>
                <w:b/>
                <w:color w:val="000000"/>
                <w:sz w:val="22"/>
                <w:szCs w:val="22"/>
                <w:lang w:eastAsia="es-CR"/>
              </w:rPr>
              <w:t>17</w:t>
            </w:r>
          </w:p>
        </w:tc>
        <w:tc>
          <w:tcPr>
            <w:tcW w:w="643" w:type="pct"/>
            <w:shd w:val="clear" w:color="auto" w:fill="auto"/>
            <w:vAlign w:val="center"/>
            <w:hideMark/>
          </w:tcPr>
          <w:p w14:paraId="7DF7DCAA"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38</w:t>
            </w:r>
          </w:p>
        </w:tc>
        <w:tc>
          <w:tcPr>
            <w:tcW w:w="481" w:type="pct"/>
            <w:shd w:val="clear" w:color="000000" w:fill="D9E1F2"/>
            <w:vAlign w:val="center"/>
            <w:hideMark/>
          </w:tcPr>
          <w:p w14:paraId="28D973E6" w14:textId="77777777" w:rsidR="001341EC" w:rsidRPr="00055D4B" w:rsidRDefault="001341EC" w:rsidP="00165AA6">
            <w:pPr>
              <w:jc w:val="center"/>
              <w:rPr>
                <w:rFonts w:ascii="Book Antiqua" w:hAnsi="Book Antiqua" w:cs="Calibri"/>
                <w:b/>
                <w:color w:val="000000"/>
                <w:lang w:eastAsia="es-CR"/>
              </w:rPr>
            </w:pPr>
            <w:r w:rsidRPr="00055D4B">
              <w:rPr>
                <w:rFonts w:ascii="Book Antiqua" w:hAnsi="Book Antiqua" w:cs="Calibri"/>
                <w:b/>
                <w:color w:val="000000"/>
                <w:sz w:val="22"/>
                <w:szCs w:val="22"/>
                <w:lang w:eastAsia="es-CR"/>
              </w:rPr>
              <w:t>19</w:t>
            </w:r>
          </w:p>
        </w:tc>
        <w:tc>
          <w:tcPr>
            <w:tcW w:w="482" w:type="pct"/>
            <w:shd w:val="clear" w:color="auto" w:fill="auto"/>
            <w:vAlign w:val="center"/>
            <w:hideMark/>
          </w:tcPr>
          <w:p w14:paraId="3940080F"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38</w:t>
            </w:r>
          </w:p>
        </w:tc>
        <w:tc>
          <w:tcPr>
            <w:tcW w:w="535" w:type="pct"/>
            <w:shd w:val="clear" w:color="000000" w:fill="D9E1F2"/>
            <w:vAlign w:val="center"/>
            <w:hideMark/>
          </w:tcPr>
          <w:p w14:paraId="6882088E" w14:textId="77777777" w:rsidR="001341EC" w:rsidRPr="00055D4B" w:rsidRDefault="001341EC" w:rsidP="00165AA6">
            <w:pPr>
              <w:jc w:val="center"/>
              <w:rPr>
                <w:rFonts w:ascii="Book Antiqua" w:hAnsi="Book Antiqua" w:cs="Calibri"/>
                <w:b/>
                <w:color w:val="000000"/>
                <w:lang w:eastAsia="es-CR"/>
              </w:rPr>
            </w:pPr>
            <w:r w:rsidRPr="00055D4B">
              <w:rPr>
                <w:rFonts w:ascii="Book Antiqua" w:hAnsi="Book Antiqua" w:cs="Calibri"/>
                <w:b/>
                <w:color w:val="000000"/>
                <w:sz w:val="22"/>
                <w:szCs w:val="22"/>
                <w:lang w:eastAsia="es-CR"/>
              </w:rPr>
              <w:t>19</w:t>
            </w:r>
          </w:p>
        </w:tc>
        <w:tc>
          <w:tcPr>
            <w:tcW w:w="453" w:type="pct"/>
            <w:shd w:val="clear" w:color="auto" w:fill="auto"/>
            <w:vAlign w:val="center"/>
            <w:hideMark/>
          </w:tcPr>
          <w:p w14:paraId="5F8F1902"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18</w:t>
            </w:r>
          </w:p>
        </w:tc>
      </w:tr>
      <w:tr w:rsidR="001341EC" w:rsidRPr="00493BFE" w14:paraId="12D9AF62" w14:textId="77777777" w:rsidTr="00165AA6">
        <w:trPr>
          <w:trHeight w:val="1040"/>
        </w:trPr>
        <w:tc>
          <w:tcPr>
            <w:tcW w:w="1282" w:type="pct"/>
            <w:shd w:val="clear" w:color="auto" w:fill="auto"/>
            <w:vAlign w:val="center"/>
            <w:hideMark/>
          </w:tcPr>
          <w:p w14:paraId="39A175B7"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 xml:space="preserve">Juzgado Agrario II Circ. </w:t>
            </w:r>
            <w:proofErr w:type="spellStart"/>
            <w:r w:rsidRPr="00055D4B">
              <w:rPr>
                <w:rFonts w:ascii="Book Antiqua" w:hAnsi="Book Antiqua" w:cs="Calibri"/>
                <w:sz w:val="22"/>
                <w:szCs w:val="22"/>
                <w:lang w:eastAsia="es-CR"/>
              </w:rPr>
              <w:t>Jud</w:t>
            </w:r>
            <w:proofErr w:type="spellEnd"/>
            <w:r w:rsidRPr="00055D4B">
              <w:rPr>
                <w:rFonts w:ascii="Book Antiqua" w:hAnsi="Book Antiqua" w:cs="Calibri"/>
                <w:sz w:val="22"/>
                <w:szCs w:val="22"/>
                <w:lang w:eastAsia="es-CR"/>
              </w:rPr>
              <w:t>. Guanacaste (Santa Cruz)</w:t>
            </w:r>
          </w:p>
        </w:tc>
        <w:tc>
          <w:tcPr>
            <w:tcW w:w="642" w:type="pct"/>
            <w:shd w:val="clear" w:color="auto" w:fill="auto"/>
            <w:vAlign w:val="center"/>
            <w:hideMark/>
          </w:tcPr>
          <w:p w14:paraId="022DBCE9"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40</w:t>
            </w:r>
          </w:p>
        </w:tc>
        <w:tc>
          <w:tcPr>
            <w:tcW w:w="482" w:type="pct"/>
            <w:shd w:val="clear" w:color="000000" w:fill="D9E1F2"/>
            <w:vAlign w:val="center"/>
            <w:hideMark/>
          </w:tcPr>
          <w:p w14:paraId="2FB4D870" w14:textId="77777777" w:rsidR="001341EC" w:rsidRPr="00055D4B" w:rsidRDefault="001341EC" w:rsidP="00165AA6">
            <w:pPr>
              <w:jc w:val="center"/>
              <w:rPr>
                <w:rFonts w:ascii="Book Antiqua" w:hAnsi="Book Antiqua" w:cs="Calibri"/>
                <w:b/>
                <w:color w:val="000000"/>
                <w:lang w:eastAsia="es-CR"/>
              </w:rPr>
            </w:pPr>
            <w:r w:rsidRPr="00055D4B">
              <w:rPr>
                <w:rFonts w:ascii="Book Antiqua" w:hAnsi="Book Antiqua" w:cs="Calibri"/>
                <w:b/>
                <w:color w:val="000000"/>
                <w:sz w:val="22"/>
                <w:szCs w:val="22"/>
                <w:lang w:eastAsia="es-CR"/>
              </w:rPr>
              <w:t>20</w:t>
            </w:r>
          </w:p>
        </w:tc>
        <w:tc>
          <w:tcPr>
            <w:tcW w:w="643" w:type="pct"/>
            <w:shd w:val="clear" w:color="auto" w:fill="auto"/>
            <w:vAlign w:val="center"/>
            <w:hideMark/>
          </w:tcPr>
          <w:p w14:paraId="47E01775"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41</w:t>
            </w:r>
          </w:p>
        </w:tc>
        <w:tc>
          <w:tcPr>
            <w:tcW w:w="481" w:type="pct"/>
            <w:shd w:val="clear" w:color="000000" w:fill="D9E1F2"/>
            <w:vAlign w:val="center"/>
            <w:hideMark/>
          </w:tcPr>
          <w:p w14:paraId="7AF0BB04" w14:textId="77777777" w:rsidR="001341EC" w:rsidRPr="00055D4B" w:rsidRDefault="001341EC" w:rsidP="00165AA6">
            <w:pPr>
              <w:jc w:val="center"/>
              <w:rPr>
                <w:rFonts w:ascii="Book Antiqua" w:hAnsi="Book Antiqua" w:cs="Calibri"/>
                <w:b/>
                <w:color w:val="000000"/>
                <w:lang w:eastAsia="es-CR"/>
              </w:rPr>
            </w:pPr>
            <w:r w:rsidRPr="00055D4B">
              <w:rPr>
                <w:rFonts w:ascii="Book Antiqua" w:hAnsi="Book Antiqua" w:cs="Calibri"/>
                <w:b/>
                <w:color w:val="000000"/>
                <w:sz w:val="22"/>
                <w:szCs w:val="22"/>
                <w:lang w:eastAsia="es-CR"/>
              </w:rPr>
              <w:t>21</w:t>
            </w:r>
          </w:p>
        </w:tc>
        <w:tc>
          <w:tcPr>
            <w:tcW w:w="482" w:type="pct"/>
            <w:shd w:val="clear" w:color="auto" w:fill="auto"/>
            <w:vAlign w:val="center"/>
            <w:hideMark/>
          </w:tcPr>
          <w:p w14:paraId="00438EA7"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40</w:t>
            </w:r>
          </w:p>
        </w:tc>
        <w:tc>
          <w:tcPr>
            <w:tcW w:w="535" w:type="pct"/>
            <w:shd w:val="clear" w:color="000000" w:fill="D9E1F2"/>
            <w:vAlign w:val="center"/>
            <w:hideMark/>
          </w:tcPr>
          <w:p w14:paraId="3AC45C6F" w14:textId="77777777" w:rsidR="001341EC" w:rsidRPr="00055D4B" w:rsidRDefault="001341EC" w:rsidP="00165AA6">
            <w:pPr>
              <w:jc w:val="center"/>
              <w:rPr>
                <w:rFonts w:ascii="Book Antiqua" w:hAnsi="Book Antiqua" w:cs="Calibri"/>
                <w:b/>
                <w:color w:val="000000"/>
                <w:lang w:eastAsia="es-CR"/>
              </w:rPr>
            </w:pPr>
            <w:r w:rsidRPr="00055D4B">
              <w:rPr>
                <w:rFonts w:ascii="Book Antiqua" w:hAnsi="Book Antiqua" w:cs="Calibri"/>
                <w:b/>
                <w:color w:val="000000"/>
                <w:sz w:val="22"/>
                <w:szCs w:val="22"/>
                <w:lang w:eastAsia="es-CR"/>
              </w:rPr>
              <w:t>20</w:t>
            </w:r>
          </w:p>
        </w:tc>
        <w:tc>
          <w:tcPr>
            <w:tcW w:w="453" w:type="pct"/>
            <w:shd w:val="clear" w:color="auto" w:fill="auto"/>
            <w:vAlign w:val="center"/>
            <w:hideMark/>
          </w:tcPr>
          <w:p w14:paraId="1A1AD7E8"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20</w:t>
            </w:r>
          </w:p>
        </w:tc>
      </w:tr>
      <w:tr w:rsidR="001341EC" w:rsidRPr="00493BFE" w14:paraId="254F4B16" w14:textId="77777777" w:rsidTr="00165AA6">
        <w:trPr>
          <w:trHeight w:val="1040"/>
        </w:trPr>
        <w:tc>
          <w:tcPr>
            <w:tcW w:w="1282" w:type="pct"/>
            <w:shd w:val="clear" w:color="auto" w:fill="auto"/>
            <w:vAlign w:val="center"/>
            <w:hideMark/>
          </w:tcPr>
          <w:p w14:paraId="4429FCBF"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 xml:space="preserve">Juzgado Agrario II Circ. </w:t>
            </w:r>
            <w:proofErr w:type="spellStart"/>
            <w:r w:rsidRPr="00055D4B">
              <w:rPr>
                <w:rFonts w:ascii="Book Antiqua" w:hAnsi="Book Antiqua" w:cs="Calibri"/>
                <w:sz w:val="22"/>
                <w:szCs w:val="22"/>
                <w:lang w:eastAsia="es-CR"/>
              </w:rPr>
              <w:t>Jud</w:t>
            </w:r>
            <w:proofErr w:type="spellEnd"/>
            <w:r w:rsidRPr="00055D4B">
              <w:rPr>
                <w:rFonts w:ascii="Book Antiqua" w:hAnsi="Book Antiqua" w:cs="Calibri"/>
                <w:sz w:val="22"/>
                <w:szCs w:val="22"/>
                <w:lang w:eastAsia="es-CR"/>
              </w:rPr>
              <w:t>. Zona Atlántica (Guápiles)</w:t>
            </w:r>
          </w:p>
        </w:tc>
        <w:tc>
          <w:tcPr>
            <w:tcW w:w="642" w:type="pct"/>
            <w:shd w:val="clear" w:color="auto" w:fill="auto"/>
            <w:vAlign w:val="center"/>
            <w:hideMark/>
          </w:tcPr>
          <w:p w14:paraId="19D2036E"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30</w:t>
            </w:r>
          </w:p>
        </w:tc>
        <w:tc>
          <w:tcPr>
            <w:tcW w:w="482" w:type="pct"/>
            <w:shd w:val="clear" w:color="000000" w:fill="D9E1F2"/>
            <w:vAlign w:val="center"/>
            <w:hideMark/>
          </w:tcPr>
          <w:p w14:paraId="28DA56D9" w14:textId="77777777" w:rsidR="001341EC" w:rsidRPr="00055D4B" w:rsidRDefault="001341EC" w:rsidP="00165AA6">
            <w:pPr>
              <w:jc w:val="center"/>
              <w:rPr>
                <w:rFonts w:ascii="Book Antiqua" w:hAnsi="Book Antiqua" w:cs="Calibri"/>
                <w:b/>
                <w:color w:val="000000"/>
                <w:lang w:eastAsia="es-CR"/>
              </w:rPr>
            </w:pPr>
            <w:r w:rsidRPr="00055D4B">
              <w:rPr>
                <w:rFonts w:ascii="Book Antiqua" w:hAnsi="Book Antiqua" w:cs="Calibri"/>
                <w:b/>
                <w:color w:val="000000"/>
                <w:sz w:val="22"/>
                <w:szCs w:val="22"/>
                <w:lang w:eastAsia="es-CR"/>
              </w:rPr>
              <w:t>15</w:t>
            </w:r>
          </w:p>
        </w:tc>
        <w:tc>
          <w:tcPr>
            <w:tcW w:w="643" w:type="pct"/>
            <w:shd w:val="clear" w:color="auto" w:fill="auto"/>
            <w:vAlign w:val="center"/>
            <w:hideMark/>
          </w:tcPr>
          <w:p w14:paraId="5B428C09"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28</w:t>
            </w:r>
          </w:p>
        </w:tc>
        <w:tc>
          <w:tcPr>
            <w:tcW w:w="481" w:type="pct"/>
            <w:shd w:val="clear" w:color="000000" w:fill="D9E1F2"/>
            <w:vAlign w:val="center"/>
            <w:hideMark/>
          </w:tcPr>
          <w:p w14:paraId="230320DE" w14:textId="77777777" w:rsidR="001341EC" w:rsidRPr="00055D4B" w:rsidRDefault="001341EC" w:rsidP="00165AA6">
            <w:pPr>
              <w:jc w:val="center"/>
              <w:rPr>
                <w:rFonts w:ascii="Book Antiqua" w:hAnsi="Book Antiqua" w:cs="Calibri"/>
                <w:b/>
                <w:color w:val="000000"/>
                <w:lang w:eastAsia="es-CR"/>
              </w:rPr>
            </w:pPr>
            <w:r w:rsidRPr="00055D4B">
              <w:rPr>
                <w:rFonts w:ascii="Book Antiqua" w:hAnsi="Book Antiqua" w:cs="Calibri"/>
                <w:b/>
                <w:color w:val="000000"/>
                <w:sz w:val="22"/>
                <w:szCs w:val="22"/>
                <w:lang w:eastAsia="es-CR"/>
              </w:rPr>
              <w:t>14</w:t>
            </w:r>
          </w:p>
        </w:tc>
        <w:tc>
          <w:tcPr>
            <w:tcW w:w="482" w:type="pct"/>
            <w:shd w:val="clear" w:color="auto" w:fill="auto"/>
            <w:vAlign w:val="center"/>
            <w:hideMark/>
          </w:tcPr>
          <w:p w14:paraId="4A10B831"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37</w:t>
            </w:r>
          </w:p>
        </w:tc>
        <w:tc>
          <w:tcPr>
            <w:tcW w:w="535" w:type="pct"/>
            <w:shd w:val="clear" w:color="000000" w:fill="D9E1F2"/>
            <w:vAlign w:val="center"/>
            <w:hideMark/>
          </w:tcPr>
          <w:p w14:paraId="7E771DF1" w14:textId="77777777" w:rsidR="001341EC" w:rsidRPr="00055D4B" w:rsidRDefault="001341EC" w:rsidP="00165AA6">
            <w:pPr>
              <w:jc w:val="center"/>
              <w:rPr>
                <w:rFonts w:ascii="Book Antiqua" w:hAnsi="Book Antiqua" w:cs="Calibri"/>
                <w:b/>
                <w:color w:val="000000"/>
                <w:lang w:eastAsia="es-CR"/>
              </w:rPr>
            </w:pPr>
            <w:r w:rsidRPr="00055D4B">
              <w:rPr>
                <w:rFonts w:ascii="Book Antiqua" w:hAnsi="Book Antiqua" w:cs="Calibri"/>
                <w:b/>
                <w:color w:val="000000"/>
                <w:sz w:val="22"/>
                <w:szCs w:val="22"/>
                <w:lang w:eastAsia="es-CR"/>
              </w:rPr>
              <w:t>19</w:t>
            </w:r>
          </w:p>
        </w:tc>
        <w:tc>
          <w:tcPr>
            <w:tcW w:w="453" w:type="pct"/>
            <w:shd w:val="clear" w:color="auto" w:fill="auto"/>
            <w:vAlign w:val="center"/>
            <w:hideMark/>
          </w:tcPr>
          <w:p w14:paraId="3AC4A734"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16</w:t>
            </w:r>
          </w:p>
        </w:tc>
      </w:tr>
      <w:tr w:rsidR="001341EC" w:rsidRPr="00493BFE" w14:paraId="255185AA" w14:textId="77777777" w:rsidTr="00165AA6">
        <w:trPr>
          <w:trHeight w:val="1040"/>
        </w:trPr>
        <w:tc>
          <w:tcPr>
            <w:tcW w:w="1282" w:type="pct"/>
            <w:shd w:val="clear" w:color="auto" w:fill="auto"/>
            <w:vAlign w:val="center"/>
          </w:tcPr>
          <w:p w14:paraId="6E00529F"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Juzgado Agrario I Circ. Jud de la Zona Sur, (Pérez Zeledón)</w:t>
            </w:r>
          </w:p>
        </w:tc>
        <w:tc>
          <w:tcPr>
            <w:tcW w:w="642" w:type="pct"/>
            <w:shd w:val="clear" w:color="auto" w:fill="auto"/>
            <w:vAlign w:val="center"/>
          </w:tcPr>
          <w:p w14:paraId="1D6E907B"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20</w:t>
            </w:r>
          </w:p>
        </w:tc>
        <w:tc>
          <w:tcPr>
            <w:tcW w:w="482" w:type="pct"/>
            <w:shd w:val="clear" w:color="000000" w:fill="D9E1F2"/>
            <w:vAlign w:val="center"/>
          </w:tcPr>
          <w:p w14:paraId="35A975C2" w14:textId="77777777" w:rsidR="001341EC" w:rsidRPr="00055D4B" w:rsidRDefault="001341EC" w:rsidP="00165AA6">
            <w:pPr>
              <w:jc w:val="center"/>
              <w:rPr>
                <w:rFonts w:ascii="Book Antiqua" w:hAnsi="Book Antiqua" w:cs="Calibri"/>
                <w:b/>
                <w:color w:val="000000"/>
                <w:lang w:eastAsia="es-CR"/>
              </w:rPr>
            </w:pPr>
            <w:r w:rsidRPr="00055D4B">
              <w:rPr>
                <w:rFonts w:ascii="Book Antiqua" w:hAnsi="Book Antiqua" w:cs="Calibri"/>
                <w:b/>
                <w:color w:val="000000"/>
                <w:sz w:val="22"/>
                <w:szCs w:val="22"/>
                <w:lang w:eastAsia="es-CR"/>
              </w:rPr>
              <w:t>20</w:t>
            </w:r>
          </w:p>
        </w:tc>
        <w:tc>
          <w:tcPr>
            <w:tcW w:w="643" w:type="pct"/>
            <w:shd w:val="clear" w:color="auto" w:fill="auto"/>
            <w:vAlign w:val="center"/>
          </w:tcPr>
          <w:p w14:paraId="41175A5C"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14</w:t>
            </w:r>
          </w:p>
        </w:tc>
        <w:tc>
          <w:tcPr>
            <w:tcW w:w="481" w:type="pct"/>
            <w:shd w:val="clear" w:color="000000" w:fill="D9E1F2"/>
            <w:vAlign w:val="center"/>
          </w:tcPr>
          <w:p w14:paraId="37F24ED1" w14:textId="77777777" w:rsidR="001341EC" w:rsidRPr="00055D4B" w:rsidRDefault="001341EC" w:rsidP="00165AA6">
            <w:pPr>
              <w:jc w:val="center"/>
              <w:rPr>
                <w:rFonts w:ascii="Book Antiqua" w:hAnsi="Book Antiqua" w:cs="Calibri"/>
                <w:b/>
                <w:color w:val="000000"/>
                <w:lang w:eastAsia="es-CR"/>
              </w:rPr>
            </w:pPr>
            <w:r w:rsidRPr="00055D4B">
              <w:rPr>
                <w:rFonts w:ascii="Book Antiqua" w:hAnsi="Book Antiqua" w:cs="Calibri"/>
                <w:b/>
                <w:color w:val="000000"/>
                <w:sz w:val="22"/>
                <w:szCs w:val="22"/>
                <w:lang w:eastAsia="es-CR"/>
              </w:rPr>
              <w:t>14</w:t>
            </w:r>
          </w:p>
        </w:tc>
        <w:tc>
          <w:tcPr>
            <w:tcW w:w="482" w:type="pct"/>
            <w:shd w:val="clear" w:color="auto" w:fill="auto"/>
            <w:vAlign w:val="center"/>
          </w:tcPr>
          <w:p w14:paraId="65C68822"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16</w:t>
            </w:r>
          </w:p>
        </w:tc>
        <w:tc>
          <w:tcPr>
            <w:tcW w:w="535" w:type="pct"/>
            <w:shd w:val="clear" w:color="000000" w:fill="D9E1F2"/>
            <w:vAlign w:val="center"/>
          </w:tcPr>
          <w:p w14:paraId="0C6162E3" w14:textId="77777777" w:rsidR="001341EC" w:rsidRPr="00055D4B" w:rsidRDefault="001341EC" w:rsidP="00165AA6">
            <w:pPr>
              <w:jc w:val="center"/>
              <w:rPr>
                <w:rFonts w:ascii="Book Antiqua" w:hAnsi="Book Antiqua" w:cs="Calibri"/>
                <w:b/>
                <w:color w:val="000000"/>
                <w:lang w:eastAsia="es-CR"/>
              </w:rPr>
            </w:pPr>
            <w:r w:rsidRPr="00055D4B">
              <w:rPr>
                <w:rFonts w:ascii="Book Antiqua" w:hAnsi="Book Antiqua" w:cs="Calibri"/>
                <w:b/>
                <w:color w:val="000000"/>
                <w:sz w:val="22"/>
                <w:szCs w:val="22"/>
                <w:lang w:eastAsia="es-CR"/>
              </w:rPr>
              <w:t>16</w:t>
            </w:r>
          </w:p>
        </w:tc>
        <w:tc>
          <w:tcPr>
            <w:tcW w:w="453" w:type="pct"/>
            <w:shd w:val="clear" w:color="auto" w:fill="auto"/>
            <w:vAlign w:val="center"/>
          </w:tcPr>
          <w:p w14:paraId="0F1B4C79" w14:textId="77777777" w:rsidR="001341EC" w:rsidRPr="00055D4B" w:rsidRDefault="001341EC" w:rsidP="00165AA6">
            <w:pPr>
              <w:jc w:val="center"/>
              <w:rPr>
                <w:rFonts w:ascii="Book Antiqua" w:hAnsi="Book Antiqua" w:cs="Calibri"/>
                <w:color w:val="000000"/>
                <w:lang w:eastAsia="es-CR"/>
              </w:rPr>
            </w:pPr>
            <w:r w:rsidRPr="00055D4B">
              <w:rPr>
                <w:rFonts w:ascii="Book Antiqua" w:hAnsi="Book Antiqua" w:cs="Calibri"/>
                <w:color w:val="000000"/>
                <w:sz w:val="22"/>
                <w:szCs w:val="22"/>
                <w:lang w:eastAsia="es-CR"/>
              </w:rPr>
              <w:t>17</w:t>
            </w:r>
          </w:p>
        </w:tc>
      </w:tr>
    </w:tbl>
    <w:p w14:paraId="43819E14" w14:textId="77777777" w:rsidR="001341EC" w:rsidRPr="00F53CB0" w:rsidRDefault="001341EC" w:rsidP="001341EC">
      <w:pPr>
        <w:jc w:val="both"/>
        <w:rPr>
          <w:rFonts w:ascii="Book Antiqua" w:hAnsi="Book Antiqua"/>
        </w:rPr>
      </w:pPr>
      <w:r w:rsidRPr="00F53CB0">
        <w:rPr>
          <w:rFonts w:ascii="Book Antiqua" w:hAnsi="Book Antiqua"/>
          <w:b/>
        </w:rPr>
        <w:t xml:space="preserve">Fuente: </w:t>
      </w:r>
      <w:r w:rsidRPr="00F53CB0">
        <w:rPr>
          <w:rFonts w:ascii="Book Antiqua" w:hAnsi="Book Antiqua"/>
        </w:rPr>
        <w:t>Anuario Judicial (casos entrados y reentrados). Su</w:t>
      </w:r>
      <w:r>
        <w:rPr>
          <w:rFonts w:ascii="Book Antiqua" w:hAnsi="Book Antiqua"/>
        </w:rPr>
        <w:t>b</w:t>
      </w:r>
      <w:r w:rsidRPr="00F53CB0">
        <w:rPr>
          <w:rFonts w:ascii="Book Antiqua" w:hAnsi="Book Antiqua"/>
        </w:rPr>
        <w:t>proceso de Estadística</w:t>
      </w:r>
    </w:p>
    <w:bookmarkEnd w:id="8"/>
    <w:p w14:paraId="5E9A3E81" w14:textId="77777777" w:rsidR="001341EC" w:rsidRPr="00F53CB0" w:rsidRDefault="001341EC" w:rsidP="001341EC">
      <w:pPr>
        <w:jc w:val="both"/>
        <w:rPr>
          <w:rFonts w:ascii="Book Antiqua" w:hAnsi="Book Antiqua"/>
        </w:rPr>
      </w:pPr>
    </w:p>
    <w:p w14:paraId="5E5CC183" w14:textId="77777777" w:rsidR="001341EC" w:rsidRPr="00055D4B" w:rsidRDefault="001341EC" w:rsidP="001341EC">
      <w:pPr>
        <w:jc w:val="both"/>
        <w:rPr>
          <w:rFonts w:ascii="Book Antiqua" w:hAnsi="Book Antiqua"/>
          <w:sz w:val="22"/>
          <w:szCs w:val="22"/>
        </w:rPr>
      </w:pPr>
    </w:p>
    <w:p w14:paraId="2778B8F3" w14:textId="77777777" w:rsidR="001341EC" w:rsidRPr="00055D4B" w:rsidRDefault="001341EC" w:rsidP="001341EC">
      <w:pPr>
        <w:jc w:val="both"/>
        <w:rPr>
          <w:rFonts w:ascii="Book Antiqua" w:hAnsi="Book Antiqua"/>
          <w:sz w:val="22"/>
          <w:szCs w:val="22"/>
        </w:rPr>
      </w:pPr>
      <w:bookmarkStart w:id="9" w:name="_Hlk4604813"/>
      <w:r w:rsidRPr="00055D4B">
        <w:rPr>
          <w:rFonts w:ascii="Book Antiqua" w:hAnsi="Book Antiqua"/>
          <w:sz w:val="22"/>
          <w:szCs w:val="22"/>
        </w:rPr>
        <w:t>Como se observa en el cuadro anterior, en los últimos tres años, la cantidad promedio de entrada para estos tres despachos, supera el promedio del resto de despachos a nivel nacional, el cual ronda entre los 13 y 15 asuntos, con la participación de dos plazas de personas Juzgadoras.</w:t>
      </w:r>
    </w:p>
    <w:p w14:paraId="5D5C0D81" w14:textId="77777777" w:rsidR="001341EC" w:rsidRPr="00055D4B" w:rsidRDefault="001341EC" w:rsidP="001341EC">
      <w:pPr>
        <w:jc w:val="both"/>
        <w:rPr>
          <w:rFonts w:ascii="Book Antiqua" w:hAnsi="Book Antiqua"/>
          <w:sz w:val="22"/>
          <w:szCs w:val="22"/>
        </w:rPr>
      </w:pPr>
    </w:p>
    <w:p w14:paraId="2F7EF5CA"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En el siguiente gráfico se puede ampliar el comportamiento de los casos entrados y terminados para todos los despachos agrarios del país</w:t>
      </w:r>
      <w:bookmarkEnd w:id="9"/>
      <w:r w:rsidRPr="00055D4B">
        <w:rPr>
          <w:rFonts w:ascii="Book Antiqua" w:hAnsi="Book Antiqua"/>
          <w:sz w:val="22"/>
          <w:szCs w:val="22"/>
        </w:rPr>
        <w:t>:</w:t>
      </w:r>
    </w:p>
    <w:p w14:paraId="34A81DC0" w14:textId="77777777" w:rsidR="001341EC" w:rsidRPr="00055D4B" w:rsidRDefault="001341EC" w:rsidP="001341EC">
      <w:pPr>
        <w:jc w:val="both"/>
        <w:rPr>
          <w:rFonts w:ascii="Book Antiqua" w:hAnsi="Book Antiqua"/>
          <w:sz w:val="22"/>
          <w:szCs w:val="22"/>
        </w:rPr>
      </w:pPr>
    </w:p>
    <w:p w14:paraId="308A20A6"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bookmarkStart w:id="10" w:name="_Hlk4604838"/>
      <w:r w:rsidRPr="00126FA8">
        <w:rPr>
          <w:rFonts w:ascii="Book Antiqua" w:hAnsi="Book Antiqua"/>
          <w:bCs w:val="0"/>
          <w:iCs/>
          <w:sz w:val="22"/>
          <w:szCs w:val="24"/>
          <w:lang w:val="es-CR"/>
        </w:rPr>
        <w:t xml:space="preserve">Cuadro </w:t>
      </w:r>
      <w:r w:rsidR="009A23D1" w:rsidRPr="00126FA8">
        <w:rPr>
          <w:rFonts w:ascii="Book Antiqua" w:hAnsi="Book Antiqua"/>
          <w:bCs w:val="0"/>
          <w:iCs/>
          <w:sz w:val="22"/>
          <w:szCs w:val="24"/>
          <w:lang w:val="es-CR"/>
        </w:rPr>
        <w:fldChar w:fldCharType="begin"/>
      </w:r>
      <w:r w:rsidRPr="00126FA8">
        <w:rPr>
          <w:rFonts w:ascii="Book Antiqua" w:hAnsi="Book Antiqua"/>
          <w:bCs w:val="0"/>
          <w:iCs/>
          <w:sz w:val="22"/>
          <w:szCs w:val="24"/>
          <w:lang w:val="es-CR"/>
        </w:rPr>
        <w:instrText xml:space="preserve"> SEQ Cuadro \* ARABIC </w:instrText>
      </w:r>
      <w:r w:rsidR="009A23D1" w:rsidRPr="00126FA8">
        <w:rPr>
          <w:rFonts w:ascii="Book Antiqua" w:hAnsi="Book Antiqua"/>
          <w:bCs w:val="0"/>
          <w:iCs/>
          <w:sz w:val="22"/>
          <w:szCs w:val="24"/>
          <w:lang w:val="es-CR"/>
        </w:rPr>
        <w:fldChar w:fldCharType="separate"/>
      </w:r>
      <w:r w:rsidRPr="00126FA8">
        <w:rPr>
          <w:rFonts w:ascii="Book Antiqua" w:hAnsi="Book Antiqua"/>
          <w:bCs w:val="0"/>
          <w:iCs/>
          <w:sz w:val="22"/>
          <w:szCs w:val="24"/>
          <w:lang w:val="es-CR"/>
        </w:rPr>
        <w:t>5</w:t>
      </w:r>
      <w:r w:rsidR="009A23D1" w:rsidRPr="00126FA8">
        <w:rPr>
          <w:rFonts w:ascii="Book Antiqua" w:hAnsi="Book Antiqua"/>
          <w:bCs w:val="0"/>
          <w:iCs/>
          <w:sz w:val="22"/>
          <w:szCs w:val="24"/>
          <w:lang w:val="es-CR"/>
        </w:rPr>
        <w:fldChar w:fldCharType="end"/>
      </w:r>
      <w:r w:rsidRPr="00126FA8">
        <w:rPr>
          <w:rFonts w:ascii="Book Antiqua" w:hAnsi="Book Antiqua"/>
          <w:bCs w:val="0"/>
          <w:iCs/>
          <w:sz w:val="22"/>
          <w:szCs w:val="24"/>
          <w:lang w:val="es-CR"/>
        </w:rPr>
        <w:t xml:space="preserve"> </w:t>
      </w:r>
    </w:p>
    <w:p w14:paraId="3E13483C"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Asuntos terminados por motivo de término y relación de asuntos entrados y terminados</w:t>
      </w:r>
    </w:p>
    <w:tbl>
      <w:tblPr>
        <w:tblW w:w="10242" w:type="dxa"/>
        <w:jc w:val="center"/>
        <w:tblCellMar>
          <w:left w:w="70" w:type="dxa"/>
          <w:right w:w="70" w:type="dxa"/>
        </w:tblCellMar>
        <w:tblLook w:val="04A0" w:firstRow="1" w:lastRow="0" w:firstColumn="1" w:lastColumn="0" w:noHBand="0" w:noVBand="1"/>
      </w:tblPr>
      <w:tblGrid>
        <w:gridCol w:w="2025"/>
        <w:gridCol w:w="1251"/>
        <w:gridCol w:w="1253"/>
        <w:gridCol w:w="1253"/>
        <w:gridCol w:w="1253"/>
        <w:gridCol w:w="1253"/>
        <w:gridCol w:w="923"/>
        <w:gridCol w:w="1031"/>
      </w:tblGrid>
      <w:tr w:rsidR="001341EC" w:rsidRPr="00493BFE" w14:paraId="393A6B1F" w14:textId="77777777" w:rsidTr="00165AA6">
        <w:trPr>
          <w:trHeight w:val="17"/>
          <w:jc w:val="center"/>
        </w:trPr>
        <w:tc>
          <w:tcPr>
            <w:tcW w:w="2074" w:type="dxa"/>
            <w:tcBorders>
              <w:top w:val="single" w:sz="8" w:space="0" w:color="1F497D"/>
              <w:left w:val="single" w:sz="8" w:space="0" w:color="1F497D"/>
              <w:bottom w:val="single" w:sz="8" w:space="0" w:color="1F497D"/>
              <w:right w:val="single" w:sz="8" w:space="0" w:color="1F497D"/>
            </w:tcBorders>
            <w:shd w:val="clear" w:color="000000" w:fill="8DB4E2"/>
            <w:vAlign w:val="center"/>
            <w:hideMark/>
          </w:tcPr>
          <w:p w14:paraId="04C70E07" w14:textId="77777777" w:rsidR="001341EC" w:rsidRPr="00493BFE" w:rsidRDefault="001341EC" w:rsidP="00165AA6">
            <w:pPr>
              <w:jc w:val="center"/>
              <w:rPr>
                <w:rFonts w:ascii="Book Antiqua" w:hAnsi="Book Antiqua"/>
                <w:b/>
                <w:bCs/>
                <w:color w:val="000000"/>
                <w:lang w:eastAsia="es-CR"/>
              </w:rPr>
            </w:pPr>
            <w:r w:rsidRPr="00493BFE">
              <w:rPr>
                <w:rFonts w:ascii="Book Antiqua" w:hAnsi="Book Antiqua"/>
                <w:b/>
                <w:bCs/>
                <w:color w:val="000000"/>
                <w:sz w:val="22"/>
                <w:szCs w:val="22"/>
                <w:lang w:eastAsia="es-CR"/>
              </w:rPr>
              <w:t>Juzgado</w:t>
            </w:r>
          </w:p>
        </w:tc>
        <w:tc>
          <w:tcPr>
            <w:tcW w:w="1263" w:type="dxa"/>
            <w:tcBorders>
              <w:top w:val="single" w:sz="8" w:space="0" w:color="1F497D"/>
              <w:left w:val="nil"/>
              <w:bottom w:val="single" w:sz="8" w:space="0" w:color="1F497D"/>
              <w:right w:val="single" w:sz="8" w:space="0" w:color="1F497D"/>
            </w:tcBorders>
            <w:shd w:val="clear" w:color="000000" w:fill="8DB4E2"/>
            <w:vAlign w:val="center"/>
            <w:hideMark/>
          </w:tcPr>
          <w:p w14:paraId="6371C90E" w14:textId="77777777" w:rsidR="001341EC" w:rsidRPr="00493BFE" w:rsidRDefault="001341EC" w:rsidP="00165AA6">
            <w:pPr>
              <w:jc w:val="center"/>
              <w:rPr>
                <w:rFonts w:ascii="Book Antiqua" w:hAnsi="Book Antiqua"/>
                <w:b/>
                <w:bCs/>
                <w:color w:val="000000"/>
                <w:lang w:eastAsia="es-CR"/>
              </w:rPr>
            </w:pPr>
            <w:r w:rsidRPr="00493BFE">
              <w:rPr>
                <w:rFonts w:ascii="Book Antiqua" w:hAnsi="Book Antiqua"/>
                <w:b/>
                <w:bCs/>
                <w:color w:val="000000"/>
                <w:sz w:val="22"/>
                <w:szCs w:val="22"/>
                <w:lang w:eastAsia="es-CR"/>
              </w:rPr>
              <w:t>Motivo de Término</w:t>
            </w:r>
          </w:p>
        </w:tc>
        <w:tc>
          <w:tcPr>
            <w:tcW w:w="1253" w:type="dxa"/>
            <w:tcBorders>
              <w:top w:val="double" w:sz="6" w:space="0" w:color="1F497D"/>
              <w:left w:val="double" w:sz="6" w:space="0" w:color="1F497D"/>
              <w:bottom w:val="nil"/>
              <w:right w:val="double" w:sz="6" w:space="0" w:color="1F497D"/>
            </w:tcBorders>
            <w:shd w:val="clear" w:color="000000" w:fill="8DB4E2"/>
            <w:vAlign w:val="center"/>
            <w:hideMark/>
          </w:tcPr>
          <w:p w14:paraId="1F3B05DD"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 xml:space="preserve">Terminado por Motivo </w:t>
            </w:r>
          </w:p>
        </w:tc>
        <w:tc>
          <w:tcPr>
            <w:tcW w:w="1191" w:type="dxa"/>
            <w:tcBorders>
              <w:top w:val="double" w:sz="6" w:space="0" w:color="1F497D"/>
              <w:left w:val="nil"/>
              <w:bottom w:val="nil"/>
              <w:right w:val="double" w:sz="6" w:space="0" w:color="1F497D"/>
            </w:tcBorders>
            <w:shd w:val="clear" w:color="000000" w:fill="8DB4E2"/>
            <w:vAlign w:val="center"/>
            <w:hideMark/>
          </w:tcPr>
          <w:p w14:paraId="365CB8B7"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Porcentaje de Te</w:t>
            </w:r>
            <w:r>
              <w:rPr>
                <w:rFonts w:ascii="Book Antiqua" w:hAnsi="Book Antiqua" w:cs="Calibri"/>
                <w:b/>
                <w:bCs/>
                <w:color w:val="000000"/>
                <w:sz w:val="22"/>
                <w:szCs w:val="22"/>
                <w:lang w:eastAsia="es-CR"/>
              </w:rPr>
              <w:t>r</w:t>
            </w:r>
            <w:r w:rsidRPr="00493BFE">
              <w:rPr>
                <w:rFonts w:ascii="Book Antiqua" w:hAnsi="Book Antiqua" w:cs="Calibri"/>
                <w:b/>
                <w:bCs/>
                <w:color w:val="000000"/>
                <w:sz w:val="22"/>
                <w:szCs w:val="22"/>
                <w:lang w:eastAsia="es-CR"/>
              </w:rPr>
              <w:t>minado</w:t>
            </w:r>
          </w:p>
        </w:tc>
        <w:tc>
          <w:tcPr>
            <w:tcW w:w="1253" w:type="dxa"/>
            <w:tcBorders>
              <w:top w:val="double" w:sz="6" w:space="0" w:color="1F497D"/>
              <w:left w:val="nil"/>
              <w:bottom w:val="nil"/>
              <w:right w:val="double" w:sz="6" w:space="0" w:color="1F497D"/>
            </w:tcBorders>
            <w:shd w:val="clear" w:color="000000" w:fill="8DB4E2"/>
            <w:vAlign w:val="center"/>
            <w:hideMark/>
          </w:tcPr>
          <w:p w14:paraId="1E271E9F"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 xml:space="preserve">Terminado por Juez por Mes </w:t>
            </w:r>
          </w:p>
        </w:tc>
        <w:tc>
          <w:tcPr>
            <w:tcW w:w="1253" w:type="dxa"/>
            <w:tcBorders>
              <w:top w:val="double" w:sz="6" w:space="0" w:color="1F497D"/>
              <w:left w:val="nil"/>
              <w:bottom w:val="nil"/>
              <w:right w:val="double" w:sz="6" w:space="0" w:color="1F497D"/>
            </w:tcBorders>
            <w:shd w:val="clear" w:color="000000" w:fill="8DB4E2"/>
            <w:vAlign w:val="center"/>
            <w:hideMark/>
          </w:tcPr>
          <w:p w14:paraId="5DCE80F1"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Terminado Anual</w:t>
            </w:r>
          </w:p>
        </w:tc>
        <w:tc>
          <w:tcPr>
            <w:tcW w:w="923" w:type="dxa"/>
            <w:tcBorders>
              <w:top w:val="double" w:sz="6" w:space="0" w:color="1F497D"/>
              <w:left w:val="nil"/>
              <w:bottom w:val="nil"/>
              <w:right w:val="double" w:sz="6" w:space="0" w:color="1F497D"/>
            </w:tcBorders>
            <w:shd w:val="clear" w:color="000000" w:fill="8DB4E2"/>
            <w:vAlign w:val="center"/>
            <w:hideMark/>
          </w:tcPr>
          <w:p w14:paraId="56358CD1"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Entrada Anual</w:t>
            </w:r>
          </w:p>
        </w:tc>
        <w:tc>
          <w:tcPr>
            <w:tcW w:w="1032" w:type="dxa"/>
            <w:tcBorders>
              <w:top w:val="double" w:sz="6" w:space="0" w:color="1F497D"/>
              <w:left w:val="nil"/>
              <w:bottom w:val="nil"/>
              <w:right w:val="double" w:sz="6" w:space="0" w:color="1F497D"/>
            </w:tcBorders>
            <w:shd w:val="clear" w:color="000000" w:fill="8DB4E2"/>
            <w:vAlign w:val="center"/>
            <w:hideMark/>
          </w:tcPr>
          <w:p w14:paraId="5F682403"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Relación Salida Entrada</w:t>
            </w:r>
          </w:p>
        </w:tc>
      </w:tr>
      <w:tr w:rsidR="001341EC" w:rsidRPr="00493BFE" w14:paraId="1EF20370"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112C4A8C"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San José</w:t>
            </w:r>
          </w:p>
        </w:tc>
        <w:tc>
          <w:tcPr>
            <w:tcW w:w="1263" w:type="dxa"/>
            <w:tcBorders>
              <w:top w:val="nil"/>
              <w:left w:val="nil"/>
              <w:bottom w:val="single" w:sz="8" w:space="0" w:color="1F497D"/>
              <w:right w:val="single" w:sz="8" w:space="0" w:color="1F497D"/>
            </w:tcBorders>
            <w:shd w:val="clear" w:color="auto" w:fill="auto"/>
            <w:vAlign w:val="center"/>
            <w:hideMark/>
          </w:tcPr>
          <w:p w14:paraId="6B349EDE"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5CBFABD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162</w:t>
            </w:r>
          </w:p>
        </w:tc>
        <w:tc>
          <w:tcPr>
            <w:tcW w:w="1191" w:type="dxa"/>
            <w:tcBorders>
              <w:top w:val="double" w:sz="6" w:space="0" w:color="1F497D"/>
              <w:left w:val="nil"/>
              <w:bottom w:val="double" w:sz="6" w:space="0" w:color="1F497D"/>
              <w:right w:val="double" w:sz="6" w:space="0" w:color="1F497D"/>
            </w:tcBorders>
            <w:shd w:val="clear" w:color="auto" w:fill="auto"/>
            <w:vAlign w:val="center"/>
            <w:hideMark/>
          </w:tcPr>
          <w:p w14:paraId="402F9D3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63%</w:t>
            </w:r>
          </w:p>
        </w:tc>
        <w:tc>
          <w:tcPr>
            <w:tcW w:w="1253" w:type="dxa"/>
            <w:tcBorders>
              <w:top w:val="double" w:sz="6" w:space="0" w:color="1F497D"/>
              <w:left w:val="nil"/>
              <w:bottom w:val="double" w:sz="6" w:space="0" w:color="1F497D"/>
              <w:right w:val="double" w:sz="6" w:space="0" w:color="1F497D"/>
            </w:tcBorders>
            <w:shd w:val="clear" w:color="auto" w:fill="auto"/>
            <w:vAlign w:val="center"/>
            <w:hideMark/>
          </w:tcPr>
          <w:p w14:paraId="7DAE049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w:t>
            </w:r>
          </w:p>
        </w:tc>
        <w:tc>
          <w:tcPr>
            <w:tcW w:w="1253" w:type="dxa"/>
            <w:vMerge w:val="restart"/>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17F3F47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258</w:t>
            </w:r>
          </w:p>
        </w:tc>
        <w:tc>
          <w:tcPr>
            <w:tcW w:w="923" w:type="dxa"/>
            <w:vMerge w:val="restart"/>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04F7708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331</w:t>
            </w:r>
          </w:p>
        </w:tc>
        <w:tc>
          <w:tcPr>
            <w:tcW w:w="1032" w:type="dxa"/>
            <w:vMerge w:val="restart"/>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23A57E7B"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78%</w:t>
            </w:r>
          </w:p>
        </w:tc>
      </w:tr>
      <w:tr w:rsidR="001341EC" w:rsidRPr="00493BFE" w14:paraId="221EC5BF"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457A8F7E"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auto" w:fill="auto"/>
            <w:vAlign w:val="center"/>
            <w:hideMark/>
          </w:tcPr>
          <w:p w14:paraId="09DFAA45"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6493D63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96</w:t>
            </w:r>
          </w:p>
        </w:tc>
        <w:tc>
          <w:tcPr>
            <w:tcW w:w="1191" w:type="dxa"/>
            <w:tcBorders>
              <w:top w:val="nil"/>
              <w:left w:val="nil"/>
              <w:bottom w:val="double" w:sz="6" w:space="0" w:color="1F497D"/>
              <w:right w:val="double" w:sz="6" w:space="0" w:color="1F497D"/>
            </w:tcBorders>
            <w:shd w:val="clear" w:color="auto" w:fill="auto"/>
            <w:vAlign w:val="center"/>
            <w:hideMark/>
          </w:tcPr>
          <w:p w14:paraId="168D917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37%</w:t>
            </w:r>
          </w:p>
        </w:tc>
        <w:tc>
          <w:tcPr>
            <w:tcW w:w="1253" w:type="dxa"/>
            <w:tcBorders>
              <w:top w:val="nil"/>
              <w:left w:val="nil"/>
              <w:bottom w:val="double" w:sz="6" w:space="0" w:color="1F497D"/>
              <w:right w:val="double" w:sz="6" w:space="0" w:color="1F497D"/>
            </w:tcBorders>
            <w:shd w:val="clear" w:color="auto" w:fill="auto"/>
            <w:vAlign w:val="center"/>
            <w:hideMark/>
          </w:tcPr>
          <w:p w14:paraId="501320E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253" w:type="dxa"/>
            <w:vMerge/>
            <w:tcBorders>
              <w:top w:val="double" w:sz="6" w:space="0" w:color="1F497D"/>
              <w:left w:val="double" w:sz="6" w:space="0" w:color="1F497D"/>
              <w:bottom w:val="double" w:sz="6" w:space="0" w:color="1F497D"/>
              <w:right w:val="double" w:sz="6" w:space="0" w:color="1F497D"/>
            </w:tcBorders>
            <w:vAlign w:val="center"/>
            <w:hideMark/>
          </w:tcPr>
          <w:p w14:paraId="08E23C7A" w14:textId="77777777" w:rsidR="001341EC" w:rsidRPr="00493BFE" w:rsidRDefault="001341EC" w:rsidP="00165AA6">
            <w:pPr>
              <w:rPr>
                <w:rFonts w:ascii="Book Antiqua" w:hAnsi="Book Antiqua" w:cs="Calibri"/>
                <w:lang w:eastAsia="es-CR"/>
              </w:rPr>
            </w:pPr>
          </w:p>
        </w:tc>
        <w:tc>
          <w:tcPr>
            <w:tcW w:w="923" w:type="dxa"/>
            <w:vMerge/>
            <w:tcBorders>
              <w:top w:val="double" w:sz="6" w:space="0" w:color="1F497D"/>
              <w:left w:val="double" w:sz="6" w:space="0" w:color="1F497D"/>
              <w:bottom w:val="double" w:sz="6" w:space="0" w:color="1F497D"/>
              <w:right w:val="double" w:sz="6" w:space="0" w:color="1F497D"/>
            </w:tcBorders>
            <w:vAlign w:val="center"/>
            <w:hideMark/>
          </w:tcPr>
          <w:p w14:paraId="6A36BFC7" w14:textId="77777777" w:rsidR="001341EC" w:rsidRPr="00493BFE" w:rsidRDefault="001341EC" w:rsidP="00165AA6">
            <w:pPr>
              <w:rPr>
                <w:rFonts w:ascii="Book Antiqua" w:hAnsi="Book Antiqua" w:cs="Calibri"/>
                <w:lang w:eastAsia="es-CR"/>
              </w:rPr>
            </w:pPr>
          </w:p>
        </w:tc>
        <w:tc>
          <w:tcPr>
            <w:tcW w:w="1032" w:type="dxa"/>
            <w:vMerge/>
            <w:tcBorders>
              <w:top w:val="double" w:sz="6" w:space="0" w:color="1F497D"/>
              <w:left w:val="double" w:sz="6" w:space="0" w:color="1F497D"/>
              <w:bottom w:val="double" w:sz="6" w:space="0" w:color="1F497D"/>
              <w:right w:val="double" w:sz="6" w:space="0" w:color="1F497D"/>
            </w:tcBorders>
            <w:vAlign w:val="center"/>
            <w:hideMark/>
          </w:tcPr>
          <w:p w14:paraId="51681C9E" w14:textId="77777777" w:rsidR="001341EC" w:rsidRPr="00493BFE" w:rsidRDefault="001341EC" w:rsidP="00165AA6">
            <w:pPr>
              <w:rPr>
                <w:rFonts w:ascii="Book Antiqua" w:hAnsi="Book Antiqua" w:cs="Calibri"/>
                <w:lang w:eastAsia="es-CR"/>
              </w:rPr>
            </w:pPr>
          </w:p>
        </w:tc>
      </w:tr>
      <w:tr w:rsidR="001341EC" w:rsidRPr="00493BFE" w14:paraId="6445AB2A"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1194FCE4"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Alajuela</w:t>
            </w:r>
          </w:p>
        </w:tc>
        <w:tc>
          <w:tcPr>
            <w:tcW w:w="1263" w:type="dxa"/>
            <w:tcBorders>
              <w:top w:val="nil"/>
              <w:left w:val="nil"/>
              <w:bottom w:val="single" w:sz="8" w:space="0" w:color="1F497D"/>
              <w:right w:val="single" w:sz="8" w:space="0" w:color="1F497D"/>
            </w:tcBorders>
            <w:shd w:val="clear" w:color="000000" w:fill="DCE6F1"/>
            <w:vAlign w:val="center"/>
            <w:hideMark/>
          </w:tcPr>
          <w:p w14:paraId="1BB67BC4"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42B6C5E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73</w:t>
            </w:r>
          </w:p>
        </w:tc>
        <w:tc>
          <w:tcPr>
            <w:tcW w:w="1191" w:type="dxa"/>
            <w:tcBorders>
              <w:top w:val="nil"/>
              <w:left w:val="nil"/>
              <w:bottom w:val="double" w:sz="6" w:space="0" w:color="1F497D"/>
              <w:right w:val="double" w:sz="6" w:space="0" w:color="1F497D"/>
            </w:tcBorders>
            <w:shd w:val="clear" w:color="000000" w:fill="DCE6F1"/>
            <w:vAlign w:val="center"/>
            <w:hideMark/>
          </w:tcPr>
          <w:p w14:paraId="78D1FAA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47%</w:t>
            </w:r>
          </w:p>
        </w:tc>
        <w:tc>
          <w:tcPr>
            <w:tcW w:w="1253" w:type="dxa"/>
            <w:tcBorders>
              <w:top w:val="nil"/>
              <w:left w:val="nil"/>
              <w:bottom w:val="double" w:sz="6" w:space="0" w:color="1F497D"/>
              <w:right w:val="double" w:sz="6" w:space="0" w:color="1F497D"/>
            </w:tcBorders>
            <w:shd w:val="clear" w:color="000000" w:fill="DCE6F1"/>
            <w:vAlign w:val="center"/>
            <w:hideMark/>
          </w:tcPr>
          <w:p w14:paraId="2A893E5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w:t>
            </w:r>
          </w:p>
        </w:tc>
        <w:tc>
          <w:tcPr>
            <w:tcW w:w="125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6E2A7F6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156</w:t>
            </w:r>
          </w:p>
        </w:tc>
        <w:tc>
          <w:tcPr>
            <w:tcW w:w="92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6F676C4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210</w:t>
            </w:r>
          </w:p>
        </w:tc>
        <w:tc>
          <w:tcPr>
            <w:tcW w:w="1032"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6DB217B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74%</w:t>
            </w:r>
          </w:p>
        </w:tc>
      </w:tr>
      <w:tr w:rsidR="001341EC" w:rsidRPr="00493BFE" w14:paraId="15A8303C"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5FC44DB0"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000000" w:fill="DCE6F1"/>
            <w:vAlign w:val="center"/>
            <w:hideMark/>
          </w:tcPr>
          <w:p w14:paraId="08E53434"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5C106B82"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83</w:t>
            </w:r>
          </w:p>
        </w:tc>
        <w:tc>
          <w:tcPr>
            <w:tcW w:w="1191" w:type="dxa"/>
            <w:tcBorders>
              <w:top w:val="nil"/>
              <w:left w:val="nil"/>
              <w:bottom w:val="double" w:sz="6" w:space="0" w:color="1F497D"/>
              <w:right w:val="double" w:sz="6" w:space="0" w:color="1F497D"/>
            </w:tcBorders>
            <w:shd w:val="clear" w:color="000000" w:fill="DCE6F1"/>
            <w:vAlign w:val="center"/>
            <w:hideMark/>
          </w:tcPr>
          <w:p w14:paraId="7CF9320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53%</w:t>
            </w:r>
          </w:p>
        </w:tc>
        <w:tc>
          <w:tcPr>
            <w:tcW w:w="1253" w:type="dxa"/>
            <w:tcBorders>
              <w:top w:val="nil"/>
              <w:left w:val="nil"/>
              <w:bottom w:val="double" w:sz="6" w:space="0" w:color="1F497D"/>
              <w:right w:val="double" w:sz="6" w:space="0" w:color="1F497D"/>
            </w:tcBorders>
            <w:shd w:val="clear" w:color="000000" w:fill="DCE6F1"/>
            <w:vAlign w:val="center"/>
            <w:hideMark/>
          </w:tcPr>
          <w:p w14:paraId="7F01A55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253" w:type="dxa"/>
            <w:vMerge/>
            <w:tcBorders>
              <w:top w:val="nil"/>
              <w:left w:val="double" w:sz="6" w:space="0" w:color="1F497D"/>
              <w:bottom w:val="double" w:sz="6" w:space="0" w:color="1F497D"/>
              <w:right w:val="double" w:sz="6" w:space="0" w:color="1F497D"/>
            </w:tcBorders>
            <w:vAlign w:val="center"/>
            <w:hideMark/>
          </w:tcPr>
          <w:p w14:paraId="7D30D03F"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54B1F267"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49AD3A73" w14:textId="77777777" w:rsidR="001341EC" w:rsidRPr="00493BFE" w:rsidRDefault="001341EC" w:rsidP="00165AA6">
            <w:pPr>
              <w:rPr>
                <w:rFonts w:ascii="Book Antiqua" w:hAnsi="Book Antiqua" w:cs="Calibri"/>
                <w:lang w:eastAsia="es-CR"/>
              </w:rPr>
            </w:pPr>
          </w:p>
        </w:tc>
      </w:tr>
      <w:tr w:rsidR="001341EC" w:rsidRPr="00493BFE" w14:paraId="4CC6577F"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704F3B32"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Alajuela (San Carlos)</w:t>
            </w:r>
          </w:p>
        </w:tc>
        <w:tc>
          <w:tcPr>
            <w:tcW w:w="1263" w:type="dxa"/>
            <w:tcBorders>
              <w:top w:val="nil"/>
              <w:left w:val="nil"/>
              <w:bottom w:val="single" w:sz="8" w:space="0" w:color="1F497D"/>
              <w:right w:val="single" w:sz="8" w:space="0" w:color="1F497D"/>
            </w:tcBorders>
            <w:shd w:val="clear" w:color="auto" w:fill="auto"/>
            <w:vAlign w:val="center"/>
            <w:hideMark/>
          </w:tcPr>
          <w:p w14:paraId="2A9EDF5B"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2BEB790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140</w:t>
            </w:r>
          </w:p>
        </w:tc>
        <w:tc>
          <w:tcPr>
            <w:tcW w:w="1191" w:type="dxa"/>
            <w:tcBorders>
              <w:top w:val="nil"/>
              <w:left w:val="nil"/>
              <w:bottom w:val="double" w:sz="6" w:space="0" w:color="1F497D"/>
              <w:right w:val="double" w:sz="6" w:space="0" w:color="1F497D"/>
            </w:tcBorders>
            <w:shd w:val="clear" w:color="auto" w:fill="auto"/>
            <w:vAlign w:val="center"/>
            <w:hideMark/>
          </w:tcPr>
          <w:p w14:paraId="038DF82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45%</w:t>
            </w:r>
          </w:p>
        </w:tc>
        <w:tc>
          <w:tcPr>
            <w:tcW w:w="1253" w:type="dxa"/>
            <w:tcBorders>
              <w:top w:val="nil"/>
              <w:left w:val="nil"/>
              <w:bottom w:val="double" w:sz="6" w:space="0" w:color="1F497D"/>
              <w:right w:val="double" w:sz="6" w:space="0" w:color="1F497D"/>
            </w:tcBorders>
            <w:shd w:val="clear" w:color="auto" w:fill="auto"/>
            <w:vAlign w:val="center"/>
            <w:hideMark/>
          </w:tcPr>
          <w:p w14:paraId="7874B884"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w:t>
            </w:r>
          </w:p>
        </w:tc>
        <w:tc>
          <w:tcPr>
            <w:tcW w:w="125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30D7987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310</w:t>
            </w:r>
          </w:p>
        </w:tc>
        <w:tc>
          <w:tcPr>
            <w:tcW w:w="92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59FFDD8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424</w:t>
            </w:r>
          </w:p>
        </w:tc>
        <w:tc>
          <w:tcPr>
            <w:tcW w:w="1032"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47E2398B"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73%</w:t>
            </w:r>
          </w:p>
        </w:tc>
      </w:tr>
      <w:tr w:rsidR="001341EC" w:rsidRPr="00493BFE" w14:paraId="3A9672B6"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70178058"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auto" w:fill="auto"/>
            <w:vAlign w:val="center"/>
            <w:hideMark/>
          </w:tcPr>
          <w:p w14:paraId="50A3AEAC"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3270DC52"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170</w:t>
            </w:r>
          </w:p>
        </w:tc>
        <w:tc>
          <w:tcPr>
            <w:tcW w:w="1191" w:type="dxa"/>
            <w:tcBorders>
              <w:top w:val="nil"/>
              <w:left w:val="nil"/>
              <w:bottom w:val="double" w:sz="6" w:space="0" w:color="1F497D"/>
              <w:right w:val="double" w:sz="6" w:space="0" w:color="1F497D"/>
            </w:tcBorders>
            <w:shd w:val="clear" w:color="auto" w:fill="auto"/>
            <w:vAlign w:val="center"/>
            <w:hideMark/>
          </w:tcPr>
          <w:p w14:paraId="2EC0F57B"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55%</w:t>
            </w:r>
          </w:p>
        </w:tc>
        <w:tc>
          <w:tcPr>
            <w:tcW w:w="1253" w:type="dxa"/>
            <w:tcBorders>
              <w:top w:val="nil"/>
              <w:left w:val="nil"/>
              <w:bottom w:val="double" w:sz="6" w:space="0" w:color="1F497D"/>
              <w:right w:val="double" w:sz="6" w:space="0" w:color="1F497D"/>
            </w:tcBorders>
            <w:shd w:val="clear" w:color="auto" w:fill="auto"/>
            <w:vAlign w:val="center"/>
            <w:hideMark/>
          </w:tcPr>
          <w:p w14:paraId="3B96324C"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8</w:t>
            </w:r>
          </w:p>
        </w:tc>
        <w:tc>
          <w:tcPr>
            <w:tcW w:w="1253" w:type="dxa"/>
            <w:vMerge/>
            <w:tcBorders>
              <w:top w:val="nil"/>
              <w:left w:val="double" w:sz="6" w:space="0" w:color="1F497D"/>
              <w:bottom w:val="double" w:sz="6" w:space="0" w:color="1F497D"/>
              <w:right w:val="double" w:sz="6" w:space="0" w:color="1F497D"/>
            </w:tcBorders>
            <w:vAlign w:val="center"/>
            <w:hideMark/>
          </w:tcPr>
          <w:p w14:paraId="0C145372"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02D1FAFC"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4C963C5C" w14:textId="77777777" w:rsidR="001341EC" w:rsidRPr="00493BFE" w:rsidRDefault="001341EC" w:rsidP="00165AA6">
            <w:pPr>
              <w:rPr>
                <w:rFonts w:ascii="Book Antiqua" w:hAnsi="Book Antiqua" w:cs="Calibri"/>
                <w:lang w:eastAsia="es-CR"/>
              </w:rPr>
            </w:pPr>
          </w:p>
        </w:tc>
      </w:tr>
      <w:tr w:rsidR="001341EC" w:rsidRPr="00493BFE" w14:paraId="6CF61265"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38BB8011"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Civil y Trabajo 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Alajuela, sede Upala</w:t>
            </w:r>
          </w:p>
        </w:tc>
        <w:tc>
          <w:tcPr>
            <w:tcW w:w="1263" w:type="dxa"/>
            <w:tcBorders>
              <w:top w:val="nil"/>
              <w:left w:val="nil"/>
              <w:bottom w:val="single" w:sz="8" w:space="0" w:color="1F497D"/>
              <w:right w:val="single" w:sz="8" w:space="0" w:color="1F497D"/>
            </w:tcBorders>
            <w:shd w:val="clear" w:color="auto" w:fill="auto"/>
            <w:vAlign w:val="center"/>
            <w:hideMark/>
          </w:tcPr>
          <w:p w14:paraId="0C2CDEC0"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306A25AC"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78</w:t>
            </w:r>
          </w:p>
        </w:tc>
        <w:tc>
          <w:tcPr>
            <w:tcW w:w="1191" w:type="dxa"/>
            <w:tcBorders>
              <w:top w:val="nil"/>
              <w:left w:val="nil"/>
              <w:bottom w:val="double" w:sz="6" w:space="0" w:color="1F497D"/>
              <w:right w:val="double" w:sz="6" w:space="0" w:color="1F497D"/>
            </w:tcBorders>
            <w:shd w:val="clear" w:color="000000" w:fill="DCE6F1"/>
            <w:vAlign w:val="center"/>
            <w:hideMark/>
          </w:tcPr>
          <w:p w14:paraId="7333FA9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47%</w:t>
            </w:r>
          </w:p>
        </w:tc>
        <w:tc>
          <w:tcPr>
            <w:tcW w:w="1253" w:type="dxa"/>
            <w:tcBorders>
              <w:top w:val="nil"/>
              <w:left w:val="nil"/>
              <w:bottom w:val="double" w:sz="6" w:space="0" w:color="1F497D"/>
              <w:right w:val="double" w:sz="6" w:space="0" w:color="1F497D"/>
            </w:tcBorders>
            <w:shd w:val="clear" w:color="000000" w:fill="DCE6F1"/>
            <w:vAlign w:val="center"/>
            <w:hideMark/>
          </w:tcPr>
          <w:p w14:paraId="2C22760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w:t>
            </w:r>
          </w:p>
        </w:tc>
        <w:tc>
          <w:tcPr>
            <w:tcW w:w="125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4116193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166</w:t>
            </w:r>
          </w:p>
        </w:tc>
        <w:tc>
          <w:tcPr>
            <w:tcW w:w="92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07D35CA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237</w:t>
            </w:r>
          </w:p>
        </w:tc>
        <w:tc>
          <w:tcPr>
            <w:tcW w:w="1032"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5296598B"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70%</w:t>
            </w:r>
          </w:p>
        </w:tc>
      </w:tr>
      <w:tr w:rsidR="001341EC" w:rsidRPr="00493BFE" w14:paraId="320E3E26"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372C91EC"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auto" w:fill="auto"/>
            <w:vAlign w:val="center"/>
            <w:hideMark/>
          </w:tcPr>
          <w:p w14:paraId="43E6CD7F"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086654E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88</w:t>
            </w:r>
          </w:p>
        </w:tc>
        <w:tc>
          <w:tcPr>
            <w:tcW w:w="1191" w:type="dxa"/>
            <w:tcBorders>
              <w:top w:val="nil"/>
              <w:left w:val="nil"/>
              <w:bottom w:val="double" w:sz="6" w:space="0" w:color="1F497D"/>
              <w:right w:val="double" w:sz="6" w:space="0" w:color="1F497D"/>
            </w:tcBorders>
            <w:shd w:val="clear" w:color="000000" w:fill="DCE6F1"/>
            <w:vAlign w:val="center"/>
            <w:hideMark/>
          </w:tcPr>
          <w:p w14:paraId="58D424F7"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53%</w:t>
            </w:r>
          </w:p>
        </w:tc>
        <w:tc>
          <w:tcPr>
            <w:tcW w:w="1253" w:type="dxa"/>
            <w:tcBorders>
              <w:top w:val="nil"/>
              <w:left w:val="nil"/>
              <w:bottom w:val="double" w:sz="6" w:space="0" w:color="1F497D"/>
              <w:right w:val="double" w:sz="6" w:space="0" w:color="1F497D"/>
            </w:tcBorders>
            <w:shd w:val="clear" w:color="000000" w:fill="DCE6F1"/>
            <w:vAlign w:val="center"/>
            <w:hideMark/>
          </w:tcPr>
          <w:p w14:paraId="5D9B0C0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8</w:t>
            </w:r>
          </w:p>
        </w:tc>
        <w:tc>
          <w:tcPr>
            <w:tcW w:w="1253" w:type="dxa"/>
            <w:vMerge/>
            <w:tcBorders>
              <w:top w:val="nil"/>
              <w:left w:val="double" w:sz="6" w:space="0" w:color="1F497D"/>
              <w:bottom w:val="double" w:sz="6" w:space="0" w:color="1F497D"/>
              <w:right w:val="double" w:sz="6" w:space="0" w:color="1F497D"/>
            </w:tcBorders>
            <w:vAlign w:val="center"/>
            <w:hideMark/>
          </w:tcPr>
          <w:p w14:paraId="2028F210"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5DDB05E9"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367E9B07" w14:textId="77777777" w:rsidR="001341EC" w:rsidRPr="00493BFE" w:rsidRDefault="001341EC" w:rsidP="00165AA6">
            <w:pPr>
              <w:rPr>
                <w:rFonts w:ascii="Book Antiqua" w:hAnsi="Book Antiqua" w:cs="Calibri"/>
                <w:lang w:eastAsia="es-CR"/>
              </w:rPr>
            </w:pPr>
          </w:p>
        </w:tc>
      </w:tr>
      <w:tr w:rsidR="001341EC" w:rsidRPr="00493BFE" w14:paraId="18EB0927"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67731324"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Alajuela (San Ramón)</w:t>
            </w:r>
          </w:p>
        </w:tc>
        <w:tc>
          <w:tcPr>
            <w:tcW w:w="1263" w:type="dxa"/>
            <w:tcBorders>
              <w:top w:val="nil"/>
              <w:left w:val="nil"/>
              <w:bottom w:val="single" w:sz="8" w:space="0" w:color="1F497D"/>
              <w:right w:val="single" w:sz="8" w:space="0" w:color="1F497D"/>
            </w:tcBorders>
            <w:shd w:val="clear" w:color="000000" w:fill="DCE6F1"/>
            <w:vAlign w:val="center"/>
            <w:hideMark/>
          </w:tcPr>
          <w:p w14:paraId="44B23607"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03CF7E3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145</w:t>
            </w:r>
          </w:p>
        </w:tc>
        <w:tc>
          <w:tcPr>
            <w:tcW w:w="1191" w:type="dxa"/>
            <w:tcBorders>
              <w:top w:val="nil"/>
              <w:left w:val="nil"/>
              <w:bottom w:val="double" w:sz="6" w:space="0" w:color="1F497D"/>
              <w:right w:val="double" w:sz="6" w:space="0" w:color="1F497D"/>
            </w:tcBorders>
            <w:shd w:val="clear" w:color="auto" w:fill="auto"/>
            <w:vAlign w:val="center"/>
            <w:hideMark/>
          </w:tcPr>
          <w:p w14:paraId="4A2ABFE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67%</w:t>
            </w:r>
          </w:p>
        </w:tc>
        <w:tc>
          <w:tcPr>
            <w:tcW w:w="1253" w:type="dxa"/>
            <w:tcBorders>
              <w:top w:val="nil"/>
              <w:left w:val="nil"/>
              <w:bottom w:val="double" w:sz="6" w:space="0" w:color="1F497D"/>
              <w:right w:val="double" w:sz="6" w:space="0" w:color="1F497D"/>
            </w:tcBorders>
            <w:shd w:val="clear" w:color="auto" w:fill="auto"/>
            <w:vAlign w:val="center"/>
            <w:hideMark/>
          </w:tcPr>
          <w:p w14:paraId="650FECC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w:t>
            </w:r>
          </w:p>
        </w:tc>
        <w:tc>
          <w:tcPr>
            <w:tcW w:w="125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2EFBB0E4"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217</w:t>
            </w:r>
          </w:p>
        </w:tc>
        <w:tc>
          <w:tcPr>
            <w:tcW w:w="92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08BDD474"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309</w:t>
            </w:r>
          </w:p>
        </w:tc>
        <w:tc>
          <w:tcPr>
            <w:tcW w:w="1032"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758C0D6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54%</w:t>
            </w:r>
          </w:p>
        </w:tc>
      </w:tr>
      <w:tr w:rsidR="001341EC" w:rsidRPr="00493BFE" w14:paraId="56A78F43"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0BCAE3D4"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000000" w:fill="DCE6F1"/>
            <w:vAlign w:val="center"/>
            <w:hideMark/>
          </w:tcPr>
          <w:p w14:paraId="0192FA83"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7EA1136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72</w:t>
            </w:r>
          </w:p>
        </w:tc>
        <w:tc>
          <w:tcPr>
            <w:tcW w:w="1191" w:type="dxa"/>
            <w:tcBorders>
              <w:top w:val="nil"/>
              <w:left w:val="nil"/>
              <w:bottom w:val="double" w:sz="6" w:space="0" w:color="1F497D"/>
              <w:right w:val="double" w:sz="6" w:space="0" w:color="1F497D"/>
            </w:tcBorders>
            <w:shd w:val="clear" w:color="auto" w:fill="auto"/>
            <w:vAlign w:val="center"/>
            <w:hideMark/>
          </w:tcPr>
          <w:p w14:paraId="04736ABC"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33%</w:t>
            </w:r>
          </w:p>
        </w:tc>
        <w:tc>
          <w:tcPr>
            <w:tcW w:w="1253" w:type="dxa"/>
            <w:tcBorders>
              <w:top w:val="nil"/>
              <w:left w:val="nil"/>
              <w:bottom w:val="double" w:sz="6" w:space="0" w:color="1F497D"/>
              <w:right w:val="double" w:sz="6" w:space="0" w:color="1F497D"/>
            </w:tcBorders>
            <w:shd w:val="clear" w:color="auto" w:fill="auto"/>
            <w:vAlign w:val="center"/>
            <w:hideMark/>
          </w:tcPr>
          <w:p w14:paraId="5AD2726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w:t>
            </w:r>
          </w:p>
        </w:tc>
        <w:tc>
          <w:tcPr>
            <w:tcW w:w="1253" w:type="dxa"/>
            <w:vMerge/>
            <w:tcBorders>
              <w:top w:val="nil"/>
              <w:left w:val="double" w:sz="6" w:space="0" w:color="1F497D"/>
              <w:bottom w:val="double" w:sz="6" w:space="0" w:color="1F497D"/>
              <w:right w:val="double" w:sz="6" w:space="0" w:color="1F497D"/>
            </w:tcBorders>
            <w:vAlign w:val="center"/>
            <w:hideMark/>
          </w:tcPr>
          <w:p w14:paraId="567BDDE4"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68FC530F"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330B617C" w14:textId="77777777" w:rsidR="001341EC" w:rsidRPr="00493BFE" w:rsidRDefault="001341EC" w:rsidP="00165AA6">
            <w:pPr>
              <w:rPr>
                <w:rFonts w:ascii="Book Antiqua" w:hAnsi="Book Antiqua" w:cs="Calibri"/>
                <w:lang w:eastAsia="es-CR"/>
              </w:rPr>
            </w:pPr>
          </w:p>
        </w:tc>
      </w:tr>
      <w:tr w:rsidR="001341EC" w:rsidRPr="00493BFE" w14:paraId="5D26AD10"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752FE689"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Juzgado Agrario Cartago</w:t>
            </w:r>
          </w:p>
        </w:tc>
        <w:tc>
          <w:tcPr>
            <w:tcW w:w="1263" w:type="dxa"/>
            <w:tcBorders>
              <w:top w:val="nil"/>
              <w:left w:val="nil"/>
              <w:bottom w:val="single" w:sz="8" w:space="0" w:color="1F497D"/>
              <w:right w:val="single" w:sz="8" w:space="0" w:color="1F497D"/>
            </w:tcBorders>
            <w:shd w:val="clear" w:color="auto" w:fill="auto"/>
            <w:vAlign w:val="center"/>
            <w:hideMark/>
          </w:tcPr>
          <w:p w14:paraId="49AC16DF"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69F641A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96</w:t>
            </w:r>
          </w:p>
        </w:tc>
        <w:tc>
          <w:tcPr>
            <w:tcW w:w="1191" w:type="dxa"/>
            <w:tcBorders>
              <w:top w:val="nil"/>
              <w:left w:val="nil"/>
              <w:bottom w:val="double" w:sz="6" w:space="0" w:color="1F497D"/>
              <w:right w:val="double" w:sz="6" w:space="0" w:color="1F497D"/>
            </w:tcBorders>
            <w:shd w:val="clear" w:color="000000" w:fill="DCE6F1"/>
            <w:vAlign w:val="center"/>
            <w:hideMark/>
          </w:tcPr>
          <w:p w14:paraId="274178F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63%</w:t>
            </w:r>
          </w:p>
        </w:tc>
        <w:tc>
          <w:tcPr>
            <w:tcW w:w="1253" w:type="dxa"/>
            <w:tcBorders>
              <w:top w:val="nil"/>
              <w:left w:val="nil"/>
              <w:bottom w:val="double" w:sz="6" w:space="0" w:color="1F497D"/>
              <w:right w:val="double" w:sz="6" w:space="0" w:color="1F497D"/>
            </w:tcBorders>
            <w:shd w:val="clear" w:color="000000" w:fill="DCE6F1"/>
            <w:vAlign w:val="center"/>
            <w:hideMark/>
          </w:tcPr>
          <w:p w14:paraId="15C95DC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25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691FD69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152</w:t>
            </w:r>
          </w:p>
        </w:tc>
        <w:tc>
          <w:tcPr>
            <w:tcW w:w="92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057922C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273</w:t>
            </w:r>
          </w:p>
        </w:tc>
        <w:tc>
          <w:tcPr>
            <w:tcW w:w="1032"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1337C25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56%</w:t>
            </w:r>
          </w:p>
        </w:tc>
      </w:tr>
      <w:tr w:rsidR="001341EC" w:rsidRPr="00493BFE" w14:paraId="6187CB67"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2FCA2085"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auto" w:fill="auto"/>
            <w:vAlign w:val="center"/>
            <w:hideMark/>
          </w:tcPr>
          <w:p w14:paraId="784E62C2"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722FA18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56</w:t>
            </w:r>
          </w:p>
        </w:tc>
        <w:tc>
          <w:tcPr>
            <w:tcW w:w="1191" w:type="dxa"/>
            <w:tcBorders>
              <w:top w:val="nil"/>
              <w:left w:val="nil"/>
              <w:bottom w:val="double" w:sz="6" w:space="0" w:color="1F497D"/>
              <w:right w:val="double" w:sz="6" w:space="0" w:color="1F497D"/>
            </w:tcBorders>
            <w:shd w:val="clear" w:color="000000" w:fill="DCE6F1"/>
            <w:vAlign w:val="center"/>
            <w:hideMark/>
          </w:tcPr>
          <w:p w14:paraId="2854144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37%</w:t>
            </w:r>
          </w:p>
        </w:tc>
        <w:tc>
          <w:tcPr>
            <w:tcW w:w="1253" w:type="dxa"/>
            <w:tcBorders>
              <w:top w:val="nil"/>
              <w:left w:val="nil"/>
              <w:bottom w:val="double" w:sz="6" w:space="0" w:color="1F497D"/>
              <w:right w:val="double" w:sz="6" w:space="0" w:color="1F497D"/>
            </w:tcBorders>
            <w:shd w:val="clear" w:color="000000" w:fill="DCE6F1"/>
            <w:vAlign w:val="center"/>
            <w:hideMark/>
          </w:tcPr>
          <w:p w14:paraId="3C9BB59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w:t>
            </w:r>
          </w:p>
        </w:tc>
        <w:tc>
          <w:tcPr>
            <w:tcW w:w="1253" w:type="dxa"/>
            <w:vMerge/>
            <w:tcBorders>
              <w:top w:val="nil"/>
              <w:left w:val="double" w:sz="6" w:space="0" w:color="1F497D"/>
              <w:bottom w:val="double" w:sz="6" w:space="0" w:color="1F497D"/>
              <w:right w:val="double" w:sz="6" w:space="0" w:color="1F497D"/>
            </w:tcBorders>
            <w:vAlign w:val="center"/>
            <w:hideMark/>
          </w:tcPr>
          <w:p w14:paraId="3C929070"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5DBBFB11"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0F9BA7FA" w14:textId="77777777" w:rsidR="001341EC" w:rsidRPr="00493BFE" w:rsidRDefault="001341EC" w:rsidP="00165AA6">
            <w:pPr>
              <w:rPr>
                <w:rFonts w:ascii="Book Antiqua" w:hAnsi="Book Antiqua" w:cs="Calibri"/>
                <w:lang w:eastAsia="es-CR"/>
              </w:rPr>
            </w:pPr>
          </w:p>
        </w:tc>
      </w:tr>
      <w:tr w:rsidR="001341EC" w:rsidRPr="00493BFE" w14:paraId="0CA38C2E"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3193275A"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Juzgado Civil, Trabajo y Agrario Turrialba</w:t>
            </w:r>
          </w:p>
        </w:tc>
        <w:tc>
          <w:tcPr>
            <w:tcW w:w="1263" w:type="dxa"/>
            <w:tcBorders>
              <w:top w:val="nil"/>
              <w:left w:val="nil"/>
              <w:bottom w:val="single" w:sz="8" w:space="0" w:color="1F497D"/>
              <w:right w:val="single" w:sz="8" w:space="0" w:color="1F497D"/>
            </w:tcBorders>
            <w:shd w:val="clear" w:color="000000" w:fill="DCE6F1"/>
            <w:vAlign w:val="center"/>
            <w:hideMark/>
          </w:tcPr>
          <w:p w14:paraId="755987FA"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06C26B5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48</w:t>
            </w:r>
          </w:p>
        </w:tc>
        <w:tc>
          <w:tcPr>
            <w:tcW w:w="1191" w:type="dxa"/>
            <w:tcBorders>
              <w:top w:val="nil"/>
              <w:left w:val="nil"/>
              <w:bottom w:val="double" w:sz="6" w:space="0" w:color="1F497D"/>
              <w:right w:val="double" w:sz="6" w:space="0" w:color="1F497D"/>
            </w:tcBorders>
            <w:shd w:val="clear" w:color="auto" w:fill="auto"/>
            <w:vAlign w:val="center"/>
            <w:hideMark/>
          </w:tcPr>
          <w:p w14:paraId="6B9BF90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47%</w:t>
            </w:r>
          </w:p>
        </w:tc>
        <w:tc>
          <w:tcPr>
            <w:tcW w:w="1253" w:type="dxa"/>
            <w:tcBorders>
              <w:top w:val="nil"/>
              <w:left w:val="nil"/>
              <w:bottom w:val="double" w:sz="6" w:space="0" w:color="1F497D"/>
              <w:right w:val="double" w:sz="6" w:space="0" w:color="1F497D"/>
            </w:tcBorders>
            <w:shd w:val="clear" w:color="auto" w:fill="auto"/>
            <w:vAlign w:val="center"/>
            <w:hideMark/>
          </w:tcPr>
          <w:p w14:paraId="59ADBCB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25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792D886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102</w:t>
            </w:r>
          </w:p>
        </w:tc>
        <w:tc>
          <w:tcPr>
            <w:tcW w:w="92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62D7B68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102</w:t>
            </w:r>
          </w:p>
        </w:tc>
        <w:tc>
          <w:tcPr>
            <w:tcW w:w="1032"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08825FD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100%</w:t>
            </w:r>
          </w:p>
        </w:tc>
      </w:tr>
      <w:tr w:rsidR="001341EC" w:rsidRPr="00493BFE" w14:paraId="225761EE"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794588B7"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000000" w:fill="DCE6F1"/>
            <w:vAlign w:val="center"/>
            <w:hideMark/>
          </w:tcPr>
          <w:p w14:paraId="7B9AC3AC"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7B518C9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54</w:t>
            </w:r>
          </w:p>
        </w:tc>
        <w:tc>
          <w:tcPr>
            <w:tcW w:w="1191" w:type="dxa"/>
            <w:tcBorders>
              <w:top w:val="nil"/>
              <w:left w:val="nil"/>
              <w:bottom w:val="double" w:sz="6" w:space="0" w:color="1F497D"/>
              <w:right w:val="double" w:sz="6" w:space="0" w:color="1F497D"/>
            </w:tcBorders>
            <w:shd w:val="clear" w:color="auto" w:fill="auto"/>
            <w:vAlign w:val="center"/>
            <w:hideMark/>
          </w:tcPr>
          <w:p w14:paraId="028BD82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53%</w:t>
            </w:r>
          </w:p>
        </w:tc>
        <w:tc>
          <w:tcPr>
            <w:tcW w:w="1253" w:type="dxa"/>
            <w:tcBorders>
              <w:top w:val="nil"/>
              <w:left w:val="nil"/>
              <w:bottom w:val="double" w:sz="6" w:space="0" w:color="1F497D"/>
              <w:right w:val="double" w:sz="6" w:space="0" w:color="1F497D"/>
            </w:tcBorders>
            <w:shd w:val="clear" w:color="auto" w:fill="auto"/>
            <w:vAlign w:val="center"/>
            <w:hideMark/>
          </w:tcPr>
          <w:p w14:paraId="49F0DCE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w:t>
            </w:r>
          </w:p>
        </w:tc>
        <w:tc>
          <w:tcPr>
            <w:tcW w:w="1253" w:type="dxa"/>
            <w:vMerge/>
            <w:tcBorders>
              <w:top w:val="nil"/>
              <w:left w:val="double" w:sz="6" w:space="0" w:color="1F497D"/>
              <w:bottom w:val="double" w:sz="6" w:space="0" w:color="1F497D"/>
              <w:right w:val="double" w:sz="6" w:space="0" w:color="1F497D"/>
            </w:tcBorders>
            <w:vAlign w:val="center"/>
            <w:hideMark/>
          </w:tcPr>
          <w:p w14:paraId="3858AB92"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3CBADC5A"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67A43A24" w14:textId="77777777" w:rsidR="001341EC" w:rsidRPr="00493BFE" w:rsidRDefault="001341EC" w:rsidP="00165AA6">
            <w:pPr>
              <w:rPr>
                <w:rFonts w:ascii="Book Antiqua" w:hAnsi="Book Antiqua" w:cs="Calibri"/>
                <w:lang w:eastAsia="es-CR"/>
              </w:rPr>
            </w:pPr>
          </w:p>
        </w:tc>
      </w:tr>
      <w:tr w:rsidR="001341EC" w:rsidRPr="00493BFE" w14:paraId="06F3B55F"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0D549BB0"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Guanacaste (Liberia)</w:t>
            </w:r>
          </w:p>
        </w:tc>
        <w:tc>
          <w:tcPr>
            <w:tcW w:w="1263" w:type="dxa"/>
            <w:tcBorders>
              <w:top w:val="nil"/>
              <w:left w:val="nil"/>
              <w:bottom w:val="single" w:sz="8" w:space="0" w:color="1F497D"/>
              <w:right w:val="single" w:sz="8" w:space="0" w:color="1F497D"/>
            </w:tcBorders>
            <w:shd w:val="clear" w:color="auto" w:fill="auto"/>
            <w:vAlign w:val="center"/>
            <w:hideMark/>
          </w:tcPr>
          <w:p w14:paraId="01E57992"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5B758637"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75</w:t>
            </w:r>
          </w:p>
        </w:tc>
        <w:tc>
          <w:tcPr>
            <w:tcW w:w="1191" w:type="dxa"/>
            <w:tcBorders>
              <w:top w:val="nil"/>
              <w:left w:val="nil"/>
              <w:bottom w:val="double" w:sz="6" w:space="0" w:color="1F497D"/>
              <w:right w:val="double" w:sz="6" w:space="0" w:color="1F497D"/>
            </w:tcBorders>
            <w:shd w:val="clear" w:color="000000" w:fill="DCE6F1"/>
            <w:vAlign w:val="center"/>
            <w:hideMark/>
          </w:tcPr>
          <w:p w14:paraId="46AAE45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43%</w:t>
            </w:r>
          </w:p>
        </w:tc>
        <w:tc>
          <w:tcPr>
            <w:tcW w:w="1253" w:type="dxa"/>
            <w:tcBorders>
              <w:top w:val="nil"/>
              <w:left w:val="nil"/>
              <w:bottom w:val="double" w:sz="6" w:space="0" w:color="1F497D"/>
              <w:right w:val="double" w:sz="6" w:space="0" w:color="1F497D"/>
            </w:tcBorders>
            <w:shd w:val="clear" w:color="000000" w:fill="DCE6F1"/>
            <w:vAlign w:val="center"/>
            <w:hideMark/>
          </w:tcPr>
          <w:p w14:paraId="2505DD5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w:t>
            </w:r>
          </w:p>
        </w:tc>
        <w:tc>
          <w:tcPr>
            <w:tcW w:w="125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6D08BA8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173</w:t>
            </w:r>
          </w:p>
        </w:tc>
        <w:tc>
          <w:tcPr>
            <w:tcW w:w="92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02E9A7A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285</w:t>
            </w:r>
          </w:p>
        </w:tc>
        <w:tc>
          <w:tcPr>
            <w:tcW w:w="1032"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58D1E2B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61%</w:t>
            </w:r>
          </w:p>
        </w:tc>
      </w:tr>
      <w:tr w:rsidR="001341EC" w:rsidRPr="00493BFE" w14:paraId="6A17EFFA"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4E819FAE"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auto" w:fill="auto"/>
            <w:vAlign w:val="center"/>
            <w:hideMark/>
          </w:tcPr>
          <w:p w14:paraId="5DD7A974"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358CBFC7"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98</w:t>
            </w:r>
          </w:p>
        </w:tc>
        <w:tc>
          <w:tcPr>
            <w:tcW w:w="1191" w:type="dxa"/>
            <w:tcBorders>
              <w:top w:val="nil"/>
              <w:left w:val="nil"/>
              <w:bottom w:val="double" w:sz="6" w:space="0" w:color="1F497D"/>
              <w:right w:val="double" w:sz="6" w:space="0" w:color="1F497D"/>
            </w:tcBorders>
            <w:shd w:val="clear" w:color="000000" w:fill="DCE6F1"/>
            <w:vAlign w:val="center"/>
            <w:hideMark/>
          </w:tcPr>
          <w:p w14:paraId="73A5F9B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57%</w:t>
            </w:r>
          </w:p>
        </w:tc>
        <w:tc>
          <w:tcPr>
            <w:tcW w:w="1253" w:type="dxa"/>
            <w:tcBorders>
              <w:top w:val="nil"/>
              <w:left w:val="nil"/>
              <w:bottom w:val="double" w:sz="6" w:space="0" w:color="1F497D"/>
              <w:right w:val="double" w:sz="6" w:space="0" w:color="1F497D"/>
            </w:tcBorders>
            <w:shd w:val="clear" w:color="000000" w:fill="DCE6F1"/>
            <w:vAlign w:val="center"/>
            <w:hideMark/>
          </w:tcPr>
          <w:p w14:paraId="4169420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253" w:type="dxa"/>
            <w:vMerge/>
            <w:tcBorders>
              <w:top w:val="nil"/>
              <w:left w:val="double" w:sz="6" w:space="0" w:color="1F497D"/>
              <w:bottom w:val="double" w:sz="6" w:space="0" w:color="1F497D"/>
              <w:right w:val="double" w:sz="6" w:space="0" w:color="1F497D"/>
            </w:tcBorders>
            <w:vAlign w:val="center"/>
            <w:hideMark/>
          </w:tcPr>
          <w:p w14:paraId="7E163BD6"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36027D46"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188CBC13" w14:textId="77777777" w:rsidR="001341EC" w:rsidRPr="00493BFE" w:rsidRDefault="001341EC" w:rsidP="00165AA6">
            <w:pPr>
              <w:rPr>
                <w:rFonts w:ascii="Book Antiqua" w:hAnsi="Book Antiqua" w:cs="Calibri"/>
                <w:lang w:eastAsia="es-CR"/>
              </w:rPr>
            </w:pPr>
          </w:p>
        </w:tc>
      </w:tr>
      <w:tr w:rsidR="001341EC" w:rsidRPr="00493BFE" w14:paraId="7EDDDC87"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335E4A2C"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Guanacaste (Santa Cruz)</w:t>
            </w:r>
          </w:p>
        </w:tc>
        <w:tc>
          <w:tcPr>
            <w:tcW w:w="1263" w:type="dxa"/>
            <w:tcBorders>
              <w:top w:val="nil"/>
              <w:left w:val="nil"/>
              <w:bottom w:val="single" w:sz="8" w:space="0" w:color="1F497D"/>
              <w:right w:val="single" w:sz="8" w:space="0" w:color="1F497D"/>
            </w:tcBorders>
            <w:shd w:val="clear" w:color="000000" w:fill="DCE6F1"/>
            <w:vAlign w:val="center"/>
            <w:hideMark/>
          </w:tcPr>
          <w:p w14:paraId="43505998"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7C89ED5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144</w:t>
            </w:r>
          </w:p>
        </w:tc>
        <w:tc>
          <w:tcPr>
            <w:tcW w:w="1191" w:type="dxa"/>
            <w:tcBorders>
              <w:top w:val="nil"/>
              <w:left w:val="nil"/>
              <w:bottom w:val="double" w:sz="6" w:space="0" w:color="1F497D"/>
              <w:right w:val="double" w:sz="6" w:space="0" w:color="1F497D"/>
            </w:tcBorders>
            <w:shd w:val="clear" w:color="auto" w:fill="auto"/>
            <w:vAlign w:val="center"/>
            <w:hideMark/>
          </w:tcPr>
          <w:p w14:paraId="5263FE1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70%</w:t>
            </w:r>
          </w:p>
        </w:tc>
        <w:tc>
          <w:tcPr>
            <w:tcW w:w="1253" w:type="dxa"/>
            <w:tcBorders>
              <w:top w:val="nil"/>
              <w:left w:val="nil"/>
              <w:bottom w:val="double" w:sz="6" w:space="0" w:color="1F497D"/>
              <w:right w:val="double" w:sz="6" w:space="0" w:color="1F497D"/>
            </w:tcBorders>
            <w:shd w:val="clear" w:color="auto" w:fill="auto"/>
            <w:vAlign w:val="center"/>
            <w:hideMark/>
          </w:tcPr>
          <w:p w14:paraId="6118D67B"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w:t>
            </w:r>
          </w:p>
        </w:tc>
        <w:tc>
          <w:tcPr>
            <w:tcW w:w="125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10E92A1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206</w:t>
            </w:r>
          </w:p>
        </w:tc>
        <w:tc>
          <w:tcPr>
            <w:tcW w:w="92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5C0176EC"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448</w:t>
            </w:r>
          </w:p>
        </w:tc>
        <w:tc>
          <w:tcPr>
            <w:tcW w:w="1032"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3F3C142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46%</w:t>
            </w:r>
          </w:p>
        </w:tc>
      </w:tr>
      <w:tr w:rsidR="001341EC" w:rsidRPr="00493BFE" w14:paraId="3597EE42"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2062285F"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000000" w:fill="DCE6F1"/>
            <w:vAlign w:val="center"/>
            <w:hideMark/>
          </w:tcPr>
          <w:p w14:paraId="70B38BC4"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3305D47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62</w:t>
            </w:r>
          </w:p>
        </w:tc>
        <w:tc>
          <w:tcPr>
            <w:tcW w:w="1191" w:type="dxa"/>
            <w:tcBorders>
              <w:top w:val="nil"/>
              <w:left w:val="nil"/>
              <w:bottom w:val="double" w:sz="6" w:space="0" w:color="1F497D"/>
              <w:right w:val="double" w:sz="6" w:space="0" w:color="1F497D"/>
            </w:tcBorders>
            <w:shd w:val="clear" w:color="auto" w:fill="auto"/>
            <w:vAlign w:val="center"/>
            <w:hideMark/>
          </w:tcPr>
          <w:p w14:paraId="01B3BEC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30%</w:t>
            </w:r>
          </w:p>
        </w:tc>
        <w:tc>
          <w:tcPr>
            <w:tcW w:w="1253" w:type="dxa"/>
            <w:tcBorders>
              <w:top w:val="nil"/>
              <w:left w:val="nil"/>
              <w:bottom w:val="double" w:sz="6" w:space="0" w:color="1F497D"/>
              <w:right w:val="double" w:sz="6" w:space="0" w:color="1F497D"/>
            </w:tcBorders>
            <w:shd w:val="clear" w:color="auto" w:fill="auto"/>
            <w:vAlign w:val="center"/>
            <w:hideMark/>
          </w:tcPr>
          <w:p w14:paraId="67ABB0D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w:t>
            </w:r>
          </w:p>
        </w:tc>
        <w:tc>
          <w:tcPr>
            <w:tcW w:w="1253" w:type="dxa"/>
            <w:vMerge/>
            <w:tcBorders>
              <w:top w:val="nil"/>
              <w:left w:val="double" w:sz="6" w:space="0" w:color="1F497D"/>
              <w:bottom w:val="double" w:sz="6" w:space="0" w:color="1F497D"/>
              <w:right w:val="double" w:sz="6" w:space="0" w:color="1F497D"/>
            </w:tcBorders>
            <w:vAlign w:val="center"/>
            <w:hideMark/>
          </w:tcPr>
          <w:p w14:paraId="40AAFC73"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7AA38CEF"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6F629FC3" w14:textId="77777777" w:rsidR="001341EC" w:rsidRPr="00493BFE" w:rsidRDefault="001341EC" w:rsidP="00165AA6">
            <w:pPr>
              <w:rPr>
                <w:rFonts w:ascii="Book Antiqua" w:hAnsi="Book Antiqua" w:cs="Calibri"/>
                <w:lang w:eastAsia="es-CR"/>
              </w:rPr>
            </w:pPr>
          </w:p>
        </w:tc>
      </w:tr>
      <w:tr w:rsidR="001341EC" w:rsidRPr="00493BFE" w14:paraId="3918BC51"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209C1B8B"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Juzgado Civil y Agrario Puntarenas</w:t>
            </w:r>
          </w:p>
        </w:tc>
        <w:tc>
          <w:tcPr>
            <w:tcW w:w="1263" w:type="dxa"/>
            <w:tcBorders>
              <w:top w:val="nil"/>
              <w:left w:val="nil"/>
              <w:bottom w:val="single" w:sz="8" w:space="0" w:color="1F497D"/>
              <w:right w:val="single" w:sz="8" w:space="0" w:color="1F497D"/>
            </w:tcBorders>
            <w:shd w:val="clear" w:color="auto" w:fill="auto"/>
            <w:vAlign w:val="center"/>
            <w:hideMark/>
          </w:tcPr>
          <w:p w14:paraId="1FD95480"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6F8B846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65</w:t>
            </w:r>
          </w:p>
        </w:tc>
        <w:tc>
          <w:tcPr>
            <w:tcW w:w="1191" w:type="dxa"/>
            <w:tcBorders>
              <w:top w:val="nil"/>
              <w:left w:val="nil"/>
              <w:bottom w:val="double" w:sz="6" w:space="0" w:color="1F497D"/>
              <w:right w:val="double" w:sz="6" w:space="0" w:color="1F497D"/>
            </w:tcBorders>
            <w:shd w:val="clear" w:color="000000" w:fill="DCE6F1"/>
            <w:vAlign w:val="center"/>
            <w:hideMark/>
          </w:tcPr>
          <w:p w14:paraId="566304FC"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49%</w:t>
            </w:r>
          </w:p>
        </w:tc>
        <w:tc>
          <w:tcPr>
            <w:tcW w:w="1253" w:type="dxa"/>
            <w:tcBorders>
              <w:top w:val="nil"/>
              <w:left w:val="nil"/>
              <w:bottom w:val="double" w:sz="6" w:space="0" w:color="1F497D"/>
              <w:right w:val="double" w:sz="6" w:space="0" w:color="1F497D"/>
            </w:tcBorders>
            <w:shd w:val="clear" w:color="000000" w:fill="DCE6F1"/>
            <w:vAlign w:val="center"/>
            <w:hideMark/>
          </w:tcPr>
          <w:p w14:paraId="2FC31FC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w:t>
            </w:r>
          </w:p>
        </w:tc>
        <w:tc>
          <w:tcPr>
            <w:tcW w:w="125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6BA6BBC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134</w:t>
            </w:r>
          </w:p>
        </w:tc>
        <w:tc>
          <w:tcPr>
            <w:tcW w:w="92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767FB59C"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342</w:t>
            </w:r>
          </w:p>
        </w:tc>
        <w:tc>
          <w:tcPr>
            <w:tcW w:w="1032"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1C67118B"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39%</w:t>
            </w:r>
          </w:p>
        </w:tc>
      </w:tr>
      <w:tr w:rsidR="001341EC" w:rsidRPr="00493BFE" w14:paraId="5D5A884E"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04FD3975"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auto" w:fill="auto"/>
            <w:vAlign w:val="center"/>
            <w:hideMark/>
          </w:tcPr>
          <w:p w14:paraId="019202AB"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597D005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69</w:t>
            </w:r>
          </w:p>
        </w:tc>
        <w:tc>
          <w:tcPr>
            <w:tcW w:w="1191" w:type="dxa"/>
            <w:tcBorders>
              <w:top w:val="nil"/>
              <w:left w:val="nil"/>
              <w:bottom w:val="double" w:sz="6" w:space="0" w:color="1F497D"/>
              <w:right w:val="double" w:sz="6" w:space="0" w:color="1F497D"/>
            </w:tcBorders>
            <w:shd w:val="clear" w:color="000000" w:fill="DCE6F1"/>
            <w:vAlign w:val="center"/>
            <w:hideMark/>
          </w:tcPr>
          <w:p w14:paraId="2B82AF2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51%</w:t>
            </w:r>
          </w:p>
        </w:tc>
        <w:tc>
          <w:tcPr>
            <w:tcW w:w="1253" w:type="dxa"/>
            <w:tcBorders>
              <w:top w:val="nil"/>
              <w:left w:val="nil"/>
              <w:bottom w:val="double" w:sz="6" w:space="0" w:color="1F497D"/>
              <w:right w:val="double" w:sz="6" w:space="0" w:color="1F497D"/>
            </w:tcBorders>
            <w:shd w:val="clear" w:color="000000" w:fill="DCE6F1"/>
            <w:vAlign w:val="center"/>
            <w:hideMark/>
          </w:tcPr>
          <w:p w14:paraId="4F8603D2"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w:t>
            </w:r>
          </w:p>
        </w:tc>
        <w:tc>
          <w:tcPr>
            <w:tcW w:w="1253" w:type="dxa"/>
            <w:vMerge/>
            <w:tcBorders>
              <w:top w:val="nil"/>
              <w:left w:val="double" w:sz="6" w:space="0" w:color="1F497D"/>
              <w:bottom w:val="double" w:sz="6" w:space="0" w:color="1F497D"/>
              <w:right w:val="double" w:sz="6" w:space="0" w:color="1F497D"/>
            </w:tcBorders>
            <w:vAlign w:val="center"/>
            <w:hideMark/>
          </w:tcPr>
          <w:p w14:paraId="634D5FE9"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2A655892"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0D03943C" w14:textId="77777777" w:rsidR="001341EC" w:rsidRPr="00493BFE" w:rsidRDefault="001341EC" w:rsidP="00165AA6">
            <w:pPr>
              <w:rPr>
                <w:rFonts w:ascii="Book Antiqua" w:hAnsi="Book Antiqua" w:cs="Calibri"/>
                <w:lang w:eastAsia="es-CR"/>
              </w:rPr>
            </w:pPr>
          </w:p>
        </w:tc>
      </w:tr>
      <w:tr w:rsidR="001341EC" w:rsidRPr="00493BFE" w14:paraId="1C96C8C4"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752BEF40"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Zona Sur (Pérez Zeledón)</w:t>
            </w:r>
          </w:p>
        </w:tc>
        <w:tc>
          <w:tcPr>
            <w:tcW w:w="1263" w:type="dxa"/>
            <w:tcBorders>
              <w:top w:val="nil"/>
              <w:left w:val="nil"/>
              <w:bottom w:val="single" w:sz="8" w:space="0" w:color="1F497D"/>
              <w:right w:val="single" w:sz="8" w:space="0" w:color="1F497D"/>
            </w:tcBorders>
            <w:shd w:val="clear" w:color="000000" w:fill="DCE6F1"/>
            <w:vAlign w:val="center"/>
            <w:hideMark/>
          </w:tcPr>
          <w:p w14:paraId="31865F10"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0AF9C98C"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87</w:t>
            </w:r>
          </w:p>
        </w:tc>
        <w:tc>
          <w:tcPr>
            <w:tcW w:w="1191" w:type="dxa"/>
            <w:tcBorders>
              <w:top w:val="nil"/>
              <w:left w:val="nil"/>
              <w:bottom w:val="double" w:sz="6" w:space="0" w:color="1F497D"/>
              <w:right w:val="double" w:sz="6" w:space="0" w:color="1F497D"/>
            </w:tcBorders>
            <w:shd w:val="clear" w:color="auto" w:fill="auto"/>
            <w:vAlign w:val="center"/>
            <w:hideMark/>
          </w:tcPr>
          <w:p w14:paraId="2BB5C672"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65%</w:t>
            </w:r>
          </w:p>
        </w:tc>
        <w:tc>
          <w:tcPr>
            <w:tcW w:w="1253" w:type="dxa"/>
            <w:tcBorders>
              <w:top w:val="nil"/>
              <w:left w:val="nil"/>
              <w:bottom w:val="double" w:sz="6" w:space="0" w:color="1F497D"/>
              <w:right w:val="double" w:sz="6" w:space="0" w:color="1F497D"/>
            </w:tcBorders>
            <w:shd w:val="clear" w:color="auto" w:fill="auto"/>
            <w:vAlign w:val="center"/>
            <w:hideMark/>
          </w:tcPr>
          <w:p w14:paraId="778ABAE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8</w:t>
            </w:r>
          </w:p>
        </w:tc>
        <w:tc>
          <w:tcPr>
            <w:tcW w:w="125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2032538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134</w:t>
            </w:r>
          </w:p>
        </w:tc>
        <w:tc>
          <w:tcPr>
            <w:tcW w:w="92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45BACFFC"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185</w:t>
            </w:r>
          </w:p>
        </w:tc>
        <w:tc>
          <w:tcPr>
            <w:tcW w:w="1032"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2AC9D90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72%</w:t>
            </w:r>
          </w:p>
        </w:tc>
      </w:tr>
      <w:tr w:rsidR="001341EC" w:rsidRPr="00493BFE" w14:paraId="1610B83A"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5FA0D307"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000000" w:fill="DCE6F1"/>
            <w:vAlign w:val="center"/>
            <w:hideMark/>
          </w:tcPr>
          <w:p w14:paraId="37CCACDA"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421003F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47</w:t>
            </w:r>
          </w:p>
        </w:tc>
        <w:tc>
          <w:tcPr>
            <w:tcW w:w="1191" w:type="dxa"/>
            <w:tcBorders>
              <w:top w:val="nil"/>
              <w:left w:val="nil"/>
              <w:bottom w:val="double" w:sz="6" w:space="0" w:color="1F497D"/>
              <w:right w:val="double" w:sz="6" w:space="0" w:color="1F497D"/>
            </w:tcBorders>
            <w:shd w:val="clear" w:color="auto" w:fill="auto"/>
            <w:vAlign w:val="center"/>
            <w:hideMark/>
          </w:tcPr>
          <w:p w14:paraId="7B74A2E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35%</w:t>
            </w:r>
          </w:p>
        </w:tc>
        <w:tc>
          <w:tcPr>
            <w:tcW w:w="1253" w:type="dxa"/>
            <w:tcBorders>
              <w:top w:val="nil"/>
              <w:left w:val="nil"/>
              <w:bottom w:val="double" w:sz="6" w:space="0" w:color="1F497D"/>
              <w:right w:val="double" w:sz="6" w:space="0" w:color="1F497D"/>
            </w:tcBorders>
            <w:shd w:val="clear" w:color="auto" w:fill="auto"/>
            <w:vAlign w:val="center"/>
            <w:hideMark/>
          </w:tcPr>
          <w:p w14:paraId="449A23A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253" w:type="dxa"/>
            <w:vMerge/>
            <w:tcBorders>
              <w:top w:val="nil"/>
              <w:left w:val="double" w:sz="6" w:space="0" w:color="1F497D"/>
              <w:bottom w:val="double" w:sz="6" w:space="0" w:color="1F497D"/>
              <w:right w:val="double" w:sz="6" w:space="0" w:color="1F497D"/>
            </w:tcBorders>
            <w:vAlign w:val="center"/>
            <w:hideMark/>
          </w:tcPr>
          <w:p w14:paraId="685780AF"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7FF0956F"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4BA1B7B0" w14:textId="77777777" w:rsidR="001341EC" w:rsidRPr="00493BFE" w:rsidRDefault="001341EC" w:rsidP="00165AA6">
            <w:pPr>
              <w:rPr>
                <w:rFonts w:ascii="Book Antiqua" w:hAnsi="Book Antiqua" w:cs="Calibri"/>
                <w:lang w:eastAsia="es-CR"/>
              </w:rPr>
            </w:pPr>
          </w:p>
        </w:tc>
      </w:tr>
      <w:tr w:rsidR="001341EC" w:rsidRPr="00493BFE" w14:paraId="682EE99A"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1A784205"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lastRenderedPageBreak/>
              <w:t>Juzgado Civil, Trabajo y Familia Buenos Aires</w:t>
            </w:r>
          </w:p>
        </w:tc>
        <w:tc>
          <w:tcPr>
            <w:tcW w:w="1263" w:type="dxa"/>
            <w:tcBorders>
              <w:top w:val="nil"/>
              <w:left w:val="nil"/>
              <w:bottom w:val="single" w:sz="8" w:space="0" w:color="1F497D"/>
              <w:right w:val="single" w:sz="8" w:space="0" w:color="1F497D"/>
            </w:tcBorders>
            <w:shd w:val="clear" w:color="auto" w:fill="auto"/>
            <w:vAlign w:val="center"/>
            <w:hideMark/>
          </w:tcPr>
          <w:p w14:paraId="12896F18"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3D77A4D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54</w:t>
            </w:r>
          </w:p>
        </w:tc>
        <w:tc>
          <w:tcPr>
            <w:tcW w:w="1191" w:type="dxa"/>
            <w:tcBorders>
              <w:top w:val="nil"/>
              <w:left w:val="nil"/>
              <w:bottom w:val="double" w:sz="6" w:space="0" w:color="1F497D"/>
              <w:right w:val="double" w:sz="6" w:space="0" w:color="1F497D"/>
            </w:tcBorders>
            <w:shd w:val="clear" w:color="000000" w:fill="DCE6F1"/>
            <w:vAlign w:val="center"/>
            <w:hideMark/>
          </w:tcPr>
          <w:p w14:paraId="31FAA92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53%</w:t>
            </w:r>
          </w:p>
        </w:tc>
        <w:tc>
          <w:tcPr>
            <w:tcW w:w="1253" w:type="dxa"/>
            <w:tcBorders>
              <w:top w:val="nil"/>
              <w:left w:val="nil"/>
              <w:bottom w:val="double" w:sz="6" w:space="0" w:color="1F497D"/>
              <w:right w:val="double" w:sz="6" w:space="0" w:color="1F497D"/>
            </w:tcBorders>
            <w:shd w:val="clear" w:color="000000" w:fill="DCE6F1"/>
            <w:vAlign w:val="center"/>
            <w:hideMark/>
          </w:tcPr>
          <w:p w14:paraId="78377AE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w:t>
            </w:r>
          </w:p>
        </w:tc>
        <w:tc>
          <w:tcPr>
            <w:tcW w:w="125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0373E6C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101</w:t>
            </w:r>
          </w:p>
        </w:tc>
        <w:tc>
          <w:tcPr>
            <w:tcW w:w="92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10697D4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103</w:t>
            </w:r>
          </w:p>
        </w:tc>
        <w:tc>
          <w:tcPr>
            <w:tcW w:w="1032"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39F7882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98%</w:t>
            </w:r>
          </w:p>
        </w:tc>
      </w:tr>
      <w:tr w:rsidR="001341EC" w:rsidRPr="00493BFE" w14:paraId="1493FCB2"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6AC4A3F1"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auto" w:fill="auto"/>
            <w:vAlign w:val="center"/>
            <w:hideMark/>
          </w:tcPr>
          <w:p w14:paraId="14D23D14"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607DEAB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47</w:t>
            </w:r>
          </w:p>
        </w:tc>
        <w:tc>
          <w:tcPr>
            <w:tcW w:w="1191" w:type="dxa"/>
            <w:tcBorders>
              <w:top w:val="nil"/>
              <w:left w:val="nil"/>
              <w:bottom w:val="double" w:sz="6" w:space="0" w:color="1F497D"/>
              <w:right w:val="double" w:sz="6" w:space="0" w:color="1F497D"/>
            </w:tcBorders>
            <w:shd w:val="clear" w:color="000000" w:fill="DCE6F1"/>
            <w:vAlign w:val="center"/>
            <w:hideMark/>
          </w:tcPr>
          <w:p w14:paraId="59A2BFD4"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47%</w:t>
            </w:r>
          </w:p>
        </w:tc>
        <w:tc>
          <w:tcPr>
            <w:tcW w:w="1253" w:type="dxa"/>
            <w:tcBorders>
              <w:top w:val="nil"/>
              <w:left w:val="nil"/>
              <w:bottom w:val="double" w:sz="6" w:space="0" w:color="1F497D"/>
              <w:right w:val="double" w:sz="6" w:space="0" w:color="1F497D"/>
            </w:tcBorders>
            <w:shd w:val="clear" w:color="000000" w:fill="DCE6F1"/>
            <w:vAlign w:val="center"/>
            <w:hideMark/>
          </w:tcPr>
          <w:p w14:paraId="53A6152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253" w:type="dxa"/>
            <w:vMerge/>
            <w:tcBorders>
              <w:top w:val="nil"/>
              <w:left w:val="double" w:sz="6" w:space="0" w:color="1F497D"/>
              <w:bottom w:val="double" w:sz="6" w:space="0" w:color="1F497D"/>
              <w:right w:val="double" w:sz="6" w:space="0" w:color="1F497D"/>
            </w:tcBorders>
            <w:vAlign w:val="center"/>
            <w:hideMark/>
          </w:tcPr>
          <w:p w14:paraId="25879EDE"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5EE6689D"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48483131" w14:textId="77777777" w:rsidR="001341EC" w:rsidRPr="00493BFE" w:rsidRDefault="001341EC" w:rsidP="00165AA6">
            <w:pPr>
              <w:rPr>
                <w:rFonts w:ascii="Book Antiqua" w:hAnsi="Book Antiqua" w:cs="Calibri"/>
                <w:lang w:eastAsia="es-CR"/>
              </w:rPr>
            </w:pPr>
          </w:p>
        </w:tc>
      </w:tr>
      <w:tr w:rsidR="001341EC" w:rsidRPr="00493BFE" w14:paraId="5392B048"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0C51EE9E"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Zona Sur (Corredores)</w:t>
            </w:r>
          </w:p>
        </w:tc>
        <w:tc>
          <w:tcPr>
            <w:tcW w:w="1263" w:type="dxa"/>
            <w:tcBorders>
              <w:top w:val="nil"/>
              <w:left w:val="nil"/>
              <w:bottom w:val="single" w:sz="8" w:space="0" w:color="1F497D"/>
              <w:right w:val="single" w:sz="8" w:space="0" w:color="1F497D"/>
            </w:tcBorders>
            <w:shd w:val="clear" w:color="000000" w:fill="DCE6F1"/>
            <w:vAlign w:val="center"/>
            <w:hideMark/>
          </w:tcPr>
          <w:p w14:paraId="3E3BCE7C"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176D2F8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82</w:t>
            </w:r>
          </w:p>
        </w:tc>
        <w:tc>
          <w:tcPr>
            <w:tcW w:w="1191" w:type="dxa"/>
            <w:tcBorders>
              <w:top w:val="nil"/>
              <w:left w:val="nil"/>
              <w:bottom w:val="double" w:sz="6" w:space="0" w:color="1F497D"/>
              <w:right w:val="double" w:sz="6" w:space="0" w:color="1F497D"/>
            </w:tcBorders>
            <w:shd w:val="clear" w:color="auto" w:fill="auto"/>
            <w:vAlign w:val="center"/>
            <w:hideMark/>
          </w:tcPr>
          <w:p w14:paraId="52C54EF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43%</w:t>
            </w:r>
          </w:p>
        </w:tc>
        <w:tc>
          <w:tcPr>
            <w:tcW w:w="1253" w:type="dxa"/>
            <w:tcBorders>
              <w:top w:val="nil"/>
              <w:left w:val="nil"/>
              <w:bottom w:val="double" w:sz="6" w:space="0" w:color="1F497D"/>
              <w:right w:val="double" w:sz="6" w:space="0" w:color="1F497D"/>
            </w:tcBorders>
            <w:shd w:val="clear" w:color="auto" w:fill="auto"/>
            <w:vAlign w:val="center"/>
            <w:hideMark/>
          </w:tcPr>
          <w:p w14:paraId="7674574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25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6844A23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189</w:t>
            </w:r>
          </w:p>
        </w:tc>
        <w:tc>
          <w:tcPr>
            <w:tcW w:w="92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2C111CE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248</w:t>
            </w:r>
          </w:p>
        </w:tc>
        <w:tc>
          <w:tcPr>
            <w:tcW w:w="1032"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278FD2B2"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76%</w:t>
            </w:r>
          </w:p>
        </w:tc>
      </w:tr>
      <w:tr w:rsidR="001341EC" w:rsidRPr="00493BFE" w14:paraId="7CB452B3"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3D81AE25"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000000" w:fill="DCE6F1"/>
            <w:vAlign w:val="center"/>
            <w:hideMark/>
          </w:tcPr>
          <w:p w14:paraId="3302A22D"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07145EE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107</w:t>
            </w:r>
          </w:p>
        </w:tc>
        <w:tc>
          <w:tcPr>
            <w:tcW w:w="1191" w:type="dxa"/>
            <w:tcBorders>
              <w:top w:val="nil"/>
              <w:left w:val="nil"/>
              <w:bottom w:val="double" w:sz="6" w:space="0" w:color="1F497D"/>
              <w:right w:val="double" w:sz="6" w:space="0" w:color="1F497D"/>
            </w:tcBorders>
            <w:shd w:val="clear" w:color="auto" w:fill="auto"/>
            <w:vAlign w:val="center"/>
            <w:hideMark/>
          </w:tcPr>
          <w:p w14:paraId="338AAE5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57%</w:t>
            </w:r>
          </w:p>
        </w:tc>
        <w:tc>
          <w:tcPr>
            <w:tcW w:w="1253" w:type="dxa"/>
            <w:tcBorders>
              <w:top w:val="nil"/>
              <w:left w:val="nil"/>
              <w:bottom w:val="double" w:sz="6" w:space="0" w:color="1F497D"/>
              <w:right w:val="double" w:sz="6" w:space="0" w:color="1F497D"/>
            </w:tcBorders>
            <w:shd w:val="clear" w:color="auto" w:fill="auto"/>
            <w:vAlign w:val="center"/>
            <w:hideMark/>
          </w:tcPr>
          <w:p w14:paraId="6A4F56A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w:t>
            </w:r>
          </w:p>
        </w:tc>
        <w:tc>
          <w:tcPr>
            <w:tcW w:w="1253" w:type="dxa"/>
            <w:vMerge/>
            <w:tcBorders>
              <w:top w:val="nil"/>
              <w:left w:val="double" w:sz="6" w:space="0" w:color="1F497D"/>
              <w:bottom w:val="double" w:sz="6" w:space="0" w:color="1F497D"/>
              <w:right w:val="double" w:sz="6" w:space="0" w:color="1F497D"/>
            </w:tcBorders>
            <w:vAlign w:val="center"/>
            <w:hideMark/>
          </w:tcPr>
          <w:p w14:paraId="00BC726E"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587EA20D"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0D1BC07E" w14:textId="77777777" w:rsidR="001341EC" w:rsidRPr="00493BFE" w:rsidRDefault="001341EC" w:rsidP="00165AA6">
            <w:pPr>
              <w:rPr>
                <w:rFonts w:ascii="Book Antiqua" w:hAnsi="Book Antiqua" w:cs="Calibri"/>
                <w:lang w:eastAsia="es-CR"/>
              </w:rPr>
            </w:pPr>
          </w:p>
        </w:tc>
      </w:tr>
      <w:tr w:rsidR="001341EC" w:rsidRPr="00493BFE" w14:paraId="41F9A422"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2CD58E52"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Zona Atlántica (Limón)</w:t>
            </w:r>
          </w:p>
        </w:tc>
        <w:tc>
          <w:tcPr>
            <w:tcW w:w="1263" w:type="dxa"/>
            <w:tcBorders>
              <w:top w:val="nil"/>
              <w:left w:val="nil"/>
              <w:bottom w:val="single" w:sz="8" w:space="0" w:color="1F497D"/>
              <w:right w:val="single" w:sz="8" w:space="0" w:color="1F497D"/>
            </w:tcBorders>
            <w:shd w:val="clear" w:color="auto" w:fill="auto"/>
            <w:vAlign w:val="center"/>
            <w:hideMark/>
          </w:tcPr>
          <w:p w14:paraId="17C1ABD8"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7BEA3EF4"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66</w:t>
            </w:r>
          </w:p>
        </w:tc>
        <w:tc>
          <w:tcPr>
            <w:tcW w:w="1191" w:type="dxa"/>
            <w:tcBorders>
              <w:top w:val="nil"/>
              <w:left w:val="nil"/>
              <w:bottom w:val="double" w:sz="6" w:space="0" w:color="1F497D"/>
              <w:right w:val="double" w:sz="6" w:space="0" w:color="1F497D"/>
            </w:tcBorders>
            <w:shd w:val="clear" w:color="000000" w:fill="DCE6F1"/>
            <w:vAlign w:val="center"/>
            <w:hideMark/>
          </w:tcPr>
          <w:p w14:paraId="647E0D6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32%</w:t>
            </w:r>
          </w:p>
        </w:tc>
        <w:tc>
          <w:tcPr>
            <w:tcW w:w="1253" w:type="dxa"/>
            <w:tcBorders>
              <w:top w:val="nil"/>
              <w:left w:val="nil"/>
              <w:bottom w:val="double" w:sz="6" w:space="0" w:color="1F497D"/>
              <w:right w:val="double" w:sz="6" w:space="0" w:color="1F497D"/>
            </w:tcBorders>
            <w:shd w:val="clear" w:color="000000" w:fill="DCE6F1"/>
            <w:vAlign w:val="center"/>
            <w:hideMark/>
          </w:tcPr>
          <w:p w14:paraId="52D4FE82"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w:t>
            </w:r>
          </w:p>
        </w:tc>
        <w:tc>
          <w:tcPr>
            <w:tcW w:w="125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5034B61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208</w:t>
            </w:r>
          </w:p>
        </w:tc>
        <w:tc>
          <w:tcPr>
            <w:tcW w:w="923"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113B5E2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318</w:t>
            </w:r>
          </w:p>
        </w:tc>
        <w:tc>
          <w:tcPr>
            <w:tcW w:w="1032"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2D982CC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65%</w:t>
            </w:r>
          </w:p>
        </w:tc>
      </w:tr>
      <w:tr w:rsidR="001341EC" w:rsidRPr="00493BFE" w14:paraId="179FDAFA"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211A72C9"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auto" w:fill="auto"/>
            <w:vAlign w:val="center"/>
            <w:hideMark/>
          </w:tcPr>
          <w:p w14:paraId="0EB258F9"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000000" w:fill="DCE6F1"/>
            <w:vAlign w:val="center"/>
            <w:hideMark/>
          </w:tcPr>
          <w:p w14:paraId="6B0BF4A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142</w:t>
            </w:r>
          </w:p>
        </w:tc>
        <w:tc>
          <w:tcPr>
            <w:tcW w:w="1191" w:type="dxa"/>
            <w:tcBorders>
              <w:top w:val="nil"/>
              <w:left w:val="nil"/>
              <w:bottom w:val="double" w:sz="6" w:space="0" w:color="1F497D"/>
              <w:right w:val="double" w:sz="6" w:space="0" w:color="1F497D"/>
            </w:tcBorders>
            <w:shd w:val="clear" w:color="000000" w:fill="DCE6F1"/>
            <w:vAlign w:val="center"/>
            <w:hideMark/>
          </w:tcPr>
          <w:p w14:paraId="44B5FE0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68%</w:t>
            </w:r>
          </w:p>
        </w:tc>
        <w:tc>
          <w:tcPr>
            <w:tcW w:w="1253" w:type="dxa"/>
            <w:tcBorders>
              <w:top w:val="nil"/>
              <w:left w:val="nil"/>
              <w:bottom w:val="double" w:sz="6" w:space="0" w:color="1F497D"/>
              <w:right w:val="double" w:sz="6" w:space="0" w:color="1F497D"/>
            </w:tcBorders>
            <w:shd w:val="clear" w:color="000000" w:fill="DCE6F1"/>
            <w:vAlign w:val="center"/>
            <w:hideMark/>
          </w:tcPr>
          <w:p w14:paraId="14DFAF3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w:t>
            </w:r>
          </w:p>
        </w:tc>
        <w:tc>
          <w:tcPr>
            <w:tcW w:w="1253" w:type="dxa"/>
            <w:vMerge/>
            <w:tcBorders>
              <w:top w:val="nil"/>
              <w:left w:val="double" w:sz="6" w:space="0" w:color="1F497D"/>
              <w:bottom w:val="double" w:sz="6" w:space="0" w:color="1F497D"/>
              <w:right w:val="double" w:sz="6" w:space="0" w:color="1F497D"/>
            </w:tcBorders>
            <w:vAlign w:val="center"/>
            <w:hideMark/>
          </w:tcPr>
          <w:p w14:paraId="64515B78"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202EF4EB"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4476AB8B" w14:textId="77777777" w:rsidR="001341EC" w:rsidRPr="00493BFE" w:rsidRDefault="001341EC" w:rsidP="00165AA6">
            <w:pPr>
              <w:rPr>
                <w:rFonts w:ascii="Book Antiqua" w:hAnsi="Book Antiqua" w:cs="Calibri"/>
                <w:lang w:eastAsia="es-CR"/>
              </w:rPr>
            </w:pPr>
          </w:p>
        </w:tc>
      </w:tr>
      <w:tr w:rsidR="001341EC" w:rsidRPr="00493BFE" w14:paraId="7ECC7014" w14:textId="77777777" w:rsidTr="00165AA6">
        <w:trPr>
          <w:trHeight w:val="17"/>
          <w:jc w:val="center"/>
        </w:trPr>
        <w:tc>
          <w:tcPr>
            <w:tcW w:w="2074"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6AA05660"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Zona Atlántica (Pococí)</w:t>
            </w:r>
          </w:p>
        </w:tc>
        <w:tc>
          <w:tcPr>
            <w:tcW w:w="1263" w:type="dxa"/>
            <w:tcBorders>
              <w:top w:val="nil"/>
              <w:left w:val="nil"/>
              <w:bottom w:val="single" w:sz="8" w:space="0" w:color="1F497D"/>
              <w:right w:val="single" w:sz="8" w:space="0" w:color="1F497D"/>
            </w:tcBorders>
            <w:shd w:val="clear" w:color="000000" w:fill="DCE6F1"/>
            <w:vAlign w:val="center"/>
            <w:hideMark/>
          </w:tcPr>
          <w:p w14:paraId="241E8B80"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Sentencias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42DA732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192</w:t>
            </w:r>
          </w:p>
        </w:tc>
        <w:tc>
          <w:tcPr>
            <w:tcW w:w="1191" w:type="dxa"/>
            <w:tcBorders>
              <w:top w:val="nil"/>
              <w:left w:val="nil"/>
              <w:bottom w:val="double" w:sz="6" w:space="0" w:color="1F497D"/>
              <w:right w:val="double" w:sz="6" w:space="0" w:color="1F497D"/>
            </w:tcBorders>
            <w:shd w:val="clear" w:color="auto" w:fill="auto"/>
            <w:vAlign w:val="center"/>
            <w:hideMark/>
          </w:tcPr>
          <w:p w14:paraId="5181A91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73%</w:t>
            </w:r>
          </w:p>
        </w:tc>
        <w:tc>
          <w:tcPr>
            <w:tcW w:w="1253" w:type="dxa"/>
            <w:tcBorders>
              <w:top w:val="nil"/>
              <w:left w:val="nil"/>
              <w:bottom w:val="double" w:sz="6" w:space="0" w:color="1F497D"/>
              <w:right w:val="double" w:sz="6" w:space="0" w:color="1F497D"/>
            </w:tcBorders>
            <w:shd w:val="clear" w:color="auto" w:fill="auto"/>
            <w:vAlign w:val="center"/>
            <w:hideMark/>
          </w:tcPr>
          <w:p w14:paraId="763FC697"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w:t>
            </w:r>
          </w:p>
        </w:tc>
        <w:tc>
          <w:tcPr>
            <w:tcW w:w="125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07B291C2"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263</w:t>
            </w:r>
          </w:p>
        </w:tc>
        <w:tc>
          <w:tcPr>
            <w:tcW w:w="923"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688E7F8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418</w:t>
            </w:r>
          </w:p>
        </w:tc>
        <w:tc>
          <w:tcPr>
            <w:tcW w:w="1032"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3DBFB69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63%</w:t>
            </w:r>
          </w:p>
        </w:tc>
      </w:tr>
      <w:tr w:rsidR="001341EC" w:rsidRPr="00493BFE" w14:paraId="5E79A9EA" w14:textId="77777777" w:rsidTr="00165AA6">
        <w:trPr>
          <w:trHeight w:val="17"/>
          <w:jc w:val="center"/>
        </w:trPr>
        <w:tc>
          <w:tcPr>
            <w:tcW w:w="2074" w:type="dxa"/>
            <w:vMerge/>
            <w:tcBorders>
              <w:top w:val="nil"/>
              <w:left w:val="single" w:sz="8" w:space="0" w:color="1F497D"/>
              <w:bottom w:val="single" w:sz="8" w:space="0" w:color="1F497D"/>
              <w:right w:val="single" w:sz="8" w:space="0" w:color="1F497D"/>
            </w:tcBorders>
            <w:vAlign w:val="center"/>
            <w:hideMark/>
          </w:tcPr>
          <w:p w14:paraId="03F4BC6F" w14:textId="77777777" w:rsidR="001341EC" w:rsidRPr="00493BFE" w:rsidRDefault="001341EC" w:rsidP="00165AA6">
            <w:pPr>
              <w:rPr>
                <w:rFonts w:ascii="Book Antiqua" w:hAnsi="Book Antiqua" w:cs="Calibri"/>
                <w:color w:val="000000"/>
                <w:lang w:eastAsia="es-CR"/>
              </w:rPr>
            </w:pPr>
          </w:p>
        </w:tc>
        <w:tc>
          <w:tcPr>
            <w:tcW w:w="1263" w:type="dxa"/>
            <w:tcBorders>
              <w:top w:val="nil"/>
              <w:left w:val="nil"/>
              <w:bottom w:val="single" w:sz="8" w:space="0" w:color="1F497D"/>
              <w:right w:val="single" w:sz="8" w:space="0" w:color="1F497D"/>
            </w:tcBorders>
            <w:shd w:val="clear" w:color="000000" w:fill="DCE6F1"/>
            <w:vAlign w:val="center"/>
            <w:hideMark/>
          </w:tcPr>
          <w:p w14:paraId="5EEDA9E4" w14:textId="77777777" w:rsidR="001341EC" w:rsidRPr="00493BFE" w:rsidRDefault="001341EC" w:rsidP="00165AA6">
            <w:pPr>
              <w:jc w:val="center"/>
              <w:rPr>
                <w:rFonts w:ascii="Book Antiqua" w:hAnsi="Book Antiqua"/>
                <w:i/>
                <w:iCs/>
                <w:color w:val="000000"/>
                <w:lang w:eastAsia="es-CR"/>
              </w:rPr>
            </w:pPr>
            <w:r w:rsidRPr="00493BFE">
              <w:rPr>
                <w:rFonts w:ascii="Book Antiqua" w:hAnsi="Book Antiqua"/>
                <w:i/>
                <w:iCs/>
                <w:color w:val="000000"/>
                <w:sz w:val="22"/>
                <w:szCs w:val="22"/>
                <w:lang w:eastAsia="es-CR"/>
              </w:rPr>
              <w:t>Otros Motivos</w:t>
            </w:r>
          </w:p>
        </w:tc>
        <w:tc>
          <w:tcPr>
            <w:tcW w:w="1253" w:type="dxa"/>
            <w:tcBorders>
              <w:top w:val="nil"/>
              <w:left w:val="double" w:sz="6" w:space="0" w:color="1F497D"/>
              <w:bottom w:val="double" w:sz="6" w:space="0" w:color="1F497D"/>
              <w:right w:val="double" w:sz="6" w:space="0" w:color="1F497D"/>
            </w:tcBorders>
            <w:shd w:val="clear" w:color="auto" w:fill="auto"/>
            <w:vAlign w:val="center"/>
            <w:hideMark/>
          </w:tcPr>
          <w:p w14:paraId="5E9B792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71</w:t>
            </w:r>
          </w:p>
        </w:tc>
        <w:tc>
          <w:tcPr>
            <w:tcW w:w="1191" w:type="dxa"/>
            <w:tcBorders>
              <w:top w:val="nil"/>
              <w:left w:val="nil"/>
              <w:bottom w:val="double" w:sz="6" w:space="0" w:color="1F497D"/>
              <w:right w:val="double" w:sz="6" w:space="0" w:color="1F497D"/>
            </w:tcBorders>
            <w:shd w:val="clear" w:color="auto" w:fill="auto"/>
            <w:vAlign w:val="center"/>
            <w:hideMark/>
          </w:tcPr>
          <w:p w14:paraId="0D849C07"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27%</w:t>
            </w:r>
          </w:p>
        </w:tc>
        <w:tc>
          <w:tcPr>
            <w:tcW w:w="1253" w:type="dxa"/>
            <w:tcBorders>
              <w:top w:val="nil"/>
              <w:left w:val="nil"/>
              <w:bottom w:val="double" w:sz="6" w:space="0" w:color="1F497D"/>
              <w:right w:val="double" w:sz="6" w:space="0" w:color="1F497D"/>
            </w:tcBorders>
            <w:shd w:val="clear" w:color="auto" w:fill="auto"/>
            <w:vAlign w:val="center"/>
            <w:hideMark/>
          </w:tcPr>
          <w:p w14:paraId="3362628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w:t>
            </w:r>
          </w:p>
        </w:tc>
        <w:tc>
          <w:tcPr>
            <w:tcW w:w="1253" w:type="dxa"/>
            <w:vMerge/>
            <w:tcBorders>
              <w:top w:val="nil"/>
              <w:left w:val="double" w:sz="6" w:space="0" w:color="1F497D"/>
              <w:bottom w:val="double" w:sz="6" w:space="0" w:color="1F497D"/>
              <w:right w:val="double" w:sz="6" w:space="0" w:color="1F497D"/>
            </w:tcBorders>
            <w:vAlign w:val="center"/>
            <w:hideMark/>
          </w:tcPr>
          <w:p w14:paraId="6069BDE9" w14:textId="77777777" w:rsidR="001341EC" w:rsidRPr="00493BFE" w:rsidRDefault="001341EC" w:rsidP="00165AA6">
            <w:pPr>
              <w:rPr>
                <w:rFonts w:ascii="Book Antiqua" w:hAnsi="Book Antiqua" w:cs="Calibri"/>
                <w:lang w:eastAsia="es-CR"/>
              </w:rPr>
            </w:pPr>
          </w:p>
        </w:tc>
        <w:tc>
          <w:tcPr>
            <w:tcW w:w="923" w:type="dxa"/>
            <w:vMerge/>
            <w:tcBorders>
              <w:top w:val="nil"/>
              <w:left w:val="double" w:sz="6" w:space="0" w:color="1F497D"/>
              <w:bottom w:val="double" w:sz="6" w:space="0" w:color="1F497D"/>
              <w:right w:val="double" w:sz="6" w:space="0" w:color="1F497D"/>
            </w:tcBorders>
            <w:vAlign w:val="center"/>
            <w:hideMark/>
          </w:tcPr>
          <w:p w14:paraId="53A785AF" w14:textId="77777777" w:rsidR="001341EC" w:rsidRPr="00493BFE" w:rsidRDefault="001341EC" w:rsidP="00165AA6">
            <w:pPr>
              <w:rPr>
                <w:rFonts w:ascii="Book Antiqua" w:hAnsi="Book Antiqua" w:cs="Calibri"/>
                <w:lang w:eastAsia="es-CR"/>
              </w:rPr>
            </w:pPr>
          </w:p>
        </w:tc>
        <w:tc>
          <w:tcPr>
            <w:tcW w:w="1032" w:type="dxa"/>
            <w:vMerge/>
            <w:tcBorders>
              <w:top w:val="nil"/>
              <w:left w:val="double" w:sz="6" w:space="0" w:color="1F497D"/>
              <w:bottom w:val="double" w:sz="6" w:space="0" w:color="1F497D"/>
              <w:right w:val="double" w:sz="6" w:space="0" w:color="1F497D"/>
            </w:tcBorders>
            <w:vAlign w:val="center"/>
            <w:hideMark/>
          </w:tcPr>
          <w:p w14:paraId="5CC075F2" w14:textId="77777777" w:rsidR="001341EC" w:rsidRPr="00493BFE" w:rsidRDefault="001341EC" w:rsidP="00165AA6">
            <w:pPr>
              <w:rPr>
                <w:rFonts w:ascii="Book Antiqua" w:hAnsi="Book Antiqua" w:cs="Calibri"/>
                <w:lang w:eastAsia="es-CR"/>
              </w:rPr>
            </w:pPr>
          </w:p>
        </w:tc>
      </w:tr>
    </w:tbl>
    <w:bookmarkEnd w:id="10"/>
    <w:p w14:paraId="7C787083" w14:textId="77777777" w:rsidR="001341EC" w:rsidRPr="00F53CB0" w:rsidRDefault="001341EC" w:rsidP="001341EC">
      <w:pPr>
        <w:jc w:val="both"/>
        <w:rPr>
          <w:rFonts w:ascii="Book Antiqua" w:hAnsi="Book Antiqua"/>
        </w:rPr>
      </w:pPr>
      <w:r w:rsidRPr="00F53CB0">
        <w:rPr>
          <w:rFonts w:ascii="Book Antiqua" w:hAnsi="Book Antiqua"/>
          <w:b/>
        </w:rPr>
        <w:t xml:space="preserve">Fuente: </w:t>
      </w:r>
      <w:r w:rsidRPr="00F53CB0">
        <w:rPr>
          <w:rFonts w:ascii="Book Antiqua" w:hAnsi="Book Antiqua"/>
        </w:rPr>
        <w:t>Anuario Judicial. Subproceso de Estadística</w:t>
      </w:r>
    </w:p>
    <w:p w14:paraId="3381511E" w14:textId="77777777" w:rsidR="001341EC" w:rsidRDefault="001341EC" w:rsidP="001341EC">
      <w:pPr>
        <w:jc w:val="both"/>
        <w:rPr>
          <w:rFonts w:ascii="Book Antiqua" w:hAnsi="Book Antiqua"/>
          <w:szCs w:val="22"/>
        </w:rPr>
      </w:pPr>
    </w:p>
    <w:p w14:paraId="0311CBBC" w14:textId="77777777" w:rsidR="001341EC" w:rsidRPr="00055D4B" w:rsidRDefault="001341EC" w:rsidP="001341EC">
      <w:pPr>
        <w:jc w:val="both"/>
        <w:rPr>
          <w:rFonts w:ascii="Book Antiqua" w:hAnsi="Book Antiqua"/>
          <w:sz w:val="22"/>
          <w:szCs w:val="22"/>
        </w:rPr>
      </w:pPr>
      <w:bookmarkStart w:id="11" w:name="_Hlk4605116"/>
      <w:r w:rsidRPr="00055D4B">
        <w:rPr>
          <w:rFonts w:ascii="Book Antiqua" w:hAnsi="Book Antiqua"/>
          <w:sz w:val="22"/>
          <w:szCs w:val="22"/>
        </w:rPr>
        <w:t>Los Despachos analizados son considerados de los de mayor ingreso de expedientes a nivel nacional por persona juzgadora, de acuerdo a los datos mostrado</w:t>
      </w:r>
      <w:r>
        <w:rPr>
          <w:rFonts w:ascii="Book Antiqua" w:hAnsi="Book Antiqua"/>
          <w:sz w:val="22"/>
          <w:szCs w:val="22"/>
        </w:rPr>
        <w:t>s</w:t>
      </w:r>
      <w:r w:rsidRPr="00055D4B">
        <w:rPr>
          <w:rFonts w:ascii="Book Antiqua" w:hAnsi="Book Antiqua"/>
          <w:sz w:val="22"/>
          <w:szCs w:val="22"/>
        </w:rPr>
        <w:t xml:space="preserve"> en el 2018. Cada uno cuenta con dos personas juzgadoras, las cuales deben hacerle frente a una estrada promedio mensual de 19 asuntos por Jueza o Juez, lo cual es mayor, de acuerdo a estudios realizados para el resto de despachos, en donde la entrada promedio por persona juzgadora está entre 13 y 15 casos nuevos por mes.</w:t>
      </w:r>
    </w:p>
    <w:bookmarkEnd w:id="11"/>
    <w:p w14:paraId="5CC1AAFC" w14:textId="77777777" w:rsidR="001341EC" w:rsidRPr="00055D4B" w:rsidRDefault="001341EC" w:rsidP="001341EC">
      <w:pPr>
        <w:jc w:val="both"/>
        <w:rPr>
          <w:rFonts w:ascii="Book Antiqua" w:hAnsi="Book Antiqua"/>
          <w:sz w:val="22"/>
          <w:szCs w:val="22"/>
        </w:rPr>
      </w:pPr>
    </w:p>
    <w:p w14:paraId="0CC96E87" w14:textId="77777777" w:rsidR="001341EC" w:rsidRPr="00055D4B" w:rsidRDefault="001341EC" w:rsidP="001341EC">
      <w:pPr>
        <w:jc w:val="both"/>
        <w:rPr>
          <w:rFonts w:ascii="Book Antiqua" w:hAnsi="Book Antiqua"/>
          <w:sz w:val="22"/>
          <w:szCs w:val="22"/>
        </w:rPr>
      </w:pPr>
      <w:bookmarkStart w:id="12" w:name="_Hlk4605463"/>
      <w:r w:rsidRPr="00493BFE">
        <w:rPr>
          <w:rFonts w:ascii="Book Antiqua" w:hAnsi="Book Antiqua"/>
          <w:sz w:val="22"/>
          <w:szCs w:val="22"/>
        </w:rPr>
        <w:t xml:space="preserve">Con respecto a los casos terminados, actualmente cada persona juzgadora dicta un promedio de seis sentencias mensuales, dato que se encuentra dentro de la cuota promedio para el fallo de los Juzgados Agrarios a nivel nacional. En el caso de Santa Cruz el promedio por mes por Jueza o Juez es de </w:t>
      </w:r>
      <w:r w:rsidRPr="00055D4B">
        <w:rPr>
          <w:rFonts w:ascii="Book Antiqua" w:hAnsi="Book Antiqua"/>
          <w:sz w:val="22"/>
          <w:szCs w:val="22"/>
        </w:rPr>
        <w:t xml:space="preserve">seis </w:t>
      </w:r>
      <w:r w:rsidRPr="00493BFE">
        <w:rPr>
          <w:rFonts w:ascii="Book Antiqua" w:hAnsi="Book Antiqua"/>
          <w:sz w:val="22"/>
          <w:szCs w:val="22"/>
        </w:rPr>
        <w:t>asuntos</w:t>
      </w:r>
      <w:r w:rsidRPr="00493BFE" w:rsidDel="00136683">
        <w:rPr>
          <w:rFonts w:ascii="Book Antiqua" w:hAnsi="Book Antiqua"/>
          <w:sz w:val="22"/>
          <w:szCs w:val="22"/>
        </w:rPr>
        <w:t>,</w:t>
      </w:r>
      <w:r w:rsidRPr="00493BFE">
        <w:rPr>
          <w:rFonts w:ascii="Book Antiqua" w:hAnsi="Book Antiqua"/>
          <w:sz w:val="22"/>
          <w:szCs w:val="22"/>
        </w:rPr>
        <w:t xml:space="preserve"> sin embargo, en el caso de Pérez Zeledón y Pococí, es de 8 y 9 sentencias promedio por mes por Jueza o Juez, respectivamente</w:t>
      </w:r>
      <w:r w:rsidRPr="00493BFE" w:rsidDel="00136683">
        <w:rPr>
          <w:rFonts w:ascii="Book Antiqua" w:hAnsi="Book Antiqua"/>
          <w:sz w:val="22"/>
          <w:szCs w:val="22"/>
        </w:rPr>
        <w:t xml:space="preserve"> </w:t>
      </w:r>
      <w:r w:rsidRPr="00493BFE">
        <w:rPr>
          <w:rFonts w:ascii="Book Antiqua" w:hAnsi="Book Antiqua"/>
          <w:sz w:val="22"/>
          <w:szCs w:val="22"/>
        </w:rPr>
        <w:t>y</w:t>
      </w:r>
      <w:r w:rsidRPr="00055D4B">
        <w:rPr>
          <w:rFonts w:ascii="Book Antiqua" w:hAnsi="Book Antiqua"/>
          <w:sz w:val="22"/>
          <w:szCs w:val="22"/>
        </w:rPr>
        <w:t xml:space="preserve"> </w:t>
      </w:r>
      <w:r w:rsidRPr="00493BFE">
        <w:rPr>
          <w:rFonts w:ascii="Book Antiqua" w:hAnsi="Book Antiqua"/>
          <w:sz w:val="22"/>
          <w:szCs w:val="22"/>
        </w:rPr>
        <w:t xml:space="preserve">San Carlos el promedio por mes por Jueza o Juez supera los </w:t>
      </w:r>
      <w:r w:rsidRPr="00055D4B">
        <w:rPr>
          <w:rFonts w:ascii="Book Antiqua" w:hAnsi="Book Antiqua"/>
          <w:sz w:val="22"/>
          <w:szCs w:val="22"/>
        </w:rPr>
        <w:t>6</w:t>
      </w:r>
      <w:r w:rsidRPr="00493BFE">
        <w:rPr>
          <w:rFonts w:ascii="Book Antiqua" w:hAnsi="Book Antiqua"/>
          <w:sz w:val="22"/>
          <w:szCs w:val="22"/>
        </w:rPr>
        <w:t xml:space="preserve"> asuntos</w:t>
      </w:r>
      <w:r w:rsidRPr="00055D4B">
        <w:rPr>
          <w:rFonts w:ascii="Book Antiqua" w:hAnsi="Book Antiqua"/>
          <w:sz w:val="22"/>
          <w:szCs w:val="22"/>
        </w:rPr>
        <w:t>.</w:t>
      </w:r>
    </w:p>
    <w:p w14:paraId="26A1E785" w14:textId="77777777" w:rsidR="001341EC" w:rsidRPr="00493BFE" w:rsidRDefault="001341EC" w:rsidP="001341EC">
      <w:pPr>
        <w:jc w:val="both"/>
        <w:rPr>
          <w:rFonts w:ascii="Book Antiqua" w:hAnsi="Book Antiqua"/>
          <w:sz w:val="22"/>
          <w:szCs w:val="22"/>
        </w:rPr>
      </w:pPr>
      <w:r w:rsidRPr="00055D4B">
        <w:rPr>
          <w:rFonts w:ascii="Book Antiqua" w:hAnsi="Book Antiqua"/>
          <w:sz w:val="22"/>
          <w:szCs w:val="22"/>
        </w:rPr>
        <w:t xml:space="preserve">En el caso de Pérez Zeledón y Pococí, la cantidad de sentencias </w:t>
      </w:r>
      <w:r w:rsidRPr="00493BFE">
        <w:rPr>
          <w:rFonts w:ascii="Book Antiqua" w:hAnsi="Book Antiqua"/>
          <w:sz w:val="22"/>
          <w:szCs w:val="22"/>
        </w:rPr>
        <w:t>se ajusta al planteamiento dado por la Comisión Agraria</w:t>
      </w:r>
      <w:r w:rsidRPr="00055D4B">
        <w:rPr>
          <w:rFonts w:ascii="Book Antiqua" w:hAnsi="Book Antiqua"/>
          <w:sz w:val="22"/>
          <w:szCs w:val="22"/>
        </w:rPr>
        <w:t xml:space="preserve"> en su </w:t>
      </w:r>
      <w:r w:rsidRPr="00493BFE">
        <w:rPr>
          <w:rFonts w:ascii="Book Antiqua" w:hAnsi="Book Antiqua"/>
          <w:sz w:val="22"/>
          <w:szCs w:val="22"/>
        </w:rPr>
        <w:t xml:space="preserve">Plan de acción y al impacto de Reforma, en donde se proyecta que por cada juicio, se realizará la sentencia de forma oral, </w:t>
      </w:r>
      <w:r w:rsidRPr="00055D4B">
        <w:rPr>
          <w:rFonts w:ascii="Book Antiqua" w:hAnsi="Book Antiqua"/>
          <w:sz w:val="22"/>
          <w:szCs w:val="22"/>
        </w:rPr>
        <w:t xml:space="preserve">con </w:t>
      </w:r>
      <w:r w:rsidRPr="00493BFE">
        <w:rPr>
          <w:rFonts w:ascii="Book Antiqua" w:hAnsi="Book Antiqua"/>
          <w:sz w:val="22"/>
          <w:szCs w:val="22"/>
        </w:rPr>
        <w:t xml:space="preserve">al menos dos </w:t>
      </w:r>
      <w:r w:rsidRPr="00055D4B">
        <w:rPr>
          <w:rFonts w:ascii="Book Antiqua" w:hAnsi="Book Antiqua"/>
          <w:sz w:val="22"/>
          <w:szCs w:val="22"/>
        </w:rPr>
        <w:t xml:space="preserve">juicios </w:t>
      </w:r>
      <w:r w:rsidRPr="00493BFE">
        <w:rPr>
          <w:rFonts w:ascii="Book Antiqua" w:hAnsi="Book Antiqua"/>
          <w:sz w:val="22"/>
          <w:szCs w:val="22"/>
        </w:rPr>
        <w:t>por semana por plaza de Jueza o Juez</w:t>
      </w:r>
      <w:r w:rsidRPr="00055D4B">
        <w:rPr>
          <w:rFonts w:ascii="Book Antiqua" w:hAnsi="Book Antiqua"/>
          <w:sz w:val="22"/>
          <w:szCs w:val="22"/>
        </w:rPr>
        <w:t>,</w:t>
      </w:r>
      <w:r w:rsidRPr="00493BFE">
        <w:rPr>
          <w:rFonts w:ascii="Book Antiqua" w:hAnsi="Book Antiqua"/>
          <w:sz w:val="22"/>
          <w:szCs w:val="22"/>
        </w:rPr>
        <w:t xml:space="preserve"> para un aproximado de al menos ocho sentencias mensuales por Jueza o Juez.</w:t>
      </w:r>
    </w:p>
    <w:p w14:paraId="2C3B8ED1" w14:textId="77777777" w:rsidR="001341EC" w:rsidRPr="00493BFE" w:rsidRDefault="001341EC" w:rsidP="001341EC">
      <w:pPr>
        <w:jc w:val="both"/>
        <w:rPr>
          <w:rFonts w:ascii="Book Antiqua" w:hAnsi="Book Antiqua"/>
          <w:sz w:val="22"/>
          <w:szCs w:val="22"/>
        </w:rPr>
      </w:pPr>
    </w:p>
    <w:p w14:paraId="03E2B5EE" w14:textId="77777777" w:rsidR="001341EC" w:rsidRPr="00055D4B" w:rsidRDefault="001341EC" w:rsidP="001341EC">
      <w:pPr>
        <w:jc w:val="both"/>
        <w:rPr>
          <w:rFonts w:ascii="Book Antiqua" w:hAnsi="Book Antiqua"/>
          <w:sz w:val="22"/>
          <w:szCs w:val="22"/>
        </w:rPr>
      </w:pPr>
      <w:r w:rsidRPr="00493BFE">
        <w:rPr>
          <w:rFonts w:ascii="Book Antiqua" w:hAnsi="Book Antiqua"/>
          <w:sz w:val="22"/>
          <w:szCs w:val="22"/>
        </w:rPr>
        <w:t xml:space="preserve">La información anterior, nos permite utilizar los porcentajes de motivo de término y las entradas para proyectar las necesidades y modificaciones </w:t>
      </w:r>
      <w:r w:rsidRPr="00055D4B">
        <w:rPr>
          <w:rFonts w:ascii="Book Antiqua" w:hAnsi="Book Antiqua"/>
          <w:sz w:val="22"/>
          <w:szCs w:val="22"/>
        </w:rPr>
        <w:t xml:space="preserve">a las cuotas de trabajo, </w:t>
      </w:r>
      <w:r w:rsidRPr="00493BFE">
        <w:rPr>
          <w:rFonts w:ascii="Book Antiqua" w:hAnsi="Book Antiqua"/>
          <w:sz w:val="22"/>
          <w:szCs w:val="22"/>
        </w:rPr>
        <w:t xml:space="preserve">que se deberán generar en los Juzgados </w:t>
      </w:r>
      <w:r w:rsidRPr="00055D4B">
        <w:rPr>
          <w:rFonts w:ascii="Book Antiqua" w:hAnsi="Book Antiqua"/>
          <w:sz w:val="22"/>
          <w:szCs w:val="22"/>
        </w:rPr>
        <w:t xml:space="preserve">agrarios </w:t>
      </w:r>
      <w:r w:rsidRPr="00493BFE">
        <w:rPr>
          <w:rFonts w:ascii="Book Antiqua" w:hAnsi="Book Antiqua"/>
          <w:sz w:val="22"/>
          <w:szCs w:val="22"/>
        </w:rPr>
        <w:t xml:space="preserve">para cumplir con la atención de la entrada de asuntos, basados en las cuotas </w:t>
      </w:r>
      <w:r w:rsidRPr="00055D4B">
        <w:rPr>
          <w:rFonts w:ascii="Book Antiqua" w:hAnsi="Book Antiqua"/>
          <w:sz w:val="22"/>
          <w:szCs w:val="22"/>
        </w:rPr>
        <w:t>ideales</w:t>
      </w:r>
      <w:r w:rsidRPr="00493BFE">
        <w:rPr>
          <w:rFonts w:ascii="Book Antiqua" w:hAnsi="Book Antiqua"/>
          <w:sz w:val="22"/>
          <w:szCs w:val="22"/>
        </w:rPr>
        <w:t xml:space="preserve">. </w:t>
      </w:r>
    </w:p>
    <w:p w14:paraId="2B6A224F" w14:textId="77777777" w:rsidR="001341EC" w:rsidRPr="00055D4B" w:rsidRDefault="001341EC" w:rsidP="001341EC">
      <w:pPr>
        <w:jc w:val="both"/>
        <w:rPr>
          <w:rFonts w:ascii="Book Antiqua" w:hAnsi="Book Antiqua"/>
          <w:sz w:val="22"/>
          <w:szCs w:val="22"/>
        </w:rPr>
      </w:pPr>
    </w:p>
    <w:p w14:paraId="21B3090B"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Para lo anterior, ese realiza el siguiente análisis y proyección de la carga de trabajo por Juzgado agrario:</w:t>
      </w:r>
    </w:p>
    <w:p w14:paraId="6C6EA464"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 xml:space="preserve"> </w:t>
      </w:r>
    </w:p>
    <w:p w14:paraId="6BA56F69"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 xml:space="preserve">De lo indicado en líneas anteriores, se identificó que el promedio nacional de entrada ideal por persona juzgadora en materia agraria es de 15 asuntos y la cantidad de sentencias </w:t>
      </w:r>
      <w:r w:rsidRPr="00055D4B">
        <w:rPr>
          <w:rFonts w:ascii="Book Antiqua" w:hAnsi="Book Antiqua"/>
          <w:sz w:val="22"/>
          <w:szCs w:val="22"/>
        </w:rPr>
        <w:t>por plaza de Jueza o Juez</w:t>
      </w:r>
      <w:r w:rsidRPr="00493BFE">
        <w:rPr>
          <w:rFonts w:ascii="Book Antiqua" w:hAnsi="Book Antiqua"/>
          <w:sz w:val="22"/>
          <w:szCs w:val="22"/>
        </w:rPr>
        <w:t xml:space="preserve"> ideal sería de 8 sentencia al mes, esto porque </w:t>
      </w:r>
      <w:r w:rsidRPr="00055D4B">
        <w:rPr>
          <w:rFonts w:ascii="Book Antiqua" w:hAnsi="Book Antiqua"/>
          <w:sz w:val="22"/>
          <w:szCs w:val="22"/>
        </w:rPr>
        <w:t xml:space="preserve">en el Plan de Acción de la Comisión Agraria a solicitud de la Auditoria Judicial, se estableció </w:t>
      </w:r>
      <w:r w:rsidRPr="00493BFE">
        <w:rPr>
          <w:rFonts w:ascii="Book Antiqua" w:hAnsi="Book Antiqua"/>
          <w:sz w:val="22"/>
          <w:szCs w:val="22"/>
        </w:rPr>
        <w:lastRenderedPageBreak/>
        <w:t xml:space="preserve">de que a menos se realicen </w:t>
      </w:r>
      <w:r w:rsidRPr="00055D4B">
        <w:rPr>
          <w:rFonts w:ascii="Book Antiqua" w:hAnsi="Book Antiqua"/>
          <w:sz w:val="22"/>
          <w:szCs w:val="22"/>
        </w:rPr>
        <w:t>dos</w:t>
      </w:r>
      <w:r w:rsidRPr="00493BFE">
        <w:rPr>
          <w:rFonts w:ascii="Book Antiqua" w:hAnsi="Book Antiqua"/>
          <w:sz w:val="22"/>
          <w:szCs w:val="22"/>
        </w:rPr>
        <w:t xml:space="preserve"> audiencias de juicio fuera de la oficina por persona juzgadora por semana en las cuales se debería dictar sentencia</w:t>
      </w:r>
      <w:r w:rsidRPr="00055D4B">
        <w:rPr>
          <w:rFonts w:ascii="Book Antiqua" w:hAnsi="Book Antiqua"/>
          <w:sz w:val="22"/>
          <w:szCs w:val="22"/>
        </w:rPr>
        <w:t xml:space="preserve"> de forma oral</w:t>
      </w:r>
      <w:r w:rsidRPr="00493BFE">
        <w:rPr>
          <w:rFonts w:ascii="Book Antiqua" w:hAnsi="Book Antiqua"/>
          <w:sz w:val="22"/>
          <w:szCs w:val="22"/>
        </w:rPr>
        <w:t xml:space="preserve"> (</w:t>
      </w:r>
      <w:r w:rsidRPr="00055D4B">
        <w:rPr>
          <w:rFonts w:ascii="Book Antiqua" w:hAnsi="Book Antiqua"/>
          <w:sz w:val="22"/>
          <w:szCs w:val="22"/>
        </w:rPr>
        <w:t xml:space="preserve"> según se establece en el Código Procesal Agrario, a entrar en vigencia</w:t>
      </w:r>
      <w:r w:rsidRPr="00493BFE">
        <w:rPr>
          <w:rFonts w:ascii="Book Antiqua" w:hAnsi="Book Antiqua"/>
          <w:sz w:val="22"/>
          <w:szCs w:val="22"/>
        </w:rPr>
        <w:t>), para un tota</w:t>
      </w:r>
      <w:r w:rsidRPr="00055D4B">
        <w:rPr>
          <w:rFonts w:ascii="Book Antiqua" w:hAnsi="Book Antiqua"/>
          <w:sz w:val="22"/>
          <w:szCs w:val="22"/>
        </w:rPr>
        <w:t>l</w:t>
      </w:r>
      <w:r w:rsidRPr="00493BFE">
        <w:rPr>
          <w:rFonts w:ascii="Book Antiqua" w:hAnsi="Book Antiqua"/>
          <w:sz w:val="22"/>
          <w:szCs w:val="22"/>
        </w:rPr>
        <w:t xml:space="preserve"> por mes de </w:t>
      </w:r>
      <w:r w:rsidRPr="00055D4B">
        <w:rPr>
          <w:rFonts w:ascii="Book Antiqua" w:hAnsi="Book Antiqua"/>
          <w:sz w:val="22"/>
          <w:szCs w:val="22"/>
        </w:rPr>
        <w:t xml:space="preserve">al menos </w:t>
      </w:r>
      <w:r w:rsidRPr="00493BFE">
        <w:rPr>
          <w:rFonts w:ascii="Book Antiqua" w:hAnsi="Book Antiqua"/>
          <w:sz w:val="22"/>
          <w:szCs w:val="22"/>
        </w:rPr>
        <w:t xml:space="preserve">8 audiencias fuera de la oficina que equivalen </w:t>
      </w:r>
      <w:r w:rsidRPr="00055D4B">
        <w:rPr>
          <w:rFonts w:ascii="Book Antiqua" w:hAnsi="Book Antiqua"/>
          <w:sz w:val="22"/>
          <w:szCs w:val="22"/>
        </w:rPr>
        <w:t>al menos a</w:t>
      </w:r>
      <w:r w:rsidRPr="00493BFE">
        <w:rPr>
          <w:rFonts w:ascii="Book Antiqua" w:hAnsi="Book Antiqua"/>
          <w:sz w:val="22"/>
          <w:szCs w:val="22"/>
        </w:rPr>
        <w:t xml:space="preserve"> 8 sentencias. </w:t>
      </w:r>
    </w:p>
    <w:p w14:paraId="44AFFC51" w14:textId="77777777" w:rsidR="001341EC" w:rsidRPr="00493BFE" w:rsidRDefault="001341EC" w:rsidP="001341EC">
      <w:pPr>
        <w:jc w:val="both"/>
        <w:rPr>
          <w:rFonts w:ascii="Book Antiqua" w:hAnsi="Book Antiqua"/>
          <w:sz w:val="22"/>
          <w:szCs w:val="22"/>
        </w:rPr>
      </w:pPr>
    </w:p>
    <w:p w14:paraId="2E6F7BEE"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 xml:space="preserve">Tomando como base </w:t>
      </w:r>
      <w:r w:rsidRPr="00055D4B">
        <w:rPr>
          <w:rFonts w:ascii="Book Antiqua" w:hAnsi="Book Antiqua"/>
          <w:sz w:val="22"/>
          <w:szCs w:val="22"/>
        </w:rPr>
        <w:t>los datos históricos del terminado de asuntos tanto por sentencia como por otras razones y relacionado con la entrada</w:t>
      </w:r>
      <w:r w:rsidRPr="00493BFE">
        <w:rPr>
          <w:rFonts w:ascii="Book Antiqua" w:hAnsi="Book Antiqua"/>
          <w:sz w:val="22"/>
          <w:szCs w:val="22"/>
        </w:rPr>
        <w:t xml:space="preserve"> promedio de 15 asuntos nuevos por mes por persona juzgadora</w:t>
      </w:r>
      <w:r w:rsidRPr="00055D4B">
        <w:rPr>
          <w:rFonts w:ascii="Book Antiqua" w:hAnsi="Book Antiqua"/>
          <w:sz w:val="22"/>
          <w:szCs w:val="22"/>
        </w:rPr>
        <w:t xml:space="preserve">, se proyecta que se deberán dar por terminado al menos 8 </w:t>
      </w:r>
      <w:r w:rsidRPr="00493BFE">
        <w:rPr>
          <w:rFonts w:ascii="Book Antiqua" w:hAnsi="Book Antiqua"/>
          <w:sz w:val="22"/>
          <w:szCs w:val="22"/>
        </w:rPr>
        <w:t>sentencias y 7 asuntos por otros motivos</w:t>
      </w:r>
      <w:r w:rsidRPr="00055D4B">
        <w:rPr>
          <w:rFonts w:ascii="Book Antiqua" w:hAnsi="Book Antiqua"/>
          <w:sz w:val="22"/>
          <w:szCs w:val="22"/>
        </w:rPr>
        <w:t xml:space="preserve"> de t</w:t>
      </w:r>
      <w:r w:rsidRPr="00493BFE">
        <w:rPr>
          <w:rFonts w:ascii="Book Antiqua" w:hAnsi="Book Antiqua"/>
          <w:sz w:val="22"/>
          <w:szCs w:val="22"/>
        </w:rPr>
        <w:t>é</w:t>
      </w:r>
      <w:r w:rsidRPr="00055D4B">
        <w:rPr>
          <w:rFonts w:ascii="Book Antiqua" w:hAnsi="Book Antiqua"/>
          <w:sz w:val="22"/>
          <w:szCs w:val="22"/>
        </w:rPr>
        <w:t>rmino por mes, por persona juzgadora</w:t>
      </w:r>
      <w:r w:rsidRPr="00493BFE">
        <w:rPr>
          <w:rFonts w:ascii="Book Antiqua" w:hAnsi="Book Antiqua"/>
          <w:sz w:val="22"/>
          <w:szCs w:val="22"/>
        </w:rPr>
        <w:t xml:space="preserve">. Lo anterior permitirá atender </w:t>
      </w:r>
      <w:r w:rsidRPr="00055D4B">
        <w:rPr>
          <w:rFonts w:ascii="Book Antiqua" w:hAnsi="Book Antiqua"/>
          <w:sz w:val="22"/>
          <w:szCs w:val="22"/>
        </w:rPr>
        <w:t xml:space="preserve">el 100% de </w:t>
      </w:r>
      <w:r w:rsidRPr="00493BFE">
        <w:rPr>
          <w:rFonts w:ascii="Book Antiqua" w:hAnsi="Book Antiqua"/>
          <w:sz w:val="22"/>
          <w:szCs w:val="22"/>
        </w:rPr>
        <w:t>la entrada de asuntos</w:t>
      </w:r>
      <w:r w:rsidRPr="00055D4B">
        <w:rPr>
          <w:rFonts w:ascii="Book Antiqua" w:hAnsi="Book Antiqua"/>
          <w:sz w:val="22"/>
          <w:szCs w:val="22"/>
        </w:rPr>
        <w:t>,</w:t>
      </w:r>
      <w:r w:rsidRPr="00493BFE">
        <w:rPr>
          <w:rFonts w:ascii="Book Antiqua" w:hAnsi="Book Antiqua"/>
          <w:sz w:val="22"/>
          <w:szCs w:val="22"/>
        </w:rPr>
        <w:t xml:space="preserve"> sin crecimiento de los circulantes. </w:t>
      </w:r>
    </w:p>
    <w:p w14:paraId="05F21E66" w14:textId="77777777" w:rsidR="001341EC" w:rsidRPr="00493BFE" w:rsidRDefault="001341EC" w:rsidP="001341EC">
      <w:pPr>
        <w:jc w:val="both"/>
        <w:rPr>
          <w:rFonts w:ascii="Book Antiqua" w:hAnsi="Book Antiqua"/>
          <w:sz w:val="22"/>
          <w:szCs w:val="22"/>
        </w:rPr>
      </w:pPr>
    </w:p>
    <w:p w14:paraId="3484E6BA" w14:textId="77777777" w:rsidR="001341EC" w:rsidRPr="00055D4B" w:rsidRDefault="001341EC" w:rsidP="001341EC">
      <w:pPr>
        <w:jc w:val="both"/>
        <w:rPr>
          <w:rFonts w:ascii="Book Antiqua" w:hAnsi="Book Antiqua"/>
          <w:sz w:val="22"/>
          <w:szCs w:val="22"/>
        </w:rPr>
      </w:pPr>
      <w:r w:rsidRPr="00493BFE">
        <w:rPr>
          <w:rFonts w:ascii="Book Antiqua" w:hAnsi="Book Antiqua"/>
          <w:sz w:val="22"/>
          <w:szCs w:val="22"/>
        </w:rPr>
        <w:t>Debido a que existen juzgados que presenta</w:t>
      </w:r>
      <w:r w:rsidRPr="00055D4B">
        <w:rPr>
          <w:rFonts w:ascii="Book Antiqua" w:hAnsi="Book Antiqua"/>
          <w:sz w:val="22"/>
          <w:szCs w:val="22"/>
        </w:rPr>
        <w:t>n</w:t>
      </w:r>
      <w:r w:rsidRPr="00493BFE">
        <w:rPr>
          <w:rFonts w:ascii="Book Antiqua" w:hAnsi="Book Antiqua"/>
          <w:sz w:val="22"/>
          <w:szCs w:val="22"/>
        </w:rPr>
        <w:t xml:space="preserve"> entradas mayores o menores a los 15 asuntos nuevos promedio esperados, nace la necesidad de identificar cuál es la porción de expedientes que concluye</w:t>
      </w:r>
      <w:r w:rsidRPr="00055D4B">
        <w:rPr>
          <w:rFonts w:ascii="Book Antiqua" w:hAnsi="Book Antiqua"/>
          <w:sz w:val="22"/>
          <w:szCs w:val="22"/>
        </w:rPr>
        <w:t>n</w:t>
      </w:r>
      <w:r w:rsidRPr="00493BFE">
        <w:rPr>
          <w:rFonts w:ascii="Book Antiqua" w:hAnsi="Book Antiqua"/>
          <w:sz w:val="22"/>
          <w:szCs w:val="22"/>
        </w:rPr>
        <w:t xml:space="preserve"> a la fecha, cada juzgado</w:t>
      </w:r>
      <w:r w:rsidRPr="00055D4B">
        <w:rPr>
          <w:rFonts w:ascii="Book Antiqua" w:hAnsi="Book Antiqua"/>
          <w:sz w:val="22"/>
          <w:szCs w:val="22"/>
        </w:rPr>
        <w:t>r</w:t>
      </w:r>
      <w:r w:rsidRPr="00493BFE">
        <w:rPr>
          <w:rFonts w:ascii="Book Antiqua" w:hAnsi="Book Antiqua"/>
          <w:sz w:val="22"/>
          <w:szCs w:val="22"/>
        </w:rPr>
        <w:t xml:space="preserve"> por sentencia y por otros motivos</w:t>
      </w:r>
      <w:r w:rsidRPr="00055D4B">
        <w:rPr>
          <w:rFonts w:ascii="Book Antiqua" w:hAnsi="Book Antiqua"/>
          <w:sz w:val="22"/>
          <w:szCs w:val="22"/>
        </w:rPr>
        <w:t xml:space="preserve"> y con este porcentaje, establecer cuáles serían las cuotas estimadas tanto para sentencia como para otros motivos que permitan atender su entrada de asuntos.</w:t>
      </w:r>
    </w:p>
    <w:p w14:paraId="699445D5" w14:textId="77777777" w:rsidR="001341EC" w:rsidRPr="00055D4B" w:rsidRDefault="001341EC" w:rsidP="001341EC">
      <w:pPr>
        <w:jc w:val="both"/>
        <w:rPr>
          <w:rFonts w:ascii="Book Antiqua" w:hAnsi="Book Antiqua"/>
          <w:sz w:val="22"/>
          <w:szCs w:val="22"/>
        </w:rPr>
      </w:pPr>
    </w:p>
    <w:p w14:paraId="7847FB87"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 xml:space="preserve"> Lo anterior, con la finalidad de definir si existe necesidad de colaboración por parte de algunos despachos para lograr atender la entrada o en caso contrario cuenta con capacidad operativa que se pueda utilizar para colaborar a otros despachos. </w:t>
      </w:r>
    </w:p>
    <w:p w14:paraId="7C89739C" w14:textId="77777777" w:rsidR="001341EC" w:rsidRPr="00493BFE" w:rsidRDefault="001341EC" w:rsidP="001341EC">
      <w:pPr>
        <w:jc w:val="both"/>
        <w:rPr>
          <w:rFonts w:ascii="Book Antiqua" w:hAnsi="Book Antiqua"/>
          <w:sz w:val="22"/>
          <w:szCs w:val="22"/>
        </w:rPr>
      </w:pPr>
    </w:p>
    <w:p w14:paraId="40251465"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Ahora bien, con estos porcentajes de asuntos terminados por sentencia y por otros motivos es importante proyecta</w:t>
      </w:r>
      <w:r w:rsidRPr="00055D4B">
        <w:rPr>
          <w:rFonts w:ascii="Book Antiqua" w:hAnsi="Book Antiqua"/>
          <w:sz w:val="22"/>
          <w:szCs w:val="22"/>
        </w:rPr>
        <w:t>r</w:t>
      </w:r>
      <w:r w:rsidRPr="00493BFE">
        <w:rPr>
          <w:rFonts w:ascii="Book Antiqua" w:hAnsi="Book Antiqua"/>
          <w:sz w:val="22"/>
          <w:szCs w:val="22"/>
        </w:rPr>
        <w:t xml:space="preserve"> el comportamiento de estos despachos durante la entrada en vigencia del Código Procesal Agrario, el cual se muestra en el siguiente cuadro:</w:t>
      </w:r>
    </w:p>
    <w:p w14:paraId="698C2FBF" w14:textId="77777777" w:rsidR="001341EC" w:rsidRPr="00493BFE" w:rsidRDefault="001341EC" w:rsidP="001341EC">
      <w:pPr>
        <w:jc w:val="both"/>
        <w:rPr>
          <w:rFonts w:ascii="Book Antiqua" w:hAnsi="Book Antiqua"/>
          <w:sz w:val="22"/>
          <w:szCs w:val="22"/>
        </w:rPr>
      </w:pPr>
    </w:p>
    <w:p w14:paraId="4210900C"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 xml:space="preserve">Cuadro </w:t>
      </w:r>
      <w:r w:rsidR="009A23D1" w:rsidRPr="00126FA8">
        <w:rPr>
          <w:rFonts w:ascii="Book Antiqua" w:hAnsi="Book Antiqua"/>
          <w:bCs w:val="0"/>
          <w:iCs/>
          <w:sz w:val="22"/>
          <w:szCs w:val="24"/>
          <w:lang w:val="es-CR"/>
        </w:rPr>
        <w:fldChar w:fldCharType="begin"/>
      </w:r>
      <w:r w:rsidRPr="00126FA8">
        <w:rPr>
          <w:rFonts w:ascii="Book Antiqua" w:hAnsi="Book Antiqua"/>
          <w:bCs w:val="0"/>
          <w:iCs/>
          <w:sz w:val="22"/>
          <w:szCs w:val="24"/>
          <w:lang w:val="es-CR"/>
        </w:rPr>
        <w:instrText xml:space="preserve"> SEQ Cuadro \* ARABIC </w:instrText>
      </w:r>
      <w:r w:rsidR="009A23D1" w:rsidRPr="00126FA8">
        <w:rPr>
          <w:rFonts w:ascii="Book Antiqua" w:hAnsi="Book Antiqua"/>
          <w:bCs w:val="0"/>
          <w:iCs/>
          <w:sz w:val="22"/>
          <w:szCs w:val="24"/>
          <w:lang w:val="es-CR"/>
        </w:rPr>
        <w:fldChar w:fldCharType="separate"/>
      </w:r>
      <w:r w:rsidRPr="00126FA8">
        <w:rPr>
          <w:rFonts w:ascii="Book Antiqua" w:hAnsi="Book Antiqua"/>
          <w:bCs w:val="0"/>
          <w:iCs/>
          <w:sz w:val="22"/>
          <w:szCs w:val="24"/>
          <w:lang w:val="es-CR"/>
        </w:rPr>
        <w:t>6</w:t>
      </w:r>
      <w:r w:rsidR="009A23D1" w:rsidRPr="00126FA8">
        <w:rPr>
          <w:rFonts w:ascii="Book Antiqua" w:hAnsi="Book Antiqua"/>
          <w:bCs w:val="0"/>
          <w:iCs/>
          <w:sz w:val="22"/>
          <w:szCs w:val="24"/>
          <w:lang w:val="es-CR"/>
        </w:rPr>
        <w:fldChar w:fldCharType="end"/>
      </w:r>
    </w:p>
    <w:p w14:paraId="1072F826"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Proyección de terminados por sentencia y otros motivos para el escenario actual del Despacho y bajo el ideal de un dictado de sentencia de ocho asuntos por persona juzgadora al mes</w:t>
      </w:r>
    </w:p>
    <w:tbl>
      <w:tblPr>
        <w:tblW w:w="9808" w:type="dxa"/>
        <w:jc w:val="center"/>
        <w:tblLayout w:type="fixed"/>
        <w:tblCellMar>
          <w:left w:w="70" w:type="dxa"/>
          <w:right w:w="70" w:type="dxa"/>
        </w:tblCellMar>
        <w:tblLook w:val="04A0" w:firstRow="1" w:lastRow="0" w:firstColumn="1" w:lastColumn="0" w:noHBand="0" w:noVBand="1"/>
      </w:tblPr>
      <w:tblGrid>
        <w:gridCol w:w="3251"/>
        <w:gridCol w:w="850"/>
        <w:gridCol w:w="851"/>
        <w:gridCol w:w="992"/>
        <w:gridCol w:w="1559"/>
        <w:gridCol w:w="1276"/>
        <w:gridCol w:w="1029"/>
      </w:tblGrid>
      <w:tr w:rsidR="001341EC" w:rsidRPr="00493BFE" w14:paraId="78C1277D" w14:textId="77777777" w:rsidTr="00165AA6">
        <w:trPr>
          <w:trHeight w:val="16"/>
          <w:jc w:val="center"/>
        </w:trPr>
        <w:tc>
          <w:tcPr>
            <w:tcW w:w="3251" w:type="dxa"/>
            <w:tcBorders>
              <w:top w:val="single" w:sz="8" w:space="0" w:color="1F497D"/>
              <w:left w:val="single" w:sz="8" w:space="0" w:color="1F497D"/>
              <w:bottom w:val="single" w:sz="8" w:space="0" w:color="1F497D"/>
              <w:right w:val="single" w:sz="8" w:space="0" w:color="1F497D"/>
            </w:tcBorders>
            <w:shd w:val="clear" w:color="000000" w:fill="8DB4E2"/>
            <w:vAlign w:val="center"/>
            <w:hideMark/>
          </w:tcPr>
          <w:p w14:paraId="25A690D7" w14:textId="77777777" w:rsidR="001341EC" w:rsidRPr="00493BFE" w:rsidRDefault="001341EC" w:rsidP="00165AA6">
            <w:pPr>
              <w:jc w:val="center"/>
              <w:rPr>
                <w:rFonts w:ascii="Book Antiqua" w:hAnsi="Book Antiqua"/>
                <w:b/>
                <w:bCs/>
                <w:color w:val="000000"/>
                <w:lang w:eastAsia="es-CR"/>
              </w:rPr>
            </w:pPr>
            <w:r w:rsidRPr="00493BFE">
              <w:rPr>
                <w:rFonts w:ascii="Book Antiqua" w:hAnsi="Book Antiqua"/>
                <w:b/>
                <w:bCs/>
                <w:color w:val="000000"/>
                <w:sz w:val="22"/>
                <w:szCs w:val="22"/>
                <w:lang w:eastAsia="es-CR"/>
              </w:rPr>
              <w:t>Juzgado</w:t>
            </w:r>
          </w:p>
        </w:tc>
        <w:tc>
          <w:tcPr>
            <w:tcW w:w="850" w:type="dxa"/>
            <w:tcBorders>
              <w:top w:val="double" w:sz="6" w:space="0" w:color="1F497D"/>
              <w:left w:val="double" w:sz="6" w:space="0" w:color="1F497D"/>
              <w:bottom w:val="nil"/>
              <w:right w:val="double" w:sz="6" w:space="0" w:color="1F497D"/>
            </w:tcBorders>
            <w:shd w:val="clear" w:color="000000" w:fill="8DB4E2"/>
            <w:vAlign w:val="center"/>
            <w:hideMark/>
          </w:tcPr>
          <w:p w14:paraId="020F4314"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Entrada mes</w:t>
            </w:r>
          </w:p>
        </w:tc>
        <w:tc>
          <w:tcPr>
            <w:tcW w:w="851" w:type="dxa"/>
            <w:tcBorders>
              <w:top w:val="double" w:sz="6" w:space="0" w:color="1F497D"/>
              <w:left w:val="nil"/>
              <w:bottom w:val="nil"/>
              <w:right w:val="double" w:sz="6" w:space="0" w:color="1F497D"/>
            </w:tcBorders>
            <w:shd w:val="clear" w:color="000000" w:fill="8DB4E2"/>
            <w:vAlign w:val="center"/>
            <w:hideMark/>
          </w:tcPr>
          <w:p w14:paraId="1E8D07DF"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Jueces</w:t>
            </w:r>
          </w:p>
        </w:tc>
        <w:tc>
          <w:tcPr>
            <w:tcW w:w="992" w:type="dxa"/>
            <w:tcBorders>
              <w:top w:val="double" w:sz="6" w:space="0" w:color="1F497D"/>
              <w:left w:val="nil"/>
              <w:bottom w:val="nil"/>
              <w:right w:val="double" w:sz="6" w:space="0" w:color="1F497D"/>
            </w:tcBorders>
            <w:shd w:val="clear" w:color="000000" w:fill="8DB4E2"/>
            <w:vAlign w:val="center"/>
            <w:hideMark/>
          </w:tcPr>
          <w:p w14:paraId="2373B2EF"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Entrada mes por Jueza o Juez</w:t>
            </w:r>
          </w:p>
        </w:tc>
        <w:tc>
          <w:tcPr>
            <w:tcW w:w="1559" w:type="dxa"/>
            <w:tcBorders>
              <w:top w:val="double" w:sz="6" w:space="0" w:color="1F497D"/>
              <w:left w:val="nil"/>
              <w:bottom w:val="nil"/>
              <w:right w:val="double" w:sz="6" w:space="0" w:color="1F497D"/>
            </w:tcBorders>
            <w:shd w:val="clear" w:color="000000" w:fill="8DB4E2"/>
            <w:vAlign w:val="center"/>
            <w:hideMark/>
          </w:tcPr>
          <w:p w14:paraId="28A438CB"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 xml:space="preserve">Proyección terminados por sentencia </w:t>
            </w:r>
            <w:r w:rsidRPr="00493BFE">
              <w:rPr>
                <w:rFonts w:ascii="Book Antiqua" w:hAnsi="Book Antiqua" w:cs="Calibri"/>
                <w:b/>
                <w:bCs/>
                <w:color w:val="000000"/>
                <w:sz w:val="22"/>
                <w:szCs w:val="22"/>
                <w:lang w:eastAsia="es-CR"/>
              </w:rPr>
              <w:br/>
              <w:t>(8 Sentencias por Juez IDEAL)</w:t>
            </w:r>
          </w:p>
        </w:tc>
        <w:tc>
          <w:tcPr>
            <w:tcW w:w="1276" w:type="dxa"/>
            <w:tcBorders>
              <w:top w:val="double" w:sz="6" w:space="0" w:color="1F497D"/>
              <w:left w:val="nil"/>
              <w:bottom w:val="nil"/>
              <w:right w:val="double" w:sz="6" w:space="0" w:color="1F497D"/>
            </w:tcBorders>
            <w:shd w:val="clear" w:color="000000" w:fill="8DB4E2"/>
            <w:vAlign w:val="center"/>
            <w:hideMark/>
          </w:tcPr>
          <w:p w14:paraId="3F237F8A"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Proyección terminados por otras razones</w:t>
            </w:r>
          </w:p>
        </w:tc>
        <w:tc>
          <w:tcPr>
            <w:tcW w:w="1029" w:type="dxa"/>
            <w:tcBorders>
              <w:top w:val="double" w:sz="6" w:space="0" w:color="1F497D"/>
              <w:left w:val="nil"/>
              <w:bottom w:val="nil"/>
              <w:right w:val="double" w:sz="6" w:space="0" w:color="1F497D"/>
            </w:tcBorders>
            <w:shd w:val="clear" w:color="000000" w:fill="8DB4E2"/>
            <w:vAlign w:val="center"/>
            <w:hideMark/>
          </w:tcPr>
          <w:p w14:paraId="4FE0A906"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Atención de entrada/mes/Juez</w:t>
            </w:r>
          </w:p>
        </w:tc>
      </w:tr>
      <w:tr w:rsidR="001341EC" w:rsidRPr="00493BFE" w14:paraId="6F8AA40D"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2514DE39"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San José</w:t>
            </w:r>
          </w:p>
        </w:tc>
        <w:tc>
          <w:tcPr>
            <w:tcW w:w="850" w:type="dxa"/>
            <w:tcBorders>
              <w:top w:val="double" w:sz="6" w:space="0" w:color="1F497D"/>
              <w:left w:val="double" w:sz="6" w:space="0" w:color="1F497D"/>
              <w:bottom w:val="nil"/>
              <w:right w:val="double" w:sz="6" w:space="0" w:color="1F497D"/>
            </w:tcBorders>
            <w:shd w:val="clear" w:color="auto" w:fill="auto"/>
            <w:vAlign w:val="center"/>
            <w:hideMark/>
          </w:tcPr>
          <w:p w14:paraId="2C9DF54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29</w:t>
            </w:r>
          </w:p>
        </w:tc>
        <w:tc>
          <w:tcPr>
            <w:tcW w:w="851" w:type="dxa"/>
            <w:tcBorders>
              <w:top w:val="double" w:sz="6" w:space="0" w:color="1F497D"/>
              <w:left w:val="nil"/>
              <w:bottom w:val="nil"/>
              <w:right w:val="double" w:sz="6" w:space="0" w:color="1F497D"/>
            </w:tcBorders>
            <w:shd w:val="clear" w:color="auto" w:fill="auto"/>
            <w:vAlign w:val="center"/>
            <w:hideMark/>
          </w:tcPr>
          <w:p w14:paraId="42D7134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w:t>
            </w:r>
          </w:p>
        </w:tc>
        <w:tc>
          <w:tcPr>
            <w:tcW w:w="992" w:type="dxa"/>
            <w:tcBorders>
              <w:top w:val="double" w:sz="6" w:space="0" w:color="1F497D"/>
              <w:left w:val="nil"/>
              <w:bottom w:val="nil"/>
              <w:right w:val="double" w:sz="6" w:space="0" w:color="1F497D"/>
            </w:tcBorders>
            <w:shd w:val="clear" w:color="auto" w:fill="auto"/>
            <w:vAlign w:val="center"/>
            <w:hideMark/>
          </w:tcPr>
          <w:p w14:paraId="500AB7D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15</w:t>
            </w:r>
          </w:p>
        </w:tc>
        <w:tc>
          <w:tcPr>
            <w:tcW w:w="1559" w:type="dxa"/>
            <w:tcBorders>
              <w:top w:val="double" w:sz="6" w:space="0" w:color="1F497D"/>
              <w:left w:val="nil"/>
              <w:bottom w:val="nil"/>
              <w:right w:val="double" w:sz="6" w:space="0" w:color="1F497D"/>
            </w:tcBorders>
            <w:shd w:val="clear" w:color="000000" w:fill="FFFF00"/>
            <w:vAlign w:val="center"/>
            <w:hideMark/>
          </w:tcPr>
          <w:p w14:paraId="463BD6C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w:t>
            </w:r>
          </w:p>
        </w:tc>
        <w:tc>
          <w:tcPr>
            <w:tcW w:w="1276" w:type="dxa"/>
            <w:tcBorders>
              <w:top w:val="double" w:sz="6" w:space="0" w:color="1F497D"/>
              <w:left w:val="nil"/>
              <w:bottom w:val="nil"/>
              <w:right w:val="double" w:sz="6" w:space="0" w:color="1F497D"/>
            </w:tcBorders>
            <w:shd w:val="clear" w:color="auto" w:fill="auto"/>
            <w:vAlign w:val="center"/>
            <w:hideMark/>
          </w:tcPr>
          <w:p w14:paraId="00AA5234"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w:t>
            </w:r>
          </w:p>
        </w:tc>
        <w:tc>
          <w:tcPr>
            <w:tcW w:w="1029" w:type="dxa"/>
            <w:tcBorders>
              <w:top w:val="double" w:sz="6" w:space="0" w:color="1F497D"/>
              <w:left w:val="nil"/>
              <w:bottom w:val="nil"/>
              <w:right w:val="double" w:sz="6" w:space="0" w:color="1F497D"/>
            </w:tcBorders>
            <w:shd w:val="clear" w:color="auto" w:fill="auto"/>
            <w:vAlign w:val="center"/>
            <w:hideMark/>
          </w:tcPr>
          <w:p w14:paraId="21204F3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3CABF4E0"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34C4743B"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6FABD412"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2DF3B22C"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FFFF00"/>
            <w:vAlign w:val="center"/>
            <w:hideMark/>
          </w:tcPr>
          <w:p w14:paraId="790710BB"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7</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1F19D277"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15</w:t>
            </w:r>
          </w:p>
        </w:tc>
      </w:tr>
      <w:tr w:rsidR="001341EC" w:rsidRPr="00493BFE" w14:paraId="21495412"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2BDE0074"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Alajuela</w:t>
            </w:r>
          </w:p>
        </w:tc>
        <w:tc>
          <w:tcPr>
            <w:tcW w:w="850" w:type="dxa"/>
            <w:tcBorders>
              <w:top w:val="nil"/>
              <w:left w:val="double" w:sz="6" w:space="0" w:color="1F497D"/>
              <w:bottom w:val="nil"/>
              <w:right w:val="double" w:sz="6" w:space="0" w:color="1F497D"/>
            </w:tcBorders>
            <w:shd w:val="clear" w:color="000000" w:fill="DCE6F1"/>
            <w:vAlign w:val="center"/>
            <w:hideMark/>
          </w:tcPr>
          <w:p w14:paraId="7EC43C2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19</w:t>
            </w:r>
          </w:p>
        </w:tc>
        <w:tc>
          <w:tcPr>
            <w:tcW w:w="851" w:type="dxa"/>
            <w:tcBorders>
              <w:top w:val="nil"/>
              <w:left w:val="nil"/>
              <w:bottom w:val="nil"/>
              <w:right w:val="double" w:sz="6" w:space="0" w:color="1F497D"/>
            </w:tcBorders>
            <w:shd w:val="clear" w:color="000000" w:fill="DCE6F1"/>
            <w:vAlign w:val="center"/>
            <w:hideMark/>
          </w:tcPr>
          <w:p w14:paraId="49439D9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w:t>
            </w:r>
          </w:p>
        </w:tc>
        <w:tc>
          <w:tcPr>
            <w:tcW w:w="992" w:type="dxa"/>
            <w:tcBorders>
              <w:top w:val="nil"/>
              <w:left w:val="nil"/>
              <w:bottom w:val="nil"/>
              <w:right w:val="double" w:sz="6" w:space="0" w:color="1F497D"/>
            </w:tcBorders>
            <w:shd w:val="clear" w:color="000000" w:fill="DCE6F1"/>
            <w:vAlign w:val="center"/>
            <w:hideMark/>
          </w:tcPr>
          <w:p w14:paraId="4201C7BB"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w:t>
            </w:r>
          </w:p>
        </w:tc>
        <w:tc>
          <w:tcPr>
            <w:tcW w:w="1559" w:type="dxa"/>
            <w:tcBorders>
              <w:top w:val="nil"/>
              <w:left w:val="nil"/>
              <w:bottom w:val="nil"/>
              <w:right w:val="double" w:sz="6" w:space="0" w:color="1F497D"/>
            </w:tcBorders>
            <w:shd w:val="clear" w:color="000000" w:fill="92D050"/>
            <w:vAlign w:val="center"/>
            <w:hideMark/>
          </w:tcPr>
          <w:p w14:paraId="59581FE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276" w:type="dxa"/>
            <w:tcBorders>
              <w:top w:val="nil"/>
              <w:left w:val="nil"/>
              <w:bottom w:val="nil"/>
              <w:right w:val="double" w:sz="6" w:space="0" w:color="1F497D"/>
            </w:tcBorders>
            <w:shd w:val="clear" w:color="000000" w:fill="DCE6F1"/>
            <w:vAlign w:val="center"/>
            <w:hideMark/>
          </w:tcPr>
          <w:p w14:paraId="24CCF25B"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w:t>
            </w:r>
          </w:p>
        </w:tc>
        <w:tc>
          <w:tcPr>
            <w:tcW w:w="1029" w:type="dxa"/>
            <w:tcBorders>
              <w:top w:val="nil"/>
              <w:left w:val="nil"/>
              <w:bottom w:val="nil"/>
              <w:right w:val="double" w:sz="6" w:space="0" w:color="1F497D"/>
            </w:tcBorders>
            <w:shd w:val="clear" w:color="000000" w:fill="DCE6F1"/>
            <w:vAlign w:val="center"/>
            <w:hideMark/>
          </w:tcPr>
          <w:p w14:paraId="657A563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5913F692"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152AE7D8"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2A0D10E1"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524D3F2F"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92D050"/>
            <w:vAlign w:val="center"/>
            <w:hideMark/>
          </w:tcPr>
          <w:p w14:paraId="787DD7CB"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0ECC9244"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9</w:t>
            </w:r>
          </w:p>
        </w:tc>
      </w:tr>
      <w:tr w:rsidR="001341EC" w:rsidRPr="00493BFE" w14:paraId="03D99583"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6DE71DE5"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Alajuela (San Carlos)</w:t>
            </w:r>
          </w:p>
        </w:tc>
        <w:tc>
          <w:tcPr>
            <w:tcW w:w="850" w:type="dxa"/>
            <w:tcBorders>
              <w:top w:val="nil"/>
              <w:left w:val="double" w:sz="6" w:space="0" w:color="1F497D"/>
              <w:bottom w:val="nil"/>
              <w:right w:val="double" w:sz="6" w:space="0" w:color="1F497D"/>
            </w:tcBorders>
            <w:shd w:val="clear" w:color="auto" w:fill="auto"/>
            <w:vAlign w:val="center"/>
            <w:hideMark/>
          </w:tcPr>
          <w:p w14:paraId="5672D8B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38</w:t>
            </w:r>
          </w:p>
        </w:tc>
        <w:tc>
          <w:tcPr>
            <w:tcW w:w="851" w:type="dxa"/>
            <w:tcBorders>
              <w:top w:val="nil"/>
              <w:left w:val="nil"/>
              <w:bottom w:val="nil"/>
              <w:right w:val="double" w:sz="6" w:space="0" w:color="1F497D"/>
            </w:tcBorders>
            <w:shd w:val="clear" w:color="auto" w:fill="auto"/>
            <w:vAlign w:val="center"/>
            <w:hideMark/>
          </w:tcPr>
          <w:p w14:paraId="0EF1E94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w:t>
            </w:r>
          </w:p>
        </w:tc>
        <w:tc>
          <w:tcPr>
            <w:tcW w:w="992" w:type="dxa"/>
            <w:tcBorders>
              <w:top w:val="nil"/>
              <w:left w:val="nil"/>
              <w:bottom w:val="nil"/>
              <w:right w:val="double" w:sz="6" w:space="0" w:color="1F497D"/>
            </w:tcBorders>
            <w:shd w:val="clear" w:color="auto" w:fill="auto"/>
            <w:vAlign w:val="center"/>
            <w:hideMark/>
          </w:tcPr>
          <w:p w14:paraId="718F5D7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19</w:t>
            </w:r>
          </w:p>
        </w:tc>
        <w:tc>
          <w:tcPr>
            <w:tcW w:w="1559" w:type="dxa"/>
            <w:tcBorders>
              <w:top w:val="nil"/>
              <w:left w:val="nil"/>
              <w:bottom w:val="nil"/>
              <w:right w:val="double" w:sz="6" w:space="0" w:color="1F497D"/>
            </w:tcBorders>
            <w:shd w:val="clear" w:color="000000" w:fill="FFFF00"/>
            <w:vAlign w:val="center"/>
            <w:hideMark/>
          </w:tcPr>
          <w:p w14:paraId="2400ED0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w:t>
            </w:r>
          </w:p>
        </w:tc>
        <w:tc>
          <w:tcPr>
            <w:tcW w:w="1276" w:type="dxa"/>
            <w:tcBorders>
              <w:top w:val="nil"/>
              <w:left w:val="nil"/>
              <w:bottom w:val="nil"/>
              <w:right w:val="double" w:sz="6" w:space="0" w:color="1F497D"/>
            </w:tcBorders>
            <w:shd w:val="clear" w:color="auto" w:fill="auto"/>
            <w:vAlign w:val="center"/>
            <w:hideMark/>
          </w:tcPr>
          <w:p w14:paraId="52910C5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10</w:t>
            </w:r>
          </w:p>
        </w:tc>
        <w:tc>
          <w:tcPr>
            <w:tcW w:w="1029" w:type="dxa"/>
            <w:tcBorders>
              <w:top w:val="nil"/>
              <w:left w:val="nil"/>
              <w:bottom w:val="nil"/>
              <w:right w:val="double" w:sz="6" w:space="0" w:color="1F497D"/>
            </w:tcBorders>
            <w:shd w:val="clear" w:color="auto" w:fill="auto"/>
            <w:vAlign w:val="center"/>
            <w:hideMark/>
          </w:tcPr>
          <w:p w14:paraId="219247C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793918E6"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4D4976BD"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165D1AB0"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0CD5863E"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FF0000"/>
            <w:vAlign w:val="center"/>
            <w:hideMark/>
          </w:tcPr>
          <w:p w14:paraId="768BA3C1"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11</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66161BE5"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19</w:t>
            </w:r>
          </w:p>
        </w:tc>
      </w:tr>
      <w:tr w:rsidR="001341EC" w:rsidRPr="00493BFE" w14:paraId="519668AC"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1E7D214C"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Civil y Trabajo 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Alajuela, sede Upala</w:t>
            </w:r>
          </w:p>
        </w:tc>
        <w:tc>
          <w:tcPr>
            <w:tcW w:w="850" w:type="dxa"/>
            <w:tcBorders>
              <w:top w:val="nil"/>
              <w:left w:val="double" w:sz="6" w:space="0" w:color="1F497D"/>
              <w:bottom w:val="nil"/>
              <w:right w:val="double" w:sz="6" w:space="0" w:color="1F497D"/>
            </w:tcBorders>
            <w:shd w:val="clear" w:color="000000" w:fill="DCE6F1"/>
            <w:vAlign w:val="center"/>
            <w:hideMark/>
          </w:tcPr>
          <w:p w14:paraId="41733042"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21</w:t>
            </w:r>
          </w:p>
        </w:tc>
        <w:tc>
          <w:tcPr>
            <w:tcW w:w="851" w:type="dxa"/>
            <w:tcBorders>
              <w:top w:val="nil"/>
              <w:left w:val="nil"/>
              <w:bottom w:val="nil"/>
              <w:right w:val="double" w:sz="6" w:space="0" w:color="1F497D"/>
            </w:tcBorders>
            <w:shd w:val="clear" w:color="000000" w:fill="DCE6F1"/>
            <w:vAlign w:val="center"/>
            <w:hideMark/>
          </w:tcPr>
          <w:p w14:paraId="7B0F310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w:t>
            </w:r>
          </w:p>
        </w:tc>
        <w:tc>
          <w:tcPr>
            <w:tcW w:w="992" w:type="dxa"/>
            <w:tcBorders>
              <w:top w:val="nil"/>
              <w:left w:val="nil"/>
              <w:bottom w:val="nil"/>
              <w:right w:val="double" w:sz="6" w:space="0" w:color="1F497D"/>
            </w:tcBorders>
            <w:shd w:val="clear" w:color="000000" w:fill="DCE6F1"/>
            <w:vAlign w:val="center"/>
            <w:hideMark/>
          </w:tcPr>
          <w:p w14:paraId="10D9170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21</w:t>
            </w:r>
          </w:p>
        </w:tc>
        <w:tc>
          <w:tcPr>
            <w:tcW w:w="1559" w:type="dxa"/>
            <w:tcBorders>
              <w:top w:val="nil"/>
              <w:left w:val="nil"/>
              <w:bottom w:val="nil"/>
              <w:right w:val="double" w:sz="6" w:space="0" w:color="1F497D"/>
            </w:tcBorders>
            <w:shd w:val="clear" w:color="000000" w:fill="FF0000"/>
            <w:vAlign w:val="center"/>
            <w:hideMark/>
          </w:tcPr>
          <w:p w14:paraId="73559C5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10</w:t>
            </w:r>
          </w:p>
        </w:tc>
        <w:tc>
          <w:tcPr>
            <w:tcW w:w="1276" w:type="dxa"/>
            <w:tcBorders>
              <w:top w:val="nil"/>
              <w:left w:val="nil"/>
              <w:bottom w:val="nil"/>
              <w:right w:val="double" w:sz="6" w:space="0" w:color="1F497D"/>
            </w:tcBorders>
            <w:shd w:val="clear" w:color="000000" w:fill="DCE6F1"/>
            <w:vAlign w:val="center"/>
            <w:hideMark/>
          </w:tcPr>
          <w:p w14:paraId="365BC14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11</w:t>
            </w:r>
          </w:p>
        </w:tc>
        <w:tc>
          <w:tcPr>
            <w:tcW w:w="1029" w:type="dxa"/>
            <w:tcBorders>
              <w:top w:val="nil"/>
              <w:left w:val="nil"/>
              <w:bottom w:val="nil"/>
              <w:right w:val="double" w:sz="6" w:space="0" w:color="1F497D"/>
            </w:tcBorders>
            <w:shd w:val="clear" w:color="000000" w:fill="DCE6F1"/>
            <w:vAlign w:val="center"/>
            <w:hideMark/>
          </w:tcPr>
          <w:p w14:paraId="7912641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6567A090"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123A6FD2"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66E07CE4"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4D241A1C"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FF0000"/>
            <w:vAlign w:val="center"/>
            <w:hideMark/>
          </w:tcPr>
          <w:p w14:paraId="7D0A717F"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13</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14B1005D"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21</w:t>
            </w:r>
          </w:p>
        </w:tc>
      </w:tr>
      <w:tr w:rsidR="001341EC" w:rsidRPr="00493BFE" w14:paraId="74C07C9E"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538797AB"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lastRenderedPageBreak/>
              <w:t xml:space="preserve">Juzgado Agrario III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Alajuela (San Ramón)</w:t>
            </w:r>
          </w:p>
        </w:tc>
        <w:tc>
          <w:tcPr>
            <w:tcW w:w="850" w:type="dxa"/>
            <w:tcBorders>
              <w:top w:val="nil"/>
              <w:left w:val="double" w:sz="6" w:space="0" w:color="1F497D"/>
              <w:bottom w:val="nil"/>
              <w:right w:val="double" w:sz="6" w:space="0" w:color="1F497D"/>
            </w:tcBorders>
            <w:shd w:val="clear" w:color="auto" w:fill="auto"/>
            <w:vAlign w:val="center"/>
            <w:hideMark/>
          </w:tcPr>
          <w:p w14:paraId="13D24F6B"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27</w:t>
            </w:r>
          </w:p>
        </w:tc>
        <w:tc>
          <w:tcPr>
            <w:tcW w:w="851" w:type="dxa"/>
            <w:tcBorders>
              <w:top w:val="nil"/>
              <w:left w:val="nil"/>
              <w:bottom w:val="nil"/>
              <w:right w:val="double" w:sz="6" w:space="0" w:color="1F497D"/>
            </w:tcBorders>
            <w:shd w:val="clear" w:color="auto" w:fill="auto"/>
            <w:vAlign w:val="center"/>
            <w:hideMark/>
          </w:tcPr>
          <w:p w14:paraId="063D7C9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w:t>
            </w:r>
          </w:p>
        </w:tc>
        <w:tc>
          <w:tcPr>
            <w:tcW w:w="992" w:type="dxa"/>
            <w:tcBorders>
              <w:top w:val="nil"/>
              <w:left w:val="nil"/>
              <w:bottom w:val="nil"/>
              <w:right w:val="double" w:sz="6" w:space="0" w:color="1F497D"/>
            </w:tcBorders>
            <w:shd w:val="clear" w:color="auto" w:fill="auto"/>
            <w:vAlign w:val="center"/>
            <w:hideMark/>
          </w:tcPr>
          <w:p w14:paraId="7FE2441C"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14</w:t>
            </w:r>
          </w:p>
        </w:tc>
        <w:tc>
          <w:tcPr>
            <w:tcW w:w="1559" w:type="dxa"/>
            <w:tcBorders>
              <w:top w:val="nil"/>
              <w:left w:val="nil"/>
              <w:bottom w:val="nil"/>
              <w:right w:val="double" w:sz="6" w:space="0" w:color="1F497D"/>
            </w:tcBorders>
            <w:shd w:val="clear" w:color="auto" w:fill="FFFF00"/>
            <w:vAlign w:val="center"/>
            <w:hideMark/>
          </w:tcPr>
          <w:p w14:paraId="265BE567"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w:t>
            </w:r>
          </w:p>
        </w:tc>
        <w:tc>
          <w:tcPr>
            <w:tcW w:w="1276" w:type="dxa"/>
            <w:tcBorders>
              <w:top w:val="nil"/>
              <w:left w:val="nil"/>
              <w:bottom w:val="nil"/>
              <w:right w:val="double" w:sz="6" w:space="0" w:color="1F497D"/>
            </w:tcBorders>
            <w:shd w:val="clear" w:color="auto" w:fill="auto"/>
            <w:vAlign w:val="center"/>
            <w:hideMark/>
          </w:tcPr>
          <w:p w14:paraId="2E7C646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w:t>
            </w:r>
          </w:p>
        </w:tc>
        <w:tc>
          <w:tcPr>
            <w:tcW w:w="1029" w:type="dxa"/>
            <w:tcBorders>
              <w:top w:val="nil"/>
              <w:left w:val="nil"/>
              <w:bottom w:val="nil"/>
              <w:right w:val="double" w:sz="6" w:space="0" w:color="1F497D"/>
            </w:tcBorders>
            <w:shd w:val="clear" w:color="auto" w:fill="auto"/>
            <w:vAlign w:val="center"/>
            <w:hideMark/>
          </w:tcPr>
          <w:p w14:paraId="7523AD6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357E553E"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1779B3C2"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32F1E4C8"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04E29531"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auto" w:fill="F79646"/>
            <w:vAlign w:val="center"/>
            <w:hideMark/>
          </w:tcPr>
          <w:p w14:paraId="038225B0"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6</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32EC7CD9"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14</w:t>
            </w:r>
          </w:p>
        </w:tc>
      </w:tr>
      <w:tr w:rsidR="001341EC" w:rsidRPr="00493BFE" w14:paraId="71DC909E"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4A98FF25"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Juzgado Agrario Cartago</w:t>
            </w:r>
          </w:p>
        </w:tc>
        <w:tc>
          <w:tcPr>
            <w:tcW w:w="850" w:type="dxa"/>
            <w:tcBorders>
              <w:top w:val="nil"/>
              <w:left w:val="double" w:sz="6" w:space="0" w:color="1F497D"/>
              <w:bottom w:val="nil"/>
              <w:right w:val="double" w:sz="6" w:space="0" w:color="1F497D"/>
            </w:tcBorders>
            <w:shd w:val="clear" w:color="000000" w:fill="DCE6F1"/>
            <w:vAlign w:val="center"/>
            <w:hideMark/>
          </w:tcPr>
          <w:p w14:paraId="6A80FD3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24</w:t>
            </w:r>
          </w:p>
        </w:tc>
        <w:tc>
          <w:tcPr>
            <w:tcW w:w="851" w:type="dxa"/>
            <w:tcBorders>
              <w:top w:val="nil"/>
              <w:left w:val="nil"/>
              <w:bottom w:val="nil"/>
              <w:right w:val="double" w:sz="6" w:space="0" w:color="1F497D"/>
            </w:tcBorders>
            <w:shd w:val="clear" w:color="000000" w:fill="DCE6F1"/>
            <w:vAlign w:val="center"/>
            <w:hideMark/>
          </w:tcPr>
          <w:p w14:paraId="717E16F7"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w:t>
            </w:r>
          </w:p>
        </w:tc>
        <w:tc>
          <w:tcPr>
            <w:tcW w:w="992" w:type="dxa"/>
            <w:tcBorders>
              <w:top w:val="nil"/>
              <w:left w:val="nil"/>
              <w:bottom w:val="nil"/>
              <w:right w:val="double" w:sz="6" w:space="0" w:color="1F497D"/>
            </w:tcBorders>
            <w:shd w:val="clear" w:color="000000" w:fill="DCE6F1"/>
            <w:vAlign w:val="center"/>
            <w:hideMark/>
          </w:tcPr>
          <w:p w14:paraId="0D43FD97"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12</w:t>
            </w:r>
          </w:p>
        </w:tc>
        <w:tc>
          <w:tcPr>
            <w:tcW w:w="1559" w:type="dxa"/>
            <w:tcBorders>
              <w:top w:val="nil"/>
              <w:left w:val="nil"/>
              <w:bottom w:val="nil"/>
              <w:right w:val="double" w:sz="6" w:space="0" w:color="1F497D"/>
            </w:tcBorders>
            <w:shd w:val="clear" w:color="000000" w:fill="FFFF00"/>
            <w:vAlign w:val="center"/>
            <w:hideMark/>
          </w:tcPr>
          <w:p w14:paraId="0464471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8</w:t>
            </w:r>
          </w:p>
        </w:tc>
        <w:tc>
          <w:tcPr>
            <w:tcW w:w="1276" w:type="dxa"/>
            <w:tcBorders>
              <w:top w:val="nil"/>
              <w:left w:val="nil"/>
              <w:bottom w:val="nil"/>
              <w:right w:val="double" w:sz="6" w:space="0" w:color="1F497D"/>
            </w:tcBorders>
            <w:shd w:val="clear" w:color="000000" w:fill="DCE6F1"/>
            <w:vAlign w:val="center"/>
            <w:hideMark/>
          </w:tcPr>
          <w:p w14:paraId="160766B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029" w:type="dxa"/>
            <w:tcBorders>
              <w:top w:val="nil"/>
              <w:left w:val="nil"/>
              <w:bottom w:val="nil"/>
              <w:right w:val="double" w:sz="6" w:space="0" w:color="1F497D"/>
            </w:tcBorders>
            <w:shd w:val="clear" w:color="000000" w:fill="DCE6F1"/>
            <w:vAlign w:val="center"/>
            <w:hideMark/>
          </w:tcPr>
          <w:p w14:paraId="34FD3B6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23206C81"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35A4F210"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13E7229C"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25278980"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92D050"/>
            <w:vAlign w:val="center"/>
            <w:hideMark/>
          </w:tcPr>
          <w:p w14:paraId="78D2AA45"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4</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44DB10CD"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12</w:t>
            </w:r>
          </w:p>
        </w:tc>
      </w:tr>
      <w:tr w:rsidR="001341EC" w:rsidRPr="00493BFE" w14:paraId="27862D3E"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2DEF5726"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Juzgado Civil, Trabajo y Agrario Turrialba</w:t>
            </w:r>
          </w:p>
        </w:tc>
        <w:tc>
          <w:tcPr>
            <w:tcW w:w="850" w:type="dxa"/>
            <w:tcBorders>
              <w:top w:val="nil"/>
              <w:left w:val="double" w:sz="6" w:space="0" w:color="1F497D"/>
              <w:bottom w:val="nil"/>
              <w:right w:val="double" w:sz="6" w:space="0" w:color="1F497D"/>
            </w:tcBorders>
            <w:shd w:val="clear" w:color="auto" w:fill="auto"/>
            <w:vAlign w:val="center"/>
            <w:hideMark/>
          </w:tcPr>
          <w:p w14:paraId="51EF0ED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w:t>
            </w:r>
          </w:p>
        </w:tc>
        <w:tc>
          <w:tcPr>
            <w:tcW w:w="851" w:type="dxa"/>
            <w:tcBorders>
              <w:top w:val="nil"/>
              <w:left w:val="nil"/>
              <w:bottom w:val="nil"/>
              <w:right w:val="double" w:sz="6" w:space="0" w:color="1F497D"/>
            </w:tcBorders>
            <w:shd w:val="clear" w:color="auto" w:fill="auto"/>
            <w:vAlign w:val="center"/>
            <w:hideMark/>
          </w:tcPr>
          <w:p w14:paraId="5B1842B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w:t>
            </w:r>
          </w:p>
        </w:tc>
        <w:tc>
          <w:tcPr>
            <w:tcW w:w="992" w:type="dxa"/>
            <w:tcBorders>
              <w:top w:val="nil"/>
              <w:left w:val="nil"/>
              <w:bottom w:val="nil"/>
              <w:right w:val="double" w:sz="6" w:space="0" w:color="1F497D"/>
            </w:tcBorders>
            <w:shd w:val="clear" w:color="auto" w:fill="auto"/>
            <w:vAlign w:val="center"/>
            <w:hideMark/>
          </w:tcPr>
          <w:p w14:paraId="4CC52C3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w:t>
            </w:r>
          </w:p>
        </w:tc>
        <w:tc>
          <w:tcPr>
            <w:tcW w:w="1559" w:type="dxa"/>
            <w:tcBorders>
              <w:top w:val="nil"/>
              <w:left w:val="nil"/>
              <w:bottom w:val="nil"/>
              <w:right w:val="double" w:sz="6" w:space="0" w:color="1F497D"/>
            </w:tcBorders>
            <w:shd w:val="clear" w:color="000000" w:fill="92D050"/>
            <w:vAlign w:val="center"/>
            <w:hideMark/>
          </w:tcPr>
          <w:p w14:paraId="433D445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276" w:type="dxa"/>
            <w:tcBorders>
              <w:top w:val="nil"/>
              <w:left w:val="nil"/>
              <w:bottom w:val="nil"/>
              <w:right w:val="double" w:sz="6" w:space="0" w:color="1F497D"/>
            </w:tcBorders>
            <w:shd w:val="clear" w:color="auto" w:fill="auto"/>
            <w:vAlign w:val="center"/>
            <w:hideMark/>
          </w:tcPr>
          <w:p w14:paraId="2073B71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w:t>
            </w:r>
          </w:p>
        </w:tc>
        <w:tc>
          <w:tcPr>
            <w:tcW w:w="1029" w:type="dxa"/>
            <w:tcBorders>
              <w:top w:val="nil"/>
              <w:left w:val="nil"/>
              <w:bottom w:val="nil"/>
              <w:right w:val="double" w:sz="6" w:space="0" w:color="1F497D"/>
            </w:tcBorders>
            <w:shd w:val="clear" w:color="auto" w:fill="auto"/>
            <w:vAlign w:val="center"/>
            <w:hideMark/>
          </w:tcPr>
          <w:p w14:paraId="1242CB8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7C4A01CD"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61827664"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6504D67B"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05A52C11"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92D050"/>
            <w:vAlign w:val="center"/>
            <w:hideMark/>
          </w:tcPr>
          <w:p w14:paraId="2C983390"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65FED54E"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9</w:t>
            </w:r>
          </w:p>
        </w:tc>
      </w:tr>
      <w:tr w:rsidR="001341EC" w:rsidRPr="00493BFE" w14:paraId="77736967"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3E3407F7"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Guanacaste (Liberia)</w:t>
            </w:r>
          </w:p>
        </w:tc>
        <w:tc>
          <w:tcPr>
            <w:tcW w:w="850" w:type="dxa"/>
            <w:tcBorders>
              <w:top w:val="nil"/>
              <w:left w:val="double" w:sz="6" w:space="0" w:color="1F497D"/>
              <w:bottom w:val="nil"/>
              <w:right w:val="double" w:sz="6" w:space="0" w:color="1F497D"/>
            </w:tcBorders>
            <w:shd w:val="clear" w:color="000000" w:fill="DCE6F1"/>
            <w:vAlign w:val="center"/>
            <w:hideMark/>
          </w:tcPr>
          <w:p w14:paraId="6D22572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25</w:t>
            </w:r>
          </w:p>
        </w:tc>
        <w:tc>
          <w:tcPr>
            <w:tcW w:w="851" w:type="dxa"/>
            <w:tcBorders>
              <w:top w:val="nil"/>
              <w:left w:val="nil"/>
              <w:bottom w:val="nil"/>
              <w:right w:val="double" w:sz="6" w:space="0" w:color="1F497D"/>
            </w:tcBorders>
            <w:shd w:val="clear" w:color="000000" w:fill="DCE6F1"/>
            <w:vAlign w:val="center"/>
            <w:hideMark/>
          </w:tcPr>
          <w:p w14:paraId="597798B7"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w:t>
            </w:r>
          </w:p>
        </w:tc>
        <w:tc>
          <w:tcPr>
            <w:tcW w:w="992" w:type="dxa"/>
            <w:tcBorders>
              <w:top w:val="nil"/>
              <w:left w:val="nil"/>
              <w:bottom w:val="nil"/>
              <w:right w:val="double" w:sz="6" w:space="0" w:color="1F497D"/>
            </w:tcBorders>
            <w:shd w:val="clear" w:color="000000" w:fill="DCE6F1"/>
            <w:vAlign w:val="center"/>
            <w:hideMark/>
          </w:tcPr>
          <w:p w14:paraId="5C2A7B0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13</w:t>
            </w:r>
          </w:p>
        </w:tc>
        <w:tc>
          <w:tcPr>
            <w:tcW w:w="1559" w:type="dxa"/>
            <w:tcBorders>
              <w:top w:val="nil"/>
              <w:left w:val="nil"/>
              <w:bottom w:val="nil"/>
              <w:right w:val="double" w:sz="6" w:space="0" w:color="1F497D"/>
            </w:tcBorders>
            <w:shd w:val="clear" w:color="000000" w:fill="92D050"/>
            <w:vAlign w:val="center"/>
            <w:hideMark/>
          </w:tcPr>
          <w:p w14:paraId="64BE672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w:t>
            </w:r>
          </w:p>
        </w:tc>
        <w:tc>
          <w:tcPr>
            <w:tcW w:w="1276" w:type="dxa"/>
            <w:tcBorders>
              <w:top w:val="nil"/>
              <w:left w:val="nil"/>
              <w:bottom w:val="nil"/>
              <w:right w:val="double" w:sz="6" w:space="0" w:color="1F497D"/>
            </w:tcBorders>
            <w:shd w:val="clear" w:color="000000" w:fill="DCE6F1"/>
            <w:vAlign w:val="center"/>
            <w:hideMark/>
          </w:tcPr>
          <w:p w14:paraId="7788121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w:t>
            </w:r>
          </w:p>
        </w:tc>
        <w:tc>
          <w:tcPr>
            <w:tcW w:w="1029" w:type="dxa"/>
            <w:tcBorders>
              <w:top w:val="nil"/>
              <w:left w:val="nil"/>
              <w:bottom w:val="nil"/>
              <w:right w:val="double" w:sz="6" w:space="0" w:color="1F497D"/>
            </w:tcBorders>
            <w:shd w:val="clear" w:color="000000" w:fill="DCE6F1"/>
            <w:vAlign w:val="center"/>
            <w:hideMark/>
          </w:tcPr>
          <w:p w14:paraId="3A29FA4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6F1752EF"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219F9F0A"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03A4F79C"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6ABBDF41"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92D050"/>
            <w:vAlign w:val="center"/>
            <w:hideMark/>
          </w:tcPr>
          <w:p w14:paraId="4470BAAC"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5</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33B62E34"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13</w:t>
            </w:r>
          </w:p>
        </w:tc>
      </w:tr>
      <w:tr w:rsidR="001341EC" w:rsidRPr="00493BFE" w14:paraId="0FB6A4AE"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6CD5970E"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Guanacaste (Santa Cruz)</w:t>
            </w:r>
          </w:p>
        </w:tc>
        <w:tc>
          <w:tcPr>
            <w:tcW w:w="850" w:type="dxa"/>
            <w:tcBorders>
              <w:top w:val="nil"/>
              <w:left w:val="double" w:sz="6" w:space="0" w:color="1F497D"/>
              <w:bottom w:val="nil"/>
              <w:right w:val="double" w:sz="6" w:space="0" w:color="1F497D"/>
            </w:tcBorders>
            <w:shd w:val="clear" w:color="auto" w:fill="auto"/>
            <w:vAlign w:val="center"/>
            <w:hideMark/>
          </w:tcPr>
          <w:p w14:paraId="5910D43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40</w:t>
            </w:r>
          </w:p>
        </w:tc>
        <w:tc>
          <w:tcPr>
            <w:tcW w:w="851" w:type="dxa"/>
            <w:tcBorders>
              <w:top w:val="nil"/>
              <w:left w:val="nil"/>
              <w:bottom w:val="nil"/>
              <w:right w:val="double" w:sz="6" w:space="0" w:color="1F497D"/>
            </w:tcBorders>
            <w:shd w:val="clear" w:color="auto" w:fill="auto"/>
            <w:vAlign w:val="center"/>
            <w:hideMark/>
          </w:tcPr>
          <w:p w14:paraId="75AA43F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w:t>
            </w:r>
          </w:p>
        </w:tc>
        <w:tc>
          <w:tcPr>
            <w:tcW w:w="992" w:type="dxa"/>
            <w:tcBorders>
              <w:top w:val="nil"/>
              <w:left w:val="nil"/>
              <w:bottom w:val="nil"/>
              <w:right w:val="double" w:sz="6" w:space="0" w:color="1F497D"/>
            </w:tcBorders>
            <w:shd w:val="clear" w:color="auto" w:fill="auto"/>
            <w:vAlign w:val="center"/>
            <w:hideMark/>
          </w:tcPr>
          <w:p w14:paraId="1FFED3A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20</w:t>
            </w:r>
          </w:p>
        </w:tc>
        <w:tc>
          <w:tcPr>
            <w:tcW w:w="1559" w:type="dxa"/>
            <w:tcBorders>
              <w:top w:val="nil"/>
              <w:left w:val="nil"/>
              <w:bottom w:val="nil"/>
              <w:right w:val="double" w:sz="6" w:space="0" w:color="1F497D"/>
            </w:tcBorders>
            <w:shd w:val="clear" w:color="000000" w:fill="FF0000"/>
            <w:vAlign w:val="center"/>
            <w:hideMark/>
          </w:tcPr>
          <w:p w14:paraId="0E0A244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14</w:t>
            </w:r>
          </w:p>
        </w:tc>
        <w:tc>
          <w:tcPr>
            <w:tcW w:w="1276" w:type="dxa"/>
            <w:tcBorders>
              <w:top w:val="nil"/>
              <w:left w:val="nil"/>
              <w:bottom w:val="nil"/>
              <w:right w:val="double" w:sz="6" w:space="0" w:color="1F497D"/>
            </w:tcBorders>
            <w:shd w:val="clear" w:color="auto" w:fill="auto"/>
            <w:vAlign w:val="center"/>
            <w:hideMark/>
          </w:tcPr>
          <w:p w14:paraId="361F832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w:t>
            </w:r>
          </w:p>
        </w:tc>
        <w:tc>
          <w:tcPr>
            <w:tcW w:w="1029" w:type="dxa"/>
            <w:tcBorders>
              <w:top w:val="nil"/>
              <w:left w:val="nil"/>
              <w:bottom w:val="nil"/>
              <w:right w:val="double" w:sz="6" w:space="0" w:color="1F497D"/>
            </w:tcBorders>
            <w:shd w:val="clear" w:color="auto" w:fill="auto"/>
            <w:vAlign w:val="center"/>
            <w:hideMark/>
          </w:tcPr>
          <w:p w14:paraId="71F644B4"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41A0CA1D"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6CD86147"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4418D83B"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082C1798"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FF0000"/>
            <w:vAlign w:val="center"/>
            <w:hideMark/>
          </w:tcPr>
          <w:p w14:paraId="1E91D2A0"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12</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5B4A04A3"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20</w:t>
            </w:r>
          </w:p>
        </w:tc>
      </w:tr>
      <w:tr w:rsidR="001341EC" w:rsidRPr="00493BFE" w14:paraId="33637CF6"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50769FC3"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Juzgado Civil y Agrario Puntarenas</w:t>
            </w:r>
          </w:p>
        </w:tc>
        <w:tc>
          <w:tcPr>
            <w:tcW w:w="850" w:type="dxa"/>
            <w:tcBorders>
              <w:top w:val="nil"/>
              <w:left w:val="double" w:sz="6" w:space="0" w:color="1F497D"/>
              <w:bottom w:val="nil"/>
              <w:right w:val="double" w:sz="6" w:space="0" w:color="1F497D"/>
            </w:tcBorders>
            <w:shd w:val="clear" w:color="000000" w:fill="DCE6F1"/>
            <w:vAlign w:val="center"/>
            <w:hideMark/>
          </w:tcPr>
          <w:p w14:paraId="71DBE4E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30</w:t>
            </w:r>
          </w:p>
        </w:tc>
        <w:tc>
          <w:tcPr>
            <w:tcW w:w="851" w:type="dxa"/>
            <w:tcBorders>
              <w:top w:val="nil"/>
              <w:left w:val="nil"/>
              <w:bottom w:val="nil"/>
              <w:right w:val="double" w:sz="6" w:space="0" w:color="1F497D"/>
            </w:tcBorders>
            <w:shd w:val="clear" w:color="000000" w:fill="DCE6F1"/>
            <w:vAlign w:val="center"/>
            <w:hideMark/>
          </w:tcPr>
          <w:p w14:paraId="1BE8CBA2"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w:t>
            </w:r>
          </w:p>
        </w:tc>
        <w:tc>
          <w:tcPr>
            <w:tcW w:w="992" w:type="dxa"/>
            <w:tcBorders>
              <w:top w:val="nil"/>
              <w:left w:val="nil"/>
              <w:bottom w:val="nil"/>
              <w:right w:val="double" w:sz="6" w:space="0" w:color="1F497D"/>
            </w:tcBorders>
            <w:shd w:val="clear" w:color="000000" w:fill="DCE6F1"/>
            <w:vAlign w:val="center"/>
            <w:hideMark/>
          </w:tcPr>
          <w:p w14:paraId="4CD8C05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15</w:t>
            </w:r>
          </w:p>
        </w:tc>
        <w:tc>
          <w:tcPr>
            <w:tcW w:w="1559" w:type="dxa"/>
            <w:tcBorders>
              <w:top w:val="nil"/>
              <w:left w:val="nil"/>
              <w:bottom w:val="nil"/>
              <w:right w:val="double" w:sz="6" w:space="0" w:color="1F497D"/>
            </w:tcBorders>
            <w:shd w:val="clear" w:color="000000" w:fill="92D050"/>
            <w:vAlign w:val="center"/>
            <w:hideMark/>
          </w:tcPr>
          <w:p w14:paraId="3258D10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7</w:t>
            </w:r>
          </w:p>
        </w:tc>
        <w:tc>
          <w:tcPr>
            <w:tcW w:w="1276" w:type="dxa"/>
            <w:tcBorders>
              <w:top w:val="nil"/>
              <w:left w:val="nil"/>
              <w:bottom w:val="nil"/>
              <w:right w:val="double" w:sz="6" w:space="0" w:color="1F497D"/>
            </w:tcBorders>
            <w:shd w:val="clear" w:color="000000" w:fill="DCE6F1"/>
            <w:vAlign w:val="center"/>
            <w:hideMark/>
          </w:tcPr>
          <w:p w14:paraId="1457F58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8</w:t>
            </w:r>
          </w:p>
        </w:tc>
        <w:tc>
          <w:tcPr>
            <w:tcW w:w="1029" w:type="dxa"/>
            <w:tcBorders>
              <w:top w:val="nil"/>
              <w:left w:val="nil"/>
              <w:bottom w:val="nil"/>
              <w:right w:val="double" w:sz="6" w:space="0" w:color="1F497D"/>
            </w:tcBorders>
            <w:shd w:val="clear" w:color="000000" w:fill="DCE6F1"/>
            <w:vAlign w:val="center"/>
            <w:hideMark/>
          </w:tcPr>
          <w:p w14:paraId="0D73ED4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142CB8DF"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0ABDC8FB"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2DD3EFF8"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36A9CC12"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FFFF00"/>
            <w:vAlign w:val="center"/>
            <w:hideMark/>
          </w:tcPr>
          <w:p w14:paraId="2B069340"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7</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364BC762"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15</w:t>
            </w:r>
          </w:p>
        </w:tc>
      </w:tr>
      <w:tr w:rsidR="001341EC" w:rsidRPr="00493BFE" w14:paraId="52CA158A"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12BCF451"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Zona Sur (Pérez Zeledón)</w:t>
            </w:r>
          </w:p>
        </w:tc>
        <w:tc>
          <w:tcPr>
            <w:tcW w:w="850" w:type="dxa"/>
            <w:tcBorders>
              <w:top w:val="nil"/>
              <w:left w:val="double" w:sz="6" w:space="0" w:color="1F497D"/>
              <w:bottom w:val="nil"/>
              <w:right w:val="double" w:sz="6" w:space="0" w:color="1F497D"/>
            </w:tcBorders>
            <w:shd w:val="clear" w:color="auto" w:fill="auto"/>
            <w:vAlign w:val="center"/>
            <w:hideMark/>
          </w:tcPr>
          <w:p w14:paraId="75F58ED4"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16</w:t>
            </w:r>
          </w:p>
        </w:tc>
        <w:tc>
          <w:tcPr>
            <w:tcW w:w="851" w:type="dxa"/>
            <w:tcBorders>
              <w:top w:val="nil"/>
              <w:left w:val="nil"/>
              <w:bottom w:val="nil"/>
              <w:right w:val="double" w:sz="6" w:space="0" w:color="1F497D"/>
            </w:tcBorders>
            <w:shd w:val="clear" w:color="auto" w:fill="auto"/>
            <w:vAlign w:val="center"/>
            <w:hideMark/>
          </w:tcPr>
          <w:p w14:paraId="68755F3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w:t>
            </w:r>
          </w:p>
        </w:tc>
        <w:tc>
          <w:tcPr>
            <w:tcW w:w="992" w:type="dxa"/>
            <w:tcBorders>
              <w:top w:val="nil"/>
              <w:left w:val="nil"/>
              <w:bottom w:val="nil"/>
              <w:right w:val="double" w:sz="6" w:space="0" w:color="1F497D"/>
            </w:tcBorders>
            <w:shd w:val="clear" w:color="auto" w:fill="auto"/>
            <w:vAlign w:val="center"/>
            <w:hideMark/>
          </w:tcPr>
          <w:p w14:paraId="79D19E2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16</w:t>
            </w:r>
          </w:p>
        </w:tc>
        <w:tc>
          <w:tcPr>
            <w:tcW w:w="1559" w:type="dxa"/>
            <w:tcBorders>
              <w:top w:val="nil"/>
              <w:left w:val="nil"/>
              <w:bottom w:val="nil"/>
              <w:right w:val="double" w:sz="6" w:space="0" w:color="1F497D"/>
            </w:tcBorders>
            <w:shd w:val="clear" w:color="000000" w:fill="FF0000"/>
            <w:vAlign w:val="center"/>
            <w:hideMark/>
          </w:tcPr>
          <w:p w14:paraId="79AD700B"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11</w:t>
            </w:r>
          </w:p>
        </w:tc>
        <w:tc>
          <w:tcPr>
            <w:tcW w:w="1276" w:type="dxa"/>
            <w:tcBorders>
              <w:top w:val="nil"/>
              <w:left w:val="nil"/>
              <w:bottom w:val="nil"/>
              <w:right w:val="double" w:sz="6" w:space="0" w:color="1F497D"/>
            </w:tcBorders>
            <w:shd w:val="clear" w:color="auto" w:fill="auto"/>
            <w:vAlign w:val="center"/>
            <w:hideMark/>
          </w:tcPr>
          <w:p w14:paraId="0DB05E98"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w:t>
            </w:r>
          </w:p>
        </w:tc>
        <w:tc>
          <w:tcPr>
            <w:tcW w:w="1029" w:type="dxa"/>
            <w:tcBorders>
              <w:top w:val="nil"/>
              <w:left w:val="nil"/>
              <w:bottom w:val="nil"/>
              <w:right w:val="double" w:sz="6" w:space="0" w:color="1F497D"/>
            </w:tcBorders>
            <w:shd w:val="clear" w:color="auto" w:fill="auto"/>
            <w:vAlign w:val="center"/>
            <w:hideMark/>
          </w:tcPr>
          <w:p w14:paraId="4229A5CA"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6B1B38C7"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2DA94333"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5183BCDD"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45F1531C"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FFFF00"/>
            <w:vAlign w:val="center"/>
            <w:hideMark/>
          </w:tcPr>
          <w:p w14:paraId="560E376E"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7A716421"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16</w:t>
            </w:r>
          </w:p>
        </w:tc>
      </w:tr>
      <w:tr w:rsidR="001341EC" w:rsidRPr="00493BFE" w14:paraId="15945396"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0E5E0EA0"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Juzgado Civil, Trabajo y Familia Buenos Aires</w:t>
            </w:r>
          </w:p>
        </w:tc>
        <w:tc>
          <w:tcPr>
            <w:tcW w:w="850" w:type="dxa"/>
            <w:tcBorders>
              <w:top w:val="nil"/>
              <w:left w:val="double" w:sz="6" w:space="0" w:color="1F497D"/>
              <w:bottom w:val="nil"/>
              <w:right w:val="double" w:sz="6" w:space="0" w:color="1F497D"/>
            </w:tcBorders>
            <w:shd w:val="clear" w:color="000000" w:fill="DCE6F1"/>
            <w:vAlign w:val="center"/>
            <w:hideMark/>
          </w:tcPr>
          <w:p w14:paraId="4963CBF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w:t>
            </w:r>
          </w:p>
        </w:tc>
        <w:tc>
          <w:tcPr>
            <w:tcW w:w="851" w:type="dxa"/>
            <w:tcBorders>
              <w:top w:val="nil"/>
              <w:left w:val="nil"/>
              <w:bottom w:val="nil"/>
              <w:right w:val="double" w:sz="6" w:space="0" w:color="1F497D"/>
            </w:tcBorders>
            <w:shd w:val="clear" w:color="000000" w:fill="DCE6F1"/>
            <w:vAlign w:val="center"/>
            <w:hideMark/>
          </w:tcPr>
          <w:p w14:paraId="1495AE2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w:t>
            </w:r>
          </w:p>
        </w:tc>
        <w:tc>
          <w:tcPr>
            <w:tcW w:w="992" w:type="dxa"/>
            <w:tcBorders>
              <w:top w:val="nil"/>
              <w:left w:val="nil"/>
              <w:bottom w:val="nil"/>
              <w:right w:val="double" w:sz="6" w:space="0" w:color="1F497D"/>
            </w:tcBorders>
            <w:shd w:val="clear" w:color="000000" w:fill="DCE6F1"/>
            <w:vAlign w:val="center"/>
            <w:hideMark/>
          </w:tcPr>
          <w:p w14:paraId="4D46268B"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9</w:t>
            </w:r>
          </w:p>
        </w:tc>
        <w:tc>
          <w:tcPr>
            <w:tcW w:w="1559" w:type="dxa"/>
            <w:tcBorders>
              <w:top w:val="nil"/>
              <w:left w:val="nil"/>
              <w:bottom w:val="nil"/>
              <w:right w:val="double" w:sz="6" w:space="0" w:color="1F497D"/>
            </w:tcBorders>
            <w:shd w:val="clear" w:color="000000" w:fill="92D050"/>
            <w:vAlign w:val="center"/>
            <w:hideMark/>
          </w:tcPr>
          <w:p w14:paraId="17417452"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w:t>
            </w:r>
          </w:p>
        </w:tc>
        <w:tc>
          <w:tcPr>
            <w:tcW w:w="1276" w:type="dxa"/>
            <w:tcBorders>
              <w:top w:val="nil"/>
              <w:left w:val="nil"/>
              <w:bottom w:val="nil"/>
              <w:right w:val="double" w:sz="6" w:space="0" w:color="1F497D"/>
            </w:tcBorders>
            <w:shd w:val="clear" w:color="000000" w:fill="DCE6F1"/>
            <w:vAlign w:val="center"/>
            <w:hideMark/>
          </w:tcPr>
          <w:p w14:paraId="45182EC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029" w:type="dxa"/>
            <w:tcBorders>
              <w:top w:val="nil"/>
              <w:left w:val="nil"/>
              <w:bottom w:val="nil"/>
              <w:right w:val="double" w:sz="6" w:space="0" w:color="1F497D"/>
            </w:tcBorders>
            <w:shd w:val="clear" w:color="000000" w:fill="DCE6F1"/>
            <w:vAlign w:val="center"/>
            <w:hideMark/>
          </w:tcPr>
          <w:p w14:paraId="4BC6681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2F8AF401"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7657666C"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120141A3"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553FBC31"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92D050"/>
            <w:vAlign w:val="center"/>
            <w:hideMark/>
          </w:tcPr>
          <w:p w14:paraId="09238390"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327AE409"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9</w:t>
            </w:r>
          </w:p>
        </w:tc>
      </w:tr>
      <w:tr w:rsidR="001341EC" w:rsidRPr="00493BFE" w14:paraId="30CDAE0C"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00BF8FD3"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Zona Sur (Corredores)</w:t>
            </w:r>
          </w:p>
        </w:tc>
        <w:tc>
          <w:tcPr>
            <w:tcW w:w="850" w:type="dxa"/>
            <w:tcBorders>
              <w:top w:val="nil"/>
              <w:left w:val="double" w:sz="6" w:space="0" w:color="1F497D"/>
              <w:bottom w:val="nil"/>
              <w:right w:val="double" w:sz="6" w:space="0" w:color="1F497D"/>
            </w:tcBorders>
            <w:shd w:val="clear" w:color="auto" w:fill="auto"/>
            <w:vAlign w:val="center"/>
            <w:hideMark/>
          </w:tcPr>
          <w:p w14:paraId="4FFD53B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22</w:t>
            </w:r>
          </w:p>
        </w:tc>
        <w:tc>
          <w:tcPr>
            <w:tcW w:w="851" w:type="dxa"/>
            <w:tcBorders>
              <w:top w:val="nil"/>
              <w:left w:val="nil"/>
              <w:bottom w:val="nil"/>
              <w:right w:val="double" w:sz="6" w:space="0" w:color="1F497D"/>
            </w:tcBorders>
            <w:shd w:val="clear" w:color="auto" w:fill="auto"/>
            <w:vAlign w:val="center"/>
            <w:hideMark/>
          </w:tcPr>
          <w:p w14:paraId="44825B71"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w:t>
            </w:r>
          </w:p>
        </w:tc>
        <w:tc>
          <w:tcPr>
            <w:tcW w:w="992" w:type="dxa"/>
            <w:tcBorders>
              <w:top w:val="nil"/>
              <w:left w:val="nil"/>
              <w:bottom w:val="nil"/>
              <w:right w:val="double" w:sz="6" w:space="0" w:color="1F497D"/>
            </w:tcBorders>
            <w:shd w:val="clear" w:color="auto" w:fill="auto"/>
            <w:vAlign w:val="center"/>
            <w:hideMark/>
          </w:tcPr>
          <w:p w14:paraId="57FAE4E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11</w:t>
            </w:r>
          </w:p>
        </w:tc>
        <w:tc>
          <w:tcPr>
            <w:tcW w:w="1559" w:type="dxa"/>
            <w:tcBorders>
              <w:top w:val="nil"/>
              <w:left w:val="nil"/>
              <w:bottom w:val="nil"/>
              <w:right w:val="double" w:sz="6" w:space="0" w:color="1F497D"/>
            </w:tcBorders>
            <w:shd w:val="clear" w:color="000000" w:fill="92D050"/>
            <w:vAlign w:val="center"/>
            <w:hideMark/>
          </w:tcPr>
          <w:p w14:paraId="4F2D40FF"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w:t>
            </w:r>
          </w:p>
        </w:tc>
        <w:tc>
          <w:tcPr>
            <w:tcW w:w="1276" w:type="dxa"/>
            <w:tcBorders>
              <w:top w:val="nil"/>
              <w:left w:val="nil"/>
              <w:bottom w:val="nil"/>
              <w:right w:val="double" w:sz="6" w:space="0" w:color="1F497D"/>
            </w:tcBorders>
            <w:shd w:val="clear" w:color="auto" w:fill="auto"/>
            <w:vAlign w:val="center"/>
            <w:hideMark/>
          </w:tcPr>
          <w:p w14:paraId="16235BDE"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6</w:t>
            </w:r>
          </w:p>
        </w:tc>
        <w:tc>
          <w:tcPr>
            <w:tcW w:w="1029" w:type="dxa"/>
            <w:tcBorders>
              <w:top w:val="nil"/>
              <w:left w:val="nil"/>
              <w:bottom w:val="nil"/>
              <w:right w:val="double" w:sz="6" w:space="0" w:color="1F497D"/>
            </w:tcBorders>
            <w:shd w:val="clear" w:color="auto" w:fill="auto"/>
            <w:vAlign w:val="center"/>
            <w:hideMark/>
          </w:tcPr>
          <w:p w14:paraId="6588165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5DBCA24A"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5D9ABCCD"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1449F864"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74CAC7BA"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92D050"/>
            <w:vAlign w:val="center"/>
            <w:hideMark/>
          </w:tcPr>
          <w:p w14:paraId="225D1BA4"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3</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68FA19CC"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11</w:t>
            </w:r>
          </w:p>
        </w:tc>
      </w:tr>
      <w:tr w:rsidR="001341EC" w:rsidRPr="00493BFE" w14:paraId="095B5949"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auto" w:fill="auto"/>
            <w:vAlign w:val="center"/>
            <w:hideMark/>
          </w:tcPr>
          <w:p w14:paraId="28AAE267"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Zona Atlántica (Limón)</w:t>
            </w:r>
          </w:p>
        </w:tc>
        <w:tc>
          <w:tcPr>
            <w:tcW w:w="850" w:type="dxa"/>
            <w:tcBorders>
              <w:top w:val="nil"/>
              <w:left w:val="double" w:sz="6" w:space="0" w:color="1F497D"/>
              <w:bottom w:val="nil"/>
              <w:right w:val="double" w:sz="6" w:space="0" w:color="1F497D"/>
            </w:tcBorders>
            <w:shd w:val="clear" w:color="000000" w:fill="DCE6F1"/>
            <w:vAlign w:val="center"/>
            <w:hideMark/>
          </w:tcPr>
          <w:p w14:paraId="3EBC4403"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28</w:t>
            </w:r>
          </w:p>
        </w:tc>
        <w:tc>
          <w:tcPr>
            <w:tcW w:w="851" w:type="dxa"/>
            <w:tcBorders>
              <w:top w:val="nil"/>
              <w:left w:val="nil"/>
              <w:bottom w:val="nil"/>
              <w:right w:val="double" w:sz="6" w:space="0" w:color="1F497D"/>
            </w:tcBorders>
            <w:shd w:val="clear" w:color="000000" w:fill="DCE6F1"/>
            <w:vAlign w:val="center"/>
            <w:hideMark/>
          </w:tcPr>
          <w:p w14:paraId="578A0294"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w:t>
            </w:r>
          </w:p>
        </w:tc>
        <w:tc>
          <w:tcPr>
            <w:tcW w:w="992" w:type="dxa"/>
            <w:tcBorders>
              <w:top w:val="nil"/>
              <w:left w:val="nil"/>
              <w:bottom w:val="nil"/>
              <w:right w:val="double" w:sz="6" w:space="0" w:color="1F497D"/>
            </w:tcBorders>
            <w:shd w:val="clear" w:color="000000" w:fill="DCE6F1"/>
            <w:vAlign w:val="center"/>
            <w:hideMark/>
          </w:tcPr>
          <w:p w14:paraId="6491B949"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14</w:t>
            </w:r>
          </w:p>
        </w:tc>
        <w:tc>
          <w:tcPr>
            <w:tcW w:w="1559" w:type="dxa"/>
            <w:tcBorders>
              <w:top w:val="nil"/>
              <w:left w:val="nil"/>
              <w:bottom w:val="nil"/>
              <w:right w:val="double" w:sz="6" w:space="0" w:color="1F497D"/>
            </w:tcBorders>
            <w:shd w:val="clear" w:color="000000" w:fill="92D050"/>
            <w:vAlign w:val="center"/>
            <w:hideMark/>
          </w:tcPr>
          <w:p w14:paraId="457E175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4</w:t>
            </w:r>
          </w:p>
        </w:tc>
        <w:tc>
          <w:tcPr>
            <w:tcW w:w="1276" w:type="dxa"/>
            <w:tcBorders>
              <w:top w:val="nil"/>
              <w:left w:val="nil"/>
              <w:bottom w:val="nil"/>
              <w:right w:val="double" w:sz="6" w:space="0" w:color="1F497D"/>
            </w:tcBorders>
            <w:shd w:val="clear" w:color="000000" w:fill="DCE6F1"/>
            <w:vAlign w:val="center"/>
            <w:hideMark/>
          </w:tcPr>
          <w:p w14:paraId="115214B6"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10</w:t>
            </w:r>
          </w:p>
        </w:tc>
        <w:tc>
          <w:tcPr>
            <w:tcW w:w="1029" w:type="dxa"/>
            <w:tcBorders>
              <w:top w:val="nil"/>
              <w:left w:val="nil"/>
              <w:bottom w:val="nil"/>
              <w:right w:val="double" w:sz="6" w:space="0" w:color="1F497D"/>
            </w:tcBorders>
            <w:shd w:val="clear" w:color="000000" w:fill="DCE6F1"/>
            <w:vAlign w:val="center"/>
            <w:hideMark/>
          </w:tcPr>
          <w:p w14:paraId="14F15520"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38F63CBB"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107D02E4"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26E48F3D"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2957E9A8"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92D050"/>
            <w:vAlign w:val="center"/>
            <w:hideMark/>
          </w:tcPr>
          <w:p w14:paraId="2CABAB59"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6</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50D93C97"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14</w:t>
            </w:r>
          </w:p>
        </w:tc>
      </w:tr>
      <w:tr w:rsidR="001341EC" w:rsidRPr="00493BFE" w14:paraId="06320756" w14:textId="77777777" w:rsidTr="00165AA6">
        <w:trPr>
          <w:trHeight w:val="16"/>
          <w:jc w:val="center"/>
        </w:trPr>
        <w:tc>
          <w:tcPr>
            <w:tcW w:w="3251" w:type="dxa"/>
            <w:vMerge w:val="restart"/>
            <w:tcBorders>
              <w:top w:val="nil"/>
              <w:left w:val="single" w:sz="8" w:space="0" w:color="1F497D"/>
              <w:bottom w:val="single" w:sz="8" w:space="0" w:color="1F497D"/>
              <w:right w:val="single" w:sz="8" w:space="0" w:color="1F497D"/>
            </w:tcBorders>
            <w:shd w:val="clear" w:color="000000" w:fill="DCE6F1"/>
            <w:vAlign w:val="center"/>
            <w:hideMark/>
          </w:tcPr>
          <w:p w14:paraId="59849D89"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Juzgado Agrario II Circ. </w:t>
            </w:r>
            <w:proofErr w:type="spellStart"/>
            <w:r w:rsidRPr="00493BFE">
              <w:rPr>
                <w:rFonts w:ascii="Book Antiqua" w:hAnsi="Book Antiqua" w:cs="Calibri"/>
                <w:color w:val="000000"/>
                <w:sz w:val="22"/>
                <w:szCs w:val="22"/>
                <w:lang w:eastAsia="es-CR"/>
              </w:rPr>
              <w:t>Jud</w:t>
            </w:r>
            <w:proofErr w:type="spellEnd"/>
            <w:r w:rsidRPr="00493BFE">
              <w:rPr>
                <w:rFonts w:ascii="Book Antiqua" w:hAnsi="Book Antiqua" w:cs="Calibri"/>
                <w:color w:val="000000"/>
                <w:sz w:val="22"/>
                <w:szCs w:val="22"/>
                <w:lang w:eastAsia="es-CR"/>
              </w:rPr>
              <w:t>. Zona Atlántica (Pococí)</w:t>
            </w:r>
          </w:p>
        </w:tc>
        <w:tc>
          <w:tcPr>
            <w:tcW w:w="850" w:type="dxa"/>
            <w:tcBorders>
              <w:top w:val="nil"/>
              <w:left w:val="double" w:sz="6" w:space="0" w:color="1F497D"/>
              <w:bottom w:val="nil"/>
              <w:right w:val="double" w:sz="6" w:space="0" w:color="1F497D"/>
            </w:tcBorders>
            <w:shd w:val="clear" w:color="auto" w:fill="auto"/>
            <w:vAlign w:val="center"/>
            <w:hideMark/>
          </w:tcPr>
          <w:p w14:paraId="4F9C752C"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37</w:t>
            </w:r>
          </w:p>
        </w:tc>
        <w:tc>
          <w:tcPr>
            <w:tcW w:w="851" w:type="dxa"/>
            <w:tcBorders>
              <w:top w:val="nil"/>
              <w:left w:val="nil"/>
              <w:bottom w:val="nil"/>
              <w:right w:val="double" w:sz="6" w:space="0" w:color="1F497D"/>
            </w:tcBorders>
            <w:shd w:val="clear" w:color="auto" w:fill="auto"/>
            <w:vAlign w:val="center"/>
            <w:hideMark/>
          </w:tcPr>
          <w:p w14:paraId="4048021C"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2</w:t>
            </w:r>
          </w:p>
        </w:tc>
        <w:tc>
          <w:tcPr>
            <w:tcW w:w="992" w:type="dxa"/>
            <w:tcBorders>
              <w:top w:val="nil"/>
              <w:left w:val="nil"/>
              <w:bottom w:val="nil"/>
              <w:right w:val="double" w:sz="6" w:space="0" w:color="1F497D"/>
            </w:tcBorders>
            <w:shd w:val="clear" w:color="auto" w:fill="auto"/>
            <w:vAlign w:val="center"/>
            <w:hideMark/>
          </w:tcPr>
          <w:p w14:paraId="2585BFF2"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19</w:t>
            </w:r>
          </w:p>
        </w:tc>
        <w:tc>
          <w:tcPr>
            <w:tcW w:w="1559" w:type="dxa"/>
            <w:tcBorders>
              <w:top w:val="nil"/>
              <w:left w:val="nil"/>
              <w:bottom w:val="nil"/>
              <w:right w:val="double" w:sz="6" w:space="0" w:color="1F497D"/>
            </w:tcBorders>
            <w:shd w:val="clear" w:color="000000" w:fill="FF0000"/>
            <w:vAlign w:val="center"/>
            <w:hideMark/>
          </w:tcPr>
          <w:p w14:paraId="17215D3D"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14</w:t>
            </w:r>
          </w:p>
        </w:tc>
        <w:tc>
          <w:tcPr>
            <w:tcW w:w="1276" w:type="dxa"/>
            <w:tcBorders>
              <w:top w:val="nil"/>
              <w:left w:val="nil"/>
              <w:bottom w:val="nil"/>
              <w:right w:val="double" w:sz="6" w:space="0" w:color="1F497D"/>
            </w:tcBorders>
            <w:shd w:val="clear" w:color="auto" w:fill="auto"/>
            <w:vAlign w:val="center"/>
            <w:hideMark/>
          </w:tcPr>
          <w:p w14:paraId="7602BB15"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5</w:t>
            </w:r>
          </w:p>
        </w:tc>
        <w:tc>
          <w:tcPr>
            <w:tcW w:w="1029" w:type="dxa"/>
            <w:tcBorders>
              <w:top w:val="nil"/>
              <w:left w:val="nil"/>
              <w:bottom w:val="nil"/>
              <w:right w:val="double" w:sz="6" w:space="0" w:color="1F497D"/>
            </w:tcBorders>
            <w:shd w:val="clear" w:color="auto" w:fill="auto"/>
            <w:vAlign w:val="center"/>
            <w:hideMark/>
          </w:tcPr>
          <w:p w14:paraId="61D0113C" w14:textId="77777777" w:rsidR="001341EC" w:rsidRPr="00493BFE" w:rsidRDefault="001341EC" w:rsidP="00165AA6">
            <w:pPr>
              <w:jc w:val="center"/>
              <w:rPr>
                <w:rFonts w:ascii="Book Antiqua" w:hAnsi="Book Antiqua" w:cs="Calibri"/>
                <w:lang w:eastAsia="es-CR"/>
              </w:rPr>
            </w:pPr>
            <w:r w:rsidRPr="00493BFE">
              <w:rPr>
                <w:rFonts w:ascii="Book Antiqua" w:hAnsi="Book Antiqua" w:cs="Calibri"/>
                <w:sz w:val="22"/>
                <w:szCs w:val="22"/>
                <w:lang w:eastAsia="es-CR"/>
              </w:rPr>
              <w:t> </w:t>
            </w:r>
          </w:p>
        </w:tc>
      </w:tr>
      <w:tr w:rsidR="001341EC" w:rsidRPr="00493BFE" w14:paraId="0616D1AC" w14:textId="77777777" w:rsidTr="00165AA6">
        <w:trPr>
          <w:trHeight w:val="16"/>
          <w:jc w:val="center"/>
        </w:trPr>
        <w:tc>
          <w:tcPr>
            <w:tcW w:w="3251" w:type="dxa"/>
            <w:vMerge/>
            <w:tcBorders>
              <w:top w:val="nil"/>
              <w:left w:val="single" w:sz="8" w:space="0" w:color="1F497D"/>
              <w:bottom w:val="single" w:sz="8" w:space="0" w:color="1F497D"/>
              <w:right w:val="single" w:sz="8" w:space="0" w:color="1F497D"/>
            </w:tcBorders>
            <w:vAlign w:val="center"/>
            <w:hideMark/>
          </w:tcPr>
          <w:p w14:paraId="48502E3B" w14:textId="77777777" w:rsidR="001341EC" w:rsidRPr="00493BFE" w:rsidRDefault="001341EC" w:rsidP="00165AA6">
            <w:pPr>
              <w:rPr>
                <w:rFonts w:ascii="Book Antiqua" w:hAnsi="Book Antiqua" w:cs="Calibri"/>
                <w:color w:val="000000"/>
                <w:lang w:eastAsia="es-CR"/>
              </w:rPr>
            </w:pPr>
          </w:p>
        </w:tc>
        <w:tc>
          <w:tcPr>
            <w:tcW w:w="2693" w:type="dxa"/>
            <w:gridSpan w:val="3"/>
            <w:tcBorders>
              <w:top w:val="double" w:sz="6" w:space="0" w:color="1F497D"/>
              <w:left w:val="double" w:sz="6" w:space="0" w:color="1F497D"/>
              <w:bottom w:val="double" w:sz="6" w:space="0" w:color="1F497D"/>
              <w:right w:val="double" w:sz="6" w:space="0" w:color="1F497D"/>
            </w:tcBorders>
            <w:shd w:val="clear" w:color="000000" w:fill="B7DEE8"/>
            <w:vAlign w:val="center"/>
            <w:hideMark/>
          </w:tcPr>
          <w:p w14:paraId="470A6BEB"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Ideal</w:t>
            </w:r>
          </w:p>
        </w:tc>
        <w:tc>
          <w:tcPr>
            <w:tcW w:w="1559" w:type="dxa"/>
            <w:tcBorders>
              <w:top w:val="double" w:sz="6" w:space="0" w:color="1F497D"/>
              <w:left w:val="nil"/>
              <w:bottom w:val="double" w:sz="6" w:space="0" w:color="1F497D"/>
              <w:right w:val="double" w:sz="6" w:space="0" w:color="1F497D"/>
            </w:tcBorders>
            <w:shd w:val="clear" w:color="000000" w:fill="B7DEE8"/>
            <w:vAlign w:val="center"/>
            <w:hideMark/>
          </w:tcPr>
          <w:p w14:paraId="75DAF215"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8</w:t>
            </w:r>
          </w:p>
        </w:tc>
        <w:tc>
          <w:tcPr>
            <w:tcW w:w="1276" w:type="dxa"/>
            <w:tcBorders>
              <w:top w:val="double" w:sz="6" w:space="0" w:color="1F497D"/>
              <w:left w:val="nil"/>
              <w:bottom w:val="double" w:sz="6" w:space="0" w:color="1F497D"/>
              <w:right w:val="double" w:sz="6" w:space="0" w:color="1F497D"/>
            </w:tcBorders>
            <w:shd w:val="clear" w:color="000000" w:fill="FF0000"/>
            <w:vAlign w:val="center"/>
            <w:hideMark/>
          </w:tcPr>
          <w:p w14:paraId="6B85F60E"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11</w:t>
            </w:r>
          </w:p>
        </w:tc>
        <w:tc>
          <w:tcPr>
            <w:tcW w:w="1029" w:type="dxa"/>
            <w:tcBorders>
              <w:top w:val="double" w:sz="6" w:space="0" w:color="1F497D"/>
              <w:left w:val="nil"/>
              <w:bottom w:val="double" w:sz="6" w:space="0" w:color="1F497D"/>
              <w:right w:val="double" w:sz="6" w:space="0" w:color="1F497D"/>
            </w:tcBorders>
            <w:shd w:val="clear" w:color="000000" w:fill="B7DEE8"/>
            <w:vAlign w:val="center"/>
            <w:hideMark/>
          </w:tcPr>
          <w:p w14:paraId="0D3D5C9E" w14:textId="77777777" w:rsidR="001341EC" w:rsidRPr="00493BFE" w:rsidRDefault="001341EC" w:rsidP="00165AA6">
            <w:pPr>
              <w:jc w:val="center"/>
              <w:rPr>
                <w:rFonts w:ascii="Book Antiqua" w:hAnsi="Book Antiqua" w:cs="Calibri"/>
                <w:b/>
                <w:bCs/>
                <w:i/>
                <w:iCs/>
                <w:lang w:eastAsia="es-CR"/>
              </w:rPr>
            </w:pPr>
            <w:r w:rsidRPr="00493BFE">
              <w:rPr>
                <w:rFonts w:ascii="Book Antiqua" w:hAnsi="Book Antiqua" w:cs="Calibri"/>
                <w:b/>
                <w:bCs/>
                <w:i/>
                <w:iCs/>
                <w:sz w:val="22"/>
                <w:szCs w:val="22"/>
                <w:lang w:eastAsia="es-CR"/>
              </w:rPr>
              <w:t>19</w:t>
            </w:r>
          </w:p>
        </w:tc>
      </w:tr>
    </w:tbl>
    <w:p w14:paraId="347676C5" w14:textId="77777777" w:rsidR="001341EC" w:rsidRPr="00493BFE" w:rsidRDefault="001341EC" w:rsidP="001341EC">
      <w:pPr>
        <w:rPr>
          <w:rFonts w:ascii="Book Antiqua" w:hAnsi="Book Antiqua"/>
          <w:b/>
          <w:bCs/>
          <w:color w:val="000000"/>
          <w:sz w:val="22"/>
          <w:szCs w:val="22"/>
          <w:lang w:eastAsia="es-CR"/>
        </w:rPr>
      </w:pPr>
      <w:r w:rsidRPr="00493BFE">
        <w:rPr>
          <w:rFonts w:ascii="Book Antiqua" w:hAnsi="Book Antiqua"/>
          <w:b/>
          <w:i/>
          <w:sz w:val="22"/>
          <w:szCs w:val="22"/>
        </w:rPr>
        <w:t>Fuente: Elaboración propia, Subproceso de Modernización</w:t>
      </w:r>
    </w:p>
    <w:p w14:paraId="3FB741C0" w14:textId="77777777" w:rsidR="001341EC" w:rsidRPr="00493BFE" w:rsidRDefault="001341EC" w:rsidP="001341EC">
      <w:pPr>
        <w:jc w:val="both"/>
        <w:rPr>
          <w:rFonts w:ascii="Book Antiqua" w:hAnsi="Book Antiqua"/>
          <w:sz w:val="22"/>
          <w:szCs w:val="22"/>
          <w:highlight w:val="cyan"/>
        </w:rPr>
      </w:pPr>
    </w:p>
    <w:p w14:paraId="746248F3" w14:textId="77777777" w:rsidR="001341EC" w:rsidRPr="00055D4B" w:rsidRDefault="001341EC" w:rsidP="001341EC">
      <w:pPr>
        <w:jc w:val="both"/>
        <w:rPr>
          <w:rFonts w:ascii="Book Antiqua" w:hAnsi="Book Antiqua"/>
          <w:sz w:val="22"/>
          <w:szCs w:val="22"/>
        </w:rPr>
      </w:pPr>
      <w:r w:rsidRPr="00493BFE">
        <w:rPr>
          <w:rFonts w:ascii="Book Antiqua" w:hAnsi="Book Antiqua"/>
          <w:sz w:val="22"/>
          <w:szCs w:val="22"/>
        </w:rPr>
        <w:t xml:space="preserve">El cuadro anterior muestra </w:t>
      </w:r>
      <w:r w:rsidRPr="00055D4B">
        <w:rPr>
          <w:rFonts w:ascii="Book Antiqua" w:hAnsi="Book Antiqua"/>
          <w:sz w:val="22"/>
          <w:szCs w:val="22"/>
        </w:rPr>
        <w:t xml:space="preserve">un escenario </w:t>
      </w:r>
      <w:r w:rsidRPr="00493BFE">
        <w:rPr>
          <w:rFonts w:ascii="Book Antiqua" w:hAnsi="Book Antiqua"/>
          <w:sz w:val="22"/>
          <w:szCs w:val="22"/>
        </w:rPr>
        <w:t>sobre la proyección de asuntos terminados por sentencias y lo</w:t>
      </w:r>
      <w:r w:rsidRPr="00055D4B">
        <w:rPr>
          <w:rFonts w:ascii="Book Antiqua" w:hAnsi="Book Antiqua"/>
          <w:sz w:val="22"/>
          <w:szCs w:val="22"/>
        </w:rPr>
        <w:t>s</w:t>
      </w:r>
      <w:r w:rsidRPr="00493BFE">
        <w:rPr>
          <w:rFonts w:ascii="Book Antiqua" w:hAnsi="Book Antiqua"/>
          <w:sz w:val="22"/>
          <w:szCs w:val="22"/>
        </w:rPr>
        <w:t xml:space="preserve"> terminados por otras razones por Juzgado, según el comportamiento actual y </w:t>
      </w:r>
      <w:r w:rsidRPr="00055D4B">
        <w:rPr>
          <w:rFonts w:ascii="Book Antiqua" w:hAnsi="Book Antiqua"/>
          <w:sz w:val="22"/>
          <w:szCs w:val="22"/>
        </w:rPr>
        <w:t>otr</w:t>
      </w:r>
      <w:r w:rsidRPr="00493BFE">
        <w:rPr>
          <w:rFonts w:ascii="Book Antiqua" w:hAnsi="Book Antiqua"/>
          <w:sz w:val="22"/>
          <w:szCs w:val="22"/>
        </w:rPr>
        <w:t xml:space="preserve">o escenario del cumplimiento de las </w:t>
      </w:r>
      <w:r w:rsidRPr="00055D4B">
        <w:rPr>
          <w:rFonts w:ascii="Book Antiqua" w:hAnsi="Book Antiqua"/>
          <w:sz w:val="22"/>
          <w:szCs w:val="22"/>
        </w:rPr>
        <w:t>ocho</w:t>
      </w:r>
      <w:r w:rsidRPr="00493BFE">
        <w:rPr>
          <w:rFonts w:ascii="Book Antiqua" w:hAnsi="Book Antiqua"/>
          <w:sz w:val="22"/>
          <w:szCs w:val="22"/>
        </w:rPr>
        <w:t xml:space="preserve"> sentencias</w:t>
      </w:r>
      <w:r w:rsidRPr="00055D4B">
        <w:rPr>
          <w:rFonts w:ascii="Book Antiqua" w:hAnsi="Book Antiqua"/>
          <w:sz w:val="22"/>
          <w:szCs w:val="22"/>
        </w:rPr>
        <w:t xml:space="preserve"> y siete asuntos terminados por otras razones</w:t>
      </w:r>
      <w:r w:rsidRPr="00493BFE">
        <w:rPr>
          <w:rFonts w:ascii="Book Antiqua" w:hAnsi="Book Antiqua"/>
          <w:sz w:val="22"/>
          <w:szCs w:val="22"/>
        </w:rPr>
        <w:t xml:space="preserve"> por Jueza o Juez</w:t>
      </w:r>
      <w:r w:rsidRPr="00055D4B">
        <w:rPr>
          <w:rFonts w:ascii="Book Antiqua" w:hAnsi="Book Antiqua"/>
          <w:sz w:val="22"/>
          <w:szCs w:val="22"/>
        </w:rPr>
        <w:t xml:space="preserve"> por mes</w:t>
      </w:r>
      <w:r w:rsidRPr="00493BFE">
        <w:rPr>
          <w:rFonts w:ascii="Book Antiqua" w:hAnsi="Book Antiqua"/>
          <w:sz w:val="22"/>
          <w:szCs w:val="22"/>
        </w:rPr>
        <w:t xml:space="preserve"> (línea que indica </w:t>
      </w:r>
      <w:r w:rsidRPr="00493BFE">
        <w:rPr>
          <w:rFonts w:ascii="Book Antiqua" w:hAnsi="Book Antiqua" w:cs="Calibri"/>
          <w:b/>
          <w:bCs/>
          <w:i/>
          <w:iCs/>
          <w:sz w:val="22"/>
          <w:szCs w:val="22"/>
          <w:lang w:eastAsia="es-CR"/>
        </w:rPr>
        <w:t>Ideal</w:t>
      </w:r>
      <w:r w:rsidRPr="00493BFE">
        <w:rPr>
          <w:rFonts w:ascii="Book Antiqua" w:hAnsi="Book Antiqua"/>
          <w:sz w:val="22"/>
          <w:szCs w:val="22"/>
        </w:rPr>
        <w:t>)</w:t>
      </w:r>
      <w:r w:rsidRPr="00055D4B">
        <w:rPr>
          <w:rFonts w:ascii="Book Antiqua" w:hAnsi="Book Antiqua"/>
          <w:sz w:val="22"/>
          <w:szCs w:val="22"/>
        </w:rPr>
        <w:t>, ambos escenarios, con el fin de atender la entrada de asuntos a cada Despacho.</w:t>
      </w:r>
    </w:p>
    <w:p w14:paraId="7995892F" w14:textId="77777777" w:rsidR="001341EC" w:rsidRPr="00055D4B" w:rsidRDefault="001341EC" w:rsidP="001341EC">
      <w:pPr>
        <w:jc w:val="both"/>
        <w:rPr>
          <w:rFonts w:ascii="Book Antiqua" w:hAnsi="Book Antiqua"/>
          <w:sz w:val="22"/>
          <w:szCs w:val="22"/>
        </w:rPr>
      </w:pPr>
    </w:p>
    <w:p w14:paraId="78BCDA77" w14:textId="77777777" w:rsidR="001341EC" w:rsidRPr="00493BFE" w:rsidRDefault="001341EC" w:rsidP="001341EC">
      <w:pPr>
        <w:jc w:val="both"/>
        <w:rPr>
          <w:rFonts w:ascii="Book Antiqua" w:hAnsi="Book Antiqua"/>
          <w:sz w:val="22"/>
          <w:szCs w:val="22"/>
        </w:rPr>
      </w:pPr>
      <w:r w:rsidRPr="00055D4B">
        <w:rPr>
          <w:rFonts w:ascii="Book Antiqua" w:hAnsi="Book Antiqua"/>
          <w:sz w:val="22"/>
          <w:szCs w:val="22"/>
        </w:rPr>
        <w:t>E</w:t>
      </w:r>
      <w:r w:rsidRPr="00493BFE">
        <w:rPr>
          <w:rFonts w:ascii="Book Antiqua" w:hAnsi="Book Antiqua"/>
          <w:sz w:val="22"/>
          <w:szCs w:val="22"/>
        </w:rPr>
        <w:t xml:space="preserve">l código de colores indica que el amarillo se mantiene </w:t>
      </w:r>
      <w:r w:rsidRPr="00055D4B">
        <w:rPr>
          <w:rFonts w:ascii="Book Antiqua" w:hAnsi="Book Antiqua"/>
          <w:sz w:val="22"/>
          <w:szCs w:val="22"/>
        </w:rPr>
        <w:t>dentro</w:t>
      </w:r>
      <w:r w:rsidRPr="00493BFE">
        <w:rPr>
          <w:rFonts w:ascii="Book Antiqua" w:hAnsi="Book Antiqua"/>
          <w:sz w:val="22"/>
          <w:szCs w:val="22"/>
        </w:rPr>
        <w:t xml:space="preserve"> </w:t>
      </w:r>
      <w:r w:rsidRPr="00055D4B">
        <w:rPr>
          <w:rFonts w:ascii="Book Antiqua" w:hAnsi="Book Antiqua"/>
          <w:sz w:val="22"/>
          <w:szCs w:val="22"/>
        </w:rPr>
        <w:t>d</w:t>
      </w:r>
      <w:r w:rsidRPr="00493BFE">
        <w:rPr>
          <w:rFonts w:ascii="Book Antiqua" w:hAnsi="Book Antiqua"/>
          <w:sz w:val="22"/>
          <w:szCs w:val="22"/>
        </w:rPr>
        <w:t xml:space="preserve">el estándar </w:t>
      </w:r>
      <w:r w:rsidRPr="00055D4B">
        <w:rPr>
          <w:rFonts w:ascii="Book Antiqua" w:hAnsi="Book Antiqua"/>
          <w:sz w:val="22"/>
          <w:szCs w:val="22"/>
        </w:rPr>
        <w:t>(capacidad instalada es igual a la cantidad de asuntos entrados al despacho)</w:t>
      </w:r>
      <w:r w:rsidRPr="00493BFE">
        <w:rPr>
          <w:rFonts w:ascii="Book Antiqua" w:hAnsi="Book Antiqua"/>
          <w:sz w:val="22"/>
          <w:szCs w:val="22"/>
        </w:rPr>
        <w:t xml:space="preserve">, el color verde </w:t>
      </w:r>
      <w:r w:rsidRPr="00055D4B">
        <w:rPr>
          <w:rFonts w:ascii="Book Antiqua" w:hAnsi="Book Antiqua"/>
          <w:sz w:val="22"/>
          <w:szCs w:val="22"/>
        </w:rPr>
        <w:t xml:space="preserve">indica </w:t>
      </w:r>
      <w:r w:rsidRPr="00493BFE">
        <w:rPr>
          <w:rFonts w:ascii="Book Antiqua" w:hAnsi="Book Antiqua"/>
          <w:sz w:val="22"/>
          <w:szCs w:val="22"/>
        </w:rPr>
        <w:t>que cuenta con capacidad operativa</w:t>
      </w:r>
      <w:r w:rsidRPr="00055D4B">
        <w:rPr>
          <w:rFonts w:ascii="Book Antiqua" w:hAnsi="Book Antiqua"/>
          <w:sz w:val="22"/>
          <w:szCs w:val="22"/>
        </w:rPr>
        <w:t xml:space="preserve"> adicional que permite</w:t>
      </w:r>
      <w:r w:rsidRPr="00493BFE">
        <w:rPr>
          <w:rFonts w:ascii="Book Antiqua" w:hAnsi="Book Antiqua"/>
          <w:sz w:val="22"/>
          <w:szCs w:val="22"/>
        </w:rPr>
        <w:t xml:space="preserve"> colaborar </w:t>
      </w:r>
      <w:r w:rsidRPr="00055D4B">
        <w:rPr>
          <w:rFonts w:ascii="Book Antiqua" w:hAnsi="Book Antiqua"/>
          <w:sz w:val="22"/>
          <w:szCs w:val="22"/>
        </w:rPr>
        <w:t>en</w:t>
      </w:r>
      <w:r w:rsidRPr="00493BFE">
        <w:rPr>
          <w:rFonts w:ascii="Book Antiqua" w:hAnsi="Book Antiqua"/>
          <w:sz w:val="22"/>
          <w:szCs w:val="22"/>
        </w:rPr>
        <w:t xml:space="preserve"> otras oficinas y rojo indica que ese Despacho necesita colaboración en ese rubro</w:t>
      </w:r>
      <w:r w:rsidRPr="00055D4B">
        <w:rPr>
          <w:rFonts w:ascii="Book Antiqua" w:hAnsi="Book Antiqua"/>
          <w:sz w:val="22"/>
          <w:szCs w:val="22"/>
        </w:rPr>
        <w:t xml:space="preserve"> debido a que su capacidad instalada se encuentra por debajo de la cantidad de asuntos que ingresan</w:t>
      </w:r>
      <w:r w:rsidRPr="00493BFE">
        <w:rPr>
          <w:rFonts w:ascii="Book Antiqua" w:hAnsi="Book Antiqua"/>
          <w:sz w:val="22"/>
          <w:szCs w:val="22"/>
        </w:rPr>
        <w:t>.</w:t>
      </w:r>
    </w:p>
    <w:p w14:paraId="0015F3F5" w14:textId="77777777" w:rsidR="001341EC" w:rsidRPr="00493BFE" w:rsidRDefault="001341EC" w:rsidP="001341EC">
      <w:pPr>
        <w:jc w:val="both"/>
        <w:rPr>
          <w:rFonts w:ascii="Book Antiqua" w:hAnsi="Book Antiqua"/>
          <w:sz w:val="22"/>
          <w:szCs w:val="22"/>
        </w:rPr>
      </w:pPr>
    </w:p>
    <w:p w14:paraId="653CA0B2"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Como se observa en el cuadro anterior, tomando en consideración que para la atención de la entrada de asuntos se estim</w:t>
      </w:r>
      <w:r w:rsidRPr="00055D4B">
        <w:rPr>
          <w:rFonts w:ascii="Book Antiqua" w:hAnsi="Book Antiqua"/>
          <w:sz w:val="22"/>
          <w:szCs w:val="22"/>
        </w:rPr>
        <w:t>a</w:t>
      </w:r>
      <w:r w:rsidRPr="00493BFE">
        <w:rPr>
          <w:rFonts w:ascii="Book Antiqua" w:hAnsi="Book Antiqua"/>
          <w:sz w:val="22"/>
          <w:szCs w:val="22"/>
        </w:rPr>
        <w:t xml:space="preserve"> para Santa Cruz un 70% para sentencias, correspondería que cada Jueza o Juez realice 13,9; sin embargo, según su capacidad instalada se proyectan al menos 8</w:t>
      </w:r>
      <w:r w:rsidRPr="00055D4B">
        <w:rPr>
          <w:rFonts w:ascii="Book Antiqua" w:hAnsi="Book Antiqua"/>
          <w:sz w:val="22"/>
          <w:szCs w:val="22"/>
        </w:rPr>
        <w:t xml:space="preserve"> y</w:t>
      </w:r>
      <w:r w:rsidRPr="00493BFE">
        <w:rPr>
          <w:rFonts w:ascii="Book Antiqua" w:hAnsi="Book Antiqua"/>
          <w:sz w:val="22"/>
          <w:szCs w:val="22"/>
        </w:rPr>
        <w:t xml:space="preserve"> se esperaría que la cantidad de asuntos terminados por otras razones superen los 12 asuntos para atender los 20 asuntos por mes por plaza de Jueza o Juez.</w:t>
      </w:r>
    </w:p>
    <w:p w14:paraId="61EDAA53" w14:textId="77777777" w:rsidR="001341EC" w:rsidRPr="00493BFE" w:rsidRDefault="001341EC" w:rsidP="001341EC">
      <w:pPr>
        <w:jc w:val="both"/>
        <w:rPr>
          <w:rFonts w:ascii="Book Antiqua" w:hAnsi="Book Antiqua"/>
          <w:sz w:val="22"/>
          <w:szCs w:val="22"/>
        </w:rPr>
      </w:pPr>
    </w:p>
    <w:p w14:paraId="75AC1B93"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lastRenderedPageBreak/>
        <w:t>En el caso de Pérez Zeledón se espera que para la atención de la entrada de asuntos nuevos un 65% corresponda a terminados por sentencia, lo cual correspondería a 10</w:t>
      </w:r>
      <w:r w:rsidRPr="00055D4B">
        <w:rPr>
          <w:rFonts w:ascii="Book Antiqua" w:hAnsi="Book Antiqua"/>
          <w:sz w:val="22"/>
          <w:szCs w:val="22"/>
        </w:rPr>
        <w:t>,</w:t>
      </w:r>
      <w:r w:rsidRPr="00493BFE">
        <w:rPr>
          <w:rFonts w:ascii="Book Antiqua" w:hAnsi="Book Antiqua"/>
          <w:sz w:val="22"/>
          <w:szCs w:val="22"/>
        </w:rPr>
        <w:t>7; lo cual supera la capacidad operativa de al menos 8 sentencias, por lo cual se esperaría que la cantidad de terminados por otros motivos sea superior a los 7 casos para lograr atender la entrada de los 16 asuntos</w:t>
      </w:r>
      <w:r w:rsidRPr="00055D4B">
        <w:rPr>
          <w:rFonts w:ascii="Book Antiqua" w:hAnsi="Book Antiqua"/>
          <w:sz w:val="22"/>
          <w:szCs w:val="22"/>
        </w:rPr>
        <w:t xml:space="preserve"> por Jueza o Juez por mes</w:t>
      </w:r>
      <w:r w:rsidRPr="00493BFE">
        <w:rPr>
          <w:rFonts w:ascii="Book Antiqua" w:hAnsi="Book Antiqua"/>
          <w:sz w:val="22"/>
          <w:szCs w:val="22"/>
        </w:rPr>
        <w:t xml:space="preserve">. </w:t>
      </w:r>
    </w:p>
    <w:p w14:paraId="66AAC60B" w14:textId="77777777" w:rsidR="001341EC" w:rsidRPr="00493BFE" w:rsidRDefault="001341EC" w:rsidP="001341EC">
      <w:pPr>
        <w:jc w:val="both"/>
        <w:rPr>
          <w:rFonts w:ascii="Book Antiqua" w:hAnsi="Book Antiqua"/>
          <w:sz w:val="22"/>
          <w:szCs w:val="22"/>
        </w:rPr>
      </w:pPr>
    </w:p>
    <w:p w14:paraId="407C86B6"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En el Despacho de Pococí se esperaría que un 73% de los asuntos nuevos terminaran por sentencia por persona juzgado</w:t>
      </w:r>
      <w:r w:rsidRPr="00055D4B">
        <w:rPr>
          <w:rFonts w:ascii="Book Antiqua" w:hAnsi="Book Antiqua"/>
          <w:sz w:val="22"/>
          <w:szCs w:val="22"/>
        </w:rPr>
        <w:t>ra</w:t>
      </w:r>
      <w:r w:rsidRPr="00493BFE">
        <w:rPr>
          <w:rFonts w:ascii="Book Antiqua" w:hAnsi="Book Antiqua"/>
          <w:sz w:val="22"/>
          <w:szCs w:val="22"/>
        </w:rPr>
        <w:t xml:space="preserve">, </w:t>
      </w:r>
      <w:r w:rsidRPr="00055D4B">
        <w:rPr>
          <w:rFonts w:ascii="Book Antiqua" w:hAnsi="Book Antiqua"/>
          <w:sz w:val="22"/>
          <w:szCs w:val="22"/>
        </w:rPr>
        <w:t>lo cual corresponde a 14 asuntos</w:t>
      </w:r>
      <w:r w:rsidRPr="00493BFE">
        <w:rPr>
          <w:rFonts w:ascii="Book Antiqua" w:hAnsi="Book Antiqua"/>
          <w:sz w:val="22"/>
          <w:szCs w:val="22"/>
        </w:rPr>
        <w:t>,</w:t>
      </w:r>
      <w:r w:rsidRPr="00055D4B">
        <w:rPr>
          <w:rFonts w:ascii="Book Antiqua" w:hAnsi="Book Antiqua"/>
          <w:sz w:val="22"/>
          <w:szCs w:val="22"/>
        </w:rPr>
        <w:t xml:space="preserve"> </w:t>
      </w:r>
      <w:r w:rsidRPr="00493BFE">
        <w:rPr>
          <w:rFonts w:ascii="Book Antiqua" w:hAnsi="Book Antiqua"/>
          <w:sz w:val="22"/>
          <w:szCs w:val="22"/>
        </w:rPr>
        <w:t>sin embargo, la capacidad instalada será de al menos 8 sentencias, por lo cual se proyecta que se necesita concluir 11 asuntos por otros motivos por mes por persona jugadora, atendiendo así la entrada de asuntos nuevos de 19 casos por mes.</w:t>
      </w:r>
    </w:p>
    <w:p w14:paraId="0448D17B" w14:textId="77777777" w:rsidR="001341EC" w:rsidRPr="00493BFE" w:rsidRDefault="001341EC" w:rsidP="001341EC">
      <w:pPr>
        <w:jc w:val="both"/>
        <w:rPr>
          <w:rFonts w:ascii="Book Antiqua" w:hAnsi="Book Antiqua"/>
          <w:sz w:val="22"/>
          <w:szCs w:val="22"/>
        </w:rPr>
      </w:pPr>
    </w:p>
    <w:p w14:paraId="78991B98"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En todos los casos, se espera la colaboración directa de la cantidad de proveído que los técnicos judiciales les colaboren a las Juezas o Jueces para la atención de los asuntos por escrito, que terminan por razones distintas a sentencia.</w:t>
      </w:r>
    </w:p>
    <w:p w14:paraId="24C4941A" w14:textId="77777777" w:rsidR="001341EC" w:rsidRPr="00493BFE" w:rsidRDefault="001341EC" w:rsidP="001341EC">
      <w:pPr>
        <w:rPr>
          <w:rFonts w:ascii="Book Antiqua" w:hAnsi="Book Antiqua"/>
          <w:sz w:val="22"/>
          <w:szCs w:val="22"/>
          <w:highlight w:val="cyan"/>
        </w:rPr>
      </w:pPr>
    </w:p>
    <w:p w14:paraId="247262EB"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 xml:space="preserve">Del análisis realizado, se deduce que se tienen Juzgados </w:t>
      </w:r>
      <w:r w:rsidRPr="00055D4B">
        <w:rPr>
          <w:rFonts w:ascii="Book Antiqua" w:hAnsi="Book Antiqua"/>
          <w:sz w:val="22"/>
          <w:szCs w:val="22"/>
        </w:rPr>
        <w:t xml:space="preserve">que </w:t>
      </w:r>
      <w:r w:rsidRPr="00493BFE">
        <w:rPr>
          <w:rFonts w:ascii="Book Antiqua" w:hAnsi="Book Antiqua"/>
          <w:sz w:val="22"/>
          <w:szCs w:val="22"/>
        </w:rPr>
        <w:t>requ</w:t>
      </w:r>
      <w:r w:rsidRPr="00055D4B">
        <w:rPr>
          <w:rFonts w:ascii="Book Antiqua" w:hAnsi="Book Antiqua"/>
          <w:sz w:val="22"/>
          <w:szCs w:val="22"/>
        </w:rPr>
        <w:t>ieren</w:t>
      </w:r>
      <w:r w:rsidRPr="00493BFE">
        <w:rPr>
          <w:rFonts w:ascii="Book Antiqua" w:hAnsi="Book Antiqua"/>
          <w:sz w:val="22"/>
          <w:szCs w:val="22"/>
        </w:rPr>
        <w:t xml:space="preserve"> colaboración para atender su carga de trabajo tales como el Juzgado de Santa Cruz, Pococí y Pérez Zeledón; y otros; que pueden enfrentar la entrada de asuntos y </w:t>
      </w:r>
      <w:r w:rsidRPr="00055D4B">
        <w:rPr>
          <w:rFonts w:ascii="Book Antiqua" w:hAnsi="Book Antiqua"/>
          <w:sz w:val="22"/>
          <w:szCs w:val="22"/>
        </w:rPr>
        <w:t xml:space="preserve">tienen </w:t>
      </w:r>
      <w:r w:rsidRPr="00493BFE">
        <w:rPr>
          <w:rFonts w:ascii="Book Antiqua" w:hAnsi="Book Antiqua"/>
          <w:sz w:val="22"/>
          <w:szCs w:val="22"/>
        </w:rPr>
        <w:t>capacidad operativa adiciona</w:t>
      </w:r>
      <w:r w:rsidRPr="00055D4B">
        <w:rPr>
          <w:rFonts w:ascii="Book Antiqua" w:hAnsi="Book Antiqua"/>
          <w:sz w:val="22"/>
          <w:szCs w:val="22"/>
        </w:rPr>
        <w:t>l</w:t>
      </w:r>
      <w:r w:rsidRPr="00493BFE">
        <w:rPr>
          <w:rFonts w:ascii="Book Antiqua" w:hAnsi="Book Antiqua"/>
          <w:sz w:val="22"/>
          <w:szCs w:val="22"/>
        </w:rPr>
        <w:t xml:space="preserve"> para colaborar a estos Despachos que no pueden hacer frente a la entrada de asuntos; con lo cual se maximizaría la utilización de los recursos juzgadores de la Jurisdicción Agraria</w:t>
      </w:r>
      <w:r w:rsidRPr="00055D4B">
        <w:rPr>
          <w:rFonts w:ascii="Book Antiqua" w:hAnsi="Book Antiqua"/>
          <w:sz w:val="22"/>
          <w:szCs w:val="22"/>
        </w:rPr>
        <w:t xml:space="preserve"> en todo el país</w:t>
      </w:r>
      <w:r w:rsidRPr="00493BFE">
        <w:rPr>
          <w:rFonts w:ascii="Book Antiqua" w:hAnsi="Book Antiqua"/>
          <w:sz w:val="22"/>
          <w:szCs w:val="22"/>
        </w:rPr>
        <w:t>.</w:t>
      </w:r>
    </w:p>
    <w:p w14:paraId="5349910F" w14:textId="77777777" w:rsidR="001341EC" w:rsidRPr="00493BFE" w:rsidRDefault="001341EC" w:rsidP="001341EC">
      <w:pPr>
        <w:jc w:val="both"/>
        <w:rPr>
          <w:rFonts w:ascii="Book Antiqua" w:hAnsi="Book Antiqua"/>
          <w:sz w:val="22"/>
          <w:szCs w:val="22"/>
        </w:rPr>
      </w:pPr>
    </w:p>
    <w:p w14:paraId="484ED56C"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Lo anterior, siempre y cuando se logre extender la competencia territorial en los Juzgados agrarios y se trabaje con expedientes 100% electrónicos.</w:t>
      </w:r>
    </w:p>
    <w:p w14:paraId="135E7C6F" w14:textId="77777777" w:rsidR="001341EC" w:rsidRPr="00055D4B" w:rsidRDefault="001341EC" w:rsidP="001341EC">
      <w:pPr>
        <w:jc w:val="both"/>
        <w:rPr>
          <w:rFonts w:ascii="Book Antiqua" w:hAnsi="Book Antiqua"/>
          <w:sz w:val="22"/>
          <w:szCs w:val="22"/>
        </w:rPr>
      </w:pPr>
    </w:p>
    <w:p w14:paraId="2AD86CE4"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 xml:space="preserve">El resumen de despachos que necesitan colaboración </w:t>
      </w:r>
      <w:r w:rsidRPr="00055D4B">
        <w:rPr>
          <w:rFonts w:ascii="Book Antiqua" w:hAnsi="Book Antiqua"/>
          <w:sz w:val="22"/>
          <w:szCs w:val="22"/>
        </w:rPr>
        <w:t>para</w:t>
      </w:r>
      <w:r w:rsidRPr="00493BFE">
        <w:rPr>
          <w:rFonts w:ascii="Book Antiqua" w:hAnsi="Book Antiqua"/>
          <w:sz w:val="22"/>
          <w:szCs w:val="22"/>
        </w:rPr>
        <w:t xml:space="preserve"> terminar asuntos por sentencia</w:t>
      </w:r>
      <w:r w:rsidRPr="00055D4B">
        <w:rPr>
          <w:rFonts w:ascii="Book Antiqua" w:hAnsi="Book Antiqua"/>
          <w:sz w:val="22"/>
          <w:szCs w:val="22"/>
        </w:rPr>
        <w:t xml:space="preserve"> y por otras razones y quiénes son los Juzgados que pueden brindar dicha colaboración se esta</w:t>
      </w:r>
      <w:r w:rsidRPr="00493BFE">
        <w:rPr>
          <w:rFonts w:ascii="Book Antiqua" w:hAnsi="Book Antiqua"/>
          <w:sz w:val="22"/>
          <w:szCs w:val="22"/>
        </w:rPr>
        <w:t xml:space="preserve"> se presenta a continuación: </w:t>
      </w:r>
    </w:p>
    <w:p w14:paraId="4BD63401" w14:textId="77777777" w:rsidR="001341EC" w:rsidRPr="00493BFE" w:rsidRDefault="001341EC" w:rsidP="001341EC">
      <w:pPr>
        <w:jc w:val="both"/>
        <w:rPr>
          <w:rFonts w:ascii="Book Antiqua" w:hAnsi="Book Antiqua"/>
          <w:sz w:val="22"/>
          <w:szCs w:val="22"/>
        </w:rPr>
      </w:pPr>
    </w:p>
    <w:p w14:paraId="7395E7A5"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 xml:space="preserve">Cuadro </w:t>
      </w:r>
      <w:r w:rsidR="009A23D1" w:rsidRPr="00126FA8">
        <w:rPr>
          <w:rFonts w:ascii="Book Antiqua" w:hAnsi="Book Antiqua"/>
          <w:bCs w:val="0"/>
          <w:iCs/>
          <w:sz w:val="22"/>
          <w:szCs w:val="24"/>
          <w:lang w:val="es-CR"/>
        </w:rPr>
        <w:fldChar w:fldCharType="begin"/>
      </w:r>
      <w:r w:rsidRPr="00126FA8">
        <w:rPr>
          <w:rFonts w:ascii="Book Antiqua" w:hAnsi="Book Antiqua"/>
          <w:bCs w:val="0"/>
          <w:iCs/>
          <w:sz w:val="22"/>
          <w:szCs w:val="24"/>
          <w:lang w:val="es-CR"/>
        </w:rPr>
        <w:instrText xml:space="preserve"> SEQ Cuadro \* ARABIC </w:instrText>
      </w:r>
      <w:r w:rsidR="009A23D1" w:rsidRPr="00126FA8">
        <w:rPr>
          <w:rFonts w:ascii="Book Antiqua" w:hAnsi="Book Antiqua"/>
          <w:bCs w:val="0"/>
          <w:iCs/>
          <w:sz w:val="22"/>
          <w:szCs w:val="24"/>
          <w:lang w:val="es-CR"/>
        </w:rPr>
        <w:fldChar w:fldCharType="separate"/>
      </w:r>
      <w:r w:rsidRPr="00126FA8">
        <w:rPr>
          <w:rFonts w:ascii="Book Antiqua" w:hAnsi="Book Antiqua"/>
          <w:bCs w:val="0"/>
          <w:iCs/>
          <w:sz w:val="22"/>
          <w:szCs w:val="24"/>
          <w:lang w:val="es-CR"/>
        </w:rPr>
        <w:t>7</w:t>
      </w:r>
      <w:r w:rsidR="009A23D1" w:rsidRPr="00126FA8">
        <w:rPr>
          <w:rFonts w:ascii="Book Antiqua" w:hAnsi="Book Antiqua"/>
          <w:bCs w:val="0"/>
          <w:iCs/>
          <w:sz w:val="22"/>
          <w:szCs w:val="24"/>
          <w:lang w:val="es-CR"/>
        </w:rPr>
        <w:fldChar w:fldCharType="end"/>
      </w:r>
    </w:p>
    <w:p w14:paraId="58E4AA9D"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Resumen de los despachos que deberán recibir colaboración y los despachos que puedan brindar dicha colaboración para terminar asuntos por sentencia por mes</w:t>
      </w:r>
    </w:p>
    <w:tbl>
      <w:tblPr>
        <w:tblW w:w="10183" w:type="dxa"/>
        <w:jc w:val="center"/>
        <w:tblCellMar>
          <w:left w:w="70" w:type="dxa"/>
          <w:right w:w="70" w:type="dxa"/>
        </w:tblCellMar>
        <w:tblLook w:val="04A0" w:firstRow="1" w:lastRow="0" w:firstColumn="1" w:lastColumn="0" w:noHBand="0" w:noVBand="1"/>
      </w:tblPr>
      <w:tblGrid>
        <w:gridCol w:w="2752"/>
        <w:gridCol w:w="1069"/>
        <w:gridCol w:w="2813"/>
        <w:gridCol w:w="1155"/>
        <w:gridCol w:w="1485"/>
        <w:gridCol w:w="909"/>
      </w:tblGrid>
      <w:tr w:rsidR="001341EC" w:rsidRPr="00493BFE" w14:paraId="50F5B9F1" w14:textId="77777777" w:rsidTr="00165AA6">
        <w:trPr>
          <w:trHeight w:val="20"/>
          <w:jc w:val="center"/>
        </w:trPr>
        <w:tc>
          <w:tcPr>
            <w:tcW w:w="10183" w:type="dxa"/>
            <w:gridSpan w:val="6"/>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577224AC"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Sentencias</w:t>
            </w:r>
          </w:p>
        </w:tc>
      </w:tr>
      <w:tr w:rsidR="001341EC" w:rsidRPr="00493BFE" w14:paraId="42D549F3" w14:textId="77777777" w:rsidTr="00165AA6">
        <w:trPr>
          <w:trHeight w:val="20"/>
          <w:jc w:val="center"/>
        </w:trPr>
        <w:tc>
          <w:tcPr>
            <w:tcW w:w="2752" w:type="dxa"/>
            <w:tcBorders>
              <w:top w:val="nil"/>
              <w:left w:val="double" w:sz="6" w:space="0" w:color="1F497D"/>
              <w:bottom w:val="double" w:sz="6" w:space="0" w:color="1F497D"/>
              <w:right w:val="double" w:sz="6" w:space="0" w:color="1F497D"/>
            </w:tcBorders>
            <w:shd w:val="clear" w:color="000000" w:fill="8DB4E2"/>
            <w:vAlign w:val="center"/>
            <w:hideMark/>
          </w:tcPr>
          <w:p w14:paraId="7DEB3C1F"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Requiere colaboración</w:t>
            </w:r>
          </w:p>
        </w:tc>
        <w:tc>
          <w:tcPr>
            <w:tcW w:w="1069" w:type="dxa"/>
            <w:tcBorders>
              <w:top w:val="nil"/>
              <w:left w:val="nil"/>
              <w:bottom w:val="double" w:sz="6" w:space="0" w:color="1F497D"/>
              <w:right w:val="double" w:sz="6" w:space="0" w:color="1F497D"/>
            </w:tcBorders>
            <w:shd w:val="clear" w:color="000000" w:fill="8DB4E2"/>
            <w:vAlign w:val="center"/>
            <w:hideMark/>
          </w:tcPr>
          <w:p w14:paraId="446E6ED7"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Cantidad que requiere</w:t>
            </w:r>
          </w:p>
        </w:tc>
        <w:tc>
          <w:tcPr>
            <w:tcW w:w="2813" w:type="dxa"/>
            <w:tcBorders>
              <w:top w:val="nil"/>
              <w:left w:val="nil"/>
              <w:bottom w:val="double" w:sz="6" w:space="0" w:color="1F497D"/>
              <w:right w:val="double" w:sz="6" w:space="0" w:color="1F497D"/>
            </w:tcBorders>
            <w:shd w:val="clear" w:color="000000" w:fill="8DB4E2"/>
            <w:vAlign w:val="center"/>
            <w:hideMark/>
          </w:tcPr>
          <w:p w14:paraId="5B9F186D"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Recibe colaboración del Juzgado:</w:t>
            </w:r>
          </w:p>
        </w:tc>
        <w:tc>
          <w:tcPr>
            <w:tcW w:w="1155" w:type="dxa"/>
            <w:tcBorders>
              <w:top w:val="nil"/>
              <w:left w:val="nil"/>
              <w:bottom w:val="double" w:sz="6" w:space="0" w:color="1F497D"/>
              <w:right w:val="double" w:sz="6" w:space="0" w:color="1F497D"/>
            </w:tcBorders>
            <w:shd w:val="clear" w:color="000000" w:fill="8DB4E2"/>
            <w:vAlign w:val="center"/>
            <w:hideMark/>
          </w:tcPr>
          <w:p w14:paraId="01790423"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Cuanto recibe por persona Juzgadora</w:t>
            </w:r>
          </w:p>
        </w:tc>
        <w:tc>
          <w:tcPr>
            <w:tcW w:w="1485" w:type="dxa"/>
            <w:tcBorders>
              <w:top w:val="nil"/>
              <w:left w:val="nil"/>
              <w:bottom w:val="double" w:sz="6" w:space="0" w:color="1F497D"/>
              <w:right w:val="double" w:sz="6" w:space="0" w:color="1F497D"/>
            </w:tcBorders>
            <w:shd w:val="clear" w:color="000000" w:fill="8DB4E2"/>
            <w:vAlign w:val="center"/>
            <w:hideMark/>
          </w:tcPr>
          <w:p w14:paraId="1AA073D5"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Total de Colaboración entre el personal juzgador</w:t>
            </w:r>
          </w:p>
        </w:tc>
        <w:tc>
          <w:tcPr>
            <w:tcW w:w="909" w:type="dxa"/>
            <w:tcBorders>
              <w:top w:val="nil"/>
              <w:left w:val="nil"/>
              <w:bottom w:val="double" w:sz="6" w:space="0" w:color="1F497D"/>
              <w:right w:val="double" w:sz="6" w:space="0" w:color="1F497D"/>
            </w:tcBorders>
            <w:shd w:val="clear" w:color="000000" w:fill="8DB4E2"/>
            <w:vAlign w:val="center"/>
            <w:hideMark/>
          </w:tcPr>
          <w:p w14:paraId="18885FF0"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Saldo</w:t>
            </w:r>
          </w:p>
        </w:tc>
      </w:tr>
      <w:tr w:rsidR="001341EC" w:rsidRPr="00493BFE" w14:paraId="78F19F50" w14:textId="77777777" w:rsidTr="00165AA6">
        <w:trPr>
          <w:trHeight w:val="20"/>
          <w:jc w:val="center"/>
        </w:trPr>
        <w:tc>
          <w:tcPr>
            <w:tcW w:w="2752"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0B82C39D" w14:textId="77777777" w:rsidR="001341EC" w:rsidRPr="00493BFE" w:rsidRDefault="001341EC" w:rsidP="00165AA6">
            <w:pPr>
              <w:rPr>
                <w:rFonts w:ascii="Book Antiqua" w:hAnsi="Book Antiqua"/>
                <w:color w:val="000000"/>
                <w:lang w:eastAsia="es-CR"/>
              </w:rPr>
            </w:pPr>
            <w:r w:rsidRPr="00493BFE">
              <w:rPr>
                <w:rFonts w:ascii="Book Antiqua" w:hAnsi="Book Antiqua"/>
                <w:color w:val="000000"/>
                <w:sz w:val="22"/>
                <w:szCs w:val="22"/>
                <w:lang w:eastAsia="es-CR"/>
              </w:rPr>
              <w:t xml:space="preserve">Juzgado Agrario II Circ. </w:t>
            </w:r>
            <w:proofErr w:type="spellStart"/>
            <w:r w:rsidRPr="00493BFE">
              <w:rPr>
                <w:rFonts w:ascii="Book Antiqua" w:hAnsi="Book Antiqua"/>
                <w:color w:val="000000"/>
                <w:sz w:val="22"/>
                <w:szCs w:val="22"/>
                <w:lang w:eastAsia="es-CR"/>
              </w:rPr>
              <w:t>Jud</w:t>
            </w:r>
            <w:proofErr w:type="spellEnd"/>
            <w:r w:rsidRPr="00493BFE">
              <w:rPr>
                <w:rFonts w:ascii="Book Antiqua" w:hAnsi="Book Antiqua"/>
                <w:color w:val="000000"/>
                <w:sz w:val="22"/>
                <w:szCs w:val="22"/>
                <w:lang w:eastAsia="es-CR"/>
              </w:rPr>
              <w:t>. Guanacaste (Santa Cruz)</w:t>
            </w:r>
          </w:p>
        </w:tc>
        <w:tc>
          <w:tcPr>
            <w:tcW w:w="1069"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32970F0A"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12</w:t>
            </w:r>
          </w:p>
        </w:tc>
        <w:tc>
          <w:tcPr>
            <w:tcW w:w="2813" w:type="dxa"/>
            <w:tcBorders>
              <w:top w:val="nil"/>
              <w:left w:val="nil"/>
              <w:bottom w:val="double" w:sz="6" w:space="0" w:color="1F497D"/>
              <w:right w:val="double" w:sz="6" w:space="0" w:color="1F497D"/>
            </w:tcBorders>
            <w:shd w:val="clear" w:color="000000" w:fill="DCE6F1"/>
            <w:vAlign w:val="center"/>
            <w:hideMark/>
          </w:tcPr>
          <w:p w14:paraId="6828C487" w14:textId="77777777" w:rsidR="001341EC" w:rsidRPr="00493BFE" w:rsidRDefault="001341EC" w:rsidP="00165AA6">
            <w:pPr>
              <w:rPr>
                <w:rFonts w:ascii="Book Antiqua" w:hAnsi="Book Antiqua"/>
                <w:i/>
                <w:iCs/>
                <w:color w:val="000000"/>
                <w:lang w:eastAsia="es-CR"/>
              </w:rPr>
            </w:pPr>
            <w:r w:rsidRPr="00493BFE">
              <w:rPr>
                <w:rFonts w:ascii="Book Antiqua" w:hAnsi="Book Antiqua"/>
                <w:i/>
                <w:iCs/>
                <w:color w:val="000000"/>
                <w:sz w:val="22"/>
                <w:szCs w:val="22"/>
                <w:lang w:eastAsia="es-CR"/>
              </w:rPr>
              <w:t xml:space="preserve">Juzgado Agrario I Circ. </w:t>
            </w:r>
            <w:proofErr w:type="spellStart"/>
            <w:r w:rsidRPr="00493BFE">
              <w:rPr>
                <w:rFonts w:ascii="Book Antiqua" w:hAnsi="Book Antiqua"/>
                <w:i/>
                <w:iCs/>
                <w:color w:val="000000"/>
                <w:sz w:val="22"/>
                <w:szCs w:val="22"/>
                <w:lang w:eastAsia="es-CR"/>
              </w:rPr>
              <w:t>Jud</w:t>
            </w:r>
            <w:proofErr w:type="spellEnd"/>
            <w:r w:rsidRPr="00493BFE">
              <w:rPr>
                <w:rFonts w:ascii="Book Antiqua" w:hAnsi="Book Antiqua"/>
                <w:i/>
                <w:iCs/>
                <w:color w:val="000000"/>
                <w:sz w:val="22"/>
                <w:szCs w:val="22"/>
                <w:lang w:eastAsia="es-CR"/>
              </w:rPr>
              <w:t>. Guanacaste (Liberia)</w:t>
            </w:r>
          </w:p>
        </w:tc>
        <w:tc>
          <w:tcPr>
            <w:tcW w:w="1155" w:type="dxa"/>
            <w:tcBorders>
              <w:top w:val="nil"/>
              <w:left w:val="nil"/>
              <w:bottom w:val="double" w:sz="6" w:space="0" w:color="1F497D"/>
              <w:right w:val="double" w:sz="6" w:space="0" w:color="1F497D"/>
            </w:tcBorders>
            <w:shd w:val="clear" w:color="000000" w:fill="DCE6F1"/>
            <w:noWrap/>
            <w:vAlign w:val="center"/>
            <w:hideMark/>
          </w:tcPr>
          <w:p w14:paraId="7F085D55"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3</w:t>
            </w:r>
          </w:p>
        </w:tc>
        <w:tc>
          <w:tcPr>
            <w:tcW w:w="1485" w:type="dxa"/>
            <w:vMerge w:val="restart"/>
            <w:tcBorders>
              <w:top w:val="nil"/>
              <w:left w:val="double" w:sz="6" w:space="0" w:color="1F497D"/>
              <w:right w:val="double" w:sz="6" w:space="0" w:color="1F497D"/>
            </w:tcBorders>
            <w:shd w:val="clear" w:color="000000" w:fill="DCE6F1"/>
            <w:noWrap/>
            <w:vAlign w:val="center"/>
            <w:hideMark/>
          </w:tcPr>
          <w:p w14:paraId="7EF19477"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12</w:t>
            </w:r>
          </w:p>
        </w:tc>
        <w:tc>
          <w:tcPr>
            <w:tcW w:w="909"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14D98C8C"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0</w:t>
            </w:r>
          </w:p>
        </w:tc>
      </w:tr>
      <w:tr w:rsidR="001341EC" w:rsidRPr="00493BFE" w14:paraId="6A62B8BD" w14:textId="77777777" w:rsidTr="00165AA6">
        <w:trPr>
          <w:trHeight w:val="20"/>
          <w:jc w:val="center"/>
        </w:trPr>
        <w:tc>
          <w:tcPr>
            <w:tcW w:w="2752" w:type="dxa"/>
            <w:vMerge/>
            <w:tcBorders>
              <w:top w:val="nil"/>
              <w:left w:val="double" w:sz="6" w:space="0" w:color="1F497D"/>
              <w:bottom w:val="double" w:sz="6" w:space="0" w:color="1F497D"/>
              <w:right w:val="double" w:sz="6" w:space="0" w:color="1F497D"/>
            </w:tcBorders>
            <w:vAlign w:val="center"/>
            <w:hideMark/>
          </w:tcPr>
          <w:p w14:paraId="6879B2B3" w14:textId="77777777" w:rsidR="001341EC" w:rsidRPr="00493BFE" w:rsidRDefault="001341EC" w:rsidP="00165AA6">
            <w:pPr>
              <w:rPr>
                <w:rFonts w:ascii="Book Antiqua" w:hAnsi="Book Antiqua"/>
                <w:color w:val="000000"/>
                <w:lang w:eastAsia="es-CR"/>
              </w:rPr>
            </w:pPr>
          </w:p>
        </w:tc>
        <w:tc>
          <w:tcPr>
            <w:tcW w:w="1069" w:type="dxa"/>
            <w:vMerge/>
            <w:tcBorders>
              <w:top w:val="nil"/>
              <w:left w:val="double" w:sz="6" w:space="0" w:color="1F497D"/>
              <w:bottom w:val="double" w:sz="6" w:space="0" w:color="1F497D"/>
              <w:right w:val="double" w:sz="6" w:space="0" w:color="1F497D"/>
            </w:tcBorders>
            <w:vAlign w:val="center"/>
            <w:hideMark/>
          </w:tcPr>
          <w:p w14:paraId="1FC979EF" w14:textId="77777777" w:rsidR="001341EC" w:rsidRPr="00493BFE" w:rsidRDefault="001341EC" w:rsidP="00165AA6">
            <w:pPr>
              <w:rPr>
                <w:rFonts w:ascii="Book Antiqua" w:hAnsi="Book Antiqua" w:cs="Calibri"/>
                <w:color w:val="000000"/>
                <w:lang w:eastAsia="es-CR"/>
              </w:rPr>
            </w:pPr>
          </w:p>
        </w:tc>
        <w:tc>
          <w:tcPr>
            <w:tcW w:w="2813" w:type="dxa"/>
            <w:tcBorders>
              <w:top w:val="nil"/>
              <w:left w:val="nil"/>
              <w:bottom w:val="double" w:sz="6" w:space="0" w:color="1F497D"/>
              <w:right w:val="double" w:sz="6" w:space="0" w:color="1F497D"/>
            </w:tcBorders>
            <w:shd w:val="clear" w:color="000000" w:fill="DCE6F1"/>
            <w:vAlign w:val="center"/>
            <w:hideMark/>
          </w:tcPr>
          <w:p w14:paraId="0F5797CD" w14:textId="77777777" w:rsidR="001341EC" w:rsidRPr="00493BFE" w:rsidRDefault="001341EC" w:rsidP="00165AA6">
            <w:pPr>
              <w:rPr>
                <w:rFonts w:ascii="Book Antiqua" w:hAnsi="Book Antiqua"/>
                <w:i/>
                <w:iCs/>
                <w:color w:val="000000"/>
                <w:lang w:eastAsia="es-CR"/>
              </w:rPr>
            </w:pPr>
            <w:r w:rsidRPr="00493BFE">
              <w:rPr>
                <w:rFonts w:ascii="Book Antiqua" w:hAnsi="Book Antiqua"/>
                <w:i/>
                <w:iCs/>
                <w:color w:val="000000"/>
                <w:sz w:val="22"/>
                <w:szCs w:val="22"/>
                <w:lang w:eastAsia="es-CR"/>
              </w:rPr>
              <w:t xml:space="preserve">Juzgado Agrario I Circ. </w:t>
            </w:r>
            <w:proofErr w:type="spellStart"/>
            <w:r w:rsidRPr="00493BFE">
              <w:rPr>
                <w:rFonts w:ascii="Book Antiqua" w:hAnsi="Book Antiqua"/>
                <w:i/>
                <w:iCs/>
                <w:color w:val="000000"/>
                <w:sz w:val="22"/>
                <w:szCs w:val="22"/>
                <w:lang w:eastAsia="es-CR"/>
              </w:rPr>
              <w:t>Jud</w:t>
            </w:r>
            <w:proofErr w:type="spellEnd"/>
            <w:r w:rsidRPr="00493BFE">
              <w:rPr>
                <w:rFonts w:ascii="Book Antiqua" w:hAnsi="Book Antiqua"/>
                <w:i/>
                <w:iCs/>
                <w:color w:val="000000"/>
                <w:sz w:val="22"/>
                <w:szCs w:val="22"/>
                <w:lang w:eastAsia="es-CR"/>
              </w:rPr>
              <w:t>. Alajuela</w:t>
            </w:r>
          </w:p>
        </w:tc>
        <w:tc>
          <w:tcPr>
            <w:tcW w:w="1155" w:type="dxa"/>
            <w:tcBorders>
              <w:top w:val="nil"/>
              <w:left w:val="nil"/>
              <w:bottom w:val="double" w:sz="6" w:space="0" w:color="1F497D"/>
              <w:right w:val="double" w:sz="6" w:space="0" w:color="1F497D"/>
            </w:tcBorders>
            <w:shd w:val="clear" w:color="000000" w:fill="DCE6F1"/>
            <w:vAlign w:val="center"/>
            <w:hideMark/>
          </w:tcPr>
          <w:p w14:paraId="2E673C03"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4</w:t>
            </w:r>
          </w:p>
        </w:tc>
        <w:tc>
          <w:tcPr>
            <w:tcW w:w="1485" w:type="dxa"/>
            <w:vMerge/>
            <w:tcBorders>
              <w:left w:val="double" w:sz="6" w:space="0" w:color="1F497D"/>
              <w:bottom w:val="double" w:sz="6" w:space="0" w:color="1F497D"/>
              <w:right w:val="double" w:sz="6" w:space="0" w:color="1F497D"/>
            </w:tcBorders>
            <w:shd w:val="clear" w:color="000000" w:fill="DCE6F1"/>
            <w:vAlign w:val="center"/>
            <w:hideMark/>
          </w:tcPr>
          <w:p w14:paraId="4975FCD5" w14:textId="77777777" w:rsidR="001341EC" w:rsidRPr="00493BFE" w:rsidRDefault="001341EC" w:rsidP="00165AA6">
            <w:pPr>
              <w:jc w:val="center"/>
              <w:rPr>
                <w:rFonts w:ascii="Book Antiqua" w:hAnsi="Book Antiqua" w:cs="Calibri"/>
                <w:color w:val="000000"/>
                <w:lang w:eastAsia="es-CR"/>
              </w:rPr>
            </w:pPr>
          </w:p>
        </w:tc>
        <w:tc>
          <w:tcPr>
            <w:tcW w:w="909" w:type="dxa"/>
            <w:vMerge/>
            <w:tcBorders>
              <w:top w:val="nil"/>
              <w:left w:val="double" w:sz="6" w:space="0" w:color="1F497D"/>
              <w:bottom w:val="double" w:sz="6" w:space="0" w:color="1F497D"/>
              <w:right w:val="double" w:sz="6" w:space="0" w:color="1F497D"/>
            </w:tcBorders>
            <w:vAlign w:val="center"/>
            <w:hideMark/>
          </w:tcPr>
          <w:p w14:paraId="4E7144A1" w14:textId="77777777" w:rsidR="001341EC" w:rsidRPr="00493BFE" w:rsidRDefault="001341EC" w:rsidP="00165AA6">
            <w:pPr>
              <w:rPr>
                <w:rFonts w:ascii="Book Antiqua" w:hAnsi="Book Antiqua" w:cs="Calibri"/>
                <w:color w:val="000000"/>
                <w:lang w:eastAsia="es-CR"/>
              </w:rPr>
            </w:pPr>
          </w:p>
        </w:tc>
      </w:tr>
      <w:tr w:rsidR="001341EC" w:rsidRPr="00493BFE" w14:paraId="43E41E8A" w14:textId="77777777" w:rsidTr="00165AA6">
        <w:trPr>
          <w:trHeight w:val="20"/>
          <w:jc w:val="center"/>
        </w:trPr>
        <w:tc>
          <w:tcPr>
            <w:tcW w:w="2752" w:type="dxa"/>
            <w:tcBorders>
              <w:top w:val="nil"/>
              <w:left w:val="double" w:sz="6" w:space="0" w:color="1F497D"/>
              <w:bottom w:val="double" w:sz="6" w:space="0" w:color="1F497D"/>
              <w:right w:val="double" w:sz="6" w:space="0" w:color="1F497D"/>
            </w:tcBorders>
            <w:shd w:val="clear" w:color="auto" w:fill="auto"/>
            <w:vAlign w:val="center"/>
            <w:hideMark/>
          </w:tcPr>
          <w:p w14:paraId="68562C36" w14:textId="77777777" w:rsidR="001341EC" w:rsidRPr="00493BFE" w:rsidRDefault="001341EC" w:rsidP="00165AA6">
            <w:pPr>
              <w:rPr>
                <w:rFonts w:ascii="Book Antiqua" w:hAnsi="Book Antiqua"/>
                <w:color w:val="000000"/>
                <w:lang w:eastAsia="es-CR"/>
              </w:rPr>
            </w:pPr>
            <w:r w:rsidRPr="00493BFE">
              <w:rPr>
                <w:rFonts w:ascii="Book Antiqua" w:hAnsi="Book Antiqua"/>
                <w:color w:val="000000"/>
                <w:sz w:val="22"/>
                <w:szCs w:val="22"/>
                <w:lang w:eastAsia="es-CR"/>
              </w:rPr>
              <w:t xml:space="preserve">Juzgado Agrario I Circ. </w:t>
            </w:r>
            <w:proofErr w:type="spellStart"/>
            <w:r w:rsidRPr="00493BFE">
              <w:rPr>
                <w:rFonts w:ascii="Book Antiqua" w:hAnsi="Book Antiqua"/>
                <w:color w:val="000000"/>
                <w:sz w:val="22"/>
                <w:szCs w:val="22"/>
                <w:lang w:eastAsia="es-CR"/>
              </w:rPr>
              <w:t>Jud</w:t>
            </w:r>
            <w:proofErr w:type="spellEnd"/>
            <w:r w:rsidRPr="00493BFE">
              <w:rPr>
                <w:rFonts w:ascii="Book Antiqua" w:hAnsi="Book Antiqua"/>
                <w:color w:val="000000"/>
                <w:sz w:val="22"/>
                <w:szCs w:val="22"/>
                <w:lang w:eastAsia="es-CR"/>
              </w:rPr>
              <w:t>. Zona Sur (Pérez Zeledón)</w:t>
            </w:r>
          </w:p>
        </w:tc>
        <w:tc>
          <w:tcPr>
            <w:tcW w:w="1069" w:type="dxa"/>
            <w:tcBorders>
              <w:top w:val="nil"/>
              <w:left w:val="nil"/>
              <w:bottom w:val="double" w:sz="6" w:space="0" w:color="1F497D"/>
              <w:right w:val="double" w:sz="6" w:space="0" w:color="1F497D"/>
            </w:tcBorders>
            <w:shd w:val="clear" w:color="auto" w:fill="auto"/>
            <w:vAlign w:val="center"/>
            <w:hideMark/>
          </w:tcPr>
          <w:p w14:paraId="4CEAEFA1"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3</w:t>
            </w:r>
          </w:p>
        </w:tc>
        <w:tc>
          <w:tcPr>
            <w:tcW w:w="2813" w:type="dxa"/>
            <w:tcBorders>
              <w:top w:val="nil"/>
              <w:left w:val="nil"/>
              <w:bottom w:val="double" w:sz="6" w:space="0" w:color="1F497D"/>
              <w:right w:val="double" w:sz="6" w:space="0" w:color="1F497D"/>
            </w:tcBorders>
            <w:shd w:val="clear" w:color="auto" w:fill="auto"/>
            <w:vAlign w:val="center"/>
            <w:hideMark/>
          </w:tcPr>
          <w:p w14:paraId="6BF7CF6C" w14:textId="77777777" w:rsidR="001341EC" w:rsidRPr="00493BFE" w:rsidRDefault="001341EC" w:rsidP="00165AA6">
            <w:pPr>
              <w:rPr>
                <w:rFonts w:ascii="Book Antiqua" w:hAnsi="Book Antiqua"/>
                <w:i/>
                <w:iCs/>
                <w:color w:val="000000"/>
                <w:lang w:eastAsia="es-CR"/>
              </w:rPr>
            </w:pPr>
            <w:r w:rsidRPr="00493BFE">
              <w:rPr>
                <w:rFonts w:ascii="Book Antiqua" w:hAnsi="Book Antiqua"/>
                <w:i/>
                <w:iCs/>
                <w:color w:val="000000"/>
                <w:sz w:val="22"/>
                <w:szCs w:val="22"/>
                <w:lang w:eastAsia="es-CR"/>
              </w:rPr>
              <w:t xml:space="preserve">Juzgado Agrario II Circ. </w:t>
            </w:r>
            <w:proofErr w:type="spellStart"/>
            <w:r w:rsidRPr="00493BFE">
              <w:rPr>
                <w:rFonts w:ascii="Book Antiqua" w:hAnsi="Book Antiqua"/>
                <w:i/>
                <w:iCs/>
                <w:color w:val="000000"/>
                <w:sz w:val="22"/>
                <w:szCs w:val="22"/>
                <w:lang w:eastAsia="es-CR"/>
              </w:rPr>
              <w:t>Jud</w:t>
            </w:r>
            <w:proofErr w:type="spellEnd"/>
            <w:r w:rsidRPr="00493BFE">
              <w:rPr>
                <w:rFonts w:ascii="Book Antiqua" w:hAnsi="Book Antiqua"/>
                <w:i/>
                <w:iCs/>
                <w:color w:val="000000"/>
                <w:sz w:val="22"/>
                <w:szCs w:val="22"/>
                <w:lang w:eastAsia="es-CR"/>
              </w:rPr>
              <w:t>. Zona Sur (Corredores)</w:t>
            </w:r>
          </w:p>
        </w:tc>
        <w:tc>
          <w:tcPr>
            <w:tcW w:w="1155" w:type="dxa"/>
            <w:tcBorders>
              <w:top w:val="nil"/>
              <w:left w:val="nil"/>
              <w:bottom w:val="double" w:sz="6" w:space="0" w:color="1F497D"/>
              <w:right w:val="double" w:sz="6" w:space="0" w:color="1F497D"/>
            </w:tcBorders>
            <w:shd w:val="clear" w:color="auto" w:fill="auto"/>
            <w:vAlign w:val="center"/>
            <w:hideMark/>
          </w:tcPr>
          <w:p w14:paraId="1CDD5D92"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3</w:t>
            </w:r>
          </w:p>
        </w:tc>
        <w:tc>
          <w:tcPr>
            <w:tcW w:w="1485" w:type="dxa"/>
            <w:tcBorders>
              <w:top w:val="nil"/>
              <w:left w:val="nil"/>
              <w:bottom w:val="double" w:sz="6" w:space="0" w:color="1F497D"/>
              <w:right w:val="double" w:sz="6" w:space="0" w:color="1F497D"/>
            </w:tcBorders>
            <w:shd w:val="clear" w:color="auto" w:fill="auto"/>
            <w:vAlign w:val="center"/>
            <w:hideMark/>
          </w:tcPr>
          <w:p w14:paraId="735B5CEA"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6</w:t>
            </w:r>
          </w:p>
        </w:tc>
        <w:tc>
          <w:tcPr>
            <w:tcW w:w="909" w:type="dxa"/>
            <w:tcBorders>
              <w:top w:val="nil"/>
              <w:left w:val="nil"/>
              <w:bottom w:val="double" w:sz="6" w:space="0" w:color="1F497D"/>
              <w:right w:val="double" w:sz="6" w:space="0" w:color="1F497D"/>
            </w:tcBorders>
            <w:shd w:val="clear" w:color="auto" w:fill="auto"/>
            <w:vAlign w:val="center"/>
            <w:hideMark/>
          </w:tcPr>
          <w:p w14:paraId="130863AA"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-4</w:t>
            </w:r>
          </w:p>
        </w:tc>
      </w:tr>
      <w:tr w:rsidR="001341EC" w:rsidRPr="00493BFE" w14:paraId="442E542C" w14:textId="77777777" w:rsidTr="00165AA6">
        <w:trPr>
          <w:trHeight w:val="20"/>
          <w:jc w:val="center"/>
        </w:trPr>
        <w:tc>
          <w:tcPr>
            <w:tcW w:w="2752" w:type="dxa"/>
            <w:tcBorders>
              <w:top w:val="nil"/>
              <w:left w:val="double" w:sz="6" w:space="0" w:color="1F497D"/>
              <w:bottom w:val="double" w:sz="6" w:space="0" w:color="1F497D"/>
              <w:right w:val="double" w:sz="6" w:space="0" w:color="1F497D"/>
            </w:tcBorders>
            <w:shd w:val="clear" w:color="000000" w:fill="DCE6F1"/>
            <w:vAlign w:val="center"/>
            <w:hideMark/>
          </w:tcPr>
          <w:p w14:paraId="21746D4D" w14:textId="77777777" w:rsidR="001341EC" w:rsidRPr="00493BFE" w:rsidRDefault="001341EC" w:rsidP="00165AA6">
            <w:pPr>
              <w:rPr>
                <w:rFonts w:ascii="Book Antiqua" w:hAnsi="Book Antiqua"/>
                <w:color w:val="000000"/>
                <w:lang w:eastAsia="es-CR"/>
              </w:rPr>
            </w:pPr>
            <w:r w:rsidRPr="00493BFE">
              <w:rPr>
                <w:rFonts w:ascii="Book Antiqua" w:hAnsi="Book Antiqua"/>
                <w:color w:val="000000"/>
                <w:sz w:val="22"/>
                <w:szCs w:val="22"/>
                <w:lang w:eastAsia="es-CR"/>
              </w:rPr>
              <w:lastRenderedPageBreak/>
              <w:t xml:space="preserve">Juzgado Agrario II Circ. </w:t>
            </w:r>
            <w:proofErr w:type="spellStart"/>
            <w:r w:rsidRPr="00493BFE">
              <w:rPr>
                <w:rFonts w:ascii="Book Antiqua" w:hAnsi="Book Antiqua"/>
                <w:color w:val="000000"/>
                <w:sz w:val="22"/>
                <w:szCs w:val="22"/>
                <w:lang w:eastAsia="es-CR"/>
              </w:rPr>
              <w:t>Jud</w:t>
            </w:r>
            <w:proofErr w:type="spellEnd"/>
            <w:r w:rsidRPr="00493BFE">
              <w:rPr>
                <w:rFonts w:ascii="Book Antiqua" w:hAnsi="Book Antiqua"/>
                <w:color w:val="000000"/>
                <w:sz w:val="22"/>
                <w:szCs w:val="22"/>
                <w:lang w:eastAsia="es-CR"/>
              </w:rPr>
              <w:t>. Zona Atlántica (Pococí)</w:t>
            </w:r>
          </w:p>
        </w:tc>
        <w:tc>
          <w:tcPr>
            <w:tcW w:w="1069" w:type="dxa"/>
            <w:tcBorders>
              <w:top w:val="nil"/>
              <w:left w:val="nil"/>
              <w:bottom w:val="double" w:sz="6" w:space="0" w:color="1F497D"/>
              <w:right w:val="double" w:sz="6" w:space="0" w:color="1F497D"/>
            </w:tcBorders>
            <w:shd w:val="clear" w:color="000000" w:fill="DCE6F1"/>
            <w:noWrap/>
            <w:vAlign w:val="center"/>
            <w:hideMark/>
          </w:tcPr>
          <w:p w14:paraId="0A91DC4C"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11</w:t>
            </w:r>
          </w:p>
        </w:tc>
        <w:tc>
          <w:tcPr>
            <w:tcW w:w="2813" w:type="dxa"/>
            <w:tcBorders>
              <w:top w:val="nil"/>
              <w:left w:val="nil"/>
              <w:bottom w:val="double" w:sz="6" w:space="0" w:color="1F497D"/>
              <w:right w:val="double" w:sz="6" w:space="0" w:color="1F497D"/>
            </w:tcBorders>
            <w:shd w:val="clear" w:color="000000" w:fill="DCE6F1"/>
            <w:vAlign w:val="center"/>
            <w:hideMark/>
          </w:tcPr>
          <w:p w14:paraId="18BD015D" w14:textId="77777777" w:rsidR="001341EC" w:rsidRPr="00493BFE" w:rsidRDefault="001341EC" w:rsidP="00165AA6">
            <w:pPr>
              <w:rPr>
                <w:rFonts w:ascii="Book Antiqua" w:hAnsi="Book Antiqua"/>
                <w:i/>
                <w:iCs/>
                <w:color w:val="000000"/>
                <w:lang w:eastAsia="es-CR"/>
              </w:rPr>
            </w:pPr>
            <w:r w:rsidRPr="00493BFE">
              <w:rPr>
                <w:rFonts w:ascii="Book Antiqua" w:hAnsi="Book Antiqua"/>
                <w:i/>
                <w:iCs/>
                <w:color w:val="000000"/>
                <w:sz w:val="22"/>
                <w:szCs w:val="22"/>
                <w:lang w:eastAsia="es-CR"/>
              </w:rPr>
              <w:t xml:space="preserve">Juzgado Agrario I Circ. </w:t>
            </w:r>
            <w:proofErr w:type="spellStart"/>
            <w:r w:rsidRPr="00493BFE">
              <w:rPr>
                <w:rFonts w:ascii="Book Antiqua" w:hAnsi="Book Antiqua"/>
                <w:i/>
                <w:iCs/>
                <w:color w:val="000000"/>
                <w:sz w:val="22"/>
                <w:szCs w:val="22"/>
                <w:lang w:eastAsia="es-CR"/>
              </w:rPr>
              <w:t>Jud</w:t>
            </w:r>
            <w:proofErr w:type="spellEnd"/>
            <w:r w:rsidRPr="00493BFE">
              <w:rPr>
                <w:rFonts w:ascii="Book Antiqua" w:hAnsi="Book Antiqua"/>
                <w:i/>
                <w:iCs/>
                <w:color w:val="000000"/>
                <w:sz w:val="22"/>
                <w:szCs w:val="22"/>
                <w:lang w:eastAsia="es-CR"/>
              </w:rPr>
              <w:t>. Zona Atlántica (Limón)</w:t>
            </w:r>
          </w:p>
        </w:tc>
        <w:tc>
          <w:tcPr>
            <w:tcW w:w="1155" w:type="dxa"/>
            <w:tcBorders>
              <w:top w:val="nil"/>
              <w:left w:val="nil"/>
              <w:bottom w:val="double" w:sz="6" w:space="0" w:color="1F497D"/>
              <w:right w:val="double" w:sz="6" w:space="0" w:color="1F497D"/>
            </w:tcBorders>
            <w:shd w:val="clear" w:color="000000" w:fill="DCE6F1"/>
            <w:noWrap/>
            <w:vAlign w:val="bottom"/>
            <w:hideMark/>
          </w:tcPr>
          <w:p w14:paraId="25EA17A4"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4</w:t>
            </w:r>
          </w:p>
        </w:tc>
        <w:tc>
          <w:tcPr>
            <w:tcW w:w="1485" w:type="dxa"/>
            <w:tcBorders>
              <w:top w:val="nil"/>
              <w:left w:val="nil"/>
              <w:bottom w:val="double" w:sz="6" w:space="0" w:color="1F497D"/>
              <w:right w:val="double" w:sz="6" w:space="0" w:color="1F497D"/>
            </w:tcBorders>
            <w:shd w:val="clear" w:color="000000" w:fill="DCE6F1"/>
            <w:noWrap/>
            <w:vAlign w:val="bottom"/>
            <w:hideMark/>
          </w:tcPr>
          <w:p w14:paraId="2099B3AA"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7</w:t>
            </w:r>
          </w:p>
        </w:tc>
        <w:tc>
          <w:tcPr>
            <w:tcW w:w="909" w:type="dxa"/>
            <w:tcBorders>
              <w:top w:val="nil"/>
              <w:left w:val="nil"/>
              <w:bottom w:val="double" w:sz="6" w:space="0" w:color="1F497D"/>
              <w:right w:val="double" w:sz="6" w:space="0" w:color="1F497D"/>
            </w:tcBorders>
            <w:shd w:val="clear" w:color="000000" w:fill="DCE6F1"/>
            <w:vAlign w:val="center"/>
            <w:hideMark/>
          </w:tcPr>
          <w:p w14:paraId="438E465E"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4</w:t>
            </w:r>
          </w:p>
        </w:tc>
      </w:tr>
    </w:tbl>
    <w:p w14:paraId="405FF586" w14:textId="77777777" w:rsidR="001341EC" w:rsidRPr="00055D4B" w:rsidRDefault="001341EC" w:rsidP="001341EC">
      <w:pPr>
        <w:rPr>
          <w:rFonts w:ascii="Book Antiqua" w:hAnsi="Book Antiqua"/>
          <w:b/>
          <w:bCs/>
          <w:color w:val="000000"/>
          <w:szCs w:val="22"/>
          <w:lang w:eastAsia="es-CR"/>
        </w:rPr>
      </w:pPr>
      <w:r w:rsidRPr="00055D4B">
        <w:rPr>
          <w:rFonts w:ascii="Book Antiqua" w:hAnsi="Book Antiqua"/>
          <w:b/>
          <w:i/>
          <w:szCs w:val="22"/>
        </w:rPr>
        <w:t>Fuente: Elaboración propia, Subproceso de Modernización</w:t>
      </w:r>
    </w:p>
    <w:p w14:paraId="3C5AF1D8" w14:textId="77777777" w:rsidR="001341EC" w:rsidRPr="00055D4B" w:rsidRDefault="001341EC" w:rsidP="001341EC">
      <w:pPr>
        <w:rPr>
          <w:rFonts w:ascii="Book Antiqua" w:hAnsi="Book Antiqua"/>
          <w:sz w:val="22"/>
          <w:szCs w:val="22"/>
        </w:rPr>
      </w:pPr>
    </w:p>
    <w:p w14:paraId="07FCAEFC" w14:textId="77777777" w:rsidR="001341EC" w:rsidRPr="00493BFE" w:rsidRDefault="001341EC" w:rsidP="001341EC">
      <w:pPr>
        <w:jc w:val="both"/>
        <w:rPr>
          <w:rFonts w:ascii="Book Antiqua" w:hAnsi="Book Antiqua"/>
          <w:sz w:val="22"/>
          <w:szCs w:val="22"/>
        </w:rPr>
      </w:pPr>
      <w:r w:rsidRPr="00055D4B">
        <w:rPr>
          <w:rFonts w:ascii="Book Antiqua" w:hAnsi="Book Antiqua"/>
          <w:sz w:val="22"/>
          <w:szCs w:val="22"/>
        </w:rPr>
        <w:t>Como se observa, tres despachos requieren de colaboración al mantener la entrada de asuntos mayor a su capacidad instalada</w:t>
      </w:r>
      <w:r w:rsidRPr="00493BFE">
        <w:rPr>
          <w:rFonts w:ascii="Book Antiqua" w:hAnsi="Book Antiqua"/>
          <w:sz w:val="22"/>
          <w:szCs w:val="22"/>
        </w:rPr>
        <w:t xml:space="preserve"> (Santa Cruz, Pérez Zeledón y Pococí)</w:t>
      </w:r>
      <w:r w:rsidRPr="00055D4B">
        <w:rPr>
          <w:rFonts w:ascii="Book Antiqua" w:hAnsi="Book Antiqua"/>
          <w:sz w:val="22"/>
          <w:szCs w:val="22"/>
        </w:rPr>
        <w:t xml:space="preserve"> y pueden recibir colaboración de cuatro despachos</w:t>
      </w:r>
      <w:r w:rsidRPr="00493BFE">
        <w:rPr>
          <w:rFonts w:ascii="Book Antiqua" w:hAnsi="Book Antiqua"/>
          <w:sz w:val="22"/>
          <w:szCs w:val="22"/>
        </w:rPr>
        <w:t xml:space="preserve"> (Liberia, Alajuela, Corredores y Limón),</w:t>
      </w:r>
      <w:r w:rsidRPr="00055D4B">
        <w:rPr>
          <w:rFonts w:ascii="Book Antiqua" w:hAnsi="Book Antiqua"/>
          <w:sz w:val="22"/>
          <w:szCs w:val="22"/>
        </w:rPr>
        <w:t xml:space="preserve"> que por el contrario tienen capacidad instalada superior a la cantidad de asuntos entrados por mes por plaza de Jueza o Juez.</w:t>
      </w:r>
    </w:p>
    <w:p w14:paraId="03D19FEA" w14:textId="77777777" w:rsidR="001341EC" w:rsidRPr="00493BFE" w:rsidRDefault="001341EC" w:rsidP="001341EC">
      <w:pPr>
        <w:jc w:val="both"/>
        <w:rPr>
          <w:rFonts w:ascii="Book Antiqua" w:hAnsi="Book Antiqua"/>
          <w:sz w:val="22"/>
          <w:szCs w:val="22"/>
        </w:rPr>
      </w:pPr>
    </w:p>
    <w:p w14:paraId="1BF0877C"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En los casos que el saldo muestre números positivos</w:t>
      </w:r>
      <w:r w:rsidRPr="00055D4B">
        <w:rPr>
          <w:rFonts w:ascii="Book Antiqua" w:hAnsi="Book Antiqua"/>
          <w:sz w:val="22"/>
          <w:szCs w:val="22"/>
        </w:rPr>
        <w:t>, se interpreta</w:t>
      </w:r>
      <w:r w:rsidRPr="00493BFE">
        <w:rPr>
          <w:rFonts w:ascii="Book Antiqua" w:hAnsi="Book Antiqua"/>
          <w:sz w:val="22"/>
          <w:szCs w:val="22"/>
        </w:rPr>
        <w:t xml:space="preserve"> que el Juzgado que requiere colaboración, </w:t>
      </w:r>
      <w:r w:rsidRPr="00055D4B">
        <w:rPr>
          <w:rFonts w:ascii="Book Antiqua" w:hAnsi="Book Antiqua"/>
          <w:sz w:val="22"/>
          <w:szCs w:val="22"/>
        </w:rPr>
        <w:t>a pesar de la colaboración que se le brinde, siempre mantendrá algunos asuntos sin atender y requiere de un mayor apoyo.</w:t>
      </w:r>
    </w:p>
    <w:p w14:paraId="758A71B7" w14:textId="77777777" w:rsidR="001341EC" w:rsidRDefault="001341EC" w:rsidP="001341EC">
      <w:pPr>
        <w:jc w:val="both"/>
        <w:rPr>
          <w:rFonts w:ascii="Book Antiqua" w:hAnsi="Book Antiqua"/>
          <w:sz w:val="22"/>
          <w:szCs w:val="22"/>
        </w:rPr>
      </w:pPr>
    </w:p>
    <w:p w14:paraId="5B39793B" w14:textId="77777777" w:rsidR="001341EC" w:rsidRPr="00055D4B" w:rsidRDefault="001341EC" w:rsidP="001341EC">
      <w:pPr>
        <w:jc w:val="both"/>
        <w:rPr>
          <w:rFonts w:ascii="Book Antiqua" w:hAnsi="Book Antiqua"/>
          <w:sz w:val="22"/>
          <w:szCs w:val="22"/>
        </w:rPr>
      </w:pPr>
      <w:r w:rsidRPr="00493BFE">
        <w:rPr>
          <w:rFonts w:ascii="Book Antiqua" w:hAnsi="Book Antiqua"/>
          <w:sz w:val="22"/>
          <w:szCs w:val="22"/>
        </w:rPr>
        <w:t>Las cantidades negativas indican que el Juzgado que colabora</w:t>
      </w:r>
      <w:r w:rsidRPr="00055D4B">
        <w:rPr>
          <w:rFonts w:ascii="Book Antiqua" w:hAnsi="Book Antiqua"/>
          <w:sz w:val="22"/>
          <w:szCs w:val="22"/>
        </w:rPr>
        <w:t>,</w:t>
      </w:r>
      <w:r w:rsidRPr="00493BFE">
        <w:rPr>
          <w:rFonts w:ascii="Book Antiqua" w:hAnsi="Book Antiqua"/>
          <w:sz w:val="22"/>
          <w:szCs w:val="22"/>
        </w:rPr>
        <w:t xml:space="preserve"> podrá </w:t>
      </w:r>
      <w:r w:rsidRPr="00055D4B">
        <w:rPr>
          <w:rFonts w:ascii="Book Antiqua" w:hAnsi="Book Antiqua"/>
          <w:sz w:val="22"/>
          <w:szCs w:val="22"/>
        </w:rPr>
        <w:t>brindar mayor colaboración a otro despacho, por ejemplo</w:t>
      </w:r>
      <w:r>
        <w:rPr>
          <w:rFonts w:ascii="Book Antiqua" w:hAnsi="Book Antiqua"/>
          <w:sz w:val="22"/>
          <w:szCs w:val="22"/>
        </w:rPr>
        <w:t>,</w:t>
      </w:r>
      <w:r w:rsidRPr="00055D4B">
        <w:rPr>
          <w:rFonts w:ascii="Book Antiqua" w:hAnsi="Book Antiqua"/>
          <w:sz w:val="22"/>
          <w:szCs w:val="22"/>
        </w:rPr>
        <w:t xml:space="preserve"> </w:t>
      </w:r>
      <w:r w:rsidRPr="00493BFE">
        <w:rPr>
          <w:rFonts w:ascii="Book Antiqua" w:hAnsi="Book Antiqua"/>
          <w:sz w:val="22"/>
          <w:szCs w:val="22"/>
        </w:rPr>
        <w:t xml:space="preserve">el Juzgado Agrario de Corredores, </w:t>
      </w:r>
      <w:r w:rsidRPr="00055D4B">
        <w:rPr>
          <w:rFonts w:ascii="Book Antiqua" w:hAnsi="Book Antiqua"/>
          <w:sz w:val="22"/>
          <w:szCs w:val="22"/>
        </w:rPr>
        <w:t xml:space="preserve">podrá brindar </w:t>
      </w:r>
      <w:r w:rsidRPr="00493BFE">
        <w:rPr>
          <w:rFonts w:ascii="Book Antiqua" w:hAnsi="Book Antiqua"/>
          <w:sz w:val="22"/>
          <w:szCs w:val="22"/>
        </w:rPr>
        <w:t xml:space="preserve">la colaboración </w:t>
      </w:r>
      <w:r w:rsidRPr="00055D4B">
        <w:rPr>
          <w:rFonts w:ascii="Book Antiqua" w:hAnsi="Book Antiqua"/>
          <w:sz w:val="22"/>
          <w:szCs w:val="22"/>
        </w:rPr>
        <w:t>n</w:t>
      </w:r>
      <w:r w:rsidRPr="00493BFE">
        <w:rPr>
          <w:rFonts w:ascii="Book Antiqua" w:hAnsi="Book Antiqua"/>
          <w:sz w:val="22"/>
          <w:szCs w:val="22"/>
        </w:rPr>
        <w:t>ecesaria a</w:t>
      </w:r>
      <w:r w:rsidRPr="00055D4B">
        <w:rPr>
          <w:rFonts w:ascii="Book Antiqua" w:hAnsi="Book Antiqua"/>
          <w:sz w:val="22"/>
          <w:szCs w:val="22"/>
        </w:rPr>
        <w:t xml:space="preserve"> Pérez Zeledón, </w:t>
      </w:r>
      <w:r w:rsidRPr="00493BFE">
        <w:rPr>
          <w:rFonts w:ascii="Book Antiqua" w:hAnsi="Book Antiqua"/>
          <w:sz w:val="22"/>
          <w:szCs w:val="22"/>
        </w:rPr>
        <w:t>y además</w:t>
      </w:r>
      <w:r w:rsidRPr="00055D4B">
        <w:rPr>
          <w:rFonts w:ascii="Book Antiqua" w:hAnsi="Book Antiqua"/>
          <w:sz w:val="22"/>
          <w:szCs w:val="22"/>
        </w:rPr>
        <w:t xml:space="preserve"> a Pococí</w:t>
      </w:r>
      <w:r w:rsidRPr="00493BFE">
        <w:rPr>
          <w:rFonts w:ascii="Book Antiqua" w:hAnsi="Book Antiqua"/>
          <w:sz w:val="22"/>
          <w:szCs w:val="22"/>
        </w:rPr>
        <w:t xml:space="preserve">. </w:t>
      </w:r>
      <w:r>
        <w:rPr>
          <w:rFonts w:ascii="Book Antiqua" w:hAnsi="Book Antiqua"/>
          <w:sz w:val="22"/>
          <w:szCs w:val="22"/>
        </w:rPr>
        <w:t>Habrá que determinar en conjunto con la Comisión de Agrario el plan de trabajo para potenciar estas ayudas de acuerdo a las bondades informáticas del modelo de gestión instalado en la materia agraria.</w:t>
      </w:r>
    </w:p>
    <w:p w14:paraId="46ECC119" w14:textId="77777777" w:rsidR="001341EC" w:rsidRPr="00493BFE" w:rsidRDefault="001341EC" w:rsidP="001341EC">
      <w:pPr>
        <w:jc w:val="both"/>
        <w:rPr>
          <w:rFonts w:ascii="Book Antiqua" w:hAnsi="Book Antiqua"/>
          <w:sz w:val="22"/>
          <w:szCs w:val="22"/>
        </w:rPr>
      </w:pPr>
    </w:p>
    <w:p w14:paraId="03B8AECF" w14:textId="77777777" w:rsidR="001341EC" w:rsidRPr="00493BFE" w:rsidRDefault="001341EC" w:rsidP="001341EC">
      <w:pPr>
        <w:jc w:val="both"/>
        <w:rPr>
          <w:rFonts w:ascii="Book Antiqua" w:hAnsi="Book Antiqua"/>
          <w:sz w:val="22"/>
          <w:szCs w:val="22"/>
        </w:rPr>
      </w:pPr>
      <w:r w:rsidRPr="00055D4B">
        <w:rPr>
          <w:rFonts w:ascii="Book Antiqua" w:hAnsi="Book Antiqua"/>
          <w:sz w:val="22"/>
          <w:szCs w:val="22"/>
        </w:rPr>
        <w:t>Es importante indicar que</w:t>
      </w:r>
      <w:r w:rsidRPr="00493BFE">
        <w:rPr>
          <w:rFonts w:ascii="Book Antiqua" w:hAnsi="Book Antiqua"/>
          <w:sz w:val="22"/>
          <w:szCs w:val="22"/>
        </w:rPr>
        <w:t>,</w:t>
      </w:r>
      <w:r w:rsidRPr="00055D4B">
        <w:rPr>
          <w:rFonts w:ascii="Book Antiqua" w:hAnsi="Book Antiqua"/>
          <w:sz w:val="22"/>
          <w:szCs w:val="22"/>
        </w:rPr>
        <w:t xml:space="preserve"> para poder brindar dichas colaboraciones, establecidas en el cuadro anterior, es necesario que se extienda la competencia territorial de estas oficinas.</w:t>
      </w:r>
    </w:p>
    <w:p w14:paraId="5F16DCB1" w14:textId="77777777" w:rsidR="001341EC" w:rsidRPr="00493BFE" w:rsidRDefault="001341EC" w:rsidP="001341EC">
      <w:pPr>
        <w:jc w:val="both"/>
        <w:rPr>
          <w:rFonts w:ascii="Book Antiqua" w:hAnsi="Book Antiqua"/>
          <w:sz w:val="22"/>
          <w:szCs w:val="22"/>
        </w:rPr>
      </w:pPr>
    </w:p>
    <w:p w14:paraId="0B1D5390" w14:textId="77777777" w:rsidR="001341EC" w:rsidRPr="00493BFE" w:rsidRDefault="001341EC" w:rsidP="001341EC">
      <w:pPr>
        <w:jc w:val="both"/>
        <w:rPr>
          <w:rFonts w:ascii="Book Antiqua" w:hAnsi="Book Antiqua"/>
          <w:sz w:val="22"/>
          <w:szCs w:val="22"/>
        </w:rPr>
      </w:pPr>
      <w:r w:rsidRPr="00055D4B">
        <w:rPr>
          <w:rFonts w:ascii="Book Antiqua" w:hAnsi="Book Antiqua"/>
          <w:sz w:val="22"/>
          <w:szCs w:val="22"/>
        </w:rPr>
        <w:t>Por otro lado, l</w:t>
      </w:r>
      <w:r w:rsidRPr="00493BFE">
        <w:rPr>
          <w:rFonts w:ascii="Book Antiqua" w:hAnsi="Book Antiqua"/>
          <w:sz w:val="22"/>
          <w:szCs w:val="22"/>
        </w:rPr>
        <w:t>a terminación de procesos por motivos distintos a la sentencia también es un punto relevante para asegurar que se atienda la entrada de los juzgados, como se mencionó en líneas anteriores, por lo tanto, el ejercicio anterior se replica para los asuntos terminados por otras razones, los datos se muestran a continuación:</w:t>
      </w:r>
    </w:p>
    <w:p w14:paraId="7F1B65F1" w14:textId="77777777" w:rsidR="001341EC" w:rsidRPr="00493BFE" w:rsidRDefault="001341EC" w:rsidP="001341EC">
      <w:pPr>
        <w:jc w:val="both"/>
        <w:rPr>
          <w:rFonts w:ascii="Book Antiqua" w:hAnsi="Book Antiqua"/>
          <w:sz w:val="22"/>
          <w:szCs w:val="22"/>
        </w:rPr>
      </w:pPr>
    </w:p>
    <w:p w14:paraId="5922DC50"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 xml:space="preserve">Cuadro </w:t>
      </w:r>
      <w:r w:rsidR="009A23D1" w:rsidRPr="00126FA8">
        <w:rPr>
          <w:rFonts w:ascii="Book Antiqua" w:hAnsi="Book Antiqua"/>
          <w:bCs w:val="0"/>
          <w:iCs/>
          <w:sz w:val="22"/>
          <w:szCs w:val="24"/>
          <w:lang w:val="es-CR"/>
        </w:rPr>
        <w:fldChar w:fldCharType="begin"/>
      </w:r>
      <w:r w:rsidRPr="00126FA8">
        <w:rPr>
          <w:rFonts w:ascii="Book Antiqua" w:hAnsi="Book Antiqua"/>
          <w:bCs w:val="0"/>
          <w:iCs/>
          <w:sz w:val="22"/>
          <w:szCs w:val="24"/>
          <w:lang w:val="es-CR"/>
        </w:rPr>
        <w:instrText xml:space="preserve"> SEQ Cuadro \* ARABIC </w:instrText>
      </w:r>
      <w:r w:rsidR="009A23D1" w:rsidRPr="00126FA8">
        <w:rPr>
          <w:rFonts w:ascii="Book Antiqua" w:hAnsi="Book Antiqua"/>
          <w:bCs w:val="0"/>
          <w:iCs/>
          <w:sz w:val="22"/>
          <w:szCs w:val="24"/>
          <w:lang w:val="es-CR"/>
        </w:rPr>
        <w:fldChar w:fldCharType="separate"/>
      </w:r>
      <w:r w:rsidRPr="00126FA8">
        <w:rPr>
          <w:rFonts w:ascii="Book Antiqua" w:hAnsi="Book Antiqua"/>
          <w:bCs w:val="0"/>
          <w:iCs/>
          <w:sz w:val="22"/>
          <w:szCs w:val="24"/>
          <w:lang w:val="es-CR"/>
        </w:rPr>
        <w:t>8</w:t>
      </w:r>
      <w:r w:rsidR="009A23D1" w:rsidRPr="00126FA8">
        <w:rPr>
          <w:rFonts w:ascii="Book Antiqua" w:hAnsi="Book Antiqua"/>
          <w:bCs w:val="0"/>
          <w:iCs/>
          <w:sz w:val="22"/>
          <w:szCs w:val="24"/>
          <w:lang w:val="es-CR"/>
        </w:rPr>
        <w:fldChar w:fldCharType="end"/>
      </w:r>
    </w:p>
    <w:p w14:paraId="296ADC61"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Resumen de los despachos que deberán recibir y brindar colaboración para terminar asuntos por otros motivos distintos a sentencia por mes</w:t>
      </w:r>
    </w:p>
    <w:tbl>
      <w:tblPr>
        <w:tblW w:w="9963" w:type="dxa"/>
        <w:jc w:val="center"/>
        <w:tblCellMar>
          <w:left w:w="70" w:type="dxa"/>
          <w:right w:w="70" w:type="dxa"/>
        </w:tblCellMar>
        <w:tblLook w:val="04A0" w:firstRow="1" w:lastRow="0" w:firstColumn="1" w:lastColumn="0" w:noHBand="0" w:noVBand="1"/>
      </w:tblPr>
      <w:tblGrid>
        <w:gridCol w:w="2781"/>
        <w:gridCol w:w="984"/>
        <w:gridCol w:w="2843"/>
        <w:gridCol w:w="1155"/>
        <w:gridCol w:w="1485"/>
        <w:gridCol w:w="715"/>
      </w:tblGrid>
      <w:tr w:rsidR="001341EC" w:rsidRPr="00493BFE" w14:paraId="0F69C213" w14:textId="77777777" w:rsidTr="00165AA6">
        <w:trPr>
          <w:trHeight w:val="199"/>
          <w:jc w:val="center"/>
        </w:trPr>
        <w:tc>
          <w:tcPr>
            <w:tcW w:w="9963" w:type="dxa"/>
            <w:gridSpan w:val="6"/>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03953D9F"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Otros motivos de término</w:t>
            </w:r>
          </w:p>
        </w:tc>
      </w:tr>
      <w:tr w:rsidR="001341EC" w:rsidRPr="00493BFE" w14:paraId="6711391B" w14:textId="77777777" w:rsidTr="00165AA6">
        <w:trPr>
          <w:trHeight w:val="436"/>
          <w:jc w:val="center"/>
        </w:trPr>
        <w:tc>
          <w:tcPr>
            <w:tcW w:w="2781" w:type="dxa"/>
            <w:tcBorders>
              <w:top w:val="nil"/>
              <w:left w:val="double" w:sz="6" w:space="0" w:color="1F497D"/>
              <w:bottom w:val="double" w:sz="6" w:space="0" w:color="1F497D"/>
              <w:right w:val="double" w:sz="6" w:space="0" w:color="1F497D"/>
            </w:tcBorders>
            <w:shd w:val="clear" w:color="000000" w:fill="8DB4E2"/>
            <w:vAlign w:val="center"/>
            <w:hideMark/>
          </w:tcPr>
          <w:p w14:paraId="6747070D"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Requiere colaboración</w:t>
            </w:r>
          </w:p>
        </w:tc>
        <w:tc>
          <w:tcPr>
            <w:tcW w:w="984" w:type="dxa"/>
            <w:tcBorders>
              <w:top w:val="nil"/>
              <w:left w:val="nil"/>
              <w:bottom w:val="double" w:sz="6" w:space="0" w:color="1F497D"/>
              <w:right w:val="double" w:sz="6" w:space="0" w:color="1F497D"/>
            </w:tcBorders>
            <w:shd w:val="clear" w:color="000000" w:fill="8DB4E2"/>
            <w:vAlign w:val="center"/>
            <w:hideMark/>
          </w:tcPr>
          <w:p w14:paraId="2AE667BF"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Lo que se requiere</w:t>
            </w:r>
          </w:p>
        </w:tc>
        <w:tc>
          <w:tcPr>
            <w:tcW w:w="2843" w:type="dxa"/>
            <w:tcBorders>
              <w:top w:val="nil"/>
              <w:left w:val="nil"/>
              <w:bottom w:val="double" w:sz="6" w:space="0" w:color="1F497D"/>
              <w:right w:val="double" w:sz="6" w:space="0" w:color="1F497D"/>
            </w:tcBorders>
            <w:shd w:val="clear" w:color="000000" w:fill="8DB4E2"/>
            <w:vAlign w:val="center"/>
            <w:hideMark/>
          </w:tcPr>
          <w:p w14:paraId="6426E50C"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Recibe colaboración de</w:t>
            </w:r>
          </w:p>
        </w:tc>
        <w:tc>
          <w:tcPr>
            <w:tcW w:w="1155" w:type="dxa"/>
            <w:tcBorders>
              <w:top w:val="nil"/>
              <w:left w:val="nil"/>
              <w:bottom w:val="double" w:sz="6" w:space="0" w:color="1F497D"/>
              <w:right w:val="double" w:sz="6" w:space="0" w:color="1F497D"/>
            </w:tcBorders>
            <w:shd w:val="clear" w:color="000000" w:fill="8DB4E2"/>
            <w:vAlign w:val="center"/>
            <w:hideMark/>
          </w:tcPr>
          <w:p w14:paraId="432DF552"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Cuanto recibe por persona Juzgadora</w:t>
            </w:r>
          </w:p>
        </w:tc>
        <w:tc>
          <w:tcPr>
            <w:tcW w:w="1485" w:type="dxa"/>
            <w:tcBorders>
              <w:top w:val="nil"/>
              <w:left w:val="nil"/>
              <w:bottom w:val="double" w:sz="6" w:space="0" w:color="1F497D"/>
              <w:right w:val="double" w:sz="6" w:space="0" w:color="1F497D"/>
            </w:tcBorders>
            <w:shd w:val="clear" w:color="000000" w:fill="8DB4E2"/>
            <w:vAlign w:val="center"/>
            <w:hideMark/>
          </w:tcPr>
          <w:p w14:paraId="55291D36"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Total de Colaboración entre el personal juzgador</w:t>
            </w:r>
          </w:p>
        </w:tc>
        <w:tc>
          <w:tcPr>
            <w:tcW w:w="715" w:type="dxa"/>
            <w:tcBorders>
              <w:top w:val="nil"/>
              <w:left w:val="nil"/>
              <w:bottom w:val="double" w:sz="6" w:space="0" w:color="1F497D"/>
              <w:right w:val="double" w:sz="6" w:space="0" w:color="1F497D"/>
            </w:tcBorders>
            <w:shd w:val="clear" w:color="000000" w:fill="8DB4E2"/>
            <w:vAlign w:val="center"/>
            <w:hideMark/>
          </w:tcPr>
          <w:p w14:paraId="255272F7"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Saldo</w:t>
            </w:r>
          </w:p>
        </w:tc>
      </w:tr>
      <w:tr w:rsidR="001341EC" w:rsidRPr="00493BFE" w14:paraId="379FBC39" w14:textId="77777777" w:rsidTr="00165AA6">
        <w:trPr>
          <w:trHeight w:val="199"/>
          <w:jc w:val="center"/>
        </w:trPr>
        <w:tc>
          <w:tcPr>
            <w:tcW w:w="2781" w:type="dxa"/>
            <w:tcBorders>
              <w:top w:val="nil"/>
              <w:left w:val="double" w:sz="6" w:space="0" w:color="1F497D"/>
              <w:bottom w:val="double" w:sz="6" w:space="0" w:color="1F497D"/>
              <w:right w:val="double" w:sz="6" w:space="0" w:color="1F497D"/>
            </w:tcBorders>
            <w:shd w:val="clear" w:color="auto" w:fill="auto"/>
            <w:vAlign w:val="center"/>
            <w:hideMark/>
          </w:tcPr>
          <w:p w14:paraId="1AC8B6AC" w14:textId="77777777" w:rsidR="001341EC" w:rsidRPr="00493BFE" w:rsidRDefault="001341EC" w:rsidP="00165AA6">
            <w:pPr>
              <w:rPr>
                <w:rFonts w:ascii="Book Antiqua" w:hAnsi="Book Antiqua"/>
                <w:color w:val="000000"/>
                <w:lang w:eastAsia="es-CR"/>
              </w:rPr>
            </w:pPr>
            <w:r w:rsidRPr="00493BFE">
              <w:rPr>
                <w:rFonts w:ascii="Book Antiqua" w:hAnsi="Book Antiqua"/>
                <w:color w:val="000000"/>
                <w:sz w:val="22"/>
                <w:szCs w:val="22"/>
                <w:lang w:eastAsia="es-CR"/>
              </w:rPr>
              <w:t xml:space="preserve">Juzgado Agrario II Circ. </w:t>
            </w:r>
            <w:proofErr w:type="spellStart"/>
            <w:r w:rsidRPr="00493BFE">
              <w:rPr>
                <w:rFonts w:ascii="Book Antiqua" w:hAnsi="Book Antiqua"/>
                <w:color w:val="000000"/>
                <w:sz w:val="22"/>
                <w:szCs w:val="22"/>
                <w:lang w:eastAsia="es-CR"/>
              </w:rPr>
              <w:t>Jud</w:t>
            </w:r>
            <w:proofErr w:type="spellEnd"/>
            <w:r w:rsidRPr="00493BFE">
              <w:rPr>
                <w:rFonts w:ascii="Book Antiqua" w:hAnsi="Book Antiqua"/>
                <w:color w:val="000000"/>
                <w:sz w:val="22"/>
                <w:szCs w:val="22"/>
                <w:lang w:eastAsia="es-CR"/>
              </w:rPr>
              <w:t>. Alajuela (San Carlos)</w:t>
            </w:r>
          </w:p>
        </w:tc>
        <w:tc>
          <w:tcPr>
            <w:tcW w:w="984" w:type="dxa"/>
            <w:tcBorders>
              <w:top w:val="nil"/>
              <w:left w:val="nil"/>
              <w:bottom w:val="double" w:sz="6" w:space="0" w:color="1F497D"/>
              <w:right w:val="double" w:sz="6" w:space="0" w:color="1F497D"/>
            </w:tcBorders>
            <w:shd w:val="clear" w:color="auto" w:fill="auto"/>
            <w:vAlign w:val="center"/>
            <w:hideMark/>
          </w:tcPr>
          <w:p w14:paraId="2114B39C"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8</w:t>
            </w:r>
          </w:p>
        </w:tc>
        <w:tc>
          <w:tcPr>
            <w:tcW w:w="2843" w:type="dxa"/>
            <w:tcBorders>
              <w:top w:val="nil"/>
              <w:left w:val="nil"/>
              <w:bottom w:val="double" w:sz="6" w:space="0" w:color="1F497D"/>
              <w:right w:val="double" w:sz="6" w:space="0" w:color="1F497D"/>
            </w:tcBorders>
            <w:shd w:val="clear" w:color="auto" w:fill="auto"/>
            <w:vAlign w:val="center"/>
            <w:hideMark/>
          </w:tcPr>
          <w:p w14:paraId="323B3A52" w14:textId="77777777" w:rsidR="001341EC" w:rsidRPr="00493BFE" w:rsidRDefault="001341EC" w:rsidP="00165AA6">
            <w:pPr>
              <w:rPr>
                <w:rFonts w:ascii="Book Antiqua" w:hAnsi="Book Antiqua"/>
                <w:i/>
                <w:iCs/>
                <w:color w:val="000000"/>
                <w:lang w:eastAsia="es-CR"/>
              </w:rPr>
            </w:pPr>
            <w:r w:rsidRPr="00493BFE">
              <w:rPr>
                <w:rFonts w:ascii="Book Antiqua" w:hAnsi="Book Antiqua"/>
                <w:i/>
                <w:iCs/>
                <w:color w:val="000000"/>
                <w:sz w:val="22"/>
                <w:szCs w:val="22"/>
                <w:lang w:eastAsia="es-CR"/>
              </w:rPr>
              <w:t xml:space="preserve">Juzgado Agrario II Circ. </w:t>
            </w:r>
            <w:proofErr w:type="spellStart"/>
            <w:r w:rsidRPr="00493BFE">
              <w:rPr>
                <w:rFonts w:ascii="Book Antiqua" w:hAnsi="Book Antiqua"/>
                <w:i/>
                <w:iCs/>
                <w:color w:val="000000"/>
                <w:sz w:val="22"/>
                <w:szCs w:val="22"/>
                <w:lang w:eastAsia="es-CR"/>
              </w:rPr>
              <w:t>Jud</w:t>
            </w:r>
            <w:proofErr w:type="spellEnd"/>
            <w:r w:rsidRPr="00493BFE">
              <w:rPr>
                <w:rFonts w:ascii="Book Antiqua" w:hAnsi="Book Antiqua"/>
                <w:i/>
                <w:iCs/>
                <w:color w:val="000000"/>
                <w:sz w:val="22"/>
                <w:szCs w:val="22"/>
                <w:lang w:eastAsia="es-CR"/>
              </w:rPr>
              <w:t>. Zona Sur (Corredores)</w:t>
            </w:r>
          </w:p>
        </w:tc>
        <w:tc>
          <w:tcPr>
            <w:tcW w:w="1155" w:type="dxa"/>
            <w:tcBorders>
              <w:top w:val="nil"/>
              <w:left w:val="nil"/>
              <w:bottom w:val="double" w:sz="6" w:space="0" w:color="1F497D"/>
              <w:right w:val="double" w:sz="6" w:space="0" w:color="1F497D"/>
            </w:tcBorders>
            <w:shd w:val="clear" w:color="auto" w:fill="auto"/>
            <w:vAlign w:val="center"/>
            <w:hideMark/>
          </w:tcPr>
          <w:p w14:paraId="25391CAE"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4</w:t>
            </w:r>
          </w:p>
        </w:tc>
        <w:tc>
          <w:tcPr>
            <w:tcW w:w="1485" w:type="dxa"/>
            <w:tcBorders>
              <w:top w:val="nil"/>
              <w:left w:val="nil"/>
              <w:bottom w:val="double" w:sz="6" w:space="0" w:color="1F497D"/>
              <w:right w:val="double" w:sz="6" w:space="0" w:color="1F497D"/>
            </w:tcBorders>
            <w:shd w:val="clear" w:color="auto" w:fill="auto"/>
            <w:vAlign w:val="center"/>
            <w:hideMark/>
          </w:tcPr>
          <w:p w14:paraId="1B0DFE3A"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8</w:t>
            </w:r>
          </w:p>
        </w:tc>
        <w:tc>
          <w:tcPr>
            <w:tcW w:w="715" w:type="dxa"/>
            <w:tcBorders>
              <w:top w:val="nil"/>
              <w:left w:val="nil"/>
              <w:bottom w:val="double" w:sz="6" w:space="0" w:color="1F497D"/>
              <w:right w:val="double" w:sz="6" w:space="0" w:color="1F497D"/>
            </w:tcBorders>
            <w:shd w:val="clear" w:color="auto" w:fill="auto"/>
            <w:vAlign w:val="center"/>
            <w:hideMark/>
          </w:tcPr>
          <w:p w14:paraId="02DEC7B2"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0</w:t>
            </w:r>
          </w:p>
        </w:tc>
      </w:tr>
      <w:tr w:rsidR="001341EC" w:rsidRPr="00493BFE" w14:paraId="35BDE24F" w14:textId="77777777" w:rsidTr="00165AA6">
        <w:trPr>
          <w:trHeight w:val="199"/>
          <w:jc w:val="center"/>
        </w:trPr>
        <w:tc>
          <w:tcPr>
            <w:tcW w:w="2781" w:type="dxa"/>
            <w:tcBorders>
              <w:top w:val="nil"/>
              <w:left w:val="double" w:sz="6" w:space="0" w:color="1F497D"/>
              <w:bottom w:val="double" w:sz="6" w:space="0" w:color="1F497D"/>
              <w:right w:val="double" w:sz="6" w:space="0" w:color="1F497D"/>
            </w:tcBorders>
            <w:shd w:val="clear" w:color="auto" w:fill="auto"/>
            <w:vAlign w:val="center"/>
            <w:hideMark/>
          </w:tcPr>
          <w:p w14:paraId="0604B845" w14:textId="77777777" w:rsidR="001341EC" w:rsidRPr="00493BFE" w:rsidRDefault="001341EC" w:rsidP="00165AA6">
            <w:pPr>
              <w:rPr>
                <w:rFonts w:ascii="Book Antiqua" w:hAnsi="Book Antiqua"/>
                <w:color w:val="000000"/>
                <w:lang w:eastAsia="es-CR"/>
              </w:rPr>
            </w:pPr>
            <w:r w:rsidRPr="00493BFE">
              <w:rPr>
                <w:rFonts w:ascii="Book Antiqua" w:hAnsi="Book Antiqua"/>
                <w:color w:val="000000"/>
                <w:sz w:val="22"/>
                <w:szCs w:val="22"/>
                <w:lang w:eastAsia="es-CR"/>
              </w:rPr>
              <w:t xml:space="preserve">Juzgado Agrario II Circ. </w:t>
            </w:r>
            <w:proofErr w:type="spellStart"/>
            <w:r w:rsidRPr="00493BFE">
              <w:rPr>
                <w:rFonts w:ascii="Book Antiqua" w:hAnsi="Book Antiqua"/>
                <w:color w:val="000000"/>
                <w:sz w:val="22"/>
                <w:szCs w:val="22"/>
                <w:lang w:eastAsia="es-CR"/>
              </w:rPr>
              <w:t>Jud</w:t>
            </w:r>
            <w:proofErr w:type="spellEnd"/>
            <w:r w:rsidRPr="00493BFE">
              <w:rPr>
                <w:rFonts w:ascii="Book Antiqua" w:hAnsi="Book Antiqua"/>
                <w:color w:val="000000"/>
                <w:sz w:val="22"/>
                <w:szCs w:val="22"/>
                <w:lang w:eastAsia="es-CR"/>
              </w:rPr>
              <w:t>. Guanacaste (Santa Cruz)</w:t>
            </w:r>
          </w:p>
        </w:tc>
        <w:tc>
          <w:tcPr>
            <w:tcW w:w="984" w:type="dxa"/>
            <w:tcBorders>
              <w:top w:val="nil"/>
              <w:left w:val="nil"/>
              <w:bottom w:val="double" w:sz="6" w:space="0" w:color="1F497D"/>
              <w:right w:val="double" w:sz="6" w:space="0" w:color="1F497D"/>
            </w:tcBorders>
            <w:shd w:val="clear" w:color="auto" w:fill="auto"/>
            <w:vAlign w:val="center"/>
            <w:hideMark/>
          </w:tcPr>
          <w:p w14:paraId="7E1DE636"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10</w:t>
            </w:r>
          </w:p>
        </w:tc>
        <w:tc>
          <w:tcPr>
            <w:tcW w:w="2843" w:type="dxa"/>
            <w:tcBorders>
              <w:top w:val="nil"/>
              <w:left w:val="nil"/>
              <w:bottom w:val="double" w:sz="6" w:space="0" w:color="1F497D"/>
              <w:right w:val="double" w:sz="6" w:space="0" w:color="1F497D"/>
            </w:tcBorders>
            <w:shd w:val="clear" w:color="auto" w:fill="auto"/>
            <w:vAlign w:val="center"/>
            <w:hideMark/>
          </w:tcPr>
          <w:p w14:paraId="5C1599D4" w14:textId="77777777" w:rsidR="001341EC" w:rsidRPr="00493BFE" w:rsidRDefault="001341EC" w:rsidP="00165AA6">
            <w:pPr>
              <w:rPr>
                <w:rFonts w:ascii="Book Antiqua" w:hAnsi="Book Antiqua"/>
                <w:i/>
                <w:iCs/>
                <w:color w:val="000000"/>
                <w:lang w:eastAsia="es-CR"/>
              </w:rPr>
            </w:pPr>
            <w:r w:rsidRPr="00493BFE">
              <w:rPr>
                <w:rFonts w:ascii="Book Antiqua" w:hAnsi="Book Antiqua"/>
                <w:i/>
                <w:iCs/>
                <w:color w:val="000000"/>
                <w:sz w:val="22"/>
                <w:szCs w:val="22"/>
                <w:lang w:eastAsia="es-CR"/>
              </w:rPr>
              <w:t xml:space="preserve">Juzgado Agrario I Circ. </w:t>
            </w:r>
            <w:proofErr w:type="spellStart"/>
            <w:r w:rsidRPr="00493BFE">
              <w:rPr>
                <w:rFonts w:ascii="Book Antiqua" w:hAnsi="Book Antiqua"/>
                <w:i/>
                <w:iCs/>
                <w:color w:val="000000"/>
                <w:sz w:val="22"/>
                <w:szCs w:val="22"/>
                <w:lang w:eastAsia="es-CR"/>
              </w:rPr>
              <w:t>Jud</w:t>
            </w:r>
            <w:proofErr w:type="spellEnd"/>
            <w:r w:rsidRPr="00493BFE">
              <w:rPr>
                <w:rFonts w:ascii="Book Antiqua" w:hAnsi="Book Antiqua"/>
                <w:i/>
                <w:iCs/>
                <w:color w:val="000000"/>
                <w:sz w:val="22"/>
                <w:szCs w:val="22"/>
                <w:lang w:eastAsia="es-CR"/>
              </w:rPr>
              <w:t xml:space="preserve">. Alajuela </w:t>
            </w:r>
          </w:p>
        </w:tc>
        <w:tc>
          <w:tcPr>
            <w:tcW w:w="1155" w:type="dxa"/>
            <w:tcBorders>
              <w:top w:val="nil"/>
              <w:left w:val="nil"/>
              <w:bottom w:val="double" w:sz="6" w:space="0" w:color="1F497D"/>
              <w:right w:val="double" w:sz="6" w:space="0" w:color="1F497D"/>
            </w:tcBorders>
            <w:shd w:val="clear" w:color="auto" w:fill="auto"/>
            <w:vAlign w:val="center"/>
            <w:hideMark/>
          </w:tcPr>
          <w:p w14:paraId="43BB4FBA"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6</w:t>
            </w:r>
          </w:p>
        </w:tc>
        <w:tc>
          <w:tcPr>
            <w:tcW w:w="1485" w:type="dxa"/>
            <w:tcBorders>
              <w:top w:val="nil"/>
              <w:left w:val="nil"/>
              <w:bottom w:val="double" w:sz="6" w:space="0" w:color="1F497D"/>
              <w:right w:val="double" w:sz="6" w:space="0" w:color="1F497D"/>
            </w:tcBorders>
            <w:shd w:val="clear" w:color="auto" w:fill="auto"/>
            <w:vAlign w:val="center"/>
            <w:hideMark/>
          </w:tcPr>
          <w:p w14:paraId="03EE7A20"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12</w:t>
            </w:r>
          </w:p>
        </w:tc>
        <w:tc>
          <w:tcPr>
            <w:tcW w:w="715" w:type="dxa"/>
            <w:tcBorders>
              <w:top w:val="nil"/>
              <w:left w:val="nil"/>
              <w:bottom w:val="double" w:sz="6" w:space="0" w:color="1F497D"/>
              <w:right w:val="double" w:sz="6" w:space="0" w:color="1F497D"/>
            </w:tcBorders>
            <w:shd w:val="clear" w:color="auto" w:fill="auto"/>
            <w:vAlign w:val="center"/>
            <w:hideMark/>
          </w:tcPr>
          <w:p w14:paraId="6ECFD226"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-2</w:t>
            </w:r>
          </w:p>
        </w:tc>
      </w:tr>
      <w:tr w:rsidR="001341EC" w:rsidRPr="00493BFE" w14:paraId="2449C719" w14:textId="77777777" w:rsidTr="00165AA6">
        <w:trPr>
          <w:trHeight w:val="193"/>
          <w:jc w:val="center"/>
        </w:trPr>
        <w:tc>
          <w:tcPr>
            <w:tcW w:w="2781"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509FB6C2"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Juzgado Agrario II Circ. </w:t>
            </w:r>
            <w:proofErr w:type="spellStart"/>
            <w:r w:rsidRPr="00493BFE">
              <w:rPr>
                <w:rFonts w:ascii="Book Antiqua" w:hAnsi="Book Antiqua"/>
                <w:color w:val="000000"/>
                <w:sz w:val="22"/>
                <w:szCs w:val="22"/>
                <w:lang w:eastAsia="es-CR"/>
              </w:rPr>
              <w:lastRenderedPageBreak/>
              <w:t>Jud</w:t>
            </w:r>
            <w:proofErr w:type="spellEnd"/>
            <w:r w:rsidRPr="00493BFE">
              <w:rPr>
                <w:rFonts w:ascii="Book Antiqua" w:hAnsi="Book Antiqua"/>
                <w:color w:val="000000"/>
                <w:sz w:val="22"/>
                <w:szCs w:val="22"/>
                <w:lang w:eastAsia="es-CR"/>
              </w:rPr>
              <w:t>. Zona Atlántica (Pococí)</w:t>
            </w:r>
          </w:p>
        </w:tc>
        <w:tc>
          <w:tcPr>
            <w:tcW w:w="984"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1A3303F3"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lastRenderedPageBreak/>
              <w:t>7</w:t>
            </w:r>
          </w:p>
        </w:tc>
        <w:tc>
          <w:tcPr>
            <w:tcW w:w="2843" w:type="dxa"/>
            <w:tcBorders>
              <w:top w:val="nil"/>
              <w:left w:val="nil"/>
              <w:bottom w:val="double" w:sz="6" w:space="0" w:color="1F497D"/>
              <w:right w:val="double" w:sz="6" w:space="0" w:color="1F497D"/>
            </w:tcBorders>
            <w:shd w:val="clear" w:color="000000" w:fill="DCE6F1"/>
            <w:vAlign w:val="center"/>
            <w:hideMark/>
          </w:tcPr>
          <w:p w14:paraId="322B4217" w14:textId="77777777" w:rsidR="001341EC" w:rsidRPr="00493BFE" w:rsidRDefault="001341EC" w:rsidP="00165AA6">
            <w:pPr>
              <w:rPr>
                <w:rFonts w:ascii="Book Antiqua" w:hAnsi="Book Antiqua"/>
                <w:i/>
                <w:iCs/>
                <w:color w:val="000000"/>
                <w:lang w:eastAsia="es-CR"/>
              </w:rPr>
            </w:pPr>
            <w:r w:rsidRPr="00493BFE">
              <w:rPr>
                <w:rFonts w:ascii="Book Antiqua" w:hAnsi="Book Antiqua"/>
                <w:i/>
                <w:iCs/>
                <w:color w:val="000000"/>
                <w:sz w:val="22"/>
                <w:szCs w:val="22"/>
                <w:lang w:eastAsia="es-CR"/>
              </w:rPr>
              <w:t xml:space="preserve">Juzgado Agrario I Circ. </w:t>
            </w:r>
            <w:proofErr w:type="spellStart"/>
            <w:r w:rsidRPr="00493BFE">
              <w:rPr>
                <w:rFonts w:ascii="Book Antiqua" w:hAnsi="Book Antiqua"/>
                <w:i/>
                <w:iCs/>
                <w:color w:val="000000"/>
                <w:sz w:val="22"/>
                <w:szCs w:val="22"/>
                <w:lang w:eastAsia="es-CR"/>
              </w:rPr>
              <w:t>Jud</w:t>
            </w:r>
            <w:proofErr w:type="spellEnd"/>
            <w:r w:rsidRPr="00493BFE">
              <w:rPr>
                <w:rFonts w:ascii="Book Antiqua" w:hAnsi="Book Antiqua"/>
                <w:i/>
                <w:iCs/>
                <w:color w:val="000000"/>
                <w:sz w:val="22"/>
                <w:szCs w:val="22"/>
                <w:lang w:eastAsia="es-CR"/>
              </w:rPr>
              <w:t xml:space="preserve">. </w:t>
            </w:r>
            <w:r w:rsidRPr="00493BFE">
              <w:rPr>
                <w:rFonts w:ascii="Book Antiqua" w:hAnsi="Book Antiqua"/>
                <w:i/>
                <w:iCs/>
                <w:color w:val="000000"/>
                <w:sz w:val="22"/>
                <w:szCs w:val="22"/>
                <w:lang w:eastAsia="es-CR"/>
              </w:rPr>
              <w:lastRenderedPageBreak/>
              <w:t>Zona Atlántica (Limón)</w:t>
            </w:r>
          </w:p>
        </w:tc>
        <w:tc>
          <w:tcPr>
            <w:tcW w:w="1155" w:type="dxa"/>
            <w:tcBorders>
              <w:top w:val="nil"/>
              <w:left w:val="nil"/>
              <w:bottom w:val="double" w:sz="6" w:space="0" w:color="1F497D"/>
              <w:right w:val="double" w:sz="6" w:space="0" w:color="1F497D"/>
            </w:tcBorders>
            <w:shd w:val="clear" w:color="000000" w:fill="DCE6F1"/>
            <w:vAlign w:val="center"/>
            <w:hideMark/>
          </w:tcPr>
          <w:p w14:paraId="40934AC4"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lastRenderedPageBreak/>
              <w:t>1</w:t>
            </w:r>
          </w:p>
        </w:tc>
        <w:tc>
          <w:tcPr>
            <w:tcW w:w="1485"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6DA815F2"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7</w:t>
            </w:r>
          </w:p>
        </w:tc>
        <w:tc>
          <w:tcPr>
            <w:tcW w:w="715" w:type="dxa"/>
            <w:vMerge w:val="restart"/>
            <w:tcBorders>
              <w:top w:val="nil"/>
              <w:left w:val="double" w:sz="6" w:space="0" w:color="1F497D"/>
              <w:bottom w:val="double" w:sz="6" w:space="0" w:color="1F497D"/>
              <w:right w:val="double" w:sz="6" w:space="0" w:color="1F497D"/>
            </w:tcBorders>
            <w:shd w:val="clear" w:color="000000" w:fill="DCE6F1"/>
            <w:vAlign w:val="center"/>
            <w:hideMark/>
          </w:tcPr>
          <w:p w14:paraId="645ECF76"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0</w:t>
            </w:r>
          </w:p>
        </w:tc>
      </w:tr>
      <w:tr w:rsidR="001341EC" w:rsidRPr="00493BFE" w14:paraId="7DB81A90" w14:textId="77777777" w:rsidTr="00165AA6">
        <w:trPr>
          <w:trHeight w:val="288"/>
          <w:jc w:val="center"/>
        </w:trPr>
        <w:tc>
          <w:tcPr>
            <w:tcW w:w="2781" w:type="dxa"/>
            <w:vMerge/>
            <w:tcBorders>
              <w:top w:val="nil"/>
              <w:left w:val="double" w:sz="6" w:space="0" w:color="1F497D"/>
              <w:bottom w:val="double" w:sz="6" w:space="0" w:color="1F497D"/>
              <w:right w:val="double" w:sz="6" w:space="0" w:color="1F497D"/>
            </w:tcBorders>
            <w:vAlign w:val="center"/>
            <w:hideMark/>
          </w:tcPr>
          <w:p w14:paraId="3D67CCC5" w14:textId="77777777" w:rsidR="001341EC" w:rsidRPr="00493BFE" w:rsidRDefault="001341EC" w:rsidP="00165AA6">
            <w:pPr>
              <w:rPr>
                <w:rFonts w:ascii="Book Antiqua" w:hAnsi="Book Antiqua"/>
                <w:color w:val="000000"/>
                <w:lang w:eastAsia="es-CR"/>
              </w:rPr>
            </w:pPr>
          </w:p>
        </w:tc>
        <w:tc>
          <w:tcPr>
            <w:tcW w:w="984" w:type="dxa"/>
            <w:vMerge/>
            <w:tcBorders>
              <w:top w:val="nil"/>
              <w:left w:val="double" w:sz="6" w:space="0" w:color="1F497D"/>
              <w:bottom w:val="double" w:sz="6" w:space="0" w:color="1F497D"/>
              <w:right w:val="double" w:sz="6" w:space="0" w:color="1F497D"/>
            </w:tcBorders>
            <w:vAlign w:val="center"/>
            <w:hideMark/>
          </w:tcPr>
          <w:p w14:paraId="52276E5E" w14:textId="77777777" w:rsidR="001341EC" w:rsidRPr="00493BFE" w:rsidRDefault="001341EC" w:rsidP="00165AA6">
            <w:pPr>
              <w:rPr>
                <w:rFonts w:ascii="Book Antiqua" w:hAnsi="Book Antiqua" w:cs="Calibri"/>
                <w:color w:val="000000"/>
                <w:lang w:eastAsia="es-CR"/>
              </w:rPr>
            </w:pPr>
          </w:p>
        </w:tc>
        <w:tc>
          <w:tcPr>
            <w:tcW w:w="2843" w:type="dxa"/>
            <w:tcBorders>
              <w:top w:val="nil"/>
              <w:left w:val="nil"/>
              <w:bottom w:val="double" w:sz="6" w:space="0" w:color="1F497D"/>
              <w:right w:val="double" w:sz="6" w:space="0" w:color="1F497D"/>
            </w:tcBorders>
            <w:shd w:val="clear" w:color="000000" w:fill="DCE6F1"/>
            <w:vAlign w:val="center"/>
            <w:hideMark/>
          </w:tcPr>
          <w:p w14:paraId="4DC1ECF5" w14:textId="77777777" w:rsidR="001341EC" w:rsidRPr="00493BFE" w:rsidRDefault="001341EC" w:rsidP="00165AA6">
            <w:pPr>
              <w:rPr>
                <w:rFonts w:ascii="Book Antiqua" w:hAnsi="Book Antiqua"/>
                <w:i/>
                <w:iCs/>
                <w:color w:val="000000"/>
                <w:lang w:eastAsia="es-CR"/>
              </w:rPr>
            </w:pPr>
            <w:r w:rsidRPr="00493BFE">
              <w:rPr>
                <w:rFonts w:ascii="Book Antiqua" w:hAnsi="Book Antiqua"/>
                <w:i/>
                <w:iCs/>
                <w:color w:val="000000"/>
                <w:sz w:val="22"/>
                <w:szCs w:val="22"/>
                <w:lang w:eastAsia="es-CR"/>
              </w:rPr>
              <w:t xml:space="preserve"> Juzgado Agrario Cartago</w:t>
            </w:r>
          </w:p>
        </w:tc>
        <w:tc>
          <w:tcPr>
            <w:tcW w:w="1155" w:type="dxa"/>
            <w:tcBorders>
              <w:top w:val="nil"/>
              <w:left w:val="nil"/>
              <w:bottom w:val="double" w:sz="6" w:space="0" w:color="1F497D"/>
              <w:right w:val="double" w:sz="6" w:space="0" w:color="1F497D"/>
            </w:tcBorders>
            <w:shd w:val="clear" w:color="000000" w:fill="DCE6F1"/>
            <w:vAlign w:val="center"/>
            <w:hideMark/>
          </w:tcPr>
          <w:p w14:paraId="23AC408F"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3</w:t>
            </w:r>
          </w:p>
        </w:tc>
        <w:tc>
          <w:tcPr>
            <w:tcW w:w="1485" w:type="dxa"/>
            <w:vMerge/>
            <w:tcBorders>
              <w:top w:val="nil"/>
              <w:left w:val="double" w:sz="6" w:space="0" w:color="1F497D"/>
              <w:bottom w:val="double" w:sz="6" w:space="0" w:color="1F497D"/>
              <w:right w:val="double" w:sz="6" w:space="0" w:color="1F497D"/>
            </w:tcBorders>
            <w:vAlign w:val="center"/>
            <w:hideMark/>
          </w:tcPr>
          <w:p w14:paraId="2235615A" w14:textId="77777777" w:rsidR="001341EC" w:rsidRPr="00493BFE" w:rsidRDefault="001341EC" w:rsidP="00165AA6">
            <w:pPr>
              <w:rPr>
                <w:rFonts w:ascii="Book Antiqua" w:hAnsi="Book Antiqua" w:cs="Calibri"/>
                <w:color w:val="000000"/>
                <w:lang w:eastAsia="es-CR"/>
              </w:rPr>
            </w:pPr>
          </w:p>
        </w:tc>
        <w:tc>
          <w:tcPr>
            <w:tcW w:w="715" w:type="dxa"/>
            <w:vMerge/>
            <w:tcBorders>
              <w:top w:val="nil"/>
              <w:left w:val="double" w:sz="6" w:space="0" w:color="1F497D"/>
              <w:bottom w:val="double" w:sz="6" w:space="0" w:color="1F497D"/>
              <w:right w:val="double" w:sz="6" w:space="0" w:color="1F497D"/>
            </w:tcBorders>
            <w:vAlign w:val="center"/>
            <w:hideMark/>
          </w:tcPr>
          <w:p w14:paraId="74E48465" w14:textId="77777777" w:rsidR="001341EC" w:rsidRPr="00493BFE" w:rsidRDefault="001341EC" w:rsidP="00165AA6">
            <w:pPr>
              <w:rPr>
                <w:rFonts w:ascii="Book Antiqua" w:hAnsi="Book Antiqua" w:cs="Calibri"/>
                <w:color w:val="000000"/>
                <w:lang w:eastAsia="es-CR"/>
              </w:rPr>
            </w:pPr>
          </w:p>
        </w:tc>
      </w:tr>
    </w:tbl>
    <w:p w14:paraId="1ADFFA87" w14:textId="77777777" w:rsidR="001341EC" w:rsidRPr="00493BFE" w:rsidRDefault="001341EC" w:rsidP="001341EC">
      <w:pPr>
        <w:rPr>
          <w:rFonts w:ascii="Book Antiqua" w:hAnsi="Book Antiqua"/>
          <w:b/>
          <w:bCs/>
          <w:color w:val="000000"/>
          <w:sz w:val="22"/>
          <w:szCs w:val="22"/>
          <w:lang w:eastAsia="es-CR"/>
        </w:rPr>
      </w:pPr>
      <w:r w:rsidRPr="00493BFE">
        <w:rPr>
          <w:rFonts w:ascii="Book Antiqua" w:hAnsi="Book Antiqua"/>
          <w:b/>
          <w:i/>
          <w:sz w:val="22"/>
          <w:szCs w:val="22"/>
        </w:rPr>
        <w:t>Fuente: Elaboración propia, Subproceso de Modernización</w:t>
      </w:r>
    </w:p>
    <w:p w14:paraId="1D9ADC65" w14:textId="77777777" w:rsidR="001341EC" w:rsidRPr="00493BFE" w:rsidRDefault="001341EC" w:rsidP="001341EC">
      <w:pPr>
        <w:rPr>
          <w:rFonts w:ascii="Book Antiqua" w:hAnsi="Book Antiqua"/>
          <w:sz w:val="22"/>
          <w:szCs w:val="22"/>
        </w:rPr>
      </w:pPr>
    </w:p>
    <w:p w14:paraId="5905CFE1"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 xml:space="preserve">La situación más crítica se presentará en el Juzgado Agrario de Santa Cruz, sin embargo; con el planteamiento </w:t>
      </w:r>
      <w:r w:rsidRPr="00055D4B">
        <w:rPr>
          <w:rFonts w:ascii="Book Antiqua" w:hAnsi="Book Antiqua"/>
          <w:sz w:val="22"/>
          <w:szCs w:val="22"/>
        </w:rPr>
        <w:t xml:space="preserve">del cuadro anterior, </w:t>
      </w:r>
      <w:r w:rsidRPr="00493BFE">
        <w:rPr>
          <w:rFonts w:ascii="Book Antiqua" w:hAnsi="Book Antiqua"/>
          <w:sz w:val="22"/>
          <w:szCs w:val="22"/>
        </w:rPr>
        <w:t>se podrá subsanar la necesidad de colaboración con el equipo juzgador</w:t>
      </w:r>
      <w:r w:rsidRPr="00055D4B">
        <w:rPr>
          <w:rFonts w:ascii="Book Antiqua" w:hAnsi="Book Antiqua"/>
          <w:sz w:val="22"/>
          <w:szCs w:val="22"/>
        </w:rPr>
        <w:t xml:space="preserve"> y técnico que conforma la estructura ordinaria</w:t>
      </w:r>
      <w:r w:rsidRPr="00493BFE">
        <w:rPr>
          <w:rFonts w:ascii="Book Antiqua" w:hAnsi="Book Antiqua"/>
          <w:sz w:val="22"/>
          <w:szCs w:val="22"/>
        </w:rPr>
        <w:t xml:space="preserve">.  </w:t>
      </w:r>
    </w:p>
    <w:p w14:paraId="4F04C5A0" w14:textId="77777777" w:rsidR="001341EC" w:rsidRPr="00493BFE" w:rsidRDefault="001341EC" w:rsidP="001341EC">
      <w:pPr>
        <w:jc w:val="both"/>
        <w:rPr>
          <w:rFonts w:ascii="Book Antiqua" w:hAnsi="Book Antiqua"/>
          <w:sz w:val="22"/>
          <w:szCs w:val="22"/>
        </w:rPr>
      </w:pPr>
    </w:p>
    <w:p w14:paraId="051E71A1" w14:textId="77777777" w:rsidR="001341EC" w:rsidRPr="00493BFE" w:rsidRDefault="001341EC" w:rsidP="001341EC">
      <w:pPr>
        <w:jc w:val="both"/>
        <w:rPr>
          <w:rFonts w:ascii="Book Antiqua" w:hAnsi="Book Antiqua"/>
          <w:sz w:val="22"/>
          <w:szCs w:val="22"/>
        </w:rPr>
      </w:pPr>
      <w:r w:rsidRPr="00493BFE">
        <w:rPr>
          <w:rFonts w:ascii="Book Antiqua" w:hAnsi="Book Antiqua"/>
          <w:sz w:val="22"/>
          <w:szCs w:val="22"/>
        </w:rPr>
        <w:t xml:space="preserve">Expuesto el análisis anterior, se concluye que existe la necesidad de ampliar la competencia territorial de las personas juzgadoras </w:t>
      </w:r>
      <w:r w:rsidRPr="00055D4B">
        <w:rPr>
          <w:rFonts w:ascii="Book Antiqua" w:hAnsi="Book Antiqua"/>
          <w:sz w:val="22"/>
          <w:szCs w:val="22"/>
        </w:rPr>
        <w:t xml:space="preserve">en materia </w:t>
      </w:r>
      <w:r w:rsidRPr="00493BFE">
        <w:rPr>
          <w:rFonts w:ascii="Book Antiqua" w:hAnsi="Book Antiqua"/>
          <w:sz w:val="22"/>
          <w:szCs w:val="22"/>
        </w:rPr>
        <w:t xml:space="preserve">Agraria a todo el territorio </w:t>
      </w:r>
      <w:r w:rsidRPr="00055D4B">
        <w:rPr>
          <w:rFonts w:ascii="Book Antiqua" w:hAnsi="Book Antiqua"/>
          <w:sz w:val="22"/>
          <w:szCs w:val="22"/>
        </w:rPr>
        <w:t>nacional,</w:t>
      </w:r>
      <w:r w:rsidRPr="00493BFE">
        <w:rPr>
          <w:rFonts w:ascii="Book Antiqua" w:hAnsi="Book Antiqua"/>
          <w:sz w:val="22"/>
          <w:szCs w:val="22"/>
        </w:rPr>
        <w:t xml:space="preserve"> con la finalidad de utilizar el recurso existente para atender las necesidades de esta jurisdicción; velando por una pronta respuesta a la persona usuaria</w:t>
      </w:r>
      <w:r w:rsidRPr="00055D4B">
        <w:rPr>
          <w:rFonts w:ascii="Book Antiqua" w:hAnsi="Book Antiqua"/>
          <w:sz w:val="22"/>
          <w:szCs w:val="22"/>
        </w:rPr>
        <w:t xml:space="preserve"> y maximizando los recursos públicos </w:t>
      </w:r>
      <w:r w:rsidRPr="00493BFE">
        <w:rPr>
          <w:rFonts w:ascii="Book Antiqua" w:hAnsi="Book Antiqua"/>
          <w:sz w:val="22"/>
          <w:szCs w:val="22"/>
        </w:rPr>
        <w:t>del Poder Judicial</w:t>
      </w:r>
      <w:r w:rsidRPr="00055D4B">
        <w:rPr>
          <w:rFonts w:ascii="Book Antiqua" w:hAnsi="Book Antiqua"/>
          <w:sz w:val="22"/>
          <w:szCs w:val="22"/>
        </w:rPr>
        <w:t>, sin necesidad de crec</w:t>
      </w:r>
      <w:r w:rsidRPr="00493BFE">
        <w:rPr>
          <w:rFonts w:ascii="Book Antiqua" w:hAnsi="Book Antiqua"/>
          <w:sz w:val="22"/>
          <w:szCs w:val="22"/>
        </w:rPr>
        <w:t>imiento</w:t>
      </w:r>
      <w:r w:rsidRPr="00055D4B">
        <w:rPr>
          <w:rFonts w:ascii="Book Antiqua" w:hAnsi="Book Antiqua"/>
          <w:sz w:val="22"/>
          <w:szCs w:val="22"/>
        </w:rPr>
        <w:t xml:space="preserve"> en recurso humano</w:t>
      </w:r>
      <w:r>
        <w:rPr>
          <w:rFonts w:ascii="Book Antiqua" w:hAnsi="Book Antiqua"/>
          <w:sz w:val="22"/>
          <w:szCs w:val="22"/>
        </w:rPr>
        <w:t>.</w:t>
      </w:r>
    </w:p>
    <w:bookmarkEnd w:id="12"/>
    <w:p w14:paraId="7BF9F38B" w14:textId="77777777" w:rsidR="001341EC" w:rsidRDefault="001341EC" w:rsidP="001341EC">
      <w:pPr>
        <w:jc w:val="both"/>
        <w:rPr>
          <w:rFonts w:ascii="Book Antiqua" w:hAnsi="Book Antiqua"/>
          <w:sz w:val="24"/>
          <w:szCs w:val="24"/>
        </w:rPr>
      </w:pPr>
      <w:r w:rsidRPr="000D3830">
        <w:rPr>
          <w:rFonts w:ascii="Book Antiqua" w:hAnsi="Book Antiqua"/>
          <w:sz w:val="24"/>
          <w:szCs w:val="24"/>
        </w:rPr>
        <w:t>Con lo anterior, no solo se logra ajustar al parámetro de asuntos por plaza de Jueza o Juez, sino, además, la relación de asuntos entrados versus la cantidad de asuntos terminados, el cual superará 100% para todo el país</w:t>
      </w:r>
      <w:r>
        <w:rPr>
          <w:rFonts w:ascii="Book Antiqua" w:hAnsi="Book Antiqua"/>
          <w:sz w:val="24"/>
          <w:szCs w:val="24"/>
        </w:rPr>
        <w:t>.</w:t>
      </w:r>
    </w:p>
    <w:p w14:paraId="3F011554" w14:textId="77777777" w:rsidR="001341EC" w:rsidRDefault="001341EC" w:rsidP="001341EC">
      <w:pPr>
        <w:jc w:val="both"/>
        <w:rPr>
          <w:rFonts w:ascii="Book Antiqua" w:hAnsi="Book Antiqua"/>
          <w:sz w:val="24"/>
          <w:szCs w:val="24"/>
        </w:rPr>
      </w:pPr>
    </w:p>
    <w:p w14:paraId="279C1ED8" w14:textId="77777777" w:rsidR="001341EC" w:rsidRDefault="001341EC" w:rsidP="001341EC">
      <w:pPr>
        <w:jc w:val="both"/>
        <w:rPr>
          <w:rFonts w:ascii="Book Antiqua" w:hAnsi="Book Antiqua"/>
          <w:sz w:val="22"/>
          <w:szCs w:val="24"/>
          <w:lang w:eastAsia="es-CR"/>
        </w:rPr>
      </w:pPr>
      <w:r>
        <w:rPr>
          <w:rFonts w:ascii="Book Antiqua" w:hAnsi="Book Antiqua"/>
          <w:sz w:val="22"/>
          <w:szCs w:val="24"/>
          <w:lang w:eastAsia="es-CR"/>
        </w:rPr>
        <w:t>Cabe recalcar que, para fines de la colaboración entre despachos, se debe maximizar el uso de los recursos tecnológicos como el Escritorio virtual, videoconferencia, entre otros, así como de los recursos humano y físicos.</w:t>
      </w:r>
    </w:p>
    <w:p w14:paraId="2B580A74" w14:textId="77777777" w:rsidR="001341EC" w:rsidRPr="000D3830" w:rsidRDefault="001341EC" w:rsidP="001341EC">
      <w:pPr>
        <w:jc w:val="both"/>
        <w:rPr>
          <w:rFonts w:ascii="Book Antiqua" w:hAnsi="Book Antiqua"/>
          <w:sz w:val="24"/>
          <w:szCs w:val="24"/>
        </w:rPr>
      </w:pPr>
    </w:p>
    <w:p w14:paraId="6B95D0A4" w14:textId="77777777" w:rsidR="001341EC" w:rsidRDefault="001341EC" w:rsidP="001341EC">
      <w:pPr>
        <w:jc w:val="both"/>
        <w:rPr>
          <w:rFonts w:ascii="Book Antiqua" w:hAnsi="Book Antiqua"/>
        </w:rPr>
      </w:pPr>
    </w:p>
    <w:bookmarkEnd w:id="7"/>
    <w:p w14:paraId="6D720EDF" w14:textId="77777777" w:rsidR="001341EC" w:rsidRDefault="001341EC" w:rsidP="001341EC">
      <w:pPr>
        <w:jc w:val="both"/>
        <w:rPr>
          <w:rFonts w:ascii="Book Antiqua" w:hAnsi="Book Antiqua"/>
          <w:sz w:val="22"/>
          <w:szCs w:val="22"/>
        </w:rPr>
      </w:pPr>
      <w:r w:rsidRPr="00055D4B">
        <w:rPr>
          <w:rFonts w:ascii="Book Antiqua" w:hAnsi="Book Antiqua"/>
          <w:sz w:val="22"/>
          <w:szCs w:val="22"/>
        </w:rPr>
        <w:t>Finalmente, es importante indicar que</w:t>
      </w:r>
      <w:r>
        <w:rPr>
          <w:rFonts w:ascii="Book Antiqua" w:hAnsi="Book Antiqua"/>
          <w:sz w:val="22"/>
          <w:szCs w:val="22"/>
        </w:rPr>
        <w:t>,</w:t>
      </w:r>
      <w:r w:rsidRPr="00055D4B">
        <w:rPr>
          <w:rFonts w:ascii="Book Antiqua" w:hAnsi="Book Antiqua"/>
          <w:sz w:val="22"/>
          <w:szCs w:val="22"/>
        </w:rPr>
        <w:t xml:space="preserve"> a nivel de Defensa Pública, se mantendrá la carga de trabajo de la zona, indiferente se resuelva por el Juez de la zona o de quien brinde la colaboración.</w:t>
      </w:r>
    </w:p>
    <w:p w14:paraId="4BB18569" w14:textId="77777777" w:rsidR="001341EC" w:rsidRDefault="001341EC" w:rsidP="001341EC">
      <w:pPr>
        <w:jc w:val="both"/>
        <w:rPr>
          <w:rFonts w:ascii="Book Antiqua" w:hAnsi="Book Antiqua"/>
          <w:sz w:val="22"/>
          <w:szCs w:val="22"/>
        </w:rPr>
      </w:pPr>
    </w:p>
    <w:p w14:paraId="7457E57B" w14:textId="77777777" w:rsidR="001341EC" w:rsidRPr="00126FA8" w:rsidRDefault="001341EC" w:rsidP="001341EC">
      <w:pPr>
        <w:pStyle w:val="Ttulo3"/>
        <w:keepLines/>
        <w:numPr>
          <w:ilvl w:val="2"/>
          <w:numId w:val="42"/>
        </w:numPr>
        <w:spacing w:before="40" w:after="0"/>
        <w:jc w:val="both"/>
        <w:rPr>
          <w:rFonts w:ascii="Book Antiqua" w:hAnsi="Book Antiqua"/>
          <w:sz w:val="22"/>
          <w:szCs w:val="22"/>
        </w:rPr>
      </w:pPr>
      <w:r w:rsidRPr="00126FA8">
        <w:rPr>
          <w:rFonts w:ascii="Book Antiqua" w:hAnsi="Book Antiqua"/>
          <w:sz w:val="22"/>
          <w:szCs w:val="22"/>
        </w:rPr>
        <w:t xml:space="preserve">Análisis de Cargas de trabajo del Tribunal Agrario </w:t>
      </w:r>
    </w:p>
    <w:p w14:paraId="6B0BA5CE" w14:textId="77777777" w:rsidR="001341EC" w:rsidRDefault="001341EC" w:rsidP="001341EC">
      <w:pPr>
        <w:rPr>
          <w:lang w:val="es-MX"/>
        </w:rPr>
      </w:pPr>
    </w:p>
    <w:p w14:paraId="38E4AF12" w14:textId="77777777" w:rsidR="001341EC" w:rsidRDefault="001341EC" w:rsidP="001341EC">
      <w:pPr>
        <w:jc w:val="both"/>
        <w:rPr>
          <w:rFonts w:ascii="Book Antiqua" w:hAnsi="Book Antiqua"/>
          <w:sz w:val="22"/>
          <w:szCs w:val="22"/>
        </w:rPr>
      </w:pPr>
      <w:r w:rsidRPr="00C2271D">
        <w:rPr>
          <w:rFonts w:ascii="Book Antiqua" w:hAnsi="Book Antiqua"/>
          <w:sz w:val="22"/>
          <w:szCs w:val="22"/>
        </w:rPr>
        <w:t>El Tribunal Agrario está compuesto por seis Jueces o Juezas de fondo, una Jueza o Juez Tramitador, una Coordinadora o Coordinador Judicial y tres personas Técnicas Judiciales</w:t>
      </w:r>
      <w:r>
        <w:rPr>
          <w:rFonts w:ascii="Book Antiqua" w:hAnsi="Book Antiqua"/>
          <w:sz w:val="22"/>
          <w:szCs w:val="22"/>
        </w:rPr>
        <w:t>.</w:t>
      </w:r>
    </w:p>
    <w:p w14:paraId="381D1A49" w14:textId="77777777" w:rsidR="001341EC" w:rsidRDefault="001341EC" w:rsidP="001341EC">
      <w:pPr>
        <w:jc w:val="both"/>
        <w:rPr>
          <w:rFonts w:ascii="Book Antiqua" w:hAnsi="Book Antiqua"/>
          <w:sz w:val="22"/>
          <w:szCs w:val="22"/>
        </w:rPr>
      </w:pPr>
    </w:p>
    <w:p w14:paraId="4F8626B4" w14:textId="77777777" w:rsidR="001341EC" w:rsidRDefault="001341EC" w:rsidP="001341EC">
      <w:pPr>
        <w:jc w:val="both"/>
        <w:rPr>
          <w:rFonts w:ascii="Book Antiqua" w:hAnsi="Book Antiqua"/>
          <w:sz w:val="22"/>
          <w:szCs w:val="22"/>
        </w:rPr>
      </w:pPr>
      <w:r>
        <w:rPr>
          <w:rFonts w:ascii="Book Antiqua" w:hAnsi="Book Antiqua"/>
          <w:sz w:val="22"/>
          <w:szCs w:val="22"/>
        </w:rPr>
        <w:t xml:space="preserve">Como parte del estudio, </w:t>
      </w:r>
      <w:r w:rsidRPr="00C2271D">
        <w:rPr>
          <w:rFonts w:ascii="Book Antiqua" w:hAnsi="Book Antiqua"/>
          <w:sz w:val="22"/>
          <w:szCs w:val="22"/>
        </w:rPr>
        <w:t>se presenta el movimiento de trabajo de este despacho</w:t>
      </w:r>
      <w:r>
        <w:rPr>
          <w:rFonts w:ascii="Book Antiqua" w:hAnsi="Book Antiqua"/>
          <w:sz w:val="22"/>
          <w:szCs w:val="22"/>
        </w:rPr>
        <w:t xml:space="preserve"> en los últimos tres años.</w:t>
      </w:r>
    </w:p>
    <w:p w14:paraId="6887AC77" w14:textId="77777777" w:rsidR="001341EC" w:rsidRPr="00C2271D"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571D9">
        <w:rPr>
          <w:rFonts w:ascii="Book Antiqua" w:hAnsi="Book Antiqua"/>
          <w:bCs w:val="0"/>
          <w:iCs/>
          <w:sz w:val="22"/>
          <w:szCs w:val="24"/>
          <w:lang w:val="es-CR"/>
        </w:rPr>
        <w:t xml:space="preserve">Cuadro </w:t>
      </w:r>
      <w:r w:rsidR="009A23D1" w:rsidRPr="00D571D9">
        <w:rPr>
          <w:rFonts w:ascii="Book Antiqua" w:hAnsi="Book Antiqua"/>
          <w:bCs w:val="0"/>
          <w:iCs/>
          <w:sz w:val="22"/>
          <w:szCs w:val="24"/>
          <w:lang w:val="es-CR"/>
        </w:rPr>
        <w:fldChar w:fldCharType="begin"/>
      </w:r>
      <w:r w:rsidRPr="00D571D9">
        <w:rPr>
          <w:rFonts w:ascii="Book Antiqua" w:hAnsi="Book Antiqua"/>
          <w:bCs w:val="0"/>
          <w:iCs/>
          <w:sz w:val="22"/>
          <w:szCs w:val="24"/>
          <w:lang w:val="es-CR"/>
        </w:rPr>
        <w:instrText xml:space="preserve"> SEQ Cuadro \* ARABIC </w:instrText>
      </w:r>
      <w:r w:rsidR="009A23D1" w:rsidRPr="00D571D9">
        <w:rPr>
          <w:rFonts w:ascii="Book Antiqua" w:hAnsi="Book Antiqua"/>
          <w:bCs w:val="0"/>
          <w:iCs/>
          <w:sz w:val="22"/>
          <w:szCs w:val="24"/>
          <w:lang w:val="es-CR"/>
        </w:rPr>
        <w:fldChar w:fldCharType="separate"/>
      </w:r>
      <w:r>
        <w:rPr>
          <w:rFonts w:ascii="Book Antiqua" w:hAnsi="Book Antiqua"/>
          <w:bCs w:val="0"/>
          <w:iCs/>
          <w:noProof/>
          <w:sz w:val="22"/>
          <w:szCs w:val="24"/>
          <w:lang w:val="es-CR"/>
        </w:rPr>
        <w:t>9</w:t>
      </w:r>
      <w:r w:rsidR="009A23D1" w:rsidRPr="00D571D9">
        <w:rPr>
          <w:rFonts w:ascii="Book Antiqua" w:hAnsi="Book Antiqua"/>
          <w:bCs w:val="0"/>
          <w:iCs/>
          <w:sz w:val="22"/>
          <w:szCs w:val="24"/>
          <w:lang w:val="es-CR"/>
        </w:rPr>
        <w:fldChar w:fldCharType="end"/>
      </w:r>
    </w:p>
    <w:p w14:paraId="37F052B5" w14:textId="77777777" w:rsidR="001341EC" w:rsidRPr="00C2271D" w:rsidRDefault="001341EC" w:rsidP="001341EC">
      <w:pPr>
        <w:jc w:val="center"/>
        <w:rPr>
          <w:rFonts w:ascii="Book Antiqua" w:hAnsi="Book Antiqua" w:cs="Arial"/>
          <w:b/>
          <w:iCs/>
          <w:sz w:val="22"/>
          <w:szCs w:val="24"/>
        </w:rPr>
      </w:pPr>
      <w:r w:rsidRPr="00C2271D">
        <w:rPr>
          <w:rFonts w:ascii="Book Antiqua" w:hAnsi="Book Antiqua" w:cs="Arial"/>
          <w:b/>
          <w:iCs/>
          <w:sz w:val="22"/>
          <w:szCs w:val="24"/>
        </w:rPr>
        <w:t xml:space="preserve">Movimiento de trabajo del </w:t>
      </w:r>
      <w:r>
        <w:rPr>
          <w:rFonts w:ascii="Book Antiqua" w:hAnsi="Book Antiqua" w:cs="Arial"/>
          <w:b/>
          <w:iCs/>
          <w:sz w:val="22"/>
          <w:szCs w:val="24"/>
        </w:rPr>
        <w:t>T</w:t>
      </w:r>
      <w:r w:rsidRPr="00C2271D">
        <w:rPr>
          <w:rFonts w:ascii="Book Antiqua" w:hAnsi="Book Antiqua" w:cs="Arial"/>
          <w:b/>
          <w:iCs/>
          <w:sz w:val="22"/>
          <w:szCs w:val="24"/>
        </w:rPr>
        <w:t xml:space="preserve">ribunal </w:t>
      </w:r>
      <w:r>
        <w:rPr>
          <w:rFonts w:ascii="Book Antiqua" w:hAnsi="Book Antiqua" w:cs="Arial"/>
          <w:b/>
          <w:iCs/>
          <w:sz w:val="22"/>
          <w:szCs w:val="24"/>
        </w:rPr>
        <w:t>A</w:t>
      </w:r>
      <w:r w:rsidRPr="00C2271D">
        <w:rPr>
          <w:rFonts w:ascii="Book Antiqua" w:hAnsi="Book Antiqua" w:cs="Arial"/>
          <w:b/>
          <w:iCs/>
          <w:sz w:val="22"/>
          <w:szCs w:val="24"/>
        </w:rPr>
        <w:t>grario durante</w:t>
      </w:r>
    </w:p>
    <w:p w14:paraId="19A1BECD" w14:textId="77777777" w:rsidR="001341EC" w:rsidRPr="00C2271D" w:rsidRDefault="001341EC" w:rsidP="001341EC">
      <w:pPr>
        <w:jc w:val="center"/>
        <w:rPr>
          <w:rFonts w:ascii="Book Antiqua" w:hAnsi="Book Antiqua" w:cs="Arial"/>
          <w:b/>
          <w:iCs/>
          <w:sz w:val="22"/>
          <w:szCs w:val="24"/>
        </w:rPr>
      </w:pPr>
      <w:r>
        <w:rPr>
          <w:rFonts w:ascii="Book Antiqua" w:hAnsi="Book Antiqua" w:cs="Arial"/>
          <w:b/>
          <w:iCs/>
          <w:sz w:val="22"/>
          <w:szCs w:val="24"/>
        </w:rPr>
        <w:t>e</w:t>
      </w:r>
      <w:r w:rsidRPr="00C2271D">
        <w:rPr>
          <w:rFonts w:ascii="Book Antiqua" w:hAnsi="Book Antiqua" w:cs="Arial"/>
          <w:b/>
          <w:iCs/>
          <w:sz w:val="22"/>
          <w:szCs w:val="24"/>
        </w:rPr>
        <w:t>l período 201</w:t>
      </w:r>
      <w:r>
        <w:rPr>
          <w:rFonts w:ascii="Book Antiqua" w:hAnsi="Book Antiqua" w:cs="Arial"/>
          <w:b/>
          <w:iCs/>
          <w:sz w:val="22"/>
          <w:szCs w:val="24"/>
        </w:rPr>
        <w:t>5</w:t>
      </w:r>
      <w:r w:rsidRPr="00C2271D">
        <w:rPr>
          <w:rFonts w:ascii="Book Antiqua" w:hAnsi="Book Antiqua" w:cs="Arial"/>
          <w:b/>
          <w:iCs/>
          <w:sz w:val="22"/>
          <w:szCs w:val="24"/>
        </w:rPr>
        <w:t>-201</w:t>
      </w:r>
      <w:r>
        <w:rPr>
          <w:rFonts w:ascii="Book Antiqua" w:hAnsi="Book Antiqua" w:cs="Arial"/>
          <w:b/>
          <w:iCs/>
          <w:sz w:val="22"/>
          <w:szCs w:val="24"/>
        </w:rPr>
        <w:t>7</w:t>
      </w:r>
    </w:p>
    <w:tbl>
      <w:tblPr>
        <w:tblW w:w="9361" w:type="dxa"/>
        <w:tblInd w:w="93" w:type="dxa"/>
        <w:tblLayout w:type="fixed"/>
        <w:tblCellMar>
          <w:left w:w="70" w:type="dxa"/>
          <w:right w:w="70" w:type="dxa"/>
        </w:tblCellMar>
        <w:tblLook w:val="04A0" w:firstRow="1" w:lastRow="0" w:firstColumn="1" w:lastColumn="0" w:noHBand="0" w:noVBand="1"/>
      </w:tblPr>
      <w:tblGrid>
        <w:gridCol w:w="1791"/>
        <w:gridCol w:w="738"/>
        <w:gridCol w:w="709"/>
        <w:gridCol w:w="708"/>
        <w:gridCol w:w="1134"/>
        <w:gridCol w:w="984"/>
        <w:gridCol w:w="1535"/>
        <w:gridCol w:w="1762"/>
      </w:tblGrid>
      <w:tr w:rsidR="001341EC" w:rsidRPr="009A1C5C" w14:paraId="373307D4" w14:textId="77777777" w:rsidTr="00165AA6">
        <w:trPr>
          <w:trHeight w:val="1254"/>
        </w:trPr>
        <w:tc>
          <w:tcPr>
            <w:tcW w:w="1791" w:type="dxa"/>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6D21782A" w14:textId="77777777" w:rsidR="001341EC" w:rsidRPr="009A1C5C" w:rsidRDefault="001341EC" w:rsidP="00165AA6">
            <w:pPr>
              <w:jc w:val="center"/>
              <w:rPr>
                <w:rFonts w:ascii="Book Antiqua" w:hAnsi="Book Antiqua" w:cs="Arial"/>
                <w:b/>
                <w:bCs/>
                <w:color w:val="000000"/>
                <w:sz w:val="22"/>
                <w:szCs w:val="22"/>
                <w:lang w:eastAsia="es-CR"/>
              </w:rPr>
            </w:pPr>
            <w:r w:rsidRPr="009A1C5C">
              <w:rPr>
                <w:rFonts w:ascii="Book Antiqua" w:hAnsi="Book Antiqua" w:cs="Arial"/>
                <w:b/>
                <w:bCs/>
                <w:color w:val="000000"/>
                <w:sz w:val="22"/>
                <w:szCs w:val="22"/>
                <w:lang w:eastAsia="es-CR"/>
              </w:rPr>
              <w:t>Variables</w:t>
            </w:r>
          </w:p>
        </w:tc>
        <w:tc>
          <w:tcPr>
            <w:tcW w:w="738" w:type="dxa"/>
            <w:tcBorders>
              <w:top w:val="double" w:sz="6" w:space="0" w:color="1F497D"/>
              <w:left w:val="nil"/>
              <w:bottom w:val="double" w:sz="6" w:space="0" w:color="1F497D"/>
              <w:right w:val="double" w:sz="6" w:space="0" w:color="1F497D"/>
            </w:tcBorders>
            <w:shd w:val="clear" w:color="000000" w:fill="8DB4E2"/>
            <w:vAlign w:val="center"/>
            <w:hideMark/>
          </w:tcPr>
          <w:p w14:paraId="380BDE37" w14:textId="77777777" w:rsidR="001341EC" w:rsidRPr="009A1C5C" w:rsidRDefault="001341EC" w:rsidP="00165AA6">
            <w:pPr>
              <w:jc w:val="center"/>
              <w:rPr>
                <w:rFonts w:ascii="Book Antiqua" w:hAnsi="Book Antiqua" w:cs="Arial"/>
                <w:b/>
                <w:bCs/>
                <w:color w:val="000000"/>
                <w:sz w:val="22"/>
                <w:szCs w:val="22"/>
                <w:lang w:eastAsia="es-CR"/>
              </w:rPr>
            </w:pPr>
            <w:r w:rsidRPr="009A1C5C">
              <w:rPr>
                <w:rFonts w:ascii="Book Antiqua" w:hAnsi="Book Antiqua" w:cs="Arial"/>
                <w:b/>
                <w:bCs/>
                <w:color w:val="000000"/>
                <w:sz w:val="22"/>
                <w:szCs w:val="22"/>
                <w:lang w:eastAsia="es-CR"/>
              </w:rPr>
              <w:t>2015</w:t>
            </w:r>
          </w:p>
        </w:tc>
        <w:tc>
          <w:tcPr>
            <w:tcW w:w="709" w:type="dxa"/>
            <w:tcBorders>
              <w:top w:val="double" w:sz="6" w:space="0" w:color="1F497D"/>
              <w:left w:val="nil"/>
              <w:bottom w:val="double" w:sz="6" w:space="0" w:color="1F497D"/>
              <w:right w:val="double" w:sz="6" w:space="0" w:color="1F497D"/>
            </w:tcBorders>
            <w:shd w:val="clear" w:color="000000" w:fill="8DB4E2"/>
            <w:vAlign w:val="center"/>
            <w:hideMark/>
          </w:tcPr>
          <w:p w14:paraId="3A58C0AB" w14:textId="77777777" w:rsidR="001341EC" w:rsidRPr="009A1C5C" w:rsidRDefault="001341EC" w:rsidP="00165AA6">
            <w:pPr>
              <w:jc w:val="center"/>
              <w:rPr>
                <w:rFonts w:ascii="Book Antiqua" w:hAnsi="Book Antiqua" w:cs="Arial"/>
                <w:b/>
                <w:bCs/>
                <w:color w:val="000000"/>
                <w:sz w:val="22"/>
                <w:szCs w:val="22"/>
                <w:lang w:eastAsia="es-CR"/>
              </w:rPr>
            </w:pPr>
            <w:r w:rsidRPr="009A1C5C">
              <w:rPr>
                <w:rFonts w:ascii="Book Antiqua" w:hAnsi="Book Antiqua" w:cs="Arial"/>
                <w:b/>
                <w:bCs/>
                <w:color w:val="000000"/>
                <w:sz w:val="22"/>
                <w:szCs w:val="22"/>
                <w:lang w:eastAsia="es-CR"/>
              </w:rPr>
              <w:t>2016</w:t>
            </w:r>
          </w:p>
        </w:tc>
        <w:tc>
          <w:tcPr>
            <w:tcW w:w="708" w:type="dxa"/>
            <w:tcBorders>
              <w:top w:val="double" w:sz="6" w:space="0" w:color="1F497D"/>
              <w:left w:val="nil"/>
              <w:bottom w:val="double" w:sz="6" w:space="0" w:color="1F497D"/>
              <w:right w:val="double" w:sz="6" w:space="0" w:color="1F497D"/>
            </w:tcBorders>
            <w:shd w:val="clear" w:color="000000" w:fill="8DB4E2"/>
            <w:vAlign w:val="center"/>
            <w:hideMark/>
          </w:tcPr>
          <w:p w14:paraId="79E42E0B" w14:textId="77777777" w:rsidR="001341EC" w:rsidRPr="009A1C5C" w:rsidRDefault="001341EC" w:rsidP="00165AA6">
            <w:pPr>
              <w:jc w:val="center"/>
              <w:rPr>
                <w:rFonts w:ascii="Book Antiqua" w:hAnsi="Book Antiqua" w:cs="Arial"/>
                <w:b/>
                <w:bCs/>
                <w:color w:val="000000"/>
                <w:sz w:val="22"/>
                <w:szCs w:val="22"/>
                <w:lang w:eastAsia="es-CR"/>
              </w:rPr>
            </w:pPr>
            <w:r w:rsidRPr="009A1C5C">
              <w:rPr>
                <w:rFonts w:ascii="Book Antiqua" w:hAnsi="Book Antiqua" w:cs="Arial"/>
                <w:b/>
                <w:bCs/>
                <w:color w:val="000000"/>
                <w:sz w:val="22"/>
                <w:szCs w:val="22"/>
                <w:lang w:eastAsia="es-CR"/>
              </w:rPr>
              <w:t>2017</w:t>
            </w:r>
          </w:p>
        </w:tc>
        <w:tc>
          <w:tcPr>
            <w:tcW w:w="1134" w:type="dxa"/>
            <w:tcBorders>
              <w:top w:val="double" w:sz="6" w:space="0" w:color="1F497D"/>
              <w:left w:val="nil"/>
              <w:bottom w:val="double" w:sz="6" w:space="0" w:color="1F497D"/>
              <w:right w:val="double" w:sz="6" w:space="0" w:color="1F497D"/>
            </w:tcBorders>
            <w:shd w:val="clear" w:color="000000" w:fill="8DB4E2"/>
            <w:vAlign w:val="center"/>
            <w:hideMark/>
          </w:tcPr>
          <w:p w14:paraId="41C7589A" w14:textId="77777777" w:rsidR="001341EC" w:rsidRPr="009A1C5C" w:rsidRDefault="001341EC" w:rsidP="00165AA6">
            <w:pPr>
              <w:jc w:val="center"/>
              <w:rPr>
                <w:rFonts w:ascii="Book Antiqua" w:hAnsi="Book Antiqua" w:cs="Arial"/>
                <w:b/>
                <w:bCs/>
                <w:color w:val="000000"/>
                <w:sz w:val="22"/>
                <w:szCs w:val="22"/>
                <w:lang w:eastAsia="es-CR"/>
              </w:rPr>
            </w:pPr>
            <w:r w:rsidRPr="009A1C5C">
              <w:rPr>
                <w:rFonts w:ascii="Book Antiqua" w:hAnsi="Book Antiqua" w:cs="Arial"/>
                <w:b/>
                <w:bCs/>
                <w:color w:val="000000"/>
                <w:sz w:val="22"/>
                <w:szCs w:val="22"/>
                <w:lang w:eastAsia="es-CR"/>
              </w:rPr>
              <w:t>Promedio Anual</w:t>
            </w:r>
          </w:p>
        </w:tc>
        <w:tc>
          <w:tcPr>
            <w:tcW w:w="984" w:type="dxa"/>
            <w:tcBorders>
              <w:top w:val="double" w:sz="6" w:space="0" w:color="1F497D"/>
              <w:left w:val="nil"/>
              <w:bottom w:val="double" w:sz="6" w:space="0" w:color="1F497D"/>
              <w:right w:val="double" w:sz="6" w:space="0" w:color="1F497D"/>
            </w:tcBorders>
            <w:shd w:val="clear" w:color="000000" w:fill="8DB4E2"/>
            <w:vAlign w:val="center"/>
            <w:hideMark/>
          </w:tcPr>
          <w:p w14:paraId="179EE87C" w14:textId="77777777" w:rsidR="001341EC" w:rsidRPr="009A1C5C" w:rsidRDefault="001341EC" w:rsidP="00165AA6">
            <w:pPr>
              <w:jc w:val="center"/>
              <w:rPr>
                <w:rFonts w:ascii="Book Antiqua" w:hAnsi="Book Antiqua" w:cs="Arial"/>
                <w:b/>
                <w:bCs/>
                <w:color w:val="000000"/>
                <w:sz w:val="22"/>
                <w:szCs w:val="22"/>
                <w:lang w:eastAsia="es-CR"/>
              </w:rPr>
            </w:pPr>
            <w:r w:rsidRPr="009A1C5C">
              <w:rPr>
                <w:rFonts w:ascii="Book Antiqua" w:hAnsi="Book Antiqua" w:cs="Arial"/>
                <w:b/>
                <w:bCs/>
                <w:color w:val="000000"/>
                <w:sz w:val="22"/>
                <w:szCs w:val="22"/>
                <w:lang w:eastAsia="es-CR"/>
              </w:rPr>
              <w:t>Promedio Mensual</w:t>
            </w:r>
          </w:p>
        </w:tc>
        <w:tc>
          <w:tcPr>
            <w:tcW w:w="1535" w:type="dxa"/>
            <w:tcBorders>
              <w:top w:val="double" w:sz="6" w:space="0" w:color="1F497D"/>
              <w:left w:val="nil"/>
              <w:bottom w:val="double" w:sz="6" w:space="0" w:color="1F497D"/>
              <w:right w:val="double" w:sz="6" w:space="0" w:color="1F497D"/>
            </w:tcBorders>
            <w:shd w:val="clear" w:color="000000" w:fill="8DB4E2"/>
            <w:vAlign w:val="center"/>
            <w:hideMark/>
          </w:tcPr>
          <w:p w14:paraId="46499D09" w14:textId="77777777" w:rsidR="001341EC" w:rsidRPr="009A1C5C" w:rsidRDefault="001341EC" w:rsidP="00165AA6">
            <w:pPr>
              <w:jc w:val="center"/>
              <w:rPr>
                <w:rFonts w:ascii="Book Antiqua" w:hAnsi="Book Antiqua" w:cs="Arial"/>
                <w:b/>
                <w:bCs/>
                <w:color w:val="000000"/>
                <w:sz w:val="22"/>
                <w:szCs w:val="22"/>
                <w:lang w:eastAsia="es-CR"/>
              </w:rPr>
            </w:pPr>
            <w:proofErr w:type="spellStart"/>
            <w:r w:rsidRPr="009A1C5C">
              <w:rPr>
                <w:rFonts w:ascii="Book Antiqua" w:hAnsi="Book Antiqua" w:cs="Arial"/>
                <w:b/>
                <w:bCs/>
                <w:color w:val="000000"/>
                <w:sz w:val="22"/>
                <w:szCs w:val="22"/>
                <w:lang w:eastAsia="es-CR"/>
              </w:rPr>
              <w:t>Cant</w:t>
            </w:r>
            <w:proofErr w:type="spellEnd"/>
            <w:r w:rsidRPr="009A1C5C">
              <w:rPr>
                <w:rFonts w:ascii="Book Antiqua" w:hAnsi="Book Antiqua" w:cs="Arial"/>
                <w:b/>
                <w:bCs/>
                <w:color w:val="000000"/>
                <w:sz w:val="22"/>
                <w:szCs w:val="22"/>
                <w:lang w:eastAsia="es-CR"/>
              </w:rPr>
              <w:t>. Personas Juzgadores</w:t>
            </w:r>
          </w:p>
        </w:tc>
        <w:tc>
          <w:tcPr>
            <w:tcW w:w="1762" w:type="dxa"/>
            <w:tcBorders>
              <w:top w:val="double" w:sz="6" w:space="0" w:color="1F497D"/>
              <w:left w:val="nil"/>
              <w:bottom w:val="double" w:sz="6" w:space="0" w:color="1F497D"/>
              <w:right w:val="double" w:sz="6" w:space="0" w:color="1F497D"/>
            </w:tcBorders>
            <w:shd w:val="clear" w:color="000000" w:fill="8DB4E2"/>
            <w:vAlign w:val="center"/>
            <w:hideMark/>
          </w:tcPr>
          <w:p w14:paraId="111A40C2" w14:textId="77777777" w:rsidR="001341EC" w:rsidRPr="009A1C5C" w:rsidRDefault="001341EC" w:rsidP="00165AA6">
            <w:pPr>
              <w:jc w:val="center"/>
              <w:rPr>
                <w:rFonts w:ascii="Book Antiqua" w:hAnsi="Book Antiqua" w:cs="Arial"/>
                <w:b/>
                <w:bCs/>
                <w:color w:val="000000"/>
                <w:sz w:val="22"/>
                <w:szCs w:val="22"/>
                <w:lang w:eastAsia="es-CR"/>
              </w:rPr>
            </w:pPr>
            <w:r w:rsidRPr="009A1C5C">
              <w:rPr>
                <w:rFonts w:ascii="Book Antiqua" w:hAnsi="Book Antiqua" w:cs="Arial"/>
                <w:b/>
                <w:bCs/>
                <w:color w:val="000000"/>
                <w:sz w:val="22"/>
                <w:szCs w:val="22"/>
                <w:lang w:eastAsia="es-CR"/>
              </w:rPr>
              <w:t>Promedio Mensual por plaza de Jueza o Juez</w:t>
            </w:r>
          </w:p>
        </w:tc>
      </w:tr>
      <w:tr w:rsidR="001341EC" w:rsidRPr="009A1C5C" w14:paraId="0142DD35" w14:textId="77777777" w:rsidTr="00165AA6">
        <w:trPr>
          <w:trHeight w:val="319"/>
        </w:trPr>
        <w:tc>
          <w:tcPr>
            <w:tcW w:w="1791" w:type="dxa"/>
            <w:tcBorders>
              <w:top w:val="nil"/>
              <w:left w:val="double" w:sz="6" w:space="0" w:color="1F497D"/>
              <w:bottom w:val="double" w:sz="6" w:space="0" w:color="1F497D"/>
              <w:right w:val="double" w:sz="6" w:space="0" w:color="1F497D"/>
            </w:tcBorders>
            <w:shd w:val="clear" w:color="auto" w:fill="auto"/>
            <w:vAlign w:val="center"/>
            <w:hideMark/>
          </w:tcPr>
          <w:p w14:paraId="3BC01014" w14:textId="77777777" w:rsidR="001341EC" w:rsidRPr="009A1C5C" w:rsidRDefault="001341EC" w:rsidP="00165AA6">
            <w:pPr>
              <w:rPr>
                <w:rFonts w:ascii="Book Antiqua" w:hAnsi="Book Antiqua" w:cs="Arial"/>
                <w:lang w:eastAsia="es-CR"/>
              </w:rPr>
            </w:pPr>
            <w:r w:rsidRPr="009A1C5C">
              <w:rPr>
                <w:rFonts w:ascii="Book Antiqua" w:hAnsi="Book Antiqua" w:cs="Arial"/>
                <w:lang w:eastAsia="es-CR"/>
              </w:rPr>
              <w:t>Casos entrados</w:t>
            </w:r>
          </w:p>
        </w:tc>
        <w:tc>
          <w:tcPr>
            <w:tcW w:w="738" w:type="dxa"/>
            <w:tcBorders>
              <w:top w:val="nil"/>
              <w:left w:val="nil"/>
              <w:bottom w:val="double" w:sz="6" w:space="0" w:color="1F497D"/>
              <w:right w:val="double" w:sz="6" w:space="0" w:color="1F497D"/>
            </w:tcBorders>
            <w:shd w:val="clear" w:color="auto" w:fill="auto"/>
            <w:vAlign w:val="center"/>
            <w:hideMark/>
          </w:tcPr>
          <w:p w14:paraId="5235B4B8"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1211</w:t>
            </w:r>
          </w:p>
        </w:tc>
        <w:tc>
          <w:tcPr>
            <w:tcW w:w="709" w:type="dxa"/>
            <w:tcBorders>
              <w:top w:val="nil"/>
              <w:left w:val="nil"/>
              <w:bottom w:val="double" w:sz="6" w:space="0" w:color="1F497D"/>
              <w:right w:val="double" w:sz="6" w:space="0" w:color="1F497D"/>
            </w:tcBorders>
            <w:shd w:val="clear" w:color="auto" w:fill="auto"/>
            <w:vAlign w:val="center"/>
            <w:hideMark/>
          </w:tcPr>
          <w:p w14:paraId="7162CE6F"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1111</w:t>
            </w:r>
          </w:p>
        </w:tc>
        <w:tc>
          <w:tcPr>
            <w:tcW w:w="708" w:type="dxa"/>
            <w:tcBorders>
              <w:top w:val="nil"/>
              <w:left w:val="nil"/>
              <w:bottom w:val="double" w:sz="6" w:space="0" w:color="1F497D"/>
              <w:right w:val="double" w:sz="6" w:space="0" w:color="1F497D"/>
            </w:tcBorders>
            <w:shd w:val="clear" w:color="auto" w:fill="auto"/>
            <w:vAlign w:val="center"/>
            <w:hideMark/>
          </w:tcPr>
          <w:p w14:paraId="76965F1F"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1033</w:t>
            </w:r>
          </w:p>
        </w:tc>
        <w:tc>
          <w:tcPr>
            <w:tcW w:w="1134" w:type="dxa"/>
            <w:tcBorders>
              <w:top w:val="nil"/>
              <w:left w:val="nil"/>
              <w:bottom w:val="double" w:sz="6" w:space="0" w:color="1F497D"/>
              <w:right w:val="double" w:sz="6" w:space="0" w:color="1F497D"/>
            </w:tcBorders>
            <w:shd w:val="clear" w:color="auto" w:fill="auto"/>
            <w:vAlign w:val="center"/>
            <w:hideMark/>
          </w:tcPr>
          <w:p w14:paraId="01CC308F"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1118</w:t>
            </w:r>
          </w:p>
        </w:tc>
        <w:tc>
          <w:tcPr>
            <w:tcW w:w="984" w:type="dxa"/>
            <w:tcBorders>
              <w:top w:val="nil"/>
              <w:left w:val="nil"/>
              <w:bottom w:val="double" w:sz="6" w:space="0" w:color="1F497D"/>
              <w:right w:val="double" w:sz="6" w:space="0" w:color="1F497D"/>
            </w:tcBorders>
            <w:shd w:val="clear" w:color="auto" w:fill="auto"/>
            <w:vAlign w:val="center"/>
            <w:hideMark/>
          </w:tcPr>
          <w:p w14:paraId="116FA103"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99</w:t>
            </w:r>
          </w:p>
        </w:tc>
        <w:tc>
          <w:tcPr>
            <w:tcW w:w="1535"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0280B960" w14:textId="77777777" w:rsidR="001341EC" w:rsidRPr="009A1C5C" w:rsidRDefault="001341EC" w:rsidP="00165AA6">
            <w:pPr>
              <w:jc w:val="center"/>
              <w:rPr>
                <w:rFonts w:ascii="Book Antiqua" w:hAnsi="Book Antiqua" w:cs="Arial"/>
                <w:sz w:val="22"/>
                <w:szCs w:val="22"/>
                <w:lang w:eastAsia="es-CR"/>
              </w:rPr>
            </w:pPr>
            <w:r w:rsidRPr="009A1C5C">
              <w:rPr>
                <w:rFonts w:ascii="Book Antiqua" w:hAnsi="Book Antiqua" w:cs="Arial"/>
                <w:sz w:val="22"/>
                <w:szCs w:val="22"/>
                <w:lang w:eastAsia="es-CR"/>
              </w:rPr>
              <w:t>6</w:t>
            </w:r>
          </w:p>
        </w:tc>
        <w:tc>
          <w:tcPr>
            <w:tcW w:w="1762" w:type="dxa"/>
            <w:tcBorders>
              <w:top w:val="nil"/>
              <w:left w:val="nil"/>
              <w:bottom w:val="double" w:sz="6" w:space="0" w:color="1F497D"/>
              <w:right w:val="double" w:sz="6" w:space="0" w:color="1F497D"/>
            </w:tcBorders>
            <w:shd w:val="clear" w:color="auto" w:fill="auto"/>
            <w:vAlign w:val="center"/>
            <w:hideMark/>
          </w:tcPr>
          <w:p w14:paraId="1F5454B8"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17</w:t>
            </w:r>
          </w:p>
        </w:tc>
      </w:tr>
      <w:tr w:rsidR="001341EC" w:rsidRPr="009A1C5C" w14:paraId="0FB1F5E5" w14:textId="77777777" w:rsidTr="00165AA6">
        <w:trPr>
          <w:trHeight w:val="319"/>
        </w:trPr>
        <w:tc>
          <w:tcPr>
            <w:tcW w:w="1791" w:type="dxa"/>
            <w:tcBorders>
              <w:top w:val="nil"/>
              <w:left w:val="double" w:sz="6" w:space="0" w:color="1F497D"/>
              <w:bottom w:val="double" w:sz="6" w:space="0" w:color="1F497D"/>
              <w:right w:val="double" w:sz="6" w:space="0" w:color="1F497D"/>
            </w:tcBorders>
            <w:shd w:val="clear" w:color="auto" w:fill="auto"/>
            <w:vAlign w:val="center"/>
            <w:hideMark/>
          </w:tcPr>
          <w:p w14:paraId="7D2CF3DF" w14:textId="77777777" w:rsidR="001341EC" w:rsidRPr="009A1C5C" w:rsidRDefault="001341EC" w:rsidP="00165AA6">
            <w:pPr>
              <w:rPr>
                <w:rFonts w:ascii="Book Antiqua" w:hAnsi="Book Antiqua" w:cs="Arial"/>
                <w:lang w:eastAsia="es-CR"/>
              </w:rPr>
            </w:pPr>
            <w:r w:rsidRPr="009A1C5C">
              <w:rPr>
                <w:rFonts w:ascii="Book Antiqua" w:hAnsi="Book Antiqua" w:cs="Arial"/>
                <w:lang w:eastAsia="es-CR"/>
              </w:rPr>
              <w:t>Casos reentrados</w:t>
            </w:r>
          </w:p>
        </w:tc>
        <w:tc>
          <w:tcPr>
            <w:tcW w:w="738" w:type="dxa"/>
            <w:tcBorders>
              <w:top w:val="nil"/>
              <w:left w:val="nil"/>
              <w:bottom w:val="double" w:sz="6" w:space="0" w:color="1F497D"/>
              <w:right w:val="double" w:sz="6" w:space="0" w:color="1F497D"/>
            </w:tcBorders>
            <w:shd w:val="clear" w:color="auto" w:fill="auto"/>
            <w:vAlign w:val="center"/>
            <w:hideMark/>
          </w:tcPr>
          <w:p w14:paraId="4094A601"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29</w:t>
            </w:r>
          </w:p>
        </w:tc>
        <w:tc>
          <w:tcPr>
            <w:tcW w:w="709" w:type="dxa"/>
            <w:tcBorders>
              <w:top w:val="nil"/>
              <w:left w:val="nil"/>
              <w:bottom w:val="double" w:sz="6" w:space="0" w:color="1F497D"/>
              <w:right w:val="double" w:sz="6" w:space="0" w:color="1F497D"/>
            </w:tcBorders>
            <w:shd w:val="clear" w:color="auto" w:fill="auto"/>
            <w:vAlign w:val="center"/>
            <w:hideMark/>
          </w:tcPr>
          <w:p w14:paraId="21B13A46"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20</w:t>
            </w:r>
          </w:p>
        </w:tc>
        <w:tc>
          <w:tcPr>
            <w:tcW w:w="708" w:type="dxa"/>
            <w:tcBorders>
              <w:top w:val="nil"/>
              <w:left w:val="nil"/>
              <w:bottom w:val="double" w:sz="6" w:space="0" w:color="1F497D"/>
              <w:right w:val="double" w:sz="6" w:space="0" w:color="1F497D"/>
            </w:tcBorders>
            <w:shd w:val="clear" w:color="auto" w:fill="auto"/>
            <w:vAlign w:val="center"/>
            <w:hideMark/>
          </w:tcPr>
          <w:p w14:paraId="271554F7"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24</w:t>
            </w:r>
          </w:p>
        </w:tc>
        <w:tc>
          <w:tcPr>
            <w:tcW w:w="1134" w:type="dxa"/>
            <w:tcBorders>
              <w:top w:val="nil"/>
              <w:left w:val="nil"/>
              <w:bottom w:val="double" w:sz="6" w:space="0" w:color="1F497D"/>
              <w:right w:val="double" w:sz="6" w:space="0" w:color="1F497D"/>
            </w:tcBorders>
            <w:shd w:val="clear" w:color="auto" w:fill="auto"/>
            <w:vAlign w:val="center"/>
            <w:hideMark/>
          </w:tcPr>
          <w:p w14:paraId="786950C8"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24</w:t>
            </w:r>
          </w:p>
        </w:tc>
        <w:tc>
          <w:tcPr>
            <w:tcW w:w="984" w:type="dxa"/>
            <w:tcBorders>
              <w:top w:val="nil"/>
              <w:left w:val="nil"/>
              <w:bottom w:val="double" w:sz="6" w:space="0" w:color="1F497D"/>
              <w:right w:val="double" w:sz="6" w:space="0" w:color="1F497D"/>
            </w:tcBorders>
            <w:shd w:val="clear" w:color="auto" w:fill="auto"/>
            <w:vAlign w:val="center"/>
            <w:hideMark/>
          </w:tcPr>
          <w:p w14:paraId="7B4D0CAD"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2</w:t>
            </w:r>
          </w:p>
        </w:tc>
        <w:tc>
          <w:tcPr>
            <w:tcW w:w="1535" w:type="dxa"/>
            <w:vMerge/>
            <w:tcBorders>
              <w:top w:val="nil"/>
              <w:left w:val="double" w:sz="6" w:space="0" w:color="1F497D"/>
              <w:bottom w:val="double" w:sz="6" w:space="0" w:color="1F497D"/>
              <w:right w:val="double" w:sz="6" w:space="0" w:color="1F497D"/>
            </w:tcBorders>
            <w:vAlign w:val="center"/>
            <w:hideMark/>
          </w:tcPr>
          <w:p w14:paraId="55EC4B26" w14:textId="77777777" w:rsidR="001341EC" w:rsidRPr="009A1C5C" w:rsidRDefault="001341EC" w:rsidP="00165AA6">
            <w:pPr>
              <w:rPr>
                <w:rFonts w:ascii="Book Antiqua" w:hAnsi="Book Antiqua" w:cs="Arial"/>
                <w:sz w:val="22"/>
                <w:szCs w:val="22"/>
                <w:lang w:eastAsia="es-CR"/>
              </w:rPr>
            </w:pPr>
          </w:p>
        </w:tc>
        <w:tc>
          <w:tcPr>
            <w:tcW w:w="1762" w:type="dxa"/>
            <w:tcBorders>
              <w:top w:val="nil"/>
              <w:left w:val="nil"/>
              <w:bottom w:val="double" w:sz="6" w:space="0" w:color="1F497D"/>
              <w:right w:val="double" w:sz="6" w:space="0" w:color="1F497D"/>
            </w:tcBorders>
            <w:shd w:val="clear" w:color="auto" w:fill="auto"/>
            <w:vAlign w:val="center"/>
            <w:hideMark/>
          </w:tcPr>
          <w:p w14:paraId="650BC5D9"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0,4</w:t>
            </w:r>
          </w:p>
        </w:tc>
      </w:tr>
      <w:tr w:rsidR="001341EC" w:rsidRPr="009A1C5C" w14:paraId="405C0A07" w14:textId="77777777" w:rsidTr="00165AA6">
        <w:trPr>
          <w:trHeight w:val="319"/>
        </w:trPr>
        <w:tc>
          <w:tcPr>
            <w:tcW w:w="1791" w:type="dxa"/>
            <w:tcBorders>
              <w:top w:val="nil"/>
              <w:left w:val="double" w:sz="6" w:space="0" w:color="1F497D"/>
              <w:bottom w:val="double" w:sz="6" w:space="0" w:color="1F497D"/>
              <w:right w:val="double" w:sz="6" w:space="0" w:color="1F497D"/>
            </w:tcBorders>
            <w:shd w:val="clear" w:color="auto" w:fill="auto"/>
            <w:vAlign w:val="center"/>
            <w:hideMark/>
          </w:tcPr>
          <w:p w14:paraId="3933006C" w14:textId="77777777" w:rsidR="001341EC" w:rsidRPr="009A1C5C" w:rsidRDefault="001341EC" w:rsidP="00165AA6">
            <w:pPr>
              <w:rPr>
                <w:rFonts w:ascii="Book Antiqua" w:hAnsi="Book Antiqua" w:cs="Arial"/>
                <w:lang w:eastAsia="es-CR"/>
              </w:rPr>
            </w:pPr>
            <w:r w:rsidRPr="009A1C5C">
              <w:rPr>
                <w:rFonts w:ascii="Book Antiqua" w:hAnsi="Book Antiqua" w:cs="Arial"/>
                <w:lang w:eastAsia="es-CR"/>
              </w:rPr>
              <w:t>Casos terminados</w:t>
            </w:r>
          </w:p>
        </w:tc>
        <w:tc>
          <w:tcPr>
            <w:tcW w:w="738" w:type="dxa"/>
            <w:tcBorders>
              <w:top w:val="nil"/>
              <w:left w:val="nil"/>
              <w:bottom w:val="double" w:sz="6" w:space="0" w:color="1F497D"/>
              <w:right w:val="double" w:sz="6" w:space="0" w:color="1F497D"/>
            </w:tcBorders>
            <w:shd w:val="clear" w:color="auto" w:fill="auto"/>
            <w:vAlign w:val="center"/>
            <w:hideMark/>
          </w:tcPr>
          <w:p w14:paraId="74A40BD8"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1252</w:t>
            </w:r>
          </w:p>
        </w:tc>
        <w:tc>
          <w:tcPr>
            <w:tcW w:w="709" w:type="dxa"/>
            <w:tcBorders>
              <w:top w:val="nil"/>
              <w:left w:val="nil"/>
              <w:bottom w:val="double" w:sz="6" w:space="0" w:color="1F497D"/>
              <w:right w:val="double" w:sz="6" w:space="0" w:color="1F497D"/>
            </w:tcBorders>
            <w:shd w:val="clear" w:color="auto" w:fill="auto"/>
            <w:vAlign w:val="center"/>
            <w:hideMark/>
          </w:tcPr>
          <w:p w14:paraId="54674ACA"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1160</w:t>
            </w:r>
          </w:p>
        </w:tc>
        <w:tc>
          <w:tcPr>
            <w:tcW w:w="708" w:type="dxa"/>
            <w:tcBorders>
              <w:top w:val="nil"/>
              <w:left w:val="nil"/>
              <w:bottom w:val="double" w:sz="6" w:space="0" w:color="1F497D"/>
              <w:right w:val="double" w:sz="6" w:space="0" w:color="1F497D"/>
            </w:tcBorders>
            <w:shd w:val="clear" w:color="auto" w:fill="auto"/>
            <w:vAlign w:val="center"/>
            <w:hideMark/>
          </w:tcPr>
          <w:p w14:paraId="19AD01D3"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1065</w:t>
            </w:r>
          </w:p>
        </w:tc>
        <w:tc>
          <w:tcPr>
            <w:tcW w:w="1134" w:type="dxa"/>
            <w:tcBorders>
              <w:top w:val="nil"/>
              <w:left w:val="nil"/>
              <w:bottom w:val="double" w:sz="6" w:space="0" w:color="1F497D"/>
              <w:right w:val="double" w:sz="6" w:space="0" w:color="1F497D"/>
            </w:tcBorders>
            <w:shd w:val="clear" w:color="auto" w:fill="auto"/>
            <w:vAlign w:val="center"/>
            <w:hideMark/>
          </w:tcPr>
          <w:p w14:paraId="1D2BB859"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1159</w:t>
            </w:r>
          </w:p>
        </w:tc>
        <w:tc>
          <w:tcPr>
            <w:tcW w:w="984" w:type="dxa"/>
            <w:tcBorders>
              <w:top w:val="nil"/>
              <w:left w:val="nil"/>
              <w:bottom w:val="double" w:sz="6" w:space="0" w:color="1F497D"/>
              <w:right w:val="double" w:sz="6" w:space="0" w:color="1F497D"/>
            </w:tcBorders>
            <w:shd w:val="clear" w:color="auto" w:fill="auto"/>
            <w:vAlign w:val="center"/>
            <w:hideMark/>
          </w:tcPr>
          <w:p w14:paraId="314BE6C1"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103</w:t>
            </w:r>
          </w:p>
        </w:tc>
        <w:tc>
          <w:tcPr>
            <w:tcW w:w="1535" w:type="dxa"/>
            <w:vMerge/>
            <w:tcBorders>
              <w:top w:val="nil"/>
              <w:left w:val="double" w:sz="6" w:space="0" w:color="1F497D"/>
              <w:bottom w:val="double" w:sz="6" w:space="0" w:color="1F497D"/>
              <w:right w:val="double" w:sz="6" w:space="0" w:color="1F497D"/>
            </w:tcBorders>
            <w:vAlign w:val="center"/>
            <w:hideMark/>
          </w:tcPr>
          <w:p w14:paraId="47E04B56" w14:textId="77777777" w:rsidR="001341EC" w:rsidRPr="009A1C5C" w:rsidRDefault="001341EC" w:rsidP="00165AA6">
            <w:pPr>
              <w:rPr>
                <w:rFonts w:ascii="Book Antiqua" w:hAnsi="Book Antiqua" w:cs="Arial"/>
                <w:sz w:val="22"/>
                <w:szCs w:val="22"/>
                <w:lang w:eastAsia="es-CR"/>
              </w:rPr>
            </w:pPr>
          </w:p>
        </w:tc>
        <w:tc>
          <w:tcPr>
            <w:tcW w:w="1762" w:type="dxa"/>
            <w:tcBorders>
              <w:top w:val="nil"/>
              <w:left w:val="nil"/>
              <w:bottom w:val="double" w:sz="6" w:space="0" w:color="1F497D"/>
              <w:right w:val="double" w:sz="6" w:space="0" w:color="1F497D"/>
            </w:tcBorders>
            <w:shd w:val="clear" w:color="auto" w:fill="auto"/>
            <w:vAlign w:val="center"/>
            <w:hideMark/>
          </w:tcPr>
          <w:p w14:paraId="02B6F830"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17</w:t>
            </w:r>
          </w:p>
        </w:tc>
      </w:tr>
      <w:tr w:rsidR="001341EC" w:rsidRPr="009A1C5C" w14:paraId="7F3426BE" w14:textId="77777777" w:rsidTr="00165AA6">
        <w:trPr>
          <w:trHeight w:val="319"/>
        </w:trPr>
        <w:tc>
          <w:tcPr>
            <w:tcW w:w="1791" w:type="dxa"/>
            <w:tcBorders>
              <w:top w:val="nil"/>
              <w:left w:val="double" w:sz="6" w:space="0" w:color="1F497D"/>
              <w:bottom w:val="double" w:sz="6" w:space="0" w:color="1F497D"/>
              <w:right w:val="double" w:sz="6" w:space="0" w:color="1F497D"/>
            </w:tcBorders>
            <w:shd w:val="clear" w:color="auto" w:fill="auto"/>
            <w:vAlign w:val="center"/>
            <w:hideMark/>
          </w:tcPr>
          <w:p w14:paraId="25F9780D" w14:textId="77777777" w:rsidR="001341EC" w:rsidRPr="009A1C5C" w:rsidRDefault="001341EC" w:rsidP="00165AA6">
            <w:pPr>
              <w:rPr>
                <w:rFonts w:ascii="Book Antiqua" w:hAnsi="Book Antiqua" w:cs="Arial"/>
                <w:lang w:eastAsia="es-CR"/>
              </w:rPr>
            </w:pPr>
            <w:r w:rsidRPr="009A1C5C">
              <w:rPr>
                <w:rFonts w:ascii="Book Antiqua" w:hAnsi="Book Antiqua" w:cs="Arial"/>
                <w:lang w:eastAsia="es-CR"/>
              </w:rPr>
              <w:lastRenderedPageBreak/>
              <w:t>Circulante al finalizar</w:t>
            </w:r>
          </w:p>
        </w:tc>
        <w:tc>
          <w:tcPr>
            <w:tcW w:w="738" w:type="dxa"/>
            <w:tcBorders>
              <w:top w:val="nil"/>
              <w:left w:val="nil"/>
              <w:bottom w:val="double" w:sz="6" w:space="0" w:color="1F497D"/>
              <w:right w:val="double" w:sz="6" w:space="0" w:color="1F497D"/>
            </w:tcBorders>
            <w:shd w:val="clear" w:color="auto" w:fill="auto"/>
            <w:vAlign w:val="center"/>
            <w:hideMark/>
          </w:tcPr>
          <w:p w14:paraId="6E7F5C78"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369</w:t>
            </w:r>
          </w:p>
        </w:tc>
        <w:tc>
          <w:tcPr>
            <w:tcW w:w="709" w:type="dxa"/>
            <w:tcBorders>
              <w:top w:val="nil"/>
              <w:left w:val="nil"/>
              <w:bottom w:val="double" w:sz="6" w:space="0" w:color="1F497D"/>
              <w:right w:val="double" w:sz="6" w:space="0" w:color="1F497D"/>
            </w:tcBorders>
            <w:shd w:val="clear" w:color="auto" w:fill="auto"/>
            <w:vAlign w:val="center"/>
            <w:hideMark/>
          </w:tcPr>
          <w:p w14:paraId="270B47F4"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340</w:t>
            </w:r>
          </w:p>
        </w:tc>
        <w:tc>
          <w:tcPr>
            <w:tcW w:w="708" w:type="dxa"/>
            <w:tcBorders>
              <w:top w:val="nil"/>
              <w:left w:val="nil"/>
              <w:bottom w:val="double" w:sz="6" w:space="0" w:color="1F497D"/>
              <w:right w:val="double" w:sz="6" w:space="0" w:color="1F497D"/>
            </w:tcBorders>
            <w:shd w:val="clear" w:color="auto" w:fill="auto"/>
            <w:vAlign w:val="center"/>
            <w:hideMark/>
          </w:tcPr>
          <w:p w14:paraId="76D425E4"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332</w:t>
            </w:r>
          </w:p>
        </w:tc>
        <w:tc>
          <w:tcPr>
            <w:tcW w:w="1134" w:type="dxa"/>
            <w:tcBorders>
              <w:top w:val="nil"/>
              <w:left w:val="nil"/>
              <w:bottom w:val="double" w:sz="6" w:space="0" w:color="1F497D"/>
              <w:right w:val="double" w:sz="6" w:space="0" w:color="1F497D"/>
            </w:tcBorders>
            <w:shd w:val="clear" w:color="000000" w:fill="BFBFBF"/>
            <w:vAlign w:val="center"/>
            <w:hideMark/>
          </w:tcPr>
          <w:p w14:paraId="43BE9C41" w14:textId="77777777" w:rsidR="001341EC" w:rsidRPr="009A1C5C" w:rsidRDefault="001341EC" w:rsidP="00165AA6">
            <w:pPr>
              <w:jc w:val="center"/>
              <w:rPr>
                <w:rFonts w:ascii="Book Antiqua" w:hAnsi="Book Antiqua" w:cs="Arial"/>
                <w:color w:val="FFFFFF"/>
                <w:lang w:eastAsia="es-CR"/>
              </w:rPr>
            </w:pPr>
            <w:r w:rsidRPr="009A1C5C">
              <w:rPr>
                <w:rFonts w:ascii="Book Antiqua" w:hAnsi="Book Antiqua" w:cs="Arial"/>
                <w:color w:val="FFFFFF"/>
                <w:lang w:eastAsia="es-CR"/>
              </w:rPr>
              <w:t> </w:t>
            </w:r>
          </w:p>
        </w:tc>
        <w:tc>
          <w:tcPr>
            <w:tcW w:w="984" w:type="dxa"/>
            <w:tcBorders>
              <w:top w:val="nil"/>
              <w:left w:val="nil"/>
              <w:bottom w:val="double" w:sz="6" w:space="0" w:color="1F497D"/>
              <w:right w:val="double" w:sz="6" w:space="0" w:color="1F497D"/>
            </w:tcBorders>
            <w:shd w:val="clear" w:color="000000" w:fill="BFBFBF"/>
            <w:vAlign w:val="center"/>
            <w:hideMark/>
          </w:tcPr>
          <w:p w14:paraId="027D5058" w14:textId="77777777" w:rsidR="001341EC" w:rsidRPr="009A1C5C" w:rsidRDefault="001341EC" w:rsidP="00165AA6">
            <w:pPr>
              <w:jc w:val="center"/>
              <w:rPr>
                <w:rFonts w:ascii="Book Antiqua" w:hAnsi="Book Antiqua" w:cs="Arial"/>
                <w:color w:val="FFFFFF"/>
                <w:lang w:eastAsia="es-CR"/>
              </w:rPr>
            </w:pPr>
            <w:r w:rsidRPr="009A1C5C">
              <w:rPr>
                <w:rFonts w:ascii="Book Antiqua" w:hAnsi="Book Antiqua" w:cs="Arial"/>
                <w:color w:val="FFFFFF"/>
                <w:lang w:eastAsia="es-CR"/>
              </w:rPr>
              <w:t> </w:t>
            </w:r>
          </w:p>
        </w:tc>
        <w:tc>
          <w:tcPr>
            <w:tcW w:w="1535" w:type="dxa"/>
            <w:tcBorders>
              <w:top w:val="nil"/>
              <w:left w:val="nil"/>
              <w:bottom w:val="double" w:sz="6" w:space="0" w:color="1F497D"/>
              <w:right w:val="double" w:sz="6" w:space="0" w:color="1F497D"/>
            </w:tcBorders>
            <w:shd w:val="clear" w:color="000000" w:fill="BFBFBF"/>
            <w:vAlign w:val="center"/>
            <w:hideMark/>
          </w:tcPr>
          <w:p w14:paraId="1C7FF492" w14:textId="77777777" w:rsidR="001341EC" w:rsidRPr="009A1C5C" w:rsidRDefault="001341EC" w:rsidP="00165AA6">
            <w:pPr>
              <w:jc w:val="center"/>
              <w:rPr>
                <w:rFonts w:ascii="Book Antiqua" w:hAnsi="Book Antiqua" w:cs="Arial"/>
                <w:color w:val="FFFFFF"/>
                <w:lang w:eastAsia="es-CR"/>
              </w:rPr>
            </w:pPr>
            <w:r w:rsidRPr="009A1C5C">
              <w:rPr>
                <w:rFonts w:ascii="Book Antiqua" w:hAnsi="Book Antiqua" w:cs="Arial"/>
                <w:color w:val="FFFFFF"/>
                <w:lang w:eastAsia="es-CR"/>
              </w:rPr>
              <w:t> </w:t>
            </w:r>
          </w:p>
        </w:tc>
        <w:tc>
          <w:tcPr>
            <w:tcW w:w="1762" w:type="dxa"/>
            <w:tcBorders>
              <w:top w:val="nil"/>
              <w:left w:val="nil"/>
              <w:bottom w:val="double" w:sz="6" w:space="0" w:color="1F497D"/>
              <w:right w:val="double" w:sz="6" w:space="0" w:color="1F497D"/>
            </w:tcBorders>
            <w:shd w:val="clear" w:color="000000" w:fill="BFBFBF"/>
            <w:vAlign w:val="center"/>
            <w:hideMark/>
          </w:tcPr>
          <w:p w14:paraId="73D64C25" w14:textId="77777777" w:rsidR="001341EC" w:rsidRPr="009A1C5C" w:rsidRDefault="001341EC" w:rsidP="00165AA6">
            <w:pPr>
              <w:jc w:val="center"/>
              <w:rPr>
                <w:rFonts w:ascii="Book Antiqua" w:hAnsi="Book Antiqua" w:cs="Arial"/>
                <w:color w:val="FFFFFF"/>
                <w:lang w:eastAsia="es-CR"/>
              </w:rPr>
            </w:pPr>
            <w:r w:rsidRPr="009A1C5C">
              <w:rPr>
                <w:rFonts w:ascii="Book Antiqua" w:hAnsi="Book Antiqua" w:cs="Arial"/>
                <w:color w:val="FFFFFF"/>
                <w:lang w:eastAsia="es-CR"/>
              </w:rPr>
              <w:t> </w:t>
            </w:r>
          </w:p>
        </w:tc>
      </w:tr>
    </w:tbl>
    <w:p w14:paraId="0EBF383E" w14:textId="77777777" w:rsidR="001341EC" w:rsidRDefault="001341EC" w:rsidP="001341EC">
      <w:pPr>
        <w:rPr>
          <w:rFonts w:ascii="Book Antiqua" w:hAnsi="Book Antiqua"/>
          <w:sz w:val="22"/>
          <w:szCs w:val="22"/>
        </w:rPr>
      </w:pPr>
      <w:r w:rsidRPr="0016798C">
        <w:rPr>
          <w:rFonts w:ascii="Book Antiqua" w:hAnsi="Book Antiqua"/>
          <w:b/>
          <w:i/>
          <w:lang w:eastAsia="en-US"/>
        </w:rPr>
        <w:t>Fuente: Elaboración propia con base en datos del sistema SIGMA</w:t>
      </w:r>
      <w:r>
        <w:rPr>
          <w:rFonts w:ascii="Book Antiqua" w:hAnsi="Book Antiqua"/>
          <w:b/>
          <w:i/>
          <w:lang w:eastAsia="en-US"/>
        </w:rPr>
        <w:t xml:space="preserve"> y Anuarios Judiciales</w:t>
      </w:r>
      <w:r w:rsidRPr="0016798C">
        <w:rPr>
          <w:rFonts w:ascii="Book Antiqua" w:hAnsi="Book Antiqua"/>
          <w:b/>
          <w:i/>
          <w:lang w:eastAsia="en-US"/>
        </w:rPr>
        <w:t>, Subproceso de Modernización,</w:t>
      </w:r>
    </w:p>
    <w:p w14:paraId="58DD67AE" w14:textId="77777777" w:rsidR="001341EC" w:rsidRDefault="001341EC" w:rsidP="001341EC">
      <w:pPr>
        <w:rPr>
          <w:rFonts w:ascii="Book Antiqua" w:hAnsi="Book Antiqua"/>
          <w:sz w:val="22"/>
          <w:szCs w:val="22"/>
        </w:rPr>
      </w:pPr>
    </w:p>
    <w:p w14:paraId="40DF7127" w14:textId="77777777" w:rsidR="001341EC" w:rsidRDefault="001341EC" w:rsidP="001341EC">
      <w:pPr>
        <w:jc w:val="both"/>
        <w:rPr>
          <w:rFonts w:ascii="Book Antiqua" w:hAnsi="Book Antiqua"/>
          <w:sz w:val="22"/>
          <w:szCs w:val="22"/>
        </w:rPr>
      </w:pPr>
      <w:r>
        <w:rPr>
          <w:rFonts w:ascii="Book Antiqua" w:hAnsi="Book Antiqua"/>
          <w:sz w:val="22"/>
          <w:szCs w:val="22"/>
        </w:rPr>
        <w:t xml:space="preserve">Como se muestra el cuadro anterior, el Tribunal tiene la capacidad de terminar tanto la carga de trabajo entrante como parte del circulante, reduciendo hasta un 10% su circulante en el 2017 en comparación con el 2018. </w:t>
      </w:r>
    </w:p>
    <w:p w14:paraId="5704B112" w14:textId="77777777" w:rsidR="001341EC" w:rsidRDefault="001341EC" w:rsidP="001341EC">
      <w:pPr>
        <w:jc w:val="both"/>
        <w:rPr>
          <w:rFonts w:ascii="Book Antiqua" w:hAnsi="Book Antiqua"/>
          <w:sz w:val="22"/>
          <w:szCs w:val="22"/>
        </w:rPr>
      </w:pPr>
    </w:p>
    <w:p w14:paraId="6A09D973" w14:textId="77777777" w:rsidR="001341EC" w:rsidRDefault="001341EC" w:rsidP="001341EC">
      <w:pPr>
        <w:jc w:val="both"/>
        <w:rPr>
          <w:rFonts w:ascii="Book Antiqua" w:hAnsi="Book Antiqua"/>
          <w:sz w:val="22"/>
          <w:szCs w:val="22"/>
        </w:rPr>
      </w:pPr>
      <w:r>
        <w:rPr>
          <w:rFonts w:ascii="Book Antiqua" w:hAnsi="Book Antiqua"/>
          <w:sz w:val="22"/>
          <w:szCs w:val="22"/>
        </w:rPr>
        <w:t xml:space="preserve">El promedio de carga de trabajo, contemplando asuntos nuevos más reentrados, es de 17 casos al mes y se tiene un promedio de 17 casos terminados al mes. </w:t>
      </w:r>
    </w:p>
    <w:p w14:paraId="16E80FC9" w14:textId="77777777" w:rsidR="001341EC" w:rsidRDefault="001341EC" w:rsidP="001341EC">
      <w:pPr>
        <w:jc w:val="both"/>
        <w:rPr>
          <w:rFonts w:ascii="Book Antiqua" w:hAnsi="Book Antiqua"/>
          <w:sz w:val="22"/>
          <w:szCs w:val="22"/>
        </w:rPr>
      </w:pPr>
    </w:p>
    <w:p w14:paraId="5FB240EC" w14:textId="77777777" w:rsidR="001341EC" w:rsidRDefault="001341EC" w:rsidP="001341EC">
      <w:pPr>
        <w:jc w:val="both"/>
        <w:rPr>
          <w:rFonts w:ascii="Book Antiqua" w:hAnsi="Book Antiqua"/>
          <w:sz w:val="22"/>
          <w:szCs w:val="22"/>
        </w:rPr>
      </w:pPr>
      <w:r w:rsidRPr="00C2271D">
        <w:rPr>
          <w:rFonts w:ascii="Book Antiqua" w:hAnsi="Book Antiqua"/>
          <w:sz w:val="22"/>
          <w:szCs w:val="22"/>
        </w:rPr>
        <w:t>Es de recordar que al Tribunal el Consejo Superior en sesión 41-18 celebrada el 15 de mayo de 2018 artículo XXXI,, acordó</w:t>
      </w:r>
      <w:r w:rsidRPr="00DD3FAE">
        <w:rPr>
          <w:rFonts w:ascii="Book Antiqua" w:hAnsi="Book Antiqua"/>
          <w:sz w:val="22"/>
          <w:szCs w:val="22"/>
        </w:rPr>
        <w:t xml:space="preserve"> </w:t>
      </w:r>
      <w:r w:rsidRPr="00C2271D">
        <w:rPr>
          <w:rFonts w:ascii="Book Antiqua" w:hAnsi="Book Antiqua"/>
          <w:sz w:val="22"/>
          <w:szCs w:val="22"/>
        </w:rPr>
        <w:t xml:space="preserve">una cuota de </w:t>
      </w:r>
      <w:r>
        <w:rPr>
          <w:rFonts w:ascii="Book Antiqua" w:hAnsi="Book Antiqua"/>
          <w:sz w:val="22"/>
          <w:szCs w:val="22"/>
        </w:rPr>
        <w:t>18</w:t>
      </w:r>
      <w:r w:rsidRPr="00C2271D">
        <w:rPr>
          <w:rFonts w:ascii="Book Antiqua" w:hAnsi="Book Antiqua"/>
          <w:sz w:val="22"/>
          <w:szCs w:val="22"/>
        </w:rPr>
        <w:t xml:space="preserve"> asuntos mensuales por Jueza o Juez</w:t>
      </w:r>
      <w:r>
        <w:rPr>
          <w:rFonts w:ascii="Book Antiqua" w:hAnsi="Book Antiqua"/>
          <w:sz w:val="22"/>
          <w:szCs w:val="22"/>
        </w:rPr>
        <w:t xml:space="preserve">, lo cual contribuye de forma significativa a la atención de la entrada y disminución constante del circulante. </w:t>
      </w:r>
    </w:p>
    <w:p w14:paraId="547192B2" w14:textId="77777777" w:rsidR="001341EC" w:rsidRDefault="001341EC" w:rsidP="001341EC">
      <w:pPr>
        <w:jc w:val="both"/>
        <w:rPr>
          <w:rFonts w:ascii="Book Antiqua" w:hAnsi="Book Antiqua"/>
          <w:sz w:val="22"/>
          <w:szCs w:val="22"/>
        </w:rPr>
      </w:pPr>
    </w:p>
    <w:p w14:paraId="2415A543" w14:textId="77777777" w:rsidR="001341EC" w:rsidRDefault="001341EC" w:rsidP="001341EC">
      <w:pPr>
        <w:jc w:val="both"/>
        <w:rPr>
          <w:rFonts w:ascii="Book Antiqua" w:hAnsi="Book Antiqua"/>
          <w:sz w:val="22"/>
          <w:szCs w:val="22"/>
        </w:rPr>
      </w:pPr>
    </w:p>
    <w:p w14:paraId="6D71B2B6" w14:textId="77777777" w:rsidR="001341EC" w:rsidRDefault="001341EC" w:rsidP="001341EC">
      <w:pPr>
        <w:jc w:val="both"/>
        <w:rPr>
          <w:rFonts w:ascii="Book Antiqua" w:hAnsi="Book Antiqua"/>
          <w:sz w:val="22"/>
          <w:szCs w:val="22"/>
        </w:rPr>
      </w:pPr>
      <w:r>
        <w:rPr>
          <w:rFonts w:ascii="Book Antiqua" w:hAnsi="Book Antiqua"/>
          <w:sz w:val="22"/>
          <w:szCs w:val="22"/>
        </w:rPr>
        <w:t xml:space="preserve">Durante el 2018, se recibe ayuda por parte de una sección extraordinaria, , con tres personas juzgadoras, con el objetivo de reducir los pendientes de trámite y fallo de asuntos y por consiguiente la reducción del circulante, generando la siguiente información: </w:t>
      </w:r>
    </w:p>
    <w:p w14:paraId="3DE1D2E0" w14:textId="77777777" w:rsidR="001341EC" w:rsidRDefault="001341EC" w:rsidP="001341EC">
      <w:pPr>
        <w:rPr>
          <w:rFonts w:ascii="Book Antiqua" w:hAnsi="Book Antiqua"/>
          <w:sz w:val="22"/>
          <w:szCs w:val="22"/>
        </w:rPr>
      </w:pPr>
    </w:p>
    <w:p w14:paraId="1B639E70" w14:textId="77777777" w:rsidR="001341EC" w:rsidRPr="00D571D9"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571D9">
        <w:rPr>
          <w:rFonts w:ascii="Book Antiqua" w:hAnsi="Book Antiqua"/>
          <w:bCs w:val="0"/>
          <w:iCs/>
          <w:sz w:val="22"/>
          <w:szCs w:val="24"/>
          <w:lang w:val="es-CR"/>
        </w:rPr>
        <w:t xml:space="preserve">Cuadro </w:t>
      </w:r>
      <w:r w:rsidR="009A23D1" w:rsidRPr="00D571D9">
        <w:rPr>
          <w:rFonts w:ascii="Book Antiqua" w:hAnsi="Book Antiqua"/>
          <w:bCs w:val="0"/>
          <w:iCs/>
          <w:sz w:val="22"/>
          <w:szCs w:val="24"/>
          <w:lang w:val="es-CR"/>
        </w:rPr>
        <w:fldChar w:fldCharType="begin"/>
      </w:r>
      <w:r w:rsidRPr="00D571D9">
        <w:rPr>
          <w:rFonts w:ascii="Book Antiqua" w:hAnsi="Book Antiqua"/>
          <w:bCs w:val="0"/>
          <w:iCs/>
          <w:sz w:val="22"/>
          <w:szCs w:val="24"/>
          <w:lang w:val="es-CR"/>
        </w:rPr>
        <w:instrText xml:space="preserve"> SEQ Cuadro \* ARABIC </w:instrText>
      </w:r>
      <w:r w:rsidR="009A23D1" w:rsidRPr="00D571D9">
        <w:rPr>
          <w:rFonts w:ascii="Book Antiqua" w:hAnsi="Book Antiqua"/>
          <w:bCs w:val="0"/>
          <w:iCs/>
          <w:sz w:val="22"/>
          <w:szCs w:val="24"/>
          <w:lang w:val="es-CR"/>
        </w:rPr>
        <w:fldChar w:fldCharType="separate"/>
      </w:r>
      <w:r>
        <w:rPr>
          <w:rFonts w:ascii="Book Antiqua" w:hAnsi="Book Antiqua"/>
          <w:bCs w:val="0"/>
          <w:iCs/>
          <w:noProof/>
          <w:sz w:val="22"/>
          <w:szCs w:val="24"/>
          <w:lang w:val="es-CR"/>
        </w:rPr>
        <w:t>10</w:t>
      </w:r>
      <w:r w:rsidR="009A23D1" w:rsidRPr="00D571D9">
        <w:rPr>
          <w:rFonts w:ascii="Book Antiqua" w:hAnsi="Book Antiqua"/>
          <w:bCs w:val="0"/>
          <w:iCs/>
          <w:sz w:val="22"/>
          <w:szCs w:val="24"/>
          <w:lang w:val="es-CR"/>
        </w:rPr>
        <w:fldChar w:fldCharType="end"/>
      </w:r>
    </w:p>
    <w:p w14:paraId="57C1F7F7" w14:textId="77777777" w:rsidR="001341EC" w:rsidRPr="00D571D9" w:rsidRDefault="001341EC" w:rsidP="001341EC">
      <w:pPr>
        <w:jc w:val="center"/>
        <w:rPr>
          <w:rFonts w:ascii="Book Antiqua" w:hAnsi="Book Antiqua" w:cs="Arial"/>
          <w:b/>
          <w:iCs/>
          <w:sz w:val="22"/>
          <w:szCs w:val="24"/>
        </w:rPr>
      </w:pPr>
      <w:r w:rsidRPr="00D571D9">
        <w:rPr>
          <w:rFonts w:ascii="Book Antiqua" w:hAnsi="Book Antiqua" w:cs="Arial"/>
          <w:b/>
          <w:iCs/>
          <w:sz w:val="22"/>
          <w:szCs w:val="24"/>
        </w:rPr>
        <w:t>Movimiento de trabajo del tribunal agrario durante</w:t>
      </w:r>
      <w:r>
        <w:rPr>
          <w:rFonts w:ascii="Book Antiqua" w:hAnsi="Book Antiqua" w:cs="Arial"/>
          <w:b/>
          <w:iCs/>
          <w:sz w:val="22"/>
          <w:szCs w:val="24"/>
        </w:rPr>
        <w:t xml:space="preserve"> el 2018</w:t>
      </w:r>
    </w:p>
    <w:tbl>
      <w:tblPr>
        <w:tblW w:w="0" w:type="auto"/>
        <w:jc w:val="center"/>
        <w:tblCellMar>
          <w:left w:w="70" w:type="dxa"/>
          <w:right w:w="70" w:type="dxa"/>
        </w:tblCellMar>
        <w:tblLook w:val="04A0" w:firstRow="1" w:lastRow="0" w:firstColumn="1" w:lastColumn="0" w:noHBand="0" w:noVBand="1"/>
      </w:tblPr>
      <w:tblGrid>
        <w:gridCol w:w="1962"/>
        <w:gridCol w:w="992"/>
      </w:tblGrid>
      <w:tr w:rsidR="001341EC" w:rsidRPr="009A1C5C" w14:paraId="2604A16D" w14:textId="77777777" w:rsidTr="00165AA6">
        <w:trPr>
          <w:trHeight w:val="1176"/>
          <w:jc w:val="center"/>
        </w:trPr>
        <w:tc>
          <w:tcPr>
            <w:tcW w:w="1962" w:type="dxa"/>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4752B14C" w14:textId="77777777" w:rsidR="001341EC" w:rsidRPr="009A1C5C" w:rsidRDefault="001341EC" w:rsidP="00165AA6">
            <w:pPr>
              <w:jc w:val="center"/>
              <w:rPr>
                <w:rFonts w:ascii="Book Antiqua" w:hAnsi="Book Antiqua" w:cs="Arial"/>
                <w:b/>
                <w:bCs/>
                <w:color w:val="000000"/>
                <w:sz w:val="22"/>
                <w:szCs w:val="22"/>
                <w:lang w:eastAsia="es-CR"/>
              </w:rPr>
            </w:pPr>
            <w:r w:rsidRPr="009A1C5C">
              <w:rPr>
                <w:rFonts w:ascii="Book Antiqua" w:hAnsi="Book Antiqua" w:cs="Arial"/>
                <w:b/>
                <w:bCs/>
                <w:color w:val="000000"/>
                <w:sz w:val="22"/>
                <w:szCs w:val="22"/>
                <w:lang w:eastAsia="es-CR"/>
              </w:rPr>
              <w:t>Variables</w:t>
            </w:r>
          </w:p>
        </w:tc>
        <w:tc>
          <w:tcPr>
            <w:tcW w:w="992" w:type="dxa"/>
            <w:tcBorders>
              <w:top w:val="double" w:sz="6" w:space="0" w:color="1F497D"/>
              <w:left w:val="nil"/>
              <w:bottom w:val="double" w:sz="6" w:space="0" w:color="1F497D"/>
              <w:right w:val="double" w:sz="6" w:space="0" w:color="1F497D"/>
            </w:tcBorders>
            <w:shd w:val="clear" w:color="000000" w:fill="8DB4E2"/>
            <w:vAlign w:val="center"/>
            <w:hideMark/>
          </w:tcPr>
          <w:p w14:paraId="4A688008" w14:textId="77777777" w:rsidR="001341EC" w:rsidRPr="009A1C5C" w:rsidRDefault="001341EC" w:rsidP="00165AA6">
            <w:pPr>
              <w:jc w:val="center"/>
              <w:rPr>
                <w:rFonts w:ascii="Book Antiqua" w:hAnsi="Book Antiqua" w:cs="Arial"/>
                <w:b/>
                <w:bCs/>
                <w:color w:val="000000"/>
                <w:sz w:val="22"/>
                <w:szCs w:val="22"/>
                <w:lang w:eastAsia="es-CR"/>
              </w:rPr>
            </w:pPr>
            <w:r w:rsidRPr="009A1C5C">
              <w:rPr>
                <w:rFonts w:ascii="Book Antiqua" w:hAnsi="Book Antiqua" w:cs="Arial"/>
                <w:b/>
                <w:bCs/>
                <w:color w:val="000000"/>
                <w:sz w:val="22"/>
                <w:szCs w:val="22"/>
                <w:lang w:eastAsia="es-CR"/>
              </w:rPr>
              <w:t>2018</w:t>
            </w:r>
          </w:p>
        </w:tc>
      </w:tr>
      <w:tr w:rsidR="001341EC" w:rsidRPr="009A1C5C" w14:paraId="25ECAB4C" w14:textId="77777777" w:rsidTr="00165AA6">
        <w:trPr>
          <w:trHeight w:val="300"/>
          <w:jc w:val="center"/>
        </w:trPr>
        <w:tc>
          <w:tcPr>
            <w:tcW w:w="1962" w:type="dxa"/>
            <w:tcBorders>
              <w:top w:val="nil"/>
              <w:left w:val="double" w:sz="6" w:space="0" w:color="1F497D"/>
              <w:bottom w:val="double" w:sz="6" w:space="0" w:color="1F497D"/>
              <w:right w:val="double" w:sz="6" w:space="0" w:color="1F497D"/>
            </w:tcBorders>
            <w:shd w:val="clear" w:color="auto" w:fill="auto"/>
            <w:vAlign w:val="center"/>
            <w:hideMark/>
          </w:tcPr>
          <w:p w14:paraId="1AB1A95E" w14:textId="77777777" w:rsidR="001341EC" w:rsidRPr="009A1C5C" w:rsidRDefault="001341EC" w:rsidP="00165AA6">
            <w:pPr>
              <w:rPr>
                <w:rFonts w:ascii="Book Antiqua" w:hAnsi="Book Antiqua" w:cs="Arial"/>
                <w:lang w:eastAsia="es-CR"/>
              </w:rPr>
            </w:pPr>
            <w:r w:rsidRPr="009A1C5C">
              <w:rPr>
                <w:rFonts w:ascii="Book Antiqua" w:hAnsi="Book Antiqua" w:cs="Arial"/>
                <w:lang w:eastAsia="es-CR"/>
              </w:rPr>
              <w:t>Casos entrados</w:t>
            </w:r>
          </w:p>
        </w:tc>
        <w:tc>
          <w:tcPr>
            <w:tcW w:w="992" w:type="dxa"/>
            <w:tcBorders>
              <w:top w:val="nil"/>
              <w:left w:val="nil"/>
              <w:bottom w:val="double" w:sz="6" w:space="0" w:color="1F497D"/>
              <w:right w:val="double" w:sz="6" w:space="0" w:color="1F497D"/>
            </w:tcBorders>
            <w:shd w:val="clear" w:color="auto" w:fill="auto"/>
            <w:vAlign w:val="center"/>
            <w:hideMark/>
          </w:tcPr>
          <w:p w14:paraId="2CBB3BAA"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796</w:t>
            </w:r>
          </w:p>
        </w:tc>
      </w:tr>
      <w:tr w:rsidR="001341EC" w:rsidRPr="009A1C5C" w14:paraId="1A3A2188" w14:textId="77777777" w:rsidTr="00165AA6">
        <w:trPr>
          <w:trHeight w:val="300"/>
          <w:jc w:val="center"/>
        </w:trPr>
        <w:tc>
          <w:tcPr>
            <w:tcW w:w="1962" w:type="dxa"/>
            <w:tcBorders>
              <w:top w:val="nil"/>
              <w:left w:val="double" w:sz="6" w:space="0" w:color="1F497D"/>
              <w:bottom w:val="double" w:sz="6" w:space="0" w:color="1F497D"/>
              <w:right w:val="double" w:sz="6" w:space="0" w:color="1F497D"/>
            </w:tcBorders>
            <w:shd w:val="clear" w:color="auto" w:fill="auto"/>
            <w:vAlign w:val="center"/>
            <w:hideMark/>
          </w:tcPr>
          <w:p w14:paraId="0374417A" w14:textId="77777777" w:rsidR="001341EC" w:rsidRPr="009A1C5C" w:rsidRDefault="001341EC" w:rsidP="00165AA6">
            <w:pPr>
              <w:rPr>
                <w:rFonts w:ascii="Book Antiqua" w:hAnsi="Book Antiqua" w:cs="Arial"/>
                <w:lang w:eastAsia="es-CR"/>
              </w:rPr>
            </w:pPr>
            <w:r w:rsidRPr="009A1C5C">
              <w:rPr>
                <w:rFonts w:ascii="Book Antiqua" w:hAnsi="Book Antiqua" w:cs="Arial"/>
                <w:lang w:eastAsia="es-CR"/>
              </w:rPr>
              <w:t>Casos reentrados</w:t>
            </w:r>
          </w:p>
        </w:tc>
        <w:tc>
          <w:tcPr>
            <w:tcW w:w="992" w:type="dxa"/>
            <w:tcBorders>
              <w:top w:val="nil"/>
              <w:left w:val="nil"/>
              <w:bottom w:val="double" w:sz="6" w:space="0" w:color="1F497D"/>
              <w:right w:val="double" w:sz="6" w:space="0" w:color="1F497D"/>
            </w:tcBorders>
            <w:shd w:val="clear" w:color="auto" w:fill="auto"/>
            <w:vAlign w:val="center"/>
            <w:hideMark/>
          </w:tcPr>
          <w:p w14:paraId="1E00A802"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10</w:t>
            </w:r>
          </w:p>
        </w:tc>
      </w:tr>
      <w:tr w:rsidR="001341EC" w:rsidRPr="009A1C5C" w14:paraId="3D55E927" w14:textId="77777777" w:rsidTr="00165AA6">
        <w:trPr>
          <w:trHeight w:val="300"/>
          <w:jc w:val="center"/>
        </w:trPr>
        <w:tc>
          <w:tcPr>
            <w:tcW w:w="1962" w:type="dxa"/>
            <w:tcBorders>
              <w:top w:val="nil"/>
              <w:left w:val="double" w:sz="6" w:space="0" w:color="1F497D"/>
              <w:bottom w:val="double" w:sz="6" w:space="0" w:color="1F497D"/>
              <w:right w:val="double" w:sz="6" w:space="0" w:color="1F497D"/>
            </w:tcBorders>
            <w:shd w:val="clear" w:color="auto" w:fill="auto"/>
            <w:vAlign w:val="center"/>
            <w:hideMark/>
          </w:tcPr>
          <w:p w14:paraId="432518DA" w14:textId="77777777" w:rsidR="001341EC" w:rsidRPr="009A1C5C" w:rsidRDefault="001341EC" w:rsidP="00165AA6">
            <w:pPr>
              <w:rPr>
                <w:rFonts w:ascii="Book Antiqua" w:hAnsi="Book Antiqua" w:cs="Arial"/>
                <w:lang w:eastAsia="es-CR"/>
              </w:rPr>
            </w:pPr>
            <w:r w:rsidRPr="009A1C5C">
              <w:rPr>
                <w:rFonts w:ascii="Book Antiqua" w:hAnsi="Book Antiqua" w:cs="Arial"/>
                <w:lang w:eastAsia="es-CR"/>
              </w:rPr>
              <w:t>Casos terminados</w:t>
            </w:r>
          </w:p>
        </w:tc>
        <w:tc>
          <w:tcPr>
            <w:tcW w:w="992" w:type="dxa"/>
            <w:tcBorders>
              <w:top w:val="nil"/>
              <w:left w:val="nil"/>
              <w:bottom w:val="double" w:sz="6" w:space="0" w:color="1F497D"/>
              <w:right w:val="double" w:sz="6" w:space="0" w:color="1F497D"/>
            </w:tcBorders>
            <w:shd w:val="clear" w:color="auto" w:fill="auto"/>
            <w:vAlign w:val="center"/>
            <w:hideMark/>
          </w:tcPr>
          <w:p w14:paraId="013730C0"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1094</w:t>
            </w:r>
          </w:p>
        </w:tc>
      </w:tr>
      <w:tr w:rsidR="001341EC" w:rsidRPr="009A1C5C" w14:paraId="184995BF" w14:textId="77777777" w:rsidTr="00165AA6">
        <w:trPr>
          <w:trHeight w:val="300"/>
          <w:jc w:val="center"/>
        </w:trPr>
        <w:tc>
          <w:tcPr>
            <w:tcW w:w="1962" w:type="dxa"/>
            <w:tcBorders>
              <w:top w:val="nil"/>
              <w:left w:val="double" w:sz="6" w:space="0" w:color="1F497D"/>
              <w:bottom w:val="double" w:sz="6" w:space="0" w:color="1F497D"/>
              <w:right w:val="double" w:sz="6" w:space="0" w:color="1F497D"/>
            </w:tcBorders>
            <w:shd w:val="clear" w:color="auto" w:fill="auto"/>
            <w:vAlign w:val="center"/>
            <w:hideMark/>
          </w:tcPr>
          <w:p w14:paraId="23DE47E0" w14:textId="77777777" w:rsidR="001341EC" w:rsidRPr="009A1C5C" w:rsidRDefault="001341EC" w:rsidP="00165AA6">
            <w:pPr>
              <w:rPr>
                <w:rFonts w:ascii="Book Antiqua" w:hAnsi="Book Antiqua" w:cs="Arial"/>
                <w:lang w:eastAsia="es-CR"/>
              </w:rPr>
            </w:pPr>
            <w:r w:rsidRPr="009A1C5C">
              <w:rPr>
                <w:rFonts w:ascii="Book Antiqua" w:hAnsi="Book Antiqua" w:cs="Arial"/>
                <w:lang w:eastAsia="es-CR"/>
              </w:rPr>
              <w:t>Circulante al finalizar</w:t>
            </w:r>
          </w:p>
        </w:tc>
        <w:tc>
          <w:tcPr>
            <w:tcW w:w="992" w:type="dxa"/>
            <w:tcBorders>
              <w:top w:val="nil"/>
              <w:left w:val="nil"/>
              <w:bottom w:val="double" w:sz="6" w:space="0" w:color="1F497D"/>
              <w:right w:val="double" w:sz="6" w:space="0" w:color="1F497D"/>
            </w:tcBorders>
            <w:shd w:val="clear" w:color="auto" w:fill="auto"/>
            <w:vAlign w:val="center"/>
            <w:hideMark/>
          </w:tcPr>
          <w:p w14:paraId="21781EFD" w14:textId="77777777" w:rsidR="001341EC" w:rsidRPr="009A1C5C" w:rsidRDefault="001341EC" w:rsidP="00165AA6">
            <w:pPr>
              <w:jc w:val="center"/>
              <w:rPr>
                <w:rFonts w:ascii="Book Antiqua" w:hAnsi="Book Antiqua" w:cs="Arial"/>
                <w:lang w:eastAsia="es-CR"/>
              </w:rPr>
            </w:pPr>
            <w:r w:rsidRPr="009A1C5C">
              <w:rPr>
                <w:rFonts w:ascii="Book Antiqua" w:hAnsi="Book Antiqua" w:cs="Arial"/>
                <w:lang w:eastAsia="es-CR"/>
              </w:rPr>
              <w:t>44</w:t>
            </w:r>
          </w:p>
        </w:tc>
      </w:tr>
    </w:tbl>
    <w:p w14:paraId="5A027EF3" w14:textId="77777777" w:rsidR="001341EC" w:rsidRDefault="001341EC" w:rsidP="001341EC">
      <w:pPr>
        <w:rPr>
          <w:rFonts w:ascii="Book Antiqua" w:hAnsi="Book Antiqua"/>
          <w:sz w:val="22"/>
          <w:szCs w:val="22"/>
        </w:rPr>
      </w:pPr>
      <w:r w:rsidRPr="0016798C">
        <w:rPr>
          <w:rFonts w:ascii="Book Antiqua" w:hAnsi="Book Antiqua"/>
          <w:b/>
          <w:i/>
          <w:lang w:eastAsia="en-US"/>
        </w:rPr>
        <w:t>Fuente: Elaboración propia con base en datos del sistema SIGMA</w:t>
      </w:r>
      <w:r>
        <w:rPr>
          <w:rFonts w:ascii="Book Antiqua" w:hAnsi="Book Antiqua"/>
          <w:b/>
          <w:i/>
          <w:lang w:eastAsia="en-US"/>
        </w:rPr>
        <w:t xml:space="preserve"> y Anuarios Judiciales</w:t>
      </w:r>
      <w:r w:rsidRPr="0016798C">
        <w:rPr>
          <w:rFonts w:ascii="Book Antiqua" w:hAnsi="Book Antiqua"/>
          <w:b/>
          <w:i/>
          <w:lang w:eastAsia="en-US"/>
        </w:rPr>
        <w:t>, Subproceso de Modernización,</w:t>
      </w:r>
    </w:p>
    <w:p w14:paraId="2CCD23D1" w14:textId="77777777" w:rsidR="001341EC" w:rsidRDefault="001341EC" w:rsidP="001341EC">
      <w:pPr>
        <w:rPr>
          <w:rFonts w:ascii="Book Antiqua" w:hAnsi="Book Antiqua"/>
          <w:sz w:val="22"/>
          <w:szCs w:val="22"/>
        </w:rPr>
      </w:pPr>
    </w:p>
    <w:p w14:paraId="54E3E636" w14:textId="77777777" w:rsidR="001341EC" w:rsidRPr="00C2271D" w:rsidRDefault="001341EC" w:rsidP="001341EC">
      <w:pPr>
        <w:jc w:val="both"/>
        <w:rPr>
          <w:rFonts w:ascii="Book Antiqua" w:hAnsi="Book Antiqua"/>
          <w:sz w:val="22"/>
          <w:szCs w:val="22"/>
        </w:rPr>
      </w:pPr>
      <w:r>
        <w:rPr>
          <w:rFonts w:ascii="Book Antiqua" w:hAnsi="Book Antiqua"/>
          <w:sz w:val="22"/>
          <w:szCs w:val="22"/>
        </w:rPr>
        <w:t xml:space="preserve">Tal como se aprecia, la reducción del circulante es notoria con la ayuda de una sección extraordinaria, donde se logra reducir en un 87% el circulante del Tribunal, finalizado en el 2017. </w:t>
      </w:r>
    </w:p>
    <w:p w14:paraId="460384ED" w14:textId="77777777" w:rsidR="001341EC" w:rsidRDefault="001341EC" w:rsidP="001341EC">
      <w:pPr>
        <w:jc w:val="both"/>
        <w:rPr>
          <w:rFonts w:ascii="Book Antiqua" w:hAnsi="Book Antiqua"/>
          <w:bCs/>
          <w:iCs/>
          <w:sz w:val="22"/>
          <w:szCs w:val="22"/>
          <w:lang w:val="es-MX"/>
        </w:rPr>
      </w:pPr>
    </w:p>
    <w:p w14:paraId="100F53BD" w14:textId="77777777" w:rsidR="001341EC" w:rsidRDefault="001341EC" w:rsidP="001341EC">
      <w:pPr>
        <w:jc w:val="both"/>
        <w:rPr>
          <w:rFonts w:ascii="Book Antiqua" w:hAnsi="Book Antiqua"/>
          <w:bCs/>
          <w:iCs/>
          <w:sz w:val="22"/>
          <w:szCs w:val="22"/>
          <w:lang w:val="es-MX"/>
        </w:rPr>
      </w:pPr>
      <w:r>
        <w:rPr>
          <w:rFonts w:ascii="Book Antiqua" w:hAnsi="Book Antiqua"/>
          <w:bCs/>
          <w:iCs/>
          <w:sz w:val="22"/>
          <w:szCs w:val="22"/>
          <w:lang w:val="es-MX"/>
        </w:rPr>
        <w:t>Además, se reitera, que la estructura ordinaria de dos secciones actualmente tiene la capacidad mayor a la cantidad de asuntos que ingresan.</w:t>
      </w:r>
    </w:p>
    <w:p w14:paraId="370C32C2" w14:textId="77777777" w:rsidR="001341EC" w:rsidRDefault="001341EC" w:rsidP="001341EC">
      <w:pPr>
        <w:jc w:val="both"/>
        <w:rPr>
          <w:rFonts w:ascii="Book Antiqua" w:hAnsi="Book Antiqua"/>
          <w:bCs/>
          <w:iCs/>
          <w:sz w:val="22"/>
          <w:szCs w:val="22"/>
          <w:lang w:val="es-MX"/>
        </w:rPr>
      </w:pPr>
    </w:p>
    <w:p w14:paraId="6A03FFAF" w14:textId="77777777" w:rsidR="001341EC" w:rsidRDefault="001341EC" w:rsidP="001341EC">
      <w:pPr>
        <w:jc w:val="both"/>
        <w:rPr>
          <w:rFonts w:ascii="Book Antiqua" w:hAnsi="Book Antiqua"/>
          <w:bCs/>
          <w:iCs/>
          <w:sz w:val="22"/>
          <w:szCs w:val="22"/>
          <w:lang w:val="es-MX"/>
        </w:rPr>
      </w:pPr>
      <w:r>
        <w:rPr>
          <w:rFonts w:ascii="Book Antiqua" w:hAnsi="Book Antiqua"/>
          <w:bCs/>
          <w:iCs/>
          <w:sz w:val="22"/>
          <w:szCs w:val="22"/>
          <w:lang w:val="es-MX"/>
        </w:rPr>
        <w:t>La entrada de casos al Tribunal según tipo de resolución, de acuerdo al periodo en análisis, se muestra en el siguiente cuadro:</w:t>
      </w:r>
    </w:p>
    <w:p w14:paraId="3674DA28" w14:textId="77777777" w:rsidR="001341EC" w:rsidRDefault="001341EC" w:rsidP="001341EC">
      <w:pPr>
        <w:rPr>
          <w:rFonts w:ascii="Book Antiqua" w:hAnsi="Book Antiqua"/>
          <w:bCs/>
          <w:iCs/>
          <w:sz w:val="22"/>
          <w:szCs w:val="22"/>
          <w:lang w:val="es-MX"/>
        </w:rPr>
      </w:pPr>
    </w:p>
    <w:p w14:paraId="3BE1F47E" w14:textId="77777777" w:rsidR="001341EC" w:rsidRPr="00D571D9"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571D9">
        <w:rPr>
          <w:rFonts w:ascii="Book Antiqua" w:hAnsi="Book Antiqua"/>
          <w:bCs w:val="0"/>
          <w:iCs/>
          <w:sz w:val="22"/>
          <w:szCs w:val="24"/>
          <w:lang w:val="es-CR"/>
        </w:rPr>
        <w:t xml:space="preserve">Cuadro </w:t>
      </w:r>
      <w:r w:rsidR="009A23D1" w:rsidRPr="00D571D9">
        <w:rPr>
          <w:rFonts w:ascii="Book Antiqua" w:hAnsi="Book Antiqua"/>
          <w:bCs w:val="0"/>
          <w:iCs/>
          <w:sz w:val="22"/>
          <w:szCs w:val="24"/>
          <w:lang w:val="es-CR"/>
        </w:rPr>
        <w:fldChar w:fldCharType="begin"/>
      </w:r>
      <w:r w:rsidRPr="00D571D9">
        <w:rPr>
          <w:rFonts w:ascii="Book Antiqua" w:hAnsi="Book Antiqua"/>
          <w:bCs w:val="0"/>
          <w:iCs/>
          <w:sz w:val="22"/>
          <w:szCs w:val="24"/>
          <w:lang w:val="es-CR"/>
        </w:rPr>
        <w:instrText xml:space="preserve"> SEQ Cuadro \* ARABIC </w:instrText>
      </w:r>
      <w:r w:rsidR="009A23D1" w:rsidRPr="00D571D9">
        <w:rPr>
          <w:rFonts w:ascii="Book Antiqua" w:hAnsi="Book Antiqua"/>
          <w:bCs w:val="0"/>
          <w:iCs/>
          <w:sz w:val="22"/>
          <w:szCs w:val="24"/>
          <w:lang w:val="es-CR"/>
        </w:rPr>
        <w:fldChar w:fldCharType="separate"/>
      </w:r>
      <w:r>
        <w:rPr>
          <w:rFonts w:ascii="Book Antiqua" w:hAnsi="Book Antiqua"/>
          <w:bCs w:val="0"/>
          <w:iCs/>
          <w:noProof/>
          <w:sz w:val="22"/>
          <w:szCs w:val="24"/>
          <w:lang w:val="es-CR"/>
        </w:rPr>
        <w:t>11</w:t>
      </w:r>
      <w:r w:rsidR="009A23D1" w:rsidRPr="00D571D9">
        <w:rPr>
          <w:rFonts w:ascii="Book Antiqua" w:hAnsi="Book Antiqua"/>
          <w:bCs w:val="0"/>
          <w:iCs/>
          <w:sz w:val="22"/>
          <w:szCs w:val="24"/>
          <w:lang w:val="es-CR"/>
        </w:rPr>
        <w:fldChar w:fldCharType="end"/>
      </w:r>
    </w:p>
    <w:p w14:paraId="666D55F2" w14:textId="77777777" w:rsidR="001341EC" w:rsidRPr="00D571D9" w:rsidRDefault="001341EC" w:rsidP="001341EC">
      <w:pPr>
        <w:jc w:val="center"/>
        <w:rPr>
          <w:rFonts w:ascii="Book Antiqua" w:hAnsi="Book Antiqua" w:cs="Arial"/>
          <w:b/>
          <w:iCs/>
          <w:sz w:val="22"/>
          <w:szCs w:val="24"/>
        </w:rPr>
      </w:pPr>
      <w:r>
        <w:rPr>
          <w:rFonts w:ascii="Book Antiqua" w:hAnsi="Book Antiqua" w:cs="Arial"/>
          <w:b/>
          <w:iCs/>
          <w:sz w:val="22"/>
          <w:szCs w:val="24"/>
        </w:rPr>
        <w:t>Casos entrados por tipo de resolución</w:t>
      </w:r>
    </w:p>
    <w:p w14:paraId="0B870C65" w14:textId="77777777" w:rsidR="001341EC" w:rsidRPr="00D571D9" w:rsidRDefault="001341EC" w:rsidP="001341EC">
      <w:pPr>
        <w:jc w:val="center"/>
        <w:rPr>
          <w:rFonts w:ascii="Book Antiqua" w:hAnsi="Book Antiqua" w:cs="Arial"/>
          <w:b/>
          <w:iCs/>
          <w:sz w:val="22"/>
          <w:szCs w:val="24"/>
        </w:rPr>
      </w:pPr>
      <w:r w:rsidRPr="00D571D9">
        <w:rPr>
          <w:rFonts w:ascii="Book Antiqua" w:hAnsi="Book Antiqua" w:cs="Arial"/>
          <w:b/>
          <w:iCs/>
          <w:sz w:val="22"/>
          <w:szCs w:val="24"/>
        </w:rPr>
        <w:t xml:space="preserve">El período </w:t>
      </w:r>
      <w:r>
        <w:rPr>
          <w:rFonts w:ascii="Book Antiqua" w:hAnsi="Book Antiqua" w:cs="Arial"/>
          <w:b/>
          <w:iCs/>
          <w:sz w:val="22"/>
          <w:szCs w:val="24"/>
        </w:rPr>
        <w:t>2016-2018</w:t>
      </w:r>
    </w:p>
    <w:tbl>
      <w:tblPr>
        <w:tblW w:w="6220" w:type="dxa"/>
        <w:jc w:val="center"/>
        <w:tblCellMar>
          <w:left w:w="70" w:type="dxa"/>
          <w:right w:w="70" w:type="dxa"/>
        </w:tblCellMar>
        <w:tblLook w:val="04A0" w:firstRow="1" w:lastRow="0" w:firstColumn="1" w:lastColumn="0" w:noHBand="0" w:noVBand="1"/>
      </w:tblPr>
      <w:tblGrid>
        <w:gridCol w:w="2800"/>
        <w:gridCol w:w="940"/>
        <w:gridCol w:w="1240"/>
        <w:gridCol w:w="1240"/>
      </w:tblGrid>
      <w:tr w:rsidR="001341EC" w:rsidRPr="00D96B4A" w14:paraId="4D4D1AA7" w14:textId="77777777" w:rsidTr="00165AA6">
        <w:trPr>
          <w:trHeight w:val="312"/>
          <w:jc w:val="center"/>
        </w:trPr>
        <w:tc>
          <w:tcPr>
            <w:tcW w:w="2800" w:type="dxa"/>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56F32C3F" w14:textId="77777777" w:rsidR="001341EC" w:rsidRPr="00D96B4A" w:rsidRDefault="001341EC" w:rsidP="00165AA6">
            <w:pPr>
              <w:jc w:val="center"/>
              <w:rPr>
                <w:rFonts w:ascii="Book Antiqua" w:hAnsi="Book Antiqua" w:cs="Arial"/>
                <w:b/>
                <w:bCs/>
                <w:color w:val="000000"/>
                <w:sz w:val="22"/>
                <w:szCs w:val="22"/>
                <w:lang w:eastAsia="es-CR"/>
              </w:rPr>
            </w:pPr>
            <w:r w:rsidRPr="00D96B4A">
              <w:rPr>
                <w:rFonts w:ascii="Book Antiqua" w:hAnsi="Book Antiqua" w:cs="Arial"/>
                <w:b/>
                <w:bCs/>
                <w:color w:val="000000"/>
                <w:sz w:val="22"/>
                <w:szCs w:val="22"/>
                <w:lang w:eastAsia="es-CR"/>
              </w:rPr>
              <w:t>Entrada</w:t>
            </w:r>
          </w:p>
        </w:tc>
        <w:tc>
          <w:tcPr>
            <w:tcW w:w="940" w:type="dxa"/>
            <w:tcBorders>
              <w:top w:val="double" w:sz="6" w:space="0" w:color="1F497D"/>
              <w:left w:val="nil"/>
              <w:bottom w:val="double" w:sz="6" w:space="0" w:color="1F497D"/>
              <w:right w:val="double" w:sz="6" w:space="0" w:color="1F497D"/>
            </w:tcBorders>
            <w:shd w:val="clear" w:color="000000" w:fill="8DB4E2"/>
            <w:vAlign w:val="center"/>
            <w:hideMark/>
          </w:tcPr>
          <w:p w14:paraId="49F55782" w14:textId="77777777" w:rsidR="001341EC" w:rsidRPr="00D96B4A" w:rsidRDefault="001341EC" w:rsidP="00165AA6">
            <w:pPr>
              <w:jc w:val="center"/>
              <w:rPr>
                <w:rFonts w:ascii="Book Antiqua" w:hAnsi="Book Antiqua" w:cs="Arial"/>
                <w:b/>
                <w:bCs/>
                <w:color w:val="000000"/>
                <w:sz w:val="22"/>
                <w:szCs w:val="22"/>
                <w:lang w:eastAsia="es-CR"/>
              </w:rPr>
            </w:pPr>
            <w:r w:rsidRPr="00D96B4A">
              <w:rPr>
                <w:rFonts w:ascii="Book Antiqua" w:hAnsi="Book Antiqua" w:cs="Arial"/>
                <w:b/>
                <w:bCs/>
                <w:color w:val="000000"/>
                <w:sz w:val="22"/>
                <w:szCs w:val="22"/>
                <w:lang w:eastAsia="es-CR"/>
              </w:rPr>
              <w:t>2016</w:t>
            </w:r>
          </w:p>
        </w:tc>
        <w:tc>
          <w:tcPr>
            <w:tcW w:w="1240" w:type="dxa"/>
            <w:tcBorders>
              <w:top w:val="double" w:sz="6" w:space="0" w:color="1F497D"/>
              <w:left w:val="nil"/>
              <w:bottom w:val="double" w:sz="6" w:space="0" w:color="1F497D"/>
              <w:right w:val="double" w:sz="6" w:space="0" w:color="1F497D"/>
            </w:tcBorders>
            <w:shd w:val="clear" w:color="000000" w:fill="8DB4E2"/>
            <w:vAlign w:val="center"/>
            <w:hideMark/>
          </w:tcPr>
          <w:p w14:paraId="642B0245" w14:textId="77777777" w:rsidR="001341EC" w:rsidRPr="00D96B4A" w:rsidRDefault="001341EC" w:rsidP="00165AA6">
            <w:pPr>
              <w:jc w:val="center"/>
              <w:rPr>
                <w:rFonts w:ascii="Book Antiqua" w:hAnsi="Book Antiqua" w:cs="Arial"/>
                <w:b/>
                <w:bCs/>
                <w:color w:val="000000"/>
                <w:sz w:val="22"/>
                <w:szCs w:val="22"/>
                <w:lang w:eastAsia="es-CR"/>
              </w:rPr>
            </w:pPr>
            <w:r w:rsidRPr="00D96B4A">
              <w:rPr>
                <w:rFonts w:ascii="Book Antiqua" w:hAnsi="Book Antiqua" w:cs="Arial"/>
                <w:b/>
                <w:bCs/>
                <w:color w:val="000000"/>
                <w:sz w:val="22"/>
                <w:szCs w:val="22"/>
                <w:lang w:eastAsia="es-CR"/>
              </w:rPr>
              <w:t>2017</w:t>
            </w:r>
          </w:p>
        </w:tc>
        <w:tc>
          <w:tcPr>
            <w:tcW w:w="1240" w:type="dxa"/>
            <w:tcBorders>
              <w:top w:val="double" w:sz="6" w:space="0" w:color="1F497D"/>
              <w:left w:val="nil"/>
              <w:bottom w:val="double" w:sz="6" w:space="0" w:color="1F497D"/>
              <w:right w:val="double" w:sz="6" w:space="0" w:color="1F497D"/>
            </w:tcBorders>
            <w:shd w:val="clear" w:color="000000" w:fill="8DB4E2"/>
            <w:vAlign w:val="center"/>
            <w:hideMark/>
          </w:tcPr>
          <w:p w14:paraId="61030E6B" w14:textId="77777777" w:rsidR="001341EC" w:rsidRPr="00D96B4A" w:rsidRDefault="001341EC" w:rsidP="00165AA6">
            <w:pPr>
              <w:jc w:val="center"/>
              <w:rPr>
                <w:rFonts w:ascii="Book Antiqua" w:hAnsi="Book Antiqua" w:cs="Arial"/>
                <w:b/>
                <w:bCs/>
                <w:color w:val="000000"/>
                <w:sz w:val="22"/>
                <w:szCs w:val="22"/>
                <w:lang w:eastAsia="es-CR"/>
              </w:rPr>
            </w:pPr>
            <w:r w:rsidRPr="00D96B4A">
              <w:rPr>
                <w:rFonts w:ascii="Book Antiqua" w:hAnsi="Book Antiqua" w:cs="Arial"/>
                <w:b/>
                <w:bCs/>
                <w:color w:val="000000"/>
                <w:sz w:val="22"/>
                <w:szCs w:val="22"/>
                <w:lang w:eastAsia="es-CR"/>
              </w:rPr>
              <w:t>2018</w:t>
            </w:r>
          </w:p>
        </w:tc>
      </w:tr>
      <w:tr w:rsidR="001341EC" w:rsidRPr="00D96B4A" w14:paraId="52EC421D" w14:textId="77777777" w:rsidTr="00165AA6">
        <w:trPr>
          <w:trHeight w:val="300"/>
          <w:jc w:val="center"/>
        </w:trPr>
        <w:tc>
          <w:tcPr>
            <w:tcW w:w="2800" w:type="dxa"/>
            <w:tcBorders>
              <w:top w:val="nil"/>
              <w:left w:val="double" w:sz="6" w:space="0" w:color="1F497D"/>
              <w:bottom w:val="double" w:sz="6" w:space="0" w:color="1F497D"/>
              <w:right w:val="double" w:sz="6" w:space="0" w:color="1F497D"/>
            </w:tcBorders>
            <w:shd w:val="clear" w:color="auto" w:fill="auto"/>
            <w:vAlign w:val="center"/>
            <w:hideMark/>
          </w:tcPr>
          <w:p w14:paraId="22045535" w14:textId="77777777" w:rsidR="001341EC" w:rsidRPr="00D96B4A" w:rsidRDefault="001341EC" w:rsidP="00165AA6">
            <w:pPr>
              <w:rPr>
                <w:rFonts w:ascii="Book Antiqua" w:hAnsi="Book Antiqua" w:cs="Arial"/>
                <w:lang w:eastAsia="es-CR"/>
              </w:rPr>
            </w:pPr>
            <w:r w:rsidRPr="00D96B4A">
              <w:rPr>
                <w:rFonts w:ascii="Book Antiqua" w:hAnsi="Book Antiqua" w:cs="Arial"/>
                <w:lang w:eastAsia="es-CR"/>
              </w:rPr>
              <w:t>Apelación de auto</w:t>
            </w:r>
          </w:p>
        </w:tc>
        <w:tc>
          <w:tcPr>
            <w:tcW w:w="940" w:type="dxa"/>
            <w:tcBorders>
              <w:top w:val="nil"/>
              <w:left w:val="nil"/>
              <w:bottom w:val="double" w:sz="6" w:space="0" w:color="1F497D"/>
              <w:right w:val="double" w:sz="6" w:space="0" w:color="1F497D"/>
            </w:tcBorders>
            <w:shd w:val="clear" w:color="auto" w:fill="auto"/>
            <w:vAlign w:val="center"/>
            <w:hideMark/>
          </w:tcPr>
          <w:p w14:paraId="1B45923F"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0</w:t>
            </w:r>
          </w:p>
        </w:tc>
        <w:tc>
          <w:tcPr>
            <w:tcW w:w="1240" w:type="dxa"/>
            <w:tcBorders>
              <w:top w:val="nil"/>
              <w:left w:val="nil"/>
              <w:bottom w:val="double" w:sz="6" w:space="0" w:color="1F497D"/>
              <w:right w:val="double" w:sz="6" w:space="0" w:color="1F497D"/>
            </w:tcBorders>
            <w:shd w:val="clear" w:color="auto" w:fill="auto"/>
            <w:vAlign w:val="center"/>
            <w:hideMark/>
          </w:tcPr>
          <w:p w14:paraId="57083302"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5</w:t>
            </w:r>
          </w:p>
        </w:tc>
        <w:tc>
          <w:tcPr>
            <w:tcW w:w="1240" w:type="dxa"/>
            <w:tcBorders>
              <w:top w:val="nil"/>
              <w:left w:val="nil"/>
              <w:bottom w:val="double" w:sz="6" w:space="0" w:color="1F497D"/>
              <w:right w:val="double" w:sz="6" w:space="0" w:color="1F497D"/>
            </w:tcBorders>
            <w:shd w:val="clear" w:color="auto" w:fill="auto"/>
            <w:vAlign w:val="center"/>
            <w:hideMark/>
          </w:tcPr>
          <w:p w14:paraId="7099AF70"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6</w:t>
            </w:r>
          </w:p>
        </w:tc>
      </w:tr>
      <w:tr w:rsidR="001341EC" w:rsidRPr="00D96B4A" w14:paraId="4BD766A3" w14:textId="77777777" w:rsidTr="00165AA6">
        <w:trPr>
          <w:trHeight w:val="300"/>
          <w:jc w:val="center"/>
        </w:trPr>
        <w:tc>
          <w:tcPr>
            <w:tcW w:w="2800" w:type="dxa"/>
            <w:tcBorders>
              <w:top w:val="nil"/>
              <w:left w:val="double" w:sz="6" w:space="0" w:color="1F497D"/>
              <w:bottom w:val="double" w:sz="6" w:space="0" w:color="1F497D"/>
              <w:right w:val="double" w:sz="6" w:space="0" w:color="1F497D"/>
            </w:tcBorders>
            <w:shd w:val="clear" w:color="auto" w:fill="auto"/>
            <w:vAlign w:val="center"/>
            <w:hideMark/>
          </w:tcPr>
          <w:p w14:paraId="4CB13810" w14:textId="77777777" w:rsidR="001341EC" w:rsidRPr="00D96B4A" w:rsidRDefault="001341EC" w:rsidP="00165AA6">
            <w:pPr>
              <w:rPr>
                <w:rFonts w:ascii="Book Antiqua" w:hAnsi="Book Antiqua" w:cs="Arial"/>
                <w:lang w:eastAsia="es-CR"/>
              </w:rPr>
            </w:pPr>
            <w:r w:rsidRPr="00D96B4A">
              <w:rPr>
                <w:rFonts w:ascii="Book Antiqua" w:hAnsi="Book Antiqua" w:cs="Arial"/>
                <w:lang w:eastAsia="es-CR"/>
              </w:rPr>
              <w:t>Apelación de auto sentencia</w:t>
            </w:r>
          </w:p>
        </w:tc>
        <w:tc>
          <w:tcPr>
            <w:tcW w:w="940" w:type="dxa"/>
            <w:tcBorders>
              <w:top w:val="nil"/>
              <w:left w:val="nil"/>
              <w:bottom w:val="double" w:sz="6" w:space="0" w:color="1F497D"/>
              <w:right w:val="double" w:sz="6" w:space="0" w:color="1F497D"/>
            </w:tcBorders>
            <w:shd w:val="clear" w:color="auto" w:fill="auto"/>
            <w:vAlign w:val="center"/>
            <w:hideMark/>
          </w:tcPr>
          <w:p w14:paraId="45C09C5F"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468</w:t>
            </w:r>
          </w:p>
        </w:tc>
        <w:tc>
          <w:tcPr>
            <w:tcW w:w="1240" w:type="dxa"/>
            <w:tcBorders>
              <w:top w:val="nil"/>
              <w:left w:val="nil"/>
              <w:bottom w:val="double" w:sz="6" w:space="0" w:color="1F497D"/>
              <w:right w:val="double" w:sz="6" w:space="0" w:color="1F497D"/>
            </w:tcBorders>
            <w:shd w:val="clear" w:color="auto" w:fill="auto"/>
            <w:vAlign w:val="center"/>
            <w:hideMark/>
          </w:tcPr>
          <w:p w14:paraId="093BCB32"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375</w:t>
            </w:r>
          </w:p>
        </w:tc>
        <w:tc>
          <w:tcPr>
            <w:tcW w:w="1240" w:type="dxa"/>
            <w:tcBorders>
              <w:top w:val="nil"/>
              <w:left w:val="nil"/>
              <w:bottom w:val="double" w:sz="6" w:space="0" w:color="1F497D"/>
              <w:right w:val="double" w:sz="6" w:space="0" w:color="1F497D"/>
            </w:tcBorders>
            <w:shd w:val="clear" w:color="auto" w:fill="auto"/>
            <w:vAlign w:val="center"/>
            <w:hideMark/>
          </w:tcPr>
          <w:p w14:paraId="55EEF91B"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291</w:t>
            </w:r>
          </w:p>
        </w:tc>
      </w:tr>
      <w:tr w:rsidR="001341EC" w:rsidRPr="00D96B4A" w14:paraId="3D0A99B7" w14:textId="77777777" w:rsidTr="00165AA6">
        <w:trPr>
          <w:trHeight w:val="300"/>
          <w:jc w:val="center"/>
        </w:trPr>
        <w:tc>
          <w:tcPr>
            <w:tcW w:w="2800" w:type="dxa"/>
            <w:tcBorders>
              <w:top w:val="nil"/>
              <w:left w:val="double" w:sz="6" w:space="0" w:color="1F497D"/>
              <w:bottom w:val="double" w:sz="6" w:space="0" w:color="1F497D"/>
              <w:right w:val="double" w:sz="6" w:space="0" w:color="1F497D"/>
            </w:tcBorders>
            <w:shd w:val="clear" w:color="auto" w:fill="auto"/>
            <w:vAlign w:val="center"/>
            <w:hideMark/>
          </w:tcPr>
          <w:p w14:paraId="21894F49" w14:textId="77777777" w:rsidR="001341EC" w:rsidRPr="00D96B4A" w:rsidRDefault="001341EC" w:rsidP="00165AA6">
            <w:pPr>
              <w:rPr>
                <w:rFonts w:ascii="Book Antiqua" w:hAnsi="Book Antiqua" w:cs="Arial"/>
                <w:lang w:eastAsia="es-CR"/>
              </w:rPr>
            </w:pPr>
            <w:r w:rsidRPr="00D96B4A">
              <w:rPr>
                <w:rFonts w:ascii="Book Antiqua" w:hAnsi="Book Antiqua" w:cs="Arial"/>
                <w:lang w:eastAsia="es-CR"/>
              </w:rPr>
              <w:t>Apelación de sentencia</w:t>
            </w:r>
          </w:p>
        </w:tc>
        <w:tc>
          <w:tcPr>
            <w:tcW w:w="940" w:type="dxa"/>
            <w:tcBorders>
              <w:top w:val="nil"/>
              <w:left w:val="nil"/>
              <w:bottom w:val="double" w:sz="6" w:space="0" w:color="1F497D"/>
              <w:right w:val="double" w:sz="6" w:space="0" w:color="1F497D"/>
            </w:tcBorders>
            <w:shd w:val="clear" w:color="auto" w:fill="auto"/>
            <w:vAlign w:val="center"/>
            <w:hideMark/>
          </w:tcPr>
          <w:p w14:paraId="2BB375B8"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322</w:t>
            </w:r>
          </w:p>
        </w:tc>
        <w:tc>
          <w:tcPr>
            <w:tcW w:w="1240" w:type="dxa"/>
            <w:tcBorders>
              <w:top w:val="nil"/>
              <w:left w:val="nil"/>
              <w:bottom w:val="double" w:sz="6" w:space="0" w:color="1F497D"/>
              <w:right w:val="double" w:sz="6" w:space="0" w:color="1F497D"/>
            </w:tcBorders>
            <w:shd w:val="clear" w:color="auto" w:fill="auto"/>
            <w:vAlign w:val="center"/>
            <w:hideMark/>
          </w:tcPr>
          <w:p w14:paraId="1EB7D14A"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348</w:t>
            </w:r>
          </w:p>
        </w:tc>
        <w:tc>
          <w:tcPr>
            <w:tcW w:w="1240" w:type="dxa"/>
            <w:tcBorders>
              <w:top w:val="nil"/>
              <w:left w:val="nil"/>
              <w:bottom w:val="double" w:sz="6" w:space="0" w:color="1F497D"/>
              <w:right w:val="double" w:sz="6" w:space="0" w:color="1F497D"/>
            </w:tcBorders>
            <w:shd w:val="clear" w:color="auto" w:fill="auto"/>
            <w:vAlign w:val="center"/>
            <w:hideMark/>
          </w:tcPr>
          <w:p w14:paraId="0CE4B544"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338</w:t>
            </w:r>
          </w:p>
        </w:tc>
      </w:tr>
      <w:tr w:rsidR="001341EC" w:rsidRPr="00D96B4A" w14:paraId="5FAAABE7" w14:textId="77777777" w:rsidTr="00165AA6">
        <w:trPr>
          <w:trHeight w:val="300"/>
          <w:jc w:val="center"/>
        </w:trPr>
        <w:tc>
          <w:tcPr>
            <w:tcW w:w="2800" w:type="dxa"/>
            <w:tcBorders>
              <w:top w:val="nil"/>
              <w:left w:val="double" w:sz="6" w:space="0" w:color="1F497D"/>
              <w:bottom w:val="double" w:sz="6" w:space="0" w:color="1F497D"/>
              <w:right w:val="double" w:sz="6" w:space="0" w:color="1F497D"/>
            </w:tcBorders>
            <w:shd w:val="clear" w:color="auto" w:fill="auto"/>
            <w:vAlign w:val="center"/>
            <w:hideMark/>
          </w:tcPr>
          <w:p w14:paraId="5AB7DB2B" w14:textId="77777777" w:rsidR="001341EC" w:rsidRPr="00D96B4A" w:rsidRDefault="001341EC" w:rsidP="00165AA6">
            <w:pPr>
              <w:rPr>
                <w:rFonts w:ascii="Book Antiqua" w:hAnsi="Book Antiqua" w:cs="Arial"/>
                <w:lang w:eastAsia="es-CR"/>
              </w:rPr>
            </w:pPr>
            <w:r w:rsidRPr="00D96B4A">
              <w:rPr>
                <w:rFonts w:ascii="Book Antiqua" w:hAnsi="Book Antiqua" w:cs="Arial"/>
                <w:lang w:eastAsia="es-CR"/>
              </w:rPr>
              <w:t>Apelación por inadmisión</w:t>
            </w:r>
          </w:p>
        </w:tc>
        <w:tc>
          <w:tcPr>
            <w:tcW w:w="940" w:type="dxa"/>
            <w:tcBorders>
              <w:top w:val="nil"/>
              <w:left w:val="nil"/>
              <w:bottom w:val="double" w:sz="6" w:space="0" w:color="1F497D"/>
              <w:right w:val="double" w:sz="6" w:space="0" w:color="1F497D"/>
            </w:tcBorders>
            <w:shd w:val="clear" w:color="auto" w:fill="auto"/>
            <w:vAlign w:val="center"/>
            <w:hideMark/>
          </w:tcPr>
          <w:p w14:paraId="5A5FEAB8"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0</w:t>
            </w:r>
          </w:p>
        </w:tc>
        <w:tc>
          <w:tcPr>
            <w:tcW w:w="1240" w:type="dxa"/>
            <w:tcBorders>
              <w:top w:val="nil"/>
              <w:left w:val="nil"/>
              <w:bottom w:val="double" w:sz="6" w:space="0" w:color="1F497D"/>
              <w:right w:val="double" w:sz="6" w:space="0" w:color="1F497D"/>
            </w:tcBorders>
            <w:shd w:val="clear" w:color="auto" w:fill="auto"/>
            <w:vAlign w:val="center"/>
            <w:hideMark/>
          </w:tcPr>
          <w:p w14:paraId="2CBC767A"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2</w:t>
            </w:r>
          </w:p>
        </w:tc>
        <w:tc>
          <w:tcPr>
            <w:tcW w:w="1240" w:type="dxa"/>
            <w:tcBorders>
              <w:top w:val="nil"/>
              <w:left w:val="nil"/>
              <w:bottom w:val="double" w:sz="6" w:space="0" w:color="1F497D"/>
              <w:right w:val="double" w:sz="6" w:space="0" w:color="1F497D"/>
            </w:tcBorders>
            <w:shd w:val="clear" w:color="auto" w:fill="auto"/>
            <w:vAlign w:val="center"/>
            <w:hideMark/>
          </w:tcPr>
          <w:p w14:paraId="5519F3CC"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0</w:t>
            </w:r>
          </w:p>
        </w:tc>
      </w:tr>
      <w:tr w:rsidR="001341EC" w:rsidRPr="00D96B4A" w14:paraId="086B82C5" w14:textId="77777777" w:rsidTr="00165AA6">
        <w:trPr>
          <w:trHeight w:val="300"/>
          <w:jc w:val="center"/>
        </w:trPr>
        <w:tc>
          <w:tcPr>
            <w:tcW w:w="2800" w:type="dxa"/>
            <w:tcBorders>
              <w:top w:val="nil"/>
              <w:left w:val="double" w:sz="6" w:space="0" w:color="1F497D"/>
              <w:bottom w:val="double" w:sz="6" w:space="0" w:color="1F497D"/>
              <w:right w:val="double" w:sz="6" w:space="0" w:color="1F497D"/>
            </w:tcBorders>
            <w:shd w:val="clear" w:color="auto" w:fill="auto"/>
            <w:vAlign w:val="center"/>
            <w:hideMark/>
          </w:tcPr>
          <w:p w14:paraId="3191B21B" w14:textId="77777777" w:rsidR="001341EC" w:rsidRPr="00D96B4A" w:rsidRDefault="001341EC" w:rsidP="00165AA6">
            <w:pPr>
              <w:rPr>
                <w:rFonts w:ascii="Book Antiqua" w:hAnsi="Book Antiqua" w:cs="Arial"/>
                <w:lang w:eastAsia="es-CR"/>
              </w:rPr>
            </w:pPr>
            <w:r w:rsidRPr="00D96B4A">
              <w:rPr>
                <w:rFonts w:ascii="Book Antiqua" w:hAnsi="Book Antiqua" w:cs="Arial"/>
                <w:lang w:eastAsia="es-CR"/>
              </w:rPr>
              <w:t>Conflicto de competencia</w:t>
            </w:r>
          </w:p>
        </w:tc>
        <w:tc>
          <w:tcPr>
            <w:tcW w:w="940" w:type="dxa"/>
            <w:tcBorders>
              <w:top w:val="nil"/>
              <w:left w:val="nil"/>
              <w:bottom w:val="double" w:sz="6" w:space="0" w:color="1F497D"/>
              <w:right w:val="double" w:sz="6" w:space="0" w:color="1F497D"/>
            </w:tcBorders>
            <w:shd w:val="clear" w:color="auto" w:fill="auto"/>
            <w:vAlign w:val="center"/>
            <w:hideMark/>
          </w:tcPr>
          <w:p w14:paraId="3D6A92F2"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307</w:t>
            </w:r>
          </w:p>
        </w:tc>
        <w:tc>
          <w:tcPr>
            <w:tcW w:w="1240" w:type="dxa"/>
            <w:tcBorders>
              <w:top w:val="nil"/>
              <w:left w:val="nil"/>
              <w:bottom w:val="double" w:sz="6" w:space="0" w:color="1F497D"/>
              <w:right w:val="double" w:sz="6" w:space="0" w:color="1F497D"/>
            </w:tcBorders>
            <w:shd w:val="clear" w:color="auto" w:fill="auto"/>
            <w:vAlign w:val="center"/>
            <w:hideMark/>
          </w:tcPr>
          <w:p w14:paraId="3C941F49"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290</w:t>
            </w:r>
          </w:p>
        </w:tc>
        <w:tc>
          <w:tcPr>
            <w:tcW w:w="1240" w:type="dxa"/>
            <w:tcBorders>
              <w:top w:val="nil"/>
              <w:left w:val="nil"/>
              <w:bottom w:val="double" w:sz="6" w:space="0" w:color="1F497D"/>
              <w:right w:val="double" w:sz="6" w:space="0" w:color="1F497D"/>
            </w:tcBorders>
            <w:shd w:val="clear" w:color="auto" w:fill="auto"/>
            <w:vAlign w:val="center"/>
            <w:hideMark/>
          </w:tcPr>
          <w:p w14:paraId="19811767"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61</w:t>
            </w:r>
          </w:p>
        </w:tc>
      </w:tr>
      <w:tr w:rsidR="001341EC" w:rsidRPr="00D96B4A" w14:paraId="31F0AAEE" w14:textId="77777777" w:rsidTr="00165AA6">
        <w:trPr>
          <w:trHeight w:val="300"/>
          <w:jc w:val="center"/>
        </w:trPr>
        <w:tc>
          <w:tcPr>
            <w:tcW w:w="2800" w:type="dxa"/>
            <w:tcBorders>
              <w:top w:val="nil"/>
              <w:left w:val="double" w:sz="6" w:space="0" w:color="1F497D"/>
              <w:bottom w:val="double" w:sz="6" w:space="0" w:color="1F497D"/>
              <w:right w:val="double" w:sz="6" w:space="0" w:color="1F497D"/>
            </w:tcBorders>
            <w:shd w:val="clear" w:color="auto" w:fill="auto"/>
            <w:vAlign w:val="center"/>
            <w:hideMark/>
          </w:tcPr>
          <w:p w14:paraId="1F846376" w14:textId="77777777" w:rsidR="001341EC" w:rsidRPr="00D96B4A" w:rsidRDefault="001341EC" w:rsidP="00165AA6">
            <w:pPr>
              <w:rPr>
                <w:rFonts w:ascii="Book Antiqua" w:hAnsi="Book Antiqua" w:cs="Arial"/>
                <w:lang w:eastAsia="es-CR"/>
              </w:rPr>
            </w:pPr>
            <w:r w:rsidRPr="00D96B4A">
              <w:rPr>
                <w:rFonts w:ascii="Book Antiqua" w:hAnsi="Book Antiqua" w:cs="Arial"/>
                <w:lang w:eastAsia="es-CR"/>
              </w:rPr>
              <w:t>Otro</w:t>
            </w:r>
          </w:p>
        </w:tc>
        <w:tc>
          <w:tcPr>
            <w:tcW w:w="940" w:type="dxa"/>
            <w:tcBorders>
              <w:top w:val="nil"/>
              <w:left w:val="nil"/>
              <w:bottom w:val="double" w:sz="6" w:space="0" w:color="1F497D"/>
              <w:right w:val="double" w:sz="6" w:space="0" w:color="1F497D"/>
            </w:tcBorders>
            <w:shd w:val="clear" w:color="auto" w:fill="auto"/>
            <w:vAlign w:val="center"/>
            <w:hideMark/>
          </w:tcPr>
          <w:p w14:paraId="34E85992"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14</w:t>
            </w:r>
          </w:p>
        </w:tc>
        <w:tc>
          <w:tcPr>
            <w:tcW w:w="1240" w:type="dxa"/>
            <w:tcBorders>
              <w:top w:val="nil"/>
              <w:left w:val="nil"/>
              <w:bottom w:val="double" w:sz="6" w:space="0" w:color="1F497D"/>
              <w:right w:val="double" w:sz="6" w:space="0" w:color="1F497D"/>
            </w:tcBorders>
            <w:shd w:val="clear" w:color="auto" w:fill="auto"/>
            <w:vAlign w:val="center"/>
            <w:hideMark/>
          </w:tcPr>
          <w:p w14:paraId="50C0F640"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13</w:t>
            </w:r>
          </w:p>
        </w:tc>
        <w:tc>
          <w:tcPr>
            <w:tcW w:w="1240" w:type="dxa"/>
            <w:tcBorders>
              <w:top w:val="nil"/>
              <w:left w:val="nil"/>
              <w:bottom w:val="double" w:sz="6" w:space="0" w:color="1F497D"/>
              <w:right w:val="double" w:sz="6" w:space="0" w:color="1F497D"/>
            </w:tcBorders>
            <w:shd w:val="clear" w:color="auto" w:fill="auto"/>
            <w:vAlign w:val="center"/>
            <w:hideMark/>
          </w:tcPr>
          <w:p w14:paraId="15B3E8A4"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100</w:t>
            </w:r>
          </w:p>
        </w:tc>
      </w:tr>
      <w:tr w:rsidR="001341EC" w:rsidRPr="00D96B4A" w14:paraId="2E82500E" w14:textId="77777777" w:rsidTr="00165AA6">
        <w:trPr>
          <w:trHeight w:val="300"/>
          <w:jc w:val="center"/>
        </w:trPr>
        <w:tc>
          <w:tcPr>
            <w:tcW w:w="2800" w:type="dxa"/>
            <w:tcBorders>
              <w:top w:val="nil"/>
              <w:left w:val="double" w:sz="6" w:space="0" w:color="1F497D"/>
              <w:bottom w:val="double" w:sz="6" w:space="0" w:color="1F497D"/>
              <w:right w:val="double" w:sz="6" w:space="0" w:color="1F497D"/>
            </w:tcBorders>
            <w:shd w:val="clear" w:color="auto" w:fill="auto"/>
            <w:vAlign w:val="center"/>
            <w:hideMark/>
          </w:tcPr>
          <w:p w14:paraId="78DA2DA5" w14:textId="77777777" w:rsidR="001341EC" w:rsidRPr="00D96B4A" w:rsidRDefault="001341EC" w:rsidP="00165AA6">
            <w:pPr>
              <w:jc w:val="right"/>
              <w:rPr>
                <w:rFonts w:ascii="Book Antiqua" w:hAnsi="Book Antiqua" w:cs="Arial"/>
                <w:lang w:eastAsia="es-CR"/>
              </w:rPr>
            </w:pPr>
            <w:r w:rsidRPr="00D96B4A">
              <w:rPr>
                <w:rFonts w:ascii="Book Antiqua" w:hAnsi="Book Antiqua" w:cs="Arial"/>
                <w:lang w:eastAsia="es-CR"/>
              </w:rPr>
              <w:t>Total</w:t>
            </w:r>
          </w:p>
        </w:tc>
        <w:tc>
          <w:tcPr>
            <w:tcW w:w="940" w:type="dxa"/>
            <w:tcBorders>
              <w:top w:val="nil"/>
              <w:left w:val="nil"/>
              <w:bottom w:val="double" w:sz="6" w:space="0" w:color="1F497D"/>
              <w:right w:val="double" w:sz="6" w:space="0" w:color="1F497D"/>
            </w:tcBorders>
            <w:shd w:val="clear" w:color="auto" w:fill="auto"/>
            <w:vAlign w:val="center"/>
            <w:hideMark/>
          </w:tcPr>
          <w:p w14:paraId="65161431"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1111</w:t>
            </w:r>
          </w:p>
        </w:tc>
        <w:tc>
          <w:tcPr>
            <w:tcW w:w="1240" w:type="dxa"/>
            <w:tcBorders>
              <w:top w:val="nil"/>
              <w:left w:val="nil"/>
              <w:bottom w:val="double" w:sz="6" w:space="0" w:color="1F497D"/>
              <w:right w:val="double" w:sz="6" w:space="0" w:color="1F497D"/>
            </w:tcBorders>
            <w:shd w:val="clear" w:color="auto" w:fill="auto"/>
            <w:vAlign w:val="center"/>
            <w:hideMark/>
          </w:tcPr>
          <w:p w14:paraId="1B118261"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1033</w:t>
            </w:r>
          </w:p>
        </w:tc>
        <w:tc>
          <w:tcPr>
            <w:tcW w:w="1240" w:type="dxa"/>
            <w:tcBorders>
              <w:top w:val="nil"/>
              <w:left w:val="nil"/>
              <w:bottom w:val="double" w:sz="6" w:space="0" w:color="1F497D"/>
              <w:right w:val="double" w:sz="6" w:space="0" w:color="1F497D"/>
            </w:tcBorders>
            <w:shd w:val="clear" w:color="auto" w:fill="auto"/>
            <w:vAlign w:val="center"/>
            <w:hideMark/>
          </w:tcPr>
          <w:p w14:paraId="09C39045" w14:textId="77777777" w:rsidR="001341EC" w:rsidRPr="00D96B4A" w:rsidRDefault="001341EC" w:rsidP="00165AA6">
            <w:pPr>
              <w:jc w:val="center"/>
              <w:rPr>
                <w:rFonts w:ascii="Book Antiqua" w:hAnsi="Book Antiqua" w:cs="Arial"/>
                <w:lang w:eastAsia="es-CR"/>
              </w:rPr>
            </w:pPr>
            <w:r w:rsidRPr="00D96B4A">
              <w:rPr>
                <w:rFonts w:ascii="Book Antiqua" w:hAnsi="Book Antiqua" w:cs="Arial"/>
                <w:lang w:eastAsia="es-CR"/>
              </w:rPr>
              <w:t>796</w:t>
            </w:r>
          </w:p>
        </w:tc>
      </w:tr>
    </w:tbl>
    <w:p w14:paraId="5845EA46" w14:textId="77777777" w:rsidR="001341EC" w:rsidRDefault="001341EC" w:rsidP="001341EC">
      <w:pPr>
        <w:ind w:left="1276" w:right="1325"/>
        <w:rPr>
          <w:rFonts w:ascii="Book Antiqua" w:hAnsi="Book Antiqua"/>
          <w:sz w:val="22"/>
          <w:szCs w:val="22"/>
        </w:rPr>
      </w:pPr>
      <w:r w:rsidRPr="0016798C">
        <w:rPr>
          <w:rFonts w:ascii="Book Antiqua" w:hAnsi="Book Antiqua"/>
          <w:b/>
          <w:i/>
          <w:lang w:eastAsia="en-US"/>
        </w:rPr>
        <w:t>Fuente: Elaboración propia con base en datos del sistema SIGMA</w:t>
      </w:r>
      <w:r>
        <w:rPr>
          <w:rFonts w:ascii="Book Antiqua" w:hAnsi="Book Antiqua"/>
          <w:b/>
          <w:i/>
          <w:lang w:eastAsia="en-US"/>
        </w:rPr>
        <w:t xml:space="preserve"> y Anuarios Judiciales</w:t>
      </w:r>
      <w:r w:rsidRPr="0016798C">
        <w:rPr>
          <w:rFonts w:ascii="Book Antiqua" w:hAnsi="Book Antiqua"/>
          <w:b/>
          <w:i/>
          <w:lang w:eastAsia="en-US"/>
        </w:rPr>
        <w:t>, Subproceso de Modernización,</w:t>
      </w:r>
    </w:p>
    <w:p w14:paraId="0D395A52" w14:textId="77777777" w:rsidR="001341EC" w:rsidRPr="00C2271D" w:rsidRDefault="001341EC" w:rsidP="001341EC">
      <w:pPr>
        <w:rPr>
          <w:rFonts w:ascii="Book Antiqua" w:hAnsi="Book Antiqua"/>
          <w:bCs/>
          <w:iCs/>
          <w:sz w:val="22"/>
          <w:szCs w:val="22"/>
        </w:rPr>
      </w:pPr>
    </w:p>
    <w:p w14:paraId="6C4ABBED" w14:textId="77777777" w:rsidR="001341EC" w:rsidRDefault="001341EC" w:rsidP="001341EC">
      <w:pPr>
        <w:jc w:val="both"/>
        <w:rPr>
          <w:rFonts w:ascii="Book Antiqua" w:hAnsi="Book Antiqua"/>
          <w:bCs/>
          <w:iCs/>
          <w:sz w:val="22"/>
          <w:szCs w:val="22"/>
          <w:lang w:val="es-MX"/>
        </w:rPr>
      </w:pPr>
      <w:r>
        <w:rPr>
          <w:rFonts w:ascii="Book Antiqua" w:hAnsi="Book Antiqua"/>
          <w:bCs/>
          <w:iCs/>
          <w:sz w:val="22"/>
          <w:szCs w:val="22"/>
          <w:lang w:val="es-MX"/>
        </w:rPr>
        <w:t>El mayor ingreso de casos por tipo de resolución al Tribunal Agrario ha sido por Apelación de auto sentencia, lo cual representa un 39% de la entrada, seguido de Apelación por sentencia, lo que porcentualmente representa un 34%. Los Conflictos de competencia muestran una reducción importante pasando de 307 casos en el 2016 a 61 casos en el 2018, lo cual representa una reducción del 80%. Importante acotar, que los Conflictos de competencia, una vez entrada en vigencias el Código Procesal Agrario, este Tribunal pierde competencia sobre ellos.</w:t>
      </w:r>
    </w:p>
    <w:p w14:paraId="0A185F86" w14:textId="77777777" w:rsidR="001341EC" w:rsidRDefault="001341EC" w:rsidP="001341EC">
      <w:pPr>
        <w:jc w:val="both"/>
        <w:rPr>
          <w:rFonts w:ascii="Book Antiqua" w:hAnsi="Book Antiqua"/>
          <w:bCs/>
          <w:iCs/>
          <w:sz w:val="22"/>
          <w:szCs w:val="22"/>
          <w:lang w:val="es-MX"/>
        </w:rPr>
      </w:pPr>
    </w:p>
    <w:p w14:paraId="641544DC" w14:textId="77777777" w:rsidR="001341EC" w:rsidRDefault="001341EC" w:rsidP="001341EC">
      <w:pPr>
        <w:jc w:val="both"/>
        <w:rPr>
          <w:rFonts w:ascii="Book Antiqua" w:hAnsi="Book Antiqua"/>
          <w:bCs/>
          <w:iCs/>
          <w:sz w:val="22"/>
          <w:szCs w:val="22"/>
          <w:lang w:val="es-MX"/>
        </w:rPr>
      </w:pPr>
      <w:r>
        <w:rPr>
          <w:rFonts w:ascii="Book Antiqua" w:hAnsi="Book Antiqua"/>
          <w:bCs/>
          <w:iCs/>
          <w:sz w:val="22"/>
          <w:szCs w:val="22"/>
          <w:lang w:val="es-MX"/>
        </w:rPr>
        <w:t>Es importante que, con el fin de proyectar el comportamiento de los datos en largo plazo, se utilicen los datos históricos, por lo que el promedio de entrada de asuntos por Conflicto de Competencia es de 219 asuntos anuales, para un promedio de 20 asuntos por mes.</w:t>
      </w:r>
    </w:p>
    <w:p w14:paraId="1EFF9A12" w14:textId="77777777" w:rsidR="001341EC" w:rsidRDefault="001341EC" w:rsidP="001341EC">
      <w:pPr>
        <w:jc w:val="both"/>
        <w:rPr>
          <w:rFonts w:ascii="Book Antiqua" w:hAnsi="Book Antiqua"/>
          <w:bCs/>
          <w:iCs/>
          <w:sz w:val="22"/>
          <w:szCs w:val="22"/>
          <w:lang w:val="es-MX"/>
        </w:rPr>
      </w:pPr>
    </w:p>
    <w:p w14:paraId="4EC65877" w14:textId="77777777" w:rsidR="001341EC" w:rsidRDefault="001341EC" w:rsidP="001341EC">
      <w:pPr>
        <w:jc w:val="both"/>
        <w:rPr>
          <w:rFonts w:ascii="Book Antiqua" w:hAnsi="Book Antiqua"/>
          <w:bCs/>
          <w:iCs/>
          <w:sz w:val="22"/>
          <w:szCs w:val="22"/>
          <w:lang w:val="es-MX"/>
        </w:rPr>
      </w:pPr>
      <w:r>
        <w:rPr>
          <w:rFonts w:ascii="Book Antiqua" w:hAnsi="Book Antiqua"/>
          <w:bCs/>
          <w:iCs/>
          <w:sz w:val="22"/>
          <w:szCs w:val="22"/>
          <w:lang w:val="es-MX"/>
        </w:rPr>
        <w:t xml:space="preserve">Con la perdida de competencia de los Conflictos de competencia, la entrada de casos va a sufrir una variación en el Despacho, lo cual se muestra a continuación: </w:t>
      </w:r>
    </w:p>
    <w:p w14:paraId="2A3CA25A" w14:textId="77777777" w:rsidR="001341EC" w:rsidRDefault="001341EC" w:rsidP="001341EC">
      <w:pPr>
        <w:jc w:val="both"/>
        <w:rPr>
          <w:rFonts w:ascii="Book Antiqua" w:hAnsi="Book Antiqua"/>
          <w:bCs/>
          <w:iCs/>
          <w:sz w:val="22"/>
          <w:szCs w:val="22"/>
          <w:lang w:val="es-MX"/>
        </w:rPr>
      </w:pPr>
    </w:p>
    <w:p w14:paraId="732D175B" w14:textId="77777777" w:rsidR="001341EC" w:rsidRPr="00D571D9"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571D9">
        <w:rPr>
          <w:rFonts w:ascii="Book Antiqua" w:hAnsi="Book Antiqua"/>
          <w:bCs w:val="0"/>
          <w:iCs/>
          <w:sz w:val="22"/>
          <w:szCs w:val="24"/>
          <w:lang w:val="es-CR"/>
        </w:rPr>
        <w:t xml:space="preserve">Cuadro </w:t>
      </w:r>
      <w:r w:rsidR="009A23D1" w:rsidRPr="00D571D9">
        <w:rPr>
          <w:rFonts w:ascii="Book Antiqua" w:hAnsi="Book Antiqua"/>
          <w:bCs w:val="0"/>
          <w:iCs/>
          <w:sz w:val="22"/>
          <w:szCs w:val="24"/>
          <w:lang w:val="es-CR"/>
        </w:rPr>
        <w:fldChar w:fldCharType="begin"/>
      </w:r>
      <w:r w:rsidRPr="00D571D9">
        <w:rPr>
          <w:rFonts w:ascii="Book Antiqua" w:hAnsi="Book Antiqua"/>
          <w:bCs w:val="0"/>
          <w:iCs/>
          <w:sz w:val="22"/>
          <w:szCs w:val="24"/>
          <w:lang w:val="es-CR"/>
        </w:rPr>
        <w:instrText xml:space="preserve"> SEQ Cuadro \* ARABIC </w:instrText>
      </w:r>
      <w:r w:rsidR="009A23D1" w:rsidRPr="00D571D9">
        <w:rPr>
          <w:rFonts w:ascii="Book Antiqua" w:hAnsi="Book Antiqua"/>
          <w:bCs w:val="0"/>
          <w:iCs/>
          <w:sz w:val="22"/>
          <w:szCs w:val="24"/>
          <w:lang w:val="es-CR"/>
        </w:rPr>
        <w:fldChar w:fldCharType="separate"/>
      </w:r>
      <w:r>
        <w:rPr>
          <w:rFonts w:ascii="Book Antiqua" w:hAnsi="Book Antiqua"/>
          <w:bCs w:val="0"/>
          <w:iCs/>
          <w:noProof/>
          <w:sz w:val="22"/>
          <w:szCs w:val="24"/>
          <w:lang w:val="es-CR"/>
        </w:rPr>
        <w:t>12</w:t>
      </w:r>
      <w:r w:rsidR="009A23D1" w:rsidRPr="00D571D9">
        <w:rPr>
          <w:rFonts w:ascii="Book Antiqua" w:hAnsi="Book Antiqua"/>
          <w:bCs w:val="0"/>
          <w:iCs/>
          <w:sz w:val="22"/>
          <w:szCs w:val="24"/>
          <w:lang w:val="es-CR"/>
        </w:rPr>
        <w:fldChar w:fldCharType="end"/>
      </w:r>
    </w:p>
    <w:p w14:paraId="23E5F4E6" w14:textId="77777777" w:rsidR="001341EC" w:rsidRPr="00D571D9" w:rsidRDefault="001341EC" w:rsidP="001341EC">
      <w:pPr>
        <w:jc w:val="center"/>
        <w:rPr>
          <w:rFonts w:ascii="Book Antiqua" w:hAnsi="Book Antiqua" w:cs="Arial"/>
          <w:b/>
          <w:iCs/>
          <w:sz w:val="22"/>
          <w:szCs w:val="24"/>
        </w:rPr>
      </w:pPr>
      <w:r>
        <w:rPr>
          <w:rFonts w:ascii="Book Antiqua" w:hAnsi="Book Antiqua" w:cs="Arial"/>
          <w:b/>
          <w:iCs/>
          <w:sz w:val="22"/>
          <w:szCs w:val="24"/>
        </w:rPr>
        <w:t>Proyección de la entrada de casos al Tribunal por la pérdida de competencia de los Conflictos de Competencia</w:t>
      </w:r>
    </w:p>
    <w:p w14:paraId="47F0D254" w14:textId="77777777" w:rsidR="001341EC" w:rsidRPr="00C2271D" w:rsidRDefault="001341EC" w:rsidP="001341EC">
      <w:pPr>
        <w:jc w:val="center"/>
        <w:rPr>
          <w:rFonts w:ascii="Book Antiqua" w:hAnsi="Book Antiqua" w:cs="Arial"/>
          <w:b/>
          <w:iCs/>
          <w:sz w:val="22"/>
          <w:szCs w:val="24"/>
        </w:rPr>
      </w:pPr>
      <w:r w:rsidRPr="00D571D9">
        <w:rPr>
          <w:rFonts w:ascii="Book Antiqua" w:hAnsi="Book Antiqua" w:cs="Arial"/>
          <w:b/>
          <w:iCs/>
          <w:sz w:val="22"/>
          <w:szCs w:val="24"/>
        </w:rPr>
        <w:t xml:space="preserve">El período </w:t>
      </w:r>
      <w:r>
        <w:rPr>
          <w:rFonts w:ascii="Book Antiqua" w:hAnsi="Book Antiqua" w:cs="Arial"/>
          <w:b/>
          <w:iCs/>
          <w:sz w:val="22"/>
          <w:szCs w:val="24"/>
        </w:rPr>
        <w:t>2018</w:t>
      </w:r>
    </w:p>
    <w:tbl>
      <w:tblPr>
        <w:tblW w:w="0" w:type="auto"/>
        <w:tblInd w:w="93" w:type="dxa"/>
        <w:tblCellMar>
          <w:left w:w="70" w:type="dxa"/>
          <w:right w:w="70" w:type="dxa"/>
        </w:tblCellMar>
        <w:tblLook w:val="04A0" w:firstRow="1" w:lastRow="0" w:firstColumn="1" w:lastColumn="0" w:noHBand="0" w:noVBand="1"/>
      </w:tblPr>
      <w:tblGrid>
        <w:gridCol w:w="3636"/>
        <w:gridCol w:w="1597"/>
        <w:gridCol w:w="1378"/>
        <w:gridCol w:w="1754"/>
      </w:tblGrid>
      <w:tr w:rsidR="001341EC" w:rsidRPr="00C329BE" w14:paraId="6E9F692F" w14:textId="77777777" w:rsidTr="00165AA6">
        <w:trPr>
          <w:trHeight w:val="888"/>
        </w:trPr>
        <w:tc>
          <w:tcPr>
            <w:tcW w:w="0" w:type="auto"/>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7CC1B1E2" w14:textId="77777777" w:rsidR="001341EC" w:rsidRPr="00C329BE" w:rsidRDefault="001341EC" w:rsidP="00165AA6">
            <w:pPr>
              <w:jc w:val="center"/>
              <w:rPr>
                <w:rFonts w:ascii="Book Antiqua" w:hAnsi="Book Antiqua" w:cs="Arial"/>
                <w:b/>
                <w:bCs/>
                <w:color w:val="000000"/>
                <w:sz w:val="22"/>
                <w:szCs w:val="22"/>
                <w:lang w:eastAsia="es-CR"/>
              </w:rPr>
            </w:pPr>
            <w:r w:rsidRPr="00C329BE">
              <w:rPr>
                <w:rFonts w:ascii="Book Antiqua" w:hAnsi="Book Antiqua" w:cs="Arial"/>
                <w:b/>
                <w:bCs/>
                <w:color w:val="000000"/>
                <w:sz w:val="22"/>
                <w:szCs w:val="22"/>
                <w:lang w:eastAsia="es-CR"/>
              </w:rPr>
              <w:t>Carga de trabajo (</w:t>
            </w:r>
            <w:proofErr w:type="spellStart"/>
            <w:r w:rsidRPr="00C329BE">
              <w:rPr>
                <w:rFonts w:ascii="Book Antiqua" w:hAnsi="Book Antiqua" w:cs="Arial"/>
                <w:b/>
                <w:bCs/>
                <w:color w:val="000000"/>
                <w:sz w:val="22"/>
                <w:szCs w:val="22"/>
                <w:lang w:eastAsia="es-CR"/>
              </w:rPr>
              <w:t>Entrados+Reentrados</w:t>
            </w:r>
            <w:proofErr w:type="spellEnd"/>
            <w:r w:rsidRPr="00C329BE">
              <w:rPr>
                <w:rFonts w:ascii="Book Antiqua" w:hAnsi="Book Antiqua" w:cs="Arial"/>
                <w:b/>
                <w:bCs/>
                <w:color w:val="000000"/>
                <w:sz w:val="22"/>
                <w:szCs w:val="22"/>
                <w:lang w:eastAsia="es-CR"/>
              </w:rPr>
              <w:t>)</w:t>
            </w:r>
            <w:r>
              <w:rPr>
                <w:rFonts w:ascii="Book Antiqua" w:hAnsi="Book Antiqua" w:cs="Arial"/>
                <w:b/>
                <w:bCs/>
                <w:color w:val="000000"/>
                <w:sz w:val="22"/>
                <w:szCs w:val="22"/>
                <w:lang w:eastAsia="es-CR"/>
              </w:rPr>
              <w:t>-Conflictos de competencia anual</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2DD23558" w14:textId="77777777" w:rsidR="001341EC" w:rsidRPr="00C329BE" w:rsidRDefault="001341EC" w:rsidP="00165AA6">
            <w:pPr>
              <w:jc w:val="center"/>
              <w:rPr>
                <w:rFonts w:ascii="Book Antiqua" w:hAnsi="Book Antiqua" w:cs="Arial"/>
                <w:b/>
                <w:bCs/>
                <w:color w:val="000000"/>
                <w:sz w:val="22"/>
                <w:szCs w:val="22"/>
                <w:lang w:eastAsia="es-CR"/>
              </w:rPr>
            </w:pPr>
            <w:proofErr w:type="spellStart"/>
            <w:r w:rsidRPr="00C329BE">
              <w:rPr>
                <w:rFonts w:ascii="Book Antiqua" w:hAnsi="Book Antiqua" w:cs="Arial"/>
                <w:b/>
                <w:bCs/>
                <w:color w:val="000000"/>
                <w:sz w:val="22"/>
                <w:szCs w:val="22"/>
                <w:lang w:eastAsia="es-CR"/>
              </w:rPr>
              <w:t>Cant</w:t>
            </w:r>
            <w:proofErr w:type="spellEnd"/>
            <w:r w:rsidRPr="00C329BE">
              <w:rPr>
                <w:rFonts w:ascii="Book Antiqua" w:hAnsi="Book Antiqua" w:cs="Arial"/>
                <w:b/>
                <w:bCs/>
                <w:color w:val="000000"/>
                <w:sz w:val="22"/>
                <w:szCs w:val="22"/>
                <w:lang w:eastAsia="es-CR"/>
              </w:rPr>
              <w:t>. Personas Juzgadores</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74554FC0" w14:textId="77777777" w:rsidR="001341EC" w:rsidRPr="00C329BE" w:rsidRDefault="001341EC" w:rsidP="00165AA6">
            <w:pPr>
              <w:jc w:val="center"/>
              <w:rPr>
                <w:rFonts w:ascii="Book Antiqua" w:hAnsi="Book Antiqua" w:cs="Arial"/>
                <w:b/>
                <w:bCs/>
                <w:color w:val="000000"/>
                <w:sz w:val="22"/>
                <w:szCs w:val="22"/>
                <w:lang w:eastAsia="es-CR"/>
              </w:rPr>
            </w:pPr>
            <w:r w:rsidRPr="00C329BE">
              <w:rPr>
                <w:rFonts w:ascii="Book Antiqua" w:hAnsi="Book Antiqua" w:cs="Arial"/>
                <w:b/>
                <w:bCs/>
                <w:color w:val="000000"/>
                <w:sz w:val="22"/>
                <w:szCs w:val="22"/>
                <w:lang w:eastAsia="es-CR"/>
              </w:rPr>
              <w:t>Carga de trabajo mensual</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07E17057" w14:textId="77777777" w:rsidR="001341EC" w:rsidRPr="00C329BE" w:rsidRDefault="001341EC" w:rsidP="00165AA6">
            <w:pPr>
              <w:jc w:val="center"/>
              <w:rPr>
                <w:rFonts w:ascii="Book Antiqua" w:hAnsi="Book Antiqua" w:cs="Arial"/>
                <w:b/>
                <w:bCs/>
                <w:color w:val="000000"/>
                <w:sz w:val="22"/>
                <w:szCs w:val="22"/>
                <w:lang w:eastAsia="es-CR"/>
              </w:rPr>
            </w:pPr>
            <w:r w:rsidRPr="00C329BE">
              <w:rPr>
                <w:rFonts w:ascii="Book Antiqua" w:hAnsi="Book Antiqua" w:cs="Arial"/>
                <w:b/>
                <w:bCs/>
                <w:color w:val="000000"/>
                <w:sz w:val="22"/>
                <w:szCs w:val="22"/>
                <w:lang w:eastAsia="es-CR"/>
              </w:rPr>
              <w:t>Carga de trabajo mensual por Jueza o Juez</w:t>
            </w:r>
          </w:p>
        </w:tc>
      </w:tr>
      <w:tr w:rsidR="001341EC" w:rsidRPr="00C329BE" w14:paraId="146ED09C" w14:textId="77777777" w:rsidTr="00165AA6">
        <w:trPr>
          <w:trHeight w:val="30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4931706" w14:textId="77777777" w:rsidR="001341EC" w:rsidRPr="00C329BE" w:rsidRDefault="001341EC" w:rsidP="00165AA6">
            <w:pPr>
              <w:jc w:val="center"/>
              <w:rPr>
                <w:rFonts w:ascii="Book Antiqua" w:hAnsi="Book Antiqua" w:cs="Arial"/>
                <w:lang w:eastAsia="es-CR"/>
              </w:rPr>
            </w:pPr>
            <w:r>
              <w:rPr>
                <w:rFonts w:ascii="Book Antiqua" w:hAnsi="Book Antiqua" w:cs="Arial"/>
                <w:lang w:eastAsia="es-CR"/>
              </w:rPr>
              <w:t>840</w:t>
            </w:r>
          </w:p>
        </w:tc>
        <w:tc>
          <w:tcPr>
            <w:tcW w:w="0" w:type="auto"/>
            <w:tcBorders>
              <w:top w:val="nil"/>
              <w:left w:val="nil"/>
              <w:bottom w:val="double" w:sz="6" w:space="0" w:color="1F497D"/>
              <w:right w:val="double" w:sz="6" w:space="0" w:color="1F497D"/>
            </w:tcBorders>
            <w:shd w:val="clear" w:color="auto" w:fill="auto"/>
            <w:vAlign w:val="center"/>
            <w:hideMark/>
          </w:tcPr>
          <w:p w14:paraId="49E73132" w14:textId="77777777" w:rsidR="001341EC" w:rsidRPr="00C329BE" w:rsidRDefault="001341EC" w:rsidP="00165AA6">
            <w:pPr>
              <w:jc w:val="center"/>
              <w:rPr>
                <w:rFonts w:ascii="Book Antiqua" w:hAnsi="Book Antiqua" w:cs="Arial"/>
                <w:lang w:eastAsia="es-CR"/>
              </w:rPr>
            </w:pPr>
            <w:r w:rsidRPr="00C329BE">
              <w:rPr>
                <w:rFonts w:ascii="Book Antiqua" w:hAnsi="Book Antiqua" w:cs="Arial"/>
                <w:lang w:eastAsia="es-CR"/>
              </w:rPr>
              <w:t>6</w:t>
            </w:r>
          </w:p>
        </w:tc>
        <w:tc>
          <w:tcPr>
            <w:tcW w:w="0" w:type="auto"/>
            <w:tcBorders>
              <w:top w:val="nil"/>
              <w:left w:val="nil"/>
              <w:bottom w:val="double" w:sz="6" w:space="0" w:color="1F497D"/>
              <w:right w:val="double" w:sz="6" w:space="0" w:color="1F497D"/>
            </w:tcBorders>
            <w:shd w:val="clear" w:color="auto" w:fill="auto"/>
            <w:vAlign w:val="center"/>
            <w:hideMark/>
          </w:tcPr>
          <w:p w14:paraId="45573A48" w14:textId="77777777" w:rsidR="001341EC" w:rsidRPr="00C329BE" w:rsidRDefault="001341EC" w:rsidP="00165AA6">
            <w:pPr>
              <w:jc w:val="center"/>
              <w:rPr>
                <w:rFonts w:ascii="Book Antiqua" w:hAnsi="Book Antiqua" w:cs="Arial"/>
                <w:lang w:eastAsia="es-CR"/>
              </w:rPr>
            </w:pPr>
            <w:r>
              <w:rPr>
                <w:rFonts w:ascii="Book Antiqua" w:hAnsi="Book Antiqua" w:cs="Arial"/>
                <w:lang w:eastAsia="es-CR"/>
              </w:rPr>
              <w:t>140</w:t>
            </w:r>
          </w:p>
        </w:tc>
        <w:tc>
          <w:tcPr>
            <w:tcW w:w="0" w:type="auto"/>
            <w:tcBorders>
              <w:top w:val="nil"/>
              <w:left w:val="nil"/>
              <w:bottom w:val="double" w:sz="6" w:space="0" w:color="1F497D"/>
              <w:right w:val="double" w:sz="6" w:space="0" w:color="1F497D"/>
            </w:tcBorders>
            <w:shd w:val="clear" w:color="auto" w:fill="auto"/>
            <w:vAlign w:val="center"/>
            <w:hideMark/>
          </w:tcPr>
          <w:p w14:paraId="3E63C44F" w14:textId="77777777" w:rsidR="001341EC" w:rsidRPr="00C329BE" w:rsidRDefault="001341EC" w:rsidP="00165AA6">
            <w:pPr>
              <w:jc w:val="center"/>
              <w:rPr>
                <w:rFonts w:ascii="Book Antiqua" w:hAnsi="Book Antiqua" w:cs="Arial"/>
                <w:lang w:eastAsia="es-CR"/>
              </w:rPr>
            </w:pPr>
            <w:r w:rsidRPr="00C329BE">
              <w:rPr>
                <w:rFonts w:ascii="Book Antiqua" w:hAnsi="Book Antiqua" w:cs="Arial"/>
                <w:lang w:eastAsia="es-CR"/>
              </w:rPr>
              <w:t>1</w:t>
            </w:r>
            <w:r>
              <w:rPr>
                <w:rFonts w:ascii="Book Antiqua" w:hAnsi="Book Antiqua" w:cs="Arial"/>
                <w:lang w:eastAsia="es-CR"/>
              </w:rPr>
              <w:t>2</w:t>
            </w:r>
          </w:p>
        </w:tc>
      </w:tr>
    </w:tbl>
    <w:p w14:paraId="7A45B634" w14:textId="77777777" w:rsidR="001341EC" w:rsidRDefault="001341EC" w:rsidP="001341EC">
      <w:pPr>
        <w:rPr>
          <w:rFonts w:ascii="Book Antiqua" w:hAnsi="Book Antiqua"/>
          <w:bCs/>
          <w:iCs/>
          <w:sz w:val="22"/>
          <w:szCs w:val="22"/>
          <w:lang w:val="es-MX"/>
        </w:rPr>
      </w:pPr>
      <w:r w:rsidRPr="0016798C">
        <w:rPr>
          <w:rFonts w:ascii="Book Antiqua" w:hAnsi="Book Antiqua"/>
          <w:b/>
          <w:i/>
          <w:lang w:eastAsia="en-US"/>
        </w:rPr>
        <w:t>Fuente: Elaboración propia con base en datos del sistema SIGMA</w:t>
      </w:r>
      <w:r>
        <w:rPr>
          <w:rFonts w:ascii="Book Antiqua" w:hAnsi="Book Antiqua"/>
          <w:b/>
          <w:i/>
          <w:lang w:eastAsia="en-US"/>
        </w:rPr>
        <w:t xml:space="preserve"> y Anuarios Judiciales</w:t>
      </w:r>
      <w:r w:rsidRPr="0016798C">
        <w:rPr>
          <w:rFonts w:ascii="Book Antiqua" w:hAnsi="Book Antiqua"/>
          <w:b/>
          <w:i/>
          <w:lang w:eastAsia="en-US"/>
        </w:rPr>
        <w:t>, Subproceso de Modernización</w:t>
      </w:r>
    </w:p>
    <w:p w14:paraId="5F6BD84F" w14:textId="77777777" w:rsidR="001341EC" w:rsidRDefault="001341EC" w:rsidP="001341EC">
      <w:pPr>
        <w:rPr>
          <w:rFonts w:ascii="Book Antiqua" w:hAnsi="Book Antiqua"/>
          <w:bCs/>
          <w:iCs/>
          <w:sz w:val="22"/>
          <w:szCs w:val="22"/>
          <w:lang w:val="es-MX"/>
        </w:rPr>
      </w:pPr>
    </w:p>
    <w:p w14:paraId="47562C6F" w14:textId="77777777" w:rsidR="001341EC" w:rsidRDefault="001341EC" w:rsidP="001341EC">
      <w:pPr>
        <w:jc w:val="both"/>
        <w:rPr>
          <w:rFonts w:ascii="Book Antiqua" w:hAnsi="Book Antiqua"/>
          <w:bCs/>
          <w:iCs/>
          <w:sz w:val="22"/>
          <w:szCs w:val="22"/>
          <w:lang w:val="es-MX"/>
        </w:rPr>
      </w:pPr>
      <w:r>
        <w:rPr>
          <w:rFonts w:ascii="Book Antiqua" w:hAnsi="Book Antiqua"/>
          <w:bCs/>
          <w:iCs/>
          <w:sz w:val="22"/>
          <w:szCs w:val="22"/>
          <w:lang w:val="es-MX"/>
        </w:rPr>
        <w:t>Realizando el análisis con base a los datos generados en el 2018, se realiza una proyección de la disminución de la entrada por persona juzgadora, pasando de 17 casos al mes a 12 casos, lo que porcentualmente significa una disminución del 30%.</w:t>
      </w:r>
    </w:p>
    <w:p w14:paraId="4FF38114" w14:textId="77777777" w:rsidR="001341EC" w:rsidRDefault="001341EC" w:rsidP="001341EC">
      <w:pPr>
        <w:rPr>
          <w:rFonts w:ascii="Book Antiqua" w:hAnsi="Book Antiqua"/>
          <w:bCs/>
          <w:iCs/>
          <w:sz w:val="22"/>
          <w:szCs w:val="22"/>
          <w:lang w:val="es-MX"/>
        </w:rPr>
      </w:pPr>
    </w:p>
    <w:p w14:paraId="4BABC58A" w14:textId="77777777" w:rsidR="001341EC" w:rsidRDefault="001341EC" w:rsidP="001341EC">
      <w:pPr>
        <w:jc w:val="both"/>
        <w:rPr>
          <w:rFonts w:ascii="Book Antiqua" w:hAnsi="Book Antiqua"/>
          <w:bCs/>
          <w:iCs/>
          <w:sz w:val="22"/>
          <w:szCs w:val="22"/>
          <w:lang w:val="es-MX"/>
        </w:rPr>
      </w:pPr>
      <w:r>
        <w:rPr>
          <w:rFonts w:ascii="Book Antiqua" w:hAnsi="Book Antiqua"/>
          <w:bCs/>
          <w:iCs/>
          <w:sz w:val="22"/>
          <w:szCs w:val="22"/>
          <w:lang w:val="es-MX"/>
        </w:rPr>
        <w:t>Con una cuota de trabajo establecida, de acuerdo a líneas anteriores de 18 casos terminados por persona juzgadora, lo cual se proyecta lo siguiente:</w:t>
      </w:r>
    </w:p>
    <w:p w14:paraId="17C620D8" w14:textId="77777777" w:rsidR="001341EC" w:rsidRDefault="001341EC" w:rsidP="001341EC">
      <w:pPr>
        <w:jc w:val="both"/>
        <w:rPr>
          <w:rFonts w:ascii="Book Antiqua" w:hAnsi="Book Antiqua"/>
          <w:bCs/>
          <w:iCs/>
          <w:sz w:val="22"/>
          <w:szCs w:val="22"/>
          <w:lang w:val="es-MX"/>
        </w:rPr>
      </w:pPr>
    </w:p>
    <w:p w14:paraId="26E6AC8D" w14:textId="77777777" w:rsidR="001341EC" w:rsidRPr="00D571D9"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571D9">
        <w:rPr>
          <w:rFonts w:ascii="Book Antiqua" w:hAnsi="Book Antiqua"/>
          <w:bCs w:val="0"/>
          <w:iCs/>
          <w:sz w:val="22"/>
          <w:szCs w:val="24"/>
          <w:lang w:val="es-CR"/>
        </w:rPr>
        <w:t xml:space="preserve">Cuadro </w:t>
      </w:r>
      <w:r w:rsidR="009A23D1" w:rsidRPr="00D571D9">
        <w:rPr>
          <w:rFonts w:ascii="Book Antiqua" w:hAnsi="Book Antiqua"/>
          <w:bCs w:val="0"/>
          <w:iCs/>
          <w:sz w:val="22"/>
          <w:szCs w:val="24"/>
          <w:lang w:val="es-CR"/>
        </w:rPr>
        <w:fldChar w:fldCharType="begin"/>
      </w:r>
      <w:r w:rsidRPr="00D571D9">
        <w:rPr>
          <w:rFonts w:ascii="Book Antiqua" w:hAnsi="Book Antiqua"/>
          <w:bCs w:val="0"/>
          <w:iCs/>
          <w:sz w:val="22"/>
          <w:szCs w:val="24"/>
          <w:lang w:val="es-CR"/>
        </w:rPr>
        <w:instrText xml:space="preserve"> SEQ Cuadro \* ARABIC </w:instrText>
      </w:r>
      <w:r w:rsidR="009A23D1" w:rsidRPr="00D571D9">
        <w:rPr>
          <w:rFonts w:ascii="Book Antiqua" w:hAnsi="Book Antiqua"/>
          <w:bCs w:val="0"/>
          <w:iCs/>
          <w:sz w:val="22"/>
          <w:szCs w:val="24"/>
          <w:lang w:val="es-CR"/>
        </w:rPr>
        <w:fldChar w:fldCharType="separate"/>
      </w:r>
      <w:r>
        <w:rPr>
          <w:rFonts w:ascii="Book Antiqua" w:hAnsi="Book Antiqua"/>
          <w:bCs w:val="0"/>
          <w:iCs/>
          <w:noProof/>
          <w:sz w:val="22"/>
          <w:szCs w:val="24"/>
          <w:lang w:val="es-CR"/>
        </w:rPr>
        <w:t>13</w:t>
      </w:r>
      <w:r w:rsidR="009A23D1" w:rsidRPr="00D571D9">
        <w:rPr>
          <w:rFonts w:ascii="Book Antiqua" w:hAnsi="Book Antiqua"/>
          <w:bCs w:val="0"/>
          <w:iCs/>
          <w:sz w:val="22"/>
          <w:szCs w:val="24"/>
          <w:lang w:val="es-CR"/>
        </w:rPr>
        <w:fldChar w:fldCharType="end"/>
      </w:r>
    </w:p>
    <w:p w14:paraId="7A766BE5" w14:textId="77777777" w:rsidR="001341EC" w:rsidRDefault="001341EC" w:rsidP="001341EC">
      <w:pPr>
        <w:jc w:val="center"/>
        <w:rPr>
          <w:rFonts w:ascii="Book Antiqua" w:hAnsi="Book Antiqua"/>
          <w:bCs/>
          <w:iCs/>
          <w:sz w:val="22"/>
          <w:szCs w:val="22"/>
          <w:lang w:val="es-MX"/>
        </w:rPr>
      </w:pPr>
      <w:r>
        <w:rPr>
          <w:rFonts w:ascii="Book Antiqua" w:hAnsi="Book Antiqua" w:cs="Arial"/>
          <w:b/>
          <w:iCs/>
          <w:sz w:val="22"/>
          <w:szCs w:val="24"/>
        </w:rPr>
        <w:t>Proyección de producción por el personal juzgador</w:t>
      </w:r>
    </w:p>
    <w:tbl>
      <w:tblPr>
        <w:tblW w:w="8885" w:type="dxa"/>
        <w:tblInd w:w="93" w:type="dxa"/>
        <w:tblCellMar>
          <w:left w:w="70" w:type="dxa"/>
          <w:right w:w="70" w:type="dxa"/>
        </w:tblCellMar>
        <w:tblLook w:val="04A0" w:firstRow="1" w:lastRow="0" w:firstColumn="1" w:lastColumn="0" w:noHBand="0" w:noVBand="1"/>
      </w:tblPr>
      <w:tblGrid>
        <w:gridCol w:w="2117"/>
        <w:gridCol w:w="1405"/>
        <w:gridCol w:w="1508"/>
        <w:gridCol w:w="1375"/>
        <w:gridCol w:w="1277"/>
        <w:gridCol w:w="1203"/>
      </w:tblGrid>
      <w:tr w:rsidR="001341EC" w:rsidRPr="00613CCE" w14:paraId="24AC7F16" w14:textId="77777777" w:rsidTr="00165AA6">
        <w:trPr>
          <w:trHeight w:val="600"/>
        </w:trPr>
        <w:tc>
          <w:tcPr>
            <w:tcW w:w="2322" w:type="dxa"/>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2C1625C1" w14:textId="77777777" w:rsidR="001341EC" w:rsidRPr="00613CCE" w:rsidRDefault="001341EC" w:rsidP="00165AA6">
            <w:pPr>
              <w:jc w:val="center"/>
              <w:rPr>
                <w:rFonts w:ascii="Book Antiqua" w:hAnsi="Book Antiqua" w:cs="Arial"/>
                <w:b/>
                <w:bCs/>
                <w:color w:val="000000"/>
                <w:sz w:val="22"/>
                <w:szCs w:val="22"/>
                <w:lang w:eastAsia="es-CR"/>
              </w:rPr>
            </w:pPr>
            <w:r w:rsidRPr="00613CCE">
              <w:rPr>
                <w:rFonts w:ascii="Book Antiqua" w:hAnsi="Book Antiqua" w:cs="Arial"/>
                <w:b/>
                <w:bCs/>
                <w:color w:val="000000"/>
                <w:sz w:val="22"/>
                <w:szCs w:val="22"/>
                <w:lang w:eastAsia="es-CR"/>
              </w:rPr>
              <w:t>Cuota de trabajo por persona juzgadora</w:t>
            </w:r>
          </w:p>
        </w:tc>
        <w:tc>
          <w:tcPr>
            <w:tcW w:w="1437" w:type="dxa"/>
            <w:tcBorders>
              <w:top w:val="double" w:sz="6" w:space="0" w:color="1F497D"/>
              <w:left w:val="nil"/>
              <w:bottom w:val="double" w:sz="6" w:space="0" w:color="1F497D"/>
              <w:right w:val="double" w:sz="6" w:space="0" w:color="1F497D"/>
            </w:tcBorders>
            <w:shd w:val="clear" w:color="000000" w:fill="8DB4E2"/>
            <w:vAlign w:val="center"/>
            <w:hideMark/>
          </w:tcPr>
          <w:p w14:paraId="68B336CD" w14:textId="77777777" w:rsidR="001341EC" w:rsidRPr="00613CCE" w:rsidRDefault="001341EC" w:rsidP="00165AA6">
            <w:pPr>
              <w:jc w:val="center"/>
              <w:rPr>
                <w:rFonts w:ascii="Book Antiqua" w:hAnsi="Book Antiqua" w:cs="Arial"/>
                <w:b/>
                <w:bCs/>
                <w:color w:val="000000"/>
                <w:sz w:val="22"/>
                <w:szCs w:val="22"/>
                <w:lang w:eastAsia="es-CR"/>
              </w:rPr>
            </w:pPr>
            <w:proofErr w:type="spellStart"/>
            <w:r w:rsidRPr="00613CCE">
              <w:rPr>
                <w:rFonts w:ascii="Book Antiqua" w:hAnsi="Book Antiqua" w:cs="Arial"/>
                <w:b/>
                <w:bCs/>
                <w:color w:val="000000"/>
                <w:sz w:val="22"/>
                <w:szCs w:val="22"/>
                <w:lang w:eastAsia="es-CR"/>
              </w:rPr>
              <w:t>Cant</w:t>
            </w:r>
            <w:proofErr w:type="spellEnd"/>
            <w:r w:rsidRPr="00613CCE">
              <w:rPr>
                <w:rFonts w:ascii="Book Antiqua" w:hAnsi="Book Antiqua" w:cs="Arial"/>
                <w:b/>
                <w:bCs/>
                <w:color w:val="000000"/>
                <w:sz w:val="22"/>
                <w:szCs w:val="22"/>
                <w:lang w:eastAsia="es-CR"/>
              </w:rPr>
              <w:t>. Personas Juzgadores</w:t>
            </w:r>
          </w:p>
        </w:tc>
        <w:tc>
          <w:tcPr>
            <w:tcW w:w="1557" w:type="dxa"/>
            <w:tcBorders>
              <w:top w:val="double" w:sz="6" w:space="0" w:color="1F497D"/>
              <w:left w:val="nil"/>
              <w:bottom w:val="double" w:sz="6" w:space="0" w:color="1F497D"/>
              <w:right w:val="double" w:sz="6" w:space="0" w:color="1F497D"/>
            </w:tcBorders>
            <w:shd w:val="clear" w:color="000000" w:fill="8DB4E2"/>
            <w:vAlign w:val="center"/>
            <w:hideMark/>
          </w:tcPr>
          <w:p w14:paraId="3E4A4092" w14:textId="77777777" w:rsidR="001341EC" w:rsidRPr="00613CCE" w:rsidRDefault="001341EC" w:rsidP="00165AA6">
            <w:pPr>
              <w:jc w:val="center"/>
              <w:rPr>
                <w:rFonts w:ascii="Book Antiqua" w:hAnsi="Book Antiqua" w:cs="Arial"/>
                <w:b/>
                <w:bCs/>
                <w:color w:val="000000"/>
                <w:sz w:val="22"/>
                <w:szCs w:val="22"/>
                <w:lang w:eastAsia="es-CR"/>
              </w:rPr>
            </w:pPr>
            <w:r w:rsidRPr="00613CCE">
              <w:rPr>
                <w:rFonts w:ascii="Book Antiqua" w:hAnsi="Book Antiqua" w:cs="Arial"/>
                <w:b/>
                <w:bCs/>
                <w:color w:val="000000"/>
                <w:sz w:val="22"/>
                <w:szCs w:val="22"/>
                <w:lang w:eastAsia="es-CR"/>
              </w:rPr>
              <w:t xml:space="preserve">Producción Mensual </w:t>
            </w:r>
          </w:p>
        </w:tc>
        <w:tc>
          <w:tcPr>
            <w:tcW w:w="1396" w:type="dxa"/>
            <w:tcBorders>
              <w:top w:val="double" w:sz="6" w:space="0" w:color="1F497D"/>
              <w:left w:val="nil"/>
              <w:bottom w:val="double" w:sz="6" w:space="0" w:color="1F497D"/>
              <w:right w:val="double" w:sz="6" w:space="0" w:color="1F497D"/>
            </w:tcBorders>
            <w:shd w:val="clear" w:color="000000" w:fill="8DB4E2"/>
            <w:vAlign w:val="center"/>
            <w:hideMark/>
          </w:tcPr>
          <w:p w14:paraId="419C02AC" w14:textId="77777777" w:rsidR="001341EC" w:rsidRPr="00613CCE" w:rsidRDefault="001341EC" w:rsidP="00165AA6">
            <w:pPr>
              <w:jc w:val="center"/>
              <w:rPr>
                <w:rFonts w:ascii="Book Antiqua" w:hAnsi="Book Antiqua" w:cs="Arial"/>
                <w:b/>
                <w:bCs/>
                <w:color w:val="000000"/>
                <w:sz w:val="22"/>
                <w:szCs w:val="22"/>
                <w:lang w:eastAsia="es-CR"/>
              </w:rPr>
            </w:pPr>
            <w:r w:rsidRPr="00613CCE">
              <w:rPr>
                <w:rFonts w:ascii="Book Antiqua" w:hAnsi="Book Antiqua" w:cs="Arial"/>
                <w:b/>
                <w:bCs/>
                <w:color w:val="000000"/>
                <w:sz w:val="22"/>
                <w:szCs w:val="22"/>
                <w:lang w:eastAsia="es-CR"/>
              </w:rPr>
              <w:t>Producción Anual</w:t>
            </w:r>
          </w:p>
        </w:tc>
        <w:tc>
          <w:tcPr>
            <w:tcW w:w="1277" w:type="dxa"/>
            <w:tcBorders>
              <w:top w:val="double" w:sz="6" w:space="0" w:color="1F497D"/>
              <w:left w:val="nil"/>
              <w:bottom w:val="double" w:sz="6" w:space="0" w:color="1F497D"/>
              <w:right w:val="double" w:sz="6" w:space="0" w:color="1F497D"/>
            </w:tcBorders>
            <w:shd w:val="clear" w:color="000000" w:fill="8DB4E2"/>
          </w:tcPr>
          <w:p w14:paraId="191F4DF7" w14:textId="77777777" w:rsidR="001341EC" w:rsidRPr="00613CCE" w:rsidRDefault="001341EC" w:rsidP="00165AA6">
            <w:pPr>
              <w:jc w:val="center"/>
              <w:rPr>
                <w:rFonts w:ascii="Book Antiqua" w:hAnsi="Book Antiqua" w:cs="Arial"/>
                <w:b/>
                <w:bCs/>
                <w:color w:val="000000"/>
                <w:sz w:val="22"/>
                <w:szCs w:val="22"/>
                <w:lang w:eastAsia="es-CR"/>
              </w:rPr>
            </w:pPr>
            <w:r>
              <w:rPr>
                <w:rFonts w:ascii="Book Antiqua" w:hAnsi="Book Antiqua" w:cs="Arial"/>
                <w:b/>
                <w:bCs/>
                <w:color w:val="000000"/>
                <w:sz w:val="22"/>
                <w:szCs w:val="22"/>
                <w:lang w:eastAsia="es-CR"/>
              </w:rPr>
              <w:t>Producción requerida</w:t>
            </w:r>
          </w:p>
        </w:tc>
        <w:tc>
          <w:tcPr>
            <w:tcW w:w="896" w:type="dxa"/>
            <w:tcBorders>
              <w:top w:val="double" w:sz="6" w:space="0" w:color="1F497D"/>
              <w:left w:val="nil"/>
              <w:bottom w:val="double" w:sz="6" w:space="0" w:color="1F497D"/>
              <w:right w:val="double" w:sz="6" w:space="0" w:color="1F497D"/>
            </w:tcBorders>
            <w:shd w:val="clear" w:color="000000" w:fill="8DB4E2"/>
          </w:tcPr>
          <w:p w14:paraId="60FEA929" w14:textId="77777777" w:rsidR="001341EC" w:rsidRDefault="001341EC" w:rsidP="00165AA6">
            <w:pPr>
              <w:jc w:val="center"/>
              <w:rPr>
                <w:rFonts w:ascii="Book Antiqua" w:hAnsi="Book Antiqua" w:cs="Arial"/>
                <w:b/>
                <w:bCs/>
                <w:color w:val="000000"/>
                <w:sz w:val="22"/>
                <w:szCs w:val="22"/>
                <w:lang w:eastAsia="es-CR"/>
              </w:rPr>
            </w:pPr>
            <w:r>
              <w:rPr>
                <w:rFonts w:ascii="Book Antiqua" w:hAnsi="Book Antiqua" w:cs="Arial"/>
                <w:b/>
                <w:bCs/>
                <w:color w:val="000000"/>
                <w:sz w:val="22"/>
                <w:szCs w:val="22"/>
                <w:lang w:eastAsia="es-CR"/>
              </w:rPr>
              <w:t>Capacidad de atención de nuevos asuntos por Reforma</w:t>
            </w:r>
          </w:p>
        </w:tc>
      </w:tr>
      <w:tr w:rsidR="001341EC" w:rsidRPr="00613CCE" w14:paraId="0E34ECC4" w14:textId="77777777" w:rsidTr="00165AA6">
        <w:trPr>
          <w:trHeight w:val="300"/>
        </w:trPr>
        <w:tc>
          <w:tcPr>
            <w:tcW w:w="2322" w:type="dxa"/>
            <w:tcBorders>
              <w:top w:val="nil"/>
              <w:left w:val="double" w:sz="6" w:space="0" w:color="1F497D"/>
              <w:bottom w:val="double" w:sz="6" w:space="0" w:color="1F497D"/>
              <w:right w:val="double" w:sz="6" w:space="0" w:color="1F497D"/>
            </w:tcBorders>
            <w:shd w:val="clear" w:color="auto" w:fill="auto"/>
            <w:vAlign w:val="center"/>
            <w:hideMark/>
          </w:tcPr>
          <w:p w14:paraId="089425C5" w14:textId="77777777" w:rsidR="001341EC" w:rsidRPr="00613CCE" w:rsidRDefault="001341EC" w:rsidP="00165AA6">
            <w:pPr>
              <w:jc w:val="center"/>
              <w:rPr>
                <w:rFonts w:ascii="Book Antiqua" w:hAnsi="Book Antiqua" w:cs="Arial"/>
                <w:lang w:eastAsia="es-CR"/>
              </w:rPr>
            </w:pPr>
            <w:r w:rsidRPr="00613CCE">
              <w:rPr>
                <w:rFonts w:ascii="Book Antiqua" w:hAnsi="Book Antiqua" w:cs="Arial"/>
                <w:lang w:eastAsia="es-CR"/>
              </w:rPr>
              <w:t>18</w:t>
            </w:r>
          </w:p>
        </w:tc>
        <w:tc>
          <w:tcPr>
            <w:tcW w:w="1437" w:type="dxa"/>
            <w:tcBorders>
              <w:top w:val="nil"/>
              <w:left w:val="nil"/>
              <w:bottom w:val="double" w:sz="6" w:space="0" w:color="1F497D"/>
              <w:right w:val="double" w:sz="6" w:space="0" w:color="1F497D"/>
            </w:tcBorders>
            <w:shd w:val="clear" w:color="auto" w:fill="auto"/>
            <w:vAlign w:val="center"/>
            <w:hideMark/>
          </w:tcPr>
          <w:p w14:paraId="3679A193" w14:textId="77777777" w:rsidR="001341EC" w:rsidRPr="00613CCE" w:rsidRDefault="001341EC" w:rsidP="00165AA6">
            <w:pPr>
              <w:jc w:val="center"/>
              <w:rPr>
                <w:rFonts w:ascii="Book Antiqua" w:hAnsi="Book Antiqua" w:cs="Arial"/>
                <w:lang w:eastAsia="es-CR"/>
              </w:rPr>
            </w:pPr>
            <w:r w:rsidRPr="00613CCE">
              <w:rPr>
                <w:rFonts w:ascii="Book Antiqua" w:hAnsi="Book Antiqua" w:cs="Arial"/>
                <w:lang w:eastAsia="es-CR"/>
              </w:rPr>
              <w:t>6</w:t>
            </w:r>
          </w:p>
        </w:tc>
        <w:tc>
          <w:tcPr>
            <w:tcW w:w="1557" w:type="dxa"/>
            <w:tcBorders>
              <w:top w:val="nil"/>
              <w:left w:val="nil"/>
              <w:bottom w:val="double" w:sz="6" w:space="0" w:color="1F497D"/>
              <w:right w:val="double" w:sz="6" w:space="0" w:color="1F497D"/>
            </w:tcBorders>
            <w:shd w:val="clear" w:color="auto" w:fill="auto"/>
            <w:vAlign w:val="center"/>
            <w:hideMark/>
          </w:tcPr>
          <w:p w14:paraId="73386847" w14:textId="77777777" w:rsidR="001341EC" w:rsidRPr="00613CCE" w:rsidRDefault="001341EC" w:rsidP="00165AA6">
            <w:pPr>
              <w:jc w:val="center"/>
              <w:rPr>
                <w:rFonts w:ascii="Book Antiqua" w:hAnsi="Book Antiqua" w:cs="Arial"/>
                <w:lang w:eastAsia="es-CR"/>
              </w:rPr>
            </w:pPr>
            <w:r w:rsidRPr="00613CCE">
              <w:rPr>
                <w:rFonts w:ascii="Book Antiqua" w:hAnsi="Book Antiqua" w:cs="Arial"/>
                <w:lang w:eastAsia="es-CR"/>
              </w:rPr>
              <w:t>108</w:t>
            </w:r>
          </w:p>
        </w:tc>
        <w:tc>
          <w:tcPr>
            <w:tcW w:w="1396" w:type="dxa"/>
            <w:tcBorders>
              <w:top w:val="nil"/>
              <w:left w:val="nil"/>
              <w:bottom w:val="double" w:sz="6" w:space="0" w:color="1F497D"/>
              <w:right w:val="double" w:sz="6" w:space="0" w:color="1F497D"/>
            </w:tcBorders>
            <w:shd w:val="clear" w:color="auto" w:fill="auto"/>
            <w:vAlign w:val="center"/>
            <w:hideMark/>
          </w:tcPr>
          <w:p w14:paraId="560570DD" w14:textId="77777777" w:rsidR="001341EC" w:rsidRPr="00613CCE" w:rsidRDefault="001341EC" w:rsidP="00165AA6">
            <w:pPr>
              <w:jc w:val="center"/>
              <w:rPr>
                <w:rFonts w:ascii="Book Antiqua" w:hAnsi="Book Antiqua" w:cs="Arial"/>
                <w:lang w:eastAsia="es-CR"/>
              </w:rPr>
            </w:pPr>
            <w:r>
              <w:rPr>
                <w:rFonts w:ascii="Book Antiqua" w:hAnsi="Book Antiqua" w:cs="Arial"/>
                <w:lang w:eastAsia="es-CR"/>
              </w:rPr>
              <w:t>1215</w:t>
            </w:r>
          </w:p>
        </w:tc>
        <w:tc>
          <w:tcPr>
            <w:tcW w:w="1277" w:type="dxa"/>
            <w:tcBorders>
              <w:top w:val="nil"/>
              <w:left w:val="nil"/>
              <w:bottom w:val="double" w:sz="6" w:space="0" w:color="1F497D"/>
              <w:right w:val="double" w:sz="6" w:space="0" w:color="1F497D"/>
            </w:tcBorders>
          </w:tcPr>
          <w:p w14:paraId="29C7BEE7" w14:textId="77777777" w:rsidR="001341EC" w:rsidRDefault="001341EC" w:rsidP="00165AA6">
            <w:pPr>
              <w:jc w:val="center"/>
              <w:rPr>
                <w:rFonts w:ascii="Book Antiqua" w:hAnsi="Book Antiqua" w:cs="Arial"/>
                <w:lang w:eastAsia="es-CR"/>
              </w:rPr>
            </w:pPr>
            <w:r>
              <w:rPr>
                <w:rFonts w:ascii="Book Antiqua" w:hAnsi="Book Antiqua" w:cs="Arial"/>
                <w:lang w:eastAsia="es-CR"/>
              </w:rPr>
              <w:t>840</w:t>
            </w:r>
          </w:p>
        </w:tc>
        <w:tc>
          <w:tcPr>
            <w:tcW w:w="896" w:type="dxa"/>
            <w:tcBorders>
              <w:top w:val="nil"/>
              <w:left w:val="nil"/>
              <w:bottom w:val="double" w:sz="6" w:space="0" w:color="1F497D"/>
              <w:right w:val="double" w:sz="6" w:space="0" w:color="1F497D"/>
            </w:tcBorders>
          </w:tcPr>
          <w:p w14:paraId="6EF37DFB" w14:textId="77777777" w:rsidR="001341EC" w:rsidRDefault="001341EC" w:rsidP="00165AA6">
            <w:pPr>
              <w:jc w:val="center"/>
              <w:rPr>
                <w:rFonts w:ascii="Book Antiqua" w:hAnsi="Book Antiqua" w:cs="Arial"/>
                <w:lang w:eastAsia="es-CR"/>
              </w:rPr>
            </w:pPr>
            <w:r>
              <w:rPr>
                <w:rFonts w:ascii="Book Antiqua" w:hAnsi="Book Antiqua" w:cs="Arial"/>
                <w:lang w:eastAsia="es-CR"/>
              </w:rPr>
              <w:t>375</w:t>
            </w:r>
          </w:p>
        </w:tc>
      </w:tr>
    </w:tbl>
    <w:p w14:paraId="1F6BC1F2" w14:textId="77777777" w:rsidR="001341EC" w:rsidRDefault="001341EC" w:rsidP="001341EC">
      <w:pPr>
        <w:rPr>
          <w:rFonts w:ascii="Book Antiqua" w:hAnsi="Book Antiqua"/>
          <w:bCs/>
          <w:iCs/>
          <w:sz w:val="22"/>
          <w:szCs w:val="22"/>
          <w:lang w:val="es-MX"/>
        </w:rPr>
      </w:pPr>
      <w:r w:rsidRPr="0016798C">
        <w:rPr>
          <w:rFonts w:ascii="Book Antiqua" w:hAnsi="Book Antiqua"/>
          <w:b/>
          <w:i/>
          <w:lang w:eastAsia="en-US"/>
        </w:rPr>
        <w:t>Fuente: Elaboración propia con base en datos del sistema SIGMA</w:t>
      </w:r>
      <w:r>
        <w:rPr>
          <w:rFonts w:ascii="Book Antiqua" w:hAnsi="Book Antiqua"/>
          <w:b/>
          <w:i/>
          <w:lang w:eastAsia="en-US"/>
        </w:rPr>
        <w:t xml:space="preserve"> y Anuarios Judiciales</w:t>
      </w:r>
      <w:r w:rsidRPr="0016798C">
        <w:rPr>
          <w:rFonts w:ascii="Book Antiqua" w:hAnsi="Book Antiqua"/>
          <w:b/>
          <w:i/>
          <w:lang w:eastAsia="en-US"/>
        </w:rPr>
        <w:t>, Subproceso de Modernización</w:t>
      </w:r>
    </w:p>
    <w:p w14:paraId="03FC10DF" w14:textId="77777777" w:rsidR="001341EC" w:rsidRDefault="001341EC" w:rsidP="001341EC">
      <w:pPr>
        <w:rPr>
          <w:rFonts w:ascii="Book Antiqua" w:hAnsi="Book Antiqua"/>
          <w:bCs/>
          <w:iCs/>
          <w:sz w:val="22"/>
          <w:szCs w:val="22"/>
          <w:lang w:val="es-MX"/>
        </w:rPr>
      </w:pPr>
    </w:p>
    <w:p w14:paraId="781FF813" w14:textId="77777777" w:rsidR="001341EC" w:rsidRDefault="001341EC" w:rsidP="001341EC">
      <w:pPr>
        <w:jc w:val="both"/>
        <w:rPr>
          <w:rFonts w:ascii="Book Antiqua" w:hAnsi="Book Antiqua"/>
          <w:bCs/>
          <w:iCs/>
          <w:sz w:val="22"/>
          <w:szCs w:val="22"/>
          <w:lang w:val="es-MX"/>
        </w:rPr>
      </w:pPr>
      <w:r>
        <w:rPr>
          <w:rFonts w:ascii="Book Antiqua" w:hAnsi="Book Antiqua"/>
          <w:bCs/>
          <w:iCs/>
          <w:sz w:val="22"/>
          <w:szCs w:val="22"/>
          <w:lang w:val="es-MX"/>
        </w:rPr>
        <w:t xml:space="preserve">El personal juzgador cumpliendo con la cuota otorgada, está en capacidad de generar 108 casos terminados al mes, lo cual se traduce que al año la producción será de 1215 casos finalizados. </w:t>
      </w:r>
    </w:p>
    <w:p w14:paraId="7D7CF286" w14:textId="77777777" w:rsidR="001341EC" w:rsidRDefault="001341EC" w:rsidP="001341EC">
      <w:pPr>
        <w:jc w:val="both"/>
        <w:rPr>
          <w:rFonts w:ascii="Book Antiqua" w:hAnsi="Book Antiqua"/>
          <w:bCs/>
          <w:iCs/>
          <w:sz w:val="22"/>
          <w:szCs w:val="22"/>
          <w:lang w:val="es-MX"/>
        </w:rPr>
      </w:pPr>
    </w:p>
    <w:p w14:paraId="3D71082C" w14:textId="77777777" w:rsidR="001341EC" w:rsidRDefault="001341EC" w:rsidP="001341EC">
      <w:pPr>
        <w:jc w:val="both"/>
        <w:rPr>
          <w:rFonts w:ascii="Book Antiqua" w:hAnsi="Book Antiqua"/>
          <w:bCs/>
          <w:iCs/>
          <w:sz w:val="22"/>
          <w:szCs w:val="22"/>
          <w:lang w:val="es-MX"/>
        </w:rPr>
      </w:pPr>
      <w:r>
        <w:rPr>
          <w:rFonts w:ascii="Book Antiqua" w:hAnsi="Book Antiqua"/>
          <w:bCs/>
          <w:iCs/>
          <w:sz w:val="22"/>
          <w:szCs w:val="22"/>
          <w:lang w:val="es-MX"/>
        </w:rPr>
        <w:t>Según el cuadro anterior, se evidencia que la carga de trabajo del Tribunal Agrario, con la pérdida de los asuntos por “Conflicto de competencia”, mantiene una capacidad instalada del 45% para la atención de nuevos asuntos (375 anuales), según las nuevas competencias dadas por Código Procesal Agrario. Sin embargo, es importante tomar en consideración que esta cantidad de asuntos que se proyectan que tendrán capacidad de atención puede ser menor, tomando en consideración la variable cualitativa “complejidad” de los nuevos asuntos, para lo cual es necesario realizar seguimiento del comportamiento de la entrada de asuntos por tipo de asunto, una vez entrada en vigencia la Ley, con el fin de conocer el impacto real en el Tribunal Agrario.</w:t>
      </w:r>
    </w:p>
    <w:p w14:paraId="345365D0" w14:textId="77777777" w:rsidR="001341EC" w:rsidRDefault="001341EC" w:rsidP="001341EC">
      <w:pPr>
        <w:jc w:val="both"/>
        <w:rPr>
          <w:rFonts w:ascii="Book Antiqua" w:hAnsi="Book Antiqua"/>
          <w:bCs/>
          <w:iCs/>
          <w:sz w:val="22"/>
          <w:szCs w:val="22"/>
          <w:lang w:val="es-MX"/>
        </w:rPr>
      </w:pPr>
    </w:p>
    <w:p w14:paraId="7E75B0A1" w14:textId="77777777" w:rsidR="001341EC" w:rsidRDefault="001341EC" w:rsidP="001341EC">
      <w:pPr>
        <w:jc w:val="both"/>
        <w:rPr>
          <w:rFonts w:ascii="Book Antiqua" w:hAnsi="Book Antiqua"/>
          <w:bCs/>
          <w:iCs/>
          <w:sz w:val="22"/>
          <w:szCs w:val="22"/>
          <w:lang w:val="es-MX"/>
        </w:rPr>
      </w:pPr>
      <w:r>
        <w:rPr>
          <w:rFonts w:ascii="Book Antiqua" w:hAnsi="Book Antiqua"/>
          <w:bCs/>
          <w:iCs/>
          <w:sz w:val="22"/>
          <w:szCs w:val="22"/>
          <w:lang w:val="es-MX"/>
        </w:rPr>
        <w:t xml:space="preserve">Por lo anterior, para este ejercicio presupuestario, no se proyecta la necesidad de creación de nuevas plazas para el Tribunal Agrario.  </w:t>
      </w:r>
    </w:p>
    <w:p w14:paraId="0406090D" w14:textId="77777777" w:rsidR="001341EC" w:rsidRPr="00C2271D" w:rsidRDefault="001341EC" w:rsidP="001341EC">
      <w:pPr>
        <w:jc w:val="both"/>
        <w:rPr>
          <w:rFonts w:ascii="Book Antiqua" w:hAnsi="Book Antiqua"/>
          <w:bCs/>
          <w:iCs/>
          <w:sz w:val="22"/>
          <w:szCs w:val="22"/>
          <w:lang w:val="es-MX"/>
        </w:rPr>
      </w:pPr>
    </w:p>
    <w:p w14:paraId="7695F53C" w14:textId="77777777" w:rsidR="001341EC" w:rsidRPr="00126FA8" w:rsidRDefault="001341EC" w:rsidP="001341EC">
      <w:pPr>
        <w:pStyle w:val="Ttulo3"/>
        <w:keepLines/>
        <w:numPr>
          <w:ilvl w:val="2"/>
          <w:numId w:val="42"/>
        </w:numPr>
        <w:spacing w:before="40" w:after="0"/>
        <w:jc w:val="both"/>
        <w:rPr>
          <w:rFonts w:ascii="Book Antiqua" w:hAnsi="Book Antiqua"/>
          <w:sz w:val="22"/>
          <w:szCs w:val="22"/>
        </w:rPr>
      </w:pPr>
      <w:r w:rsidRPr="00126FA8">
        <w:rPr>
          <w:rFonts w:ascii="Book Antiqua" w:hAnsi="Book Antiqua"/>
          <w:sz w:val="22"/>
          <w:szCs w:val="22"/>
        </w:rPr>
        <w:t>Limitaciones</w:t>
      </w:r>
      <w:r>
        <w:rPr>
          <w:rFonts w:ascii="Book Antiqua" w:hAnsi="Book Antiqua"/>
          <w:sz w:val="22"/>
          <w:szCs w:val="22"/>
        </w:rPr>
        <w:t xml:space="preserve"> para el estudio de cargas de trabajo</w:t>
      </w:r>
      <w:r w:rsidRPr="00126FA8">
        <w:rPr>
          <w:rFonts w:ascii="Book Antiqua" w:hAnsi="Book Antiqua"/>
          <w:sz w:val="22"/>
          <w:szCs w:val="22"/>
        </w:rPr>
        <w:t xml:space="preserve"> </w:t>
      </w:r>
    </w:p>
    <w:p w14:paraId="71EE03DE" w14:textId="77777777" w:rsidR="001341EC" w:rsidRDefault="001341EC" w:rsidP="001341EC">
      <w:pPr>
        <w:jc w:val="both"/>
        <w:rPr>
          <w:rFonts w:ascii="Book Antiqua" w:hAnsi="Book Antiqua"/>
          <w:sz w:val="22"/>
          <w:szCs w:val="22"/>
        </w:rPr>
      </w:pPr>
      <w:r>
        <w:rPr>
          <w:rFonts w:ascii="Book Antiqua" w:hAnsi="Book Antiqua"/>
          <w:sz w:val="22"/>
          <w:szCs w:val="22"/>
        </w:rPr>
        <w:t xml:space="preserve"> </w:t>
      </w:r>
    </w:p>
    <w:p w14:paraId="53174C44" w14:textId="77777777" w:rsidR="001341EC" w:rsidRPr="00C2271D" w:rsidRDefault="001341EC" w:rsidP="001341EC">
      <w:pPr>
        <w:jc w:val="both"/>
        <w:rPr>
          <w:rFonts w:ascii="Book Antiqua" w:hAnsi="Book Antiqua"/>
          <w:bCs/>
          <w:iCs/>
          <w:sz w:val="22"/>
          <w:szCs w:val="22"/>
          <w:lang w:val="es-MX"/>
        </w:rPr>
      </w:pPr>
      <w:r w:rsidRPr="00C2271D">
        <w:rPr>
          <w:rFonts w:ascii="Book Antiqua" w:hAnsi="Book Antiqua"/>
          <w:bCs/>
          <w:iCs/>
          <w:sz w:val="22"/>
          <w:szCs w:val="22"/>
          <w:lang w:val="es-MX"/>
        </w:rPr>
        <w:t>Para la realización del presente informe</w:t>
      </w:r>
      <w:r>
        <w:rPr>
          <w:rFonts w:ascii="Book Antiqua" w:hAnsi="Book Antiqua"/>
          <w:bCs/>
          <w:iCs/>
          <w:sz w:val="22"/>
          <w:szCs w:val="22"/>
          <w:lang w:val="es-MX"/>
        </w:rPr>
        <w:t>,</w:t>
      </w:r>
      <w:r w:rsidRPr="00C2271D">
        <w:rPr>
          <w:rFonts w:ascii="Book Antiqua" w:hAnsi="Book Antiqua"/>
          <w:bCs/>
          <w:iCs/>
          <w:sz w:val="22"/>
          <w:szCs w:val="22"/>
          <w:lang w:val="es-MX"/>
        </w:rPr>
        <w:t xml:space="preserve"> no se </w:t>
      </w:r>
      <w:r>
        <w:rPr>
          <w:rFonts w:ascii="Book Antiqua" w:hAnsi="Book Antiqua"/>
          <w:bCs/>
          <w:iCs/>
          <w:sz w:val="22"/>
          <w:szCs w:val="22"/>
          <w:lang w:val="es-MX"/>
        </w:rPr>
        <w:t>cuenta c</w:t>
      </w:r>
      <w:r w:rsidRPr="00C2271D">
        <w:rPr>
          <w:rFonts w:ascii="Book Antiqua" w:hAnsi="Book Antiqua"/>
          <w:bCs/>
          <w:iCs/>
          <w:sz w:val="22"/>
          <w:szCs w:val="22"/>
          <w:lang w:val="es-MX"/>
        </w:rPr>
        <w:t xml:space="preserve">on los datos </w:t>
      </w:r>
      <w:r>
        <w:rPr>
          <w:rFonts w:ascii="Book Antiqua" w:hAnsi="Book Antiqua"/>
          <w:bCs/>
          <w:iCs/>
          <w:sz w:val="22"/>
          <w:szCs w:val="22"/>
          <w:lang w:val="es-MX"/>
        </w:rPr>
        <w:t xml:space="preserve">a nivel de sistemas informáticos, de los </w:t>
      </w:r>
      <w:r w:rsidRPr="00C2271D">
        <w:rPr>
          <w:rFonts w:ascii="Book Antiqua" w:hAnsi="Book Antiqua"/>
          <w:bCs/>
          <w:iCs/>
          <w:sz w:val="22"/>
          <w:szCs w:val="22"/>
          <w:lang w:val="es-MX"/>
        </w:rPr>
        <w:t>procesos sucesorios</w:t>
      </w:r>
      <w:r>
        <w:rPr>
          <w:rFonts w:ascii="Book Antiqua" w:hAnsi="Book Antiqua"/>
          <w:bCs/>
          <w:iCs/>
          <w:sz w:val="22"/>
          <w:szCs w:val="22"/>
          <w:lang w:val="es-MX"/>
        </w:rPr>
        <w:t>,</w:t>
      </w:r>
      <w:r w:rsidRPr="00C2271D">
        <w:rPr>
          <w:rFonts w:ascii="Book Antiqua" w:hAnsi="Book Antiqua"/>
          <w:bCs/>
          <w:iCs/>
          <w:sz w:val="22"/>
          <w:szCs w:val="22"/>
          <w:lang w:val="es-MX"/>
        </w:rPr>
        <w:t xml:space="preserve"> cobratorios</w:t>
      </w:r>
      <w:r>
        <w:rPr>
          <w:rFonts w:ascii="Book Antiqua" w:hAnsi="Book Antiqua"/>
          <w:bCs/>
          <w:iCs/>
          <w:sz w:val="22"/>
          <w:szCs w:val="22"/>
          <w:lang w:val="es-MX"/>
        </w:rPr>
        <w:t>, contenciosos, entre otros,</w:t>
      </w:r>
      <w:r w:rsidRPr="00C2271D">
        <w:rPr>
          <w:rFonts w:ascii="Book Antiqua" w:hAnsi="Book Antiqua"/>
          <w:bCs/>
          <w:iCs/>
          <w:sz w:val="22"/>
          <w:szCs w:val="22"/>
          <w:lang w:val="es-MX"/>
        </w:rPr>
        <w:t xml:space="preserve"> </w:t>
      </w:r>
      <w:r>
        <w:rPr>
          <w:rFonts w:ascii="Book Antiqua" w:hAnsi="Book Antiqua"/>
          <w:bCs/>
          <w:iCs/>
          <w:sz w:val="22"/>
          <w:szCs w:val="22"/>
          <w:lang w:val="es-MX"/>
        </w:rPr>
        <w:t xml:space="preserve">que formarán parte de los nuevos asuntos agrarios, </w:t>
      </w:r>
      <w:r w:rsidRPr="00C2271D">
        <w:rPr>
          <w:rFonts w:ascii="Book Antiqua" w:hAnsi="Book Antiqua"/>
          <w:bCs/>
          <w:iCs/>
          <w:sz w:val="22"/>
          <w:szCs w:val="22"/>
          <w:lang w:val="es-MX"/>
        </w:rPr>
        <w:t xml:space="preserve">en la actualidad no hay elementos </w:t>
      </w:r>
      <w:r>
        <w:rPr>
          <w:rFonts w:ascii="Book Antiqua" w:hAnsi="Book Antiqua"/>
          <w:bCs/>
          <w:iCs/>
          <w:sz w:val="22"/>
          <w:szCs w:val="22"/>
          <w:lang w:val="es-MX"/>
        </w:rPr>
        <w:t>sistemáticos</w:t>
      </w:r>
      <w:r w:rsidRPr="00C2271D">
        <w:rPr>
          <w:rFonts w:ascii="Book Antiqua" w:hAnsi="Book Antiqua"/>
          <w:bCs/>
          <w:iCs/>
          <w:sz w:val="22"/>
          <w:szCs w:val="22"/>
          <w:lang w:val="es-MX"/>
        </w:rPr>
        <w:t xml:space="preserve"> para determinar una cantidad específica</w:t>
      </w:r>
      <w:r>
        <w:rPr>
          <w:rFonts w:ascii="Book Antiqua" w:hAnsi="Book Antiqua"/>
          <w:bCs/>
          <w:iCs/>
          <w:sz w:val="22"/>
          <w:szCs w:val="22"/>
          <w:lang w:val="es-MX"/>
        </w:rPr>
        <w:t>,</w:t>
      </w:r>
      <w:r w:rsidRPr="00C2271D">
        <w:rPr>
          <w:rFonts w:ascii="Book Antiqua" w:hAnsi="Book Antiqua"/>
          <w:bCs/>
          <w:iCs/>
          <w:sz w:val="22"/>
          <w:szCs w:val="22"/>
          <w:lang w:val="es-MX"/>
        </w:rPr>
        <w:t xml:space="preserve"> con ocasión del Código Procesal Agraria</w:t>
      </w:r>
      <w:r>
        <w:rPr>
          <w:rFonts w:ascii="Book Antiqua" w:hAnsi="Book Antiqua"/>
          <w:bCs/>
          <w:iCs/>
          <w:sz w:val="22"/>
          <w:szCs w:val="22"/>
          <w:lang w:val="es-MX"/>
        </w:rPr>
        <w:t xml:space="preserve">. Posterior a la entrada en vigencia del Código, se monitoreará el comportamiento de dicha entrada con el objetivo de una evaluación del comportamiento de la carga de trabajo por despacho. </w:t>
      </w:r>
    </w:p>
    <w:p w14:paraId="3FD5A6D8" w14:textId="77777777" w:rsidR="001341EC" w:rsidRDefault="001341EC" w:rsidP="001341EC">
      <w:pPr>
        <w:jc w:val="both"/>
        <w:rPr>
          <w:rFonts w:ascii="Book Antiqua" w:hAnsi="Book Antiqua"/>
          <w:sz w:val="22"/>
          <w:szCs w:val="22"/>
        </w:rPr>
      </w:pPr>
    </w:p>
    <w:p w14:paraId="026E73A8" w14:textId="77777777" w:rsidR="00D314B4" w:rsidRDefault="00D314B4" w:rsidP="001341EC">
      <w:pPr>
        <w:jc w:val="both"/>
        <w:rPr>
          <w:rFonts w:ascii="Book Antiqua" w:hAnsi="Book Antiqua"/>
          <w:sz w:val="22"/>
          <w:szCs w:val="22"/>
        </w:rPr>
      </w:pPr>
    </w:p>
    <w:p w14:paraId="62579692" w14:textId="77777777" w:rsidR="00D314B4" w:rsidRPr="00055D4B" w:rsidRDefault="00D314B4" w:rsidP="001341EC">
      <w:pPr>
        <w:jc w:val="both"/>
        <w:rPr>
          <w:rFonts w:ascii="Book Antiqua" w:hAnsi="Book Antiqua"/>
          <w:sz w:val="22"/>
          <w:szCs w:val="22"/>
        </w:rPr>
      </w:pPr>
    </w:p>
    <w:p w14:paraId="55385521" w14:textId="77777777" w:rsidR="001341EC" w:rsidRPr="00F53CB0" w:rsidRDefault="001341EC" w:rsidP="001341EC">
      <w:pPr>
        <w:jc w:val="both"/>
        <w:rPr>
          <w:rFonts w:ascii="Book Antiqua" w:hAnsi="Book Antiqua"/>
        </w:rPr>
      </w:pPr>
    </w:p>
    <w:p w14:paraId="6D26A7A8" w14:textId="77777777" w:rsidR="001341EC" w:rsidRPr="00165AA6" w:rsidRDefault="001341EC" w:rsidP="00165AA6">
      <w:pPr>
        <w:pStyle w:val="Ttulo2"/>
        <w:keepLines/>
        <w:numPr>
          <w:ilvl w:val="1"/>
          <w:numId w:val="42"/>
        </w:numPr>
        <w:spacing w:before="40" w:after="0"/>
        <w:rPr>
          <w:rFonts w:ascii="Book Antiqua" w:hAnsi="Book Antiqua"/>
          <w:i w:val="0"/>
          <w:sz w:val="22"/>
        </w:rPr>
      </w:pPr>
      <w:bookmarkStart w:id="13" w:name="_Hlk4491050"/>
      <w:r w:rsidRPr="00165AA6">
        <w:rPr>
          <w:rFonts w:ascii="Book Antiqua" w:hAnsi="Book Antiqua"/>
          <w:i w:val="0"/>
          <w:sz w:val="22"/>
        </w:rPr>
        <w:lastRenderedPageBreak/>
        <w:t>Valoración de las necesidades de vehículos</w:t>
      </w:r>
    </w:p>
    <w:p w14:paraId="7EFABB9C" w14:textId="77777777" w:rsidR="001341EC" w:rsidRPr="00055D4B" w:rsidRDefault="001341EC" w:rsidP="001341EC">
      <w:pPr>
        <w:rPr>
          <w:rFonts w:ascii="Book Antiqua" w:hAnsi="Book Antiqua"/>
          <w:b/>
          <w:bCs/>
          <w:color w:val="000000"/>
          <w:kern w:val="32"/>
          <w:sz w:val="22"/>
          <w:szCs w:val="22"/>
          <w:lang w:eastAsia="en-US"/>
        </w:rPr>
      </w:pPr>
    </w:p>
    <w:p w14:paraId="73FC38F1"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En la actualidad, las audiencias se realizan fuera del despacho, es por esa razón que las Juezas y los Jueces agrarios, requieren la disponibilidad de vehículos institucionales, siendo que este servicio lo brindan las Administraciones Regionales una o dos veces por semana, aspecto que limita la atención oportuna de las audiencias señaladas en agenda y que según se indica en el nuevo Código Procesal Agrario, será indispensable la oralidad en el sitio. </w:t>
      </w:r>
    </w:p>
    <w:p w14:paraId="2E217DB2" w14:textId="77777777" w:rsidR="001341EC" w:rsidRPr="00055D4B" w:rsidRDefault="001341EC" w:rsidP="001341EC">
      <w:pPr>
        <w:jc w:val="both"/>
        <w:rPr>
          <w:rFonts w:ascii="Book Antiqua" w:hAnsi="Book Antiqua"/>
          <w:sz w:val="22"/>
          <w:szCs w:val="22"/>
        </w:rPr>
      </w:pPr>
    </w:p>
    <w:p w14:paraId="55DFF127"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En los casos que la Administración Regional no cuente con disponibilidad de facilitar un vehículo, algunas Juezas o Jueces se desplazaban al sitio donde se efectuará la audiencia con alguna de las partes intervinientes en el proceso para poder realizar las audiencias o juicios.</w:t>
      </w:r>
    </w:p>
    <w:p w14:paraId="0B3336B2" w14:textId="77777777" w:rsidR="001341EC" w:rsidRPr="00055D4B" w:rsidRDefault="001341EC" w:rsidP="001341EC">
      <w:pPr>
        <w:jc w:val="both"/>
        <w:rPr>
          <w:rFonts w:ascii="Book Antiqua" w:hAnsi="Book Antiqua"/>
          <w:sz w:val="22"/>
          <w:szCs w:val="22"/>
        </w:rPr>
      </w:pPr>
    </w:p>
    <w:p w14:paraId="46C5EFC1"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La Auditoría Judicial mediante oficio 1284-2013-AUO-2014, realizó un estudio operativo del proceso Agrario, en el cual realiza una serie de recomendaciones a la Comisión de la Jurisdicción Agraria, en la que destaca la siguiente: “</w:t>
      </w:r>
      <w:r w:rsidRPr="00055D4B">
        <w:rPr>
          <w:rFonts w:ascii="Book Antiqua" w:hAnsi="Book Antiqua"/>
          <w:i/>
          <w:sz w:val="22"/>
          <w:szCs w:val="22"/>
        </w:rPr>
        <w:t>Analizar y establecer los lineamientos necesarios que permitan estandarizar y uniformar el procedimiento y/o la sana práctica, que deben aplicar los Juzgados Agrarios cuando requieran realizar audiencias in situ, específicamente lo relacionado al transporte; con el fin de brindar un servicio oportuno a la persona usuaria, así como de velar por la integridad física de los funcionarios (as) en sus labores.</w:t>
      </w:r>
      <w:r w:rsidRPr="00055D4B">
        <w:rPr>
          <w:rFonts w:ascii="Book Antiqua" w:hAnsi="Book Antiqua"/>
          <w:sz w:val="22"/>
          <w:szCs w:val="22"/>
        </w:rPr>
        <w:t xml:space="preserve">”. </w:t>
      </w:r>
    </w:p>
    <w:p w14:paraId="328B9595" w14:textId="77777777" w:rsidR="001341EC" w:rsidRPr="00055D4B" w:rsidRDefault="001341EC" w:rsidP="001341EC">
      <w:pPr>
        <w:jc w:val="both"/>
        <w:rPr>
          <w:rFonts w:ascii="Book Antiqua" w:hAnsi="Book Antiqua"/>
          <w:sz w:val="22"/>
          <w:szCs w:val="22"/>
        </w:rPr>
      </w:pPr>
    </w:p>
    <w:p w14:paraId="2FF64022"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Por tal motivo, la Comisión de la Jurisdicción Agraria elabora un plan de acción para corregir las recomendaciones sugeridas por la Auditoría Judicial, a continuación, se presentan las propuestas de solución por parte de la Comisión de la Jurisdicción Agraria: </w:t>
      </w:r>
    </w:p>
    <w:p w14:paraId="15072B60" w14:textId="77777777" w:rsidR="001341EC" w:rsidRPr="00055D4B" w:rsidRDefault="001341EC" w:rsidP="001341EC">
      <w:pPr>
        <w:jc w:val="both"/>
        <w:rPr>
          <w:rFonts w:ascii="Book Antiqua" w:hAnsi="Book Antiqua"/>
          <w:sz w:val="22"/>
          <w:szCs w:val="22"/>
        </w:rPr>
      </w:pPr>
    </w:p>
    <w:p w14:paraId="4F17BF3E" w14:textId="77777777" w:rsidR="001341EC" w:rsidRPr="00055D4B" w:rsidRDefault="001341EC" w:rsidP="001341EC">
      <w:pPr>
        <w:jc w:val="both"/>
        <w:rPr>
          <w:rFonts w:ascii="Book Antiqua" w:hAnsi="Book Antiqua"/>
          <w:i/>
          <w:sz w:val="22"/>
          <w:szCs w:val="22"/>
        </w:rPr>
      </w:pPr>
      <w:r w:rsidRPr="00165AA6">
        <w:rPr>
          <w:rFonts w:ascii="Book Antiqua" w:hAnsi="Book Antiqua"/>
          <w:i/>
          <w:sz w:val="22"/>
          <w:szCs w:val="22"/>
        </w:rPr>
        <w:t>“</w:t>
      </w:r>
      <w:r w:rsidRPr="00055D4B">
        <w:rPr>
          <w:rFonts w:ascii="Book Antiqua" w:hAnsi="Book Antiqua"/>
          <w:i/>
          <w:sz w:val="22"/>
          <w:szCs w:val="22"/>
        </w:rPr>
        <w:t>1. Con el objetivo de no comprometer la independencia, imparcialidad y objetividad de las personas juzgadoras agrarias y el personal de apoyo;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establecer la inconveniencia de que los jueces y juezas agrarias y el personal de apoyo se trasladen a audiencias fuera del despacho en medios de transporte particulares, propiedad de alguna de las personas usuarias que sean parte o interesadas en los procesos agrarios respectivos. Emitir una circular en tal sentido.</w:t>
      </w:r>
    </w:p>
    <w:p w14:paraId="5D107E4B" w14:textId="77777777" w:rsidR="001341EC" w:rsidRPr="00055D4B" w:rsidRDefault="001341EC" w:rsidP="001341EC">
      <w:pPr>
        <w:jc w:val="both"/>
        <w:rPr>
          <w:rFonts w:ascii="Book Antiqua" w:hAnsi="Book Antiqua"/>
          <w:i/>
          <w:sz w:val="22"/>
          <w:szCs w:val="22"/>
        </w:rPr>
      </w:pPr>
    </w:p>
    <w:p w14:paraId="5CC9FC1B" w14:textId="77777777" w:rsidR="001341EC" w:rsidRPr="00165AA6" w:rsidRDefault="009B3B20" w:rsidP="00165AA6">
      <w:pPr>
        <w:jc w:val="both"/>
        <w:rPr>
          <w:rFonts w:ascii="Book Antiqua" w:hAnsi="Book Antiqua"/>
          <w:i/>
          <w:sz w:val="22"/>
          <w:szCs w:val="22"/>
        </w:rPr>
      </w:pPr>
      <w:r>
        <w:rPr>
          <w:rFonts w:ascii="Book Antiqua" w:hAnsi="Book Antiqua"/>
          <w:i/>
          <w:sz w:val="22"/>
          <w:szCs w:val="22"/>
        </w:rPr>
        <w:t>2.</w:t>
      </w:r>
      <w:r w:rsidR="001341EC" w:rsidRPr="00165AA6">
        <w:rPr>
          <w:rFonts w:ascii="Book Antiqua" w:hAnsi="Book Antiqua"/>
          <w:i/>
          <w:sz w:val="22"/>
          <w:szCs w:val="22"/>
        </w:rPr>
        <w:t>Solicitar a la Dirección de Planificación hacer un estudio de reasignación idónea de recursos institucionales, para brindar una solución oportuna a la situación de escases que enfrenta la Jurisdicción Agraria y que incide en su productividad, enfatizando en el transporte para la realización de audiencias fuera de la sede de los Juzgados Agrarios y los requerimientos humanos y tecnológicos. Con ello, se le daría un uso óptimo a los recursos y un apoyo a la Jurisdicción en su imperiosa necesidad de atender las necesidades de las personas usuarias, sin pedir recurso nuevo o adicional.</w:t>
      </w:r>
    </w:p>
    <w:p w14:paraId="4BD9711F" w14:textId="77777777" w:rsidR="001341EC" w:rsidRPr="00165AA6" w:rsidRDefault="001341EC" w:rsidP="001341EC">
      <w:pPr>
        <w:jc w:val="both"/>
        <w:rPr>
          <w:rFonts w:ascii="Book Antiqua" w:hAnsi="Book Antiqua"/>
          <w:i/>
          <w:sz w:val="22"/>
          <w:szCs w:val="22"/>
        </w:rPr>
      </w:pPr>
    </w:p>
    <w:p w14:paraId="6FD59FE1" w14:textId="77777777" w:rsidR="001341EC" w:rsidRPr="00165AA6" w:rsidRDefault="009B3B20" w:rsidP="00165AA6">
      <w:pPr>
        <w:jc w:val="both"/>
        <w:rPr>
          <w:rFonts w:ascii="Book Antiqua" w:hAnsi="Book Antiqua"/>
          <w:i/>
          <w:sz w:val="22"/>
          <w:szCs w:val="22"/>
        </w:rPr>
      </w:pPr>
      <w:r>
        <w:rPr>
          <w:rFonts w:ascii="Book Antiqua" w:hAnsi="Book Antiqua"/>
          <w:i/>
          <w:sz w:val="22"/>
          <w:szCs w:val="22"/>
        </w:rPr>
        <w:t>3.</w:t>
      </w:r>
      <w:r w:rsidR="001341EC" w:rsidRPr="00165AA6">
        <w:rPr>
          <w:rFonts w:ascii="Book Antiqua" w:hAnsi="Book Antiqua"/>
          <w:i/>
          <w:sz w:val="22"/>
          <w:szCs w:val="22"/>
        </w:rPr>
        <w:t xml:space="preserve">Con fundamento en el artículo 9 del “Reglamento para el uso, control y mantenimiento de los vehículos del Poder Judicial” aprobado por Corte Plena en sesión Nº 39-09, celebrada el 9 de noviembre del año en curso, artículo XV, disponer la atención prioritaria por parte de las </w:t>
      </w:r>
      <w:r w:rsidR="001341EC" w:rsidRPr="00165AA6">
        <w:rPr>
          <w:rFonts w:ascii="Book Antiqua" w:hAnsi="Book Antiqua"/>
          <w:i/>
          <w:sz w:val="22"/>
          <w:szCs w:val="22"/>
        </w:rPr>
        <w:lastRenderedPageBreak/>
        <w:t>Administraciones Regionales en el uso de bienes de la categoría “Vehículos de uso jurisdiccional y administrativo general”, priorizar su uso a las Juzgados Agrarios en tanto éstos comuniquen con la suficiente anticipación la programación de audiencias fuera del despacho para que no afecte a administración óptima de los vehículos y sus conductores. Lo anterior, debido a que, a diferencia de los demás Juzgados y Tribunales que tienen las salas de audiencias disponibles, los Juzgados Agrarios realizan la mayoría de las audiencias en el lugar donde se localizan los inmuebles objeto del proceso, conforme al artículo 46 de la Ley de Jurisdicción Agraria.</w:t>
      </w:r>
    </w:p>
    <w:p w14:paraId="716370F9" w14:textId="77777777" w:rsidR="001341EC" w:rsidRPr="00165AA6" w:rsidRDefault="001341EC" w:rsidP="001341EC">
      <w:pPr>
        <w:jc w:val="both"/>
        <w:rPr>
          <w:rFonts w:ascii="Book Antiqua" w:hAnsi="Book Antiqua"/>
          <w:i/>
          <w:sz w:val="22"/>
          <w:szCs w:val="22"/>
        </w:rPr>
      </w:pPr>
    </w:p>
    <w:p w14:paraId="0EF1F293" w14:textId="77777777" w:rsidR="001341EC" w:rsidRPr="00165AA6" w:rsidRDefault="009B3B20" w:rsidP="00165AA6">
      <w:pPr>
        <w:jc w:val="both"/>
        <w:rPr>
          <w:rFonts w:ascii="Book Antiqua" w:hAnsi="Book Antiqua"/>
          <w:i/>
          <w:sz w:val="22"/>
          <w:szCs w:val="22"/>
        </w:rPr>
      </w:pPr>
      <w:r>
        <w:rPr>
          <w:rFonts w:ascii="Book Antiqua" w:hAnsi="Book Antiqua"/>
          <w:i/>
          <w:sz w:val="22"/>
          <w:szCs w:val="22"/>
        </w:rPr>
        <w:t>4.</w:t>
      </w:r>
      <w:r w:rsidR="001341EC" w:rsidRPr="00165AA6">
        <w:rPr>
          <w:rFonts w:ascii="Book Antiqua" w:hAnsi="Book Antiqua"/>
          <w:i/>
          <w:sz w:val="22"/>
          <w:szCs w:val="22"/>
        </w:rPr>
        <w:t>Establecer como urgentes o especiales las audiencias programadas por los Juzgados Agrarios a realizarse fuera del despacho con ocasión de medidas cautelares, dada su naturaleza, y de procesos en los que intervenga alguna persona en condición de vulnerabilidad. Lo anterior, en relación con lo dispuesto en el artículo 36 del “Reglamento para el uso, control y mantenimiento de los vehículos del Poder Judicial” y en ejecución de las políticas emitidas por Corte Plena en relación con las diferentes poblaciones en condición de vulnerabilidad, entre ellas, personas indígenas, adultas mayores, afrodescendientes, entre otras.</w:t>
      </w:r>
    </w:p>
    <w:p w14:paraId="72F3BD74" w14:textId="77777777" w:rsidR="001341EC" w:rsidRPr="00165AA6" w:rsidRDefault="001341EC" w:rsidP="001341EC">
      <w:pPr>
        <w:jc w:val="both"/>
        <w:rPr>
          <w:rFonts w:ascii="Book Antiqua" w:hAnsi="Book Antiqua"/>
          <w:i/>
          <w:sz w:val="22"/>
          <w:szCs w:val="22"/>
        </w:rPr>
      </w:pPr>
    </w:p>
    <w:p w14:paraId="0BB7F2FF" w14:textId="77777777" w:rsidR="001341EC" w:rsidRPr="00165AA6" w:rsidRDefault="009B3B20" w:rsidP="00165AA6">
      <w:pPr>
        <w:jc w:val="both"/>
        <w:rPr>
          <w:rFonts w:ascii="Book Antiqua" w:hAnsi="Book Antiqua"/>
          <w:i/>
          <w:sz w:val="22"/>
          <w:szCs w:val="22"/>
        </w:rPr>
      </w:pPr>
      <w:r>
        <w:rPr>
          <w:rFonts w:ascii="Book Antiqua" w:hAnsi="Book Antiqua"/>
          <w:i/>
          <w:sz w:val="22"/>
          <w:szCs w:val="22"/>
        </w:rPr>
        <w:t>5.</w:t>
      </w:r>
      <w:r w:rsidR="001341EC" w:rsidRPr="00165AA6">
        <w:rPr>
          <w:rFonts w:ascii="Book Antiqua" w:hAnsi="Book Antiqua"/>
          <w:i/>
          <w:sz w:val="22"/>
          <w:szCs w:val="22"/>
        </w:rPr>
        <w:t>Los Juzgados Agrarios y los Juzgados Mixtos que conocen de la materia agraria, la Fiscalía y la Defensa Pública de los circuitos judiciales donde los primeros tengan sede, establecerán un mecanismo de comunicación eficaz y eficiente mediante el cual los dos últimos comuniquen a los jueces y juezas agrarias la disponibilidad de los vehículos a su cargo. Lo anterior, con el objetivo de que, conforme al artículo 12 del “Reglamento para el uso, control y mantenimiento de los vehículos del Poder Judicial”, cuando los vehículos de la Fiscalía y de la Defensa Pública no se estén ocupando, presten servicio a los Juzgados Agrarios en forma prioritaria.</w:t>
      </w:r>
    </w:p>
    <w:p w14:paraId="2AF1CAD3" w14:textId="77777777" w:rsidR="001341EC" w:rsidRPr="00165AA6" w:rsidRDefault="001341EC" w:rsidP="001341EC">
      <w:pPr>
        <w:jc w:val="both"/>
        <w:rPr>
          <w:rFonts w:ascii="Book Antiqua" w:hAnsi="Book Antiqua"/>
          <w:i/>
          <w:sz w:val="22"/>
          <w:szCs w:val="22"/>
        </w:rPr>
      </w:pPr>
    </w:p>
    <w:p w14:paraId="18FEBE3F" w14:textId="77777777" w:rsidR="001341EC" w:rsidRPr="00165AA6" w:rsidRDefault="009B3B20" w:rsidP="00165AA6">
      <w:pPr>
        <w:jc w:val="both"/>
        <w:rPr>
          <w:rFonts w:ascii="Book Antiqua" w:hAnsi="Book Antiqua"/>
          <w:i/>
          <w:sz w:val="22"/>
          <w:szCs w:val="22"/>
        </w:rPr>
      </w:pPr>
      <w:r>
        <w:rPr>
          <w:rFonts w:ascii="Book Antiqua" w:hAnsi="Book Antiqua"/>
          <w:i/>
          <w:sz w:val="22"/>
          <w:szCs w:val="22"/>
        </w:rPr>
        <w:t>6.</w:t>
      </w:r>
      <w:r w:rsidR="001341EC" w:rsidRPr="00165AA6">
        <w:rPr>
          <w:rFonts w:ascii="Book Antiqua" w:hAnsi="Book Antiqua"/>
          <w:i/>
          <w:sz w:val="22"/>
          <w:szCs w:val="22"/>
        </w:rPr>
        <w:t>Reiterar a los Juzgados Agrarios y a los Juzgados Mixtos que conocen de la materia agraria, el contenido de las Circulares de la Dirección Ejecutiva 37-2017, 34-2011, 38-2011, 139-2011 y 81-2014, referidas a la posibilidad de utilizar sus vehículos personales en las audiencias que se programen fuera del despacho, siempre que cumplan con los lineamientos indicados; así como la resolución emitida por la Contraloría General de la República N° R-DC-194-2010 de las quince horas del diecinueve de noviembre de dos mil diez. Los Juzgados Agrarios realizarán las audiencias de prueba en el lugar donde se ubique el inmueble en conflicto, salvo que los procesos sean de puro derecho, para lo cual las Administraciones Regionales le suministrarán los vehículos oficiales a su cargo, tanto para el traslado de ida como para el regreso</w:t>
      </w:r>
    </w:p>
    <w:p w14:paraId="7FD53633" w14:textId="77777777" w:rsidR="001341EC" w:rsidRPr="00165AA6" w:rsidRDefault="001341EC" w:rsidP="001341EC">
      <w:pPr>
        <w:jc w:val="both"/>
        <w:rPr>
          <w:rFonts w:ascii="Book Antiqua" w:hAnsi="Book Antiqua"/>
          <w:i/>
          <w:sz w:val="22"/>
          <w:szCs w:val="22"/>
        </w:rPr>
      </w:pPr>
    </w:p>
    <w:p w14:paraId="318D2F06" w14:textId="77777777" w:rsidR="001341EC" w:rsidRPr="00165AA6" w:rsidRDefault="009B3B20" w:rsidP="00165AA6">
      <w:pPr>
        <w:jc w:val="both"/>
        <w:rPr>
          <w:rFonts w:ascii="Book Antiqua" w:hAnsi="Book Antiqua"/>
          <w:i/>
          <w:sz w:val="22"/>
          <w:szCs w:val="22"/>
        </w:rPr>
      </w:pPr>
      <w:r>
        <w:rPr>
          <w:rFonts w:ascii="Book Antiqua" w:hAnsi="Book Antiqua"/>
          <w:i/>
          <w:sz w:val="22"/>
          <w:szCs w:val="22"/>
        </w:rPr>
        <w:t>7.</w:t>
      </w:r>
      <w:r w:rsidR="001341EC" w:rsidRPr="00165AA6">
        <w:rPr>
          <w:rFonts w:ascii="Book Antiqua" w:hAnsi="Book Antiqua"/>
          <w:i/>
          <w:sz w:val="22"/>
          <w:szCs w:val="22"/>
        </w:rPr>
        <w:t xml:space="preserve">Reiterar la Circular N° 173-2013 emitida por el Consejo Superior a solicitud de la Comisión de la Jurisdicción Agraria, denominada “Utilizar el mismo vehículo para trasladarse a realizar las audiencias de prueba en el lugar del conflicto”, dirigida a las personas juzgadoras y defensoras públicas agrarias, en la que se indicó: “El Consejo Superior en sesión N° 88-13, celebrada el 11 de setiembre de 2013, artículo LXXXII, a solicitud de la Comisión de la Jurisdicción Agraria, acordó comunicarles que cuando se trasladen a realizar las audiencias de prueba en el lugar del conflicto, se debe coordinar y realizar las gestiones ante la administración o unidad de transportes correspondiente, para que puedan trasladarse en el mismo vehículo y así maximizar el uso de los recursos materiales de la institución. En tal supuesto y con el ánimo de una mayor transparencia en la gestión, las juezas o los jueces a cargo de la audiencia han de informar a las partes involucradas la razón por la cual utilizan el mismo transporte, además de los lineamientos institucionales que lo permiten.” </w:t>
      </w:r>
    </w:p>
    <w:p w14:paraId="1051D39F" w14:textId="77777777" w:rsidR="001341EC" w:rsidRPr="00165AA6" w:rsidRDefault="001341EC" w:rsidP="001341EC">
      <w:pPr>
        <w:jc w:val="both"/>
        <w:rPr>
          <w:rFonts w:ascii="Book Antiqua" w:hAnsi="Book Antiqua"/>
          <w:i/>
          <w:sz w:val="22"/>
          <w:szCs w:val="22"/>
        </w:rPr>
      </w:pPr>
    </w:p>
    <w:p w14:paraId="2E303774" w14:textId="77777777" w:rsidR="001341EC" w:rsidRPr="00165AA6" w:rsidRDefault="009B3B20" w:rsidP="00165AA6">
      <w:pPr>
        <w:jc w:val="both"/>
        <w:rPr>
          <w:rFonts w:ascii="Book Antiqua" w:hAnsi="Book Antiqua"/>
          <w:i/>
          <w:sz w:val="22"/>
          <w:szCs w:val="22"/>
        </w:rPr>
      </w:pPr>
      <w:r>
        <w:rPr>
          <w:rFonts w:ascii="Book Antiqua" w:hAnsi="Book Antiqua"/>
          <w:i/>
          <w:sz w:val="22"/>
          <w:szCs w:val="22"/>
        </w:rPr>
        <w:lastRenderedPageBreak/>
        <w:t>8.</w:t>
      </w:r>
      <w:r w:rsidR="001341EC" w:rsidRPr="00165AA6">
        <w:rPr>
          <w:rFonts w:ascii="Book Antiqua" w:hAnsi="Book Antiqua"/>
          <w:i/>
          <w:sz w:val="22"/>
          <w:szCs w:val="22"/>
        </w:rPr>
        <w:t>Solicitar a la Dirección Ejecutiva emita lineamientos a las Administraciones Regionales con el objetivo de que estandaricen la asignación de vehículos a los Juzgados Agrarios conforme a la disponibilidad de automotores y requerimientos de esos despachos.</w:t>
      </w:r>
    </w:p>
    <w:p w14:paraId="0ACC3BEE" w14:textId="77777777" w:rsidR="001341EC" w:rsidRPr="00055D4B" w:rsidRDefault="001341EC" w:rsidP="001341EC">
      <w:pPr>
        <w:jc w:val="both"/>
        <w:rPr>
          <w:rFonts w:ascii="Book Antiqua" w:hAnsi="Book Antiqua"/>
          <w:i/>
          <w:sz w:val="22"/>
          <w:szCs w:val="22"/>
        </w:rPr>
      </w:pPr>
    </w:p>
    <w:p w14:paraId="5823C452" w14:textId="77777777" w:rsidR="001341EC" w:rsidRPr="00055D4B" w:rsidRDefault="001341EC" w:rsidP="001341EC">
      <w:pPr>
        <w:jc w:val="both"/>
        <w:rPr>
          <w:rFonts w:ascii="Book Antiqua" w:hAnsi="Book Antiqua"/>
          <w:i/>
          <w:sz w:val="22"/>
          <w:szCs w:val="22"/>
        </w:rPr>
      </w:pPr>
      <w:r w:rsidRPr="00055D4B">
        <w:rPr>
          <w:rFonts w:ascii="Book Antiqua" w:hAnsi="Book Antiqua"/>
          <w:i/>
          <w:sz w:val="22"/>
          <w:szCs w:val="22"/>
        </w:rPr>
        <w:t>9. Reiterar a los Juzgados Agrarios y a los Juzgados Mixtos que conocen de la materia agraria, la circular emitida por el Consejo Superior conforme a la cual, en los supuestos en los que las Administraciones Regionales, la Defensa Pública y la Fiscalía no cuenten con vehículos oficiales disponibles con conductor, están autorizados a conducir los vehículos oficiales.</w:t>
      </w:r>
    </w:p>
    <w:p w14:paraId="6F2F53BB" w14:textId="77777777" w:rsidR="001341EC" w:rsidRPr="00055D4B" w:rsidRDefault="001341EC" w:rsidP="001341EC">
      <w:pPr>
        <w:jc w:val="both"/>
        <w:rPr>
          <w:rFonts w:ascii="Book Antiqua" w:hAnsi="Book Antiqua"/>
          <w:i/>
          <w:sz w:val="22"/>
          <w:szCs w:val="22"/>
        </w:rPr>
      </w:pPr>
    </w:p>
    <w:p w14:paraId="05AC13E4" w14:textId="77777777" w:rsidR="001341EC" w:rsidRPr="00055D4B" w:rsidRDefault="001341EC" w:rsidP="001341EC">
      <w:pPr>
        <w:jc w:val="both"/>
        <w:rPr>
          <w:rFonts w:ascii="Book Antiqua" w:hAnsi="Book Antiqua"/>
          <w:i/>
          <w:sz w:val="22"/>
          <w:szCs w:val="22"/>
        </w:rPr>
      </w:pPr>
      <w:r w:rsidRPr="00055D4B">
        <w:rPr>
          <w:rFonts w:ascii="Book Antiqua" w:hAnsi="Book Antiqua"/>
          <w:i/>
          <w:sz w:val="22"/>
          <w:szCs w:val="22"/>
        </w:rPr>
        <w:t>10. Con el objetivo de garantizar la independencia, imparcialidad y objetividad de las personas juzgadoras agrarias,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instar a la Dirección Ejecutiva y a las Administraciones Regionales a su cargo, para que tomen las previsiones a fin de sufragar el costo del alquiler de medios de transporte alternos a los vehículos cuando éstos no sean suficientes, tales como lanchas, caballos u otros medios de traslado de los jueces y juezas agrarias, con el objetivo de que no sean las partes involucradas en los procesos o personas interesadas en éstos, quienes asuman tales costos y garantizar la realización oportuna de la audiencia programada.</w:t>
      </w:r>
    </w:p>
    <w:p w14:paraId="3583B51F" w14:textId="77777777" w:rsidR="001341EC" w:rsidRPr="00055D4B" w:rsidRDefault="001341EC" w:rsidP="001341EC">
      <w:pPr>
        <w:jc w:val="both"/>
        <w:rPr>
          <w:rFonts w:ascii="Book Antiqua" w:hAnsi="Book Antiqua"/>
          <w:i/>
          <w:sz w:val="22"/>
          <w:szCs w:val="22"/>
        </w:rPr>
      </w:pPr>
    </w:p>
    <w:p w14:paraId="18C82EF2" w14:textId="77777777" w:rsidR="001341EC" w:rsidRPr="00055D4B" w:rsidRDefault="001341EC" w:rsidP="001341EC">
      <w:pPr>
        <w:jc w:val="both"/>
        <w:rPr>
          <w:rFonts w:ascii="Book Antiqua" w:hAnsi="Book Antiqua"/>
          <w:i/>
          <w:sz w:val="22"/>
          <w:szCs w:val="22"/>
        </w:rPr>
      </w:pPr>
      <w:r w:rsidRPr="00055D4B">
        <w:rPr>
          <w:rFonts w:ascii="Book Antiqua" w:hAnsi="Book Antiqua"/>
          <w:i/>
          <w:sz w:val="22"/>
          <w:szCs w:val="22"/>
        </w:rPr>
        <w:t xml:space="preserve">11. Con el objetivo de no debilitar el sistema de control y garantizar que las audiencias de prueba programadas en los procesos agrarios se materialicen de manera oportuna, y maximizar el aprovechamiento de los recursos, instar a la Dirección Ejecutiva por medio de las Administraciones Regionales, para que garanticen que las personas juzgadoras agrarias cuenten con equipo tecnológico portátil (computadoras, </w:t>
      </w:r>
      <w:proofErr w:type="spellStart"/>
      <w:r w:rsidRPr="00055D4B">
        <w:rPr>
          <w:rFonts w:ascii="Book Antiqua" w:hAnsi="Book Antiqua"/>
          <w:i/>
          <w:sz w:val="22"/>
          <w:szCs w:val="22"/>
        </w:rPr>
        <w:t>pad</w:t>
      </w:r>
      <w:proofErr w:type="spellEnd"/>
      <w:r w:rsidRPr="00055D4B">
        <w:rPr>
          <w:rFonts w:ascii="Book Antiqua" w:hAnsi="Book Antiqua"/>
          <w:i/>
          <w:sz w:val="22"/>
          <w:szCs w:val="22"/>
        </w:rPr>
        <w:t xml:space="preserve"> de firmas, grabadoras compatibles con los sistemas institucionales, GPS, entre otros) en buenas condiciones de mantenimiento, a fin de cada juez o jueza, incluyendo los Juzgados Agrarios que cuentan con dos personas juzgadoras, puedan hacer las programaciones de audiencias respectivas sin que ello incida en la dilación de los procesos agrarios. Tales equipos deben contar con los mecanismos de protección idóneos a fin de disminuir riesgos de posibles daños materiales con ocasión de los sitios donde deben trasladarse los jueces y las juezas agrarias; así como las condiciones necesarias para velar por la integridad física de las personas juzgadoras y el personal de apoyo que le acompañe a tales audiencias. Se facilitará, además, equipo móvil adecuado que permita instalar una oficina portátil idónea para la realización de la audiencia, a saber, sillas, mesas plegables, tienda de campaña, entre otros; así como implementos indispensables como botas de hule, botas culebreras, capas livianas, entre otros.</w:t>
      </w:r>
    </w:p>
    <w:p w14:paraId="52BDB4BB" w14:textId="77777777" w:rsidR="001341EC" w:rsidRPr="00055D4B" w:rsidRDefault="001341EC" w:rsidP="001341EC">
      <w:pPr>
        <w:jc w:val="both"/>
        <w:rPr>
          <w:rFonts w:ascii="Book Antiqua" w:hAnsi="Book Antiqua"/>
          <w:i/>
          <w:sz w:val="22"/>
          <w:szCs w:val="22"/>
        </w:rPr>
      </w:pPr>
    </w:p>
    <w:p w14:paraId="52CB5A53" w14:textId="77777777" w:rsidR="001341EC" w:rsidRPr="00055D4B" w:rsidRDefault="001341EC" w:rsidP="001341EC">
      <w:pPr>
        <w:jc w:val="both"/>
        <w:rPr>
          <w:rFonts w:ascii="Book Antiqua" w:hAnsi="Book Antiqua"/>
          <w:i/>
          <w:sz w:val="22"/>
          <w:szCs w:val="22"/>
        </w:rPr>
      </w:pPr>
      <w:r w:rsidRPr="00055D4B">
        <w:rPr>
          <w:rFonts w:ascii="Book Antiqua" w:hAnsi="Book Antiqua"/>
          <w:i/>
          <w:sz w:val="22"/>
          <w:szCs w:val="22"/>
        </w:rPr>
        <w:t xml:space="preserve">12. Autorizar a las Administraciones Regionales donde tienen sede los Juzgados Agrarios, a contratar vehículos oficiales de taxi pagados por el Poder Judicial, en caso de que del todo no exista disponibilidad de vehículos oficiales para trasladar a los jueces y juezas agrarias a las audiencias realizadas fuera del despacho. Los vehículos deben ser doble tracción, según los requerimientos del lugar donde deban trasladarse, y contar siempre con todos los seguros incluidos y actualizados. Lo anterior debido a que lo dispuesto en el artículo 10 de la Ley Orgánica del Poder Judicial es contrario al principio de gratuidad que impera en el proceso agrario y se encuentra regulado entre otros, en los numerales 26 a 29 de la Ley de Jurisdicción Agraria –que es ley especial- manteniéndose en el proyecto de Código Procesal Agrario; así como de las políticas institucionales relacionadas con las personas en condición de vulnerabilidad que según un estudio elaborado por la Administración Regional del II Circuito Judicial de San José, puesto en conocimiento del Consejo Superior, constituyen un alto porcentaje de las personas </w:t>
      </w:r>
      <w:r w:rsidRPr="00055D4B">
        <w:rPr>
          <w:rFonts w:ascii="Book Antiqua" w:hAnsi="Book Antiqua"/>
          <w:i/>
          <w:sz w:val="22"/>
          <w:szCs w:val="22"/>
        </w:rPr>
        <w:lastRenderedPageBreak/>
        <w:t>usuarias agrarias. Aunado a ello, la Procuraduría General de la República, en el dictamen C-94-2010 del 5 de mayo de 2010, señala que uno de los principios desarrollados respecto del Derecho Fundamental a la Tutela Judicial Efectiva es el de la gratuidad de la justicia.</w:t>
      </w:r>
    </w:p>
    <w:p w14:paraId="5E550DAC" w14:textId="77777777" w:rsidR="001341EC" w:rsidRPr="00055D4B" w:rsidRDefault="001341EC" w:rsidP="001341EC">
      <w:pPr>
        <w:jc w:val="both"/>
        <w:rPr>
          <w:rFonts w:ascii="Book Antiqua" w:hAnsi="Book Antiqua"/>
          <w:i/>
          <w:sz w:val="22"/>
          <w:szCs w:val="22"/>
        </w:rPr>
      </w:pPr>
    </w:p>
    <w:p w14:paraId="7FFA726C" w14:textId="77777777" w:rsidR="001341EC" w:rsidRPr="00055D4B" w:rsidRDefault="001341EC" w:rsidP="001341EC">
      <w:pPr>
        <w:jc w:val="both"/>
        <w:rPr>
          <w:rFonts w:ascii="Book Antiqua" w:hAnsi="Book Antiqua"/>
          <w:i/>
          <w:sz w:val="22"/>
          <w:szCs w:val="22"/>
        </w:rPr>
      </w:pPr>
      <w:r w:rsidRPr="00055D4B">
        <w:rPr>
          <w:rFonts w:ascii="Book Antiqua" w:hAnsi="Book Antiqua"/>
          <w:i/>
          <w:sz w:val="22"/>
          <w:szCs w:val="22"/>
        </w:rPr>
        <w:t>13. Solicitar a la Dirección de Planificación realizar un estudio del impacto que tiene la eventual asignación insuficiente de vehículos a los Juzgados Agrarios para la realización de audiencias fuera del despacho, en la producción y el servicio que se ofrece a las personas usuarias.</w:t>
      </w:r>
    </w:p>
    <w:p w14:paraId="46048B80" w14:textId="77777777" w:rsidR="001341EC" w:rsidRPr="00055D4B" w:rsidRDefault="001341EC" w:rsidP="001341EC">
      <w:pPr>
        <w:jc w:val="both"/>
        <w:rPr>
          <w:rFonts w:ascii="Book Antiqua" w:hAnsi="Book Antiqua"/>
          <w:i/>
          <w:sz w:val="22"/>
          <w:szCs w:val="22"/>
        </w:rPr>
      </w:pPr>
    </w:p>
    <w:p w14:paraId="3768877D" w14:textId="77777777" w:rsidR="001341EC" w:rsidRPr="00055D4B" w:rsidRDefault="001341EC" w:rsidP="001341EC">
      <w:pPr>
        <w:jc w:val="both"/>
        <w:rPr>
          <w:rFonts w:ascii="Book Antiqua" w:hAnsi="Book Antiqua"/>
          <w:i/>
          <w:sz w:val="22"/>
          <w:szCs w:val="22"/>
        </w:rPr>
      </w:pPr>
      <w:r w:rsidRPr="00055D4B">
        <w:rPr>
          <w:rFonts w:ascii="Book Antiqua" w:hAnsi="Book Antiqua"/>
          <w:i/>
          <w:sz w:val="22"/>
          <w:szCs w:val="22"/>
        </w:rPr>
        <w:t>14. Pedir al Consejo Superior solicite a la Comisión de Seguridad valore la situación de riesgo de las personas juzgadoras agrarias y el personal de apoyo que debe trasladarse a audiencias de prueba fuera de los despachos y disponga el otorgamiento del incentivo correspondiente al riesgo; y considerar como antecedente de ello, el acuerdo del Consejo Superior tomado en sesión 63-2009 de 18 de junio de 2009, Artículo LXIX, en el que se dispuso incluir a los jueces y a las juezas agrarias en el Protocolo para trasladar en condiciones de seguridad a representantes de la Judicatura, Ministerio Público y Defensa Pública en el ejercicio de sus labores” que corresponde a la Circular 56-2009, así como la gestión formulada por la Comisión de la Jurisdicción Agraria a la Comisión de Seguridad el 31 de octubre 2012, exponiendo las situaciones de riesgo a las que se enfrentan con el afán de atender los distintos riesgos propios en esta disciplina, no comunes a otras jurisdicciones y la necesidad de reconocimiento.”</w:t>
      </w:r>
    </w:p>
    <w:p w14:paraId="4022A605" w14:textId="77777777" w:rsidR="001341EC" w:rsidRPr="00055D4B" w:rsidRDefault="001341EC" w:rsidP="001341EC">
      <w:pPr>
        <w:jc w:val="both"/>
        <w:rPr>
          <w:rFonts w:ascii="Book Antiqua" w:hAnsi="Book Antiqua"/>
          <w:sz w:val="22"/>
          <w:szCs w:val="22"/>
        </w:rPr>
      </w:pPr>
    </w:p>
    <w:p w14:paraId="0C47DEF8"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Producto de esas sugerencias por parte de la Comisión de la Jurisdicción Agraria, la Dirección Ejecutiva indica: </w:t>
      </w:r>
    </w:p>
    <w:p w14:paraId="3C4178B5" w14:textId="77777777" w:rsidR="001341EC" w:rsidRPr="00055D4B" w:rsidRDefault="001341EC" w:rsidP="001341EC">
      <w:pPr>
        <w:jc w:val="both"/>
        <w:rPr>
          <w:rFonts w:ascii="Book Antiqua" w:hAnsi="Book Antiqua"/>
          <w:sz w:val="22"/>
          <w:szCs w:val="22"/>
        </w:rPr>
      </w:pPr>
    </w:p>
    <w:p w14:paraId="36C07C77" w14:textId="77777777" w:rsidR="001341EC" w:rsidRPr="00055D4B" w:rsidRDefault="001341EC" w:rsidP="001341EC">
      <w:pPr>
        <w:jc w:val="both"/>
        <w:rPr>
          <w:rFonts w:ascii="Book Antiqua" w:hAnsi="Book Antiqua"/>
          <w:i/>
          <w:sz w:val="22"/>
          <w:szCs w:val="22"/>
        </w:rPr>
      </w:pPr>
      <w:r w:rsidRPr="00055D4B">
        <w:rPr>
          <w:rFonts w:ascii="Book Antiqua" w:hAnsi="Book Antiqua"/>
          <w:sz w:val="22"/>
          <w:szCs w:val="22"/>
        </w:rPr>
        <w:t>“</w:t>
      </w:r>
      <w:r w:rsidRPr="00055D4B">
        <w:rPr>
          <w:rFonts w:ascii="Book Antiqua" w:hAnsi="Book Antiqua"/>
          <w:i/>
          <w:sz w:val="22"/>
          <w:szCs w:val="22"/>
        </w:rPr>
        <w:t xml:space="preserve">respecto al Plan de Acción que propone la Comisión de la Jurisdicción Agraria, esta Dirección Ejecutiva ya se pronunció ante el Consejo Superior, en el sentido de que no es posible, con las condiciones y recursos actuales, atender las necesidades que ahí se señalan, con la exclusividad y especialidad que se nos requiere, principalmente en lo que a transporte se refiere; de ahí que nuestra posición fue variar una serie de requerimientos planteados por dicha Comisión para seguir prestando los servicios como hasta ahora se ha hecho, debido a las limitaciones de choferes y vehículos de la Administración.  </w:t>
      </w:r>
    </w:p>
    <w:p w14:paraId="1173AA5D" w14:textId="77777777" w:rsidR="001341EC" w:rsidRPr="00055D4B" w:rsidRDefault="001341EC" w:rsidP="001341EC">
      <w:pPr>
        <w:jc w:val="both"/>
        <w:rPr>
          <w:rFonts w:ascii="Book Antiqua" w:hAnsi="Book Antiqua"/>
          <w:i/>
          <w:sz w:val="22"/>
          <w:szCs w:val="22"/>
        </w:rPr>
      </w:pPr>
    </w:p>
    <w:p w14:paraId="1D5B700E" w14:textId="77777777" w:rsidR="001341EC" w:rsidRPr="00055D4B" w:rsidRDefault="001341EC" w:rsidP="001341EC">
      <w:pPr>
        <w:jc w:val="both"/>
        <w:rPr>
          <w:rFonts w:ascii="Book Antiqua" w:hAnsi="Book Antiqua"/>
          <w:sz w:val="22"/>
          <w:szCs w:val="22"/>
        </w:rPr>
      </w:pPr>
      <w:r w:rsidRPr="00055D4B">
        <w:rPr>
          <w:rFonts w:ascii="Book Antiqua" w:hAnsi="Book Antiqua"/>
          <w:i/>
          <w:sz w:val="22"/>
          <w:szCs w:val="22"/>
        </w:rPr>
        <w:t xml:space="preserve">Ahora bien, si como lo expone la jueza Damaris Vargas Vásquez, en el documento denominado Informe Técnico de Costos de la Implementación del Proyecto de Código Procesal Agrario 15.887, la implementación del Nuevo Código Procesal Agrario no traerá como consecuencia la atención de las necesidades que se planteaban en el Plan de Acción y es posible seguir trabajando con las limitaciones que hoy en día se tienen en el uso de los recursos administrativos a saber: vehículos, equipos portátiles, GPS, </w:t>
      </w:r>
      <w:proofErr w:type="spellStart"/>
      <w:r w:rsidRPr="00055D4B">
        <w:rPr>
          <w:rFonts w:ascii="Book Antiqua" w:hAnsi="Book Antiqua"/>
          <w:i/>
          <w:sz w:val="22"/>
          <w:szCs w:val="22"/>
        </w:rPr>
        <w:t>etc</w:t>
      </w:r>
      <w:proofErr w:type="spellEnd"/>
      <w:r w:rsidRPr="00055D4B">
        <w:rPr>
          <w:rFonts w:ascii="Book Antiqua" w:hAnsi="Book Antiqua"/>
          <w:i/>
          <w:sz w:val="22"/>
          <w:szCs w:val="22"/>
        </w:rPr>
        <w:t>; que son de uso compartido por las diferentes materias, no habría costos que reflejar en lo que a esta Dirección atañe. Por el contrario, si la nueva legislación impone una forma de trabajo similar a la expuesta en el Plan de Acción, como la misma Comisión Agraria lo solicitó en su momento al Consejo Superior, es necesaria la dotación de vehículos, choferes y equipos de manera exclusiva para esa jurisdicción, por lo que todos esos costos se deben incluir como parte de la implementación del nuevo Código”.</w:t>
      </w:r>
    </w:p>
    <w:p w14:paraId="57E67A63" w14:textId="77777777" w:rsidR="001341EC" w:rsidRPr="00055D4B" w:rsidRDefault="001341EC" w:rsidP="001341EC">
      <w:pPr>
        <w:rPr>
          <w:rFonts w:ascii="Book Antiqua" w:hAnsi="Book Antiqua"/>
          <w:sz w:val="22"/>
          <w:szCs w:val="22"/>
          <w:highlight w:val="yellow"/>
          <w:lang w:eastAsia="en-US"/>
        </w:rPr>
      </w:pPr>
    </w:p>
    <w:p w14:paraId="3FF215BC"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Con respecto a este tema, la Presidencia de la Corte Suprema de Justicia mediante oficio 0292-P-2018, relacionado con el informe emitido por la Dirección de Planificación respecto a los escenarios sobre la posible implementación del Código Procesal Agrario; enviado a la Señora Carolina Hidalgo Herrera, Presidenta de la Asamblea Legislativa el 19 de julio de 2018, indica lo siguiente:</w:t>
      </w:r>
    </w:p>
    <w:p w14:paraId="4538AB1B" w14:textId="77777777" w:rsidR="001341EC" w:rsidRPr="00055D4B" w:rsidRDefault="001341EC" w:rsidP="001341EC">
      <w:pPr>
        <w:jc w:val="both"/>
        <w:rPr>
          <w:rFonts w:ascii="Book Antiqua" w:hAnsi="Book Antiqua"/>
          <w:sz w:val="22"/>
          <w:szCs w:val="22"/>
        </w:rPr>
      </w:pPr>
    </w:p>
    <w:p w14:paraId="2A091489" w14:textId="77777777" w:rsidR="001341EC" w:rsidRPr="00055D4B" w:rsidRDefault="001341EC" w:rsidP="001341EC">
      <w:pPr>
        <w:jc w:val="both"/>
        <w:rPr>
          <w:rFonts w:ascii="Book Antiqua" w:hAnsi="Book Antiqua"/>
          <w:sz w:val="22"/>
          <w:szCs w:val="22"/>
        </w:rPr>
      </w:pPr>
      <w:r w:rsidRPr="00055D4B">
        <w:rPr>
          <w:rFonts w:ascii="Book Antiqua" w:hAnsi="Book Antiqua"/>
          <w:i/>
          <w:sz w:val="22"/>
          <w:szCs w:val="22"/>
        </w:rPr>
        <w:t>“…la propuesta hecha por la Comisión de la Jurisdicción Agraria al Consejo Superior para que se haga una redistribución de los vehículos oficiales del Poder Judicial conforme a los requerimientos de las diferentes oficinas.”</w:t>
      </w:r>
      <w:r w:rsidRPr="00055D4B">
        <w:rPr>
          <w:rFonts w:ascii="Book Antiqua" w:hAnsi="Book Antiqua"/>
          <w:sz w:val="22"/>
          <w:szCs w:val="22"/>
        </w:rPr>
        <w:t xml:space="preserve"> </w:t>
      </w:r>
      <w:r w:rsidRPr="00055D4B">
        <w:rPr>
          <w:rFonts w:ascii="Book Antiqua" w:hAnsi="Book Antiqua"/>
          <w:b/>
          <w:i/>
          <w:sz w:val="22"/>
          <w:szCs w:val="22"/>
        </w:rPr>
        <w:t>(ver anexo 4. Oficio n° 0292-P-2018 Presidencia de la Corte Suprema de Justicia)</w:t>
      </w:r>
    </w:p>
    <w:p w14:paraId="39658A8F" w14:textId="77777777" w:rsidR="001341EC" w:rsidRPr="00055D4B" w:rsidRDefault="001341EC" w:rsidP="001341EC">
      <w:pPr>
        <w:jc w:val="both"/>
        <w:rPr>
          <w:rFonts w:ascii="Book Antiqua" w:hAnsi="Book Antiqua"/>
          <w:sz w:val="22"/>
          <w:szCs w:val="22"/>
        </w:rPr>
      </w:pPr>
    </w:p>
    <w:p w14:paraId="07817209"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Es importante agregar que, aun subcontratando el servicio de transporte privado o público, para que realice el traslado de la persona juzgadora al sitio de la audiencia, se genera un gasto que se debe presupuestar; lo mismo ocurre si las personas juzgadoras realizan las giras en sus vehículos personales, para lo cual se debería presupuestar el costo por concepto de transporte por “pago de kilometraje”.</w:t>
      </w:r>
    </w:p>
    <w:p w14:paraId="0C006DD5" w14:textId="77777777" w:rsidR="001341EC" w:rsidRPr="00055D4B" w:rsidRDefault="001341EC" w:rsidP="001341EC">
      <w:pPr>
        <w:jc w:val="both"/>
        <w:rPr>
          <w:rFonts w:ascii="Book Antiqua" w:hAnsi="Book Antiqua"/>
          <w:sz w:val="22"/>
          <w:szCs w:val="22"/>
        </w:rPr>
      </w:pPr>
    </w:p>
    <w:p w14:paraId="07823E74"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 </w:t>
      </w:r>
    </w:p>
    <w:p w14:paraId="2AA292DA" w14:textId="77777777" w:rsidR="001341EC" w:rsidRPr="00F53CB0" w:rsidRDefault="001341EC" w:rsidP="001341EC">
      <w:pPr>
        <w:jc w:val="both"/>
        <w:rPr>
          <w:rFonts w:ascii="Book Antiqua" w:hAnsi="Book Antiqua"/>
        </w:rPr>
      </w:pPr>
    </w:p>
    <w:p w14:paraId="39E87D34" w14:textId="77777777" w:rsidR="001341EC" w:rsidRDefault="001341EC" w:rsidP="001341EC">
      <w:pPr>
        <w:jc w:val="both"/>
        <w:rPr>
          <w:rFonts w:ascii="Book Antiqua" w:hAnsi="Book Antiqua"/>
          <w:sz w:val="22"/>
          <w:szCs w:val="22"/>
        </w:rPr>
      </w:pPr>
      <w:bookmarkStart w:id="14" w:name="_Hlk7168871"/>
      <w:r w:rsidRPr="00055D4B">
        <w:rPr>
          <w:rFonts w:ascii="Book Antiqua" w:hAnsi="Book Antiqua"/>
          <w:sz w:val="22"/>
          <w:szCs w:val="22"/>
        </w:rPr>
        <w:t xml:space="preserve">Se propone reforzar con vehículos </w:t>
      </w:r>
      <w:bookmarkEnd w:id="14"/>
      <w:r w:rsidRPr="00055D4B">
        <w:rPr>
          <w:rFonts w:ascii="Book Antiqua" w:hAnsi="Book Antiqua"/>
          <w:sz w:val="22"/>
          <w:szCs w:val="22"/>
        </w:rPr>
        <w:t xml:space="preserve">y choferes a las siguientes Administraciones Regionales: San Ramón, Cartago, Goicoechea, Limón, Turrialba, Pérez Zeledón, Puntarenas y San Carlos. </w:t>
      </w:r>
    </w:p>
    <w:p w14:paraId="2717FCB9" w14:textId="77777777" w:rsidR="001341EC" w:rsidRDefault="001341EC" w:rsidP="001341EC">
      <w:pPr>
        <w:jc w:val="both"/>
        <w:rPr>
          <w:rFonts w:ascii="Book Antiqua" w:hAnsi="Book Antiqua"/>
          <w:sz w:val="22"/>
          <w:szCs w:val="22"/>
        </w:rPr>
      </w:pPr>
    </w:p>
    <w:p w14:paraId="5E470DF6" w14:textId="77777777" w:rsidR="001341EC" w:rsidRDefault="001341EC" w:rsidP="001341EC">
      <w:pPr>
        <w:jc w:val="both"/>
        <w:rPr>
          <w:rFonts w:ascii="Book Antiqua" w:hAnsi="Book Antiqua"/>
          <w:sz w:val="22"/>
          <w:szCs w:val="22"/>
        </w:rPr>
      </w:pPr>
      <w:r>
        <w:rPr>
          <w:rFonts w:ascii="Book Antiqua" w:hAnsi="Book Antiqua"/>
          <w:sz w:val="22"/>
          <w:szCs w:val="22"/>
        </w:rPr>
        <w:t>Sin embargo, en correo remitido a esta Dirección el pasado 29 de marzo, 2019, por la Dirección Ejecutiva, se indica lo siguiente (ver anexo 21):</w:t>
      </w:r>
    </w:p>
    <w:p w14:paraId="66EF7E84" w14:textId="77777777" w:rsidR="001341EC" w:rsidRDefault="001341EC" w:rsidP="001341EC">
      <w:pPr>
        <w:rPr>
          <w:rFonts w:ascii="Book Antiqua" w:hAnsi="Book Antiqua"/>
          <w:sz w:val="22"/>
          <w:szCs w:val="22"/>
        </w:rPr>
      </w:pPr>
    </w:p>
    <w:p w14:paraId="0CD57A3A" w14:textId="77777777" w:rsidR="001341EC" w:rsidRPr="00055D4B" w:rsidRDefault="001341EC" w:rsidP="001341EC">
      <w:pPr>
        <w:jc w:val="both"/>
        <w:rPr>
          <w:rFonts w:ascii="Book Antiqua" w:hAnsi="Book Antiqua"/>
          <w:i/>
          <w:sz w:val="22"/>
          <w:szCs w:val="22"/>
        </w:rPr>
      </w:pPr>
      <w:r w:rsidRPr="00055D4B">
        <w:rPr>
          <w:rFonts w:ascii="Book Antiqua" w:hAnsi="Book Antiqua"/>
          <w:i/>
          <w:sz w:val="22"/>
          <w:szCs w:val="22"/>
        </w:rPr>
        <w:t xml:space="preserve">En atención a lo conversado en cuanto al presupuesto de vehículos para la reforma Agraria para el año 2020, específicamente en el caso de Turrialba, Puntarenas y Limón; una vez consultadas las respectivas Administraciones y valorados los casos con doña Ana Eugenia Romero y doña Dinorah Álvarez, me permito indicarle lo siguiente: </w:t>
      </w:r>
    </w:p>
    <w:p w14:paraId="74BEC89A" w14:textId="77777777" w:rsidR="001341EC" w:rsidRPr="00055D4B" w:rsidRDefault="001341EC" w:rsidP="001341EC">
      <w:pPr>
        <w:jc w:val="both"/>
        <w:rPr>
          <w:rFonts w:ascii="Book Antiqua" w:hAnsi="Book Antiqua"/>
          <w:i/>
          <w:sz w:val="22"/>
          <w:szCs w:val="22"/>
        </w:rPr>
      </w:pPr>
    </w:p>
    <w:p w14:paraId="5622AB5D" w14:textId="77777777" w:rsidR="001341EC" w:rsidRPr="00055D4B" w:rsidRDefault="001341EC" w:rsidP="001341EC">
      <w:pPr>
        <w:jc w:val="both"/>
        <w:rPr>
          <w:rFonts w:ascii="Book Antiqua" w:hAnsi="Book Antiqua"/>
          <w:i/>
          <w:sz w:val="22"/>
          <w:szCs w:val="22"/>
        </w:rPr>
      </w:pPr>
      <w:r w:rsidRPr="00055D4B">
        <w:rPr>
          <w:rFonts w:ascii="Book Antiqua" w:hAnsi="Book Antiqua"/>
          <w:b/>
          <w:i/>
          <w:sz w:val="22"/>
          <w:szCs w:val="22"/>
        </w:rPr>
        <w:t>Turrialba:</w:t>
      </w:r>
      <w:r w:rsidRPr="00055D4B">
        <w:rPr>
          <w:rFonts w:ascii="Book Antiqua" w:hAnsi="Book Antiqua"/>
          <w:i/>
          <w:sz w:val="22"/>
          <w:szCs w:val="22"/>
        </w:rPr>
        <w:t xml:space="preserve"> dado que en el presupuesto ordinario 2020 se incluyó un vehículo para la Administración de esa localidad, se puede excluir del presupuesto 2020 el vehículo que se contempló en el plan para Agrario. No obstante, se deben mantener todos los demás rubros (combustible, mantenimiento, etc.), incluido el chofer.</w:t>
      </w:r>
    </w:p>
    <w:p w14:paraId="0B14EC86" w14:textId="77777777" w:rsidR="001341EC" w:rsidRPr="00055D4B" w:rsidRDefault="001341EC" w:rsidP="001341EC">
      <w:pPr>
        <w:jc w:val="both"/>
        <w:rPr>
          <w:rFonts w:ascii="Book Antiqua" w:hAnsi="Book Antiqua"/>
          <w:i/>
          <w:sz w:val="22"/>
          <w:szCs w:val="22"/>
        </w:rPr>
      </w:pPr>
    </w:p>
    <w:p w14:paraId="3CC28D13" w14:textId="77777777" w:rsidR="001341EC" w:rsidRPr="00055D4B" w:rsidRDefault="001341EC" w:rsidP="001341EC">
      <w:pPr>
        <w:jc w:val="both"/>
        <w:rPr>
          <w:rFonts w:ascii="Book Antiqua" w:hAnsi="Book Antiqua"/>
          <w:i/>
          <w:sz w:val="22"/>
          <w:szCs w:val="22"/>
        </w:rPr>
      </w:pPr>
      <w:r w:rsidRPr="00055D4B">
        <w:rPr>
          <w:rFonts w:ascii="Book Antiqua" w:hAnsi="Book Antiqua"/>
          <w:b/>
          <w:i/>
          <w:sz w:val="22"/>
          <w:szCs w:val="22"/>
        </w:rPr>
        <w:t>Puntarenas:</w:t>
      </w:r>
      <w:r w:rsidRPr="00055D4B">
        <w:rPr>
          <w:rFonts w:ascii="Book Antiqua" w:hAnsi="Book Antiqua"/>
          <w:i/>
          <w:sz w:val="22"/>
          <w:szCs w:val="22"/>
        </w:rPr>
        <w:t xml:space="preserve"> en el presupuesto 2020 ordinario se tiene contemplado un vehículo para esa Administración; sin embargo, dadas las necesidades de ese circuito judicial, se debe mantener también el vehículo contemplado para Agrario, así como todos los demás rubros incluidos en la estimación (chofer, combustible, mantenimiento, etc.).</w:t>
      </w:r>
    </w:p>
    <w:p w14:paraId="0EAAD4D1" w14:textId="77777777" w:rsidR="001341EC" w:rsidRPr="00055D4B" w:rsidRDefault="001341EC" w:rsidP="001341EC">
      <w:pPr>
        <w:jc w:val="both"/>
        <w:rPr>
          <w:rFonts w:ascii="Book Antiqua" w:hAnsi="Book Antiqua"/>
          <w:i/>
          <w:sz w:val="22"/>
          <w:szCs w:val="22"/>
        </w:rPr>
      </w:pPr>
    </w:p>
    <w:p w14:paraId="4AB31145" w14:textId="77777777" w:rsidR="001341EC" w:rsidRPr="00055D4B" w:rsidRDefault="001341EC" w:rsidP="001341EC">
      <w:pPr>
        <w:jc w:val="both"/>
        <w:rPr>
          <w:rFonts w:ascii="Book Antiqua" w:hAnsi="Book Antiqua"/>
          <w:i/>
          <w:sz w:val="22"/>
          <w:szCs w:val="22"/>
        </w:rPr>
      </w:pPr>
      <w:r w:rsidRPr="00055D4B">
        <w:rPr>
          <w:rFonts w:ascii="Book Antiqua" w:hAnsi="Book Antiqua"/>
          <w:b/>
          <w:i/>
          <w:sz w:val="22"/>
          <w:szCs w:val="22"/>
        </w:rPr>
        <w:t>Limón:</w:t>
      </w:r>
      <w:r w:rsidRPr="00055D4B">
        <w:rPr>
          <w:rFonts w:ascii="Book Antiqua" w:hAnsi="Book Antiqua"/>
          <w:i/>
          <w:sz w:val="22"/>
          <w:szCs w:val="22"/>
        </w:rPr>
        <w:t xml:space="preserve"> dado que en el presupuesto ordinario 2020 se incluyó un vehículo tipo microbús para la Administración de esa localidad, se puede excluir del presupuesto el vehículo tipo pick up que se contempló en el plan para Agrario, ya que al adquirirse la microbús la Administración podrá separar uno de sus vehículos actuales para atender a la materia Agraria. No obstante, se aclara </w:t>
      </w:r>
      <w:r w:rsidRPr="00055D4B">
        <w:rPr>
          <w:rFonts w:ascii="Book Antiqua" w:hAnsi="Book Antiqua"/>
          <w:i/>
          <w:sz w:val="22"/>
          <w:szCs w:val="22"/>
        </w:rPr>
        <w:lastRenderedPageBreak/>
        <w:t>que en este caso se deben mantener en el presupuesto para Agrario todos los demás rubros (combustible, mantenimiento, etc.), incluido el chofer</w:t>
      </w:r>
    </w:p>
    <w:p w14:paraId="52AA5883" w14:textId="77777777" w:rsidR="001341EC" w:rsidRPr="00055D4B" w:rsidRDefault="001341EC" w:rsidP="001341EC">
      <w:pPr>
        <w:jc w:val="both"/>
        <w:rPr>
          <w:rFonts w:ascii="Book Antiqua" w:hAnsi="Book Antiqua"/>
          <w:sz w:val="22"/>
          <w:szCs w:val="22"/>
        </w:rPr>
      </w:pPr>
    </w:p>
    <w:p w14:paraId="6C126843" w14:textId="77777777" w:rsidR="001341EC" w:rsidRDefault="001341EC" w:rsidP="001341EC">
      <w:pPr>
        <w:jc w:val="both"/>
        <w:rPr>
          <w:rFonts w:ascii="Book Antiqua" w:hAnsi="Book Antiqua"/>
          <w:sz w:val="22"/>
          <w:szCs w:val="22"/>
        </w:rPr>
      </w:pPr>
      <w:r>
        <w:rPr>
          <w:rFonts w:ascii="Book Antiqua" w:hAnsi="Book Antiqua"/>
          <w:sz w:val="22"/>
          <w:szCs w:val="22"/>
        </w:rPr>
        <w:t xml:space="preserve">Por lo anterior, se debe de reforzar con </w:t>
      </w:r>
      <w:r w:rsidRPr="00BE1DBC">
        <w:rPr>
          <w:rFonts w:ascii="Book Antiqua" w:hAnsi="Book Antiqua"/>
          <w:sz w:val="22"/>
          <w:szCs w:val="22"/>
        </w:rPr>
        <w:t>vehículos y choferes a las siguientes Administraciones Regionales: San Ramón, Cartago, Goicoechea, Pérez Zeledón, Puntarenas y San Carlos</w:t>
      </w:r>
      <w:r>
        <w:rPr>
          <w:rFonts w:ascii="Book Antiqua" w:hAnsi="Book Antiqua"/>
          <w:sz w:val="22"/>
          <w:szCs w:val="22"/>
        </w:rPr>
        <w:t>. En el caso de Turrialba y Limón no se requiere el vehículo, si los costos asociados a mantenimiento de un vehículo y su chofer.</w:t>
      </w:r>
    </w:p>
    <w:p w14:paraId="1936C7E8" w14:textId="77777777" w:rsidR="001341EC" w:rsidRPr="00055D4B" w:rsidRDefault="001341EC" w:rsidP="001341EC">
      <w:pPr>
        <w:jc w:val="both"/>
        <w:rPr>
          <w:rFonts w:ascii="Book Antiqua" w:hAnsi="Book Antiqua"/>
          <w:sz w:val="22"/>
          <w:szCs w:val="22"/>
        </w:rPr>
      </w:pPr>
    </w:p>
    <w:p w14:paraId="659FC29B"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Sin la dotación de estos vehículos no se tendría la capacidad operativa para brindar el servicio requerido por los Juzgados Agrarios, según la compilación de información respecto al servicio de transporte brindado a las funcionarias y los funcionarios que tramitan la materia Agraria en los circuitos judiciales. </w:t>
      </w:r>
    </w:p>
    <w:bookmarkEnd w:id="13"/>
    <w:p w14:paraId="3CF99E68" w14:textId="77777777" w:rsidR="001341EC" w:rsidRPr="00055D4B" w:rsidRDefault="001341EC" w:rsidP="001341EC">
      <w:pPr>
        <w:rPr>
          <w:rFonts w:ascii="Book Antiqua" w:hAnsi="Book Antiqua"/>
          <w:sz w:val="22"/>
          <w:szCs w:val="22"/>
          <w:lang w:eastAsia="en-US"/>
        </w:rPr>
      </w:pPr>
    </w:p>
    <w:p w14:paraId="4F3EDD6A" w14:textId="77777777" w:rsidR="001341EC" w:rsidRPr="00055D4B" w:rsidRDefault="001341EC" w:rsidP="001341EC">
      <w:pPr>
        <w:rPr>
          <w:rFonts w:ascii="Book Antiqua" w:hAnsi="Book Antiqua"/>
          <w:sz w:val="22"/>
          <w:szCs w:val="22"/>
          <w:lang w:eastAsia="en-US"/>
        </w:rPr>
      </w:pPr>
    </w:p>
    <w:p w14:paraId="39C0F8FC" w14:textId="77777777" w:rsidR="001341EC" w:rsidRPr="00165AA6" w:rsidRDefault="001341EC" w:rsidP="00165AA6">
      <w:pPr>
        <w:pStyle w:val="Ttulo2"/>
        <w:keepLines/>
        <w:numPr>
          <w:ilvl w:val="1"/>
          <w:numId w:val="42"/>
        </w:numPr>
        <w:spacing w:before="40" w:after="0"/>
        <w:rPr>
          <w:rFonts w:ascii="Book Antiqua" w:hAnsi="Book Antiqua"/>
          <w:i w:val="0"/>
          <w:sz w:val="22"/>
        </w:rPr>
      </w:pPr>
      <w:r w:rsidRPr="00165AA6">
        <w:rPr>
          <w:rFonts w:ascii="Book Antiqua" w:hAnsi="Book Antiqua"/>
          <w:i w:val="0"/>
          <w:sz w:val="22"/>
        </w:rPr>
        <w:t xml:space="preserve">Requerimiento de capacitación </w:t>
      </w:r>
    </w:p>
    <w:p w14:paraId="3B1CAE58" w14:textId="77777777" w:rsidR="001341EC" w:rsidRPr="00055D4B" w:rsidRDefault="001341EC" w:rsidP="001341EC">
      <w:pPr>
        <w:jc w:val="both"/>
        <w:rPr>
          <w:rFonts w:ascii="Book Antiqua" w:hAnsi="Book Antiqua"/>
          <w:sz w:val="22"/>
          <w:szCs w:val="22"/>
          <w:lang w:val="es-ES_tradnl"/>
        </w:rPr>
      </w:pPr>
      <w:bookmarkStart w:id="15" w:name="_Hlk2954939"/>
    </w:p>
    <w:p w14:paraId="565934CB" w14:textId="77777777" w:rsidR="001341EC" w:rsidRPr="00055D4B" w:rsidRDefault="001341EC" w:rsidP="001341EC">
      <w:pPr>
        <w:jc w:val="both"/>
        <w:rPr>
          <w:rFonts w:ascii="Book Antiqua" w:hAnsi="Book Antiqua"/>
          <w:sz w:val="22"/>
          <w:szCs w:val="22"/>
          <w:lang w:val="es-ES_tradnl"/>
        </w:rPr>
      </w:pPr>
      <w:r w:rsidRPr="00055D4B">
        <w:rPr>
          <w:rFonts w:ascii="Book Antiqua" w:hAnsi="Book Antiqua"/>
          <w:sz w:val="22"/>
          <w:szCs w:val="22"/>
          <w:lang w:val="es-ES_tradnl"/>
        </w:rPr>
        <w:t>A continuación, se detallan las acciones realizadas por el Poder Judicial para hacer frente a la posible implementación del Nuevo Código Procesal Agrario.</w:t>
      </w:r>
    </w:p>
    <w:p w14:paraId="374B2CE2" w14:textId="77777777" w:rsidR="001341EC" w:rsidRPr="00055D4B" w:rsidRDefault="001341EC" w:rsidP="001341EC">
      <w:pPr>
        <w:jc w:val="both"/>
        <w:rPr>
          <w:rFonts w:ascii="Book Antiqua" w:hAnsi="Book Antiqua"/>
          <w:sz w:val="22"/>
          <w:szCs w:val="22"/>
          <w:lang w:val="es-ES_tradnl"/>
        </w:rPr>
      </w:pPr>
    </w:p>
    <w:p w14:paraId="5A05AB79" w14:textId="77777777" w:rsidR="001341EC" w:rsidRPr="00165AA6" w:rsidRDefault="001341EC" w:rsidP="00165AA6">
      <w:pPr>
        <w:pStyle w:val="Ttulo3"/>
        <w:keepLines/>
        <w:numPr>
          <w:ilvl w:val="2"/>
          <w:numId w:val="42"/>
        </w:numPr>
        <w:spacing w:before="40" w:after="0"/>
        <w:jc w:val="both"/>
        <w:rPr>
          <w:rFonts w:ascii="Book Antiqua" w:hAnsi="Book Antiqua"/>
          <w:sz w:val="22"/>
          <w:szCs w:val="22"/>
        </w:rPr>
      </w:pPr>
      <w:r w:rsidRPr="000D3830">
        <w:rPr>
          <w:rFonts w:ascii="Book Antiqua" w:hAnsi="Book Antiqua"/>
          <w:sz w:val="22"/>
          <w:szCs w:val="22"/>
        </w:rPr>
        <w:t>Acciones propuestas</w:t>
      </w:r>
    </w:p>
    <w:p w14:paraId="269024D7" w14:textId="77777777" w:rsidR="001341EC" w:rsidRPr="00055D4B" w:rsidRDefault="001341EC" w:rsidP="001341EC">
      <w:pPr>
        <w:jc w:val="both"/>
        <w:rPr>
          <w:rFonts w:ascii="Book Antiqua" w:hAnsi="Book Antiqua"/>
          <w:sz w:val="22"/>
          <w:szCs w:val="22"/>
          <w:lang w:val="es-ES_tradnl"/>
        </w:rPr>
      </w:pPr>
    </w:p>
    <w:p w14:paraId="02E20475" w14:textId="77777777" w:rsidR="001341EC" w:rsidRPr="00055D4B" w:rsidRDefault="001341EC" w:rsidP="001341EC">
      <w:pPr>
        <w:jc w:val="both"/>
        <w:rPr>
          <w:rFonts w:ascii="Book Antiqua" w:hAnsi="Book Antiqua"/>
          <w:sz w:val="22"/>
          <w:szCs w:val="22"/>
          <w:lang w:val="es-ES_tradnl"/>
        </w:rPr>
      </w:pPr>
      <w:r>
        <w:rPr>
          <w:rFonts w:ascii="Book Antiqua" w:hAnsi="Book Antiqua"/>
          <w:sz w:val="22"/>
          <w:szCs w:val="22"/>
          <w:lang w:val="es-ES_tradnl"/>
        </w:rPr>
        <w:t>La Magistrada Carmen M</w:t>
      </w:r>
      <w:r w:rsidRPr="00055D4B">
        <w:rPr>
          <w:rFonts w:ascii="Book Antiqua" w:hAnsi="Book Antiqua"/>
          <w:sz w:val="22"/>
          <w:szCs w:val="22"/>
          <w:lang w:val="es-ES_tradnl"/>
        </w:rPr>
        <w:t xml:space="preserve">aría Escoto Fernández en su condición de Presidenta de la Comisión de la Jurisdicción Agraria y Agroambiental, remitió </w:t>
      </w:r>
      <w:r>
        <w:rPr>
          <w:rFonts w:ascii="Book Antiqua" w:hAnsi="Book Antiqua"/>
          <w:sz w:val="22"/>
          <w:szCs w:val="22"/>
          <w:lang w:val="es-ES_tradnl"/>
        </w:rPr>
        <w:t>en su momento</w:t>
      </w:r>
      <w:r w:rsidRPr="00055D4B">
        <w:rPr>
          <w:rFonts w:ascii="Book Antiqua" w:hAnsi="Book Antiqua"/>
          <w:sz w:val="22"/>
          <w:szCs w:val="22"/>
          <w:lang w:val="es-ES_tradnl"/>
        </w:rPr>
        <w:t xml:space="preserve"> correo electrónico de 1 de octubre de 2018, la siguiente solicitud: </w:t>
      </w:r>
    </w:p>
    <w:p w14:paraId="33D1A065" w14:textId="77777777" w:rsidR="001341EC" w:rsidRPr="00055D4B" w:rsidRDefault="001341EC" w:rsidP="001341EC">
      <w:pPr>
        <w:jc w:val="both"/>
        <w:rPr>
          <w:rFonts w:ascii="Book Antiqua" w:hAnsi="Book Antiqua"/>
          <w:sz w:val="22"/>
          <w:szCs w:val="22"/>
          <w:lang w:val="es-ES_tradnl"/>
        </w:rPr>
      </w:pPr>
    </w:p>
    <w:p w14:paraId="0C031CC3"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 xml:space="preserve">“Reciban un saludo cordial. Como es de su conocimiento la Comisión de la Jurisdicción Agraria ha venido coordinando acciones desde hace dos años con la Escuela Judicial y la Dirección de Gestión Humana en asocio con el Proyecto de Modernización de la Jurisdicción Agraria, para la formación de competencias de las personas servidoras judiciales agrarias en la Reforma Procesal Laboral y el nuevo Código Procesal Civil, debido a que esas normas se aplican supletoriamente a la Ley de Jurisdicción Agraria. Esa capacitación será de utilidad debido a que el recién aprobado Código Procesal Agrario plantea una </w:t>
      </w:r>
      <w:proofErr w:type="spellStart"/>
      <w:r w:rsidRPr="00055D4B">
        <w:rPr>
          <w:rFonts w:ascii="Book Antiqua" w:hAnsi="Book Antiqua"/>
          <w:i/>
          <w:sz w:val="22"/>
          <w:szCs w:val="22"/>
          <w:lang w:val="es-ES_tradnl"/>
        </w:rPr>
        <w:t>vacatio</w:t>
      </w:r>
      <w:proofErr w:type="spellEnd"/>
      <w:r w:rsidRPr="00055D4B">
        <w:rPr>
          <w:rFonts w:ascii="Book Antiqua" w:hAnsi="Book Antiqua"/>
          <w:i/>
          <w:sz w:val="22"/>
          <w:szCs w:val="22"/>
          <w:lang w:val="es-ES_tradnl"/>
        </w:rPr>
        <w:t xml:space="preserve"> </w:t>
      </w:r>
      <w:proofErr w:type="spellStart"/>
      <w:r w:rsidRPr="00055D4B">
        <w:rPr>
          <w:rFonts w:ascii="Book Antiqua" w:hAnsi="Book Antiqua"/>
          <w:i/>
          <w:sz w:val="22"/>
          <w:szCs w:val="22"/>
          <w:lang w:val="es-ES_tradnl"/>
        </w:rPr>
        <w:t>legis</w:t>
      </w:r>
      <w:proofErr w:type="spellEnd"/>
      <w:r w:rsidRPr="00055D4B">
        <w:rPr>
          <w:rFonts w:ascii="Book Antiqua" w:hAnsi="Book Antiqua"/>
          <w:i/>
          <w:sz w:val="22"/>
          <w:szCs w:val="22"/>
          <w:lang w:val="es-ES_tradnl"/>
        </w:rPr>
        <w:t xml:space="preserve"> de un año, de manera tal que esas normas se seguirán aplicando hasta un año después de que el Código sea debidamente publicado en La Gaceta. Este proceso ha sido realizado de manera sistemática y metódica, con una orientación curricular basada en el enfoque por competencias, en busca de dotar a las personas juzgadoras de las herramientas necesarias para atender de manera oportuna, célere, eficiente y eficaz los asuntos sometidos a su conocimiento.</w:t>
      </w:r>
    </w:p>
    <w:p w14:paraId="6E7315B1" w14:textId="77777777" w:rsidR="001341EC" w:rsidRPr="008160E4" w:rsidRDefault="001341EC" w:rsidP="001341EC">
      <w:pPr>
        <w:jc w:val="both"/>
        <w:rPr>
          <w:rFonts w:ascii="Book Antiqua" w:hAnsi="Book Antiqua"/>
          <w:i/>
          <w:sz w:val="22"/>
          <w:szCs w:val="22"/>
          <w:lang w:val="es-ES_tradnl"/>
        </w:rPr>
      </w:pPr>
    </w:p>
    <w:p w14:paraId="501411A0" w14:textId="77777777" w:rsidR="001341EC" w:rsidRDefault="001341EC" w:rsidP="001341EC">
      <w:pPr>
        <w:jc w:val="both"/>
        <w:rPr>
          <w:rFonts w:ascii="Book Antiqua" w:hAnsi="Book Antiqua"/>
          <w:b/>
          <w:i/>
          <w:sz w:val="22"/>
          <w:szCs w:val="22"/>
          <w:lang w:val="es-ES_tradnl"/>
        </w:rPr>
      </w:pPr>
      <w:r w:rsidRPr="00055D4B">
        <w:rPr>
          <w:rFonts w:ascii="Book Antiqua" w:hAnsi="Book Antiqua"/>
          <w:b/>
          <w:i/>
          <w:sz w:val="22"/>
          <w:szCs w:val="22"/>
          <w:lang w:val="es-ES_tradnl"/>
        </w:rPr>
        <w:t>Objetivos:</w:t>
      </w:r>
    </w:p>
    <w:p w14:paraId="2CF4F760" w14:textId="77777777" w:rsidR="001341EC" w:rsidRPr="00055D4B" w:rsidRDefault="001341EC" w:rsidP="001341EC">
      <w:pPr>
        <w:jc w:val="both"/>
        <w:rPr>
          <w:rFonts w:ascii="Book Antiqua" w:hAnsi="Book Antiqua"/>
          <w:b/>
          <w:i/>
          <w:sz w:val="22"/>
          <w:szCs w:val="22"/>
          <w:lang w:val="es-ES_tradnl"/>
        </w:rPr>
      </w:pPr>
    </w:p>
    <w:p w14:paraId="4CC2E5F5"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La aprobación del Código Procesal Agrario plantea una nueva coyuntura para la Comisión. De ahí que debe darse inicio al diseño de las actividades de capacitación y a la ejecución de éstas, porque la implementación de la reforma Procesal Agraria representa un cambio de paradigma y un reto institucional. De ahí, brindar la capacitación a las personas servidoras judiciales agrarias, constituye un importante hito por superar, con el fin de lograr una transición que permita brindar seguridad y confianza a las personas juzgadoras, letradas y defensoras públicas agrarias, así  como al personal de apoyo con el objetivo de ofrecer una justicia eficaz, eficiente y efectiva a las personas usuarias.</w:t>
      </w:r>
    </w:p>
    <w:p w14:paraId="6BFCB7CD" w14:textId="77777777" w:rsidR="001341EC" w:rsidRPr="008160E4"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lastRenderedPageBreak/>
        <w:t>Con ocasión de lo anterior, hago de su conocimiento que en sesión ordinaria celebrada el 28 de setiembre, artículo I, se tomó el acuerdo en coordinación con la Dirección de la Escuela Judicial, de solicitar al Consejo Superior autorización para realizar las actividades de capacitación que de seguido se exponen:</w:t>
      </w:r>
    </w:p>
    <w:p w14:paraId="59241E78" w14:textId="77777777" w:rsidR="001341EC" w:rsidRPr="00055D4B" w:rsidRDefault="001341EC" w:rsidP="001341EC">
      <w:pPr>
        <w:jc w:val="both"/>
        <w:rPr>
          <w:rFonts w:ascii="Book Antiqua" w:hAnsi="Book Antiqua"/>
          <w:i/>
          <w:sz w:val="22"/>
          <w:szCs w:val="22"/>
          <w:lang w:val="es-ES_tradnl"/>
        </w:rPr>
      </w:pPr>
    </w:p>
    <w:p w14:paraId="59B1CA1E"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 xml:space="preserve">La capacitación se desarrollará durante 3 semanas y estará dirigida a 160 personas juzgadoras, letradas, defensoras, coordinadoras judiciales, técnicas judiciales y asistentes agrarias, así como personas juzgadoras supernumerarias agrarias a cargo del Centro de Apoyo, Coordinación y Mejoramiento de la Función Jurisdiccional y de las Administraciones Regionales. </w:t>
      </w:r>
    </w:p>
    <w:p w14:paraId="14A3C9A7" w14:textId="77777777" w:rsidR="001341EC" w:rsidRPr="008160E4" w:rsidRDefault="001341EC" w:rsidP="001341EC">
      <w:pPr>
        <w:jc w:val="both"/>
        <w:rPr>
          <w:rFonts w:ascii="Book Antiqua" w:hAnsi="Book Antiqua"/>
          <w:i/>
          <w:sz w:val="22"/>
          <w:szCs w:val="22"/>
          <w:lang w:val="es-ES_tradnl"/>
        </w:rPr>
      </w:pPr>
    </w:p>
    <w:p w14:paraId="6A7BBC98" w14:textId="77777777" w:rsidR="001341EC" w:rsidRDefault="001341EC" w:rsidP="001341EC">
      <w:pPr>
        <w:jc w:val="both"/>
        <w:rPr>
          <w:rFonts w:ascii="Book Antiqua" w:hAnsi="Book Antiqua"/>
          <w:i/>
          <w:sz w:val="22"/>
          <w:szCs w:val="22"/>
          <w:lang w:val="es-ES_tradnl"/>
        </w:rPr>
      </w:pPr>
    </w:p>
    <w:p w14:paraId="27FF0483" w14:textId="77777777" w:rsidR="001341EC" w:rsidRPr="00C7329A" w:rsidRDefault="001341EC" w:rsidP="001341EC">
      <w:pPr>
        <w:jc w:val="both"/>
        <w:rPr>
          <w:rFonts w:ascii="Book Antiqua" w:hAnsi="Book Antiqua"/>
          <w:i/>
          <w:sz w:val="22"/>
          <w:szCs w:val="22"/>
          <w:lang w:val="es-ES_tradnl"/>
        </w:rPr>
      </w:pPr>
    </w:p>
    <w:p w14:paraId="7D5CE1A3" w14:textId="77777777" w:rsidR="001341EC" w:rsidRPr="008160E4" w:rsidRDefault="001341EC" w:rsidP="001341EC">
      <w:pPr>
        <w:jc w:val="both"/>
        <w:rPr>
          <w:rFonts w:ascii="Book Antiqua" w:hAnsi="Book Antiqua"/>
          <w:b/>
          <w:i/>
          <w:sz w:val="22"/>
          <w:szCs w:val="22"/>
          <w:lang w:val="es-ES_tradnl"/>
        </w:rPr>
      </w:pPr>
      <w:r w:rsidRPr="00055D4B">
        <w:rPr>
          <w:rFonts w:ascii="Book Antiqua" w:hAnsi="Book Antiqua"/>
          <w:b/>
          <w:i/>
          <w:sz w:val="22"/>
          <w:szCs w:val="22"/>
          <w:lang w:val="es-ES_tradnl"/>
        </w:rPr>
        <w:t xml:space="preserve">Fechas de la capacitación: </w:t>
      </w:r>
    </w:p>
    <w:p w14:paraId="6F49386D" w14:textId="77777777" w:rsidR="001341EC" w:rsidRPr="00055D4B" w:rsidRDefault="001341EC" w:rsidP="001341EC">
      <w:pPr>
        <w:jc w:val="both"/>
        <w:rPr>
          <w:rFonts w:ascii="Book Antiqua" w:hAnsi="Book Antiqua"/>
          <w:b/>
          <w:i/>
          <w:sz w:val="22"/>
          <w:szCs w:val="22"/>
          <w:lang w:val="es-ES_tradnl"/>
        </w:rPr>
      </w:pPr>
    </w:p>
    <w:p w14:paraId="6706A482"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Se ejecutará en las aulas de la Escuela Judicial en las siguientes fechas:</w:t>
      </w:r>
    </w:p>
    <w:p w14:paraId="04E1F342"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3 al 7 de diciembre aulas 7 y 10</w:t>
      </w:r>
    </w:p>
    <w:p w14:paraId="6B3DF142"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10 al 14 de diciembre aulas 7 y 8</w:t>
      </w:r>
    </w:p>
    <w:p w14:paraId="425D595A"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17 al 21 de diciembre aulas 7 y 10</w:t>
      </w:r>
    </w:p>
    <w:p w14:paraId="1239AC96" w14:textId="77777777" w:rsidR="001341EC" w:rsidRPr="008160E4" w:rsidRDefault="001341EC" w:rsidP="001341EC">
      <w:pPr>
        <w:jc w:val="both"/>
        <w:rPr>
          <w:rFonts w:ascii="Book Antiqua" w:hAnsi="Book Antiqua"/>
          <w:i/>
          <w:sz w:val="22"/>
          <w:szCs w:val="22"/>
          <w:lang w:val="es-ES_tradnl"/>
        </w:rPr>
      </w:pPr>
    </w:p>
    <w:p w14:paraId="499EB6A1" w14:textId="77777777" w:rsidR="001341EC" w:rsidRPr="00055D4B" w:rsidRDefault="001341EC" w:rsidP="001341EC">
      <w:pPr>
        <w:jc w:val="both"/>
        <w:rPr>
          <w:rFonts w:ascii="Book Antiqua" w:hAnsi="Book Antiqua"/>
          <w:b/>
          <w:i/>
          <w:sz w:val="22"/>
          <w:szCs w:val="22"/>
          <w:lang w:val="es-ES_tradnl"/>
        </w:rPr>
      </w:pPr>
      <w:r w:rsidRPr="00055D4B">
        <w:rPr>
          <w:rFonts w:ascii="Book Antiqua" w:hAnsi="Book Antiqua"/>
          <w:b/>
          <w:i/>
          <w:sz w:val="22"/>
          <w:szCs w:val="22"/>
          <w:lang w:val="es-ES_tradnl"/>
        </w:rPr>
        <w:t>Población meta:</w:t>
      </w:r>
    </w:p>
    <w:p w14:paraId="68D12AE8"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La finalidad sería abarcar la siguiente población:</w:t>
      </w:r>
    </w:p>
    <w:p w14:paraId="3B68001E"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09 personas juzgadoras categoría 4 del Tribunal Agrario (incluye Sección Extraordinaria)</w:t>
      </w:r>
    </w:p>
    <w:p w14:paraId="1FD93FB7"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26 personas juzgadoras agrarias categoría 3 de los Juzgados Agrarios y de los Juzgados Mixtos que conocen de la materia agraria</w:t>
      </w:r>
    </w:p>
    <w:p w14:paraId="6C6E0786"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15 personas juzgadoras categoría 1 de las cuales 01 corresponde al juez Tramitador del Tribunal Agrario y 14 personas juzgadoras supernumerarias de las Administraciones Regionales, quienes atienden suplencias de la Jurisdicción Agraria y están en la obligación de capacitarse en materia agraria por disposición del Consejo Superior en forma reiterada.</w:t>
      </w:r>
    </w:p>
    <w:p w14:paraId="54239AC9"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05 personas profesionales en Derecho 3b quienes fungen como letradas de la Sala Primera de la Corte Suprema de Justicia</w:t>
      </w:r>
    </w:p>
    <w:p w14:paraId="74F5FBA4"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22 personas defensoras públicas agrarias en plazas ordinarias, extraordinarias y suplentes.</w:t>
      </w:r>
    </w:p>
    <w:p w14:paraId="1BC3AEA1"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80 personas técnicas judiciales, coordinadoras judiciales y asistentes judiciales agrarias.</w:t>
      </w:r>
    </w:p>
    <w:p w14:paraId="3D0F0744" w14:textId="77777777" w:rsidR="001341EC" w:rsidRPr="008160E4" w:rsidRDefault="001341EC" w:rsidP="001341EC">
      <w:pPr>
        <w:jc w:val="both"/>
        <w:rPr>
          <w:rFonts w:ascii="Book Antiqua" w:hAnsi="Book Antiqua"/>
          <w:i/>
          <w:sz w:val="22"/>
          <w:szCs w:val="22"/>
          <w:lang w:val="es-ES_tradnl"/>
        </w:rPr>
      </w:pPr>
    </w:p>
    <w:p w14:paraId="04969F10" w14:textId="77777777" w:rsidR="001341EC" w:rsidRPr="00055D4B" w:rsidRDefault="001341EC" w:rsidP="001341EC">
      <w:pPr>
        <w:jc w:val="both"/>
        <w:rPr>
          <w:rFonts w:ascii="Book Antiqua" w:hAnsi="Book Antiqua"/>
          <w:b/>
          <w:i/>
          <w:sz w:val="22"/>
          <w:szCs w:val="22"/>
          <w:lang w:val="es-ES_tradnl"/>
        </w:rPr>
      </w:pPr>
      <w:r w:rsidRPr="00055D4B">
        <w:rPr>
          <w:rFonts w:ascii="Book Antiqua" w:hAnsi="Book Antiqua"/>
          <w:b/>
          <w:i/>
          <w:sz w:val="22"/>
          <w:szCs w:val="22"/>
          <w:lang w:val="es-ES_tradnl"/>
        </w:rPr>
        <w:t>Organización:</w:t>
      </w:r>
    </w:p>
    <w:p w14:paraId="2160D6BF"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La capacitación se realizará de manera simultánea: 1 curso semanal para personal profesional y 1 curso semanal para personal técnico judicial, durante 3 semanas, con un cupo de 26 o 27 personas por actividad. Se impartirá en las instalaciones de la Escuela Judicial. Para la ejecución de las actividades de capacitación se requiere el pago de alimentación, hospedaje y transporte.</w:t>
      </w:r>
    </w:p>
    <w:p w14:paraId="1B1B1E21" w14:textId="77777777" w:rsidR="001341EC" w:rsidRPr="008160E4" w:rsidRDefault="001341EC" w:rsidP="001341EC">
      <w:pPr>
        <w:jc w:val="both"/>
        <w:rPr>
          <w:rFonts w:ascii="Book Antiqua" w:hAnsi="Book Antiqua"/>
          <w:i/>
          <w:sz w:val="22"/>
          <w:szCs w:val="22"/>
          <w:lang w:val="es-ES_tradnl"/>
        </w:rPr>
      </w:pPr>
    </w:p>
    <w:p w14:paraId="7A5F8910" w14:textId="77777777" w:rsidR="001341EC" w:rsidRPr="00055D4B" w:rsidRDefault="001341EC" w:rsidP="001341EC">
      <w:pPr>
        <w:jc w:val="both"/>
        <w:rPr>
          <w:rFonts w:ascii="Book Antiqua" w:hAnsi="Book Antiqua"/>
          <w:b/>
          <w:i/>
          <w:sz w:val="22"/>
          <w:szCs w:val="22"/>
          <w:lang w:val="es-ES_tradnl"/>
        </w:rPr>
      </w:pPr>
      <w:r w:rsidRPr="00055D4B">
        <w:rPr>
          <w:rFonts w:ascii="Book Antiqua" w:hAnsi="Book Antiqua"/>
          <w:b/>
          <w:i/>
          <w:sz w:val="22"/>
          <w:szCs w:val="22"/>
          <w:lang w:val="es-ES_tradnl"/>
        </w:rPr>
        <w:t>La propuesta de la Escuela Judicial es la siguiente:</w:t>
      </w:r>
    </w:p>
    <w:p w14:paraId="3E1A2A0B" w14:textId="77777777" w:rsidR="001341EC" w:rsidRPr="008160E4" w:rsidRDefault="001341EC" w:rsidP="001341EC">
      <w:pPr>
        <w:jc w:val="both"/>
        <w:rPr>
          <w:rFonts w:ascii="Book Antiqua" w:hAnsi="Book Antiqua"/>
          <w:i/>
          <w:sz w:val="22"/>
          <w:szCs w:val="22"/>
          <w:lang w:val="es-ES_tradnl"/>
        </w:rPr>
      </w:pPr>
    </w:p>
    <w:p w14:paraId="0CCBABF6" w14:textId="77777777" w:rsidR="001341EC" w:rsidRPr="00055D4B" w:rsidRDefault="001341EC" w:rsidP="001341EC">
      <w:pPr>
        <w:jc w:val="both"/>
        <w:rPr>
          <w:rFonts w:ascii="Book Antiqua" w:hAnsi="Book Antiqua"/>
          <w:b/>
          <w:i/>
          <w:sz w:val="22"/>
          <w:szCs w:val="22"/>
          <w:lang w:val="es-ES_tradnl"/>
        </w:rPr>
      </w:pPr>
      <w:r w:rsidRPr="00055D4B">
        <w:rPr>
          <w:rFonts w:ascii="Book Antiqua" w:hAnsi="Book Antiqua"/>
          <w:b/>
          <w:i/>
          <w:sz w:val="22"/>
          <w:szCs w:val="22"/>
          <w:lang w:val="es-ES_tradnl"/>
        </w:rPr>
        <w:t>Resumen de propuesta</w:t>
      </w:r>
    </w:p>
    <w:p w14:paraId="7C90A62C"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Ejecución de 3 cursos dirigidos a personal profesional, con una duración de 5 días hábiles. Población a abarcar: 80 personas</w:t>
      </w:r>
    </w:p>
    <w:p w14:paraId="5443F3D3"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Ejecución de 3 cursos dirigidos a personal técnico judicial, con una duración de 5 días hábiles. Población a abarcar: 80 personas</w:t>
      </w:r>
    </w:p>
    <w:p w14:paraId="4DEDB9A5" w14:textId="77777777" w:rsidR="001341EC" w:rsidRPr="008160E4"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Totalidad de presupuesto según detalle: (sin cálculo de suplencias)</w:t>
      </w:r>
    </w:p>
    <w:p w14:paraId="33F7E089" w14:textId="77777777" w:rsidR="001341EC" w:rsidRPr="00C7329A" w:rsidRDefault="001341EC" w:rsidP="001341EC">
      <w:pPr>
        <w:jc w:val="both"/>
        <w:rPr>
          <w:rFonts w:ascii="Book Antiqua" w:hAnsi="Book Antiqua"/>
          <w:i/>
          <w:sz w:val="22"/>
          <w:szCs w:val="22"/>
          <w:lang w:val="es-ES_tradnl"/>
        </w:rPr>
      </w:pPr>
    </w:p>
    <w:p w14:paraId="476DA955" w14:textId="77777777" w:rsidR="001341EC" w:rsidRPr="00055D4B" w:rsidRDefault="001341EC" w:rsidP="001341EC">
      <w:pPr>
        <w:jc w:val="both"/>
        <w:rPr>
          <w:rFonts w:ascii="Book Antiqua" w:hAnsi="Book Antiqua"/>
          <w:i/>
          <w:sz w:val="22"/>
          <w:szCs w:val="22"/>
          <w:lang w:val="es-ES_tradnl"/>
        </w:rPr>
      </w:pPr>
    </w:p>
    <w:p w14:paraId="5505F93F"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lastRenderedPageBreak/>
        <w:t>…</w:t>
      </w:r>
    </w:p>
    <w:p w14:paraId="6137B7C8" w14:textId="77777777" w:rsidR="001341EC" w:rsidRPr="00055D4B" w:rsidRDefault="001341EC" w:rsidP="001341EC">
      <w:pPr>
        <w:jc w:val="both"/>
        <w:rPr>
          <w:rFonts w:ascii="Book Antiqua" w:hAnsi="Book Antiqua"/>
          <w:i/>
          <w:sz w:val="22"/>
          <w:szCs w:val="22"/>
          <w:lang w:val="es-ES_tradnl"/>
        </w:rPr>
      </w:pPr>
    </w:p>
    <w:p w14:paraId="319261F4" w14:textId="77777777" w:rsidR="001341EC" w:rsidRDefault="001341EC" w:rsidP="001341EC">
      <w:pPr>
        <w:jc w:val="both"/>
        <w:rPr>
          <w:rFonts w:ascii="Book Antiqua" w:hAnsi="Book Antiqua"/>
          <w:i/>
          <w:sz w:val="22"/>
          <w:szCs w:val="22"/>
          <w:lang w:val="es-ES_tradnl"/>
        </w:rPr>
      </w:pPr>
    </w:p>
    <w:p w14:paraId="57C48F80" w14:textId="77777777" w:rsidR="001341EC" w:rsidRPr="00055D4B" w:rsidRDefault="001341EC" w:rsidP="001341EC">
      <w:pPr>
        <w:jc w:val="both"/>
        <w:rPr>
          <w:rFonts w:ascii="Book Antiqua" w:hAnsi="Book Antiqua"/>
          <w:i/>
          <w:sz w:val="22"/>
          <w:szCs w:val="22"/>
          <w:lang w:val="es-ES_tradnl"/>
        </w:rPr>
      </w:pPr>
    </w:p>
    <w:p w14:paraId="2AC214BE" w14:textId="77777777" w:rsidR="001341EC" w:rsidRPr="00055D4B" w:rsidRDefault="001341EC" w:rsidP="001341EC">
      <w:pPr>
        <w:jc w:val="both"/>
        <w:rPr>
          <w:rFonts w:ascii="Book Antiqua" w:hAnsi="Book Antiqua"/>
          <w:b/>
          <w:i/>
          <w:sz w:val="22"/>
          <w:szCs w:val="22"/>
          <w:lang w:val="es-ES_tradnl"/>
        </w:rPr>
      </w:pPr>
      <w:r w:rsidRPr="00055D4B">
        <w:rPr>
          <w:rFonts w:ascii="Book Antiqua" w:hAnsi="Book Antiqua"/>
          <w:b/>
          <w:i/>
          <w:sz w:val="22"/>
          <w:szCs w:val="22"/>
          <w:lang w:val="es-ES_tradnl"/>
        </w:rPr>
        <w:t>Labor de las personas juzgadoras categoría 4 quienes fungirán como facilitadoras:</w:t>
      </w:r>
    </w:p>
    <w:p w14:paraId="72A27E6F" w14:textId="77777777" w:rsidR="001341EC" w:rsidRPr="00055D4B" w:rsidRDefault="001341EC" w:rsidP="001341EC">
      <w:pPr>
        <w:jc w:val="both"/>
        <w:rPr>
          <w:rFonts w:ascii="Book Antiqua" w:hAnsi="Book Antiqua"/>
          <w:i/>
          <w:sz w:val="22"/>
          <w:szCs w:val="22"/>
          <w:lang w:val="es-ES_tradnl"/>
        </w:rPr>
      </w:pPr>
    </w:p>
    <w:p w14:paraId="5ED9581E"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Se estima necesario realizar un proceso de definición de las necesidades reales de capacitación de la Jurisdicción Agraria en relación con el nuevo Código Procesal Agrario, para estas actividades iniciales, y proseguir con el diseño y ejecución de las mismas.</w:t>
      </w:r>
    </w:p>
    <w:p w14:paraId="53165109" w14:textId="77777777" w:rsidR="001341EC" w:rsidRPr="008160E4"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Para ello se propone la realización de una serie de tareas que estarían a cargo de las personas especialistas en contenido que designe la Comisión de la Jurisdicción Agraria, a saber:</w:t>
      </w:r>
    </w:p>
    <w:p w14:paraId="1A2FB3D1" w14:textId="77777777" w:rsidR="001341EC" w:rsidRPr="00055D4B" w:rsidRDefault="001341EC" w:rsidP="001341EC">
      <w:pPr>
        <w:jc w:val="both"/>
        <w:rPr>
          <w:rFonts w:ascii="Book Antiqua" w:hAnsi="Book Antiqua"/>
          <w:i/>
          <w:sz w:val="22"/>
          <w:szCs w:val="22"/>
          <w:lang w:val="es-ES_tradnl"/>
        </w:rPr>
      </w:pPr>
    </w:p>
    <w:tbl>
      <w:tblPr>
        <w:tblW w:w="7596" w:type="dxa"/>
        <w:jc w:val="center"/>
        <w:tblCellMar>
          <w:left w:w="0" w:type="dxa"/>
          <w:right w:w="0" w:type="dxa"/>
        </w:tblCellMar>
        <w:tblLook w:val="04A0" w:firstRow="1" w:lastRow="0" w:firstColumn="1" w:lastColumn="0" w:noHBand="0" w:noVBand="1"/>
      </w:tblPr>
      <w:tblGrid>
        <w:gridCol w:w="1684"/>
        <w:gridCol w:w="2288"/>
        <w:gridCol w:w="1696"/>
        <w:gridCol w:w="1928"/>
      </w:tblGrid>
      <w:tr w:rsidR="001341EC" w:rsidRPr="00493BFE" w14:paraId="651E7B52" w14:textId="77777777" w:rsidTr="00165AA6">
        <w:trPr>
          <w:tblHeader/>
          <w:jc w:val="center"/>
        </w:trPr>
        <w:tc>
          <w:tcPr>
            <w:tcW w:w="1984" w:type="dxa"/>
            <w:tcBorders>
              <w:top w:val="single" w:sz="8" w:space="0" w:color="000000"/>
              <w:left w:val="single" w:sz="8" w:space="0" w:color="000000"/>
              <w:bottom w:val="single" w:sz="8" w:space="0" w:color="000000"/>
              <w:right w:val="nil"/>
            </w:tcBorders>
            <w:shd w:val="clear" w:color="auto" w:fill="CC9999"/>
            <w:tcMar>
              <w:top w:w="55" w:type="dxa"/>
              <w:left w:w="55" w:type="dxa"/>
              <w:bottom w:w="55" w:type="dxa"/>
              <w:right w:w="55" w:type="dxa"/>
            </w:tcMar>
            <w:hideMark/>
          </w:tcPr>
          <w:p w14:paraId="331221D5"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Proyecto</w:t>
            </w:r>
          </w:p>
        </w:tc>
        <w:tc>
          <w:tcPr>
            <w:tcW w:w="2977" w:type="dxa"/>
            <w:tcBorders>
              <w:top w:val="single" w:sz="8" w:space="0" w:color="000000"/>
              <w:left w:val="single" w:sz="8" w:space="0" w:color="000000"/>
              <w:bottom w:val="single" w:sz="8" w:space="0" w:color="000000"/>
              <w:right w:val="nil"/>
            </w:tcBorders>
            <w:shd w:val="clear" w:color="auto" w:fill="CC9999"/>
            <w:tcMar>
              <w:top w:w="55" w:type="dxa"/>
              <w:left w:w="55" w:type="dxa"/>
              <w:bottom w:w="55" w:type="dxa"/>
              <w:right w:w="55" w:type="dxa"/>
            </w:tcMar>
            <w:hideMark/>
          </w:tcPr>
          <w:p w14:paraId="59A8B81A"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Tarea</w:t>
            </w:r>
          </w:p>
        </w:tc>
        <w:tc>
          <w:tcPr>
            <w:tcW w:w="1985" w:type="dxa"/>
            <w:tcBorders>
              <w:top w:val="single" w:sz="8" w:space="0" w:color="000000"/>
              <w:left w:val="single" w:sz="8" w:space="0" w:color="000000"/>
              <w:bottom w:val="single" w:sz="8" w:space="0" w:color="000000"/>
              <w:right w:val="nil"/>
            </w:tcBorders>
            <w:shd w:val="clear" w:color="auto" w:fill="CC9999"/>
            <w:tcMar>
              <w:top w:w="55" w:type="dxa"/>
              <w:left w:w="55" w:type="dxa"/>
              <w:bottom w:w="55" w:type="dxa"/>
              <w:right w:w="55" w:type="dxa"/>
            </w:tcMar>
            <w:hideMark/>
          </w:tcPr>
          <w:p w14:paraId="38ABA17A"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Entregable</w:t>
            </w:r>
          </w:p>
        </w:tc>
        <w:tc>
          <w:tcPr>
            <w:tcW w:w="2551" w:type="dxa"/>
            <w:tcBorders>
              <w:top w:val="single" w:sz="8" w:space="0" w:color="000000"/>
              <w:left w:val="single" w:sz="8" w:space="0" w:color="000000"/>
              <w:bottom w:val="single" w:sz="8" w:space="0" w:color="000000"/>
              <w:right w:val="single" w:sz="8" w:space="0" w:color="000000"/>
            </w:tcBorders>
            <w:shd w:val="clear" w:color="auto" w:fill="CC9999"/>
            <w:tcMar>
              <w:top w:w="55" w:type="dxa"/>
              <w:left w:w="55" w:type="dxa"/>
              <w:bottom w:w="55" w:type="dxa"/>
              <w:right w:w="55" w:type="dxa"/>
            </w:tcMar>
            <w:hideMark/>
          </w:tcPr>
          <w:p w14:paraId="2B5E8B9B"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Fecha</w:t>
            </w:r>
          </w:p>
        </w:tc>
      </w:tr>
      <w:tr w:rsidR="001341EC" w:rsidRPr="00493BFE" w14:paraId="00622BFB" w14:textId="77777777" w:rsidTr="00165AA6">
        <w:trPr>
          <w:trHeight w:val="917"/>
          <w:jc w:val="center"/>
        </w:trPr>
        <w:tc>
          <w:tcPr>
            <w:tcW w:w="1984" w:type="dxa"/>
            <w:tcBorders>
              <w:top w:val="nil"/>
              <w:left w:val="single" w:sz="8" w:space="0" w:color="000000"/>
              <w:bottom w:val="single" w:sz="8" w:space="0" w:color="auto"/>
              <w:right w:val="nil"/>
            </w:tcBorders>
            <w:shd w:val="clear" w:color="auto" w:fill="DDDDDD"/>
            <w:tcMar>
              <w:top w:w="55" w:type="dxa"/>
              <w:left w:w="55" w:type="dxa"/>
              <w:bottom w:w="55" w:type="dxa"/>
              <w:right w:w="55" w:type="dxa"/>
            </w:tcMar>
            <w:hideMark/>
          </w:tcPr>
          <w:p w14:paraId="5D6DD39A"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Definición de actividades a realizar</w:t>
            </w:r>
          </w:p>
        </w:tc>
        <w:tc>
          <w:tcPr>
            <w:tcW w:w="2977" w:type="dxa"/>
            <w:tcBorders>
              <w:top w:val="nil"/>
              <w:left w:val="single" w:sz="8" w:space="0" w:color="000000"/>
              <w:bottom w:val="single" w:sz="8" w:space="0" w:color="auto"/>
              <w:right w:val="nil"/>
            </w:tcBorders>
            <w:shd w:val="clear" w:color="auto" w:fill="DDDDDD"/>
            <w:tcMar>
              <w:top w:w="55" w:type="dxa"/>
              <w:left w:w="55" w:type="dxa"/>
              <w:bottom w:w="55" w:type="dxa"/>
              <w:right w:w="55" w:type="dxa"/>
            </w:tcMar>
            <w:hideMark/>
          </w:tcPr>
          <w:p w14:paraId="595B9A7A"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Elaboración del mapa funcional</w:t>
            </w:r>
          </w:p>
          <w:p w14:paraId="2A422ADD"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Definición de actividades de capacitación según puesto</w:t>
            </w:r>
          </w:p>
        </w:tc>
        <w:tc>
          <w:tcPr>
            <w:tcW w:w="1985" w:type="dxa"/>
            <w:tcBorders>
              <w:top w:val="nil"/>
              <w:left w:val="single" w:sz="8" w:space="0" w:color="000000"/>
              <w:bottom w:val="single" w:sz="8" w:space="0" w:color="auto"/>
              <w:right w:val="nil"/>
            </w:tcBorders>
            <w:shd w:val="clear" w:color="auto" w:fill="DDDDDD"/>
            <w:tcMar>
              <w:top w:w="55" w:type="dxa"/>
              <w:left w:w="55" w:type="dxa"/>
              <w:bottom w:w="55" w:type="dxa"/>
              <w:right w:w="55" w:type="dxa"/>
            </w:tcMar>
            <w:hideMark/>
          </w:tcPr>
          <w:p w14:paraId="47733361"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Mapa funcional según puesto</w:t>
            </w:r>
          </w:p>
          <w:p w14:paraId="2986FAF0"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Módulos a diseñar y competencias a abarcar</w:t>
            </w:r>
          </w:p>
        </w:tc>
        <w:tc>
          <w:tcPr>
            <w:tcW w:w="2551" w:type="dxa"/>
            <w:tcBorders>
              <w:top w:val="nil"/>
              <w:left w:val="single" w:sz="8" w:space="0" w:color="000000"/>
              <w:bottom w:val="single" w:sz="8" w:space="0" w:color="auto"/>
              <w:right w:val="single" w:sz="8" w:space="0" w:color="000000"/>
            </w:tcBorders>
            <w:shd w:val="clear" w:color="auto" w:fill="DDDDDD"/>
            <w:tcMar>
              <w:top w:w="55" w:type="dxa"/>
              <w:left w:w="55" w:type="dxa"/>
              <w:bottom w:w="55" w:type="dxa"/>
              <w:right w:w="55" w:type="dxa"/>
            </w:tcMar>
            <w:hideMark/>
          </w:tcPr>
          <w:p w14:paraId="3A5595D7"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15 al 26 de octubre de 2018</w:t>
            </w:r>
          </w:p>
        </w:tc>
      </w:tr>
      <w:tr w:rsidR="001341EC" w:rsidRPr="00493BFE" w14:paraId="4FD3F3C0" w14:textId="77777777" w:rsidTr="00165AA6">
        <w:trPr>
          <w:jc w:val="center"/>
        </w:trPr>
        <w:tc>
          <w:tcPr>
            <w:tcW w:w="1984" w:type="dxa"/>
            <w:vMerge w:val="restart"/>
            <w:tcBorders>
              <w:top w:val="nil"/>
              <w:left w:val="single" w:sz="8" w:space="0" w:color="auto"/>
              <w:bottom w:val="single" w:sz="8" w:space="0" w:color="000000"/>
              <w:right w:val="single" w:sz="8" w:space="0" w:color="auto"/>
            </w:tcBorders>
            <w:shd w:val="clear" w:color="auto" w:fill="DDDDDD"/>
            <w:tcMar>
              <w:top w:w="55" w:type="dxa"/>
              <w:left w:w="55" w:type="dxa"/>
              <w:bottom w:w="55" w:type="dxa"/>
              <w:right w:w="55" w:type="dxa"/>
            </w:tcMar>
            <w:hideMark/>
          </w:tcPr>
          <w:p w14:paraId="513DEB9D"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Diseño de actividades de Capacitación definidas</w:t>
            </w:r>
          </w:p>
        </w:tc>
        <w:tc>
          <w:tcPr>
            <w:tcW w:w="2977" w:type="dxa"/>
            <w:tcBorders>
              <w:top w:val="nil"/>
              <w:left w:val="nil"/>
              <w:bottom w:val="single" w:sz="8" w:space="0" w:color="auto"/>
              <w:right w:val="single" w:sz="8" w:space="0" w:color="auto"/>
            </w:tcBorders>
            <w:shd w:val="clear" w:color="auto" w:fill="DDDDDD"/>
            <w:tcMar>
              <w:top w:w="55" w:type="dxa"/>
              <w:left w:w="55" w:type="dxa"/>
              <w:bottom w:w="55" w:type="dxa"/>
              <w:right w:w="55" w:type="dxa"/>
            </w:tcMar>
            <w:hideMark/>
          </w:tcPr>
          <w:p w14:paraId="4F84BF0D"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Diseño curricular de las actividades</w:t>
            </w:r>
          </w:p>
        </w:tc>
        <w:tc>
          <w:tcPr>
            <w:tcW w:w="1985" w:type="dxa"/>
            <w:tcBorders>
              <w:top w:val="nil"/>
              <w:left w:val="nil"/>
              <w:bottom w:val="single" w:sz="8" w:space="0" w:color="auto"/>
              <w:right w:val="single" w:sz="8" w:space="0" w:color="auto"/>
            </w:tcBorders>
            <w:shd w:val="clear" w:color="auto" w:fill="DDDDDD"/>
            <w:tcMar>
              <w:top w:w="55" w:type="dxa"/>
              <w:left w:w="55" w:type="dxa"/>
              <w:bottom w:w="55" w:type="dxa"/>
              <w:right w:w="55" w:type="dxa"/>
            </w:tcMar>
            <w:hideMark/>
          </w:tcPr>
          <w:p w14:paraId="32A235DB"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Diseño curricular de cada actividad</w:t>
            </w:r>
          </w:p>
        </w:tc>
        <w:tc>
          <w:tcPr>
            <w:tcW w:w="2551" w:type="dxa"/>
            <w:tcBorders>
              <w:top w:val="nil"/>
              <w:left w:val="nil"/>
              <w:bottom w:val="single" w:sz="8" w:space="0" w:color="auto"/>
              <w:right w:val="single" w:sz="8" w:space="0" w:color="auto"/>
            </w:tcBorders>
            <w:shd w:val="clear" w:color="auto" w:fill="DDDDDD"/>
            <w:tcMar>
              <w:top w:w="55" w:type="dxa"/>
              <w:left w:w="55" w:type="dxa"/>
              <w:bottom w:w="55" w:type="dxa"/>
              <w:right w:w="55" w:type="dxa"/>
            </w:tcMar>
            <w:hideMark/>
          </w:tcPr>
          <w:p w14:paraId="13F8EE20"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29 de octubre al 02 de noviembre de 2018</w:t>
            </w:r>
          </w:p>
        </w:tc>
      </w:tr>
      <w:tr w:rsidR="001341EC" w:rsidRPr="00493BFE" w14:paraId="21F4019F" w14:textId="77777777" w:rsidTr="00165AA6">
        <w:trPr>
          <w:jc w:val="center"/>
        </w:trPr>
        <w:tc>
          <w:tcPr>
            <w:tcW w:w="0" w:type="auto"/>
            <w:vMerge/>
            <w:tcBorders>
              <w:top w:val="nil"/>
              <w:left w:val="single" w:sz="8" w:space="0" w:color="auto"/>
              <w:bottom w:val="single" w:sz="8" w:space="0" w:color="000000"/>
              <w:right w:val="single" w:sz="8" w:space="0" w:color="auto"/>
            </w:tcBorders>
            <w:vAlign w:val="center"/>
            <w:hideMark/>
          </w:tcPr>
          <w:p w14:paraId="113AFA73" w14:textId="77777777" w:rsidR="001341EC" w:rsidRPr="00055D4B" w:rsidRDefault="001341EC" w:rsidP="00165AA6">
            <w:pPr>
              <w:jc w:val="both"/>
              <w:rPr>
                <w:rFonts w:ascii="Book Antiqua" w:hAnsi="Book Antiqua"/>
                <w:i/>
                <w:lang w:val="es-ES_tradnl"/>
              </w:rPr>
            </w:pPr>
          </w:p>
        </w:tc>
        <w:tc>
          <w:tcPr>
            <w:tcW w:w="2977" w:type="dxa"/>
            <w:tcBorders>
              <w:top w:val="nil"/>
              <w:left w:val="nil"/>
              <w:bottom w:val="single" w:sz="8" w:space="0" w:color="000000"/>
              <w:right w:val="nil"/>
            </w:tcBorders>
            <w:shd w:val="clear" w:color="auto" w:fill="DDDDDD"/>
            <w:tcMar>
              <w:top w:w="55" w:type="dxa"/>
              <w:left w:w="55" w:type="dxa"/>
              <w:bottom w:w="55" w:type="dxa"/>
              <w:right w:w="55" w:type="dxa"/>
            </w:tcMar>
            <w:hideMark/>
          </w:tcPr>
          <w:p w14:paraId="1EA6BE42"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Guía de la persona facilitadora de cada actividad definida, incluye</w:t>
            </w:r>
          </w:p>
          <w:p w14:paraId="7DDDB174"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desarrollo del diseño,</w:t>
            </w:r>
          </w:p>
          <w:p w14:paraId="3CEDBA48"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instrucciones de cada actividad</w:t>
            </w:r>
          </w:p>
          <w:p w14:paraId="071041D6"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instrumentos de evaluación</w:t>
            </w:r>
          </w:p>
        </w:tc>
        <w:tc>
          <w:tcPr>
            <w:tcW w:w="1985" w:type="dxa"/>
            <w:tcBorders>
              <w:top w:val="nil"/>
              <w:left w:val="single" w:sz="8" w:space="0" w:color="000000"/>
              <w:bottom w:val="single" w:sz="8" w:space="0" w:color="000000"/>
              <w:right w:val="nil"/>
            </w:tcBorders>
            <w:shd w:val="clear" w:color="auto" w:fill="DDDDDD"/>
            <w:tcMar>
              <w:top w:w="55" w:type="dxa"/>
              <w:left w:w="55" w:type="dxa"/>
              <w:bottom w:w="55" w:type="dxa"/>
              <w:right w:w="55" w:type="dxa"/>
            </w:tcMar>
            <w:hideMark/>
          </w:tcPr>
          <w:p w14:paraId="15BA74E1"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Guía de la persona facilitadora</w:t>
            </w:r>
          </w:p>
        </w:tc>
        <w:tc>
          <w:tcPr>
            <w:tcW w:w="2551" w:type="dxa"/>
            <w:tcBorders>
              <w:top w:val="nil"/>
              <w:left w:val="single" w:sz="8" w:space="0" w:color="000000"/>
              <w:bottom w:val="single" w:sz="8" w:space="0" w:color="000000"/>
              <w:right w:val="single" w:sz="8" w:space="0" w:color="000000"/>
            </w:tcBorders>
            <w:shd w:val="clear" w:color="auto" w:fill="DDDDDD"/>
            <w:tcMar>
              <w:top w:w="55" w:type="dxa"/>
              <w:left w:w="55" w:type="dxa"/>
              <w:bottom w:w="55" w:type="dxa"/>
              <w:right w:w="55" w:type="dxa"/>
            </w:tcMar>
            <w:hideMark/>
          </w:tcPr>
          <w:p w14:paraId="2D228FD1"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05 al 16 de noviembre de 2018</w:t>
            </w:r>
          </w:p>
        </w:tc>
      </w:tr>
      <w:tr w:rsidR="001341EC" w:rsidRPr="00493BFE" w14:paraId="693BB731" w14:textId="77777777" w:rsidTr="00165AA6">
        <w:trPr>
          <w:jc w:val="center"/>
        </w:trPr>
        <w:tc>
          <w:tcPr>
            <w:tcW w:w="0" w:type="auto"/>
            <w:vMerge/>
            <w:tcBorders>
              <w:top w:val="nil"/>
              <w:left w:val="single" w:sz="8" w:space="0" w:color="auto"/>
              <w:bottom w:val="single" w:sz="8" w:space="0" w:color="000000"/>
              <w:right w:val="single" w:sz="8" w:space="0" w:color="auto"/>
            </w:tcBorders>
            <w:vAlign w:val="center"/>
            <w:hideMark/>
          </w:tcPr>
          <w:p w14:paraId="28EEE92F" w14:textId="77777777" w:rsidR="001341EC" w:rsidRPr="00055D4B" w:rsidRDefault="001341EC" w:rsidP="00165AA6">
            <w:pPr>
              <w:jc w:val="both"/>
              <w:rPr>
                <w:rFonts w:ascii="Book Antiqua" w:hAnsi="Book Antiqua"/>
                <w:i/>
                <w:lang w:val="es-ES_tradnl"/>
              </w:rPr>
            </w:pPr>
          </w:p>
        </w:tc>
        <w:tc>
          <w:tcPr>
            <w:tcW w:w="2977" w:type="dxa"/>
            <w:tcBorders>
              <w:top w:val="nil"/>
              <w:left w:val="nil"/>
              <w:bottom w:val="single" w:sz="8" w:space="0" w:color="auto"/>
              <w:right w:val="nil"/>
            </w:tcBorders>
            <w:shd w:val="clear" w:color="auto" w:fill="DDDDDD"/>
            <w:tcMar>
              <w:top w:w="55" w:type="dxa"/>
              <w:left w:w="55" w:type="dxa"/>
              <w:bottom w:w="55" w:type="dxa"/>
              <w:right w:w="55" w:type="dxa"/>
            </w:tcMar>
            <w:hideMark/>
          </w:tcPr>
          <w:p w14:paraId="7074814B"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Preparación del material y recursos didácticos para la ejecución de las actividades de capacitación.</w:t>
            </w:r>
          </w:p>
        </w:tc>
        <w:tc>
          <w:tcPr>
            <w:tcW w:w="1985" w:type="dxa"/>
            <w:tcBorders>
              <w:top w:val="nil"/>
              <w:left w:val="single" w:sz="8" w:space="0" w:color="000000"/>
              <w:bottom w:val="single" w:sz="8" w:space="0" w:color="auto"/>
              <w:right w:val="nil"/>
            </w:tcBorders>
            <w:shd w:val="clear" w:color="auto" w:fill="DDDDDD"/>
            <w:tcMar>
              <w:top w:w="55" w:type="dxa"/>
              <w:left w:w="55" w:type="dxa"/>
              <w:bottom w:w="55" w:type="dxa"/>
              <w:right w:w="55" w:type="dxa"/>
            </w:tcMar>
            <w:hideMark/>
          </w:tcPr>
          <w:p w14:paraId="4091168D"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Material didáctico</w:t>
            </w:r>
          </w:p>
          <w:p w14:paraId="191B0640"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Recursos</w:t>
            </w:r>
          </w:p>
        </w:tc>
        <w:tc>
          <w:tcPr>
            <w:tcW w:w="2551" w:type="dxa"/>
            <w:tcBorders>
              <w:top w:val="nil"/>
              <w:left w:val="single" w:sz="8" w:space="0" w:color="000000"/>
              <w:bottom w:val="single" w:sz="8" w:space="0" w:color="auto"/>
              <w:right w:val="single" w:sz="8" w:space="0" w:color="000000"/>
            </w:tcBorders>
            <w:shd w:val="clear" w:color="auto" w:fill="DDDDDD"/>
            <w:tcMar>
              <w:top w:w="55" w:type="dxa"/>
              <w:left w:w="55" w:type="dxa"/>
              <w:bottom w:w="55" w:type="dxa"/>
              <w:right w:w="55" w:type="dxa"/>
            </w:tcMar>
            <w:hideMark/>
          </w:tcPr>
          <w:p w14:paraId="3CCB95B9"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19 al 30 de noviembre de 2018</w:t>
            </w:r>
          </w:p>
        </w:tc>
      </w:tr>
      <w:tr w:rsidR="001341EC" w:rsidRPr="00493BFE" w14:paraId="4094E3E8" w14:textId="77777777" w:rsidTr="00165AA6">
        <w:trPr>
          <w:trHeight w:val="52"/>
          <w:jc w:val="center"/>
        </w:trPr>
        <w:tc>
          <w:tcPr>
            <w:tcW w:w="1984" w:type="dxa"/>
            <w:vMerge w:val="restart"/>
            <w:tcBorders>
              <w:top w:val="nil"/>
              <w:left w:val="single" w:sz="8" w:space="0" w:color="000000"/>
              <w:bottom w:val="nil"/>
              <w:right w:val="single" w:sz="8" w:space="0" w:color="auto"/>
            </w:tcBorders>
            <w:shd w:val="clear" w:color="auto" w:fill="DDDDDD"/>
            <w:tcMar>
              <w:top w:w="55" w:type="dxa"/>
              <w:left w:w="55" w:type="dxa"/>
              <w:bottom w:w="55" w:type="dxa"/>
              <w:right w:w="55" w:type="dxa"/>
            </w:tcMar>
            <w:hideMark/>
          </w:tcPr>
          <w:p w14:paraId="32EFBC9A"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Ejecución de actividades de capacitación</w:t>
            </w:r>
          </w:p>
        </w:tc>
        <w:tc>
          <w:tcPr>
            <w:tcW w:w="2977" w:type="dxa"/>
            <w:tcBorders>
              <w:top w:val="nil"/>
              <w:left w:val="nil"/>
              <w:bottom w:val="single" w:sz="8" w:space="0" w:color="auto"/>
              <w:right w:val="single" w:sz="8" w:space="0" w:color="auto"/>
            </w:tcBorders>
            <w:shd w:val="clear" w:color="auto" w:fill="DDDDDD"/>
            <w:tcMar>
              <w:top w:w="55" w:type="dxa"/>
              <w:left w:w="55" w:type="dxa"/>
              <w:bottom w:w="55" w:type="dxa"/>
              <w:right w:w="55" w:type="dxa"/>
            </w:tcMar>
            <w:hideMark/>
          </w:tcPr>
          <w:p w14:paraId="322325B4"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Grupo 01 Personal profesional</w:t>
            </w:r>
          </w:p>
          <w:p w14:paraId="096A485B"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Grupo 01 Personal Técnico</w:t>
            </w:r>
          </w:p>
        </w:tc>
        <w:tc>
          <w:tcPr>
            <w:tcW w:w="1985" w:type="dxa"/>
            <w:tcBorders>
              <w:top w:val="nil"/>
              <w:left w:val="nil"/>
              <w:bottom w:val="single" w:sz="8" w:space="0" w:color="auto"/>
              <w:right w:val="single" w:sz="8" w:space="0" w:color="auto"/>
            </w:tcBorders>
            <w:shd w:val="clear" w:color="auto" w:fill="DDDDDD"/>
            <w:tcMar>
              <w:top w:w="55" w:type="dxa"/>
              <w:left w:w="55" w:type="dxa"/>
              <w:bottom w:w="55" w:type="dxa"/>
              <w:right w:w="55" w:type="dxa"/>
            </w:tcMar>
            <w:hideMark/>
          </w:tcPr>
          <w:p w14:paraId="4D6675FE"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Actividades impartidas</w:t>
            </w:r>
          </w:p>
        </w:tc>
        <w:tc>
          <w:tcPr>
            <w:tcW w:w="2551" w:type="dxa"/>
            <w:tcBorders>
              <w:top w:val="nil"/>
              <w:left w:val="nil"/>
              <w:bottom w:val="single" w:sz="8" w:space="0" w:color="auto"/>
              <w:right w:val="single" w:sz="8" w:space="0" w:color="auto"/>
            </w:tcBorders>
            <w:shd w:val="clear" w:color="auto" w:fill="DDDDDD"/>
            <w:tcMar>
              <w:top w:w="55" w:type="dxa"/>
              <w:left w:w="55" w:type="dxa"/>
              <w:bottom w:w="55" w:type="dxa"/>
              <w:right w:w="55" w:type="dxa"/>
            </w:tcMar>
            <w:hideMark/>
          </w:tcPr>
          <w:p w14:paraId="6EC96E2F"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03 al 07 de diciembre de 2018</w:t>
            </w:r>
          </w:p>
        </w:tc>
      </w:tr>
      <w:tr w:rsidR="001341EC" w:rsidRPr="00493BFE" w14:paraId="19ECDE8B" w14:textId="77777777" w:rsidTr="00165AA6">
        <w:trPr>
          <w:trHeight w:val="52"/>
          <w:jc w:val="center"/>
        </w:trPr>
        <w:tc>
          <w:tcPr>
            <w:tcW w:w="0" w:type="auto"/>
            <w:vMerge/>
            <w:tcBorders>
              <w:top w:val="nil"/>
              <w:left w:val="single" w:sz="8" w:space="0" w:color="000000"/>
              <w:bottom w:val="nil"/>
              <w:right w:val="single" w:sz="8" w:space="0" w:color="auto"/>
            </w:tcBorders>
            <w:vAlign w:val="center"/>
            <w:hideMark/>
          </w:tcPr>
          <w:p w14:paraId="2AF8053D" w14:textId="77777777" w:rsidR="001341EC" w:rsidRPr="00055D4B" w:rsidRDefault="001341EC" w:rsidP="00165AA6">
            <w:pPr>
              <w:jc w:val="both"/>
              <w:rPr>
                <w:rFonts w:ascii="Book Antiqua" w:hAnsi="Book Antiqua"/>
                <w:i/>
                <w:lang w:val="es-ES_tradnl"/>
              </w:rPr>
            </w:pPr>
          </w:p>
        </w:tc>
        <w:tc>
          <w:tcPr>
            <w:tcW w:w="2977" w:type="dxa"/>
            <w:tcBorders>
              <w:top w:val="nil"/>
              <w:left w:val="nil"/>
              <w:bottom w:val="single" w:sz="8" w:space="0" w:color="auto"/>
              <w:right w:val="single" w:sz="8" w:space="0" w:color="auto"/>
            </w:tcBorders>
            <w:shd w:val="clear" w:color="auto" w:fill="DDDDDD"/>
            <w:tcMar>
              <w:top w:w="55" w:type="dxa"/>
              <w:left w:w="55" w:type="dxa"/>
              <w:bottom w:w="55" w:type="dxa"/>
              <w:right w:w="55" w:type="dxa"/>
            </w:tcMar>
            <w:hideMark/>
          </w:tcPr>
          <w:p w14:paraId="07EDB35B"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Grupo 02 Personal profesional</w:t>
            </w:r>
          </w:p>
          <w:p w14:paraId="45065465"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Grupo 02 Personal Técnico</w:t>
            </w:r>
          </w:p>
        </w:tc>
        <w:tc>
          <w:tcPr>
            <w:tcW w:w="1985" w:type="dxa"/>
            <w:tcBorders>
              <w:top w:val="nil"/>
              <w:left w:val="nil"/>
              <w:bottom w:val="single" w:sz="8" w:space="0" w:color="auto"/>
              <w:right w:val="single" w:sz="8" w:space="0" w:color="auto"/>
            </w:tcBorders>
            <w:shd w:val="clear" w:color="auto" w:fill="DDDDDD"/>
            <w:tcMar>
              <w:top w:w="55" w:type="dxa"/>
              <w:left w:w="55" w:type="dxa"/>
              <w:bottom w:w="55" w:type="dxa"/>
              <w:right w:w="55" w:type="dxa"/>
            </w:tcMar>
            <w:hideMark/>
          </w:tcPr>
          <w:p w14:paraId="1EE07239"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Actividades impartidas</w:t>
            </w:r>
          </w:p>
        </w:tc>
        <w:tc>
          <w:tcPr>
            <w:tcW w:w="2551" w:type="dxa"/>
            <w:tcBorders>
              <w:top w:val="nil"/>
              <w:left w:val="nil"/>
              <w:bottom w:val="single" w:sz="8" w:space="0" w:color="auto"/>
              <w:right w:val="single" w:sz="8" w:space="0" w:color="auto"/>
            </w:tcBorders>
            <w:shd w:val="clear" w:color="auto" w:fill="DDDDDD"/>
            <w:tcMar>
              <w:top w:w="55" w:type="dxa"/>
              <w:left w:w="55" w:type="dxa"/>
              <w:bottom w:w="55" w:type="dxa"/>
              <w:right w:w="55" w:type="dxa"/>
            </w:tcMar>
            <w:hideMark/>
          </w:tcPr>
          <w:p w14:paraId="238AABC8"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10 al 14 de diciembre de 2018</w:t>
            </w:r>
          </w:p>
        </w:tc>
      </w:tr>
      <w:tr w:rsidR="001341EC" w:rsidRPr="00493BFE" w14:paraId="3FA6E692" w14:textId="77777777" w:rsidTr="00165AA6">
        <w:trPr>
          <w:trHeight w:val="356"/>
          <w:jc w:val="center"/>
        </w:trPr>
        <w:tc>
          <w:tcPr>
            <w:tcW w:w="0" w:type="auto"/>
            <w:vMerge/>
            <w:tcBorders>
              <w:top w:val="nil"/>
              <w:left w:val="single" w:sz="8" w:space="0" w:color="000000"/>
              <w:bottom w:val="nil"/>
              <w:right w:val="single" w:sz="8" w:space="0" w:color="auto"/>
            </w:tcBorders>
            <w:vAlign w:val="center"/>
            <w:hideMark/>
          </w:tcPr>
          <w:p w14:paraId="2F222788" w14:textId="77777777" w:rsidR="001341EC" w:rsidRPr="00055D4B" w:rsidRDefault="001341EC" w:rsidP="00165AA6">
            <w:pPr>
              <w:jc w:val="both"/>
              <w:rPr>
                <w:rFonts w:ascii="Book Antiqua" w:hAnsi="Book Antiqua"/>
                <w:i/>
                <w:lang w:val="es-ES_tradnl"/>
              </w:rPr>
            </w:pPr>
          </w:p>
        </w:tc>
        <w:tc>
          <w:tcPr>
            <w:tcW w:w="2977" w:type="dxa"/>
            <w:tcBorders>
              <w:top w:val="nil"/>
              <w:left w:val="nil"/>
              <w:bottom w:val="nil"/>
              <w:right w:val="single" w:sz="8" w:space="0" w:color="auto"/>
            </w:tcBorders>
            <w:shd w:val="clear" w:color="auto" w:fill="DDDDDD"/>
            <w:tcMar>
              <w:top w:w="55" w:type="dxa"/>
              <w:left w:w="55" w:type="dxa"/>
              <w:bottom w:w="55" w:type="dxa"/>
              <w:right w:w="55" w:type="dxa"/>
            </w:tcMar>
            <w:hideMark/>
          </w:tcPr>
          <w:p w14:paraId="4C534640"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 xml:space="preserve">Grupo 03 Personal </w:t>
            </w:r>
            <w:r w:rsidRPr="00055D4B">
              <w:rPr>
                <w:rFonts w:ascii="Book Antiqua" w:hAnsi="Book Antiqua"/>
                <w:i/>
                <w:sz w:val="22"/>
                <w:szCs w:val="22"/>
                <w:lang w:val="es-ES_tradnl"/>
              </w:rPr>
              <w:lastRenderedPageBreak/>
              <w:t>profesional</w:t>
            </w:r>
          </w:p>
          <w:p w14:paraId="31BAE7C8"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t>Grupo 03 Personal Técnico</w:t>
            </w:r>
          </w:p>
        </w:tc>
        <w:tc>
          <w:tcPr>
            <w:tcW w:w="1985" w:type="dxa"/>
            <w:tcBorders>
              <w:top w:val="nil"/>
              <w:left w:val="nil"/>
              <w:bottom w:val="nil"/>
              <w:right w:val="single" w:sz="8" w:space="0" w:color="auto"/>
            </w:tcBorders>
            <w:shd w:val="clear" w:color="auto" w:fill="DDDDDD"/>
            <w:tcMar>
              <w:top w:w="55" w:type="dxa"/>
              <w:left w:w="55" w:type="dxa"/>
              <w:bottom w:w="55" w:type="dxa"/>
              <w:right w:w="55" w:type="dxa"/>
            </w:tcMar>
            <w:hideMark/>
          </w:tcPr>
          <w:p w14:paraId="6A5AB806"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lastRenderedPageBreak/>
              <w:t xml:space="preserve">Actividades </w:t>
            </w:r>
            <w:r w:rsidRPr="00055D4B">
              <w:rPr>
                <w:rFonts w:ascii="Book Antiqua" w:hAnsi="Book Antiqua"/>
                <w:i/>
                <w:sz w:val="22"/>
                <w:szCs w:val="22"/>
                <w:lang w:val="es-ES_tradnl"/>
              </w:rPr>
              <w:lastRenderedPageBreak/>
              <w:t>impartidas</w:t>
            </w:r>
          </w:p>
        </w:tc>
        <w:tc>
          <w:tcPr>
            <w:tcW w:w="2551" w:type="dxa"/>
            <w:tcBorders>
              <w:top w:val="nil"/>
              <w:left w:val="nil"/>
              <w:bottom w:val="nil"/>
              <w:right w:val="single" w:sz="8" w:space="0" w:color="auto"/>
            </w:tcBorders>
            <w:shd w:val="clear" w:color="auto" w:fill="DDDDDD"/>
            <w:tcMar>
              <w:top w:w="55" w:type="dxa"/>
              <w:left w:w="55" w:type="dxa"/>
              <w:bottom w:w="55" w:type="dxa"/>
              <w:right w:w="55" w:type="dxa"/>
            </w:tcMar>
            <w:hideMark/>
          </w:tcPr>
          <w:p w14:paraId="3552AC40" w14:textId="77777777" w:rsidR="001341EC" w:rsidRPr="00055D4B" w:rsidRDefault="001341EC" w:rsidP="00165AA6">
            <w:pPr>
              <w:jc w:val="both"/>
              <w:rPr>
                <w:rFonts w:ascii="Book Antiqua" w:hAnsi="Book Antiqua"/>
                <w:i/>
                <w:lang w:val="es-ES_tradnl"/>
              </w:rPr>
            </w:pPr>
            <w:r w:rsidRPr="00055D4B">
              <w:rPr>
                <w:rFonts w:ascii="Book Antiqua" w:hAnsi="Book Antiqua"/>
                <w:i/>
                <w:sz w:val="22"/>
                <w:szCs w:val="22"/>
                <w:lang w:val="es-ES_tradnl"/>
              </w:rPr>
              <w:lastRenderedPageBreak/>
              <w:t xml:space="preserve">17 al 21 de </w:t>
            </w:r>
            <w:r w:rsidRPr="00055D4B">
              <w:rPr>
                <w:rFonts w:ascii="Book Antiqua" w:hAnsi="Book Antiqua"/>
                <w:i/>
                <w:sz w:val="22"/>
                <w:szCs w:val="22"/>
                <w:lang w:val="es-ES_tradnl"/>
              </w:rPr>
              <w:lastRenderedPageBreak/>
              <w:t>diciembre de 2018</w:t>
            </w:r>
          </w:p>
        </w:tc>
      </w:tr>
    </w:tbl>
    <w:p w14:paraId="00E84848" w14:textId="77777777" w:rsidR="001341EC" w:rsidRPr="00055D4B" w:rsidRDefault="001341EC" w:rsidP="001341EC">
      <w:pPr>
        <w:jc w:val="both"/>
        <w:rPr>
          <w:rFonts w:ascii="Book Antiqua" w:hAnsi="Book Antiqua"/>
          <w:i/>
          <w:sz w:val="22"/>
          <w:szCs w:val="22"/>
          <w:lang w:val="es-ES_tradnl"/>
        </w:rPr>
      </w:pPr>
    </w:p>
    <w:p w14:paraId="6A29B271" w14:textId="77777777" w:rsidR="001341EC" w:rsidRPr="00055D4B" w:rsidRDefault="001341EC" w:rsidP="001341EC">
      <w:pPr>
        <w:jc w:val="both"/>
        <w:rPr>
          <w:rFonts w:ascii="Book Antiqua" w:hAnsi="Book Antiqua"/>
          <w:b/>
          <w:i/>
          <w:sz w:val="22"/>
          <w:szCs w:val="22"/>
          <w:lang w:val="es-ES_tradnl"/>
        </w:rPr>
      </w:pPr>
      <w:r w:rsidRPr="00055D4B">
        <w:rPr>
          <w:rFonts w:ascii="Book Antiqua" w:hAnsi="Book Antiqua"/>
          <w:b/>
          <w:i/>
          <w:sz w:val="22"/>
          <w:szCs w:val="22"/>
          <w:lang w:val="es-ES_tradnl"/>
        </w:rPr>
        <w:t>Por lo anterior, se solicita al Consejo Superior autorización para lo siguiente:</w:t>
      </w:r>
    </w:p>
    <w:p w14:paraId="5CAF9369" w14:textId="77777777" w:rsidR="001341EC" w:rsidRPr="00055D4B" w:rsidRDefault="001341EC" w:rsidP="001341EC">
      <w:pPr>
        <w:jc w:val="both"/>
        <w:rPr>
          <w:rFonts w:ascii="Book Antiqua" w:hAnsi="Book Antiqua"/>
          <w:i/>
          <w:sz w:val="22"/>
          <w:szCs w:val="22"/>
          <w:lang w:val="es-ES_tradnl"/>
        </w:rPr>
      </w:pPr>
    </w:p>
    <w:p w14:paraId="56B6F9D6"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1.  La realización de las actividades de capacitación en el nuevo Código Procesal Agrario en las siguientes fechas: 3 al 7, 10 al 14 y 17 al 21 de diciembre de 2018, dirigidas a la siguiente población: 09 personas juzgadoras categoría 4 del Tribunal Agrario (incluye Sección Extraordinaria); 26 personas juzgadoras agrarias categoría 3 de los Juzgados Agrarios y de los Juzgados Mixtos que conocen de la materia agraria; 15 personas juzgadoras categoría 1 de las cuales 01 corresponde al juez Tramitador del Tribunal Agrario y 14 personas juzgadoras supernumerarias de las Administraciones Regionales, quienes atienden suplencias de la Jurisdicción Agraria y están en la obligación de capacitarse en materia agraria por disposición del Consejo Superior en forma reiterada; 05 personas profesionales en Derecho 3b quienes fungen como letradas de la Sala Primera de la Corte Suprema de Justicia; 22 personas defensoras públicas agrarias en plazas ordinarias, extraordinarias y suplentes; y 80 personas técnicas judiciales, coordinadoras judiciales y asistentes judiciales agrarias.</w:t>
      </w:r>
    </w:p>
    <w:p w14:paraId="449B66A7"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2.  Suplencia para las personas juzgadoras agrarias, supernumerarias, letradas y personal de apoyo de los despachos (Programa 927).</w:t>
      </w:r>
    </w:p>
    <w:p w14:paraId="18BDDB54"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3.  Permiso con goce salarial y suplencia para una persona juzgadora agraria categoría 4 para el diseño y ejecución de la capacitación; labor que realizará junto con la jueza Damaris Vargas Vásquez, aprovechando el permiso con goce salarial conferido a ésta con ocasión del Proyecto de Modernización de la Jurisdicción Agraria. Ambas plazas fungirán como especialistas en contenido, para el diseño y ejecución de las actividades de capacitación entre el 16 de octubre y el 21 de diciembre de 2018.</w:t>
      </w:r>
    </w:p>
    <w:p w14:paraId="4693E401"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4.  De darse algún cambio en las personas nombradas en las plazas convocadas, se solicita autorización para el cambio correspondiente, quedando de esa forma autorizado para sustitución el número de puesto ante el Centro de Apoyo, Cooperación y Mejoramiento de la Función Jurisdiccional.</w:t>
      </w:r>
    </w:p>
    <w:p w14:paraId="329EE6EF"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Esta propuesta es un primer esfuerzo de capacitación específicamente en el Código Procesal Agrario, por lo que las personas facilitadoras y la Escuela Judicial coordinarán con la Comisión de la Jurisdicción Agraria el Plan de Abordaje de Capacitación para esta reforma.</w:t>
      </w:r>
    </w:p>
    <w:p w14:paraId="150E403C"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La certificación de contenido presupuestario se coordinó con la Dirección de Gestión Humana, aprovechando los recursos no utilizados que habían sido reservados para la capacitación en crimen organizado.</w:t>
      </w:r>
    </w:p>
    <w:p w14:paraId="5EC2F65E"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Respetuosamente de acogerse la solicitud planteada, pido se declare acuerdo firme.”</w:t>
      </w:r>
    </w:p>
    <w:p w14:paraId="7872534E" w14:textId="77777777" w:rsidR="001341EC" w:rsidRPr="00055D4B" w:rsidRDefault="001341EC" w:rsidP="001341EC">
      <w:pPr>
        <w:jc w:val="center"/>
        <w:rPr>
          <w:rFonts w:ascii="Book Antiqua" w:hAnsi="Book Antiqua"/>
          <w:sz w:val="22"/>
          <w:szCs w:val="22"/>
        </w:rPr>
      </w:pPr>
    </w:p>
    <w:p w14:paraId="54F2CB66" w14:textId="77777777" w:rsidR="001341EC" w:rsidRPr="00055D4B" w:rsidRDefault="001341EC" w:rsidP="001341EC">
      <w:pPr>
        <w:jc w:val="center"/>
        <w:rPr>
          <w:rFonts w:ascii="Book Antiqua" w:hAnsi="Book Antiqua"/>
          <w:i/>
          <w:sz w:val="22"/>
          <w:szCs w:val="22"/>
          <w:lang w:val="es-ES_tradnl"/>
        </w:rPr>
      </w:pPr>
      <w:r w:rsidRPr="00055D4B">
        <w:rPr>
          <w:rFonts w:ascii="Book Antiqua" w:hAnsi="Book Antiqua"/>
          <w:i/>
          <w:sz w:val="22"/>
          <w:szCs w:val="22"/>
          <w:lang w:val="es-ES_tradnl"/>
        </w:rPr>
        <w:t>-0-</w:t>
      </w:r>
    </w:p>
    <w:p w14:paraId="0171EFD6" w14:textId="77777777" w:rsidR="001341EC" w:rsidRPr="008160E4"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 xml:space="preserve">A esos efectos, la máster Damaris Vargas Vásquez, adjuntó certificación de contenido presupuestario N° 449-P -2018, suscrita por el máster Miguel Ovares Chavarría, Jefe interino del Departamento Financiero Contable, la cual indica que en la Partida 0 “Remuneraciones”, del presupuesto del año 2018, se incorporaron recursos mediante Ley N.º 9514, para “Cubrir el costo estimado para otorgar permiso con goce de salario y sustitución a 9 Jueces 4, 26 Jueces 3, 14 Jueces Supernumerarios, 1 Juez 1, 5 Profesionales en Derecho 3B, 80 Técnicos Judiciales 3, por el período del 03-12-2018 al 09-12-2018 y 1 Juez 4 por el período del 16-10-2018 al 21-12-208”, por un monto total estimado de ¢63.579.289,76 (sesenta y tres millones quinientos </w:t>
      </w:r>
      <w:r w:rsidRPr="00055D4B">
        <w:rPr>
          <w:rFonts w:ascii="Book Antiqua" w:hAnsi="Book Antiqua"/>
          <w:i/>
          <w:sz w:val="22"/>
          <w:szCs w:val="22"/>
          <w:lang w:val="es-ES_tradnl"/>
        </w:rPr>
        <w:lastRenderedPageBreak/>
        <w:t>setenta y nueve mil doscientos ochenta y nueve colones con 76/100) distribuidos en los siguientes programas, subpartidas y fuente de financiamiento:</w:t>
      </w:r>
    </w:p>
    <w:p w14:paraId="0B0A87D0" w14:textId="77777777" w:rsidR="001341EC" w:rsidRPr="00055D4B" w:rsidRDefault="001341EC" w:rsidP="001341EC">
      <w:pPr>
        <w:jc w:val="both"/>
        <w:rPr>
          <w:rFonts w:ascii="Book Antiqua" w:hAnsi="Book Antiqua"/>
          <w:i/>
          <w:sz w:val="22"/>
          <w:szCs w:val="22"/>
          <w:lang w:val="es-ES_tradnl"/>
        </w:rPr>
      </w:pPr>
    </w:p>
    <w:p w14:paraId="2E08EA57" w14:textId="77777777" w:rsidR="001341EC" w:rsidRPr="00055D4B" w:rsidRDefault="001341EC" w:rsidP="001341EC">
      <w:pPr>
        <w:jc w:val="center"/>
        <w:rPr>
          <w:rFonts w:ascii="Book Antiqua" w:hAnsi="Book Antiqua"/>
          <w:i/>
          <w:sz w:val="22"/>
          <w:szCs w:val="22"/>
          <w:lang w:val="es-ES_tradnl"/>
        </w:rPr>
      </w:pPr>
      <w:r>
        <w:rPr>
          <w:rFonts w:ascii="Book Antiqua" w:hAnsi="Book Antiqua"/>
          <w:i/>
          <w:noProof/>
          <w:sz w:val="22"/>
          <w:szCs w:val="22"/>
          <w:lang w:val="es-ES"/>
        </w:rPr>
        <w:drawing>
          <wp:inline distT="0" distB="0" distL="0" distR="0" wp14:anchorId="611089DB" wp14:editId="52857F62">
            <wp:extent cx="4450080" cy="982980"/>
            <wp:effectExtent l="19050" t="0" r="7620" b="0"/>
            <wp:docPr id="5" name="Imagen 6" descr="C:\Users\mvillalobosgr\Desktop\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mvillalobosgr\Desktop\Captura.PNG"/>
                    <pic:cNvPicPr>
                      <a:picLocks noChangeAspect="1" noChangeArrowheads="1"/>
                    </pic:cNvPicPr>
                  </pic:nvPicPr>
                  <pic:blipFill>
                    <a:blip r:embed="rId18" cstate="print"/>
                    <a:srcRect/>
                    <a:stretch>
                      <a:fillRect/>
                    </a:stretch>
                  </pic:blipFill>
                  <pic:spPr bwMode="auto">
                    <a:xfrm>
                      <a:off x="0" y="0"/>
                      <a:ext cx="4450080" cy="982980"/>
                    </a:xfrm>
                    <a:prstGeom prst="rect">
                      <a:avLst/>
                    </a:prstGeom>
                    <a:noFill/>
                    <a:ln w="9525">
                      <a:noFill/>
                      <a:miter lim="800000"/>
                      <a:headEnd/>
                      <a:tailEnd/>
                    </a:ln>
                  </pic:spPr>
                </pic:pic>
              </a:graphicData>
            </a:graphic>
          </wp:inline>
        </w:drawing>
      </w:r>
    </w:p>
    <w:p w14:paraId="2712DE4A" w14:textId="77777777" w:rsidR="001341EC" w:rsidRPr="008160E4" w:rsidRDefault="001341EC" w:rsidP="001341EC">
      <w:pPr>
        <w:spacing w:line="480" w:lineRule="auto"/>
        <w:jc w:val="both"/>
        <w:rPr>
          <w:rFonts w:ascii="Book Antiqua" w:hAnsi="Book Antiqua"/>
          <w:sz w:val="22"/>
          <w:szCs w:val="22"/>
          <w:lang w:val="es-ES_tradnl"/>
        </w:rPr>
      </w:pPr>
      <w:r w:rsidRPr="00055D4B">
        <w:rPr>
          <w:rFonts w:ascii="Book Antiqua" w:hAnsi="Book Antiqua"/>
          <w:sz w:val="22"/>
          <w:szCs w:val="22"/>
          <w:lang w:val="es-ES_tradnl"/>
        </w:rPr>
        <w:t>La propuesta descrita anteriormente, se aprobó en la sesión 86-18 celebrada el 2 de octubre de 2018, artículo X</w:t>
      </w:r>
      <w:r w:rsidRPr="008160E4">
        <w:rPr>
          <w:rFonts w:ascii="Book Antiqua" w:hAnsi="Book Antiqua"/>
          <w:sz w:val="22"/>
          <w:szCs w:val="22"/>
          <w:lang w:val="es-ES_tradnl"/>
        </w:rPr>
        <w:t>V, que literalmente indica:</w:t>
      </w:r>
    </w:p>
    <w:p w14:paraId="19E69470"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sz w:val="22"/>
          <w:szCs w:val="22"/>
          <w:lang w:val="es-ES_tradnl"/>
        </w:rPr>
        <w:t>“…</w:t>
      </w:r>
      <w:r w:rsidRPr="00055D4B">
        <w:rPr>
          <w:rFonts w:ascii="Book Antiqua" w:hAnsi="Book Antiqua"/>
          <w:i/>
          <w:sz w:val="22"/>
          <w:szCs w:val="22"/>
          <w:lang w:val="es-ES_tradnl"/>
        </w:rPr>
        <w:t xml:space="preserve">Acoger la solicitud presentada mediante correo electrónico de 1 de octubre de 2018, por la Magistrada </w:t>
      </w:r>
      <w:proofErr w:type="spellStart"/>
      <w:r w:rsidRPr="00055D4B">
        <w:rPr>
          <w:rFonts w:ascii="Book Antiqua" w:hAnsi="Book Antiqua"/>
          <w:i/>
          <w:sz w:val="22"/>
          <w:szCs w:val="22"/>
          <w:lang w:val="es-ES_tradnl"/>
        </w:rPr>
        <w:t>Carmenmaría</w:t>
      </w:r>
      <w:proofErr w:type="spellEnd"/>
      <w:r w:rsidRPr="00055D4B">
        <w:rPr>
          <w:rFonts w:ascii="Book Antiqua" w:hAnsi="Book Antiqua"/>
          <w:i/>
          <w:sz w:val="22"/>
          <w:szCs w:val="22"/>
          <w:lang w:val="es-ES_tradnl"/>
        </w:rPr>
        <w:t xml:space="preserve"> Escoto Fernández, en su condición de Presidenta de la Comisión de la Jurisdicción Agraria y Agroambiental, en consecuencia: 1.) Aprobar la realización de las actividades de capacitación en el nuevo Código Procesal Agrario durante las siguientes fechas: 3 al 7, 10 al 14 y 17 al 21 de diciembre de 2018, dirigidas a la siguiente población: 09 personas juzgadoras categoría 4 del Tribunal Agrario (incluye Sección Extraordinaria); 26 personas juzgadoras agrarias categoría 3 de los Juzgados Agrarios y de los Juzgados Mixtos que conocen de la materia agraria; 15 personas juzgadoras categoría 1 (de las cuales 01 corresponde al juez 1 Tramitador del Tribunal Agrario y 14 personas juzgadoras supernumerarias de las Administraciones Regionales), quienes atienden suplencias de la Jurisdicción Agraria; 05 personas profesionales en Derecho 3b quienes fungen como letradas de la Sala Primera de la Corte Suprema de Justicia; 22 personas defensoras públicas agrarias en plazas ordinarias, extraordinarias y suplentes; y 80 personas técnicas judiciales, coordinadoras judiciales y asistentes judiciales agrarias. En razón de lo anterior, la Comisión de la Jurisdicción Agraria y Agroambiental procederá a informar a este Consejo Superior la lista de los funcionarios que participaran. 2.) Autorizar la participación con sustitución de los servidores juzgadores agrarios, supernumerarios, letrados y personal de apoyo de los despachos, con cargo al programa 927, subpartidas 105, 301, 302 y 399, fuente de financiamiento 001. 3.) Autorizar la participación sin sustitución para los 22 funcionarios defensores públicos agrarios. 4.) De conformidad con lo que establece el artículo 44 de la Ley Orgánica del Poder Judicial y políticas aprobadas por la Corte Plena, por tratarse de un asunto de interés institucional, conceder permiso con goce de salario y sustitución a partir del 16 de octubre y hasta el 21 de diciembre de 2018, a una persona juzgadora agraria categoría 4 para el diseño y ejecución de la capacitación detallada. A esos efectos, la Comisión de la Jurisdicción Agraria y Agroambiental, informará el número de código de plaza designado, para dichas labores. 4.) En caso de darse algún cambio en la persona nombrada en las plazas convocadas, se autoriza a realizar el cambio correspondiente en igualdad de condiciones. 5.) En virtud de la importancia del contenido de la capacitación a recibir, deberán los asistentes coordinar lo necesario, a fin de transmitir los conocimientos adquiridos al equipo de trabajo del cual forma parte, en lo que les pueda ser de beneficio en el cumplimiento de sus labores, según los requerimientos institucionales. 6.) Indicar a las personas participantes, que la inasistencia a la actividad de referencia, deberá justificarse directamente ante los organizadores y no ante este Consejo.</w:t>
      </w:r>
    </w:p>
    <w:p w14:paraId="3DD95CD3" w14:textId="77777777" w:rsidR="001341EC" w:rsidRPr="00055D4B" w:rsidRDefault="001341EC" w:rsidP="001341EC">
      <w:pPr>
        <w:jc w:val="both"/>
        <w:rPr>
          <w:rFonts w:ascii="Book Antiqua" w:hAnsi="Book Antiqua"/>
          <w:i/>
          <w:sz w:val="22"/>
          <w:szCs w:val="22"/>
          <w:lang w:val="es-ES_tradnl"/>
        </w:rPr>
      </w:pPr>
      <w:r w:rsidRPr="00055D4B">
        <w:rPr>
          <w:rFonts w:ascii="Book Antiqua" w:hAnsi="Book Antiqua"/>
          <w:i/>
          <w:sz w:val="22"/>
          <w:szCs w:val="22"/>
          <w:lang w:val="es-ES_tradnl"/>
        </w:rPr>
        <w:t>La Defensa Pública, la Escuela Judicial, la Dirección de Gestión Humana y el Centro de Apoyo, Coordinación y Mejoramiento de la Función Jurisdiccional, tomarán nota para lo que corresponda. Se declara acuerdo firme.</w:t>
      </w:r>
    </w:p>
    <w:p w14:paraId="56CADB76" w14:textId="77777777" w:rsidR="001341EC" w:rsidRPr="00055D4B" w:rsidRDefault="001341EC" w:rsidP="001341EC">
      <w:pPr>
        <w:spacing w:after="160" w:line="252" w:lineRule="auto"/>
        <w:ind w:right="851"/>
        <w:jc w:val="both"/>
        <w:textAlignment w:val="baseline"/>
        <w:rPr>
          <w:rFonts w:ascii="Book Antiqua" w:hAnsi="Book Antiqua"/>
          <w:i/>
          <w:iCs/>
          <w:sz w:val="22"/>
          <w:szCs w:val="22"/>
          <w:lang w:eastAsia="en-US"/>
        </w:rPr>
      </w:pPr>
    </w:p>
    <w:p w14:paraId="3F522711" w14:textId="77777777" w:rsidR="001341EC" w:rsidRPr="00055D4B" w:rsidRDefault="001341EC" w:rsidP="001341EC">
      <w:pPr>
        <w:spacing w:after="240"/>
        <w:jc w:val="both"/>
        <w:rPr>
          <w:rFonts w:ascii="Book Antiqua" w:eastAsia="Arial" w:hAnsi="Book Antiqua"/>
          <w:sz w:val="22"/>
          <w:szCs w:val="22"/>
        </w:rPr>
      </w:pPr>
      <w:r w:rsidRPr="00055D4B">
        <w:rPr>
          <w:rFonts w:ascii="Book Antiqua" w:eastAsia="Arial" w:hAnsi="Book Antiqua"/>
          <w:sz w:val="22"/>
          <w:szCs w:val="22"/>
        </w:rPr>
        <w:lastRenderedPageBreak/>
        <w:t xml:space="preserve">Adicionalmente, la Licenciada Ileana Guillén Rodríguez, Directora Interina de la Escuela Judicial en ese momento informa el listado de personas participantes, con el fin de materializar el permiso con goce de salario y sustitución a las personas juzgadoras y personal técnico judicial ya aprobados, listados que se conforman de 72 personas profesionales (incluye 5  profesionales en derecho 3B solicitados vía correo el martes 27 de noviembre, por el </w:t>
      </w:r>
      <w:proofErr w:type="spellStart"/>
      <w:r w:rsidRPr="00055D4B">
        <w:rPr>
          <w:rFonts w:ascii="Book Antiqua" w:eastAsia="Arial" w:hAnsi="Book Antiqua"/>
          <w:sz w:val="22"/>
          <w:szCs w:val="22"/>
        </w:rPr>
        <w:t>M.Sc</w:t>
      </w:r>
      <w:proofErr w:type="spellEnd"/>
      <w:r w:rsidRPr="00055D4B">
        <w:rPr>
          <w:rFonts w:ascii="Book Antiqua" w:eastAsia="Arial" w:hAnsi="Book Antiqua"/>
          <w:sz w:val="22"/>
          <w:szCs w:val="22"/>
        </w:rPr>
        <w:t xml:space="preserve"> Gustavo </w:t>
      </w:r>
      <w:proofErr w:type="spellStart"/>
      <w:r w:rsidRPr="00055D4B">
        <w:rPr>
          <w:rFonts w:ascii="Book Antiqua" w:eastAsia="Arial" w:hAnsi="Book Antiqua"/>
          <w:sz w:val="22"/>
          <w:szCs w:val="22"/>
        </w:rPr>
        <w:t>Céspedes</w:t>
      </w:r>
      <w:proofErr w:type="spellEnd"/>
      <w:r w:rsidRPr="00055D4B">
        <w:rPr>
          <w:rFonts w:ascii="Book Antiqua" w:eastAsia="Arial" w:hAnsi="Book Antiqua"/>
          <w:sz w:val="22"/>
          <w:szCs w:val="22"/>
        </w:rPr>
        <w:t xml:space="preserve">, en adición al oficio 342 EJ-2018) y 69 personal auxiliar. </w:t>
      </w:r>
    </w:p>
    <w:p w14:paraId="4DB191EA" w14:textId="77777777" w:rsidR="001341EC" w:rsidRPr="00055D4B" w:rsidRDefault="001341EC" w:rsidP="001341EC">
      <w:pPr>
        <w:spacing w:after="240"/>
        <w:jc w:val="both"/>
        <w:rPr>
          <w:rFonts w:ascii="Book Antiqua" w:eastAsia="Arial" w:hAnsi="Book Antiqua"/>
          <w:sz w:val="22"/>
          <w:szCs w:val="22"/>
        </w:rPr>
      </w:pPr>
      <w:r w:rsidRPr="00055D4B">
        <w:rPr>
          <w:rFonts w:ascii="Book Antiqua" w:eastAsia="Arial" w:hAnsi="Book Antiqua"/>
          <w:sz w:val="22"/>
          <w:szCs w:val="22"/>
        </w:rPr>
        <w:t>Informó la Magistrada Escoto que esa gestión se conoció fuera de agenda en la sesión del Consejo Superior celebrada el 27 de noviembre pasado, autorizándose la participación. (ver anexo 20 que contiene dichos acuerdos)</w:t>
      </w:r>
    </w:p>
    <w:p w14:paraId="30379693" w14:textId="77777777" w:rsidR="001341EC" w:rsidRPr="00055D4B" w:rsidRDefault="001341EC" w:rsidP="001341EC">
      <w:pPr>
        <w:jc w:val="both"/>
        <w:rPr>
          <w:rFonts w:ascii="Book Antiqua" w:hAnsi="Book Antiqua"/>
          <w:sz w:val="22"/>
          <w:szCs w:val="22"/>
          <w:lang w:val="es-ES_tradnl"/>
        </w:rPr>
      </w:pPr>
      <w:r w:rsidRPr="00055D4B">
        <w:rPr>
          <w:rFonts w:ascii="Book Antiqua" w:hAnsi="Book Antiqua"/>
          <w:sz w:val="22"/>
          <w:szCs w:val="22"/>
          <w:lang w:val="es-ES_tradnl"/>
        </w:rPr>
        <w:t xml:space="preserve">Con base en lo anterior, la Dirección de Planificación analiza la información suministrada por el </w:t>
      </w:r>
      <w:proofErr w:type="spellStart"/>
      <w:r w:rsidRPr="00055D4B">
        <w:rPr>
          <w:rFonts w:ascii="Book Antiqua" w:hAnsi="Book Antiqua"/>
          <w:sz w:val="22"/>
          <w:szCs w:val="22"/>
          <w:lang w:val="es-ES_tradnl"/>
        </w:rPr>
        <w:t>M.Sc</w:t>
      </w:r>
      <w:proofErr w:type="spellEnd"/>
      <w:r w:rsidRPr="00055D4B">
        <w:rPr>
          <w:rFonts w:ascii="Book Antiqua" w:hAnsi="Book Antiqua"/>
          <w:sz w:val="22"/>
          <w:szCs w:val="22"/>
          <w:lang w:val="es-ES_tradnl"/>
        </w:rPr>
        <w:t xml:space="preserve">. Gustavo Céspedes, abogado Gestor de Capacitación de la Escuela Judicial, vía correo electrónico del 27 de febrero del año en curso </w:t>
      </w:r>
      <w:r w:rsidRPr="00055D4B">
        <w:rPr>
          <w:rFonts w:ascii="Book Antiqua" w:hAnsi="Book Antiqua"/>
          <w:b/>
          <w:i/>
          <w:sz w:val="22"/>
          <w:szCs w:val="22"/>
          <w:lang w:val="es-ES_tradnl"/>
        </w:rPr>
        <w:t xml:space="preserve">(ver anexo 5. </w:t>
      </w:r>
      <w:r w:rsidRPr="00055D4B">
        <w:rPr>
          <w:rFonts w:ascii="Book Antiqua" w:hAnsi="Book Antiqua"/>
          <w:b/>
          <w:i/>
          <w:sz w:val="22"/>
          <w:szCs w:val="22"/>
        </w:rPr>
        <w:t>Correo sobre Propuesta de Capacitación en materia Agraria)</w:t>
      </w:r>
      <w:r w:rsidRPr="00055D4B">
        <w:rPr>
          <w:rFonts w:ascii="Book Antiqua" w:hAnsi="Book Antiqua"/>
          <w:b/>
          <w:i/>
          <w:sz w:val="22"/>
          <w:szCs w:val="22"/>
          <w:lang w:val="es-ES_tradnl"/>
        </w:rPr>
        <w:t xml:space="preserve">, </w:t>
      </w:r>
      <w:r w:rsidRPr="00055D4B">
        <w:rPr>
          <w:rFonts w:ascii="Book Antiqua" w:hAnsi="Book Antiqua"/>
          <w:sz w:val="22"/>
          <w:szCs w:val="22"/>
          <w:lang w:val="es-ES_tradnl"/>
        </w:rPr>
        <w:t>que en resumen solicita lo siguiente:</w:t>
      </w:r>
    </w:p>
    <w:p w14:paraId="5F9853B3" w14:textId="77777777" w:rsidR="001341EC" w:rsidRPr="00055D4B" w:rsidRDefault="001341EC" w:rsidP="001341EC">
      <w:pPr>
        <w:jc w:val="both"/>
        <w:rPr>
          <w:rFonts w:ascii="Book Antiqua" w:hAnsi="Book Antiqua"/>
          <w:b/>
          <w:i/>
          <w:sz w:val="22"/>
          <w:szCs w:val="22"/>
          <w:lang w:val="es-ES_tradnl"/>
        </w:rPr>
      </w:pPr>
    </w:p>
    <w:p w14:paraId="71CFF31C" w14:textId="77777777" w:rsidR="001341EC" w:rsidRPr="00055D4B" w:rsidRDefault="001341EC" w:rsidP="001341EC">
      <w:pPr>
        <w:pStyle w:val="Prrafodelista"/>
        <w:numPr>
          <w:ilvl w:val="0"/>
          <w:numId w:val="4"/>
        </w:numPr>
        <w:spacing w:after="240"/>
        <w:rPr>
          <w:rFonts w:ascii="Book Antiqua" w:eastAsia="Arial" w:hAnsi="Book Antiqua"/>
          <w:sz w:val="22"/>
          <w:szCs w:val="22"/>
        </w:rPr>
      </w:pPr>
      <w:r w:rsidRPr="00055D4B">
        <w:rPr>
          <w:rFonts w:ascii="Book Antiqua" w:eastAsia="Arial" w:hAnsi="Book Antiqua"/>
          <w:sz w:val="22"/>
          <w:szCs w:val="22"/>
        </w:rPr>
        <w:t xml:space="preserve">Ejecución de </w:t>
      </w:r>
      <w:r w:rsidRPr="00055D4B">
        <w:rPr>
          <w:rFonts w:ascii="Book Antiqua" w:eastAsia="Arial" w:hAnsi="Book Antiqua"/>
          <w:b/>
          <w:sz w:val="22"/>
          <w:szCs w:val="22"/>
        </w:rPr>
        <w:t>8</w:t>
      </w:r>
      <w:r w:rsidRPr="00055D4B">
        <w:rPr>
          <w:rFonts w:ascii="Book Antiqua" w:eastAsia="Arial" w:hAnsi="Book Antiqua"/>
          <w:sz w:val="22"/>
          <w:szCs w:val="22"/>
        </w:rPr>
        <w:t xml:space="preserve"> cursos dirigidos a personal profesional, con una duración de 5 días hábiles. Población a abarcar: 160 </w:t>
      </w:r>
      <w:r w:rsidRPr="00055D4B">
        <w:rPr>
          <w:rFonts w:ascii="Book Antiqua" w:eastAsia="Arial" w:hAnsi="Book Antiqua"/>
          <w:b/>
          <w:sz w:val="22"/>
          <w:szCs w:val="22"/>
        </w:rPr>
        <w:t>personas profesionales</w:t>
      </w:r>
      <w:r w:rsidRPr="00055D4B">
        <w:rPr>
          <w:rFonts w:ascii="Book Antiqua" w:eastAsia="Arial" w:hAnsi="Book Antiqua"/>
          <w:sz w:val="22"/>
          <w:szCs w:val="22"/>
        </w:rPr>
        <w:t xml:space="preserve">. </w:t>
      </w:r>
    </w:p>
    <w:p w14:paraId="51AE6764" w14:textId="77777777" w:rsidR="001341EC" w:rsidRPr="00055D4B" w:rsidRDefault="001341EC" w:rsidP="001341EC">
      <w:pPr>
        <w:pStyle w:val="Prrafodelista"/>
        <w:numPr>
          <w:ilvl w:val="0"/>
          <w:numId w:val="4"/>
        </w:numPr>
        <w:spacing w:after="240"/>
        <w:rPr>
          <w:rFonts w:ascii="Book Antiqua" w:eastAsia="Arial" w:hAnsi="Book Antiqua"/>
          <w:b/>
          <w:sz w:val="22"/>
          <w:szCs w:val="22"/>
        </w:rPr>
      </w:pPr>
      <w:r w:rsidRPr="00055D4B">
        <w:rPr>
          <w:rFonts w:ascii="Book Antiqua" w:eastAsia="Arial" w:hAnsi="Book Antiqua"/>
          <w:sz w:val="22"/>
          <w:szCs w:val="22"/>
        </w:rPr>
        <w:t xml:space="preserve">Ejecución de 4 cursos presenciales dirigidos a personal auxiliar, con una duración de 5 días hábiles. Población a abarcar: </w:t>
      </w:r>
      <w:r w:rsidRPr="00055D4B">
        <w:rPr>
          <w:rFonts w:ascii="Book Antiqua" w:eastAsia="Arial" w:hAnsi="Book Antiqua"/>
          <w:b/>
          <w:sz w:val="22"/>
          <w:szCs w:val="22"/>
        </w:rPr>
        <w:t>82 personas auxiliares</w:t>
      </w:r>
    </w:p>
    <w:p w14:paraId="2AC148A9" w14:textId="77777777" w:rsidR="001341EC" w:rsidRPr="00055D4B" w:rsidRDefault="001341EC" w:rsidP="001341EC">
      <w:pPr>
        <w:pStyle w:val="Prrafodelista"/>
        <w:numPr>
          <w:ilvl w:val="0"/>
          <w:numId w:val="4"/>
        </w:numPr>
        <w:spacing w:after="240"/>
        <w:rPr>
          <w:rFonts w:ascii="Book Antiqua" w:eastAsia="Arial" w:hAnsi="Book Antiqua"/>
          <w:b/>
          <w:sz w:val="22"/>
          <w:szCs w:val="22"/>
        </w:rPr>
      </w:pPr>
      <w:r w:rsidRPr="00055D4B">
        <w:rPr>
          <w:rFonts w:ascii="Book Antiqua" w:eastAsia="Arial" w:hAnsi="Book Antiqua"/>
          <w:sz w:val="22"/>
          <w:szCs w:val="22"/>
        </w:rPr>
        <w:t xml:space="preserve">Costo del proyecto de capacitación en millones de colones: </w:t>
      </w:r>
      <w:r w:rsidRPr="00055D4B">
        <w:rPr>
          <w:rFonts w:ascii="Times New Roman" w:eastAsia="Arial" w:hAnsi="Times New Roman" w:cs="Times New Roman"/>
          <w:b/>
          <w:sz w:val="22"/>
          <w:szCs w:val="22"/>
        </w:rPr>
        <w:t>₡</w:t>
      </w:r>
      <w:r w:rsidRPr="00055D4B">
        <w:rPr>
          <w:rFonts w:ascii="Book Antiqua" w:eastAsia="Arial" w:hAnsi="Book Antiqua"/>
          <w:b/>
          <w:sz w:val="22"/>
          <w:szCs w:val="22"/>
        </w:rPr>
        <w:t>80.384.300,00</w:t>
      </w:r>
    </w:p>
    <w:p w14:paraId="540D535C" w14:textId="77777777" w:rsidR="001341EC" w:rsidRPr="00055D4B" w:rsidRDefault="001341EC" w:rsidP="001341EC">
      <w:pPr>
        <w:jc w:val="both"/>
        <w:rPr>
          <w:rFonts w:ascii="Book Antiqua" w:hAnsi="Book Antiqua"/>
          <w:sz w:val="22"/>
          <w:szCs w:val="22"/>
          <w:lang w:val="es-ES_tradnl"/>
        </w:rPr>
      </w:pPr>
      <w:r w:rsidRPr="00055D4B">
        <w:rPr>
          <w:rFonts w:ascii="Book Antiqua" w:hAnsi="Book Antiqua"/>
          <w:sz w:val="22"/>
          <w:szCs w:val="22"/>
          <w:lang w:val="es-ES_tradnl"/>
        </w:rPr>
        <w:t xml:space="preserve">Sin embargo, tomando en consideración que el Poder Judicial aprobó la capacitación por un monto de </w:t>
      </w:r>
      <w:r w:rsidRPr="008160E4">
        <w:rPr>
          <w:rFonts w:ascii="Book Antiqua" w:hAnsi="Book Antiqua"/>
          <w:i/>
          <w:sz w:val="22"/>
          <w:szCs w:val="22"/>
          <w:lang w:val="es-ES_tradnl"/>
        </w:rPr>
        <w:t>¢</w:t>
      </w:r>
      <w:r w:rsidRPr="00055D4B">
        <w:rPr>
          <w:rFonts w:ascii="Book Antiqua" w:hAnsi="Book Antiqua"/>
          <w:sz w:val="22"/>
          <w:szCs w:val="22"/>
          <w:lang w:val="es-ES_tradnl"/>
        </w:rPr>
        <w:t xml:space="preserve">63 579 298,76, según acuerdo tomado en la </w:t>
      </w:r>
      <w:r w:rsidRPr="008160E4">
        <w:rPr>
          <w:rFonts w:ascii="Book Antiqua" w:hAnsi="Book Antiqua"/>
          <w:sz w:val="22"/>
          <w:szCs w:val="22"/>
          <w:lang w:val="es-ES_tradnl"/>
        </w:rPr>
        <w:t>sesión 86-18 celebrada el 2 de octubre de 2018, artículo XV, detallado en líneas anteriores</w:t>
      </w:r>
      <w:r w:rsidRPr="00055D4B">
        <w:rPr>
          <w:rFonts w:ascii="Book Antiqua" w:hAnsi="Book Antiqua"/>
          <w:sz w:val="22"/>
          <w:szCs w:val="22"/>
          <w:lang w:val="es-ES_tradnl"/>
        </w:rPr>
        <w:t>;</w:t>
      </w:r>
      <w:r w:rsidRPr="008160E4">
        <w:rPr>
          <w:rFonts w:ascii="Book Antiqua" w:hAnsi="Book Antiqua"/>
          <w:sz w:val="22"/>
          <w:szCs w:val="22"/>
          <w:lang w:val="es-ES_tradnl"/>
        </w:rPr>
        <w:t xml:space="preserve"> esta Dirección considera que se debe fortalecer esta capacitación </w:t>
      </w:r>
      <w:r w:rsidRPr="00055D4B">
        <w:rPr>
          <w:rFonts w:ascii="Book Antiqua" w:hAnsi="Book Antiqua"/>
          <w:sz w:val="22"/>
          <w:szCs w:val="22"/>
          <w:lang w:val="es-ES_tradnl"/>
        </w:rPr>
        <w:t>durante el 2020 a</w:t>
      </w:r>
      <w:r w:rsidRPr="008160E4">
        <w:rPr>
          <w:rFonts w:ascii="Book Antiqua" w:hAnsi="Book Antiqua"/>
          <w:sz w:val="22"/>
          <w:szCs w:val="22"/>
          <w:lang w:val="es-ES_tradnl"/>
        </w:rPr>
        <w:t xml:space="preserve"> la población restante</w:t>
      </w:r>
      <w:r w:rsidRPr="00055D4B">
        <w:rPr>
          <w:rFonts w:ascii="Book Antiqua" w:hAnsi="Book Antiqua"/>
          <w:sz w:val="22"/>
          <w:szCs w:val="22"/>
          <w:lang w:val="es-ES_tradnl"/>
        </w:rPr>
        <w:t>,</w:t>
      </w:r>
      <w:r w:rsidRPr="008160E4">
        <w:rPr>
          <w:rFonts w:ascii="Book Antiqua" w:hAnsi="Book Antiqua"/>
          <w:sz w:val="22"/>
          <w:szCs w:val="22"/>
          <w:lang w:val="es-ES_tradnl"/>
        </w:rPr>
        <w:t xml:space="preserve"> que no pudo ser capacitada</w:t>
      </w:r>
      <w:r w:rsidRPr="00055D4B">
        <w:rPr>
          <w:rFonts w:ascii="Book Antiqua" w:hAnsi="Book Antiqua"/>
          <w:sz w:val="22"/>
          <w:szCs w:val="22"/>
          <w:lang w:val="es-ES_tradnl"/>
        </w:rPr>
        <w:t xml:space="preserve"> al finalizar el 2019</w:t>
      </w:r>
      <w:r w:rsidRPr="008160E4">
        <w:rPr>
          <w:rFonts w:ascii="Book Antiqua" w:hAnsi="Book Antiqua"/>
          <w:sz w:val="22"/>
          <w:szCs w:val="22"/>
          <w:lang w:val="es-ES_tradnl"/>
        </w:rPr>
        <w:t>, según se detalla a continuación</w:t>
      </w:r>
      <w:r w:rsidRPr="00055D4B">
        <w:rPr>
          <w:rFonts w:ascii="Book Antiqua" w:hAnsi="Book Antiqua"/>
          <w:sz w:val="22"/>
          <w:szCs w:val="22"/>
          <w:lang w:val="es-ES_tradnl"/>
        </w:rPr>
        <w:t xml:space="preserve"> en el siguiente punto.</w:t>
      </w:r>
    </w:p>
    <w:p w14:paraId="1E43D3B4" w14:textId="77777777" w:rsidR="001341EC" w:rsidRPr="00055D4B" w:rsidRDefault="001341EC" w:rsidP="001341EC">
      <w:pPr>
        <w:jc w:val="both"/>
        <w:rPr>
          <w:rFonts w:ascii="Book Antiqua" w:hAnsi="Book Antiqua"/>
          <w:sz w:val="22"/>
          <w:szCs w:val="22"/>
          <w:lang w:val="es-ES_tradnl"/>
        </w:rPr>
      </w:pPr>
    </w:p>
    <w:p w14:paraId="2B1D6DB8" w14:textId="77777777" w:rsidR="001341EC" w:rsidRDefault="001341EC" w:rsidP="001341EC">
      <w:pPr>
        <w:jc w:val="both"/>
        <w:rPr>
          <w:rFonts w:ascii="Book Antiqua" w:hAnsi="Book Antiqua"/>
          <w:sz w:val="22"/>
          <w:szCs w:val="22"/>
          <w:lang w:val="es-ES_tradnl"/>
        </w:rPr>
      </w:pPr>
    </w:p>
    <w:p w14:paraId="2306F0B4" w14:textId="77777777" w:rsidR="001341EC" w:rsidRPr="000D3830" w:rsidRDefault="001341EC" w:rsidP="00165AA6">
      <w:pPr>
        <w:pStyle w:val="Ttulo3"/>
        <w:keepLines/>
        <w:numPr>
          <w:ilvl w:val="2"/>
          <w:numId w:val="42"/>
        </w:numPr>
        <w:spacing w:before="40" w:after="0"/>
        <w:jc w:val="both"/>
        <w:rPr>
          <w:rFonts w:ascii="Book Antiqua" w:hAnsi="Book Antiqua"/>
          <w:sz w:val="22"/>
          <w:szCs w:val="22"/>
        </w:rPr>
      </w:pPr>
      <w:bookmarkStart w:id="16" w:name="_Hlk4491468"/>
      <w:r w:rsidRPr="000D3830">
        <w:rPr>
          <w:rFonts w:ascii="Book Antiqua" w:hAnsi="Book Antiqua"/>
          <w:sz w:val="22"/>
          <w:szCs w:val="22"/>
        </w:rPr>
        <w:t>Recurso humano y presupuesto requerido para capacitación</w:t>
      </w:r>
    </w:p>
    <w:p w14:paraId="5C4D0075" w14:textId="77777777" w:rsidR="001341EC" w:rsidRPr="009471FA" w:rsidRDefault="001341EC" w:rsidP="001341EC">
      <w:pPr>
        <w:spacing w:line="159" w:lineRule="exact"/>
        <w:rPr>
          <w:rFonts w:ascii="Book Antiqua" w:hAnsi="Book Antiqua"/>
          <w:sz w:val="22"/>
          <w:szCs w:val="22"/>
        </w:rPr>
      </w:pPr>
    </w:p>
    <w:p w14:paraId="111764E5" w14:textId="77777777" w:rsidR="001341EC" w:rsidRPr="00055D4B" w:rsidRDefault="001341EC" w:rsidP="001341EC">
      <w:pPr>
        <w:jc w:val="both"/>
        <w:rPr>
          <w:rFonts w:ascii="Book Antiqua" w:hAnsi="Book Antiqua"/>
          <w:sz w:val="22"/>
          <w:szCs w:val="22"/>
          <w:lang w:val="es-ES_tradnl"/>
        </w:rPr>
      </w:pPr>
      <w:r w:rsidRPr="00055D4B">
        <w:rPr>
          <w:rFonts w:ascii="Book Antiqua" w:hAnsi="Book Antiqua"/>
          <w:sz w:val="22"/>
          <w:szCs w:val="22"/>
          <w:lang w:val="es-ES_tradnl"/>
        </w:rPr>
        <w:t xml:space="preserve">Para determinar el costo del proceso de capacitación propuesto, se analizan los siguientes rubros, con la colaboración del Área Administrativa de la Escuela Judicial. </w:t>
      </w:r>
    </w:p>
    <w:p w14:paraId="4986573E" w14:textId="77777777" w:rsidR="001341EC" w:rsidRPr="00055D4B" w:rsidRDefault="001341EC" w:rsidP="001341EC">
      <w:pPr>
        <w:jc w:val="both"/>
        <w:rPr>
          <w:rFonts w:ascii="Book Antiqua" w:hAnsi="Book Antiqua"/>
          <w:sz w:val="22"/>
          <w:szCs w:val="22"/>
          <w:lang w:val="es-ES_tradnl"/>
        </w:rPr>
      </w:pPr>
    </w:p>
    <w:p w14:paraId="41CDCC40"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Importante mencionar, que la cantidad de personal capacitado al finalizar el 2018, fue de 72 personas juzgadoras y 69 personas técnicas judiciales, por lo que la cantidad de personal a la que se le dirigirá el plan de capacitación 2020 será de 88 personas juzgadoras, 13 personas técnicas judiciales, una persona juzgadora 4 la cual se desempeñará como Facilitador y una persona profesional 2 como Metodóloga completando la propuesta realizada por el </w:t>
      </w:r>
      <w:proofErr w:type="spellStart"/>
      <w:r w:rsidRPr="00055D4B">
        <w:rPr>
          <w:rFonts w:ascii="Book Antiqua" w:hAnsi="Book Antiqua"/>
          <w:sz w:val="22"/>
          <w:szCs w:val="22"/>
        </w:rPr>
        <w:t>Msc</w:t>
      </w:r>
      <w:proofErr w:type="spellEnd"/>
      <w:r w:rsidRPr="00055D4B">
        <w:rPr>
          <w:rFonts w:ascii="Book Antiqua" w:hAnsi="Book Antiqua"/>
          <w:sz w:val="22"/>
          <w:szCs w:val="22"/>
        </w:rPr>
        <w:t xml:space="preserve">.  Gustavo </w:t>
      </w:r>
      <w:r w:rsidR="00817898" w:rsidRPr="00055D4B">
        <w:rPr>
          <w:rFonts w:ascii="Book Antiqua" w:hAnsi="Book Antiqua"/>
          <w:sz w:val="22"/>
          <w:szCs w:val="22"/>
        </w:rPr>
        <w:t>Céspedes</w:t>
      </w:r>
      <w:r w:rsidRPr="00055D4B">
        <w:rPr>
          <w:rFonts w:ascii="Book Antiqua" w:hAnsi="Book Antiqua"/>
          <w:sz w:val="22"/>
          <w:szCs w:val="22"/>
        </w:rPr>
        <w:t>, de 160 personas profesionales, 82 personas auxiliares, durante 5 días de capacitación.</w:t>
      </w:r>
    </w:p>
    <w:p w14:paraId="0F218E37" w14:textId="77777777" w:rsidR="001341EC" w:rsidRPr="00055D4B" w:rsidRDefault="001341EC" w:rsidP="001341EC">
      <w:pPr>
        <w:pStyle w:val="Sinespaciado"/>
        <w:rPr>
          <w:rFonts w:ascii="Book Antiqua" w:eastAsia="Arial" w:hAnsi="Book Antiqua"/>
          <w:sz w:val="22"/>
          <w:szCs w:val="22"/>
        </w:rPr>
      </w:pPr>
      <w:bookmarkStart w:id="17" w:name="_Hlk4678662"/>
    </w:p>
    <w:p w14:paraId="15599B17"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lastRenderedPageBreak/>
        <w:t xml:space="preserve">Para el cálculo de viáticos y transporte, cabe indicar, que se tomó en cuenta el criterio de la Escuela Judicial, en relación a que el 80% de esta población, requieren de este pago. </w:t>
      </w:r>
      <w:bookmarkStart w:id="18" w:name="_Hlk4678640"/>
      <w:bookmarkEnd w:id="17"/>
    </w:p>
    <w:p w14:paraId="299F834B" w14:textId="77777777" w:rsidR="001341EC" w:rsidRPr="00055D4B" w:rsidRDefault="001341EC" w:rsidP="001341EC">
      <w:pPr>
        <w:pStyle w:val="Sinespaciado"/>
        <w:rPr>
          <w:rFonts w:ascii="Book Antiqua" w:eastAsia="Arial" w:hAnsi="Book Antiqua"/>
          <w:b/>
          <w:i/>
          <w:sz w:val="22"/>
          <w:szCs w:val="22"/>
        </w:rPr>
      </w:pPr>
    </w:p>
    <w:bookmarkEnd w:id="18"/>
    <w:p w14:paraId="677CA817" w14:textId="77777777" w:rsidR="001341EC" w:rsidRPr="00055D4B" w:rsidRDefault="001341EC" w:rsidP="001341EC">
      <w:pPr>
        <w:spacing w:line="270" w:lineRule="auto"/>
        <w:jc w:val="both"/>
        <w:rPr>
          <w:rFonts w:ascii="Book Antiqua" w:eastAsia="Arial" w:hAnsi="Book Antiqua"/>
          <w:i/>
          <w:sz w:val="22"/>
          <w:szCs w:val="22"/>
        </w:rPr>
      </w:pPr>
      <w:r w:rsidRPr="00055D4B">
        <w:rPr>
          <w:rFonts w:ascii="Book Antiqua" w:eastAsia="Arial" w:hAnsi="Book Antiqua"/>
          <w:b/>
          <w:i/>
          <w:sz w:val="22"/>
          <w:szCs w:val="22"/>
        </w:rPr>
        <w:t>Viáticos por concepto de alimentación, hospedaje y transporte</w:t>
      </w:r>
      <w:r w:rsidRPr="00055D4B">
        <w:rPr>
          <w:rFonts w:ascii="Book Antiqua" w:eastAsia="Arial" w:hAnsi="Book Antiqua"/>
          <w:sz w:val="22"/>
          <w:szCs w:val="22"/>
        </w:rPr>
        <w:t>:</w:t>
      </w:r>
      <w:r w:rsidRPr="00055D4B">
        <w:rPr>
          <w:rFonts w:ascii="Book Antiqua" w:eastAsia="Arial" w:hAnsi="Book Antiqua"/>
          <w:b/>
          <w:i/>
          <w:sz w:val="22"/>
          <w:szCs w:val="22"/>
        </w:rPr>
        <w:t xml:space="preserve"> </w:t>
      </w:r>
      <w:r w:rsidRPr="00055D4B">
        <w:rPr>
          <w:b/>
          <w:sz w:val="22"/>
          <w:szCs w:val="22"/>
          <w:lang w:val="es-ES_tradnl"/>
        </w:rPr>
        <w:t>₡</w:t>
      </w:r>
      <w:r w:rsidRPr="00055D4B">
        <w:rPr>
          <w:rFonts w:ascii="Book Antiqua" w:hAnsi="Book Antiqua"/>
          <w:b/>
          <w:sz w:val="22"/>
          <w:szCs w:val="22"/>
          <w:lang w:val="es-ES_tradnl"/>
        </w:rPr>
        <w:t xml:space="preserve"> 11.534.200,00</w:t>
      </w:r>
      <w:r w:rsidRPr="008160E4">
        <w:rPr>
          <w:rFonts w:ascii="Book Antiqua" w:hAnsi="Book Antiqua"/>
          <w:sz w:val="22"/>
          <w:szCs w:val="22"/>
          <w:lang w:eastAsia="es-CR"/>
        </w:rPr>
        <w:t xml:space="preserve"> </w:t>
      </w:r>
      <w:r w:rsidRPr="00055D4B">
        <w:rPr>
          <w:rFonts w:ascii="Book Antiqua" w:eastAsia="Arial" w:hAnsi="Book Antiqua"/>
          <w:b/>
          <w:sz w:val="22"/>
          <w:szCs w:val="22"/>
        </w:rPr>
        <w:t xml:space="preserve">colones </w:t>
      </w:r>
      <w:r w:rsidRPr="00055D4B">
        <w:rPr>
          <w:rFonts w:ascii="Book Antiqua" w:hAnsi="Book Antiqua"/>
          <w:sz w:val="22"/>
          <w:szCs w:val="22"/>
        </w:rPr>
        <w:t xml:space="preserve"> </w:t>
      </w:r>
      <w:r w:rsidRPr="00055D4B">
        <w:rPr>
          <w:rFonts w:ascii="Book Antiqua" w:eastAsia="Arial" w:hAnsi="Book Antiqua"/>
          <w:i/>
          <w:sz w:val="22"/>
          <w:szCs w:val="22"/>
        </w:rPr>
        <w:t>*Para el presente cálculo, se realizó un estimado (del 50%) en el caso de las personas que conforman la lista de suplentes y elegibles (y que no figuran como propietarios en otros puestos judiciales).</w:t>
      </w:r>
    </w:p>
    <w:p w14:paraId="34495E03" w14:textId="77777777" w:rsidR="001341EC" w:rsidRPr="00055D4B" w:rsidRDefault="001341EC" w:rsidP="001341EC">
      <w:pPr>
        <w:spacing w:line="270" w:lineRule="auto"/>
        <w:jc w:val="both"/>
        <w:rPr>
          <w:rFonts w:ascii="Book Antiqua" w:eastAsia="Arial" w:hAnsi="Book Antiqua"/>
          <w:i/>
          <w:sz w:val="22"/>
          <w:szCs w:val="22"/>
        </w:rPr>
      </w:pPr>
    </w:p>
    <w:p w14:paraId="7DA862E4" w14:textId="77777777" w:rsidR="001341EC" w:rsidRPr="00055D4B" w:rsidRDefault="001341EC" w:rsidP="001341EC">
      <w:pPr>
        <w:spacing w:line="270" w:lineRule="auto"/>
        <w:jc w:val="both"/>
        <w:rPr>
          <w:rFonts w:ascii="Book Antiqua" w:eastAsia="Arial" w:hAnsi="Book Antiqua"/>
          <w:i/>
          <w:sz w:val="22"/>
          <w:szCs w:val="22"/>
        </w:rPr>
      </w:pPr>
    </w:p>
    <w:p w14:paraId="3FE6C1CF" w14:textId="77777777" w:rsidR="001341EC" w:rsidRPr="00D12061"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12061">
        <w:rPr>
          <w:rFonts w:ascii="Book Antiqua" w:hAnsi="Book Antiqua"/>
          <w:bCs w:val="0"/>
          <w:iCs/>
          <w:sz w:val="22"/>
          <w:szCs w:val="24"/>
          <w:lang w:val="es-CR"/>
        </w:rPr>
        <w:t xml:space="preserve">Cuadro </w:t>
      </w:r>
      <w:r w:rsidR="009A23D1" w:rsidRPr="00D12061">
        <w:rPr>
          <w:rFonts w:ascii="Book Antiqua" w:hAnsi="Book Antiqua"/>
          <w:bCs w:val="0"/>
          <w:iCs/>
          <w:sz w:val="22"/>
          <w:szCs w:val="24"/>
          <w:lang w:val="es-CR"/>
        </w:rPr>
        <w:fldChar w:fldCharType="begin"/>
      </w:r>
      <w:r w:rsidRPr="00D12061">
        <w:rPr>
          <w:rFonts w:ascii="Book Antiqua" w:hAnsi="Book Antiqua"/>
          <w:bCs w:val="0"/>
          <w:iCs/>
          <w:sz w:val="22"/>
          <w:szCs w:val="24"/>
          <w:lang w:val="es-CR"/>
        </w:rPr>
        <w:instrText xml:space="preserve"> SEQ Cuadro \* ARABIC </w:instrText>
      </w:r>
      <w:r w:rsidR="009A23D1" w:rsidRPr="00D12061">
        <w:rPr>
          <w:rFonts w:ascii="Book Antiqua" w:hAnsi="Book Antiqua"/>
          <w:bCs w:val="0"/>
          <w:iCs/>
          <w:sz w:val="22"/>
          <w:szCs w:val="24"/>
          <w:lang w:val="es-CR"/>
        </w:rPr>
        <w:fldChar w:fldCharType="separate"/>
      </w:r>
      <w:r>
        <w:rPr>
          <w:rFonts w:ascii="Book Antiqua" w:hAnsi="Book Antiqua"/>
          <w:bCs w:val="0"/>
          <w:iCs/>
          <w:noProof/>
          <w:sz w:val="22"/>
          <w:szCs w:val="24"/>
          <w:lang w:val="es-CR"/>
        </w:rPr>
        <w:t>14</w:t>
      </w:r>
      <w:r w:rsidR="009A23D1" w:rsidRPr="00D12061">
        <w:rPr>
          <w:rFonts w:ascii="Book Antiqua" w:hAnsi="Book Antiqua"/>
          <w:bCs w:val="0"/>
          <w:iCs/>
          <w:sz w:val="22"/>
          <w:szCs w:val="24"/>
          <w:lang w:val="es-CR"/>
        </w:rPr>
        <w:fldChar w:fldCharType="end"/>
      </w:r>
    </w:p>
    <w:p w14:paraId="12A5FB24"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Costos asociados a los Viáticos por concepto de alimentación, hospedaje y transporte</w:t>
      </w:r>
    </w:p>
    <w:p w14:paraId="04A05EDC" w14:textId="77777777" w:rsidR="001341EC" w:rsidRDefault="001341EC" w:rsidP="001341EC">
      <w:pPr>
        <w:jc w:val="both"/>
        <w:rPr>
          <w:rFonts w:ascii="Book Antiqua" w:hAnsi="Book Antiqua"/>
          <w:b/>
          <w:i/>
          <w:sz w:val="22"/>
          <w:szCs w:val="22"/>
          <w:lang w:eastAsia="en-US"/>
        </w:rPr>
      </w:pPr>
    </w:p>
    <w:p w14:paraId="1763DC0A" w14:textId="77777777" w:rsidR="007A4037" w:rsidRPr="00055D4B" w:rsidRDefault="007A4037" w:rsidP="001341EC">
      <w:pPr>
        <w:jc w:val="both"/>
        <w:rPr>
          <w:rFonts w:ascii="Book Antiqua" w:hAnsi="Book Antiqua"/>
          <w:b/>
          <w:i/>
          <w:sz w:val="22"/>
          <w:szCs w:val="22"/>
          <w:lang w:eastAsia="en-US"/>
        </w:rPr>
      </w:pPr>
    </w:p>
    <w:tbl>
      <w:tblPr>
        <w:tblW w:w="9568" w:type="dxa"/>
        <w:tblLayout w:type="fixed"/>
        <w:tblCellMar>
          <w:left w:w="70" w:type="dxa"/>
          <w:right w:w="70" w:type="dxa"/>
        </w:tblCellMar>
        <w:tblLook w:val="04A0" w:firstRow="1" w:lastRow="0" w:firstColumn="1" w:lastColumn="0" w:noHBand="0" w:noVBand="1"/>
      </w:tblPr>
      <w:tblGrid>
        <w:gridCol w:w="1630"/>
        <w:gridCol w:w="1134"/>
        <w:gridCol w:w="850"/>
        <w:gridCol w:w="1276"/>
        <w:gridCol w:w="1559"/>
        <w:gridCol w:w="1418"/>
        <w:gridCol w:w="1701"/>
      </w:tblGrid>
      <w:tr w:rsidR="001341EC" w:rsidRPr="00493BFE" w14:paraId="43C24A11" w14:textId="77777777" w:rsidTr="009471FA">
        <w:trPr>
          <w:trHeight w:val="20"/>
        </w:trPr>
        <w:tc>
          <w:tcPr>
            <w:tcW w:w="1630" w:type="dxa"/>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6CFD355C"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 xml:space="preserve">Hospedaje / </w:t>
            </w:r>
            <w:r w:rsidRPr="00055D4B">
              <w:rPr>
                <w:rFonts w:ascii="Book Antiqua" w:hAnsi="Book Antiqua"/>
                <w:b/>
                <w:bCs/>
                <w:color w:val="000000"/>
                <w:sz w:val="22"/>
                <w:szCs w:val="22"/>
                <w:lang w:eastAsia="es-CR"/>
              </w:rPr>
              <w:br/>
              <w:t xml:space="preserve">Alimentación </w:t>
            </w:r>
          </w:p>
        </w:tc>
        <w:tc>
          <w:tcPr>
            <w:tcW w:w="1134" w:type="dxa"/>
            <w:tcBorders>
              <w:top w:val="double" w:sz="6" w:space="0" w:color="1F497D"/>
              <w:left w:val="nil"/>
              <w:bottom w:val="double" w:sz="6" w:space="0" w:color="1F497D"/>
              <w:right w:val="double" w:sz="6" w:space="0" w:color="1F497D"/>
            </w:tcBorders>
            <w:shd w:val="clear" w:color="000000" w:fill="8DB4E2"/>
            <w:vAlign w:val="center"/>
            <w:hideMark/>
          </w:tcPr>
          <w:p w14:paraId="48F5006F"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Cantidad de Personas</w:t>
            </w:r>
          </w:p>
        </w:tc>
        <w:tc>
          <w:tcPr>
            <w:tcW w:w="850" w:type="dxa"/>
            <w:tcBorders>
              <w:top w:val="double" w:sz="6" w:space="0" w:color="1F497D"/>
              <w:left w:val="nil"/>
              <w:bottom w:val="double" w:sz="6" w:space="0" w:color="1F497D"/>
              <w:right w:val="double" w:sz="6" w:space="0" w:color="1F497D"/>
            </w:tcBorders>
            <w:shd w:val="clear" w:color="000000" w:fill="8DB4E2"/>
            <w:vAlign w:val="center"/>
            <w:hideMark/>
          </w:tcPr>
          <w:p w14:paraId="7A1E7F75" w14:textId="77777777" w:rsidR="001341EC" w:rsidRPr="00055D4B" w:rsidRDefault="001341EC" w:rsidP="00165AA6">
            <w:pPr>
              <w:jc w:val="center"/>
              <w:rPr>
                <w:rFonts w:ascii="Book Antiqua" w:hAnsi="Book Antiqua"/>
                <w:b/>
                <w:bCs/>
                <w:color w:val="000000"/>
                <w:lang w:eastAsia="es-CR"/>
              </w:rPr>
            </w:pPr>
            <w:proofErr w:type="spellStart"/>
            <w:r w:rsidRPr="00055D4B">
              <w:rPr>
                <w:rFonts w:ascii="Book Antiqua" w:hAnsi="Book Antiqua"/>
                <w:b/>
                <w:bCs/>
                <w:color w:val="000000"/>
                <w:sz w:val="22"/>
                <w:szCs w:val="22"/>
                <w:lang w:eastAsia="es-CR"/>
              </w:rPr>
              <w:t>Canti</w:t>
            </w:r>
            <w:proofErr w:type="spellEnd"/>
            <w:r w:rsidR="009471FA">
              <w:rPr>
                <w:rFonts w:ascii="Book Antiqua" w:hAnsi="Book Antiqua"/>
                <w:b/>
                <w:bCs/>
                <w:color w:val="000000"/>
                <w:sz w:val="22"/>
                <w:szCs w:val="22"/>
                <w:lang w:eastAsia="es-CR"/>
              </w:rPr>
              <w:t>-</w:t>
            </w:r>
            <w:r w:rsidRPr="00055D4B">
              <w:rPr>
                <w:rFonts w:ascii="Book Antiqua" w:hAnsi="Book Antiqua"/>
                <w:b/>
                <w:bCs/>
                <w:color w:val="000000"/>
                <w:sz w:val="22"/>
                <w:szCs w:val="22"/>
                <w:lang w:eastAsia="es-CR"/>
              </w:rPr>
              <w:t>dad de días</w:t>
            </w:r>
          </w:p>
        </w:tc>
        <w:tc>
          <w:tcPr>
            <w:tcW w:w="1276" w:type="dxa"/>
            <w:tcBorders>
              <w:top w:val="double" w:sz="6" w:space="0" w:color="1F497D"/>
              <w:left w:val="nil"/>
              <w:bottom w:val="double" w:sz="6" w:space="0" w:color="1F497D"/>
              <w:right w:val="double" w:sz="6" w:space="0" w:color="1F497D"/>
            </w:tcBorders>
            <w:shd w:val="clear" w:color="000000" w:fill="8DB4E2"/>
            <w:vAlign w:val="center"/>
            <w:hideMark/>
          </w:tcPr>
          <w:p w14:paraId="7F0CA33C"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 xml:space="preserve">Hospedaje </w:t>
            </w:r>
            <w:r w:rsidRPr="00055D4B">
              <w:rPr>
                <w:rFonts w:ascii="Book Antiqua" w:hAnsi="Book Antiqua"/>
                <w:b/>
                <w:bCs/>
                <w:color w:val="000000"/>
                <w:sz w:val="22"/>
                <w:szCs w:val="22"/>
                <w:lang w:eastAsia="es-CR"/>
              </w:rPr>
              <w:br/>
              <w:t>Heredia</w:t>
            </w:r>
          </w:p>
        </w:tc>
        <w:tc>
          <w:tcPr>
            <w:tcW w:w="1559" w:type="dxa"/>
            <w:tcBorders>
              <w:top w:val="double" w:sz="6" w:space="0" w:color="1F497D"/>
              <w:left w:val="nil"/>
              <w:bottom w:val="double" w:sz="6" w:space="0" w:color="1F497D"/>
              <w:right w:val="double" w:sz="6" w:space="0" w:color="1F497D"/>
            </w:tcBorders>
            <w:shd w:val="clear" w:color="000000" w:fill="8DB4E2"/>
            <w:vAlign w:val="center"/>
            <w:hideMark/>
          </w:tcPr>
          <w:p w14:paraId="22DF3F31"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Alimentación (2 tiempos de comida) Desayuno y cena</w:t>
            </w:r>
          </w:p>
        </w:tc>
        <w:tc>
          <w:tcPr>
            <w:tcW w:w="1418" w:type="dxa"/>
            <w:tcBorders>
              <w:top w:val="double" w:sz="6" w:space="0" w:color="1F497D"/>
              <w:left w:val="nil"/>
              <w:bottom w:val="double" w:sz="6" w:space="0" w:color="1F497D"/>
              <w:right w:val="double" w:sz="6" w:space="0" w:color="1F497D"/>
            </w:tcBorders>
            <w:shd w:val="clear" w:color="000000" w:fill="8DB4E2"/>
            <w:vAlign w:val="center"/>
            <w:hideMark/>
          </w:tcPr>
          <w:p w14:paraId="69880128"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Total por</w:t>
            </w:r>
            <w:r w:rsidRPr="00055D4B">
              <w:rPr>
                <w:rFonts w:ascii="Book Antiqua" w:hAnsi="Book Antiqua"/>
                <w:b/>
                <w:bCs/>
                <w:color w:val="000000"/>
                <w:sz w:val="22"/>
                <w:szCs w:val="22"/>
                <w:lang w:eastAsia="es-CR"/>
              </w:rPr>
              <w:br/>
              <w:t>persona por día de</w:t>
            </w:r>
            <w:r w:rsidRPr="00055D4B">
              <w:rPr>
                <w:rFonts w:ascii="Book Antiqua" w:hAnsi="Book Antiqua"/>
                <w:b/>
                <w:bCs/>
                <w:color w:val="000000"/>
                <w:sz w:val="22"/>
                <w:szCs w:val="22"/>
                <w:lang w:eastAsia="es-CR"/>
              </w:rPr>
              <w:br/>
              <w:t>capacitación</w:t>
            </w:r>
          </w:p>
        </w:tc>
        <w:tc>
          <w:tcPr>
            <w:tcW w:w="1701" w:type="dxa"/>
            <w:tcBorders>
              <w:top w:val="double" w:sz="6" w:space="0" w:color="1F497D"/>
              <w:left w:val="nil"/>
              <w:bottom w:val="double" w:sz="6" w:space="0" w:color="1F497D"/>
              <w:right w:val="double" w:sz="6" w:space="0" w:color="1F497D"/>
            </w:tcBorders>
            <w:shd w:val="clear" w:color="000000" w:fill="8DB4E2"/>
            <w:vAlign w:val="center"/>
            <w:hideMark/>
          </w:tcPr>
          <w:p w14:paraId="21A14AE0"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Total viáticos</w:t>
            </w:r>
          </w:p>
        </w:tc>
      </w:tr>
      <w:tr w:rsidR="001341EC" w:rsidRPr="00493BFE" w14:paraId="7E450880" w14:textId="77777777" w:rsidTr="009471FA">
        <w:trPr>
          <w:trHeight w:val="20"/>
        </w:trPr>
        <w:tc>
          <w:tcPr>
            <w:tcW w:w="1630" w:type="dxa"/>
            <w:tcBorders>
              <w:top w:val="nil"/>
              <w:left w:val="double" w:sz="6" w:space="0" w:color="1F497D"/>
              <w:bottom w:val="double" w:sz="6" w:space="0" w:color="1F497D"/>
              <w:right w:val="double" w:sz="6" w:space="0" w:color="1F497D"/>
            </w:tcBorders>
            <w:shd w:val="clear" w:color="auto" w:fill="auto"/>
            <w:vAlign w:val="center"/>
            <w:hideMark/>
          </w:tcPr>
          <w:p w14:paraId="0FA04E16"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Total de personas</w:t>
            </w:r>
            <w:r w:rsidRPr="00055D4B">
              <w:rPr>
                <w:rFonts w:ascii="Book Antiqua" w:hAnsi="Book Antiqua"/>
                <w:sz w:val="22"/>
                <w:szCs w:val="22"/>
                <w:lang w:eastAsia="es-CR"/>
              </w:rPr>
              <w:br/>
              <w:t>profesionales que</w:t>
            </w:r>
            <w:r w:rsidRPr="00055D4B">
              <w:rPr>
                <w:rFonts w:ascii="Book Antiqua" w:hAnsi="Book Antiqua"/>
                <w:sz w:val="22"/>
                <w:szCs w:val="22"/>
                <w:lang w:eastAsia="es-CR"/>
              </w:rPr>
              <w:br/>
              <w:t>requieren hospedaje</w:t>
            </w:r>
            <w:r w:rsidRPr="00055D4B">
              <w:rPr>
                <w:rFonts w:ascii="Book Antiqua" w:hAnsi="Book Antiqua"/>
                <w:sz w:val="22"/>
                <w:szCs w:val="22"/>
                <w:lang w:eastAsia="es-CR"/>
              </w:rPr>
              <w:br/>
              <w:t>y alimentación</w:t>
            </w:r>
            <w:r w:rsidRPr="00055D4B">
              <w:rPr>
                <w:rFonts w:ascii="Book Antiqua" w:hAnsi="Book Antiqua"/>
                <w:sz w:val="22"/>
                <w:szCs w:val="22"/>
                <w:lang w:eastAsia="es-CR"/>
              </w:rPr>
              <w:br/>
              <w:t>durante los 5 días de</w:t>
            </w:r>
            <w:r w:rsidRPr="00055D4B">
              <w:rPr>
                <w:rFonts w:ascii="Book Antiqua" w:hAnsi="Book Antiqua"/>
                <w:sz w:val="22"/>
                <w:szCs w:val="22"/>
                <w:lang w:eastAsia="es-CR"/>
              </w:rPr>
              <w:br/>
              <w:t>la capacitación</w:t>
            </w:r>
          </w:p>
        </w:tc>
        <w:tc>
          <w:tcPr>
            <w:tcW w:w="1134" w:type="dxa"/>
            <w:tcBorders>
              <w:top w:val="nil"/>
              <w:left w:val="nil"/>
              <w:bottom w:val="double" w:sz="6" w:space="0" w:color="1F497D"/>
              <w:right w:val="double" w:sz="6" w:space="0" w:color="1F497D"/>
            </w:tcBorders>
            <w:shd w:val="clear" w:color="auto" w:fill="auto"/>
            <w:vAlign w:val="center"/>
            <w:hideMark/>
          </w:tcPr>
          <w:p w14:paraId="13E068A7"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70</w:t>
            </w:r>
          </w:p>
        </w:tc>
        <w:tc>
          <w:tcPr>
            <w:tcW w:w="850" w:type="dxa"/>
            <w:tcBorders>
              <w:top w:val="nil"/>
              <w:left w:val="nil"/>
              <w:bottom w:val="double" w:sz="6" w:space="0" w:color="1F497D"/>
              <w:right w:val="double" w:sz="6" w:space="0" w:color="1F497D"/>
            </w:tcBorders>
            <w:shd w:val="clear" w:color="auto" w:fill="auto"/>
            <w:vAlign w:val="center"/>
            <w:hideMark/>
          </w:tcPr>
          <w:p w14:paraId="231B8D29"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5</w:t>
            </w:r>
          </w:p>
        </w:tc>
        <w:tc>
          <w:tcPr>
            <w:tcW w:w="1276" w:type="dxa"/>
            <w:tcBorders>
              <w:top w:val="nil"/>
              <w:left w:val="nil"/>
              <w:bottom w:val="double" w:sz="6" w:space="0" w:color="1F497D"/>
              <w:right w:val="double" w:sz="6" w:space="0" w:color="1F497D"/>
            </w:tcBorders>
            <w:shd w:val="clear" w:color="auto" w:fill="auto"/>
            <w:vAlign w:val="center"/>
            <w:hideMark/>
          </w:tcPr>
          <w:p w14:paraId="73032419" w14:textId="77777777" w:rsidR="001341EC" w:rsidRPr="00493BFE" w:rsidRDefault="001341EC" w:rsidP="00165AA6">
            <w:pPr>
              <w:jc w:val="center"/>
              <w:rPr>
                <w:rFonts w:ascii="Book Antiqua" w:hAnsi="Book Antiqua"/>
                <w:color w:val="000000"/>
                <w:lang w:eastAsia="es-CR"/>
              </w:rPr>
            </w:pPr>
            <w:r w:rsidRPr="00493BFE">
              <w:rPr>
                <w:color w:val="000000"/>
                <w:sz w:val="22"/>
                <w:szCs w:val="22"/>
                <w:lang w:eastAsia="es-CR"/>
              </w:rPr>
              <w:t>₡</w:t>
            </w:r>
            <w:r w:rsidRPr="00493BFE">
              <w:rPr>
                <w:rFonts w:ascii="Book Antiqua" w:hAnsi="Book Antiqua"/>
                <w:color w:val="000000"/>
                <w:sz w:val="22"/>
                <w:szCs w:val="22"/>
                <w:lang w:eastAsia="es-CR"/>
              </w:rPr>
              <w:t xml:space="preserve"> 20.200,00 </w:t>
            </w:r>
          </w:p>
        </w:tc>
        <w:tc>
          <w:tcPr>
            <w:tcW w:w="1559" w:type="dxa"/>
            <w:tcBorders>
              <w:top w:val="nil"/>
              <w:left w:val="nil"/>
              <w:bottom w:val="double" w:sz="6" w:space="0" w:color="1F497D"/>
              <w:right w:val="double" w:sz="6" w:space="0" w:color="1F497D"/>
            </w:tcBorders>
            <w:shd w:val="clear" w:color="auto" w:fill="auto"/>
            <w:vAlign w:val="center"/>
            <w:hideMark/>
          </w:tcPr>
          <w:p w14:paraId="5A8CDADA" w14:textId="77777777" w:rsidR="001341EC" w:rsidRPr="00493BFE" w:rsidRDefault="001341EC" w:rsidP="00165AA6">
            <w:pPr>
              <w:jc w:val="center"/>
              <w:rPr>
                <w:rFonts w:ascii="Book Antiqua" w:hAnsi="Book Antiqua"/>
                <w:color w:val="000000"/>
                <w:lang w:eastAsia="es-CR"/>
              </w:rPr>
            </w:pPr>
            <w:r w:rsidRPr="00493BFE">
              <w:rPr>
                <w:color w:val="000000"/>
                <w:sz w:val="22"/>
                <w:szCs w:val="22"/>
                <w:lang w:eastAsia="es-CR"/>
              </w:rPr>
              <w:t>₡</w:t>
            </w:r>
            <w:r w:rsidRPr="00493BFE">
              <w:rPr>
                <w:rFonts w:ascii="Book Antiqua" w:hAnsi="Book Antiqua"/>
                <w:color w:val="000000"/>
                <w:sz w:val="22"/>
                <w:szCs w:val="22"/>
                <w:lang w:eastAsia="es-CR"/>
              </w:rPr>
              <w:t xml:space="preserve"> 8.350,00 </w:t>
            </w:r>
          </w:p>
        </w:tc>
        <w:tc>
          <w:tcPr>
            <w:tcW w:w="1418" w:type="dxa"/>
            <w:tcBorders>
              <w:top w:val="nil"/>
              <w:left w:val="nil"/>
              <w:bottom w:val="double" w:sz="6" w:space="0" w:color="1F497D"/>
              <w:right w:val="double" w:sz="6" w:space="0" w:color="1F497D"/>
            </w:tcBorders>
            <w:shd w:val="clear" w:color="auto" w:fill="auto"/>
            <w:vAlign w:val="center"/>
            <w:hideMark/>
          </w:tcPr>
          <w:p w14:paraId="68B4BC21" w14:textId="77777777" w:rsidR="001341EC" w:rsidRPr="00493BFE" w:rsidRDefault="001341EC" w:rsidP="00165AA6">
            <w:pPr>
              <w:jc w:val="center"/>
              <w:rPr>
                <w:rFonts w:ascii="Book Antiqua" w:hAnsi="Book Antiqua"/>
                <w:color w:val="000000"/>
                <w:lang w:eastAsia="es-CR"/>
              </w:rPr>
            </w:pPr>
            <w:r w:rsidRPr="00493BFE">
              <w:rPr>
                <w:color w:val="000000"/>
                <w:sz w:val="22"/>
                <w:szCs w:val="22"/>
                <w:lang w:eastAsia="es-CR"/>
              </w:rPr>
              <w:t>₡</w:t>
            </w:r>
            <w:r w:rsidRPr="00493BFE">
              <w:rPr>
                <w:rFonts w:ascii="Book Antiqua" w:hAnsi="Book Antiqua"/>
                <w:color w:val="000000"/>
                <w:sz w:val="22"/>
                <w:szCs w:val="22"/>
                <w:lang w:eastAsia="es-CR"/>
              </w:rPr>
              <w:t xml:space="preserve"> 28.550,00 </w:t>
            </w:r>
          </w:p>
        </w:tc>
        <w:tc>
          <w:tcPr>
            <w:tcW w:w="1701" w:type="dxa"/>
            <w:tcBorders>
              <w:top w:val="nil"/>
              <w:left w:val="nil"/>
              <w:bottom w:val="double" w:sz="6" w:space="0" w:color="1F497D"/>
              <w:right w:val="double" w:sz="6" w:space="0" w:color="1F497D"/>
            </w:tcBorders>
            <w:shd w:val="clear" w:color="auto" w:fill="auto"/>
            <w:vAlign w:val="center"/>
            <w:hideMark/>
          </w:tcPr>
          <w:p w14:paraId="78A21D25" w14:textId="77777777" w:rsidR="001341EC" w:rsidRPr="00493BFE" w:rsidRDefault="001341EC" w:rsidP="00165AA6">
            <w:pPr>
              <w:rPr>
                <w:rFonts w:ascii="Book Antiqua" w:hAnsi="Book Antiqua"/>
                <w:color w:val="000000"/>
                <w:lang w:eastAsia="es-CR"/>
              </w:rPr>
            </w:pPr>
            <w:r w:rsidRPr="00493BFE">
              <w:rPr>
                <w:color w:val="000000"/>
                <w:sz w:val="22"/>
                <w:szCs w:val="22"/>
                <w:lang w:eastAsia="es-CR"/>
              </w:rPr>
              <w:t>₡</w:t>
            </w:r>
            <w:r w:rsidRPr="00493BFE">
              <w:rPr>
                <w:rFonts w:ascii="Book Antiqua" w:hAnsi="Book Antiqua"/>
                <w:color w:val="000000"/>
                <w:sz w:val="22"/>
                <w:szCs w:val="22"/>
                <w:lang w:eastAsia="es-CR"/>
              </w:rPr>
              <w:t xml:space="preserve">10.049.600,00 </w:t>
            </w:r>
          </w:p>
        </w:tc>
      </w:tr>
      <w:tr w:rsidR="001341EC" w:rsidRPr="00493BFE" w14:paraId="07DEE0D8" w14:textId="77777777" w:rsidTr="009471FA">
        <w:trPr>
          <w:trHeight w:val="20"/>
        </w:trPr>
        <w:tc>
          <w:tcPr>
            <w:tcW w:w="1630" w:type="dxa"/>
            <w:tcBorders>
              <w:top w:val="nil"/>
              <w:left w:val="double" w:sz="6" w:space="0" w:color="1F497D"/>
              <w:bottom w:val="double" w:sz="6" w:space="0" w:color="1F497D"/>
              <w:right w:val="double" w:sz="6" w:space="0" w:color="1F497D"/>
            </w:tcBorders>
            <w:shd w:val="clear" w:color="auto" w:fill="auto"/>
            <w:vAlign w:val="center"/>
            <w:hideMark/>
          </w:tcPr>
          <w:p w14:paraId="396424A4" w14:textId="77777777" w:rsidR="001341EC" w:rsidRDefault="001341EC" w:rsidP="00165AA6">
            <w:pPr>
              <w:jc w:val="center"/>
              <w:rPr>
                <w:rFonts w:ascii="Book Antiqua" w:hAnsi="Book Antiqua"/>
                <w:sz w:val="22"/>
                <w:szCs w:val="22"/>
                <w:lang w:eastAsia="es-CR"/>
              </w:rPr>
            </w:pPr>
            <w:r w:rsidRPr="00055D4B">
              <w:rPr>
                <w:rFonts w:ascii="Book Antiqua" w:hAnsi="Book Antiqua"/>
                <w:sz w:val="22"/>
                <w:szCs w:val="22"/>
                <w:lang w:eastAsia="es-CR"/>
              </w:rPr>
              <w:t>Total de personas</w:t>
            </w:r>
            <w:r w:rsidRPr="00055D4B">
              <w:rPr>
                <w:rFonts w:ascii="Book Antiqua" w:hAnsi="Book Antiqua"/>
                <w:sz w:val="22"/>
                <w:szCs w:val="22"/>
                <w:lang w:eastAsia="es-CR"/>
              </w:rPr>
              <w:br/>
              <w:t>técnicas judiciales</w:t>
            </w:r>
            <w:r w:rsidRPr="00055D4B">
              <w:rPr>
                <w:rFonts w:ascii="Book Antiqua" w:hAnsi="Book Antiqua"/>
                <w:sz w:val="22"/>
                <w:szCs w:val="22"/>
                <w:lang w:eastAsia="es-CR"/>
              </w:rPr>
              <w:br/>
              <w:t>que requieren</w:t>
            </w:r>
            <w:r w:rsidRPr="00055D4B">
              <w:rPr>
                <w:rFonts w:ascii="Book Antiqua" w:hAnsi="Book Antiqua"/>
                <w:sz w:val="22"/>
                <w:szCs w:val="22"/>
                <w:lang w:eastAsia="es-CR"/>
              </w:rPr>
              <w:br/>
              <w:t>hospedaje y</w:t>
            </w:r>
            <w:r w:rsidRPr="00055D4B">
              <w:rPr>
                <w:rFonts w:ascii="Book Antiqua" w:hAnsi="Book Antiqua"/>
                <w:sz w:val="22"/>
                <w:szCs w:val="22"/>
                <w:lang w:eastAsia="es-CR"/>
              </w:rPr>
              <w:br/>
              <w:t>alimentación durante</w:t>
            </w:r>
            <w:r w:rsidRPr="00055D4B">
              <w:rPr>
                <w:rFonts w:ascii="Book Antiqua" w:hAnsi="Book Antiqua"/>
                <w:sz w:val="22"/>
                <w:szCs w:val="22"/>
                <w:lang w:eastAsia="es-CR"/>
              </w:rPr>
              <w:br/>
              <w:t>los 5 días de la</w:t>
            </w:r>
            <w:r w:rsidRPr="00055D4B">
              <w:rPr>
                <w:rFonts w:ascii="Book Antiqua" w:hAnsi="Book Antiqua"/>
                <w:sz w:val="22"/>
                <w:szCs w:val="22"/>
                <w:lang w:eastAsia="es-CR"/>
              </w:rPr>
              <w:br/>
              <w:t>capacitación</w:t>
            </w:r>
          </w:p>
          <w:p w14:paraId="51DE7115" w14:textId="77777777" w:rsidR="009471FA" w:rsidRDefault="009471FA" w:rsidP="00165AA6">
            <w:pPr>
              <w:jc w:val="center"/>
              <w:rPr>
                <w:rFonts w:ascii="Book Antiqua" w:hAnsi="Book Antiqua"/>
                <w:lang w:eastAsia="es-CR"/>
              </w:rPr>
            </w:pPr>
          </w:p>
          <w:p w14:paraId="5DA513BC" w14:textId="77777777" w:rsidR="009471FA" w:rsidRDefault="009471FA" w:rsidP="00165AA6">
            <w:pPr>
              <w:jc w:val="center"/>
              <w:rPr>
                <w:rFonts w:ascii="Book Antiqua" w:hAnsi="Book Antiqua"/>
                <w:lang w:eastAsia="es-CR"/>
              </w:rPr>
            </w:pPr>
          </w:p>
          <w:p w14:paraId="20F2FCB9" w14:textId="77777777" w:rsidR="009471FA" w:rsidRDefault="009471FA" w:rsidP="00165AA6">
            <w:pPr>
              <w:jc w:val="center"/>
              <w:rPr>
                <w:rFonts w:ascii="Book Antiqua" w:hAnsi="Book Antiqua"/>
                <w:lang w:eastAsia="es-CR"/>
              </w:rPr>
            </w:pPr>
          </w:p>
          <w:p w14:paraId="24D60E7D" w14:textId="77777777" w:rsidR="009471FA" w:rsidRDefault="009471FA" w:rsidP="00165AA6">
            <w:pPr>
              <w:jc w:val="center"/>
              <w:rPr>
                <w:rFonts w:ascii="Book Antiqua" w:hAnsi="Book Antiqua"/>
                <w:lang w:eastAsia="es-CR"/>
              </w:rPr>
            </w:pPr>
          </w:p>
          <w:p w14:paraId="42F69D9D" w14:textId="77777777" w:rsidR="009471FA" w:rsidRDefault="009471FA" w:rsidP="00165AA6">
            <w:pPr>
              <w:jc w:val="center"/>
              <w:rPr>
                <w:rFonts w:ascii="Book Antiqua" w:hAnsi="Book Antiqua"/>
                <w:lang w:eastAsia="es-CR"/>
              </w:rPr>
            </w:pPr>
          </w:p>
          <w:p w14:paraId="0A095F76" w14:textId="77777777" w:rsidR="007A4037" w:rsidRDefault="007A4037" w:rsidP="00165AA6">
            <w:pPr>
              <w:jc w:val="center"/>
              <w:rPr>
                <w:rFonts w:ascii="Book Antiqua" w:hAnsi="Book Antiqua"/>
                <w:lang w:eastAsia="es-CR"/>
              </w:rPr>
            </w:pPr>
          </w:p>
          <w:p w14:paraId="249FFA06" w14:textId="77777777" w:rsidR="007A4037" w:rsidRDefault="007A4037" w:rsidP="00165AA6">
            <w:pPr>
              <w:jc w:val="center"/>
              <w:rPr>
                <w:rFonts w:ascii="Book Antiqua" w:hAnsi="Book Antiqua"/>
                <w:lang w:eastAsia="es-CR"/>
              </w:rPr>
            </w:pPr>
          </w:p>
          <w:p w14:paraId="28478EF3" w14:textId="77777777" w:rsidR="007A4037" w:rsidRPr="00055D4B" w:rsidRDefault="007A4037" w:rsidP="00165AA6">
            <w:pPr>
              <w:jc w:val="center"/>
              <w:rPr>
                <w:rFonts w:ascii="Book Antiqua" w:hAnsi="Book Antiqua"/>
                <w:lang w:eastAsia="es-CR"/>
              </w:rPr>
            </w:pPr>
          </w:p>
        </w:tc>
        <w:tc>
          <w:tcPr>
            <w:tcW w:w="1134" w:type="dxa"/>
            <w:tcBorders>
              <w:top w:val="nil"/>
              <w:left w:val="nil"/>
              <w:bottom w:val="double" w:sz="6" w:space="0" w:color="1F497D"/>
              <w:right w:val="double" w:sz="6" w:space="0" w:color="1F497D"/>
            </w:tcBorders>
            <w:shd w:val="clear" w:color="auto" w:fill="auto"/>
            <w:vAlign w:val="center"/>
            <w:hideMark/>
          </w:tcPr>
          <w:p w14:paraId="5C43C0CA"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10</w:t>
            </w:r>
          </w:p>
        </w:tc>
        <w:tc>
          <w:tcPr>
            <w:tcW w:w="850" w:type="dxa"/>
            <w:tcBorders>
              <w:top w:val="nil"/>
              <w:left w:val="nil"/>
              <w:bottom w:val="double" w:sz="6" w:space="0" w:color="1F497D"/>
              <w:right w:val="double" w:sz="6" w:space="0" w:color="1F497D"/>
            </w:tcBorders>
            <w:shd w:val="clear" w:color="auto" w:fill="auto"/>
            <w:vAlign w:val="center"/>
            <w:hideMark/>
          </w:tcPr>
          <w:p w14:paraId="2E47EE49"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5</w:t>
            </w:r>
          </w:p>
        </w:tc>
        <w:tc>
          <w:tcPr>
            <w:tcW w:w="1276" w:type="dxa"/>
            <w:tcBorders>
              <w:top w:val="nil"/>
              <w:left w:val="nil"/>
              <w:bottom w:val="double" w:sz="6" w:space="0" w:color="1F497D"/>
              <w:right w:val="double" w:sz="6" w:space="0" w:color="1F497D"/>
            </w:tcBorders>
            <w:shd w:val="clear" w:color="auto" w:fill="auto"/>
            <w:vAlign w:val="center"/>
            <w:hideMark/>
          </w:tcPr>
          <w:p w14:paraId="188D2563" w14:textId="77777777" w:rsidR="001341EC" w:rsidRPr="00493BFE" w:rsidRDefault="001341EC" w:rsidP="00165AA6">
            <w:pPr>
              <w:jc w:val="center"/>
              <w:rPr>
                <w:rFonts w:ascii="Book Antiqua" w:hAnsi="Book Antiqua"/>
                <w:color w:val="000000"/>
                <w:lang w:eastAsia="es-CR"/>
              </w:rPr>
            </w:pPr>
            <w:r w:rsidRPr="00493BFE">
              <w:rPr>
                <w:color w:val="000000"/>
                <w:sz w:val="22"/>
                <w:szCs w:val="22"/>
                <w:lang w:eastAsia="es-CR"/>
              </w:rPr>
              <w:t>₡</w:t>
            </w:r>
            <w:r w:rsidRPr="00493BFE">
              <w:rPr>
                <w:rFonts w:ascii="Book Antiqua" w:hAnsi="Book Antiqua"/>
                <w:color w:val="000000"/>
                <w:sz w:val="22"/>
                <w:szCs w:val="22"/>
                <w:lang w:eastAsia="es-CR"/>
              </w:rPr>
              <w:t xml:space="preserve"> 20.200,00 </w:t>
            </w:r>
          </w:p>
        </w:tc>
        <w:tc>
          <w:tcPr>
            <w:tcW w:w="1559" w:type="dxa"/>
            <w:tcBorders>
              <w:top w:val="nil"/>
              <w:left w:val="nil"/>
              <w:bottom w:val="double" w:sz="6" w:space="0" w:color="1F497D"/>
              <w:right w:val="double" w:sz="6" w:space="0" w:color="1F497D"/>
            </w:tcBorders>
            <w:shd w:val="clear" w:color="auto" w:fill="auto"/>
            <w:vAlign w:val="center"/>
            <w:hideMark/>
          </w:tcPr>
          <w:p w14:paraId="79E009A6" w14:textId="77777777" w:rsidR="001341EC" w:rsidRPr="00493BFE" w:rsidRDefault="001341EC" w:rsidP="00165AA6">
            <w:pPr>
              <w:rPr>
                <w:rFonts w:ascii="Book Antiqua" w:hAnsi="Book Antiqua"/>
                <w:color w:val="000000"/>
                <w:lang w:eastAsia="es-CR"/>
              </w:rPr>
            </w:pPr>
            <w:r w:rsidRPr="00493BFE">
              <w:rPr>
                <w:color w:val="000000"/>
                <w:sz w:val="22"/>
                <w:szCs w:val="22"/>
                <w:lang w:eastAsia="es-CR"/>
              </w:rPr>
              <w:t>₡</w:t>
            </w:r>
            <w:r w:rsidRPr="00493BFE">
              <w:rPr>
                <w:rFonts w:ascii="Book Antiqua" w:hAnsi="Book Antiqua"/>
                <w:color w:val="000000"/>
                <w:sz w:val="22"/>
                <w:szCs w:val="22"/>
                <w:lang w:eastAsia="es-CR"/>
              </w:rPr>
              <w:t xml:space="preserve"> 8.350,00 </w:t>
            </w:r>
          </w:p>
        </w:tc>
        <w:tc>
          <w:tcPr>
            <w:tcW w:w="1418" w:type="dxa"/>
            <w:tcBorders>
              <w:top w:val="nil"/>
              <w:left w:val="nil"/>
              <w:bottom w:val="double" w:sz="6" w:space="0" w:color="1F497D"/>
              <w:right w:val="double" w:sz="6" w:space="0" w:color="1F497D"/>
            </w:tcBorders>
            <w:shd w:val="clear" w:color="auto" w:fill="auto"/>
            <w:vAlign w:val="center"/>
            <w:hideMark/>
          </w:tcPr>
          <w:p w14:paraId="22DF1879" w14:textId="77777777" w:rsidR="001341EC" w:rsidRPr="00493BFE" w:rsidRDefault="001341EC" w:rsidP="00165AA6">
            <w:pP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 28.550,00 </w:t>
            </w:r>
          </w:p>
        </w:tc>
        <w:tc>
          <w:tcPr>
            <w:tcW w:w="1701" w:type="dxa"/>
            <w:tcBorders>
              <w:top w:val="nil"/>
              <w:left w:val="nil"/>
              <w:bottom w:val="double" w:sz="6" w:space="0" w:color="1F497D"/>
              <w:right w:val="double" w:sz="6" w:space="0" w:color="1F497D"/>
            </w:tcBorders>
            <w:shd w:val="clear" w:color="auto" w:fill="auto"/>
            <w:vAlign w:val="center"/>
            <w:hideMark/>
          </w:tcPr>
          <w:p w14:paraId="63BA9479" w14:textId="77777777" w:rsidR="001341EC" w:rsidRPr="00493BFE" w:rsidRDefault="001341EC" w:rsidP="00165AA6">
            <w:pPr>
              <w:rPr>
                <w:rFonts w:ascii="Book Antiqua" w:hAnsi="Book Antiqua"/>
                <w:color w:val="000000"/>
                <w:lang w:eastAsia="es-CR"/>
              </w:rPr>
            </w:pPr>
            <w:r w:rsidRPr="00493BFE">
              <w:rPr>
                <w:color w:val="000000"/>
                <w:sz w:val="22"/>
                <w:szCs w:val="22"/>
                <w:lang w:eastAsia="es-CR"/>
              </w:rPr>
              <w:t>₡</w:t>
            </w:r>
            <w:r w:rsidRPr="00493BFE">
              <w:rPr>
                <w:rFonts w:ascii="Book Antiqua" w:hAnsi="Book Antiqua"/>
                <w:color w:val="000000"/>
                <w:sz w:val="22"/>
                <w:szCs w:val="22"/>
                <w:lang w:eastAsia="es-CR"/>
              </w:rPr>
              <w:t xml:space="preserve"> 1.484.600,00 </w:t>
            </w:r>
          </w:p>
        </w:tc>
      </w:tr>
      <w:tr w:rsidR="001341EC" w:rsidRPr="00493BFE" w14:paraId="1C66C03B" w14:textId="77777777" w:rsidTr="009471FA">
        <w:trPr>
          <w:trHeight w:val="20"/>
        </w:trPr>
        <w:tc>
          <w:tcPr>
            <w:tcW w:w="1630" w:type="dxa"/>
            <w:tcBorders>
              <w:top w:val="nil"/>
              <w:left w:val="double" w:sz="6" w:space="0" w:color="1F497D"/>
              <w:bottom w:val="double" w:sz="6" w:space="0" w:color="1F497D"/>
              <w:right w:val="double" w:sz="6" w:space="0" w:color="1F497D"/>
            </w:tcBorders>
            <w:shd w:val="clear" w:color="000000" w:fill="8DB4E2"/>
            <w:vAlign w:val="center"/>
            <w:hideMark/>
          </w:tcPr>
          <w:p w14:paraId="0C646DC1"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Transporte</w:t>
            </w:r>
          </w:p>
        </w:tc>
        <w:tc>
          <w:tcPr>
            <w:tcW w:w="1134" w:type="dxa"/>
            <w:tcBorders>
              <w:top w:val="nil"/>
              <w:left w:val="nil"/>
              <w:bottom w:val="double" w:sz="6" w:space="0" w:color="1F497D"/>
              <w:right w:val="double" w:sz="6" w:space="0" w:color="1F497D"/>
            </w:tcBorders>
            <w:shd w:val="clear" w:color="000000" w:fill="8DB4E2"/>
            <w:vAlign w:val="center"/>
            <w:hideMark/>
          </w:tcPr>
          <w:p w14:paraId="03D329D5"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 xml:space="preserve">Cantidad </w:t>
            </w:r>
            <w:r w:rsidRPr="00055D4B">
              <w:rPr>
                <w:rFonts w:ascii="Book Antiqua" w:hAnsi="Book Antiqua"/>
                <w:b/>
                <w:bCs/>
                <w:color w:val="000000"/>
                <w:sz w:val="22"/>
                <w:szCs w:val="22"/>
                <w:lang w:eastAsia="es-CR"/>
              </w:rPr>
              <w:lastRenderedPageBreak/>
              <w:t>de Personas</w:t>
            </w:r>
          </w:p>
        </w:tc>
        <w:tc>
          <w:tcPr>
            <w:tcW w:w="850" w:type="dxa"/>
            <w:tcBorders>
              <w:top w:val="nil"/>
              <w:left w:val="nil"/>
              <w:bottom w:val="double" w:sz="6" w:space="0" w:color="1F497D"/>
              <w:right w:val="double" w:sz="6" w:space="0" w:color="1F497D"/>
            </w:tcBorders>
            <w:shd w:val="clear" w:color="000000" w:fill="8DB4E2"/>
            <w:vAlign w:val="center"/>
            <w:hideMark/>
          </w:tcPr>
          <w:p w14:paraId="56F88401" w14:textId="77777777" w:rsidR="001341EC" w:rsidRPr="00055D4B" w:rsidRDefault="001341EC" w:rsidP="00165AA6">
            <w:pPr>
              <w:jc w:val="center"/>
              <w:rPr>
                <w:rFonts w:ascii="Book Antiqua" w:hAnsi="Book Antiqua"/>
                <w:b/>
                <w:bCs/>
                <w:color w:val="000000"/>
                <w:lang w:eastAsia="es-CR"/>
              </w:rPr>
            </w:pPr>
            <w:proofErr w:type="spellStart"/>
            <w:r w:rsidRPr="00055D4B">
              <w:rPr>
                <w:rFonts w:ascii="Book Antiqua" w:hAnsi="Book Antiqua"/>
                <w:b/>
                <w:bCs/>
                <w:color w:val="000000"/>
                <w:sz w:val="22"/>
                <w:szCs w:val="22"/>
                <w:lang w:eastAsia="es-CR"/>
              </w:rPr>
              <w:lastRenderedPageBreak/>
              <w:t>Canti</w:t>
            </w:r>
            <w:proofErr w:type="spellEnd"/>
            <w:r w:rsidR="009471FA">
              <w:rPr>
                <w:rFonts w:ascii="Book Antiqua" w:hAnsi="Book Antiqua"/>
                <w:b/>
                <w:bCs/>
                <w:color w:val="000000"/>
                <w:sz w:val="22"/>
                <w:szCs w:val="22"/>
                <w:lang w:eastAsia="es-CR"/>
              </w:rPr>
              <w:t>-</w:t>
            </w:r>
            <w:r w:rsidRPr="00055D4B">
              <w:rPr>
                <w:rFonts w:ascii="Book Antiqua" w:hAnsi="Book Antiqua"/>
                <w:b/>
                <w:bCs/>
                <w:color w:val="000000"/>
                <w:sz w:val="22"/>
                <w:szCs w:val="22"/>
                <w:lang w:eastAsia="es-CR"/>
              </w:rPr>
              <w:lastRenderedPageBreak/>
              <w:t>dad de tique</w:t>
            </w:r>
            <w:r w:rsidR="009471FA">
              <w:rPr>
                <w:rFonts w:ascii="Book Antiqua" w:hAnsi="Book Antiqua"/>
                <w:b/>
                <w:bCs/>
                <w:color w:val="000000"/>
                <w:sz w:val="22"/>
                <w:szCs w:val="22"/>
                <w:lang w:eastAsia="es-CR"/>
              </w:rPr>
              <w:t>-</w:t>
            </w:r>
            <w:r w:rsidRPr="00055D4B">
              <w:rPr>
                <w:rFonts w:ascii="Book Antiqua" w:hAnsi="Book Antiqua"/>
                <w:b/>
                <w:bCs/>
                <w:color w:val="000000"/>
                <w:sz w:val="22"/>
                <w:szCs w:val="22"/>
                <w:lang w:eastAsia="es-CR"/>
              </w:rPr>
              <w:t>tes</w:t>
            </w:r>
          </w:p>
        </w:tc>
        <w:tc>
          <w:tcPr>
            <w:tcW w:w="1276" w:type="dxa"/>
            <w:tcBorders>
              <w:top w:val="nil"/>
              <w:left w:val="nil"/>
              <w:bottom w:val="double" w:sz="6" w:space="0" w:color="1F497D"/>
              <w:right w:val="double" w:sz="6" w:space="0" w:color="1F497D"/>
            </w:tcBorders>
            <w:shd w:val="clear" w:color="000000" w:fill="8DB4E2"/>
            <w:vAlign w:val="center"/>
            <w:hideMark/>
          </w:tcPr>
          <w:p w14:paraId="16ECF9FA"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lastRenderedPageBreak/>
              <w:t xml:space="preserve">Total </w:t>
            </w:r>
            <w:r w:rsidRPr="00055D4B">
              <w:rPr>
                <w:rFonts w:ascii="Book Antiqua" w:hAnsi="Book Antiqua"/>
                <w:b/>
                <w:bCs/>
                <w:color w:val="000000"/>
                <w:sz w:val="22"/>
                <w:szCs w:val="22"/>
                <w:lang w:eastAsia="es-CR"/>
              </w:rPr>
              <w:lastRenderedPageBreak/>
              <w:t>transporte por persona</w:t>
            </w:r>
          </w:p>
        </w:tc>
        <w:tc>
          <w:tcPr>
            <w:tcW w:w="1559" w:type="dxa"/>
            <w:tcBorders>
              <w:top w:val="nil"/>
              <w:left w:val="nil"/>
              <w:bottom w:val="double" w:sz="6" w:space="0" w:color="1F497D"/>
              <w:right w:val="double" w:sz="6" w:space="0" w:color="1F497D"/>
            </w:tcBorders>
            <w:shd w:val="clear" w:color="000000" w:fill="8DB4E2"/>
            <w:vAlign w:val="center"/>
            <w:hideMark/>
          </w:tcPr>
          <w:p w14:paraId="1C3E969B"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lastRenderedPageBreak/>
              <w:t xml:space="preserve">Total según </w:t>
            </w:r>
            <w:r w:rsidRPr="00055D4B">
              <w:rPr>
                <w:rFonts w:ascii="Book Antiqua" w:hAnsi="Book Antiqua"/>
                <w:b/>
                <w:bCs/>
                <w:color w:val="000000"/>
                <w:sz w:val="22"/>
                <w:szCs w:val="22"/>
                <w:lang w:eastAsia="es-CR"/>
              </w:rPr>
              <w:lastRenderedPageBreak/>
              <w:t>población</w:t>
            </w:r>
          </w:p>
        </w:tc>
        <w:tc>
          <w:tcPr>
            <w:tcW w:w="3119" w:type="dxa"/>
            <w:gridSpan w:val="2"/>
            <w:tcBorders>
              <w:top w:val="double" w:sz="6" w:space="0" w:color="1F497D"/>
              <w:left w:val="nil"/>
              <w:bottom w:val="double" w:sz="6" w:space="0" w:color="1F497D"/>
              <w:right w:val="double" w:sz="6" w:space="0" w:color="1F497D"/>
            </w:tcBorders>
            <w:shd w:val="clear" w:color="000000" w:fill="8DB4E2"/>
            <w:vAlign w:val="center"/>
            <w:hideMark/>
          </w:tcPr>
          <w:p w14:paraId="28248749"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lastRenderedPageBreak/>
              <w:t>Observaciones</w:t>
            </w:r>
          </w:p>
        </w:tc>
      </w:tr>
      <w:tr w:rsidR="001341EC" w:rsidRPr="00493BFE" w14:paraId="24F295A4" w14:textId="77777777" w:rsidTr="009471FA">
        <w:trPr>
          <w:trHeight w:val="20"/>
        </w:trPr>
        <w:tc>
          <w:tcPr>
            <w:tcW w:w="1630" w:type="dxa"/>
            <w:tcBorders>
              <w:top w:val="nil"/>
              <w:left w:val="double" w:sz="6" w:space="0" w:color="1F497D"/>
              <w:bottom w:val="double" w:sz="6" w:space="0" w:color="1F497D"/>
              <w:right w:val="double" w:sz="6" w:space="0" w:color="1F497D"/>
            </w:tcBorders>
            <w:shd w:val="clear" w:color="auto" w:fill="auto"/>
            <w:vAlign w:val="center"/>
            <w:hideMark/>
          </w:tcPr>
          <w:p w14:paraId="2CE96091"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Total de personas</w:t>
            </w:r>
            <w:r w:rsidRPr="00055D4B">
              <w:rPr>
                <w:rFonts w:ascii="Book Antiqua" w:hAnsi="Book Antiqua"/>
                <w:sz w:val="22"/>
                <w:szCs w:val="22"/>
                <w:lang w:eastAsia="es-CR"/>
              </w:rPr>
              <w:br/>
              <w:t>profesionales que</w:t>
            </w:r>
            <w:r w:rsidRPr="00055D4B">
              <w:rPr>
                <w:rFonts w:ascii="Book Antiqua" w:hAnsi="Book Antiqua"/>
                <w:sz w:val="22"/>
                <w:szCs w:val="22"/>
                <w:lang w:eastAsia="es-CR"/>
              </w:rPr>
              <w:br/>
              <w:t>tienen derecho a</w:t>
            </w:r>
            <w:r w:rsidRPr="00055D4B">
              <w:rPr>
                <w:rFonts w:ascii="Book Antiqua" w:hAnsi="Book Antiqua"/>
                <w:sz w:val="22"/>
                <w:szCs w:val="22"/>
                <w:lang w:eastAsia="es-CR"/>
              </w:rPr>
              <w:br/>
              <w:t>pago por concepto de</w:t>
            </w:r>
            <w:r w:rsidRPr="00055D4B">
              <w:rPr>
                <w:rFonts w:ascii="Book Antiqua" w:hAnsi="Book Antiqua"/>
                <w:sz w:val="22"/>
                <w:szCs w:val="22"/>
                <w:lang w:eastAsia="es-CR"/>
              </w:rPr>
              <w:br/>
              <w:t>transporte</w:t>
            </w:r>
          </w:p>
        </w:tc>
        <w:tc>
          <w:tcPr>
            <w:tcW w:w="1134" w:type="dxa"/>
            <w:tcBorders>
              <w:top w:val="nil"/>
              <w:left w:val="nil"/>
              <w:bottom w:val="double" w:sz="6" w:space="0" w:color="1F497D"/>
              <w:right w:val="double" w:sz="6" w:space="0" w:color="1F497D"/>
            </w:tcBorders>
            <w:shd w:val="clear" w:color="auto" w:fill="auto"/>
            <w:vAlign w:val="center"/>
            <w:hideMark/>
          </w:tcPr>
          <w:p w14:paraId="102A58F2"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70</w:t>
            </w:r>
          </w:p>
        </w:tc>
        <w:tc>
          <w:tcPr>
            <w:tcW w:w="850" w:type="dxa"/>
            <w:tcBorders>
              <w:top w:val="nil"/>
              <w:left w:val="nil"/>
              <w:bottom w:val="double" w:sz="6" w:space="0" w:color="1F497D"/>
              <w:right w:val="double" w:sz="6" w:space="0" w:color="1F497D"/>
            </w:tcBorders>
            <w:shd w:val="clear" w:color="auto" w:fill="auto"/>
            <w:vAlign w:val="center"/>
            <w:hideMark/>
          </w:tcPr>
          <w:p w14:paraId="43A2ED38"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2</w:t>
            </w:r>
          </w:p>
        </w:tc>
        <w:tc>
          <w:tcPr>
            <w:tcW w:w="1276" w:type="dxa"/>
            <w:tcBorders>
              <w:top w:val="nil"/>
              <w:left w:val="nil"/>
              <w:bottom w:val="double" w:sz="6" w:space="0" w:color="1F497D"/>
              <w:right w:val="double" w:sz="6" w:space="0" w:color="1F497D"/>
            </w:tcBorders>
            <w:shd w:val="clear" w:color="auto" w:fill="auto"/>
            <w:vAlign w:val="center"/>
            <w:hideMark/>
          </w:tcPr>
          <w:p w14:paraId="5C7344C0"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 7.480,00 </w:t>
            </w:r>
          </w:p>
        </w:tc>
        <w:tc>
          <w:tcPr>
            <w:tcW w:w="1559" w:type="dxa"/>
            <w:tcBorders>
              <w:top w:val="nil"/>
              <w:left w:val="nil"/>
              <w:bottom w:val="double" w:sz="6" w:space="0" w:color="1F497D"/>
              <w:right w:val="double" w:sz="6" w:space="0" w:color="1F497D"/>
            </w:tcBorders>
            <w:shd w:val="clear" w:color="auto" w:fill="auto"/>
            <w:vAlign w:val="center"/>
            <w:hideMark/>
          </w:tcPr>
          <w:p w14:paraId="4D21578F" w14:textId="77777777" w:rsidR="001341EC" w:rsidRPr="00493BFE" w:rsidRDefault="001341EC" w:rsidP="00165AA6">
            <w:pPr>
              <w:rPr>
                <w:rFonts w:ascii="Book Antiqua" w:hAnsi="Book Antiqua"/>
                <w:color w:val="000000"/>
                <w:lang w:eastAsia="es-CR"/>
              </w:rPr>
            </w:pPr>
            <w:r w:rsidRPr="00493BFE">
              <w:rPr>
                <w:color w:val="000000"/>
                <w:sz w:val="22"/>
                <w:szCs w:val="22"/>
                <w:lang w:eastAsia="es-CR"/>
              </w:rPr>
              <w:t>₡</w:t>
            </w:r>
            <w:r w:rsidRPr="00493BFE">
              <w:rPr>
                <w:rFonts w:ascii="Book Antiqua" w:hAnsi="Book Antiqua"/>
                <w:color w:val="000000"/>
                <w:sz w:val="22"/>
                <w:szCs w:val="22"/>
                <w:lang w:eastAsia="es-CR"/>
              </w:rPr>
              <w:t xml:space="preserve"> 526.592,00 </w:t>
            </w:r>
          </w:p>
        </w:tc>
        <w:tc>
          <w:tcPr>
            <w:tcW w:w="3119" w:type="dxa"/>
            <w:gridSpan w:val="2"/>
            <w:tcBorders>
              <w:top w:val="double" w:sz="6" w:space="0" w:color="1F497D"/>
              <w:left w:val="nil"/>
              <w:bottom w:val="double" w:sz="6" w:space="0" w:color="1F497D"/>
              <w:right w:val="double" w:sz="6" w:space="0" w:color="1F497D"/>
            </w:tcBorders>
            <w:shd w:val="clear" w:color="auto" w:fill="auto"/>
            <w:vAlign w:val="center"/>
            <w:hideMark/>
          </w:tcPr>
          <w:p w14:paraId="1328F2AD"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 xml:space="preserve"> El cálculo se realiza tomando</w:t>
            </w:r>
            <w:r w:rsidRPr="00055D4B">
              <w:rPr>
                <w:rFonts w:ascii="Book Antiqua" w:hAnsi="Book Antiqua"/>
                <w:sz w:val="22"/>
                <w:szCs w:val="22"/>
                <w:lang w:eastAsia="es-CR"/>
              </w:rPr>
              <w:br/>
              <w:t>como base la tarifa de buses a</w:t>
            </w:r>
            <w:r w:rsidRPr="00055D4B">
              <w:rPr>
                <w:rFonts w:ascii="Book Antiqua" w:hAnsi="Book Antiqua"/>
                <w:sz w:val="22"/>
                <w:szCs w:val="22"/>
                <w:lang w:eastAsia="es-CR"/>
              </w:rPr>
              <w:br/>
              <w:t>Liberia, que tiene un costo de</w:t>
            </w:r>
            <w:r w:rsidRPr="00055D4B">
              <w:rPr>
                <w:rFonts w:ascii="Book Antiqua" w:hAnsi="Book Antiqua"/>
                <w:sz w:val="22"/>
                <w:szCs w:val="22"/>
                <w:lang w:eastAsia="es-CR"/>
              </w:rPr>
              <w:br/>
              <w:t xml:space="preserve">3.740 colones. </w:t>
            </w:r>
          </w:p>
        </w:tc>
      </w:tr>
      <w:tr w:rsidR="001341EC" w:rsidRPr="00493BFE" w14:paraId="7544229A" w14:textId="77777777" w:rsidTr="009471FA">
        <w:trPr>
          <w:trHeight w:val="20"/>
        </w:trPr>
        <w:tc>
          <w:tcPr>
            <w:tcW w:w="1630" w:type="dxa"/>
            <w:tcBorders>
              <w:top w:val="nil"/>
              <w:left w:val="double" w:sz="6" w:space="0" w:color="1F497D"/>
              <w:bottom w:val="double" w:sz="6" w:space="0" w:color="1F497D"/>
              <w:right w:val="double" w:sz="6" w:space="0" w:color="1F497D"/>
            </w:tcBorders>
            <w:shd w:val="clear" w:color="auto" w:fill="auto"/>
            <w:vAlign w:val="center"/>
            <w:hideMark/>
          </w:tcPr>
          <w:p w14:paraId="0963704D"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Total de personas</w:t>
            </w:r>
            <w:r w:rsidRPr="00055D4B">
              <w:rPr>
                <w:rFonts w:ascii="Book Antiqua" w:hAnsi="Book Antiqua"/>
                <w:sz w:val="22"/>
                <w:szCs w:val="22"/>
                <w:lang w:eastAsia="es-CR"/>
              </w:rPr>
              <w:br/>
              <w:t>Técnicas</w:t>
            </w:r>
            <w:r w:rsidRPr="00055D4B">
              <w:rPr>
                <w:rFonts w:ascii="Book Antiqua" w:hAnsi="Book Antiqua"/>
                <w:sz w:val="22"/>
                <w:szCs w:val="22"/>
                <w:lang w:eastAsia="es-CR"/>
              </w:rPr>
              <w:br/>
              <w:t>Judiciales que tienen</w:t>
            </w:r>
            <w:r w:rsidRPr="00055D4B">
              <w:rPr>
                <w:rFonts w:ascii="Book Antiqua" w:hAnsi="Book Antiqua"/>
                <w:sz w:val="22"/>
                <w:szCs w:val="22"/>
                <w:lang w:eastAsia="es-CR"/>
              </w:rPr>
              <w:br/>
              <w:t>derecho a pago por</w:t>
            </w:r>
            <w:r w:rsidRPr="00055D4B">
              <w:rPr>
                <w:rFonts w:ascii="Book Antiqua" w:hAnsi="Book Antiqua"/>
                <w:sz w:val="22"/>
                <w:szCs w:val="22"/>
                <w:lang w:eastAsia="es-CR"/>
              </w:rPr>
              <w:br/>
              <w:t>concepto de</w:t>
            </w:r>
            <w:r w:rsidRPr="00055D4B">
              <w:rPr>
                <w:rFonts w:ascii="Book Antiqua" w:hAnsi="Book Antiqua"/>
                <w:sz w:val="22"/>
                <w:szCs w:val="22"/>
                <w:lang w:eastAsia="es-CR"/>
              </w:rPr>
              <w:br/>
              <w:t>transporte</w:t>
            </w:r>
          </w:p>
        </w:tc>
        <w:tc>
          <w:tcPr>
            <w:tcW w:w="1134" w:type="dxa"/>
            <w:tcBorders>
              <w:top w:val="nil"/>
              <w:left w:val="nil"/>
              <w:bottom w:val="double" w:sz="6" w:space="0" w:color="1F497D"/>
              <w:right w:val="double" w:sz="6" w:space="0" w:color="1F497D"/>
            </w:tcBorders>
            <w:shd w:val="clear" w:color="auto" w:fill="auto"/>
            <w:vAlign w:val="center"/>
            <w:hideMark/>
          </w:tcPr>
          <w:p w14:paraId="46D7E488"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10</w:t>
            </w:r>
          </w:p>
        </w:tc>
        <w:tc>
          <w:tcPr>
            <w:tcW w:w="850" w:type="dxa"/>
            <w:tcBorders>
              <w:top w:val="nil"/>
              <w:left w:val="nil"/>
              <w:bottom w:val="double" w:sz="6" w:space="0" w:color="1F497D"/>
              <w:right w:val="double" w:sz="6" w:space="0" w:color="1F497D"/>
            </w:tcBorders>
            <w:shd w:val="clear" w:color="auto" w:fill="auto"/>
            <w:vAlign w:val="center"/>
            <w:hideMark/>
          </w:tcPr>
          <w:p w14:paraId="636715D6"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2</w:t>
            </w:r>
          </w:p>
        </w:tc>
        <w:tc>
          <w:tcPr>
            <w:tcW w:w="1276" w:type="dxa"/>
            <w:tcBorders>
              <w:top w:val="nil"/>
              <w:left w:val="nil"/>
              <w:bottom w:val="double" w:sz="6" w:space="0" w:color="1F497D"/>
              <w:right w:val="double" w:sz="6" w:space="0" w:color="1F497D"/>
            </w:tcBorders>
            <w:shd w:val="clear" w:color="auto" w:fill="auto"/>
            <w:vAlign w:val="center"/>
            <w:hideMark/>
          </w:tcPr>
          <w:p w14:paraId="04BDAA2F"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 7.480,00 </w:t>
            </w:r>
          </w:p>
        </w:tc>
        <w:tc>
          <w:tcPr>
            <w:tcW w:w="1559" w:type="dxa"/>
            <w:tcBorders>
              <w:top w:val="nil"/>
              <w:left w:val="nil"/>
              <w:bottom w:val="double" w:sz="6" w:space="0" w:color="1F497D"/>
              <w:right w:val="double" w:sz="6" w:space="0" w:color="1F497D"/>
            </w:tcBorders>
            <w:shd w:val="clear" w:color="auto" w:fill="auto"/>
            <w:vAlign w:val="center"/>
            <w:hideMark/>
          </w:tcPr>
          <w:p w14:paraId="7B366EB7" w14:textId="77777777" w:rsidR="001341EC" w:rsidRPr="00493BFE" w:rsidRDefault="001341EC" w:rsidP="00165AA6">
            <w:pPr>
              <w:jc w:val="center"/>
              <w:rPr>
                <w:rFonts w:ascii="Book Antiqua" w:hAnsi="Book Antiqua"/>
                <w:color w:val="000000"/>
                <w:lang w:eastAsia="es-CR"/>
              </w:rPr>
            </w:pPr>
            <w:r w:rsidRPr="00493BFE">
              <w:rPr>
                <w:color w:val="000000"/>
                <w:sz w:val="22"/>
                <w:szCs w:val="22"/>
                <w:lang w:eastAsia="es-CR"/>
              </w:rPr>
              <w:t>₡</w:t>
            </w:r>
            <w:r w:rsidRPr="00493BFE">
              <w:rPr>
                <w:rFonts w:ascii="Book Antiqua" w:hAnsi="Book Antiqua"/>
                <w:color w:val="000000"/>
                <w:sz w:val="22"/>
                <w:szCs w:val="22"/>
                <w:lang w:eastAsia="es-CR"/>
              </w:rPr>
              <w:t xml:space="preserve"> 77.792,00 </w:t>
            </w:r>
          </w:p>
        </w:tc>
        <w:tc>
          <w:tcPr>
            <w:tcW w:w="3119" w:type="dxa"/>
            <w:gridSpan w:val="2"/>
            <w:tcBorders>
              <w:top w:val="double" w:sz="6" w:space="0" w:color="1F497D"/>
              <w:left w:val="nil"/>
              <w:bottom w:val="double" w:sz="6" w:space="0" w:color="1F497D"/>
              <w:right w:val="double" w:sz="6" w:space="0" w:color="1F497D"/>
            </w:tcBorders>
            <w:shd w:val="clear" w:color="auto" w:fill="auto"/>
            <w:vAlign w:val="center"/>
            <w:hideMark/>
          </w:tcPr>
          <w:p w14:paraId="724251AC"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 xml:space="preserve"> El cálculo se realiza tomando</w:t>
            </w:r>
            <w:r w:rsidRPr="00055D4B">
              <w:rPr>
                <w:rFonts w:ascii="Book Antiqua" w:hAnsi="Book Antiqua"/>
                <w:sz w:val="22"/>
                <w:szCs w:val="22"/>
                <w:lang w:eastAsia="es-CR"/>
              </w:rPr>
              <w:br/>
              <w:t>como base la tarifa de buses a</w:t>
            </w:r>
            <w:r w:rsidRPr="00055D4B">
              <w:rPr>
                <w:rFonts w:ascii="Book Antiqua" w:hAnsi="Book Antiqua"/>
                <w:sz w:val="22"/>
                <w:szCs w:val="22"/>
                <w:lang w:eastAsia="es-CR"/>
              </w:rPr>
              <w:br/>
              <w:t>Liberia, que tiene un costo de</w:t>
            </w:r>
            <w:r w:rsidRPr="00055D4B">
              <w:rPr>
                <w:rFonts w:ascii="Book Antiqua" w:hAnsi="Book Antiqua"/>
                <w:sz w:val="22"/>
                <w:szCs w:val="22"/>
                <w:lang w:eastAsia="es-CR"/>
              </w:rPr>
              <w:br/>
              <w:t xml:space="preserve">3.740 colones. </w:t>
            </w:r>
          </w:p>
        </w:tc>
      </w:tr>
      <w:tr w:rsidR="001341EC" w:rsidRPr="00493BFE" w14:paraId="7600BB6F" w14:textId="77777777" w:rsidTr="009471FA">
        <w:trPr>
          <w:trHeight w:val="20"/>
        </w:trPr>
        <w:tc>
          <w:tcPr>
            <w:tcW w:w="1630" w:type="dxa"/>
            <w:tcBorders>
              <w:top w:val="nil"/>
              <w:left w:val="double" w:sz="6" w:space="0" w:color="1F497D"/>
              <w:bottom w:val="double" w:sz="6" w:space="0" w:color="1F497D"/>
              <w:right w:val="double" w:sz="6" w:space="0" w:color="1F497D"/>
            </w:tcBorders>
            <w:shd w:val="clear" w:color="000000" w:fill="8DB4E2"/>
            <w:vAlign w:val="center"/>
            <w:hideMark/>
          </w:tcPr>
          <w:p w14:paraId="51F0562B"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Tiquetes de almuerzo</w:t>
            </w:r>
          </w:p>
        </w:tc>
        <w:tc>
          <w:tcPr>
            <w:tcW w:w="1134" w:type="dxa"/>
            <w:tcBorders>
              <w:top w:val="nil"/>
              <w:left w:val="nil"/>
              <w:bottom w:val="double" w:sz="6" w:space="0" w:color="1F497D"/>
              <w:right w:val="double" w:sz="6" w:space="0" w:color="1F497D"/>
            </w:tcBorders>
            <w:shd w:val="clear" w:color="000000" w:fill="8DB4E2"/>
            <w:vAlign w:val="center"/>
            <w:hideMark/>
          </w:tcPr>
          <w:p w14:paraId="0C26A2F0"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Cantidad de Personas</w:t>
            </w:r>
          </w:p>
        </w:tc>
        <w:tc>
          <w:tcPr>
            <w:tcW w:w="850" w:type="dxa"/>
            <w:tcBorders>
              <w:top w:val="nil"/>
              <w:left w:val="nil"/>
              <w:bottom w:val="double" w:sz="6" w:space="0" w:color="1F497D"/>
              <w:right w:val="double" w:sz="6" w:space="0" w:color="1F497D"/>
            </w:tcBorders>
            <w:shd w:val="clear" w:color="000000" w:fill="8DB4E2"/>
            <w:vAlign w:val="center"/>
            <w:hideMark/>
          </w:tcPr>
          <w:p w14:paraId="41459992" w14:textId="77777777" w:rsidR="001341EC" w:rsidRPr="00055D4B" w:rsidRDefault="001341EC" w:rsidP="00165AA6">
            <w:pPr>
              <w:jc w:val="center"/>
              <w:rPr>
                <w:rFonts w:ascii="Book Antiqua" w:hAnsi="Book Antiqua"/>
                <w:b/>
                <w:bCs/>
                <w:color w:val="000000"/>
                <w:lang w:eastAsia="es-CR"/>
              </w:rPr>
            </w:pPr>
            <w:proofErr w:type="spellStart"/>
            <w:r w:rsidRPr="00055D4B">
              <w:rPr>
                <w:rFonts w:ascii="Book Antiqua" w:hAnsi="Book Antiqua"/>
                <w:b/>
                <w:bCs/>
                <w:color w:val="000000"/>
                <w:sz w:val="22"/>
                <w:szCs w:val="22"/>
                <w:lang w:eastAsia="es-CR"/>
              </w:rPr>
              <w:t>Canti</w:t>
            </w:r>
            <w:proofErr w:type="spellEnd"/>
            <w:r w:rsidR="009471FA">
              <w:rPr>
                <w:rFonts w:ascii="Book Antiqua" w:hAnsi="Book Antiqua"/>
                <w:b/>
                <w:bCs/>
                <w:color w:val="000000"/>
                <w:sz w:val="22"/>
                <w:szCs w:val="22"/>
                <w:lang w:eastAsia="es-CR"/>
              </w:rPr>
              <w:t>-</w:t>
            </w:r>
            <w:r w:rsidRPr="00055D4B">
              <w:rPr>
                <w:rFonts w:ascii="Book Antiqua" w:hAnsi="Book Antiqua"/>
                <w:b/>
                <w:bCs/>
                <w:color w:val="000000"/>
                <w:sz w:val="22"/>
                <w:szCs w:val="22"/>
                <w:lang w:eastAsia="es-CR"/>
              </w:rPr>
              <w:t xml:space="preserve">dad de días </w:t>
            </w:r>
          </w:p>
        </w:tc>
        <w:tc>
          <w:tcPr>
            <w:tcW w:w="1276" w:type="dxa"/>
            <w:tcBorders>
              <w:top w:val="nil"/>
              <w:left w:val="nil"/>
              <w:bottom w:val="double" w:sz="6" w:space="0" w:color="1F497D"/>
              <w:right w:val="double" w:sz="6" w:space="0" w:color="1F497D"/>
            </w:tcBorders>
            <w:shd w:val="clear" w:color="000000" w:fill="8DB4E2"/>
            <w:vAlign w:val="center"/>
            <w:hideMark/>
          </w:tcPr>
          <w:p w14:paraId="26213B5A"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Tiquetes de almuerzo</w:t>
            </w:r>
          </w:p>
        </w:tc>
        <w:tc>
          <w:tcPr>
            <w:tcW w:w="1559" w:type="dxa"/>
            <w:tcBorders>
              <w:top w:val="nil"/>
              <w:left w:val="nil"/>
              <w:bottom w:val="double" w:sz="6" w:space="0" w:color="1F497D"/>
              <w:right w:val="double" w:sz="6" w:space="0" w:color="1F497D"/>
            </w:tcBorders>
            <w:shd w:val="clear" w:color="000000" w:fill="8DB4E2"/>
            <w:vAlign w:val="center"/>
            <w:hideMark/>
          </w:tcPr>
          <w:p w14:paraId="63EE9FD8"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 xml:space="preserve">Total </w:t>
            </w:r>
          </w:p>
        </w:tc>
        <w:tc>
          <w:tcPr>
            <w:tcW w:w="3119" w:type="dxa"/>
            <w:gridSpan w:val="2"/>
            <w:tcBorders>
              <w:top w:val="double" w:sz="6" w:space="0" w:color="1F497D"/>
              <w:left w:val="nil"/>
              <w:bottom w:val="double" w:sz="6" w:space="0" w:color="1F497D"/>
              <w:right w:val="double" w:sz="6" w:space="0" w:color="1F497D"/>
            </w:tcBorders>
            <w:shd w:val="clear" w:color="000000" w:fill="8DB4E2"/>
            <w:vAlign w:val="center"/>
            <w:hideMark/>
          </w:tcPr>
          <w:p w14:paraId="54770B7E"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Observaciones</w:t>
            </w:r>
          </w:p>
        </w:tc>
      </w:tr>
      <w:tr w:rsidR="001341EC" w:rsidRPr="00493BFE" w14:paraId="3728A06C" w14:textId="77777777" w:rsidTr="009471FA">
        <w:trPr>
          <w:trHeight w:val="20"/>
        </w:trPr>
        <w:tc>
          <w:tcPr>
            <w:tcW w:w="1630" w:type="dxa"/>
            <w:tcBorders>
              <w:top w:val="nil"/>
              <w:left w:val="double" w:sz="6" w:space="0" w:color="1F497D"/>
              <w:bottom w:val="double" w:sz="6" w:space="0" w:color="1F497D"/>
              <w:right w:val="double" w:sz="6" w:space="0" w:color="1F497D"/>
            </w:tcBorders>
            <w:shd w:val="clear" w:color="auto" w:fill="auto"/>
            <w:vAlign w:val="center"/>
            <w:hideMark/>
          </w:tcPr>
          <w:p w14:paraId="1523894A"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Total de personas</w:t>
            </w:r>
            <w:r w:rsidRPr="00055D4B">
              <w:rPr>
                <w:rFonts w:ascii="Book Antiqua" w:hAnsi="Book Antiqua"/>
                <w:sz w:val="22"/>
                <w:szCs w:val="22"/>
                <w:lang w:eastAsia="es-CR"/>
              </w:rPr>
              <w:br/>
              <w:t>profesionales que</w:t>
            </w:r>
            <w:r w:rsidRPr="00055D4B">
              <w:rPr>
                <w:rFonts w:ascii="Book Antiqua" w:hAnsi="Book Antiqua"/>
                <w:sz w:val="22"/>
                <w:szCs w:val="22"/>
                <w:lang w:eastAsia="es-CR"/>
              </w:rPr>
              <w:br/>
              <w:t>tienen derecho al</w:t>
            </w:r>
            <w:r w:rsidRPr="00055D4B">
              <w:rPr>
                <w:rFonts w:ascii="Book Antiqua" w:hAnsi="Book Antiqua"/>
                <w:sz w:val="22"/>
                <w:szCs w:val="22"/>
                <w:lang w:eastAsia="es-CR"/>
              </w:rPr>
              <w:br/>
              <w:t>tiquete del almuerzo</w:t>
            </w:r>
          </w:p>
        </w:tc>
        <w:tc>
          <w:tcPr>
            <w:tcW w:w="1134" w:type="dxa"/>
            <w:tcBorders>
              <w:top w:val="nil"/>
              <w:left w:val="nil"/>
              <w:bottom w:val="double" w:sz="6" w:space="0" w:color="1F497D"/>
              <w:right w:val="double" w:sz="6" w:space="0" w:color="1F497D"/>
            </w:tcBorders>
            <w:shd w:val="clear" w:color="auto" w:fill="auto"/>
            <w:vAlign w:val="center"/>
            <w:hideMark/>
          </w:tcPr>
          <w:p w14:paraId="0F568805"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70</w:t>
            </w:r>
          </w:p>
        </w:tc>
        <w:tc>
          <w:tcPr>
            <w:tcW w:w="850" w:type="dxa"/>
            <w:tcBorders>
              <w:top w:val="nil"/>
              <w:left w:val="nil"/>
              <w:bottom w:val="double" w:sz="6" w:space="0" w:color="1F497D"/>
              <w:right w:val="double" w:sz="6" w:space="0" w:color="1F497D"/>
            </w:tcBorders>
            <w:shd w:val="clear" w:color="auto" w:fill="auto"/>
            <w:vAlign w:val="center"/>
            <w:hideMark/>
          </w:tcPr>
          <w:p w14:paraId="05ACDAC6"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7</w:t>
            </w:r>
          </w:p>
        </w:tc>
        <w:tc>
          <w:tcPr>
            <w:tcW w:w="1276" w:type="dxa"/>
            <w:tcBorders>
              <w:top w:val="nil"/>
              <w:left w:val="nil"/>
              <w:bottom w:val="double" w:sz="6" w:space="0" w:color="1F497D"/>
              <w:right w:val="double" w:sz="6" w:space="0" w:color="1F497D"/>
            </w:tcBorders>
            <w:shd w:val="clear" w:color="auto" w:fill="auto"/>
            <w:vAlign w:val="center"/>
            <w:hideMark/>
          </w:tcPr>
          <w:p w14:paraId="53517ED3"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1.750,00 </w:t>
            </w:r>
          </w:p>
        </w:tc>
        <w:tc>
          <w:tcPr>
            <w:tcW w:w="1559" w:type="dxa"/>
            <w:tcBorders>
              <w:top w:val="nil"/>
              <w:left w:val="nil"/>
              <w:bottom w:val="double" w:sz="6" w:space="0" w:color="1F497D"/>
              <w:right w:val="double" w:sz="6" w:space="0" w:color="1F497D"/>
            </w:tcBorders>
            <w:shd w:val="clear" w:color="auto" w:fill="auto"/>
            <w:vAlign w:val="center"/>
            <w:hideMark/>
          </w:tcPr>
          <w:p w14:paraId="787B3486"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 862.400,00 </w:t>
            </w:r>
          </w:p>
        </w:tc>
        <w:tc>
          <w:tcPr>
            <w:tcW w:w="3119" w:type="dxa"/>
            <w:gridSpan w:val="2"/>
            <w:tcBorders>
              <w:top w:val="double" w:sz="6" w:space="0" w:color="1F497D"/>
              <w:left w:val="nil"/>
              <w:bottom w:val="double" w:sz="6" w:space="0" w:color="1F497D"/>
              <w:right w:val="double" w:sz="6" w:space="0" w:color="1F497D"/>
            </w:tcBorders>
            <w:shd w:val="clear" w:color="auto" w:fill="auto"/>
            <w:vAlign w:val="center"/>
            <w:hideMark/>
          </w:tcPr>
          <w:p w14:paraId="299AEAA6"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Los tiquetes de almuerzo se </w:t>
            </w:r>
            <w:r w:rsidRPr="00493BFE">
              <w:rPr>
                <w:rFonts w:ascii="Book Antiqua" w:hAnsi="Book Antiqua"/>
                <w:color w:val="000000"/>
                <w:sz w:val="22"/>
                <w:szCs w:val="22"/>
                <w:lang w:eastAsia="es-CR"/>
              </w:rPr>
              <w:br/>
              <w:t xml:space="preserve">deben cargar a la subpartida </w:t>
            </w:r>
            <w:r w:rsidRPr="00493BFE">
              <w:rPr>
                <w:rFonts w:ascii="Book Antiqua" w:hAnsi="Book Antiqua"/>
                <w:color w:val="000000"/>
                <w:sz w:val="22"/>
                <w:szCs w:val="22"/>
                <w:lang w:eastAsia="es-CR"/>
              </w:rPr>
              <w:br/>
              <w:t xml:space="preserve">2.02.03 Alimentos y bebidas </w:t>
            </w:r>
            <w:r w:rsidRPr="00493BFE">
              <w:rPr>
                <w:rFonts w:ascii="Book Antiqua" w:hAnsi="Book Antiqua"/>
                <w:color w:val="000000"/>
                <w:sz w:val="22"/>
                <w:szCs w:val="22"/>
                <w:lang w:eastAsia="es-CR"/>
              </w:rPr>
              <w:br/>
              <w:t xml:space="preserve">mediante el contrato No. 069116  </w:t>
            </w:r>
          </w:p>
        </w:tc>
      </w:tr>
      <w:tr w:rsidR="001341EC" w:rsidRPr="00493BFE" w14:paraId="7BC7BA5F" w14:textId="77777777" w:rsidTr="009471FA">
        <w:trPr>
          <w:trHeight w:val="20"/>
        </w:trPr>
        <w:tc>
          <w:tcPr>
            <w:tcW w:w="1630" w:type="dxa"/>
            <w:tcBorders>
              <w:top w:val="nil"/>
              <w:left w:val="double" w:sz="6" w:space="0" w:color="1F497D"/>
              <w:bottom w:val="double" w:sz="6" w:space="0" w:color="1F497D"/>
              <w:right w:val="double" w:sz="6" w:space="0" w:color="1F497D"/>
            </w:tcBorders>
            <w:shd w:val="clear" w:color="auto" w:fill="auto"/>
            <w:vAlign w:val="center"/>
            <w:hideMark/>
          </w:tcPr>
          <w:p w14:paraId="2C9F18F7"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Total de personas</w:t>
            </w:r>
            <w:r w:rsidRPr="00055D4B">
              <w:rPr>
                <w:rFonts w:ascii="Book Antiqua" w:hAnsi="Book Antiqua"/>
                <w:sz w:val="22"/>
                <w:szCs w:val="22"/>
                <w:lang w:eastAsia="es-CR"/>
              </w:rPr>
              <w:br/>
              <w:t>técnicas judiciales</w:t>
            </w:r>
            <w:r w:rsidRPr="00055D4B">
              <w:rPr>
                <w:rFonts w:ascii="Book Antiqua" w:hAnsi="Book Antiqua"/>
                <w:sz w:val="22"/>
                <w:szCs w:val="22"/>
                <w:lang w:eastAsia="es-CR"/>
              </w:rPr>
              <w:br/>
              <w:t>que tienen derecho al</w:t>
            </w:r>
            <w:r w:rsidRPr="00055D4B">
              <w:rPr>
                <w:rFonts w:ascii="Book Antiqua" w:hAnsi="Book Antiqua"/>
                <w:sz w:val="22"/>
                <w:szCs w:val="22"/>
                <w:lang w:eastAsia="es-CR"/>
              </w:rPr>
              <w:br/>
              <w:t>tiquete del almuerzo</w:t>
            </w:r>
          </w:p>
        </w:tc>
        <w:tc>
          <w:tcPr>
            <w:tcW w:w="1134" w:type="dxa"/>
            <w:tcBorders>
              <w:top w:val="nil"/>
              <w:left w:val="nil"/>
              <w:bottom w:val="double" w:sz="6" w:space="0" w:color="1F497D"/>
              <w:right w:val="double" w:sz="6" w:space="0" w:color="1F497D"/>
            </w:tcBorders>
            <w:shd w:val="clear" w:color="auto" w:fill="auto"/>
            <w:vAlign w:val="center"/>
            <w:hideMark/>
          </w:tcPr>
          <w:p w14:paraId="6E8D8B60"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10</w:t>
            </w:r>
          </w:p>
        </w:tc>
        <w:tc>
          <w:tcPr>
            <w:tcW w:w="850" w:type="dxa"/>
            <w:tcBorders>
              <w:top w:val="nil"/>
              <w:left w:val="nil"/>
              <w:bottom w:val="double" w:sz="6" w:space="0" w:color="1F497D"/>
              <w:right w:val="double" w:sz="6" w:space="0" w:color="1F497D"/>
            </w:tcBorders>
            <w:shd w:val="clear" w:color="auto" w:fill="auto"/>
            <w:vAlign w:val="center"/>
            <w:hideMark/>
          </w:tcPr>
          <w:p w14:paraId="4728E54D"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5</w:t>
            </w:r>
          </w:p>
        </w:tc>
        <w:tc>
          <w:tcPr>
            <w:tcW w:w="1276" w:type="dxa"/>
            <w:tcBorders>
              <w:top w:val="nil"/>
              <w:left w:val="nil"/>
              <w:bottom w:val="double" w:sz="6" w:space="0" w:color="1F497D"/>
              <w:right w:val="double" w:sz="6" w:space="0" w:color="1F497D"/>
            </w:tcBorders>
            <w:shd w:val="clear" w:color="auto" w:fill="auto"/>
            <w:vAlign w:val="center"/>
            <w:hideMark/>
          </w:tcPr>
          <w:p w14:paraId="06F18588"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 1.750,00 </w:t>
            </w:r>
          </w:p>
        </w:tc>
        <w:tc>
          <w:tcPr>
            <w:tcW w:w="1559" w:type="dxa"/>
            <w:tcBorders>
              <w:top w:val="nil"/>
              <w:left w:val="nil"/>
              <w:bottom w:val="double" w:sz="6" w:space="0" w:color="1F497D"/>
              <w:right w:val="double" w:sz="6" w:space="0" w:color="1F497D"/>
            </w:tcBorders>
            <w:shd w:val="clear" w:color="auto" w:fill="auto"/>
            <w:vAlign w:val="center"/>
            <w:hideMark/>
          </w:tcPr>
          <w:p w14:paraId="7A9C5B9D"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 91.000,00 </w:t>
            </w:r>
          </w:p>
        </w:tc>
        <w:tc>
          <w:tcPr>
            <w:tcW w:w="3119" w:type="dxa"/>
            <w:gridSpan w:val="2"/>
            <w:tcBorders>
              <w:top w:val="double" w:sz="6" w:space="0" w:color="1F497D"/>
              <w:left w:val="nil"/>
              <w:bottom w:val="double" w:sz="6" w:space="0" w:color="1F497D"/>
              <w:right w:val="double" w:sz="6" w:space="0" w:color="1F497D"/>
            </w:tcBorders>
            <w:shd w:val="clear" w:color="auto" w:fill="auto"/>
            <w:vAlign w:val="center"/>
            <w:hideMark/>
          </w:tcPr>
          <w:p w14:paraId="5B73927D"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Los tiquetes de almuerzo se </w:t>
            </w:r>
            <w:r w:rsidRPr="00493BFE">
              <w:rPr>
                <w:rFonts w:ascii="Book Antiqua" w:hAnsi="Book Antiqua"/>
                <w:color w:val="000000"/>
                <w:sz w:val="22"/>
                <w:szCs w:val="22"/>
                <w:lang w:eastAsia="es-CR"/>
              </w:rPr>
              <w:br/>
              <w:t xml:space="preserve">deben cargar a la subpartida </w:t>
            </w:r>
            <w:r w:rsidRPr="00493BFE">
              <w:rPr>
                <w:rFonts w:ascii="Book Antiqua" w:hAnsi="Book Antiqua"/>
                <w:color w:val="000000"/>
                <w:sz w:val="22"/>
                <w:szCs w:val="22"/>
                <w:lang w:eastAsia="es-CR"/>
              </w:rPr>
              <w:br/>
              <w:t xml:space="preserve">2.02.03 Alimentos y bebidas </w:t>
            </w:r>
            <w:r w:rsidRPr="00493BFE">
              <w:rPr>
                <w:rFonts w:ascii="Book Antiqua" w:hAnsi="Book Antiqua"/>
                <w:color w:val="000000"/>
                <w:sz w:val="22"/>
                <w:szCs w:val="22"/>
                <w:lang w:eastAsia="es-CR"/>
              </w:rPr>
              <w:br/>
              <w:t xml:space="preserve">mediante el contrato No. 069116  </w:t>
            </w:r>
          </w:p>
        </w:tc>
      </w:tr>
    </w:tbl>
    <w:p w14:paraId="3845BD1B" w14:textId="77777777" w:rsidR="001341EC" w:rsidRPr="00F53CB0" w:rsidRDefault="001341EC" w:rsidP="001341EC">
      <w:pPr>
        <w:jc w:val="both"/>
        <w:rPr>
          <w:rFonts w:ascii="Book Antiqua" w:hAnsi="Book Antiqua"/>
          <w:b/>
          <w:i/>
          <w:sz w:val="18"/>
          <w:lang w:eastAsia="en-US"/>
        </w:rPr>
      </w:pPr>
      <w:r w:rsidRPr="00F53CB0">
        <w:rPr>
          <w:rFonts w:ascii="Book Antiqua" w:hAnsi="Book Antiqua"/>
          <w:b/>
          <w:i/>
          <w:sz w:val="18"/>
          <w:lang w:eastAsia="en-US"/>
        </w:rPr>
        <w:t>Fuente: Subproceso de Modernización Institucional de acuerdo con Propuestas de Capacitación Reforma Procesal Agraria, Escuela Judicial del 23 y 29 de marzo de 2017.</w:t>
      </w:r>
    </w:p>
    <w:p w14:paraId="6674928B" w14:textId="77777777" w:rsidR="001341EC" w:rsidRDefault="001341EC" w:rsidP="001341EC">
      <w:pPr>
        <w:spacing w:line="270" w:lineRule="auto"/>
        <w:jc w:val="both"/>
        <w:rPr>
          <w:rFonts w:ascii="Book Antiqua" w:eastAsia="Arial" w:hAnsi="Book Antiqua"/>
          <w:b/>
          <w:i/>
        </w:rPr>
      </w:pPr>
    </w:p>
    <w:p w14:paraId="2126C141" w14:textId="77777777" w:rsidR="009471FA" w:rsidRDefault="009471FA" w:rsidP="001341EC">
      <w:pPr>
        <w:spacing w:line="270" w:lineRule="auto"/>
        <w:jc w:val="both"/>
        <w:rPr>
          <w:rFonts w:ascii="Book Antiqua" w:eastAsia="Arial" w:hAnsi="Book Antiqua"/>
          <w:b/>
          <w:i/>
        </w:rPr>
      </w:pPr>
    </w:p>
    <w:p w14:paraId="66D09D86" w14:textId="77777777" w:rsidR="009471FA" w:rsidRDefault="009471FA" w:rsidP="001341EC">
      <w:pPr>
        <w:spacing w:line="270" w:lineRule="auto"/>
        <w:jc w:val="both"/>
        <w:rPr>
          <w:rFonts w:ascii="Book Antiqua" w:eastAsia="Arial" w:hAnsi="Book Antiqua"/>
          <w:b/>
          <w:i/>
        </w:rPr>
      </w:pPr>
    </w:p>
    <w:p w14:paraId="6C37FF62" w14:textId="77777777" w:rsidR="009471FA" w:rsidRPr="00F53CB0" w:rsidRDefault="009471FA" w:rsidP="001341EC">
      <w:pPr>
        <w:spacing w:line="270" w:lineRule="auto"/>
        <w:jc w:val="both"/>
        <w:rPr>
          <w:rFonts w:ascii="Book Antiqua" w:eastAsia="Arial" w:hAnsi="Book Antiqua"/>
          <w:b/>
          <w:i/>
        </w:rPr>
      </w:pPr>
    </w:p>
    <w:p w14:paraId="3B4D4D69" w14:textId="77777777" w:rsidR="001341EC" w:rsidRPr="00055D4B" w:rsidRDefault="001341EC" w:rsidP="001341EC">
      <w:pPr>
        <w:spacing w:line="270" w:lineRule="auto"/>
        <w:jc w:val="both"/>
        <w:rPr>
          <w:rFonts w:ascii="Book Antiqua" w:eastAsia="Arial" w:hAnsi="Book Antiqua"/>
          <w:i/>
          <w:sz w:val="22"/>
        </w:rPr>
      </w:pPr>
      <w:r w:rsidRPr="00055D4B">
        <w:rPr>
          <w:rFonts w:ascii="Book Antiqua" w:eastAsia="Arial" w:hAnsi="Book Antiqua"/>
          <w:b/>
          <w:i/>
          <w:sz w:val="22"/>
        </w:rPr>
        <w:lastRenderedPageBreak/>
        <w:t xml:space="preserve">Sustitución de personas participantes: </w:t>
      </w:r>
      <w:r w:rsidRPr="00055D4B">
        <w:rPr>
          <w:rFonts w:ascii="Book Antiqua" w:eastAsia="Arial" w:hAnsi="Book Antiqua"/>
          <w:sz w:val="22"/>
        </w:rPr>
        <w:t xml:space="preserve">No serán sustituidos, de deben preparar los días alternos en varias semanas y se hará uso del personal supernumerario de las Administraciones previa coordinación entre el despacho y la Administración Regional, en caso de requerirse, esto según lo establecido en el informe 27-PLA-MI-2017. </w:t>
      </w:r>
    </w:p>
    <w:p w14:paraId="1F9F83E5" w14:textId="77777777" w:rsidR="001341EC" w:rsidRPr="00055D4B" w:rsidRDefault="001341EC" w:rsidP="001341EC">
      <w:pPr>
        <w:spacing w:line="218" w:lineRule="exact"/>
        <w:rPr>
          <w:rFonts w:ascii="Book Antiqua" w:hAnsi="Book Antiqua"/>
          <w:sz w:val="22"/>
        </w:rPr>
      </w:pPr>
    </w:p>
    <w:p w14:paraId="4593BE5C" w14:textId="77777777" w:rsidR="001341EC" w:rsidRPr="00055D4B" w:rsidRDefault="001341EC" w:rsidP="001341EC">
      <w:pPr>
        <w:spacing w:line="0" w:lineRule="atLeast"/>
        <w:jc w:val="both"/>
        <w:rPr>
          <w:rFonts w:ascii="Book Antiqua" w:eastAsia="Arial" w:hAnsi="Book Antiqua"/>
          <w:sz w:val="22"/>
        </w:rPr>
      </w:pPr>
      <w:r w:rsidRPr="00055D4B">
        <w:rPr>
          <w:rFonts w:ascii="Book Antiqua" w:eastAsia="Arial" w:hAnsi="Book Antiqua"/>
          <w:b/>
          <w:i/>
          <w:sz w:val="22"/>
        </w:rPr>
        <w:t>Sustitución de persona facilitadora</w:t>
      </w:r>
      <w:r w:rsidRPr="00055D4B">
        <w:rPr>
          <w:rFonts w:ascii="Book Antiqua" w:eastAsia="Arial" w:hAnsi="Book Antiqua"/>
          <w:sz w:val="22"/>
        </w:rPr>
        <w:t xml:space="preserve"> (para efectos de cálculo se proponen 1 persona juzgadora 4 durante un mes, para las labores de diseño y ejecución de las actividades): </w:t>
      </w:r>
      <w:r w:rsidRPr="00055D4B">
        <w:rPr>
          <w:rFonts w:ascii="Book Antiqua" w:hAnsi="Book Antiqua"/>
          <w:b/>
          <w:iCs/>
          <w:sz w:val="22"/>
        </w:rPr>
        <w:t>¢</w:t>
      </w:r>
      <w:r w:rsidRPr="00055D4B">
        <w:rPr>
          <w:rFonts w:ascii="Book Antiqua" w:eastAsia="Arial" w:hAnsi="Book Antiqua"/>
          <w:b/>
          <w:sz w:val="22"/>
        </w:rPr>
        <w:t>5.218.416,67 colones.</w:t>
      </w:r>
    </w:p>
    <w:p w14:paraId="4FFAA4EA" w14:textId="77777777" w:rsidR="001341EC" w:rsidRPr="00F53CB0" w:rsidRDefault="001341EC" w:rsidP="001341EC">
      <w:pPr>
        <w:jc w:val="center"/>
        <w:rPr>
          <w:rFonts w:ascii="Book Antiqua" w:hAnsi="Book Antiqua"/>
          <w:b/>
        </w:rPr>
      </w:pPr>
    </w:p>
    <w:p w14:paraId="5D958883" w14:textId="77777777" w:rsidR="001341EC" w:rsidRPr="00D12061"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12061">
        <w:rPr>
          <w:rFonts w:ascii="Book Antiqua" w:hAnsi="Book Antiqua"/>
          <w:bCs w:val="0"/>
          <w:iCs/>
          <w:sz w:val="22"/>
          <w:szCs w:val="24"/>
          <w:lang w:val="es-CR"/>
        </w:rPr>
        <w:t xml:space="preserve">Cuadro </w:t>
      </w:r>
      <w:r w:rsidR="009A23D1" w:rsidRPr="00126FA8">
        <w:rPr>
          <w:rFonts w:ascii="Book Antiqua" w:hAnsi="Book Antiqua"/>
          <w:bCs w:val="0"/>
          <w:iCs/>
          <w:sz w:val="22"/>
          <w:szCs w:val="24"/>
          <w:lang w:val="es-CR"/>
        </w:rPr>
        <w:fldChar w:fldCharType="begin"/>
      </w:r>
      <w:r w:rsidRPr="00D12061">
        <w:rPr>
          <w:rFonts w:ascii="Book Antiqua" w:hAnsi="Book Antiqua"/>
          <w:bCs w:val="0"/>
          <w:iCs/>
          <w:sz w:val="22"/>
          <w:szCs w:val="24"/>
          <w:lang w:val="es-CR"/>
        </w:rPr>
        <w:instrText xml:space="preserve"> SEQ Cuadro \* ARABIC </w:instrText>
      </w:r>
      <w:r w:rsidR="009A23D1" w:rsidRPr="00126FA8">
        <w:rPr>
          <w:rFonts w:ascii="Book Antiqua" w:hAnsi="Book Antiqua"/>
          <w:bCs w:val="0"/>
          <w:iCs/>
          <w:sz w:val="22"/>
          <w:szCs w:val="24"/>
          <w:lang w:val="es-CR"/>
        </w:rPr>
        <w:fldChar w:fldCharType="separate"/>
      </w:r>
      <w:r>
        <w:rPr>
          <w:rFonts w:ascii="Book Antiqua" w:hAnsi="Book Antiqua"/>
          <w:bCs w:val="0"/>
          <w:iCs/>
          <w:noProof/>
          <w:sz w:val="22"/>
          <w:szCs w:val="24"/>
          <w:lang w:val="es-CR"/>
        </w:rPr>
        <w:t>15</w:t>
      </w:r>
      <w:r w:rsidR="009A23D1" w:rsidRPr="00126FA8">
        <w:rPr>
          <w:rFonts w:ascii="Book Antiqua" w:hAnsi="Book Antiqua"/>
          <w:bCs w:val="0"/>
          <w:iCs/>
          <w:sz w:val="22"/>
          <w:szCs w:val="24"/>
          <w:lang w:val="es-CR"/>
        </w:rPr>
        <w:fldChar w:fldCharType="end"/>
      </w:r>
    </w:p>
    <w:p w14:paraId="4CA2EBD2"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Costos asociados a la sustitución de personas facilitadoras</w:t>
      </w:r>
    </w:p>
    <w:p w14:paraId="213DB627" w14:textId="77777777" w:rsidR="001341EC" w:rsidRPr="00055D4B" w:rsidRDefault="001341EC" w:rsidP="001341EC">
      <w:pPr>
        <w:spacing w:line="192" w:lineRule="exact"/>
        <w:rPr>
          <w:rFonts w:ascii="Book Antiqua" w:hAnsi="Book Antiqua"/>
          <w:sz w:val="22"/>
          <w:szCs w:val="22"/>
        </w:rPr>
      </w:pPr>
    </w:p>
    <w:p w14:paraId="5781A7FF" w14:textId="77777777" w:rsidR="001341EC" w:rsidRPr="00055D4B" w:rsidRDefault="001341EC" w:rsidP="001341EC">
      <w:pPr>
        <w:spacing w:line="20" w:lineRule="exact"/>
        <w:rPr>
          <w:rFonts w:ascii="Book Antiqua" w:hAnsi="Book Antiqua"/>
          <w:sz w:val="22"/>
          <w:szCs w:val="22"/>
        </w:rPr>
      </w:pPr>
    </w:p>
    <w:p w14:paraId="2416B376" w14:textId="77777777" w:rsidR="001341EC" w:rsidRPr="00055D4B" w:rsidRDefault="001341EC" w:rsidP="001341EC">
      <w:pPr>
        <w:jc w:val="both"/>
        <w:rPr>
          <w:rFonts w:ascii="Book Antiqua" w:hAnsi="Book Antiqua"/>
          <w:b/>
          <w:i/>
          <w:sz w:val="22"/>
          <w:szCs w:val="22"/>
          <w:lang w:eastAsia="en-US"/>
        </w:rPr>
      </w:pPr>
    </w:p>
    <w:tbl>
      <w:tblPr>
        <w:tblW w:w="0" w:type="auto"/>
        <w:tblCellMar>
          <w:left w:w="70" w:type="dxa"/>
          <w:right w:w="70" w:type="dxa"/>
        </w:tblCellMar>
        <w:tblLook w:val="04A0" w:firstRow="1" w:lastRow="0" w:firstColumn="1" w:lastColumn="0" w:noHBand="0" w:noVBand="1"/>
      </w:tblPr>
      <w:tblGrid>
        <w:gridCol w:w="1656"/>
        <w:gridCol w:w="690"/>
        <w:gridCol w:w="1069"/>
        <w:gridCol w:w="813"/>
        <w:gridCol w:w="1130"/>
        <w:gridCol w:w="1576"/>
        <w:gridCol w:w="1524"/>
      </w:tblGrid>
      <w:tr w:rsidR="001341EC" w:rsidRPr="00493BFE" w14:paraId="131B8FC9" w14:textId="77777777" w:rsidTr="00165AA6">
        <w:trPr>
          <w:trHeight w:val="20"/>
        </w:trPr>
        <w:tc>
          <w:tcPr>
            <w:tcW w:w="0" w:type="auto"/>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15EF76D5"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 xml:space="preserve">Hospedaje / </w:t>
            </w:r>
            <w:r w:rsidRPr="00055D4B">
              <w:rPr>
                <w:rFonts w:ascii="Book Antiqua" w:hAnsi="Book Antiqua"/>
                <w:b/>
                <w:bCs/>
                <w:color w:val="000000"/>
                <w:sz w:val="22"/>
                <w:szCs w:val="22"/>
                <w:lang w:eastAsia="es-CR"/>
              </w:rPr>
              <w:br/>
              <w:t>Requerimiento de</w:t>
            </w:r>
            <w:r w:rsidRPr="00055D4B">
              <w:rPr>
                <w:rFonts w:ascii="Book Antiqua" w:hAnsi="Book Antiqua"/>
                <w:b/>
                <w:bCs/>
                <w:color w:val="000000"/>
                <w:sz w:val="22"/>
                <w:szCs w:val="22"/>
                <w:lang w:eastAsia="es-CR"/>
              </w:rPr>
              <w:br/>
              <w:t>facilitadores por parte</w:t>
            </w:r>
            <w:r w:rsidRPr="00055D4B">
              <w:rPr>
                <w:rFonts w:ascii="Book Antiqua" w:hAnsi="Book Antiqua"/>
                <w:b/>
                <w:bCs/>
                <w:color w:val="000000"/>
                <w:sz w:val="22"/>
                <w:szCs w:val="22"/>
                <w:lang w:eastAsia="es-CR"/>
              </w:rPr>
              <w:br/>
              <w:t>de la Escuela Judicial</w:t>
            </w:r>
            <w:r w:rsidRPr="00055D4B">
              <w:rPr>
                <w:rFonts w:ascii="Book Antiqua" w:hAnsi="Book Antiqua"/>
                <w:b/>
                <w:bCs/>
                <w:color w:val="000000"/>
                <w:sz w:val="22"/>
                <w:szCs w:val="22"/>
                <w:lang w:eastAsia="es-CR"/>
              </w:rPr>
              <w:br/>
              <w:t>para formular la</w:t>
            </w:r>
            <w:r w:rsidRPr="00055D4B">
              <w:rPr>
                <w:rFonts w:ascii="Book Antiqua" w:hAnsi="Book Antiqua"/>
                <w:b/>
                <w:bCs/>
                <w:color w:val="000000"/>
                <w:sz w:val="22"/>
                <w:szCs w:val="22"/>
                <w:lang w:eastAsia="es-CR"/>
              </w:rPr>
              <w:br/>
              <w:t>propuesta</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1EAE8F5D"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Plazo</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29BEAF4A"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Cantidad de Personas</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13576ED2"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Puesto</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1C4325F7"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Despacho</w:t>
            </w:r>
          </w:p>
        </w:tc>
        <w:tc>
          <w:tcPr>
            <w:tcW w:w="1611" w:type="dxa"/>
            <w:tcBorders>
              <w:top w:val="double" w:sz="6" w:space="0" w:color="1F497D"/>
              <w:left w:val="nil"/>
              <w:bottom w:val="double" w:sz="6" w:space="0" w:color="1F497D"/>
              <w:right w:val="double" w:sz="6" w:space="0" w:color="1F497D"/>
            </w:tcBorders>
            <w:shd w:val="clear" w:color="000000" w:fill="8DB4E2"/>
            <w:vAlign w:val="center"/>
            <w:hideMark/>
          </w:tcPr>
          <w:p w14:paraId="571426A2"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Valor Proyectado Mensual</w:t>
            </w:r>
          </w:p>
        </w:tc>
        <w:tc>
          <w:tcPr>
            <w:tcW w:w="1585" w:type="dxa"/>
            <w:tcBorders>
              <w:top w:val="double" w:sz="6" w:space="0" w:color="1F497D"/>
              <w:left w:val="nil"/>
              <w:bottom w:val="double" w:sz="6" w:space="0" w:color="1F497D"/>
              <w:right w:val="double" w:sz="6" w:space="0" w:color="1F497D"/>
            </w:tcBorders>
            <w:shd w:val="clear" w:color="000000" w:fill="8DB4E2"/>
            <w:vAlign w:val="center"/>
            <w:hideMark/>
          </w:tcPr>
          <w:p w14:paraId="3B1AEDA4"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Total</w:t>
            </w:r>
          </w:p>
        </w:tc>
      </w:tr>
      <w:tr w:rsidR="001341EC" w:rsidRPr="00493BFE" w14:paraId="4153CA72"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2367D861"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1 mes de permiso</w:t>
            </w:r>
            <w:r w:rsidRPr="00055D4B">
              <w:rPr>
                <w:rFonts w:ascii="Book Antiqua" w:hAnsi="Book Antiqua"/>
                <w:sz w:val="22"/>
                <w:szCs w:val="22"/>
                <w:lang w:eastAsia="es-CR"/>
              </w:rPr>
              <w:br/>
              <w:t>para dos Jueces o Juezas</w:t>
            </w:r>
            <w:r w:rsidRPr="00055D4B">
              <w:rPr>
                <w:rFonts w:ascii="Book Antiqua" w:hAnsi="Book Antiqua"/>
                <w:sz w:val="22"/>
                <w:szCs w:val="22"/>
                <w:lang w:eastAsia="es-CR"/>
              </w:rPr>
              <w:br/>
              <w:t>categoría 4</w:t>
            </w:r>
          </w:p>
        </w:tc>
        <w:tc>
          <w:tcPr>
            <w:tcW w:w="0" w:type="auto"/>
            <w:tcBorders>
              <w:top w:val="nil"/>
              <w:left w:val="nil"/>
              <w:bottom w:val="double" w:sz="6" w:space="0" w:color="1F497D"/>
              <w:right w:val="double" w:sz="6" w:space="0" w:color="1F497D"/>
            </w:tcBorders>
            <w:shd w:val="clear" w:color="auto" w:fill="auto"/>
            <w:vAlign w:val="center"/>
            <w:hideMark/>
          </w:tcPr>
          <w:p w14:paraId="61E4CA37"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1 mes</w:t>
            </w:r>
          </w:p>
        </w:tc>
        <w:tc>
          <w:tcPr>
            <w:tcW w:w="0" w:type="auto"/>
            <w:tcBorders>
              <w:top w:val="nil"/>
              <w:left w:val="nil"/>
              <w:bottom w:val="double" w:sz="6" w:space="0" w:color="1F497D"/>
              <w:right w:val="double" w:sz="6" w:space="0" w:color="1F497D"/>
            </w:tcBorders>
            <w:shd w:val="clear" w:color="auto" w:fill="auto"/>
            <w:vAlign w:val="center"/>
            <w:hideMark/>
          </w:tcPr>
          <w:p w14:paraId="212E9D0A"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144B422E"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Juez 4</w:t>
            </w:r>
          </w:p>
        </w:tc>
        <w:tc>
          <w:tcPr>
            <w:tcW w:w="0" w:type="auto"/>
            <w:tcBorders>
              <w:top w:val="nil"/>
              <w:left w:val="nil"/>
              <w:bottom w:val="double" w:sz="6" w:space="0" w:color="1F497D"/>
              <w:right w:val="double" w:sz="6" w:space="0" w:color="1F497D"/>
            </w:tcBorders>
            <w:shd w:val="clear" w:color="auto" w:fill="auto"/>
            <w:vAlign w:val="center"/>
            <w:hideMark/>
          </w:tcPr>
          <w:p w14:paraId="2636A55F"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Tribunal</w:t>
            </w:r>
          </w:p>
        </w:tc>
        <w:tc>
          <w:tcPr>
            <w:tcW w:w="1611" w:type="dxa"/>
            <w:tcBorders>
              <w:top w:val="nil"/>
              <w:left w:val="nil"/>
              <w:bottom w:val="double" w:sz="6" w:space="0" w:color="1F497D"/>
              <w:right w:val="double" w:sz="6" w:space="0" w:color="1F497D"/>
            </w:tcBorders>
            <w:shd w:val="clear" w:color="auto" w:fill="auto"/>
            <w:vAlign w:val="center"/>
            <w:hideMark/>
          </w:tcPr>
          <w:p w14:paraId="1972EC01"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5.218.416,67 </w:t>
            </w:r>
          </w:p>
        </w:tc>
        <w:tc>
          <w:tcPr>
            <w:tcW w:w="1585" w:type="dxa"/>
            <w:tcBorders>
              <w:top w:val="nil"/>
              <w:left w:val="nil"/>
              <w:bottom w:val="double" w:sz="6" w:space="0" w:color="1F497D"/>
              <w:right w:val="double" w:sz="6" w:space="0" w:color="1F497D"/>
            </w:tcBorders>
            <w:shd w:val="clear" w:color="auto" w:fill="auto"/>
            <w:vAlign w:val="center"/>
            <w:hideMark/>
          </w:tcPr>
          <w:p w14:paraId="68D4A892" w14:textId="77777777" w:rsidR="001341EC" w:rsidRPr="00493BFE" w:rsidRDefault="001341EC" w:rsidP="00165AA6">
            <w:pPr>
              <w:rPr>
                <w:rFonts w:ascii="Book Antiqua" w:hAnsi="Book Antiqua"/>
                <w:color w:val="000000"/>
                <w:lang w:eastAsia="es-CR"/>
              </w:rPr>
            </w:pPr>
            <w:r w:rsidRPr="00493BFE">
              <w:rPr>
                <w:color w:val="000000"/>
                <w:sz w:val="22"/>
                <w:szCs w:val="22"/>
                <w:lang w:eastAsia="es-CR"/>
              </w:rPr>
              <w:t>₡</w:t>
            </w:r>
            <w:r w:rsidRPr="00493BFE">
              <w:rPr>
                <w:rFonts w:ascii="Book Antiqua" w:hAnsi="Book Antiqua"/>
                <w:color w:val="000000"/>
                <w:sz w:val="22"/>
                <w:szCs w:val="22"/>
                <w:lang w:eastAsia="es-CR"/>
              </w:rPr>
              <w:t xml:space="preserve"> 5.218.416,67 </w:t>
            </w:r>
          </w:p>
        </w:tc>
      </w:tr>
    </w:tbl>
    <w:p w14:paraId="468A5659" w14:textId="77777777" w:rsidR="001341EC" w:rsidRPr="00055D4B" w:rsidRDefault="001341EC" w:rsidP="001341EC">
      <w:pPr>
        <w:jc w:val="both"/>
        <w:rPr>
          <w:rFonts w:ascii="Book Antiqua" w:hAnsi="Book Antiqua"/>
          <w:b/>
          <w:i/>
          <w:sz w:val="22"/>
          <w:szCs w:val="22"/>
          <w:lang w:eastAsia="en-US"/>
        </w:rPr>
      </w:pPr>
      <w:r w:rsidRPr="00055D4B">
        <w:rPr>
          <w:rFonts w:ascii="Book Antiqua" w:hAnsi="Book Antiqua"/>
          <w:b/>
          <w:i/>
          <w:sz w:val="22"/>
          <w:szCs w:val="22"/>
          <w:lang w:eastAsia="en-US"/>
        </w:rPr>
        <w:t>Fuente: Subproceso de Modernización Institucional de acuerdo con Propuestas de Capacitación Reforma Procesal Agraria, Escuela Judicial del 23 y 29 de marzo de 2017.</w:t>
      </w:r>
    </w:p>
    <w:p w14:paraId="441F737E" w14:textId="77777777" w:rsidR="001341EC" w:rsidRPr="008160E4" w:rsidRDefault="001341EC" w:rsidP="001341EC">
      <w:pPr>
        <w:jc w:val="both"/>
        <w:rPr>
          <w:rFonts w:ascii="Book Antiqua" w:hAnsi="Book Antiqua"/>
          <w:sz w:val="22"/>
          <w:szCs w:val="22"/>
          <w:lang w:val="es-ES_tradnl"/>
        </w:rPr>
      </w:pPr>
    </w:p>
    <w:p w14:paraId="059E767A" w14:textId="77777777" w:rsidR="001341EC" w:rsidRPr="00055D4B" w:rsidRDefault="001341EC" w:rsidP="001341EC">
      <w:pPr>
        <w:spacing w:line="270" w:lineRule="auto"/>
        <w:jc w:val="both"/>
        <w:rPr>
          <w:rFonts w:ascii="Book Antiqua" w:eastAsia="Arial" w:hAnsi="Book Antiqua"/>
          <w:b/>
          <w:sz w:val="22"/>
          <w:szCs w:val="22"/>
        </w:rPr>
      </w:pPr>
      <w:r w:rsidRPr="00055D4B">
        <w:rPr>
          <w:rFonts w:ascii="Book Antiqua" w:hAnsi="Book Antiqua"/>
          <w:b/>
          <w:i/>
          <w:sz w:val="22"/>
          <w:szCs w:val="22"/>
        </w:rPr>
        <w:t>P</w:t>
      </w:r>
      <w:r w:rsidRPr="00055D4B">
        <w:rPr>
          <w:rFonts w:ascii="Book Antiqua" w:eastAsia="Arial" w:hAnsi="Book Antiqua"/>
          <w:b/>
          <w:i/>
          <w:sz w:val="22"/>
          <w:szCs w:val="22"/>
        </w:rPr>
        <w:t>ersonal de apoyo académico adicional</w:t>
      </w:r>
      <w:r w:rsidRPr="00055D4B">
        <w:rPr>
          <w:rFonts w:ascii="Book Antiqua" w:eastAsia="Arial" w:hAnsi="Book Antiqua"/>
          <w:sz w:val="22"/>
          <w:szCs w:val="22"/>
        </w:rPr>
        <w:t>: Se estima necesario contar, durante todo el</w:t>
      </w:r>
      <w:r w:rsidRPr="00055D4B">
        <w:rPr>
          <w:rFonts w:ascii="Book Antiqua" w:hAnsi="Book Antiqua"/>
          <w:b/>
          <w:i/>
          <w:sz w:val="22"/>
          <w:szCs w:val="22"/>
        </w:rPr>
        <w:t xml:space="preserve"> </w:t>
      </w:r>
      <w:r w:rsidRPr="00055D4B">
        <w:rPr>
          <w:rFonts w:ascii="Book Antiqua" w:eastAsia="Arial" w:hAnsi="Book Antiqua"/>
          <w:sz w:val="22"/>
          <w:szCs w:val="22"/>
        </w:rPr>
        <w:t xml:space="preserve">proceso de diseño y ejecución, con el acompañamiento de una persona especialista en métodos de enseñanza que facilite el proceso de capacitación en conjunto con las personas docentes: </w:t>
      </w:r>
      <w:r w:rsidRPr="00055D4B">
        <w:rPr>
          <w:rFonts w:ascii="Book Antiqua" w:hAnsi="Book Antiqua"/>
          <w:b/>
          <w:iCs/>
          <w:sz w:val="22"/>
          <w:szCs w:val="22"/>
        </w:rPr>
        <w:t>¢</w:t>
      </w:r>
      <w:r w:rsidRPr="00055D4B">
        <w:rPr>
          <w:rFonts w:ascii="Book Antiqua" w:eastAsia="Arial" w:hAnsi="Book Antiqua"/>
          <w:b/>
          <w:sz w:val="22"/>
          <w:szCs w:val="22"/>
        </w:rPr>
        <w:t>3.152.666.67 colones</w:t>
      </w:r>
    </w:p>
    <w:p w14:paraId="2B33E7A9" w14:textId="77777777" w:rsidR="001341EC" w:rsidRDefault="001341EC" w:rsidP="001341EC">
      <w:pPr>
        <w:spacing w:line="207" w:lineRule="exact"/>
        <w:rPr>
          <w:rFonts w:ascii="Book Antiqua" w:hAnsi="Book Antiqua"/>
          <w:sz w:val="22"/>
          <w:szCs w:val="22"/>
        </w:rPr>
      </w:pPr>
    </w:p>
    <w:p w14:paraId="014B00DC" w14:textId="77777777" w:rsidR="00EA2968" w:rsidRDefault="00EA2968" w:rsidP="001341EC">
      <w:pPr>
        <w:spacing w:line="207" w:lineRule="exact"/>
        <w:rPr>
          <w:rFonts w:ascii="Book Antiqua" w:hAnsi="Book Antiqua"/>
          <w:sz w:val="22"/>
          <w:szCs w:val="22"/>
        </w:rPr>
      </w:pPr>
    </w:p>
    <w:p w14:paraId="356CAFD2" w14:textId="77777777" w:rsidR="00EA2968" w:rsidRDefault="00EA2968" w:rsidP="001341EC">
      <w:pPr>
        <w:spacing w:line="207" w:lineRule="exact"/>
        <w:rPr>
          <w:rFonts w:ascii="Book Antiqua" w:hAnsi="Book Antiqua"/>
          <w:sz w:val="22"/>
          <w:szCs w:val="22"/>
        </w:rPr>
      </w:pPr>
    </w:p>
    <w:p w14:paraId="25A1D219" w14:textId="77777777" w:rsidR="00EA2968" w:rsidRDefault="00EA2968" w:rsidP="001341EC">
      <w:pPr>
        <w:spacing w:line="207" w:lineRule="exact"/>
        <w:rPr>
          <w:rFonts w:ascii="Book Antiqua" w:hAnsi="Book Antiqua"/>
          <w:sz w:val="22"/>
          <w:szCs w:val="22"/>
        </w:rPr>
      </w:pPr>
    </w:p>
    <w:p w14:paraId="4C05E0F9" w14:textId="77777777" w:rsidR="00EA2968" w:rsidRDefault="00EA2968" w:rsidP="001341EC">
      <w:pPr>
        <w:spacing w:line="207" w:lineRule="exact"/>
        <w:rPr>
          <w:rFonts w:ascii="Book Antiqua" w:hAnsi="Book Antiqua"/>
          <w:sz w:val="22"/>
          <w:szCs w:val="22"/>
        </w:rPr>
      </w:pPr>
    </w:p>
    <w:p w14:paraId="18948CC5" w14:textId="77777777" w:rsidR="00EA2968" w:rsidRDefault="00EA2968" w:rsidP="001341EC">
      <w:pPr>
        <w:spacing w:line="207" w:lineRule="exact"/>
        <w:rPr>
          <w:rFonts w:ascii="Book Antiqua" w:hAnsi="Book Antiqua"/>
          <w:sz w:val="22"/>
          <w:szCs w:val="22"/>
        </w:rPr>
      </w:pPr>
    </w:p>
    <w:p w14:paraId="15E93304" w14:textId="77777777" w:rsidR="00EA2968" w:rsidRDefault="00EA2968" w:rsidP="001341EC">
      <w:pPr>
        <w:spacing w:line="207" w:lineRule="exact"/>
        <w:rPr>
          <w:rFonts w:ascii="Book Antiqua" w:hAnsi="Book Antiqua"/>
          <w:sz w:val="22"/>
          <w:szCs w:val="22"/>
        </w:rPr>
      </w:pPr>
    </w:p>
    <w:p w14:paraId="2E56E4F0" w14:textId="77777777" w:rsidR="00EA2968" w:rsidRDefault="00EA2968" w:rsidP="001341EC">
      <w:pPr>
        <w:spacing w:line="207" w:lineRule="exact"/>
        <w:rPr>
          <w:rFonts w:ascii="Book Antiqua" w:hAnsi="Book Antiqua"/>
          <w:sz w:val="22"/>
          <w:szCs w:val="22"/>
        </w:rPr>
      </w:pPr>
    </w:p>
    <w:p w14:paraId="5699A5C6" w14:textId="77777777" w:rsidR="001341EC" w:rsidRDefault="001341EC" w:rsidP="001341EC">
      <w:pPr>
        <w:spacing w:line="207" w:lineRule="exact"/>
        <w:rPr>
          <w:rFonts w:ascii="Book Antiqua" w:hAnsi="Book Antiqua"/>
          <w:sz w:val="22"/>
          <w:szCs w:val="22"/>
        </w:rPr>
      </w:pPr>
    </w:p>
    <w:p w14:paraId="5F798DEC" w14:textId="77777777" w:rsidR="001341EC" w:rsidRPr="00055D4B" w:rsidRDefault="001341EC" w:rsidP="001341EC">
      <w:pPr>
        <w:spacing w:line="20" w:lineRule="exact"/>
        <w:rPr>
          <w:rFonts w:ascii="Book Antiqua" w:hAnsi="Book Antiqua"/>
          <w:sz w:val="22"/>
          <w:szCs w:val="22"/>
        </w:rPr>
      </w:pPr>
    </w:p>
    <w:p w14:paraId="55466D47" w14:textId="77777777" w:rsidR="009471FA" w:rsidRDefault="009471FA" w:rsidP="001341EC">
      <w:pPr>
        <w:pStyle w:val="Descripcin"/>
        <w:widowControl/>
        <w:autoSpaceDE/>
        <w:autoSpaceDN/>
        <w:adjustRightInd/>
        <w:spacing w:line="276" w:lineRule="auto"/>
        <w:jc w:val="center"/>
        <w:rPr>
          <w:rFonts w:ascii="Book Antiqua" w:hAnsi="Book Antiqua"/>
          <w:bCs w:val="0"/>
          <w:iCs/>
          <w:sz w:val="22"/>
          <w:szCs w:val="24"/>
          <w:lang w:val="es-CR"/>
        </w:rPr>
      </w:pPr>
    </w:p>
    <w:p w14:paraId="09DB0EC5" w14:textId="77777777" w:rsidR="009471FA" w:rsidRDefault="009471FA" w:rsidP="001341EC">
      <w:pPr>
        <w:pStyle w:val="Descripcin"/>
        <w:widowControl/>
        <w:autoSpaceDE/>
        <w:autoSpaceDN/>
        <w:adjustRightInd/>
        <w:spacing w:line="276" w:lineRule="auto"/>
        <w:jc w:val="center"/>
        <w:rPr>
          <w:rFonts w:ascii="Book Antiqua" w:hAnsi="Book Antiqua"/>
          <w:bCs w:val="0"/>
          <w:iCs/>
          <w:sz w:val="22"/>
          <w:szCs w:val="24"/>
          <w:lang w:val="es-CR"/>
        </w:rPr>
      </w:pPr>
    </w:p>
    <w:p w14:paraId="33D2441B" w14:textId="77777777" w:rsidR="009471FA" w:rsidRDefault="009471FA" w:rsidP="001341EC">
      <w:pPr>
        <w:pStyle w:val="Descripcin"/>
        <w:widowControl/>
        <w:autoSpaceDE/>
        <w:autoSpaceDN/>
        <w:adjustRightInd/>
        <w:spacing w:line="276" w:lineRule="auto"/>
        <w:jc w:val="center"/>
        <w:rPr>
          <w:rFonts w:ascii="Book Antiqua" w:hAnsi="Book Antiqua"/>
          <w:bCs w:val="0"/>
          <w:iCs/>
          <w:sz w:val="22"/>
          <w:szCs w:val="24"/>
          <w:lang w:val="es-CR"/>
        </w:rPr>
      </w:pPr>
    </w:p>
    <w:p w14:paraId="248B7D8D" w14:textId="77777777" w:rsidR="009471FA" w:rsidRDefault="009471FA" w:rsidP="001341EC">
      <w:pPr>
        <w:pStyle w:val="Descripcin"/>
        <w:widowControl/>
        <w:autoSpaceDE/>
        <w:autoSpaceDN/>
        <w:adjustRightInd/>
        <w:spacing w:line="276" w:lineRule="auto"/>
        <w:jc w:val="center"/>
        <w:rPr>
          <w:rFonts w:ascii="Book Antiqua" w:hAnsi="Book Antiqua"/>
          <w:bCs w:val="0"/>
          <w:iCs/>
          <w:sz w:val="22"/>
          <w:szCs w:val="24"/>
          <w:lang w:val="es-CR"/>
        </w:rPr>
      </w:pPr>
    </w:p>
    <w:p w14:paraId="165C577A" w14:textId="77777777" w:rsidR="001341EC" w:rsidRPr="00D12061"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12061">
        <w:rPr>
          <w:rFonts w:ascii="Book Antiqua" w:hAnsi="Book Antiqua"/>
          <w:bCs w:val="0"/>
          <w:iCs/>
          <w:sz w:val="22"/>
          <w:szCs w:val="24"/>
          <w:lang w:val="es-CR"/>
        </w:rPr>
        <w:lastRenderedPageBreak/>
        <w:t xml:space="preserve">Cuadro </w:t>
      </w:r>
      <w:r w:rsidR="009A23D1" w:rsidRPr="00126FA8">
        <w:rPr>
          <w:rFonts w:ascii="Book Antiqua" w:hAnsi="Book Antiqua"/>
          <w:bCs w:val="0"/>
          <w:iCs/>
          <w:sz w:val="22"/>
          <w:szCs w:val="24"/>
          <w:lang w:val="es-CR"/>
        </w:rPr>
        <w:fldChar w:fldCharType="begin"/>
      </w:r>
      <w:r w:rsidRPr="00D12061">
        <w:rPr>
          <w:rFonts w:ascii="Book Antiqua" w:hAnsi="Book Antiqua"/>
          <w:bCs w:val="0"/>
          <w:iCs/>
          <w:sz w:val="22"/>
          <w:szCs w:val="24"/>
          <w:lang w:val="es-CR"/>
        </w:rPr>
        <w:instrText xml:space="preserve"> SEQ Cuadro \* ARABIC </w:instrText>
      </w:r>
      <w:r w:rsidR="009A23D1" w:rsidRPr="00126FA8">
        <w:rPr>
          <w:rFonts w:ascii="Book Antiqua" w:hAnsi="Book Antiqua"/>
          <w:bCs w:val="0"/>
          <w:iCs/>
          <w:sz w:val="22"/>
          <w:szCs w:val="24"/>
          <w:lang w:val="es-CR"/>
        </w:rPr>
        <w:fldChar w:fldCharType="separate"/>
      </w:r>
      <w:r>
        <w:rPr>
          <w:rFonts w:ascii="Book Antiqua" w:hAnsi="Book Antiqua"/>
          <w:bCs w:val="0"/>
          <w:iCs/>
          <w:noProof/>
          <w:sz w:val="22"/>
          <w:szCs w:val="24"/>
          <w:lang w:val="es-CR"/>
        </w:rPr>
        <w:t>16</w:t>
      </w:r>
      <w:r w:rsidR="009A23D1" w:rsidRPr="00126FA8">
        <w:rPr>
          <w:rFonts w:ascii="Book Antiqua" w:hAnsi="Book Antiqua"/>
          <w:bCs w:val="0"/>
          <w:iCs/>
          <w:sz w:val="22"/>
          <w:szCs w:val="24"/>
          <w:lang w:val="es-CR"/>
        </w:rPr>
        <w:fldChar w:fldCharType="end"/>
      </w:r>
    </w:p>
    <w:p w14:paraId="6F94A135" w14:textId="77777777" w:rsidR="001341EC" w:rsidRPr="00D12061"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12061">
        <w:rPr>
          <w:rFonts w:ascii="Book Antiqua" w:hAnsi="Book Antiqua"/>
          <w:bCs w:val="0"/>
          <w:iCs/>
          <w:sz w:val="22"/>
          <w:szCs w:val="24"/>
          <w:lang w:val="es-CR"/>
        </w:rPr>
        <w:t>Costos asociados al Personal de apoyo académico adicional</w:t>
      </w:r>
    </w:p>
    <w:p w14:paraId="33F96FCE" w14:textId="77777777" w:rsidR="001341EC" w:rsidRPr="00EA2968" w:rsidRDefault="001341EC" w:rsidP="001341EC">
      <w:pPr>
        <w:jc w:val="both"/>
        <w:rPr>
          <w:rFonts w:ascii="Book Antiqua" w:hAnsi="Book Antiqua"/>
          <w:b/>
          <w:i/>
          <w:sz w:val="2"/>
          <w:szCs w:val="2"/>
          <w:lang w:eastAsia="en-US"/>
        </w:rPr>
      </w:pPr>
    </w:p>
    <w:tbl>
      <w:tblPr>
        <w:tblW w:w="8908" w:type="dxa"/>
        <w:tblCellMar>
          <w:left w:w="70" w:type="dxa"/>
          <w:right w:w="70" w:type="dxa"/>
        </w:tblCellMar>
        <w:tblLook w:val="04A0" w:firstRow="1" w:lastRow="0" w:firstColumn="1" w:lastColumn="0" w:noHBand="0" w:noVBand="1"/>
      </w:tblPr>
      <w:tblGrid>
        <w:gridCol w:w="1657"/>
        <w:gridCol w:w="690"/>
        <w:gridCol w:w="1118"/>
        <w:gridCol w:w="1244"/>
        <w:gridCol w:w="1151"/>
        <w:gridCol w:w="1495"/>
        <w:gridCol w:w="1553"/>
      </w:tblGrid>
      <w:tr w:rsidR="001341EC" w:rsidRPr="00493BFE" w14:paraId="19430F93" w14:textId="77777777" w:rsidTr="00165AA6">
        <w:trPr>
          <w:trHeight w:val="20"/>
        </w:trPr>
        <w:tc>
          <w:tcPr>
            <w:tcW w:w="0" w:type="auto"/>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03430DED"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Requerimiento</w:t>
            </w:r>
            <w:r w:rsidRPr="00055D4B">
              <w:rPr>
                <w:rFonts w:ascii="Book Antiqua" w:hAnsi="Book Antiqua"/>
                <w:b/>
                <w:bCs/>
                <w:color w:val="000000"/>
                <w:sz w:val="22"/>
                <w:szCs w:val="22"/>
                <w:lang w:eastAsia="es-CR"/>
              </w:rPr>
              <w:br/>
              <w:t xml:space="preserve"> de</w:t>
            </w:r>
            <w:r w:rsidRPr="00055D4B">
              <w:rPr>
                <w:rFonts w:ascii="Book Antiqua" w:hAnsi="Book Antiqua"/>
                <w:b/>
                <w:bCs/>
                <w:color w:val="000000"/>
                <w:sz w:val="22"/>
                <w:szCs w:val="22"/>
                <w:lang w:eastAsia="es-CR"/>
              </w:rPr>
              <w:br/>
              <w:t>especialista</w:t>
            </w:r>
            <w:r w:rsidRPr="00055D4B">
              <w:rPr>
                <w:rFonts w:ascii="Book Antiqua" w:hAnsi="Book Antiqua"/>
                <w:b/>
                <w:bCs/>
                <w:color w:val="000000"/>
                <w:sz w:val="22"/>
                <w:szCs w:val="22"/>
                <w:lang w:eastAsia="es-CR"/>
              </w:rPr>
              <w:br/>
              <w:t>en métodos</w:t>
            </w:r>
            <w:r w:rsidRPr="00055D4B">
              <w:rPr>
                <w:rFonts w:ascii="Book Antiqua" w:hAnsi="Book Antiqua"/>
                <w:b/>
                <w:bCs/>
                <w:color w:val="000000"/>
                <w:sz w:val="22"/>
                <w:szCs w:val="22"/>
                <w:lang w:eastAsia="es-CR"/>
              </w:rPr>
              <w:br/>
              <w:t>de enseñanza</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3E79F9A4"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Plazo</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686AD96D"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Cantidad de Personas</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66241B10"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Puesto</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122F274E"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8DB4E2"/>
            <w:vAlign w:val="center"/>
            <w:hideMark/>
          </w:tcPr>
          <w:p w14:paraId="3603A3CB"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Valor Proyectado Mensual</w:t>
            </w:r>
          </w:p>
        </w:tc>
        <w:tc>
          <w:tcPr>
            <w:tcW w:w="1553" w:type="dxa"/>
            <w:tcBorders>
              <w:top w:val="double" w:sz="6" w:space="0" w:color="1F497D"/>
              <w:left w:val="nil"/>
              <w:bottom w:val="double" w:sz="6" w:space="0" w:color="1F497D"/>
              <w:right w:val="double" w:sz="6" w:space="0" w:color="1F497D"/>
            </w:tcBorders>
            <w:shd w:val="clear" w:color="000000" w:fill="8DB4E2"/>
            <w:vAlign w:val="center"/>
            <w:hideMark/>
          </w:tcPr>
          <w:p w14:paraId="44AF6F06"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Total</w:t>
            </w:r>
          </w:p>
        </w:tc>
      </w:tr>
      <w:tr w:rsidR="001341EC" w:rsidRPr="00493BFE" w14:paraId="4051A7DE" w14:textId="77777777" w:rsidTr="00165AA6">
        <w:trPr>
          <w:trHeight w:val="2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CB93E70"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1 mes de</w:t>
            </w:r>
            <w:r w:rsidRPr="00055D4B">
              <w:rPr>
                <w:rFonts w:ascii="Book Antiqua" w:hAnsi="Book Antiqua"/>
                <w:sz w:val="22"/>
                <w:szCs w:val="22"/>
                <w:lang w:eastAsia="es-CR"/>
              </w:rPr>
              <w:br/>
              <w:t>permiso para</w:t>
            </w:r>
            <w:r w:rsidRPr="00055D4B">
              <w:rPr>
                <w:rFonts w:ascii="Book Antiqua" w:hAnsi="Book Antiqua"/>
                <w:sz w:val="22"/>
                <w:szCs w:val="22"/>
                <w:lang w:eastAsia="es-CR"/>
              </w:rPr>
              <w:br/>
              <w:t>una</w:t>
            </w:r>
            <w:r w:rsidRPr="00055D4B">
              <w:rPr>
                <w:rFonts w:ascii="Book Antiqua" w:hAnsi="Book Antiqua"/>
                <w:sz w:val="22"/>
                <w:szCs w:val="22"/>
                <w:lang w:eastAsia="es-CR"/>
              </w:rPr>
              <w:br/>
              <w:t>especialista en</w:t>
            </w:r>
            <w:r w:rsidRPr="00055D4B">
              <w:rPr>
                <w:rFonts w:ascii="Book Antiqua" w:hAnsi="Book Antiqua"/>
                <w:sz w:val="22"/>
                <w:szCs w:val="22"/>
                <w:lang w:eastAsia="es-CR"/>
              </w:rPr>
              <w:br/>
              <w:t>Métodos de</w:t>
            </w:r>
            <w:r w:rsidRPr="00055D4B">
              <w:rPr>
                <w:rFonts w:ascii="Book Antiqua" w:hAnsi="Book Antiqua"/>
                <w:sz w:val="22"/>
                <w:szCs w:val="22"/>
                <w:lang w:eastAsia="es-CR"/>
              </w:rPr>
              <w:br/>
              <w:t>Enseñanza</w:t>
            </w:r>
          </w:p>
        </w:tc>
        <w:tc>
          <w:tcPr>
            <w:tcW w:w="0" w:type="auto"/>
            <w:tcBorders>
              <w:top w:val="nil"/>
              <w:left w:val="nil"/>
              <w:bottom w:val="double" w:sz="6" w:space="0" w:color="1F497D"/>
              <w:right w:val="double" w:sz="6" w:space="0" w:color="1F497D"/>
            </w:tcBorders>
            <w:shd w:val="clear" w:color="auto" w:fill="auto"/>
            <w:vAlign w:val="center"/>
            <w:hideMark/>
          </w:tcPr>
          <w:p w14:paraId="299D25D5"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1 mes</w:t>
            </w:r>
          </w:p>
        </w:tc>
        <w:tc>
          <w:tcPr>
            <w:tcW w:w="0" w:type="auto"/>
            <w:tcBorders>
              <w:top w:val="nil"/>
              <w:left w:val="nil"/>
              <w:bottom w:val="double" w:sz="6" w:space="0" w:color="1F497D"/>
              <w:right w:val="double" w:sz="6" w:space="0" w:color="1F497D"/>
            </w:tcBorders>
            <w:shd w:val="clear" w:color="auto" w:fill="auto"/>
            <w:vAlign w:val="center"/>
            <w:hideMark/>
          </w:tcPr>
          <w:p w14:paraId="0CC11960"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1</w:t>
            </w:r>
          </w:p>
        </w:tc>
        <w:tc>
          <w:tcPr>
            <w:tcW w:w="0" w:type="auto"/>
            <w:tcBorders>
              <w:top w:val="nil"/>
              <w:left w:val="nil"/>
              <w:bottom w:val="double" w:sz="6" w:space="0" w:color="1F497D"/>
              <w:right w:val="double" w:sz="6" w:space="0" w:color="1F497D"/>
            </w:tcBorders>
            <w:shd w:val="clear" w:color="auto" w:fill="auto"/>
            <w:vAlign w:val="center"/>
            <w:hideMark/>
          </w:tcPr>
          <w:p w14:paraId="66F725CE"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Profesional 2</w:t>
            </w:r>
          </w:p>
        </w:tc>
        <w:tc>
          <w:tcPr>
            <w:tcW w:w="0" w:type="auto"/>
            <w:tcBorders>
              <w:top w:val="nil"/>
              <w:left w:val="nil"/>
              <w:bottom w:val="double" w:sz="6" w:space="0" w:color="1F497D"/>
              <w:right w:val="double" w:sz="6" w:space="0" w:color="1F497D"/>
            </w:tcBorders>
            <w:shd w:val="clear" w:color="auto" w:fill="auto"/>
            <w:vAlign w:val="center"/>
            <w:hideMark/>
          </w:tcPr>
          <w:p w14:paraId="327236F0"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Escuela Judicial</w:t>
            </w:r>
          </w:p>
        </w:tc>
        <w:tc>
          <w:tcPr>
            <w:tcW w:w="0" w:type="auto"/>
            <w:tcBorders>
              <w:top w:val="nil"/>
              <w:left w:val="nil"/>
              <w:bottom w:val="double" w:sz="6" w:space="0" w:color="1F497D"/>
              <w:right w:val="double" w:sz="6" w:space="0" w:color="1F497D"/>
            </w:tcBorders>
            <w:shd w:val="clear" w:color="auto" w:fill="auto"/>
            <w:vAlign w:val="center"/>
            <w:hideMark/>
          </w:tcPr>
          <w:p w14:paraId="62B26CA1"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3.152.666,67 </w:t>
            </w:r>
          </w:p>
        </w:tc>
        <w:tc>
          <w:tcPr>
            <w:tcW w:w="1553" w:type="dxa"/>
            <w:tcBorders>
              <w:top w:val="nil"/>
              <w:left w:val="nil"/>
              <w:bottom w:val="double" w:sz="6" w:space="0" w:color="1F497D"/>
              <w:right w:val="double" w:sz="6" w:space="0" w:color="1F497D"/>
            </w:tcBorders>
            <w:shd w:val="clear" w:color="auto" w:fill="auto"/>
            <w:vAlign w:val="center"/>
            <w:hideMark/>
          </w:tcPr>
          <w:p w14:paraId="71FE355A"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3.152.666,67 </w:t>
            </w:r>
          </w:p>
        </w:tc>
      </w:tr>
    </w:tbl>
    <w:p w14:paraId="17A1D853" w14:textId="77777777" w:rsidR="001341EC" w:rsidRPr="00055D4B" w:rsidRDefault="001341EC" w:rsidP="001341EC">
      <w:pPr>
        <w:jc w:val="both"/>
        <w:rPr>
          <w:rFonts w:ascii="Book Antiqua" w:hAnsi="Book Antiqua"/>
          <w:b/>
          <w:i/>
          <w:szCs w:val="22"/>
          <w:lang w:val="es-ES_tradnl"/>
        </w:rPr>
      </w:pPr>
      <w:r w:rsidRPr="00055D4B">
        <w:rPr>
          <w:rFonts w:ascii="Book Antiqua" w:hAnsi="Book Antiqua"/>
          <w:b/>
          <w:i/>
          <w:szCs w:val="22"/>
          <w:lang w:eastAsia="en-US"/>
        </w:rPr>
        <w:t>Fuente: Subproceso de Modernización Institucional de acuerdo con Propuestas de Capacitación Reforma Procesal Agraria, Escuela Judicial del 23 y 29 de marzo de 2017.</w:t>
      </w:r>
    </w:p>
    <w:p w14:paraId="36F4B87A" w14:textId="77777777" w:rsidR="001341EC" w:rsidRPr="00055D4B" w:rsidRDefault="001341EC" w:rsidP="001341EC">
      <w:pPr>
        <w:jc w:val="both"/>
        <w:rPr>
          <w:rFonts w:ascii="Book Antiqua" w:hAnsi="Book Antiqua"/>
          <w:sz w:val="22"/>
          <w:szCs w:val="22"/>
          <w:lang w:val="es-ES_tradnl"/>
        </w:rPr>
      </w:pPr>
    </w:p>
    <w:p w14:paraId="6555EF5E" w14:textId="77777777" w:rsidR="001341EC" w:rsidRPr="00055D4B" w:rsidRDefault="001341EC" w:rsidP="001341EC">
      <w:pPr>
        <w:jc w:val="both"/>
        <w:rPr>
          <w:rFonts w:ascii="Book Antiqua" w:hAnsi="Book Antiqua"/>
          <w:sz w:val="22"/>
          <w:szCs w:val="22"/>
          <w:lang w:val="es-ES_tradnl"/>
        </w:rPr>
      </w:pPr>
      <w:r w:rsidRPr="00055D4B">
        <w:rPr>
          <w:rFonts w:ascii="Book Antiqua" w:hAnsi="Book Antiqua"/>
          <w:sz w:val="22"/>
          <w:szCs w:val="22"/>
          <w:lang w:val="es-ES_tradnl"/>
        </w:rPr>
        <w:t xml:space="preserve">Según criterio externado por la Directora de la Escuela Judicial, Licda. Ileana Guillén Rodríguez, en correo electrónico del 3 de julio de 2018, durante el 2018 se realizaron algunos talleres de actualización en materia agraria, con una duración de un día cada uno, que son parte de la labor que ordinariamente la Escuela Judicial realiza todos los años. </w:t>
      </w:r>
    </w:p>
    <w:p w14:paraId="2CCCDB31" w14:textId="77777777" w:rsidR="001341EC" w:rsidRPr="00055D4B" w:rsidRDefault="001341EC" w:rsidP="001341EC">
      <w:pPr>
        <w:jc w:val="both"/>
        <w:rPr>
          <w:rFonts w:ascii="Book Antiqua" w:hAnsi="Book Antiqua"/>
          <w:sz w:val="22"/>
          <w:szCs w:val="22"/>
          <w:lang w:val="es-ES_tradnl"/>
        </w:rPr>
      </w:pPr>
    </w:p>
    <w:p w14:paraId="4A01ABCF" w14:textId="77777777" w:rsidR="001341EC" w:rsidRPr="00055D4B" w:rsidRDefault="001341EC" w:rsidP="001341EC">
      <w:pPr>
        <w:jc w:val="both"/>
        <w:rPr>
          <w:rFonts w:ascii="Book Antiqua" w:hAnsi="Book Antiqua"/>
          <w:i/>
          <w:color w:val="000000"/>
          <w:sz w:val="22"/>
          <w:szCs w:val="22"/>
        </w:rPr>
      </w:pPr>
      <w:r w:rsidRPr="00055D4B">
        <w:rPr>
          <w:rFonts w:ascii="Book Antiqua" w:hAnsi="Book Antiqua"/>
          <w:sz w:val="22"/>
          <w:szCs w:val="22"/>
          <w:lang w:val="es-ES_tradnl"/>
        </w:rPr>
        <w:t xml:space="preserve">Aunado a lo anterior, la Licda. Damaris </w:t>
      </w:r>
      <w:r w:rsidRPr="00055D4B">
        <w:rPr>
          <w:rFonts w:ascii="Book Antiqua" w:hAnsi="Book Antiqua"/>
          <w:color w:val="000000"/>
          <w:sz w:val="22"/>
          <w:szCs w:val="22"/>
        </w:rPr>
        <w:t xml:space="preserve">Vargas Vásquez, señala que </w:t>
      </w:r>
      <w:r w:rsidRPr="00055D4B">
        <w:rPr>
          <w:rFonts w:ascii="Book Antiqua" w:hAnsi="Book Antiqua"/>
          <w:i/>
          <w:color w:val="000000"/>
          <w:sz w:val="22"/>
          <w:szCs w:val="22"/>
        </w:rPr>
        <w:t>“(…) ya están diseñados los procesos de capacitación en la Escuela Judicial enfocados a los cambios que implica pasar de un sistema escrito a uno oral y previendo la implementación del Proyecto: Programa de Especialidad en Derecho Agrario; cursos y talleres ya diseñados, algunos de los cuales están organizados para ejecutarse este año”; por lo que se considera, que el plazo de cinco meses es suficiente para el diseño y ejecución de las actividades requeridas.</w:t>
      </w:r>
    </w:p>
    <w:p w14:paraId="3D290934" w14:textId="77777777" w:rsidR="001341EC" w:rsidRPr="00055D4B" w:rsidRDefault="001341EC" w:rsidP="001341EC">
      <w:pPr>
        <w:jc w:val="both"/>
        <w:rPr>
          <w:rFonts w:ascii="Book Antiqua" w:hAnsi="Book Antiqua"/>
          <w:sz w:val="22"/>
          <w:szCs w:val="22"/>
          <w:lang w:val="es-ES_tradnl"/>
        </w:rPr>
      </w:pPr>
    </w:p>
    <w:p w14:paraId="6A52E408" w14:textId="77777777" w:rsidR="001341EC" w:rsidRPr="00055D4B" w:rsidRDefault="001341EC" w:rsidP="001341EC">
      <w:pPr>
        <w:jc w:val="both"/>
        <w:rPr>
          <w:rFonts w:ascii="Book Antiqua" w:hAnsi="Book Antiqua"/>
          <w:sz w:val="22"/>
          <w:szCs w:val="22"/>
          <w:lang w:val="es-ES_tradnl"/>
        </w:rPr>
      </w:pPr>
      <w:r w:rsidRPr="00055D4B">
        <w:rPr>
          <w:rFonts w:ascii="Book Antiqua" w:hAnsi="Book Antiqua"/>
          <w:sz w:val="22"/>
          <w:szCs w:val="22"/>
          <w:lang w:val="es-ES_tradnl"/>
        </w:rPr>
        <w:t xml:space="preserve">Sin embargo, la Dirección de Planificación considera que se debe de realizar la réplica de los cursos impartidos durante el 2018, por lo que las plazas de Facilitador y especialista en métodos de enseñanza </w:t>
      </w:r>
      <w:r w:rsidR="00817898" w:rsidRPr="00055D4B">
        <w:rPr>
          <w:rFonts w:ascii="Book Antiqua" w:hAnsi="Book Antiqua"/>
          <w:sz w:val="22"/>
          <w:szCs w:val="22"/>
          <w:lang w:val="es-ES_tradnl"/>
        </w:rPr>
        <w:t>serán</w:t>
      </w:r>
      <w:r w:rsidRPr="00055D4B">
        <w:rPr>
          <w:rFonts w:ascii="Book Antiqua" w:hAnsi="Book Antiqua"/>
          <w:sz w:val="22"/>
          <w:szCs w:val="22"/>
          <w:lang w:val="es-ES_tradnl"/>
        </w:rPr>
        <w:t xml:space="preserve"> de un mes.</w:t>
      </w:r>
    </w:p>
    <w:p w14:paraId="09030670" w14:textId="77777777" w:rsidR="001341EC" w:rsidRDefault="001341EC" w:rsidP="001341EC">
      <w:pPr>
        <w:jc w:val="both"/>
        <w:rPr>
          <w:rFonts w:ascii="Book Antiqua" w:hAnsi="Book Antiqua"/>
          <w:sz w:val="22"/>
          <w:szCs w:val="22"/>
          <w:lang w:val="es-ES_tradnl"/>
        </w:rPr>
      </w:pPr>
    </w:p>
    <w:p w14:paraId="541AB002" w14:textId="77777777" w:rsidR="001341EC" w:rsidRPr="00D12061"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12061">
        <w:rPr>
          <w:rFonts w:ascii="Book Antiqua" w:hAnsi="Book Antiqua"/>
          <w:bCs w:val="0"/>
          <w:iCs/>
          <w:sz w:val="22"/>
          <w:szCs w:val="24"/>
          <w:lang w:val="es-CR"/>
        </w:rPr>
        <w:t xml:space="preserve">Cuadro </w:t>
      </w:r>
      <w:r w:rsidR="009A23D1" w:rsidRPr="00D12061">
        <w:rPr>
          <w:rFonts w:ascii="Book Antiqua" w:hAnsi="Book Antiqua"/>
          <w:bCs w:val="0"/>
          <w:iCs/>
          <w:sz w:val="22"/>
          <w:szCs w:val="24"/>
          <w:lang w:val="es-CR"/>
        </w:rPr>
        <w:fldChar w:fldCharType="begin"/>
      </w:r>
      <w:r w:rsidRPr="00D12061">
        <w:rPr>
          <w:rFonts w:ascii="Book Antiqua" w:hAnsi="Book Antiqua"/>
          <w:bCs w:val="0"/>
          <w:iCs/>
          <w:sz w:val="22"/>
          <w:szCs w:val="24"/>
          <w:lang w:val="es-CR"/>
        </w:rPr>
        <w:instrText xml:space="preserve"> SEQ Cuadro \* ARABIC </w:instrText>
      </w:r>
      <w:r w:rsidR="009A23D1" w:rsidRPr="00D12061">
        <w:rPr>
          <w:rFonts w:ascii="Book Antiqua" w:hAnsi="Book Antiqua"/>
          <w:bCs w:val="0"/>
          <w:iCs/>
          <w:sz w:val="22"/>
          <w:szCs w:val="24"/>
          <w:lang w:val="es-CR"/>
        </w:rPr>
        <w:fldChar w:fldCharType="separate"/>
      </w:r>
      <w:r>
        <w:rPr>
          <w:rFonts w:ascii="Book Antiqua" w:hAnsi="Book Antiqua"/>
          <w:bCs w:val="0"/>
          <w:iCs/>
          <w:noProof/>
          <w:sz w:val="22"/>
          <w:szCs w:val="24"/>
          <w:lang w:val="es-CR"/>
        </w:rPr>
        <w:t>17</w:t>
      </w:r>
      <w:r w:rsidR="009A23D1" w:rsidRPr="00D12061">
        <w:rPr>
          <w:rFonts w:ascii="Book Antiqua" w:hAnsi="Book Antiqua"/>
          <w:bCs w:val="0"/>
          <w:iCs/>
          <w:sz w:val="22"/>
          <w:szCs w:val="24"/>
          <w:lang w:val="es-CR"/>
        </w:rPr>
        <w:fldChar w:fldCharType="end"/>
      </w:r>
    </w:p>
    <w:p w14:paraId="1EDF14D8" w14:textId="77777777" w:rsidR="001341EC" w:rsidRPr="00D12061"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12061">
        <w:rPr>
          <w:rFonts w:ascii="Book Antiqua" w:hAnsi="Book Antiqua"/>
          <w:bCs w:val="0"/>
          <w:iCs/>
          <w:sz w:val="22"/>
          <w:szCs w:val="24"/>
          <w:lang w:val="es-CR"/>
        </w:rPr>
        <w:t>Totalidad de presupuesto según detalle</w:t>
      </w:r>
    </w:p>
    <w:tbl>
      <w:tblPr>
        <w:tblW w:w="6923" w:type="dxa"/>
        <w:jc w:val="center"/>
        <w:tblCellMar>
          <w:left w:w="70" w:type="dxa"/>
          <w:right w:w="70" w:type="dxa"/>
        </w:tblCellMar>
        <w:tblLook w:val="04A0" w:firstRow="1" w:lastRow="0" w:firstColumn="1" w:lastColumn="0" w:noHBand="0" w:noVBand="1"/>
      </w:tblPr>
      <w:tblGrid>
        <w:gridCol w:w="4840"/>
        <w:gridCol w:w="2083"/>
      </w:tblGrid>
      <w:tr w:rsidR="001341EC" w:rsidRPr="00493BFE" w14:paraId="53D1BFEB" w14:textId="77777777" w:rsidTr="00165AA6">
        <w:trPr>
          <w:trHeight w:val="227"/>
          <w:jc w:val="center"/>
        </w:trPr>
        <w:tc>
          <w:tcPr>
            <w:tcW w:w="4840" w:type="dxa"/>
            <w:tcBorders>
              <w:top w:val="double" w:sz="6" w:space="0" w:color="1F497D"/>
              <w:left w:val="double" w:sz="6" w:space="0" w:color="1F497D"/>
              <w:bottom w:val="double" w:sz="6" w:space="0" w:color="1F497D"/>
              <w:right w:val="double" w:sz="6" w:space="0" w:color="1F497D"/>
            </w:tcBorders>
            <w:shd w:val="clear" w:color="000000" w:fill="8DB4E2"/>
            <w:noWrap/>
            <w:vAlign w:val="center"/>
            <w:hideMark/>
          </w:tcPr>
          <w:p w14:paraId="6F2F6D52"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Subpartidas</w:t>
            </w:r>
          </w:p>
        </w:tc>
        <w:tc>
          <w:tcPr>
            <w:tcW w:w="2083" w:type="dxa"/>
            <w:tcBorders>
              <w:top w:val="double" w:sz="6" w:space="0" w:color="1F497D"/>
              <w:left w:val="nil"/>
              <w:bottom w:val="double" w:sz="6" w:space="0" w:color="1F497D"/>
              <w:right w:val="double" w:sz="6" w:space="0" w:color="1F497D"/>
            </w:tcBorders>
            <w:shd w:val="clear" w:color="000000" w:fill="8DB4E2"/>
            <w:noWrap/>
            <w:vAlign w:val="center"/>
            <w:hideMark/>
          </w:tcPr>
          <w:p w14:paraId="0981CE3D"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Montos</w:t>
            </w:r>
          </w:p>
        </w:tc>
      </w:tr>
      <w:tr w:rsidR="001341EC" w:rsidRPr="00493BFE" w14:paraId="2F026943" w14:textId="77777777" w:rsidTr="00165AA6">
        <w:trPr>
          <w:trHeight w:val="227"/>
          <w:jc w:val="center"/>
        </w:trPr>
        <w:tc>
          <w:tcPr>
            <w:tcW w:w="4840" w:type="dxa"/>
            <w:tcBorders>
              <w:top w:val="nil"/>
              <w:left w:val="double" w:sz="6" w:space="0" w:color="1F497D"/>
              <w:bottom w:val="double" w:sz="6" w:space="0" w:color="1F497D"/>
              <w:right w:val="double" w:sz="6" w:space="0" w:color="1F497D"/>
            </w:tcBorders>
            <w:shd w:val="clear" w:color="auto" w:fill="auto"/>
            <w:noWrap/>
            <w:vAlign w:val="center"/>
            <w:hideMark/>
          </w:tcPr>
          <w:p w14:paraId="30BC7855"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Hospedaje, desayuno y cena</w:t>
            </w:r>
          </w:p>
        </w:tc>
        <w:tc>
          <w:tcPr>
            <w:tcW w:w="2083" w:type="dxa"/>
            <w:tcBorders>
              <w:top w:val="nil"/>
              <w:left w:val="nil"/>
              <w:bottom w:val="double" w:sz="6" w:space="0" w:color="1F497D"/>
              <w:right w:val="double" w:sz="6" w:space="0" w:color="1F497D"/>
            </w:tcBorders>
            <w:shd w:val="clear" w:color="auto" w:fill="auto"/>
            <w:noWrap/>
            <w:vAlign w:val="center"/>
            <w:hideMark/>
          </w:tcPr>
          <w:p w14:paraId="4961262D"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    11.534.200,00 </w:t>
            </w:r>
          </w:p>
        </w:tc>
      </w:tr>
      <w:tr w:rsidR="001341EC" w:rsidRPr="00493BFE" w14:paraId="21D792DA" w14:textId="77777777" w:rsidTr="00165AA6">
        <w:trPr>
          <w:trHeight w:val="227"/>
          <w:jc w:val="center"/>
        </w:trPr>
        <w:tc>
          <w:tcPr>
            <w:tcW w:w="4840" w:type="dxa"/>
            <w:tcBorders>
              <w:top w:val="nil"/>
              <w:left w:val="double" w:sz="6" w:space="0" w:color="1F497D"/>
              <w:bottom w:val="double" w:sz="6" w:space="0" w:color="1F497D"/>
              <w:right w:val="double" w:sz="6" w:space="0" w:color="1F497D"/>
            </w:tcBorders>
            <w:shd w:val="clear" w:color="auto" w:fill="auto"/>
            <w:noWrap/>
            <w:vAlign w:val="center"/>
            <w:hideMark/>
          </w:tcPr>
          <w:p w14:paraId="0A8CEBD0"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Tiquetes de almuerzo</w:t>
            </w:r>
          </w:p>
        </w:tc>
        <w:tc>
          <w:tcPr>
            <w:tcW w:w="2083" w:type="dxa"/>
            <w:tcBorders>
              <w:top w:val="nil"/>
              <w:left w:val="nil"/>
              <w:bottom w:val="double" w:sz="6" w:space="0" w:color="1F497D"/>
              <w:right w:val="double" w:sz="6" w:space="0" w:color="1F497D"/>
            </w:tcBorders>
            <w:shd w:val="clear" w:color="auto" w:fill="auto"/>
            <w:noWrap/>
            <w:vAlign w:val="center"/>
            <w:hideMark/>
          </w:tcPr>
          <w:p w14:paraId="5B3F2E14"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          953.400,00 </w:t>
            </w:r>
          </w:p>
        </w:tc>
      </w:tr>
      <w:tr w:rsidR="001341EC" w:rsidRPr="00493BFE" w14:paraId="4358C944" w14:textId="77777777" w:rsidTr="00165AA6">
        <w:trPr>
          <w:trHeight w:val="227"/>
          <w:jc w:val="center"/>
        </w:trPr>
        <w:tc>
          <w:tcPr>
            <w:tcW w:w="4840" w:type="dxa"/>
            <w:tcBorders>
              <w:top w:val="nil"/>
              <w:left w:val="double" w:sz="6" w:space="0" w:color="1F497D"/>
              <w:bottom w:val="double" w:sz="6" w:space="0" w:color="1F497D"/>
              <w:right w:val="double" w:sz="6" w:space="0" w:color="1F497D"/>
            </w:tcBorders>
            <w:shd w:val="clear" w:color="auto" w:fill="auto"/>
            <w:noWrap/>
            <w:vAlign w:val="center"/>
            <w:hideMark/>
          </w:tcPr>
          <w:p w14:paraId="66298A03"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Transporte</w:t>
            </w:r>
          </w:p>
        </w:tc>
        <w:tc>
          <w:tcPr>
            <w:tcW w:w="2083" w:type="dxa"/>
            <w:tcBorders>
              <w:top w:val="nil"/>
              <w:left w:val="nil"/>
              <w:bottom w:val="double" w:sz="6" w:space="0" w:color="1F497D"/>
              <w:right w:val="double" w:sz="6" w:space="0" w:color="1F497D"/>
            </w:tcBorders>
            <w:shd w:val="clear" w:color="auto" w:fill="auto"/>
            <w:noWrap/>
            <w:vAlign w:val="center"/>
            <w:hideMark/>
          </w:tcPr>
          <w:p w14:paraId="62A0869B"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          604.384,00 </w:t>
            </w:r>
          </w:p>
        </w:tc>
      </w:tr>
      <w:tr w:rsidR="001341EC" w:rsidRPr="00493BFE" w14:paraId="053A799C" w14:textId="77777777" w:rsidTr="00165AA6">
        <w:trPr>
          <w:trHeight w:val="227"/>
          <w:jc w:val="center"/>
        </w:trPr>
        <w:tc>
          <w:tcPr>
            <w:tcW w:w="4840" w:type="dxa"/>
            <w:tcBorders>
              <w:top w:val="nil"/>
              <w:left w:val="double" w:sz="6" w:space="0" w:color="1F497D"/>
              <w:bottom w:val="double" w:sz="6" w:space="0" w:color="1F497D"/>
              <w:right w:val="double" w:sz="6" w:space="0" w:color="1F497D"/>
            </w:tcBorders>
            <w:shd w:val="clear" w:color="auto" w:fill="auto"/>
            <w:noWrap/>
            <w:vAlign w:val="center"/>
            <w:hideMark/>
          </w:tcPr>
          <w:p w14:paraId="402E1131"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Sustitución de personas facilitadoras</w:t>
            </w:r>
          </w:p>
        </w:tc>
        <w:tc>
          <w:tcPr>
            <w:tcW w:w="2083" w:type="dxa"/>
            <w:tcBorders>
              <w:top w:val="nil"/>
              <w:left w:val="nil"/>
              <w:bottom w:val="double" w:sz="6" w:space="0" w:color="1F497D"/>
              <w:right w:val="double" w:sz="6" w:space="0" w:color="1F497D"/>
            </w:tcBorders>
            <w:shd w:val="clear" w:color="auto" w:fill="auto"/>
            <w:noWrap/>
            <w:vAlign w:val="center"/>
            <w:hideMark/>
          </w:tcPr>
          <w:p w14:paraId="42565653"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      5.218.416,67 </w:t>
            </w:r>
          </w:p>
        </w:tc>
      </w:tr>
      <w:tr w:rsidR="001341EC" w:rsidRPr="00493BFE" w14:paraId="2FAE2CA2" w14:textId="77777777" w:rsidTr="00165AA6">
        <w:trPr>
          <w:trHeight w:val="227"/>
          <w:jc w:val="center"/>
        </w:trPr>
        <w:tc>
          <w:tcPr>
            <w:tcW w:w="4840" w:type="dxa"/>
            <w:tcBorders>
              <w:top w:val="nil"/>
              <w:left w:val="double" w:sz="6" w:space="0" w:color="1F497D"/>
              <w:bottom w:val="double" w:sz="6" w:space="0" w:color="1F497D"/>
              <w:right w:val="double" w:sz="6" w:space="0" w:color="1F497D"/>
            </w:tcBorders>
            <w:shd w:val="clear" w:color="auto" w:fill="auto"/>
            <w:noWrap/>
            <w:vAlign w:val="center"/>
            <w:hideMark/>
          </w:tcPr>
          <w:p w14:paraId="2F5805C7" w14:textId="77777777" w:rsidR="001341EC" w:rsidRPr="00055D4B" w:rsidRDefault="001341EC" w:rsidP="00165AA6">
            <w:pPr>
              <w:rPr>
                <w:rFonts w:ascii="Book Antiqua" w:hAnsi="Book Antiqua"/>
                <w:lang w:eastAsia="es-CR"/>
              </w:rPr>
            </w:pPr>
            <w:r w:rsidRPr="00055D4B">
              <w:rPr>
                <w:rFonts w:ascii="Book Antiqua" w:hAnsi="Book Antiqua"/>
                <w:sz w:val="22"/>
                <w:szCs w:val="22"/>
                <w:lang w:eastAsia="es-CR"/>
              </w:rPr>
              <w:t>Sustitución de especialista en métodos de enseñanza</w:t>
            </w:r>
          </w:p>
        </w:tc>
        <w:tc>
          <w:tcPr>
            <w:tcW w:w="2083" w:type="dxa"/>
            <w:tcBorders>
              <w:top w:val="nil"/>
              <w:left w:val="nil"/>
              <w:bottom w:val="double" w:sz="6" w:space="0" w:color="1F497D"/>
              <w:right w:val="double" w:sz="6" w:space="0" w:color="1F497D"/>
            </w:tcBorders>
            <w:shd w:val="clear" w:color="auto" w:fill="auto"/>
            <w:noWrap/>
            <w:vAlign w:val="center"/>
            <w:hideMark/>
          </w:tcPr>
          <w:p w14:paraId="5EE26E4B" w14:textId="77777777" w:rsidR="001341EC" w:rsidRPr="00493BFE" w:rsidRDefault="001341EC" w:rsidP="00165AA6">
            <w:pPr>
              <w:jc w:val="center"/>
              <w:rPr>
                <w:rFonts w:ascii="Book Antiqua" w:hAnsi="Book Antiqua"/>
                <w:color w:val="000000"/>
                <w:lang w:eastAsia="es-CR"/>
              </w:rPr>
            </w:pPr>
            <w:r w:rsidRPr="00493BFE">
              <w:rPr>
                <w:rFonts w:ascii="Book Antiqua" w:hAnsi="Book Antiqua"/>
                <w:color w:val="000000"/>
                <w:sz w:val="22"/>
                <w:szCs w:val="22"/>
                <w:lang w:eastAsia="es-CR"/>
              </w:rPr>
              <w:t xml:space="preserve"> </w:t>
            </w:r>
            <w:r w:rsidRPr="00493BFE">
              <w:rPr>
                <w:color w:val="000000"/>
                <w:sz w:val="22"/>
                <w:szCs w:val="22"/>
                <w:lang w:eastAsia="es-CR"/>
              </w:rPr>
              <w:t>₡</w:t>
            </w:r>
            <w:r w:rsidRPr="00493BFE">
              <w:rPr>
                <w:rFonts w:ascii="Book Antiqua" w:hAnsi="Book Antiqua"/>
                <w:color w:val="000000"/>
                <w:sz w:val="22"/>
                <w:szCs w:val="22"/>
                <w:lang w:eastAsia="es-CR"/>
              </w:rPr>
              <w:t xml:space="preserve">      3.152.666,67 </w:t>
            </w:r>
          </w:p>
        </w:tc>
      </w:tr>
      <w:tr w:rsidR="001341EC" w:rsidRPr="00493BFE" w14:paraId="7C6E9264" w14:textId="77777777" w:rsidTr="00165AA6">
        <w:trPr>
          <w:trHeight w:val="227"/>
          <w:jc w:val="center"/>
        </w:trPr>
        <w:tc>
          <w:tcPr>
            <w:tcW w:w="4840" w:type="dxa"/>
            <w:tcBorders>
              <w:top w:val="nil"/>
              <w:left w:val="double" w:sz="6" w:space="0" w:color="1F497D"/>
              <w:bottom w:val="double" w:sz="6" w:space="0" w:color="1F497D"/>
              <w:right w:val="double" w:sz="6" w:space="0" w:color="1F497D"/>
            </w:tcBorders>
            <w:shd w:val="clear" w:color="auto" w:fill="auto"/>
            <w:noWrap/>
            <w:vAlign w:val="center"/>
            <w:hideMark/>
          </w:tcPr>
          <w:p w14:paraId="47F30038" w14:textId="77777777" w:rsidR="001341EC" w:rsidRPr="00055D4B" w:rsidRDefault="001341EC" w:rsidP="00165AA6">
            <w:pPr>
              <w:jc w:val="right"/>
              <w:rPr>
                <w:rFonts w:ascii="Book Antiqua" w:hAnsi="Book Antiqua"/>
                <w:b/>
                <w:bCs/>
                <w:lang w:eastAsia="es-CR"/>
              </w:rPr>
            </w:pPr>
            <w:r w:rsidRPr="00055D4B">
              <w:rPr>
                <w:rFonts w:ascii="Book Antiqua" w:hAnsi="Book Antiqua"/>
                <w:b/>
                <w:bCs/>
                <w:sz w:val="22"/>
                <w:szCs w:val="22"/>
                <w:lang w:eastAsia="es-CR"/>
              </w:rPr>
              <w:t>Total (en millones de colones)</w:t>
            </w:r>
          </w:p>
        </w:tc>
        <w:tc>
          <w:tcPr>
            <w:tcW w:w="2083" w:type="dxa"/>
            <w:tcBorders>
              <w:top w:val="nil"/>
              <w:left w:val="nil"/>
              <w:bottom w:val="double" w:sz="6" w:space="0" w:color="1F497D"/>
              <w:right w:val="double" w:sz="6" w:space="0" w:color="1F497D"/>
            </w:tcBorders>
            <w:shd w:val="clear" w:color="auto" w:fill="auto"/>
            <w:noWrap/>
            <w:vAlign w:val="center"/>
            <w:hideMark/>
          </w:tcPr>
          <w:p w14:paraId="505C351E" w14:textId="77777777" w:rsidR="001341EC" w:rsidRPr="00055D4B" w:rsidRDefault="001341EC" w:rsidP="00165AA6">
            <w:pPr>
              <w:jc w:val="center"/>
              <w:rPr>
                <w:rFonts w:ascii="Book Antiqua" w:hAnsi="Book Antiqua"/>
                <w:b/>
                <w:bCs/>
                <w:lang w:eastAsia="es-CR"/>
              </w:rPr>
            </w:pPr>
            <w:r w:rsidRPr="00055D4B">
              <w:rPr>
                <w:rFonts w:ascii="Book Antiqua" w:hAnsi="Book Antiqua"/>
                <w:b/>
                <w:bCs/>
                <w:sz w:val="22"/>
                <w:szCs w:val="22"/>
                <w:lang w:eastAsia="es-CR"/>
              </w:rPr>
              <w:t xml:space="preserve"> </w:t>
            </w:r>
            <w:r w:rsidRPr="00055D4B">
              <w:rPr>
                <w:b/>
                <w:bCs/>
                <w:sz w:val="22"/>
                <w:szCs w:val="22"/>
                <w:lang w:eastAsia="es-CR"/>
              </w:rPr>
              <w:t>₡</w:t>
            </w:r>
            <w:r w:rsidRPr="00055D4B">
              <w:rPr>
                <w:rFonts w:ascii="Book Antiqua" w:hAnsi="Book Antiqua"/>
                <w:b/>
                <w:bCs/>
                <w:sz w:val="22"/>
                <w:szCs w:val="22"/>
                <w:lang w:eastAsia="es-CR"/>
              </w:rPr>
              <w:t xml:space="preserve"> 21.463.067,33 </w:t>
            </w:r>
          </w:p>
        </w:tc>
      </w:tr>
    </w:tbl>
    <w:p w14:paraId="38F30602" w14:textId="77777777" w:rsidR="001341EC" w:rsidRPr="00F53CB0" w:rsidRDefault="001341EC" w:rsidP="001341EC">
      <w:pPr>
        <w:ind w:left="1276" w:right="1183"/>
        <w:jc w:val="both"/>
        <w:rPr>
          <w:rFonts w:ascii="Book Antiqua" w:hAnsi="Book Antiqua"/>
          <w:b/>
          <w:i/>
          <w:sz w:val="18"/>
          <w:lang w:eastAsia="en-US"/>
        </w:rPr>
      </w:pPr>
      <w:r w:rsidRPr="00F53CB0">
        <w:rPr>
          <w:rFonts w:ascii="Book Antiqua" w:hAnsi="Book Antiqua"/>
          <w:b/>
          <w:i/>
          <w:sz w:val="18"/>
          <w:lang w:eastAsia="en-US"/>
        </w:rPr>
        <w:t>Fuente: Subproceso de Modernización Institucional de acuerdo con Propuestas de Capacitación Reforma Procesal Agraria, Escuela Judicial del 23 y 29 de marzo de 2017.</w:t>
      </w:r>
    </w:p>
    <w:p w14:paraId="5E3A41FB" w14:textId="77777777" w:rsidR="001341EC" w:rsidRPr="00F53CB0" w:rsidRDefault="001341EC" w:rsidP="001341EC">
      <w:pPr>
        <w:jc w:val="both"/>
        <w:rPr>
          <w:rFonts w:ascii="Book Antiqua" w:hAnsi="Book Antiqua"/>
          <w:b/>
          <w:i/>
          <w:lang w:val="es-ES_tradnl"/>
        </w:rPr>
      </w:pPr>
    </w:p>
    <w:p w14:paraId="7C02306B" w14:textId="77777777" w:rsidR="001341EC" w:rsidRPr="00165AA6" w:rsidRDefault="001341EC" w:rsidP="00165AA6">
      <w:pPr>
        <w:pStyle w:val="Ttulo3"/>
        <w:keepLines/>
        <w:numPr>
          <w:ilvl w:val="2"/>
          <w:numId w:val="42"/>
        </w:numPr>
        <w:spacing w:before="40" w:after="0"/>
        <w:jc w:val="both"/>
        <w:rPr>
          <w:rFonts w:ascii="Book Antiqua" w:hAnsi="Book Antiqua"/>
          <w:sz w:val="22"/>
          <w:szCs w:val="22"/>
        </w:rPr>
      </w:pPr>
      <w:r w:rsidRPr="00165AA6">
        <w:rPr>
          <w:rFonts w:ascii="Book Antiqua" w:hAnsi="Book Antiqua"/>
          <w:sz w:val="22"/>
          <w:szCs w:val="22"/>
        </w:rPr>
        <w:t>Resumen de propuesta de capacitación por parte de la Dirección de Planificación</w:t>
      </w:r>
    </w:p>
    <w:p w14:paraId="7B086AD5" w14:textId="77777777" w:rsidR="001341EC" w:rsidRPr="00055D4B" w:rsidRDefault="001341EC" w:rsidP="001341EC">
      <w:pPr>
        <w:spacing w:line="160" w:lineRule="exact"/>
        <w:jc w:val="both"/>
        <w:rPr>
          <w:rFonts w:ascii="Book Antiqua" w:hAnsi="Book Antiqua"/>
          <w:sz w:val="22"/>
        </w:rPr>
      </w:pPr>
    </w:p>
    <w:p w14:paraId="0CF77839" w14:textId="77777777" w:rsidR="001341EC" w:rsidRPr="00055D4B" w:rsidRDefault="001341EC" w:rsidP="001341EC">
      <w:pPr>
        <w:pStyle w:val="Prrafodelista"/>
        <w:numPr>
          <w:ilvl w:val="0"/>
          <w:numId w:val="4"/>
        </w:numPr>
        <w:spacing w:after="240"/>
        <w:rPr>
          <w:rFonts w:ascii="Book Antiqua" w:eastAsia="Arial" w:hAnsi="Book Antiqua"/>
          <w:sz w:val="22"/>
        </w:rPr>
      </w:pPr>
      <w:r w:rsidRPr="00055D4B">
        <w:rPr>
          <w:rFonts w:ascii="Book Antiqua" w:eastAsia="Arial" w:hAnsi="Book Antiqua"/>
          <w:sz w:val="22"/>
        </w:rPr>
        <w:t xml:space="preserve">Ejecución de </w:t>
      </w:r>
      <w:r w:rsidRPr="00055D4B">
        <w:rPr>
          <w:rFonts w:ascii="Book Antiqua" w:eastAsia="Arial" w:hAnsi="Book Antiqua"/>
          <w:b/>
          <w:sz w:val="22"/>
        </w:rPr>
        <w:t>8</w:t>
      </w:r>
      <w:r w:rsidRPr="00055D4B">
        <w:rPr>
          <w:rFonts w:ascii="Book Antiqua" w:eastAsia="Arial" w:hAnsi="Book Antiqua"/>
          <w:sz w:val="22"/>
        </w:rPr>
        <w:t xml:space="preserve"> cursos dirigidos a personal profesional, con una duración de 5 días hábiles. Población a abarcar: </w:t>
      </w:r>
      <w:r w:rsidRPr="00055D4B">
        <w:rPr>
          <w:rFonts w:ascii="Book Antiqua" w:eastAsia="Arial" w:hAnsi="Book Antiqua"/>
          <w:b/>
          <w:sz w:val="22"/>
        </w:rPr>
        <w:t>88</w:t>
      </w:r>
      <w:r w:rsidRPr="00055D4B">
        <w:rPr>
          <w:rFonts w:ascii="Book Antiqua" w:eastAsia="Arial" w:hAnsi="Book Antiqua"/>
          <w:sz w:val="22"/>
        </w:rPr>
        <w:t xml:space="preserve"> </w:t>
      </w:r>
      <w:r w:rsidRPr="00055D4B">
        <w:rPr>
          <w:rFonts w:ascii="Book Antiqua" w:eastAsia="Arial" w:hAnsi="Book Antiqua"/>
          <w:b/>
          <w:sz w:val="22"/>
        </w:rPr>
        <w:t>personas profesionales</w:t>
      </w:r>
      <w:r w:rsidRPr="00055D4B">
        <w:rPr>
          <w:rFonts w:ascii="Book Antiqua" w:eastAsia="Arial" w:hAnsi="Book Antiqua"/>
          <w:sz w:val="22"/>
        </w:rPr>
        <w:t xml:space="preserve">. </w:t>
      </w:r>
    </w:p>
    <w:p w14:paraId="0CCBEC84" w14:textId="77777777" w:rsidR="001341EC" w:rsidRPr="00055D4B" w:rsidRDefault="001341EC" w:rsidP="001341EC">
      <w:pPr>
        <w:pStyle w:val="Prrafodelista"/>
        <w:numPr>
          <w:ilvl w:val="0"/>
          <w:numId w:val="4"/>
        </w:numPr>
        <w:spacing w:after="240"/>
        <w:rPr>
          <w:rFonts w:ascii="Book Antiqua" w:eastAsia="Arial" w:hAnsi="Book Antiqua"/>
          <w:b/>
          <w:sz w:val="22"/>
        </w:rPr>
      </w:pPr>
      <w:r w:rsidRPr="00055D4B">
        <w:rPr>
          <w:rFonts w:ascii="Book Antiqua" w:eastAsia="Arial" w:hAnsi="Book Antiqua"/>
          <w:sz w:val="22"/>
        </w:rPr>
        <w:t xml:space="preserve">Ejecución de 4 cursos presenciales dirigidos a personal auxiliar, con una duración de 5 días hábiles. Población a abarcar: </w:t>
      </w:r>
      <w:r w:rsidRPr="00055D4B">
        <w:rPr>
          <w:rFonts w:ascii="Book Antiqua" w:eastAsia="Arial" w:hAnsi="Book Antiqua"/>
          <w:b/>
          <w:sz w:val="22"/>
        </w:rPr>
        <w:t>13 personas auxiliares</w:t>
      </w:r>
    </w:p>
    <w:p w14:paraId="063D3436" w14:textId="77777777" w:rsidR="001341EC" w:rsidRPr="00055D4B" w:rsidRDefault="001341EC" w:rsidP="00EA2968">
      <w:pPr>
        <w:pStyle w:val="Prrafodelista"/>
        <w:numPr>
          <w:ilvl w:val="0"/>
          <w:numId w:val="4"/>
        </w:numPr>
        <w:spacing w:after="240"/>
        <w:ind w:right="-285"/>
        <w:rPr>
          <w:rFonts w:ascii="Book Antiqua" w:eastAsia="Arial" w:hAnsi="Book Antiqua"/>
          <w:b/>
          <w:sz w:val="22"/>
        </w:rPr>
      </w:pPr>
      <w:r w:rsidRPr="00055D4B">
        <w:rPr>
          <w:rFonts w:ascii="Book Antiqua" w:eastAsia="Arial" w:hAnsi="Book Antiqua"/>
          <w:sz w:val="22"/>
        </w:rPr>
        <w:t xml:space="preserve">Costo del proyecto de capacitación 2020 en millones de colones: </w:t>
      </w:r>
      <w:r w:rsidRPr="00055D4B">
        <w:rPr>
          <w:rFonts w:ascii="Times New Roman" w:hAnsi="Times New Roman" w:cs="Times New Roman"/>
          <w:b/>
          <w:bCs/>
          <w:sz w:val="22"/>
          <w:szCs w:val="20"/>
          <w:lang w:val="es-CR" w:eastAsia="es-CR"/>
        </w:rPr>
        <w:t>₡</w:t>
      </w:r>
      <w:r w:rsidRPr="00055D4B">
        <w:rPr>
          <w:rFonts w:ascii="Book Antiqua" w:hAnsi="Book Antiqua"/>
          <w:b/>
          <w:bCs/>
          <w:sz w:val="22"/>
          <w:szCs w:val="20"/>
          <w:lang w:val="es-CR" w:eastAsia="es-CR"/>
        </w:rPr>
        <w:t xml:space="preserve"> 21.463.067,33</w:t>
      </w:r>
    </w:p>
    <w:p w14:paraId="7508AE31" w14:textId="77777777" w:rsidR="001341EC" w:rsidRPr="00165AA6" w:rsidRDefault="001341EC" w:rsidP="00165AA6">
      <w:pPr>
        <w:pStyle w:val="Ttulo3"/>
        <w:keepLines/>
        <w:numPr>
          <w:ilvl w:val="2"/>
          <w:numId w:val="42"/>
        </w:numPr>
        <w:spacing w:before="40" w:after="0"/>
        <w:jc w:val="both"/>
        <w:rPr>
          <w:rFonts w:ascii="Book Antiqua" w:hAnsi="Book Antiqua"/>
          <w:sz w:val="22"/>
          <w:szCs w:val="22"/>
        </w:rPr>
      </w:pPr>
      <w:r w:rsidRPr="00165AA6">
        <w:rPr>
          <w:rFonts w:ascii="Book Antiqua" w:hAnsi="Book Antiqua"/>
          <w:sz w:val="22"/>
          <w:szCs w:val="22"/>
        </w:rPr>
        <w:t xml:space="preserve">Escenario alternativo para capacitación presentado por la Escuela </w:t>
      </w:r>
      <w:r w:rsidR="00817898" w:rsidRPr="00165AA6">
        <w:rPr>
          <w:rFonts w:ascii="Book Antiqua" w:hAnsi="Book Antiqua"/>
          <w:sz w:val="22"/>
          <w:szCs w:val="22"/>
        </w:rPr>
        <w:t>Judicial</w:t>
      </w:r>
    </w:p>
    <w:p w14:paraId="690F7EF1" w14:textId="77777777" w:rsidR="001341EC" w:rsidRDefault="001341EC" w:rsidP="001341EC">
      <w:pPr>
        <w:pStyle w:val="Prrafodelista"/>
        <w:spacing w:after="240"/>
        <w:ind w:left="0"/>
        <w:rPr>
          <w:rFonts w:ascii="Book Antiqua" w:eastAsia="Arial" w:hAnsi="Book Antiqua"/>
          <w:sz w:val="22"/>
        </w:rPr>
      </w:pPr>
    </w:p>
    <w:p w14:paraId="1285C82F" w14:textId="77777777" w:rsidR="001341EC" w:rsidRPr="00126FA8" w:rsidRDefault="001341EC" w:rsidP="001341EC">
      <w:pPr>
        <w:pStyle w:val="Prrafodelista"/>
        <w:spacing w:after="240"/>
        <w:ind w:left="0"/>
        <w:rPr>
          <w:rFonts w:ascii="Book Antiqua" w:hAnsi="Book Antiqua"/>
          <w:sz w:val="22"/>
          <w:szCs w:val="28"/>
          <w:lang w:val="es-CR"/>
        </w:rPr>
      </w:pPr>
      <w:r w:rsidRPr="00126FA8">
        <w:rPr>
          <w:rFonts w:ascii="Book Antiqua" w:eastAsia="Arial" w:hAnsi="Book Antiqua"/>
          <w:sz w:val="22"/>
        </w:rPr>
        <w:t>La Escuela Judicial, emite observaciones al presente informe, se considera un Escenario 2 en el tema capacitación</w:t>
      </w:r>
      <w:r w:rsidRPr="00126FA8">
        <w:rPr>
          <w:rFonts w:ascii="Book Antiqua" w:hAnsi="Book Antiqua"/>
          <w:color w:val="000000"/>
          <w:sz w:val="22"/>
          <w:szCs w:val="22"/>
          <w:lang w:val="es-CR"/>
        </w:rPr>
        <w:t xml:space="preserve">, donde literalmente indica lo siguiente: </w:t>
      </w:r>
    </w:p>
    <w:p w14:paraId="315D6461" w14:textId="77777777" w:rsidR="001341EC" w:rsidRPr="00126FA8" w:rsidRDefault="001341EC" w:rsidP="001341EC">
      <w:pPr>
        <w:pStyle w:val="Prrafodelista"/>
        <w:ind w:left="0"/>
        <w:jc w:val="both"/>
        <w:rPr>
          <w:rFonts w:ascii="Book Antiqua" w:hAnsi="Book Antiqua"/>
          <w:color w:val="000000"/>
          <w:sz w:val="22"/>
          <w:szCs w:val="22"/>
          <w:lang w:val="es-CR"/>
        </w:rPr>
      </w:pPr>
    </w:p>
    <w:p w14:paraId="66E0A4A5" w14:textId="77777777" w:rsidR="001341EC" w:rsidRPr="00DE1B1C" w:rsidRDefault="001341EC" w:rsidP="001341EC">
      <w:pPr>
        <w:ind w:left="980" w:right="616"/>
        <w:jc w:val="both"/>
        <w:rPr>
          <w:rFonts w:ascii="Book Antiqua" w:hAnsi="Book Antiqua"/>
          <w:i/>
          <w:sz w:val="22"/>
          <w:szCs w:val="22"/>
        </w:rPr>
      </w:pPr>
      <w:r w:rsidRPr="00DE1B1C">
        <w:rPr>
          <w:rFonts w:ascii="Book Antiqua" w:hAnsi="Book Antiqua"/>
          <w:i/>
          <w:sz w:val="22"/>
          <w:szCs w:val="22"/>
        </w:rPr>
        <w:t xml:space="preserve">“…en una sesión de la Comisión de la Jurisdicción Agraria, se solicitó que la capacitación a impartir durante diciembre de 2018 fuera de carácter </w:t>
      </w:r>
      <w:r w:rsidRPr="00DE1B1C">
        <w:rPr>
          <w:rFonts w:ascii="Book Antiqua" w:hAnsi="Book Antiqua"/>
          <w:b/>
          <w:i/>
          <w:sz w:val="22"/>
          <w:szCs w:val="22"/>
        </w:rPr>
        <w:t>“informativa y no evaluada”</w:t>
      </w:r>
      <w:r w:rsidRPr="00DE1B1C">
        <w:rPr>
          <w:rFonts w:ascii="Book Antiqua" w:hAnsi="Book Antiqua"/>
          <w:i/>
          <w:sz w:val="22"/>
          <w:szCs w:val="22"/>
        </w:rPr>
        <w:t xml:space="preserve">, lo </w:t>
      </w:r>
      <w:proofErr w:type="spellStart"/>
      <w:r w:rsidRPr="00DE1B1C">
        <w:rPr>
          <w:rFonts w:ascii="Book Antiqua" w:hAnsi="Book Antiqua"/>
          <w:i/>
          <w:sz w:val="22"/>
          <w:szCs w:val="22"/>
        </w:rPr>
        <w:t>cuál</w:t>
      </w:r>
      <w:proofErr w:type="spellEnd"/>
      <w:r w:rsidRPr="00DE1B1C">
        <w:rPr>
          <w:rFonts w:ascii="Book Antiqua" w:hAnsi="Book Antiqua"/>
          <w:i/>
          <w:sz w:val="22"/>
          <w:szCs w:val="22"/>
        </w:rPr>
        <w:t xml:space="preserve"> desde un punto de vista de Capacitación resulta válido en un primer estudio del proceso de desarrollo de competencias profesionales…”</w:t>
      </w:r>
    </w:p>
    <w:p w14:paraId="53192BC0" w14:textId="77777777" w:rsidR="001341EC" w:rsidRPr="00DE1B1C" w:rsidRDefault="001341EC" w:rsidP="001341EC">
      <w:pPr>
        <w:ind w:left="980"/>
        <w:rPr>
          <w:rFonts w:ascii="Book Antiqua" w:hAnsi="Book Antiqua"/>
          <w:sz w:val="22"/>
          <w:szCs w:val="22"/>
        </w:rPr>
      </w:pPr>
    </w:p>
    <w:p w14:paraId="07B04E7A" w14:textId="77777777" w:rsidR="001341EC" w:rsidRPr="00DE1B1C" w:rsidRDefault="001341EC" w:rsidP="001341EC">
      <w:pPr>
        <w:rPr>
          <w:rFonts w:ascii="Book Antiqua" w:hAnsi="Book Antiqua"/>
          <w:sz w:val="22"/>
          <w:szCs w:val="22"/>
        </w:rPr>
      </w:pPr>
      <w:r w:rsidRPr="00DE1B1C">
        <w:rPr>
          <w:rFonts w:ascii="Book Antiqua" w:hAnsi="Book Antiqua"/>
          <w:sz w:val="22"/>
          <w:szCs w:val="22"/>
        </w:rPr>
        <w:t>Por otro lado, se menciona lo siguiente:</w:t>
      </w:r>
    </w:p>
    <w:p w14:paraId="11BF5D1D" w14:textId="77777777" w:rsidR="001341EC" w:rsidRPr="00DE1B1C" w:rsidRDefault="001341EC" w:rsidP="001341EC">
      <w:pPr>
        <w:ind w:left="980" w:right="-376"/>
        <w:jc w:val="both"/>
        <w:rPr>
          <w:rFonts w:ascii="Book Antiqua" w:hAnsi="Book Antiqua"/>
          <w:sz w:val="22"/>
          <w:szCs w:val="22"/>
        </w:rPr>
      </w:pPr>
    </w:p>
    <w:p w14:paraId="7563DD40" w14:textId="77777777" w:rsidR="001341EC" w:rsidRPr="00DE1B1C" w:rsidRDefault="001341EC" w:rsidP="001341EC">
      <w:pPr>
        <w:ind w:left="980" w:right="616"/>
        <w:jc w:val="both"/>
        <w:rPr>
          <w:rFonts w:ascii="Book Antiqua" w:hAnsi="Book Antiqua"/>
          <w:i/>
          <w:sz w:val="22"/>
          <w:szCs w:val="22"/>
        </w:rPr>
      </w:pPr>
      <w:r w:rsidRPr="00DE1B1C">
        <w:rPr>
          <w:rFonts w:ascii="Book Antiqua" w:hAnsi="Book Antiqua"/>
          <w:i/>
          <w:sz w:val="22"/>
          <w:szCs w:val="22"/>
        </w:rPr>
        <w:t>“…Desde un punto de vista técnico-metodológico, esta Escuela Judicial considera que replicar los cursos impartidos en el mes de diciembre, desde ningún punto de vista podría permitir el desarrollo o fortalecimiento de las competencias que se requieren en la administración de justicia agraria…”</w:t>
      </w:r>
    </w:p>
    <w:p w14:paraId="132BD78A" w14:textId="77777777" w:rsidR="001341EC" w:rsidRPr="00DE1B1C" w:rsidRDefault="001341EC" w:rsidP="001341EC">
      <w:pPr>
        <w:ind w:left="980"/>
        <w:rPr>
          <w:rFonts w:ascii="Book Antiqua" w:hAnsi="Book Antiqua"/>
          <w:sz w:val="22"/>
          <w:szCs w:val="22"/>
        </w:rPr>
      </w:pPr>
    </w:p>
    <w:p w14:paraId="13F88335" w14:textId="77777777" w:rsidR="001341EC" w:rsidRPr="00DE1B1C" w:rsidRDefault="001341EC" w:rsidP="001341EC">
      <w:pPr>
        <w:ind w:left="980"/>
        <w:jc w:val="both"/>
        <w:rPr>
          <w:rFonts w:ascii="Book Antiqua" w:hAnsi="Book Antiqua"/>
          <w:sz w:val="22"/>
          <w:szCs w:val="22"/>
        </w:rPr>
      </w:pPr>
      <w:r w:rsidRPr="00DE1B1C">
        <w:rPr>
          <w:rFonts w:ascii="Book Antiqua" w:hAnsi="Book Antiqua"/>
          <w:sz w:val="22"/>
          <w:szCs w:val="22"/>
        </w:rPr>
        <w:t xml:space="preserve">La propuesta que se hace mención, doña Damaris Vargas </w:t>
      </w:r>
      <w:r>
        <w:rPr>
          <w:rFonts w:ascii="Book Antiqua" w:hAnsi="Book Antiqua"/>
          <w:sz w:val="22"/>
          <w:szCs w:val="22"/>
        </w:rPr>
        <w:t>indica</w:t>
      </w:r>
      <w:r w:rsidRPr="00DE1B1C">
        <w:rPr>
          <w:rFonts w:ascii="Book Antiqua" w:hAnsi="Book Antiqua"/>
          <w:sz w:val="22"/>
          <w:szCs w:val="22"/>
        </w:rPr>
        <w:t xml:space="preserve"> que en sesión de trabajo por parte de la señora Kattia Escalante Barboza, Subdirectora </w:t>
      </w:r>
      <w:proofErr w:type="spellStart"/>
      <w:r w:rsidRPr="00DE1B1C">
        <w:rPr>
          <w:rFonts w:ascii="Book Antiqua" w:hAnsi="Book Antiqua"/>
          <w:sz w:val="22"/>
          <w:szCs w:val="22"/>
        </w:rPr>
        <w:t>a.i.</w:t>
      </w:r>
      <w:proofErr w:type="spellEnd"/>
      <w:r w:rsidRPr="00DE1B1C">
        <w:rPr>
          <w:rFonts w:ascii="Book Antiqua" w:hAnsi="Book Antiqua"/>
          <w:sz w:val="22"/>
          <w:szCs w:val="22"/>
        </w:rPr>
        <w:t xml:space="preserve"> de la Escuela Judicial y el señor Gustavo Céspedes Chinchilla, Gestor de Capacitación Agraria, informaron su disposición de mantener la propuesta que socializó don Gustavo para el Informe de Presupuesto 2020. </w:t>
      </w:r>
      <w:r w:rsidRPr="00DE1B1C">
        <w:rPr>
          <w:rFonts w:ascii="Book Antiqua" w:hAnsi="Book Antiqua"/>
          <w:b/>
          <w:i/>
          <w:sz w:val="22"/>
          <w:szCs w:val="22"/>
          <w:lang w:eastAsia="es-CR"/>
        </w:rPr>
        <w:t xml:space="preserve">(ver anexo 22 </w:t>
      </w:r>
      <w:r w:rsidRPr="00DE1B1C">
        <w:rPr>
          <w:rFonts w:ascii="Book Antiqua" w:hAnsi="Book Antiqua"/>
          <w:b/>
          <w:i/>
          <w:sz w:val="22"/>
          <w:szCs w:val="22"/>
        </w:rPr>
        <w:t>Correo consulta sobre formulación presupuestaria 2020 asociada a capacitación del CPA)</w:t>
      </w:r>
    </w:p>
    <w:p w14:paraId="3FCE32F7" w14:textId="77777777" w:rsidR="001341EC" w:rsidRPr="00DE1B1C" w:rsidRDefault="001341EC" w:rsidP="001341EC">
      <w:pPr>
        <w:ind w:left="980"/>
        <w:rPr>
          <w:rFonts w:ascii="Book Antiqua" w:hAnsi="Book Antiqua"/>
          <w:sz w:val="22"/>
          <w:szCs w:val="22"/>
        </w:rPr>
      </w:pPr>
    </w:p>
    <w:p w14:paraId="6485F5BC" w14:textId="77777777" w:rsidR="001341EC" w:rsidRPr="00DE1B1C" w:rsidRDefault="001341EC" w:rsidP="001341EC">
      <w:pPr>
        <w:ind w:left="980"/>
        <w:jc w:val="both"/>
        <w:rPr>
          <w:rFonts w:ascii="Book Antiqua" w:hAnsi="Book Antiqua"/>
          <w:sz w:val="22"/>
          <w:szCs w:val="22"/>
        </w:rPr>
      </w:pPr>
      <w:r w:rsidRPr="00DE1B1C">
        <w:rPr>
          <w:rFonts w:ascii="Book Antiqua" w:hAnsi="Book Antiqua"/>
          <w:sz w:val="22"/>
          <w:szCs w:val="22"/>
        </w:rPr>
        <w:t xml:space="preserve">Por lo anterior, </w:t>
      </w:r>
      <w:r>
        <w:rPr>
          <w:rFonts w:ascii="Book Antiqua" w:hAnsi="Book Antiqua"/>
          <w:sz w:val="22"/>
          <w:szCs w:val="22"/>
        </w:rPr>
        <w:t xml:space="preserve">quedará a valoración del </w:t>
      </w:r>
      <w:r w:rsidRPr="00DE1B1C">
        <w:rPr>
          <w:rFonts w:ascii="Book Antiqua" w:hAnsi="Book Antiqua"/>
          <w:sz w:val="22"/>
          <w:szCs w:val="22"/>
        </w:rPr>
        <w:t>Consejo Superior,  otorga</w:t>
      </w:r>
      <w:r>
        <w:rPr>
          <w:rFonts w:ascii="Book Antiqua" w:hAnsi="Book Antiqua"/>
          <w:sz w:val="22"/>
          <w:szCs w:val="22"/>
        </w:rPr>
        <w:t>r</w:t>
      </w:r>
      <w:r w:rsidRPr="00DE1B1C">
        <w:rPr>
          <w:rFonts w:ascii="Book Antiqua" w:hAnsi="Book Antiqua"/>
          <w:sz w:val="22"/>
          <w:szCs w:val="22"/>
        </w:rPr>
        <w:t xml:space="preserve"> de</w:t>
      </w:r>
      <w:r>
        <w:rPr>
          <w:rFonts w:ascii="Book Antiqua" w:hAnsi="Book Antiqua"/>
          <w:sz w:val="22"/>
          <w:szCs w:val="22"/>
        </w:rPr>
        <w:t>l</w:t>
      </w:r>
      <w:r w:rsidRPr="00DE1B1C">
        <w:rPr>
          <w:rFonts w:ascii="Book Antiqua" w:hAnsi="Book Antiqua"/>
          <w:sz w:val="22"/>
          <w:szCs w:val="22"/>
        </w:rPr>
        <w:t xml:space="preserve"> nuevo </w:t>
      </w:r>
      <w:r>
        <w:rPr>
          <w:rFonts w:ascii="Book Antiqua" w:hAnsi="Book Antiqua"/>
          <w:sz w:val="22"/>
          <w:szCs w:val="22"/>
        </w:rPr>
        <w:t>requerimiento de capacitación de</w:t>
      </w:r>
      <w:r w:rsidRPr="001F5AC5">
        <w:rPr>
          <w:rFonts w:ascii="Book Antiqua" w:hAnsi="Book Antiqua"/>
          <w:sz w:val="22"/>
          <w:szCs w:val="22"/>
        </w:rPr>
        <w:t xml:space="preserve"> la Escuela Judicial</w:t>
      </w:r>
      <w:r>
        <w:rPr>
          <w:rFonts w:ascii="Book Antiqua" w:hAnsi="Book Antiqua"/>
          <w:sz w:val="22"/>
          <w:szCs w:val="22"/>
        </w:rPr>
        <w:t xml:space="preserve">, dentro del </w:t>
      </w:r>
      <w:r w:rsidRPr="00DE1B1C">
        <w:rPr>
          <w:rFonts w:ascii="Book Antiqua" w:hAnsi="Book Antiqua"/>
          <w:sz w:val="22"/>
          <w:szCs w:val="22"/>
        </w:rPr>
        <w:t>presupuesto</w:t>
      </w:r>
      <w:r>
        <w:rPr>
          <w:rFonts w:ascii="Book Antiqua" w:hAnsi="Book Antiqua"/>
          <w:sz w:val="22"/>
          <w:szCs w:val="22"/>
        </w:rPr>
        <w:t xml:space="preserve"> 2020</w:t>
      </w:r>
      <w:r w:rsidRPr="00DE1B1C">
        <w:rPr>
          <w:rFonts w:ascii="Book Antiqua" w:hAnsi="Book Antiqua"/>
          <w:sz w:val="22"/>
          <w:szCs w:val="22"/>
        </w:rPr>
        <w:t xml:space="preserve">, para brindar las capacitaciones correspondientes a la entrada en vigencia del Código Procesal Agrario, donde se consideren </w:t>
      </w:r>
      <w:r w:rsidRPr="00DE1B1C">
        <w:rPr>
          <w:rFonts w:ascii="Book Antiqua" w:hAnsi="Book Antiqua"/>
          <w:sz w:val="22"/>
          <w:szCs w:val="22"/>
          <w:lang w:val="es-ES"/>
        </w:rPr>
        <w:t xml:space="preserve">aspectos técnicos-metodológicos propios de la formación, reconociendo la </w:t>
      </w:r>
      <w:r w:rsidRPr="00DE1B1C">
        <w:rPr>
          <w:rFonts w:ascii="Book Antiqua" w:hAnsi="Book Antiqua" w:cs="Arial"/>
          <w:sz w:val="22"/>
          <w:szCs w:val="22"/>
          <w:lang w:val="es-ES_tradnl"/>
        </w:rPr>
        <w:t>existencia</w:t>
      </w:r>
      <w:r w:rsidRPr="00DE1B1C">
        <w:rPr>
          <w:rFonts w:ascii="Book Antiqua" w:hAnsi="Book Antiqua"/>
          <w:sz w:val="22"/>
          <w:szCs w:val="22"/>
          <w:lang w:val="es-ES"/>
        </w:rPr>
        <w:t xml:space="preserve"> de diferentes niveles de desarrollo de las competencias requeridas para ello.</w:t>
      </w:r>
      <w:r w:rsidRPr="00DE1B1C">
        <w:rPr>
          <w:rFonts w:ascii="Book Antiqua" w:hAnsi="Book Antiqua"/>
          <w:sz w:val="22"/>
          <w:szCs w:val="22"/>
        </w:rPr>
        <w:t xml:space="preserve"> </w:t>
      </w:r>
    </w:p>
    <w:p w14:paraId="02311C7F" w14:textId="77777777" w:rsidR="001341EC" w:rsidRDefault="001341EC" w:rsidP="001341EC"/>
    <w:p w14:paraId="311ED688" w14:textId="77777777" w:rsidR="001341EC" w:rsidRPr="00165AA6" w:rsidRDefault="001341EC" w:rsidP="00165AA6">
      <w:pPr>
        <w:pStyle w:val="Ttulo2"/>
        <w:keepLines/>
        <w:numPr>
          <w:ilvl w:val="1"/>
          <w:numId w:val="42"/>
        </w:numPr>
        <w:spacing w:before="40" w:after="0"/>
        <w:rPr>
          <w:rFonts w:ascii="Book Antiqua" w:hAnsi="Book Antiqua"/>
          <w:i w:val="0"/>
          <w:sz w:val="22"/>
        </w:rPr>
      </w:pPr>
      <w:bookmarkStart w:id="19" w:name="page6"/>
      <w:bookmarkStart w:id="20" w:name="page7"/>
      <w:bookmarkStart w:id="21" w:name="page8"/>
      <w:bookmarkEnd w:id="15"/>
      <w:bookmarkEnd w:id="16"/>
      <w:bookmarkEnd w:id="19"/>
      <w:bookmarkEnd w:id="20"/>
      <w:bookmarkEnd w:id="21"/>
      <w:r w:rsidRPr="00165AA6">
        <w:rPr>
          <w:rFonts w:ascii="Book Antiqua" w:hAnsi="Book Antiqua"/>
          <w:i w:val="0"/>
          <w:sz w:val="22"/>
        </w:rPr>
        <w:lastRenderedPageBreak/>
        <w:t>Tramitación Electrónica</w:t>
      </w:r>
    </w:p>
    <w:p w14:paraId="0718E133" w14:textId="77777777" w:rsidR="001341EC" w:rsidRPr="00055D4B" w:rsidRDefault="001341EC" w:rsidP="001341EC">
      <w:pPr>
        <w:rPr>
          <w:rFonts w:ascii="Book Antiqua" w:hAnsi="Book Antiqua"/>
          <w:sz w:val="22"/>
          <w:szCs w:val="22"/>
          <w:lang w:eastAsia="en-US"/>
        </w:rPr>
      </w:pPr>
    </w:p>
    <w:p w14:paraId="60841813" w14:textId="77777777" w:rsidR="001341EC" w:rsidRPr="00055D4B" w:rsidRDefault="001341EC" w:rsidP="001341EC">
      <w:pPr>
        <w:pStyle w:val="Prrafodelista"/>
        <w:ind w:left="0"/>
        <w:jc w:val="both"/>
        <w:rPr>
          <w:rFonts w:ascii="Book Antiqua" w:hAnsi="Book Antiqua"/>
          <w:color w:val="000000"/>
          <w:sz w:val="22"/>
          <w:szCs w:val="22"/>
          <w:lang w:val="es-CR"/>
        </w:rPr>
      </w:pPr>
      <w:r w:rsidRPr="00055D4B">
        <w:rPr>
          <w:rFonts w:ascii="Book Antiqua" w:hAnsi="Book Antiqua"/>
          <w:color w:val="000000"/>
          <w:sz w:val="22"/>
          <w:szCs w:val="22"/>
          <w:lang w:val="es-CR"/>
        </w:rPr>
        <w:t xml:space="preserve">La tramitación electrónica mediante la herramienta de Escritorio Virtual implica la definición de ubicaciones electrónicas y tareas para la organización del trabajo, basado en los procedimientos de trabajo de cada materia. El diseño de la infraestructura tecnológica, que contiene la definición de las variables mencionadas anteriormente, </w:t>
      </w:r>
      <w:r w:rsidR="00817898" w:rsidRPr="00055D4B">
        <w:rPr>
          <w:rFonts w:ascii="Book Antiqua" w:hAnsi="Book Antiqua"/>
          <w:color w:val="000000"/>
          <w:sz w:val="22"/>
          <w:szCs w:val="22"/>
          <w:lang w:val="es-CR"/>
        </w:rPr>
        <w:t>fue</w:t>
      </w:r>
      <w:r w:rsidRPr="00055D4B">
        <w:rPr>
          <w:rFonts w:ascii="Book Antiqua" w:hAnsi="Book Antiqua"/>
          <w:color w:val="000000"/>
          <w:sz w:val="22"/>
          <w:szCs w:val="22"/>
          <w:lang w:val="es-CR"/>
        </w:rPr>
        <w:t xml:space="preserve"> responsabilidad de la Dirección de Planificación. </w:t>
      </w:r>
    </w:p>
    <w:p w14:paraId="469C73BC" w14:textId="77777777" w:rsidR="001341EC" w:rsidRPr="00055D4B" w:rsidRDefault="001341EC" w:rsidP="001341EC">
      <w:pPr>
        <w:pStyle w:val="Prrafodelista"/>
        <w:ind w:left="0"/>
        <w:jc w:val="both"/>
        <w:rPr>
          <w:rFonts w:ascii="Book Antiqua" w:hAnsi="Book Antiqua"/>
          <w:color w:val="000000"/>
          <w:sz w:val="22"/>
          <w:szCs w:val="22"/>
          <w:lang w:val="es-CR"/>
        </w:rPr>
      </w:pPr>
    </w:p>
    <w:p w14:paraId="7B10BD2C" w14:textId="77777777" w:rsidR="001341EC" w:rsidRPr="00055D4B" w:rsidRDefault="001341EC" w:rsidP="001341EC">
      <w:pPr>
        <w:pStyle w:val="Prrafodelista"/>
        <w:ind w:left="0"/>
        <w:jc w:val="both"/>
        <w:rPr>
          <w:rFonts w:ascii="Book Antiqua" w:hAnsi="Book Antiqua"/>
          <w:color w:val="000000"/>
          <w:sz w:val="22"/>
          <w:szCs w:val="22"/>
          <w:lang w:val="es-CR"/>
        </w:rPr>
      </w:pPr>
      <w:r w:rsidRPr="00055D4B">
        <w:rPr>
          <w:rFonts w:ascii="Book Antiqua" w:hAnsi="Book Antiqua"/>
          <w:color w:val="000000"/>
          <w:sz w:val="22"/>
          <w:szCs w:val="22"/>
          <w:lang w:val="es-CR"/>
        </w:rPr>
        <w:t>A raíz de la Reforma al Código de Trabajo, se diseñó el estándar de tareas del Escritorio Virtual para la materia Agraria, mismo que se utilizó en todos los despachos donde se implementó la tramitación electrónica relacionados con la Reforma Laboral, iniciando dicha tramitación a partir del segundo trimestre del 2017.</w:t>
      </w:r>
    </w:p>
    <w:p w14:paraId="4C3644EF" w14:textId="77777777" w:rsidR="001341EC" w:rsidRPr="00055D4B" w:rsidRDefault="001341EC" w:rsidP="001341EC">
      <w:pPr>
        <w:pStyle w:val="Prrafodelista"/>
        <w:ind w:left="0"/>
        <w:jc w:val="both"/>
        <w:rPr>
          <w:rFonts w:ascii="Book Antiqua" w:hAnsi="Book Antiqua"/>
          <w:color w:val="000000"/>
          <w:sz w:val="22"/>
          <w:szCs w:val="22"/>
          <w:lang w:val="es-CR"/>
        </w:rPr>
      </w:pPr>
    </w:p>
    <w:p w14:paraId="58FF59B7" w14:textId="77777777" w:rsidR="001341EC" w:rsidRPr="00055D4B" w:rsidRDefault="001341EC" w:rsidP="001341EC">
      <w:pPr>
        <w:pStyle w:val="Prrafodelista"/>
        <w:ind w:left="0"/>
        <w:jc w:val="both"/>
        <w:rPr>
          <w:rFonts w:ascii="Book Antiqua" w:hAnsi="Book Antiqua"/>
          <w:color w:val="000000"/>
          <w:sz w:val="22"/>
          <w:szCs w:val="22"/>
          <w:lang w:val="es-CR"/>
        </w:rPr>
      </w:pPr>
      <w:r w:rsidRPr="00055D4B">
        <w:rPr>
          <w:rFonts w:ascii="Book Antiqua" w:hAnsi="Book Antiqua"/>
          <w:color w:val="000000"/>
          <w:sz w:val="22"/>
          <w:szCs w:val="22"/>
          <w:lang w:val="es-CR"/>
        </w:rPr>
        <w:t xml:space="preserve">En el diseño de esta infraestructura tecnológica, se coordinó el trabajo y revisión de tareas del Escritorio Virtual con la Jueza Damaris Vargas Vásquez, como enlace de la Comisión de Asuntos Agrarios; para lo cual se programaron las siguientes reuniones: </w:t>
      </w:r>
    </w:p>
    <w:p w14:paraId="5721B9F7" w14:textId="77777777" w:rsidR="001341EC" w:rsidRPr="00055D4B" w:rsidRDefault="001341EC" w:rsidP="001341EC">
      <w:pPr>
        <w:pStyle w:val="Prrafodelista"/>
        <w:ind w:left="0"/>
        <w:jc w:val="both"/>
        <w:rPr>
          <w:rFonts w:ascii="Book Antiqua" w:hAnsi="Book Antiqua"/>
          <w:color w:val="000000"/>
          <w:sz w:val="22"/>
          <w:szCs w:val="22"/>
          <w:lang w:val="es-CR"/>
        </w:rPr>
      </w:pPr>
    </w:p>
    <w:p w14:paraId="43E81591" w14:textId="77777777" w:rsidR="001341EC" w:rsidRPr="00055D4B" w:rsidRDefault="001341EC" w:rsidP="001341EC">
      <w:pPr>
        <w:numPr>
          <w:ilvl w:val="0"/>
          <w:numId w:val="23"/>
        </w:numPr>
        <w:shd w:val="clear" w:color="auto" w:fill="FFFFFF"/>
        <w:autoSpaceDN w:val="0"/>
        <w:spacing w:line="233" w:lineRule="atLeast"/>
        <w:jc w:val="both"/>
        <w:rPr>
          <w:rFonts w:ascii="Book Antiqua" w:hAnsi="Book Antiqua"/>
          <w:color w:val="000000"/>
          <w:sz w:val="22"/>
          <w:szCs w:val="22"/>
        </w:rPr>
      </w:pPr>
      <w:r w:rsidRPr="00055D4B">
        <w:rPr>
          <w:rFonts w:ascii="Book Antiqua" w:hAnsi="Book Antiqua"/>
          <w:color w:val="000000"/>
          <w:sz w:val="22"/>
          <w:szCs w:val="22"/>
        </w:rPr>
        <w:t>25 de abril de 2017; como producto de la reunión se les trasladó un listado de tareas y ubicaciones para valoración por parte de la Comisión de Asuntos Agrarios.</w:t>
      </w:r>
    </w:p>
    <w:p w14:paraId="3990378A" w14:textId="77777777" w:rsidR="001341EC" w:rsidRPr="00055D4B" w:rsidRDefault="001341EC" w:rsidP="001341EC">
      <w:pPr>
        <w:shd w:val="clear" w:color="auto" w:fill="FFFFFF"/>
        <w:spacing w:line="233" w:lineRule="atLeast"/>
        <w:ind w:left="720"/>
        <w:jc w:val="both"/>
        <w:rPr>
          <w:rFonts w:ascii="Book Antiqua" w:hAnsi="Book Antiqua"/>
          <w:color w:val="000000"/>
          <w:sz w:val="22"/>
          <w:szCs w:val="22"/>
        </w:rPr>
      </w:pPr>
    </w:p>
    <w:p w14:paraId="6CAF7721" w14:textId="77777777" w:rsidR="001341EC" w:rsidRPr="00055D4B" w:rsidRDefault="001341EC" w:rsidP="001341EC">
      <w:pPr>
        <w:numPr>
          <w:ilvl w:val="0"/>
          <w:numId w:val="23"/>
        </w:numPr>
        <w:shd w:val="clear" w:color="auto" w:fill="FFFFFF"/>
        <w:autoSpaceDN w:val="0"/>
        <w:spacing w:after="160" w:line="233" w:lineRule="atLeast"/>
        <w:jc w:val="both"/>
        <w:rPr>
          <w:rFonts w:ascii="Book Antiqua" w:hAnsi="Book Antiqua"/>
          <w:color w:val="000000"/>
          <w:sz w:val="22"/>
          <w:szCs w:val="22"/>
        </w:rPr>
      </w:pPr>
      <w:r w:rsidRPr="00055D4B">
        <w:rPr>
          <w:rFonts w:ascii="Book Antiqua" w:hAnsi="Book Antiqua"/>
          <w:color w:val="000000"/>
          <w:sz w:val="22"/>
          <w:szCs w:val="22"/>
        </w:rPr>
        <w:t>Martes 6 de junio de 2017: Reunión con la Jueza Damaris Vargas Vásquez, con el Equipo de Estadística, Modernización Institucional y Tecnología de la Información, donde se revisó el tema de la implantación y se informó el papel de Estadística.</w:t>
      </w:r>
    </w:p>
    <w:p w14:paraId="227A3091" w14:textId="77777777" w:rsidR="001341EC" w:rsidRPr="00055D4B" w:rsidRDefault="001341EC" w:rsidP="001341EC">
      <w:pPr>
        <w:pStyle w:val="Prrafodelista"/>
        <w:rPr>
          <w:rFonts w:ascii="Book Antiqua" w:hAnsi="Book Antiqua"/>
          <w:color w:val="000000"/>
          <w:sz w:val="22"/>
          <w:szCs w:val="22"/>
          <w:lang w:val="es-CR"/>
        </w:rPr>
      </w:pPr>
    </w:p>
    <w:p w14:paraId="44A5DCA7" w14:textId="77777777" w:rsidR="001341EC" w:rsidRPr="00055D4B" w:rsidRDefault="001341EC" w:rsidP="001341EC">
      <w:pPr>
        <w:pStyle w:val="Prrafodelista"/>
        <w:numPr>
          <w:ilvl w:val="0"/>
          <w:numId w:val="23"/>
        </w:numPr>
        <w:jc w:val="both"/>
        <w:rPr>
          <w:rFonts w:ascii="Book Antiqua" w:hAnsi="Book Antiqua"/>
          <w:color w:val="000000"/>
          <w:sz w:val="22"/>
          <w:szCs w:val="22"/>
          <w:lang w:val="es-CR"/>
        </w:rPr>
      </w:pPr>
      <w:r w:rsidRPr="00055D4B">
        <w:rPr>
          <w:rFonts w:ascii="Book Antiqua" w:hAnsi="Book Antiqua"/>
          <w:color w:val="000000"/>
          <w:sz w:val="22"/>
          <w:szCs w:val="22"/>
          <w:lang w:val="es-CR"/>
        </w:rPr>
        <w:t>Además de las reuniones indicadas, se realizaron coordinaciones por medio de correos electrónicos, los cuales se adjuntan a continuación:</w:t>
      </w:r>
    </w:p>
    <w:p w14:paraId="2A0ED26E" w14:textId="77777777" w:rsidR="001341EC" w:rsidRPr="00055D4B" w:rsidRDefault="001341EC" w:rsidP="001341EC">
      <w:pPr>
        <w:pStyle w:val="Prrafodelista"/>
        <w:ind w:left="720"/>
        <w:rPr>
          <w:rFonts w:ascii="Book Antiqua" w:hAnsi="Book Antiqua"/>
          <w:b/>
          <w:sz w:val="22"/>
          <w:szCs w:val="22"/>
          <w:lang w:val="es-CR"/>
        </w:rPr>
      </w:pPr>
    </w:p>
    <w:p w14:paraId="15AB7EAF" w14:textId="77777777" w:rsidR="001341EC" w:rsidRPr="00D12061"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12061">
        <w:rPr>
          <w:rFonts w:ascii="Book Antiqua" w:hAnsi="Book Antiqua"/>
          <w:bCs w:val="0"/>
          <w:iCs/>
          <w:sz w:val="22"/>
          <w:szCs w:val="24"/>
          <w:lang w:val="es-CR"/>
        </w:rPr>
        <w:t xml:space="preserve">Cuadro </w:t>
      </w:r>
      <w:r w:rsidR="009A23D1" w:rsidRPr="00126FA8">
        <w:rPr>
          <w:rFonts w:ascii="Book Antiqua" w:hAnsi="Book Antiqua"/>
          <w:bCs w:val="0"/>
          <w:iCs/>
          <w:sz w:val="22"/>
          <w:szCs w:val="24"/>
          <w:lang w:val="es-CR"/>
        </w:rPr>
        <w:fldChar w:fldCharType="begin"/>
      </w:r>
      <w:r w:rsidRPr="00D12061">
        <w:rPr>
          <w:rFonts w:ascii="Book Antiqua" w:hAnsi="Book Antiqua"/>
          <w:bCs w:val="0"/>
          <w:iCs/>
          <w:sz w:val="22"/>
          <w:szCs w:val="24"/>
          <w:lang w:val="es-CR"/>
        </w:rPr>
        <w:instrText xml:space="preserve"> SEQ Cuadro \* ARABIC </w:instrText>
      </w:r>
      <w:r w:rsidR="009A23D1" w:rsidRPr="00126FA8">
        <w:rPr>
          <w:rFonts w:ascii="Book Antiqua" w:hAnsi="Book Antiqua"/>
          <w:bCs w:val="0"/>
          <w:iCs/>
          <w:sz w:val="22"/>
          <w:szCs w:val="24"/>
          <w:lang w:val="es-CR"/>
        </w:rPr>
        <w:fldChar w:fldCharType="separate"/>
      </w:r>
      <w:r>
        <w:rPr>
          <w:rFonts w:ascii="Book Antiqua" w:hAnsi="Book Antiqua"/>
          <w:bCs w:val="0"/>
          <w:iCs/>
          <w:noProof/>
          <w:sz w:val="22"/>
          <w:szCs w:val="24"/>
          <w:lang w:val="es-CR"/>
        </w:rPr>
        <w:t>18</w:t>
      </w:r>
      <w:r w:rsidR="009A23D1" w:rsidRPr="00126FA8">
        <w:rPr>
          <w:rFonts w:ascii="Book Antiqua" w:hAnsi="Book Antiqua"/>
          <w:bCs w:val="0"/>
          <w:iCs/>
          <w:sz w:val="22"/>
          <w:szCs w:val="24"/>
          <w:lang w:val="es-CR"/>
        </w:rPr>
        <w:fldChar w:fldCharType="end"/>
      </w:r>
    </w:p>
    <w:p w14:paraId="6F27C64E" w14:textId="77777777" w:rsidR="001341EC" w:rsidRPr="00D12061"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12061">
        <w:rPr>
          <w:rFonts w:ascii="Book Antiqua" w:hAnsi="Book Antiqua"/>
          <w:bCs w:val="0"/>
          <w:iCs/>
          <w:sz w:val="22"/>
          <w:szCs w:val="24"/>
          <w:lang w:val="es-CR"/>
        </w:rPr>
        <w:t>Reuniones realizadas en torno a las tareas del Escritorio Virtual</w:t>
      </w:r>
    </w:p>
    <w:tbl>
      <w:tblPr>
        <w:tblW w:w="9940" w:type="dxa"/>
        <w:jc w:val="center"/>
        <w:tblCellMar>
          <w:left w:w="70" w:type="dxa"/>
          <w:right w:w="70" w:type="dxa"/>
        </w:tblCellMar>
        <w:tblLook w:val="04A0" w:firstRow="1" w:lastRow="0" w:firstColumn="1" w:lastColumn="0" w:noHBand="0" w:noVBand="1"/>
      </w:tblPr>
      <w:tblGrid>
        <w:gridCol w:w="2680"/>
        <w:gridCol w:w="4580"/>
        <w:gridCol w:w="2680"/>
      </w:tblGrid>
      <w:tr w:rsidR="001341EC" w:rsidRPr="000D3830" w14:paraId="0EA65730" w14:textId="77777777" w:rsidTr="00165AA6">
        <w:trPr>
          <w:trHeight w:val="300"/>
          <w:jc w:val="center"/>
        </w:trPr>
        <w:tc>
          <w:tcPr>
            <w:tcW w:w="2680" w:type="dxa"/>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63EF8A28" w14:textId="77777777" w:rsidR="001341EC" w:rsidRPr="000D3830" w:rsidRDefault="001341EC" w:rsidP="00165AA6">
            <w:pPr>
              <w:jc w:val="center"/>
              <w:rPr>
                <w:rFonts w:ascii="Book Antiqua" w:hAnsi="Book Antiqua"/>
                <w:b/>
                <w:bCs/>
                <w:color w:val="000000"/>
                <w:lang w:eastAsia="es-CR"/>
              </w:rPr>
            </w:pPr>
            <w:r w:rsidRPr="000D3830">
              <w:rPr>
                <w:rFonts w:ascii="Book Antiqua" w:hAnsi="Book Antiqua"/>
                <w:b/>
                <w:bCs/>
                <w:color w:val="000000"/>
                <w:lang w:eastAsia="es-CR"/>
              </w:rPr>
              <w:t>Asunto</w:t>
            </w:r>
          </w:p>
        </w:tc>
        <w:tc>
          <w:tcPr>
            <w:tcW w:w="4580" w:type="dxa"/>
            <w:tcBorders>
              <w:top w:val="double" w:sz="6" w:space="0" w:color="1F497D"/>
              <w:left w:val="nil"/>
              <w:bottom w:val="double" w:sz="6" w:space="0" w:color="1F497D"/>
              <w:right w:val="double" w:sz="6" w:space="0" w:color="1F497D"/>
            </w:tcBorders>
            <w:shd w:val="clear" w:color="000000" w:fill="8DB4E2"/>
            <w:vAlign w:val="center"/>
            <w:hideMark/>
          </w:tcPr>
          <w:p w14:paraId="7794090E" w14:textId="77777777" w:rsidR="001341EC" w:rsidRPr="000D3830" w:rsidRDefault="001341EC" w:rsidP="00165AA6">
            <w:pPr>
              <w:jc w:val="center"/>
              <w:rPr>
                <w:rFonts w:ascii="Book Antiqua" w:hAnsi="Book Antiqua"/>
                <w:b/>
                <w:bCs/>
                <w:color w:val="000000"/>
                <w:lang w:eastAsia="es-CR"/>
              </w:rPr>
            </w:pPr>
            <w:r w:rsidRPr="000D3830">
              <w:rPr>
                <w:rFonts w:ascii="Book Antiqua" w:hAnsi="Book Antiqua"/>
                <w:b/>
                <w:bCs/>
                <w:color w:val="000000"/>
                <w:lang w:eastAsia="es-CR"/>
              </w:rPr>
              <w:t>Información</w:t>
            </w:r>
          </w:p>
        </w:tc>
        <w:tc>
          <w:tcPr>
            <w:tcW w:w="2680" w:type="dxa"/>
            <w:tcBorders>
              <w:top w:val="double" w:sz="6" w:space="0" w:color="1F497D"/>
              <w:left w:val="nil"/>
              <w:bottom w:val="double" w:sz="6" w:space="0" w:color="1F497D"/>
              <w:right w:val="double" w:sz="6" w:space="0" w:color="1F497D"/>
            </w:tcBorders>
            <w:shd w:val="clear" w:color="000000" w:fill="8DB4E2"/>
            <w:vAlign w:val="center"/>
            <w:hideMark/>
          </w:tcPr>
          <w:p w14:paraId="052C46D7" w14:textId="77777777" w:rsidR="001341EC" w:rsidRPr="000D3830" w:rsidRDefault="001341EC" w:rsidP="00165AA6">
            <w:pPr>
              <w:jc w:val="center"/>
              <w:rPr>
                <w:rFonts w:ascii="Book Antiqua" w:hAnsi="Book Antiqua"/>
                <w:b/>
                <w:bCs/>
                <w:color w:val="000000"/>
                <w:lang w:eastAsia="es-CR"/>
              </w:rPr>
            </w:pPr>
            <w:r w:rsidRPr="000D3830">
              <w:rPr>
                <w:rFonts w:ascii="Book Antiqua" w:hAnsi="Book Antiqua"/>
                <w:b/>
                <w:bCs/>
                <w:color w:val="000000"/>
                <w:lang w:eastAsia="es-CR"/>
              </w:rPr>
              <w:t>Archivo</w:t>
            </w:r>
          </w:p>
        </w:tc>
      </w:tr>
      <w:tr w:rsidR="001341EC" w:rsidRPr="000D3830" w14:paraId="25337889" w14:textId="77777777" w:rsidTr="00165AA6">
        <w:trPr>
          <w:trHeight w:val="20"/>
          <w:jc w:val="center"/>
        </w:trPr>
        <w:tc>
          <w:tcPr>
            <w:tcW w:w="2680" w:type="dxa"/>
            <w:tcBorders>
              <w:top w:val="nil"/>
              <w:left w:val="double" w:sz="6" w:space="0" w:color="1F497D"/>
              <w:bottom w:val="double" w:sz="6" w:space="0" w:color="1F497D"/>
              <w:right w:val="double" w:sz="6" w:space="0" w:color="1F497D"/>
            </w:tcBorders>
            <w:shd w:val="clear" w:color="000000" w:fill="FFFFFF"/>
            <w:vAlign w:val="center"/>
            <w:hideMark/>
          </w:tcPr>
          <w:p w14:paraId="1E6B7EF1" w14:textId="77777777" w:rsidR="001341EC" w:rsidRPr="000D3830" w:rsidRDefault="001341EC" w:rsidP="00165AA6">
            <w:pPr>
              <w:rPr>
                <w:rFonts w:ascii="Book Antiqua" w:hAnsi="Book Antiqua"/>
                <w:color w:val="212121"/>
                <w:lang w:eastAsia="es-CR"/>
              </w:rPr>
            </w:pPr>
            <w:r w:rsidRPr="000D3830">
              <w:rPr>
                <w:rFonts w:ascii="Book Antiqua" w:hAnsi="Book Antiqua"/>
                <w:color w:val="212121"/>
                <w:lang w:eastAsia="es-CR"/>
              </w:rPr>
              <w:t>Sugerencia de Ajustes en Implantación en materia Agraria</w:t>
            </w:r>
          </w:p>
        </w:tc>
        <w:tc>
          <w:tcPr>
            <w:tcW w:w="4580" w:type="dxa"/>
            <w:tcBorders>
              <w:top w:val="nil"/>
              <w:left w:val="nil"/>
              <w:bottom w:val="double" w:sz="6" w:space="0" w:color="1F497D"/>
              <w:right w:val="double" w:sz="6" w:space="0" w:color="1F497D"/>
            </w:tcBorders>
            <w:shd w:val="clear" w:color="000000" w:fill="FFFFFF"/>
            <w:vAlign w:val="center"/>
            <w:hideMark/>
          </w:tcPr>
          <w:p w14:paraId="1CF1A75D" w14:textId="77777777" w:rsidR="001341EC" w:rsidRPr="000D3830" w:rsidRDefault="001341EC" w:rsidP="00165AA6">
            <w:pPr>
              <w:jc w:val="both"/>
              <w:rPr>
                <w:rFonts w:ascii="Book Antiqua" w:hAnsi="Book Antiqua"/>
                <w:color w:val="212121"/>
                <w:lang w:eastAsia="es-CR"/>
              </w:rPr>
            </w:pPr>
            <w:r w:rsidRPr="000D3830">
              <w:rPr>
                <w:rFonts w:ascii="Book Antiqua" w:hAnsi="Book Antiqua"/>
                <w:color w:val="212121"/>
                <w:lang w:eastAsia="es-CR"/>
              </w:rPr>
              <w:t>Respuesta a consultas realizadas por el equipo del Juzgado en el que se implantaba el Escritorio Virtual (20-06-2017)</w:t>
            </w:r>
          </w:p>
        </w:tc>
        <w:tc>
          <w:tcPr>
            <w:tcW w:w="2680" w:type="dxa"/>
            <w:tcBorders>
              <w:top w:val="nil"/>
              <w:left w:val="nil"/>
              <w:bottom w:val="double" w:sz="6" w:space="0" w:color="1F497D"/>
              <w:right w:val="double" w:sz="6" w:space="0" w:color="1F497D"/>
            </w:tcBorders>
            <w:shd w:val="clear" w:color="000000" w:fill="FFFFFF"/>
            <w:vAlign w:val="center"/>
            <w:hideMark/>
          </w:tcPr>
          <w:p w14:paraId="7DAE5D05" w14:textId="77777777" w:rsidR="001341EC" w:rsidRPr="000D3830" w:rsidRDefault="00FE7CB4" w:rsidP="00165AA6">
            <w:pPr>
              <w:jc w:val="center"/>
              <w:rPr>
                <w:rFonts w:ascii="Book Antiqua" w:hAnsi="Book Antiqua"/>
                <w:color w:val="212121"/>
                <w:lang w:eastAsia="es-CR"/>
              </w:rPr>
            </w:pPr>
            <w:r w:rsidRPr="000D3830">
              <w:rPr>
                <w:rFonts w:ascii="Book Antiqua" w:hAnsi="Book Antiqua" w:cs="Segoe UI"/>
                <w:color w:val="212121"/>
                <w:lang w:eastAsia="es-CR"/>
              </w:rPr>
              <w:object w:dxaOrig="1224" w:dyaOrig="792" w14:anchorId="6674B0DC">
                <v:shape id="_x0000_i1030" type="#_x0000_t75" style="width:60.5pt;height:39.5pt" o:ole="">
                  <v:imagedata r:id="rId19" o:title=""/>
                </v:shape>
                <o:OLEObject Type="Embed" ProgID="Package" ShapeID="_x0000_i1030" DrawAspect="Icon" ObjectID="_1687780055" r:id="rId20"/>
              </w:object>
            </w:r>
          </w:p>
        </w:tc>
      </w:tr>
      <w:tr w:rsidR="001341EC" w:rsidRPr="000D3830" w14:paraId="27BB69CE" w14:textId="77777777" w:rsidTr="00165AA6">
        <w:trPr>
          <w:trHeight w:val="20"/>
          <w:jc w:val="center"/>
        </w:trPr>
        <w:tc>
          <w:tcPr>
            <w:tcW w:w="2680" w:type="dxa"/>
            <w:tcBorders>
              <w:top w:val="nil"/>
              <w:left w:val="double" w:sz="6" w:space="0" w:color="1F497D"/>
              <w:bottom w:val="double" w:sz="6" w:space="0" w:color="1F497D"/>
              <w:right w:val="double" w:sz="6" w:space="0" w:color="1F497D"/>
            </w:tcBorders>
            <w:shd w:val="clear" w:color="000000" w:fill="FFFFFF"/>
            <w:vAlign w:val="center"/>
            <w:hideMark/>
          </w:tcPr>
          <w:p w14:paraId="42A3F304" w14:textId="77777777" w:rsidR="001341EC" w:rsidRPr="000D3830" w:rsidRDefault="001341EC" w:rsidP="00165AA6">
            <w:pPr>
              <w:rPr>
                <w:rFonts w:ascii="Book Antiqua" w:hAnsi="Book Antiqua"/>
                <w:color w:val="212121"/>
                <w:lang w:eastAsia="es-CR"/>
              </w:rPr>
            </w:pPr>
            <w:r w:rsidRPr="000D3830">
              <w:rPr>
                <w:rFonts w:ascii="Book Antiqua" w:hAnsi="Book Antiqua"/>
                <w:color w:val="212121"/>
                <w:lang w:eastAsia="es-CR"/>
              </w:rPr>
              <w:t>Programación de la Implantación Tecnología y cierre de la Brecha Digital en la Jurisdicción Agraria</w:t>
            </w:r>
          </w:p>
        </w:tc>
        <w:tc>
          <w:tcPr>
            <w:tcW w:w="4580" w:type="dxa"/>
            <w:tcBorders>
              <w:top w:val="nil"/>
              <w:left w:val="nil"/>
              <w:bottom w:val="double" w:sz="6" w:space="0" w:color="1F497D"/>
              <w:right w:val="double" w:sz="6" w:space="0" w:color="1F497D"/>
            </w:tcBorders>
            <w:shd w:val="clear" w:color="000000" w:fill="FFFFFF"/>
            <w:vAlign w:val="center"/>
            <w:hideMark/>
          </w:tcPr>
          <w:p w14:paraId="26AEB2BA" w14:textId="77777777" w:rsidR="001341EC" w:rsidRPr="000D3830" w:rsidRDefault="001341EC" w:rsidP="00165AA6">
            <w:pPr>
              <w:jc w:val="both"/>
              <w:rPr>
                <w:rFonts w:ascii="Book Antiqua" w:hAnsi="Book Antiqua"/>
                <w:color w:val="212121"/>
                <w:lang w:eastAsia="es-CR"/>
              </w:rPr>
            </w:pPr>
            <w:r w:rsidRPr="000D3830">
              <w:rPr>
                <w:rFonts w:ascii="Book Antiqua" w:hAnsi="Book Antiqua"/>
                <w:color w:val="212121"/>
                <w:lang w:eastAsia="es-CR"/>
              </w:rPr>
              <w:t>Envío de diagrama del proceso Agrario, revisado con la señora Damaris Vargas Vásquez, como insumo para facilitar la utilización de las tareas del Escritorio Virtual según el procedimiento.</w:t>
            </w:r>
            <w:r w:rsidRPr="000D3830">
              <w:rPr>
                <w:rFonts w:ascii="Book Antiqua" w:hAnsi="Book Antiqua"/>
                <w:color w:val="1F497D"/>
                <w:lang w:eastAsia="es-CR"/>
              </w:rPr>
              <w:t> (12 de junio 2017)</w:t>
            </w:r>
          </w:p>
        </w:tc>
        <w:tc>
          <w:tcPr>
            <w:tcW w:w="2680" w:type="dxa"/>
            <w:tcBorders>
              <w:top w:val="nil"/>
              <w:left w:val="nil"/>
              <w:bottom w:val="double" w:sz="6" w:space="0" w:color="1F497D"/>
              <w:right w:val="double" w:sz="6" w:space="0" w:color="1F497D"/>
            </w:tcBorders>
            <w:shd w:val="clear" w:color="000000" w:fill="FFFFFF"/>
            <w:vAlign w:val="center"/>
            <w:hideMark/>
          </w:tcPr>
          <w:p w14:paraId="170B4DFC" w14:textId="77777777" w:rsidR="001341EC" w:rsidRPr="000D3830" w:rsidRDefault="00FE7CB4" w:rsidP="00165AA6">
            <w:pPr>
              <w:jc w:val="center"/>
              <w:rPr>
                <w:rFonts w:ascii="Book Antiqua" w:hAnsi="Book Antiqua"/>
                <w:color w:val="212121"/>
                <w:lang w:eastAsia="es-CR"/>
              </w:rPr>
            </w:pPr>
            <w:r w:rsidRPr="000D3830">
              <w:rPr>
                <w:rFonts w:ascii="Book Antiqua" w:hAnsi="Book Antiqua" w:cs="Segoe UI"/>
                <w:color w:val="212121"/>
                <w:lang w:eastAsia="es-CR"/>
              </w:rPr>
              <w:object w:dxaOrig="1224" w:dyaOrig="792" w14:anchorId="25B1D518">
                <v:shape id="_x0000_i1031" type="#_x0000_t75" style="width:60.5pt;height:39.5pt" o:ole="">
                  <v:imagedata r:id="rId21" o:title=""/>
                </v:shape>
                <o:OLEObject Type="Embed" ProgID="Package" ShapeID="_x0000_i1031" DrawAspect="Icon" ObjectID="_1687780056" r:id="rId22"/>
              </w:object>
            </w:r>
          </w:p>
        </w:tc>
      </w:tr>
      <w:tr w:rsidR="001341EC" w:rsidRPr="000D3830" w14:paraId="680759F8" w14:textId="77777777" w:rsidTr="00165AA6">
        <w:trPr>
          <w:trHeight w:val="20"/>
          <w:jc w:val="center"/>
        </w:trPr>
        <w:tc>
          <w:tcPr>
            <w:tcW w:w="2680" w:type="dxa"/>
            <w:tcBorders>
              <w:top w:val="nil"/>
              <w:left w:val="double" w:sz="6" w:space="0" w:color="1F497D"/>
              <w:bottom w:val="double" w:sz="6" w:space="0" w:color="1F497D"/>
              <w:right w:val="double" w:sz="6" w:space="0" w:color="1F497D"/>
            </w:tcBorders>
            <w:shd w:val="clear" w:color="000000" w:fill="FFFFFF"/>
            <w:vAlign w:val="center"/>
            <w:hideMark/>
          </w:tcPr>
          <w:p w14:paraId="5BD6D296" w14:textId="77777777" w:rsidR="001341EC" w:rsidRPr="000D3830" w:rsidRDefault="001341EC" w:rsidP="00165AA6">
            <w:pPr>
              <w:rPr>
                <w:rFonts w:ascii="Book Antiqua" w:hAnsi="Book Antiqua"/>
                <w:color w:val="212121"/>
                <w:lang w:eastAsia="es-CR"/>
              </w:rPr>
            </w:pPr>
            <w:r w:rsidRPr="000D3830">
              <w:rPr>
                <w:rFonts w:ascii="Book Antiqua" w:hAnsi="Book Antiqua"/>
                <w:color w:val="212121"/>
                <w:lang w:eastAsia="es-CR"/>
              </w:rPr>
              <w:t>Coordinación Planificación y TI para proceso de cierre de Brecha Digital en Agrario.</w:t>
            </w:r>
          </w:p>
        </w:tc>
        <w:tc>
          <w:tcPr>
            <w:tcW w:w="4580" w:type="dxa"/>
            <w:tcBorders>
              <w:top w:val="nil"/>
              <w:left w:val="nil"/>
              <w:bottom w:val="double" w:sz="6" w:space="0" w:color="1F497D"/>
              <w:right w:val="double" w:sz="6" w:space="0" w:color="1F497D"/>
            </w:tcBorders>
            <w:shd w:val="clear" w:color="000000" w:fill="FFFFFF"/>
            <w:vAlign w:val="center"/>
            <w:hideMark/>
          </w:tcPr>
          <w:p w14:paraId="5B599AA9" w14:textId="77777777" w:rsidR="001341EC" w:rsidRPr="000D3830" w:rsidRDefault="001341EC" w:rsidP="00165AA6">
            <w:pPr>
              <w:rPr>
                <w:rFonts w:ascii="Book Antiqua" w:hAnsi="Book Antiqua"/>
                <w:color w:val="212121"/>
                <w:lang w:eastAsia="es-CR"/>
              </w:rPr>
            </w:pPr>
            <w:r w:rsidRPr="000D3830">
              <w:rPr>
                <w:rFonts w:ascii="Book Antiqua" w:hAnsi="Book Antiqua"/>
                <w:color w:val="212121"/>
                <w:lang w:eastAsia="es-CR"/>
              </w:rPr>
              <w:t xml:space="preserve">Se envió cadena de correos, primeramente, enviado por el señor Minor Alvarado, solicitando retroalimentación sobre las tareas para el Escritorio Virtual enviadas previamente (1 de junio 2017), de lo cual la Inga. Lucía Zeledón Q; indica que se utilizaría el estándar establecido durante la Reforma al Código de Trabajo; (1 de </w:t>
            </w:r>
            <w:r w:rsidRPr="000D3830">
              <w:rPr>
                <w:rFonts w:ascii="Book Antiqua" w:hAnsi="Book Antiqua"/>
                <w:color w:val="212121"/>
                <w:lang w:eastAsia="es-CR"/>
              </w:rPr>
              <w:lastRenderedPageBreak/>
              <w:t>junio 2017)</w:t>
            </w:r>
          </w:p>
        </w:tc>
        <w:tc>
          <w:tcPr>
            <w:tcW w:w="2680" w:type="dxa"/>
            <w:tcBorders>
              <w:top w:val="nil"/>
              <w:left w:val="nil"/>
              <w:bottom w:val="double" w:sz="6" w:space="0" w:color="1F497D"/>
              <w:right w:val="double" w:sz="6" w:space="0" w:color="1F497D"/>
            </w:tcBorders>
            <w:shd w:val="clear" w:color="000000" w:fill="FFFFFF"/>
            <w:vAlign w:val="center"/>
            <w:hideMark/>
          </w:tcPr>
          <w:p w14:paraId="178F1AE4" w14:textId="77777777" w:rsidR="001341EC" w:rsidRPr="000D3830" w:rsidRDefault="00FE7CB4" w:rsidP="00165AA6">
            <w:pPr>
              <w:jc w:val="center"/>
              <w:rPr>
                <w:rFonts w:ascii="Book Antiqua" w:hAnsi="Book Antiqua"/>
                <w:color w:val="212121"/>
                <w:lang w:eastAsia="es-CR"/>
              </w:rPr>
            </w:pPr>
            <w:r w:rsidRPr="000D3830">
              <w:rPr>
                <w:rFonts w:ascii="Book Antiqua" w:hAnsi="Book Antiqua" w:cs="Segoe UI"/>
                <w:color w:val="212121"/>
                <w:lang w:eastAsia="es-CR"/>
              </w:rPr>
              <w:object w:dxaOrig="1224" w:dyaOrig="792" w14:anchorId="3248C626">
                <v:shape id="_x0000_i1032" type="#_x0000_t75" style="width:60.5pt;height:39.5pt" o:ole="">
                  <v:imagedata r:id="rId23" o:title=""/>
                </v:shape>
                <o:OLEObject Type="Embed" ProgID="Package" ShapeID="_x0000_i1032" DrawAspect="Icon" ObjectID="_1687780057" r:id="rId24"/>
              </w:object>
            </w:r>
          </w:p>
        </w:tc>
      </w:tr>
      <w:tr w:rsidR="001341EC" w:rsidRPr="000D3830" w14:paraId="576E86CB" w14:textId="77777777" w:rsidTr="00165AA6">
        <w:trPr>
          <w:trHeight w:val="20"/>
          <w:jc w:val="center"/>
        </w:trPr>
        <w:tc>
          <w:tcPr>
            <w:tcW w:w="2680" w:type="dxa"/>
            <w:tcBorders>
              <w:top w:val="nil"/>
              <w:left w:val="double" w:sz="6" w:space="0" w:color="1F497D"/>
              <w:bottom w:val="double" w:sz="6" w:space="0" w:color="1F497D"/>
              <w:right w:val="double" w:sz="6" w:space="0" w:color="1F497D"/>
            </w:tcBorders>
            <w:shd w:val="clear" w:color="000000" w:fill="FFFFFF"/>
            <w:vAlign w:val="center"/>
            <w:hideMark/>
          </w:tcPr>
          <w:p w14:paraId="7D136152" w14:textId="77777777" w:rsidR="001341EC" w:rsidRPr="000D3830" w:rsidRDefault="001341EC" w:rsidP="00165AA6">
            <w:pPr>
              <w:rPr>
                <w:rFonts w:ascii="Book Antiqua" w:hAnsi="Book Antiqua"/>
                <w:color w:val="212121"/>
                <w:lang w:eastAsia="es-CR"/>
              </w:rPr>
            </w:pPr>
            <w:r w:rsidRPr="000D3830">
              <w:rPr>
                <w:rFonts w:ascii="Book Antiqua" w:hAnsi="Book Antiqua"/>
                <w:color w:val="212121"/>
                <w:lang w:eastAsia="es-CR"/>
              </w:rPr>
              <w:t>Cronograma Propuesto</w:t>
            </w:r>
          </w:p>
        </w:tc>
        <w:tc>
          <w:tcPr>
            <w:tcW w:w="4580" w:type="dxa"/>
            <w:tcBorders>
              <w:top w:val="nil"/>
              <w:left w:val="nil"/>
              <w:bottom w:val="double" w:sz="6" w:space="0" w:color="1F497D"/>
              <w:right w:val="double" w:sz="6" w:space="0" w:color="1F497D"/>
            </w:tcBorders>
            <w:shd w:val="clear" w:color="000000" w:fill="FFFFFF"/>
            <w:vAlign w:val="center"/>
            <w:hideMark/>
          </w:tcPr>
          <w:p w14:paraId="6B898C02" w14:textId="77777777" w:rsidR="001341EC" w:rsidRPr="000D3830" w:rsidRDefault="001341EC" w:rsidP="00165AA6">
            <w:pPr>
              <w:rPr>
                <w:rFonts w:ascii="Book Antiqua" w:hAnsi="Book Antiqua"/>
                <w:color w:val="212121"/>
                <w:lang w:eastAsia="es-CR"/>
              </w:rPr>
            </w:pPr>
            <w:r w:rsidRPr="000D3830">
              <w:rPr>
                <w:rFonts w:ascii="Book Antiqua" w:hAnsi="Book Antiqua"/>
                <w:color w:val="212121"/>
                <w:lang w:eastAsia="es-CR"/>
              </w:rPr>
              <w:t>Correo enviado por TI (25-04-2017)</w:t>
            </w:r>
          </w:p>
        </w:tc>
        <w:tc>
          <w:tcPr>
            <w:tcW w:w="2680" w:type="dxa"/>
            <w:tcBorders>
              <w:top w:val="nil"/>
              <w:left w:val="nil"/>
              <w:bottom w:val="double" w:sz="6" w:space="0" w:color="1F497D"/>
              <w:right w:val="double" w:sz="6" w:space="0" w:color="1F497D"/>
            </w:tcBorders>
            <w:shd w:val="clear" w:color="000000" w:fill="FFFFFF"/>
            <w:vAlign w:val="center"/>
            <w:hideMark/>
          </w:tcPr>
          <w:p w14:paraId="16CD276F" w14:textId="77777777" w:rsidR="001341EC" w:rsidRPr="000D3830" w:rsidRDefault="00FE7CB4" w:rsidP="00165AA6">
            <w:pPr>
              <w:jc w:val="center"/>
              <w:rPr>
                <w:rFonts w:ascii="Book Antiqua" w:hAnsi="Book Antiqua"/>
                <w:color w:val="212121"/>
                <w:lang w:eastAsia="es-CR"/>
              </w:rPr>
            </w:pPr>
            <w:r w:rsidRPr="000D3830">
              <w:rPr>
                <w:rFonts w:ascii="Book Antiqua" w:hAnsi="Book Antiqua" w:cs="Segoe UI"/>
                <w:color w:val="212121"/>
                <w:lang w:eastAsia="es-CR"/>
              </w:rPr>
              <w:object w:dxaOrig="1224" w:dyaOrig="792" w14:anchorId="2CE65DC6">
                <v:shape id="_x0000_i1033" type="#_x0000_t75" style="width:60.5pt;height:39.5pt" o:ole="">
                  <v:imagedata r:id="rId25" o:title=""/>
                </v:shape>
                <o:OLEObject Type="Embed" ProgID="Package" ShapeID="_x0000_i1033" DrawAspect="Icon" ObjectID="_1687780058" r:id="rId26"/>
              </w:object>
            </w:r>
          </w:p>
        </w:tc>
      </w:tr>
      <w:tr w:rsidR="001341EC" w:rsidRPr="000D3830" w14:paraId="41C13E95" w14:textId="77777777" w:rsidTr="00165AA6">
        <w:trPr>
          <w:trHeight w:val="20"/>
          <w:jc w:val="center"/>
        </w:trPr>
        <w:tc>
          <w:tcPr>
            <w:tcW w:w="2680" w:type="dxa"/>
            <w:tcBorders>
              <w:top w:val="nil"/>
              <w:left w:val="double" w:sz="6" w:space="0" w:color="1F497D"/>
              <w:bottom w:val="double" w:sz="4" w:space="0" w:color="1F497D"/>
              <w:right w:val="double" w:sz="6" w:space="0" w:color="1F497D"/>
            </w:tcBorders>
            <w:shd w:val="clear" w:color="000000" w:fill="FFFFFF"/>
            <w:vAlign w:val="center"/>
            <w:hideMark/>
          </w:tcPr>
          <w:p w14:paraId="4635FFCC" w14:textId="77777777" w:rsidR="001341EC" w:rsidRPr="000D3830" w:rsidRDefault="001341EC" w:rsidP="00165AA6">
            <w:pPr>
              <w:rPr>
                <w:rFonts w:ascii="Book Antiqua" w:hAnsi="Book Antiqua"/>
                <w:color w:val="212121"/>
                <w:lang w:eastAsia="es-CR"/>
              </w:rPr>
            </w:pPr>
            <w:r w:rsidRPr="000D3830">
              <w:rPr>
                <w:rFonts w:ascii="Book Antiqua" w:hAnsi="Book Antiqua"/>
                <w:color w:val="212121"/>
                <w:lang w:eastAsia="es-CR"/>
              </w:rPr>
              <w:t>Programación de la implantación tecnológica y cierre de la brecha digital en la Jurisdicción Agraria con ocasión de la Reforma Procesal Agraria.</w:t>
            </w:r>
          </w:p>
        </w:tc>
        <w:tc>
          <w:tcPr>
            <w:tcW w:w="4580" w:type="dxa"/>
            <w:tcBorders>
              <w:top w:val="nil"/>
              <w:left w:val="nil"/>
              <w:bottom w:val="double" w:sz="4" w:space="0" w:color="1F497D"/>
              <w:right w:val="double" w:sz="6" w:space="0" w:color="1F497D"/>
            </w:tcBorders>
            <w:shd w:val="clear" w:color="000000" w:fill="FFFFFF"/>
            <w:vAlign w:val="center"/>
            <w:hideMark/>
          </w:tcPr>
          <w:p w14:paraId="20A31E16" w14:textId="77777777" w:rsidR="001341EC" w:rsidRPr="000D3830" w:rsidRDefault="001341EC" w:rsidP="00165AA6">
            <w:pPr>
              <w:rPr>
                <w:rFonts w:ascii="Book Antiqua" w:hAnsi="Book Antiqua"/>
                <w:color w:val="212121"/>
                <w:lang w:eastAsia="es-CR"/>
              </w:rPr>
            </w:pPr>
            <w:r w:rsidRPr="000D3830">
              <w:rPr>
                <w:rFonts w:ascii="Book Antiqua" w:hAnsi="Book Antiqua"/>
                <w:color w:val="212121"/>
                <w:lang w:eastAsia="es-CR"/>
              </w:rPr>
              <w:t xml:space="preserve">Envío de tareas a las personas de la comisión </w:t>
            </w:r>
          </w:p>
        </w:tc>
        <w:tc>
          <w:tcPr>
            <w:tcW w:w="2680" w:type="dxa"/>
            <w:tcBorders>
              <w:top w:val="nil"/>
              <w:left w:val="nil"/>
              <w:bottom w:val="double" w:sz="4" w:space="0" w:color="1F497D"/>
              <w:right w:val="double" w:sz="6" w:space="0" w:color="1F497D"/>
            </w:tcBorders>
            <w:shd w:val="clear" w:color="000000" w:fill="FFFFFF"/>
            <w:vAlign w:val="center"/>
            <w:hideMark/>
          </w:tcPr>
          <w:p w14:paraId="2CC5F7D4" w14:textId="77777777" w:rsidR="001341EC" w:rsidRPr="000D3830" w:rsidRDefault="00FE7CB4" w:rsidP="00165AA6">
            <w:pPr>
              <w:jc w:val="center"/>
              <w:rPr>
                <w:rFonts w:ascii="Book Antiqua" w:hAnsi="Book Antiqua"/>
                <w:color w:val="212121"/>
                <w:lang w:eastAsia="es-CR"/>
              </w:rPr>
            </w:pPr>
            <w:r w:rsidRPr="000D3830">
              <w:rPr>
                <w:rFonts w:ascii="Book Antiqua" w:hAnsi="Book Antiqua" w:cs="Segoe UI"/>
                <w:color w:val="212121"/>
                <w:lang w:eastAsia="es-CR"/>
              </w:rPr>
              <w:object w:dxaOrig="1224" w:dyaOrig="792" w14:anchorId="1CA830BA">
                <v:shape id="_x0000_i1034" type="#_x0000_t75" style="width:60.5pt;height:39.5pt" o:ole="">
                  <v:imagedata r:id="rId25" o:title=""/>
                </v:shape>
                <o:OLEObject Type="Embed" ProgID="Package" ShapeID="_x0000_i1034" DrawAspect="Icon" ObjectID="_1687780059" r:id="rId27"/>
              </w:object>
            </w:r>
          </w:p>
        </w:tc>
      </w:tr>
    </w:tbl>
    <w:p w14:paraId="2D8AA74E" w14:textId="77777777" w:rsidR="001341EC" w:rsidRPr="000D3830" w:rsidRDefault="001341EC" w:rsidP="001341EC">
      <w:pPr>
        <w:rPr>
          <w:rFonts w:ascii="Book Antiqua" w:hAnsi="Book Antiqua"/>
          <w:b/>
          <w:i/>
          <w:lang w:eastAsia="en-US"/>
        </w:rPr>
      </w:pPr>
      <w:r w:rsidRPr="000D3830">
        <w:rPr>
          <w:rFonts w:ascii="Book Antiqua" w:hAnsi="Book Antiqua"/>
          <w:b/>
          <w:i/>
          <w:lang w:eastAsia="en-US"/>
        </w:rPr>
        <w:t>Fuente: Subproceso de Modernización</w:t>
      </w:r>
    </w:p>
    <w:p w14:paraId="3B41389F" w14:textId="77777777" w:rsidR="001341EC" w:rsidRPr="00055D4B" w:rsidRDefault="001341EC" w:rsidP="001341EC">
      <w:pPr>
        <w:rPr>
          <w:rFonts w:ascii="Book Antiqua" w:hAnsi="Book Antiqua"/>
          <w:sz w:val="22"/>
          <w:szCs w:val="22"/>
          <w:lang w:eastAsia="en-US"/>
        </w:rPr>
      </w:pPr>
    </w:p>
    <w:p w14:paraId="50260B12" w14:textId="77777777" w:rsidR="001341EC" w:rsidRPr="00055D4B" w:rsidRDefault="001341EC" w:rsidP="001341EC">
      <w:pPr>
        <w:numPr>
          <w:ilvl w:val="0"/>
          <w:numId w:val="23"/>
        </w:numPr>
        <w:shd w:val="clear" w:color="auto" w:fill="FFFFFF"/>
        <w:autoSpaceDN w:val="0"/>
        <w:spacing w:after="160" w:line="233" w:lineRule="atLeast"/>
        <w:jc w:val="both"/>
        <w:rPr>
          <w:rFonts w:ascii="Book Antiqua" w:hAnsi="Book Antiqua"/>
          <w:color w:val="000000"/>
          <w:sz w:val="22"/>
          <w:szCs w:val="22"/>
        </w:rPr>
      </w:pPr>
      <w:r w:rsidRPr="00055D4B">
        <w:rPr>
          <w:rFonts w:ascii="Book Antiqua" w:hAnsi="Book Antiqua"/>
          <w:color w:val="000000"/>
          <w:sz w:val="22"/>
          <w:szCs w:val="22"/>
        </w:rPr>
        <w:t>Entre las acciones realizadas durante este 2019 para mejorar la tramitación electrónica de los expedientes, la Dirección de Planificación realizó las siguientes actividades:</w:t>
      </w:r>
    </w:p>
    <w:p w14:paraId="5E838D2D" w14:textId="77777777" w:rsidR="001341EC" w:rsidRPr="00055D4B" w:rsidRDefault="001341EC" w:rsidP="001341EC">
      <w:pPr>
        <w:pStyle w:val="Prrafodelista"/>
        <w:numPr>
          <w:ilvl w:val="1"/>
          <w:numId w:val="26"/>
        </w:numPr>
        <w:jc w:val="both"/>
        <w:rPr>
          <w:rFonts w:ascii="Book Antiqua" w:hAnsi="Book Antiqua"/>
          <w:color w:val="000000"/>
          <w:sz w:val="22"/>
          <w:szCs w:val="22"/>
          <w:lang w:val="es-CR"/>
        </w:rPr>
      </w:pPr>
      <w:r w:rsidRPr="00055D4B">
        <w:rPr>
          <w:rFonts w:ascii="Book Antiqua" w:hAnsi="Book Antiqua"/>
          <w:color w:val="000000"/>
          <w:sz w:val="22"/>
          <w:szCs w:val="22"/>
          <w:lang w:val="es-CR"/>
        </w:rPr>
        <w:t xml:space="preserve">Asociación de tareas por fase del proceso como guía para la elaboración de los inventarios en los despachos Agrarios donde se actualizan las variables en los sistemas de información para la tramitación y el análisis de estos despachos. Este tema se coordinó con la Licenciada Damaris </w:t>
      </w:r>
      <w:r w:rsidRPr="00055D4B">
        <w:rPr>
          <w:rFonts w:ascii="Book Antiqua" w:hAnsi="Book Antiqua"/>
          <w:sz w:val="22"/>
          <w:szCs w:val="22"/>
        </w:rPr>
        <w:t>Vargas Vásquez; como Gestora del Agrario. Las coordinaciones se concluyeron el viernes 25 de enero del año en curso.</w:t>
      </w:r>
    </w:p>
    <w:p w14:paraId="77CBD6CE" w14:textId="77777777" w:rsidR="001341EC" w:rsidRPr="00055D4B" w:rsidRDefault="001341EC" w:rsidP="001341EC">
      <w:pPr>
        <w:pStyle w:val="Prrafodelista"/>
        <w:numPr>
          <w:ilvl w:val="1"/>
          <w:numId w:val="26"/>
        </w:numPr>
        <w:jc w:val="both"/>
        <w:rPr>
          <w:rFonts w:ascii="Book Antiqua" w:hAnsi="Book Antiqua"/>
          <w:color w:val="000000"/>
          <w:sz w:val="22"/>
          <w:szCs w:val="22"/>
          <w:lang w:val="es-CR"/>
        </w:rPr>
      </w:pPr>
      <w:r w:rsidRPr="00055D4B">
        <w:rPr>
          <w:rFonts w:ascii="Book Antiqua" w:hAnsi="Book Antiqua"/>
          <w:color w:val="000000"/>
          <w:sz w:val="22"/>
          <w:szCs w:val="22"/>
          <w:lang w:val="es-CR"/>
        </w:rPr>
        <w:t xml:space="preserve">Coordinación de la realización de una capacitación por parte de la Jueza Damaris </w:t>
      </w:r>
      <w:r w:rsidRPr="00055D4B">
        <w:rPr>
          <w:rFonts w:ascii="Book Antiqua" w:hAnsi="Book Antiqua"/>
          <w:sz w:val="22"/>
          <w:szCs w:val="22"/>
        </w:rPr>
        <w:t>Vargas Vásquez y el Licenciado Frank Álvarez Hernández de la Defensa Pública para el equipo de la Dirección de Planificación sobre las implicaciones del futuro Código Procesal Agrario. La capacitación se efectuó el viernes 18 de enero del año en curso.</w:t>
      </w:r>
    </w:p>
    <w:p w14:paraId="61FC8668" w14:textId="77777777" w:rsidR="001341EC" w:rsidRPr="00055D4B" w:rsidRDefault="001341EC" w:rsidP="001341EC">
      <w:pPr>
        <w:pStyle w:val="Prrafodelista"/>
        <w:numPr>
          <w:ilvl w:val="1"/>
          <w:numId w:val="26"/>
        </w:numPr>
        <w:jc w:val="both"/>
        <w:rPr>
          <w:rFonts w:ascii="Book Antiqua" w:hAnsi="Book Antiqua"/>
          <w:color w:val="000000"/>
          <w:sz w:val="22"/>
          <w:szCs w:val="22"/>
          <w:lang w:val="es-CR"/>
        </w:rPr>
      </w:pPr>
      <w:r w:rsidRPr="00055D4B">
        <w:rPr>
          <w:rFonts w:ascii="Book Antiqua" w:hAnsi="Book Antiqua"/>
          <w:sz w:val="22"/>
          <w:szCs w:val="22"/>
        </w:rPr>
        <w:t xml:space="preserve">Revisión de las prioridades existentes en el Sistema de Gestión de Despachos Judiciales Agrario y definición de una propuesta para la estandarización a nivel nacional. Las coordinaciones se concluyeron el 29 de enero del 2019.   </w:t>
      </w:r>
    </w:p>
    <w:p w14:paraId="2FBD4170" w14:textId="77777777" w:rsidR="001341EC" w:rsidRPr="00055D4B" w:rsidRDefault="001341EC" w:rsidP="001341EC">
      <w:pPr>
        <w:pStyle w:val="Prrafodelista"/>
        <w:numPr>
          <w:ilvl w:val="1"/>
          <w:numId w:val="26"/>
        </w:numPr>
        <w:jc w:val="both"/>
        <w:rPr>
          <w:rFonts w:ascii="Book Antiqua" w:hAnsi="Book Antiqua"/>
          <w:color w:val="000000"/>
          <w:sz w:val="22"/>
          <w:szCs w:val="22"/>
          <w:lang w:val="es-CR"/>
        </w:rPr>
      </w:pPr>
      <w:r w:rsidRPr="00055D4B">
        <w:rPr>
          <w:rFonts w:ascii="Book Antiqua" w:hAnsi="Book Antiqua"/>
          <w:color w:val="000000"/>
          <w:sz w:val="22"/>
          <w:szCs w:val="22"/>
          <w:lang w:val="es-CR"/>
        </w:rPr>
        <w:t xml:space="preserve">Revisión y actualización de las clases de asuntos, procedimientos y estados que se utilizaría a partir del ejercicio de inventario del 2019, donde participaron el Equipo de Normalización de la Dirección de Tecnología de la Información, Licenciada Damaris </w:t>
      </w:r>
      <w:r w:rsidRPr="00055D4B">
        <w:rPr>
          <w:rFonts w:ascii="Book Antiqua" w:hAnsi="Book Antiqua"/>
          <w:sz w:val="22"/>
          <w:szCs w:val="22"/>
        </w:rPr>
        <w:t xml:space="preserve">Vargas Vásquez, el Subproceso de Estadística y el Subproceso de Modernización. Las coordinaciones se realizaron durante el mes de enero 2019. Es importante indicar que la próxima entrada en vigencia del Código Procesal Agrario traerá nuevas modificaciones. </w:t>
      </w:r>
    </w:p>
    <w:p w14:paraId="0A84309F" w14:textId="77777777" w:rsidR="001341EC" w:rsidRPr="00055D4B" w:rsidRDefault="001341EC" w:rsidP="001341EC">
      <w:pPr>
        <w:pStyle w:val="Prrafodelista"/>
        <w:numPr>
          <w:ilvl w:val="1"/>
          <w:numId w:val="26"/>
        </w:numPr>
        <w:jc w:val="both"/>
        <w:rPr>
          <w:rFonts w:ascii="Book Antiqua" w:hAnsi="Book Antiqua"/>
          <w:sz w:val="22"/>
          <w:szCs w:val="22"/>
        </w:rPr>
      </w:pPr>
      <w:r w:rsidRPr="00055D4B">
        <w:rPr>
          <w:rFonts w:ascii="Book Antiqua" w:hAnsi="Book Antiqua"/>
          <w:color w:val="000000"/>
          <w:sz w:val="22"/>
          <w:szCs w:val="22"/>
          <w:lang w:val="es-CR"/>
        </w:rPr>
        <w:t xml:space="preserve">El Consejo Superior en sesión 54-18 de 14 de junio de 2018, Artículo LVIII, dispuso: </w:t>
      </w:r>
      <w:r w:rsidRPr="00055D4B">
        <w:rPr>
          <w:rFonts w:ascii="Book Antiqua" w:hAnsi="Book Antiqua"/>
          <w:i/>
          <w:color w:val="000000"/>
          <w:sz w:val="22"/>
          <w:szCs w:val="22"/>
          <w:lang w:val="es-CR"/>
        </w:rPr>
        <w:t>“Se acordó: 1.) Tomar nota del informe presentado por la máster Damaris Vargas Vásquez, en su condición de Coordinadora del Proyecto de Modernización de la Jurisdicción Agraria, en consecuencia; aprobar la Fórmula de Informe Mensual de Labores de la primera instancia agraria.</w:t>
      </w:r>
    </w:p>
    <w:p w14:paraId="0C49E974" w14:textId="77777777" w:rsidR="001341EC" w:rsidRPr="00055D4B" w:rsidRDefault="001341EC" w:rsidP="001341EC">
      <w:pPr>
        <w:pStyle w:val="Prrafodelista"/>
        <w:numPr>
          <w:ilvl w:val="1"/>
          <w:numId w:val="26"/>
        </w:numPr>
        <w:jc w:val="both"/>
        <w:rPr>
          <w:rFonts w:ascii="Book Antiqua" w:hAnsi="Book Antiqua"/>
          <w:sz w:val="22"/>
          <w:szCs w:val="22"/>
        </w:rPr>
      </w:pPr>
      <w:r w:rsidRPr="00055D4B">
        <w:rPr>
          <w:rFonts w:ascii="Book Antiqua" w:hAnsi="Book Antiqua"/>
          <w:color w:val="000000"/>
          <w:sz w:val="22"/>
          <w:szCs w:val="22"/>
          <w:lang w:val="es-CR"/>
        </w:rPr>
        <w:t>A la fecha</w:t>
      </w:r>
      <w:r w:rsidRPr="00055D4B">
        <w:rPr>
          <w:rFonts w:ascii="Book Antiqua" w:hAnsi="Book Antiqua"/>
          <w:sz w:val="22"/>
          <w:szCs w:val="22"/>
        </w:rPr>
        <w:t xml:space="preserve">, el Subproceso de Estadística revisan la infraestructura de la Fórmula Estadística y su respectivo instructivo con la Jueza Damaris Varga Vásquez para los nuevos conceptos jurídicos por impacto de </w:t>
      </w:r>
      <w:r w:rsidRPr="00055D4B">
        <w:rPr>
          <w:rFonts w:ascii="Book Antiqua" w:hAnsi="Book Antiqua"/>
          <w:sz w:val="22"/>
          <w:szCs w:val="22"/>
        </w:rPr>
        <w:lastRenderedPageBreak/>
        <w:t>Reformas, para completar el instructivo, contando con las observaciones de la licenciada Ruth Alpízar.</w:t>
      </w:r>
    </w:p>
    <w:p w14:paraId="0A8DC8A2" w14:textId="77777777" w:rsidR="001341EC" w:rsidRPr="00055D4B" w:rsidRDefault="001341EC" w:rsidP="001341EC">
      <w:pPr>
        <w:rPr>
          <w:rFonts w:ascii="Book Antiqua" w:hAnsi="Book Antiqua"/>
          <w:sz w:val="22"/>
          <w:szCs w:val="22"/>
          <w:lang w:eastAsia="en-US"/>
        </w:rPr>
      </w:pPr>
    </w:p>
    <w:p w14:paraId="7C5698E2" w14:textId="77777777" w:rsidR="001341EC" w:rsidRPr="00165AA6" w:rsidRDefault="001341EC" w:rsidP="00165AA6">
      <w:pPr>
        <w:pStyle w:val="Ttulo2"/>
        <w:keepLines/>
        <w:numPr>
          <w:ilvl w:val="1"/>
          <w:numId w:val="42"/>
        </w:numPr>
        <w:spacing w:before="40" w:after="0"/>
        <w:rPr>
          <w:rFonts w:ascii="Book Antiqua" w:hAnsi="Book Antiqua"/>
          <w:i w:val="0"/>
          <w:sz w:val="22"/>
        </w:rPr>
      </w:pPr>
      <w:r w:rsidRPr="00165AA6">
        <w:rPr>
          <w:rFonts w:ascii="Book Antiqua" w:hAnsi="Book Antiqua"/>
          <w:i w:val="0"/>
          <w:sz w:val="22"/>
        </w:rPr>
        <w:t>Perfiles competenciales</w:t>
      </w:r>
    </w:p>
    <w:p w14:paraId="2134127C" w14:textId="77777777" w:rsidR="001341EC" w:rsidRPr="00055D4B" w:rsidRDefault="001341EC" w:rsidP="001341EC">
      <w:pPr>
        <w:rPr>
          <w:rFonts w:ascii="Book Antiqua" w:hAnsi="Book Antiqua"/>
          <w:sz w:val="22"/>
          <w:szCs w:val="22"/>
          <w:lang w:eastAsia="en-US"/>
        </w:rPr>
      </w:pPr>
    </w:p>
    <w:p w14:paraId="65B5E69A" w14:textId="77777777" w:rsidR="001341EC" w:rsidRPr="00493BFE" w:rsidRDefault="001341EC" w:rsidP="001341EC">
      <w:pPr>
        <w:jc w:val="both"/>
        <w:rPr>
          <w:rFonts w:ascii="Book Antiqua" w:hAnsi="Book Antiqua" w:cs="Calibri"/>
          <w:sz w:val="22"/>
          <w:szCs w:val="22"/>
          <w:lang w:eastAsia="en-US"/>
        </w:rPr>
      </w:pPr>
      <w:r w:rsidRPr="00055D4B">
        <w:rPr>
          <w:rFonts w:ascii="Book Antiqua" w:hAnsi="Book Antiqua"/>
          <w:sz w:val="22"/>
          <w:szCs w:val="22"/>
        </w:rPr>
        <w:t>En consulta realizada a la señora Gabriela Mora Zamora de la Dirección de Gestión Humana del Poder Judicial, el día 18 de febrero del 2019, vía correo electrónico, informa que se está trabajando desde Análisis de Puestos en relación con la actualización de las descripciones de las clases de puestos; de manera precisa lo relativo a la Defensa Pública y en los próximos días se coordinará con quien corresponda el tema de los Jueces.</w:t>
      </w:r>
    </w:p>
    <w:p w14:paraId="0E5C8DB2" w14:textId="77777777" w:rsidR="001341EC" w:rsidRPr="00055D4B" w:rsidRDefault="001341EC" w:rsidP="001341EC">
      <w:pPr>
        <w:rPr>
          <w:rFonts w:ascii="Book Antiqua" w:hAnsi="Book Antiqua"/>
          <w:sz w:val="22"/>
          <w:szCs w:val="22"/>
          <w:lang w:eastAsia="en-US"/>
        </w:rPr>
      </w:pPr>
    </w:p>
    <w:p w14:paraId="0FB4A0C9"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Adicionalmente, según lo indica el Transitorio VI del Código Procesal Agrario donde </w:t>
      </w:r>
      <w:r w:rsidRPr="00055D4B">
        <w:rPr>
          <w:rFonts w:ascii="Book Antiqua" w:hAnsi="Book Antiqua"/>
          <w:i/>
          <w:sz w:val="22"/>
          <w:szCs w:val="22"/>
        </w:rPr>
        <w:t>“se faculta a la Corte Plena para que ajuste la categoría salarial de las personas juzgadoras agrarias, conforme a la función que desempeñen, de acuerdo con las reformas Procesales Laboral y Civil, con el fin de garantizar la estabilidad y especialización”.</w:t>
      </w:r>
      <w:r w:rsidRPr="00055D4B">
        <w:rPr>
          <w:rFonts w:ascii="Book Antiqua" w:hAnsi="Book Antiqua"/>
          <w:sz w:val="22"/>
          <w:szCs w:val="22"/>
        </w:rPr>
        <w:t xml:space="preserve">  Al respecto la Jueza Damaris Vargas Vásquez, Coordinadora del Proyecto de Modernización de la Jurisdicción Agraria, indica que a diferencia con otros proyectos de reforma procesal que se han implementado, se conservan las categorías de Jueza o Juez 3 para primera instancia y categoría 4 para segunda instancia. </w:t>
      </w:r>
    </w:p>
    <w:p w14:paraId="1F88FE90" w14:textId="77777777" w:rsidR="001341EC" w:rsidRPr="00055D4B" w:rsidRDefault="001341EC" w:rsidP="001341EC">
      <w:pPr>
        <w:jc w:val="both"/>
        <w:rPr>
          <w:rFonts w:ascii="Book Antiqua" w:hAnsi="Book Antiqua"/>
          <w:sz w:val="22"/>
          <w:szCs w:val="22"/>
        </w:rPr>
      </w:pPr>
    </w:p>
    <w:p w14:paraId="659A8EFC" w14:textId="77777777" w:rsidR="001341EC" w:rsidRPr="00055D4B" w:rsidRDefault="001341EC" w:rsidP="001341EC">
      <w:pPr>
        <w:jc w:val="both"/>
        <w:rPr>
          <w:rFonts w:ascii="Book Antiqua" w:hAnsi="Book Antiqua"/>
          <w:sz w:val="22"/>
          <w:szCs w:val="22"/>
          <w:lang w:eastAsia="en-US"/>
        </w:rPr>
      </w:pPr>
      <w:r w:rsidRPr="00055D4B">
        <w:rPr>
          <w:rFonts w:ascii="Book Antiqua" w:hAnsi="Book Antiqua"/>
          <w:sz w:val="22"/>
          <w:szCs w:val="22"/>
        </w:rPr>
        <w:t xml:space="preserve">Todo sin perjuicio, que, con el criterio técnico de la Dirección de Gestión Humana y de los órganos superiores dispongan alguna recalificación. </w:t>
      </w:r>
    </w:p>
    <w:p w14:paraId="756C4DFC" w14:textId="77777777" w:rsidR="001341EC" w:rsidRPr="00055D4B" w:rsidRDefault="001341EC" w:rsidP="001341EC">
      <w:pPr>
        <w:jc w:val="both"/>
        <w:rPr>
          <w:rFonts w:ascii="Book Antiqua" w:hAnsi="Book Antiqua"/>
          <w:sz w:val="22"/>
          <w:szCs w:val="22"/>
        </w:rPr>
      </w:pPr>
    </w:p>
    <w:p w14:paraId="56F8A0BA" w14:textId="77777777" w:rsidR="001341EC" w:rsidRPr="00055D4B" w:rsidRDefault="001341EC" w:rsidP="001341EC">
      <w:pPr>
        <w:pStyle w:val="Encabezado"/>
        <w:jc w:val="both"/>
        <w:rPr>
          <w:rFonts w:ascii="Book Antiqua" w:hAnsi="Book Antiqua"/>
          <w:sz w:val="22"/>
          <w:szCs w:val="22"/>
        </w:rPr>
      </w:pPr>
      <w:r w:rsidRPr="00055D4B">
        <w:rPr>
          <w:rFonts w:ascii="Book Antiqua" w:hAnsi="Book Antiqua"/>
          <w:sz w:val="22"/>
          <w:szCs w:val="22"/>
        </w:rPr>
        <w:t>El oficio PJ-DGH-SACJ-0471-2019 del 22 de marzo del 2019</w:t>
      </w:r>
      <w:r w:rsidRPr="00055D4B">
        <w:rPr>
          <w:rFonts w:ascii="Book Antiqua" w:hAnsi="Book Antiqua"/>
          <w:b/>
          <w:i/>
          <w:sz w:val="22"/>
          <w:szCs w:val="22"/>
        </w:rPr>
        <w:t>,</w:t>
      </w:r>
      <w:r>
        <w:rPr>
          <w:rFonts w:ascii="Book Antiqua" w:hAnsi="Book Antiqua"/>
          <w:b/>
          <w:i/>
          <w:sz w:val="22"/>
          <w:szCs w:val="22"/>
        </w:rPr>
        <w:t xml:space="preserve"> </w:t>
      </w:r>
      <w:r w:rsidRPr="00055D4B">
        <w:rPr>
          <w:rFonts w:ascii="Book Antiqua" w:hAnsi="Book Antiqua"/>
          <w:b/>
          <w:i/>
          <w:sz w:val="22"/>
          <w:szCs w:val="22"/>
        </w:rPr>
        <w:t>(ver anexo 17 Comunicación del Consejo de la Judicatura CJ-09-2019 PJ-DGH-SACJ-0471-2019)</w:t>
      </w:r>
      <w:r w:rsidRPr="00055D4B">
        <w:rPr>
          <w:rFonts w:ascii="Book Antiqua" w:hAnsi="Book Antiqua"/>
          <w:sz w:val="22"/>
          <w:szCs w:val="22"/>
        </w:rPr>
        <w:t xml:space="preserve"> remitido por la </w:t>
      </w:r>
      <w:proofErr w:type="spellStart"/>
      <w:r w:rsidRPr="00055D4B">
        <w:rPr>
          <w:rFonts w:ascii="Book Antiqua" w:hAnsi="Book Antiqua"/>
          <w:sz w:val="22"/>
          <w:szCs w:val="22"/>
        </w:rPr>
        <w:t>Mba</w:t>
      </w:r>
      <w:proofErr w:type="spellEnd"/>
      <w:r w:rsidRPr="00055D4B">
        <w:rPr>
          <w:rFonts w:ascii="Book Antiqua" w:hAnsi="Book Antiqua"/>
          <w:sz w:val="22"/>
          <w:szCs w:val="22"/>
        </w:rPr>
        <w:t xml:space="preserve">. Lucrecia Chávez Torres, Jefa Sección Administrativa de la Carrera Judicial Dirección de Gestión Humana, indica que el Consejo Superior solicita a la Dirección de Gestión Humana la dotación de una plaza extraordinaria para ese periodo o la contratación de servicios profesionales o que propongan alternativas para apoyar el proceso de revisión metodológica de la construcción y validación de los ítems de la actualización de los perfiles competenciales de las personas juzgadoras 3 y 4 durante este año. </w:t>
      </w:r>
    </w:p>
    <w:p w14:paraId="1B3AD3DE" w14:textId="77777777" w:rsidR="001341EC" w:rsidRPr="00055D4B" w:rsidRDefault="001341EC" w:rsidP="001341EC">
      <w:pPr>
        <w:pStyle w:val="Encabezado"/>
        <w:jc w:val="both"/>
        <w:rPr>
          <w:rFonts w:ascii="Book Antiqua" w:hAnsi="Book Antiqua"/>
          <w:sz w:val="22"/>
          <w:szCs w:val="22"/>
        </w:rPr>
      </w:pPr>
    </w:p>
    <w:p w14:paraId="3ADEAC63" w14:textId="77777777" w:rsidR="001341EC" w:rsidRPr="00055D4B" w:rsidRDefault="001341EC" w:rsidP="001341EC">
      <w:pPr>
        <w:pStyle w:val="Encabezado"/>
        <w:jc w:val="both"/>
        <w:rPr>
          <w:rFonts w:ascii="Book Antiqua" w:hAnsi="Book Antiqua"/>
          <w:sz w:val="22"/>
          <w:szCs w:val="22"/>
        </w:rPr>
      </w:pPr>
      <w:r w:rsidRPr="00055D4B">
        <w:rPr>
          <w:rFonts w:ascii="Book Antiqua" w:hAnsi="Book Antiqua"/>
          <w:sz w:val="22"/>
          <w:szCs w:val="22"/>
        </w:rPr>
        <w:t xml:space="preserve">Sin embargo, en el oficio de adición CJ-07-2019 PJ-DGH-SACJ-0484-2019, </w:t>
      </w:r>
      <w:r w:rsidRPr="00055D4B">
        <w:rPr>
          <w:rFonts w:ascii="Book Antiqua" w:hAnsi="Book Antiqua"/>
          <w:b/>
          <w:i/>
          <w:sz w:val="22"/>
          <w:szCs w:val="22"/>
        </w:rPr>
        <w:t>(ver anexo 18 Comunicación del Consejo de la Judicatura CJ-07-2019 PJ-DGH-SACJ-0484-2019)</w:t>
      </w:r>
      <w:r w:rsidRPr="00055D4B">
        <w:rPr>
          <w:rFonts w:ascii="Book Antiqua" w:hAnsi="Book Antiqua"/>
          <w:sz w:val="22"/>
          <w:szCs w:val="22"/>
        </w:rPr>
        <w:t xml:space="preserve"> remitido el 22 de marzo del 2019, nuevamente por la </w:t>
      </w:r>
      <w:proofErr w:type="spellStart"/>
      <w:r w:rsidRPr="00055D4B">
        <w:rPr>
          <w:rFonts w:ascii="Book Antiqua" w:hAnsi="Book Antiqua"/>
          <w:sz w:val="22"/>
          <w:szCs w:val="22"/>
        </w:rPr>
        <w:t>Mba</w:t>
      </w:r>
      <w:proofErr w:type="spellEnd"/>
      <w:r w:rsidRPr="00055D4B">
        <w:rPr>
          <w:rFonts w:ascii="Book Antiqua" w:hAnsi="Book Antiqua"/>
          <w:sz w:val="22"/>
          <w:szCs w:val="22"/>
        </w:rPr>
        <w:t xml:space="preserve">. Lucrecia Chávez Torres, comunica que en segunda sesión de seguimiento del Proyecto de Implementación del Código Procesal Agrario la Licenciada Damaris Vargas Vásquez, expone la urgencia que tiene la Jurisdicción Agraria de abrir tales concursos con ocasión de los requerimientos de la implementación del Código Procesal Agrario, y que ya se cuenta con personas capacitadas en esa metodología, de manera tal que se puede ir avanzando con esa labor siguiendo los lineamientos que en su momento dio el equipo de personas metodólogas de la Escuela Judicial con el liderazgo de la señora Marisol Barboza Rodríguez, mediante la construcción de los productos (actualización del perfil competencial de juez/jueza 3 y 4 Agrario, los ítems y los casos integradores) y su validación; éstos serán entregados a las personas metodólogas que se designen como </w:t>
      </w:r>
      <w:r w:rsidRPr="00055D4B">
        <w:rPr>
          <w:rFonts w:ascii="Book Antiqua" w:hAnsi="Book Antiqua"/>
          <w:sz w:val="22"/>
          <w:szCs w:val="22"/>
        </w:rPr>
        <w:lastRenderedPageBreak/>
        <w:t xml:space="preserve">parte de los recursos ordinarios de la Institución para que hagan la revisión respectiva. También señala que en esa labor participaron en el proceso anterior el juez Carlos Picado Vargas y ella, quienes fueron debidamente capacitados y están dispuestos a actualizar la información generada con ocasión del impacto del Código Procesal Agrario a partir de su vigencia luego de que se contabilice el año de </w:t>
      </w:r>
      <w:proofErr w:type="spellStart"/>
      <w:r w:rsidRPr="00055D4B">
        <w:rPr>
          <w:rFonts w:ascii="Book Antiqua" w:hAnsi="Book Antiqua"/>
          <w:sz w:val="22"/>
          <w:szCs w:val="22"/>
        </w:rPr>
        <w:t>vacatio</w:t>
      </w:r>
      <w:proofErr w:type="spellEnd"/>
      <w:r w:rsidRPr="00055D4B">
        <w:rPr>
          <w:rFonts w:ascii="Book Antiqua" w:hAnsi="Book Antiqua"/>
          <w:sz w:val="22"/>
          <w:szCs w:val="22"/>
        </w:rPr>
        <w:t xml:space="preserve"> </w:t>
      </w:r>
      <w:proofErr w:type="spellStart"/>
      <w:r w:rsidRPr="00055D4B">
        <w:rPr>
          <w:rFonts w:ascii="Book Antiqua" w:hAnsi="Book Antiqua"/>
          <w:sz w:val="22"/>
          <w:szCs w:val="22"/>
        </w:rPr>
        <w:t>legis</w:t>
      </w:r>
      <w:proofErr w:type="spellEnd"/>
      <w:r w:rsidRPr="00055D4B">
        <w:rPr>
          <w:rFonts w:ascii="Book Antiqua" w:hAnsi="Book Antiqua"/>
          <w:sz w:val="22"/>
          <w:szCs w:val="22"/>
        </w:rPr>
        <w:t xml:space="preserve"> que establece esa normativa.  Por lo anterior, el Consejo Superior en sesión N° 17-19 celebrada el 26 de febrero del 2019, Artículo VII, autorizar a la jueza Damaris Vargas Vásquez, Coordinadora del Proyecto de Implementación del Código Procesal Agrario, y al juez Carlos Picado Vargas, ambos jueza y juez del Tribunal Agrario, a efecto de que actualicen el temario y el mapa funcional de los puestos de juez/jueza 3 y 4 Agrario en relación con el impacto del Código Procesal Agrario que entrará en vigencia en febrero de 2020; así como la construcción y la validación de los ítems, labor que se alternarán, y la construcción de los casos integradores</w:t>
      </w:r>
    </w:p>
    <w:p w14:paraId="0B882969" w14:textId="77777777" w:rsidR="001341EC" w:rsidRPr="00055D4B" w:rsidRDefault="001341EC" w:rsidP="001341EC">
      <w:pPr>
        <w:jc w:val="both"/>
        <w:rPr>
          <w:rFonts w:ascii="Book Antiqua" w:hAnsi="Book Antiqua"/>
          <w:sz w:val="22"/>
          <w:szCs w:val="22"/>
        </w:rPr>
      </w:pPr>
    </w:p>
    <w:p w14:paraId="01A953A6"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Aunado a lo anterior, también se solicita a la Dirección de Gestión Humana que debe atender este tipo de labores con los recursos disponibles, máxime que la Sección Administrativa de la Carrera Judicial es parte de esa Dirección. </w:t>
      </w:r>
    </w:p>
    <w:p w14:paraId="57FACB1D" w14:textId="77777777" w:rsidR="001341EC" w:rsidRPr="00055D4B" w:rsidRDefault="001341EC" w:rsidP="001341EC">
      <w:pPr>
        <w:jc w:val="both"/>
        <w:rPr>
          <w:rFonts w:ascii="Book Antiqua" w:hAnsi="Book Antiqua"/>
          <w:sz w:val="22"/>
          <w:szCs w:val="22"/>
        </w:rPr>
      </w:pPr>
    </w:p>
    <w:p w14:paraId="4B4F0023"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Por tal motivo, la Dirección de Planificación estima que a nivel presupuestario las plazas actuales que cubren la carga de trabajo actual se mantienen con las mismas categorías, hasta tanto no se definan los perfiles. </w:t>
      </w:r>
    </w:p>
    <w:p w14:paraId="30C51389" w14:textId="77777777" w:rsidR="001341EC" w:rsidRPr="00055D4B" w:rsidRDefault="001341EC" w:rsidP="001341EC">
      <w:pPr>
        <w:rPr>
          <w:rFonts w:ascii="Book Antiqua" w:hAnsi="Book Antiqua"/>
          <w:sz w:val="22"/>
          <w:szCs w:val="22"/>
          <w:lang w:eastAsia="en-US"/>
        </w:rPr>
      </w:pPr>
    </w:p>
    <w:p w14:paraId="138B39ED" w14:textId="77777777" w:rsidR="001341EC" w:rsidRPr="00165AA6" w:rsidRDefault="001341EC" w:rsidP="00165AA6">
      <w:pPr>
        <w:pStyle w:val="Ttulo2"/>
        <w:keepLines/>
        <w:numPr>
          <w:ilvl w:val="1"/>
          <w:numId w:val="42"/>
        </w:numPr>
        <w:spacing w:before="40" w:after="0"/>
        <w:rPr>
          <w:rFonts w:ascii="Book Antiqua" w:hAnsi="Book Antiqua"/>
          <w:i w:val="0"/>
          <w:sz w:val="22"/>
        </w:rPr>
      </w:pPr>
      <w:r w:rsidRPr="00165AA6">
        <w:rPr>
          <w:rFonts w:ascii="Book Antiqua" w:hAnsi="Book Antiqua"/>
          <w:i w:val="0"/>
          <w:sz w:val="22"/>
        </w:rPr>
        <w:t>Rediseño de Despachos previo a la entrada en vigencia</w:t>
      </w:r>
    </w:p>
    <w:p w14:paraId="5F39F3B1" w14:textId="77777777" w:rsidR="001341EC" w:rsidRPr="00055D4B" w:rsidRDefault="001341EC" w:rsidP="001341EC">
      <w:pPr>
        <w:rPr>
          <w:rFonts w:ascii="Book Antiqua" w:hAnsi="Book Antiqua"/>
          <w:sz w:val="22"/>
          <w:szCs w:val="22"/>
          <w:lang w:eastAsia="en-US"/>
        </w:rPr>
      </w:pPr>
    </w:p>
    <w:p w14:paraId="4D46A8CA" w14:textId="77777777" w:rsidR="001341EC" w:rsidRPr="00055D4B" w:rsidRDefault="001341EC" w:rsidP="001341EC">
      <w:pPr>
        <w:pStyle w:val="NormalWeb"/>
        <w:jc w:val="both"/>
        <w:rPr>
          <w:rFonts w:ascii="Book Antiqua" w:hAnsi="Book Antiqua" w:cs="Arial"/>
          <w:sz w:val="22"/>
          <w:szCs w:val="22"/>
        </w:rPr>
      </w:pPr>
      <w:r w:rsidRPr="00055D4B">
        <w:rPr>
          <w:rFonts w:ascii="Book Antiqua" w:hAnsi="Book Antiqua" w:cs="Arial"/>
          <w:sz w:val="22"/>
          <w:szCs w:val="22"/>
        </w:rPr>
        <w:t xml:space="preserve">La Dirección de Planificación mantiene el avance en la ejecución del Rediseño de Procesos de los Despachos que atienden la materia Agraria. Las acciones realizadas que justifican lo indicado, se presenta a continuación:  </w:t>
      </w:r>
    </w:p>
    <w:p w14:paraId="2AC61EE8" w14:textId="77777777" w:rsidR="001341EC" w:rsidRPr="00055D4B" w:rsidRDefault="001341EC" w:rsidP="001341EC">
      <w:pPr>
        <w:pStyle w:val="NormalWeb"/>
        <w:jc w:val="both"/>
        <w:rPr>
          <w:rFonts w:ascii="Book Antiqua" w:hAnsi="Book Antiqua" w:cs="Arial"/>
          <w:sz w:val="22"/>
          <w:szCs w:val="22"/>
        </w:rPr>
      </w:pPr>
    </w:p>
    <w:p w14:paraId="0D9C75BD" w14:textId="77777777" w:rsidR="001341EC" w:rsidRPr="00055D4B" w:rsidRDefault="001341EC" w:rsidP="001341EC">
      <w:pPr>
        <w:pStyle w:val="Prrafodelista"/>
        <w:numPr>
          <w:ilvl w:val="0"/>
          <w:numId w:val="26"/>
        </w:numPr>
        <w:jc w:val="both"/>
        <w:rPr>
          <w:rFonts w:ascii="Book Antiqua" w:hAnsi="Book Antiqua"/>
          <w:color w:val="000000"/>
          <w:sz w:val="22"/>
          <w:szCs w:val="22"/>
          <w:lang w:val="es-CR"/>
        </w:rPr>
      </w:pPr>
      <w:r w:rsidRPr="00055D4B">
        <w:rPr>
          <w:rFonts w:ascii="Book Antiqua" w:hAnsi="Book Antiqua"/>
          <w:color w:val="000000"/>
          <w:sz w:val="22"/>
          <w:szCs w:val="22"/>
          <w:lang w:val="es-CR"/>
        </w:rPr>
        <w:t xml:space="preserve">A raíz del Código Procesal Agrario se realiza un abordaje de los Despachos que tramitan la materia, en los cuales se realizan las siguientes tareas: </w:t>
      </w:r>
    </w:p>
    <w:p w14:paraId="465D83C4" w14:textId="77777777" w:rsidR="001341EC" w:rsidRPr="00055D4B" w:rsidRDefault="001341EC" w:rsidP="001341EC">
      <w:pPr>
        <w:pStyle w:val="Prrafodelista"/>
        <w:ind w:left="720"/>
        <w:jc w:val="both"/>
        <w:rPr>
          <w:rFonts w:ascii="Book Antiqua" w:hAnsi="Book Antiqua"/>
          <w:color w:val="000000"/>
          <w:sz w:val="22"/>
          <w:szCs w:val="22"/>
          <w:lang w:val="es-CR"/>
        </w:rPr>
      </w:pPr>
    </w:p>
    <w:p w14:paraId="0C94C136"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 xml:space="preserve">Análisis de la Estructura de Recurso Humano </w:t>
      </w:r>
    </w:p>
    <w:p w14:paraId="41C4E146"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Conformación de Equipos de Mejora de Procesos</w:t>
      </w:r>
    </w:p>
    <w:p w14:paraId="39031E29"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Análisis Estadísticos</w:t>
      </w:r>
    </w:p>
    <w:p w14:paraId="47A8DBAB"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Análisis de la cantidad de entrada de asuntos nuevos</w:t>
      </w:r>
    </w:p>
    <w:p w14:paraId="3400019E"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Análisis de circulantes</w:t>
      </w:r>
    </w:p>
    <w:p w14:paraId="7F4AE3B6"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Análisis de la distribución de cargas de trabajo</w:t>
      </w:r>
    </w:p>
    <w:p w14:paraId="770EAABC"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Análisis de escritos en cuanto a entrada y pendientes de resolver.</w:t>
      </w:r>
    </w:p>
    <w:p w14:paraId="08B8E49D"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Análisis de la cantidad de sentencias dictadas y cantidad de pendiente de fallo</w:t>
      </w:r>
    </w:p>
    <w:p w14:paraId="38270752"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Análisis y definición de Estructura de la agenda.</w:t>
      </w:r>
    </w:p>
    <w:p w14:paraId="4C5095AD"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Cantidad de audiencias pendientes de realización</w:t>
      </w:r>
    </w:p>
    <w:p w14:paraId="4A8AF33A"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Análisis de despachos homólogos</w:t>
      </w:r>
    </w:p>
    <w:p w14:paraId="4FA1C8B1"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Estandarización de cuotas de trabajo</w:t>
      </w:r>
    </w:p>
    <w:p w14:paraId="0C9D193A"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Estandarización de Indicadores de Gestión</w:t>
      </w:r>
    </w:p>
    <w:p w14:paraId="01DD8145" w14:textId="77777777" w:rsidR="001341EC" w:rsidRPr="00055D4B" w:rsidRDefault="001341EC" w:rsidP="001341EC">
      <w:pPr>
        <w:pStyle w:val="Prrafodelista"/>
        <w:numPr>
          <w:ilvl w:val="1"/>
          <w:numId w:val="24"/>
        </w:numPr>
        <w:autoSpaceDN w:val="0"/>
        <w:jc w:val="both"/>
        <w:rPr>
          <w:rFonts w:ascii="Book Antiqua" w:hAnsi="Book Antiqua"/>
          <w:color w:val="000000"/>
          <w:sz w:val="22"/>
          <w:szCs w:val="22"/>
          <w:lang w:val="es-CR"/>
        </w:rPr>
      </w:pPr>
      <w:r w:rsidRPr="00055D4B">
        <w:rPr>
          <w:rFonts w:ascii="Book Antiqua" w:hAnsi="Book Antiqua"/>
          <w:color w:val="000000"/>
          <w:sz w:val="22"/>
          <w:szCs w:val="22"/>
          <w:lang w:val="es-CR"/>
        </w:rPr>
        <w:t>Planes de Trabajo para atención de circulantes</w:t>
      </w:r>
    </w:p>
    <w:p w14:paraId="29B4D436" w14:textId="77777777" w:rsidR="001341EC" w:rsidRPr="00055D4B" w:rsidRDefault="001341EC" w:rsidP="001341EC">
      <w:pPr>
        <w:pStyle w:val="Prrafodelista"/>
        <w:ind w:left="1440"/>
        <w:jc w:val="both"/>
        <w:rPr>
          <w:rFonts w:ascii="Book Antiqua" w:hAnsi="Book Antiqua"/>
          <w:color w:val="000000"/>
          <w:sz w:val="22"/>
          <w:szCs w:val="22"/>
          <w:lang w:val="es-CR"/>
        </w:rPr>
      </w:pPr>
    </w:p>
    <w:p w14:paraId="193DF28A" w14:textId="77777777" w:rsidR="001341EC" w:rsidRPr="00055D4B" w:rsidRDefault="001341EC" w:rsidP="001341EC">
      <w:pPr>
        <w:pStyle w:val="Prrafodelista"/>
        <w:jc w:val="both"/>
        <w:rPr>
          <w:rFonts w:ascii="Book Antiqua" w:hAnsi="Book Antiqua"/>
          <w:color w:val="000000"/>
          <w:sz w:val="22"/>
          <w:szCs w:val="22"/>
          <w:lang w:val="es-CR"/>
        </w:rPr>
      </w:pPr>
      <w:r w:rsidRPr="00055D4B">
        <w:rPr>
          <w:rFonts w:ascii="Book Antiqua" w:hAnsi="Book Antiqua"/>
          <w:color w:val="000000"/>
          <w:sz w:val="22"/>
          <w:szCs w:val="22"/>
          <w:lang w:val="es-CR"/>
        </w:rPr>
        <w:lastRenderedPageBreak/>
        <w:t xml:space="preserve">Actualmente, se está concluyendo la etapa de devolución de resultados y diseño de los informes preliminares del abordaje del Primer Bloque de despachos definidos en el cronograma de trabajo, el cual lo conforma los Juzgados Agrarios del Primer Circuito Judicial de Guanacaste, Liberia, Primer Circuito Judicial de Alajuela y del Tercer Circuito Judicial de Alajuela, San Ramón. </w:t>
      </w:r>
      <w:r w:rsidRPr="00055D4B">
        <w:rPr>
          <w:rFonts w:ascii="Book Antiqua" w:hAnsi="Book Antiqua"/>
          <w:b/>
          <w:i/>
          <w:color w:val="000000"/>
          <w:sz w:val="22"/>
          <w:szCs w:val="22"/>
          <w:lang w:val="es-CR"/>
        </w:rPr>
        <w:t>(Ver anexo 12. Cronograma de trabajo abordajes Juzgados Agrarios)</w:t>
      </w:r>
    </w:p>
    <w:p w14:paraId="788E5738" w14:textId="77777777" w:rsidR="001341EC" w:rsidRPr="00055D4B" w:rsidRDefault="001341EC" w:rsidP="001341EC">
      <w:pPr>
        <w:pStyle w:val="Prrafodelista"/>
        <w:jc w:val="both"/>
        <w:rPr>
          <w:rFonts w:ascii="Book Antiqua" w:hAnsi="Book Antiqua"/>
          <w:color w:val="000000"/>
          <w:sz w:val="22"/>
          <w:szCs w:val="22"/>
          <w:lang w:val="es-CR"/>
        </w:rPr>
      </w:pPr>
    </w:p>
    <w:p w14:paraId="07B4FD4D" w14:textId="77777777" w:rsidR="001341EC" w:rsidRPr="00055D4B" w:rsidRDefault="001341EC" w:rsidP="001341EC">
      <w:pPr>
        <w:pStyle w:val="Prrafodelista"/>
        <w:jc w:val="both"/>
        <w:rPr>
          <w:rFonts w:ascii="Book Antiqua" w:hAnsi="Book Antiqua"/>
          <w:color w:val="000000"/>
          <w:sz w:val="22"/>
          <w:szCs w:val="22"/>
          <w:lang w:val="es-CR"/>
        </w:rPr>
      </w:pPr>
    </w:p>
    <w:p w14:paraId="4566337C" w14:textId="77777777" w:rsidR="001341EC" w:rsidRPr="00055D4B" w:rsidRDefault="001341EC" w:rsidP="001341EC">
      <w:pPr>
        <w:pStyle w:val="Prrafodelista"/>
        <w:numPr>
          <w:ilvl w:val="0"/>
          <w:numId w:val="26"/>
        </w:numPr>
        <w:jc w:val="both"/>
        <w:rPr>
          <w:rFonts w:ascii="Book Antiqua" w:hAnsi="Book Antiqua"/>
          <w:color w:val="000000"/>
          <w:sz w:val="22"/>
          <w:szCs w:val="22"/>
          <w:lang w:val="es-CR"/>
        </w:rPr>
      </w:pPr>
      <w:r w:rsidRPr="00055D4B">
        <w:rPr>
          <w:rFonts w:ascii="Book Antiqua" w:hAnsi="Book Antiqua"/>
          <w:color w:val="000000"/>
          <w:sz w:val="22"/>
          <w:szCs w:val="22"/>
          <w:lang w:val="es-CR"/>
        </w:rPr>
        <w:t>Dentro de los despachos analizados y que conocían la materia Agraria durante los estudios realizado para la Reforma al Código de Trabajo, se incluyen los siguientes juzgados:</w:t>
      </w:r>
    </w:p>
    <w:p w14:paraId="7CD204F1" w14:textId="77777777" w:rsidR="001341EC" w:rsidRPr="00055D4B" w:rsidRDefault="001341EC" w:rsidP="001341EC">
      <w:pPr>
        <w:rPr>
          <w:rFonts w:ascii="Book Antiqua" w:hAnsi="Book Antiqua"/>
          <w:sz w:val="22"/>
          <w:szCs w:val="22"/>
          <w:lang w:eastAsia="en-US"/>
        </w:rPr>
      </w:pPr>
    </w:p>
    <w:p w14:paraId="20149D25" w14:textId="77777777" w:rsidR="001341EC" w:rsidRPr="00055D4B" w:rsidRDefault="001341EC" w:rsidP="001341EC">
      <w:pPr>
        <w:pStyle w:val="Prrafodelista"/>
        <w:numPr>
          <w:ilvl w:val="0"/>
          <w:numId w:val="25"/>
        </w:numPr>
        <w:jc w:val="both"/>
        <w:rPr>
          <w:rFonts w:ascii="Book Antiqua" w:hAnsi="Book Antiqua"/>
          <w:color w:val="000000"/>
          <w:sz w:val="22"/>
          <w:szCs w:val="22"/>
          <w:lang w:val="es-CR"/>
        </w:rPr>
      </w:pPr>
      <w:r w:rsidRPr="00055D4B">
        <w:rPr>
          <w:rFonts w:ascii="Book Antiqua" w:hAnsi="Book Antiqua"/>
          <w:color w:val="000000"/>
          <w:sz w:val="22"/>
          <w:szCs w:val="22"/>
          <w:lang w:val="es-CR"/>
        </w:rPr>
        <w:t xml:space="preserve">Juzgado Civil, Trabajo y Familia del Segundo Circuito Judicial de Alajuela, sede Upala, lo cual consta en el informe 437-PLA-2017, aprobado por el Consejo Superior en la sesión 19-17 del 02 de marzo de 2017, artículo LV. </w:t>
      </w:r>
    </w:p>
    <w:p w14:paraId="51DD5734" w14:textId="77777777" w:rsidR="001341EC" w:rsidRPr="00055D4B" w:rsidRDefault="001341EC" w:rsidP="001341EC">
      <w:pPr>
        <w:pStyle w:val="Prrafodelista"/>
        <w:ind w:left="720"/>
        <w:jc w:val="both"/>
        <w:rPr>
          <w:rFonts w:ascii="Book Antiqua" w:hAnsi="Book Antiqua"/>
          <w:color w:val="000000"/>
          <w:sz w:val="22"/>
          <w:szCs w:val="22"/>
          <w:lang w:val="es-CR"/>
        </w:rPr>
      </w:pPr>
    </w:p>
    <w:p w14:paraId="336739A9" w14:textId="77777777" w:rsidR="001341EC" w:rsidRPr="00055D4B" w:rsidRDefault="001341EC" w:rsidP="001341EC">
      <w:pPr>
        <w:pStyle w:val="Prrafodelista"/>
        <w:numPr>
          <w:ilvl w:val="0"/>
          <w:numId w:val="25"/>
        </w:numPr>
        <w:jc w:val="both"/>
        <w:rPr>
          <w:rFonts w:ascii="Book Antiqua" w:hAnsi="Book Antiqua"/>
          <w:color w:val="000000"/>
          <w:sz w:val="22"/>
          <w:szCs w:val="22"/>
          <w:lang w:val="es-CR"/>
        </w:rPr>
      </w:pPr>
      <w:r w:rsidRPr="00055D4B">
        <w:rPr>
          <w:rFonts w:ascii="Book Antiqua" w:hAnsi="Book Antiqua"/>
          <w:color w:val="000000"/>
          <w:sz w:val="22"/>
          <w:szCs w:val="22"/>
          <w:lang w:val="es-CR"/>
        </w:rPr>
        <w:t>Juzgado Civil, Trabajo, Familia, Agrario, Penal Juvenil y Violencia Doméstica de Buenos Aires lo cual consta en el informe 1203-PLA-2017, aprobado por el Consejo Superior, en la sesión 87-17 celebrada el 26 de setiembre del 2017, artículo LXXXI.</w:t>
      </w:r>
    </w:p>
    <w:p w14:paraId="1A1BE515" w14:textId="77777777" w:rsidR="001341EC" w:rsidRPr="00055D4B" w:rsidRDefault="001341EC" w:rsidP="001341EC">
      <w:pPr>
        <w:pStyle w:val="Prrafodelista"/>
        <w:rPr>
          <w:rFonts w:ascii="Book Antiqua" w:hAnsi="Book Antiqua"/>
          <w:color w:val="000000"/>
          <w:sz w:val="22"/>
          <w:szCs w:val="22"/>
          <w:lang w:val="es-CR"/>
        </w:rPr>
      </w:pPr>
    </w:p>
    <w:p w14:paraId="3B30248E" w14:textId="77777777" w:rsidR="001341EC" w:rsidRPr="00055D4B" w:rsidRDefault="001341EC" w:rsidP="001341EC">
      <w:pPr>
        <w:pStyle w:val="Prrafodelista"/>
        <w:ind w:left="1440"/>
        <w:jc w:val="both"/>
        <w:rPr>
          <w:rFonts w:ascii="Book Antiqua" w:hAnsi="Book Antiqua"/>
          <w:color w:val="000000"/>
          <w:sz w:val="22"/>
          <w:szCs w:val="22"/>
          <w:lang w:val="es-CR"/>
        </w:rPr>
      </w:pPr>
    </w:p>
    <w:p w14:paraId="40F731D4" w14:textId="77777777" w:rsidR="001341EC" w:rsidRPr="00055D4B" w:rsidRDefault="001341EC" w:rsidP="001341EC">
      <w:pPr>
        <w:pStyle w:val="Prrafodelista"/>
        <w:numPr>
          <w:ilvl w:val="0"/>
          <w:numId w:val="25"/>
        </w:numPr>
        <w:jc w:val="both"/>
        <w:rPr>
          <w:rFonts w:ascii="Book Antiqua" w:hAnsi="Book Antiqua"/>
          <w:color w:val="000000"/>
          <w:sz w:val="22"/>
          <w:szCs w:val="22"/>
          <w:lang w:val="es-CR"/>
        </w:rPr>
      </w:pPr>
      <w:r w:rsidRPr="00055D4B">
        <w:rPr>
          <w:rFonts w:ascii="Book Antiqua" w:hAnsi="Book Antiqua"/>
          <w:color w:val="000000"/>
          <w:sz w:val="22"/>
          <w:szCs w:val="22"/>
          <w:lang w:val="es-CR"/>
        </w:rPr>
        <w:t>Juzgado Civil, Trabajo y Agrario de Turrialba lo cual consta en el informe 1396-PLA-2017, aprobado por el Consejo Superior, en la sesión 88-17 celebrada el 28 de setiembre del 2017, artículo LXXII.</w:t>
      </w:r>
    </w:p>
    <w:p w14:paraId="663F6E7A" w14:textId="77777777" w:rsidR="001341EC" w:rsidRPr="00055D4B" w:rsidRDefault="001341EC" w:rsidP="001341EC">
      <w:pPr>
        <w:pStyle w:val="Prrafodelista"/>
        <w:rPr>
          <w:rFonts w:ascii="Book Antiqua" w:hAnsi="Book Antiqua"/>
          <w:color w:val="000000"/>
          <w:sz w:val="22"/>
          <w:szCs w:val="22"/>
          <w:lang w:val="es-CR"/>
        </w:rPr>
      </w:pPr>
    </w:p>
    <w:p w14:paraId="2A7E1DB5" w14:textId="77777777" w:rsidR="001341EC" w:rsidRPr="00055D4B" w:rsidRDefault="001341EC" w:rsidP="001341EC">
      <w:pPr>
        <w:jc w:val="both"/>
        <w:rPr>
          <w:rFonts w:ascii="Book Antiqua" w:hAnsi="Book Antiqua"/>
          <w:color w:val="000000"/>
          <w:sz w:val="22"/>
          <w:szCs w:val="22"/>
        </w:rPr>
      </w:pPr>
    </w:p>
    <w:p w14:paraId="434664FF" w14:textId="77777777" w:rsidR="001341EC" w:rsidRPr="00055D4B" w:rsidRDefault="001341EC" w:rsidP="001341EC">
      <w:pPr>
        <w:pStyle w:val="Prrafodelista"/>
        <w:numPr>
          <w:ilvl w:val="0"/>
          <w:numId w:val="26"/>
        </w:numPr>
        <w:jc w:val="both"/>
        <w:rPr>
          <w:rFonts w:ascii="Book Antiqua" w:hAnsi="Book Antiqua"/>
          <w:color w:val="000000"/>
          <w:sz w:val="22"/>
          <w:szCs w:val="22"/>
          <w:lang w:val="es-CR"/>
        </w:rPr>
      </w:pPr>
      <w:r w:rsidRPr="00055D4B">
        <w:rPr>
          <w:rFonts w:ascii="Book Antiqua" w:hAnsi="Book Antiqua"/>
          <w:color w:val="000000"/>
          <w:sz w:val="22"/>
          <w:szCs w:val="22"/>
          <w:lang w:val="es-CR"/>
        </w:rPr>
        <w:t xml:space="preserve">El Juzgado Agrario de Cartago fue rediseñado al momento de la realización del Proyecto del Circuito Electrónico de Cartago. El trabajo realizado se plasmó en el informe 1259-PLA-2016; aprobado por el Consejo Superior, en la sesión 80-16 del 24 de agosto del 2016, artículo XXXIV. Hoy en día, mensualmente este despacho genera indicadores de gestión. </w:t>
      </w:r>
    </w:p>
    <w:p w14:paraId="7E9D65F9" w14:textId="77777777" w:rsidR="001341EC" w:rsidRPr="00055D4B" w:rsidRDefault="001341EC" w:rsidP="001341EC">
      <w:pPr>
        <w:jc w:val="both"/>
        <w:rPr>
          <w:rFonts w:ascii="Book Antiqua" w:hAnsi="Book Antiqua"/>
          <w:color w:val="000000"/>
          <w:sz w:val="22"/>
          <w:szCs w:val="22"/>
        </w:rPr>
      </w:pPr>
    </w:p>
    <w:p w14:paraId="775DEB67" w14:textId="77777777" w:rsidR="001341EC" w:rsidRPr="00055D4B" w:rsidRDefault="001341EC" w:rsidP="001341EC">
      <w:pPr>
        <w:pStyle w:val="Prrafodelista"/>
        <w:numPr>
          <w:ilvl w:val="0"/>
          <w:numId w:val="26"/>
        </w:numPr>
        <w:jc w:val="both"/>
        <w:rPr>
          <w:rFonts w:ascii="Book Antiqua" w:hAnsi="Book Antiqua"/>
          <w:color w:val="000000"/>
          <w:sz w:val="22"/>
          <w:szCs w:val="22"/>
          <w:lang w:val="es-CR"/>
        </w:rPr>
      </w:pPr>
      <w:r w:rsidRPr="00055D4B">
        <w:rPr>
          <w:rFonts w:ascii="Book Antiqua" w:hAnsi="Book Antiqua"/>
          <w:color w:val="000000"/>
          <w:sz w:val="22"/>
          <w:szCs w:val="22"/>
          <w:lang w:val="es-CR"/>
        </w:rPr>
        <w:t>El Juzgado Agrario de Puntarenas, logra su especialización según lo definido en el 24-PLA-MI-2017 referente al Impacto organizacional y presupuestario en el Poder Judicial a partir de la promulgación del Nuevo Código Procesal Civil para el 2018, donde se estableció tanto la cantidad de entrada de asuntos nuevos y circulante con el que se proyecta que va iniciar el Juzgado Civil de Puntarenas y por ende la especialización del Juzgado Agrario de Puntarenas, situación que se confirma para él a partir de la entrada en vigencia del Código en octubre del 2018, situación que se mantienen en  el informe 32-PLA-MI-2018 referente al Impacto organizacional y presupuestario en el Poder Judicial a partir de la promulgación del Nuevo Código Procesal Civil para el 2019.</w:t>
      </w:r>
    </w:p>
    <w:p w14:paraId="691CC8A0" w14:textId="77777777" w:rsidR="001341EC" w:rsidRPr="00055D4B" w:rsidRDefault="001341EC" w:rsidP="001341EC">
      <w:pPr>
        <w:jc w:val="both"/>
        <w:rPr>
          <w:rFonts w:ascii="Book Antiqua" w:hAnsi="Book Antiqua"/>
          <w:color w:val="000000"/>
          <w:sz w:val="22"/>
          <w:szCs w:val="22"/>
        </w:rPr>
      </w:pPr>
    </w:p>
    <w:p w14:paraId="104985DC" w14:textId="77777777" w:rsidR="001341EC" w:rsidRDefault="001341EC" w:rsidP="001341EC">
      <w:pPr>
        <w:jc w:val="both"/>
        <w:rPr>
          <w:rFonts w:ascii="Book Antiqua" w:eastAsia="Arial Unicode MS" w:hAnsi="Book Antiqua"/>
          <w:color w:val="000000"/>
          <w:sz w:val="22"/>
          <w:szCs w:val="22"/>
          <w:u w:color="000000"/>
        </w:rPr>
      </w:pPr>
    </w:p>
    <w:p w14:paraId="6FA0F354" w14:textId="77777777" w:rsidR="001341EC" w:rsidRDefault="001341EC" w:rsidP="001341EC">
      <w:pPr>
        <w:jc w:val="both"/>
        <w:rPr>
          <w:rFonts w:ascii="Book Antiqua" w:eastAsia="Arial Unicode MS" w:hAnsi="Book Antiqua"/>
          <w:color w:val="000000"/>
          <w:sz w:val="22"/>
          <w:szCs w:val="22"/>
          <w:u w:color="000000"/>
        </w:rPr>
      </w:pPr>
    </w:p>
    <w:p w14:paraId="0CA3D661" w14:textId="77777777" w:rsidR="001341EC" w:rsidRPr="00055D4B" w:rsidRDefault="001341EC" w:rsidP="001341EC">
      <w:pPr>
        <w:jc w:val="both"/>
        <w:rPr>
          <w:rFonts w:ascii="Book Antiqua" w:hAnsi="Book Antiqua"/>
          <w:sz w:val="22"/>
          <w:szCs w:val="22"/>
          <w:lang w:eastAsia="en-US"/>
        </w:rPr>
      </w:pPr>
      <w:r w:rsidRPr="00055D4B">
        <w:rPr>
          <w:rFonts w:ascii="Book Antiqua" w:eastAsia="Arial Unicode MS" w:hAnsi="Book Antiqua"/>
          <w:color w:val="000000"/>
          <w:sz w:val="22"/>
          <w:szCs w:val="22"/>
          <w:u w:color="000000"/>
        </w:rPr>
        <w:lastRenderedPageBreak/>
        <w:t xml:space="preserve">Adicionalmente, se informa que el Juzgado Agrario de San Carlos; fue abordado por el Equipo de Moderna Gestión mediante la metodología de Rediseño de Procesos al realizarse el Proyecto del Circuito Electrónico de San Carlos. El informe emitido fue el 1554-PLA-2014, aprobado por Corte Plena, en la sesión 56-14 del 01 de diciembre del 2014, artículo XXXII; así mismo, se realizó el informe de seguimiento 827-PLA-2015 de esta Dirección. </w:t>
      </w:r>
      <w:r w:rsidRPr="00055D4B">
        <w:rPr>
          <w:rFonts w:ascii="Book Antiqua" w:hAnsi="Book Antiqua"/>
          <w:sz w:val="22"/>
          <w:szCs w:val="22"/>
          <w:lang w:eastAsia="en-US"/>
        </w:rPr>
        <w:t>Finalmente, para este despacho la Comisión Agraria acordó en sesión ordinaria celebrada por la Comisión el 28 de setiembre de 2018, artículo III, el acuerdo que literalmente indica:</w:t>
      </w:r>
    </w:p>
    <w:p w14:paraId="0463FA45" w14:textId="77777777" w:rsidR="001341EC" w:rsidRPr="00055D4B" w:rsidRDefault="001341EC" w:rsidP="001341EC">
      <w:pPr>
        <w:rPr>
          <w:rFonts w:ascii="Book Antiqua" w:hAnsi="Book Antiqua"/>
          <w:sz w:val="22"/>
          <w:szCs w:val="22"/>
          <w:lang w:eastAsia="en-US"/>
        </w:rPr>
      </w:pPr>
    </w:p>
    <w:p w14:paraId="0A84D0EF" w14:textId="77777777" w:rsidR="001341EC" w:rsidRPr="00055D4B" w:rsidRDefault="001341EC" w:rsidP="001341EC">
      <w:pPr>
        <w:rPr>
          <w:rFonts w:ascii="Book Antiqua" w:hAnsi="Book Antiqua"/>
          <w:sz w:val="22"/>
          <w:szCs w:val="22"/>
          <w:lang w:eastAsia="en-US"/>
        </w:rPr>
      </w:pPr>
    </w:p>
    <w:p w14:paraId="24500637" w14:textId="77777777" w:rsidR="001341EC" w:rsidRPr="00055D4B" w:rsidRDefault="001341EC" w:rsidP="001341EC">
      <w:pPr>
        <w:jc w:val="both"/>
        <w:rPr>
          <w:rFonts w:ascii="Book Antiqua" w:hAnsi="Book Antiqua"/>
          <w:b/>
          <w:i/>
          <w:sz w:val="22"/>
          <w:szCs w:val="22"/>
        </w:rPr>
      </w:pPr>
      <w:r w:rsidRPr="00055D4B">
        <w:rPr>
          <w:rFonts w:ascii="Book Antiqua" w:hAnsi="Book Antiqua"/>
          <w:b/>
          <w:i/>
          <w:sz w:val="22"/>
          <w:szCs w:val="22"/>
        </w:rPr>
        <w:t xml:space="preserve">“SE ACUERDA: </w:t>
      </w:r>
    </w:p>
    <w:p w14:paraId="2D0B37F6" w14:textId="77777777" w:rsidR="001341EC" w:rsidRPr="00055D4B" w:rsidRDefault="001341EC" w:rsidP="001341EC">
      <w:pPr>
        <w:jc w:val="both"/>
        <w:rPr>
          <w:rFonts w:ascii="Book Antiqua" w:hAnsi="Book Antiqua"/>
          <w:i/>
          <w:sz w:val="22"/>
          <w:szCs w:val="22"/>
        </w:rPr>
      </w:pPr>
      <w:r w:rsidRPr="00055D4B">
        <w:rPr>
          <w:rFonts w:ascii="Book Antiqua" w:hAnsi="Book Antiqua"/>
          <w:b/>
          <w:i/>
          <w:sz w:val="22"/>
          <w:szCs w:val="22"/>
        </w:rPr>
        <w:t>1°</w:t>
      </w:r>
      <w:r w:rsidRPr="00055D4B">
        <w:rPr>
          <w:rFonts w:ascii="Book Antiqua" w:hAnsi="Book Antiqua"/>
          <w:i/>
          <w:sz w:val="22"/>
          <w:szCs w:val="22"/>
        </w:rPr>
        <w:t xml:space="preserve"> Se toma nota del informe planteado por el </w:t>
      </w:r>
      <w:r w:rsidRPr="00055D4B">
        <w:rPr>
          <w:rFonts w:ascii="Book Antiqua" w:hAnsi="Book Antiqua"/>
          <w:i/>
          <w:noProof/>
          <w:sz w:val="22"/>
          <w:szCs w:val="22"/>
        </w:rPr>
        <w:t xml:space="preserve">máster </w:t>
      </w:r>
      <w:r w:rsidRPr="00055D4B">
        <w:rPr>
          <w:rFonts w:ascii="Book Antiqua" w:hAnsi="Book Antiqua"/>
          <w:i/>
          <w:sz w:val="22"/>
          <w:szCs w:val="22"/>
        </w:rPr>
        <w:t xml:space="preserve">Erick Monge Sandí, Jefe del Subproceso de Evaluación de la Dirección de Planificación. </w:t>
      </w:r>
    </w:p>
    <w:p w14:paraId="226E92E3" w14:textId="77777777" w:rsidR="001341EC" w:rsidRPr="00055D4B" w:rsidRDefault="001341EC" w:rsidP="001341EC">
      <w:pPr>
        <w:jc w:val="both"/>
        <w:rPr>
          <w:rFonts w:ascii="Book Antiqua" w:hAnsi="Book Antiqua"/>
          <w:b/>
          <w:i/>
          <w:sz w:val="22"/>
          <w:szCs w:val="22"/>
        </w:rPr>
      </w:pPr>
    </w:p>
    <w:p w14:paraId="0705E2FD" w14:textId="77777777" w:rsidR="001341EC" w:rsidRPr="00055D4B" w:rsidRDefault="001341EC" w:rsidP="001341EC">
      <w:pPr>
        <w:jc w:val="both"/>
        <w:rPr>
          <w:rFonts w:ascii="Book Antiqua" w:hAnsi="Book Antiqua"/>
          <w:i/>
          <w:color w:val="000000"/>
          <w:sz w:val="22"/>
          <w:szCs w:val="22"/>
        </w:rPr>
      </w:pPr>
      <w:r w:rsidRPr="00055D4B">
        <w:rPr>
          <w:rFonts w:ascii="Book Antiqua" w:hAnsi="Book Antiqua"/>
          <w:b/>
          <w:i/>
          <w:sz w:val="22"/>
          <w:szCs w:val="22"/>
        </w:rPr>
        <w:t>2°</w:t>
      </w:r>
      <w:r w:rsidRPr="00055D4B">
        <w:rPr>
          <w:rFonts w:ascii="Book Antiqua" w:hAnsi="Book Antiqua"/>
          <w:i/>
          <w:sz w:val="22"/>
          <w:szCs w:val="22"/>
        </w:rPr>
        <w:t xml:space="preserve"> Aprobar la propuesta de la Dirección de Planificación para que, conforme al Modelo</w:t>
      </w:r>
      <w:r w:rsidRPr="00055D4B">
        <w:rPr>
          <w:rFonts w:ascii="Book Antiqua" w:hAnsi="Book Antiqua"/>
          <w:i/>
          <w:color w:val="000000"/>
          <w:sz w:val="22"/>
          <w:szCs w:val="22"/>
        </w:rPr>
        <w:t xml:space="preserve"> de Sostenibilidad del Segundo Circuito Judicial de Alajuela, se modifique la matriz de indicadores del Juzgado Agrario de San Carlos, dentro del marco del proceso de mejora continua conforme a la metodología de rediseño procesos publicada en la circular 71-15, así como el informe 190-PI-2016 (1981-PLA-2016), aprobado por el Consejo Superior en la Sesión 107-17 del 29 de noviembre del 2016, art. XLIX. Lo anterior, a fin de que se actualice la matriz de indicadores de gestión del rediseño realizado a ese despacho en 2013 por el equipo de Moderna Gestión conforme a una situación que ha variado sustancialmente, con el objetivo de que refleje la situación actual y para lograr la estandarización a nivel nacional de este despacho con sus homólogos, en especial el Juzgado Agrario de Cartago que fue rediseñado por la Dirección de Planificación recientemente. </w:t>
      </w:r>
    </w:p>
    <w:p w14:paraId="07E1B332" w14:textId="77777777" w:rsidR="001341EC" w:rsidRPr="00055D4B" w:rsidRDefault="001341EC" w:rsidP="001341EC">
      <w:pPr>
        <w:jc w:val="both"/>
        <w:rPr>
          <w:rFonts w:ascii="Book Antiqua" w:hAnsi="Book Antiqua"/>
          <w:b/>
          <w:i/>
          <w:color w:val="000000"/>
          <w:sz w:val="22"/>
          <w:szCs w:val="22"/>
        </w:rPr>
      </w:pPr>
    </w:p>
    <w:p w14:paraId="78A429E0" w14:textId="77777777" w:rsidR="001341EC" w:rsidRPr="00055D4B" w:rsidRDefault="001341EC" w:rsidP="001341EC">
      <w:pPr>
        <w:jc w:val="both"/>
        <w:rPr>
          <w:rFonts w:ascii="Book Antiqua" w:hAnsi="Book Antiqua"/>
          <w:i/>
          <w:color w:val="000000"/>
          <w:sz w:val="22"/>
          <w:szCs w:val="22"/>
        </w:rPr>
      </w:pPr>
      <w:r w:rsidRPr="00055D4B">
        <w:rPr>
          <w:rFonts w:ascii="Book Antiqua" w:hAnsi="Book Antiqua"/>
          <w:b/>
          <w:i/>
          <w:color w:val="000000"/>
          <w:sz w:val="22"/>
          <w:szCs w:val="22"/>
        </w:rPr>
        <w:t>3°</w:t>
      </w:r>
      <w:r w:rsidRPr="00055D4B">
        <w:rPr>
          <w:rFonts w:ascii="Book Antiqua" w:hAnsi="Book Antiqua"/>
          <w:i/>
          <w:color w:val="000000"/>
          <w:sz w:val="22"/>
          <w:szCs w:val="22"/>
        </w:rPr>
        <w:t xml:space="preserve"> Acoger la recomendación de la Dirección de Planificación a efecto de que se estandarice en el ámbito nacional los plazos para resolver escritos en 15 días. En el caso del Juzgado Agrario del II Circuito Judicial de Alajuela, al contar con la capacidad operativa, según estudio realizado por la citada Dirección, deben resolver los asuntos nuevos y escritos en los plazos establecidos de 5 a 7 días para demandas nuevas y de 10 a 15 días para escritos, respectivamente; además, para expedientes pendientes de fallo un parámetro de 10 asuntos mensuales. Lo anterior, en espera de que se ajusten en algún momento al plazo legal establecido por la Ley de Jurisdicción Agraria.</w:t>
      </w:r>
    </w:p>
    <w:p w14:paraId="4CE776BA" w14:textId="77777777" w:rsidR="001341EC" w:rsidRPr="00055D4B" w:rsidRDefault="001341EC" w:rsidP="001341EC">
      <w:pPr>
        <w:jc w:val="both"/>
        <w:rPr>
          <w:rFonts w:ascii="Book Antiqua" w:hAnsi="Book Antiqua"/>
          <w:b/>
          <w:i/>
          <w:color w:val="000000"/>
          <w:sz w:val="22"/>
          <w:szCs w:val="22"/>
        </w:rPr>
      </w:pPr>
    </w:p>
    <w:p w14:paraId="66C29D40" w14:textId="77777777" w:rsidR="001341EC" w:rsidRPr="00055D4B" w:rsidRDefault="001341EC" w:rsidP="001341EC">
      <w:pPr>
        <w:jc w:val="both"/>
        <w:rPr>
          <w:rFonts w:ascii="Book Antiqua" w:hAnsi="Book Antiqua"/>
          <w:i/>
          <w:color w:val="000000"/>
          <w:sz w:val="22"/>
          <w:szCs w:val="22"/>
        </w:rPr>
      </w:pPr>
      <w:r w:rsidRPr="00055D4B">
        <w:rPr>
          <w:rFonts w:ascii="Book Antiqua" w:hAnsi="Book Antiqua"/>
          <w:b/>
          <w:i/>
          <w:color w:val="000000"/>
          <w:sz w:val="22"/>
          <w:szCs w:val="22"/>
        </w:rPr>
        <w:t xml:space="preserve">4° </w:t>
      </w:r>
      <w:r w:rsidRPr="00055D4B">
        <w:rPr>
          <w:rFonts w:ascii="Book Antiqua" w:hAnsi="Book Antiqua"/>
          <w:i/>
          <w:color w:val="000000"/>
          <w:sz w:val="22"/>
          <w:szCs w:val="22"/>
        </w:rPr>
        <w:t>En relación con el plazo de espera para dictar sentencia, en materia agraria es de 5 días conforme lo dispuesto por el artículo 53 de la Ley de Jurisdicción Agraria, por lo que debe actualizarse la matriz de indicadores, tanto para el Juzgado Agrario de Cartago como para el de San Carlos.</w:t>
      </w:r>
    </w:p>
    <w:p w14:paraId="53179EBA" w14:textId="77777777" w:rsidR="001341EC" w:rsidRPr="00055D4B" w:rsidRDefault="001341EC" w:rsidP="001341EC">
      <w:pPr>
        <w:jc w:val="both"/>
        <w:rPr>
          <w:rFonts w:ascii="Book Antiqua" w:hAnsi="Book Antiqua"/>
          <w:b/>
          <w:i/>
          <w:color w:val="000000"/>
          <w:sz w:val="22"/>
          <w:szCs w:val="22"/>
        </w:rPr>
      </w:pPr>
    </w:p>
    <w:p w14:paraId="4C3136C9" w14:textId="77777777" w:rsidR="001341EC" w:rsidRPr="00055D4B" w:rsidRDefault="001341EC" w:rsidP="001341EC">
      <w:pPr>
        <w:jc w:val="both"/>
        <w:rPr>
          <w:rFonts w:ascii="Book Antiqua" w:hAnsi="Book Antiqua"/>
          <w:sz w:val="22"/>
          <w:szCs w:val="22"/>
          <w:lang w:eastAsia="en-US"/>
        </w:rPr>
      </w:pPr>
      <w:r w:rsidRPr="00055D4B">
        <w:rPr>
          <w:rFonts w:ascii="Book Antiqua" w:hAnsi="Book Antiqua"/>
          <w:b/>
          <w:i/>
          <w:color w:val="000000"/>
          <w:sz w:val="22"/>
          <w:szCs w:val="22"/>
        </w:rPr>
        <w:t>5</w:t>
      </w:r>
      <w:r w:rsidRPr="00055D4B">
        <w:rPr>
          <w:rFonts w:ascii="Book Antiqua" w:hAnsi="Book Antiqua"/>
          <w:b/>
          <w:i/>
          <w:sz w:val="22"/>
          <w:szCs w:val="22"/>
        </w:rPr>
        <w:t>°</w:t>
      </w:r>
      <w:r w:rsidRPr="00055D4B">
        <w:rPr>
          <w:rFonts w:ascii="Book Antiqua" w:hAnsi="Book Antiqua"/>
          <w:i/>
          <w:sz w:val="22"/>
          <w:szCs w:val="22"/>
        </w:rPr>
        <w:t xml:space="preserve"> Se declara firme este acuerdo por unanimidad para su ejecución. Comuníquese al Consejo Superior, la Dirección de Planificación, el Centro de Apoyo, Coordinación y Mejoramiento de la Función Jurisdiccional, la Administración Regional del II Circuito Judicial de Alajuela, el Consejo de Administración del II Circuito Judicial de Alajuela, el Juzgado Agrario de Cartago y el Juzgado Agrario del II Circuito Judicial de Alajuela.</w:t>
      </w:r>
    </w:p>
    <w:p w14:paraId="170FA878" w14:textId="77777777" w:rsidR="001341EC" w:rsidRPr="00055D4B" w:rsidRDefault="001341EC" w:rsidP="001341EC">
      <w:pPr>
        <w:jc w:val="both"/>
        <w:rPr>
          <w:rFonts w:ascii="Book Antiqua" w:hAnsi="Book Antiqua"/>
          <w:sz w:val="22"/>
          <w:szCs w:val="22"/>
          <w:lang w:eastAsia="en-US"/>
        </w:rPr>
      </w:pPr>
    </w:p>
    <w:p w14:paraId="4EBEC934" w14:textId="77777777" w:rsidR="001341EC" w:rsidRPr="00055D4B" w:rsidRDefault="001341EC" w:rsidP="001341EC">
      <w:pPr>
        <w:jc w:val="both"/>
        <w:rPr>
          <w:rFonts w:ascii="Book Antiqua" w:hAnsi="Book Antiqua"/>
          <w:sz w:val="22"/>
          <w:szCs w:val="22"/>
          <w:lang w:eastAsia="en-US"/>
        </w:rPr>
      </w:pPr>
      <w:r w:rsidRPr="00055D4B">
        <w:rPr>
          <w:rFonts w:ascii="Book Antiqua" w:hAnsi="Book Antiqua"/>
          <w:sz w:val="22"/>
          <w:szCs w:val="22"/>
          <w:lang w:eastAsia="en-US"/>
        </w:rPr>
        <w:t>Lo anterior, fue conocido por el Consejo Superior en sesión 89-18 celebrada el 11 de octubre del 2018, artículo LII, que literalmente dice:</w:t>
      </w:r>
    </w:p>
    <w:p w14:paraId="08399FEB" w14:textId="77777777" w:rsidR="001341EC" w:rsidRPr="00055D4B" w:rsidRDefault="001341EC" w:rsidP="001341EC">
      <w:pPr>
        <w:spacing w:before="120" w:after="120"/>
        <w:ind w:firstLine="709"/>
        <w:jc w:val="both"/>
        <w:rPr>
          <w:rFonts w:ascii="Book Antiqua" w:hAnsi="Book Antiqua"/>
          <w:i/>
          <w:color w:val="000000"/>
          <w:sz w:val="22"/>
          <w:szCs w:val="22"/>
        </w:rPr>
      </w:pPr>
      <w:r w:rsidRPr="00055D4B">
        <w:rPr>
          <w:rFonts w:ascii="Book Antiqua" w:hAnsi="Book Antiqua"/>
          <w:b/>
          <w:i/>
          <w:color w:val="000000"/>
          <w:sz w:val="22"/>
          <w:szCs w:val="22"/>
        </w:rPr>
        <w:lastRenderedPageBreak/>
        <w:t xml:space="preserve">Se acordó: </w:t>
      </w:r>
      <w:r w:rsidRPr="00055D4B">
        <w:rPr>
          <w:rFonts w:ascii="Book Antiqua" w:hAnsi="Book Antiqua"/>
          <w:i/>
          <w:color w:val="000000"/>
          <w:sz w:val="22"/>
          <w:szCs w:val="22"/>
        </w:rPr>
        <w:t>Tomar nota de los</w:t>
      </w:r>
      <w:r w:rsidRPr="00055D4B">
        <w:rPr>
          <w:rFonts w:ascii="Book Antiqua" w:hAnsi="Book Antiqua"/>
          <w:b/>
          <w:i/>
          <w:color w:val="000000"/>
          <w:sz w:val="22"/>
          <w:szCs w:val="22"/>
        </w:rPr>
        <w:t xml:space="preserve"> </w:t>
      </w:r>
      <w:r w:rsidRPr="00055D4B">
        <w:rPr>
          <w:rFonts w:ascii="Book Antiqua" w:hAnsi="Book Antiqua"/>
          <w:i/>
          <w:color w:val="000000"/>
          <w:sz w:val="22"/>
          <w:szCs w:val="22"/>
        </w:rPr>
        <w:t xml:space="preserve">correos electrónicos remitidos por la máster Damaris Vargas Vásquez, Coordinadora del Proyecto de Modernización de la Jurisdicción Agraria y Jueza del Tribunal Agrario, referente al acuerdo tomado por la Comisión de la Jurisdicción Agraria y Agroambiental, en sesión ordinaria celebrada el 28 de setiembre de 2018, artículo III, relacionado con las acciones tomadas en el modelo de Sostenibilidad del Segundo Circuito Judicial de Alajuela. </w:t>
      </w:r>
      <w:r w:rsidRPr="00055D4B">
        <w:rPr>
          <w:rFonts w:ascii="Book Antiqua" w:hAnsi="Book Antiqua"/>
          <w:b/>
          <w:i/>
          <w:color w:val="000000"/>
          <w:sz w:val="22"/>
          <w:szCs w:val="22"/>
        </w:rPr>
        <w:t>2.)</w:t>
      </w:r>
      <w:r w:rsidRPr="00055D4B">
        <w:rPr>
          <w:rFonts w:ascii="Book Antiqua" w:hAnsi="Book Antiqua"/>
          <w:i/>
          <w:color w:val="000000"/>
          <w:sz w:val="22"/>
          <w:szCs w:val="22"/>
        </w:rPr>
        <w:t xml:space="preserve"> Hacer este acuerdo de la Dirección de Planificación.</w:t>
      </w:r>
    </w:p>
    <w:p w14:paraId="25B8AD8D" w14:textId="77777777" w:rsidR="001341EC" w:rsidRPr="00055D4B" w:rsidRDefault="001341EC" w:rsidP="001341EC">
      <w:pPr>
        <w:spacing w:before="120" w:after="120"/>
        <w:ind w:firstLine="709"/>
        <w:jc w:val="both"/>
        <w:rPr>
          <w:rFonts w:ascii="Book Antiqua" w:hAnsi="Book Antiqua"/>
          <w:b/>
          <w:bCs/>
          <w:i/>
          <w:sz w:val="22"/>
          <w:szCs w:val="22"/>
        </w:rPr>
      </w:pPr>
      <w:r w:rsidRPr="00055D4B">
        <w:rPr>
          <w:rFonts w:ascii="Book Antiqua" w:hAnsi="Book Antiqua"/>
          <w:i/>
          <w:color w:val="000000"/>
          <w:sz w:val="22"/>
          <w:szCs w:val="22"/>
        </w:rPr>
        <w:t xml:space="preserve">La Comisión de la Jurisdicción Agraria y Agroambiental, el Juzgado Agrario de Cartago, el Juzgado Agrario del Segundo Circuito Judicial de Alajuela, la Dirección de Planificación, el Centro de Apoyo, Coordinación y Mejoramiento de la Función Jurisdiccional, la Administración Regional del Segundo Circuito Judicial de Alajuela y el Consejo de Administración del Segundo Circuito Judicial de Alajuela, tomarán nota para lo que corresponda. </w:t>
      </w:r>
      <w:r w:rsidRPr="00055D4B">
        <w:rPr>
          <w:rFonts w:ascii="Book Antiqua" w:hAnsi="Book Antiqua"/>
          <w:b/>
          <w:i/>
          <w:color w:val="000000"/>
          <w:sz w:val="22"/>
          <w:szCs w:val="22"/>
        </w:rPr>
        <w:t>Se declara acuerdo firme.</w:t>
      </w:r>
      <w:r w:rsidRPr="00055D4B">
        <w:rPr>
          <w:rFonts w:ascii="Book Antiqua" w:hAnsi="Book Antiqua"/>
          <w:i/>
          <w:sz w:val="22"/>
          <w:szCs w:val="22"/>
        </w:rPr>
        <w:t>”</w:t>
      </w:r>
    </w:p>
    <w:p w14:paraId="38E6B006" w14:textId="77777777" w:rsidR="001341EC" w:rsidRDefault="001341EC" w:rsidP="001341EC">
      <w:pPr>
        <w:spacing w:after="240"/>
        <w:jc w:val="both"/>
        <w:rPr>
          <w:rFonts w:ascii="Book Antiqua" w:hAnsi="Book Antiqua"/>
          <w:sz w:val="22"/>
          <w:szCs w:val="22"/>
          <w:lang w:val="es-ES_tradnl"/>
        </w:rPr>
      </w:pPr>
    </w:p>
    <w:p w14:paraId="04FB99B2" w14:textId="77777777" w:rsidR="001341EC" w:rsidRPr="00055D4B" w:rsidRDefault="001341EC" w:rsidP="001341EC">
      <w:pPr>
        <w:spacing w:after="240"/>
        <w:jc w:val="both"/>
        <w:rPr>
          <w:rFonts w:ascii="Book Antiqua" w:hAnsi="Book Antiqua"/>
          <w:sz w:val="22"/>
          <w:szCs w:val="22"/>
          <w:lang w:val="es-ES_tradnl"/>
        </w:rPr>
      </w:pPr>
      <w:r w:rsidRPr="00055D4B">
        <w:rPr>
          <w:rFonts w:ascii="Book Antiqua" w:hAnsi="Book Antiqua"/>
          <w:sz w:val="22"/>
          <w:szCs w:val="22"/>
          <w:lang w:val="es-ES_tradnl"/>
        </w:rPr>
        <w:t>Se estima que la Dirección de Planificación terminará su participación en el primer semestre de este año 2019.</w:t>
      </w:r>
    </w:p>
    <w:p w14:paraId="4343E807" w14:textId="77777777" w:rsidR="001341EC" w:rsidRPr="00055D4B" w:rsidRDefault="001341EC" w:rsidP="001341EC">
      <w:pPr>
        <w:jc w:val="both"/>
        <w:rPr>
          <w:rFonts w:ascii="Book Antiqua" w:eastAsia="Arial Unicode MS" w:hAnsi="Book Antiqua"/>
          <w:color w:val="000000"/>
          <w:sz w:val="22"/>
          <w:szCs w:val="22"/>
          <w:u w:color="000000"/>
        </w:rPr>
      </w:pPr>
    </w:p>
    <w:p w14:paraId="1F292E62" w14:textId="77777777" w:rsidR="001341EC" w:rsidRPr="00165AA6" w:rsidRDefault="001341EC" w:rsidP="00165AA6">
      <w:pPr>
        <w:pStyle w:val="Ttulo2"/>
        <w:keepLines/>
        <w:numPr>
          <w:ilvl w:val="1"/>
          <w:numId w:val="42"/>
        </w:numPr>
        <w:spacing w:before="40" w:after="0"/>
        <w:rPr>
          <w:rFonts w:ascii="Book Antiqua" w:hAnsi="Book Antiqua"/>
          <w:i w:val="0"/>
          <w:sz w:val="22"/>
        </w:rPr>
      </w:pPr>
      <w:r w:rsidRPr="00165AA6">
        <w:rPr>
          <w:rFonts w:ascii="Book Antiqua" w:hAnsi="Book Antiqua"/>
          <w:i w:val="0"/>
          <w:sz w:val="22"/>
        </w:rPr>
        <w:t>Descongestionamiento de despachos</w:t>
      </w:r>
    </w:p>
    <w:p w14:paraId="09E53747" w14:textId="77777777" w:rsidR="001341EC" w:rsidRPr="00055D4B" w:rsidRDefault="001341EC" w:rsidP="001341EC">
      <w:pPr>
        <w:jc w:val="both"/>
        <w:rPr>
          <w:rFonts w:ascii="Book Antiqua" w:hAnsi="Book Antiqua"/>
          <w:color w:val="000000"/>
          <w:sz w:val="22"/>
          <w:szCs w:val="22"/>
        </w:rPr>
      </w:pPr>
    </w:p>
    <w:p w14:paraId="398651D2" w14:textId="77777777" w:rsidR="001341EC" w:rsidRDefault="001341EC" w:rsidP="001341EC">
      <w:pPr>
        <w:jc w:val="both"/>
        <w:rPr>
          <w:rFonts w:ascii="Book Antiqua" w:hAnsi="Book Antiqua"/>
          <w:color w:val="000000"/>
          <w:sz w:val="22"/>
          <w:szCs w:val="22"/>
        </w:rPr>
      </w:pPr>
      <w:r w:rsidRPr="00055D4B">
        <w:rPr>
          <w:rFonts w:ascii="Book Antiqua" w:hAnsi="Book Antiqua"/>
          <w:color w:val="000000"/>
          <w:sz w:val="22"/>
          <w:szCs w:val="22"/>
        </w:rPr>
        <w:t>En cuanto al circulante en trámite que presenta cada Juzgado Agrario que se reporta a finales de febrero 2019, se realiza un análisis de la cantidad de circulante por persona juzgadora.</w:t>
      </w:r>
    </w:p>
    <w:p w14:paraId="70FDB383" w14:textId="77777777" w:rsidR="00EA2968" w:rsidRPr="00055D4B" w:rsidRDefault="00EA2968" w:rsidP="001341EC">
      <w:pPr>
        <w:jc w:val="both"/>
        <w:rPr>
          <w:rFonts w:ascii="Book Antiqua" w:hAnsi="Book Antiqua"/>
          <w:color w:val="000000"/>
          <w:sz w:val="22"/>
          <w:szCs w:val="22"/>
        </w:rPr>
      </w:pPr>
    </w:p>
    <w:p w14:paraId="4FDC9AB4" w14:textId="77777777" w:rsidR="001341EC" w:rsidRPr="00D12061"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bookmarkStart w:id="22" w:name="_Hlk4592690"/>
      <w:r w:rsidRPr="00D12061">
        <w:rPr>
          <w:rFonts w:ascii="Book Antiqua" w:hAnsi="Book Antiqua"/>
          <w:bCs w:val="0"/>
          <w:iCs/>
          <w:sz w:val="22"/>
          <w:szCs w:val="24"/>
          <w:lang w:val="es-CR"/>
        </w:rPr>
        <w:t xml:space="preserve">Cuadro </w:t>
      </w:r>
      <w:r w:rsidR="009A23D1" w:rsidRPr="00126FA8">
        <w:rPr>
          <w:rFonts w:ascii="Book Antiqua" w:hAnsi="Book Antiqua"/>
          <w:bCs w:val="0"/>
          <w:iCs/>
          <w:sz w:val="22"/>
          <w:szCs w:val="24"/>
          <w:lang w:val="es-CR"/>
        </w:rPr>
        <w:fldChar w:fldCharType="begin"/>
      </w:r>
      <w:r w:rsidRPr="00D12061">
        <w:rPr>
          <w:rFonts w:ascii="Book Antiqua" w:hAnsi="Book Antiqua"/>
          <w:bCs w:val="0"/>
          <w:iCs/>
          <w:sz w:val="22"/>
          <w:szCs w:val="24"/>
          <w:lang w:val="es-CR"/>
        </w:rPr>
        <w:instrText xml:space="preserve"> SEQ Cuadro \* ARABIC </w:instrText>
      </w:r>
      <w:r w:rsidR="009A23D1" w:rsidRPr="00126FA8">
        <w:rPr>
          <w:rFonts w:ascii="Book Antiqua" w:hAnsi="Book Antiqua"/>
          <w:bCs w:val="0"/>
          <w:iCs/>
          <w:sz w:val="22"/>
          <w:szCs w:val="24"/>
          <w:lang w:val="es-CR"/>
        </w:rPr>
        <w:fldChar w:fldCharType="separate"/>
      </w:r>
      <w:r>
        <w:rPr>
          <w:rFonts w:ascii="Book Antiqua" w:hAnsi="Book Antiqua"/>
          <w:bCs w:val="0"/>
          <w:iCs/>
          <w:noProof/>
          <w:sz w:val="22"/>
          <w:szCs w:val="24"/>
          <w:lang w:val="es-CR"/>
        </w:rPr>
        <w:t>19</w:t>
      </w:r>
      <w:r w:rsidR="009A23D1" w:rsidRPr="00126FA8">
        <w:rPr>
          <w:rFonts w:ascii="Book Antiqua" w:hAnsi="Book Antiqua"/>
          <w:bCs w:val="0"/>
          <w:iCs/>
          <w:sz w:val="22"/>
          <w:szCs w:val="24"/>
          <w:lang w:val="es-CR"/>
        </w:rPr>
        <w:fldChar w:fldCharType="end"/>
      </w:r>
    </w:p>
    <w:p w14:paraId="5D27DDCE"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 xml:space="preserve">Comparación del Circulante Final en Trámite de los </w:t>
      </w:r>
    </w:p>
    <w:p w14:paraId="5D750FAF"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Juzgados Agrarios a Nivel Nacional febrero 2019</w:t>
      </w:r>
    </w:p>
    <w:bookmarkEnd w:id="22"/>
    <w:p w14:paraId="6EE7A355" w14:textId="77777777" w:rsidR="001341EC" w:rsidRPr="00055D4B" w:rsidRDefault="001341EC" w:rsidP="001341EC">
      <w:pPr>
        <w:jc w:val="center"/>
        <w:rPr>
          <w:rFonts w:ascii="Book Antiqua" w:hAnsi="Book Antiqua"/>
          <w:b/>
          <w:bCs/>
          <w:color w:val="1F497D"/>
          <w:sz w:val="22"/>
          <w:szCs w:val="22"/>
        </w:rPr>
      </w:pPr>
    </w:p>
    <w:tbl>
      <w:tblPr>
        <w:tblW w:w="0" w:type="auto"/>
        <w:tblLayout w:type="fixed"/>
        <w:tblCellMar>
          <w:left w:w="70" w:type="dxa"/>
          <w:right w:w="70" w:type="dxa"/>
        </w:tblCellMar>
        <w:tblLook w:val="04A0" w:firstRow="1" w:lastRow="0" w:firstColumn="1" w:lastColumn="0" w:noHBand="0" w:noVBand="1"/>
      </w:tblPr>
      <w:tblGrid>
        <w:gridCol w:w="1048"/>
        <w:gridCol w:w="1149"/>
        <w:gridCol w:w="688"/>
        <w:gridCol w:w="918"/>
        <w:gridCol w:w="562"/>
        <w:gridCol w:w="805"/>
        <w:gridCol w:w="740"/>
        <w:gridCol w:w="562"/>
        <w:gridCol w:w="805"/>
        <w:gridCol w:w="562"/>
        <w:gridCol w:w="805"/>
      </w:tblGrid>
      <w:tr w:rsidR="001341EC" w:rsidRPr="002F64AC" w14:paraId="613DF540" w14:textId="77777777" w:rsidTr="00165AA6">
        <w:trPr>
          <w:trHeight w:val="708"/>
          <w:tblHeader/>
        </w:trPr>
        <w:tc>
          <w:tcPr>
            <w:tcW w:w="1048" w:type="dxa"/>
            <w:vMerge w:val="restart"/>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4771F042" w14:textId="77777777" w:rsidR="001341EC" w:rsidRPr="009471FA" w:rsidRDefault="001341EC" w:rsidP="00165AA6">
            <w:pPr>
              <w:jc w:val="center"/>
              <w:rPr>
                <w:rFonts w:ascii="Book Antiqua" w:hAnsi="Book Antiqua"/>
                <w:b/>
                <w:bCs/>
                <w:color w:val="000000"/>
                <w:sz w:val="18"/>
                <w:szCs w:val="18"/>
                <w:lang w:eastAsia="es-CR"/>
              </w:rPr>
            </w:pPr>
            <w:bookmarkStart w:id="23" w:name="_Hlk4602749"/>
            <w:r w:rsidRPr="009471FA">
              <w:rPr>
                <w:rFonts w:ascii="Book Antiqua" w:hAnsi="Book Antiqua"/>
                <w:b/>
                <w:bCs/>
                <w:color w:val="000000"/>
                <w:sz w:val="18"/>
                <w:szCs w:val="18"/>
                <w:lang w:eastAsia="es-CR"/>
              </w:rPr>
              <w:t>Despacho</w:t>
            </w:r>
          </w:p>
        </w:tc>
        <w:tc>
          <w:tcPr>
            <w:tcW w:w="1149" w:type="dxa"/>
            <w:vMerge w:val="restart"/>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791B01E5" w14:textId="77777777" w:rsidR="001341EC" w:rsidRPr="009471FA" w:rsidRDefault="001341EC" w:rsidP="00165AA6">
            <w:pPr>
              <w:jc w:val="center"/>
              <w:rPr>
                <w:rFonts w:ascii="Book Antiqua" w:hAnsi="Book Antiqua"/>
                <w:b/>
                <w:bCs/>
                <w:color w:val="000000"/>
                <w:sz w:val="18"/>
                <w:szCs w:val="18"/>
                <w:lang w:eastAsia="es-CR"/>
              </w:rPr>
            </w:pPr>
            <w:r w:rsidRPr="009471FA">
              <w:rPr>
                <w:rFonts w:ascii="Book Antiqua" w:hAnsi="Book Antiqua"/>
                <w:b/>
                <w:bCs/>
                <w:color w:val="000000"/>
                <w:sz w:val="18"/>
                <w:szCs w:val="18"/>
                <w:lang w:eastAsia="es-CR"/>
              </w:rPr>
              <w:t>Entrada Promedio Mensual</w:t>
            </w:r>
          </w:p>
        </w:tc>
        <w:tc>
          <w:tcPr>
            <w:tcW w:w="688" w:type="dxa"/>
            <w:vMerge w:val="restart"/>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1C2499F1" w14:textId="77777777" w:rsidR="001341EC" w:rsidRPr="009471FA" w:rsidRDefault="001341EC" w:rsidP="00165AA6">
            <w:pPr>
              <w:jc w:val="center"/>
              <w:rPr>
                <w:rFonts w:ascii="Book Antiqua" w:hAnsi="Book Antiqua"/>
                <w:b/>
                <w:bCs/>
                <w:color w:val="000000"/>
                <w:sz w:val="18"/>
                <w:szCs w:val="18"/>
                <w:lang w:eastAsia="es-CR"/>
              </w:rPr>
            </w:pPr>
            <w:proofErr w:type="spellStart"/>
            <w:r w:rsidRPr="009471FA">
              <w:rPr>
                <w:rFonts w:ascii="Book Antiqua" w:hAnsi="Book Antiqua"/>
                <w:b/>
                <w:bCs/>
                <w:color w:val="000000"/>
                <w:sz w:val="18"/>
                <w:szCs w:val="18"/>
                <w:lang w:eastAsia="es-CR"/>
              </w:rPr>
              <w:t>Circu</w:t>
            </w:r>
            <w:r w:rsidR="009471FA">
              <w:rPr>
                <w:rFonts w:ascii="Book Antiqua" w:hAnsi="Book Antiqua"/>
                <w:b/>
                <w:bCs/>
                <w:color w:val="000000"/>
                <w:sz w:val="18"/>
                <w:szCs w:val="18"/>
                <w:lang w:eastAsia="es-CR"/>
              </w:rPr>
              <w:t>-</w:t>
            </w:r>
            <w:r w:rsidRPr="009471FA">
              <w:rPr>
                <w:rFonts w:ascii="Book Antiqua" w:hAnsi="Book Antiqua"/>
                <w:b/>
                <w:bCs/>
                <w:color w:val="000000"/>
                <w:sz w:val="18"/>
                <w:szCs w:val="18"/>
                <w:lang w:eastAsia="es-CR"/>
              </w:rPr>
              <w:t>lante</w:t>
            </w:r>
            <w:proofErr w:type="spellEnd"/>
            <w:r w:rsidRPr="009471FA">
              <w:rPr>
                <w:rFonts w:ascii="Book Antiqua" w:hAnsi="Book Antiqua"/>
                <w:b/>
                <w:bCs/>
                <w:color w:val="000000"/>
                <w:sz w:val="18"/>
                <w:szCs w:val="18"/>
                <w:lang w:eastAsia="es-CR"/>
              </w:rPr>
              <w:t xml:space="preserve"> </w:t>
            </w:r>
            <w:proofErr w:type="spellStart"/>
            <w:r w:rsidRPr="009471FA">
              <w:rPr>
                <w:rFonts w:ascii="Book Antiqua" w:hAnsi="Book Antiqua"/>
                <w:b/>
                <w:bCs/>
                <w:color w:val="000000"/>
                <w:sz w:val="18"/>
                <w:szCs w:val="18"/>
                <w:lang w:eastAsia="es-CR"/>
              </w:rPr>
              <w:t>Febre</w:t>
            </w:r>
            <w:proofErr w:type="spellEnd"/>
            <w:r w:rsidR="009471FA">
              <w:rPr>
                <w:rFonts w:ascii="Book Antiqua" w:hAnsi="Book Antiqua"/>
                <w:b/>
                <w:bCs/>
                <w:color w:val="000000"/>
                <w:sz w:val="18"/>
                <w:szCs w:val="18"/>
                <w:lang w:eastAsia="es-CR"/>
              </w:rPr>
              <w:t>-</w:t>
            </w:r>
            <w:r w:rsidRPr="009471FA">
              <w:rPr>
                <w:rFonts w:ascii="Book Antiqua" w:hAnsi="Book Antiqua"/>
                <w:b/>
                <w:bCs/>
                <w:color w:val="000000"/>
                <w:sz w:val="18"/>
                <w:szCs w:val="18"/>
                <w:lang w:eastAsia="es-CR"/>
              </w:rPr>
              <w:t>ro 2019</w:t>
            </w:r>
          </w:p>
        </w:tc>
        <w:tc>
          <w:tcPr>
            <w:tcW w:w="918" w:type="dxa"/>
            <w:vMerge w:val="restart"/>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43326DD2" w14:textId="77777777" w:rsidR="001341EC" w:rsidRPr="009471FA" w:rsidRDefault="001341EC" w:rsidP="00165AA6">
            <w:pPr>
              <w:jc w:val="center"/>
              <w:rPr>
                <w:rFonts w:ascii="Book Antiqua" w:hAnsi="Book Antiqua"/>
                <w:b/>
                <w:bCs/>
                <w:color w:val="000000"/>
                <w:sz w:val="18"/>
                <w:szCs w:val="18"/>
                <w:lang w:eastAsia="es-CR"/>
              </w:rPr>
            </w:pPr>
            <w:proofErr w:type="spellStart"/>
            <w:r w:rsidRPr="009471FA">
              <w:rPr>
                <w:rFonts w:ascii="Book Antiqua" w:hAnsi="Book Antiqua"/>
                <w:b/>
                <w:bCs/>
                <w:color w:val="000000"/>
                <w:sz w:val="18"/>
                <w:szCs w:val="18"/>
                <w:lang w:eastAsia="es-CR"/>
              </w:rPr>
              <w:t>Pendien</w:t>
            </w:r>
            <w:proofErr w:type="spellEnd"/>
            <w:r w:rsidR="009471FA">
              <w:rPr>
                <w:rFonts w:ascii="Book Antiqua" w:hAnsi="Book Antiqua"/>
                <w:b/>
                <w:bCs/>
                <w:color w:val="000000"/>
                <w:sz w:val="18"/>
                <w:szCs w:val="18"/>
                <w:lang w:eastAsia="es-CR"/>
              </w:rPr>
              <w:t>-</w:t>
            </w:r>
            <w:r w:rsidRPr="009471FA">
              <w:rPr>
                <w:rFonts w:ascii="Book Antiqua" w:hAnsi="Book Antiqua"/>
                <w:b/>
                <w:bCs/>
                <w:color w:val="000000"/>
                <w:sz w:val="18"/>
                <w:szCs w:val="18"/>
                <w:lang w:eastAsia="es-CR"/>
              </w:rPr>
              <w:t xml:space="preserve">te de Fallo Enero 2019 </w:t>
            </w:r>
          </w:p>
        </w:tc>
        <w:tc>
          <w:tcPr>
            <w:tcW w:w="2107" w:type="dxa"/>
            <w:gridSpan w:val="3"/>
            <w:tcBorders>
              <w:top w:val="double" w:sz="6" w:space="0" w:color="1F497D"/>
              <w:left w:val="nil"/>
              <w:bottom w:val="double" w:sz="6" w:space="0" w:color="1F497D"/>
              <w:right w:val="double" w:sz="6" w:space="0" w:color="1F497D"/>
            </w:tcBorders>
            <w:shd w:val="clear" w:color="000000" w:fill="8DB4E2"/>
            <w:vAlign w:val="center"/>
            <w:hideMark/>
          </w:tcPr>
          <w:p w14:paraId="00ABDEC5" w14:textId="77777777" w:rsidR="001341EC" w:rsidRPr="009471FA" w:rsidRDefault="001341EC" w:rsidP="00165AA6">
            <w:pPr>
              <w:jc w:val="center"/>
              <w:rPr>
                <w:rFonts w:ascii="Book Antiqua" w:hAnsi="Book Antiqua"/>
                <w:b/>
                <w:bCs/>
                <w:color w:val="000000"/>
                <w:sz w:val="18"/>
                <w:szCs w:val="18"/>
                <w:lang w:eastAsia="es-CR"/>
              </w:rPr>
            </w:pPr>
            <w:r w:rsidRPr="009471FA">
              <w:rPr>
                <w:rFonts w:ascii="Book Antiqua" w:hAnsi="Book Antiqua"/>
                <w:b/>
                <w:bCs/>
                <w:color w:val="000000"/>
                <w:sz w:val="18"/>
                <w:szCs w:val="18"/>
                <w:lang w:eastAsia="es-CR"/>
              </w:rPr>
              <w:t>Recurso Humano 2019</w:t>
            </w:r>
          </w:p>
        </w:tc>
        <w:tc>
          <w:tcPr>
            <w:tcW w:w="1367" w:type="dxa"/>
            <w:gridSpan w:val="2"/>
            <w:tcBorders>
              <w:top w:val="double" w:sz="6" w:space="0" w:color="1F497D"/>
              <w:left w:val="nil"/>
              <w:bottom w:val="double" w:sz="6" w:space="0" w:color="1F497D"/>
              <w:right w:val="double" w:sz="6" w:space="0" w:color="1F497D"/>
            </w:tcBorders>
            <w:shd w:val="clear" w:color="000000" w:fill="DCE6F1"/>
            <w:vAlign w:val="center"/>
            <w:hideMark/>
          </w:tcPr>
          <w:p w14:paraId="5C8DD7FF" w14:textId="77777777" w:rsidR="001341EC" w:rsidRPr="009471FA" w:rsidRDefault="001341EC" w:rsidP="00165AA6">
            <w:pPr>
              <w:jc w:val="center"/>
              <w:rPr>
                <w:rFonts w:ascii="Book Antiqua" w:hAnsi="Book Antiqua"/>
                <w:b/>
                <w:bCs/>
                <w:color w:val="000000"/>
                <w:sz w:val="18"/>
                <w:szCs w:val="18"/>
                <w:lang w:eastAsia="es-CR"/>
              </w:rPr>
            </w:pPr>
            <w:r w:rsidRPr="009471FA">
              <w:rPr>
                <w:rFonts w:ascii="Book Antiqua" w:hAnsi="Book Antiqua"/>
                <w:b/>
                <w:bCs/>
                <w:color w:val="000000"/>
                <w:sz w:val="18"/>
                <w:szCs w:val="18"/>
                <w:lang w:eastAsia="es-CR"/>
              </w:rPr>
              <w:t>Carga de Trabajo por Jueza o Juez y Técnica o Técnico Judicial</w:t>
            </w:r>
          </w:p>
        </w:tc>
        <w:tc>
          <w:tcPr>
            <w:tcW w:w="1367" w:type="dxa"/>
            <w:gridSpan w:val="2"/>
            <w:tcBorders>
              <w:top w:val="double" w:sz="6" w:space="0" w:color="1F497D"/>
              <w:left w:val="nil"/>
              <w:bottom w:val="double" w:sz="6" w:space="0" w:color="1F497D"/>
              <w:right w:val="double" w:sz="6" w:space="0" w:color="1F497D"/>
            </w:tcBorders>
            <w:shd w:val="clear" w:color="000000" w:fill="C5D9F1"/>
            <w:vAlign w:val="center"/>
            <w:hideMark/>
          </w:tcPr>
          <w:p w14:paraId="48A446D3" w14:textId="77777777" w:rsidR="001341EC" w:rsidRPr="009471FA" w:rsidRDefault="001341EC" w:rsidP="00165AA6">
            <w:pPr>
              <w:jc w:val="center"/>
              <w:rPr>
                <w:rFonts w:ascii="Book Antiqua" w:hAnsi="Book Antiqua"/>
                <w:b/>
                <w:bCs/>
                <w:color w:val="000000"/>
                <w:sz w:val="18"/>
                <w:szCs w:val="18"/>
                <w:lang w:eastAsia="es-CR"/>
              </w:rPr>
            </w:pPr>
            <w:r w:rsidRPr="009471FA">
              <w:rPr>
                <w:rFonts w:ascii="Book Antiqua" w:hAnsi="Book Antiqua"/>
                <w:b/>
                <w:bCs/>
                <w:color w:val="000000"/>
                <w:sz w:val="18"/>
                <w:szCs w:val="18"/>
                <w:lang w:eastAsia="es-CR"/>
              </w:rPr>
              <w:t>Circulante por Jueza o Juez y Técnica o Técnico Judicial</w:t>
            </w:r>
          </w:p>
        </w:tc>
      </w:tr>
      <w:tr w:rsidR="001341EC" w:rsidRPr="002F64AC" w14:paraId="7F6DC034" w14:textId="77777777" w:rsidTr="00165AA6">
        <w:trPr>
          <w:trHeight w:val="960"/>
          <w:tblHeader/>
        </w:trPr>
        <w:tc>
          <w:tcPr>
            <w:tcW w:w="1048" w:type="dxa"/>
            <w:vMerge/>
            <w:tcBorders>
              <w:top w:val="double" w:sz="6" w:space="0" w:color="1F497D"/>
              <w:left w:val="double" w:sz="6" w:space="0" w:color="1F497D"/>
              <w:bottom w:val="double" w:sz="6" w:space="0" w:color="1F497D"/>
              <w:right w:val="double" w:sz="6" w:space="0" w:color="1F497D"/>
            </w:tcBorders>
            <w:vAlign w:val="center"/>
            <w:hideMark/>
          </w:tcPr>
          <w:p w14:paraId="20F687F8" w14:textId="77777777" w:rsidR="001341EC" w:rsidRPr="009471FA" w:rsidRDefault="001341EC" w:rsidP="00165AA6">
            <w:pPr>
              <w:rPr>
                <w:rFonts w:ascii="Book Antiqua" w:hAnsi="Book Antiqua"/>
                <w:b/>
                <w:bCs/>
                <w:color w:val="000000"/>
                <w:sz w:val="18"/>
                <w:szCs w:val="18"/>
                <w:lang w:eastAsia="es-CR"/>
              </w:rPr>
            </w:pPr>
          </w:p>
        </w:tc>
        <w:tc>
          <w:tcPr>
            <w:tcW w:w="1149" w:type="dxa"/>
            <w:vMerge/>
            <w:tcBorders>
              <w:top w:val="double" w:sz="6" w:space="0" w:color="1F497D"/>
              <w:left w:val="double" w:sz="6" w:space="0" w:color="1F497D"/>
              <w:bottom w:val="double" w:sz="6" w:space="0" w:color="1F497D"/>
              <w:right w:val="double" w:sz="6" w:space="0" w:color="1F497D"/>
            </w:tcBorders>
            <w:vAlign w:val="center"/>
            <w:hideMark/>
          </w:tcPr>
          <w:p w14:paraId="2CCB0844" w14:textId="77777777" w:rsidR="001341EC" w:rsidRPr="009471FA" w:rsidRDefault="001341EC" w:rsidP="00165AA6">
            <w:pPr>
              <w:rPr>
                <w:rFonts w:ascii="Book Antiqua" w:hAnsi="Book Antiqua"/>
                <w:b/>
                <w:bCs/>
                <w:color w:val="000000"/>
                <w:sz w:val="18"/>
                <w:szCs w:val="18"/>
                <w:lang w:eastAsia="es-CR"/>
              </w:rPr>
            </w:pPr>
          </w:p>
        </w:tc>
        <w:tc>
          <w:tcPr>
            <w:tcW w:w="688" w:type="dxa"/>
            <w:vMerge/>
            <w:tcBorders>
              <w:top w:val="double" w:sz="6" w:space="0" w:color="1F497D"/>
              <w:left w:val="double" w:sz="6" w:space="0" w:color="1F497D"/>
              <w:bottom w:val="double" w:sz="6" w:space="0" w:color="1F497D"/>
              <w:right w:val="double" w:sz="6" w:space="0" w:color="1F497D"/>
            </w:tcBorders>
            <w:vAlign w:val="center"/>
            <w:hideMark/>
          </w:tcPr>
          <w:p w14:paraId="0408E403" w14:textId="77777777" w:rsidR="001341EC" w:rsidRPr="009471FA" w:rsidRDefault="001341EC" w:rsidP="00165AA6">
            <w:pPr>
              <w:rPr>
                <w:rFonts w:ascii="Book Antiqua" w:hAnsi="Book Antiqua"/>
                <w:b/>
                <w:bCs/>
                <w:color w:val="000000"/>
                <w:sz w:val="18"/>
                <w:szCs w:val="18"/>
                <w:lang w:eastAsia="es-CR"/>
              </w:rPr>
            </w:pPr>
          </w:p>
        </w:tc>
        <w:tc>
          <w:tcPr>
            <w:tcW w:w="918" w:type="dxa"/>
            <w:vMerge/>
            <w:tcBorders>
              <w:top w:val="double" w:sz="6" w:space="0" w:color="1F497D"/>
              <w:left w:val="double" w:sz="6" w:space="0" w:color="1F497D"/>
              <w:bottom w:val="double" w:sz="6" w:space="0" w:color="1F497D"/>
              <w:right w:val="double" w:sz="6" w:space="0" w:color="1F497D"/>
            </w:tcBorders>
            <w:vAlign w:val="center"/>
            <w:hideMark/>
          </w:tcPr>
          <w:p w14:paraId="641FE941" w14:textId="77777777" w:rsidR="001341EC" w:rsidRPr="009471FA" w:rsidRDefault="001341EC" w:rsidP="00165AA6">
            <w:pPr>
              <w:rPr>
                <w:rFonts w:ascii="Book Antiqua" w:hAnsi="Book Antiqua"/>
                <w:b/>
                <w:bCs/>
                <w:color w:val="000000"/>
                <w:sz w:val="18"/>
                <w:szCs w:val="18"/>
                <w:lang w:eastAsia="es-CR"/>
              </w:rPr>
            </w:pPr>
          </w:p>
        </w:tc>
        <w:tc>
          <w:tcPr>
            <w:tcW w:w="562" w:type="dxa"/>
            <w:tcBorders>
              <w:top w:val="nil"/>
              <w:left w:val="nil"/>
              <w:bottom w:val="double" w:sz="6" w:space="0" w:color="1F497D"/>
              <w:right w:val="double" w:sz="6" w:space="0" w:color="1F497D"/>
            </w:tcBorders>
            <w:shd w:val="clear" w:color="000000" w:fill="8DB4E2"/>
            <w:vAlign w:val="center"/>
            <w:hideMark/>
          </w:tcPr>
          <w:p w14:paraId="37445C39" w14:textId="77777777" w:rsidR="001341EC" w:rsidRPr="009471FA" w:rsidRDefault="001341EC" w:rsidP="00165AA6">
            <w:pPr>
              <w:jc w:val="center"/>
              <w:rPr>
                <w:rFonts w:ascii="Book Antiqua" w:hAnsi="Book Antiqua"/>
                <w:b/>
                <w:bCs/>
                <w:color w:val="000000"/>
                <w:sz w:val="18"/>
                <w:szCs w:val="18"/>
                <w:lang w:eastAsia="es-CR"/>
              </w:rPr>
            </w:pPr>
            <w:r w:rsidRPr="009471FA">
              <w:rPr>
                <w:rFonts w:ascii="Book Antiqua" w:hAnsi="Book Antiqua"/>
                <w:b/>
                <w:bCs/>
                <w:color w:val="000000"/>
                <w:sz w:val="18"/>
                <w:szCs w:val="18"/>
                <w:lang w:eastAsia="es-CR"/>
              </w:rPr>
              <w:t>Jueza o Juez</w:t>
            </w:r>
          </w:p>
        </w:tc>
        <w:tc>
          <w:tcPr>
            <w:tcW w:w="805" w:type="dxa"/>
            <w:tcBorders>
              <w:top w:val="nil"/>
              <w:left w:val="nil"/>
              <w:bottom w:val="double" w:sz="6" w:space="0" w:color="1F497D"/>
              <w:right w:val="double" w:sz="6" w:space="0" w:color="1F497D"/>
            </w:tcBorders>
            <w:shd w:val="clear" w:color="000000" w:fill="8DB4E2"/>
            <w:vAlign w:val="center"/>
            <w:hideMark/>
          </w:tcPr>
          <w:p w14:paraId="5492C8FA" w14:textId="77777777" w:rsidR="001341EC" w:rsidRPr="009471FA" w:rsidRDefault="001341EC" w:rsidP="00165AA6">
            <w:pPr>
              <w:jc w:val="center"/>
              <w:rPr>
                <w:rFonts w:ascii="Book Antiqua" w:hAnsi="Book Antiqua"/>
                <w:b/>
                <w:bCs/>
                <w:color w:val="000000"/>
                <w:sz w:val="18"/>
                <w:szCs w:val="18"/>
                <w:lang w:eastAsia="es-CR"/>
              </w:rPr>
            </w:pPr>
            <w:proofErr w:type="spellStart"/>
            <w:r w:rsidRPr="009471FA">
              <w:rPr>
                <w:rFonts w:ascii="Book Antiqua" w:hAnsi="Book Antiqua"/>
                <w:b/>
                <w:bCs/>
                <w:color w:val="000000"/>
                <w:sz w:val="18"/>
                <w:szCs w:val="18"/>
                <w:lang w:eastAsia="es-CR"/>
              </w:rPr>
              <w:t>Perso</w:t>
            </w:r>
            <w:r w:rsidR="009471FA">
              <w:rPr>
                <w:rFonts w:ascii="Book Antiqua" w:hAnsi="Book Antiqua"/>
                <w:b/>
                <w:bCs/>
                <w:color w:val="000000"/>
                <w:sz w:val="18"/>
                <w:szCs w:val="18"/>
                <w:lang w:eastAsia="es-CR"/>
              </w:rPr>
              <w:t>-</w:t>
            </w:r>
            <w:r w:rsidRPr="009471FA">
              <w:rPr>
                <w:rFonts w:ascii="Book Antiqua" w:hAnsi="Book Antiqua"/>
                <w:b/>
                <w:bCs/>
                <w:color w:val="000000"/>
                <w:sz w:val="18"/>
                <w:szCs w:val="18"/>
                <w:lang w:eastAsia="es-CR"/>
              </w:rPr>
              <w:t>nal</w:t>
            </w:r>
            <w:proofErr w:type="spellEnd"/>
            <w:r w:rsidRPr="009471FA">
              <w:rPr>
                <w:rFonts w:ascii="Book Antiqua" w:hAnsi="Book Antiqua"/>
                <w:b/>
                <w:bCs/>
                <w:color w:val="000000"/>
                <w:sz w:val="18"/>
                <w:szCs w:val="18"/>
                <w:lang w:eastAsia="es-CR"/>
              </w:rPr>
              <w:t xml:space="preserve"> Técnico Judicial</w:t>
            </w:r>
          </w:p>
        </w:tc>
        <w:tc>
          <w:tcPr>
            <w:tcW w:w="740" w:type="dxa"/>
            <w:tcBorders>
              <w:top w:val="nil"/>
              <w:left w:val="nil"/>
              <w:bottom w:val="double" w:sz="6" w:space="0" w:color="1F497D"/>
              <w:right w:val="double" w:sz="6" w:space="0" w:color="1F497D"/>
            </w:tcBorders>
            <w:shd w:val="clear" w:color="000000" w:fill="8DB4E2"/>
            <w:vAlign w:val="center"/>
            <w:hideMark/>
          </w:tcPr>
          <w:p w14:paraId="1E350998" w14:textId="77777777" w:rsidR="001341EC" w:rsidRPr="009471FA" w:rsidRDefault="001341EC" w:rsidP="00165AA6">
            <w:pPr>
              <w:jc w:val="center"/>
              <w:rPr>
                <w:rFonts w:ascii="Book Antiqua" w:hAnsi="Book Antiqua"/>
                <w:b/>
                <w:bCs/>
                <w:color w:val="000000"/>
                <w:sz w:val="18"/>
                <w:szCs w:val="18"/>
                <w:lang w:eastAsia="es-CR"/>
              </w:rPr>
            </w:pPr>
            <w:r w:rsidRPr="009471FA">
              <w:rPr>
                <w:rFonts w:ascii="Book Antiqua" w:hAnsi="Book Antiqua"/>
                <w:b/>
                <w:bCs/>
                <w:color w:val="000000"/>
                <w:sz w:val="18"/>
                <w:szCs w:val="18"/>
                <w:lang w:eastAsia="es-CR"/>
              </w:rPr>
              <w:t>Coord. Judi</w:t>
            </w:r>
            <w:r w:rsidR="009471FA">
              <w:rPr>
                <w:rFonts w:ascii="Book Antiqua" w:hAnsi="Book Antiqua"/>
                <w:b/>
                <w:bCs/>
                <w:color w:val="000000"/>
                <w:sz w:val="18"/>
                <w:szCs w:val="18"/>
                <w:lang w:eastAsia="es-CR"/>
              </w:rPr>
              <w:t>-</w:t>
            </w:r>
            <w:proofErr w:type="spellStart"/>
            <w:r w:rsidRPr="009471FA">
              <w:rPr>
                <w:rFonts w:ascii="Book Antiqua" w:hAnsi="Book Antiqua"/>
                <w:b/>
                <w:bCs/>
                <w:color w:val="000000"/>
                <w:sz w:val="18"/>
                <w:szCs w:val="18"/>
                <w:lang w:eastAsia="es-CR"/>
              </w:rPr>
              <w:t>cial</w:t>
            </w:r>
            <w:proofErr w:type="spellEnd"/>
          </w:p>
        </w:tc>
        <w:tc>
          <w:tcPr>
            <w:tcW w:w="562" w:type="dxa"/>
            <w:tcBorders>
              <w:top w:val="nil"/>
              <w:left w:val="nil"/>
              <w:bottom w:val="double" w:sz="6" w:space="0" w:color="1F497D"/>
              <w:right w:val="double" w:sz="6" w:space="0" w:color="1F497D"/>
            </w:tcBorders>
            <w:shd w:val="clear" w:color="000000" w:fill="DCE6F1"/>
            <w:vAlign w:val="center"/>
            <w:hideMark/>
          </w:tcPr>
          <w:p w14:paraId="73BDDFD6" w14:textId="77777777" w:rsidR="001341EC" w:rsidRPr="009471FA" w:rsidRDefault="001341EC" w:rsidP="00165AA6">
            <w:pPr>
              <w:jc w:val="center"/>
              <w:rPr>
                <w:rFonts w:ascii="Book Antiqua" w:hAnsi="Book Antiqua"/>
                <w:b/>
                <w:bCs/>
                <w:color w:val="000000"/>
                <w:sz w:val="18"/>
                <w:szCs w:val="18"/>
                <w:lang w:eastAsia="es-CR"/>
              </w:rPr>
            </w:pPr>
            <w:r w:rsidRPr="009471FA">
              <w:rPr>
                <w:rFonts w:ascii="Book Antiqua" w:hAnsi="Book Antiqua"/>
                <w:b/>
                <w:bCs/>
                <w:color w:val="000000"/>
                <w:sz w:val="18"/>
                <w:szCs w:val="18"/>
                <w:lang w:eastAsia="es-CR"/>
              </w:rPr>
              <w:t>Jueza o Juez</w:t>
            </w:r>
          </w:p>
        </w:tc>
        <w:tc>
          <w:tcPr>
            <w:tcW w:w="805" w:type="dxa"/>
            <w:tcBorders>
              <w:top w:val="nil"/>
              <w:left w:val="nil"/>
              <w:bottom w:val="double" w:sz="6" w:space="0" w:color="1F497D"/>
              <w:right w:val="double" w:sz="6" w:space="0" w:color="1F497D"/>
            </w:tcBorders>
            <w:shd w:val="clear" w:color="000000" w:fill="DCE6F1"/>
            <w:vAlign w:val="center"/>
            <w:hideMark/>
          </w:tcPr>
          <w:p w14:paraId="564109DB" w14:textId="77777777" w:rsidR="001341EC" w:rsidRPr="009471FA" w:rsidRDefault="001341EC" w:rsidP="00165AA6">
            <w:pPr>
              <w:jc w:val="center"/>
              <w:rPr>
                <w:rFonts w:ascii="Book Antiqua" w:hAnsi="Book Antiqua"/>
                <w:b/>
                <w:bCs/>
                <w:color w:val="000000"/>
                <w:sz w:val="18"/>
                <w:szCs w:val="18"/>
                <w:lang w:eastAsia="es-CR"/>
              </w:rPr>
            </w:pPr>
            <w:proofErr w:type="spellStart"/>
            <w:r w:rsidRPr="009471FA">
              <w:rPr>
                <w:rFonts w:ascii="Book Antiqua" w:hAnsi="Book Antiqua"/>
                <w:b/>
                <w:bCs/>
                <w:color w:val="000000"/>
                <w:sz w:val="18"/>
                <w:szCs w:val="18"/>
                <w:lang w:eastAsia="es-CR"/>
              </w:rPr>
              <w:t>Perso</w:t>
            </w:r>
            <w:r w:rsidR="009471FA">
              <w:rPr>
                <w:rFonts w:ascii="Book Antiqua" w:hAnsi="Book Antiqua"/>
                <w:b/>
                <w:bCs/>
                <w:color w:val="000000"/>
                <w:sz w:val="18"/>
                <w:szCs w:val="18"/>
                <w:lang w:eastAsia="es-CR"/>
              </w:rPr>
              <w:t>-</w:t>
            </w:r>
            <w:r w:rsidRPr="009471FA">
              <w:rPr>
                <w:rFonts w:ascii="Book Antiqua" w:hAnsi="Book Antiqua"/>
                <w:b/>
                <w:bCs/>
                <w:color w:val="000000"/>
                <w:sz w:val="18"/>
                <w:szCs w:val="18"/>
                <w:lang w:eastAsia="es-CR"/>
              </w:rPr>
              <w:t>nal</w:t>
            </w:r>
            <w:proofErr w:type="spellEnd"/>
            <w:r w:rsidRPr="009471FA">
              <w:rPr>
                <w:rFonts w:ascii="Book Antiqua" w:hAnsi="Book Antiqua"/>
                <w:b/>
                <w:bCs/>
                <w:color w:val="000000"/>
                <w:sz w:val="18"/>
                <w:szCs w:val="18"/>
                <w:lang w:eastAsia="es-CR"/>
              </w:rPr>
              <w:t xml:space="preserve"> Técnico Judicial</w:t>
            </w:r>
          </w:p>
        </w:tc>
        <w:tc>
          <w:tcPr>
            <w:tcW w:w="562" w:type="dxa"/>
            <w:tcBorders>
              <w:top w:val="nil"/>
              <w:left w:val="nil"/>
              <w:bottom w:val="double" w:sz="6" w:space="0" w:color="1F497D"/>
              <w:right w:val="double" w:sz="6" w:space="0" w:color="1F497D"/>
            </w:tcBorders>
            <w:shd w:val="clear" w:color="000000" w:fill="C5D9F1"/>
            <w:vAlign w:val="center"/>
            <w:hideMark/>
          </w:tcPr>
          <w:p w14:paraId="1823ECCE" w14:textId="77777777" w:rsidR="001341EC" w:rsidRPr="009471FA" w:rsidRDefault="001341EC" w:rsidP="00165AA6">
            <w:pPr>
              <w:jc w:val="center"/>
              <w:rPr>
                <w:rFonts w:ascii="Book Antiqua" w:hAnsi="Book Antiqua"/>
                <w:b/>
                <w:bCs/>
                <w:color w:val="000000"/>
                <w:sz w:val="18"/>
                <w:szCs w:val="18"/>
                <w:lang w:eastAsia="es-CR"/>
              </w:rPr>
            </w:pPr>
            <w:r w:rsidRPr="009471FA">
              <w:rPr>
                <w:rFonts w:ascii="Book Antiqua" w:hAnsi="Book Antiqua"/>
                <w:b/>
                <w:bCs/>
                <w:color w:val="000000"/>
                <w:sz w:val="18"/>
                <w:szCs w:val="18"/>
                <w:lang w:eastAsia="es-CR"/>
              </w:rPr>
              <w:t>Jueza o Juez</w:t>
            </w:r>
          </w:p>
        </w:tc>
        <w:tc>
          <w:tcPr>
            <w:tcW w:w="805" w:type="dxa"/>
            <w:tcBorders>
              <w:top w:val="nil"/>
              <w:left w:val="nil"/>
              <w:bottom w:val="double" w:sz="6" w:space="0" w:color="1F497D"/>
              <w:right w:val="double" w:sz="6" w:space="0" w:color="1F497D"/>
            </w:tcBorders>
            <w:shd w:val="clear" w:color="000000" w:fill="C5D9F1"/>
            <w:vAlign w:val="center"/>
            <w:hideMark/>
          </w:tcPr>
          <w:p w14:paraId="354050EF" w14:textId="77777777" w:rsidR="001341EC" w:rsidRPr="009471FA" w:rsidRDefault="001341EC" w:rsidP="00165AA6">
            <w:pPr>
              <w:jc w:val="center"/>
              <w:rPr>
                <w:rFonts w:ascii="Book Antiqua" w:hAnsi="Book Antiqua"/>
                <w:b/>
                <w:bCs/>
                <w:color w:val="000000"/>
                <w:sz w:val="18"/>
                <w:szCs w:val="18"/>
                <w:lang w:eastAsia="es-CR"/>
              </w:rPr>
            </w:pPr>
            <w:proofErr w:type="spellStart"/>
            <w:r w:rsidRPr="009471FA">
              <w:rPr>
                <w:rFonts w:ascii="Book Antiqua" w:hAnsi="Book Antiqua"/>
                <w:b/>
                <w:bCs/>
                <w:color w:val="000000"/>
                <w:sz w:val="18"/>
                <w:szCs w:val="18"/>
                <w:lang w:eastAsia="es-CR"/>
              </w:rPr>
              <w:t>Perso</w:t>
            </w:r>
            <w:r w:rsidR="009471FA">
              <w:rPr>
                <w:rFonts w:ascii="Book Antiqua" w:hAnsi="Book Antiqua"/>
                <w:b/>
                <w:bCs/>
                <w:color w:val="000000"/>
                <w:sz w:val="18"/>
                <w:szCs w:val="18"/>
                <w:lang w:eastAsia="es-CR"/>
              </w:rPr>
              <w:t>-</w:t>
            </w:r>
            <w:r w:rsidRPr="009471FA">
              <w:rPr>
                <w:rFonts w:ascii="Book Antiqua" w:hAnsi="Book Antiqua"/>
                <w:b/>
                <w:bCs/>
                <w:color w:val="000000"/>
                <w:sz w:val="18"/>
                <w:szCs w:val="18"/>
                <w:lang w:eastAsia="es-CR"/>
              </w:rPr>
              <w:t>nal</w:t>
            </w:r>
            <w:proofErr w:type="spellEnd"/>
            <w:r w:rsidRPr="009471FA">
              <w:rPr>
                <w:rFonts w:ascii="Book Antiqua" w:hAnsi="Book Antiqua"/>
                <w:b/>
                <w:bCs/>
                <w:color w:val="000000"/>
                <w:sz w:val="18"/>
                <w:szCs w:val="18"/>
                <w:lang w:eastAsia="es-CR"/>
              </w:rPr>
              <w:t xml:space="preserve"> Técnico Judicial</w:t>
            </w:r>
          </w:p>
        </w:tc>
      </w:tr>
      <w:tr w:rsidR="001341EC" w:rsidRPr="002F64AC" w14:paraId="160EF038" w14:textId="77777777" w:rsidTr="00165AA6">
        <w:trPr>
          <w:trHeight w:val="960"/>
        </w:trPr>
        <w:tc>
          <w:tcPr>
            <w:tcW w:w="1048" w:type="dxa"/>
            <w:tcBorders>
              <w:top w:val="nil"/>
              <w:left w:val="double" w:sz="6" w:space="0" w:color="1F497D"/>
              <w:bottom w:val="double" w:sz="6" w:space="0" w:color="1F497D"/>
              <w:right w:val="double" w:sz="6" w:space="0" w:color="1F497D"/>
            </w:tcBorders>
            <w:shd w:val="clear" w:color="000000" w:fill="DAEEF3"/>
            <w:vAlign w:val="center"/>
            <w:hideMark/>
          </w:tcPr>
          <w:p w14:paraId="307393DC" w14:textId="77777777" w:rsidR="001341EC" w:rsidRPr="002F64AC" w:rsidRDefault="001341EC" w:rsidP="00165AA6">
            <w:pPr>
              <w:rPr>
                <w:rFonts w:ascii="Book Antiqua" w:hAnsi="Book Antiqua"/>
                <w:lang w:eastAsia="es-CR"/>
              </w:rPr>
            </w:pPr>
            <w:r w:rsidRPr="002F64AC">
              <w:rPr>
                <w:rFonts w:ascii="Book Antiqua" w:hAnsi="Book Antiqua"/>
                <w:lang w:eastAsia="es-CR"/>
              </w:rPr>
              <w:t xml:space="preserve">Juzgado Agrario del II Circ. </w:t>
            </w:r>
            <w:proofErr w:type="spellStart"/>
            <w:r w:rsidRPr="002F64AC">
              <w:rPr>
                <w:rFonts w:ascii="Book Antiqua" w:hAnsi="Book Antiqua"/>
                <w:lang w:eastAsia="es-CR"/>
              </w:rPr>
              <w:t>Jud</w:t>
            </w:r>
            <w:proofErr w:type="spellEnd"/>
            <w:r w:rsidRPr="002F64AC">
              <w:rPr>
                <w:rFonts w:ascii="Book Antiqua" w:hAnsi="Book Antiqua"/>
                <w:lang w:eastAsia="es-CR"/>
              </w:rPr>
              <w:t>. de la Zona Atlántica</w:t>
            </w:r>
          </w:p>
        </w:tc>
        <w:tc>
          <w:tcPr>
            <w:tcW w:w="1149" w:type="dxa"/>
            <w:tcBorders>
              <w:top w:val="nil"/>
              <w:left w:val="nil"/>
              <w:bottom w:val="double" w:sz="6" w:space="0" w:color="1F497D"/>
              <w:right w:val="double" w:sz="6" w:space="0" w:color="1F497D"/>
            </w:tcBorders>
            <w:shd w:val="clear" w:color="000000" w:fill="DAEEF3"/>
            <w:vAlign w:val="center"/>
            <w:hideMark/>
          </w:tcPr>
          <w:p w14:paraId="5CFC3A42"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37</w:t>
            </w:r>
          </w:p>
        </w:tc>
        <w:tc>
          <w:tcPr>
            <w:tcW w:w="688" w:type="dxa"/>
            <w:tcBorders>
              <w:top w:val="nil"/>
              <w:left w:val="nil"/>
              <w:bottom w:val="double" w:sz="6" w:space="0" w:color="1F497D"/>
              <w:right w:val="double" w:sz="6" w:space="0" w:color="1F497D"/>
            </w:tcBorders>
            <w:shd w:val="clear" w:color="000000" w:fill="DAEEF3"/>
            <w:vAlign w:val="center"/>
            <w:hideMark/>
          </w:tcPr>
          <w:p w14:paraId="5353DFED"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851</w:t>
            </w:r>
          </w:p>
        </w:tc>
        <w:tc>
          <w:tcPr>
            <w:tcW w:w="918" w:type="dxa"/>
            <w:tcBorders>
              <w:top w:val="nil"/>
              <w:left w:val="nil"/>
              <w:bottom w:val="double" w:sz="6" w:space="0" w:color="1F497D"/>
              <w:right w:val="double" w:sz="6" w:space="0" w:color="1F497D"/>
            </w:tcBorders>
            <w:shd w:val="clear" w:color="000000" w:fill="DAEEF3"/>
            <w:vAlign w:val="center"/>
            <w:hideMark/>
          </w:tcPr>
          <w:p w14:paraId="53C25ACB"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27</w:t>
            </w:r>
          </w:p>
        </w:tc>
        <w:tc>
          <w:tcPr>
            <w:tcW w:w="562" w:type="dxa"/>
            <w:tcBorders>
              <w:top w:val="nil"/>
              <w:left w:val="nil"/>
              <w:bottom w:val="double" w:sz="6" w:space="0" w:color="1F497D"/>
              <w:right w:val="double" w:sz="6" w:space="0" w:color="1F497D"/>
            </w:tcBorders>
            <w:shd w:val="clear" w:color="000000" w:fill="DAEEF3"/>
            <w:vAlign w:val="center"/>
            <w:hideMark/>
          </w:tcPr>
          <w:p w14:paraId="6221F376"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805" w:type="dxa"/>
            <w:tcBorders>
              <w:top w:val="nil"/>
              <w:left w:val="nil"/>
              <w:bottom w:val="double" w:sz="6" w:space="0" w:color="1F497D"/>
              <w:right w:val="double" w:sz="6" w:space="0" w:color="1F497D"/>
            </w:tcBorders>
            <w:shd w:val="clear" w:color="000000" w:fill="DAEEF3"/>
            <w:vAlign w:val="center"/>
            <w:hideMark/>
          </w:tcPr>
          <w:p w14:paraId="4B85EE4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5</w:t>
            </w:r>
          </w:p>
        </w:tc>
        <w:tc>
          <w:tcPr>
            <w:tcW w:w="740" w:type="dxa"/>
            <w:tcBorders>
              <w:top w:val="nil"/>
              <w:left w:val="nil"/>
              <w:bottom w:val="double" w:sz="6" w:space="0" w:color="1F497D"/>
              <w:right w:val="double" w:sz="6" w:space="0" w:color="1F497D"/>
            </w:tcBorders>
            <w:shd w:val="clear" w:color="000000" w:fill="DAEEF3"/>
            <w:vAlign w:val="center"/>
            <w:hideMark/>
          </w:tcPr>
          <w:p w14:paraId="6C12EFA9"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000000" w:fill="DAEEF3"/>
            <w:vAlign w:val="center"/>
            <w:hideMark/>
          </w:tcPr>
          <w:p w14:paraId="2D81066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19</w:t>
            </w:r>
          </w:p>
        </w:tc>
        <w:tc>
          <w:tcPr>
            <w:tcW w:w="805" w:type="dxa"/>
            <w:tcBorders>
              <w:top w:val="nil"/>
              <w:left w:val="nil"/>
              <w:bottom w:val="double" w:sz="6" w:space="0" w:color="1F497D"/>
              <w:right w:val="double" w:sz="6" w:space="0" w:color="1F497D"/>
            </w:tcBorders>
            <w:shd w:val="clear" w:color="000000" w:fill="DAEEF3"/>
            <w:vAlign w:val="center"/>
            <w:hideMark/>
          </w:tcPr>
          <w:p w14:paraId="49DE84F0"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7</w:t>
            </w:r>
          </w:p>
        </w:tc>
        <w:tc>
          <w:tcPr>
            <w:tcW w:w="562" w:type="dxa"/>
            <w:tcBorders>
              <w:top w:val="nil"/>
              <w:left w:val="nil"/>
              <w:bottom w:val="double" w:sz="6" w:space="0" w:color="1F497D"/>
              <w:right w:val="double" w:sz="6" w:space="0" w:color="1F497D"/>
            </w:tcBorders>
            <w:shd w:val="clear" w:color="000000" w:fill="DAEEF3"/>
            <w:vAlign w:val="center"/>
            <w:hideMark/>
          </w:tcPr>
          <w:p w14:paraId="789ED2E3"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426</w:t>
            </w:r>
          </w:p>
        </w:tc>
        <w:tc>
          <w:tcPr>
            <w:tcW w:w="805" w:type="dxa"/>
            <w:tcBorders>
              <w:top w:val="nil"/>
              <w:left w:val="nil"/>
              <w:bottom w:val="double" w:sz="6" w:space="0" w:color="1F497D"/>
              <w:right w:val="double" w:sz="6" w:space="0" w:color="1F497D"/>
            </w:tcBorders>
            <w:shd w:val="clear" w:color="000000" w:fill="DAEEF3"/>
            <w:vAlign w:val="center"/>
            <w:hideMark/>
          </w:tcPr>
          <w:p w14:paraId="000D374B"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170</w:t>
            </w:r>
          </w:p>
        </w:tc>
      </w:tr>
      <w:tr w:rsidR="001341EC" w:rsidRPr="002F64AC" w14:paraId="5433844A" w14:textId="77777777" w:rsidTr="00165AA6">
        <w:trPr>
          <w:trHeight w:val="336"/>
        </w:trPr>
        <w:tc>
          <w:tcPr>
            <w:tcW w:w="1048" w:type="dxa"/>
            <w:tcBorders>
              <w:top w:val="nil"/>
              <w:left w:val="double" w:sz="6" w:space="0" w:color="1F497D"/>
              <w:bottom w:val="double" w:sz="6" w:space="0" w:color="1F497D"/>
              <w:right w:val="double" w:sz="6" w:space="0" w:color="1F497D"/>
            </w:tcBorders>
            <w:shd w:val="clear" w:color="000000" w:fill="DAEEF3"/>
            <w:vAlign w:val="center"/>
            <w:hideMark/>
          </w:tcPr>
          <w:p w14:paraId="5622621F" w14:textId="77777777" w:rsidR="001341EC" w:rsidRPr="002F64AC" w:rsidRDefault="001341EC" w:rsidP="00165AA6">
            <w:pPr>
              <w:rPr>
                <w:rFonts w:ascii="Book Antiqua" w:hAnsi="Book Antiqua"/>
                <w:lang w:eastAsia="es-CR"/>
              </w:rPr>
            </w:pPr>
            <w:r w:rsidRPr="002F64AC">
              <w:rPr>
                <w:rFonts w:ascii="Book Antiqua" w:hAnsi="Book Antiqua"/>
                <w:lang w:eastAsia="es-CR"/>
              </w:rPr>
              <w:t xml:space="preserve">Juzgado Agrario II Circ. </w:t>
            </w:r>
            <w:proofErr w:type="spellStart"/>
            <w:r w:rsidRPr="002F64AC">
              <w:rPr>
                <w:rFonts w:ascii="Book Antiqua" w:hAnsi="Book Antiqua"/>
                <w:lang w:eastAsia="es-CR"/>
              </w:rPr>
              <w:t>Jud</w:t>
            </w:r>
            <w:proofErr w:type="spellEnd"/>
            <w:r w:rsidRPr="002F64AC">
              <w:rPr>
                <w:rFonts w:ascii="Book Antiqua" w:hAnsi="Book Antiqua"/>
                <w:lang w:eastAsia="es-CR"/>
              </w:rPr>
              <w:t>. Guanacas</w:t>
            </w:r>
            <w:r w:rsidRPr="002F64AC">
              <w:rPr>
                <w:rFonts w:ascii="Book Antiqua" w:hAnsi="Book Antiqua"/>
                <w:lang w:eastAsia="es-CR"/>
              </w:rPr>
              <w:lastRenderedPageBreak/>
              <w:t>te</w:t>
            </w:r>
          </w:p>
        </w:tc>
        <w:tc>
          <w:tcPr>
            <w:tcW w:w="1149" w:type="dxa"/>
            <w:tcBorders>
              <w:top w:val="nil"/>
              <w:left w:val="nil"/>
              <w:bottom w:val="double" w:sz="6" w:space="0" w:color="1F497D"/>
              <w:right w:val="double" w:sz="6" w:space="0" w:color="1F497D"/>
            </w:tcBorders>
            <w:shd w:val="clear" w:color="000000" w:fill="DAEEF3"/>
            <w:vAlign w:val="center"/>
            <w:hideMark/>
          </w:tcPr>
          <w:p w14:paraId="001B153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lastRenderedPageBreak/>
              <w:t>40</w:t>
            </w:r>
          </w:p>
        </w:tc>
        <w:tc>
          <w:tcPr>
            <w:tcW w:w="688" w:type="dxa"/>
            <w:tcBorders>
              <w:top w:val="nil"/>
              <w:left w:val="nil"/>
              <w:bottom w:val="double" w:sz="6" w:space="0" w:color="1F497D"/>
              <w:right w:val="double" w:sz="6" w:space="0" w:color="1F497D"/>
            </w:tcBorders>
            <w:shd w:val="clear" w:color="000000" w:fill="DAEEF3"/>
            <w:vAlign w:val="center"/>
            <w:hideMark/>
          </w:tcPr>
          <w:p w14:paraId="2A0A0ACB"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799</w:t>
            </w:r>
          </w:p>
        </w:tc>
        <w:tc>
          <w:tcPr>
            <w:tcW w:w="918" w:type="dxa"/>
            <w:tcBorders>
              <w:top w:val="nil"/>
              <w:left w:val="nil"/>
              <w:bottom w:val="double" w:sz="6" w:space="0" w:color="1F497D"/>
              <w:right w:val="double" w:sz="6" w:space="0" w:color="1F497D"/>
            </w:tcBorders>
            <w:shd w:val="clear" w:color="000000" w:fill="DAEEF3"/>
            <w:vAlign w:val="center"/>
            <w:hideMark/>
          </w:tcPr>
          <w:p w14:paraId="5E4CD47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5</w:t>
            </w:r>
          </w:p>
        </w:tc>
        <w:tc>
          <w:tcPr>
            <w:tcW w:w="562" w:type="dxa"/>
            <w:tcBorders>
              <w:top w:val="nil"/>
              <w:left w:val="nil"/>
              <w:bottom w:val="double" w:sz="6" w:space="0" w:color="1F497D"/>
              <w:right w:val="double" w:sz="6" w:space="0" w:color="1F497D"/>
            </w:tcBorders>
            <w:shd w:val="clear" w:color="000000" w:fill="DAEEF3"/>
            <w:vAlign w:val="center"/>
            <w:hideMark/>
          </w:tcPr>
          <w:p w14:paraId="4480468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805" w:type="dxa"/>
            <w:tcBorders>
              <w:top w:val="nil"/>
              <w:left w:val="nil"/>
              <w:bottom w:val="double" w:sz="6" w:space="0" w:color="1F497D"/>
              <w:right w:val="double" w:sz="6" w:space="0" w:color="1F497D"/>
            </w:tcBorders>
            <w:shd w:val="clear" w:color="000000" w:fill="DAEEF3"/>
            <w:vAlign w:val="center"/>
            <w:hideMark/>
          </w:tcPr>
          <w:p w14:paraId="081E8CB4"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4</w:t>
            </w:r>
          </w:p>
        </w:tc>
        <w:tc>
          <w:tcPr>
            <w:tcW w:w="740" w:type="dxa"/>
            <w:tcBorders>
              <w:top w:val="nil"/>
              <w:left w:val="nil"/>
              <w:bottom w:val="double" w:sz="6" w:space="0" w:color="1F497D"/>
              <w:right w:val="double" w:sz="6" w:space="0" w:color="1F497D"/>
            </w:tcBorders>
            <w:shd w:val="clear" w:color="000000" w:fill="DAEEF3"/>
            <w:vAlign w:val="center"/>
            <w:hideMark/>
          </w:tcPr>
          <w:p w14:paraId="170878D6"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000000" w:fill="DAEEF3"/>
            <w:vAlign w:val="center"/>
            <w:hideMark/>
          </w:tcPr>
          <w:p w14:paraId="3B1059F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20</w:t>
            </w:r>
          </w:p>
        </w:tc>
        <w:tc>
          <w:tcPr>
            <w:tcW w:w="805" w:type="dxa"/>
            <w:tcBorders>
              <w:top w:val="nil"/>
              <w:left w:val="nil"/>
              <w:bottom w:val="double" w:sz="6" w:space="0" w:color="1F497D"/>
              <w:right w:val="double" w:sz="6" w:space="0" w:color="1F497D"/>
            </w:tcBorders>
            <w:shd w:val="clear" w:color="000000" w:fill="DAEEF3"/>
            <w:vAlign w:val="center"/>
            <w:hideMark/>
          </w:tcPr>
          <w:p w14:paraId="7D596493"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10</w:t>
            </w:r>
          </w:p>
        </w:tc>
        <w:tc>
          <w:tcPr>
            <w:tcW w:w="562" w:type="dxa"/>
            <w:tcBorders>
              <w:top w:val="nil"/>
              <w:left w:val="nil"/>
              <w:bottom w:val="double" w:sz="6" w:space="0" w:color="1F497D"/>
              <w:right w:val="double" w:sz="6" w:space="0" w:color="1F497D"/>
            </w:tcBorders>
            <w:shd w:val="clear" w:color="000000" w:fill="DAEEF3"/>
            <w:vAlign w:val="center"/>
            <w:hideMark/>
          </w:tcPr>
          <w:p w14:paraId="69744C8B"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400</w:t>
            </w:r>
          </w:p>
        </w:tc>
        <w:tc>
          <w:tcPr>
            <w:tcW w:w="805" w:type="dxa"/>
            <w:tcBorders>
              <w:top w:val="nil"/>
              <w:left w:val="nil"/>
              <w:bottom w:val="double" w:sz="6" w:space="0" w:color="1F497D"/>
              <w:right w:val="double" w:sz="6" w:space="0" w:color="1F497D"/>
            </w:tcBorders>
            <w:shd w:val="clear" w:color="000000" w:fill="DAEEF3"/>
            <w:vAlign w:val="center"/>
            <w:hideMark/>
          </w:tcPr>
          <w:p w14:paraId="2DA95520"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200</w:t>
            </w:r>
          </w:p>
        </w:tc>
      </w:tr>
      <w:tr w:rsidR="001341EC" w:rsidRPr="002F64AC" w14:paraId="0ED10A74" w14:textId="77777777" w:rsidTr="00165AA6">
        <w:trPr>
          <w:trHeight w:val="648"/>
        </w:trPr>
        <w:tc>
          <w:tcPr>
            <w:tcW w:w="1048" w:type="dxa"/>
            <w:tcBorders>
              <w:top w:val="nil"/>
              <w:left w:val="double" w:sz="6" w:space="0" w:color="1F497D"/>
              <w:bottom w:val="double" w:sz="6" w:space="0" w:color="1F497D"/>
              <w:right w:val="double" w:sz="6" w:space="0" w:color="1F497D"/>
            </w:tcBorders>
            <w:shd w:val="clear" w:color="000000" w:fill="DAEEF3"/>
            <w:vAlign w:val="center"/>
            <w:hideMark/>
          </w:tcPr>
          <w:p w14:paraId="5766F8A7" w14:textId="77777777" w:rsidR="001341EC" w:rsidRPr="002F64AC" w:rsidRDefault="001341EC" w:rsidP="00165AA6">
            <w:pPr>
              <w:rPr>
                <w:rFonts w:ascii="Book Antiqua" w:hAnsi="Book Antiqua"/>
                <w:lang w:eastAsia="es-CR"/>
              </w:rPr>
            </w:pPr>
            <w:r w:rsidRPr="002F64AC">
              <w:rPr>
                <w:rFonts w:ascii="Book Antiqua" w:hAnsi="Book Antiqua"/>
                <w:lang w:eastAsia="es-CR"/>
              </w:rPr>
              <w:t xml:space="preserve">Juzgado Agrario del I Circ. </w:t>
            </w:r>
            <w:proofErr w:type="spellStart"/>
            <w:r w:rsidRPr="002F64AC">
              <w:rPr>
                <w:rFonts w:ascii="Book Antiqua" w:hAnsi="Book Antiqua"/>
                <w:lang w:eastAsia="es-CR"/>
              </w:rPr>
              <w:t>Jud</w:t>
            </w:r>
            <w:proofErr w:type="spellEnd"/>
            <w:r w:rsidRPr="002F64AC">
              <w:rPr>
                <w:rFonts w:ascii="Book Antiqua" w:hAnsi="Book Antiqua"/>
                <w:lang w:eastAsia="es-CR"/>
              </w:rPr>
              <w:t>. De la Zona Atlántica</w:t>
            </w:r>
          </w:p>
        </w:tc>
        <w:tc>
          <w:tcPr>
            <w:tcW w:w="1149" w:type="dxa"/>
            <w:tcBorders>
              <w:top w:val="nil"/>
              <w:left w:val="nil"/>
              <w:bottom w:val="double" w:sz="6" w:space="0" w:color="1F497D"/>
              <w:right w:val="double" w:sz="6" w:space="0" w:color="1F497D"/>
            </w:tcBorders>
            <w:shd w:val="clear" w:color="000000" w:fill="DAEEF3"/>
            <w:vAlign w:val="center"/>
            <w:hideMark/>
          </w:tcPr>
          <w:p w14:paraId="245DFC7B"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28</w:t>
            </w:r>
          </w:p>
        </w:tc>
        <w:tc>
          <w:tcPr>
            <w:tcW w:w="688" w:type="dxa"/>
            <w:tcBorders>
              <w:top w:val="nil"/>
              <w:left w:val="nil"/>
              <w:bottom w:val="double" w:sz="6" w:space="0" w:color="1F497D"/>
              <w:right w:val="double" w:sz="6" w:space="0" w:color="1F497D"/>
            </w:tcBorders>
            <w:shd w:val="clear" w:color="000000" w:fill="DAEEF3"/>
            <w:vAlign w:val="center"/>
            <w:hideMark/>
          </w:tcPr>
          <w:p w14:paraId="44ABBE0B"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759</w:t>
            </w:r>
          </w:p>
        </w:tc>
        <w:tc>
          <w:tcPr>
            <w:tcW w:w="918" w:type="dxa"/>
            <w:tcBorders>
              <w:top w:val="nil"/>
              <w:left w:val="nil"/>
              <w:bottom w:val="double" w:sz="6" w:space="0" w:color="1F497D"/>
              <w:right w:val="double" w:sz="6" w:space="0" w:color="1F497D"/>
            </w:tcBorders>
            <w:shd w:val="clear" w:color="000000" w:fill="DAEEF3"/>
            <w:vAlign w:val="center"/>
            <w:hideMark/>
          </w:tcPr>
          <w:p w14:paraId="0BA6912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32</w:t>
            </w:r>
          </w:p>
        </w:tc>
        <w:tc>
          <w:tcPr>
            <w:tcW w:w="562" w:type="dxa"/>
            <w:tcBorders>
              <w:top w:val="nil"/>
              <w:left w:val="nil"/>
              <w:bottom w:val="double" w:sz="6" w:space="0" w:color="1F497D"/>
              <w:right w:val="double" w:sz="6" w:space="0" w:color="1F497D"/>
            </w:tcBorders>
            <w:shd w:val="clear" w:color="000000" w:fill="DAEEF3"/>
            <w:vAlign w:val="center"/>
            <w:hideMark/>
          </w:tcPr>
          <w:p w14:paraId="101B40E4"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805" w:type="dxa"/>
            <w:tcBorders>
              <w:top w:val="nil"/>
              <w:left w:val="nil"/>
              <w:bottom w:val="double" w:sz="6" w:space="0" w:color="1F497D"/>
              <w:right w:val="double" w:sz="6" w:space="0" w:color="1F497D"/>
            </w:tcBorders>
            <w:shd w:val="clear" w:color="000000" w:fill="DAEEF3"/>
            <w:vAlign w:val="center"/>
            <w:hideMark/>
          </w:tcPr>
          <w:p w14:paraId="00951564"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4</w:t>
            </w:r>
          </w:p>
        </w:tc>
        <w:tc>
          <w:tcPr>
            <w:tcW w:w="740" w:type="dxa"/>
            <w:tcBorders>
              <w:top w:val="nil"/>
              <w:left w:val="nil"/>
              <w:bottom w:val="double" w:sz="6" w:space="0" w:color="1F497D"/>
              <w:right w:val="double" w:sz="6" w:space="0" w:color="1F497D"/>
            </w:tcBorders>
            <w:shd w:val="clear" w:color="000000" w:fill="DAEEF3"/>
            <w:vAlign w:val="center"/>
            <w:hideMark/>
          </w:tcPr>
          <w:p w14:paraId="72625765"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000000" w:fill="DAEEF3"/>
            <w:vAlign w:val="center"/>
            <w:hideMark/>
          </w:tcPr>
          <w:p w14:paraId="41BFB52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14</w:t>
            </w:r>
          </w:p>
        </w:tc>
        <w:tc>
          <w:tcPr>
            <w:tcW w:w="805" w:type="dxa"/>
            <w:tcBorders>
              <w:top w:val="nil"/>
              <w:left w:val="nil"/>
              <w:bottom w:val="double" w:sz="6" w:space="0" w:color="1F497D"/>
              <w:right w:val="double" w:sz="6" w:space="0" w:color="1F497D"/>
            </w:tcBorders>
            <w:shd w:val="clear" w:color="000000" w:fill="DAEEF3"/>
            <w:vAlign w:val="center"/>
            <w:hideMark/>
          </w:tcPr>
          <w:p w14:paraId="72948688"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7</w:t>
            </w:r>
          </w:p>
        </w:tc>
        <w:tc>
          <w:tcPr>
            <w:tcW w:w="562" w:type="dxa"/>
            <w:tcBorders>
              <w:top w:val="nil"/>
              <w:left w:val="nil"/>
              <w:bottom w:val="double" w:sz="6" w:space="0" w:color="1F497D"/>
              <w:right w:val="double" w:sz="6" w:space="0" w:color="1F497D"/>
            </w:tcBorders>
            <w:shd w:val="clear" w:color="000000" w:fill="DAEEF3"/>
            <w:vAlign w:val="center"/>
            <w:hideMark/>
          </w:tcPr>
          <w:p w14:paraId="46F9FD8D"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380</w:t>
            </w:r>
          </w:p>
        </w:tc>
        <w:tc>
          <w:tcPr>
            <w:tcW w:w="805" w:type="dxa"/>
            <w:tcBorders>
              <w:top w:val="nil"/>
              <w:left w:val="nil"/>
              <w:bottom w:val="double" w:sz="6" w:space="0" w:color="1F497D"/>
              <w:right w:val="double" w:sz="6" w:space="0" w:color="1F497D"/>
            </w:tcBorders>
            <w:shd w:val="clear" w:color="000000" w:fill="DAEEF3"/>
            <w:vAlign w:val="center"/>
            <w:hideMark/>
          </w:tcPr>
          <w:p w14:paraId="7F80E4A8"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190</w:t>
            </w:r>
          </w:p>
        </w:tc>
      </w:tr>
      <w:tr w:rsidR="001341EC" w:rsidRPr="002F64AC" w14:paraId="55DFD3D2" w14:textId="77777777" w:rsidTr="00165AA6">
        <w:trPr>
          <w:trHeight w:val="336"/>
        </w:trPr>
        <w:tc>
          <w:tcPr>
            <w:tcW w:w="1048" w:type="dxa"/>
            <w:tcBorders>
              <w:top w:val="nil"/>
              <w:left w:val="double" w:sz="6" w:space="0" w:color="1F497D"/>
              <w:bottom w:val="double" w:sz="6" w:space="0" w:color="1F497D"/>
              <w:right w:val="double" w:sz="6" w:space="0" w:color="1F497D"/>
            </w:tcBorders>
            <w:shd w:val="clear" w:color="000000" w:fill="DAEEF3"/>
            <w:vAlign w:val="center"/>
            <w:hideMark/>
          </w:tcPr>
          <w:p w14:paraId="048ABCB7" w14:textId="77777777" w:rsidR="001341EC" w:rsidRPr="002F64AC" w:rsidRDefault="001341EC" w:rsidP="00165AA6">
            <w:pPr>
              <w:rPr>
                <w:rFonts w:ascii="Book Antiqua" w:hAnsi="Book Antiqua"/>
                <w:lang w:eastAsia="es-CR"/>
              </w:rPr>
            </w:pPr>
            <w:r w:rsidRPr="002F64AC">
              <w:rPr>
                <w:rFonts w:ascii="Book Antiqua" w:hAnsi="Book Antiqua"/>
                <w:lang w:eastAsia="es-CR"/>
              </w:rPr>
              <w:t xml:space="preserve">Juzgado Agrario I Circ. </w:t>
            </w:r>
            <w:proofErr w:type="spellStart"/>
            <w:r w:rsidRPr="002F64AC">
              <w:rPr>
                <w:rFonts w:ascii="Book Antiqua" w:hAnsi="Book Antiqua"/>
                <w:lang w:eastAsia="es-CR"/>
              </w:rPr>
              <w:t>Jud</w:t>
            </w:r>
            <w:proofErr w:type="spellEnd"/>
            <w:r w:rsidRPr="002F64AC">
              <w:rPr>
                <w:rFonts w:ascii="Book Antiqua" w:hAnsi="Book Antiqua"/>
                <w:lang w:eastAsia="es-CR"/>
              </w:rPr>
              <w:t>. Guanacaste</w:t>
            </w:r>
          </w:p>
        </w:tc>
        <w:tc>
          <w:tcPr>
            <w:tcW w:w="1149" w:type="dxa"/>
            <w:tcBorders>
              <w:top w:val="nil"/>
              <w:left w:val="nil"/>
              <w:bottom w:val="double" w:sz="6" w:space="0" w:color="1F497D"/>
              <w:right w:val="double" w:sz="6" w:space="0" w:color="1F497D"/>
            </w:tcBorders>
            <w:shd w:val="clear" w:color="000000" w:fill="DAEEF3"/>
            <w:vAlign w:val="center"/>
            <w:hideMark/>
          </w:tcPr>
          <w:p w14:paraId="59767146"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25</w:t>
            </w:r>
          </w:p>
        </w:tc>
        <w:tc>
          <w:tcPr>
            <w:tcW w:w="688" w:type="dxa"/>
            <w:tcBorders>
              <w:top w:val="nil"/>
              <w:left w:val="nil"/>
              <w:bottom w:val="double" w:sz="6" w:space="0" w:color="1F497D"/>
              <w:right w:val="double" w:sz="6" w:space="0" w:color="1F497D"/>
            </w:tcBorders>
            <w:shd w:val="clear" w:color="000000" w:fill="DAEEF3"/>
            <w:vAlign w:val="center"/>
            <w:hideMark/>
          </w:tcPr>
          <w:p w14:paraId="2FE47E7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570</w:t>
            </w:r>
          </w:p>
        </w:tc>
        <w:tc>
          <w:tcPr>
            <w:tcW w:w="918" w:type="dxa"/>
            <w:tcBorders>
              <w:top w:val="nil"/>
              <w:left w:val="nil"/>
              <w:bottom w:val="double" w:sz="6" w:space="0" w:color="1F497D"/>
              <w:right w:val="double" w:sz="6" w:space="0" w:color="1F497D"/>
            </w:tcBorders>
            <w:shd w:val="clear" w:color="000000" w:fill="DAEEF3"/>
            <w:vAlign w:val="center"/>
            <w:hideMark/>
          </w:tcPr>
          <w:p w14:paraId="6BD58F79"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103</w:t>
            </w:r>
          </w:p>
        </w:tc>
        <w:tc>
          <w:tcPr>
            <w:tcW w:w="562" w:type="dxa"/>
            <w:tcBorders>
              <w:top w:val="nil"/>
              <w:left w:val="nil"/>
              <w:bottom w:val="double" w:sz="6" w:space="0" w:color="1F497D"/>
              <w:right w:val="double" w:sz="6" w:space="0" w:color="1F497D"/>
            </w:tcBorders>
            <w:shd w:val="clear" w:color="000000" w:fill="DAEEF3"/>
            <w:vAlign w:val="center"/>
            <w:hideMark/>
          </w:tcPr>
          <w:p w14:paraId="7AEDFDC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805" w:type="dxa"/>
            <w:tcBorders>
              <w:top w:val="nil"/>
              <w:left w:val="nil"/>
              <w:bottom w:val="double" w:sz="6" w:space="0" w:color="1F497D"/>
              <w:right w:val="double" w:sz="6" w:space="0" w:color="1F497D"/>
            </w:tcBorders>
            <w:shd w:val="clear" w:color="000000" w:fill="DAEEF3"/>
            <w:vAlign w:val="center"/>
            <w:hideMark/>
          </w:tcPr>
          <w:p w14:paraId="172DBFFE"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4</w:t>
            </w:r>
          </w:p>
        </w:tc>
        <w:tc>
          <w:tcPr>
            <w:tcW w:w="740" w:type="dxa"/>
            <w:tcBorders>
              <w:top w:val="nil"/>
              <w:left w:val="nil"/>
              <w:bottom w:val="double" w:sz="6" w:space="0" w:color="1F497D"/>
              <w:right w:val="double" w:sz="6" w:space="0" w:color="1F497D"/>
            </w:tcBorders>
            <w:shd w:val="clear" w:color="000000" w:fill="DAEEF3"/>
            <w:vAlign w:val="center"/>
            <w:hideMark/>
          </w:tcPr>
          <w:p w14:paraId="512B4120"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000000" w:fill="DAEEF3"/>
            <w:vAlign w:val="center"/>
            <w:hideMark/>
          </w:tcPr>
          <w:p w14:paraId="036E37E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13</w:t>
            </w:r>
          </w:p>
        </w:tc>
        <w:tc>
          <w:tcPr>
            <w:tcW w:w="805" w:type="dxa"/>
            <w:tcBorders>
              <w:top w:val="nil"/>
              <w:left w:val="nil"/>
              <w:bottom w:val="double" w:sz="6" w:space="0" w:color="1F497D"/>
              <w:right w:val="double" w:sz="6" w:space="0" w:color="1F497D"/>
            </w:tcBorders>
            <w:shd w:val="clear" w:color="000000" w:fill="DAEEF3"/>
            <w:vAlign w:val="center"/>
            <w:hideMark/>
          </w:tcPr>
          <w:p w14:paraId="36635323"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6</w:t>
            </w:r>
          </w:p>
        </w:tc>
        <w:tc>
          <w:tcPr>
            <w:tcW w:w="562" w:type="dxa"/>
            <w:tcBorders>
              <w:top w:val="nil"/>
              <w:left w:val="nil"/>
              <w:bottom w:val="double" w:sz="6" w:space="0" w:color="1F497D"/>
              <w:right w:val="double" w:sz="6" w:space="0" w:color="1F497D"/>
            </w:tcBorders>
            <w:shd w:val="clear" w:color="000000" w:fill="DAEEF3"/>
            <w:vAlign w:val="center"/>
            <w:hideMark/>
          </w:tcPr>
          <w:p w14:paraId="1B7944B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285</w:t>
            </w:r>
          </w:p>
        </w:tc>
        <w:tc>
          <w:tcPr>
            <w:tcW w:w="805" w:type="dxa"/>
            <w:tcBorders>
              <w:top w:val="nil"/>
              <w:left w:val="nil"/>
              <w:bottom w:val="double" w:sz="6" w:space="0" w:color="1F497D"/>
              <w:right w:val="double" w:sz="6" w:space="0" w:color="1F497D"/>
            </w:tcBorders>
            <w:shd w:val="clear" w:color="000000" w:fill="DAEEF3"/>
            <w:vAlign w:val="center"/>
            <w:hideMark/>
          </w:tcPr>
          <w:p w14:paraId="164E5356"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143</w:t>
            </w:r>
          </w:p>
        </w:tc>
      </w:tr>
      <w:tr w:rsidR="001341EC" w:rsidRPr="002F64AC" w14:paraId="308F1267" w14:textId="77777777" w:rsidTr="00165AA6">
        <w:trPr>
          <w:trHeight w:val="336"/>
        </w:trPr>
        <w:tc>
          <w:tcPr>
            <w:tcW w:w="1048" w:type="dxa"/>
            <w:tcBorders>
              <w:top w:val="nil"/>
              <w:left w:val="double" w:sz="6" w:space="0" w:color="1F497D"/>
              <w:bottom w:val="double" w:sz="6" w:space="0" w:color="1F497D"/>
              <w:right w:val="double" w:sz="6" w:space="0" w:color="1F497D"/>
            </w:tcBorders>
            <w:shd w:val="clear" w:color="000000" w:fill="DAEEF3"/>
            <w:vAlign w:val="center"/>
            <w:hideMark/>
          </w:tcPr>
          <w:p w14:paraId="06CE075E" w14:textId="77777777" w:rsidR="001341EC" w:rsidRPr="002F64AC" w:rsidRDefault="001341EC" w:rsidP="00165AA6">
            <w:pPr>
              <w:rPr>
                <w:rFonts w:ascii="Book Antiqua" w:hAnsi="Book Antiqua"/>
                <w:lang w:eastAsia="es-CR"/>
              </w:rPr>
            </w:pPr>
            <w:r w:rsidRPr="002F64AC">
              <w:rPr>
                <w:rFonts w:ascii="Book Antiqua" w:hAnsi="Book Antiqua"/>
                <w:lang w:eastAsia="es-CR"/>
              </w:rPr>
              <w:t>Juzgado Agrario de Puntarenas*</w:t>
            </w:r>
          </w:p>
        </w:tc>
        <w:tc>
          <w:tcPr>
            <w:tcW w:w="1149" w:type="dxa"/>
            <w:tcBorders>
              <w:top w:val="nil"/>
              <w:left w:val="nil"/>
              <w:bottom w:val="double" w:sz="6" w:space="0" w:color="1F497D"/>
              <w:right w:val="double" w:sz="6" w:space="0" w:color="1F497D"/>
            </w:tcBorders>
            <w:shd w:val="clear" w:color="000000" w:fill="DAEEF3"/>
            <w:vAlign w:val="center"/>
            <w:hideMark/>
          </w:tcPr>
          <w:p w14:paraId="28FD601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30</w:t>
            </w:r>
          </w:p>
        </w:tc>
        <w:tc>
          <w:tcPr>
            <w:tcW w:w="688" w:type="dxa"/>
            <w:tcBorders>
              <w:top w:val="nil"/>
              <w:left w:val="nil"/>
              <w:bottom w:val="double" w:sz="6" w:space="0" w:color="1F497D"/>
              <w:right w:val="double" w:sz="6" w:space="0" w:color="1F497D"/>
            </w:tcBorders>
            <w:shd w:val="clear" w:color="000000" w:fill="DAEEF3"/>
            <w:vAlign w:val="center"/>
            <w:hideMark/>
          </w:tcPr>
          <w:p w14:paraId="1B5C1C03"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543</w:t>
            </w:r>
          </w:p>
        </w:tc>
        <w:tc>
          <w:tcPr>
            <w:tcW w:w="918" w:type="dxa"/>
            <w:tcBorders>
              <w:top w:val="nil"/>
              <w:left w:val="nil"/>
              <w:bottom w:val="double" w:sz="6" w:space="0" w:color="1F497D"/>
              <w:right w:val="double" w:sz="6" w:space="0" w:color="1F497D"/>
            </w:tcBorders>
            <w:shd w:val="clear" w:color="000000" w:fill="DAEEF3"/>
            <w:vAlign w:val="center"/>
            <w:hideMark/>
          </w:tcPr>
          <w:p w14:paraId="37AB67C5"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49</w:t>
            </w:r>
          </w:p>
        </w:tc>
        <w:tc>
          <w:tcPr>
            <w:tcW w:w="562" w:type="dxa"/>
            <w:tcBorders>
              <w:top w:val="nil"/>
              <w:left w:val="nil"/>
              <w:bottom w:val="double" w:sz="6" w:space="0" w:color="1F497D"/>
              <w:right w:val="double" w:sz="6" w:space="0" w:color="1F497D"/>
            </w:tcBorders>
            <w:shd w:val="clear" w:color="000000" w:fill="DAEEF3"/>
            <w:vAlign w:val="center"/>
            <w:hideMark/>
          </w:tcPr>
          <w:p w14:paraId="45B8D1C0"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805" w:type="dxa"/>
            <w:tcBorders>
              <w:top w:val="nil"/>
              <w:left w:val="nil"/>
              <w:bottom w:val="double" w:sz="6" w:space="0" w:color="1F497D"/>
              <w:right w:val="double" w:sz="6" w:space="0" w:color="1F497D"/>
            </w:tcBorders>
            <w:shd w:val="clear" w:color="000000" w:fill="DAEEF3"/>
            <w:vAlign w:val="center"/>
            <w:hideMark/>
          </w:tcPr>
          <w:p w14:paraId="5E537CC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740" w:type="dxa"/>
            <w:tcBorders>
              <w:top w:val="nil"/>
              <w:left w:val="nil"/>
              <w:bottom w:val="double" w:sz="6" w:space="0" w:color="1F497D"/>
              <w:right w:val="double" w:sz="6" w:space="0" w:color="1F497D"/>
            </w:tcBorders>
            <w:shd w:val="clear" w:color="000000" w:fill="DAEEF3"/>
            <w:vAlign w:val="center"/>
            <w:hideMark/>
          </w:tcPr>
          <w:p w14:paraId="43E6C9D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000000" w:fill="DAEEF3"/>
            <w:vAlign w:val="center"/>
            <w:hideMark/>
          </w:tcPr>
          <w:p w14:paraId="07D92382"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15</w:t>
            </w:r>
          </w:p>
        </w:tc>
        <w:tc>
          <w:tcPr>
            <w:tcW w:w="805" w:type="dxa"/>
            <w:tcBorders>
              <w:top w:val="nil"/>
              <w:left w:val="nil"/>
              <w:bottom w:val="double" w:sz="6" w:space="0" w:color="1F497D"/>
              <w:right w:val="double" w:sz="6" w:space="0" w:color="1F497D"/>
            </w:tcBorders>
            <w:shd w:val="clear" w:color="000000" w:fill="DAEEF3"/>
            <w:vAlign w:val="center"/>
            <w:hideMark/>
          </w:tcPr>
          <w:p w14:paraId="3033D7C4"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15</w:t>
            </w:r>
          </w:p>
        </w:tc>
        <w:tc>
          <w:tcPr>
            <w:tcW w:w="562" w:type="dxa"/>
            <w:tcBorders>
              <w:top w:val="nil"/>
              <w:left w:val="nil"/>
              <w:bottom w:val="double" w:sz="6" w:space="0" w:color="1F497D"/>
              <w:right w:val="double" w:sz="6" w:space="0" w:color="1F497D"/>
            </w:tcBorders>
            <w:shd w:val="clear" w:color="000000" w:fill="DAEEF3"/>
            <w:vAlign w:val="center"/>
            <w:hideMark/>
          </w:tcPr>
          <w:p w14:paraId="4FE9541E"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272</w:t>
            </w:r>
          </w:p>
        </w:tc>
        <w:tc>
          <w:tcPr>
            <w:tcW w:w="805" w:type="dxa"/>
            <w:tcBorders>
              <w:top w:val="nil"/>
              <w:left w:val="nil"/>
              <w:bottom w:val="double" w:sz="6" w:space="0" w:color="1F497D"/>
              <w:right w:val="double" w:sz="6" w:space="0" w:color="1F497D"/>
            </w:tcBorders>
            <w:shd w:val="clear" w:color="000000" w:fill="DAEEF3"/>
            <w:vAlign w:val="center"/>
            <w:hideMark/>
          </w:tcPr>
          <w:p w14:paraId="454CDB8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272</w:t>
            </w:r>
          </w:p>
        </w:tc>
      </w:tr>
      <w:tr w:rsidR="001341EC" w:rsidRPr="002F64AC" w14:paraId="1FCA6967" w14:textId="77777777" w:rsidTr="00165AA6">
        <w:trPr>
          <w:trHeight w:val="336"/>
        </w:trPr>
        <w:tc>
          <w:tcPr>
            <w:tcW w:w="1048" w:type="dxa"/>
            <w:tcBorders>
              <w:top w:val="nil"/>
              <w:left w:val="double" w:sz="6" w:space="0" w:color="1F497D"/>
              <w:bottom w:val="double" w:sz="6" w:space="0" w:color="1F497D"/>
              <w:right w:val="double" w:sz="6" w:space="0" w:color="1F497D"/>
            </w:tcBorders>
            <w:shd w:val="clear" w:color="000000" w:fill="DAEEF3"/>
            <w:vAlign w:val="center"/>
            <w:hideMark/>
          </w:tcPr>
          <w:p w14:paraId="7BC1C804" w14:textId="77777777" w:rsidR="001341EC" w:rsidRPr="002F64AC" w:rsidRDefault="001341EC" w:rsidP="00165AA6">
            <w:pPr>
              <w:rPr>
                <w:rFonts w:ascii="Book Antiqua" w:hAnsi="Book Antiqua"/>
                <w:lang w:eastAsia="es-CR"/>
              </w:rPr>
            </w:pPr>
            <w:r w:rsidRPr="002F64AC">
              <w:rPr>
                <w:rFonts w:ascii="Book Antiqua" w:hAnsi="Book Antiqua"/>
                <w:lang w:eastAsia="es-CR"/>
              </w:rPr>
              <w:t>Juzgado Agrario de Cartago</w:t>
            </w:r>
          </w:p>
        </w:tc>
        <w:tc>
          <w:tcPr>
            <w:tcW w:w="1149" w:type="dxa"/>
            <w:tcBorders>
              <w:top w:val="nil"/>
              <w:left w:val="nil"/>
              <w:bottom w:val="double" w:sz="6" w:space="0" w:color="1F497D"/>
              <w:right w:val="double" w:sz="6" w:space="0" w:color="1F497D"/>
            </w:tcBorders>
            <w:shd w:val="clear" w:color="000000" w:fill="DAEEF3"/>
            <w:vAlign w:val="center"/>
            <w:hideMark/>
          </w:tcPr>
          <w:p w14:paraId="5423300C"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24</w:t>
            </w:r>
          </w:p>
        </w:tc>
        <w:tc>
          <w:tcPr>
            <w:tcW w:w="688" w:type="dxa"/>
            <w:tcBorders>
              <w:top w:val="nil"/>
              <w:left w:val="nil"/>
              <w:bottom w:val="double" w:sz="6" w:space="0" w:color="1F497D"/>
              <w:right w:val="double" w:sz="6" w:space="0" w:color="1F497D"/>
            </w:tcBorders>
            <w:shd w:val="clear" w:color="000000" w:fill="DAEEF3"/>
            <w:vAlign w:val="center"/>
            <w:hideMark/>
          </w:tcPr>
          <w:p w14:paraId="64F71A18"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482</w:t>
            </w:r>
          </w:p>
        </w:tc>
        <w:tc>
          <w:tcPr>
            <w:tcW w:w="918" w:type="dxa"/>
            <w:tcBorders>
              <w:top w:val="nil"/>
              <w:left w:val="nil"/>
              <w:bottom w:val="double" w:sz="6" w:space="0" w:color="1F497D"/>
              <w:right w:val="double" w:sz="6" w:space="0" w:color="1F497D"/>
            </w:tcBorders>
            <w:shd w:val="clear" w:color="000000" w:fill="DAEEF3"/>
            <w:vAlign w:val="center"/>
            <w:hideMark/>
          </w:tcPr>
          <w:p w14:paraId="76B0ED79"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13</w:t>
            </w:r>
          </w:p>
        </w:tc>
        <w:tc>
          <w:tcPr>
            <w:tcW w:w="562" w:type="dxa"/>
            <w:tcBorders>
              <w:top w:val="nil"/>
              <w:left w:val="nil"/>
              <w:bottom w:val="double" w:sz="6" w:space="0" w:color="1F497D"/>
              <w:right w:val="double" w:sz="6" w:space="0" w:color="1F497D"/>
            </w:tcBorders>
            <w:shd w:val="clear" w:color="000000" w:fill="DAEEF3"/>
            <w:vAlign w:val="center"/>
            <w:hideMark/>
          </w:tcPr>
          <w:p w14:paraId="7C93243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805" w:type="dxa"/>
            <w:tcBorders>
              <w:top w:val="nil"/>
              <w:left w:val="nil"/>
              <w:bottom w:val="double" w:sz="6" w:space="0" w:color="1F497D"/>
              <w:right w:val="double" w:sz="6" w:space="0" w:color="1F497D"/>
            </w:tcBorders>
            <w:shd w:val="clear" w:color="000000" w:fill="DAEEF3"/>
            <w:vAlign w:val="center"/>
            <w:hideMark/>
          </w:tcPr>
          <w:p w14:paraId="33E1CD3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w:t>
            </w:r>
          </w:p>
        </w:tc>
        <w:tc>
          <w:tcPr>
            <w:tcW w:w="740" w:type="dxa"/>
            <w:tcBorders>
              <w:top w:val="nil"/>
              <w:left w:val="nil"/>
              <w:bottom w:val="double" w:sz="6" w:space="0" w:color="1F497D"/>
              <w:right w:val="double" w:sz="6" w:space="0" w:color="1F497D"/>
            </w:tcBorders>
            <w:shd w:val="clear" w:color="000000" w:fill="DAEEF3"/>
            <w:vAlign w:val="center"/>
            <w:hideMark/>
          </w:tcPr>
          <w:p w14:paraId="788A927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000000" w:fill="DAEEF3"/>
            <w:vAlign w:val="center"/>
            <w:hideMark/>
          </w:tcPr>
          <w:p w14:paraId="7721D71D"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12</w:t>
            </w:r>
          </w:p>
        </w:tc>
        <w:tc>
          <w:tcPr>
            <w:tcW w:w="805" w:type="dxa"/>
            <w:tcBorders>
              <w:top w:val="nil"/>
              <w:left w:val="nil"/>
              <w:bottom w:val="double" w:sz="6" w:space="0" w:color="1F497D"/>
              <w:right w:val="double" w:sz="6" w:space="0" w:color="1F497D"/>
            </w:tcBorders>
            <w:shd w:val="clear" w:color="000000" w:fill="DAEEF3"/>
            <w:vAlign w:val="center"/>
            <w:hideMark/>
          </w:tcPr>
          <w:p w14:paraId="68466559"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8</w:t>
            </w:r>
          </w:p>
        </w:tc>
        <w:tc>
          <w:tcPr>
            <w:tcW w:w="562" w:type="dxa"/>
            <w:tcBorders>
              <w:top w:val="nil"/>
              <w:left w:val="nil"/>
              <w:bottom w:val="double" w:sz="6" w:space="0" w:color="1F497D"/>
              <w:right w:val="double" w:sz="6" w:space="0" w:color="1F497D"/>
            </w:tcBorders>
            <w:shd w:val="clear" w:color="000000" w:fill="DAEEF3"/>
            <w:vAlign w:val="center"/>
            <w:hideMark/>
          </w:tcPr>
          <w:p w14:paraId="6FAB043C"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241</w:t>
            </w:r>
          </w:p>
        </w:tc>
        <w:tc>
          <w:tcPr>
            <w:tcW w:w="805" w:type="dxa"/>
            <w:tcBorders>
              <w:top w:val="nil"/>
              <w:left w:val="nil"/>
              <w:bottom w:val="double" w:sz="6" w:space="0" w:color="1F497D"/>
              <w:right w:val="double" w:sz="6" w:space="0" w:color="1F497D"/>
            </w:tcBorders>
            <w:shd w:val="clear" w:color="000000" w:fill="DAEEF3"/>
            <w:vAlign w:val="center"/>
            <w:hideMark/>
          </w:tcPr>
          <w:p w14:paraId="0ECE6A23"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161</w:t>
            </w:r>
          </w:p>
        </w:tc>
      </w:tr>
      <w:tr w:rsidR="001341EC" w:rsidRPr="002F64AC" w14:paraId="7C873FEC" w14:textId="77777777" w:rsidTr="00165AA6">
        <w:trPr>
          <w:trHeight w:val="336"/>
        </w:trPr>
        <w:tc>
          <w:tcPr>
            <w:tcW w:w="1048" w:type="dxa"/>
            <w:tcBorders>
              <w:top w:val="nil"/>
              <w:left w:val="double" w:sz="6" w:space="0" w:color="1F497D"/>
              <w:bottom w:val="double" w:sz="6" w:space="0" w:color="1F497D"/>
              <w:right w:val="double" w:sz="6" w:space="0" w:color="1F497D"/>
            </w:tcBorders>
            <w:shd w:val="clear" w:color="000000" w:fill="DAEEF3"/>
            <w:vAlign w:val="center"/>
            <w:hideMark/>
          </w:tcPr>
          <w:p w14:paraId="333A6019" w14:textId="77777777" w:rsidR="001341EC" w:rsidRPr="002F64AC" w:rsidRDefault="001341EC" w:rsidP="00165AA6">
            <w:pPr>
              <w:rPr>
                <w:rFonts w:ascii="Book Antiqua" w:hAnsi="Book Antiqua"/>
                <w:lang w:eastAsia="es-CR"/>
              </w:rPr>
            </w:pPr>
            <w:r w:rsidRPr="002F64AC">
              <w:rPr>
                <w:rFonts w:ascii="Book Antiqua" w:hAnsi="Book Antiqua"/>
                <w:lang w:eastAsia="es-CR"/>
              </w:rPr>
              <w:t xml:space="preserve">Juzgado Agrario II Cir. </w:t>
            </w:r>
            <w:proofErr w:type="spellStart"/>
            <w:r w:rsidRPr="002F64AC">
              <w:rPr>
                <w:rFonts w:ascii="Book Antiqua" w:hAnsi="Book Antiqua"/>
                <w:lang w:eastAsia="es-CR"/>
              </w:rPr>
              <w:t>Jud</w:t>
            </w:r>
            <w:proofErr w:type="spellEnd"/>
            <w:r w:rsidRPr="002F64AC">
              <w:rPr>
                <w:rFonts w:ascii="Book Antiqua" w:hAnsi="Book Antiqua"/>
                <w:lang w:eastAsia="es-CR"/>
              </w:rPr>
              <w:t>. Zona Sur</w:t>
            </w:r>
          </w:p>
        </w:tc>
        <w:tc>
          <w:tcPr>
            <w:tcW w:w="1149" w:type="dxa"/>
            <w:tcBorders>
              <w:top w:val="nil"/>
              <w:left w:val="nil"/>
              <w:bottom w:val="double" w:sz="6" w:space="0" w:color="1F497D"/>
              <w:right w:val="double" w:sz="6" w:space="0" w:color="1F497D"/>
            </w:tcBorders>
            <w:shd w:val="clear" w:color="000000" w:fill="DAEEF3"/>
            <w:vAlign w:val="center"/>
            <w:hideMark/>
          </w:tcPr>
          <w:p w14:paraId="6185641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22</w:t>
            </w:r>
          </w:p>
        </w:tc>
        <w:tc>
          <w:tcPr>
            <w:tcW w:w="688" w:type="dxa"/>
            <w:tcBorders>
              <w:top w:val="nil"/>
              <w:left w:val="nil"/>
              <w:bottom w:val="double" w:sz="6" w:space="0" w:color="1F497D"/>
              <w:right w:val="double" w:sz="6" w:space="0" w:color="1F497D"/>
            </w:tcBorders>
            <w:shd w:val="clear" w:color="000000" w:fill="DAEEF3"/>
            <w:vAlign w:val="center"/>
            <w:hideMark/>
          </w:tcPr>
          <w:p w14:paraId="555DAB5C"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467</w:t>
            </w:r>
          </w:p>
        </w:tc>
        <w:tc>
          <w:tcPr>
            <w:tcW w:w="918" w:type="dxa"/>
            <w:tcBorders>
              <w:top w:val="nil"/>
              <w:left w:val="nil"/>
              <w:bottom w:val="double" w:sz="6" w:space="0" w:color="1F497D"/>
              <w:right w:val="double" w:sz="6" w:space="0" w:color="1F497D"/>
            </w:tcBorders>
            <w:shd w:val="clear" w:color="000000" w:fill="DAEEF3"/>
            <w:vAlign w:val="center"/>
            <w:hideMark/>
          </w:tcPr>
          <w:p w14:paraId="0583BC92"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8</w:t>
            </w:r>
          </w:p>
        </w:tc>
        <w:tc>
          <w:tcPr>
            <w:tcW w:w="562" w:type="dxa"/>
            <w:tcBorders>
              <w:top w:val="nil"/>
              <w:left w:val="nil"/>
              <w:bottom w:val="double" w:sz="6" w:space="0" w:color="1F497D"/>
              <w:right w:val="double" w:sz="6" w:space="0" w:color="1F497D"/>
            </w:tcBorders>
            <w:shd w:val="clear" w:color="000000" w:fill="DAEEF3"/>
            <w:vAlign w:val="center"/>
            <w:hideMark/>
          </w:tcPr>
          <w:p w14:paraId="29E5DFD8"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805" w:type="dxa"/>
            <w:tcBorders>
              <w:top w:val="nil"/>
              <w:left w:val="nil"/>
              <w:bottom w:val="double" w:sz="6" w:space="0" w:color="1F497D"/>
              <w:right w:val="double" w:sz="6" w:space="0" w:color="1F497D"/>
            </w:tcBorders>
            <w:shd w:val="clear" w:color="000000" w:fill="DAEEF3"/>
            <w:vAlign w:val="center"/>
            <w:hideMark/>
          </w:tcPr>
          <w:p w14:paraId="72C91AC9"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w:t>
            </w:r>
          </w:p>
        </w:tc>
        <w:tc>
          <w:tcPr>
            <w:tcW w:w="740" w:type="dxa"/>
            <w:tcBorders>
              <w:top w:val="nil"/>
              <w:left w:val="nil"/>
              <w:bottom w:val="double" w:sz="6" w:space="0" w:color="1F497D"/>
              <w:right w:val="double" w:sz="6" w:space="0" w:color="1F497D"/>
            </w:tcBorders>
            <w:shd w:val="clear" w:color="000000" w:fill="DAEEF3"/>
            <w:vAlign w:val="center"/>
            <w:hideMark/>
          </w:tcPr>
          <w:p w14:paraId="28158F80"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000000" w:fill="DAEEF3"/>
            <w:vAlign w:val="center"/>
            <w:hideMark/>
          </w:tcPr>
          <w:p w14:paraId="5E2EEC5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11</w:t>
            </w:r>
          </w:p>
        </w:tc>
        <w:tc>
          <w:tcPr>
            <w:tcW w:w="805" w:type="dxa"/>
            <w:tcBorders>
              <w:top w:val="nil"/>
              <w:left w:val="nil"/>
              <w:bottom w:val="double" w:sz="6" w:space="0" w:color="1F497D"/>
              <w:right w:val="double" w:sz="6" w:space="0" w:color="1F497D"/>
            </w:tcBorders>
            <w:shd w:val="clear" w:color="000000" w:fill="DAEEF3"/>
            <w:vAlign w:val="center"/>
            <w:hideMark/>
          </w:tcPr>
          <w:p w14:paraId="492E2424"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7</w:t>
            </w:r>
          </w:p>
        </w:tc>
        <w:tc>
          <w:tcPr>
            <w:tcW w:w="562" w:type="dxa"/>
            <w:tcBorders>
              <w:top w:val="nil"/>
              <w:left w:val="nil"/>
              <w:bottom w:val="double" w:sz="6" w:space="0" w:color="1F497D"/>
              <w:right w:val="double" w:sz="6" w:space="0" w:color="1F497D"/>
            </w:tcBorders>
            <w:shd w:val="clear" w:color="000000" w:fill="DAEEF3"/>
            <w:vAlign w:val="center"/>
            <w:hideMark/>
          </w:tcPr>
          <w:p w14:paraId="0A2D650E"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234</w:t>
            </w:r>
          </w:p>
        </w:tc>
        <w:tc>
          <w:tcPr>
            <w:tcW w:w="805" w:type="dxa"/>
            <w:tcBorders>
              <w:top w:val="nil"/>
              <w:left w:val="nil"/>
              <w:bottom w:val="double" w:sz="6" w:space="0" w:color="1F497D"/>
              <w:right w:val="double" w:sz="6" w:space="0" w:color="1F497D"/>
            </w:tcBorders>
            <w:shd w:val="clear" w:color="000000" w:fill="DAEEF3"/>
            <w:vAlign w:val="center"/>
            <w:hideMark/>
          </w:tcPr>
          <w:p w14:paraId="0A8A73C0"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156</w:t>
            </w:r>
          </w:p>
        </w:tc>
      </w:tr>
      <w:tr w:rsidR="001341EC" w:rsidRPr="002F64AC" w14:paraId="12BAF4BC" w14:textId="77777777" w:rsidTr="00165AA6">
        <w:trPr>
          <w:trHeight w:val="648"/>
        </w:trPr>
        <w:tc>
          <w:tcPr>
            <w:tcW w:w="1048" w:type="dxa"/>
            <w:tcBorders>
              <w:top w:val="nil"/>
              <w:left w:val="double" w:sz="6" w:space="0" w:color="1F497D"/>
              <w:bottom w:val="double" w:sz="6" w:space="0" w:color="1F497D"/>
              <w:right w:val="double" w:sz="6" w:space="0" w:color="1F497D"/>
            </w:tcBorders>
            <w:shd w:val="clear" w:color="000000" w:fill="B7DEE8"/>
            <w:vAlign w:val="center"/>
            <w:hideMark/>
          </w:tcPr>
          <w:p w14:paraId="6BAC4342" w14:textId="77777777" w:rsidR="001341EC" w:rsidRPr="002F64AC" w:rsidRDefault="001341EC" w:rsidP="00165AA6">
            <w:pPr>
              <w:rPr>
                <w:rFonts w:ascii="Book Antiqua" w:hAnsi="Book Antiqua"/>
                <w:lang w:eastAsia="es-CR"/>
              </w:rPr>
            </w:pPr>
            <w:r w:rsidRPr="002F64AC">
              <w:rPr>
                <w:rFonts w:ascii="Book Antiqua" w:hAnsi="Book Antiqua"/>
                <w:lang w:eastAsia="es-CR"/>
              </w:rPr>
              <w:t xml:space="preserve">Juzgado Civil y Trabajo del II Circ. </w:t>
            </w:r>
            <w:proofErr w:type="spellStart"/>
            <w:r w:rsidRPr="002F64AC">
              <w:rPr>
                <w:rFonts w:ascii="Book Antiqua" w:hAnsi="Book Antiqua"/>
                <w:lang w:eastAsia="es-CR"/>
              </w:rPr>
              <w:t>Jud</w:t>
            </w:r>
            <w:proofErr w:type="spellEnd"/>
            <w:r w:rsidRPr="002F64AC">
              <w:rPr>
                <w:rFonts w:ascii="Book Antiqua" w:hAnsi="Book Antiqua"/>
                <w:lang w:eastAsia="es-CR"/>
              </w:rPr>
              <w:t>. Alajuela (Upala)</w:t>
            </w:r>
          </w:p>
        </w:tc>
        <w:tc>
          <w:tcPr>
            <w:tcW w:w="1149" w:type="dxa"/>
            <w:tcBorders>
              <w:top w:val="nil"/>
              <w:left w:val="nil"/>
              <w:bottom w:val="double" w:sz="6" w:space="0" w:color="1F497D"/>
              <w:right w:val="double" w:sz="6" w:space="0" w:color="1F497D"/>
            </w:tcBorders>
            <w:shd w:val="clear" w:color="000000" w:fill="B7DEE8"/>
            <w:vAlign w:val="center"/>
            <w:hideMark/>
          </w:tcPr>
          <w:p w14:paraId="4A9D2500"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21</w:t>
            </w:r>
          </w:p>
        </w:tc>
        <w:tc>
          <w:tcPr>
            <w:tcW w:w="688" w:type="dxa"/>
            <w:tcBorders>
              <w:top w:val="nil"/>
              <w:left w:val="nil"/>
              <w:bottom w:val="double" w:sz="6" w:space="0" w:color="1F497D"/>
              <w:right w:val="double" w:sz="6" w:space="0" w:color="1F497D"/>
            </w:tcBorders>
            <w:shd w:val="clear" w:color="000000" w:fill="B7DEE8"/>
            <w:vAlign w:val="center"/>
            <w:hideMark/>
          </w:tcPr>
          <w:p w14:paraId="09A14BBE"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465</w:t>
            </w:r>
          </w:p>
        </w:tc>
        <w:tc>
          <w:tcPr>
            <w:tcW w:w="918" w:type="dxa"/>
            <w:tcBorders>
              <w:top w:val="nil"/>
              <w:left w:val="nil"/>
              <w:bottom w:val="double" w:sz="6" w:space="0" w:color="1F497D"/>
              <w:right w:val="double" w:sz="6" w:space="0" w:color="1F497D"/>
            </w:tcBorders>
            <w:shd w:val="clear" w:color="000000" w:fill="B7DEE8"/>
            <w:vAlign w:val="center"/>
            <w:hideMark/>
          </w:tcPr>
          <w:p w14:paraId="0BE36A3B"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25</w:t>
            </w:r>
          </w:p>
        </w:tc>
        <w:tc>
          <w:tcPr>
            <w:tcW w:w="562" w:type="dxa"/>
            <w:tcBorders>
              <w:top w:val="nil"/>
              <w:left w:val="nil"/>
              <w:bottom w:val="double" w:sz="6" w:space="0" w:color="1F497D"/>
              <w:right w:val="double" w:sz="6" w:space="0" w:color="1F497D"/>
            </w:tcBorders>
            <w:shd w:val="clear" w:color="000000" w:fill="B7DEE8"/>
            <w:vAlign w:val="center"/>
            <w:hideMark/>
          </w:tcPr>
          <w:p w14:paraId="2E6F015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805" w:type="dxa"/>
            <w:tcBorders>
              <w:top w:val="nil"/>
              <w:left w:val="nil"/>
              <w:bottom w:val="double" w:sz="6" w:space="0" w:color="1F497D"/>
              <w:right w:val="double" w:sz="6" w:space="0" w:color="1F497D"/>
            </w:tcBorders>
            <w:shd w:val="clear" w:color="000000" w:fill="B7DEE8"/>
            <w:vAlign w:val="center"/>
            <w:hideMark/>
          </w:tcPr>
          <w:p w14:paraId="73946C3B"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5</w:t>
            </w:r>
          </w:p>
        </w:tc>
        <w:tc>
          <w:tcPr>
            <w:tcW w:w="740" w:type="dxa"/>
            <w:tcBorders>
              <w:top w:val="nil"/>
              <w:left w:val="nil"/>
              <w:bottom w:val="double" w:sz="6" w:space="0" w:color="1F497D"/>
              <w:right w:val="double" w:sz="6" w:space="0" w:color="1F497D"/>
            </w:tcBorders>
            <w:shd w:val="clear" w:color="000000" w:fill="B7DEE8"/>
            <w:vAlign w:val="center"/>
            <w:hideMark/>
          </w:tcPr>
          <w:p w14:paraId="200901A8"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000000" w:fill="B7DEE8"/>
            <w:vAlign w:val="center"/>
            <w:hideMark/>
          </w:tcPr>
          <w:p w14:paraId="1491450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21</w:t>
            </w:r>
          </w:p>
        </w:tc>
        <w:tc>
          <w:tcPr>
            <w:tcW w:w="805" w:type="dxa"/>
            <w:tcBorders>
              <w:top w:val="nil"/>
              <w:left w:val="nil"/>
              <w:bottom w:val="double" w:sz="6" w:space="0" w:color="1F497D"/>
              <w:right w:val="double" w:sz="6" w:space="0" w:color="1F497D"/>
            </w:tcBorders>
            <w:shd w:val="clear" w:color="000000" w:fill="B7DEE8"/>
            <w:vAlign w:val="center"/>
            <w:hideMark/>
          </w:tcPr>
          <w:p w14:paraId="2410E8F8"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4</w:t>
            </w:r>
          </w:p>
        </w:tc>
        <w:tc>
          <w:tcPr>
            <w:tcW w:w="562" w:type="dxa"/>
            <w:tcBorders>
              <w:top w:val="nil"/>
              <w:left w:val="nil"/>
              <w:bottom w:val="double" w:sz="6" w:space="0" w:color="1F497D"/>
              <w:right w:val="double" w:sz="6" w:space="0" w:color="1F497D"/>
            </w:tcBorders>
            <w:shd w:val="clear" w:color="000000" w:fill="B7DEE8"/>
            <w:vAlign w:val="center"/>
            <w:hideMark/>
          </w:tcPr>
          <w:p w14:paraId="37C62F03"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465</w:t>
            </w:r>
          </w:p>
        </w:tc>
        <w:tc>
          <w:tcPr>
            <w:tcW w:w="805" w:type="dxa"/>
            <w:tcBorders>
              <w:top w:val="nil"/>
              <w:left w:val="nil"/>
              <w:bottom w:val="double" w:sz="6" w:space="0" w:color="1F497D"/>
              <w:right w:val="double" w:sz="6" w:space="0" w:color="1F497D"/>
            </w:tcBorders>
            <w:shd w:val="clear" w:color="000000" w:fill="B7DEE8"/>
            <w:vAlign w:val="center"/>
            <w:hideMark/>
          </w:tcPr>
          <w:p w14:paraId="4906536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93</w:t>
            </w:r>
          </w:p>
        </w:tc>
      </w:tr>
      <w:tr w:rsidR="001341EC" w:rsidRPr="002F64AC" w14:paraId="30072CAA" w14:textId="77777777" w:rsidTr="00165AA6">
        <w:trPr>
          <w:trHeight w:val="336"/>
        </w:trPr>
        <w:tc>
          <w:tcPr>
            <w:tcW w:w="1048" w:type="dxa"/>
            <w:tcBorders>
              <w:top w:val="nil"/>
              <w:left w:val="double" w:sz="6" w:space="0" w:color="1F497D"/>
              <w:bottom w:val="double" w:sz="6" w:space="0" w:color="1F497D"/>
              <w:right w:val="double" w:sz="6" w:space="0" w:color="1F497D"/>
            </w:tcBorders>
            <w:shd w:val="clear" w:color="auto" w:fill="auto"/>
            <w:vAlign w:val="center"/>
            <w:hideMark/>
          </w:tcPr>
          <w:p w14:paraId="294B8101" w14:textId="77777777" w:rsidR="001341EC" w:rsidRPr="002F64AC" w:rsidRDefault="001341EC" w:rsidP="00165AA6">
            <w:pPr>
              <w:rPr>
                <w:rFonts w:ascii="Book Antiqua" w:hAnsi="Book Antiqua"/>
                <w:lang w:eastAsia="es-CR"/>
              </w:rPr>
            </w:pPr>
            <w:r w:rsidRPr="002F64AC">
              <w:rPr>
                <w:rFonts w:ascii="Book Antiqua" w:hAnsi="Book Antiqua"/>
                <w:lang w:eastAsia="es-CR"/>
              </w:rPr>
              <w:t xml:space="preserve">Juzgado Agrario del II Circuito </w:t>
            </w:r>
            <w:proofErr w:type="spellStart"/>
            <w:r w:rsidRPr="002F64AC">
              <w:rPr>
                <w:rFonts w:ascii="Book Antiqua" w:hAnsi="Book Antiqua"/>
                <w:lang w:eastAsia="es-CR"/>
              </w:rPr>
              <w:t>Jud</w:t>
            </w:r>
            <w:proofErr w:type="spellEnd"/>
            <w:r w:rsidRPr="002F64AC">
              <w:rPr>
                <w:rFonts w:ascii="Book Antiqua" w:hAnsi="Book Antiqua"/>
                <w:lang w:eastAsia="es-CR"/>
              </w:rPr>
              <w:t>. de Alajuela</w:t>
            </w:r>
          </w:p>
        </w:tc>
        <w:tc>
          <w:tcPr>
            <w:tcW w:w="1149" w:type="dxa"/>
            <w:tcBorders>
              <w:top w:val="nil"/>
              <w:left w:val="nil"/>
              <w:bottom w:val="double" w:sz="6" w:space="0" w:color="1F497D"/>
              <w:right w:val="double" w:sz="6" w:space="0" w:color="1F497D"/>
            </w:tcBorders>
            <w:shd w:val="clear" w:color="auto" w:fill="auto"/>
            <w:vAlign w:val="center"/>
            <w:hideMark/>
          </w:tcPr>
          <w:p w14:paraId="50A0B963"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38</w:t>
            </w:r>
          </w:p>
        </w:tc>
        <w:tc>
          <w:tcPr>
            <w:tcW w:w="688" w:type="dxa"/>
            <w:tcBorders>
              <w:top w:val="nil"/>
              <w:left w:val="nil"/>
              <w:bottom w:val="double" w:sz="6" w:space="0" w:color="1F497D"/>
              <w:right w:val="double" w:sz="6" w:space="0" w:color="1F497D"/>
            </w:tcBorders>
            <w:shd w:val="clear" w:color="auto" w:fill="auto"/>
            <w:vAlign w:val="center"/>
            <w:hideMark/>
          </w:tcPr>
          <w:p w14:paraId="40F4E36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354</w:t>
            </w:r>
          </w:p>
        </w:tc>
        <w:tc>
          <w:tcPr>
            <w:tcW w:w="918" w:type="dxa"/>
            <w:tcBorders>
              <w:top w:val="nil"/>
              <w:left w:val="nil"/>
              <w:bottom w:val="double" w:sz="6" w:space="0" w:color="1F497D"/>
              <w:right w:val="double" w:sz="6" w:space="0" w:color="1F497D"/>
            </w:tcBorders>
            <w:shd w:val="clear" w:color="auto" w:fill="auto"/>
            <w:vAlign w:val="center"/>
            <w:hideMark/>
          </w:tcPr>
          <w:p w14:paraId="0DC3E6F8"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11</w:t>
            </w:r>
          </w:p>
        </w:tc>
        <w:tc>
          <w:tcPr>
            <w:tcW w:w="562" w:type="dxa"/>
            <w:tcBorders>
              <w:top w:val="nil"/>
              <w:left w:val="nil"/>
              <w:bottom w:val="double" w:sz="6" w:space="0" w:color="1F497D"/>
              <w:right w:val="double" w:sz="6" w:space="0" w:color="1F497D"/>
            </w:tcBorders>
            <w:shd w:val="clear" w:color="auto" w:fill="auto"/>
            <w:vAlign w:val="center"/>
            <w:hideMark/>
          </w:tcPr>
          <w:p w14:paraId="2F806CB2"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805" w:type="dxa"/>
            <w:tcBorders>
              <w:top w:val="nil"/>
              <w:left w:val="nil"/>
              <w:bottom w:val="double" w:sz="6" w:space="0" w:color="1F497D"/>
              <w:right w:val="double" w:sz="6" w:space="0" w:color="1F497D"/>
            </w:tcBorders>
            <w:shd w:val="clear" w:color="auto" w:fill="auto"/>
            <w:vAlign w:val="center"/>
            <w:hideMark/>
          </w:tcPr>
          <w:p w14:paraId="6CD6AFC5"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w:t>
            </w:r>
          </w:p>
        </w:tc>
        <w:tc>
          <w:tcPr>
            <w:tcW w:w="740" w:type="dxa"/>
            <w:tcBorders>
              <w:top w:val="nil"/>
              <w:left w:val="nil"/>
              <w:bottom w:val="double" w:sz="6" w:space="0" w:color="1F497D"/>
              <w:right w:val="double" w:sz="6" w:space="0" w:color="1F497D"/>
            </w:tcBorders>
            <w:shd w:val="clear" w:color="auto" w:fill="auto"/>
            <w:vAlign w:val="center"/>
            <w:hideMark/>
          </w:tcPr>
          <w:p w14:paraId="032200D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auto" w:fill="auto"/>
            <w:vAlign w:val="center"/>
            <w:hideMark/>
          </w:tcPr>
          <w:p w14:paraId="4A88187E"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19</w:t>
            </w:r>
          </w:p>
        </w:tc>
        <w:tc>
          <w:tcPr>
            <w:tcW w:w="805" w:type="dxa"/>
            <w:tcBorders>
              <w:top w:val="nil"/>
              <w:left w:val="nil"/>
              <w:bottom w:val="double" w:sz="6" w:space="0" w:color="1F497D"/>
              <w:right w:val="double" w:sz="6" w:space="0" w:color="1F497D"/>
            </w:tcBorders>
            <w:shd w:val="clear" w:color="auto" w:fill="auto"/>
            <w:vAlign w:val="center"/>
            <w:hideMark/>
          </w:tcPr>
          <w:p w14:paraId="62207D6E"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13</w:t>
            </w:r>
          </w:p>
        </w:tc>
        <w:tc>
          <w:tcPr>
            <w:tcW w:w="562" w:type="dxa"/>
            <w:tcBorders>
              <w:top w:val="nil"/>
              <w:left w:val="nil"/>
              <w:bottom w:val="double" w:sz="6" w:space="0" w:color="1F497D"/>
              <w:right w:val="double" w:sz="6" w:space="0" w:color="1F497D"/>
            </w:tcBorders>
            <w:shd w:val="clear" w:color="auto" w:fill="auto"/>
            <w:vAlign w:val="center"/>
            <w:hideMark/>
          </w:tcPr>
          <w:p w14:paraId="1378C5C5"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177</w:t>
            </w:r>
          </w:p>
        </w:tc>
        <w:tc>
          <w:tcPr>
            <w:tcW w:w="805" w:type="dxa"/>
            <w:tcBorders>
              <w:top w:val="nil"/>
              <w:left w:val="nil"/>
              <w:bottom w:val="double" w:sz="6" w:space="0" w:color="1F497D"/>
              <w:right w:val="double" w:sz="6" w:space="0" w:color="1F497D"/>
            </w:tcBorders>
            <w:shd w:val="clear" w:color="auto" w:fill="auto"/>
            <w:vAlign w:val="center"/>
            <w:hideMark/>
          </w:tcPr>
          <w:p w14:paraId="1B47E41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118</w:t>
            </w:r>
          </w:p>
        </w:tc>
      </w:tr>
      <w:tr w:rsidR="001341EC" w:rsidRPr="002F64AC" w14:paraId="5BEC5B2C" w14:textId="77777777" w:rsidTr="00165AA6">
        <w:trPr>
          <w:trHeight w:val="648"/>
        </w:trPr>
        <w:tc>
          <w:tcPr>
            <w:tcW w:w="1048" w:type="dxa"/>
            <w:tcBorders>
              <w:top w:val="nil"/>
              <w:left w:val="double" w:sz="6" w:space="0" w:color="1F497D"/>
              <w:bottom w:val="double" w:sz="6" w:space="0" w:color="1F497D"/>
              <w:right w:val="double" w:sz="6" w:space="0" w:color="1F497D"/>
            </w:tcBorders>
            <w:shd w:val="clear" w:color="auto" w:fill="auto"/>
            <w:vAlign w:val="center"/>
            <w:hideMark/>
          </w:tcPr>
          <w:p w14:paraId="1E494077" w14:textId="77777777" w:rsidR="001341EC" w:rsidRPr="002F64AC" w:rsidRDefault="001341EC" w:rsidP="00165AA6">
            <w:pPr>
              <w:rPr>
                <w:rFonts w:ascii="Book Antiqua" w:hAnsi="Book Antiqua"/>
                <w:lang w:eastAsia="es-CR"/>
              </w:rPr>
            </w:pPr>
            <w:r w:rsidRPr="002F64AC">
              <w:rPr>
                <w:rFonts w:ascii="Book Antiqua" w:hAnsi="Book Antiqua"/>
                <w:lang w:eastAsia="es-CR"/>
              </w:rPr>
              <w:t xml:space="preserve">Juzgado Agrario del I </w:t>
            </w:r>
            <w:r w:rsidRPr="002F64AC">
              <w:rPr>
                <w:rFonts w:ascii="Book Antiqua" w:hAnsi="Book Antiqua"/>
                <w:lang w:eastAsia="es-CR"/>
              </w:rPr>
              <w:lastRenderedPageBreak/>
              <w:t>Circuito Judicial de la Zona Sur</w:t>
            </w:r>
          </w:p>
        </w:tc>
        <w:tc>
          <w:tcPr>
            <w:tcW w:w="1149" w:type="dxa"/>
            <w:tcBorders>
              <w:top w:val="nil"/>
              <w:left w:val="nil"/>
              <w:bottom w:val="double" w:sz="6" w:space="0" w:color="1F497D"/>
              <w:right w:val="double" w:sz="6" w:space="0" w:color="1F497D"/>
            </w:tcBorders>
            <w:shd w:val="clear" w:color="auto" w:fill="auto"/>
            <w:vAlign w:val="center"/>
            <w:hideMark/>
          </w:tcPr>
          <w:p w14:paraId="7B3ACC60"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lastRenderedPageBreak/>
              <w:t>16</w:t>
            </w:r>
          </w:p>
        </w:tc>
        <w:tc>
          <w:tcPr>
            <w:tcW w:w="688" w:type="dxa"/>
            <w:tcBorders>
              <w:top w:val="nil"/>
              <w:left w:val="nil"/>
              <w:bottom w:val="double" w:sz="6" w:space="0" w:color="1F497D"/>
              <w:right w:val="double" w:sz="6" w:space="0" w:color="1F497D"/>
            </w:tcBorders>
            <w:shd w:val="clear" w:color="auto" w:fill="auto"/>
            <w:vAlign w:val="center"/>
            <w:hideMark/>
          </w:tcPr>
          <w:p w14:paraId="19BF731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347</w:t>
            </w:r>
          </w:p>
        </w:tc>
        <w:tc>
          <w:tcPr>
            <w:tcW w:w="918" w:type="dxa"/>
            <w:tcBorders>
              <w:top w:val="nil"/>
              <w:left w:val="nil"/>
              <w:bottom w:val="double" w:sz="6" w:space="0" w:color="1F497D"/>
              <w:right w:val="double" w:sz="6" w:space="0" w:color="1F497D"/>
            </w:tcBorders>
            <w:shd w:val="clear" w:color="auto" w:fill="auto"/>
            <w:vAlign w:val="center"/>
            <w:hideMark/>
          </w:tcPr>
          <w:p w14:paraId="60AF08B4"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6</w:t>
            </w:r>
          </w:p>
        </w:tc>
        <w:tc>
          <w:tcPr>
            <w:tcW w:w="562" w:type="dxa"/>
            <w:tcBorders>
              <w:top w:val="nil"/>
              <w:left w:val="nil"/>
              <w:bottom w:val="double" w:sz="6" w:space="0" w:color="1F497D"/>
              <w:right w:val="double" w:sz="6" w:space="0" w:color="1F497D"/>
            </w:tcBorders>
            <w:shd w:val="clear" w:color="auto" w:fill="auto"/>
            <w:vAlign w:val="center"/>
            <w:hideMark/>
          </w:tcPr>
          <w:p w14:paraId="35EDC8F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805" w:type="dxa"/>
            <w:tcBorders>
              <w:top w:val="nil"/>
              <w:left w:val="nil"/>
              <w:bottom w:val="double" w:sz="6" w:space="0" w:color="1F497D"/>
              <w:right w:val="double" w:sz="6" w:space="0" w:color="1F497D"/>
            </w:tcBorders>
            <w:shd w:val="clear" w:color="auto" w:fill="auto"/>
            <w:vAlign w:val="center"/>
            <w:hideMark/>
          </w:tcPr>
          <w:p w14:paraId="7E42A06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740" w:type="dxa"/>
            <w:tcBorders>
              <w:top w:val="nil"/>
              <w:left w:val="nil"/>
              <w:bottom w:val="double" w:sz="6" w:space="0" w:color="1F497D"/>
              <w:right w:val="double" w:sz="6" w:space="0" w:color="1F497D"/>
            </w:tcBorders>
            <w:shd w:val="clear" w:color="auto" w:fill="auto"/>
            <w:vAlign w:val="center"/>
            <w:hideMark/>
          </w:tcPr>
          <w:p w14:paraId="5D11CF30"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auto" w:fill="auto"/>
            <w:vAlign w:val="center"/>
            <w:hideMark/>
          </w:tcPr>
          <w:p w14:paraId="0F4650DD"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16</w:t>
            </w:r>
          </w:p>
        </w:tc>
        <w:tc>
          <w:tcPr>
            <w:tcW w:w="805" w:type="dxa"/>
            <w:tcBorders>
              <w:top w:val="nil"/>
              <w:left w:val="nil"/>
              <w:bottom w:val="double" w:sz="6" w:space="0" w:color="1F497D"/>
              <w:right w:val="double" w:sz="6" w:space="0" w:color="1F497D"/>
            </w:tcBorders>
            <w:shd w:val="clear" w:color="auto" w:fill="auto"/>
            <w:vAlign w:val="center"/>
            <w:hideMark/>
          </w:tcPr>
          <w:p w14:paraId="1798DB65"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8</w:t>
            </w:r>
          </w:p>
        </w:tc>
        <w:tc>
          <w:tcPr>
            <w:tcW w:w="562" w:type="dxa"/>
            <w:tcBorders>
              <w:top w:val="nil"/>
              <w:left w:val="nil"/>
              <w:bottom w:val="double" w:sz="6" w:space="0" w:color="1F497D"/>
              <w:right w:val="double" w:sz="6" w:space="0" w:color="1F497D"/>
            </w:tcBorders>
            <w:shd w:val="clear" w:color="auto" w:fill="auto"/>
            <w:vAlign w:val="center"/>
            <w:hideMark/>
          </w:tcPr>
          <w:p w14:paraId="5E25728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347</w:t>
            </w:r>
          </w:p>
        </w:tc>
        <w:tc>
          <w:tcPr>
            <w:tcW w:w="805" w:type="dxa"/>
            <w:tcBorders>
              <w:top w:val="nil"/>
              <w:left w:val="nil"/>
              <w:bottom w:val="double" w:sz="6" w:space="0" w:color="1F497D"/>
              <w:right w:val="double" w:sz="6" w:space="0" w:color="1F497D"/>
            </w:tcBorders>
            <w:shd w:val="clear" w:color="auto" w:fill="auto"/>
            <w:vAlign w:val="center"/>
            <w:hideMark/>
          </w:tcPr>
          <w:p w14:paraId="5DA69D45"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174</w:t>
            </w:r>
          </w:p>
        </w:tc>
      </w:tr>
      <w:tr w:rsidR="001341EC" w:rsidRPr="002F64AC" w14:paraId="5FEA0802" w14:textId="77777777" w:rsidTr="00165AA6">
        <w:trPr>
          <w:trHeight w:val="648"/>
        </w:trPr>
        <w:tc>
          <w:tcPr>
            <w:tcW w:w="1048" w:type="dxa"/>
            <w:tcBorders>
              <w:top w:val="nil"/>
              <w:left w:val="double" w:sz="6" w:space="0" w:color="1F497D"/>
              <w:bottom w:val="double" w:sz="6" w:space="0" w:color="1F497D"/>
              <w:right w:val="double" w:sz="6" w:space="0" w:color="1F497D"/>
            </w:tcBorders>
            <w:shd w:val="clear" w:color="auto" w:fill="auto"/>
            <w:vAlign w:val="center"/>
            <w:hideMark/>
          </w:tcPr>
          <w:p w14:paraId="15729189" w14:textId="77777777" w:rsidR="001341EC" w:rsidRPr="002F64AC" w:rsidRDefault="001341EC" w:rsidP="00165AA6">
            <w:pPr>
              <w:rPr>
                <w:rFonts w:ascii="Book Antiqua" w:hAnsi="Book Antiqua"/>
                <w:lang w:eastAsia="es-CR"/>
              </w:rPr>
            </w:pPr>
            <w:r w:rsidRPr="002F64AC">
              <w:rPr>
                <w:rFonts w:ascii="Book Antiqua" w:hAnsi="Book Antiqua"/>
                <w:lang w:eastAsia="es-CR"/>
              </w:rPr>
              <w:t xml:space="preserve">Juzgado Agrario del III Circ. </w:t>
            </w:r>
            <w:proofErr w:type="spellStart"/>
            <w:r w:rsidRPr="002F64AC">
              <w:rPr>
                <w:rFonts w:ascii="Book Antiqua" w:hAnsi="Book Antiqua"/>
                <w:lang w:eastAsia="es-CR"/>
              </w:rPr>
              <w:t>Jud</w:t>
            </w:r>
            <w:proofErr w:type="spellEnd"/>
            <w:r w:rsidRPr="002F64AC">
              <w:rPr>
                <w:rFonts w:ascii="Book Antiqua" w:hAnsi="Book Antiqua"/>
                <w:lang w:eastAsia="es-CR"/>
              </w:rPr>
              <w:t>. Alajuela (San Ramón)</w:t>
            </w:r>
          </w:p>
        </w:tc>
        <w:tc>
          <w:tcPr>
            <w:tcW w:w="1149" w:type="dxa"/>
            <w:tcBorders>
              <w:top w:val="nil"/>
              <w:left w:val="nil"/>
              <w:bottom w:val="double" w:sz="6" w:space="0" w:color="1F497D"/>
              <w:right w:val="double" w:sz="6" w:space="0" w:color="1F497D"/>
            </w:tcBorders>
            <w:shd w:val="clear" w:color="auto" w:fill="auto"/>
            <w:vAlign w:val="center"/>
            <w:hideMark/>
          </w:tcPr>
          <w:p w14:paraId="6745F37C"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27</w:t>
            </w:r>
          </w:p>
        </w:tc>
        <w:tc>
          <w:tcPr>
            <w:tcW w:w="688" w:type="dxa"/>
            <w:tcBorders>
              <w:top w:val="nil"/>
              <w:left w:val="nil"/>
              <w:bottom w:val="double" w:sz="6" w:space="0" w:color="1F497D"/>
              <w:right w:val="double" w:sz="6" w:space="0" w:color="1F497D"/>
            </w:tcBorders>
            <w:shd w:val="clear" w:color="auto" w:fill="auto"/>
            <w:vAlign w:val="center"/>
            <w:hideMark/>
          </w:tcPr>
          <w:p w14:paraId="019AB72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320</w:t>
            </w:r>
          </w:p>
        </w:tc>
        <w:tc>
          <w:tcPr>
            <w:tcW w:w="918" w:type="dxa"/>
            <w:tcBorders>
              <w:top w:val="nil"/>
              <w:left w:val="nil"/>
              <w:bottom w:val="double" w:sz="6" w:space="0" w:color="1F497D"/>
              <w:right w:val="double" w:sz="6" w:space="0" w:color="1F497D"/>
            </w:tcBorders>
            <w:shd w:val="clear" w:color="auto" w:fill="auto"/>
            <w:vAlign w:val="center"/>
            <w:hideMark/>
          </w:tcPr>
          <w:p w14:paraId="277174F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4</w:t>
            </w:r>
          </w:p>
        </w:tc>
        <w:tc>
          <w:tcPr>
            <w:tcW w:w="562" w:type="dxa"/>
            <w:tcBorders>
              <w:top w:val="nil"/>
              <w:left w:val="nil"/>
              <w:bottom w:val="double" w:sz="6" w:space="0" w:color="1F497D"/>
              <w:right w:val="double" w:sz="6" w:space="0" w:color="1F497D"/>
            </w:tcBorders>
            <w:shd w:val="clear" w:color="auto" w:fill="auto"/>
            <w:vAlign w:val="center"/>
            <w:hideMark/>
          </w:tcPr>
          <w:p w14:paraId="469FFB3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805" w:type="dxa"/>
            <w:tcBorders>
              <w:top w:val="nil"/>
              <w:left w:val="nil"/>
              <w:bottom w:val="double" w:sz="6" w:space="0" w:color="1F497D"/>
              <w:right w:val="double" w:sz="6" w:space="0" w:color="1F497D"/>
            </w:tcBorders>
            <w:shd w:val="clear" w:color="auto" w:fill="auto"/>
            <w:vAlign w:val="center"/>
            <w:hideMark/>
          </w:tcPr>
          <w:p w14:paraId="02767FFD"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740" w:type="dxa"/>
            <w:tcBorders>
              <w:top w:val="nil"/>
              <w:left w:val="nil"/>
              <w:bottom w:val="double" w:sz="6" w:space="0" w:color="1F497D"/>
              <w:right w:val="double" w:sz="6" w:space="0" w:color="1F497D"/>
            </w:tcBorders>
            <w:shd w:val="clear" w:color="auto" w:fill="auto"/>
            <w:vAlign w:val="center"/>
            <w:hideMark/>
          </w:tcPr>
          <w:p w14:paraId="1718AB7C"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auto" w:fill="auto"/>
            <w:vAlign w:val="center"/>
            <w:hideMark/>
          </w:tcPr>
          <w:p w14:paraId="28776BB9"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14</w:t>
            </w:r>
          </w:p>
        </w:tc>
        <w:tc>
          <w:tcPr>
            <w:tcW w:w="805" w:type="dxa"/>
            <w:tcBorders>
              <w:top w:val="nil"/>
              <w:left w:val="nil"/>
              <w:bottom w:val="double" w:sz="6" w:space="0" w:color="1F497D"/>
              <w:right w:val="double" w:sz="6" w:space="0" w:color="1F497D"/>
            </w:tcBorders>
            <w:shd w:val="clear" w:color="auto" w:fill="auto"/>
            <w:vAlign w:val="center"/>
            <w:hideMark/>
          </w:tcPr>
          <w:p w14:paraId="086C611E"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14</w:t>
            </w:r>
          </w:p>
        </w:tc>
        <w:tc>
          <w:tcPr>
            <w:tcW w:w="562" w:type="dxa"/>
            <w:tcBorders>
              <w:top w:val="nil"/>
              <w:left w:val="nil"/>
              <w:bottom w:val="double" w:sz="6" w:space="0" w:color="1F497D"/>
              <w:right w:val="double" w:sz="6" w:space="0" w:color="1F497D"/>
            </w:tcBorders>
            <w:shd w:val="clear" w:color="auto" w:fill="auto"/>
            <w:vAlign w:val="center"/>
            <w:hideMark/>
          </w:tcPr>
          <w:p w14:paraId="40D66542"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160</w:t>
            </w:r>
          </w:p>
        </w:tc>
        <w:tc>
          <w:tcPr>
            <w:tcW w:w="805" w:type="dxa"/>
            <w:tcBorders>
              <w:top w:val="nil"/>
              <w:left w:val="nil"/>
              <w:bottom w:val="double" w:sz="6" w:space="0" w:color="1F497D"/>
              <w:right w:val="double" w:sz="6" w:space="0" w:color="1F497D"/>
            </w:tcBorders>
            <w:shd w:val="clear" w:color="auto" w:fill="auto"/>
            <w:vAlign w:val="center"/>
            <w:hideMark/>
          </w:tcPr>
          <w:p w14:paraId="7BF7790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160</w:t>
            </w:r>
          </w:p>
        </w:tc>
      </w:tr>
      <w:tr w:rsidR="001341EC" w:rsidRPr="002F64AC" w14:paraId="5804C94A" w14:textId="77777777" w:rsidTr="00165AA6">
        <w:trPr>
          <w:trHeight w:val="336"/>
        </w:trPr>
        <w:tc>
          <w:tcPr>
            <w:tcW w:w="1048" w:type="dxa"/>
            <w:tcBorders>
              <w:top w:val="nil"/>
              <w:left w:val="double" w:sz="6" w:space="0" w:color="1F497D"/>
              <w:bottom w:val="double" w:sz="6" w:space="0" w:color="1F497D"/>
              <w:right w:val="double" w:sz="6" w:space="0" w:color="1F497D"/>
            </w:tcBorders>
            <w:shd w:val="clear" w:color="auto" w:fill="auto"/>
            <w:vAlign w:val="center"/>
            <w:hideMark/>
          </w:tcPr>
          <w:p w14:paraId="30421D41" w14:textId="77777777" w:rsidR="001341EC" w:rsidRPr="002F64AC" w:rsidRDefault="001341EC" w:rsidP="00165AA6">
            <w:pPr>
              <w:rPr>
                <w:rFonts w:ascii="Book Antiqua" w:hAnsi="Book Antiqua"/>
                <w:lang w:eastAsia="es-CR"/>
              </w:rPr>
            </w:pPr>
            <w:r w:rsidRPr="002F64AC">
              <w:rPr>
                <w:rFonts w:ascii="Book Antiqua" w:hAnsi="Book Antiqua"/>
                <w:lang w:eastAsia="es-CR"/>
              </w:rPr>
              <w:t>Juzgado Agrario I Circuito Judicial Alajuela</w:t>
            </w:r>
          </w:p>
        </w:tc>
        <w:tc>
          <w:tcPr>
            <w:tcW w:w="1149" w:type="dxa"/>
            <w:tcBorders>
              <w:top w:val="nil"/>
              <w:left w:val="nil"/>
              <w:bottom w:val="double" w:sz="6" w:space="0" w:color="1F497D"/>
              <w:right w:val="double" w:sz="6" w:space="0" w:color="1F497D"/>
            </w:tcBorders>
            <w:shd w:val="clear" w:color="auto" w:fill="auto"/>
            <w:vAlign w:val="center"/>
            <w:hideMark/>
          </w:tcPr>
          <w:p w14:paraId="736908F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23</w:t>
            </w:r>
          </w:p>
        </w:tc>
        <w:tc>
          <w:tcPr>
            <w:tcW w:w="688" w:type="dxa"/>
            <w:tcBorders>
              <w:top w:val="nil"/>
              <w:left w:val="nil"/>
              <w:bottom w:val="double" w:sz="6" w:space="0" w:color="1F497D"/>
              <w:right w:val="double" w:sz="6" w:space="0" w:color="1F497D"/>
            </w:tcBorders>
            <w:shd w:val="clear" w:color="auto" w:fill="auto"/>
            <w:vAlign w:val="center"/>
            <w:hideMark/>
          </w:tcPr>
          <w:p w14:paraId="1F8B1C4B"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318</w:t>
            </w:r>
          </w:p>
        </w:tc>
        <w:tc>
          <w:tcPr>
            <w:tcW w:w="918" w:type="dxa"/>
            <w:tcBorders>
              <w:top w:val="nil"/>
              <w:left w:val="nil"/>
              <w:bottom w:val="double" w:sz="6" w:space="0" w:color="1F497D"/>
              <w:right w:val="double" w:sz="6" w:space="0" w:color="1F497D"/>
            </w:tcBorders>
            <w:shd w:val="clear" w:color="auto" w:fill="auto"/>
            <w:vAlign w:val="center"/>
            <w:hideMark/>
          </w:tcPr>
          <w:p w14:paraId="36C93440"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20</w:t>
            </w:r>
          </w:p>
        </w:tc>
        <w:tc>
          <w:tcPr>
            <w:tcW w:w="562" w:type="dxa"/>
            <w:tcBorders>
              <w:top w:val="nil"/>
              <w:left w:val="nil"/>
              <w:bottom w:val="double" w:sz="6" w:space="0" w:color="1F497D"/>
              <w:right w:val="double" w:sz="6" w:space="0" w:color="1F497D"/>
            </w:tcBorders>
            <w:shd w:val="clear" w:color="auto" w:fill="auto"/>
            <w:vAlign w:val="center"/>
            <w:hideMark/>
          </w:tcPr>
          <w:p w14:paraId="5FE64E45"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805" w:type="dxa"/>
            <w:tcBorders>
              <w:top w:val="nil"/>
              <w:left w:val="nil"/>
              <w:bottom w:val="double" w:sz="6" w:space="0" w:color="1F497D"/>
              <w:right w:val="double" w:sz="6" w:space="0" w:color="1F497D"/>
            </w:tcBorders>
            <w:shd w:val="clear" w:color="auto" w:fill="auto"/>
            <w:vAlign w:val="center"/>
            <w:hideMark/>
          </w:tcPr>
          <w:p w14:paraId="215590CC"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740" w:type="dxa"/>
            <w:tcBorders>
              <w:top w:val="nil"/>
              <w:left w:val="nil"/>
              <w:bottom w:val="double" w:sz="6" w:space="0" w:color="1F497D"/>
              <w:right w:val="double" w:sz="6" w:space="0" w:color="1F497D"/>
            </w:tcBorders>
            <w:shd w:val="clear" w:color="auto" w:fill="auto"/>
            <w:vAlign w:val="center"/>
            <w:hideMark/>
          </w:tcPr>
          <w:p w14:paraId="6AA0B2E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auto" w:fill="auto"/>
            <w:vAlign w:val="center"/>
            <w:hideMark/>
          </w:tcPr>
          <w:p w14:paraId="31FB5A99"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12</w:t>
            </w:r>
          </w:p>
        </w:tc>
        <w:tc>
          <w:tcPr>
            <w:tcW w:w="805" w:type="dxa"/>
            <w:tcBorders>
              <w:top w:val="nil"/>
              <w:left w:val="nil"/>
              <w:bottom w:val="double" w:sz="6" w:space="0" w:color="1F497D"/>
              <w:right w:val="double" w:sz="6" w:space="0" w:color="1F497D"/>
            </w:tcBorders>
            <w:shd w:val="clear" w:color="auto" w:fill="auto"/>
            <w:vAlign w:val="center"/>
            <w:hideMark/>
          </w:tcPr>
          <w:p w14:paraId="12CF78E6"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12</w:t>
            </w:r>
          </w:p>
        </w:tc>
        <w:tc>
          <w:tcPr>
            <w:tcW w:w="562" w:type="dxa"/>
            <w:tcBorders>
              <w:top w:val="nil"/>
              <w:left w:val="nil"/>
              <w:bottom w:val="double" w:sz="6" w:space="0" w:color="1F497D"/>
              <w:right w:val="double" w:sz="6" w:space="0" w:color="1F497D"/>
            </w:tcBorders>
            <w:shd w:val="clear" w:color="auto" w:fill="auto"/>
            <w:vAlign w:val="center"/>
            <w:hideMark/>
          </w:tcPr>
          <w:p w14:paraId="3C5DD6D0"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159</w:t>
            </w:r>
          </w:p>
        </w:tc>
        <w:tc>
          <w:tcPr>
            <w:tcW w:w="805" w:type="dxa"/>
            <w:tcBorders>
              <w:top w:val="nil"/>
              <w:left w:val="nil"/>
              <w:bottom w:val="double" w:sz="6" w:space="0" w:color="1F497D"/>
              <w:right w:val="double" w:sz="6" w:space="0" w:color="1F497D"/>
            </w:tcBorders>
            <w:shd w:val="clear" w:color="auto" w:fill="auto"/>
            <w:vAlign w:val="center"/>
            <w:hideMark/>
          </w:tcPr>
          <w:p w14:paraId="7706B96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159</w:t>
            </w:r>
          </w:p>
        </w:tc>
      </w:tr>
      <w:tr w:rsidR="001341EC" w:rsidRPr="002F64AC" w14:paraId="5E9A1D24" w14:textId="77777777" w:rsidTr="00165AA6">
        <w:trPr>
          <w:trHeight w:val="336"/>
        </w:trPr>
        <w:tc>
          <w:tcPr>
            <w:tcW w:w="1048" w:type="dxa"/>
            <w:tcBorders>
              <w:top w:val="nil"/>
              <w:left w:val="double" w:sz="6" w:space="0" w:color="1F497D"/>
              <w:bottom w:val="double" w:sz="6" w:space="0" w:color="1F497D"/>
              <w:right w:val="double" w:sz="6" w:space="0" w:color="1F497D"/>
            </w:tcBorders>
            <w:shd w:val="clear" w:color="auto" w:fill="auto"/>
            <w:vAlign w:val="center"/>
            <w:hideMark/>
          </w:tcPr>
          <w:p w14:paraId="4AAB005C" w14:textId="77777777" w:rsidR="001341EC" w:rsidRPr="002F64AC" w:rsidRDefault="001341EC" w:rsidP="00165AA6">
            <w:pPr>
              <w:rPr>
                <w:rFonts w:ascii="Book Antiqua" w:hAnsi="Book Antiqua"/>
                <w:lang w:eastAsia="es-CR"/>
              </w:rPr>
            </w:pPr>
            <w:r w:rsidRPr="002F64AC">
              <w:rPr>
                <w:rFonts w:ascii="Book Antiqua" w:hAnsi="Book Antiqua"/>
                <w:lang w:eastAsia="es-CR"/>
              </w:rPr>
              <w:t xml:space="preserve">Juzgado Agrario II Circ. </w:t>
            </w:r>
            <w:proofErr w:type="spellStart"/>
            <w:r w:rsidRPr="002F64AC">
              <w:rPr>
                <w:rFonts w:ascii="Book Antiqua" w:hAnsi="Book Antiqua"/>
                <w:lang w:eastAsia="es-CR"/>
              </w:rPr>
              <w:t>Jud</w:t>
            </w:r>
            <w:proofErr w:type="spellEnd"/>
            <w:r w:rsidRPr="002F64AC">
              <w:rPr>
                <w:rFonts w:ascii="Book Antiqua" w:hAnsi="Book Antiqua"/>
                <w:lang w:eastAsia="es-CR"/>
              </w:rPr>
              <w:t>. de San José</w:t>
            </w:r>
          </w:p>
        </w:tc>
        <w:tc>
          <w:tcPr>
            <w:tcW w:w="1149" w:type="dxa"/>
            <w:tcBorders>
              <w:top w:val="nil"/>
              <w:left w:val="nil"/>
              <w:bottom w:val="double" w:sz="6" w:space="0" w:color="1F497D"/>
              <w:right w:val="double" w:sz="6" w:space="0" w:color="1F497D"/>
            </w:tcBorders>
            <w:shd w:val="clear" w:color="auto" w:fill="auto"/>
            <w:vAlign w:val="center"/>
            <w:hideMark/>
          </w:tcPr>
          <w:p w14:paraId="1D39B984"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29</w:t>
            </w:r>
          </w:p>
        </w:tc>
        <w:tc>
          <w:tcPr>
            <w:tcW w:w="688" w:type="dxa"/>
            <w:tcBorders>
              <w:top w:val="nil"/>
              <w:left w:val="nil"/>
              <w:bottom w:val="double" w:sz="6" w:space="0" w:color="1F497D"/>
              <w:right w:val="double" w:sz="6" w:space="0" w:color="1F497D"/>
            </w:tcBorders>
            <w:shd w:val="clear" w:color="auto" w:fill="auto"/>
            <w:vAlign w:val="center"/>
            <w:hideMark/>
          </w:tcPr>
          <w:p w14:paraId="4A8ECC9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314</w:t>
            </w:r>
          </w:p>
        </w:tc>
        <w:tc>
          <w:tcPr>
            <w:tcW w:w="918" w:type="dxa"/>
            <w:tcBorders>
              <w:top w:val="nil"/>
              <w:left w:val="nil"/>
              <w:bottom w:val="double" w:sz="6" w:space="0" w:color="1F497D"/>
              <w:right w:val="double" w:sz="6" w:space="0" w:color="1F497D"/>
            </w:tcBorders>
            <w:shd w:val="clear" w:color="auto" w:fill="auto"/>
            <w:vAlign w:val="center"/>
            <w:hideMark/>
          </w:tcPr>
          <w:p w14:paraId="634C0D0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64</w:t>
            </w:r>
          </w:p>
        </w:tc>
        <w:tc>
          <w:tcPr>
            <w:tcW w:w="562" w:type="dxa"/>
            <w:tcBorders>
              <w:top w:val="nil"/>
              <w:left w:val="nil"/>
              <w:bottom w:val="double" w:sz="6" w:space="0" w:color="1F497D"/>
              <w:right w:val="double" w:sz="6" w:space="0" w:color="1F497D"/>
            </w:tcBorders>
            <w:shd w:val="clear" w:color="auto" w:fill="auto"/>
            <w:vAlign w:val="center"/>
            <w:hideMark/>
          </w:tcPr>
          <w:p w14:paraId="779BD02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805" w:type="dxa"/>
            <w:tcBorders>
              <w:top w:val="nil"/>
              <w:left w:val="nil"/>
              <w:bottom w:val="double" w:sz="6" w:space="0" w:color="1F497D"/>
              <w:right w:val="double" w:sz="6" w:space="0" w:color="1F497D"/>
            </w:tcBorders>
            <w:shd w:val="clear" w:color="auto" w:fill="auto"/>
            <w:vAlign w:val="center"/>
            <w:hideMark/>
          </w:tcPr>
          <w:p w14:paraId="2F8C69FD"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w:t>
            </w:r>
          </w:p>
        </w:tc>
        <w:tc>
          <w:tcPr>
            <w:tcW w:w="740" w:type="dxa"/>
            <w:tcBorders>
              <w:top w:val="nil"/>
              <w:left w:val="nil"/>
              <w:bottom w:val="double" w:sz="6" w:space="0" w:color="1F497D"/>
              <w:right w:val="double" w:sz="6" w:space="0" w:color="1F497D"/>
            </w:tcBorders>
            <w:shd w:val="clear" w:color="auto" w:fill="auto"/>
            <w:vAlign w:val="center"/>
            <w:hideMark/>
          </w:tcPr>
          <w:p w14:paraId="38CAED3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auto" w:fill="auto"/>
            <w:vAlign w:val="center"/>
            <w:hideMark/>
          </w:tcPr>
          <w:p w14:paraId="5BFC57A9"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15</w:t>
            </w:r>
          </w:p>
        </w:tc>
        <w:tc>
          <w:tcPr>
            <w:tcW w:w="805" w:type="dxa"/>
            <w:tcBorders>
              <w:top w:val="nil"/>
              <w:left w:val="nil"/>
              <w:bottom w:val="double" w:sz="6" w:space="0" w:color="1F497D"/>
              <w:right w:val="double" w:sz="6" w:space="0" w:color="1F497D"/>
            </w:tcBorders>
            <w:shd w:val="clear" w:color="auto" w:fill="auto"/>
            <w:vAlign w:val="center"/>
            <w:hideMark/>
          </w:tcPr>
          <w:p w14:paraId="7ABBDD0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15</w:t>
            </w:r>
          </w:p>
        </w:tc>
        <w:tc>
          <w:tcPr>
            <w:tcW w:w="562" w:type="dxa"/>
            <w:tcBorders>
              <w:top w:val="nil"/>
              <w:left w:val="nil"/>
              <w:bottom w:val="double" w:sz="6" w:space="0" w:color="1F497D"/>
              <w:right w:val="double" w:sz="6" w:space="0" w:color="1F497D"/>
            </w:tcBorders>
            <w:shd w:val="clear" w:color="auto" w:fill="auto"/>
            <w:vAlign w:val="center"/>
            <w:hideMark/>
          </w:tcPr>
          <w:p w14:paraId="141C9385"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157</w:t>
            </w:r>
          </w:p>
        </w:tc>
        <w:tc>
          <w:tcPr>
            <w:tcW w:w="805" w:type="dxa"/>
            <w:tcBorders>
              <w:top w:val="nil"/>
              <w:left w:val="nil"/>
              <w:bottom w:val="double" w:sz="6" w:space="0" w:color="1F497D"/>
              <w:right w:val="double" w:sz="6" w:space="0" w:color="1F497D"/>
            </w:tcBorders>
            <w:shd w:val="clear" w:color="auto" w:fill="auto"/>
            <w:vAlign w:val="center"/>
            <w:hideMark/>
          </w:tcPr>
          <w:p w14:paraId="27540D9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157</w:t>
            </w:r>
          </w:p>
        </w:tc>
      </w:tr>
      <w:tr w:rsidR="001341EC" w:rsidRPr="002F64AC" w14:paraId="2DD465B8" w14:textId="77777777" w:rsidTr="00165AA6">
        <w:trPr>
          <w:trHeight w:val="336"/>
        </w:trPr>
        <w:tc>
          <w:tcPr>
            <w:tcW w:w="1048" w:type="dxa"/>
            <w:tcBorders>
              <w:top w:val="nil"/>
              <w:left w:val="double" w:sz="6" w:space="0" w:color="1F497D"/>
              <w:bottom w:val="double" w:sz="6" w:space="0" w:color="1F497D"/>
              <w:right w:val="double" w:sz="6" w:space="0" w:color="1F497D"/>
            </w:tcBorders>
            <w:shd w:val="clear" w:color="auto" w:fill="auto"/>
            <w:vAlign w:val="center"/>
            <w:hideMark/>
          </w:tcPr>
          <w:p w14:paraId="595CCC43" w14:textId="77777777" w:rsidR="001341EC" w:rsidRPr="002F64AC" w:rsidRDefault="001341EC" w:rsidP="00165AA6">
            <w:pPr>
              <w:rPr>
                <w:rFonts w:ascii="Book Antiqua" w:hAnsi="Book Antiqua"/>
                <w:lang w:eastAsia="es-CR"/>
              </w:rPr>
            </w:pPr>
            <w:r w:rsidRPr="002F64AC">
              <w:rPr>
                <w:rFonts w:ascii="Book Antiqua" w:hAnsi="Book Antiqua"/>
                <w:lang w:eastAsia="es-CR"/>
              </w:rPr>
              <w:t>Juzgado Civil, Trabajo y Familia de Buenos Aires</w:t>
            </w:r>
          </w:p>
        </w:tc>
        <w:tc>
          <w:tcPr>
            <w:tcW w:w="1149" w:type="dxa"/>
            <w:tcBorders>
              <w:top w:val="nil"/>
              <w:left w:val="nil"/>
              <w:bottom w:val="double" w:sz="6" w:space="0" w:color="1F497D"/>
              <w:right w:val="double" w:sz="6" w:space="0" w:color="1F497D"/>
            </w:tcBorders>
            <w:shd w:val="clear" w:color="auto" w:fill="auto"/>
            <w:vAlign w:val="center"/>
            <w:hideMark/>
          </w:tcPr>
          <w:p w14:paraId="58150C8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9</w:t>
            </w:r>
          </w:p>
        </w:tc>
        <w:tc>
          <w:tcPr>
            <w:tcW w:w="688" w:type="dxa"/>
            <w:tcBorders>
              <w:top w:val="nil"/>
              <w:left w:val="nil"/>
              <w:bottom w:val="double" w:sz="6" w:space="0" w:color="1F497D"/>
              <w:right w:val="double" w:sz="6" w:space="0" w:color="1F497D"/>
            </w:tcBorders>
            <w:shd w:val="clear" w:color="auto" w:fill="auto"/>
            <w:vAlign w:val="center"/>
            <w:hideMark/>
          </w:tcPr>
          <w:p w14:paraId="3A8F010B"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297</w:t>
            </w:r>
          </w:p>
        </w:tc>
        <w:tc>
          <w:tcPr>
            <w:tcW w:w="918" w:type="dxa"/>
            <w:tcBorders>
              <w:top w:val="nil"/>
              <w:left w:val="nil"/>
              <w:bottom w:val="double" w:sz="6" w:space="0" w:color="1F497D"/>
              <w:right w:val="double" w:sz="6" w:space="0" w:color="1F497D"/>
            </w:tcBorders>
            <w:shd w:val="clear" w:color="auto" w:fill="auto"/>
            <w:vAlign w:val="center"/>
            <w:hideMark/>
          </w:tcPr>
          <w:p w14:paraId="1B27E6F4"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6</w:t>
            </w:r>
          </w:p>
        </w:tc>
        <w:tc>
          <w:tcPr>
            <w:tcW w:w="562" w:type="dxa"/>
            <w:tcBorders>
              <w:top w:val="nil"/>
              <w:left w:val="nil"/>
              <w:bottom w:val="double" w:sz="6" w:space="0" w:color="1F497D"/>
              <w:right w:val="double" w:sz="6" w:space="0" w:color="1F497D"/>
            </w:tcBorders>
            <w:shd w:val="clear" w:color="auto" w:fill="auto"/>
            <w:vAlign w:val="center"/>
            <w:hideMark/>
          </w:tcPr>
          <w:p w14:paraId="64D3DDF4"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805" w:type="dxa"/>
            <w:tcBorders>
              <w:top w:val="nil"/>
              <w:left w:val="nil"/>
              <w:bottom w:val="double" w:sz="6" w:space="0" w:color="1F497D"/>
              <w:right w:val="double" w:sz="6" w:space="0" w:color="1F497D"/>
            </w:tcBorders>
            <w:shd w:val="clear" w:color="auto" w:fill="auto"/>
            <w:vAlign w:val="center"/>
            <w:hideMark/>
          </w:tcPr>
          <w:p w14:paraId="2EF6C623"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w:t>
            </w:r>
          </w:p>
        </w:tc>
        <w:tc>
          <w:tcPr>
            <w:tcW w:w="740" w:type="dxa"/>
            <w:tcBorders>
              <w:top w:val="nil"/>
              <w:left w:val="nil"/>
              <w:bottom w:val="double" w:sz="6" w:space="0" w:color="1F497D"/>
              <w:right w:val="double" w:sz="6" w:space="0" w:color="1F497D"/>
            </w:tcBorders>
            <w:shd w:val="clear" w:color="auto" w:fill="auto"/>
            <w:vAlign w:val="center"/>
            <w:hideMark/>
          </w:tcPr>
          <w:p w14:paraId="4C1C072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auto" w:fill="auto"/>
            <w:vAlign w:val="center"/>
            <w:hideMark/>
          </w:tcPr>
          <w:p w14:paraId="6A4B4639"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9</w:t>
            </w:r>
          </w:p>
        </w:tc>
        <w:tc>
          <w:tcPr>
            <w:tcW w:w="805" w:type="dxa"/>
            <w:tcBorders>
              <w:top w:val="nil"/>
              <w:left w:val="nil"/>
              <w:bottom w:val="double" w:sz="6" w:space="0" w:color="1F497D"/>
              <w:right w:val="double" w:sz="6" w:space="0" w:color="1F497D"/>
            </w:tcBorders>
            <w:shd w:val="clear" w:color="auto" w:fill="auto"/>
            <w:vAlign w:val="center"/>
            <w:hideMark/>
          </w:tcPr>
          <w:p w14:paraId="64D1D77D"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w:t>
            </w:r>
          </w:p>
        </w:tc>
        <w:tc>
          <w:tcPr>
            <w:tcW w:w="562" w:type="dxa"/>
            <w:tcBorders>
              <w:top w:val="nil"/>
              <w:left w:val="nil"/>
              <w:bottom w:val="double" w:sz="6" w:space="0" w:color="1F497D"/>
              <w:right w:val="double" w:sz="6" w:space="0" w:color="1F497D"/>
            </w:tcBorders>
            <w:shd w:val="clear" w:color="auto" w:fill="auto"/>
            <w:vAlign w:val="center"/>
            <w:hideMark/>
          </w:tcPr>
          <w:p w14:paraId="6144CDFE"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297</w:t>
            </w:r>
          </w:p>
        </w:tc>
        <w:tc>
          <w:tcPr>
            <w:tcW w:w="805" w:type="dxa"/>
            <w:tcBorders>
              <w:top w:val="nil"/>
              <w:left w:val="nil"/>
              <w:bottom w:val="double" w:sz="6" w:space="0" w:color="1F497D"/>
              <w:right w:val="double" w:sz="6" w:space="0" w:color="1F497D"/>
            </w:tcBorders>
            <w:shd w:val="clear" w:color="auto" w:fill="auto"/>
            <w:vAlign w:val="center"/>
            <w:hideMark/>
          </w:tcPr>
          <w:p w14:paraId="279F8595"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99</w:t>
            </w:r>
          </w:p>
        </w:tc>
      </w:tr>
      <w:tr w:rsidR="001341EC" w:rsidRPr="002F64AC" w14:paraId="245B0B95" w14:textId="77777777" w:rsidTr="00165AA6">
        <w:trPr>
          <w:trHeight w:val="336"/>
        </w:trPr>
        <w:tc>
          <w:tcPr>
            <w:tcW w:w="1048" w:type="dxa"/>
            <w:tcBorders>
              <w:top w:val="nil"/>
              <w:left w:val="double" w:sz="6" w:space="0" w:color="1F497D"/>
              <w:bottom w:val="double" w:sz="6" w:space="0" w:color="1F497D"/>
              <w:right w:val="double" w:sz="6" w:space="0" w:color="1F497D"/>
            </w:tcBorders>
            <w:shd w:val="clear" w:color="auto" w:fill="auto"/>
            <w:vAlign w:val="center"/>
            <w:hideMark/>
          </w:tcPr>
          <w:p w14:paraId="484F0D59" w14:textId="77777777" w:rsidR="001341EC" w:rsidRPr="002F64AC" w:rsidRDefault="001341EC" w:rsidP="00165AA6">
            <w:pPr>
              <w:rPr>
                <w:rFonts w:ascii="Book Antiqua" w:hAnsi="Book Antiqua"/>
                <w:lang w:eastAsia="es-CR"/>
              </w:rPr>
            </w:pPr>
            <w:r w:rsidRPr="002F64AC">
              <w:rPr>
                <w:rFonts w:ascii="Book Antiqua" w:hAnsi="Book Antiqua"/>
                <w:lang w:eastAsia="es-CR"/>
              </w:rPr>
              <w:t>Juzgado Civil, Trabajo y Agrario de Turrialba</w:t>
            </w:r>
          </w:p>
        </w:tc>
        <w:tc>
          <w:tcPr>
            <w:tcW w:w="1149" w:type="dxa"/>
            <w:tcBorders>
              <w:top w:val="nil"/>
              <w:left w:val="nil"/>
              <w:bottom w:val="double" w:sz="6" w:space="0" w:color="1F497D"/>
              <w:right w:val="double" w:sz="6" w:space="0" w:color="1F497D"/>
            </w:tcBorders>
            <w:shd w:val="clear" w:color="auto" w:fill="auto"/>
            <w:vAlign w:val="center"/>
            <w:hideMark/>
          </w:tcPr>
          <w:p w14:paraId="1BBFF07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9</w:t>
            </w:r>
          </w:p>
        </w:tc>
        <w:tc>
          <w:tcPr>
            <w:tcW w:w="688" w:type="dxa"/>
            <w:tcBorders>
              <w:top w:val="nil"/>
              <w:left w:val="nil"/>
              <w:bottom w:val="double" w:sz="6" w:space="0" w:color="1F497D"/>
              <w:right w:val="double" w:sz="6" w:space="0" w:color="1F497D"/>
            </w:tcBorders>
            <w:shd w:val="clear" w:color="auto" w:fill="auto"/>
            <w:vAlign w:val="center"/>
            <w:hideMark/>
          </w:tcPr>
          <w:p w14:paraId="2D77E21D"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99</w:t>
            </w:r>
          </w:p>
        </w:tc>
        <w:tc>
          <w:tcPr>
            <w:tcW w:w="918" w:type="dxa"/>
            <w:tcBorders>
              <w:top w:val="nil"/>
              <w:left w:val="nil"/>
              <w:bottom w:val="double" w:sz="6" w:space="0" w:color="1F497D"/>
              <w:right w:val="double" w:sz="6" w:space="0" w:color="1F497D"/>
            </w:tcBorders>
            <w:shd w:val="clear" w:color="auto" w:fill="auto"/>
            <w:vAlign w:val="center"/>
            <w:hideMark/>
          </w:tcPr>
          <w:p w14:paraId="6B2A3BD0"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7</w:t>
            </w:r>
          </w:p>
        </w:tc>
        <w:tc>
          <w:tcPr>
            <w:tcW w:w="562" w:type="dxa"/>
            <w:tcBorders>
              <w:top w:val="nil"/>
              <w:left w:val="nil"/>
              <w:bottom w:val="double" w:sz="6" w:space="0" w:color="1F497D"/>
              <w:right w:val="double" w:sz="6" w:space="0" w:color="1F497D"/>
            </w:tcBorders>
            <w:shd w:val="clear" w:color="auto" w:fill="auto"/>
            <w:vAlign w:val="center"/>
            <w:hideMark/>
          </w:tcPr>
          <w:p w14:paraId="4E458D21"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805" w:type="dxa"/>
            <w:tcBorders>
              <w:top w:val="nil"/>
              <w:left w:val="nil"/>
              <w:bottom w:val="double" w:sz="6" w:space="0" w:color="1F497D"/>
              <w:right w:val="double" w:sz="6" w:space="0" w:color="1F497D"/>
            </w:tcBorders>
            <w:shd w:val="clear" w:color="auto" w:fill="auto"/>
            <w:vAlign w:val="center"/>
            <w:hideMark/>
          </w:tcPr>
          <w:p w14:paraId="5D43FA7C"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740" w:type="dxa"/>
            <w:tcBorders>
              <w:top w:val="nil"/>
              <w:left w:val="nil"/>
              <w:bottom w:val="double" w:sz="6" w:space="0" w:color="1F497D"/>
              <w:right w:val="double" w:sz="6" w:space="0" w:color="1F497D"/>
            </w:tcBorders>
            <w:shd w:val="clear" w:color="auto" w:fill="auto"/>
            <w:vAlign w:val="center"/>
            <w:hideMark/>
          </w:tcPr>
          <w:p w14:paraId="13ED5C8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auto" w:fill="auto"/>
            <w:vAlign w:val="center"/>
            <w:hideMark/>
          </w:tcPr>
          <w:p w14:paraId="1403C66B"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9</w:t>
            </w:r>
          </w:p>
        </w:tc>
        <w:tc>
          <w:tcPr>
            <w:tcW w:w="805" w:type="dxa"/>
            <w:tcBorders>
              <w:top w:val="nil"/>
              <w:left w:val="nil"/>
              <w:bottom w:val="double" w:sz="6" w:space="0" w:color="1F497D"/>
              <w:right w:val="double" w:sz="6" w:space="0" w:color="1F497D"/>
            </w:tcBorders>
            <w:shd w:val="clear" w:color="auto" w:fill="auto"/>
            <w:vAlign w:val="center"/>
            <w:hideMark/>
          </w:tcPr>
          <w:p w14:paraId="6FDFB7C2"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9</w:t>
            </w:r>
          </w:p>
        </w:tc>
        <w:tc>
          <w:tcPr>
            <w:tcW w:w="562" w:type="dxa"/>
            <w:tcBorders>
              <w:top w:val="nil"/>
              <w:left w:val="nil"/>
              <w:bottom w:val="double" w:sz="6" w:space="0" w:color="1F497D"/>
              <w:right w:val="double" w:sz="6" w:space="0" w:color="1F497D"/>
            </w:tcBorders>
            <w:shd w:val="clear" w:color="auto" w:fill="auto"/>
            <w:vAlign w:val="center"/>
            <w:hideMark/>
          </w:tcPr>
          <w:p w14:paraId="749972D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99</w:t>
            </w:r>
          </w:p>
        </w:tc>
        <w:tc>
          <w:tcPr>
            <w:tcW w:w="805" w:type="dxa"/>
            <w:tcBorders>
              <w:top w:val="nil"/>
              <w:left w:val="nil"/>
              <w:bottom w:val="double" w:sz="6" w:space="0" w:color="1F497D"/>
              <w:right w:val="double" w:sz="6" w:space="0" w:color="1F497D"/>
            </w:tcBorders>
            <w:shd w:val="clear" w:color="auto" w:fill="auto"/>
            <w:vAlign w:val="center"/>
            <w:hideMark/>
          </w:tcPr>
          <w:p w14:paraId="3DD80C42"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99</w:t>
            </w:r>
          </w:p>
        </w:tc>
      </w:tr>
      <w:tr w:rsidR="001341EC" w:rsidRPr="002F64AC" w14:paraId="2596A27D" w14:textId="77777777" w:rsidTr="00165AA6">
        <w:trPr>
          <w:trHeight w:val="336"/>
        </w:trPr>
        <w:tc>
          <w:tcPr>
            <w:tcW w:w="1048" w:type="dxa"/>
            <w:tcBorders>
              <w:top w:val="nil"/>
              <w:left w:val="double" w:sz="6" w:space="0" w:color="1F497D"/>
              <w:bottom w:val="double" w:sz="6" w:space="0" w:color="1F497D"/>
              <w:right w:val="double" w:sz="6" w:space="0" w:color="1F497D"/>
            </w:tcBorders>
            <w:shd w:val="clear" w:color="auto" w:fill="auto"/>
            <w:vAlign w:val="center"/>
            <w:hideMark/>
          </w:tcPr>
          <w:p w14:paraId="53D8112B" w14:textId="77777777" w:rsidR="001341EC" w:rsidRPr="002F64AC" w:rsidRDefault="001341EC" w:rsidP="00165AA6">
            <w:pPr>
              <w:rPr>
                <w:rFonts w:ascii="Book Antiqua" w:hAnsi="Book Antiqua"/>
                <w:lang w:eastAsia="es-CR"/>
              </w:rPr>
            </w:pPr>
            <w:r w:rsidRPr="002F64AC">
              <w:rPr>
                <w:rFonts w:ascii="Book Antiqua" w:hAnsi="Book Antiqua"/>
                <w:lang w:eastAsia="es-CR"/>
              </w:rPr>
              <w:t>Tribunal Agrario</w:t>
            </w:r>
          </w:p>
        </w:tc>
        <w:tc>
          <w:tcPr>
            <w:tcW w:w="1149" w:type="dxa"/>
            <w:tcBorders>
              <w:top w:val="nil"/>
              <w:left w:val="nil"/>
              <w:bottom w:val="double" w:sz="6" w:space="0" w:color="1F497D"/>
              <w:right w:val="double" w:sz="6" w:space="0" w:color="1F497D"/>
            </w:tcBorders>
            <w:shd w:val="clear" w:color="auto" w:fill="auto"/>
            <w:vAlign w:val="center"/>
            <w:hideMark/>
          </w:tcPr>
          <w:p w14:paraId="231787B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73</w:t>
            </w:r>
          </w:p>
        </w:tc>
        <w:tc>
          <w:tcPr>
            <w:tcW w:w="688" w:type="dxa"/>
            <w:tcBorders>
              <w:top w:val="nil"/>
              <w:left w:val="nil"/>
              <w:bottom w:val="double" w:sz="6" w:space="0" w:color="1F497D"/>
              <w:right w:val="double" w:sz="6" w:space="0" w:color="1F497D"/>
            </w:tcBorders>
            <w:shd w:val="clear" w:color="auto" w:fill="auto"/>
            <w:vAlign w:val="center"/>
            <w:hideMark/>
          </w:tcPr>
          <w:p w14:paraId="58BF7E28"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74</w:t>
            </w:r>
          </w:p>
        </w:tc>
        <w:tc>
          <w:tcPr>
            <w:tcW w:w="918" w:type="dxa"/>
            <w:tcBorders>
              <w:top w:val="nil"/>
              <w:left w:val="nil"/>
              <w:bottom w:val="double" w:sz="6" w:space="0" w:color="1F497D"/>
              <w:right w:val="double" w:sz="6" w:space="0" w:color="1F497D"/>
            </w:tcBorders>
            <w:shd w:val="clear" w:color="auto" w:fill="auto"/>
            <w:vAlign w:val="center"/>
            <w:hideMark/>
          </w:tcPr>
          <w:p w14:paraId="4557A138"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 </w:t>
            </w:r>
          </w:p>
        </w:tc>
        <w:tc>
          <w:tcPr>
            <w:tcW w:w="562" w:type="dxa"/>
            <w:tcBorders>
              <w:top w:val="nil"/>
              <w:left w:val="nil"/>
              <w:bottom w:val="double" w:sz="6" w:space="0" w:color="1F497D"/>
              <w:right w:val="double" w:sz="6" w:space="0" w:color="1F497D"/>
            </w:tcBorders>
            <w:shd w:val="clear" w:color="auto" w:fill="auto"/>
            <w:vAlign w:val="center"/>
            <w:hideMark/>
          </w:tcPr>
          <w:p w14:paraId="4DD0AF45"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6</w:t>
            </w:r>
          </w:p>
        </w:tc>
        <w:tc>
          <w:tcPr>
            <w:tcW w:w="805" w:type="dxa"/>
            <w:tcBorders>
              <w:top w:val="nil"/>
              <w:left w:val="nil"/>
              <w:bottom w:val="double" w:sz="6" w:space="0" w:color="1F497D"/>
              <w:right w:val="double" w:sz="6" w:space="0" w:color="1F497D"/>
            </w:tcBorders>
            <w:shd w:val="clear" w:color="auto" w:fill="auto"/>
            <w:vAlign w:val="center"/>
            <w:hideMark/>
          </w:tcPr>
          <w:p w14:paraId="59E0C04F"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3</w:t>
            </w:r>
          </w:p>
        </w:tc>
        <w:tc>
          <w:tcPr>
            <w:tcW w:w="740" w:type="dxa"/>
            <w:tcBorders>
              <w:top w:val="nil"/>
              <w:left w:val="nil"/>
              <w:bottom w:val="double" w:sz="6" w:space="0" w:color="1F497D"/>
              <w:right w:val="double" w:sz="6" w:space="0" w:color="1F497D"/>
            </w:tcBorders>
            <w:shd w:val="clear" w:color="auto" w:fill="auto"/>
            <w:vAlign w:val="center"/>
            <w:hideMark/>
          </w:tcPr>
          <w:p w14:paraId="1E3E732A"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w:t>
            </w:r>
          </w:p>
        </w:tc>
        <w:tc>
          <w:tcPr>
            <w:tcW w:w="562" w:type="dxa"/>
            <w:tcBorders>
              <w:top w:val="nil"/>
              <w:left w:val="nil"/>
              <w:bottom w:val="double" w:sz="6" w:space="0" w:color="1F497D"/>
              <w:right w:val="double" w:sz="6" w:space="0" w:color="1F497D"/>
            </w:tcBorders>
            <w:shd w:val="clear" w:color="auto" w:fill="auto"/>
            <w:vAlign w:val="center"/>
            <w:hideMark/>
          </w:tcPr>
          <w:p w14:paraId="5CD4CB4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12</w:t>
            </w:r>
          </w:p>
        </w:tc>
        <w:tc>
          <w:tcPr>
            <w:tcW w:w="805" w:type="dxa"/>
            <w:tcBorders>
              <w:top w:val="nil"/>
              <w:left w:val="nil"/>
              <w:bottom w:val="double" w:sz="6" w:space="0" w:color="1F497D"/>
              <w:right w:val="double" w:sz="6" w:space="0" w:color="1F497D"/>
            </w:tcBorders>
            <w:shd w:val="clear" w:color="auto" w:fill="auto"/>
            <w:vAlign w:val="center"/>
            <w:hideMark/>
          </w:tcPr>
          <w:p w14:paraId="6A874565"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24</w:t>
            </w:r>
          </w:p>
        </w:tc>
        <w:tc>
          <w:tcPr>
            <w:tcW w:w="562" w:type="dxa"/>
            <w:tcBorders>
              <w:top w:val="nil"/>
              <w:left w:val="nil"/>
              <w:bottom w:val="double" w:sz="6" w:space="0" w:color="1F497D"/>
              <w:right w:val="double" w:sz="6" w:space="0" w:color="1F497D"/>
            </w:tcBorders>
            <w:shd w:val="clear" w:color="auto" w:fill="auto"/>
            <w:vAlign w:val="center"/>
            <w:hideMark/>
          </w:tcPr>
          <w:p w14:paraId="627E3564"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12</w:t>
            </w:r>
          </w:p>
        </w:tc>
        <w:tc>
          <w:tcPr>
            <w:tcW w:w="805" w:type="dxa"/>
            <w:tcBorders>
              <w:top w:val="nil"/>
              <w:left w:val="nil"/>
              <w:bottom w:val="double" w:sz="6" w:space="0" w:color="1F497D"/>
              <w:right w:val="double" w:sz="6" w:space="0" w:color="1F497D"/>
            </w:tcBorders>
            <w:shd w:val="clear" w:color="auto" w:fill="auto"/>
            <w:vAlign w:val="center"/>
            <w:hideMark/>
          </w:tcPr>
          <w:p w14:paraId="1ED32747" w14:textId="77777777" w:rsidR="001341EC" w:rsidRPr="002F64AC" w:rsidRDefault="001341EC" w:rsidP="00165AA6">
            <w:pPr>
              <w:jc w:val="center"/>
              <w:rPr>
                <w:rFonts w:ascii="Book Antiqua" w:hAnsi="Book Antiqua"/>
                <w:lang w:eastAsia="es-CR"/>
              </w:rPr>
            </w:pPr>
            <w:r w:rsidRPr="002F64AC">
              <w:rPr>
                <w:rFonts w:ascii="Book Antiqua" w:hAnsi="Book Antiqua"/>
                <w:lang w:eastAsia="es-CR"/>
              </w:rPr>
              <w:t>25</w:t>
            </w:r>
          </w:p>
        </w:tc>
      </w:tr>
    </w:tbl>
    <w:p w14:paraId="1EE46B21" w14:textId="77777777" w:rsidR="001341EC" w:rsidRPr="0016798C" w:rsidRDefault="001341EC" w:rsidP="001341EC">
      <w:pPr>
        <w:rPr>
          <w:rFonts w:ascii="Book Antiqua" w:hAnsi="Book Antiqua"/>
          <w:b/>
          <w:bCs/>
          <w:color w:val="000000"/>
          <w:lang w:eastAsia="es-CR"/>
        </w:rPr>
      </w:pPr>
      <w:r w:rsidRPr="0016798C">
        <w:rPr>
          <w:rFonts w:ascii="Book Antiqua" w:hAnsi="Book Antiqua"/>
          <w:b/>
          <w:i/>
          <w:lang w:eastAsia="en-US"/>
        </w:rPr>
        <w:t>Fuente: Elaboración propia con base en datos del sistema SIGMA, Subproceso de Modernización</w:t>
      </w:r>
    </w:p>
    <w:bookmarkEnd w:id="23"/>
    <w:p w14:paraId="3BEEA309" w14:textId="77777777" w:rsidR="001341EC" w:rsidRDefault="001341EC" w:rsidP="001341EC">
      <w:pPr>
        <w:jc w:val="center"/>
        <w:rPr>
          <w:rFonts w:ascii="Book Antiqua" w:hAnsi="Book Antiqua"/>
          <w:b/>
          <w:bCs/>
          <w:color w:val="000000"/>
          <w:lang w:eastAsia="es-CR"/>
        </w:rPr>
      </w:pPr>
    </w:p>
    <w:p w14:paraId="4CF16623" w14:textId="77777777" w:rsidR="001341EC" w:rsidRDefault="001341EC" w:rsidP="001341EC">
      <w:pPr>
        <w:jc w:val="center"/>
        <w:rPr>
          <w:rFonts w:ascii="Book Antiqua" w:hAnsi="Book Antiqua"/>
          <w:b/>
          <w:bCs/>
          <w:color w:val="000000"/>
          <w:lang w:eastAsia="es-CR"/>
        </w:rPr>
      </w:pPr>
    </w:p>
    <w:p w14:paraId="63E82CB2"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lastRenderedPageBreak/>
        <w:t xml:space="preserve">De acuerdo al cuadro anterior, ocho Juzgados presentan un circulante que supera el promedio de 441 expedientes.  El Juzgado Agrario del Segundo de la Zona Atlántica (Guápiles) es el que presenta la mayor cantidad de circulante en trámite con un total de 851 casos, que por persona juzgadora se traduce a 426 casos. La carga de trabajo mensual por Jueza o Juez es de 19 asuntos y para finales del mes de enero se contó con un pendiente de dictado de sentencia de 27 entre las dos personas juzgadoras. </w:t>
      </w:r>
    </w:p>
    <w:p w14:paraId="5D079CA7" w14:textId="77777777" w:rsidR="001341EC" w:rsidRPr="00055D4B" w:rsidRDefault="001341EC" w:rsidP="001341EC">
      <w:pPr>
        <w:jc w:val="both"/>
        <w:rPr>
          <w:rFonts w:ascii="Book Antiqua" w:hAnsi="Book Antiqua"/>
          <w:sz w:val="22"/>
          <w:szCs w:val="22"/>
        </w:rPr>
      </w:pPr>
    </w:p>
    <w:p w14:paraId="08119367"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Según el análisis del apartado de casos entrados, este despacho presenta la mayor cantidad de asuntos entrados por plaza de Jueza o Juez, a pesar de que la cantidad de asuntos terminados si se encuentra dentro de los parámetros del resto de despachos (al menos 6 sentencias por mes), sin embargo, no se logra atender la entrada, tomando en consideración la relación de la cantidad de asuntos entrados y reentrados y los asuntos terminados, ya que no se logran porcentajes mayores al 100% y por ende se presenta aumento en el circulante. Para lograr atender la entrada se debe aumentar la cantidad de sentencias al menos 8 y llegar a 12 terminados por otras razones, por plaza de Jueza o Juez por mes. </w:t>
      </w:r>
    </w:p>
    <w:p w14:paraId="25509D01" w14:textId="77777777" w:rsidR="001341EC" w:rsidRPr="00055D4B" w:rsidRDefault="001341EC" w:rsidP="001341EC">
      <w:pPr>
        <w:jc w:val="both"/>
        <w:rPr>
          <w:rFonts w:ascii="Book Antiqua" w:hAnsi="Book Antiqua"/>
          <w:sz w:val="22"/>
          <w:szCs w:val="22"/>
        </w:rPr>
      </w:pPr>
    </w:p>
    <w:p w14:paraId="20A3E6E3"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Seguido se encuentra el Juzgado Agrario del Segundo Circuito Judicial de Guanacaste (Santa Cruz) de 799 expedientes en trámite, lo cual significa que por persona juzgadora tiene a su cargo un promedio aproximado de 400 casos. La entrada promedio mensual por persona juzgadoras es de 20 casos y entre ambos tienen un pendiente de dictado de sentencia de cinco casos. </w:t>
      </w:r>
    </w:p>
    <w:p w14:paraId="4ADD5CCB" w14:textId="77777777" w:rsidR="001341EC" w:rsidRPr="00055D4B" w:rsidRDefault="001341EC" w:rsidP="001341EC">
      <w:pPr>
        <w:jc w:val="both"/>
        <w:rPr>
          <w:rFonts w:ascii="Book Antiqua" w:hAnsi="Book Antiqua"/>
          <w:sz w:val="22"/>
          <w:szCs w:val="22"/>
        </w:rPr>
      </w:pPr>
    </w:p>
    <w:p w14:paraId="293DB8C8"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Al igual que Guápiles, según el análisis del apartado de casos entrados, este despacho presenta la mayor cantidad de asuntos entrados por plaza de Jueza o Juez, a pesar de que la cantidad de asuntos terminados si se encuentra dentro de los parámetros del resto de despachos (al menos 6 sentencias por mes), sin embargo, no se logra atender la entrada y por ende se presenta aumento en el circulante, tomando en consideración la relación de la cantidad de asuntos entrados y reentrados y los asuntos terminados, ya que no se logran porcentajes mayores al 100%. Para lograr atender la entrada se debe aumentar la cantidad de sentencias al menos 8 y llegar a 12 terminados por otras razones, por plaza de Jueza o Juez por mes.</w:t>
      </w:r>
      <w:r w:rsidRPr="00055D4B">
        <w:rPr>
          <w:rFonts w:ascii="Book Antiqua" w:hAnsi="Book Antiqua"/>
          <w:sz w:val="22"/>
          <w:szCs w:val="22"/>
          <w:highlight w:val="yellow"/>
        </w:rPr>
        <w:t xml:space="preserve"> </w:t>
      </w:r>
    </w:p>
    <w:p w14:paraId="3FE68CC0" w14:textId="77777777" w:rsidR="001341EC" w:rsidRPr="00055D4B" w:rsidRDefault="001341EC" w:rsidP="001341EC">
      <w:pPr>
        <w:jc w:val="both"/>
        <w:rPr>
          <w:rFonts w:ascii="Book Antiqua" w:hAnsi="Book Antiqua"/>
          <w:sz w:val="22"/>
          <w:szCs w:val="22"/>
        </w:rPr>
      </w:pPr>
    </w:p>
    <w:p w14:paraId="0AB26F28"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Un caso que realmente impacta es el del Juzgado Agrario del I Circ Judicial de Guanacaste (Liberia), que a pesar de no contar con un número elevado de circulante como los Juzgados mencionados en líneas anteriores, cuentan con 103 casos pendientes del dictado de sentencia, lo cual se traduce en 52 expedientes en promedio. Otro despacho que a pesar de contar con un circulante inferior al promedio, pero mantienen un pendiente de fallo elevado, es el Juzgado Agrario del II Circuito Judicial de San José, que cuenta con 64 expedientes.  </w:t>
      </w:r>
    </w:p>
    <w:p w14:paraId="7A5EF6FE" w14:textId="77777777" w:rsidR="001341EC" w:rsidRPr="00055D4B" w:rsidRDefault="001341EC" w:rsidP="001341EC">
      <w:pPr>
        <w:jc w:val="both"/>
        <w:rPr>
          <w:rFonts w:ascii="Book Antiqua" w:hAnsi="Book Antiqua"/>
          <w:sz w:val="22"/>
          <w:szCs w:val="22"/>
        </w:rPr>
      </w:pPr>
    </w:p>
    <w:p w14:paraId="28366796"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Respecto a pendiente de fallo en el Juzgado de Liberia, según la información preliminar del abordaje realizado en dicho Despacho por el equipo de esta Dirección, se presenta una mayor cantidad de expedientes que el homólogo del II Circuito Judicial de San José debido a la baja cantidad de sentencias dictadas durante 2018, donde se muestra que en comparación con los años 2016 y 2017, la persona en este puesto tenía un promedio de casos mensual de 12 sentencias dictadas y en el 2018 </w:t>
      </w:r>
      <w:r>
        <w:rPr>
          <w:rFonts w:ascii="Book Antiqua" w:hAnsi="Book Antiqua"/>
          <w:sz w:val="22"/>
          <w:szCs w:val="22"/>
        </w:rPr>
        <w:t xml:space="preserve">el </w:t>
      </w:r>
      <w:r w:rsidRPr="00055D4B">
        <w:rPr>
          <w:rFonts w:ascii="Book Antiqua" w:hAnsi="Book Antiqua"/>
          <w:sz w:val="22"/>
          <w:szCs w:val="22"/>
        </w:rPr>
        <w:lastRenderedPageBreak/>
        <w:t>rendimiento baja a 6 sentencias mensuales, reflejando una disminución de un 50% en este puesto. Aunado a lo anterior, se produjo el ejercicio de huelga entre los meses de setiembre a diciembre del 2018, en donde ambas personas juzgadoras de este despacho participaron del movimiento, según indican en el Despacho, provocando con ello una disminución en dictado de sentencias por persona.</w:t>
      </w:r>
    </w:p>
    <w:p w14:paraId="4A309BF7" w14:textId="77777777" w:rsidR="001341EC" w:rsidRPr="00055D4B" w:rsidRDefault="001341EC" w:rsidP="001341EC">
      <w:pPr>
        <w:jc w:val="both"/>
        <w:rPr>
          <w:rFonts w:ascii="Book Antiqua" w:hAnsi="Book Antiqua"/>
          <w:sz w:val="22"/>
          <w:szCs w:val="22"/>
        </w:rPr>
      </w:pPr>
    </w:p>
    <w:p w14:paraId="45DC2E98"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El caso del Juzgado Agrario de Puntarenas, con la entrada en vigencia del nuevo Código Procesal Civil, adquiere una persona juzgadora más, la cual se sumaría hacerle frente a la carga de trabajo, tanto para la atención del 100% de los casos entrados como para el pendiente de fallo del Despacho, que a la fecha se tiene un total de 49 casos. </w:t>
      </w:r>
    </w:p>
    <w:p w14:paraId="2AF44B39" w14:textId="77777777" w:rsidR="001341EC" w:rsidRDefault="001341EC" w:rsidP="001341EC">
      <w:pPr>
        <w:jc w:val="both"/>
        <w:rPr>
          <w:rFonts w:ascii="Book Antiqua" w:hAnsi="Book Antiqua"/>
          <w:sz w:val="22"/>
          <w:szCs w:val="22"/>
        </w:rPr>
      </w:pPr>
      <w:r w:rsidRPr="00055D4B">
        <w:rPr>
          <w:rFonts w:ascii="Book Antiqua" w:hAnsi="Book Antiqua"/>
          <w:sz w:val="22"/>
          <w:szCs w:val="22"/>
        </w:rPr>
        <w:t xml:space="preserve"> </w:t>
      </w:r>
    </w:p>
    <w:p w14:paraId="78F6808D"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En el caso de los Juzgados Agrarios en los cuales cuentan con mayor cantidad de expedientes en el circulante y un elevado pendiente de dictado de sentencia, se debe de cubrir con la colaboración de las personas juzgadoras supernumerarias con que cuenta el Centro de Apoyo, Coordinación y Mejoramiento de la Función Jurisdiccional, además, se cuenta con la colaboración de las Juezas o Jueces Supernumerarios adscritas en las Administraciones Regionales, que son recursos ordinarios, por lo que no se requieren costos adicionales. </w:t>
      </w:r>
    </w:p>
    <w:p w14:paraId="23AE9FEE" w14:textId="77777777" w:rsidR="001341EC" w:rsidRPr="00055D4B" w:rsidRDefault="001341EC" w:rsidP="001341EC">
      <w:pPr>
        <w:jc w:val="both"/>
        <w:rPr>
          <w:rFonts w:ascii="Book Antiqua" w:hAnsi="Book Antiqua"/>
          <w:sz w:val="22"/>
          <w:szCs w:val="22"/>
        </w:rPr>
      </w:pPr>
    </w:p>
    <w:p w14:paraId="7D3A26ED"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En el caso del Juzgado Civil, Trabajo y Agrario de Turrialba y el Tribunal Agrario</w:t>
      </w:r>
      <w:r>
        <w:rPr>
          <w:rFonts w:ascii="Book Antiqua" w:hAnsi="Book Antiqua"/>
          <w:sz w:val="22"/>
          <w:szCs w:val="22"/>
        </w:rPr>
        <w:t xml:space="preserve"> (Plan de Trabajo realizado con Sección adicional)</w:t>
      </w:r>
      <w:r w:rsidRPr="00055D4B">
        <w:rPr>
          <w:rFonts w:ascii="Book Antiqua" w:hAnsi="Book Antiqua"/>
          <w:sz w:val="22"/>
          <w:szCs w:val="22"/>
        </w:rPr>
        <w:t xml:space="preserve">, son los que mantiene el circulante en trámite más bajo con un total de 99 casos y 74 asuntos respectivamente, en el caso del Juzgado mixto de Turrialba, el Juez de agrario, colabora con la tramitación de los asuntos tanto en materia Civil como de Trabajo. </w:t>
      </w:r>
    </w:p>
    <w:p w14:paraId="3AF45E84" w14:textId="77777777" w:rsidR="001341EC" w:rsidRPr="00055D4B" w:rsidRDefault="001341EC" w:rsidP="001341EC">
      <w:pPr>
        <w:jc w:val="both"/>
        <w:rPr>
          <w:rFonts w:ascii="Book Antiqua" w:hAnsi="Book Antiqua"/>
          <w:sz w:val="22"/>
          <w:szCs w:val="22"/>
        </w:rPr>
      </w:pPr>
    </w:p>
    <w:p w14:paraId="4BDAB0B7"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Al analizar la variable del circulante es de vital importancia identificar el comportamiento de este respecto a la distribución de las distintas fases del proceso con la finalidad de determinar los verdaderos cuellos de botella y direccionar las acciones correspondientes. La distribución del circulante por fase del proceso para los juzgados Agrarios del país a febrero del 2019 se presenta a continuación:</w:t>
      </w:r>
    </w:p>
    <w:p w14:paraId="1FBA3041" w14:textId="77777777" w:rsidR="001341EC" w:rsidRPr="00055D4B" w:rsidRDefault="001341EC" w:rsidP="001341EC">
      <w:pPr>
        <w:pStyle w:val="Descripcin"/>
        <w:widowControl/>
        <w:autoSpaceDE/>
        <w:autoSpaceDN/>
        <w:adjustRightInd/>
        <w:spacing w:line="276" w:lineRule="auto"/>
        <w:jc w:val="center"/>
        <w:rPr>
          <w:rFonts w:ascii="Book Antiqua" w:hAnsi="Book Antiqua"/>
          <w:b w:val="0"/>
          <w:bCs w:val="0"/>
          <w:i/>
          <w:iCs/>
          <w:sz w:val="22"/>
          <w:szCs w:val="22"/>
          <w:lang w:val="es-CR"/>
        </w:rPr>
      </w:pPr>
    </w:p>
    <w:p w14:paraId="44D9E3F0" w14:textId="77777777" w:rsidR="001341EC" w:rsidRPr="00D12061"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D12061">
        <w:rPr>
          <w:rFonts w:ascii="Book Antiqua" w:hAnsi="Book Antiqua"/>
          <w:bCs w:val="0"/>
          <w:iCs/>
          <w:sz w:val="22"/>
          <w:szCs w:val="24"/>
          <w:lang w:val="es-CR"/>
        </w:rPr>
        <w:t xml:space="preserve">Cuadro </w:t>
      </w:r>
      <w:r w:rsidR="009A23D1" w:rsidRPr="00126FA8">
        <w:rPr>
          <w:rFonts w:ascii="Book Antiqua" w:hAnsi="Book Antiqua"/>
          <w:bCs w:val="0"/>
          <w:iCs/>
          <w:sz w:val="22"/>
          <w:szCs w:val="24"/>
          <w:lang w:val="es-CR"/>
        </w:rPr>
        <w:fldChar w:fldCharType="begin"/>
      </w:r>
      <w:r w:rsidRPr="00D12061">
        <w:rPr>
          <w:rFonts w:ascii="Book Antiqua" w:hAnsi="Book Antiqua"/>
          <w:bCs w:val="0"/>
          <w:iCs/>
          <w:sz w:val="22"/>
          <w:szCs w:val="24"/>
          <w:lang w:val="es-CR"/>
        </w:rPr>
        <w:instrText xml:space="preserve"> SEQ Cuadro \* ARABIC </w:instrText>
      </w:r>
      <w:r w:rsidR="009A23D1" w:rsidRPr="00126FA8">
        <w:rPr>
          <w:rFonts w:ascii="Book Antiqua" w:hAnsi="Book Antiqua"/>
          <w:bCs w:val="0"/>
          <w:iCs/>
          <w:sz w:val="22"/>
          <w:szCs w:val="24"/>
          <w:lang w:val="es-CR"/>
        </w:rPr>
        <w:fldChar w:fldCharType="separate"/>
      </w:r>
      <w:r>
        <w:rPr>
          <w:rFonts w:ascii="Book Antiqua" w:hAnsi="Book Antiqua"/>
          <w:bCs w:val="0"/>
          <w:iCs/>
          <w:noProof/>
          <w:sz w:val="22"/>
          <w:szCs w:val="24"/>
          <w:lang w:val="es-CR"/>
        </w:rPr>
        <w:t>20</w:t>
      </w:r>
      <w:r w:rsidR="009A23D1" w:rsidRPr="00126FA8">
        <w:rPr>
          <w:rFonts w:ascii="Book Antiqua" w:hAnsi="Book Antiqua"/>
          <w:bCs w:val="0"/>
          <w:iCs/>
          <w:sz w:val="22"/>
          <w:szCs w:val="24"/>
          <w:lang w:val="es-CR"/>
        </w:rPr>
        <w:fldChar w:fldCharType="end"/>
      </w:r>
    </w:p>
    <w:p w14:paraId="760A3C1C"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 xml:space="preserve">Comparación del Circulante Final en Trámite de los </w:t>
      </w:r>
    </w:p>
    <w:p w14:paraId="01B0FAC8"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126FA8">
        <w:rPr>
          <w:rFonts w:ascii="Book Antiqua" w:hAnsi="Book Antiqua"/>
          <w:bCs w:val="0"/>
          <w:iCs/>
          <w:sz w:val="22"/>
          <w:szCs w:val="24"/>
          <w:lang w:val="es-CR"/>
        </w:rPr>
        <w:t>Juzgados Agrarios a Nivel Nacional por Fase del Proceso febrero 2019</w:t>
      </w:r>
    </w:p>
    <w:tbl>
      <w:tblPr>
        <w:tblW w:w="11658" w:type="dxa"/>
        <w:jc w:val="center"/>
        <w:tblBorders>
          <w:top w:val="double" w:sz="4" w:space="0" w:color="1F497D"/>
          <w:left w:val="double" w:sz="4" w:space="0" w:color="1F497D"/>
          <w:bottom w:val="double" w:sz="4" w:space="0" w:color="1F497D"/>
          <w:right w:val="double" w:sz="4" w:space="0" w:color="1F497D"/>
          <w:insideH w:val="double" w:sz="4" w:space="0" w:color="1F497D"/>
          <w:insideV w:val="double" w:sz="4" w:space="0" w:color="1F497D"/>
        </w:tblBorders>
        <w:tblCellMar>
          <w:left w:w="70" w:type="dxa"/>
          <w:right w:w="70" w:type="dxa"/>
        </w:tblCellMar>
        <w:tblLook w:val="04A0" w:firstRow="1" w:lastRow="0" w:firstColumn="1" w:lastColumn="0" w:noHBand="0" w:noVBand="1"/>
      </w:tblPr>
      <w:tblGrid>
        <w:gridCol w:w="4302"/>
        <w:gridCol w:w="1118"/>
        <w:gridCol w:w="1497"/>
        <w:gridCol w:w="1265"/>
        <w:gridCol w:w="1118"/>
        <w:gridCol w:w="666"/>
        <w:gridCol w:w="1692"/>
      </w:tblGrid>
      <w:tr w:rsidR="001341EC" w:rsidRPr="0016798C" w14:paraId="274F3EA7" w14:textId="77777777" w:rsidTr="00165AA6">
        <w:trPr>
          <w:trHeight w:val="1090"/>
          <w:jc w:val="center"/>
        </w:trPr>
        <w:tc>
          <w:tcPr>
            <w:tcW w:w="4302" w:type="dxa"/>
            <w:shd w:val="clear" w:color="auto" w:fill="B8CCE4"/>
            <w:noWrap/>
            <w:vAlign w:val="center"/>
            <w:hideMark/>
          </w:tcPr>
          <w:p w14:paraId="7D9180D3"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Juzgado</w:t>
            </w:r>
          </w:p>
        </w:tc>
        <w:tc>
          <w:tcPr>
            <w:tcW w:w="1118" w:type="dxa"/>
            <w:shd w:val="clear" w:color="auto" w:fill="B8CCE4"/>
            <w:vAlign w:val="center"/>
            <w:hideMark/>
          </w:tcPr>
          <w:p w14:paraId="52082B5F"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 xml:space="preserve">Demanda </w:t>
            </w:r>
          </w:p>
        </w:tc>
        <w:tc>
          <w:tcPr>
            <w:tcW w:w="1497" w:type="dxa"/>
            <w:shd w:val="clear" w:color="auto" w:fill="B8CCE4"/>
            <w:vAlign w:val="center"/>
            <w:hideMark/>
          </w:tcPr>
          <w:p w14:paraId="1E74AAB7"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Demostrativa</w:t>
            </w:r>
          </w:p>
        </w:tc>
        <w:tc>
          <w:tcPr>
            <w:tcW w:w="1265" w:type="dxa"/>
            <w:shd w:val="clear" w:color="auto" w:fill="B8CCE4"/>
            <w:vAlign w:val="center"/>
            <w:hideMark/>
          </w:tcPr>
          <w:p w14:paraId="7CC5E1BA"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 xml:space="preserve">Conclusiva </w:t>
            </w:r>
          </w:p>
        </w:tc>
        <w:tc>
          <w:tcPr>
            <w:tcW w:w="1118" w:type="dxa"/>
            <w:shd w:val="clear" w:color="auto" w:fill="B8CCE4"/>
            <w:vAlign w:val="center"/>
            <w:hideMark/>
          </w:tcPr>
          <w:p w14:paraId="4E71A610"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 xml:space="preserve">Ejecución </w:t>
            </w:r>
          </w:p>
        </w:tc>
        <w:tc>
          <w:tcPr>
            <w:tcW w:w="666" w:type="dxa"/>
            <w:shd w:val="clear" w:color="auto" w:fill="B8CCE4"/>
            <w:vAlign w:val="center"/>
            <w:hideMark/>
          </w:tcPr>
          <w:p w14:paraId="78FC99A3"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 xml:space="preserve">Total </w:t>
            </w:r>
          </w:p>
        </w:tc>
        <w:tc>
          <w:tcPr>
            <w:tcW w:w="1692" w:type="dxa"/>
            <w:shd w:val="clear" w:color="auto" w:fill="B8CCE4"/>
            <w:vAlign w:val="center"/>
            <w:hideMark/>
          </w:tcPr>
          <w:p w14:paraId="0D9EFCA7"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Representación de la Fase de Ejecución en el Circulante</w:t>
            </w:r>
          </w:p>
        </w:tc>
      </w:tr>
      <w:tr w:rsidR="001341EC" w:rsidRPr="0016798C" w14:paraId="63A855E9" w14:textId="77777777" w:rsidTr="00165AA6">
        <w:trPr>
          <w:trHeight w:val="272"/>
          <w:jc w:val="center"/>
        </w:trPr>
        <w:tc>
          <w:tcPr>
            <w:tcW w:w="4302" w:type="dxa"/>
            <w:shd w:val="clear" w:color="auto" w:fill="auto"/>
            <w:noWrap/>
            <w:vAlign w:val="center"/>
            <w:hideMark/>
          </w:tcPr>
          <w:p w14:paraId="2623580C"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Agrario del II Circuito  Judicial de la Zona Atlántica, Pococí</w:t>
            </w:r>
          </w:p>
        </w:tc>
        <w:tc>
          <w:tcPr>
            <w:tcW w:w="1118" w:type="dxa"/>
            <w:shd w:val="clear" w:color="auto" w:fill="auto"/>
            <w:vAlign w:val="center"/>
            <w:hideMark/>
          </w:tcPr>
          <w:p w14:paraId="34F593DC"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651</w:t>
            </w:r>
          </w:p>
        </w:tc>
        <w:tc>
          <w:tcPr>
            <w:tcW w:w="1497" w:type="dxa"/>
            <w:shd w:val="clear" w:color="auto" w:fill="auto"/>
            <w:vAlign w:val="center"/>
            <w:hideMark/>
          </w:tcPr>
          <w:p w14:paraId="4C362E0C"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112</w:t>
            </w:r>
          </w:p>
        </w:tc>
        <w:tc>
          <w:tcPr>
            <w:tcW w:w="1265" w:type="dxa"/>
            <w:shd w:val="clear" w:color="auto" w:fill="auto"/>
            <w:vAlign w:val="center"/>
            <w:hideMark/>
          </w:tcPr>
          <w:p w14:paraId="55915501"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76</w:t>
            </w:r>
          </w:p>
        </w:tc>
        <w:tc>
          <w:tcPr>
            <w:tcW w:w="1118" w:type="dxa"/>
            <w:shd w:val="clear" w:color="auto" w:fill="auto"/>
            <w:vAlign w:val="center"/>
            <w:hideMark/>
          </w:tcPr>
          <w:p w14:paraId="4376EE9D"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12</w:t>
            </w:r>
          </w:p>
        </w:tc>
        <w:tc>
          <w:tcPr>
            <w:tcW w:w="666" w:type="dxa"/>
            <w:shd w:val="clear" w:color="auto" w:fill="auto"/>
            <w:vAlign w:val="center"/>
            <w:hideMark/>
          </w:tcPr>
          <w:p w14:paraId="44ACE26A"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851</w:t>
            </w:r>
          </w:p>
        </w:tc>
        <w:tc>
          <w:tcPr>
            <w:tcW w:w="1692" w:type="dxa"/>
            <w:shd w:val="clear" w:color="auto" w:fill="auto"/>
            <w:vAlign w:val="center"/>
            <w:hideMark/>
          </w:tcPr>
          <w:p w14:paraId="3776CD22"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1,4%</w:t>
            </w:r>
          </w:p>
        </w:tc>
      </w:tr>
      <w:tr w:rsidR="001341EC" w:rsidRPr="0016798C" w14:paraId="3DEE6B97" w14:textId="77777777" w:rsidTr="00165AA6">
        <w:trPr>
          <w:trHeight w:val="272"/>
          <w:jc w:val="center"/>
        </w:trPr>
        <w:tc>
          <w:tcPr>
            <w:tcW w:w="4302" w:type="dxa"/>
            <w:shd w:val="clear" w:color="auto" w:fill="auto"/>
            <w:noWrap/>
            <w:vAlign w:val="center"/>
            <w:hideMark/>
          </w:tcPr>
          <w:p w14:paraId="4BF4AD33"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Agrario del II Circuito Judicial de Guanacaste, Santa Cruz</w:t>
            </w:r>
          </w:p>
        </w:tc>
        <w:tc>
          <w:tcPr>
            <w:tcW w:w="1118" w:type="dxa"/>
            <w:shd w:val="clear" w:color="auto" w:fill="auto"/>
            <w:vAlign w:val="center"/>
            <w:hideMark/>
          </w:tcPr>
          <w:p w14:paraId="04A56A67"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678</w:t>
            </w:r>
          </w:p>
        </w:tc>
        <w:tc>
          <w:tcPr>
            <w:tcW w:w="1497" w:type="dxa"/>
            <w:shd w:val="clear" w:color="auto" w:fill="auto"/>
            <w:vAlign w:val="center"/>
            <w:hideMark/>
          </w:tcPr>
          <w:p w14:paraId="58EFA1F8"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41</w:t>
            </w:r>
          </w:p>
        </w:tc>
        <w:tc>
          <w:tcPr>
            <w:tcW w:w="1265" w:type="dxa"/>
            <w:shd w:val="clear" w:color="auto" w:fill="auto"/>
            <w:vAlign w:val="center"/>
            <w:hideMark/>
          </w:tcPr>
          <w:p w14:paraId="7C259BE7"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77</w:t>
            </w:r>
          </w:p>
        </w:tc>
        <w:tc>
          <w:tcPr>
            <w:tcW w:w="1118" w:type="dxa"/>
            <w:shd w:val="clear" w:color="auto" w:fill="auto"/>
            <w:vAlign w:val="center"/>
            <w:hideMark/>
          </w:tcPr>
          <w:p w14:paraId="49DAF3F0"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3</w:t>
            </w:r>
          </w:p>
        </w:tc>
        <w:tc>
          <w:tcPr>
            <w:tcW w:w="666" w:type="dxa"/>
            <w:shd w:val="clear" w:color="auto" w:fill="auto"/>
            <w:vAlign w:val="center"/>
            <w:hideMark/>
          </w:tcPr>
          <w:p w14:paraId="6FCD2450"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799</w:t>
            </w:r>
          </w:p>
        </w:tc>
        <w:tc>
          <w:tcPr>
            <w:tcW w:w="1692" w:type="dxa"/>
            <w:shd w:val="clear" w:color="auto" w:fill="auto"/>
            <w:vAlign w:val="center"/>
            <w:hideMark/>
          </w:tcPr>
          <w:p w14:paraId="2BF70102"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0,4%</w:t>
            </w:r>
          </w:p>
        </w:tc>
      </w:tr>
      <w:tr w:rsidR="001341EC" w:rsidRPr="0016798C" w14:paraId="40BDDE38" w14:textId="77777777" w:rsidTr="00165AA6">
        <w:trPr>
          <w:trHeight w:val="272"/>
          <w:jc w:val="center"/>
        </w:trPr>
        <w:tc>
          <w:tcPr>
            <w:tcW w:w="4302" w:type="dxa"/>
            <w:shd w:val="clear" w:color="auto" w:fill="auto"/>
            <w:noWrap/>
            <w:vAlign w:val="center"/>
            <w:hideMark/>
          </w:tcPr>
          <w:p w14:paraId="7EA24CBA"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Agrario del I Circuito Judicial de la Zona Atlántica, Limón</w:t>
            </w:r>
          </w:p>
        </w:tc>
        <w:tc>
          <w:tcPr>
            <w:tcW w:w="1118" w:type="dxa"/>
            <w:shd w:val="clear" w:color="auto" w:fill="auto"/>
            <w:vAlign w:val="center"/>
            <w:hideMark/>
          </w:tcPr>
          <w:p w14:paraId="336689B6"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355</w:t>
            </w:r>
          </w:p>
        </w:tc>
        <w:tc>
          <w:tcPr>
            <w:tcW w:w="1497" w:type="dxa"/>
            <w:shd w:val="clear" w:color="auto" w:fill="auto"/>
            <w:vAlign w:val="center"/>
            <w:hideMark/>
          </w:tcPr>
          <w:p w14:paraId="7FBDD49E"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320</w:t>
            </w:r>
          </w:p>
        </w:tc>
        <w:tc>
          <w:tcPr>
            <w:tcW w:w="1265" w:type="dxa"/>
            <w:shd w:val="clear" w:color="auto" w:fill="auto"/>
            <w:vAlign w:val="center"/>
            <w:hideMark/>
          </w:tcPr>
          <w:p w14:paraId="3092B8DF"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46</w:t>
            </w:r>
          </w:p>
        </w:tc>
        <w:tc>
          <w:tcPr>
            <w:tcW w:w="1118" w:type="dxa"/>
            <w:shd w:val="clear" w:color="auto" w:fill="auto"/>
            <w:vAlign w:val="center"/>
            <w:hideMark/>
          </w:tcPr>
          <w:p w14:paraId="07CB0614"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38</w:t>
            </w:r>
          </w:p>
        </w:tc>
        <w:tc>
          <w:tcPr>
            <w:tcW w:w="666" w:type="dxa"/>
            <w:shd w:val="clear" w:color="auto" w:fill="auto"/>
            <w:vAlign w:val="center"/>
            <w:hideMark/>
          </w:tcPr>
          <w:p w14:paraId="12B4D02F"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759</w:t>
            </w:r>
          </w:p>
        </w:tc>
        <w:tc>
          <w:tcPr>
            <w:tcW w:w="1692" w:type="dxa"/>
            <w:shd w:val="clear" w:color="auto" w:fill="auto"/>
            <w:vAlign w:val="center"/>
            <w:hideMark/>
          </w:tcPr>
          <w:p w14:paraId="3DA36747"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5,0%</w:t>
            </w:r>
          </w:p>
        </w:tc>
      </w:tr>
      <w:tr w:rsidR="001341EC" w:rsidRPr="0016798C" w14:paraId="6414F8D7" w14:textId="77777777" w:rsidTr="00165AA6">
        <w:trPr>
          <w:trHeight w:val="272"/>
          <w:jc w:val="center"/>
        </w:trPr>
        <w:tc>
          <w:tcPr>
            <w:tcW w:w="4302" w:type="dxa"/>
            <w:shd w:val="clear" w:color="auto" w:fill="auto"/>
            <w:noWrap/>
            <w:vAlign w:val="center"/>
            <w:hideMark/>
          </w:tcPr>
          <w:p w14:paraId="4F02D280"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Agrario del I Circuito Judicial de Guanacaste, Liberia</w:t>
            </w:r>
          </w:p>
        </w:tc>
        <w:tc>
          <w:tcPr>
            <w:tcW w:w="1118" w:type="dxa"/>
            <w:shd w:val="clear" w:color="auto" w:fill="auto"/>
            <w:vAlign w:val="center"/>
            <w:hideMark/>
          </w:tcPr>
          <w:p w14:paraId="3A524F45"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278</w:t>
            </w:r>
          </w:p>
        </w:tc>
        <w:tc>
          <w:tcPr>
            <w:tcW w:w="1497" w:type="dxa"/>
            <w:shd w:val="clear" w:color="auto" w:fill="auto"/>
            <w:vAlign w:val="center"/>
            <w:hideMark/>
          </w:tcPr>
          <w:p w14:paraId="02B7CA95"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129</w:t>
            </w:r>
          </w:p>
        </w:tc>
        <w:tc>
          <w:tcPr>
            <w:tcW w:w="1265" w:type="dxa"/>
            <w:shd w:val="clear" w:color="auto" w:fill="auto"/>
            <w:vAlign w:val="center"/>
            <w:hideMark/>
          </w:tcPr>
          <w:p w14:paraId="5FE378AA"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126</w:t>
            </w:r>
          </w:p>
        </w:tc>
        <w:tc>
          <w:tcPr>
            <w:tcW w:w="1118" w:type="dxa"/>
            <w:shd w:val="clear" w:color="auto" w:fill="auto"/>
            <w:vAlign w:val="center"/>
            <w:hideMark/>
          </w:tcPr>
          <w:p w14:paraId="3498F6FD"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38</w:t>
            </w:r>
          </w:p>
        </w:tc>
        <w:tc>
          <w:tcPr>
            <w:tcW w:w="666" w:type="dxa"/>
            <w:shd w:val="clear" w:color="auto" w:fill="auto"/>
            <w:vAlign w:val="center"/>
            <w:hideMark/>
          </w:tcPr>
          <w:p w14:paraId="6B482199"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571</w:t>
            </w:r>
          </w:p>
        </w:tc>
        <w:tc>
          <w:tcPr>
            <w:tcW w:w="1692" w:type="dxa"/>
            <w:shd w:val="clear" w:color="auto" w:fill="auto"/>
            <w:vAlign w:val="center"/>
            <w:hideMark/>
          </w:tcPr>
          <w:p w14:paraId="493DD4AE"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6,7%</w:t>
            </w:r>
          </w:p>
        </w:tc>
      </w:tr>
      <w:tr w:rsidR="001341EC" w:rsidRPr="0016798C" w14:paraId="50DE9072" w14:textId="77777777" w:rsidTr="00165AA6">
        <w:trPr>
          <w:trHeight w:val="272"/>
          <w:jc w:val="center"/>
        </w:trPr>
        <w:tc>
          <w:tcPr>
            <w:tcW w:w="4302" w:type="dxa"/>
            <w:shd w:val="clear" w:color="auto" w:fill="auto"/>
            <w:noWrap/>
            <w:vAlign w:val="center"/>
            <w:hideMark/>
          </w:tcPr>
          <w:p w14:paraId="139B43F3"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Agrario de Puntarenas</w:t>
            </w:r>
          </w:p>
        </w:tc>
        <w:tc>
          <w:tcPr>
            <w:tcW w:w="1118" w:type="dxa"/>
            <w:shd w:val="clear" w:color="auto" w:fill="auto"/>
            <w:vAlign w:val="center"/>
            <w:hideMark/>
          </w:tcPr>
          <w:p w14:paraId="468A6DB6"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17</w:t>
            </w:r>
          </w:p>
        </w:tc>
        <w:tc>
          <w:tcPr>
            <w:tcW w:w="1497" w:type="dxa"/>
            <w:shd w:val="clear" w:color="auto" w:fill="auto"/>
            <w:vAlign w:val="center"/>
            <w:hideMark/>
          </w:tcPr>
          <w:p w14:paraId="479FADF1"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449</w:t>
            </w:r>
          </w:p>
        </w:tc>
        <w:tc>
          <w:tcPr>
            <w:tcW w:w="1265" w:type="dxa"/>
            <w:shd w:val="clear" w:color="auto" w:fill="auto"/>
            <w:vAlign w:val="center"/>
            <w:hideMark/>
          </w:tcPr>
          <w:p w14:paraId="53E0D3B0"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59</w:t>
            </w:r>
          </w:p>
        </w:tc>
        <w:tc>
          <w:tcPr>
            <w:tcW w:w="1118" w:type="dxa"/>
            <w:shd w:val="clear" w:color="auto" w:fill="auto"/>
            <w:vAlign w:val="center"/>
            <w:hideMark/>
          </w:tcPr>
          <w:p w14:paraId="7325D84F"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18</w:t>
            </w:r>
          </w:p>
        </w:tc>
        <w:tc>
          <w:tcPr>
            <w:tcW w:w="666" w:type="dxa"/>
            <w:shd w:val="clear" w:color="auto" w:fill="auto"/>
            <w:vAlign w:val="center"/>
            <w:hideMark/>
          </w:tcPr>
          <w:p w14:paraId="0DE83295"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543</w:t>
            </w:r>
          </w:p>
        </w:tc>
        <w:tc>
          <w:tcPr>
            <w:tcW w:w="1692" w:type="dxa"/>
            <w:shd w:val="clear" w:color="auto" w:fill="auto"/>
            <w:vAlign w:val="center"/>
            <w:hideMark/>
          </w:tcPr>
          <w:p w14:paraId="1FE9368D"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3,3%</w:t>
            </w:r>
          </w:p>
        </w:tc>
      </w:tr>
      <w:tr w:rsidR="001341EC" w:rsidRPr="0016798C" w14:paraId="50034CBC" w14:textId="77777777" w:rsidTr="00165AA6">
        <w:trPr>
          <w:trHeight w:val="272"/>
          <w:jc w:val="center"/>
        </w:trPr>
        <w:tc>
          <w:tcPr>
            <w:tcW w:w="4302" w:type="dxa"/>
            <w:shd w:val="clear" w:color="auto" w:fill="auto"/>
            <w:noWrap/>
            <w:vAlign w:val="center"/>
            <w:hideMark/>
          </w:tcPr>
          <w:p w14:paraId="05583B5C"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lastRenderedPageBreak/>
              <w:t>Juzgado Agrario de Cartago</w:t>
            </w:r>
          </w:p>
        </w:tc>
        <w:tc>
          <w:tcPr>
            <w:tcW w:w="1118" w:type="dxa"/>
            <w:shd w:val="clear" w:color="auto" w:fill="auto"/>
            <w:vAlign w:val="center"/>
            <w:hideMark/>
          </w:tcPr>
          <w:p w14:paraId="24E9F903"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415</w:t>
            </w:r>
          </w:p>
        </w:tc>
        <w:tc>
          <w:tcPr>
            <w:tcW w:w="1497" w:type="dxa"/>
            <w:shd w:val="clear" w:color="auto" w:fill="auto"/>
            <w:vAlign w:val="center"/>
            <w:hideMark/>
          </w:tcPr>
          <w:p w14:paraId="3F02B198"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4</w:t>
            </w:r>
          </w:p>
        </w:tc>
        <w:tc>
          <w:tcPr>
            <w:tcW w:w="1265" w:type="dxa"/>
            <w:shd w:val="clear" w:color="auto" w:fill="auto"/>
            <w:vAlign w:val="center"/>
            <w:hideMark/>
          </w:tcPr>
          <w:p w14:paraId="6563F553"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43</w:t>
            </w:r>
          </w:p>
        </w:tc>
        <w:tc>
          <w:tcPr>
            <w:tcW w:w="1118" w:type="dxa"/>
            <w:shd w:val="clear" w:color="auto" w:fill="auto"/>
            <w:vAlign w:val="center"/>
            <w:hideMark/>
          </w:tcPr>
          <w:p w14:paraId="46C75A94"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20</w:t>
            </w:r>
          </w:p>
        </w:tc>
        <w:tc>
          <w:tcPr>
            <w:tcW w:w="666" w:type="dxa"/>
            <w:shd w:val="clear" w:color="auto" w:fill="auto"/>
            <w:vAlign w:val="center"/>
            <w:hideMark/>
          </w:tcPr>
          <w:p w14:paraId="68EAA90B"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482</w:t>
            </w:r>
          </w:p>
        </w:tc>
        <w:tc>
          <w:tcPr>
            <w:tcW w:w="1692" w:type="dxa"/>
            <w:shd w:val="clear" w:color="auto" w:fill="auto"/>
            <w:vAlign w:val="center"/>
            <w:hideMark/>
          </w:tcPr>
          <w:p w14:paraId="0D63FD91"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4,1%</w:t>
            </w:r>
          </w:p>
        </w:tc>
      </w:tr>
      <w:tr w:rsidR="001341EC" w:rsidRPr="0016798C" w14:paraId="5CCBB60D" w14:textId="77777777" w:rsidTr="00165AA6">
        <w:trPr>
          <w:trHeight w:val="272"/>
          <w:jc w:val="center"/>
        </w:trPr>
        <w:tc>
          <w:tcPr>
            <w:tcW w:w="4302" w:type="dxa"/>
            <w:shd w:val="clear" w:color="auto" w:fill="auto"/>
            <w:noWrap/>
            <w:vAlign w:val="center"/>
            <w:hideMark/>
          </w:tcPr>
          <w:p w14:paraId="29A3B6D1"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Agrario del II Circuito Judicial de la Zona Sur, Corredores</w:t>
            </w:r>
          </w:p>
        </w:tc>
        <w:tc>
          <w:tcPr>
            <w:tcW w:w="1118" w:type="dxa"/>
            <w:shd w:val="clear" w:color="auto" w:fill="auto"/>
            <w:vAlign w:val="center"/>
            <w:hideMark/>
          </w:tcPr>
          <w:p w14:paraId="08A946B2"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187</w:t>
            </w:r>
          </w:p>
        </w:tc>
        <w:tc>
          <w:tcPr>
            <w:tcW w:w="1497" w:type="dxa"/>
            <w:shd w:val="clear" w:color="auto" w:fill="auto"/>
            <w:vAlign w:val="center"/>
            <w:hideMark/>
          </w:tcPr>
          <w:p w14:paraId="6109DB2D"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130</w:t>
            </w:r>
          </w:p>
        </w:tc>
        <w:tc>
          <w:tcPr>
            <w:tcW w:w="1265" w:type="dxa"/>
            <w:shd w:val="clear" w:color="auto" w:fill="auto"/>
            <w:vAlign w:val="center"/>
            <w:hideMark/>
          </w:tcPr>
          <w:p w14:paraId="522A363F"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94</w:t>
            </w:r>
          </w:p>
        </w:tc>
        <w:tc>
          <w:tcPr>
            <w:tcW w:w="1118" w:type="dxa"/>
            <w:shd w:val="clear" w:color="auto" w:fill="auto"/>
            <w:vAlign w:val="center"/>
            <w:hideMark/>
          </w:tcPr>
          <w:p w14:paraId="386FF41E"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56</w:t>
            </w:r>
          </w:p>
        </w:tc>
        <w:tc>
          <w:tcPr>
            <w:tcW w:w="666" w:type="dxa"/>
            <w:shd w:val="clear" w:color="auto" w:fill="auto"/>
            <w:vAlign w:val="center"/>
            <w:hideMark/>
          </w:tcPr>
          <w:p w14:paraId="39F4E596"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467</w:t>
            </w:r>
          </w:p>
        </w:tc>
        <w:tc>
          <w:tcPr>
            <w:tcW w:w="1692" w:type="dxa"/>
            <w:shd w:val="clear" w:color="auto" w:fill="auto"/>
            <w:vAlign w:val="center"/>
            <w:hideMark/>
          </w:tcPr>
          <w:p w14:paraId="0318784C"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12,0%</w:t>
            </w:r>
          </w:p>
        </w:tc>
      </w:tr>
      <w:tr w:rsidR="001341EC" w:rsidRPr="0016798C" w14:paraId="7EB32FA8" w14:textId="77777777" w:rsidTr="00165AA6">
        <w:trPr>
          <w:trHeight w:val="272"/>
          <w:jc w:val="center"/>
        </w:trPr>
        <w:tc>
          <w:tcPr>
            <w:tcW w:w="4302" w:type="dxa"/>
            <w:shd w:val="clear" w:color="auto" w:fill="auto"/>
            <w:noWrap/>
            <w:vAlign w:val="center"/>
            <w:hideMark/>
          </w:tcPr>
          <w:p w14:paraId="0E1404A4"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 xml:space="preserve">Juzgado Civil y Trabajo del II Circ. </w:t>
            </w:r>
            <w:proofErr w:type="spellStart"/>
            <w:r w:rsidRPr="0016798C">
              <w:rPr>
                <w:rFonts w:ascii="Book Antiqua" w:hAnsi="Book Antiqua" w:cs="Calibri"/>
                <w:color w:val="000000"/>
                <w:lang w:eastAsia="es-CR"/>
              </w:rPr>
              <w:t>Jud</w:t>
            </w:r>
            <w:proofErr w:type="spellEnd"/>
            <w:r w:rsidRPr="0016798C">
              <w:rPr>
                <w:rFonts w:ascii="Book Antiqua" w:hAnsi="Book Antiqua" w:cs="Calibri"/>
                <w:color w:val="000000"/>
                <w:lang w:eastAsia="es-CR"/>
              </w:rPr>
              <w:t>. Alajuela, Upala</w:t>
            </w:r>
          </w:p>
        </w:tc>
        <w:tc>
          <w:tcPr>
            <w:tcW w:w="1118" w:type="dxa"/>
            <w:shd w:val="clear" w:color="auto" w:fill="auto"/>
            <w:vAlign w:val="center"/>
            <w:hideMark/>
          </w:tcPr>
          <w:p w14:paraId="3102D1FC"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265</w:t>
            </w:r>
          </w:p>
        </w:tc>
        <w:tc>
          <w:tcPr>
            <w:tcW w:w="1497" w:type="dxa"/>
            <w:shd w:val="clear" w:color="auto" w:fill="auto"/>
            <w:vAlign w:val="center"/>
            <w:hideMark/>
          </w:tcPr>
          <w:p w14:paraId="543E722F"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90</w:t>
            </w:r>
          </w:p>
        </w:tc>
        <w:tc>
          <w:tcPr>
            <w:tcW w:w="1265" w:type="dxa"/>
            <w:shd w:val="clear" w:color="auto" w:fill="auto"/>
            <w:vAlign w:val="center"/>
            <w:hideMark/>
          </w:tcPr>
          <w:p w14:paraId="7AAF5368"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86</w:t>
            </w:r>
          </w:p>
        </w:tc>
        <w:tc>
          <w:tcPr>
            <w:tcW w:w="1118" w:type="dxa"/>
            <w:shd w:val="clear" w:color="auto" w:fill="auto"/>
            <w:vAlign w:val="center"/>
            <w:hideMark/>
          </w:tcPr>
          <w:p w14:paraId="331FB0EC"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24</w:t>
            </w:r>
          </w:p>
        </w:tc>
        <w:tc>
          <w:tcPr>
            <w:tcW w:w="666" w:type="dxa"/>
            <w:shd w:val="clear" w:color="auto" w:fill="auto"/>
            <w:vAlign w:val="center"/>
            <w:hideMark/>
          </w:tcPr>
          <w:p w14:paraId="61D31630"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465</w:t>
            </w:r>
          </w:p>
        </w:tc>
        <w:tc>
          <w:tcPr>
            <w:tcW w:w="1692" w:type="dxa"/>
            <w:shd w:val="clear" w:color="auto" w:fill="auto"/>
            <w:vAlign w:val="center"/>
            <w:hideMark/>
          </w:tcPr>
          <w:p w14:paraId="7A072213"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5,2%</w:t>
            </w:r>
          </w:p>
        </w:tc>
      </w:tr>
      <w:tr w:rsidR="001341EC" w:rsidRPr="0016798C" w14:paraId="3EB2D2C8" w14:textId="77777777" w:rsidTr="00165AA6">
        <w:trPr>
          <w:trHeight w:val="272"/>
          <w:jc w:val="center"/>
        </w:trPr>
        <w:tc>
          <w:tcPr>
            <w:tcW w:w="4302" w:type="dxa"/>
            <w:shd w:val="clear" w:color="auto" w:fill="auto"/>
            <w:noWrap/>
            <w:vAlign w:val="center"/>
            <w:hideMark/>
          </w:tcPr>
          <w:p w14:paraId="3B382A81"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Agrario del II Circuito Judicial de Alajuela</w:t>
            </w:r>
          </w:p>
        </w:tc>
        <w:tc>
          <w:tcPr>
            <w:tcW w:w="1118" w:type="dxa"/>
            <w:shd w:val="clear" w:color="auto" w:fill="auto"/>
            <w:vAlign w:val="center"/>
            <w:hideMark/>
          </w:tcPr>
          <w:p w14:paraId="74C3750C"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198</w:t>
            </w:r>
          </w:p>
        </w:tc>
        <w:tc>
          <w:tcPr>
            <w:tcW w:w="1497" w:type="dxa"/>
            <w:shd w:val="clear" w:color="auto" w:fill="auto"/>
            <w:vAlign w:val="center"/>
            <w:hideMark/>
          </w:tcPr>
          <w:p w14:paraId="096E3391"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97</w:t>
            </w:r>
          </w:p>
        </w:tc>
        <w:tc>
          <w:tcPr>
            <w:tcW w:w="1265" w:type="dxa"/>
            <w:shd w:val="clear" w:color="auto" w:fill="auto"/>
            <w:vAlign w:val="center"/>
            <w:hideMark/>
          </w:tcPr>
          <w:p w14:paraId="63BCEBDC"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19</w:t>
            </w:r>
          </w:p>
        </w:tc>
        <w:tc>
          <w:tcPr>
            <w:tcW w:w="1118" w:type="dxa"/>
            <w:shd w:val="clear" w:color="auto" w:fill="auto"/>
            <w:vAlign w:val="center"/>
            <w:hideMark/>
          </w:tcPr>
          <w:p w14:paraId="61B13AE0"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40</w:t>
            </w:r>
          </w:p>
        </w:tc>
        <w:tc>
          <w:tcPr>
            <w:tcW w:w="666" w:type="dxa"/>
            <w:shd w:val="clear" w:color="auto" w:fill="auto"/>
            <w:vAlign w:val="center"/>
            <w:hideMark/>
          </w:tcPr>
          <w:p w14:paraId="672C890D"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354</w:t>
            </w:r>
          </w:p>
        </w:tc>
        <w:tc>
          <w:tcPr>
            <w:tcW w:w="1692" w:type="dxa"/>
            <w:shd w:val="clear" w:color="auto" w:fill="auto"/>
            <w:vAlign w:val="center"/>
            <w:hideMark/>
          </w:tcPr>
          <w:p w14:paraId="3292A438"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11,3%</w:t>
            </w:r>
          </w:p>
        </w:tc>
      </w:tr>
      <w:tr w:rsidR="001341EC" w:rsidRPr="0016798C" w14:paraId="0C7D0D47" w14:textId="77777777" w:rsidTr="00165AA6">
        <w:trPr>
          <w:trHeight w:val="272"/>
          <w:jc w:val="center"/>
        </w:trPr>
        <w:tc>
          <w:tcPr>
            <w:tcW w:w="4302" w:type="dxa"/>
            <w:shd w:val="clear" w:color="auto" w:fill="auto"/>
            <w:noWrap/>
            <w:vAlign w:val="center"/>
            <w:hideMark/>
          </w:tcPr>
          <w:p w14:paraId="6D4D25B6"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Agrario del I Circuito Judicial de la Zona Sur</w:t>
            </w:r>
          </w:p>
        </w:tc>
        <w:tc>
          <w:tcPr>
            <w:tcW w:w="1118" w:type="dxa"/>
            <w:shd w:val="clear" w:color="auto" w:fill="auto"/>
            <w:vAlign w:val="center"/>
            <w:hideMark/>
          </w:tcPr>
          <w:p w14:paraId="43AC95E7"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225</w:t>
            </w:r>
          </w:p>
        </w:tc>
        <w:tc>
          <w:tcPr>
            <w:tcW w:w="1497" w:type="dxa"/>
            <w:shd w:val="clear" w:color="auto" w:fill="auto"/>
            <w:vAlign w:val="center"/>
            <w:hideMark/>
          </w:tcPr>
          <w:p w14:paraId="4EFF9037"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53</w:t>
            </w:r>
          </w:p>
        </w:tc>
        <w:tc>
          <w:tcPr>
            <w:tcW w:w="1265" w:type="dxa"/>
            <w:shd w:val="clear" w:color="auto" w:fill="auto"/>
            <w:vAlign w:val="center"/>
            <w:hideMark/>
          </w:tcPr>
          <w:p w14:paraId="3D4C6AE4"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52</w:t>
            </w:r>
          </w:p>
        </w:tc>
        <w:tc>
          <w:tcPr>
            <w:tcW w:w="1118" w:type="dxa"/>
            <w:shd w:val="clear" w:color="auto" w:fill="auto"/>
            <w:vAlign w:val="center"/>
            <w:hideMark/>
          </w:tcPr>
          <w:p w14:paraId="37AD8FA9"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17</w:t>
            </w:r>
          </w:p>
        </w:tc>
        <w:tc>
          <w:tcPr>
            <w:tcW w:w="666" w:type="dxa"/>
            <w:shd w:val="clear" w:color="auto" w:fill="auto"/>
            <w:vAlign w:val="center"/>
            <w:hideMark/>
          </w:tcPr>
          <w:p w14:paraId="186D1047"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347</w:t>
            </w:r>
          </w:p>
        </w:tc>
        <w:tc>
          <w:tcPr>
            <w:tcW w:w="1692" w:type="dxa"/>
            <w:shd w:val="clear" w:color="auto" w:fill="auto"/>
            <w:vAlign w:val="center"/>
            <w:hideMark/>
          </w:tcPr>
          <w:p w14:paraId="2B162B04"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4,9%</w:t>
            </w:r>
          </w:p>
        </w:tc>
      </w:tr>
      <w:tr w:rsidR="001341EC" w:rsidRPr="0016798C" w14:paraId="60E56923" w14:textId="77777777" w:rsidTr="00165AA6">
        <w:trPr>
          <w:trHeight w:val="272"/>
          <w:jc w:val="center"/>
        </w:trPr>
        <w:tc>
          <w:tcPr>
            <w:tcW w:w="4302" w:type="dxa"/>
            <w:shd w:val="clear" w:color="auto" w:fill="auto"/>
            <w:noWrap/>
            <w:vAlign w:val="center"/>
            <w:hideMark/>
          </w:tcPr>
          <w:p w14:paraId="34730195"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Agrario del III Circuito Judicial de Alajuela, sede San Ramón</w:t>
            </w:r>
          </w:p>
        </w:tc>
        <w:tc>
          <w:tcPr>
            <w:tcW w:w="1118" w:type="dxa"/>
            <w:shd w:val="clear" w:color="auto" w:fill="auto"/>
            <w:vAlign w:val="center"/>
            <w:hideMark/>
          </w:tcPr>
          <w:p w14:paraId="3B109216"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178</w:t>
            </w:r>
          </w:p>
        </w:tc>
        <w:tc>
          <w:tcPr>
            <w:tcW w:w="1497" w:type="dxa"/>
            <w:shd w:val="clear" w:color="auto" w:fill="auto"/>
            <w:vAlign w:val="center"/>
            <w:hideMark/>
          </w:tcPr>
          <w:p w14:paraId="05C1317C"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91</w:t>
            </w:r>
          </w:p>
        </w:tc>
        <w:tc>
          <w:tcPr>
            <w:tcW w:w="1265" w:type="dxa"/>
            <w:shd w:val="clear" w:color="auto" w:fill="auto"/>
            <w:vAlign w:val="center"/>
            <w:hideMark/>
          </w:tcPr>
          <w:p w14:paraId="5F940D34"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36</w:t>
            </w:r>
          </w:p>
        </w:tc>
        <w:tc>
          <w:tcPr>
            <w:tcW w:w="1118" w:type="dxa"/>
            <w:shd w:val="clear" w:color="auto" w:fill="auto"/>
            <w:vAlign w:val="center"/>
            <w:hideMark/>
          </w:tcPr>
          <w:p w14:paraId="4DCB75B5"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15</w:t>
            </w:r>
          </w:p>
        </w:tc>
        <w:tc>
          <w:tcPr>
            <w:tcW w:w="666" w:type="dxa"/>
            <w:shd w:val="clear" w:color="auto" w:fill="auto"/>
            <w:vAlign w:val="center"/>
            <w:hideMark/>
          </w:tcPr>
          <w:p w14:paraId="116F7739"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320</w:t>
            </w:r>
          </w:p>
        </w:tc>
        <w:tc>
          <w:tcPr>
            <w:tcW w:w="1692" w:type="dxa"/>
            <w:shd w:val="clear" w:color="auto" w:fill="auto"/>
            <w:vAlign w:val="center"/>
            <w:hideMark/>
          </w:tcPr>
          <w:p w14:paraId="7C3D90B5"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4,7%</w:t>
            </w:r>
          </w:p>
        </w:tc>
      </w:tr>
      <w:tr w:rsidR="001341EC" w:rsidRPr="0016798C" w14:paraId="69950D45" w14:textId="77777777" w:rsidTr="00165AA6">
        <w:trPr>
          <w:trHeight w:val="272"/>
          <w:jc w:val="center"/>
        </w:trPr>
        <w:tc>
          <w:tcPr>
            <w:tcW w:w="4302" w:type="dxa"/>
            <w:shd w:val="clear" w:color="auto" w:fill="auto"/>
            <w:noWrap/>
            <w:vAlign w:val="center"/>
            <w:hideMark/>
          </w:tcPr>
          <w:p w14:paraId="5BFF4771"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Agrario del I Circuito Judicial de Alajuela</w:t>
            </w:r>
          </w:p>
        </w:tc>
        <w:tc>
          <w:tcPr>
            <w:tcW w:w="1118" w:type="dxa"/>
            <w:shd w:val="clear" w:color="auto" w:fill="auto"/>
            <w:vAlign w:val="center"/>
            <w:hideMark/>
          </w:tcPr>
          <w:p w14:paraId="6B64B12F"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134</w:t>
            </w:r>
          </w:p>
        </w:tc>
        <w:tc>
          <w:tcPr>
            <w:tcW w:w="1497" w:type="dxa"/>
            <w:shd w:val="clear" w:color="auto" w:fill="auto"/>
            <w:vAlign w:val="center"/>
            <w:hideMark/>
          </w:tcPr>
          <w:p w14:paraId="10EE50F0"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118</w:t>
            </w:r>
          </w:p>
        </w:tc>
        <w:tc>
          <w:tcPr>
            <w:tcW w:w="1265" w:type="dxa"/>
            <w:shd w:val="clear" w:color="auto" w:fill="auto"/>
            <w:vAlign w:val="center"/>
            <w:hideMark/>
          </w:tcPr>
          <w:p w14:paraId="21A3BA37"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41</w:t>
            </w:r>
          </w:p>
        </w:tc>
        <w:tc>
          <w:tcPr>
            <w:tcW w:w="1118" w:type="dxa"/>
            <w:shd w:val="clear" w:color="auto" w:fill="auto"/>
            <w:vAlign w:val="center"/>
            <w:hideMark/>
          </w:tcPr>
          <w:p w14:paraId="212B9E35"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25</w:t>
            </w:r>
          </w:p>
        </w:tc>
        <w:tc>
          <w:tcPr>
            <w:tcW w:w="666" w:type="dxa"/>
            <w:shd w:val="clear" w:color="auto" w:fill="auto"/>
            <w:vAlign w:val="center"/>
            <w:hideMark/>
          </w:tcPr>
          <w:p w14:paraId="21612302"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318</w:t>
            </w:r>
          </w:p>
        </w:tc>
        <w:tc>
          <w:tcPr>
            <w:tcW w:w="1692" w:type="dxa"/>
            <w:shd w:val="clear" w:color="auto" w:fill="auto"/>
            <w:vAlign w:val="center"/>
            <w:hideMark/>
          </w:tcPr>
          <w:p w14:paraId="2688CFB5"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7,9%</w:t>
            </w:r>
          </w:p>
        </w:tc>
      </w:tr>
      <w:tr w:rsidR="001341EC" w:rsidRPr="0016798C" w14:paraId="56F128BB" w14:textId="77777777" w:rsidTr="00165AA6">
        <w:trPr>
          <w:trHeight w:val="272"/>
          <w:jc w:val="center"/>
        </w:trPr>
        <w:tc>
          <w:tcPr>
            <w:tcW w:w="4302" w:type="dxa"/>
            <w:shd w:val="clear" w:color="auto" w:fill="auto"/>
            <w:noWrap/>
            <w:vAlign w:val="center"/>
            <w:hideMark/>
          </w:tcPr>
          <w:p w14:paraId="162B0AF4"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Agrario del II Circuito Judicial de San José</w:t>
            </w:r>
          </w:p>
        </w:tc>
        <w:tc>
          <w:tcPr>
            <w:tcW w:w="1118" w:type="dxa"/>
            <w:shd w:val="clear" w:color="auto" w:fill="auto"/>
            <w:vAlign w:val="center"/>
            <w:hideMark/>
          </w:tcPr>
          <w:p w14:paraId="0C4FE1ED"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170</w:t>
            </w:r>
          </w:p>
        </w:tc>
        <w:tc>
          <w:tcPr>
            <w:tcW w:w="1497" w:type="dxa"/>
            <w:shd w:val="clear" w:color="auto" w:fill="auto"/>
            <w:vAlign w:val="center"/>
            <w:hideMark/>
          </w:tcPr>
          <w:p w14:paraId="6F9AE5CF"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34</w:t>
            </w:r>
          </w:p>
        </w:tc>
        <w:tc>
          <w:tcPr>
            <w:tcW w:w="1265" w:type="dxa"/>
            <w:shd w:val="clear" w:color="auto" w:fill="auto"/>
            <w:vAlign w:val="center"/>
            <w:hideMark/>
          </w:tcPr>
          <w:p w14:paraId="246F368E"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96</w:t>
            </w:r>
          </w:p>
        </w:tc>
        <w:tc>
          <w:tcPr>
            <w:tcW w:w="1118" w:type="dxa"/>
            <w:shd w:val="clear" w:color="auto" w:fill="auto"/>
            <w:vAlign w:val="center"/>
            <w:hideMark/>
          </w:tcPr>
          <w:p w14:paraId="598C9EE8"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14</w:t>
            </w:r>
          </w:p>
        </w:tc>
        <w:tc>
          <w:tcPr>
            <w:tcW w:w="666" w:type="dxa"/>
            <w:shd w:val="clear" w:color="auto" w:fill="auto"/>
            <w:vAlign w:val="center"/>
            <w:hideMark/>
          </w:tcPr>
          <w:p w14:paraId="02B90267"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314</w:t>
            </w:r>
          </w:p>
        </w:tc>
        <w:tc>
          <w:tcPr>
            <w:tcW w:w="1692" w:type="dxa"/>
            <w:shd w:val="clear" w:color="auto" w:fill="auto"/>
            <w:vAlign w:val="center"/>
            <w:hideMark/>
          </w:tcPr>
          <w:p w14:paraId="0E9DCDE9"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4,5%</w:t>
            </w:r>
          </w:p>
        </w:tc>
      </w:tr>
      <w:tr w:rsidR="001341EC" w:rsidRPr="0016798C" w14:paraId="7D24D7EB" w14:textId="77777777" w:rsidTr="00165AA6">
        <w:trPr>
          <w:trHeight w:val="272"/>
          <w:jc w:val="center"/>
        </w:trPr>
        <w:tc>
          <w:tcPr>
            <w:tcW w:w="4302" w:type="dxa"/>
            <w:shd w:val="clear" w:color="auto" w:fill="auto"/>
            <w:noWrap/>
            <w:vAlign w:val="center"/>
            <w:hideMark/>
          </w:tcPr>
          <w:p w14:paraId="7CB46A8B"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Civil, Trabajo y Familia de Buenos Aires</w:t>
            </w:r>
          </w:p>
        </w:tc>
        <w:tc>
          <w:tcPr>
            <w:tcW w:w="1118" w:type="dxa"/>
            <w:shd w:val="clear" w:color="auto" w:fill="auto"/>
            <w:vAlign w:val="center"/>
            <w:hideMark/>
          </w:tcPr>
          <w:p w14:paraId="306843D1"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119</w:t>
            </w:r>
          </w:p>
        </w:tc>
        <w:tc>
          <w:tcPr>
            <w:tcW w:w="1497" w:type="dxa"/>
            <w:shd w:val="clear" w:color="auto" w:fill="auto"/>
            <w:vAlign w:val="center"/>
            <w:hideMark/>
          </w:tcPr>
          <w:p w14:paraId="2AFE835E"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131</w:t>
            </w:r>
          </w:p>
        </w:tc>
        <w:tc>
          <w:tcPr>
            <w:tcW w:w="1265" w:type="dxa"/>
            <w:shd w:val="clear" w:color="auto" w:fill="auto"/>
            <w:vAlign w:val="center"/>
            <w:hideMark/>
          </w:tcPr>
          <w:p w14:paraId="010269D8"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28</w:t>
            </w:r>
          </w:p>
        </w:tc>
        <w:tc>
          <w:tcPr>
            <w:tcW w:w="1118" w:type="dxa"/>
            <w:shd w:val="clear" w:color="auto" w:fill="auto"/>
            <w:vAlign w:val="center"/>
            <w:hideMark/>
          </w:tcPr>
          <w:p w14:paraId="54A33BE4"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19</w:t>
            </w:r>
          </w:p>
        </w:tc>
        <w:tc>
          <w:tcPr>
            <w:tcW w:w="666" w:type="dxa"/>
            <w:shd w:val="clear" w:color="auto" w:fill="auto"/>
            <w:vAlign w:val="center"/>
            <w:hideMark/>
          </w:tcPr>
          <w:p w14:paraId="153D6B0E"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297</w:t>
            </w:r>
          </w:p>
        </w:tc>
        <w:tc>
          <w:tcPr>
            <w:tcW w:w="1692" w:type="dxa"/>
            <w:shd w:val="clear" w:color="auto" w:fill="auto"/>
            <w:vAlign w:val="center"/>
            <w:hideMark/>
          </w:tcPr>
          <w:p w14:paraId="7040B320"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6,4%</w:t>
            </w:r>
          </w:p>
        </w:tc>
      </w:tr>
      <w:tr w:rsidR="001341EC" w:rsidRPr="0016798C" w14:paraId="4D664B39" w14:textId="77777777" w:rsidTr="00165AA6">
        <w:trPr>
          <w:trHeight w:val="272"/>
          <w:jc w:val="center"/>
        </w:trPr>
        <w:tc>
          <w:tcPr>
            <w:tcW w:w="4302" w:type="dxa"/>
            <w:shd w:val="clear" w:color="auto" w:fill="auto"/>
            <w:noWrap/>
            <w:vAlign w:val="center"/>
            <w:hideMark/>
          </w:tcPr>
          <w:p w14:paraId="097C57F9" w14:textId="77777777" w:rsidR="001341EC" w:rsidRPr="0016798C" w:rsidRDefault="001341EC" w:rsidP="00165AA6">
            <w:pPr>
              <w:rPr>
                <w:rFonts w:ascii="Book Antiqua" w:hAnsi="Book Antiqua" w:cs="Calibri"/>
                <w:color w:val="000000"/>
                <w:lang w:eastAsia="es-CR"/>
              </w:rPr>
            </w:pPr>
            <w:r w:rsidRPr="0016798C">
              <w:rPr>
                <w:rFonts w:ascii="Book Antiqua" w:hAnsi="Book Antiqua" w:cs="Calibri"/>
                <w:color w:val="000000"/>
                <w:lang w:eastAsia="es-CR"/>
              </w:rPr>
              <w:t>Juzgado Civil, Trabajo y Agrario de Turrialba</w:t>
            </w:r>
          </w:p>
        </w:tc>
        <w:tc>
          <w:tcPr>
            <w:tcW w:w="1118" w:type="dxa"/>
            <w:shd w:val="clear" w:color="auto" w:fill="auto"/>
            <w:vAlign w:val="center"/>
            <w:hideMark/>
          </w:tcPr>
          <w:p w14:paraId="024799D7"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60</w:t>
            </w:r>
          </w:p>
        </w:tc>
        <w:tc>
          <w:tcPr>
            <w:tcW w:w="1497" w:type="dxa"/>
            <w:shd w:val="clear" w:color="auto" w:fill="auto"/>
            <w:vAlign w:val="center"/>
            <w:hideMark/>
          </w:tcPr>
          <w:p w14:paraId="0FE5914B"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11</w:t>
            </w:r>
          </w:p>
        </w:tc>
        <w:tc>
          <w:tcPr>
            <w:tcW w:w="1265" w:type="dxa"/>
            <w:shd w:val="clear" w:color="auto" w:fill="auto"/>
            <w:vAlign w:val="center"/>
            <w:hideMark/>
          </w:tcPr>
          <w:p w14:paraId="7503A8F6"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23</w:t>
            </w:r>
          </w:p>
        </w:tc>
        <w:tc>
          <w:tcPr>
            <w:tcW w:w="1118" w:type="dxa"/>
            <w:shd w:val="clear" w:color="auto" w:fill="auto"/>
            <w:vAlign w:val="center"/>
            <w:hideMark/>
          </w:tcPr>
          <w:p w14:paraId="2875D77C"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5</w:t>
            </w:r>
          </w:p>
        </w:tc>
        <w:tc>
          <w:tcPr>
            <w:tcW w:w="666" w:type="dxa"/>
            <w:shd w:val="clear" w:color="auto" w:fill="auto"/>
            <w:vAlign w:val="center"/>
            <w:hideMark/>
          </w:tcPr>
          <w:p w14:paraId="4BD87C19" w14:textId="77777777" w:rsidR="001341EC" w:rsidRPr="0016798C" w:rsidRDefault="001341EC" w:rsidP="00165AA6">
            <w:pPr>
              <w:jc w:val="center"/>
              <w:rPr>
                <w:rFonts w:ascii="Book Antiqua" w:hAnsi="Book Antiqua" w:cs="Calibri"/>
                <w:color w:val="000000"/>
                <w:lang w:eastAsia="es-CR"/>
              </w:rPr>
            </w:pPr>
            <w:r w:rsidRPr="0016798C">
              <w:rPr>
                <w:rFonts w:ascii="Book Antiqua" w:hAnsi="Book Antiqua" w:cs="Calibri"/>
                <w:color w:val="000000"/>
                <w:lang w:eastAsia="es-CR"/>
              </w:rPr>
              <w:t>99</w:t>
            </w:r>
          </w:p>
        </w:tc>
        <w:tc>
          <w:tcPr>
            <w:tcW w:w="1692" w:type="dxa"/>
            <w:shd w:val="clear" w:color="auto" w:fill="auto"/>
            <w:vAlign w:val="center"/>
            <w:hideMark/>
          </w:tcPr>
          <w:p w14:paraId="4B1DB2EF" w14:textId="77777777" w:rsidR="001341EC" w:rsidRPr="0016798C" w:rsidRDefault="001341EC" w:rsidP="00165AA6">
            <w:pPr>
              <w:jc w:val="center"/>
              <w:rPr>
                <w:rFonts w:ascii="Book Antiqua" w:hAnsi="Book Antiqua" w:cs="Calibri"/>
                <w:b/>
                <w:bCs/>
                <w:color w:val="000000"/>
                <w:lang w:eastAsia="es-CR"/>
              </w:rPr>
            </w:pPr>
            <w:r w:rsidRPr="0016798C">
              <w:rPr>
                <w:rFonts w:ascii="Book Antiqua" w:hAnsi="Book Antiqua" w:cs="Calibri"/>
                <w:b/>
                <w:bCs/>
                <w:color w:val="000000"/>
                <w:lang w:eastAsia="es-CR"/>
              </w:rPr>
              <w:t>5,1%</w:t>
            </w:r>
          </w:p>
        </w:tc>
      </w:tr>
    </w:tbl>
    <w:p w14:paraId="68609FB9" w14:textId="77777777" w:rsidR="001341EC" w:rsidRPr="0016798C" w:rsidRDefault="001341EC" w:rsidP="001341EC">
      <w:pPr>
        <w:ind w:left="-1418"/>
        <w:rPr>
          <w:rFonts w:ascii="Book Antiqua" w:hAnsi="Book Antiqua"/>
          <w:b/>
          <w:i/>
          <w:lang w:eastAsia="en-US"/>
        </w:rPr>
      </w:pPr>
      <w:r w:rsidRPr="0016798C">
        <w:rPr>
          <w:rFonts w:ascii="Book Antiqua" w:hAnsi="Book Antiqua"/>
          <w:b/>
          <w:i/>
          <w:lang w:eastAsia="en-US"/>
        </w:rPr>
        <w:t xml:space="preserve">Fuente: Elaboración propia con base en datos del sistema SIGMA, Subproceso de Modernización, consulta realizada el 22-3-2019. </w:t>
      </w:r>
    </w:p>
    <w:p w14:paraId="5DDC6A20" w14:textId="77777777" w:rsidR="001341EC" w:rsidRPr="00055D4B" w:rsidRDefault="001341EC" w:rsidP="001341EC">
      <w:pPr>
        <w:rPr>
          <w:rFonts w:ascii="Book Antiqua" w:hAnsi="Book Antiqua"/>
          <w:sz w:val="22"/>
          <w:szCs w:val="22"/>
          <w:highlight w:val="yellow"/>
          <w:lang w:eastAsia="en-US"/>
        </w:rPr>
      </w:pPr>
    </w:p>
    <w:p w14:paraId="6BE0395F"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La información suministrada sobre el comportamiento del circulante por fase de proceso evidencia que la fase de demanda es en la que se acumulan la mayoría de los expedientes de la Jurisdicción Agraria, la cual equivale a un 56% del total del circulante en trámite, donde es de importancia promover, en lo posible, el movimiento de dichos expedientes a otras fases del proceso. La siguiente fase más representativa es la demostrativa</w:t>
      </w:r>
      <w:r>
        <w:rPr>
          <w:rFonts w:ascii="Book Antiqua" w:hAnsi="Book Antiqua"/>
          <w:sz w:val="22"/>
          <w:szCs w:val="22"/>
        </w:rPr>
        <w:t>,</w:t>
      </w:r>
      <w:r w:rsidRPr="00055D4B">
        <w:rPr>
          <w:rFonts w:ascii="Book Antiqua" w:hAnsi="Book Antiqua"/>
          <w:sz w:val="22"/>
          <w:szCs w:val="22"/>
        </w:rPr>
        <w:t xml:space="preserve"> equivalente a un 26% del total del circulante analizado; seguido por la conclusiva que representa el 13% y por último la ejecución con un 5%.</w:t>
      </w:r>
    </w:p>
    <w:p w14:paraId="1405D2FF" w14:textId="77777777" w:rsidR="001341EC" w:rsidRPr="00055D4B" w:rsidRDefault="001341EC" w:rsidP="001341EC">
      <w:pPr>
        <w:jc w:val="both"/>
        <w:rPr>
          <w:rFonts w:ascii="Book Antiqua" w:hAnsi="Book Antiqua"/>
          <w:sz w:val="22"/>
          <w:szCs w:val="22"/>
        </w:rPr>
      </w:pPr>
    </w:p>
    <w:p w14:paraId="3E7C4040"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El Juzgado Agrario de Puntarenas presenta la particularidad de que su fase de demanda es representada por una cantidad pequeña de expedientes y la mayor cantidad de circulante se encuentra en la fase demostrativa, 449 expedientes. Lo anterior podría ser resultado del trámite de</w:t>
      </w:r>
      <w:r>
        <w:rPr>
          <w:rFonts w:ascii="Book Antiqua" w:hAnsi="Book Antiqua"/>
          <w:sz w:val="22"/>
          <w:szCs w:val="22"/>
        </w:rPr>
        <w:t>l</w:t>
      </w:r>
      <w:r w:rsidRPr="00055D4B">
        <w:rPr>
          <w:rFonts w:ascii="Book Antiqua" w:hAnsi="Book Antiqua"/>
          <w:sz w:val="22"/>
          <w:szCs w:val="22"/>
        </w:rPr>
        <w:t xml:space="preserve"> expedientes al entrar a Juzgado, donde para el mes de enero 2019 según los indicadores de gestión el plazo para resolver demandas nuevas es de 7 días y que para los meses de noviembre y diciembre 2018 y enero del 2019 las personas técnicas judiciales tramitan aproximadamente 7 expedientes por día (dato obtenido de los indicadores de gestión y calculado con 4 días por semana, proyectando que los técnicos hayan acompañado a los jueces a las audiencias), el cual es mayor al dato obtenido para los Despachos analizados en el primer bloque de Juzgados del abordaje realizado por la Dirección de Planificación en materia Agraria, dato que se mostrará en los párrafos siguientes.</w:t>
      </w:r>
    </w:p>
    <w:p w14:paraId="3FB9B942"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 </w:t>
      </w:r>
    </w:p>
    <w:p w14:paraId="5304E2EE" w14:textId="77777777" w:rsidR="001341EC" w:rsidRDefault="001341EC" w:rsidP="001341EC">
      <w:pPr>
        <w:jc w:val="both"/>
        <w:rPr>
          <w:rFonts w:ascii="Book Antiqua" w:hAnsi="Book Antiqua"/>
          <w:sz w:val="22"/>
          <w:szCs w:val="22"/>
        </w:rPr>
      </w:pPr>
      <w:r w:rsidRPr="00055D4B">
        <w:rPr>
          <w:rFonts w:ascii="Book Antiqua" w:hAnsi="Book Antiqua"/>
          <w:sz w:val="22"/>
          <w:szCs w:val="22"/>
        </w:rPr>
        <w:t>Realizado el abordaje de los juzgados agrarios del primer bloque del plan de trabajo de la Dirección de Planificación, correspondientes al Juzgado Agrario del I Circuito Judicial de la Zona de Guanacaste, Liberia, Juzgado Agrario del I Circuito Judicial de Alajuela y el Juzgado Agrario del III Circuito Judicial de Alajuela, San Ramón, se identifican los siguientes hallazgos preliminares respecto al circulante y su movimiento:</w:t>
      </w:r>
    </w:p>
    <w:p w14:paraId="7D82A903" w14:textId="77777777" w:rsidR="001341EC" w:rsidRDefault="001341EC" w:rsidP="001341EC">
      <w:pPr>
        <w:jc w:val="both"/>
        <w:rPr>
          <w:rFonts w:ascii="Book Antiqua" w:hAnsi="Book Antiqua"/>
          <w:sz w:val="22"/>
          <w:szCs w:val="22"/>
        </w:rPr>
      </w:pPr>
    </w:p>
    <w:p w14:paraId="189ACF27" w14:textId="77777777" w:rsidR="001341EC" w:rsidRPr="00055D4B" w:rsidRDefault="001341EC" w:rsidP="001341EC">
      <w:pPr>
        <w:pStyle w:val="Prrafodelista"/>
        <w:numPr>
          <w:ilvl w:val="0"/>
          <w:numId w:val="41"/>
        </w:numPr>
        <w:jc w:val="both"/>
        <w:rPr>
          <w:rFonts w:ascii="Book Antiqua" w:hAnsi="Book Antiqua"/>
          <w:sz w:val="22"/>
          <w:szCs w:val="22"/>
          <w:lang w:val="es-CR"/>
        </w:rPr>
      </w:pPr>
      <w:r w:rsidRPr="00055D4B">
        <w:rPr>
          <w:rFonts w:ascii="Book Antiqua" w:hAnsi="Book Antiqua"/>
          <w:sz w:val="22"/>
          <w:szCs w:val="22"/>
          <w:lang w:val="es-CR"/>
        </w:rPr>
        <w:t xml:space="preserve">En todos los casos la fase de demanda es la más representativa, por lo tanto; es en la que mayor cantidad de expedientes se acumulan. Los valores de representación fluctúan desde un 41% a un 53% del circulante. Los números mostrados evidencian la necesidad de aumentar la tramitación con la finalidad de mover los expedientes a otras fases del proceso para lograr brindar respuesta a las personas usuarias. </w:t>
      </w:r>
    </w:p>
    <w:p w14:paraId="0609D6C6" w14:textId="77777777" w:rsidR="001341EC" w:rsidRPr="00055D4B" w:rsidRDefault="001341EC" w:rsidP="001341EC">
      <w:pPr>
        <w:pStyle w:val="Prrafodelista"/>
        <w:numPr>
          <w:ilvl w:val="0"/>
          <w:numId w:val="41"/>
        </w:numPr>
        <w:jc w:val="both"/>
        <w:rPr>
          <w:rFonts w:ascii="Book Antiqua" w:hAnsi="Book Antiqua"/>
          <w:sz w:val="22"/>
          <w:szCs w:val="22"/>
          <w:lang w:val="es-CR"/>
        </w:rPr>
      </w:pPr>
      <w:r w:rsidRPr="00055D4B">
        <w:rPr>
          <w:rFonts w:ascii="Book Antiqua" w:hAnsi="Book Antiqua"/>
          <w:sz w:val="22"/>
          <w:szCs w:val="22"/>
          <w:lang w:val="es-CR"/>
        </w:rPr>
        <w:t xml:space="preserve">Existe una porción importante del circulante que se encuentra en tareas relacionadas con la “espera de gestión de la parte”, para el Juzgado de Alajuela representa un 56% del circulante y para Juzgado de Liberia un 48%; lo que implica que a estos expedientes no se le efectúa trámite debido a que a criterio del Juzgado se necesita impulso de la parte, sin embargo; es de vital importancia que a raíz de la entrada en vigencia de la Reforma al Código de Trabajo y el Nuevo Código Procesal Civil el Despacho se dé a la tarea de revisar los expedientes para definir si procede el dictado de un archivo provisional, una caducidad, una deserción o realizar alguna gestión oficiosa.  </w:t>
      </w:r>
    </w:p>
    <w:p w14:paraId="428127F8" w14:textId="77777777" w:rsidR="001341EC" w:rsidRPr="00055D4B" w:rsidRDefault="001341EC" w:rsidP="001341EC">
      <w:pPr>
        <w:pStyle w:val="Prrafodelista"/>
        <w:numPr>
          <w:ilvl w:val="0"/>
          <w:numId w:val="41"/>
        </w:numPr>
        <w:jc w:val="both"/>
        <w:rPr>
          <w:rFonts w:ascii="Book Antiqua" w:hAnsi="Book Antiqua"/>
          <w:sz w:val="22"/>
          <w:szCs w:val="22"/>
          <w:lang w:val="es-CR"/>
        </w:rPr>
      </w:pPr>
      <w:r w:rsidRPr="00055D4B">
        <w:rPr>
          <w:rFonts w:ascii="Book Antiqua" w:hAnsi="Book Antiqua"/>
          <w:sz w:val="22"/>
          <w:szCs w:val="22"/>
          <w:lang w:val="es-CR"/>
        </w:rPr>
        <w:t xml:space="preserve">La cantidad de expedientes tramitados por persona técnica judicial en los despachos estudiados en ninguno de los casos superan los 4 asuntos diarios, los promedios diarios para San Ramón, Liberia y Alajuela son 2.3, 1.4 y 4 respectivamente, lo que evidencia la necesidad de realizar acciones de seguimiento para el aumento en el proveído de las personas técnicas judiciales. Es importante mencionar que los cálculos se realizan eliminando los períodos en que los titulares del puesto no se encontraron sustituidos. </w:t>
      </w:r>
    </w:p>
    <w:p w14:paraId="6FE73E37" w14:textId="77777777" w:rsidR="001341EC" w:rsidRPr="00055D4B" w:rsidRDefault="001341EC" w:rsidP="001341EC">
      <w:pPr>
        <w:pStyle w:val="Prrafodelista"/>
        <w:numPr>
          <w:ilvl w:val="0"/>
          <w:numId w:val="41"/>
        </w:numPr>
        <w:jc w:val="both"/>
        <w:rPr>
          <w:rFonts w:ascii="Book Antiqua" w:hAnsi="Book Antiqua"/>
          <w:sz w:val="22"/>
          <w:szCs w:val="22"/>
          <w:lang w:val="es-CR"/>
        </w:rPr>
      </w:pPr>
      <w:r w:rsidRPr="00055D4B">
        <w:rPr>
          <w:rFonts w:ascii="Book Antiqua" w:hAnsi="Book Antiqua"/>
          <w:sz w:val="22"/>
          <w:szCs w:val="22"/>
          <w:lang w:val="es-CR"/>
        </w:rPr>
        <w:t xml:space="preserve">La antigüedad de los escritos pendientes de resolución en los juzgados, a las consultas realizadas durante febrero 2019, en su mayoría son de los meses de diciembre 2018, enero y febrero 2019; las cantidades de escritos pendientes oscilan entre los 185 y 85 escritos pendientes. Tomando como base el extremo superior de ejemplo, los 185 escritos pendientes, es importante indicar que contando con dos personas técnicas judiciales que atiendan 3 escritos por días para un total de 4 días por semana, en menos de dos meses se habría tramitado lo pendiente, contando aún con capacidad operativa para atender la entrada de nuevos, que en ningún caso supera un expediente por día por persona técnica judicial, y la entrada de escritos, que en ninguno de los casos supera los 5 escritos por persona por día. </w:t>
      </w:r>
    </w:p>
    <w:p w14:paraId="154ABE1E" w14:textId="77777777" w:rsidR="001341EC" w:rsidRPr="00055D4B" w:rsidRDefault="001341EC" w:rsidP="001341EC">
      <w:pPr>
        <w:jc w:val="both"/>
        <w:rPr>
          <w:rFonts w:ascii="Book Antiqua" w:hAnsi="Book Antiqua"/>
          <w:sz w:val="22"/>
          <w:szCs w:val="22"/>
        </w:rPr>
      </w:pPr>
    </w:p>
    <w:p w14:paraId="6F6C3B5E" w14:textId="77777777" w:rsidR="001341EC" w:rsidRPr="00055D4B" w:rsidRDefault="001341EC" w:rsidP="001341EC">
      <w:pPr>
        <w:jc w:val="both"/>
        <w:rPr>
          <w:rFonts w:ascii="Book Antiqua" w:hAnsi="Book Antiqua"/>
          <w:sz w:val="22"/>
          <w:szCs w:val="22"/>
        </w:rPr>
      </w:pPr>
    </w:p>
    <w:p w14:paraId="262E8760"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Analizando específicamente la fase de ejecución, que llama la atención a raíz del requerimiento que se enfatiza en el Código Procesal Agrario sobre la figura de ejecutores; ya que; la representación de esta fase es mínima; lo cual refleja la necesidad de generar mayor trámite para lograr llevar los procesos a dicha fase. El Juzgado Agrario de Corredores y el del II Circuito Judicial de Alajuela, San Carlos, son los despachos con mayor porcentaje de circulante en la fase de ejecución con un 12% y 11,3%; seguido por el Juzgado Agrario del I Circuito Judicial de Alajuela con un 7,9%; el resto de los despachos presentan datos inferiores al 7%.</w:t>
      </w:r>
    </w:p>
    <w:p w14:paraId="620C3C06" w14:textId="77777777" w:rsidR="001341EC" w:rsidRPr="00055D4B" w:rsidRDefault="001341EC" w:rsidP="001341EC">
      <w:pPr>
        <w:jc w:val="both"/>
        <w:rPr>
          <w:rFonts w:ascii="Book Antiqua" w:hAnsi="Book Antiqua"/>
          <w:sz w:val="22"/>
          <w:szCs w:val="22"/>
        </w:rPr>
      </w:pPr>
    </w:p>
    <w:p w14:paraId="0A679D55"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En el caso del Juzgado Agrario de Santa Cruz, se presenta la menor cantidad de circulante en etapa de ejecución con un 0,4%, lo que es un dato relevante para la </w:t>
      </w:r>
      <w:r w:rsidRPr="00055D4B">
        <w:rPr>
          <w:rFonts w:ascii="Book Antiqua" w:hAnsi="Book Antiqua"/>
          <w:sz w:val="22"/>
          <w:szCs w:val="22"/>
        </w:rPr>
        <w:lastRenderedPageBreak/>
        <w:t xml:space="preserve">definición de estrategias de trabajo para encaminar los procesos a llegar a dicha fase. Las acciones que se realicen en este Despacho deben ir enfocados en aumentar y controlar la tramitación de los expedientes. </w:t>
      </w:r>
    </w:p>
    <w:p w14:paraId="440B6F9D" w14:textId="77777777" w:rsidR="001341EC" w:rsidRPr="00055D4B" w:rsidRDefault="001341EC" w:rsidP="001341EC">
      <w:pPr>
        <w:rPr>
          <w:rFonts w:ascii="Book Antiqua" w:hAnsi="Book Antiqua"/>
          <w:sz w:val="22"/>
          <w:szCs w:val="22"/>
          <w:highlight w:val="yellow"/>
          <w:lang w:eastAsia="en-US"/>
        </w:rPr>
      </w:pPr>
    </w:p>
    <w:p w14:paraId="05C5BA8C"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Los datos mostrados anteriormente, recalcan la necesidad de que los planes de descongestionamiento que se realicen en materia Agraria deben enfocarse en, atacar el circulante de forma que este inicie a moverse de forma más rápida a través de las distintas fases del proceso para llegar a fase de juicio y ejecución.  Lo anterior es un punto relevante para el Centro de Apoyo, Coordinación y Mejoramiento de la Función Jurisdiccional, para que ampl</w:t>
      </w:r>
      <w:r w:rsidR="009471FA">
        <w:rPr>
          <w:rFonts w:ascii="Book Antiqua" w:hAnsi="Book Antiqua"/>
          <w:sz w:val="22"/>
          <w:szCs w:val="22"/>
        </w:rPr>
        <w:t>íe</w:t>
      </w:r>
      <w:r w:rsidRPr="00055D4B">
        <w:rPr>
          <w:rFonts w:ascii="Book Antiqua" w:hAnsi="Book Antiqua"/>
          <w:sz w:val="22"/>
          <w:szCs w:val="22"/>
        </w:rPr>
        <w:t xml:space="preserve"> los planes que realiza en reducción del pendiente de fallo con apoyo en el trámite. </w:t>
      </w:r>
    </w:p>
    <w:p w14:paraId="0D923E8A" w14:textId="77777777" w:rsidR="001341EC" w:rsidRPr="00055D4B" w:rsidRDefault="001341EC" w:rsidP="001341EC">
      <w:pPr>
        <w:jc w:val="both"/>
        <w:rPr>
          <w:rFonts w:ascii="Book Antiqua" w:hAnsi="Book Antiqua"/>
          <w:sz w:val="22"/>
          <w:szCs w:val="22"/>
        </w:rPr>
      </w:pPr>
    </w:p>
    <w:p w14:paraId="3E75F805" w14:textId="77777777" w:rsidR="001341EC" w:rsidRPr="00055D4B" w:rsidRDefault="001341EC" w:rsidP="001341EC">
      <w:pPr>
        <w:jc w:val="both"/>
        <w:rPr>
          <w:rFonts w:ascii="Book Antiqua" w:hAnsi="Book Antiqua"/>
          <w:sz w:val="22"/>
          <w:szCs w:val="22"/>
          <w:lang w:eastAsia="en-US"/>
        </w:rPr>
      </w:pPr>
      <w:r w:rsidRPr="00055D4B">
        <w:rPr>
          <w:rFonts w:ascii="Book Antiqua" w:hAnsi="Book Antiqua"/>
          <w:sz w:val="22"/>
          <w:szCs w:val="22"/>
          <w:lang w:eastAsia="en-US"/>
        </w:rPr>
        <w:t xml:space="preserve">Actualmente el Centro de Apoyo, Coordinación y Mejoramiento de la Función Jurisdiccional, cuenta con dos personas juzgadoras que están realizando trabajos de descongestionamiento en los despachos identificados como los más críticos, como es el caso del Juzgado Agrario del II Circuito Judicial de San José y Upala. </w:t>
      </w:r>
    </w:p>
    <w:p w14:paraId="4EB8A105" w14:textId="77777777" w:rsidR="001341EC" w:rsidRPr="00055D4B" w:rsidRDefault="001341EC" w:rsidP="001341EC">
      <w:pPr>
        <w:jc w:val="both"/>
        <w:rPr>
          <w:rFonts w:ascii="Book Antiqua" w:hAnsi="Book Antiqua"/>
          <w:sz w:val="22"/>
          <w:szCs w:val="22"/>
          <w:lang w:eastAsia="en-US"/>
        </w:rPr>
      </w:pPr>
    </w:p>
    <w:p w14:paraId="1C06286A" w14:textId="77777777" w:rsidR="001341EC" w:rsidRPr="00055D4B" w:rsidRDefault="001341EC" w:rsidP="001341EC">
      <w:pPr>
        <w:jc w:val="both"/>
        <w:rPr>
          <w:rFonts w:ascii="Book Antiqua" w:hAnsi="Book Antiqua"/>
          <w:sz w:val="22"/>
          <w:szCs w:val="22"/>
          <w:lang w:eastAsia="en-US"/>
        </w:rPr>
      </w:pPr>
      <w:r w:rsidRPr="00055D4B">
        <w:rPr>
          <w:rFonts w:ascii="Book Antiqua" w:hAnsi="Book Antiqua"/>
          <w:sz w:val="22"/>
          <w:szCs w:val="22"/>
          <w:lang w:eastAsia="en-US"/>
        </w:rPr>
        <w:t>En el caso de Liberia se tiene un recurso adicional para colaborar con el circulante, desde enero del 2019, por lo que por el momento no se brindará ayuda. En el anexo 8</w:t>
      </w:r>
      <w:r w:rsidRPr="00055D4B">
        <w:rPr>
          <w:rFonts w:ascii="Book Antiqua" w:hAnsi="Book Antiqua"/>
          <w:sz w:val="22"/>
          <w:szCs w:val="22"/>
        </w:rPr>
        <w:t xml:space="preserve"> </w:t>
      </w:r>
      <w:r w:rsidRPr="00055D4B">
        <w:rPr>
          <w:rFonts w:ascii="Book Antiqua" w:hAnsi="Book Antiqua"/>
          <w:i/>
          <w:sz w:val="22"/>
          <w:szCs w:val="22"/>
        </w:rPr>
        <w:t>Minuta sesión Plan de Descongestionamiento 2019</w:t>
      </w:r>
      <w:r w:rsidRPr="00055D4B">
        <w:rPr>
          <w:rFonts w:ascii="Book Antiqua" w:hAnsi="Book Antiqua"/>
          <w:sz w:val="22"/>
          <w:szCs w:val="22"/>
        </w:rPr>
        <w:t xml:space="preserve"> </w:t>
      </w:r>
      <w:r w:rsidRPr="00055D4B">
        <w:rPr>
          <w:rFonts w:ascii="Book Antiqua" w:hAnsi="Book Antiqua"/>
          <w:sz w:val="22"/>
          <w:szCs w:val="22"/>
          <w:lang w:eastAsia="en-US"/>
        </w:rPr>
        <w:t xml:space="preserve">se muestra a detalle el plan que actualmente se está ejecutando. </w:t>
      </w:r>
    </w:p>
    <w:p w14:paraId="33493E0E" w14:textId="77777777" w:rsidR="001341EC" w:rsidRPr="00055D4B" w:rsidRDefault="001341EC" w:rsidP="001341EC">
      <w:pPr>
        <w:jc w:val="both"/>
        <w:rPr>
          <w:rFonts w:ascii="Book Antiqua" w:hAnsi="Book Antiqua"/>
          <w:sz w:val="22"/>
          <w:szCs w:val="22"/>
          <w:lang w:eastAsia="en-US"/>
        </w:rPr>
      </w:pPr>
    </w:p>
    <w:p w14:paraId="1BDE66DF" w14:textId="77777777" w:rsidR="001341EC" w:rsidRPr="00055D4B" w:rsidRDefault="001341EC" w:rsidP="001341EC">
      <w:pPr>
        <w:jc w:val="both"/>
        <w:rPr>
          <w:rFonts w:ascii="Book Antiqua" w:hAnsi="Book Antiqua"/>
          <w:sz w:val="22"/>
          <w:szCs w:val="22"/>
          <w:lang w:eastAsia="en-US"/>
        </w:rPr>
      </w:pPr>
      <w:r w:rsidRPr="00055D4B">
        <w:rPr>
          <w:rFonts w:ascii="Book Antiqua" w:hAnsi="Book Antiqua"/>
          <w:sz w:val="22"/>
          <w:szCs w:val="22"/>
          <w:lang w:eastAsia="en-US"/>
        </w:rPr>
        <w:t xml:space="preserve">Con respecto a la situación del Juzgado Agrario del II Circuito Judicial de Guanacaste (Santa Cruz), el Centro de Apoyo, Coordinación y Mejoramiento de la Función Jurisdiccional, tiene el estimado de contar con una plaza de persona juzgadora extra la cual está pronto a nombrar por un período de dos meses prorrogable, según las necesidades que detecte dicho Centro a nivel nacional. Esta plaza se encargará del apoyo del trámite, adicional a lo que se tramita por las Juezas o Jueces ordinarias, con el objetivo de colaborar con el descongestionamiento de este punto crítico del Despacho y lograr movilizar el circulante a fases avanzadas de proceso. </w:t>
      </w:r>
      <w:r w:rsidRPr="00055D4B">
        <w:rPr>
          <w:rFonts w:ascii="Book Antiqua" w:hAnsi="Book Antiqua"/>
          <w:b/>
          <w:i/>
          <w:sz w:val="22"/>
          <w:szCs w:val="22"/>
          <w:lang w:eastAsia="en-US"/>
        </w:rPr>
        <w:t xml:space="preserve">(ver anexo 9, </w:t>
      </w:r>
      <w:r w:rsidRPr="00055D4B">
        <w:rPr>
          <w:rFonts w:ascii="Book Antiqua" w:hAnsi="Book Antiqua"/>
          <w:b/>
          <w:i/>
          <w:sz w:val="22"/>
          <w:szCs w:val="22"/>
        </w:rPr>
        <w:t>Correo Consulta sobre plaza agraria para el plan de descongestionamiento</w:t>
      </w:r>
      <w:r w:rsidRPr="00055D4B">
        <w:rPr>
          <w:rFonts w:ascii="Book Antiqua" w:hAnsi="Book Antiqua"/>
          <w:sz w:val="22"/>
          <w:szCs w:val="22"/>
          <w:lang w:eastAsia="en-US"/>
        </w:rPr>
        <w:t xml:space="preserve">). </w:t>
      </w:r>
    </w:p>
    <w:p w14:paraId="3E1D2CF0" w14:textId="77777777" w:rsidR="001341EC" w:rsidRPr="00055D4B" w:rsidRDefault="001341EC" w:rsidP="001341EC">
      <w:pPr>
        <w:jc w:val="both"/>
        <w:rPr>
          <w:rFonts w:ascii="Book Antiqua" w:hAnsi="Book Antiqua"/>
          <w:sz w:val="22"/>
          <w:szCs w:val="22"/>
          <w:lang w:eastAsia="en-US"/>
        </w:rPr>
      </w:pPr>
    </w:p>
    <w:p w14:paraId="0051C84F" w14:textId="77777777" w:rsidR="001341EC" w:rsidRPr="00055D4B" w:rsidRDefault="001341EC" w:rsidP="001341EC">
      <w:pPr>
        <w:jc w:val="both"/>
        <w:rPr>
          <w:rFonts w:ascii="Book Antiqua" w:hAnsi="Book Antiqua"/>
          <w:sz w:val="22"/>
          <w:szCs w:val="22"/>
        </w:rPr>
      </w:pPr>
      <w:r w:rsidRPr="008E585C">
        <w:rPr>
          <w:rFonts w:ascii="Book Antiqua" w:hAnsi="Book Antiqua"/>
          <w:sz w:val="22"/>
          <w:szCs w:val="22"/>
        </w:rPr>
        <w:t>C</w:t>
      </w:r>
      <w:r w:rsidRPr="00055D4B">
        <w:rPr>
          <w:rFonts w:ascii="Book Antiqua" w:hAnsi="Book Antiqua"/>
          <w:sz w:val="22"/>
          <w:szCs w:val="22"/>
        </w:rPr>
        <w:t xml:space="preserve">omo parte del ejercicio para la atención de la entrada de asuntos a nivel nacional, las plazas de las estructuras ordinarias, colaboraran con la entrada de asuntos (tramite, juicio, sentencias, </w:t>
      </w:r>
      <w:r w:rsidR="00817898" w:rsidRPr="00055D4B">
        <w:rPr>
          <w:rFonts w:ascii="Book Antiqua" w:hAnsi="Book Antiqua"/>
          <w:sz w:val="22"/>
          <w:szCs w:val="22"/>
        </w:rPr>
        <w:t>etc.</w:t>
      </w:r>
      <w:r w:rsidRPr="00055D4B">
        <w:rPr>
          <w:rFonts w:ascii="Book Antiqua" w:hAnsi="Book Antiqua"/>
          <w:sz w:val="22"/>
          <w:szCs w:val="22"/>
        </w:rPr>
        <w:t>, ya con esto se ajusta a su capacidad operativa) y las plazas de centro colaboran con los circulantes tomando en cuenta las variables indicadas en cuanto a trámite, pendiente de fallo y circulante por fase.</w:t>
      </w:r>
    </w:p>
    <w:p w14:paraId="5C7E3F5C" w14:textId="77777777" w:rsidR="001341EC" w:rsidRDefault="001341EC" w:rsidP="001341EC">
      <w:pPr>
        <w:jc w:val="both"/>
        <w:rPr>
          <w:rFonts w:ascii="Book Antiqua" w:hAnsi="Book Antiqua"/>
          <w:sz w:val="22"/>
          <w:szCs w:val="22"/>
        </w:rPr>
      </w:pPr>
    </w:p>
    <w:p w14:paraId="7251A342" w14:textId="77777777" w:rsidR="001341EC" w:rsidRPr="00055D4B" w:rsidRDefault="001341EC" w:rsidP="001341EC">
      <w:pPr>
        <w:jc w:val="both"/>
        <w:rPr>
          <w:rFonts w:ascii="Book Antiqua" w:hAnsi="Book Antiqua"/>
          <w:sz w:val="22"/>
          <w:szCs w:val="22"/>
        </w:rPr>
      </w:pPr>
    </w:p>
    <w:p w14:paraId="40F10659" w14:textId="77777777" w:rsidR="001341EC" w:rsidRPr="007A4037" w:rsidRDefault="001341EC" w:rsidP="00165AA6">
      <w:pPr>
        <w:pStyle w:val="Ttulo1"/>
        <w:keepLines/>
        <w:numPr>
          <w:ilvl w:val="0"/>
          <w:numId w:val="42"/>
        </w:numPr>
        <w:pBdr>
          <w:top w:val="single" w:sz="4" w:space="1" w:color="4F81BD"/>
          <w:left w:val="single" w:sz="4" w:space="4" w:color="4F81BD"/>
          <w:bottom w:val="single" w:sz="4" w:space="1" w:color="4F81BD"/>
          <w:right w:val="single" w:sz="4" w:space="4" w:color="4F81BD"/>
        </w:pBdr>
        <w:shd w:val="clear" w:color="auto" w:fill="B8CCE4"/>
        <w:tabs>
          <w:tab w:val="clear" w:pos="4680"/>
        </w:tabs>
        <w:spacing w:before="240"/>
        <w:ind w:right="191"/>
        <w:rPr>
          <w:rStyle w:val="nfasis"/>
          <w:rFonts w:ascii="Book Antiqua" w:hAnsi="Book Antiqua"/>
          <w:i/>
        </w:rPr>
      </w:pPr>
      <w:r w:rsidRPr="007A4037">
        <w:rPr>
          <w:rStyle w:val="nfasis"/>
          <w:rFonts w:ascii="Book Antiqua" w:hAnsi="Book Antiqua"/>
          <w:i/>
        </w:rPr>
        <w:t xml:space="preserve">ELEMENTOS RESOLUTIVOS </w:t>
      </w:r>
    </w:p>
    <w:p w14:paraId="798D6968" w14:textId="77777777" w:rsidR="001341EC" w:rsidRPr="00055D4B" w:rsidRDefault="001341EC" w:rsidP="001341EC">
      <w:pPr>
        <w:rPr>
          <w:rFonts w:ascii="Book Antiqua" w:hAnsi="Book Antiqua"/>
          <w:sz w:val="22"/>
          <w:szCs w:val="22"/>
        </w:rPr>
      </w:pPr>
    </w:p>
    <w:p w14:paraId="4111BC42" w14:textId="77777777" w:rsidR="001341EC" w:rsidRPr="00055D4B" w:rsidRDefault="001341EC" w:rsidP="001341EC">
      <w:pPr>
        <w:pStyle w:val="Prrafodelista"/>
        <w:numPr>
          <w:ilvl w:val="0"/>
          <w:numId w:val="30"/>
        </w:numPr>
        <w:spacing w:after="240"/>
        <w:jc w:val="both"/>
        <w:rPr>
          <w:rFonts w:ascii="Book Antiqua" w:hAnsi="Book Antiqua"/>
          <w:sz w:val="22"/>
          <w:szCs w:val="22"/>
          <w:lang w:val="es-ES_tradnl"/>
        </w:rPr>
      </w:pPr>
      <w:r w:rsidRPr="00055D4B">
        <w:rPr>
          <w:rFonts w:ascii="Book Antiqua" w:hAnsi="Book Antiqua"/>
          <w:sz w:val="22"/>
          <w:szCs w:val="22"/>
          <w:lang w:val="es-ES_tradnl"/>
        </w:rPr>
        <w:t>Creación del “Código Procesal Agrario”, el cual fue aprobado bajo Decreto Legislativo 9609 el 27 de febrero del 2019, el cual entra en vigencia un año después de su publicación en el Diario Oficial La Gaceta.</w:t>
      </w:r>
    </w:p>
    <w:p w14:paraId="60700505" w14:textId="77777777" w:rsidR="001341EC" w:rsidRPr="00055D4B" w:rsidRDefault="001341EC" w:rsidP="001341EC">
      <w:pPr>
        <w:pStyle w:val="Prrafodelista"/>
        <w:numPr>
          <w:ilvl w:val="0"/>
          <w:numId w:val="30"/>
        </w:numPr>
        <w:spacing w:after="240"/>
        <w:jc w:val="both"/>
        <w:rPr>
          <w:rFonts w:ascii="Book Antiqua" w:hAnsi="Book Antiqua"/>
          <w:sz w:val="22"/>
          <w:szCs w:val="22"/>
          <w:lang w:val="es-ES_tradnl"/>
        </w:rPr>
      </w:pPr>
      <w:r w:rsidRPr="00055D4B">
        <w:rPr>
          <w:rFonts w:ascii="Book Antiqua" w:hAnsi="Book Antiqua"/>
          <w:sz w:val="22"/>
          <w:szCs w:val="22"/>
          <w:lang w:val="es-CR"/>
        </w:rPr>
        <w:lastRenderedPageBreak/>
        <w:t>Surge la necesidad de analizar los posibles cambios que implicaría a nivel de estructura organizativa de los despachos y oficinas del Poder Judicial, así como los costos presupuestarios en 2020para su debida implementación</w:t>
      </w:r>
    </w:p>
    <w:p w14:paraId="447D70E0" w14:textId="77777777" w:rsidR="001341EC" w:rsidRPr="00055D4B" w:rsidRDefault="001341EC" w:rsidP="001341EC">
      <w:pPr>
        <w:pStyle w:val="Prrafodelista"/>
        <w:numPr>
          <w:ilvl w:val="0"/>
          <w:numId w:val="30"/>
        </w:numPr>
        <w:spacing w:after="240"/>
        <w:jc w:val="both"/>
        <w:rPr>
          <w:rFonts w:ascii="Book Antiqua" w:hAnsi="Book Antiqua"/>
          <w:sz w:val="22"/>
          <w:szCs w:val="22"/>
          <w:lang w:val="es-CR"/>
        </w:rPr>
      </w:pPr>
      <w:r w:rsidRPr="00055D4B">
        <w:rPr>
          <w:rFonts w:ascii="Book Antiqua" w:hAnsi="Book Antiqua"/>
          <w:sz w:val="22"/>
          <w:szCs w:val="22"/>
          <w:lang w:val="es-CR"/>
        </w:rPr>
        <w:t>Para la confección del presente informe se utilizó como documento de referencia, el informe 820-PLA-2018 y las consultas realizadas a la Comisión de la Jurisdicción agraria, Escuela Judicial, Dirección de Tecnología y Dirección Ejecutiva.</w:t>
      </w:r>
    </w:p>
    <w:p w14:paraId="1B6015F9" w14:textId="77777777" w:rsidR="001341EC" w:rsidRPr="00055D4B" w:rsidRDefault="001341EC" w:rsidP="001341EC">
      <w:pPr>
        <w:pStyle w:val="Prrafodelista"/>
        <w:numPr>
          <w:ilvl w:val="0"/>
          <w:numId w:val="30"/>
        </w:numPr>
        <w:spacing w:after="240"/>
        <w:jc w:val="both"/>
        <w:rPr>
          <w:rFonts w:ascii="Book Antiqua" w:hAnsi="Book Antiqua"/>
          <w:sz w:val="22"/>
          <w:szCs w:val="22"/>
          <w:lang w:val="es-ES_tradnl"/>
        </w:rPr>
      </w:pPr>
      <w:r w:rsidRPr="00055D4B">
        <w:rPr>
          <w:rFonts w:ascii="Book Antiqua" w:hAnsi="Book Antiqua"/>
          <w:sz w:val="22"/>
          <w:szCs w:val="22"/>
          <w:lang w:val="es-ES_tradnl"/>
        </w:rPr>
        <w:t xml:space="preserve">La Jurisdicción Agraria está conformada por una cantidad de despachos jurisdiccionales, inferior a otras materias. Además, la mayor proporción de ellos están especializados (82%), quedando en una condición mixta tres juzgados (en las zonas de Buenos Aires, Upala y Turrialba) y existe un único Tribunal que tiene la competencia en segunda instancia a nivel nacional, </w:t>
      </w:r>
      <w:r w:rsidRPr="00055D4B">
        <w:rPr>
          <w:rFonts w:ascii="Book Antiqua" w:hAnsi="Book Antiqua"/>
          <w:sz w:val="22"/>
          <w:szCs w:val="22"/>
          <w:lang w:val="es-CR"/>
        </w:rPr>
        <w:t>además de que la última instancia en materia agraria le corresponde a la Sala Primera</w:t>
      </w:r>
      <w:r w:rsidRPr="00055D4B">
        <w:rPr>
          <w:rFonts w:ascii="Book Antiqua" w:hAnsi="Book Antiqua"/>
          <w:sz w:val="22"/>
          <w:szCs w:val="22"/>
          <w:lang w:val="es-ES_tradnl"/>
        </w:rPr>
        <w:t>.</w:t>
      </w:r>
    </w:p>
    <w:p w14:paraId="5037A7B4"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ES_tradnl"/>
        </w:rPr>
        <w:t>Actualmente la Jurisdicción Agraria ha implementado la herramienta del Escritorio Virtual en todos los despachos judiciales a saber, dando cumplimiento al uso del expediente electrónico y a la Política de Cero Papel.</w:t>
      </w:r>
    </w:p>
    <w:p w14:paraId="022991B7"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CR"/>
        </w:rPr>
        <w:t>La Defensa Pública, se determina que, a la fecha, la Defensa Pública cuenta con 16 plazas de Defensor Público en materia Agraria, distribuidas en 14 Circuitos Judiciales del país</w:t>
      </w:r>
    </w:p>
    <w:p w14:paraId="0FC7CD7C"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ES_tradnl"/>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p>
    <w:p w14:paraId="7F22C3C5"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ES_tradnl"/>
        </w:rPr>
        <w:t xml:space="preserve">Las plazas existentes de la Defensa Pública (ordinarias y extraordinarias)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 para lo que se han diseñado roles para la atención de casos en los que existan intereses contrapuestos, tal y como se menciona en el apartado </w:t>
      </w:r>
      <w:r w:rsidRPr="00055D4B">
        <w:rPr>
          <w:rFonts w:ascii="Book Antiqua" w:hAnsi="Book Antiqua"/>
          <w:b/>
          <w:sz w:val="22"/>
          <w:szCs w:val="22"/>
          <w:lang w:val="es-ES_tradnl"/>
        </w:rPr>
        <w:t>3.2</w:t>
      </w:r>
      <w:r w:rsidRPr="00055D4B">
        <w:rPr>
          <w:rFonts w:ascii="Book Antiqua" w:hAnsi="Book Antiqua"/>
          <w:sz w:val="22"/>
          <w:szCs w:val="22"/>
          <w:lang w:val="es-ES_tradnl"/>
        </w:rPr>
        <w:t>.</w:t>
      </w:r>
    </w:p>
    <w:p w14:paraId="73BD5679"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ES_tradnl"/>
        </w:rPr>
        <w:t xml:space="preserve">La Defensa Pública manifiesta que tomando como referencia la experiencia y los procedimientos y labores existentes en la Defensa Pública y en la Administración de la Defensa Pública en cobro de honorarios en materia penal, las costas procesales que genera el servicio de los Abogados de Asistencia Legal (Laboral), indican que efectivamente para el manejo, registro, control contable, presupuestario y ejecución de los recursos que genere el Código Procesal Agrario, </w:t>
      </w:r>
      <w:r w:rsidRPr="00055D4B">
        <w:rPr>
          <w:rFonts w:ascii="Book Antiqua" w:hAnsi="Book Antiqua"/>
          <w:sz w:val="22"/>
          <w:szCs w:val="22"/>
          <w:u w:val="single"/>
          <w:lang w:val="es-ES_tradnl"/>
        </w:rPr>
        <w:t>es necesario el refuerzo para la Administración de la Defensa Pública de un puesto de Técnico Administrativo 2</w:t>
      </w:r>
      <w:r w:rsidRPr="00055D4B">
        <w:rPr>
          <w:rFonts w:ascii="Book Antiqua" w:hAnsi="Book Antiqua"/>
          <w:sz w:val="22"/>
          <w:szCs w:val="22"/>
          <w:lang w:val="es-ES_tradnl"/>
        </w:rPr>
        <w:t>.</w:t>
      </w:r>
    </w:p>
    <w:p w14:paraId="41AB4E2D" w14:textId="77777777" w:rsidR="001341EC" w:rsidRPr="00055D4B" w:rsidRDefault="001341EC" w:rsidP="001341EC">
      <w:pPr>
        <w:pStyle w:val="Prrafodelista"/>
        <w:widowControl w:val="0"/>
        <w:numPr>
          <w:ilvl w:val="0"/>
          <w:numId w:val="30"/>
        </w:numPr>
        <w:spacing w:after="240"/>
        <w:ind w:left="426"/>
        <w:jc w:val="both"/>
        <w:rPr>
          <w:rFonts w:ascii="Book Antiqua" w:hAnsi="Book Antiqua"/>
          <w:b/>
          <w:bCs/>
          <w:sz w:val="22"/>
          <w:szCs w:val="22"/>
        </w:rPr>
      </w:pPr>
      <w:r w:rsidRPr="00055D4B">
        <w:rPr>
          <w:rFonts w:ascii="Book Antiqua" w:hAnsi="Book Antiqua"/>
          <w:sz w:val="22"/>
          <w:szCs w:val="22"/>
          <w:lang w:val="es-CR"/>
        </w:rPr>
        <w:t xml:space="preserve">Los artículos 9 y 13 del proyecto incorporan las figuras de conciliadores y ejecutores para atender la jurisdicción agraria en forma prioritaria, así como apoyar en otras funciones según lo permitan las cargas de trabajo. Se debe de </w:t>
      </w:r>
      <w:r w:rsidRPr="00055D4B">
        <w:rPr>
          <w:rFonts w:ascii="Book Antiqua" w:hAnsi="Book Antiqua"/>
          <w:sz w:val="22"/>
          <w:szCs w:val="22"/>
          <w:lang w:val="es-CR"/>
        </w:rPr>
        <w:lastRenderedPageBreak/>
        <w:t>indicar que estas funciones se mantienen en los puestos ya existentes de Jueces y Juezas Agrarias por lo que no es necesaria la creación de más plazas para estas funciones especificas</w:t>
      </w:r>
    </w:p>
    <w:p w14:paraId="63E2F5AD" w14:textId="77777777" w:rsidR="001341EC" w:rsidRPr="00055D4B" w:rsidRDefault="001341EC" w:rsidP="001341EC">
      <w:pPr>
        <w:pStyle w:val="Prrafodelista"/>
        <w:widowControl w:val="0"/>
        <w:numPr>
          <w:ilvl w:val="0"/>
          <w:numId w:val="30"/>
        </w:numPr>
        <w:spacing w:after="240"/>
        <w:ind w:left="426"/>
        <w:jc w:val="both"/>
        <w:rPr>
          <w:rFonts w:ascii="Book Antiqua" w:hAnsi="Book Antiqua"/>
          <w:b/>
          <w:bCs/>
          <w:sz w:val="22"/>
          <w:szCs w:val="22"/>
        </w:rPr>
      </w:pPr>
      <w:r w:rsidRPr="00055D4B">
        <w:rPr>
          <w:rFonts w:ascii="Book Antiqua" w:hAnsi="Book Antiqua"/>
          <w:sz w:val="22"/>
          <w:szCs w:val="22"/>
        </w:rPr>
        <w:t>Según el criterio de la Comisión del Proyecto de Modernización de la Jurisdicción Agraria, emitido en el 2018 como respuesta al oficio 767-PLA-2018 del 6 de julio de 2018, la atención especializada en conciliación y ejecución, que se menciona en la Ley, en caso de ser necesario, recaerá en las dos plazas de personas juzgadoras supernumerarias agrarias que pertenecen al Centro de Apoyo, Coordinación y Mejoramiento de la Función Jurisdiccional</w:t>
      </w:r>
    </w:p>
    <w:p w14:paraId="14F7EC2E" w14:textId="77777777" w:rsidR="001341EC" w:rsidRPr="00055D4B" w:rsidRDefault="001341EC" w:rsidP="001341EC">
      <w:pPr>
        <w:pStyle w:val="Prrafodelista"/>
        <w:widowControl w:val="0"/>
        <w:numPr>
          <w:ilvl w:val="0"/>
          <w:numId w:val="30"/>
        </w:numPr>
        <w:spacing w:after="240"/>
        <w:ind w:left="426"/>
        <w:jc w:val="both"/>
        <w:rPr>
          <w:rFonts w:ascii="Book Antiqua" w:hAnsi="Book Antiqua"/>
          <w:b/>
          <w:bCs/>
          <w:sz w:val="22"/>
          <w:szCs w:val="22"/>
        </w:rPr>
      </w:pPr>
      <w:r w:rsidRPr="00055D4B">
        <w:rPr>
          <w:rFonts w:ascii="Book Antiqua" w:hAnsi="Book Antiqua"/>
          <w:sz w:val="22"/>
          <w:szCs w:val="22"/>
        </w:rPr>
        <w:t>El Transitorio II establece un plazo de seis meses, a partir de la entrada en vigencia del Código Procesal Agrario, para designar un equipo de personas juzgadoras conciliadoras especialistas en Derecho Agrario y Ambiental. Se debe de indicar que estas funciones se mantienen en los puestos ya existentes de Jueces y Juezas Agrarias por lo que no es necesaria la creación de más plazas,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p>
    <w:p w14:paraId="062C5DA2" w14:textId="77777777" w:rsidR="001341EC" w:rsidRPr="00055D4B" w:rsidRDefault="001341EC" w:rsidP="001341EC">
      <w:pPr>
        <w:pStyle w:val="Prrafodelista"/>
        <w:widowControl w:val="0"/>
        <w:numPr>
          <w:ilvl w:val="0"/>
          <w:numId w:val="30"/>
        </w:numPr>
        <w:spacing w:after="240"/>
        <w:ind w:left="426"/>
        <w:jc w:val="both"/>
        <w:rPr>
          <w:rFonts w:ascii="Book Antiqua" w:hAnsi="Book Antiqua"/>
          <w:b/>
          <w:bCs/>
          <w:sz w:val="22"/>
          <w:szCs w:val="22"/>
        </w:rPr>
      </w:pPr>
      <w:r w:rsidRPr="00055D4B">
        <w:rPr>
          <w:rFonts w:ascii="Book Antiqua" w:hAnsi="Book Antiqua"/>
          <w:sz w:val="22"/>
          <w:szCs w:val="22"/>
          <w:lang w:val="es-CR"/>
        </w:rPr>
        <w:t>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w:t>
      </w:r>
    </w:p>
    <w:p w14:paraId="6F10B6D0"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rPr>
      </w:pPr>
      <w:r w:rsidRPr="00055D4B">
        <w:rPr>
          <w:rFonts w:ascii="Book Antiqua" w:hAnsi="Book Antiqua"/>
          <w:sz w:val="22"/>
          <w:szCs w:val="22"/>
        </w:rPr>
        <w:t xml:space="preserve">Debido a que las audiencias se realizan fuera del despacho, será necesario que las Juezas y los Jueces Agrarios, dispongan de equipos de cómputo y sistemas de grabación móviles para trasladarlos al lugar del conflicto, de conformidad con el principio de itinerancia que rige esta materia y </w:t>
      </w:r>
      <w:r w:rsidRPr="00055D4B">
        <w:rPr>
          <w:rFonts w:ascii="Book Antiqua" w:hAnsi="Book Antiqua"/>
          <w:sz w:val="22"/>
          <w:szCs w:val="22"/>
          <w:lang w:val="es-CR"/>
        </w:rPr>
        <w:t>el artículo 180 se refiere al deber de registrar las audiencias en soportes aptos para la grabación y la reproducción de audio y video, o al menos en audio</w:t>
      </w:r>
      <w:r w:rsidRPr="00055D4B">
        <w:rPr>
          <w:rFonts w:ascii="Book Antiqua" w:hAnsi="Book Antiqua"/>
          <w:sz w:val="22"/>
          <w:szCs w:val="22"/>
        </w:rPr>
        <w:t xml:space="preserve">.  Estos equipos deben tener la capacidad de discernir o aislar el sonido ambiente. </w:t>
      </w:r>
    </w:p>
    <w:p w14:paraId="6F4234C8"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rPr>
      </w:pPr>
      <w:r w:rsidRPr="00055D4B">
        <w:rPr>
          <w:rFonts w:ascii="Book Antiqua" w:hAnsi="Book Antiqua"/>
          <w:sz w:val="22"/>
          <w:szCs w:val="22"/>
        </w:rPr>
        <w:t>Los traslados a las fincas requieren la disponibilidad de vehículos institucionales, siendo que este servicio lo brindan las Administraciones Regionales una o dos veces por semana, aspecto que limita la atención oportuna de las audiencias señaladas en agenda.</w:t>
      </w:r>
    </w:p>
    <w:p w14:paraId="59EFDA29" w14:textId="77777777" w:rsidR="001341EC" w:rsidRPr="00055D4B" w:rsidRDefault="001341EC" w:rsidP="001341EC">
      <w:pPr>
        <w:pStyle w:val="Prrafodelista"/>
        <w:numPr>
          <w:ilvl w:val="0"/>
          <w:numId w:val="30"/>
        </w:numPr>
        <w:jc w:val="both"/>
        <w:rPr>
          <w:rFonts w:ascii="Book Antiqua" w:hAnsi="Book Antiqua"/>
          <w:sz w:val="22"/>
          <w:szCs w:val="22"/>
          <w:lang w:val="es-CR"/>
        </w:rPr>
      </w:pPr>
      <w:r w:rsidRPr="00055D4B">
        <w:rPr>
          <w:rFonts w:ascii="Book Antiqua" w:hAnsi="Book Antiqua"/>
          <w:sz w:val="22"/>
          <w:szCs w:val="22"/>
          <w:lang w:val="es-CR"/>
        </w:rPr>
        <w:t>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w:t>
      </w:r>
    </w:p>
    <w:p w14:paraId="61913A53" w14:textId="77777777" w:rsidR="001341EC" w:rsidRPr="00055D4B" w:rsidRDefault="001341EC" w:rsidP="001341EC">
      <w:pPr>
        <w:pStyle w:val="Prrafodelista"/>
        <w:ind w:left="360"/>
        <w:jc w:val="both"/>
        <w:rPr>
          <w:rFonts w:ascii="Book Antiqua" w:hAnsi="Book Antiqua"/>
          <w:sz w:val="22"/>
          <w:szCs w:val="22"/>
          <w:lang w:val="es-CR"/>
        </w:rPr>
      </w:pPr>
    </w:p>
    <w:p w14:paraId="1B775D6B" w14:textId="77777777" w:rsidR="001341EC" w:rsidRPr="0087695C" w:rsidRDefault="001341EC" w:rsidP="001341EC">
      <w:pPr>
        <w:pStyle w:val="Prrafodelista"/>
        <w:numPr>
          <w:ilvl w:val="0"/>
          <w:numId w:val="30"/>
        </w:numPr>
        <w:jc w:val="both"/>
        <w:rPr>
          <w:rFonts w:ascii="Book Antiqua" w:hAnsi="Book Antiqua"/>
          <w:sz w:val="22"/>
          <w:szCs w:val="22"/>
          <w:lang w:val="es-CR"/>
        </w:rPr>
      </w:pPr>
      <w:r w:rsidRPr="0087695C">
        <w:rPr>
          <w:rFonts w:ascii="Book Antiqua" w:hAnsi="Book Antiqua"/>
          <w:sz w:val="22"/>
          <w:szCs w:val="22"/>
          <w:lang w:val="es-ES_tradnl"/>
        </w:rPr>
        <w:t xml:space="preserve">Ante ello, se propone </w:t>
      </w:r>
      <w:r w:rsidRPr="0087695C">
        <w:rPr>
          <w:rFonts w:ascii="Book Antiqua" w:hAnsi="Book Antiqua"/>
          <w:sz w:val="22"/>
          <w:szCs w:val="22"/>
          <w:lang w:val="es-CR"/>
        </w:rPr>
        <w:t>reforzar con vehículos y choferes a las siguientes Administraciones Regionales: San Ramón, Cartago, Goicoechea, Pérez Zeledón, Puntarenas y San Carlos. En el caso de Turrialba y Limón no se requiere el vehículo, si los costos asociados a mantenimiento de un vehículo y su chofer.</w:t>
      </w:r>
    </w:p>
    <w:p w14:paraId="4D478E7D" w14:textId="77777777" w:rsidR="001341EC" w:rsidRPr="00055D4B" w:rsidRDefault="001341EC" w:rsidP="001341EC">
      <w:pPr>
        <w:pStyle w:val="Prrafodelista"/>
        <w:rPr>
          <w:rFonts w:ascii="Book Antiqua" w:hAnsi="Book Antiqua"/>
          <w:sz w:val="22"/>
          <w:szCs w:val="22"/>
          <w:lang w:val="es-ES_tradnl"/>
        </w:rPr>
      </w:pPr>
    </w:p>
    <w:p w14:paraId="4D32293A" w14:textId="77777777" w:rsidR="001341EC" w:rsidRPr="0016798C" w:rsidRDefault="001341EC" w:rsidP="001341EC">
      <w:pPr>
        <w:pStyle w:val="Prrafodelista"/>
        <w:numPr>
          <w:ilvl w:val="0"/>
          <w:numId w:val="30"/>
        </w:numPr>
        <w:jc w:val="both"/>
        <w:rPr>
          <w:rFonts w:ascii="Book Antiqua" w:hAnsi="Book Antiqua"/>
          <w:sz w:val="22"/>
          <w:szCs w:val="22"/>
          <w:lang w:val="es-CR"/>
        </w:rPr>
      </w:pPr>
      <w:r w:rsidRPr="00055D4B">
        <w:rPr>
          <w:rFonts w:ascii="Book Antiqua" w:hAnsi="Book Antiqua"/>
          <w:sz w:val="22"/>
          <w:szCs w:val="22"/>
          <w:lang w:val="es-ES_tradnl"/>
        </w:rPr>
        <w:t>reforzar con vehículos y choferes a las siguientes Administraciones Regionales: San Ramón, Cartago, Goicoechea, Limón, Turrialba, Pérez Zeledón, Puntarenas y San Carlos. Sin la dotación de estos vehículos no se tendría la capacidad operativa para brindar el servicio requerido por los Juzgados Agrarios, según la compilación de información respecto al servicio de transporte brindado a las funcionarias y los funcionarios que tramitan la materia Agraria en los circuitos judiciales.</w:t>
      </w:r>
    </w:p>
    <w:p w14:paraId="18646B6B" w14:textId="77777777" w:rsidR="001341EC" w:rsidRDefault="001341EC" w:rsidP="001341EC">
      <w:pPr>
        <w:pStyle w:val="Prrafodelista"/>
        <w:rPr>
          <w:rFonts w:ascii="Book Antiqua" w:hAnsi="Book Antiqua"/>
          <w:sz w:val="22"/>
          <w:szCs w:val="22"/>
          <w:lang w:val="es-CR"/>
        </w:rPr>
      </w:pPr>
    </w:p>
    <w:p w14:paraId="5F799713" w14:textId="77777777" w:rsidR="001341EC" w:rsidRPr="00055D4B" w:rsidRDefault="001341EC" w:rsidP="001341EC">
      <w:pPr>
        <w:pStyle w:val="Prrafodelista"/>
        <w:numPr>
          <w:ilvl w:val="0"/>
          <w:numId w:val="30"/>
        </w:numPr>
        <w:jc w:val="both"/>
        <w:rPr>
          <w:rFonts w:ascii="Book Antiqua" w:hAnsi="Book Antiqua"/>
          <w:sz w:val="22"/>
          <w:szCs w:val="22"/>
          <w:lang w:val="es-ES_tradnl"/>
        </w:rPr>
      </w:pPr>
      <w:r w:rsidRPr="00055D4B">
        <w:rPr>
          <w:rFonts w:ascii="Book Antiqua" w:hAnsi="Book Antiqua"/>
          <w:sz w:val="22"/>
          <w:szCs w:val="22"/>
          <w:lang w:val="es-ES_tradnl"/>
        </w:rPr>
        <w:t>Según políticas internas es necesario la creación de reglamentos para la administración de los fondos que ingresaran tanto a la Defensa Pública como a la Jurisdicción Agraria</w:t>
      </w:r>
    </w:p>
    <w:p w14:paraId="56A59E60" w14:textId="77777777" w:rsidR="001341EC" w:rsidRPr="00FE7CB4" w:rsidRDefault="001341EC" w:rsidP="001341EC">
      <w:pPr>
        <w:pStyle w:val="Prrafodelista"/>
        <w:rPr>
          <w:rFonts w:ascii="Book Antiqua" w:hAnsi="Book Antiqua"/>
          <w:sz w:val="22"/>
          <w:szCs w:val="22"/>
          <w:lang w:val="es-ES_tradnl"/>
        </w:rPr>
      </w:pPr>
    </w:p>
    <w:p w14:paraId="2AB9A6FD" w14:textId="77777777" w:rsidR="001341EC" w:rsidRPr="00055D4B" w:rsidRDefault="001341EC" w:rsidP="001341EC">
      <w:pPr>
        <w:pStyle w:val="Prrafodelista"/>
        <w:numPr>
          <w:ilvl w:val="0"/>
          <w:numId w:val="30"/>
        </w:numPr>
        <w:spacing w:after="240"/>
        <w:jc w:val="both"/>
        <w:rPr>
          <w:rFonts w:ascii="Book Antiqua" w:hAnsi="Book Antiqua"/>
          <w:sz w:val="22"/>
          <w:szCs w:val="22"/>
          <w:lang w:val="es-ES_tradnl"/>
        </w:rPr>
      </w:pPr>
      <w:r w:rsidRPr="00055D4B">
        <w:rPr>
          <w:rFonts w:ascii="Book Antiqua" w:hAnsi="Book Antiqua"/>
          <w:sz w:val="22"/>
          <w:szCs w:val="22"/>
          <w:lang w:val="es-ES_tradnl"/>
        </w:rPr>
        <w:t>Es importante indicar que los Juzgados Agrarios y el Tribunal Agrarios ya funcionan de manera virtual, pues a julio de 2017 se produjo el cierre de la brecha digital gracias a la colaboración de las Direcciones de Tecnología de la Información, Planificación y Ejecutiva. De ahí, que los procesos se tramitan, mediante el sistema de expediente electrónico. Por ello, no requiere costos adicionales para la implantación electrónica.</w:t>
      </w:r>
    </w:p>
    <w:p w14:paraId="2F47F0C8" w14:textId="77777777" w:rsidR="001341EC" w:rsidRPr="00055D4B" w:rsidRDefault="001341EC" w:rsidP="001341EC">
      <w:pPr>
        <w:pStyle w:val="Prrafodelista"/>
        <w:numPr>
          <w:ilvl w:val="0"/>
          <w:numId w:val="30"/>
        </w:numPr>
        <w:spacing w:after="240"/>
        <w:ind w:left="426"/>
        <w:rPr>
          <w:rFonts w:ascii="Book Antiqua" w:hAnsi="Book Antiqua"/>
          <w:sz w:val="22"/>
          <w:szCs w:val="22"/>
          <w:lang w:eastAsia="en-US"/>
        </w:rPr>
      </w:pPr>
      <w:r w:rsidRPr="00055D4B">
        <w:rPr>
          <w:rFonts w:ascii="Book Antiqua" w:hAnsi="Book Antiqua"/>
          <w:sz w:val="22"/>
          <w:szCs w:val="22"/>
        </w:rPr>
        <w:t>El Código Procesal Agrario, plantea dos opciones de financiamiento, como se detallan a continuación:</w:t>
      </w:r>
    </w:p>
    <w:p w14:paraId="75ECFD52" w14:textId="77777777" w:rsidR="001341EC" w:rsidRPr="00055D4B" w:rsidRDefault="001341EC" w:rsidP="001341EC">
      <w:pPr>
        <w:numPr>
          <w:ilvl w:val="0"/>
          <w:numId w:val="31"/>
        </w:numPr>
        <w:spacing w:after="240"/>
        <w:jc w:val="both"/>
        <w:rPr>
          <w:rFonts w:ascii="Book Antiqua" w:hAnsi="Book Antiqua"/>
          <w:sz w:val="22"/>
          <w:szCs w:val="22"/>
        </w:rPr>
      </w:pPr>
      <w:r w:rsidRPr="00055D4B">
        <w:rPr>
          <w:rFonts w:ascii="Book Antiqua" w:hAnsi="Book Antiqua"/>
          <w:sz w:val="22"/>
          <w:szCs w:val="22"/>
        </w:rPr>
        <w:t>Los montos de las multas impuestas a las personas usuarias por su no asistencia de manera injustificada a las audiencias de prueba, pasan a formar un fondo de financiamiento de la Jurisdicción Agraria.</w:t>
      </w:r>
    </w:p>
    <w:p w14:paraId="1FBF3CBC" w14:textId="77777777" w:rsidR="001341EC" w:rsidRPr="00055D4B" w:rsidRDefault="001341EC" w:rsidP="001341EC">
      <w:pPr>
        <w:numPr>
          <w:ilvl w:val="0"/>
          <w:numId w:val="31"/>
        </w:numPr>
        <w:spacing w:after="240"/>
        <w:jc w:val="both"/>
        <w:rPr>
          <w:rFonts w:ascii="Book Antiqua" w:hAnsi="Book Antiqua"/>
          <w:sz w:val="22"/>
          <w:szCs w:val="22"/>
        </w:rPr>
      </w:pPr>
      <w:r w:rsidRPr="00055D4B">
        <w:rPr>
          <w:rFonts w:ascii="Book Antiqua" w:hAnsi="Book Antiqua"/>
          <w:sz w:val="22"/>
          <w:szCs w:val="22"/>
        </w:rPr>
        <w:t>Las sumas provenientes de las costas procesales y personales que deben cancelarse a las personas usuarias que han sido defendidas por defensores públicos agrarios, montos que se asignarán un 50% a fortalecer la Defensa Pública Agraria y otro 50% a la Jurisdicción Agraria.</w:t>
      </w:r>
    </w:p>
    <w:p w14:paraId="0689BB36" w14:textId="77777777" w:rsidR="001341EC" w:rsidRPr="00055D4B" w:rsidRDefault="001341EC" w:rsidP="001341EC">
      <w:pPr>
        <w:spacing w:after="240"/>
        <w:jc w:val="both"/>
        <w:rPr>
          <w:rFonts w:ascii="Book Antiqua" w:hAnsi="Book Antiqua"/>
          <w:sz w:val="22"/>
          <w:szCs w:val="22"/>
        </w:rPr>
      </w:pPr>
      <w:r w:rsidRPr="00055D4B">
        <w:rPr>
          <w:rFonts w:ascii="Book Antiqua" w:hAnsi="Book Antiqua"/>
          <w:sz w:val="22"/>
          <w:szCs w:val="22"/>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6CDFC1F5"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ES_tradnl"/>
        </w:rPr>
        <w:t>Con la implementación del Código Procesal Agrario surgen una serie de ajustes que viene a reducir los tiempos de proceso y agilización de los trámites, a continuación, se detallan algunos de los principales cambios:</w:t>
      </w:r>
    </w:p>
    <w:p w14:paraId="5F20CECF" w14:textId="77777777" w:rsidR="001341EC" w:rsidRPr="00055D4B" w:rsidRDefault="001341EC" w:rsidP="001341EC">
      <w:pPr>
        <w:pStyle w:val="Prrafodelista"/>
        <w:numPr>
          <w:ilvl w:val="0"/>
          <w:numId w:val="27"/>
        </w:numPr>
        <w:spacing w:after="240"/>
        <w:jc w:val="both"/>
        <w:rPr>
          <w:rFonts w:ascii="Book Antiqua" w:hAnsi="Book Antiqua"/>
          <w:sz w:val="22"/>
          <w:szCs w:val="22"/>
          <w:lang w:val="es-ES_tradnl"/>
        </w:rPr>
      </w:pPr>
      <w:r w:rsidRPr="00055D4B">
        <w:rPr>
          <w:rFonts w:ascii="Book Antiqua" w:hAnsi="Book Antiqua"/>
          <w:sz w:val="22"/>
          <w:szCs w:val="22"/>
          <w:lang w:val="es-ES_tradnl"/>
        </w:rPr>
        <w:t xml:space="preserve">La declaración de las incompetencias se podrá declarar de oficio o a instancia de parte, esto permite que exista una reducción de plazos de </w:t>
      </w:r>
      <w:r w:rsidRPr="00055D4B">
        <w:rPr>
          <w:rFonts w:ascii="Book Antiqua" w:hAnsi="Book Antiqua"/>
          <w:sz w:val="22"/>
          <w:szCs w:val="22"/>
          <w:lang w:val="es-ES_tradnl"/>
        </w:rPr>
        <w:lastRenderedPageBreak/>
        <w:t xml:space="preserve">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08AAD051" w14:textId="77777777" w:rsidR="001341EC" w:rsidRPr="00055D4B" w:rsidRDefault="001341EC" w:rsidP="001341EC">
      <w:pPr>
        <w:pStyle w:val="Prrafodelista"/>
        <w:numPr>
          <w:ilvl w:val="0"/>
          <w:numId w:val="27"/>
        </w:numPr>
        <w:spacing w:after="240"/>
        <w:jc w:val="both"/>
        <w:rPr>
          <w:rFonts w:ascii="Book Antiqua" w:hAnsi="Book Antiqua"/>
          <w:sz w:val="22"/>
          <w:szCs w:val="22"/>
          <w:lang w:val="es-ES_tradnl"/>
        </w:rPr>
      </w:pPr>
      <w:r w:rsidRPr="00055D4B">
        <w:rPr>
          <w:rFonts w:ascii="Book Antiqua" w:hAnsi="Book Antiqua"/>
          <w:sz w:val="22"/>
          <w:szCs w:val="22"/>
          <w:lang w:val="es-ES_tradnl"/>
        </w:rPr>
        <w:t>Otro aspecto importante que permite agilidad en el proceso, serán las audiencias previas que se deben realizar en el sitio (artículo 173 del Código Procesal Agrario), esto va a permitir que en esa audiencia se concentren varias acciones (conciliaciones, medidas cautelares, defensas previas, incidentes, ampliaciones, entre otras) del proceso, permitiendo agilizar el proceso.</w:t>
      </w:r>
    </w:p>
    <w:p w14:paraId="1C06633C" w14:textId="77777777" w:rsidR="001341EC" w:rsidRPr="00055D4B" w:rsidRDefault="001341EC" w:rsidP="001341EC">
      <w:pPr>
        <w:pStyle w:val="Prrafodelista"/>
        <w:numPr>
          <w:ilvl w:val="0"/>
          <w:numId w:val="27"/>
        </w:numPr>
        <w:spacing w:after="240"/>
        <w:jc w:val="both"/>
        <w:rPr>
          <w:rFonts w:ascii="Book Antiqua" w:hAnsi="Book Antiqua"/>
          <w:sz w:val="22"/>
          <w:szCs w:val="22"/>
          <w:lang w:val="es-ES_tradnl"/>
        </w:rPr>
      </w:pPr>
      <w:r w:rsidRPr="00055D4B">
        <w:rPr>
          <w:rFonts w:ascii="Book Antiqua" w:hAnsi="Book Antiqua"/>
          <w:sz w:val="22"/>
          <w:szCs w:val="22"/>
          <w:lang w:val="es-ES_tradnl"/>
        </w:rPr>
        <w:t xml:space="preserve">Actualmente la legislación establece que las sentencias se deben de dictar de forma escrita y estableciendo un plazo para la elaboración, con la implementación del Código Procesal Agrario establece que las sentencias se dicten de forma oral al momento del juicio o audiencia, esto va a permitir agilizar los procesos y beneficiar a la persona usuaria, incluso que la Apelación sea presentada de forma siguiente al dictado de la sentencia. </w:t>
      </w:r>
    </w:p>
    <w:p w14:paraId="3C19A3ED" w14:textId="77777777" w:rsidR="001341EC" w:rsidRPr="00055D4B" w:rsidRDefault="001341EC" w:rsidP="009471FA">
      <w:pPr>
        <w:pStyle w:val="Prrafodelista"/>
        <w:numPr>
          <w:ilvl w:val="0"/>
          <w:numId w:val="30"/>
        </w:numPr>
        <w:autoSpaceDE w:val="0"/>
        <w:autoSpaceDN w:val="0"/>
        <w:adjustRightInd w:val="0"/>
        <w:spacing w:after="240"/>
        <w:ind w:left="993" w:hanging="501"/>
        <w:jc w:val="both"/>
        <w:rPr>
          <w:rFonts w:ascii="Book Antiqua" w:hAnsi="Book Antiqua" w:cs="Times-Roman"/>
          <w:sz w:val="22"/>
          <w:szCs w:val="22"/>
        </w:rPr>
      </w:pPr>
      <w:r w:rsidRPr="00055D4B">
        <w:rPr>
          <w:rFonts w:ascii="Book Antiqua" w:hAnsi="Book Antiqua"/>
          <w:sz w:val="22"/>
          <w:szCs w:val="22"/>
          <w:lang w:val="es-ES_tradnl"/>
        </w:rPr>
        <w:t>En el caso de Upala, quien actualmente tramita varias materias y la Jueza a cargo de la materia Agraria, debe tramitar adicionalmente la materia Penal Juvenil, al mostrar una entrada de 21 asuntos mensuales (se ubica prácticamente dentro del parámetro de 20 a 30 casos), cumple con el parámetro para la especialización; por lo cual, la Dirección de Planificación replantea la recomendación emitida en informe 27-PLA-MI-2017 de especializar dicho despacho y especializar la materia agraria en el Cantón de Upala con una estructura mínima reforzada en el actual Juzgado Mixto conformada por dos plazas de Jueza o Juez (una de esta ya se tiene con materia agraria y penal juvenil y la otra sería plaza nueva ordinaria para materia agraria) , y una plaza de técnico o técnica judicial (ya se tiene con materia agraria y penal juvenil). Además, se requiere del acondicionamiento de la infraestructura física y tecnológica para la plaza.</w:t>
      </w:r>
      <w:r w:rsidRPr="00055D4B">
        <w:rPr>
          <w:rFonts w:ascii="Book Antiqua" w:hAnsi="Book Antiqua" w:cs="Times-Roman"/>
          <w:sz w:val="22"/>
          <w:szCs w:val="22"/>
        </w:rPr>
        <w:t xml:space="preserve"> </w:t>
      </w:r>
    </w:p>
    <w:p w14:paraId="3EB29E9A" w14:textId="77777777" w:rsidR="001341EC" w:rsidRPr="00055D4B" w:rsidRDefault="001341EC" w:rsidP="009471FA">
      <w:pPr>
        <w:pStyle w:val="Prrafodelista"/>
        <w:numPr>
          <w:ilvl w:val="0"/>
          <w:numId w:val="30"/>
        </w:numPr>
        <w:autoSpaceDE w:val="0"/>
        <w:autoSpaceDN w:val="0"/>
        <w:adjustRightInd w:val="0"/>
        <w:spacing w:after="240"/>
        <w:ind w:left="993" w:hanging="501"/>
        <w:jc w:val="both"/>
        <w:rPr>
          <w:rFonts w:ascii="Book Antiqua" w:hAnsi="Book Antiqua" w:cs="Times-Roman"/>
          <w:sz w:val="22"/>
          <w:szCs w:val="22"/>
        </w:rPr>
      </w:pPr>
      <w:r w:rsidRPr="00055D4B">
        <w:rPr>
          <w:rFonts w:ascii="Book Antiqua" w:hAnsi="Book Antiqua" w:cs="Times-Roman"/>
          <w:sz w:val="22"/>
          <w:szCs w:val="22"/>
        </w:rPr>
        <w:t xml:space="preserve">Según consulta realizada a la Dirección Ejecutiva, el local que alberga el actual Juzgado Mixto de Upala tiene capacidad para incorporar </w:t>
      </w:r>
      <w:r>
        <w:rPr>
          <w:rFonts w:ascii="Book Antiqua" w:hAnsi="Book Antiqua" w:cs="Times-Roman"/>
          <w:sz w:val="22"/>
          <w:szCs w:val="22"/>
        </w:rPr>
        <w:t xml:space="preserve">la nueva plaza </w:t>
      </w:r>
      <w:r w:rsidRPr="00055D4B">
        <w:rPr>
          <w:rFonts w:ascii="Book Antiqua" w:hAnsi="Book Antiqua" w:cs="Times-Roman"/>
          <w:sz w:val="22"/>
          <w:szCs w:val="22"/>
        </w:rPr>
        <w:t xml:space="preserve"> recomendada. </w:t>
      </w:r>
    </w:p>
    <w:p w14:paraId="657B5C2D" w14:textId="77777777" w:rsidR="001341EC" w:rsidRPr="00055D4B" w:rsidRDefault="001341EC" w:rsidP="008B6263">
      <w:pPr>
        <w:pStyle w:val="Prrafodelista"/>
        <w:numPr>
          <w:ilvl w:val="0"/>
          <w:numId w:val="30"/>
        </w:numPr>
        <w:autoSpaceDE w:val="0"/>
        <w:autoSpaceDN w:val="0"/>
        <w:adjustRightInd w:val="0"/>
        <w:spacing w:after="240"/>
        <w:ind w:left="993" w:hanging="501"/>
        <w:jc w:val="both"/>
        <w:rPr>
          <w:rFonts w:ascii="Book Antiqua" w:hAnsi="Book Antiqua" w:cs="Times-Roman"/>
          <w:sz w:val="22"/>
          <w:szCs w:val="22"/>
        </w:rPr>
      </w:pPr>
      <w:r w:rsidRPr="00055D4B">
        <w:rPr>
          <w:rFonts w:ascii="Book Antiqua" w:hAnsi="Book Antiqua"/>
          <w:sz w:val="22"/>
          <w:szCs w:val="22"/>
          <w:lang w:val="es-CR"/>
        </w:rPr>
        <w:t>En los últimos tres años, la cantidad promedio de entrada de asuntos para los Juzgados de Santa Cruz, San Carlos, Pérez Zeledón y Guápiles, 20, 19, 17 y 16, respectivamente, por plaza de Jueza o Juez, superan el promedio del resto de despachos a nivel nacional, el cual ronda entre los 13 y 15 asuntos, con la participación de dos plazas de personas Juzgadoras.</w:t>
      </w:r>
    </w:p>
    <w:p w14:paraId="488C0935" w14:textId="77777777" w:rsidR="001341EC" w:rsidRPr="00055D4B" w:rsidRDefault="001341EC" w:rsidP="00320125">
      <w:pPr>
        <w:pStyle w:val="Prrafodelista"/>
        <w:numPr>
          <w:ilvl w:val="0"/>
          <w:numId w:val="30"/>
        </w:numPr>
        <w:autoSpaceDE w:val="0"/>
        <w:autoSpaceDN w:val="0"/>
        <w:adjustRightInd w:val="0"/>
        <w:spacing w:after="240"/>
        <w:ind w:left="993" w:hanging="501"/>
        <w:jc w:val="both"/>
        <w:rPr>
          <w:rFonts w:ascii="Book Antiqua" w:hAnsi="Book Antiqua"/>
          <w:sz w:val="22"/>
          <w:szCs w:val="22"/>
          <w:lang w:val="es-CR"/>
        </w:rPr>
      </w:pPr>
      <w:r w:rsidRPr="00493BFE">
        <w:rPr>
          <w:rFonts w:ascii="Book Antiqua" w:hAnsi="Book Antiqua"/>
          <w:sz w:val="22"/>
          <w:szCs w:val="22"/>
        </w:rPr>
        <w:t xml:space="preserve">En el caso de Santa Cruz el promedio por mes por Jueza o Juez es de </w:t>
      </w:r>
      <w:r w:rsidRPr="00055D4B">
        <w:rPr>
          <w:rFonts w:ascii="Book Antiqua" w:hAnsi="Book Antiqua"/>
          <w:sz w:val="22"/>
          <w:szCs w:val="22"/>
        </w:rPr>
        <w:t xml:space="preserve">seis </w:t>
      </w:r>
      <w:r w:rsidRPr="00493BFE">
        <w:rPr>
          <w:rFonts w:ascii="Book Antiqua" w:hAnsi="Book Antiqua"/>
          <w:sz w:val="22"/>
          <w:szCs w:val="22"/>
        </w:rPr>
        <w:t>asuntos</w:t>
      </w:r>
      <w:r w:rsidRPr="00493BFE" w:rsidDel="00136683">
        <w:rPr>
          <w:rFonts w:ascii="Book Antiqua" w:hAnsi="Book Antiqua"/>
          <w:sz w:val="22"/>
          <w:szCs w:val="22"/>
        </w:rPr>
        <w:t>,</w:t>
      </w:r>
      <w:r w:rsidRPr="00493BFE">
        <w:rPr>
          <w:rFonts w:ascii="Book Antiqua" w:hAnsi="Book Antiqua"/>
          <w:sz w:val="22"/>
          <w:szCs w:val="22"/>
        </w:rPr>
        <w:t xml:space="preserve"> sin embargo, en el caso de Pérez Zeledón y Pococí, es de 8 y 9 sentencias promedio por mes por Jueza o Juez, respectivamente</w:t>
      </w:r>
      <w:r w:rsidRPr="00493BFE" w:rsidDel="00136683">
        <w:rPr>
          <w:rFonts w:ascii="Book Antiqua" w:hAnsi="Book Antiqua"/>
          <w:sz w:val="22"/>
          <w:szCs w:val="22"/>
        </w:rPr>
        <w:t xml:space="preserve"> </w:t>
      </w:r>
      <w:r w:rsidRPr="00055D4B">
        <w:rPr>
          <w:rFonts w:ascii="Book Antiqua" w:hAnsi="Book Antiqua"/>
          <w:sz w:val="22"/>
          <w:szCs w:val="22"/>
        </w:rPr>
        <w:t xml:space="preserve">y </w:t>
      </w:r>
      <w:r w:rsidRPr="00493BFE">
        <w:rPr>
          <w:rFonts w:ascii="Book Antiqua" w:hAnsi="Book Antiqua"/>
          <w:sz w:val="22"/>
          <w:szCs w:val="22"/>
        </w:rPr>
        <w:t xml:space="preserve">San Carlos el promedio por mes por Jueza o Juez supera los </w:t>
      </w:r>
      <w:r w:rsidRPr="00055D4B">
        <w:rPr>
          <w:rFonts w:ascii="Book Antiqua" w:hAnsi="Book Antiqua"/>
          <w:sz w:val="22"/>
          <w:szCs w:val="22"/>
        </w:rPr>
        <w:t>6</w:t>
      </w:r>
      <w:r w:rsidRPr="00493BFE">
        <w:rPr>
          <w:rFonts w:ascii="Book Antiqua" w:hAnsi="Book Antiqua"/>
          <w:sz w:val="22"/>
          <w:szCs w:val="22"/>
        </w:rPr>
        <w:t xml:space="preserve"> asuntos.</w:t>
      </w:r>
    </w:p>
    <w:p w14:paraId="3F4A0E72" w14:textId="77777777" w:rsidR="001341EC" w:rsidRPr="00055D4B" w:rsidRDefault="001341EC" w:rsidP="00320125">
      <w:pPr>
        <w:pStyle w:val="Prrafodelista"/>
        <w:numPr>
          <w:ilvl w:val="0"/>
          <w:numId w:val="30"/>
        </w:numPr>
        <w:autoSpaceDE w:val="0"/>
        <w:autoSpaceDN w:val="0"/>
        <w:adjustRightInd w:val="0"/>
        <w:spacing w:after="240"/>
        <w:ind w:left="993" w:hanging="501"/>
        <w:jc w:val="both"/>
        <w:rPr>
          <w:rFonts w:ascii="Book Antiqua" w:hAnsi="Book Antiqua"/>
          <w:sz w:val="22"/>
          <w:szCs w:val="22"/>
          <w:lang w:val="es-CR"/>
        </w:rPr>
      </w:pPr>
      <w:r w:rsidRPr="00493BFE">
        <w:rPr>
          <w:rFonts w:ascii="Book Antiqua" w:hAnsi="Book Antiqua"/>
          <w:sz w:val="22"/>
          <w:szCs w:val="22"/>
        </w:rPr>
        <w:lastRenderedPageBreak/>
        <w:t>Se identificó que el promedio nacional de entrada ideal por persona juzgadora en materia agraria es de 15 asuntos y la cantidad de sentencias por plaza de Jueza o Juez ideal sería de 8 sentencia al mes, esto porque en el Plan de Acción de la Comisión Agraria a solicitud de la Auditoria Judicial, se estableció de que a menos se realicen dos audiencias de juicio fuera de la oficina por persona juzgadora por semana en las cuales se debería dictar sentencia de forma oral ( según se establece en el Código Procesal Agrario, a entrar en vigencia), para un total por mes de al menos 8 audiencias fuera de la oficina que equivalen al menos a 8 sentencias y 7 asuntos por otros motivos de término por mes, por persona juzgadora.</w:t>
      </w:r>
    </w:p>
    <w:p w14:paraId="1718FD3D" w14:textId="77777777" w:rsidR="001341EC" w:rsidRPr="00055D4B" w:rsidRDefault="001341EC" w:rsidP="00320125">
      <w:pPr>
        <w:pStyle w:val="Prrafodelista"/>
        <w:numPr>
          <w:ilvl w:val="0"/>
          <w:numId w:val="30"/>
        </w:numPr>
        <w:autoSpaceDE w:val="0"/>
        <w:autoSpaceDN w:val="0"/>
        <w:adjustRightInd w:val="0"/>
        <w:spacing w:after="240"/>
        <w:ind w:left="993" w:hanging="501"/>
        <w:jc w:val="both"/>
        <w:rPr>
          <w:rFonts w:ascii="Book Antiqua" w:hAnsi="Book Antiqua"/>
          <w:sz w:val="22"/>
          <w:szCs w:val="22"/>
          <w:lang w:val="es-CR"/>
        </w:rPr>
      </w:pPr>
      <w:r w:rsidRPr="00493BFE">
        <w:rPr>
          <w:rFonts w:ascii="Book Antiqua" w:hAnsi="Book Antiqua"/>
          <w:sz w:val="22"/>
          <w:szCs w:val="22"/>
        </w:rPr>
        <w:t>Debido a que existen juzgados que presentan entradas mayores o menores a los 15 asuntos nuevos promedio esperados, nace la necesidad de identificar cuál es la porción de expedientes que concluyen a la fecha, cada juzgador por sentencia y por otros motivos</w:t>
      </w:r>
      <w:r>
        <w:rPr>
          <w:rFonts w:ascii="Book Antiqua" w:hAnsi="Book Antiqua"/>
          <w:sz w:val="22"/>
          <w:szCs w:val="22"/>
        </w:rPr>
        <w:t>.</w:t>
      </w:r>
    </w:p>
    <w:p w14:paraId="34B7CE20" w14:textId="77777777" w:rsidR="001341EC" w:rsidRPr="000257F8" w:rsidRDefault="001341EC" w:rsidP="00320125">
      <w:pPr>
        <w:pStyle w:val="Prrafodelista"/>
        <w:numPr>
          <w:ilvl w:val="0"/>
          <w:numId w:val="30"/>
        </w:numPr>
        <w:autoSpaceDE w:val="0"/>
        <w:autoSpaceDN w:val="0"/>
        <w:adjustRightInd w:val="0"/>
        <w:spacing w:after="240"/>
        <w:ind w:left="851" w:hanging="425"/>
        <w:jc w:val="both"/>
        <w:rPr>
          <w:rFonts w:ascii="Book Antiqua" w:hAnsi="Book Antiqua"/>
          <w:sz w:val="22"/>
          <w:szCs w:val="22"/>
        </w:rPr>
      </w:pPr>
      <w:r w:rsidRPr="000257F8">
        <w:rPr>
          <w:rFonts w:ascii="Book Antiqua" w:hAnsi="Book Antiqua"/>
          <w:sz w:val="22"/>
          <w:szCs w:val="22"/>
        </w:rPr>
        <w:t>Tres despachos requieren de colaboración en el dictado de sentencias, al mantener la entrada de asuntos mayor a su capacidad instalada (Santa Cruz, Pérez Zeledón y Pococí) y pueden recibir colaboración de cuatro despachos (Liberia y Alajuela a Santa Cruz, Corredores a Pérez Zeledón y Limón a Pococí y Pérez Zeledón), que por el contrario tienen capacidad instalada superior a la cantidad de asuntos entrados por mes por plaza de Jueza o Juez.</w:t>
      </w:r>
      <w:r>
        <w:rPr>
          <w:rFonts w:ascii="Book Antiqua" w:hAnsi="Book Antiqua"/>
          <w:sz w:val="22"/>
          <w:szCs w:val="22"/>
        </w:rPr>
        <w:t xml:space="preserve"> Se deberá determinar en conjunto con la Comisión cual será el tipo de colaboración y momento oportuno para iniciar con el plan de trabajo.</w:t>
      </w:r>
    </w:p>
    <w:p w14:paraId="0A6B679D" w14:textId="77777777" w:rsidR="001341EC" w:rsidRPr="000257F8" w:rsidRDefault="001341EC" w:rsidP="00320125">
      <w:pPr>
        <w:pStyle w:val="Prrafodelista"/>
        <w:numPr>
          <w:ilvl w:val="0"/>
          <w:numId w:val="30"/>
        </w:numPr>
        <w:autoSpaceDE w:val="0"/>
        <w:autoSpaceDN w:val="0"/>
        <w:adjustRightInd w:val="0"/>
        <w:spacing w:after="240"/>
        <w:ind w:left="851" w:hanging="359"/>
        <w:jc w:val="both"/>
        <w:rPr>
          <w:rFonts w:ascii="Book Antiqua" w:hAnsi="Book Antiqua"/>
          <w:sz w:val="22"/>
          <w:szCs w:val="22"/>
        </w:rPr>
      </w:pPr>
      <w:r w:rsidRPr="000257F8">
        <w:rPr>
          <w:rFonts w:ascii="Book Antiqua" w:hAnsi="Book Antiqua"/>
          <w:sz w:val="22"/>
          <w:szCs w:val="22"/>
        </w:rPr>
        <w:t>En el caso de la colaboración en asuntos terminados por otros motivos que se resuelven de forma escrita, se requiere ampliar la competencia territorial de estas zonas.</w:t>
      </w:r>
    </w:p>
    <w:p w14:paraId="5572982C" w14:textId="77777777" w:rsidR="001341EC" w:rsidRPr="000257F8" w:rsidRDefault="001341EC" w:rsidP="00320125">
      <w:pPr>
        <w:pStyle w:val="Prrafodelista"/>
        <w:numPr>
          <w:ilvl w:val="0"/>
          <w:numId w:val="30"/>
        </w:numPr>
        <w:autoSpaceDE w:val="0"/>
        <w:autoSpaceDN w:val="0"/>
        <w:adjustRightInd w:val="0"/>
        <w:spacing w:after="240"/>
        <w:ind w:left="851" w:hanging="359"/>
        <w:jc w:val="both"/>
        <w:rPr>
          <w:rFonts w:ascii="Book Antiqua" w:hAnsi="Book Antiqua"/>
          <w:sz w:val="22"/>
          <w:szCs w:val="22"/>
        </w:rPr>
      </w:pPr>
      <w:r w:rsidRPr="000257F8">
        <w:rPr>
          <w:rFonts w:ascii="Book Antiqua" w:hAnsi="Book Antiqua"/>
          <w:sz w:val="22"/>
          <w:szCs w:val="22"/>
        </w:rPr>
        <w:t xml:space="preserve">Es importante indicar que, para poder brindar las colaboraciones establecidas en el punto anterior, es necesario que se extienda la competencia territorial de estas oficinas y </w:t>
      </w:r>
      <w:r>
        <w:rPr>
          <w:rFonts w:ascii="Book Antiqua" w:hAnsi="Book Antiqua"/>
          <w:sz w:val="22"/>
          <w:szCs w:val="22"/>
        </w:rPr>
        <w:t>que adicionalmente se</w:t>
      </w:r>
      <w:r w:rsidRPr="000257F8">
        <w:rPr>
          <w:rFonts w:ascii="Book Antiqua" w:hAnsi="Book Antiqua"/>
          <w:sz w:val="22"/>
          <w:szCs w:val="22"/>
        </w:rPr>
        <w:t xml:space="preserve"> trabaje con expediente 100% electrónico.</w:t>
      </w:r>
    </w:p>
    <w:p w14:paraId="2844BB49" w14:textId="77777777" w:rsidR="001341EC" w:rsidRPr="00055D4B" w:rsidRDefault="001341EC" w:rsidP="00320125">
      <w:pPr>
        <w:pStyle w:val="Prrafodelista"/>
        <w:numPr>
          <w:ilvl w:val="0"/>
          <w:numId w:val="30"/>
        </w:numPr>
        <w:autoSpaceDE w:val="0"/>
        <w:autoSpaceDN w:val="0"/>
        <w:adjustRightInd w:val="0"/>
        <w:spacing w:after="240"/>
        <w:ind w:left="851" w:hanging="359"/>
        <w:jc w:val="both"/>
        <w:rPr>
          <w:rFonts w:ascii="Book Antiqua" w:hAnsi="Book Antiqua"/>
          <w:sz w:val="22"/>
          <w:szCs w:val="22"/>
          <w:lang w:val="es-CR"/>
        </w:rPr>
      </w:pPr>
      <w:r w:rsidRPr="00493BFE">
        <w:rPr>
          <w:rFonts w:ascii="Book Antiqua" w:hAnsi="Book Antiqua" w:cs="Calibri"/>
          <w:iCs/>
          <w:sz w:val="22"/>
          <w:szCs w:val="22"/>
        </w:rPr>
        <w:t>En el caso del personal técnico judicial, se mantiene un promedio actual entre 8 y 10 asuntos. Sin embargo, Santa Cruz se encuentra dentro del promedio y Guápiles está por debajo del mismo.</w:t>
      </w:r>
    </w:p>
    <w:p w14:paraId="6FD19730" w14:textId="77777777" w:rsidR="001341EC" w:rsidRDefault="001341EC" w:rsidP="005A5815">
      <w:pPr>
        <w:pStyle w:val="Prrafodelista"/>
        <w:numPr>
          <w:ilvl w:val="0"/>
          <w:numId w:val="30"/>
        </w:numPr>
        <w:autoSpaceDE w:val="0"/>
        <w:autoSpaceDN w:val="0"/>
        <w:adjustRightInd w:val="0"/>
        <w:spacing w:after="240"/>
        <w:ind w:left="851" w:hanging="359"/>
        <w:jc w:val="both"/>
        <w:rPr>
          <w:rFonts w:ascii="Book Antiqua" w:hAnsi="Book Antiqua"/>
          <w:sz w:val="22"/>
          <w:szCs w:val="22"/>
        </w:rPr>
      </w:pPr>
      <w:r w:rsidRPr="00055D4B">
        <w:rPr>
          <w:rFonts w:ascii="Book Antiqua" w:hAnsi="Book Antiqua"/>
          <w:sz w:val="22"/>
          <w:szCs w:val="22"/>
        </w:rPr>
        <w:t>A nivel de Defensa Pública, se mantendrá la carga de trabajo de la zona, indiferente se resuelva por el Juez de la zona o de quien brinde la colaboración.</w:t>
      </w:r>
    </w:p>
    <w:p w14:paraId="56A20B11" w14:textId="77777777" w:rsidR="001341EC" w:rsidRDefault="001341EC" w:rsidP="005A5815">
      <w:pPr>
        <w:pStyle w:val="Prrafodelista"/>
        <w:numPr>
          <w:ilvl w:val="0"/>
          <w:numId w:val="30"/>
        </w:numPr>
        <w:autoSpaceDE w:val="0"/>
        <w:autoSpaceDN w:val="0"/>
        <w:adjustRightInd w:val="0"/>
        <w:spacing w:after="240"/>
        <w:ind w:left="851" w:hanging="359"/>
        <w:jc w:val="both"/>
        <w:rPr>
          <w:rFonts w:ascii="Book Antiqua" w:hAnsi="Book Antiqua"/>
          <w:sz w:val="22"/>
          <w:szCs w:val="22"/>
        </w:rPr>
      </w:pPr>
      <w:r>
        <w:rPr>
          <w:rFonts w:ascii="Book Antiqua" w:hAnsi="Book Antiqua"/>
          <w:sz w:val="22"/>
          <w:szCs w:val="22"/>
        </w:rPr>
        <w:t xml:space="preserve">El Tribunal Agrario tiene un promedio de carga de trabajo, contemplando asuntos nuevos más reentrados, es de 17 casos al mes y se tiene un promedio de 17 casos terminados al mes. </w:t>
      </w:r>
      <w:r w:rsidRPr="00C2271D">
        <w:rPr>
          <w:rFonts w:ascii="Book Antiqua" w:hAnsi="Book Antiqua"/>
          <w:sz w:val="22"/>
          <w:szCs w:val="22"/>
        </w:rPr>
        <w:t xml:space="preserve">Es de recordar que al Tribunal el Consejo Superior en </w:t>
      </w:r>
      <w:r w:rsidRPr="001D1C4B">
        <w:rPr>
          <w:rFonts w:ascii="Book Antiqua" w:hAnsi="Book Antiqua"/>
          <w:sz w:val="22"/>
          <w:szCs w:val="22"/>
        </w:rPr>
        <w:t>sesión 41-18 celebrada el 15 de mayo de 2018 artículo XXXI</w:t>
      </w:r>
      <w:r w:rsidR="00817898" w:rsidRPr="001D1C4B">
        <w:rPr>
          <w:rFonts w:ascii="Book Antiqua" w:hAnsi="Book Antiqua"/>
          <w:sz w:val="22"/>
          <w:szCs w:val="22"/>
        </w:rPr>
        <w:t>,</w:t>
      </w:r>
      <w:r w:rsidRPr="00C2271D">
        <w:rPr>
          <w:rFonts w:ascii="Book Antiqua" w:hAnsi="Book Antiqua"/>
          <w:sz w:val="22"/>
          <w:szCs w:val="22"/>
        </w:rPr>
        <w:t xml:space="preserve"> acordó</w:t>
      </w:r>
      <w:r w:rsidRPr="00DD3FAE">
        <w:rPr>
          <w:rFonts w:ascii="Book Antiqua" w:hAnsi="Book Antiqua"/>
          <w:sz w:val="22"/>
          <w:szCs w:val="22"/>
        </w:rPr>
        <w:t xml:space="preserve"> </w:t>
      </w:r>
      <w:r w:rsidRPr="00C2271D">
        <w:rPr>
          <w:rFonts w:ascii="Book Antiqua" w:hAnsi="Book Antiqua"/>
          <w:sz w:val="22"/>
          <w:szCs w:val="22"/>
        </w:rPr>
        <w:t xml:space="preserve">una cuota de </w:t>
      </w:r>
      <w:r>
        <w:rPr>
          <w:rFonts w:ascii="Book Antiqua" w:hAnsi="Book Antiqua"/>
          <w:sz w:val="22"/>
          <w:szCs w:val="22"/>
        </w:rPr>
        <w:t>18</w:t>
      </w:r>
      <w:r w:rsidRPr="00C2271D">
        <w:rPr>
          <w:rFonts w:ascii="Book Antiqua" w:hAnsi="Book Antiqua"/>
          <w:sz w:val="22"/>
          <w:szCs w:val="22"/>
        </w:rPr>
        <w:t xml:space="preserve"> asuntos mensuales por Jueza o Juez</w:t>
      </w:r>
      <w:r>
        <w:rPr>
          <w:rFonts w:ascii="Book Antiqua" w:hAnsi="Book Antiqua"/>
          <w:sz w:val="22"/>
          <w:szCs w:val="22"/>
        </w:rPr>
        <w:t xml:space="preserve">, lo cual contribuye de forma significativa a la atención de la entrada y disminución constante del circulante. </w:t>
      </w:r>
    </w:p>
    <w:p w14:paraId="218F641E" w14:textId="77777777" w:rsidR="001341EC" w:rsidRPr="00126FA8" w:rsidRDefault="001341EC" w:rsidP="00983457">
      <w:pPr>
        <w:pStyle w:val="Prrafodelista"/>
        <w:numPr>
          <w:ilvl w:val="0"/>
          <w:numId w:val="30"/>
        </w:numPr>
        <w:autoSpaceDE w:val="0"/>
        <w:autoSpaceDN w:val="0"/>
        <w:adjustRightInd w:val="0"/>
        <w:spacing w:after="240"/>
        <w:ind w:left="851" w:hanging="359"/>
        <w:jc w:val="both"/>
        <w:rPr>
          <w:rFonts w:ascii="Book Antiqua" w:hAnsi="Book Antiqua"/>
          <w:sz w:val="22"/>
          <w:szCs w:val="22"/>
        </w:rPr>
      </w:pPr>
      <w:r w:rsidRPr="00126FA8">
        <w:rPr>
          <w:rFonts w:ascii="Book Antiqua" w:hAnsi="Book Antiqua"/>
          <w:sz w:val="22"/>
          <w:szCs w:val="22"/>
        </w:rPr>
        <w:lastRenderedPageBreak/>
        <w:t>Con el fin de proyectar el comportamiento de los datos en largo plazo, se utilicen los datos históricos, por lo que el promedio de entrada de asuntos por Conflicto de Competencia en el Tribunal agrario es de 219 asuntos anuales, para un promedio de 20 asuntos por mes.</w:t>
      </w:r>
    </w:p>
    <w:p w14:paraId="15009DAE" w14:textId="77777777" w:rsidR="001341EC" w:rsidRPr="00126FA8" w:rsidRDefault="001341EC" w:rsidP="00983457">
      <w:pPr>
        <w:pStyle w:val="Prrafodelista"/>
        <w:numPr>
          <w:ilvl w:val="0"/>
          <w:numId w:val="30"/>
        </w:numPr>
        <w:autoSpaceDE w:val="0"/>
        <w:autoSpaceDN w:val="0"/>
        <w:adjustRightInd w:val="0"/>
        <w:spacing w:after="240"/>
        <w:ind w:left="851" w:hanging="359"/>
        <w:jc w:val="both"/>
        <w:rPr>
          <w:rFonts w:ascii="Book Antiqua" w:hAnsi="Book Antiqua"/>
          <w:sz w:val="22"/>
          <w:szCs w:val="22"/>
        </w:rPr>
      </w:pPr>
      <w:r w:rsidRPr="00126FA8">
        <w:rPr>
          <w:rFonts w:ascii="Book Antiqua" w:hAnsi="Book Antiqua"/>
          <w:sz w:val="22"/>
          <w:szCs w:val="22"/>
        </w:rPr>
        <w:t>Realizando el análisis con base a los datos generados en el 2018, se realiza una proyección de la disminución de la entrada por persona juzgadora, pasando de 17 casos al mes a 12 casos, lo que porcentualmente significa una disminución del 30% de la entrada de asuntos.</w:t>
      </w:r>
    </w:p>
    <w:p w14:paraId="53ADDA53" w14:textId="77777777" w:rsidR="001341EC" w:rsidRPr="00055D4B" w:rsidRDefault="001341EC" w:rsidP="00983457">
      <w:pPr>
        <w:pStyle w:val="Prrafodelista"/>
        <w:numPr>
          <w:ilvl w:val="0"/>
          <w:numId w:val="30"/>
        </w:numPr>
        <w:autoSpaceDE w:val="0"/>
        <w:autoSpaceDN w:val="0"/>
        <w:adjustRightInd w:val="0"/>
        <w:spacing w:after="240"/>
        <w:ind w:left="851" w:hanging="359"/>
        <w:jc w:val="both"/>
        <w:rPr>
          <w:rFonts w:ascii="Book Antiqua" w:hAnsi="Book Antiqua"/>
          <w:sz w:val="22"/>
          <w:szCs w:val="22"/>
        </w:rPr>
      </w:pPr>
      <w:r w:rsidRPr="00126FA8">
        <w:rPr>
          <w:rFonts w:ascii="Book Antiqua" w:hAnsi="Book Antiqua"/>
          <w:sz w:val="22"/>
          <w:szCs w:val="22"/>
        </w:rPr>
        <w:t>Se evidencia que la carga de trabajo del Tribunal Agrario, con la pérdida de los asuntos por “Conflicto de competencia”, mantiene una capacidad instalada del 45% para la atención de nuevos asuntos (375 anuales), según las nuevas competencias dadas por Código Procesal Agrario. Sin embargo, es importante tomar en consideración que esta cantidad de asuntos que se proyectan que tendrán capacidad de atención puede ser menor, tomando en consideración la variable cualitativa “complejidad” de los nuevos asuntos, para lo cual es necesario realizar seguimiento del comportamiento de la entrada de asuntos por tipo de asunto, una vez entrada en vigencia la Ley, con el fin de conocer el impacto real en el Tribunal Agrario.</w:t>
      </w:r>
      <w:r w:rsidR="00983457">
        <w:rPr>
          <w:rFonts w:ascii="Book Antiqua" w:hAnsi="Book Antiqua"/>
          <w:sz w:val="22"/>
          <w:szCs w:val="22"/>
        </w:rPr>
        <w:t xml:space="preserve"> </w:t>
      </w:r>
      <w:r w:rsidRPr="00055D4B">
        <w:rPr>
          <w:rFonts w:ascii="Book Antiqua" w:hAnsi="Book Antiqua"/>
          <w:sz w:val="22"/>
          <w:szCs w:val="22"/>
        </w:rPr>
        <w:t xml:space="preserve">La Dirección de Tecnología mediante oficio 2526-DTI-2018, del 5 de julio del 2018 presenta la actualización del oficio 1316-DTI-2017, del 3 de abril del 2018, donde se indicó que la futura entrada del Código Procesal Agrario, entre muchos aspectos contempla un cambio a nivel tecnológico en los despachos judiciales que atienden dicha materia. Lo anterior, nos obliga a determinar un presupuesto que permita ejecutar todas las tareas y acciones necesarias para dotar a los mismos de las herramientas tecnológicas y los dispositivos requeridos para la utilización de estas aplicaciones. Por tal razón se deben presupuestar los costos que implican los servicios de herramientas tecnológicas, dispositivos periféricos, equipo de cómputo, equipos de grabación de audiencias, entre otros y que se deben de ejecutarse durante el desarrollo del proyecto de implementación de sistemas. </w:t>
      </w:r>
    </w:p>
    <w:p w14:paraId="4F9D923F" w14:textId="77777777" w:rsidR="001341EC" w:rsidRPr="00055D4B" w:rsidRDefault="001341EC" w:rsidP="00983457">
      <w:pPr>
        <w:pStyle w:val="Prrafodelista"/>
        <w:numPr>
          <w:ilvl w:val="0"/>
          <w:numId w:val="30"/>
        </w:numPr>
        <w:autoSpaceDE w:val="0"/>
        <w:autoSpaceDN w:val="0"/>
        <w:adjustRightInd w:val="0"/>
        <w:spacing w:after="240"/>
        <w:ind w:left="851" w:hanging="359"/>
        <w:jc w:val="both"/>
        <w:rPr>
          <w:rFonts w:ascii="Book Antiqua" w:hAnsi="Book Antiqua"/>
          <w:sz w:val="22"/>
          <w:szCs w:val="22"/>
        </w:rPr>
      </w:pPr>
      <w:r w:rsidRPr="00055D4B">
        <w:rPr>
          <w:rFonts w:ascii="Book Antiqua" w:hAnsi="Book Antiqua"/>
          <w:sz w:val="22"/>
          <w:szCs w:val="22"/>
        </w:rPr>
        <w:t>Tomando en consideración que el Poder Judicial aprobó la capacitación por un monto de ¢63 579 298,76, según acuerdo tomado en la sesión 86-18 celebrada el 2 de octubre de 2018, artículo XV, detallado en líneas anteriores; esta Dirección considera que se debe fortalecer esta capacitación durante el 2020 a la población restante, que no pudo ser capacitada al finalizar el 2019, según se resume a continuación:</w:t>
      </w:r>
    </w:p>
    <w:p w14:paraId="6B004A88" w14:textId="77777777" w:rsidR="001341EC" w:rsidRPr="00055D4B" w:rsidRDefault="001341EC" w:rsidP="001341EC">
      <w:pPr>
        <w:pStyle w:val="Prrafodelista"/>
        <w:numPr>
          <w:ilvl w:val="1"/>
          <w:numId w:val="4"/>
        </w:numPr>
        <w:spacing w:after="240"/>
        <w:rPr>
          <w:rFonts w:ascii="Book Antiqua" w:eastAsia="Arial" w:hAnsi="Book Antiqua"/>
          <w:sz w:val="22"/>
          <w:szCs w:val="22"/>
        </w:rPr>
      </w:pPr>
      <w:r w:rsidRPr="00055D4B">
        <w:rPr>
          <w:rFonts w:ascii="Book Antiqua" w:eastAsia="Arial" w:hAnsi="Book Antiqua"/>
          <w:sz w:val="22"/>
          <w:szCs w:val="22"/>
        </w:rPr>
        <w:t xml:space="preserve">Ejecución de </w:t>
      </w:r>
      <w:r w:rsidRPr="00055D4B">
        <w:rPr>
          <w:rFonts w:ascii="Book Antiqua" w:eastAsia="Arial" w:hAnsi="Book Antiqua"/>
          <w:b/>
          <w:sz w:val="22"/>
          <w:szCs w:val="22"/>
        </w:rPr>
        <w:t>8</w:t>
      </w:r>
      <w:r w:rsidRPr="00055D4B">
        <w:rPr>
          <w:rFonts w:ascii="Book Antiqua" w:eastAsia="Arial" w:hAnsi="Book Antiqua"/>
          <w:sz w:val="22"/>
          <w:szCs w:val="22"/>
        </w:rPr>
        <w:t xml:space="preserve"> cursos dirigidos a personal profesional, con una duración de 5 días hábiles. Población a abarcar: </w:t>
      </w:r>
      <w:r w:rsidRPr="00055D4B">
        <w:rPr>
          <w:rFonts w:ascii="Book Antiqua" w:eastAsia="Arial" w:hAnsi="Book Antiqua"/>
          <w:b/>
          <w:sz w:val="22"/>
          <w:szCs w:val="22"/>
        </w:rPr>
        <w:t>88</w:t>
      </w:r>
      <w:r w:rsidRPr="00055D4B">
        <w:rPr>
          <w:rFonts w:ascii="Book Antiqua" w:eastAsia="Arial" w:hAnsi="Book Antiqua"/>
          <w:sz w:val="22"/>
          <w:szCs w:val="22"/>
        </w:rPr>
        <w:t xml:space="preserve"> </w:t>
      </w:r>
      <w:r w:rsidRPr="00055D4B">
        <w:rPr>
          <w:rFonts w:ascii="Book Antiqua" w:eastAsia="Arial" w:hAnsi="Book Antiqua"/>
          <w:b/>
          <w:sz w:val="22"/>
          <w:szCs w:val="22"/>
        </w:rPr>
        <w:t>personas profesionales</w:t>
      </w:r>
      <w:r w:rsidRPr="00055D4B">
        <w:rPr>
          <w:rFonts w:ascii="Book Antiqua" w:eastAsia="Arial" w:hAnsi="Book Antiqua"/>
          <w:sz w:val="22"/>
          <w:szCs w:val="22"/>
        </w:rPr>
        <w:t xml:space="preserve">. </w:t>
      </w:r>
    </w:p>
    <w:p w14:paraId="053846D6" w14:textId="77777777" w:rsidR="001341EC" w:rsidRPr="00055D4B" w:rsidRDefault="001341EC" w:rsidP="001341EC">
      <w:pPr>
        <w:pStyle w:val="Prrafodelista"/>
        <w:numPr>
          <w:ilvl w:val="1"/>
          <w:numId w:val="4"/>
        </w:numPr>
        <w:spacing w:after="240"/>
        <w:rPr>
          <w:rFonts w:ascii="Book Antiqua" w:eastAsia="Arial" w:hAnsi="Book Antiqua"/>
          <w:sz w:val="22"/>
          <w:szCs w:val="22"/>
        </w:rPr>
      </w:pPr>
      <w:r w:rsidRPr="00055D4B">
        <w:rPr>
          <w:rFonts w:ascii="Book Antiqua" w:eastAsia="Arial" w:hAnsi="Book Antiqua"/>
          <w:sz w:val="22"/>
          <w:szCs w:val="22"/>
        </w:rPr>
        <w:t>Ejecución de 4 cursos presenciales dirigidos a personal auxiliar, con una duración de 5 días hábiles. Población a abarcar: 13 personas auxiliares</w:t>
      </w:r>
    </w:p>
    <w:p w14:paraId="5B0223EE" w14:textId="77777777" w:rsidR="001341EC" w:rsidRPr="00055D4B" w:rsidRDefault="001341EC" w:rsidP="001341EC">
      <w:pPr>
        <w:pStyle w:val="Prrafodelista"/>
        <w:numPr>
          <w:ilvl w:val="1"/>
          <w:numId w:val="4"/>
        </w:numPr>
        <w:spacing w:after="240"/>
        <w:rPr>
          <w:rFonts w:ascii="Book Antiqua" w:eastAsia="Arial" w:hAnsi="Book Antiqua"/>
          <w:sz w:val="22"/>
          <w:szCs w:val="22"/>
        </w:rPr>
      </w:pPr>
      <w:r w:rsidRPr="00055D4B">
        <w:rPr>
          <w:rFonts w:ascii="Book Antiqua" w:eastAsia="Arial" w:hAnsi="Book Antiqua"/>
          <w:sz w:val="22"/>
          <w:szCs w:val="22"/>
        </w:rPr>
        <w:lastRenderedPageBreak/>
        <w:t xml:space="preserve">Costo del proyecto de capacitación 2020 en millones de colones: </w:t>
      </w:r>
      <w:r w:rsidRPr="00055D4B">
        <w:rPr>
          <w:rFonts w:ascii="Times New Roman" w:eastAsia="Arial" w:hAnsi="Times New Roman" w:cs="Times New Roman"/>
          <w:sz w:val="22"/>
          <w:szCs w:val="22"/>
        </w:rPr>
        <w:t>₡</w:t>
      </w:r>
      <w:r w:rsidRPr="00055D4B">
        <w:rPr>
          <w:rFonts w:ascii="Book Antiqua" w:eastAsia="Arial" w:hAnsi="Book Antiqua"/>
          <w:sz w:val="22"/>
          <w:szCs w:val="22"/>
        </w:rPr>
        <w:t xml:space="preserve"> 21.463.067,33</w:t>
      </w:r>
    </w:p>
    <w:p w14:paraId="7C295765"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ES_tradnl"/>
        </w:rPr>
        <w:t>A raíz de la Reforma al Código de Trabajo, se diseñó el estándar de tareas del Escritorio Virtual para la materia Agraria, mismo que se utilizó en todos los despachos donde se implementó la tramitación electrónica relacionados con la Reforma Laboral, iniciando dicha tramitación a partir del segundo trimestre del 2017.</w:t>
      </w:r>
    </w:p>
    <w:p w14:paraId="590ABA25"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ES_tradnl"/>
        </w:rPr>
        <w:t xml:space="preserve">Según lo indica el Transitorio VI del Código Procesal Agrario donde “se faculta a la Corte Plena para que ajuste la categoría salarial de las personas juzgadoras agrarias, conforme a la función que desempeñen, de acuerdo con las reformas Procesales Laboral y Civil, con el fin de garantizar la estabilidad y especialización”.  Al respecto la Jueza Damaris Vargas Vásquez, Coordinadora del Proyecto de Modernización de la Jurisdicción Agraria, indica que a diferencia con otros proyectos de reforma procesal que se han implementado, se conservan las categorías de Jueza o Juez 3 para primera instancia y categoría 4 para segunda instancia. Todo sin perjuicio, que, con el criterio técnico de la Dirección de Gestión Humana y de los órganos superiores dispongan alguna recalificación. </w:t>
      </w:r>
    </w:p>
    <w:p w14:paraId="0B941268"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ES_tradnl"/>
        </w:rPr>
        <w:t xml:space="preserve">Por tal motivo, la Dirección de Planificación estima que a nivel presupuestario las plazas actuales que cubren la carga de trabajo actual se mantienen con las mismas categorías, hasta tanto no se definan los perfiles. </w:t>
      </w:r>
    </w:p>
    <w:p w14:paraId="4A92E803"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ES_tradnl"/>
        </w:rPr>
        <w:t xml:space="preserve">La Dirección de Planificación tiene un avance parcial en la ejecución del Rediseño de Procesos de los Despachos que atienden la materia Agraria, esto a raíz de la Reforma del Código de Trabajo. En cuanto al abordaje de los restantes despachos especializados en materia Agraria, se estima que la Dirección de Planificación terminará su participación en el primer semestre de este año 2019. </w:t>
      </w:r>
    </w:p>
    <w:p w14:paraId="00DB98D4"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ES_tradnl"/>
        </w:rPr>
        <w:t xml:space="preserve">En el caso de los Juzgados Agrarios en los cuales el circulante en trámite es alto, se debe de cubrir con la colaboración de las personas juzgadoras supernumerarias con que cuenta el Centro de Apoyo, Coordinación y Mejoramiento de la Función Jurisdiccional, además, se cuenta con la colaboración de las Juezas o Jueces Supernumerarios adscritas en las Administraciones Regionales, que son recursos fijos por lo que no se requieren costos adicionales. </w:t>
      </w:r>
    </w:p>
    <w:p w14:paraId="0382B969"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CR"/>
        </w:rPr>
        <w:t>Recalcar la necesidad de que los planes de descongestionamiento que se realicen en materia Agraria deben enfocarse en atacar el circulante de forma que este se traslade a la fase demanda a demostrativa y así sucesivamente de forma más expedita, a través de las distintas fases del proceso para llegar a fase de juicio y ejecución.  Lo anterior es un punto relevante para el Centro de Apoyo, Coordinación y Mejoramiento de la Función Jurisdiccional, para que amplié los planes que realiza en reducción del circulante.</w:t>
      </w:r>
    </w:p>
    <w:p w14:paraId="490FB40E" w14:textId="77777777" w:rsidR="001341EC" w:rsidRPr="00055D4B" w:rsidRDefault="001341EC" w:rsidP="001341EC">
      <w:pPr>
        <w:pStyle w:val="Prrafodelista"/>
        <w:rPr>
          <w:rFonts w:ascii="Book Antiqua" w:hAnsi="Book Antiqua"/>
          <w:sz w:val="22"/>
          <w:szCs w:val="22"/>
          <w:lang w:val="es-ES_tradnl"/>
        </w:rPr>
      </w:pPr>
    </w:p>
    <w:p w14:paraId="7A7B6A49" w14:textId="77777777" w:rsidR="001341EC" w:rsidRPr="00055D4B"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ES_tradnl"/>
        </w:rPr>
        <w:lastRenderedPageBreak/>
        <w:t>Puntarenas se especializa con la reforma al Código Procesal Civil y tendrá una plaza adicional de Juez o Jueza, esto les permitirá disminuir el circulante que actualmente presenta y atender la cantidad de casos entrados.</w:t>
      </w:r>
    </w:p>
    <w:p w14:paraId="6BA9745E" w14:textId="77777777" w:rsidR="001341EC" w:rsidRDefault="001341EC" w:rsidP="001341EC">
      <w:pPr>
        <w:pStyle w:val="Prrafodelista"/>
        <w:numPr>
          <w:ilvl w:val="0"/>
          <w:numId w:val="30"/>
        </w:numPr>
        <w:spacing w:after="240"/>
        <w:ind w:left="426"/>
        <w:jc w:val="both"/>
        <w:rPr>
          <w:rFonts w:ascii="Book Antiqua" w:hAnsi="Book Antiqua"/>
          <w:sz w:val="22"/>
          <w:szCs w:val="22"/>
          <w:lang w:val="es-ES_tradnl"/>
        </w:rPr>
      </w:pPr>
      <w:r w:rsidRPr="00055D4B">
        <w:rPr>
          <w:rFonts w:ascii="Book Antiqua" w:hAnsi="Book Antiqua"/>
          <w:sz w:val="22"/>
          <w:szCs w:val="22"/>
          <w:lang w:val="es-ES_tradnl"/>
        </w:rPr>
        <w:t>De acuerdo al criterio técnico de la Dirección de Planificación y a la experiencia relacionada con impactos de Reforma de Ley, por ejemplo, la Reforma al Código Procesal Civil y al Código Laboral, la Dirección de Planificación, trabaja en conjunto con todos los involucrados tanto directos como indirectos que por el impacto de Ley, tienen requerimientos específicos, que se materializan en costos, que permitan afrontar los cambios de manera responsable, por ejemplo la Dirección de Tecnología como ente responsable en temas de infraestructura tecnológica, Dirección Ejecutiva como entre responsable en temas relacionados con infraestructura física, vigilancia, limpieza, transporte, entre otros, la Escuela Judicial, como ente rector en temas de capacitación principalmente para el Ámbito Jurisdiccional y finalmente, pero no menos importante a cada una de las Comisiones Institucionales expertas en la materia, en el caso particular la Comisión Agraria.</w:t>
      </w:r>
    </w:p>
    <w:p w14:paraId="5EE2321B" w14:textId="77777777" w:rsidR="001341EC" w:rsidRPr="007A4037" w:rsidRDefault="001341EC" w:rsidP="00165AA6">
      <w:pPr>
        <w:pStyle w:val="Ttulo1"/>
        <w:keepLines/>
        <w:numPr>
          <w:ilvl w:val="0"/>
          <w:numId w:val="42"/>
        </w:numPr>
        <w:pBdr>
          <w:top w:val="single" w:sz="4" w:space="1" w:color="4F81BD"/>
          <w:left w:val="single" w:sz="4" w:space="4" w:color="4F81BD"/>
          <w:bottom w:val="single" w:sz="4" w:space="1" w:color="4F81BD"/>
          <w:right w:val="single" w:sz="4" w:space="4" w:color="4F81BD"/>
        </w:pBdr>
        <w:shd w:val="clear" w:color="auto" w:fill="B8CCE4"/>
        <w:tabs>
          <w:tab w:val="clear" w:pos="4680"/>
        </w:tabs>
        <w:spacing w:before="240"/>
        <w:ind w:right="191"/>
        <w:rPr>
          <w:rStyle w:val="nfasis"/>
          <w:rFonts w:ascii="Book Antiqua" w:hAnsi="Book Antiqua"/>
          <w:i/>
        </w:rPr>
      </w:pPr>
      <w:r w:rsidRPr="007A4037">
        <w:rPr>
          <w:rStyle w:val="nfasis"/>
          <w:rFonts w:ascii="Book Antiqua" w:hAnsi="Book Antiqua"/>
          <w:i/>
        </w:rPr>
        <w:t xml:space="preserve">RECOMENDACIONES </w:t>
      </w:r>
    </w:p>
    <w:p w14:paraId="26A92EAB" w14:textId="77777777" w:rsidR="001341EC" w:rsidRPr="00055D4B" w:rsidRDefault="001341EC" w:rsidP="001341EC">
      <w:pPr>
        <w:rPr>
          <w:rFonts w:ascii="Book Antiqua" w:hAnsi="Book Antiqua"/>
          <w:sz w:val="22"/>
          <w:szCs w:val="22"/>
        </w:rPr>
      </w:pPr>
    </w:p>
    <w:p w14:paraId="43702F70"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Es importante indicar que como producto de la experiencia relacionada con impactos de Reforma de Ley, por ejemplo, la Reforma al Código Procesal Civil y al Código Laboral, la Dirección de Planificación, trabaja en conjunto con todos los involucrados tanto directos como indirectos que por el impacto de Ley, tienen requerimientos específicos, que se materializan en costos, que permitan afrontar los cambios de manera responsable, por ejemplo la Dirección de Tecnología como ente responsable en temas de infraestructura tecnológica, Dirección Ejecutiva como entre responsable en temas relacionados con infraestructura física, vigilancia, limpieza, transporte, entre otros, la Escuela Judicial, como ente rector en temas de capacitación principalmente para el Ámbito Jurisdiccional y finalmente, pero no menos importante a cada una de las Comisiones Institucionales expertas en la materia, en el caso particular la Comisión Agraria.</w:t>
      </w:r>
    </w:p>
    <w:p w14:paraId="41D8A2F2" w14:textId="77777777" w:rsidR="001341EC" w:rsidRPr="00055D4B" w:rsidRDefault="001341EC" w:rsidP="001341EC">
      <w:pPr>
        <w:jc w:val="both"/>
        <w:rPr>
          <w:rFonts w:ascii="Book Antiqua" w:hAnsi="Book Antiqua"/>
          <w:sz w:val="22"/>
          <w:szCs w:val="22"/>
        </w:rPr>
      </w:pPr>
    </w:p>
    <w:p w14:paraId="2EEFEDCA" w14:textId="77777777" w:rsidR="001341EC" w:rsidRPr="00055D4B" w:rsidRDefault="001341EC" w:rsidP="001341EC">
      <w:pPr>
        <w:jc w:val="both"/>
        <w:rPr>
          <w:rFonts w:ascii="Book Antiqua" w:hAnsi="Book Antiqua"/>
          <w:sz w:val="22"/>
          <w:szCs w:val="22"/>
        </w:rPr>
      </w:pPr>
      <w:r w:rsidRPr="00055D4B">
        <w:rPr>
          <w:rFonts w:ascii="Book Antiqua" w:hAnsi="Book Antiqua"/>
          <w:sz w:val="22"/>
          <w:szCs w:val="22"/>
        </w:rPr>
        <w:t xml:space="preserve">A continuación, se presenta la propuesta por parte de la Dirección de Planificación en relación con los costos de implementación de la Ley 9609 “Código Procesal Agrario” </w:t>
      </w:r>
    </w:p>
    <w:p w14:paraId="458229FC" w14:textId="77777777" w:rsidR="001341EC" w:rsidRPr="00055D4B" w:rsidRDefault="001341EC" w:rsidP="001341EC">
      <w:pPr>
        <w:rPr>
          <w:rFonts w:ascii="Book Antiqua" w:hAnsi="Book Antiqua"/>
          <w:sz w:val="22"/>
          <w:szCs w:val="22"/>
          <w:lang w:eastAsia="en-US"/>
        </w:rPr>
      </w:pPr>
    </w:p>
    <w:p w14:paraId="2D918CF4" w14:textId="77777777" w:rsidR="001341EC" w:rsidRPr="009B3B20" w:rsidRDefault="001341EC" w:rsidP="00983457">
      <w:pPr>
        <w:pStyle w:val="Prrafodelista"/>
        <w:numPr>
          <w:ilvl w:val="1"/>
          <w:numId w:val="48"/>
        </w:numPr>
        <w:jc w:val="both"/>
        <w:rPr>
          <w:rFonts w:ascii="Book Antiqua" w:hAnsi="Book Antiqua"/>
          <w:sz w:val="22"/>
          <w:szCs w:val="22"/>
          <w:lang w:val="es-ES_tradnl"/>
        </w:rPr>
      </w:pPr>
      <w:r w:rsidRPr="009B3B20">
        <w:rPr>
          <w:rFonts w:ascii="Book Antiqua" w:hAnsi="Book Antiqua"/>
          <w:sz w:val="22"/>
          <w:szCs w:val="22"/>
          <w:lang w:val="es-ES_tradnl"/>
        </w:rPr>
        <w:t>Especialización de la materia agraria en el Cantón de Upala con una estructura mínima reforzada en el Juzgado Mixto conformada por dos plazas de Jueza o Juez (una de esta ya se tiene con materia agraria y penal juvenil y la otra sería plaza nueva extraordinaria para materia agraria), y una plaza de técnico o técnica judicial (ya se tiene con materia agraria y penal juvenil).</w:t>
      </w:r>
    </w:p>
    <w:p w14:paraId="43D92F67" w14:textId="77777777" w:rsidR="001341EC" w:rsidRDefault="001341EC" w:rsidP="001341EC">
      <w:pPr>
        <w:pStyle w:val="Prrafodelista"/>
        <w:numPr>
          <w:ilvl w:val="2"/>
          <w:numId w:val="0"/>
        </w:numPr>
        <w:ind w:left="1146" w:hanging="720"/>
        <w:jc w:val="both"/>
        <w:rPr>
          <w:rFonts w:ascii="Book Antiqua" w:hAnsi="Book Antiqua"/>
          <w:sz w:val="22"/>
          <w:szCs w:val="22"/>
          <w:lang w:val="es-ES_tradnl"/>
        </w:rPr>
      </w:pPr>
    </w:p>
    <w:p w14:paraId="7DFC562F" w14:textId="77777777" w:rsidR="001341EC" w:rsidRPr="00983457" w:rsidRDefault="001341EC" w:rsidP="00983457">
      <w:pPr>
        <w:pStyle w:val="Prrafodelista"/>
        <w:numPr>
          <w:ilvl w:val="1"/>
          <w:numId w:val="48"/>
        </w:numPr>
        <w:jc w:val="both"/>
        <w:rPr>
          <w:rFonts w:ascii="Book Antiqua" w:hAnsi="Book Antiqua"/>
          <w:sz w:val="22"/>
          <w:szCs w:val="22"/>
          <w:lang w:val="es-ES_tradnl"/>
        </w:rPr>
      </w:pPr>
      <w:r w:rsidRPr="00983457">
        <w:rPr>
          <w:rFonts w:ascii="Book Antiqua" w:hAnsi="Book Antiqua"/>
          <w:sz w:val="22"/>
          <w:szCs w:val="22"/>
          <w:lang w:val="es-ES_tradnl"/>
        </w:rPr>
        <w:t>Al adicionar plazas para la especialización se requiere de equipo y mobiliario mínimo necesario.</w:t>
      </w:r>
    </w:p>
    <w:p w14:paraId="54834C1F" w14:textId="77777777" w:rsidR="001341EC" w:rsidRPr="00055D4B" w:rsidRDefault="001341EC" w:rsidP="001341EC">
      <w:pPr>
        <w:pStyle w:val="Prrafodelista"/>
        <w:ind w:left="284"/>
        <w:jc w:val="both"/>
        <w:rPr>
          <w:rFonts w:ascii="Book Antiqua" w:hAnsi="Book Antiqua"/>
          <w:sz w:val="22"/>
          <w:szCs w:val="22"/>
          <w:lang w:val="es-ES_tradnl"/>
        </w:rPr>
      </w:pPr>
    </w:p>
    <w:p w14:paraId="4C0C35A0" w14:textId="77777777" w:rsidR="001341EC" w:rsidRPr="00983457" w:rsidRDefault="001341EC" w:rsidP="00983457">
      <w:pPr>
        <w:pStyle w:val="Prrafodelista"/>
        <w:numPr>
          <w:ilvl w:val="1"/>
          <w:numId w:val="48"/>
        </w:numPr>
        <w:jc w:val="both"/>
        <w:rPr>
          <w:rFonts w:ascii="Book Antiqua" w:hAnsi="Book Antiqua"/>
          <w:sz w:val="22"/>
          <w:szCs w:val="22"/>
          <w:lang w:val="es-ES_tradnl"/>
        </w:rPr>
      </w:pPr>
      <w:r w:rsidRPr="00983457">
        <w:rPr>
          <w:rFonts w:ascii="Book Antiqua" w:hAnsi="Book Antiqua"/>
          <w:sz w:val="22"/>
          <w:szCs w:val="22"/>
          <w:lang w:val="es-ES_tradnl"/>
        </w:rPr>
        <w:t xml:space="preserve">Reforzar con vehículos y choferes a las siguientes Administraciones Regionales: San Ramón, Cartago, Goicoechea, Pérez Zeledón, Puntarenas y </w:t>
      </w:r>
      <w:r w:rsidRPr="00983457">
        <w:rPr>
          <w:rFonts w:ascii="Book Antiqua" w:hAnsi="Book Antiqua"/>
          <w:sz w:val="22"/>
          <w:szCs w:val="22"/>
          <w:lang w:val="es-ES_tradnl"/>
        </w:rPr>
        <w:lastRenderedPageBreak/>
        <w:t>San Carlos. En el caso de Turrialba y Limón no se requiere el vehículo, si los costos asociados a mantenimiento de un vehículo y su chofer. Para poder dar cumplimiento a las recomendaciones indicadas por la Auditoria Judicial en el oficio 1284-213-AUO-2014 denominado “Estudio Operativo del proceso Agrario (Primera Instancia)”</w:t>
      </w:r>
    </w:p>
    <w:p w14:paraId="0B721857" w14:textId="77777777" w:rsidR="001341EC" w:rsidRPr="00055D4B" w:rsidRDefault="001341EC" w:rsidP="001341EC">
      <w:pPr>
        <w:pStyle w:val="Prrafodelista"/>
        <w:ind w:left="0"/>
        <w:jc w:val="both"/>
        <w:rPr>
          <w:rFonts w:ascii="Book Antiqua" w:hAnsi="Book Antiqua"/>
          <w:sz w:val="22"/>
          <w:szCs w:val="22"/>
          <w:lang w:val="es-ES_tradnl"/>
        </w:rPr>
      </w:pPr>
    </w:p>
    <w:p w14:paraId="331C7395" w14:textId="77777777" w:rsidR="001341EC" w:rsidRPr="00983457" w:rsidRDefault="001341EC" w:rsidP="00983457">
      <w:pPr>
        <w:pStyle w:val="Prrafodelista"/>
        <w:numPr>
          <w:ilvl w:val="1"/>
          <w:numId w:val="48"/>
        </w:numPr>
        <w:jc w:val="both"/>
        <w:rPr>
          <w:rFonts w:ascii="Book Antiqua" w:hAnsi="Book Antiqua"/>
          <w:sz w:val="22"/>
          <w:szCs w:val="22"/>
          <w:lang w:val="es-ES_tradnl"/>
        </w:rPr>
      </w:pPr>
      <w:r w:rsidRPr="00983457">
        <w:rPr>
          <w:rFonts w:ascii="Book Antiqua" w:hAnsi="Book Antiqua"/>
          <w:sz w:val="22"/>
          <w:szCs w:val="22"/>
          <w:lang w:val="es-ES_tradnl"/>
        </w:rPr>
        <w:t xml:space="preserve">Costos administrativos, relacionados a la adquisición e implementación de equipo informático para la tramitación electrónica en el sitio (monitores y portátiles) y grabación de audiencias, en los despachos agrarios. </w:t>
      </w:r>
    </w:p>
    <w:p w14:paraId="658AFAE3" w14:textId="77777777" w:rsidR="001341EC" w:rsidRPr="00055D4B" w:rsidRDefault="001341EC" w:rsidP="001341EC">
      <w:pPr>
        <w:pStyle w:val="Prrafodelista"/>
        <w:ind w:left="0"/>
        <w:jc w:val="both"/>
        <w:rPr>
          <w:rFonts w:ascii="Book Antiqua" w:hAnsi="Book Antiqua"/>
          <w:sz w:val="22"/>
          <w:szCs w:val="22"/>
          <w:lang w:val="es-ES_tradnl"/>
        </w:rPr>
      </w:pPr>
    </w:p>
    <w:p w14:paraId="1FC7B58D" w14:textId="77777777" w:rsidR="001341EC" w:rsidRPr="00983457" w:rsidRDefault="001341EC" w:rsidP="00983457">
      <w:pPr>
        <w:pStyle w:val="Prrafodelista"/>
        <w:numPr>
          <w:ilvl w:val="1"/>
          <w:numId w:val="48"/>
        </w:numPr>
        <w:jc w:val="both"/>
        <w:rPr>
          <w:rFonts w:ascii="Book Antiqua" w:hAnsi="Book Antiqua"/>
          <w:sz w:val="22"/>
          <w:szCs w:val="22"/>
          <w:lang w:val="es-ES_tradnl"/>
        </w:rPr>
      </w:pPr>
      <w:r w:rsidRPr="00983457">
        <w:rPr>
          <w:rFonts w:ascii="Book Antiqua" w:hAnsi="Book Antiqua"/>
          <w:sz w:val="22"/>
          <w:szCs w:val="22"/>
          <w:lang w:val="es-ES_tradnl"/>
        </w:rPr>
        <w:t>Capacitación especializada en materia agraria a toda la población (Jurisdiccional)) que conforma la Jurisdicción Agraria, tomando en consideración pago de viáticos, suplencias para facilitadores y especialistas en métodos de enseñanza. Se incluyen costos de sustituciones de facilitadores y pago de viáticos y transporte. Se tiene el segundo escenario en la recomendación 5.8 de este informe.</w:t>
      </w:r>
    </w:p>
    <w:p w14:paraId="4B8CA8F4" w14:textId="77777777" w:rsidR="001341EC" w:rsidRPr="00923E73" w:rsidRDefault="001341EC" w:rsidP="001341EC">
      <w:pPr>
        <w:pStyle w:val="Prrafodelista"/>
        <w:ind w:left="0"/>
        <w:jc w:val="both"/>
        <w:rPr>
          <w:rFonts w:ascii="Book Antiqua" w:hAnsi="Book Antiqua"/>
          <w:sz w:val="22"/>
          <w:szCs w:val="22"/>
          <w:lang w:val="es-ES_tradnl"/>
        </w:rPr>
      </w:pPr>
    </w:p>
    <w:p w14:paraId="6E3A8476" w14:textId="77777777" w:rsidR="001341EC" w:rsidRPr="00983457" w:rsidRDefault="001341EC" w:rsidP="00983457">
      <w:pPr>
        <w:pStyle w:val="Prrafodelista"/>
        <w:numPr>
          <w:ilvl w:val="1"/>
          <w:numId w:val="48"/>
        </w:numPr>
        <w:jc w:val="both"/>
        <w:rPr>
          <w:rFonts w:ascii="Book Antiqua" w:hAnsi="Book Antiqua"/>
          <w:sz w:val="22"/>
          <w:szCs w:val="22"/>
          <w:lang w:val="es-ES_tradnl"/>
        </w:rPr>
      </w:pPr>
      <w:r w:rsidRPr="00983457">
        <w:rPr>
          <w:rFonts w:ascii="Book Antiqua" w:hAnsi="Book Antiqua"/>
          <w:sz w:val="22"/>
          <w:szCs w:val="22"/>
          <w:lang w:val="es-ES_tradnl"/>
        </w:rPr>
        <w:t xml:space="preserve">Se recomienda una plaza de manera extraordinaria por doce meses para hacer frente a la administración del fondo en la Defensa Pública, lo cual deberá ser objeto de seguimiento para medir su carga de trabajo. </w:t>
      </w:r>
    </w:p>
    <w:p w14:paraId="55F88B51" w14:textId="77777777" w:rsidR="001341EC" w:rsidRPr="00923E73" w:rsidRDefault="001341EC" w:rsidP="001341EC">
      <w:pPr>
        <w:pStyle w:val="Prrafodelista"/>
        <w:ind w:left="0"/>
        <w:jc w:val="both"/>
        <w:rPr>
          <w:rFonts w:ascii="Book Antiqua" w:hAnsi="Book Antiqua"/>
          <w:sz w:val="22"/>
          <w:szCs w:val="22"/>
          <w:lang w:val="es-ES_tradnl"/>
        </w:rPr>
      </w:pPr>
    </w:p>
    <w:p w14:paraId="3B05845C" w14:textId="77777777" w:rsidR="001341EC" w:rsidRPr="00983457" w:rsidRDefault="001341EC" w:rsidP="00983457">
      <w:pPr>
        <w:pStyle w:val="Prrafodelista"/>
        <w:numPr>
          <w:ilvl w:val="1"/>
          <w:numId w:val="48"/>
        </w:numPr>
        <w:jc w:val="both"/>
        <w:rPr>
          <w:rFonts w:ascii="Book Antiqua" w:hAnsi="Book Antiqua"/>
          <w:sz w:val="22"/>
          <w:szCs w:val="22"/>
          <w:lang w:val="es-ES_tradnl"/>
        </w:rPr>
      </w:pPr>
      <w:r w:rsidRPr="00983457">
        <w:rPr>
          <w:rFonts w:ascii="Book Antiqua" w:hAnsi="Book Antiqua"/>
          <w:sz w:val="22"/>
          <w:szCs w:val="22"/>
          <w:lang w:val="es-ES_tradnl"/>
        </w:rPr>
        <w:t>Se recomienda una plaza de manera extraordinaria por doce meses como figura asesora del proceso de implementación del Código Procesal Agrario.</w:t>
      </w:r>
    </w:p>
    <w:p w14:paraId="5DB38068" w14:textId="77777777" w:rsidR="001341EC" w:rsidRPr="00055D4B" w:rsidRDefault="001341EC" w:rsidP="001341EC">
      <w:pPr>
        <w:pStyle w:val="Prrafodelista"/>
        <w:ind w:left="1146"/>
        <w:jc w:val="both"/>
        <w:rPr>
          <w:rFonts w:ascii="Book Antiqua" w:hAnsi="Book Antiqua"/>
          <w:sz w:val="22"/>
          <w:szCs w:val="22"/>
          <w:lang w:val="es-ES_tradnl"/>
        </w:rPr>
      </w:pPr>
    </w:p>
    <w:p w14:paraId="4A51FE75" w14:textId="77777777" w:rsidR="001341EC" w:rsidRPr="008D67EA"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8D67EA">
        <w:rPr>
          <w:rFonts w:ascii="Book Antiqua" w:hAnsi="Book Antiqua"/>
          <w:bCs w:val="0"/>
          <w:iCs/>
          <w:sz w:val="22"/>
          <w:szCs w:val="24"/>
          <w:lang w:val="es-CR"/>
        </w:rPr>
        <w:t xml:space="preserve">Cuadro </w:t>
      </w:r>
      <w:r w:rsidR="00E422DB" w:rsidRPr="008D67EA">
        <w:rPr>
          <w:rFonts w:ascii="Book Antiqua" w:hAnsi="Book Antiqua"/>
          <w:bCs w:val="0"/>
          <w:iCs/>
          <w:sz w:val="22"/>
          <w:szCs w:val="24"/>
          <w:lang w:val="es-CR"/>
        </w:rPr>
        <w:t>21</w:t>
      </w:r>
    </w:p>
    <w:p w14:paraId="469B9ED4" w14:textId="77777777" w:rsidR="001341EC" w:rsidRPr="00126FA8" w:rsidRDefault="001341EC" w:rsidP="001341EC">
      <w:pPr>
        <w:pStyle w:val="Descripcin"/>
        <w:widowControl/>
        <w:autoSpaceDE/>
        <w:autoSpaceDN/>
        <w:adjustRightInd/>
        <w:spacing w:line="276" w:lineRule="auto"/>
        <w:jc w:val="center"/>
        <w:rPr>
          <w:rFonts w:ascii="Book Antiqua" w:hAnsi="Book Antiqua"/>
          <w:bCs w:val="0"/>
          <w:iCs/>
          <w:sz w:val="22"/>
          <w:szCs w:val="24"/>
          <w:lang w:val="es-CR"/>
        </w:rPr>
      </w:pPr>
      <w:r w:rsidRPr="008D67EA">
        <w:rPr>
          <w:rFonts w:ascii="Book Antiqua" w:hAnsi="Book Antiqua"/>
          <w:bCs w:val="0"/>
          <w:iCs/>
          <w:sz w:val="22"/>
          <w:szCs w:val="24"/>
          <w:lang w:val="es-CR"/>
        </w:rPr>
        <w:t>Recurso Humano Requerido</w:t>
      </w:r>
    </w:p>
    <w:tbl>
      <w:tblPr>
        <w:tblW w:w="5000" w:type="pct"/>
        <w:tblCellMar>
          <w:left w:w="70" w:type="dxa"/>
          <w:right w:w="70" w:type="dxa"/>
        </w:tblCellMar>
        <w:tblLook w:val="04A0" w:firstRow="1" w:lastRow="0" w:firstColumn="1" w:lastColumn="0" w:noHBand="0" w:noVBand="1"/>
      </w:tblPr>
      <w:tblGrid>
        <w:gridCol w:w="1896"/>
        <w:gridCol w:w="672"/>
        <w:gridCol w:w="1638"/>
        <w:gridCol w:w="1655"/>
        <w:gridCol w:w="923"/>
        <w:gridCol w:w="1674"/>
      </w:tblGrid>
      <w:tr w:rsidR="001341EC" w:rsidRPr="00493BFE" w14:paraId="34E15B64" w14:textId="77777777" w:rsidTr="004F0AC6">
        <w:trPr>
          <w:trHeight w:val="384"/>
        </w:trPr>
        <w:tc>
          <w:tcPr>
            <w:tcW w:w="1204" w:type="pct"/>
            <w:tcBorders>
              <w:top w:val="double" w:sz="6" w:space="0" w:color="1F497D"/>
              <w:left w:val="double" w:sz="6" w:space="0" w:color="1F497D"/>
              <w:bottom w:val="double" w:sz="6" w:space="0" w:color="1F497D"/>
              <w:right w:val="double" w:sz="6" w:space="0" w:color="1F497D"/>
            </w:tcBorders>
            <w:shd w:val="clear" w:color="000000" w:fill="8DB4E2"/>
            <w:vAlign w:val="center"/>
            <w:hideMark/>
          </w:tcPr>
          <w:p w14:paraId="5B28FA10" w14:textId="77777777" w:rsidR="001341EC" w:rsidRPr="00055D4B" w:rsidRDefault="001341EC" w:rsidP="00165AA6">
            <w:pPr>
              <w:jc w:val="center"/>
              <w:rPr>
                <w:rFonts w:ascii="Book Antiqua" w:hAnsi="Book Antiqua" w:cs="Calibri"/>
                <w:b/>
                <w:bCs/>
                <w:color w:val="000000"/>
                <w:lang w:eastAsia="es-CR"/>
              </w:rPr>
            </w:pPr>
            <w:r w:rsidRPr="00055D4B">
              <w:rPr>
                <w:rFonts w:ascii="Book Antiqua" w:hAnsi="Book Antiqua" w:cs="Calibri"/>
                <w:b/>
                <w:bCs/>
                <w:color w:val="000000"/>
                <w:sz w:val="22"/>
                <w:szCs w:val="22"/>
                <w:lang w:eastAsia="es-CR"/>
              </w:rPr>
              <w:t>Despacho</w:t>
            </w:r>
          </w:p>
        </w:tc>
        <w:tc>
          <w:tcPr>
            <w:tcW w:w="389" w:type="pct"/>
            <w:tcBorders>
              <w:top w:val="double" w:sz="6" w:space="0" w:color="1F497D"/>
              <w:left w:val="nil"/>
              <w:bottom w:val="double" w:sz="6" w:space="0" w:color="1F497D"/>
              <w:right w:val="double" w:sz="6" w:space="0" w:color="1F497D"/>
            </w:tcBorders>
            <w:shd w:val="clear" w:color="000000" w:fill="8DB4E2"/>
            <w:vAlign w:val="center"/>
            <w:hideMark/>
          </w:tcPr>
          <w:p w14:paraId="4E0E29DA" w14:textId="77777777" w:rsidR="001341EC" w:rsidRPr="00055D4B" w:rsidRDefault="001341EC" w:rsidP="00165AA6">
            <w:pPr>
              <w:jc w:val="center"/>
              <w:rPr>
                <w:rFonts w:ascii="Book Antiqua" w:hAnsi="Book Antiqua" w:cs="Calibri"/>
                <w:b/>
                <w:bCs/>
                <w:color w:val="000000"/>
                <w:lang w:eastAsia="es-CR"/>
              </w:rPr>
            </w:pPr>
            <w:proofErr w:type="spellStart"/>
            <w:r w:rsidRPr="00055D4B">
              <w:rPr>
                <w:rFonts w:ascii="Book Antiqua" w:hAnsi="Book Antiqua" w:cs="Calibri"/>
                <w:b/>
                <w:bCs/>
                <w:color w:val="000000"/>
                <w:sz w:val="22"/>
                <w:szCs w:val="22"/>
                <w:lang w:eastAsia="es-CR"/>
              </w:rPr>
              <w:t>Cant</w:t>
            </w:r>
            <w:proofErr w:type="spellEnd"/>
            <w:r w:rsidRPr="00055D4B">
              <w:rPr>
                <w:rFonts w:ascii="Book Antiqua" w:hAnsi="Book Antiqua" w:cs="Calibri"/>
                <w:b/>
                <w:bCs/>
                <w:color w:val="000000"/>
                <w:sz w:val="22"/>
                <w:szCs w:val="22"/>
                <w:lang w:eastAsia="es-CR"/>
              </w:rPr>
              <w:t>.</w:t>
            </w:r>
          </w:p>
        </w:tc>
        <w:tc>
          <w:tcPr>
            <w:tcW w:w="947" w:type="pct"/>
            <w:tcBorders>
              <w:top w:val="double" w:sz="6" w:space="0" w:color="1F497D"/>
              <w:left w:val="nil"/>
              <w:bottom w:val="double" w:sz="6" w:space="0" w:color="1F497D"/>
              <w:right w:val="double" w:sz="6" w:space="0" w:color="1F497D"/>
            </w:tcBorders>
            <w:shd w:val="clear" w:color="000000" w:fill="8DB4E2"/>
            <w:vAlign w:val="center"/>
            <w:hideMark/>
          </w:tcPr>
          <w:p w14:paraId="10687B92" w14:textId="77777777" w:rsidR="001341EC" w:rsidRPr="00055D4B" w:rsidRDefault="001341EC" w:rsidP="00165AA6">
            <w:pPr>
              <w:jc w:val="center"/>
              <w:rPr>
                <w:rFonts w:ascii="Book Antiqua" w:hAnsi="Book Antiqua" w:cs="Calibri"/>
                <w:b/>
                <w:bCs/>
                <w:color w:val="000000"/>
                <w:lang w:eastAsia="es-CR"/>
              </w:rPr>
            </w:pPr>
            <w:r w:rsidRPr="00055D4B">
              <w:rPr>
                <w:rFonts w:ascii="Book Antiqua" w:hAnsi="Book Antiqua" w:cs="Calibri"/>
                <w:b/>
                <w:bCs/>
                <w:color w:val="000000"/>
                <w:sz w:val="22"/>
                <w:szCs w:val="22"/>
                <w:lang w:eastAsia="es-CR"/>
              </w:rPr>
              <w:t>Tipo de plaza</w:t>
            </w:r>
          </w:p>
        </w:tc>
        <w:tc>
          <w:tcPr>
            <w:tcW w:w="957" w:type="pct"/>
            <w:tcBorders>
              <w:top w:val="double" w:sz="6" w:space="0" w:color="1F497D"/>
              <w:left w:val="nil"/>
              <w:bottom w:val="double" w:sz="6" w:space="0" w:color="1F497D"/>
              <w:right w:val="double" w:sz="6" w:space="0" w:color="1F497D"/>
            </w:tcBorders>
            <w:shd w:val="clear" w:color="000000" w:fill="8DB4E2"/>
            <w:vAlign w:val="center"/>
            <w:hideMark/>
          </w:tcPr>
          <w:p w14:paraId="13594EAF" w14:textId="77777777" w:rsidR="001341EC" w:rsidRPr="00055D4B" w:rsidRDefault="001341EC" w:rsidP="00165AA6">
            <w:pPr>
              <w:jc w:val="center"/>
              <w:rPr>
                <w:rFonts w:ascii="Book Antiqua" w:hAnsi="Book Antiqua" w:cs="Calibri"/>
                <w:b/>
                <w:bCs/>
                <w:color w:val="000000"/>
                <w:lang w:eastAsia="es-CR"/>
              </w:rPr>
            </w:pPr>
            <w:r w:rsidRPr="00055D4B">
              <w:rPr>
                <w:rFonts w:ascii="Book Antiqua" w:hAnsi="Book Antiqua" w:cs="Calibri"/>
                <w:b/>
                <w:bCs/>
                <w:color w:val="000000"/>
                <w:sz w:val="22"/>
                <w:szCs w:val="22"/>
                <w:lang w:eastAsia="es-CR"/>
              </w:rPr>
              <w:t>Condición</w:t>
            </w:r>
          </w:p>
        </w:tc>
        <w:tc>
          <w:tcPr>
            <w:tcW w:w="534" w:type="pct"/>
            <w:tcBorders>
              <w:top w:val="double" w:sz="6" w:space="0" w:color="1F497D"/>
              <w:left w:val="nil"/>
              <w:bottom w:val="double" w:sz="6" w:space="0" w:color="1F497D"/>
              <w:right w:val="double" w:sz="6" w:space="0" w:color="1F497D"/>
            </w:tcBorders>
            <w:shd w:val="clear" w:color="000000" w:fill="8DB4E2"/>
            <w:vAlign w:val="center"/>
            <w:hideMark/>
          </w:tcPr>
          <w:p w14:paraId="642C3D5B" w14:textId="77777777" w:rsidR="001341EC" w:rsidRPr="00055D4B" w:rsidRDefault="001341EC" w:rsidP="00165AA6">
            <w:pPr>
              <w:jc w:val="center"/>
              <w:rPr>
                <w:rFonts w:ascii="Book Antiqua" w:hAnsi="Book Antiqua" w:cs="Calibri"/>
                <w:b/>
                <w:bCs/>
                <w:color w:val="000000"/>
                <w:lang w:eastAsia="es-CR"/>
              </w:rPr>
            </w:pPr>
            <w:r w:rsidRPr="00055D4B">
              <w:rPr>
                <w:rFonts w:ascii="Book Antiqua" w:hAnsi="Book Antiqua" w:cs="Calibri"/>
                <w:b/>
                <w:bCs/>
                <w:color w:val="000000"/>
                <w:sz w:val="22"/>
                <w:szCs w:val="22"/>
                <w:lang w:eastAsia="es-CR"/>
              </w:rPr>
              <w:t>Período</w:t>
            </w:r>
          </w:p>
        </w:tc>
        <w:tc>
          <w:tcPr>
            <w:tcW w:w="968" w:type="pct"/>
            <w:tcBorders>
              <w:top w:val="double" w:sz="6" w:space="0" w:color="1F497D"/>
              <w:left w:val="nil"/>
              <w:bottom w:val="double" w:sz="6" w:space="0" w:color="1F497D"/>
              <w:right w:val="double" w:sz="6" w:space="0" w:color="1F497D"/>
            </w:tcBorders>
            <w:shd w:val="clear" w:color="000000" w:fill="8DB4E2"/>
            <w:vAlign w:val="center"/>
            <w:hideMark/>
          </w:tcPr>
          <w:p w14:paraId="103AA53A" w14:textId="77777777" w:rsidR="001341EC" w:rsidRPr="00055D4B" w:rsidRDefault="001341EC" w:rsidP="00165AA6">
            <w:pPr>
              <w:jc w:val="center"/>
              <w:rPr>
                <w:rFonts w:ascii="Book Antiqua" w:hAnsi="Book Antiqua" w:cs="Calibri"/>
                <w:b/>
                <w:bCs/>
                <w:color w:val="000000"/>
                <w:lang w:eastAsia="es-CR"/>
              </w:rPr>
            </w:pPr>
            <w:r w:rsidRPr="00055D4B">
              <w:rPr>
                <w:rFonts w:ascii="Book Antiqua" w:hAnsi="Book Antiqua" w:cs="Calibri"/>
                <w:b/>
                <w:bCs/>
                <w:color w:val="000000"/>
                <w:sz w:val="22"/>
                <w:szCs w:val="22"/>
                <w:lang w:eastAsia="es-CR"/>
              </w:rPr>
              <w:t>Costo total</w:t>
            </w:r>
          </w:p>
        </w:tc>
      </w:tr>
      <w:tr w:rsidR="001341EC" w:rsidRPr="00493BFE" w14:paraId="38DF7FC9" w14:textId="77777777" w:rsidTr="004F0AC6">
        <w:trPr>
          <w:trHeight w:val="330"/>
        </w:trPr>
        <w:tc>
          <w:tcPr>
            <w:tcW w:w="1204" w:type="pct"/>
            <w:tcBorders>
              <w:top w:val="nil"/>
              <w:left w:val="double" w:sz="6" w:space="0" w:color="1F497D"/>
              <w:bottom w:val="nil"/>
              <w:right w:val="double" w:sz="6" w:space="0" w:color="1F497D"/>
            </w:tcBorders>
            <w:shd w:val="clear" w:color="auto" w:fill="auto"/>
            <w:vAlign w:val="center"/>
            <w:hideMark/>
          </w:tcPr>
          <w:p w14:paraId="447BE372" w14:textId="77777777" w:rsidR="001341EC" w:rsidRPr="00055D4B" w:rsidRDefault="001341EC" w:rsidP="00165AA6">
            <w:pPr>
              <w:rPr>
                <w:rFonts w:ascii="Book Antiqua" w:hAnsi="Book Antiqua" w:cs="Calibri"/>
                <w:lang w:eastAsia="es-CR"/>
              </w:rPr>
            </w:pPr>
            <w:r w:rsidRPr="00055D4B">
              <w:rPr>
                <w:rFonts w:ascii="Book Antiqua" w:hAnsi="Book Antiqua" w:cs="Calibri"/>
                <w:sz w:val="22"/>
                <w:szCs w:val="22"/>
                <w:lang w:eastAsia="es-CR"/>
              </w:rPr>
              <w:t>Juzgado Agrario de Upala</w:t>
            </w:r>
          </w:p>
        </w:tc>
        <w:tc>
          <w:tcPr>
            <w:tcW w:w="389" w:type="pct"/>
            <w:tcBorders>
              <w:top w:val="nil"/>
              <w:left w:val="nil"/>
              <w:bottom w:val="double" w:sz="6" w:space="0" w:color="1F497D"/>
              <w:right w:val="double" w:sz="6" w:space="0" w:color="1F497D"/>
            </w:tcBorders>
            <w:shd w:val="clear" w:color="auto" w:fill="auto"/>
            <w:vAlign w:val="center"/>
            <w:hideMark/>
          </w:tcPr>
          <w:p w14:paraId="5FD15744"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1</w:t>
            </w:r>
          </w:p>
        </w:tc>
        <w:tc>
          <w:tcPr>
            <w:tcW w:w="947" w:type="pct"/>
            <w:tcBorders>
              <w:top w:val="nil"/>
              <w:left w:val="nil"/>
              <w:bottom w:val="double" w:sz="6" w:space="0" w:color="1F497D"/>
              <w:right w:val="double" w:sz="6" w:space="0" w:color="1F497D"/>
            </w:tcBorders>
            <w:shd w:val="clear" w:color="auto" w:fill="auto"/>
            <w:vAlign w:val="center"/>
            <w:hideMark/>
          </w:tcPr>
          <w:p w14:paraId="7D0DB726"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Jueza o Juez 3</w:t>
            </w:r>
          </w:p>
        </w:tc>
        <w:tc>
          <w:tcPr>
            <w:tcW w:w="957" w:type="pct"/>
            <w:tcBorders>
              <w:top w:val="nil"/>
              <w:left w:val="nil"/>
              <w:bottom w:val="double" w:sz="6" w:space="0" w:color="1F497D"/>
              <w:right w:val="double" w:sz="6" w:space="0" w:color="1F497D"/>
            </w:tcBorders>
            <w:shd w:val="clear" w:color="auto" w:fill="auto"/>
            <w:vAlign w:val="center"/>
            <w:hideMark/>
          </w:tcPr>
          <w:p w14:paraId="123818C8"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Extraordinaria</w:t>
            </w:r>
          </w:p>
        </w:tc>
        <w:tc>
          <w:tcPr>
            <w:tcW w:w="534" w:type="pct"/>
            <w:tcBorders>
              <w:top w:val="nil"/>
              <w:left w:val="nil"/>
              <w:bottom w:val="double" w:sz="6" w:space="0" w:color="1F497D"/>
              <w:right w:val="double" w:sz="6" w:space="0" w:color="1F497D"/>
            </w:tcBorders>
            <w:shd w:val="clear" w:color="auto" w:fill="auto"/>
            <w:vAlign w:val="center"/>
            <w:hideMark/>
          </w:tcPr>
          <w:p w14:paraId="0D1B5A65"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12 meses</w:t>
            </w:r>
          </w:p>
        </w:tc>
        <w:tc>
          <w:tcPr>
            <w:tcW w:w="968" w:type="pct"/>
            <w:tcBorders>
              <w:top w:val="nil"/>
              <w:left w:val="nil"/>
              <w:bottom w:val="double" w:sz="6" w:space="0" w:color="44546A"/>
              <w:right w:val="double" w:sz="6" w:space="0" w:color="1F497D"/>
            </w:tcBorders>
            <w:shd w:val="clear" w:color="auto" w:fill="auto"/>
            <w:noWrap/>
            <w:vAlign w:val="center"/>
            <w:hideMark/>
          </w:tcPr>
          <w:p w14:paraId="6D678ED5" w14:textId="77777777" w:rsidR="001341EC" w:rsidRPr="00055D4B" w:rsidRDefault="001341EC" w:rsidP="00165AA6">
            <w:pPr>
              <w:jc w:val="center"/>
              <w:rPr>
                <w:rFonts w:ascii="Book Antiqua" w:hAnsi="Book Antiqua"/>
                <w:lang w:eastAsia="es-CR"/>
              </w:rPr>
            </w:pPr>
            <w:r w:rsidRPr="00055D4B">
              <w:rPr>
                <w:sz w:val="22"/>
                <w:szCs w:val="22"/>
                <w:lang w:eastAsia="es-CR"/>
              </w:rPr>
              <w:t>₡</w:t>
            </w:r>
            <w:r w:rsidRPr="00055D4B">
              <w:rPr>
                <w:rFonts w:ascii="Book Antiqua" w:hAnsi="Book Antiqua"/>
                <w:sz w:val="22"/>
                <w:szCs w:val="22"/>
                <w:lang w:eastAsia="es-CR"/>
              </w:rPr>
              <w:t xml:space="preserve">58.117.000,00 </w:t>
            </w:r>
          </w:p>
        </w:tc>
      </w:tr>
      <w:tr w:rsidR="001341EC" w:rsidRPr="00493BFE" w14:paraId="002DD627" w14:textId="77777777" w:rsidTr="004F0AC6">
        <w:trPr>
          <w:trHeight w:val="330"/>
        </w:trPr>
        <w:tc>
          <w:tcPr>
            <w:tcW w:w="1204" w:type="pct"/>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713605FA" w14:textId="77777777" w:rsidR="001341EC" w:rsidRPr="00055D4B" w:rsidRDefault="001341EC" w:rsidP="00165AA6">
            <w:pPr>
              <w:rPr>
                <w:rFonts w:ascii="Book Antiqua" w:hAnsi="Book Antiqua" w:cs="Calibri"/>
                <w:lang w:eastAsia="es-CR"/>
              </w:rPr>
            </w:pPr>
            <w:r w:rsidRPr="00055D4B">
              <w:rPr>
                <w:rFonts w:ascii="Book Antiqua" w:hAnsi="Book Antiqua" w:cs="Calibri"/>
                <w:sz w:val="22"/>
                <w:szCs w:val="22"/>
                <w:lang w:eastAsia="es-CR"/>
              </w:rPr>
              <w:t>Tribunal Agrario</w:t>
            </w:r>
          </w:p>
        </w:tc>
        <w:tc>
          <w:tcPr>
            <w:tcW w:w="389" w:type="pct"/>
            <w:tcBorders>
              <w:top w:val="nil"/>
              <w:left w:val="nil"/>
              <w:bottom w:val="double" w:sz="6" w:space="0" w:color="1F497D"/>
              <w:right w:val="double" w:sz="6" w:space="0" w:color="1F497D"/>
            </w:tcBorders>
            <w:shd w:val="clear" w:color="auto" w:fill="auto"/>
            <w:vAlign w:val="center"/>
            <w:hideMark/>
          </w:tcPr>
          <w:p w14:paraId="40903E5B"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1</w:t>
            </w:r>
          </w:p>
        </w:tc>
        <w:tc>
          <w:tcPr>
            <w:tcW w:w="947" w:type="pct"/>
            <w:tcBorders>
              <w:top w:val="nil"/>
              <w:left w:val="nil"/>
              <w:bottom w:val="double" w:sz="6" w:space="0" w:color="1F497D"/>
              <w:right w:val="double" w:sz="6" w:space="0" w:color="1F497D"/>
            </w:tcBorders>
            <w:shd w:val="clear" w:color="auto" w:fill="auto"/>
            <w:vAlign w:val="center"/>
            <w:hideMark/>
          </w:tcPr>
          <w:p w14:paraId="78B510AE"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Jueza o Juez 4</w:t>
            </w:r>
          </w:p>
        </w:tc>
        <w:tc>
          <w:tcPr>
            <w:tcW w:w="957" w:type="pct"/>
            <w:tcBorders>
              <w:top w:val="nil"/>
              <w:left w:val="nil"/>
              <w:bottom w:val="double" w:sz="6" w:space="0" w:color="1F497D"/>
              <w:right w:val="double" w:sz="6" w:space="0" w:color="1F497D"/>
            </w:tcBorders>
            <w:shd w:val="clear" w:color="auto" w:fill="auto"/>
            <w:vAlign w:val="center"/>
            <w:hideMark/>
          </w:tcPr>
          <w:p w14:paraId="554DEB6E"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Extraordinaria</w:t>
            </w:r>
          </w:p>
        </w:tc>
        <w:tc>
          <w:tcPr>
            <w:tcW w:w="534" w:type="pct"/>
            <w:tcBorders>
              <w:top w:val="nil"/>
              <w:left w:val="nil"/>
              <w:bottom w:val="double" w:sz="6" w:space="0" w:color="1F497D"/>
              <w:right w:val="double" w:sz="6" w:space="0" w:color="1F497D"/>
            </w:tcBorders>
            <w:shd w:val="clear" w:color="auto" w:fill="auto"/>
            <w:vAlign w:val="center"/>
            <w:hideMark/>
          </w:tcPr>
          <w:p w14:paraId="294DBD7E"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12 meses</w:t>
            </w:r>
          </w:p>
        </w:tc>
        <w:tc>
          <w:tcPr>
            <w:tcW w:w="968" w:type="pct"/>
            <w:tcBorders>
              <w:top w:val="double" w:sz="6" w:space="0" w:color="1F497D"/>
              <w:left w:val="nil"/>
              <w:bottom w:val="double" w:sz="6" w:space="0" w:color="1F497D"/>
              <w:right w:val="double" w:sz="6" w:space="0" w:color="1F497D"/>
            </w:tcBorders>
            <w:shd w:val="clear" w:color="auto" w:fill="auto"/>
            <w:noWrap/>
            <w:vAlign w:val="center"/>
            <w:hideMark/>
          </w:tcPr>
          <w:p w14:paraId="266B5F25" w14:textId="77777777" w:rsidR="001341EC" w:rsidRPr="00055D4B" w:rsidRDefault="001341EC" w:rsidP="00165AA6">
            <w:pPr>
              <w:jc w:val="center"/>
              <w:rPr>
                <w:rFonts w:ascii="Book Antiqua" w:hAnsi="Book Antiqua" w:cs="Calibri"/>
                <w:lang w:eastAsia="es-CR"/>
              </w:rPr>
            </w:pPr>
            <w:r w:rsidRPr="00055D4B">
              <w:rPr>
                <w:sz w:val="22"/>
                <w:szCs w:val="22"/>
                <w:lang w:eastAsia="es-CR"/>
              </w:rPr>
              <w:t>₡</w:t>
            </w:r>
            <w:r w:rsidRPr="00055D4B">
              <w:rPr>
                <w:rFonts w:ascii="Book Antiqua" w:hAnsi="Book Antiqua" w:cs="Calibri"/>
                <w:sz w:val="22"/>
                <w:szCs w:val="22"/>
                <w:lang w:eastAsia="es-CR"/>
              </w:rPr>
              <w:t xml:space="preserve">62.621.000,00 </w:t>
            </w:r>
          </w:p>
        </w:tc>
      </w:tr>
      <w:tr w:rsidR="001341EC" w:rsidRPr="00493BFE" w14:paraId="3ED35A23" w14:textId="77777777" w:rsidTr="004F0AC6">
        <w:trPr>
          <w:trHeight w:val="330"/>
        </w:trPr>
        <w:tc>
          <w:tcPr>
            <w:tcW w:w="1204" w:type="pct"/>
            <w:tcBorders>
              <w:top w:val="double" w:sz="6" w:space="0" w:color="44546A"/>
              <w:left w:val="double" w:sz="6" w:space="0" w:color="auto"/>
              <w:bottom w:val="double" w:sz="6" w:space="0" w:color="44546A"/>
              <w:right w:val="double" w:sz="6" w:space="0" w:color="auto"/>
            </w:tcBorders>
            <w:shd w:val="clear" w:color="auto" w:fill="auto"/>
            <w:vAlign w:val="center"/>
            <w:hideMark/>
          </w:tcPr>
          <w:p w14:paraId="797D431F" w14:textId="77777777" w:rsidR="001341EC" w:rsidRPr="00055D4B" w:rsidRDefault="001341EC" w:rsidP="00165AA6">
            <w:pPr>
              <w:rPr>
                <w:rFonts w:ascii="Book Antiqua" w:hAnsi="Book Antiqua" w:cs="Calibri"/>
                <w:lang w:eastAsia="es-CR"/>
              </w:rPr>
            </w:pPr>
            <w:r w:rsidRPr="00055D4B">
              <w:rPr>
                <w:rFonts w:ascii="Book Antiqua" w:hAnsi="Book Antiqua" w:cs="Calibri"/>
                <w:sz w:val="22"/>
                <w:szCs w:val="22"/>
                <w:lang w:eastAsia="es-CR"/>
              </w:rPr>
              <w:t>Administración de la Defensa Pública</w:t>
            </w:r>
          </w:p>
        </w:tc>
        <w:tc>
          <w:tcPr>
            <w:tcW w:w="389" w:type="pct"/>
            <w:tcBorders>
              <w:top w:val="nil"/>
              <w:left w:val="double" w:sz="6" w:space="0" w:color="1F497D"/>
              <w:bottom w:val="double" w:sz="6" w:space="0" w:color="1F497D"/>
              <w:right w:val="double" w:sz="6" w:space="0" w:color="1F497D"/>
            </w:tcBorders>
            <w:shd w:val="clear" w:color="auto" w:fill="auto"/>
            <w:vAlign w:val="center"/>
            <w:hideMark/>
          </w:tcPr>
          <w:p w14:paraId="5584FBDD"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1</w:t>
            </w:r>
          </w:p>
        </w:tc>
        <w:tc>
          <w:tcPr>
            <w:tcW w:w="947" w:type="pct"/>
            <w:tcBorders>
              <w:top w:val="nil"/>
              <w:left w:val="nil"/>
              <w:bottom w:val="double" w:sz="6" w:space="0" w:color="1F497D"/>
              <w:right w:val="double" w:sz="6" w:space="0" w:color="1F497D"/>
            </w:tcBorders>
            <w:shd w:val="clear" w:color="auto" w:fill="auto"/>
            <w:vAlign w:val="center"/>
            <w:hideMark/>
          </w:tcPr>
          <w:p w14:paraId="69BF4265"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Técnico Administrativo 2</w:t>
            </w:r>
          </w:p>
        </w:tc>
        <w:tc>
          <w:tcPr>
            <w:tcW w:w="957" w:type="pct"/>
            <w:tcBorders>
              <w:top w:val="nil"/>
              <w:left w:val="nil"/>
              <w:bottom w:val="double" w:sz="6" w:space="0" w:color="1F497D"/>
              <w:right w:val="double" w:sz="6" w:space="0" w:color="1F497D"/>
            </w:tcBorders>
            <w:shd w:val="clear" w:color="auto" w:fill="auto"/>
            <w:vAlign w:val="center"/>
            <w:hideMark/>
          </w:tcPr>
          <w:p w14:paraId="69631938"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Extraordinaria</w:t>
            </w:r>
          </w:p>
        </w:tc>
        <w:tc>
          <w:tcPr>
            <w:tcW w:w="534" w:type="pct"/>
            <w:tcBorders>
              <w:top w:val="nil"/>
              <w:left w:val="nil"/>
              <w:bottom w:val="double" w:sz="6" w:space="0" w:color="1F497D"/>
              <w:right w:val="double" w:sz="6" w:space="0" w:color="1F497D"/>
            </w:tcBorders>
            <w:shd w:val="clear" w:color="auto" w:fill="auto"/>
            <w:vAlign w:val="center"/>
            <w:hideMark/>
          </w:tcPr>
          <w:p w14:paraId="19CB7534"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12 meses</w:t>
            </w:r>
          </w:p>
        </w:tc>
        <w:tc>
          <w:tcPr>
            <w:tcW w:w="968" w:type="pct"/>
            <w:tcBorders>
              <w:top w:val="nil"/>
              <w:left w:val="nil"/>
              <w:bottom w:val="double" w:sz="6" w:space="0" w:color="1F497D"/>
              <w:right w:val="double" w:sz="6" w:space="0" w:color="1F497D"/>
            </w:tcBorders>
            <w:shd w:val="clear" w:color="auto" w:fill="auto"/>
            <w:noWrap/>
            <w:vAlign w:val="center"/>
            <w:hideMark/>
          </w:tcPr>
          <w:p w14:paraId="2D5C0909" w14:textId="77777777" w:rsidR="001341EC" w:rsidRPr="00055D4B" w:rsidRDefault="001341EC" w:rsidP="00165AA6">
            <w:pPr>
              <w:jc w:val="center"/>
              <w:rPr>
                <w:rFonts w:ascii="Book Antiqua" w:hAnsi="Book Antiqua" w:cs="Calibri"/>
                <w:lang w:eastAsia="es-CR"/>
              </w:rPr>
            </w:pPr>
            <w:r w:rsidRPr="00055D4B">
              <w:rPr>
                <w:sz w:val="22"/>
                <w:szCs w:val="22"/>
                <w:lang w:eastAsia="es-CR"/>
              </w:rPr>
              <w:t>₡</w:t>
            </w:r>
            <w:r w:rsidRPr="00055D4B">
              <w:rPr>
                <w:rFonts w:ascii="Book Antiqua" w:hAnsi="Book Antiqua" w:cs="Calibri"/>
                <w:sz w:val="22"/>
                <w:szCs w:val="22"/>
                <w:lang w:eastAsia="es-CR"/>
              </w:rPr>
              <w:t xml:space="preserve">16.809.000,00 </w:t>
            </w:r>
          </w:p>
        </w:tc>
      </w:tr>
      <w:tr w:rsidR="001341EC" w:rsidRPr="00493BFE" w14:paraId="7321E480" w14:textId="77777777" w:rsidTr="004F0AC6">
        <w:trPr>
          <w:trHeight w:val="330"/>
        </w:trPr>
        <w:tc>
          <w:tcPr>
            <w:tcW w:w="1204" w:type="pct"/>
            <w:vMerge w:val="restart"/>
            <w:tcBorders>
              <w:top w:val="nil"/>
              <w:left w:val="double" w:sz="6" w:space="0" w:color="44546A"/>
              <w:bottom w:val="double" w:sz="6" w:space="0" w:color="1F497D"/>
              <w:right w:val="double" w:sz="6" w:space="0" w:color="44546A"/>
            </w:tcBorders>
            <w:shd w:val="clear" w:color="auto" w:fill="auto"/>
            <w:vAlign w:val="center"/>
            <w:hideMark/>
          </w:tcPr>
          <w:p w14:paraId="4D35CF93" w14:textId="77777777" w:rsidR="001341EC" w:rsidRPr="00055D4B" w:rsidRDefault="001341EC" w:rsidP="00165AA6">
            <w:pPr>
              <w:rPr>
                <w:rFonts w:ascii="Book Antiqua" w:hAnsi="Book Antiqua" w:cs="Calibri"/>
                <w:lang w:eastAsia="es-CR"/>
              </w:rPr>
            </w:pPr>
            <w:r w:rsidRPr="00055D4B">
              <w:rPr>
                <w:rFonts w:ascii="Book Antiqua" w:hAnsi="Book Antiqua" w:cs="Calibri"/>
                <w:sz w:val="22"/>
                <w:szCs w:val="22"/>
                <w:lang w:eastAsia="es-CR"/>
              </w:rPr>
              <w:t>Escuela Judicial</w:t>
            </w:r>
          </w:p>
        </w:tc>
        <w:tc>
          <w:tcPr>
            <w:tcW w:w="389" w:type="pct"/>
            <w:tcBorders>
              <w:top w:val="nil"/>
              <w:left w:val="double" w:sz="6" w:space="0" w:color="1F497D"/>
              <w:bottom w:val="double" w:sz="6" w:space="0" w:color="1F497D"/>
              <w:right w:val="double" w:sz="6" w:space="0" w:color="1F497D"/>
            </w:tcBorders>
            <w:shd w:val="clear" w:color="auto" w:fill="auto"/>
            <w:vAlign w:val="center"/>
            <w:hideMark/>
          </w:tcPr>
          <w:p w14:paraId="24691298"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1</w:t>
            </w:r>
          </w:p>
        </w:tc>
        <w:tc>
          <w:tcPr>
            <w:tcW w:w="947" w:type="pct"/>
            <w:tcBorders>
              <w:top w:val="nil"/>
              <w:left w:val="nil"/>
              <w:bottom w:val="double" w:sz="6" w:space="0" w:color="1F497D"/>
              <w:right w:val="double" w:sz="6" w:space="0" w:color="1F497D"/>
            </w:tcBorders>
            <w:shd w:val="clear" w:color="auto" w:fill="auto"/>
            <w:vAlign w:val="center"/>
            <w:hideMark/>
          </w:tcPr>
          <w:p w14:paraId="6DFB230A"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Jueza o Juez 4</w:t>
            </w:r>
          </w:p>
        </w:tc>
        <w:tc>
          <w:tcPr>
            <w:tcW w:w="957" w:type="pct"/>
            <w:tcBorders>
              <w:top w:val="nil"/>
              <w:left w:val="nil"/>
              <w:bottom w:val="double" w:sz="6" w:space="0" w:color="1F497D"/>
              <w:right w:val="double" w:sz="6" w:space="0" w:color="1F497D"/>
            </w:tcBorders>
            <w:shd w:val="clear" w:color="auto" w:fill="auto"/>
            <w:vAlign w:val="center"/>
            <w:hideMark/>
          </w:tcPr>
          <w:p w14:paraId="567C1DF5"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Extraordinaria</w:t>
            </w:r>
          </w:p>
        </w:tc>
        <w:tc>
          <w:tcPr>
            <w:tcW w:w="534" w:type="pct"/>
            <w:tcBorders>
              <w:top w:val="nil"/>
              <w:left w:val="nil"/>
              <w:bottom w:val="double" w:sz="6" w:space="0" w:color="1F497D"/>
              <w:right w:val="double" w:sz="6" w:space="0" w:color="1F497D"/>
            </w:tcBorders>
            <w:shd w:val="clear" w:color="auto" w:fill="auto"/>
            <w:vAlign w:val="center"/>
            <w:hideMark/>
          </w:tcPr>
          <w:p w14:paraId="72962C6C"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1 mes</w:t>
            </w:r>
          </w:p>
        </w:tc>
        <w:tc>
          <w:tcPr>
            <w:tcW w:w="968" w:type="pct"/>
            <w:tcBorders>
              <w:top w:val="nil"/>
              <w:left w:val="nil"/>
              <w:bottom w:val="double" w:sz="6" w:space="0" w:color="1F497D"/>
              <w:right w:val="double" w:sz="6" w:space="0" w:color="1F497D"/>
            </w:tcBorders>
            <w:shd w:val="clear" w:color="auto" w:fill="auto"/>
            <w:noWrap/>
            <w:vAlign w:val="center"/>
            <w:hideMark/>
          </w:tcPr>
          <w:p w14:paraId="06332512" w14:textId="77777777" w:rsidR="001341EC" w:rsidRPr="00055D4B" w:rsidRDefault="001341EC" w:rsidP="00165AA6">
            <w:pPr>
              <w:jc w:val="center"/>
              <w:rPr>
                <w:rFonts w:ascii="Book Antiqua" w:hAnsi="Book Antiqua" w:cs="Calibri"/>
                <w:lang w:eastAsia="es-CR"/>
              </w:rPr>
            </w:pPr>
            <w:r w:rsidRPr="00055D4B">
              <w:rPr>
                <w:sz w:val="22"/>
                <w:szCs w:val="22"/>
                <w:lang w:eastAsia="es-CR"/>
              </w:rPr>
              <w:t>₡</w:t>
            </w:r>
            <w:r w:rsidRPr="00055D4B">
              <w:rPr>
                <w:rFonts w:ascii="Book Antiqua" w:hAnsi="Book Antiqua" w:cs="Calibri"/>
                <w:sz w:val="22"/>
                <w:szCs w:val="22"/>
                <w:lang w:eastAsia="es-CR"/>
              </w:rPr>
              <w:t xml:space="preserve">5.218.416,67 </w:t>
            </w:r>
          </w:p>
        </w:tc>
      </w:tr>
      <w:tr w:rsidR="001341EC" w:rsidRPr="00493BFE" w14:paraId="41840013" w14:textId="77777777" w:rsidTr="004F0AC6">
        <w:trPr>
          <w:trHeight w:val="640"/>
        </w:trPr>
        <w:tc>
          <w:tcPr>
            <w:tcW w:w="1204" w:type="pct"/>
            <w:vMerge/>
            <w:tcBorders>
              <w:top w:val="nil"/>
              <w:left w:val="double" w:sz="6" w:space="0" w:color="44546A"/>
              <w:bottom w:val="double" w:sz="6" w:space="0" w:color="1F497D"/>
              <w:right w:val="double" w:sz="6" w:space="0" w:color="44546A"/>
            </w:tcBorders>
            <w:vAlign w:val="center"/>
            <w:hideMark/>
          </w:tcPr>
          <w:p w14:paraId="7647EED8" w14:textId="77777777" w:rsidR="001341EC" w:rsidRPr="00055D4B" w:rsidRDefault="001341EC" w:rsidP="00165AA6">
            <w:pPr>
              <w:rPr>
                <w:rFonts w:ascii="Book Antiqua" w:hAnsi="Book Antiqua" w:cs="Calibri"/>
                <w:lang w:eastAsia="es-CR"/>
              </w:rPr>
            </w:pPr>
          </w:p>
        </w:tc>
        <w:tc>
          <w:tcPr>
            <w:tcW w:w="389" w:type="pct"/>
            <w:tcBorders>
              <w:top w:val="nil"/>
              <w:left w:val="double" w:sz="6" w:space="0" w:color="1F497D"/>
              <w:bottom w:val="double" w:sz="6" w:space="0" w:color="1F497D"/>
              <w:right w:val="double" w:sz="6" w:space="0" w:color="1F497D"/>
            </w:tcBorders>
            <w:shd w:val="clear" w:color="auto" w:fill="auto"/>
            <w:vAlign w:val="center"/>
            <w:hideMark/>
          </w:tcPr>
          <w:p w14:paraId="40A2C77C"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1</w:t>
            </w:r>
          </w:p>
        </w:tc>
        <w:tc>
          <w:tcPr>
            <w:tcW w:w="947" w:type="pct"/>
            <w:tcBorders>
              <w:top w:val="nil"/>
              <w:left w:val="nil"/>
              <w:bottom w:val="double" w:sz="6" w:space="0" w:color="1F497D"/>
              <w:right w:val="double" w:sz="6" w:space="0" w:color="1F497D"/>
            </w:tcBorders>
            <w:shd w:val="clear" w:color="auto" w:fill="auto"/>
            <w:vAlign w:val="center"/>
            <w:hideMark/>
          </w:tcPr>
          <w:p w14:paraId="3FCBB2FE"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Profesional 2 (especialista en métodos de enseñanza)</w:t>
            </w:r>
          </w:p>
        </w:tc>
        <w:tc>
          <w:tcPr>
            <w:tcW w:w="957" w:type="pct"/>
            <w:tcBorders>
              <w:top w:val="nil"/>
              <w:left w:val="nil"/>
              <w:bottom w:val="double" w:sz="6" w:space="0" w:color="1F497D"/>
              <w:right w:val="double" w:sz="6" w:space="0" w:color="1F497D"/>
            </w:tcBorders>
            <w:shd w:val="clear" w:color="auto" w:fill="auto"/>
            <w:vAlign w:val="center"/>
            <w:hideMark/>
          </w:tcPr>
          <w:p w14:paraId="049E970A"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Extraordinaria</w:t>
            </w:r>
          </w:p>
        </w:tc>
        <w:tc>
          <w:tcPr>
            <w:tcW w:w="534" w:type="pct"/>
            <w:tcBorders>
              <w:top w:val="nil"/>
              <w:left w:val="nil"/>
              <w:bottom w:val="double" w:sz="6" w:space="0" w:color="1F497D"/>
              <w:right w:val="double" w:sz="6" w:space="0" w:color="1F497D"/>
            </w:tcBorders>
            <w:shd w:val="clear" w:color="auto" w:fill="auto"/>
            <w:vAlign w:val="center"/>
            <w:hideMark/>
          </w:tcPr>
          <w:p w14:paraId="5315092A"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1 mes</w:t>
            </w:r>
          </w:p>
        </w:tc>
        <w:tc>
          <w:tcPr>
            <w:tcW w:w="968" w:type="pct"/>
            <w:tcBorders>
              <w:top w:val="nil"/>
              <w:left w:val="nil"/>
              <w:bottom w:val="double" w:sz="6" w:space="0" w:color="1F497D"/>
              <w:right w:val="double" w:sz="6" w:space="0" w:color="1F497D"/>
            </w:tcBorders>
            <w:shd w:val="clear" w:color="auto" w:fill="auto"/>
            <w:noWrap/>
            <w:vAlign w:val="center"/>
            <w:hideMark/>
          </w:tcPr>
          <w:p w14:paraId="690D6261" w14:textId="77777777" w:rsidR="001341EC" w:rsidRPr="00055D4B" w:rsidRDefault="001341EC" w:rsidP="00165AA6">
            <w:pPr>
              <w:jc w:val="center"/>
              <w:rPr>
                <w:rFonts w:ascii="Book Antiqua" w:hAnsi="Book Antiqua" w:cs="Calibri"/>
                <w:lang w:eastAsia="es-CR"/>
              </w:rPr>
            </w:pPr>
            <w:r w:rsidRPr="00055D4B">
              <w:rPr>
                <w:sz w:val="22"/>
                <w:szCs w:val="22"/>
                <w:lang w:eastAsia="es-CR"/>
              </w:rPr>
              <w:t>₡</w:t>
            </w:r>
            <w:r w:rsidRPr="00055D4B">
              <w:rPr>
                <w:rFonts w:ascii="Book Antiqua" w:hAnsi="Book Antiqua" w:cs="Calibri"/>
                <w:sz w:val="22"/>
                <w:szCs w:val="22"/>
                <w:lang w:eastAsia="es-CR"/>
              </w:rPr>
              <w:t xml:space="preserve">3.152.735,55 </w:t>
            </w:r>
          </w:p>
        </w:tc>
      </w:tr>
      <w:tr w:rsidR="001341EC" w:rsidRPr="00493BFE" w14:paraId="56ACB96F" w14:textId="77777777" w:rsidTr="004F0AC6">
        <w:trPr>
          <w:trHeight w:val="330"/>
        </w:trPr>
        <w:tc>
          <w:tcPr>
            <w:tcW w:w="1204" w:type="pct"/>
            <w:tcBorders>
              <w:top w:val="nil"/>
              <w:left w:val="double" w:sz="6" w:space="0" w:color="1F497D"/>
              <w:bottom w:val="double" w:sz="6" w:space="0" w:color="1F497D"/>
              <w:right w:val="double" w:sz="6" w:space="0" w:color="1F497D"/>
            </w:tcBorders>
            <w:shd w:val="clear" w:color="auto" w:fill="auto"/>
            <w:vAlign w:val="center"/>
            <w:hideMark/>
          </w:tcPr>
          <w:p w14:paraId="0003B4C5" w14:textId="77777777" w:rsidR="001341EC" w:rsidRPr="00055D4B" w:rsidRDefault="001341EC" w:rsidP="00165AA6">
            <w:pPr>
              <w:rPr>
                <w:rFonts w:ascii="Book Antiqua" w:hAnsi="Book Antiqua" w:cs="Calibri"/>
                <w:lang w:eastAsia="es-CR"/>
              </w:rPr>
            </w:pPr>
            <w:r w:rsidRPr="00055D4B">
              <w:rPr>
                <w:rFonts w:ascii="Book Antiqua" w:hAnsi="Book Antiqua" w:cs="Calibri"/>
                <w:sz w:val="22"/>
                <w:szCs w:val="22"/>
                <w:lang w:eastAsia="es-CR"/>
              </w:rPr>
              <w:t>Dirección Ejecutiva</w:t>
            </w:r>
          </w:p>
        </w:tc>
        <w:tc>
          <w:tcPr>
            <w:tcW w:w="389" w:type="pct"/>
            <w:tcBorders>
              <w:top w:val="nil"/>
              <w:left w:val="nil"/>
              <w:bottom w:val="double" w:sz="6" w:space="0" w:color="1F497D"/>
              <w:right w:val="double" w:sz="6" w:space="0" w:color="1F497D"/>
            </w:tcBorders>
            <w:shd w:val="clear" w:color="auto" w:fill="auto"/>
            <w:vAlign w:val="center"/>
            <w:hideMark/>
          </w:tcPr>
          <w:p w14:paraId="293A9135"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8</w:t>
            </w:r>
          </w:p>
        </w:tc>
        <w:tc>
          <w:tcPr>
            <w:tcW w:w="947" w:type="pct"/>
            <w:tcBorders>
              <w:top w:val="nil"/>
              <w:left w:val="nil"/>
              <w:bottom w:val="double" w:sz="6" w:space="0" w:color="1F497D"/>
              <w:right w:val="double" w:sz="6" w:space="0" w:color="1F497D"/>
            </w:tcBorders>
            <w:shd w:val="clear" w:color="auto" w:fill="auto"/>
            <w:vAlign w:val="center"/>
            <w:hideMark/>
          </w:tcPr>
          <w:p w14:paraId="46E1551A"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Chofer</w:t>
            </w:r>
          </w:p>
        </w:tc>
        <w:tc>
          <w:tcPr>
            <w:tcW w:w="957" w:type="pct"/>
            <w:tcBorders>
              <w:top w:val="nil"/>
              <w:left w:val="nil"/>
              <w:bottom w:val="double" w:sz="6" w:space="0" w:color="1F497D"/>
              <w:right w:val="double" w:sz="6" w:space="0" w:color="1F497D"/>
            </w:tcBorders>
            <w:shd w:val="clear" w:color="auto" w:fill="auto"/>
            <w:vAlign w:val="center"/>
            <w:hideMark/>
          </w:tcPr>
          <w:p w14:paraId="4D8AAC9C"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Extraordinarias</w:t>
            </w:r>
          </w:p>
        </w:tc>
        <w:tc>
          <w:tcPr>
            <w:tcW w:w="534" w:type="pct"/>
            <w:tcBorders>
              <w:top w:val="nil"/>
              <w:left w:val="nil"/>
              <w:bottom w:val="double" w:sz="6" w:space="0" w:color="1F497D"/>
              <w:right w:val="double" w:sz="6" w:space="0" w:color="1F497D"/>
            </w:tcBorders>
            <w:shd w:val="clear" w:color="auto" w:fill="auto"/>
            <w:vAlign w:val="center"/>
            <w:hideMark/>
          </w:tcPr>
          <w:p w14:paraId="5C0CBCE1" w14:textId="77777777" w:rsidR="001341EC" w:rsidRPr="00055D4B" w:rsidRDefault="001341EC" w:rsidP="00165AA6">
            <w:pPr>
              <w:jc w:val="center"/>
              <w:rPr>
                <w:rFonts w:ascii="Book Antiqua" w:hAnsi="Book Antiqua" w:cs="Calibri"/>
                <w:lang w:eastAsia="es-CR"/>
              </w:rPr>
            </w:pPr>
            <w:r w:rsidRPr="00055D4B">
              <w:rPr>
                <w:rFonts w:ascii="Book Antiqua" w:hAnsi="Book Antiqua" w:cs="Calibri"/>
                <w:sz w:val="22"/>
                <w:szCs w:val="22"/>
                <w:lang w:eastAsia="es-CR"/>
              </w:rPr>
              <w:t>12 meses</w:t>
            </w:r>
          </w:p>
        </w:tc>
        <w:tc>
          <w:tcPr>
            <w:tcW w:w="968" w:type="pct"/>
            <w:tcBorders>
              <w:top w:val="nil"/>
              <w:left w:val="nil"/>
              <w:bottom w:val="double" w:sz="6" w:space="0" w:color="44546A"/>
              <w:right w:val="double" w:sz="6" w:space="0" w:color="1F497D"/>
            </w:tcBorders>
            <w:shd w:val="clear" w:color="auto" w:fill="auto"/>
            <w:noWrap/>
            <w:vAlign w:val="center"/>
            <w:hideMark/>
          </w:tcPr>
          <w:p w14:paraId="6FB6E644" w14:textId="77777777" w:rsidR="001341EC" w:rsidRPr="00055D4B" w:rsidRDefault="001341EC" w:rsidP="00165AA6">
            <w:pPr>
              <w:jc w:val="center"/>
              <w:rPr>
                <w:rFonts w:ascii="Book Antiqua" w:hAnsi="Book Antiqua"/>
                <w:lang w:eastAsia="es-CR"/>
              </w:rPr>
            </w:pPr>
            <w:r w:rsidRPr="00055D4B">
              <w:rPr>
                <w:sz w:val="22"/>
                <w:szCs w:val="22"/>
                <w:lang w:eastAsia="es-CR"/>
              </w:rPr>
              <w:t>₡</w:t>
            </w:r>
            <w:r w:rsidRPr="00055D4B">
              <w:rPr>
                <w:rFonts w:ascii="Book Antiqua" w:hAnsi="Book Antiqua"/>
                <w:sz w:val="22"/>
                <w:szCs w:val="22"/>
                <w:lang w:eastAsia="es-CR"/>
              </w:rPr>
              <w:t xml:space="preserve">115.896.000,00 </w:t>
            </w:r>
          </w:p>
        </w:tc>
      </w:tr>
      <w:tr w:rsidR="001341EC" w:rsidRPr="00493BFE" w14:paraId="09468C3A" w14:textId="77777777" w:rsidTr="004F0AC6">
        <w:trPr>
          <w:trHeight w:val="300"/>
        </w:trPr>
        <w:tc>
          <w:tcPr>
            <w:tcW w:w="1204" w:type="pct"/>
            <w:tcBorders>
              <w:top w:val="double" w:sz="6" w:space="0" w:color="44546A"/>
              <w:left w:val="double" w:sz="6" w:space="0" w:color="auto"/>
              <w:bottom w:val="double" w:sz="6" w:space="0" w:color="44546A"/>
              <w:right w:val="double" w:sz="6" w:space="0" w:color="auto"/>
            </w:tcBorders>
            <w:shd w:val="clear" w:color="auto" w:fill="auto"/>
            <w:vAlign w:val="center"/>
            <w:hideMark/>
          </w:tcPr>
          <w:p w14:paraId="3B52C58B" w14:textId="77777777" w:rsidR="001341EC" w:rsidRPr="00055D4B" w:rsidRDefault="001341EC" w:rsidP="00165AA6">
            <w:pPr>
              <w:rPr>
                <w:rFonts w:ascii="Book Antiqua" w:hAnsi="Book Antiqua" w:cs="Calibri"/>
                <w:b/>
                <w:bCs/>
                <w:lang w:eastAsia="es-CR"/>
              </w:rPr>
            </w:pPr>
            <w:r w:rsidRPr="00055D4B">
              <w:rPr>
                <w:rFonts w:ascii="Book Antiqua" w:hAnsi="Book Antiqua" w:cs="Calibri"/>
                <w:b/>
                <w:bCs/>
                <w:sz w:val="22"/>
                <w:szCs w:val="22"/>
                <w:lang w:eastAsia="es-CR"/>
              </w:rPr>
              <w:t>Total</w:t>
            </w:r>
          </w:p>
        </w:tc>
        <w:tc>
          <w:tcPr>
            <w:tcW w:w="389" w:type="pct"/>
            <w:tcBorders>
              <w:top w:val="nil"/>
              <w:left w:val="double" w:sz="6" w:space="0" w:color="1F497D"/>
              <w:bottom w:val="double" w:sz="6" w:space="0" w:color="1F497D"/>
              <w:right w:val="double" w:sz="6" w:space="0" w:color="1F497D"/>
            </w:tcBorders>
            <w:shd w:val="clear" w:color="auto" w:fill="auto"/>
            <w:vAlign w:val="center"/>
            <w:hideMark/>
          </w:tcPr>
          <w:p w14:paraId="717146C0" w14:textId="77777777" w:rsidR="001341EC" w:rsidRPr="00055D4B" w:rsidRDefault="001341EC" w:rsidP="00165AA6">
            <w:pPr>
              <w:jc w:val="center"/>
              <w:rPr>
                <w:rFonts w:ascii="Book Antiqua" w:hAnsi="Book Antiqua" w:cs="Calibri"/>
                <w:b/>
                <w:bCs/>
                <w:lang w:eastAsia="es-CR"/>
              </w:rPr>
            </w:pPr>
            <w:r w:rsidRPr="00055D4B">
              <w:rPr>
                <w:rFonts w:ascii="Book Antiqua" w:hAnsi="Book Antiqua" w:cs="Calibri"/>
                <w:b/>
                <w:bCs/>
                <w:sz w:val="22"/>
                <w:szCs w:val="22"/>
                <w:lang w:eastAsia="es-CR"/>
              </w:rPr>
              <w:t>13</w:t>
            </w:r>
          </w:p>
        </w:tc>
        <w:tc>
          <w:tcPr>
            <w:tcW w:w="2439" w:type="pct"/>
            <w:gridSpan w:val="3"/>
            <w:tcBorders>
              <w:top w:val="double" w:sz="6" w:space="0" w:color="1F497D"/>
              <w:left w:val="nil"/>
              <w:bottom w:val="double" w:sz="6" w:space="0" w:color="1F497D"/>
              <w:right w:val="nil"/>
            </w:tcBorders>
            <w:shd w:val="clear" w:color="000000" w:fill="D9D9D9"/>
            <w:noWrap/>
            <w:vAlign w:val="center"/>
            <w:hideMark/>
          </w:tcPr>
          <w:p w14:paraId="21B42B1D" w14:textId="77777777" w:rsidR="001341EC" w:rsidRPr="00055D4B" w:rsidRDefault="001341EC" w:rsidP="00165AA6">
            <w:pPr>
              <w:jc w:val="center"/>
              <w:rPr>
                <w:rFonts w:ascii="Book Antiqua" w:hAnsi="Book Antiqua"/>
                <w:lang w:eastAsia="es-CR"/>
              </w:rPr>
            </w:pPr>
            <w:r w:rsidRPr="00055D4B">
              <w:rPr>
                <w:rFonts w:ascii="Book Antiqua" w:hAnsi="Book Antiqua"/>
                <w:sz w:val="22"/>
                <w:szCs w:val="22"/>
                <w:lang w:eastAsia="es-CR"/>
              </w:rPr>
              <w:t> </w:t>
            </w:r>
          </w:p>
        </w:tc>
        <w:tc>
          <w:tcPr>
            <w:tcW w:w="968" w:type="pct"/>
            <w:tcBorders>
              <w:top w:val="double" w:sz="6" w:space="0" w:color="1F497D"/>
              <w:left w:val="nil"/>
              <w:bottom w:val="double" w:sz="6" w:space="0" w:color="1F497D"/>
              <w:right w:val="double" w:sz="6" w:space="0" w:color="1F497D"/>
            </w:tcBorders>
            <w:shd w:val="clear" w:color="auto" w:fill="auto"/>
            <w:noWrap/>
            <w:vAlign w:val="center"/>
            <w:hideMark/>
          </w:tcPr>
          <w:p w14:paraId="17E6B8A7" w14:textId="77777777" w:rsidR="001341EC" w:rsidRPr="00055D4B" w:rsidRDefault="001341EC" w:rsidP="00165AA6">
            <w:pPr>
              <w:jc w:val="center"/>
              <w:rPr>
                <w:rFonts w:ascii="Book Antiqua" w:hAnsi="Book Antiqua" w:cs="Calibri"/>
                <w:b/>
                <w:bCs/>
                <w:lang w:eastAsia="es-CR"/>
              </w:rPr>
            </w:pPr>
            <w:r w:rsidRPr="00055D4B">
              <w:rPr>
                <w:b/>
                <w:bCs/>
                <w:sz w:val="22"/>
                <w:szCs w:val="22"/>
                <w:lang w:eastAsia="es-CR"/>
              </w:rPr>
              <w:t>₡</w:t>
            </w:r>
            <w:r w:rsidRPr="00055D4B">
              <w:rPr>
                <w:rFonts w:ascii="Book Antiqua" w:hAnsi="Book Antiqua" w:cs="Calibri"/>
                <w:b/>
                <w:bCs/>
                <w:sz w:val="22"/>
                <w:szCs w:val="22"/>
                <w:lang w:eastAsia="es-CR"/>
              </w:rPr>
              <w:t xml:space="preserve">261.814.152,22 </w:t>
            </w:r>
          </w:p>
        </w:tc>
      </w:tr>
    </w:tbl>
    <w:p w14:paraId="727E5154" w14:textId="77777777" w:rsidR="001341EC" w:rsidRPr="0016798C" w:rsidRDefault="001341EC" w:rsidP="001341EC">
      <w:pPr>
        <w:ind w:left="-567"/>
        <w:jc w:val="both"/>
        <w:rPr>
          <w:rFonts w:ascii="Book Antiqua" w:hAnsi="Book Antiqua"/>
          <w:b/>
          <w:i/>
          <w:lang w:eastAsia="en-US"/>
        </w:rPr>
      </w:pPr>
      <w:r>
        <w:rPr>
          <w:rFonts w:ascii="Book Antiqua" w:hAnsi="Book Antiqua"/>
          <w:b/>
          <w:i/>
          <w:lang w:eastAsia="en-US"/>
        </w:rPr>
        <w:t xml:space="preserve">           </w:t>
      </w:r>
      <w:r w:rsidRPr="0016798C">
        <w:rPr>
          <w:rFonts w:ascii="Book Antiqua" w:hAnsi="Book Antiqua"/>
          <w:b/>
          <w:i/>
          <w:lang w:eastAsia="en-US"/>
        </w:rPr>
        <w:t>Fuente: Subproceso de Modernización Institucional, Dirección de Planificación.</w:t>
      </w:r>
    </w:p>
    <w:p w14:paraId="7302EF8F" w14:textId="77777777" w:rsidR="001341EC" w:rsidRDefault="001341EC" w:rsidP="001341EC">
      <w:pPr>
        <w:rPr>
          <w:rFonts w:ascii="Book Antiqua" w:hAnsi="Book Antiqua"/>
          <w:lang w:val="es-ES_tradnl" w:eastAsia="en-US"/>
        </w:rPr>
      </w:pPr>
    </w:p>
    <w:p w14:paraId="52AD3E74" w14:textId="77777777" w:rsidR="00FE7CB4" w:rsidRDefault="00FE7CB4" w:rsidP="001341EC">
      <w:pPr>
        <w:rPr>
          <w:rFonts w:ascii="Book Antiqua" w:hAnsi="Book Antiqua"/>
          <w:lang w:val="es-ES_tradnl" w:eastAsia="en-US"/>
        </w:rPr>
      </w:pPr>
    </w:p>
    <w:p w14:paraId="5B41CB92" w14:textId="77777777" w:rsidR="00FE7CB4" w:rsidRPr="0016798C" w:rsidRDefault="00FE7CB4" w:rsidP="001341EC">
      <w:pPr>
        <w:rPr>
          <w:rFonts w:ascii="Book Antiqua" w:hAnsi="Book Antiqua"/>
          <w:lang w:val="es-ES_tradnl" w:eastAsia="en-US"/>
        </w:rPr>
      </w:pPr>
    </w:p>
    <w:p w14:paraId="062B7B4E" w14:textId="77777777" w:rsidR="001341EC" w:rsidRPr="008D67EA" w:rsidRDefault="001341EC" w:rsidP="008D67EA">
      <w:pPr>
        <w:pStyle w:val="Descripcin"/>
        <w:widowControl/>
        <w:autoSpaceDE/>
        <w:autoSpaceDN/>
        <w:adjustRightInd/>
        <w:spacing w:line="276" w:lineRule="auto"/>
        <w:jc w:val="center"/>
        <w:rPr>
          <w:rFonts w:ascii="Book Antiqua" w:hAnsi="Book Antiqua"/>
          <w:bCs w:val="0"/>
          <w:iCs/>
          <w:sz w:val="24"/>
          <w:szCs w:val="22"/>
          <w:lang w:val="es-CR"/>
        </w:rPr>
      </w:pPr>
      <w:r w:rsidRPr="008D67EA">
        <w:rPr>
          <w:rFonts w:ascii="Book Antiqua" w:hAnsi="Book Antiqua"/>
          <w:bCs w:val="0"/>
          <w:iCs/>
          <w:sz w:val="24"/>
          <w:szCs w:val="22"/>
          <w:lang w:val="es-CR"/>
        </w:rPr>
        <w:t xml:space="preserve">Cuadro </w:t>
      </w:r>
      <w:r w:rsidR="00E422DB" w:rsidRPr="008D67EA">
        <w:rPr>
          <w:rFonts w:ascii="Book Antiqua" w:hAnsi="Book Antiqua"/>
          <w:bCs w:val="0"/>
          <w:iCs/>
          <w:sz w:val="24"/>
          <w:szCs w:val="22"/>
          <w:lang w:val="es-CR"/>
        </w:rPr>
        <w:t>22</w:t>
      </w:r>
      <w:r w:rsidR="007A380D" w:rsidRPr="008D67EA">
        <w:rPr>
          <w:rFonts w:ascii="Book Antiqua" w:hAnsi="Book Antiqua"/>
          <w:bCs w:val="0"/>
          <w:iCs/>
          <w:sz w:val="24"/>
          <w:szCs w:val="22"/>
          <w:lang w:val="es-CR"/>
        </w:rPr>
        <w:t>.</w:t>
      </w:r>
    </w:p>
    <w:p w14:paraId="4D261BF4" w14:textId="77777777" w:rsidR="008D67EA" w:rsidRPr="008D67EA" w:rsidRDefault="008D67EA" w:rsidP="008D67EA">
      <w:pPr>
        <w:jc w:val="center"/>
        <w:rPr>
          <w:rFonts w:ascii="Book Antiqua" w:hAnsi="Book Antiqua"/>
          <w:sz w:val="24"/>
          <w:szCs w:val="22"/>
        </w:rPr>
      </w:pPr>
      <w:r w:rsidRPr="008D67EA">
        <w:rPr>
          <w:rFonts w:ascii="Book Antiqua" w:hAnsi="Book Antiqua"/>
          <w:sz w:val="24"/>
          <w:szCs w:val="22"/>
        </w:rPr>
        <w:t xml:space="preserve">Costo </w:t>
      </w:r>
      <w:r w:rsidR="001D2F22">
        <w:rPr>
          <w:rFonts w:ascii="Book Antiqua" w:hAnsi="Book Antiqua"/>
          <w:sz w:val="24"/>
          <w:szCs w:val="22"/>
        </w:rPr>
        <w:t xml:space="preserve">total </w:t>
      </w:r>
      <w:r w:rsidRPr="008D67EA">
        <w:rPr>
          <w:rFonts w:ascii="Book Antiqua" w:hAnsi="Book Antiqua"/>
          <w:sz w:val="24"/>
          <w:szCs w:val="22"/>
        </w:rPr>
        <w:t>estimado para presupuesto 2020</w:t>
      </w:r>
    </w:p>
    <w:tbl>
      <w:tblPr>
        <w:tblW w:w="8978" w:type="dxa"/>
        <w:tblCellMar>
          <w:left w:w="70" w:type="dxa"/>
          <w:right w:w="70" w:type="dxa"/>
        </w:tblCellMar>
        <w:tblLook w:val="04A0" w:firstRow="1" w:lastRow="0" w:firstColumn="1" w:lastColumn="0" w:noHBand="0" w:noVBand="1"/>
      </w:tblPr>
      <w:tblGrid>
        <w:gridCol w:w="2120"/>
        <w:gridCol w:w="1674"/>
        <w:gridCol w:w="1674"/>
        <w:gridCol w:w="1564"/>
        <w:gridCol w:w="2420"/>
      </w:tblGrid>
      <w:tr w:rsidR="001341EC" w:rsidRPr="00D67E2C" w14:paraId="2B5B58D9" w14:textId="77777777" w:rsidTr="00E422DB">
        <w:trPr>
          <w:trHeight w:val="310"/>
          <w:tblHeader/>
        </w:trPr>
        <w:tc>
          <w:tcPr>
            <w:tcW w:w="8978" w:type="dxa"/>
            <w:gridSpan w:val="5"/>
            <w:tcBorders>
              <w:top w:val="double" w:sz="6" w:space="0" w:color="1F497D"/>
              <w:left w:val="nil"/>
              <w:bottom w:val="double" w:sz="6" w:space="0" w:color="1F497D"/>
              <w:right w:val="nil"/>
            </w:tcBorders>
            <w:shd w:val="clear" w:color="000000" w:fill="8DB4E2"/>
            <w:vAlign w:val="center"/>
            <w:hideMark/>
          </w:tcPr>
          <w:p w14:paraId="4A0B3775" w14:textId="77777777" w:rsidR="001341EC" w:rsidRPr="00D67E2C" w:rsidRDefault="001341EC" w:rsidP="00165AA6">
            <w:pPr>
              <w:jc w:val="center"/>
              <w:rPr>
                <w:rFonts w:ascii="Book Antiqua" w:hAnsi="Book Antiqua" w:cs="Calibri"/>
                <w:b/>
                <w:bCs/>
                <w:color w:val="000000"/>
                <w:lang w:eastAsia="es-CR"/>
              </w:rPr>
            </w:pPr>
            <w:r w:rsidRPr="00D67E2C">
              <w:rPr>
                <w:rFonts w:ascii="Book Antiqua" w:hAnsi="Book Antiqua" w:cs="Calibri"/>
                <w:b/>
                <w:bCs/>
                <w:color w:val="000000"/>
                <w:sz w:val="22"/>
                <w:szCs w:val="22"/>
                <w:lang w:eastAsia="es-CR"/>
              </w:rPr>
              <w:t>Estimación de costos para la implementación de la reforma con cargo al presupuesto del periodo 2020, según programa presupuestario</w:t>
            </w:r>
          </w:p>
        </w:tc>
      </w:tr>
      <w:tr w:rsidR="001341EC" w:rsidRPr="00493BFE" w14:paraId="59880227" w14:textId="77777777" w:rsidTr="00E422DB">
        <w:trPr>
          <w:trHeight w:val="310"/>
          <w:tblHeader/>
        </w:trPr>
        <w:tc>
          <w:tcPr>
            <w:tcW w:w="1974" w:type="dxa"/>
            <w:vMerge w:val="restart"/>
            <w:tcBorders>
              <w:top w:val="nil"/>
              <w:left w:val="double" w:sz="6" w:space="0" w:color="1F497D"/>
              <w:bottom w:val="double" w:sz="6" w:space="0" w:color="1F497D"/>
              <w:right w:val="double" w:sz="6" w:space="0" w:color="1F497D"/>
            </w:tcBorders>
            <w:shd w:val="clear" w:color="000000" w:fill="8DB4E2"/>
            <w:vAlign w:val="center"/>
            <w:hideMark/>
          </w:tcPr>
          <w:p w14:paraId="6A6C5266"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REQUERIMIENTO</w:t>
            </w:r>
          </w:p>
        </w:tc>
        <w:tc>
          <w:tcPr>
            <w:tcW w:w="7004" w:type="dxa"/>
            <w:gridSpan w:val="4"/>
            <w:tcBorders>
              <w:top w:val="double" w:sz="6" w:space="0" w:color="1F497D"/>
              <w:left w:val="nil"/>
              <w:bottom w:val="double" w:sz="6" w:space="0" w:color="1F497D"/>
              <w:right w:val="double" w:sz="6" w:space="0" w:color="1F497D"/>
            </w:tcBorders>
            <w:shd w:val="clear" w:color="000000" w:fill="8DB4E2"/>
            <w:vAlign w:val="center"/>
            <w:hideMark/>
          </w:tcPr>
          <w:p w14:paraId="58A1FD87"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PROGRAMA</w:t>
            </w:r>
          </w:p>
        </w:tc>
      </w:tr>
      <w:tr w:rsidR="001341EC" w:rsidRPr="00493BFE" w14:paraId="3CB1A603" w14:textId="77777777" w:rsidTr="00E422DB">
        <w:trPr>
          <w:trHeight w:val="310"/>
          <w:tblHeader/>
        </w:trPr>
        <w:tc>
          <w:tcPr>
            <w:tcW w:w="1974" w:type="dxa"/>
            <w:vMerge/>
            <w:tcBorders>
              <w:top w:val="nil"/>
              <w:left w:val="double" w:sz="6" w:space="0" w:color="1F497D"/>
              <w:bottom w:val="double" w:sz="6" w:space="0" w:color="1F497D"/>
              <w:right w:val="double" w:sz="6" w:space="0" w:color="1F497D"/>
            </w:tcBorders>
            <w:vAlign w:val="center"/>
            <w:hideMark/>
          </w:tcPr>
          <w:p w14:paraId="51C77167" w14:textId="77777777" w:rsidR="001341EC" w:rsidRPr="00493BFE" w:rsidRDefault="001341EC" w:rsidP="00165AA6">
            <w:pPr>
              <w:rPr>
                <w:rFonts w:ascii="Book Antiqua" w:hAnsi="Book Antiqua" w:cs="Calibri"/>
                <w:b/>
                <w:bCs/>
                <w:color w:val="000000"/>
                <w:lang w:eastAsia="es-CR"/>
              </w:rPr>
            </w:pPr>
          </w:p>
        </w:tc>
        <w:tc>
          <w:tcPr>
            <w:tcW w:w="1562" w:type="dxa"/>
            <w:tcBorders>
              <w:top w:val="nil"/>
              <w:left w:val="nil"/>
              <w:bottom w:val="double" w:sz="6" w:space="0" w:color="1F497D"/>
              <w:right w:val="double" w:sz="6" w:space="0" w:color="1F497D"/>
            </w:tcBorders>
            <w:shd w:val="clear" w:color="000000" w:fill="8DB4E2"/>
            <w:vAlign w:val="center"/>
            <w:hideMark/>
          </w:tcPr>
          <w:p w14:paraId="6B565116"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926</w:t>
            </w:r>
          </w:p>
        </w:tc>
        <w:tc>
          <w:tcPr>
            <w:tcW w:w="1562" w:type="dxa"/>
            <w:tcBorders>
              <w:top w:val="nil"/>
              <w:left w:val="nil"/>
              <w:bottom w:val="double" w:sz="6" w:space="0" w:color="1F497D"/>
              <w:right w:val="double" w:sz="6" w:space="0" w:color="1F497D"/>
            </w:tcBorders>
            <w:shd w:val="clear" w:color="000000" w:fill="8DB4E2"/>
            <w:vAlign w:val="center"/>
            <w:hideMark/>
          </w:tcPr>
          <w:p w14:paraId="69719C92"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927</w:t>
            </w:r>
          </w:p>
        </w:tc>
        <w:tc>
          <w:tcPr>
            <w:tcW w:w="1460" w:type="dxa"/>
            <w:tcBorders>
              <w:top w:val="nil"/>
              <w:left w:val="nil"/>
              <w:bottom w:val="double" w:sz="6" w:space="0" w:color="1F497D"/>
              <w:right w:val="double" w:sz="6" w:space="0" w:color="1F497D"/>
            </w:tcBorders>
            <w:shd w:val="clear" w:color="000000" w:fill="8DB4E2"/>
            <w:vAlign w:val="center"/>
            <w:hideMark/>
          </w:tcPr>
          <w:p w14:paraId="46907650"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930</w:t>
            </w:r>
          </w:p>
        </w:tc>
        <w:tc>
          <w:tcPr>
            <w:tcW w:w="2420" w:type="dxa"/>
            <w:tcBorders>
              <w:top w:val="nil"/>
              <w:left w:val="nil"/>
              <w:bottom w:val="double" w:sz="6" w:space="0" w:color="1F497D"/>
              <w:right w:val="double" w:sz="6" w:space="0" w:color="1F497D"/>
            </w:tcBorders>
            <w:shd w:val="clear" w:color="000000" w:fill="8DB4E2"/>
            <w:vAlign w:val="center"/>
            <w:hideMark/>
          </w:tcPr>
          <w:p w14:paraId="2F17BCC5"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Costo total</w:t>
            </w:r>
          </w:p>
        </w:tc>
      </w:tr>
      <w:tr w:rsidR="001341EC" w:rsidRPr="00493BFE" w14:paraId="43A33A48" w14:textId="77777777" w:rsidTr="00165AA6">
        <w:trPr>
          <w:trHeight w:val="310"/>
        </w:trPr>
        <w:tc>
          <w:tcPr>
            <w:tcW w:w="1974" w:type="dxa"/>
            <w:tcBorders>
              <w:top w:val="nil"/>
              <w:left w:val="double" w:sz="6" w:space="0" w:color="1F497D"/>
              <w:bottom w:val="double" w:sz="6" w:space="0" w:color="1F497D"/>
              <w:right w:val="double" w:sz="6" w:space="0" w:color="1F497D"/>
            </w:tcBorders>
            <w:shd w:val="clear" w:color="auto" w:fill="auto"/>
            <w:vAlign w:val="center"/>
            <w:hideMark/>
          </w:tcPr>
          <w:p w14:paraId="063A8FC5" w14:textId="77777777" w:rsidR="001341EC" w:rsidRPr="00493BFE" w:rsidRDefault="001341EC" w:rsidP="00165AA6">
            <w:pPr>
              <w:rPr>
                <w:rFonts w:ascii="Book Antiqua" w:hAnsi="Book Antiqua" w:cs="Calibri"/>
                <w:b/>
                <w:bCs/>
                <w:color w:val="000000"/>
                <w:lang w:eastAsia="es-CR"/>
              </w:rPr>
            </w:pPr>
            <w:r w:rsidRPr="00493BFE">
              <w:rPr>
                <w:rFonts w:ascii="Book Antiqua" w:hAnsi="Book Antiqua" w:cs="Calibri"/>
                <w:b/>
                <w:bCs/>
                <w:color w:val="000000"/>
                <w:sz w:val="22"/>
                <w:szCs w:val="22"/>
                <w:lang w:eastAsia="es-CR"/>
              </w:rPr>
              <w:t>Recurso humano</w:t>
            </w:r>
          </w:p>
        </w:tc>
        <w:tc>
          <w:tcPr>
            <w:tcW w:w="1562" w:type="dxa"/>
            <w:tcBorders>
              <w:top w:val="nil"/>
              <w:left w:val="nil"/>
              <w:bottom w:val="nil"/>
              <w:right w:val="double" w:sz="6" w:space="0" w:color="1F497D"/>
            </w:tcBorders>
            <w:shd w:val="clear" w:color="auto" w:fill="auto"/>
            <w:noWrap/>
            <w:vAlign w:val="center"/>
            <w:hideMark/>
          </w:tcPr>
          <w:p w14:paraId="0FAA2168" w14:textId="77777777" w:rsidR="001341EC" w:rsidRPr="00055D4B" w:rsidRDefault="001341EC" w:rsidP="00165AA6">
            <w:pPr>
              <w:jc w:val="center"/>
              <w:rPr>
                <w:rFonts w:ascii="Book Antiqua" w:hAnsi="Book Antiqua"/>
                <w:b/>
                <w:bCs/>
                <w:color w:val="000000"/>
                <w:lang w:eastAsia="es-CR"/>
              </w:rPr>
            </w:pPr>
            <w:r w:rsidRPr="00493BFE">
              <w:rPr>
                <w:b/>
                <w:bCs/>
                <w:color w:val="000000"/>
                <w:sz w:val="22"/>
                <w:szCs w:val="22"/>
                <w:lang w:eastAsia="es-CR"/>
              </w:rPr>
              <w:t>₡</w:t>
            </w:r>
            <w:r w:rsidRPr="00055D4B">
              <w:rPr>
                <w:rFonts w:ascii="Book Antiqua" w:hAnsi="Book Antiqua"/>
                <w:b/>
                <w:bCs/>
                <w:color w:val="000000"/>
                <w:sz w:val="22"/>
                <w:szCs w:val="22"/>
                <w:lang w:eastAsia="es-CR"/>
              </w:rPr>
              <w:t xml:space="preserve">115.896.000,00 </w:t>
            </w:r>
          </w:p>
        </w:tc>
        <w:tc>
          <w:tcPr>
            <w:tcW w:w="1562" w:type="dxa"/>
            <w:tcBorders>
              <w:top w:val="nil"/>
              <w:left w:val="nil"/>
              <w:bottom w:val="nil"/>
              <w:right w:val="double" w:sz="6" w:space="0" w:color="1F497D"/>
            </w:tcBorders>
            <w:shd w:val="clear" w:color="auto" w:fill="auto"/>
            <w:noWrap/>
            <w:vAlign w:val="center"/>
            <w:hideMark/>
          </w:tcPr>
          <w:p w14:paraId="0CD04609" w14:textId="77777777" w:rsidR="001341EC" w:rsidRPr="00055D4B" w:rsidRDefault="001341EC" w:rsidP="00165AA6">
            <w:pPr>
              <w:jc w:val="center"/>
              <w:rPr>
                <w:rFonts w:ascii="Book Antiqua" w:hAnsi="Book Antiqua"/>
                <w:b/>
                <w:bCs/>
                <w:color w:val="000000"/>
                <w:lang w:eastAsia="es-CR"/>
              </w:rPr>
            </w:pPr>
            <w:r w:rsidRPr="00493BFE">
              <w:rPr>
                <w:b/>
                <w:bCs/>
                <w:color w:val="000000"/>
                <w:sz w:val="22"/>
                <w:szCs w:val="22"/>
                <w:lang w:eastAsia="es-CR"/>
              </w:rPr>
              <w:t>₡</w:t>
            </w:r>
            <w:r w:rsidRPr="00055D4B">
              <w:rPr>
                <w:rFonts w:ascii="Book Antiqua" w:hAnsi="Book Antiqua"/>
                <w:b/>
                <w:bCs/>
                <w:color w:val="000000"/>
                <w:sz w:val="22"/>
                <w:szCs w:val="22"/>
                <w:lang w:eastAsia="es-CR"/>
              </w:rPr>
              <w:t xml:space="preserve">120.738.000,00 </w:t>
            </w:r>
          </w:p>
        </w:tc>
        <w:tc>
          <w:tcPr>
            <w:tcW w:w="1460" w:type="dxa"/>
            <w:tcBorders>
              <w:top w:val="nil"/>
              <w:left w:val="nil"/>
              <w:bottom w:val="double" w:sz="6" w:space="0" w:color="1F497D"/>
              <w:right w:val="double" w:sz="6" w:space="0" w:color="1F497D"/>
            </w:tcBorders>
            <w:shd w:val="clear" w:color="auto" w:fill="auto"/>
            <w:noWrap/>
            <w:vAlign w:val="center"/>
            <w:hideMark/>
          </w:tcPr>
          <w:p w14:paraId="2D1B840A" w14:textId="77777777" w:rsidR="001341EC" w:rsidRPr="00055D4B" w:rsidRDefault="001341EC" w:rsidP="00165AA6">
            <w:pPr>
              <w:jc w:val="center"/>
              <w:rPr>
                <w:rFonts w:ascii="Book Antiqua" w:hAnsi="Book Antiqua"/>
                <w:b/>
                <w:bCs/>
                <w:color w:val="000000"/>
                <w:lang w:eastAsia="es-CR"/>
              </w:rPr>
            </w:pPr>
            <w:r w:rsidRPr="00493BFE">
              <w:rPr>
                <w:b/>
                <w:bCs/>
                <w:color w:val="000000"/>
                <w:sz w:val="22"/>
                <w:szCs w:val="22"/>
                <w:lang w:eastAsia="es-CR"/>
              </w:rPr>
              <w:t>₡</w:t>
            </w:r>
            <w:r w:rsidRPr="00055D4B">
              <w:rPr>
                <w:rFonts w:ascii="Book Antiqua" w:hAnsi="Book Antiqua"/>
                <w:b/>
                <w:bCs/>
                <w:color w:val="000000"/>
                <w:sz w:val="22"/>
                <w:szCs w:val="22"/>
                <w:lang w:eastAsia="es-CR"/>
              </w:rPr>
              <w:t xml:space="preserve">16.809.000,00 </w:t>
            </w:r>
          </w:p>
        </w:tc>
        <w:tc>
          <w:tcPr>
            <w:tcW w:w="2420" w:type="dxa"/>
            <w:tcBorders>
              <w:top w:val="nil"/>
              <w:left w:val="nil"/>
              <w:bottom w:val="double" w:sz="6" w:space="0" w:color="1F497D"/>
              <w:right w:val="double" w:sz="6" w:space="0" w:color="1F497D"/>
            </w:tcBorders>
            <w:shd w:val="clear" w:color="auto" w:fill="auto"/>
            <w:noWrap/>
            <w:vAlign w:val="center"/>
            <w:hideMark/>
          </w:tcPr>
          <w:p w14:paraId="13A53306" w14:textId="77777777" w:rsidR="001341EC" w:rsidRPr="00055D4B" w:rsidRDefault="001341EC" w:rsidP="00165AA6">
            <w:pPr>
              <w:jc w:val="center"/>
              <w:rPr>
                <w:rFonts w:ascii="Book Antiqua" w:hAnsi="Book Antiqua"/>
                <w:b/>
                <w:bCs/>
                <w:color w:val="000000"/>
                <w:lang w:eastAsia="es-CR"/>
              </w:rPr>
            </w:pPr>
            <w:r w:rsidRPr="00493BFE">
              <w:rPr>
                <w:b/>
                <w:bCs/>
                <w:color w:val="000000"/>
                <w:sz w:val="22"/>
                <w:szCs w:val="22"/>
                <w:lang w:eastAsia="es-CR"/>
              </w:rPr>
              <w:t>₡</w:t>
            </w:r>
            <w:r w:rsidRPr="00055D4B">
              <w:rPr>
                <w:rFonts w:ascii="Book Antiqua" w:hAnsi="Book Antiqua"/>
                <w:b/>
                <w:bCs/>
                <w:color w:val="000000"/>
                <w:sz w:val="22"/>
                <w:szCs w:val="22"/>
                <w:lang w:eastAsia="es-CR"/>
              </w:rPr>
              <w:t xml:space="preserve">253.443.000,00 </w:t>
            </w:r>
          </w:p>
        </w:tc>
      </w:tr>
      <w:tr w:rsidR="001341EC" w:rsidRPr="00493BFE" w14:paraId="164A6D7B" w14:textId="77777777" w:rsidTr="00165AA6">
        <w:trPr>
          <w:trHeight w:val="600"/>
        </w:trPr>
        <w:tc>
          <w:tcPr>
            <w:tcW w:w="1974" w:type="dxa"/>
            <w:tcBorders>
              <w:top w:val="nil"/>
              <w:left w:val="double" w:sz="6" w:space="0" w:color="1F497D"/>
              <w:bottom w:val="nil"/>
              <w:right w:val="nil"/>
            </w:tcBorders>
            <w:shd w:val="clear" w:color="auto" w:fill="auto"/>
            <w:vAlign w:val="center"/>
            <w:hideMark/>
          </w:tcPr>
          <w:p w14:paraId="67FFB279" w14:textId="77777777" w:rsidR="001341EC" w:rsidRPr="00493BFE" w:rsidRDefault="001341EC" w:rsidP="00165AA6">
            <w:pPr>
              <w:rPr>
                <w:rFonts w:ascii="Book Antiqua" w:hAnsi="Book Antiqua" w:cs="Calibri"/>
                <w:b/>
                <w:bCs/>
                <w:color w:val="000000"/>
                <w:lang w:eastAsia="es-CR"/>
              </w:rPr>
            </w:pPr>
            <w:r w:rsidRPr="00493BFE">
              <w:rPr>
                <w:rFonts w:ascii="Book Antiqua" w:hAnsi="Book Antiqua" w:cs="Calibri"/>
                <w:b/>
                <w:bCs/>
                <w:color w:val="000000"/>
                <w:sz w:val="22"/>
                <w:szCs w:val="22"/>
                <w:lang w:eastAsia="es-CR"/>
              </w:rPr>
              <w:t xml:space="preserve">Sustitución de personas </w:t>
            </w:r>
            <w:r w:rsidR="00817898">
              <w:rPr>
                <w:rFonts w:ascii="Book Antiqua" w:hAnsi="Book Antiqua" w:cs="Calibri"/>
                <w:b/>
                <w:bCs/>
                <w:color w:val="000000"/>
                <w:sz w:val="22"/>
                <w:szCs w:val="22"/>
                <w:lang w:eastAsia="es-CR"/>
              </w:rPr>
              <w:t>facilitadoras (una Jueza o Juez</w:t>
            </w:r>
            <w:r w:rsidRPr="00493BFE">
              <w:rPr>
                <w:rFonts w:ascii="Book Antiqua" w:hAnsi="Book Antiqua" w:cs="Calibri"/>
                <w:b/>
                <w:bCs/>
                <w:color w:val="000000"/>
                <w:sz w:val="22"/>
                <w:szCs w:val="22"/>
                <w:lang w:eastAsia="es-CR"/>
              </w:rPr>
              <w:t xml:space="preserve"> 4, por un mes)</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EAF63" w14:textId="77777777" w:rsidR="001341EC" w:rsidRPr="00055D4B" w:rsidRDefault="001341EC" w:rsidP="00165AA6">
            <w:pPr>
              <w:rPr>
                <w:rFonts w:ascii="Book Antiqua" w:hAnsi="Book Antiqua" w:cs="Calibri"/>
                <w:color w:val="000000"/>
                <w:lang w:eastAsia="es-CR"/>
              </w:rPr>
            </w:pPr>
            <w:r w:rsidRPr="00055D4B">
              <w:rPr>
                <w:rFonts w:ascii="Book Antiqua" w:hAnsi="Book Antiqua" w:cs="Calibri"/>
                <w:color w:val="000000"/>
                <w:sz w:val="22"/>
                <w:szCs w:val="22"/>
                <w:lang w:eastAsia="es-CR"/>
              </w:rPr>
              <w:t> </w:t>
            </w:r>
          </w:p>
        </w:tc>
        <w:tc>
          <w:tcPr>
            <w:tcW w:w="1562" w:type="dxa"/>
            <w:tcBorders>
              <w:top w:val="single" w:sz="4" w:space="0" w:color="auto"/>
              <w:left w:val="nil"/>
              <w:bottom w:val="single" w:sz="4" w:space="0" w:color="auto"/>
              <w:right w:val="single" w:sz="4" w:space="0" w:color="auto"/>
            </w:tcBorders>
            <w:shd w:val="clear" w:color="auto" w:fill="auto"/>
            <w:noWrap/>
            <w:vAlign w:val="center"/>
            <w:hideMark/>
          </w:tcPr>
          <w:p w14:paraId="4C4B443A" w14:textId="77777777" w:rsidR="001341EC" w:rsidRPr="00055D4B" w:rsidRDefault="001341EC" w:rsidP="00165AA6">
            <w:pPr>
              <w:jc w:val="center"/>
              <w:rPr>
                <w:rFonts w:ascii="Book Antiqua" w:hAnsi="Book Antiqua"/>
                <w:b/>
                <w:bCs/>
                <w:color w:val="000000"/>
                <w:lang w:eastAsia="es-CR"/>
              </w:rPr>
            </w:pPr>
            <w:r w:rsidRPr="00493BFE">
              <w:rPr>
                <w:b/>
                <w:bCs/>
                <w:color w:val="000000"/>
                <w:sz w:val="22"/>
                <w:szCs w:val="22"/>
                <w:lang w:eastAsia="es-CR"/>
              </w:rPr>
              <w:t>₡</w:t>
            </w:r>
            <w:r w:rsidRPr="00055D4B">
              <w:rPr>
                <w:rFonts w:ascii="Book Antiqua" w:hAnsi="Book Antiqua"/>
                <w:b/>
                <w:bCs/>
                <w:color w:val="000000"/>
                <w:sz w:val="22"/>
                <w:szCs w:val="22"/>
                <w:lang w:eastAsia="es-CR"/>
              </w:rPr>
              <w:t xml:space="preserve">5.218.416,67 </w:t>
            </w:r>
          </w:p>
        </w:tc>
        <w:tc>
          <w:tcPr>
            <w:tcW w:w="1460" w:type="dxa"/>
            <w:tcBorders>
              <w:top w:val="nil"/>
              <w:left w:val="nil"/>
              <w:bottom w:val="double" w:sz="6" w:space="0" w:color="1F497D"/>
              <w:right w:val="double" w:sz="6" w:space="0" w:color="1F497D"/>
            </w:tcBorders>
            <w:shd w:val="clear" w:color="auto" w:fill="auto"/>
            <w:noWrap/>
            <w:vAlign w:val="center"/>
            <w:hideMark/>
          </w:tcPr>
          <w:p w14:paraId="7E85480C"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 </w:t>
            </w:r>
          </w:p>
        </w:tc>
        <w:tc>
          <w:tcPr>
            <w:tcW w:w="2420" w:type="dxa"/>
            <w:tcBorders>
              <w:top w:val="nil"/>
              <w:left w:val="nil"/>
              <w:bottom w:val="double" w:sz="6" w:space="0" w:color="1F497D"/>
              <w:right w:val="double" w:sz="6" w:space="0" w:color="1F497D"/>
            </w:tcBorders>
            <w:shd w:val="clear" w:color="auto" w:fill="auto"/>
            <w:noWrap/>
            <w:vAlign w:val="center"/>
            <w:hideMark/>
          </w:tcPr>
          <w:p w14:paraId="5A29F28A" w14:textId="77777777" w:rsidR="001341EC" w:rsidRPr="00055D4B" w:rsidRDefault="001341EC" w:rsidP="00165AA6">
            <w:pPr>
              <w:jc w:val="center"/>
              <w:rPr>
                <w:rFonts w:ascii="Book Antiqua" w:hAnsi="Book Antiqua"/>
                <w:b/>
                <w:bCs/>
                <w:color w:val="000000"/>
                <w:lang w:eastAsia="es-CR"/>
              </w:rPr>
            </w:pPr>
            <w:r w:rsidRPr="00493BFE">
              <w:rPr>
                <w:b/>
                <w:bCs/>
                <w:color w:val="000000"/>
                <w:sz w:val="22"/>
                <w:szCs w:val="22"/>
                <w:lang w:eastAsia="es-CR"/>
              </w:rPr>
              <w:t>₡</w:t>
            </w:r>
            <w:r w:rsidRPr="00055D4B">
              <w:rPr>
                <w:rFonts w:ascii="Book Antiqua" w:hAnsi="Book Antiqua"/>
                <w:b/>
                <w:bCs/>
                <w:color w:val="000000"/>
                <w:sz w:val="22"/>
                <w:szCs w:val="22"/>
                <w:lang w:eastAsia="es-CR"/>
              </w:rPr>
              <w:t xml:space="preserve">5.218.416,67 </w:t>
            </w:r>
          </w:p>
        </w:tc>
      </w:tr>
      <w:tr w:rsidR="001341EC" w:rsidRPr="00493BFE" w14:paraId="1F32704C" w14:textId="77777777" w:rsidTr="00165AA6">
        <w:trPr>
          <w:trHeight w:val="600"/>
        </w:trPr>
        <w:tc>
          <w:tcPr>
            <w:tcW w:w="1974" w:type="dxa"/>
            <w:tcBorders>
              <w:top w:val="double" w:sz="6" w:space="0" w:color="1F497D"/>
              <w:left w:val="double" w:sz="6" w:space="0" w:color="1F497D"/>
              <w:bottom w:val="nil"/>
              <w:right w:val="nil"/>
            </w:tcBorders>
            <w:shd w:val="clear" w:color="auto" w:fill="auto"/>
            <w:vAlign w:val="center"/>
            <w:hideMark/>
          </w:tcPr>
          <w:p w14:paraId="4056B6E4" w14:textId="77777777" w:rsidR="001341EC" w:rsidRPr="00493BFE" w:rsidRDefault="001341EC" w:rsidP="00165AA6">
            <w:pPr>
              <w:rPr>
                <w:rFonts w:ascii="Book Antiqua" w:hAnsi="Book Antiqua" w:cs="Calibri"/>
                <w:b/>
                <w:bCs/>
                <w:color w:val="000000"/>
                <w:lang w:eastAsia="es-CR"/>
              </w:rPr>
            </w:pPr>
            <w:r w:rsidRPr="00493BFE">
              <w:rPr>
                <w:rFonts w:ascii="Book Antiqua" w:hAnsi="Book Antiqua" w:cs="Calibri"/>
                <w:b/>
                <w:bCs/>
                <w:color w:val="000000"/>
                <w:sz w:val="22"/>
                <w:szCs w:val="22"/>
                <w:lang w:eastAsia="es-CR"/>
              </w:rPr>
              <w:t>Sustitución del especialista en métodos de enseñanza (un profesional 2, por cinco meses)</w:t>
            </w:r>
          </w:p>
        </w:tc>
        <w:tc>
          <w:tcPr>
            <w:tcW w:w="1562" w:type="dxa"/>
            <w:tcBorders>
              <w:top w:val="nil"/>
              <w:left w:val="single" w:sz="4" w:space="0" w:color="auto"/>
              <w:bottom w:val="single" w:sz="4" w:space="0" w:color="auto"/>
              <w:right w:val="single" w:sz="4" w:space="0" w:color="auto"/>
            </w:tcBorders>
            <w:shd w:val="clear" w:color="auto" w:fill="auto"/>
            <w:noWrap/>
            <w:vAlign w:val="center"/>
            <w:hideMark/>
          </w:tcPr>
          <w:p w14:paraId="59B30CF0" w14:textId="77777777" w:rsidR="001341EC" w:rsidRPr="00055D4B" w:rsidRDefault="001341EC" w:rsidP="00165AA6">
            <w:pPr>
              <w:jc w:val="center"/>
              <w:rPr>
                <w:rFonts w:ascii="Book Antiqua" w:hAnsi="Book Antiqua"/>
                <w:b/>
                <w:bCs/>
                <w:color w:val="000000"/>
                <w:lang w:eastAsia="es-CR"/>
              </w:rPr>
            </w:pPr>
            <w:r w:rsidRPr="00493BFE">
              <w:rPr>
                <w:b/>
                <w:bCs/>
                <w:color w:val="000000"/>
                <w:sz w:val="22"/>
                <w:szCs w:val="22"/>
                <w:lang w:eastAsia="es-CR"/>
              </w:rPr>
              <w:t>₡</w:t>
            </w:r>
            <w:r w:rsidRPr="00055D4B">
              <w:rPr>
                <w:rFonts w:ascii="Book Antiqua" w:hAnsi="Book Antiqua"/>
                <w:b/>
                <w:bCs/>
                <w:color w:val="000000"/>
                <w:sz w:val="22"/>
                <w:szCs w:val="22"/>
                <w:lang w:eastAsia="es-CR"/>
              </w:rPr>
              <w:t xml:space="preserve">3.152.735,55 </w:t>
            </w:r>
          </w:p>
        </w:tc>
        <w:tc>
          <w:tcPr>
            <w:tcW w:w="1562" w:type="dxa"/>
            <w:tcBorders>
              <w:top w:val="nil"/>
              <w:left w:val="nil"/>
              <w:bottom w:val="single" w:sz="4" w:space="0" w:color="auto"/>
              <w:right w:val="single" w:sz="4" w:space="0" w:color="auto"/>
            </w:tcBorders>
            <w:shd w:val="clear" w:color="auto" w:fill="auto"/>
            <w:noWrap/>
            <w:vAlign w:val="center"/>
            <w:hideMark/>
          </w:tcPr>
          <w:p w14:paraId="4504314C"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 </w:t>
            </w:r>
          </w:p>
        </w:tc>
        <w:tc>
          <w:tcPr>
            <w:tcW w:w="1460" w:type="dxa"/>
            <w:tcBorders>
              <w:top w:val="nil"/>
              <w:left w:val="nil"/>
              <w:bottom w:val="double" w:sz="6" w:space="0" w:color="1F497D"/>
              <w:right w:val="double" w:sz="6" w:space="0" w:color="1F497D"/>
            </w:tcBorders>
            <w:shd w:val="clear" w:color="auto" w:fill="auto"/>
            <w:noWrap/>
            <w:vAlign w:val="center"/>
            <w:hideMark/>
          </w:tcPr>
          <w:p w14:paraId="4CE40FD8" w14:textId="77777777" w:rsidR="001341EC" w:rsidRPr="00055D4B" w:rsidRDefault="001341EC" w:rsidP="00165AA6">
            <w:pPr>
              <w:jc w:val="center"/>
              <w:rPr>
                <w:rFonts w:ascii="Book Antiqua" w:hAnsi="Book Antiqua"/>
                <w:b/>
                <w:bCs/>
                <w:color w:val="000000"/>
                <w:lang w:eastAsia="es-CR"/>
              </w:rPr>
            </w:pPr>
            <w:r w:rsidRPr="00055D4B">
              <w:rPr>
                <w:rFonts w:ascii="Book Antiqua" w:hAnsi="Book Antiqua"/>
                <w:b/>
                <w:bCs/>
                <w:color w:val="000000"/>
                <w:sz w:val="22"/>
                <w:szCs w:val="22"/>
                <w:lang w:eastAsia="es-CR"/>
              </w:rPr>
              <w:t> </w:t>
            </w:r>
          </w:p>
        </w:tc>
        <w:tc>
          <w:tcPr>
            <w:tcW w:w="2420" w:type="dxa"/>
            <w:tcBorders>
              <w:top w:val="nil"/>
              <w:left w:val="nil"/>
              <w:bottom w:val="double" w:sz="6" w:space="0" w:color="1F497D"/>
              <w:right w:val="double" w:sz="6" w:space="0" w:color="1F497D"/>
            </w:tcBorders>
            <w:shd w:val="clear" w:color="auto" w:fill="auto"/>
            <w:noWrap/>
            <w:vAlign w:val="center"/>
            <w:hideMark/>
          </w:tcPr>
          <w:p w14:paraId="6440A623" w14:textId="77777777" w:rsidR="001341EC" w:rsidRPr="00055D4B" w:rsidRDefault="001341EC" w:rsidP="00165AA6">
            <w:pPr>
              <w:jc w:val="center"/>
              <w:rPr>
                <w:rFonts w:ascii="Book Antiqua" w:hAnsi="Book Antiqua"/>
                <w:b/>
                <w:bCs/>
                <w:color w:val="000000"/>
                <w:lang w:eastAsia="es-CR"/>
              </w:rPr>
            </w:pPr>
            <w:r w:rsidRPr="00493BFE">
              <w:rPr>
                <w:b/>
                <w:bCs/>
                <w:color w:val="000000"/>
                <w:sz w:val="22"/>
                <w:szCs w:val="22"/>
                <w:lang w:eastAsia="es-CR"/>
              </w:rPr>
              <w:t>₡</w:t>
            </w:r>
            <w:r w:rsidRPr="00055D4B">
              <w:rPr>
                <w:rFonts w:ascii="Book Antiqua" w:hAnsi="Book Antiqua"/>
                <w:b/>
                <w:bCs/>
                <w:color w:val="000000"/>
                <w:sz w:val="22"/>
                <w:szCs w:val="22"/>
                <w:lang w:eastAsia="es-CR"/>
              </w:rPr>
              <w:t xml:space="preserve">3.152.735,55 </w:t>
            </w:r>
          </w:p>
        </w:tc>
      </w:tr>
      <w:tr w:rsidR="001341EC" w:rsidRPr="00493BFE" w14:paraId="1EAE5066"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6D0AD671"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Hospedaje, desayuno y cena</w:t>
            </w:r>
          </w:p>
        </w:tc>
        <w:tc>
          <w:tcPr>
            <w:tcW w:w="1562" w:type="dxa"/>
            <w:tcBorders>
              <w:top w:val="nil"/>
              <w:left w:val="nil"/>
              <w:bottom w:val="double" w:sz="6" w:space="0" w:color="1F497D"/>
              <w:right w:val="double" w:sz="6" w:space="0" w:color="1F497D"/>
            </w:tcBorders>
            <w:shd w:val="clear" w:color="auto" w:fill="auto"/>
            <w:noWrap/>
            <w:vAlign w:val="center"/>
            <w:hideMark/>
          </w:tcPr>
          <w:p w14:paraId="53D1AE27"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11.534.200,00 </w:t>
            </w:r>
          </w:p>
        </w:tc>
        <w:tc>
          <w:tcPr>
            <w:tcW w:w="1562" w:type="dxa"/>
            <w:tcBorders>
              <w:top w:val="nil"/>
              <w:left w:val="nil"/>
              <w:bottom w:val="double" w:sz="6" w:space="0" w:color="1F497D"/>
              <w:right w:val="double" w:sz="6" w:space="0" w:color="1F497D"/>
            </w:tcBorders>
            <w:shd w:val="clear" w:color="auto" w:fill="auto"/>
            <w:noWrap/>
            <w:vAlign w:val="center"/>
            <w:hideMark/>
          </w:tcPr>
          <w:p w14:paraId="2E12E6CF"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 </w:t>
            </w:r>
          </w:p>
        </w:tc>
        <w:tc>
          <w:tcPr>
            <w:tcW w:w="1460" w:type="dxa"/>
            <w:tcBorders>
              <w:top w:val="nil"/>
              <w:left w:val="nil"/>
              <w:bottom w:val="double" w:sz="6" w:space="0" w:color="1F497D"/>
              <w:right w:val="double" w:sz="6" w:space="0" w:color="1F497D"/>
            </w:tcBorders>
            <w:shd w:val="clear" w:color="auto" w:fill="auto"/>
            <w:noWrap/>
            <w:vAlign w:val="center"/>
            <w:hideMark/>
          </w:tcPr>
          <w:p w14:paraId="262D6878"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 </w:t>
            </w:r>
          </w:p>
        </w:tc>
        <w:tc>
          <w:tcPr>
            <w:tcW w:w="2420" w:type="dxa"/>
            <w:tcBorders>
              <w:top w:val="nil"/>
              <w:left w:val="nil"/>
              <w:bottom w:val="double" w:sz="6" w:space="0" w:color="1F497D"/>
              <w:right w:val="double" w:sz="6" w:space="0" w:color="1F497D"/>
            </w:tcBorders>
            <w:shd w:val="clear" w:color="auto" w:fill="auto"/>
            <w:noWrap/>
            <w:vAlign w:val="center"/>
            <w:hideMark/>
          </w:tcPr>
          <w:p w14:paraId="370D9232"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11.534.200,00 </w:t>
            </w:r>
          </w:p>
        </w:tc>
      </w:tr>
      <w:tr w:rsidR="001341EC" w:rsidRPr="00493BFE" w14:paraId="14F4060C" w14:textId="77777777" w:rsidTr="00165AA6">
        <w:trPr>
          <w:trHeight w:val="57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204F106E"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Tiquetes de almuerzo</w:t>
            </w:r>
          </w:p>
        </w:tc>
        <w:tc>
          <w:tcPr>
            <w:tcW w:w="1562" w:type="dxa"/>
            <w:tcBorders>
              <w:top w:val="nil"/>
              <w:left w:val="nil"/>
              <w:bottom w:val="double" w:sz="6" w:space="0" w:color="1F497D"/>
              <w:right w:val="double" w:sz="6" w:space="0" w:color="1F497D"/>
            </w:tcBorders>
            <w:shd w:val="clear" w:color="auto" w:fill="auto"/>
            <w:noWrap/>
            <w:vAlign w:val="center"/>
            <w:hideMark/>
          </w:tcPr>
          <w:p w14:paraId="1436085B"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953.400,00 </w:t>
            </w:r>
          </w:p>
        </w:tc>
        <w:tc>
          <w:tcPr>
            <w:tcW w:w="1562" w:type="dxa"/>
            <w:tcBorders>
              <w:top w:val="nil"/>
              <w:left w:val="nil"/>
              <w:bottom w:val="double" w:sz="6" w:space="0" w:color="1F497D"/>
              <w:right w:val="double" w:sz="6" w:space="0" w:color="1F497D"/>
            </w:tcBorders>
            <w:shd w:val="clear" w:color="auto" w:fill="auto"/>
            <w:noWrap/>
            <w:vAlign w:val="center"/>
            <w:hideMark/>
          </w:tcPr>
          <w:p w14:paraId="77EB4DF7"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 </w:t>
            </w:r>
          </w:p>
        </w:tc>
        <w:tc>
          <w:tcPr>
            <w:tcW w:w="1460" w:type="dxa"/>
            <w:tcBorders>
              <w:top w:val="nil"/>
              <w:left w:val="nil"/>
              <w:bottom w:val="double" w:sz="6" w:space="0" w:color="1F497D"/>
              <w:right w:val="double" w:sz="6" w:space="0" w:color="1F497D"/>
            </w:tcBorders>
            <w:shd w:val="clear" w:color="auto" w:fill="auto"/>
            <w:noWrap/>
            <w:vAlign w:val="center"/>
            <w:hideMark/>
          </w:tcPr>
          <w:p w14:paraId="191B04CE"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 </w:t>
            </w:r>
          </w:p>
        </w:tc>
        <w:tc>
          <w:tcPr>
            <w:tcW w:w="2420" w:type="dxa"/>
            <w:tcBorders>
              <w:top w:val="nil"/>
              <w:left w:val="nil"/>
              <w:bottom w:val="double" w:sz="6" w:space="0" w:color="1F497D"/>
              <w:right w:val="double" w:sz="6" w:space="0" w:color="1F497D"/>
            </w:tcBorders>
            <w:shd w:val="clear" w:color="auto" w:fill="auto"/>
            <w:noWrap/>
            <w:vAlign w:val="center"/>
            <w:hideMark/>
          </w:tcPr>
          <w:p w14:paraId="3C9400EB"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953.400,00 </w:t>
            </w:r>
          </w:p>
        </w:tc>
      </w:tr>
      <w:tr w:rsidR="001341EC" w:rsidRPr="00493BFE" w14:paraId="5B9EBF81" w14:textId="77777777" w:rsidTr="00165AA6">
        <w:trPr>
          <w:trHeight w:val="66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7098C98E"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Transporte</w:t>
            </w:r>
          </w:p>
        </w:tc>
        <w:tc>
          <w:tcPr>
            <w:tcW w:w="1562" w:type="dxa"/>
            <w:tcBorders>
              <w:top w:val="nil"/>
              <w:left w:val="nil"/>
              <w:bottom w:val="double" w:sz="6" w:space="0" w:color="1F497D"/>
              <w:right w:val="double" w:sz="6" w:space="0" w:color="1F497D"/>
            </w:tcBorders>
            <w:shd w:val="clear" w:color="auto" w:fill="auto"/>
            <w:noWrap/>
            <w:vAlign w:val="center"/>
            <w:hideMark/>
          </w:tcPr>
          <w:p w14:paraId="30794C91"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604.384,00 </w:t>
            </w:r>
          </w:p>
        </w:tc>
        <w:tc>
          <w:tcPr>
            <w:tcW w:w="1562" w:type="dxa"/>
            <w:tcBorders>
              <w:top w:val="nil"/>
              <w:left w:val="nil"/>
              <w:bottom w:val="double" w:sz="6" w:space="0" w:color="1F497D"/>
              <w:right w:val="double" w:sz="6" w:space="0" w:color="1F497D"/>
            </w:tcBorders>
            <w:shd w:val="clear" w:color="auto" w:fill="auto"/>
            <w:noWrap/>
            <w:vAlign w:val="center"/>
            <w:hideMark/>
          </w:tcPr>
          <w:p w14:paraId="387B1372"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 </w:t>
            </w:r>
          </w:p>
        </w:tc>
        <w:tc>
          <w:tcPr>
            <w:tcW w:w="1460" w:type="dxa"/>
            <w:tcBorders>
              <w:top w:val="nil"/>
              <w:left w:val="nil"/>
              <w:bottom w:val="double" w:sz="6" w:space="0" w:color="1F497D"/>
              <w:right w:val="double" w:sz="6" w:space="0" w:color="1F497D"/>
            </w:tcBorders>
            <w:shd w:val="clear" w:color="auto" w:fill="auto"/>
            <w:noWrap/>
            <w:vAlign w:val="center"/>
            <w:hideMark/>
          </w:tcPr>
          <w:p w14:paraId="64A5BBCD"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 </w:t>
            </w:r>
          </w:p>
        </w:tc>
        <w:tc>
          <w:tcPr>
            <w:tcW w:w="2420" w:type="dxa"/>
            <w:tcBorders>
              <w:top w:val="nil"/>
              <w:left w:val="nil"/>
              <w:bottom w:val="double" w:sz="6" w:space="0" w:color="1F497D"/>
              <w:right w:val="double" w:sz="6" w:space="0" w:color="1F497D"/>
            </w:tcBorders>
            <w:shd w:val="clear" w:color="auto" w:fill="auto"/>
            <w:noWrap/>
            <w:vAlign w:val="center"/>
            <w:hideMark/>
          </w:tcPr>
          <w:p w14:paraId="45229AF0"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604.384,00 </w:t>
            </w:r>
          </w:p>
        </w:tc>
      </w:tr>
      <w:tr w:rsidR="001341EC" w:rsidRPr="00493BFE" w14:paraId="71361D13"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74259B4A"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Equipo de cómputo </w:t>
            </w:r>
          </w:p>
        </w:tc>
        <w:tc>
          <w:tcPr>
            <w:tcW w:w="1562" w:type="dxa"/>
            <w:tcBorders>
              <w:top w:val="nil"/>
              <w:left w:val="nil"/>
              <w:bottom w:val="double" w:sz="6" w:space="0" w:color="1F497D"/>
              <w:right w:val="double" w:sz="6" w:space="0" w:color="1F497D"/>
            </w:tcBorders>
            <w:shd w:val="clear" w:color="auto" w:fill="auto"/>
            <w:noWrap/>
            <w:vAlign w:val="center"/>
            <w:hideMark/>
          </w:tcPr>
          <w:p w14:paraId="61C36782"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64.829.602,50 </w:t>
            </w:r>
          </w:p>
        </w:tc>
        <w:tc>
          <w:tcPr>
            <w:tcW w:w="1562" w:type="dxa"/>
            <w:tcBorders>
              <w:top w:val="nil"/>
              <w:left w:val="nil"/>
              <w:bottom w:val="double" w:sz="6" w:space="0" w:color="1F497D"/>
              <w:right w:val="double" w:sz="6" w:space="0" w:color="1F497D"/>
            </w:tcBorders>
            <w:shd w:val="clear" w:color="auto" w:fill="auto"/>
            <w:noWrap/>
            <w:vAlign w:val="center"/>
            <w:hideMark/>
          </w:tcPr>
          <w:p w14:paraId="2066C95C"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 </w:t>
            </w:r>
          </w:p>
        </w:tc>
        <w:tc>
          <w:tcPr>
            <w:tcW w:w="1460" w:type="dxa"/>
            <w:tcBorders>
              <w:top w:val="nil"/>
              <w:left w:val="nil"/>
              <w:bottom w:val="double" w:sz="6" w:space="0" w:color="1F497D"/>
              <w:right w:val="double" w:sz="6" w:space="0" w:color="1F497D"/>
            </w:tcBorders>
            <w:shd w:val="clear" w:color="auto" w:fill="auto"/>
            <w:noWrap/>
            <w:vAlign w:val="center"/>
            <w:hideMark/>
          </w:tcPr>
          <w:p w14:paraId="22478DD0"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2E1831AA"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64.829.602,50 </w:t>
            </w:r>
          </w:p>
        </w:tc>
      </w:tr>
      <w:tr w:rsidR="001341EC" w:rsidRPr="00493BFE" w14:paraId="7DE7174B"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44064555"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Otros dispositivos de computo (monitores)</w:t>
            </w:r>
          </w:p>
        </w:tc>
        <w:tc>
          <w:tcPr>
            <w:tcW w:w="1562" w:type="dxa"/>
            <w:tcBorders>
              <w:top w:val="nil"/>
              <w:left w:val="nil"/>
              <w:bottom w:val="double" w:sz="6" w:space="0" w:color="1F497D"/>
              <w:right w:val="double" w:sz="6" w:space="0" w:color="1F497D"/>
            </w:tcBorders>
            <w:shd w:val="clear" w:color="auto" w:fill="auto"/>
            <w:noWrap/>
            <w:vAlign w:val="center"/>
            <w:hideMark/>
          </w:tcPr>
          <w:p w14:paraId="3F9EA938"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3.193.372,00 </w:t>
            </w:r>
          </w:p>
        </w:tc>
        <w:tc>
          <w:tcPr>
            <w:tcW w:w="1562" w:type="dxa"/>
            <w:tcBorders>
              <w:top w:val="nil"/>
              <w:left w:val="nil"/>
              <w:bottom w:val="double" w:sz="6" w:space="0" w:color="1F497D"/>
              <w:right w:val="double" w:sz="6" w:space="0" w:color="1F497D"/>
            </w:tcBorders>
            <w:shd w:val="clear" w:color="auto" w:fill="auto"/>
            <w:noWrap/>
            <w:vAlign w:val="center"/>
            <w:hideMark/>
          </w:tcPr>
          <w:p w14:paraId="44CE8CEE"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 </w:t>
            </w:r>
          </w:p>
        </w:tc>
        <w:tc>
          <w:tcPr>
            <w:tcW w:w="1460" w:type="dxa"/>
            <w:tcBorders>
              <w:top w:val="nil"/>
              <w:left w:val="nil"/>
              <w:bottom w:val="double" w:sz="6" w:space="0" w:color="1F497D"/>
              <w:right w:val="double" w:sz="6" w:space="0" w:color="1F497D"/>
            </w:tcBorders>
            <w:shd w:val="clear" w:color="auto" w:fill="auto"/>
            <w:noWrap/>
            <w:vAlign w:val="center"/>
            <w:hideMark/>
          </w:tcPr>
          <w:p w14:paraId="43015A28"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 </w:t>
            </w:r>
          </w:p>
        </w:tc>
        <w:tc>
          <w:tcPr>
            <w:tcW w:w="2420" w:type="dxa"/>
            <w:tcBorders>
              <w:top w:val="nil"/>
              <w:left w:val="nil"/>
              <w:bottom w:val="double" w:sz="6" w:space="0" w:color="1F497D"/>
              <w:right w:val="double" w:sz="6" w:space="0" w:color="1F497D"/>
            </w:tcBorders>
            <w:shd w:val="clear" w:color="auto" w:fill="auto"/>
            <w:noWrap/>
            <w:vAlign w:val="center"/>
            <w:hideMark/>
          </w:tcPr>
          <w:p w14:paraId="25EC8640"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3.193.372,00 </w:t>
            </w:r>
          </w:p>
        </w:tc>
      </w:tr>
      <w:tr w:rsidR="001341EC" w:rsidRPr="00493BFE" w14:paraId="486E602A"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2575947B"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Mobiliario de plazas nuevas.</w:t>
            </w:r>
          </w:p>
        </w:tc>
        <w:tc>
          <w:tcPr>
            <w:tcW w:w="1562" w:type="dxa"/>
            <w:tcBorders>
              <w:top w:val="nil"/>
              <w:left w:val="nil"/>
              <w:bottom w:val="double" w:sz="6" w:space="0" w:color="1F497D"/>
              <w:right w:val="double" w:sz="6" w:space="0" w:color="1F497D"/>
            </w:tcBorders>
            <w:shd w:val="clear" w:color="auto" w:fill="auto"/>
            <w:noWrap/>
            <w:vAlign w:val="center"/>
            <w:hideMark/>
          </w:tcPr>
          <w:p w14:paraId="2ACDEC74"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 </w:t>
            </w:r>
          </w:p>
        </w:tc>
        <w:tc>
          <w:tcPr>
            <w:tcW w:w="1562" w:type="dxa"/>
            <w:tcBorders>
              <w:top w:val="nil"/>
              <w:left w:val="nil"/>
              <w:bottom w:val="double" w:sz="6" w:space="0" w:color="1F497D"/>
              <w:right w:val="double" w:sz="6" w:space="0" w:color="1F497D"/>
            </w:tcBorders>
            <w:shd w:val="clear" w:color="auto" w:fill="auto"/>
            <w:noWrap/>
            <w:vAlign w:val="center"/>
            <w:hideMark/>
          </w:tcPr>
          <w:p w14:paraId="38F4F9B4"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674.231,00 </w:t>
            </w:r>
          </w:p>
        </w:tc>
        <w:tc>
          <w:tcPr>
            <w:tcW w:w="1460" w:type="dxa"/>
            <w:tcBorders>
              <w:top w:val="nil"/>
              <w:left w:val="nil"/>
              <w:bottom w:val="double" w:sz="6" w:space="0" w:color="1F497D"/>
              <w:right w:val="double" w:sz="6" w:space="0" w:color="1F497D"/>
            </w:tcBorders>
            <w:shd w:val="clear" w:color="auto" w:fill="auto"/>
            <w:noWrap/>
            <w:vAlign w:val="center"/>
            <w:hideMark/>
          </w:tcPr>
          <w:p w14:paraId="291C46E2"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465.783,00 </w:t>
            </w:r>
          </w:p>
        </w:tc>
        <w:tc>
          <w:tcPr>
            <w:tcW w:w="2420" w:type="dxa"/>
            <w:tcBorders>
              <w:top w:val="nil"/>
              <w:left w:val="nil"/>
              <w:bottom w:val="double" w:sz="6" w:space="0" w:color="1F497D"/>
              <w:right w:val="double" w:sz="6" w:space="0" w:color="1F497D"/>
            </w:tcBorders>
            <w:shd w:val="clear" w:color="auto" w:fill="auto"/>
            <w:noWrap/>
            <w:vAlign w:val="center"/>
            <w:hideMark/>
          </w:tcPr>
          <w:p w14:paraId="3CD8136F"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1.140.014,00 </w:t>
            </w:r>
          </w:p>
        </w:tc>
      </w:tr>
      <w:tr w:rsidR="001341EC" w:rsidRPr="00493BFE" w14:paraId="30C0D12C"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4D6C191A"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Equipamiento para Salas de Juicio</w:t>
            </w:r>
          </w:p>
        </w:tc>
        <w:tc>
          <w:tcPr>
            <w:tcW w:w="1562" w:type="dxa"/>
            <w:tcBorders>
              <w:top w:val="nil"/>
              <w:left w:val="nil"/>
              <w:bottom w:val="double" w:sz="6" w:space="0" w:color="1F497D"/>
              <w:right w:val="double" w:sz="6" w:space="0" w:color="1F497D"/>
            </w:tcBorders>
            <w:shd w:val="clear" w:color="auto" w:fill="auto"/>
            <w:noWrap/>
            <w:vAlign w:val="center"/>
            <w:hideMark/>
          </w:tcPr>
          <w:p w14:paraId="470BDF39"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2.308.108,00 </w:t>
            </w:r>
          </w:p>
        </w:tc>
        <w:tc>
          <w:tcPr>
            <w:tcW w:w="1562" w:type="dxa"/>
            <w:tcBorders>
              <w:top w:val="nil"/>
              <w:left w:val="nil"/>
              <w:bottom w:val="double" w:sz="6" w:space="0" w:color="1F497D"/>
              <w:right w:val="double" w:sz="6" w:space="0" w:color="1F497D"/>
            </w:tcBorders>
            <w:shd w:val="clear" w:color="auto" w:fill="auto"/>
            <w:noWrap/>
            <w:vAlign w:val="center"/>
            <w:hideMark/>
          </w:tcPr>
          <w:p w14:paraId="2D7F7350"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 </w:t>
            </w:r>
          </w:p>
        </w:tc>
        <w:tc>
          <w:tcPr>
            <w:tcW w:w="1460" w:type="dxa"/>
            <w:tcBorders>
              <w:top w:val="nil"/>
              <w:left w:val="nil"/>
              <w:bottom w:val="double" w:sz="6" w:space="0" w:color="1F497D"/>
              <w:right w:val="double" w:sz="6" w:space="0" w:color="1F497D"/>
            </w:tcBorders>
            <w:shd w:val="clear" w:color="auto" w:fill="auto"/>
            <w:noWrap/>
            <w:vAlign w:val="center"/>
            <w:hideMark/>
          </w:tcPr>
          <w:p w14:paraId="0D77833B"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 </w:t>
            </w:r>
          </w:p>
        </w:tc>
        <w:tc>
          <w:tcPr>
            <w:tcW w:w="2420" w:type="dxa"/>
            <w:tcBorders>
              <w:top w:val="nil"/>
              <w:left w:val="nil"/>
              <w:bottom w:val="double" w:sz="6" w:space="0" w:color="1F497D"/>
              <w:right w:val="double" w:sz="6" w:space="0" w:color="1F497D"/>
            </w:tcBorders>
            <w:shd w:val="clear" w:color="auto" w:fill="auto"/>
            <w:noWrap/>
            <w:vAlign w:val="center"/>
            <w:hideMark/>
          </w:tcPr>
          <w:p w14:paraId="3CF226A1"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2.308.108,00 </w:t>
            </w:r>
          </w:p>
        </w:tc>
      </w:tr>
      <w:tr w:rsidR="001341EC" w:rsidRPr="00493BFE" w14:paraId="53F17A9E"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702540ED"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Uniformes (2 pantalones y 3 camisas)</w:t>
            </w:r>
          </w:p>
        </w:tc>
        <w:tc>
          <w:tcPr>
            <w:tcW w:w="1562" w:type="dxa"/>
            <w:tcBorders>
              <w:top w:val="nil"/>
              <w:left w:val="nil"/>
              <w:bottom w:val="double" w:sz="6" w:space="0" w:color="1F497D"/>
              <w:right w:val="double" w:sz="6" w:space="0" w:color="1F497D"/>
            </w:tcBorders>
            <w:shd w:val="clear" w:color="auto" w:fill="auto"/>
            <w:noWrap/>
            <w:vAlign w:val="center"/>
            <w:hideMark/>
          </w:tcPr>
          <w:p w14:paraId="6038A9EC"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366.674,94 </w:t>
            </w:r>
          </w:p>
        </w:tc>
        <w:tc>
          <w:tcPr>
            <w:tcW w:w="1562" w:type="dxa"/>
            <w:tcBorders>
              <w:top w:val="nil"/>
              <w:left w:val="nil"/>
              <w:bottom w:val="double" w:sz="6" w:space="0" w:color="1F497D"/>
              <w:right w:val="double" w:sz="6" w:space="0" w:color="1F497D"/>
            </w:tcBorders>
            <w:shd w:val="clear" w:color="auto" w:fill="auto"/>
            <w:noWrap/>
            <w:vAlign w:val="center"/>
            <w:hideMark/>
          </w:tcPr>
          <w:p w14:paraId="78DBBD3D"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20F7CCB1"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5D745BC5"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366.674,94 </w:t>
            </w:r>
          </w:p>
        </w:tc>
      </w:tr>
      <w:tr w:rsidR="001341EC" w:rsidRPr="00493BFE" w14:paraId="2259A995"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71F9E85F"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Capa</w:t>
            </w:r>
          </w:p>
        </w:tc>
        <w:tc>
          <w:tcPr>
            <w:tcW w:w="1562" w:type="dxa"/>
            <w:tcBorders>
              <w:top w:val="nil"/>
              <w:left w:val="nil"/>
              <w:bottom w:val="double" w:sz="6" w:space="0" w:color="1F497D"/>
              <w:right w:val="double" w:sz="6" w:space="0" w:color="1F497D"/>
            </w:tcBorders>
            <w:shd w:val="clear" w:color="auto" w:fill="auto"/>
            <w:noWrap/>
            <w:vAlign w:val="center"/>
            <w:hideMark/>
          </w:tcPr>
          <w:p w14:paraId="1B5470B6"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200.000,00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1174B4AF"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45446AC0"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6CC02509"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200.000,00 </w:t>
            </w:r>
          </w:p>
        </w:tc>
      </w:tr>
      <w:tr w:rsidR="001341EC" w:rsidRPr="00493BFE" w14:paraId="75A80425"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64CB6E67"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Bota de hule</w:t>
            </w:r>
          </w:p>
        </w:tc>
        <w:tc>
          <w:tcPr>
            <w:tcW w:w="1562" w:type="dxa"/>
            <w:tcBorders>
              <w:top w:val="nil"/>
              <w:left w:val="nil"/>
              <w:bottom w:val="double" w:sz="6" w:space="0" w:color="1F497D"/>
              <w:right w:val="double" w:sz="6" w:space="0" w:color="1F497D"/>
            </w:tcBorders>
            <w:shd w:val="clear" w:color="auto" w:fill="auto"/>
            <w:noWrap/>
            <w:vAlign w:val="center"/>
            <w:hideMark/>
          </w:tcPr>
          <w:p w14:paraId="6B5744E0"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80.000,00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0DFA2EF4"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51E7F791"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4B1166F8"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80.000,00 </w:t>
            </w:r>
          </w:p>
        </w:tc>
      </w:tr>
      <w:tr w:rsidR="001341EC" w:rsidRPr="00493BFE" w14:paraId="13518AE8"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49B3E74B"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Viáticos (solo chofer)</w:t>
            </w:r>
          </w:p>
        </w:tc>
        <w:tc>
          <w:tcPr>
            <w:tcW w:w="1562" w:type="dxa"/>
            <w:tcBorders>
              <w:top w:val="nil"/>
              <w:left w:val="nil"/>
              <w:bottom w:val="double" w:sz="6" w:space="0" w:color="1F497D"/>
              <w:right w:val="double" w:sz="6" w:space="0" w:color="1F497D"/>
            </w:tcBorders>
            <w:shd w:val="clear" w:color="auto" w:fill="auto"/>
            <w:noWrap/>
            <w:vAlign w:val="center"/>
            <w:hideMark/>
          </w:tcPr>
          <w:p w14:paraId="15BCF8CC"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7.987.110,00 </w:t>
            </w:r>
          </w:p>
        </w:tc>
        <w:tc>
          <w:tcPr>
            <w:tcW w:w="1562" w:type="dxa"/>
            <w:tcBorders>
              <w:top w:val="nil"/>
              <w:left w:val="nil"/>
              <w:bottom w:val="double" w:sz="6" w:space="0" w:color="1F497D"/>
              <w:right w:val="double" w:sz="6" w:space="0" w:color="1F497D"/>
            </w:tcBorders>
            <w:shd w:val="clear" w:color="auto" w:fill="auto"/>
            <w:noWrap/>
            <w:vAlign w:val="center"/>
            <w:hideMark/>
          </w:tcPr>
          <w:p w14:paraId="0DA167B4"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041423B6" w14:textId="77777777" w:rsidR="001341EC" w:rsidRPr="00055D4B" w:rsidRDefault="001341EC" w:rsidP="00165AA6">
            <w:pPr>
              <w:jc w:val="center"/>
              <w:rPr>
                <w:rFonts w:ascii="Book Antiqua" w:hAnsi="Book Antiqua"/>
                <w:color w:val="000000"/>
                <w:lang w:eastAsia="es-CR"/>
              </w:rPr>
            </w:pPr>
            <w:r w:rsidRPr="00055D4B">
              <w:rPr>
                <w:rFonts w:ascii="Book Antiqua" w:hAnsi="Book Antiqua"/>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13AA9CE4"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7.987.110,00 </w:t>
            </w:r>
          </w:p>
        </w:tc>
      </w:tr>
      <w:tr w:rsidR="001341EC" w:rsidRPr="00493BFE" w14:paraId="2A54EB1A" w14:textId="77777777" w:rsidTr="00165AA6">
        <w:trPr>
          <w:trHeight w:val="60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3A4AA2F9"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El costo del vehículo ($29.205,00) incluye </w:t>
            </w:r>
            <w:proofErr w:type="spellStart"/>
            <w:r w:rsidRPr="00493BFE">
              <w:rPr>
                <w:rFonts w:ascii="Book Antiqua" w:hAnsi="Book Antiqua" w:cs="Calibri"/>
                <w:color w:val="000000"/>
                <w:sz w:val="22"/>
                <w:szCs w:val="22"/>
                <w:lang w:eastAsia="es-CR"/>
              </w:rPr>
              <w:lastRenderedPageBreak/>
              <w:t>kid</w:t>
            </w:r>
            <w:proofErr w:type="spellEnd"/>
            <w:r w:rsidRPr="00493BFE">
              <w:rPr>
                <w:rFonts w:ascii="Book Antiqua" w:hAnsi="Book Antiqua" w:cs="Calibri"/>
                <w:color w:val="000000"/>
                <w:sz w:val="22"/>
                <w:szCs w:val="22"/>
                <w:lang w:eastAsia="es-CR"/>
              </w:rPr>
              <w:t xml:space="preserve"> de seguridad, herramientas y tapicería oscura</w:t>
            </w:r>
          </w:p>
        </w:tc>
        <w:tc>
          <w:tcPr>
            <w:tcW w:w="1562" w:type="dxa"/>
            <w:tcBorders>
              <w:top w:val="nil"/>
              <w:left w:val="nil"/>
              <w:bottom w:val="double" w:sz="6" w:space="0" w:color="1F497D"/>
              <w:right w:val="double" w:sz="6" w:space="0" w:color="1F497D"/>
            </w:tcBorders>
            <w:shd w:val="clear" w:color="auto" w:fill="auto"/>
            <w:noWrap/>
            <w:vAlign w:val="center"/>
            <w:hideMark/>
          </w:tcPr>
          <w:p w14:paraId="5C5B093D"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lastRenderedPageBreak/>
              <w:t>₡</w:t>
            </w:r>
            <w:r w:rsidRPr="00055D4B">
              <w:rPr>
                <w:rFonts w:ascii="Book Antiqua" w:hAnsi="Book Antiqua"/>
                <w:color w:val="000000"/>
                <w:sz w:val="22"/>
                <w:szCs w:val="22"/>
                <w:lang w:eastAsia="es-CR"/>
              </w:rPr>
              <w:t>1</w:t>
            </w:r>
            <w:r>
              <w:rPr>
                <w:rFonts w:ascii="Book Antiqua" w:hAnsi="Book Antiqua"/>
                <w:color w:val="000000"/>
                <w:sz w:val="22"/>
                <w:szCs w:val="22"/>
                <w:lang w:eastAsia="es-CR"/>
              </w:rPr>
              <w:t>12</w:t>
            </w:r>
            <w:r w:rsidRPr="00055D4B">
              <w:rPr>
                <w:rFonts w:ascii="Book Antiqua" w:hAnsi="Book Antiqua"/>
                <w:color w:val="000000"/>
                <w:sz w:val="22"/>
                <w:szCs w:val="22"/>
                <w:lang w:eastAsia="es-CR"/>
              </w:rPr>
              <w:t>.</w:t>
            </w:r>
            <w:r>
              <w:rPr>
                <w:rFonts w:ascii="Book Antiqua" w:hAnsi="Book Antiqua"/>
                <w:color w:val="000000"/>
                <w:sz w:val="22"/>
                <w:szCs w:val="22"/>
                <w:lang w:eastAsia="es-CR"/>
              </w:rPr>
              <w:t>755</w:t>
            </w:r>
            <w:r w:rsidRPr="00055D4B">
              <w:rPr>
                <w:rFonts w:ascii="Book Antiqua" w:hAnsi="Book Antiqua"/>
                <w:color w:val="000000"/>
                <w:sz w:val="22"/>
                <w:szCs w:val="22"/>
                <w:lang w:eastAsia="es-CR"/>
              </w:rPr>
              <w:t>.</w:t>
            </w:r>
            <w:r>
              <w:rPr>
                <w:rFonts w:ascii="Book Antiqua" w:hAnsi="Book Antiqua"/>
                <w:color w:val="000000"/>
                <w:sz w:val="22"/>
                <w:szCs w:val="22"/>
                <w:lang w:eastAsia="es-CR"/>
              </w:rPr>
              <w:t>248</w:t>
            </w:r>
            <w:r w:rsidRPr="00055D4B">
              <w:rPr>
                <w:rFonts w:ascii="Book Antiqua" w:hAnsi="Book Antiqua"/>
                <w:color w:val="000000"/>
                <w:sz w:val="22"/>
                <w:szCs w:val="22"/>
                <w:lang w:eastAsia="es-CR"/>
              </w:rPr>
              <w:t>,</w:t>
            </w:r>
            <w:r>
              <w:rPr>
                <w:rFonts w:ascii="Book Antiqua" w:hAnsi="Book Antiqua"/>
                <w:color w:val="000000"/>
                <w:sz w:val="22"/>
                <w:szCs w:val="22"/>
                <w:lang w:eastAsia="es-CR"/>
              </w:rPr>
              <w:t>1</w:t>
            </w:r>
            <w:r w:rsidRPr="00055D4B">
              <w:rPr>
                <w:rFonts w:ascii="Book Antiqua" w:hAnsi="Book Antiqua"/>
                <w:color w:val="000000"/>
                <w:sz w:val="22"/>
                <w:szCs w:val="22"/>
                <w:lang w:eastAsia="es-CR"/>
              </w:rPr>
              <w:t xml:space="preserve">0 </w:t>
            </w:r>
          </w:p>
        </w:tc>
        <w:tc>
          <w:tcPr>
            <w:tcW w:w="1562" w:type="dxa"/>
            <w:tcBorders>
              <w:top w:val="nil"/>
              <w:left w:val="nil"/>
              <w:bottom w:val="double" w:sz="6" w:space="0" w:color="1F497D"/>
              <w:right w:val="double" w:sz="6" w:space="0" w:color="1F497D"/>
            </w:tcBorders>
            <w:shd w:val="clear" w:color="auto" w:fill="auto"/>
            <w:noWrap/>
            <w:vAlign w:val="center"/>
            <w:hideMark/>
          </w:tcPr>
          <w:p w14:paraId="2B7E60BF"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2A525555"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33A05E78"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BE1DBC">
              <w:rPr>
                <w:rFonts w:ascii="Book Antiqua" w:hAnsi="Book Antiqua"/>
                <w:color w:val="000000"/>
                <w:sz w:val="22"/>
                <w:szCs w:val="22"/>
                <w:lang w:eastAsia="es-CR"/>
              </w:rPr>
              <w:t>1</w:t>
            </w:r>
            <w:r>
              <w:rPr>
                <w:rFonts w:ascii="Book Antiqua" w:hAnsi="Book Antiqua"/>
                <w:color w:val="000000"/>
                <w:sz w:val="22"/>
                <w:szCs w:val="22"/>
                <w:lang w:eastAsia="es-CR"/>
              </w:rPr>
              <w:t>12</w:t>
            </w:r>
            <w:r w:rsidRPr="00BE1DBC">
              <w:rPr>
                <w:rFonts w:ascii="Book Antiqua" w:hAnsi="Book Antiqua"/>
                <w:color w:val="000000"/>
                <w:sz w:val="22"/>
                <w:szCs w:val="22"/>
                <w:lang w:eastAsia="es-CR"/>
              </w:rPr>
              <w:t>.</w:t>
            </w:r>
            <w:r>
              <w:rPr>
                <w:rFonts w:ascii="Book Antiqua" w:hAnsi="Book Antiqua"/>
                <w:color w:val="000000"/>
                <w:sz w:val="22"/>
                <w:szCs w:val="22"/>
                <w:lang w:eastAsia="es-CR"/>
              </w:rPr>
              <w:t>755</w:t>
            </w:r>
            <w:r w:rsidRPr="00BE1DBC">
              <w:rPr>
                <w:rFonts w:ascii="Book Antiqua" w:hAnsi="Book Antiqua"/>
                <w:color w:val="000000"/>
                <w:sz w:val="22"/>
                <w:szCs w:val="22"/>
                <w:lang w:eastAsia="es-CR"/>
              </w:rPr>
              <w:t>.</w:t>
            </w:r>
            <w:r>
              <w:rPr>
                <w:rFonts w:ascii="Book Antiqua" w:hAnsi="Book Antiqua"/>
                <w:color w:val="000000"/>
                <w:sz w:val="22"/>
                <w:szCs w:val="22"/>
                <w:lang w:eastAsia="es-CR"/>
              </w:rPr>
              <w:t>248</w:t>
            </w:r>
            <w:r w:rsidRPr="00BE1DBC">
              <w:rPr>
                <w:rFonts w:ascii="Book Antiqua" w:hAnsi="Book Antiqua"/>
                <w:color w:val="000000"/>
                <w:sz w:val="22"/>
                <w:szCs w:val="22"/>
                <w:lang w:eastAsia="es-CR"/>
              </w:rPr>
              <w:t>,</w:t>
            </w:r>
            <w:r>
              <w:rPr>
                <w:rFonts w:ascii="Book Antiqua" w:hAnsi="Book Antiqua"/>
                <w:color w:val="000000"/>
                <w:sz w:val="22"/>
                <w:szCs w:val="22"/>
                <w:lang w:eastAsia="es-CR"/>
              </w:rPr>
              <w:t>1</w:t>
            </w:r>
            <w:r w:rsidRPr="00BE1DBC">
              <w:rPr>
                <w:rFonts w:ascii="Book Antiqua" w:hAnsi="Book Antiqua"/>
                <w:color w:val="000000"/>
                <w:sz w:val="22"/>
                <w:szCs w:val="22"/>
                <w:lang w:eastAsia="es-CR"/>
              </w:rPr>
              <w:t>0</w:t>
            </w:r>
          </w:p>
        </w:tc>
      </w:tr>
      <w:tr w:rsidR="001341EC" w:rsidRPr="00493BFE" w14:paraId="1F69246B" w14:textId="77777777" w:rsidTr="00165AA6">
        <w:trPr>
          <w:trHeight w:val="60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16CBFF31"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Mantenimiento preventivo de vehículo (incluyen los cambios de aceite)</w:t>
            </w:r>
          </w:p>
        </w:tc>
        <w:tc>
          <w:tcPr>
            <w:tcW w:w="1562" w:type="dxa"/>
            <w:tcBorders>
              <w:top w:val="nil"/>
              <w:left w:val="nil"/>
              <w:bottom w:val="double" w:sz="6" w:space="0" w:color="1F497D"/>
              <w:right w:val="double" w:sz="6" w:space="0" w:color="1F497D"/>
            </w:tcBorders>
            <w:shd w:val="clear" w:color="auto" w:fill="auto"/>
            <w:noWrap/>
            <w:vAlign w:val="center"/>
            <w:hideMark/>
          </w:tcPr>
          <w:p w14:paraId="2B09BDDD"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4.000.000,00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2FC59091"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4947D6E1"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640B4529"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4.000.000,00 </w:t>
            </w:r>
          </w:p>
        </w:tc>
      </w:tr>
      <w:tr w:rsidR="001341EC" w:rsidRPr="00493BFE" w14:paraId="48E97C3C"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1FA6CD47"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Llantas</w:t>
            </w:r>
          </w:p>
        </w:tc>
        <w:tc>
          <w:tcPr>
            <w:tcW w:w="1562" w:type="dxa"/>
            <w:tcBorders>
              <w:top w:val="nil"/>
              <w:left w:val="nil"/>
              <w:bottom w:val="double" w:sz="6" w:space="0" w:color="1F497D"/>
              <w:right w:val="double" w:sz="6" w:space="0" w:color="1F497D"/>
            </w:tcBorders>
            <w:shd w:val="clear" w:color="auto" w:fill="auto"/>
            <w:noWrap/>
            <w:vAlign w:val="center"/>
            <w:hideMark/>
          </w:tcPr>
          <w:p w14:paraId="5D1DDD4E"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2.171.325,17 </w:t>
            </w:r>
          </w:p>
        </w:tc>
        <w:tc>
          <w:tcPr>
            <w:tcW w:w="1562" w:type="dxa"/>
            <w:tcBorders>
              <w:top w:val="nil"/>
              <w:left w:val="nil"/>
              <w:bottom w:val="double" w:sz="6" w:space="0" w:color="1F497D"/>
              <w:right w:val="double" w:sz="6" w:space="0" w:color="1F497D"/>
            </w:tcBorders>
            <w:shd w:val="clear" w:color="auto" w:fill="auto"/>
            <w:noWrap/>
            <w:vAlign w:val="center"/>
            <w:hideMark/>
          </w:tcPr>
          <w:p w14:paraId="5DBFE23C"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2556FD07"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1535B83B"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2.171.325,17 </w:t>
            </w:r>
          </w:p>
        </w:tc>
      </w:tr>
      <w:tr w:rsidR="001341EC" w:rsidRPr="00493BFE" w14:paraId="7B6DB534"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404FEA9B"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Repuestos</w:t>
            </w:r>
          </w:p>
        </w:tc>
        <w:tc>
          <w:tcPr>
            <w:tcW w:w="1562" w:type="dxa"/>
            <w:tcBorders>
              <w:top w:val="nil"/>
              <w:left w:val="nil"/>
              <w:bottom w:val="double" w:sz="6" w:space="0" w:color="1F497D"/>
              <w:right w:val="double" w:sz="6" w:space="0" w:color="1F497D"/>
            </w:tcBorders>
            <w:shd w:val="clear" w:color="auto" w:fill="auto"/>
            <w:noWrap/>
            <w:vAlign w:val="center"/>
            <w:hideMark/>
          </w:tcPr>
          <w:p w14:paraId="54E809DC"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4.000.000,00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64CF16AF"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77A628A3"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3C71F917"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4.000.000,00 </w:t>
            </w:r>
          </w:p>
        </w:tc>
      </w:tr>
      <w:tr w:rsidR="001341EC" w:rsidRPr="00493BFE" w14:paraId="1A5406F1"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3ACD8187"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Mantenimiento Correctivo</w:t>
            </w:r>
          </w:p>
        </w:tc>
        <w:tc>
          <w:tcPr>
            <w:tcW w:w="1562" w:type="dxa"/>
            <w:tcBorders>
              <w:top w:val="nil"/>
              <w:left w:val="nil"/>
              <w:bottom w:val="double" w:sz="6" w:space="0" w:color="1F497D"/>
              <w:right w:val="double" w:sz="6" w:space="0" w:color="1F497D"/>
            </w:tcBorders>
            <w:shd w:val="clear" w:color="auto" w:fill="auto"/>
            <w:noWrap/>
            <w:vAlign w:val="center"/>
            <w:hideMark/>
          </w:tcPr>
          <w:p w14:paraId="78EEF8C6"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2.400.000,00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02CAB0E1"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34F05F69"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0489176B"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2.400.000,00 </w:t>
            </w:r>
          </w:p>
        </w:tc>
      </w:tr>
      <w:tr w:rsidR="001341EC" w:rsidRPr="00493BFE" w14:paraId="537E3E1C"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249AFF54"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Lona</w:t>
            </w:r>
          </w:p>
        </w:tc>
        <w:tc>
          <w:tcPr>
            <w:tcW w:w="1562" w:type="dxa"/>
            <w:tcBorders>
              <w:top w:val="nil"/>
              <w:left w:val="nil"/>
              <w:bottom w:val="double" w:sz="6" w:space="0" w:color="1F497D"/>
              <w:right w:val="double" w:sz="6" w:space="0" w:color="1F497D"/>
            </w:tcBorders>
            <w:shd w:val="clear" w:color="auto" w:fill="auto"/>
            <w:noWrap/>
            <w:vAlign w:val="center"/>
            <w:hideMark/>
          </w:tcPr>
          <w:p w14:paraId="694200B2"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800.000,00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24219BEF"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3867EF8C"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065DB1E4"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800.000,00 </w:t>
            </w:r>
          </w:p>
        </w:tc>
      </w:tr>
      <w:tr w:rsidR="001341EC" w:rsidRPr="00493BFE" w14:paraId="197973AD"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2D21A08C"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Batería para carro</w:t>
            </w:r>
          </w:p>
        </w:tc>
        <w:tc>
          <w:tcPr>
            <w:tcW w:w="1562" w:type="dxa"/>
            <w:tcBorders>
              <w:top w:val="nil"/>
              <w:left w:val="nil"/>
              <w:bottom w:val="double" w:sz="6" w:space="0" w:color="1F497D"/>
              <w:right w:val="double" w:sz="6" w:space="0" w:color="1F497D"/>
            </w:tcBorders>
            <w:shd w:val="clear" w:color="auto" w:fill="auto"/>
            <w:noWrap/>
            <w:vAlign w:val="center"/>
            <w:hideMark/>
          </w:tcPr>
          <w:p w14:paraId="7E18F5AB"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342.800,00 </w:t>
            </w:r>
          </w:p>
        </w:tc>
        <w:tc>
          <w:tcPr>
            <w:tcW w:w="1562" w:type="dxa"/>
            <w:tcBorders>
              <w:top w:val="nil"/>
              <w:left w:val="nil"/>
              <w:bottom w:val="double" w:sz="6" w:space="0" w:color="1F497D"/>
              <w:right w:val="double" w:sz="6" w:space="0" w:color="1F497D"/>
            </w:tcBorders>
            <w:shd w:val="clear" w:color="auto" w:fill="auto"/>
            <w:noWrap/>
            <w:vAlign w:val="center"/>
            <w:hideMark/>
          </w:tcPr>
          <w:p w14:paraId="1E95A705"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6E353511"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0A41CD9B"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342.800,00 </w:t>
            </w:r>
          </w:p>
        </w:tc>
      </w:tr>
      <w:tr w:rsidR="001341EC" w:rsidRPr="00493BFE" w14:paraId="108F7C72"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63576872" w14:textId="77777777" w:rsidR="001341EC" w:rsidRPr="00493BFE" w:rsidRDefault="001341EC" w:rsidP="00165AA6">
            <w:pPr>
              <w:rPr>
                <w:rFonts w:ascii="Book Antiqua" w:hAnsi="Book Antiqua" w:cs="Calibri"/>
                <w:color w:val="000000"/>
                <w:lang w:eastAsia="es-CR"/>
              </w:rPr>
            </w:pPr>
            <w:proofErr w:type="spellStart"/>
            <w:r w:rsidRPr="00493BFE">
              <w:rPr>
                <w:rFonts w:ascii="Book Antiqua" w:hAnsi="Book Antiqua" w:cs="Calibri"/>
                <w:color w:val="000000"/>
                <w:sz w:val="22"/>
                <w:szCs w:val="22"/>
                <w:lang w:eastAsia="es-CR"/>
              </w:rPr>
              <w:t>Wincther</w:t>
            </w:r>
            <w:proofErr w:type="spellEnd"/>
          </w:p>
        </w:tc>
        <w:tc>
          <w:tcPr>
            <w:tcW w:w="1562" w:type="dxa"/>
            <w:tcBorders>
              <w:top w:val="nil"/>
              <w:left w:val="nil"/>
              <w:bottom w:val="double" w:sz="6" w:space="0" w:color="1F497D"/>
              <w:right w:val="double" w:sz="6" w:space="0" w:color="1F497D"/>
            </w:tcBorders>
            <w:shd w:val="clear" w:color="auto" w:fill="auto"/>
            <w:noWrap/>
            <w:vAlign w:val="center"/>
            <w:hideMark/>
          </w:tcPr>
          <w:p w14:paraId="2B4ECAE3"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4.000.000,00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08CA2868"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4E7CCB43"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248EACFF"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4.000.000,00 </w:t>
            </w:r>
          </w:p>
        </w:tc>
      </w:tr>
      <w:tr w:rsidR="001341EC" w:rsidRPr="00493BFE" w14:paraId="3F508F4F"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6BA5D1AA"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Instalación del </w:t>
            </w:r>
            <w:proofErr w:type="spellStart"/>
            <w:r w:rsidRPr="00493BFE">
              <w:rPr>
                <w:rFonts w:ascii="Book Antiqua" w:hAnsi="Book Antiqua" w:cs="Calibri"/>
                <w:color w:val="000000"/>
                <w:sz w:val="22"/>
                <w:szCs w:val="22"/>
                <w:lang w:eastAsia="es-CR"/>
              </w:rPr>
              <w:t>wincther</w:t>
            </w:r>
            <w:proofErr w:type="spellEnd"/>
          </w:p>
        </w:tc>
        <w:tc>
          <w:tcPr>
            <w:tcW w:w="1562" w:type="dxa"/>
            <w:tcBorders>
              <w:top w:val="nil"/>
              <w:left w:val="nil"/>
              <w:bottom w:val="double" w:sz="6" w:space="0" w:color="1F497D"/>
              <w:right w:val="double" w:sz="6" w:space="0" w:color="1F497D"/>
            </w:tcBorders>
            <w:shd w:val="clear" w:color="auto" w:fill="auto"/>
            <w:noWrap/>
            <w:vAlign w:val="center"/>
            <w:hideMark/>
          </w:tcPr>
          <w:p w14:paraId="5369660F"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2.400.000,00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0D7D3EAB"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18D9EB35"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7B2115DC"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2.400.000,00 </w:t>
            </w:r>
          </w:p>
        </w:tc>
      </w:tr>
      <w:tr w:rsidR="001341EC" w:rsidRPr="00493BFE" w14:paraId="57641207"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1096A33E"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Cadenas para las llantas</w:t>
            </w:r>
          </w:p>
        </w:tc>
        <w:tc>
          <w:tcPr>
            <w:tcW w:w="1562" w:type="dxa"/>
            <w:tcBorders>
              <w:top w:val="nil"/>
              <w:left w:val="nil"/>
              <w:bottom w:val="double" w:sz="6" w:space="0" w:color="1F497D"/>
              <w:right w:val="double" w:sz="6" w:space="0" w:color="1F497D"/>
            </w:tcBorders>
            <w:shd w:val="clear" w:color="auto" w:fill="auto"/>
            <w:noWrap/>
            <w:vAlign w:val="center"/>
            <w:hideMark/>
          </w:tcPr>
          <w:p w14:paraId="7E013752"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900.000,00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0FB42EAB"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0E6EFC90"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52DBDAC1"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900.000,00 </w:t>
            </w:r>
          </w:p>
        </w:tc>
      </w:tr>
      <w:tr w:rsidR="001341EC" w:rsidRPr="00493BFE" w14:paraId="000894B3"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3514704F"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Combustible</w:t>
            </w:r>
          </w:p>
        </w:tc>
        <w:tc>
          <w:tcPr>
            <w:tcW w:w="1562" w:type="dxa"/>
            <w:tcBorders>
              <w:top w:val="nil"/>
              <w:left w:val="nil"/>
              <w:bottom w:val="double" w:sz="6" w:space="0" w:color="1F497D"/>
              <w:right w:val="double" w:sz="6" w:space="0" w:color="1F497D"/>
            </w:tcBorders>
            <w:shd w:val="clear" w:color="auto" w:fill="auto"/>
            <w:noWrap/>
            <w:vAlign w:val="center"/>
            <w:hideMark/>
          </w:tcPr>
          <w:p w14:paraId="6C255166"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12.880.560,00 </w:t>
            </w:r>
          </w:p>
        </w:tc>
        <w:tc>
          <w:tcPr>
            <w:tcW w:w="1562" w:type="dxa"/>
            <w:tcBorders>
              <w:top w:val="nil"/>
              <w:left w:val="nil"/>
              <w:bottom w:val="double" w:sz="6" w:space="0" w:color="1F497D"/>
              <w:right w:val="double" w:sz="6" w:space="0" w:color="1F497D"/>
            </w:tcBorders>
            <w:shd w:val="clear" w:color="auto" w:fill="auto"/>
            <w:noWrap/>
            <w:vAlign w:val="center"/>
            <w:hideMark/>
          </w:tcPr>
          <w:p w14:paraId="6EB0B9ED"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0CD9AD51"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15DAA56A"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12.880.560,00 </w:t>
            </w:r>
          </w:p>
        </w:tc>
      </w:tr>
      <w:tr w:rsidR="001341EC" w:rsidRPr="00493BFE" w14:paraId="5F575806"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643D4B8D"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Lingas</w:t>
            </w:r>
          </w:p>
        </w:tc>
        <w:tc>
          <w:tcPr>
            <w:tcW w:w="1562" w:type="dxa"/>
            <w:tcBorders>
              <w:top w:val="nil"/>
              <w:left w:val="nil"/>
              <w:bottom w:val="double" w:sz="6" w:space="0" w:color="1F497D"/>
              <w:right w:val="double" w:sz="6" w:space="0" w:color="1F497D"/>
            </w:tcBorders>
            <w:shd w:val="clear" w:color="auto" w:fill="auto"/>
            <w:noWrap/>
            <w:vAlign w:val="center"/>
            <w:hideMark/>
          </w:tcPr>
          <w:p w14:paraId="1E8846BA"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160.000,00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6D0E2143"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521F036C"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0AD31849"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160.000,00 </w:t>
            </w:r>
          </w:p>
        </w:tc>
      </w:tr>
      <w:tr w:rsidR="001341EC" w:rsidRPr="00493BFE" w14:paraId="688FD5DA"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34D8BE2A"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GPS</w:t>
            </w:r>
          </w:p>
        </w:tc>
        <w:tc>
          <w:tcPr>
            <w:tcW w:w="1562" w:type="dxa"/>
            <w:tcBorders>
              <w:top w:val="nil"/>
              <w:left w:val="nil"/>
              <w:bottom w:val="double" w:sz="6" w:space="0" w:color="1F497D"/>
              <w:right w:val="double" w:sz="6" w:space="0" w:color="1F497D"/>
            </w:tcBorders>
            <w:shd w:val="clear" w:color="auto" w:fill="auto"/>
            <w:noWrap/>
            <w:vAlign w:val="center"/>
            <w:hideMark/>
          </w:tcPr>
          <w:p w14:paraId="7A041EE1"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1.164.423,31 </w:t>
            </w:r>
          </w:p>
        </w:tc>
        <w:tc>
          <w:tcPr>
            <w:tcW w:w="1562" w:type="dxa"/>
            <w:tcBorders>
              <w:top w:val="nil"/>
              <w:left w:val="nil"/>
              <w:bottom w:val="double" w:sz="6" w:space="0" w:color="1F497D"/>
              <w:right w:val="double" w:sz="6" w:space="0" w:color="1F497D"/>
            </w:tcBorders>
            <w:shd w:val="clear" w:color="auto" w:fill="auto"/>
            <w:noWrap/>
            <w:vAlign w:val="center"/>
            <w:hideMark/>
          </w:tcPr>
          <w:p w14:paraId="0B21A4D6"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24BD6C67"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11F469E9"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1.164.423,31 </w:t>
            </w:r>
          </w:p>
        </w:tc>
      </w:tr>
      <w:tr w:rsidR="001341EC" w:rsidRPr="00493BFE" w14:paraId="6757A6FB"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710BED99"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Quick </w:t>
            </w:r>
            <w:proofErr w:type="spellStart"/>
            <w:r w:rsidRPr="00493BFE">
              <w:rPr>
                <w:rFonts w:ascii="Book Antiqua" w:hAnsi="Book Antiqua" w:cs="Calibri"/>
                <w:color w:val="000000"/>
                <w:sz w:val="22"/>
                <w:szCs w:val="22"/>
                <w:lang w:eastAsia="es-CR"/>
              </w:rPr>
              <w:t>pass</w:t>
            </w:r>
            <w:proofErr w:type="spellEnd"/>
            <w:r w:rsidRPr="00493BFE">
              <w:rPr>
                <w:rFonts w:ascii="Book Antiqua" w:hAnsi="Book Antiqua" w:cs="Calibri"/>
                <w:color w:val="000000"/>
                <w:sz w:val="22"/>
                <w:szCs w:val="22"/>
                <w:lang w:eastAsia="es-CR"/>
              </w:rPr>
              <w:t xml:space="preserve"> (dispositivo – 29999)</w:t>
            </w:r>
          </w:p>
        </w:tc>
        <w:tc>
          <w:tcPr>
            <w:tcW w:w="1562" w:type="dxa"/>
            <w:tcBorders>
              <w:top w:val="nil"/>
              <w:left w:val="nil"/>
              <w:bottom w:val="double" w:sz="6" w:space="0" w:color="1F497D"/>
              <w:right w:val="double" w:sz="6" w:space="0" w:color="1F497D"/>
            </w:tcBorders>
            <w:shd w:val="clear" w:color="auto" w:fill="auto"/>
            <w:noWrap/>
            <w:vAlign w:val="center"/>
            <w:hideMark/>
          </w:tcPr>
          <w:p w14:paraId="71A70BE0"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125.000,00 </w:t>
            </w:r>
          </w:p>
        </w:tc>
        <w:tc>
          <w:tcPr>
            <w:tcW w:w="1562" w:type="dxa"/>
            <w:tcBorders>
              <w:top w:val="nil"/>
              <w:left w:val="nil"/>
              <w:bottom w:val="double" w:sz="6" w:space="0" w:color="1F497D"/>
              <w:right w:val="double" w:sz="6" w:space="0" w:color="1F497D"/>
            </w:tcBorders>
            <w:shd w:val="clear" w:color="auto" w:fill="auto"/>
            <w:noWrap/>
            <w:vAlign w:val="center"/>
            <w:hideMark/>
          </w:tcPr>
          <w:p w14:paraId="307F95F9"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29A94634"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5DF6FD13"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125.000,00 </w:t>
            </w:r>
          </w:p>
        </w:tc>
      </w:tr>
      <w:tr w:rsidR="001341EC" w:rsidRPr="00493BFE" w14:paraId="61CA406E" w14:textId="77777777" w:rsidTr="00165AA6">
        <w:trPr>
          <w:trHeight w:val="310"/>
        </w:trPr>
        <w:tc>
          <w:tcPr>
            <w:tcW w:w="1974" w:type="dxa"/>
            <w:tcBorders>
              <w:top w:val="double" w:sz="6" w:space="0" w:color="1F497D"/>
              <w:left w:val="double" w:sz="6" w:space="0" w:color="1F497D"/>
              <w:bottom w:val="nil"/>
              <w:right w:val="double" w:sz="6" w:space="0" w:color="1F497D"/>
            </w:tcBorders>
            <w:shd w:val="clear" w:color="auto" w:fill="auto"/>
            <w:vAlign w:val="center"/>
            <w:hideMark/>
          </w:tcPr>
          <w:p w14:paraId="28ADC64C"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Quick </w:t>
            </w:r>
            <w:proofErr w:type="spellStart"/>
            <w:r w:rsidRPr="00493BFE">
              <w:rPr>
                <w:rFonts w:ascii="Book Antiqua" w:hAnsi="Book Antiqua" w:cs="Calibri"/>
                <w:color w:val="000000"/>
                <w:sz w:val="22"/>
                <w:szCs w:val="22"/>
                <w:lang w:eastAsia="es-CR"/>
              </w:rPr>
              <w:t>pass</w:t>
            </w:r>
            <w:proofErr w:type="spellEnd"/>
            <w:r w:rsidRPr="00493BFE">
              <w:rPr>
                <w:rFonts w:ascii="Book Antiqua" w:hAnsi="Book Antiqua" w:cs="Calibri"/>
                <w:color w:val="000000"/>
                <w:sz w:val="22"/>
                <w:szCs w:val="22"/>
                <w:lang w:eastAsia="es-CR"/>
              </w:rPr>
              <w:t xml:space="preserve"> (gasto – 10501)</w:t>
            </w:r>
          </w:p>
        </w:tc>
        <w:tc>
          <w:tcPr>
            <w:tcW w:w="1562" w:type="dxa"/>
            <w:tcBorders>
              <w:top w:val="nil"/>
              <w:left w:val="nil"/>
              <w:bottom w:val="double" w:sz="6" w:space="0" w:color="1F497D"/>
              <w:right w:val="double" w:sz="6" w:space="0" w:color="1F497D"/>
            </w:tcBorders>
            <w:shd w:val="clear" w:color="auto" w:fill="auto"/>
            <w:noWrap/>
            <w:vAlign w:val="center"/>
            <w:hideMark/>
          </w:tcPr>
          <w:p w14:paraId="2D9D26A8"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562.000,00 </w:t>
            </w:r>
          </w:p>
        </w:tc>
        <w:tc>
          <w:tcPr>
            <w:tcW w:w="1562" w:type="dxa"/>
            <w:tcBorders>
              <w:top w:val="nil"/>
              <w:left w:val="nil"/>
              <w:bottom w:val="double" w:sz="6" w:space="0" w:color="1F497D"/>
              <w:right w:val="double" w:sz="6" w:space="0" w:color="1F497D"/>
            </w:tcBorders>
            <w:shd w:val="clear" w:color="auto" w:fill="auto"/>
            <w:noWrap/>
            <w:vAlign w:val="center"/>
            <w:hideMark/>
          </w:tcPr>
          <w:p w14:paraId="00E0B4BB"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4782182A"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64E5DFDE"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562.000,00 </w:t>
            </w:r>
          </w:p>
        </w:tc>
      </w:tr>
      <w:tr w:rsidR="001341EC" w:rsidRPr="00493BFE" w14:paraId="0630DD3F" w14:textId="77777777" w:rsidTr="00165AA6">
        <w:trPr>
          <w:trHeight w:val="310"/>
        </w:trPr>
        <w:tc>
          <w:tcPr>
            <w:tcW w:w="1974" w:type="dxa"/>
            <w:tcBorders>
              <w:top w:val="nil"/>
              <w:left w:val="double" w:sz="6" w:space="0" w:color="1F497D"/>
              <w:bottom w:val="double" w:sz="6" w:space="0" w:color="1F497D"/>
              <w:right w:val="double" w:sz="6" w:space="0" w:color="1F497D"/>
            </w:tcBorders>
            <w:shd w:val="clear" w:color="auto" w:fill="auto"/>
            <w:vAlign w:val="center"/>
            <w:hideMark/>
          </w:tcPr>
          <w:p w14:paraId="2716B4AC"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 xml:space="preserve">Quick </w:t>
            </w:r>
            <w:proofErr w:type="spellStart"/>
            <w:r w:rsidRPr="00493BFE">
              <w:rPr>
                <w:rFonts w:ascii="Book Antiqua" w:hAnsi="Book Antiqua" w:cs="Calibri"/>
                <w:color w:val="000000"/>
                <w:sz w:val="22"/>
                <w:szCs w:val="22"/>
                <w:lang w:eastAsia="es-CR"/>
              </w:rPr>
              <w:t>pass</w:t>
            </w:r>
            <w:proofErr w:type="spellEnd"/>
            <w:r w:rsidRPr="00493BFE">
              <w:rPr>
                <w:rFonts w:ascii="Book Antiqua" w:hAnsi="Book Antiqua" w:cs="Calibri"/>
                <w:color w:val="000000"/>
                <w:sz w:val="22"/>
                <w:szCs w:val="22"/>
                <w:lang w:eastAsia="es-CR"/>
              </w:rPr>
              <w:t xml:space="preserve"> (mantenimiento – 10306)</w:t>
            </w:r>
          </w:p>
        </w:tc>
        <w:tc>
          <w:tcPr>
            <w:tcW w:w="1562" w:type="dxa"/>
            <w:tcBorders>
              <w:top w:val="nil"/>
              <w:left w:val="nil"/>
              <w:bottom w:val="double" w:sz="6" w:space="0" w:color="1F497D"/>
              <w:right w:val="double" w:sz="6" w:space="0" w:color="1F497D"/>
            </w:tcBorders>
            <w:shd w:val="clear" w:color="auto" w:fill="auto"/>
            <w:noWrap/>
            <w:vAlign w:val="center"/>
            <w:hideMark/>
          </w:tcPr>
          <w:p w14:paraId="2D1DF5DD"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125.000,00 </w:t>
            </w:r>
          </w:p>
        </w:tc>
        <w:tc>
          <w:tcPr>
            <w:tcW w:w="1562" w:type="dxa"/>
            <w:tcBorders>
              <w:top w:val="nil"/>
              <w:left w:val="nil"/>
              <w:bottom w:val="double" w:sz="6" w:space="0" w:color="1F497D"/>
              <w:right w:val="double" w:sz="6" w:space="0" w:color="1F497D"/>
            </w:tcBorders>
            <w:shd w:val="clear" w:color="auto" w:fill="auto"/>
            <w:noWrap/>
            <w:vAlign w:val="center"/>
            <w:hideMark/>
          </w:tcPr>
          <w:p w14:paraId="716DEEC8"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216E6425"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2304B217"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125.000,00 </w:t>
            </w:r>
          </w:p>
        </w:tc>
      </w:tr>
      <w:tr w:rsidR="001341EC" w:rsidRPr="00493BFE" w14:paraId="349FBFB2" w14:textId="77777777" w:rsidTr="00165AA6">
        <w:trPr>
          <w:trHeight w:val="310"/>
        </w:trPr>
        <w:tc>
          <w:tcPr>
            <w:tcW w:w="1974" w:type="dxa"/>
            <w:tcBorders>
              <w:top w:val="nil"/>
              <w:left w:val="double" w:sz="6" w:space="0" w:color="1F497D"/>
              <w:bottom w:val="double" w:sz="6" w:space="0" w:color="1F497D"/>
              <w:right w:val="double" w:sz="6" w:space="0" w:color="1F497D"/>
            </w:tcBorders>
            <w:shd w:val="clear" w:color="auto" w:fill="auto"/>
            <w:vAlign w:val="center"/>
            <w:hideMark/>
          </w:tcPr>
          <w:p w14:paraId="1BA478E7"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Cubreasientos</w:t>
            </w:r>
          </w:p>
        </w:tc>
        <w:tc>
          <w:tcPr>
            <w:tcW w:w="1562" w:type="dxa"/>
            <w:tcBorders>
              <w:top w:val="nil"/>
              <w:left w:val="nil"/>
              <w:bottom w:val="double" w:sz="6" w:space="0" w:color="1F497D"/>
              <w:right w:val="double" w:sz="6" w:space="0" w:color="1F497D"/>
            </w:tcBorders>
            <w:shd w:val="clear" w:color="auto" w:fill="auto"/>
            <w:noWrap/>
            <w:vAlign w:val="center"/>
            <w:hideMark/>
          </w:tcPr>
          <w:p w14:paraId="0FBF068B"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800.000,00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2E6AC70F"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516345A4"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68739172"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800.000,00 </w:t>
            </w:r>
          </w:p>
        </w:tc>
      </w:tr>
      <w:tr w:rsidR="001341EC" w:rsidRPr="00493BFE" w14:paraId="681883CC" w14:textId="77777777" w:rsidTr="00165AA6">
        <w:trPr>
          <w:trHeight w:val="310"/>
        </w:trPr>
        <w:tc>
          <w:tcPr>
            <w:tcW w:w="1974" w:type="dxa"/>
            <w:tcBorders>
              <w:top w:val="nil"/>
              <w:left w:val="double" w:sz="6" w:space="0" w:color="1F497D"/>
              <w:bottom w:val="double" w:sz="6" w:space="0" w:color="1F497D"/>
              <w:right w:val="double" w:sz="6" w:space="0" w:color="1F497D"/>
            </w:tcBorders>
            <w:shd w:val="clear" w:color="auto" w:fill="auto"/>
            <w:vAlign w:val="center"/>
            <w:hideMark/>
          </w:tcPr>
          <w:p w14:paraId="6F89DE1D"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Lavado</w:t>
            </w:r>
          </w:p>
        </w:tc>
        <w:tc>
          <w:tcPr>
            <w:tcW w:w="1562" w:type="dxa"/>
            <w:tcBorders>
              <w:top w:val="nil"/>
              <w:left w:val="nil"/>
              <w:bottom w:val="double" w:sz="6" w:space="0" w:color="1F497D"/>
              <w:right w:val="double" w:sz="6" w:space="0" w:color="1F497D"/>
            </w:tcBorders>
            <w:shd w:val="clear" w:color="auto" w:fill="auto"/>
            <w:noWrap/>
            <w:vAlign w:val="center"/>
            <w:hideMark/>
          </w:tcPr>
          <w:p w14:paraId="171ADF32"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600.000,00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7CF140ED"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4E54B40A"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228BCBDC"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600.000,00 </w:t>
            </w:r>
          </w:p>
        </w:tc>
      </w:tr>
      <w:tr w:rsidR="001341EC" w:rsidRPr="00493BFE" w14:paraId="26672A76" w14:textId="77777777" w:rsidTr="00165AA6">
        <w:trPr>
          <w:trHeight w:val="310"/>
        </w:trPr>
        <w:tc>
          <w:tcPr>
            <w:tcW w:w="1974" w:type="dxa"/>
            <w:tcBorders>
              <w:top w:val="nil"/>
              <w:left w:val="double" w:sz="6" w:space="0" w:color="1F497D"/>
              <w:bottom w:val="double" w:sz="6" w:space="0" w:color="1F497D"/>
              <w:right w:val="double" w:sz="6" w:space="0" w:color="1F497D"/>
            </w:tcBorders>
            <w:shd w:val="clear" w:color="auto" w:fill="auto"/>
            <w:vAlign w:val="center"/>
            <w:hideMark/>
          </w:tcPr>
          <w:p w14:paraId="0F8510E3"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Reparación de llantas</w:t>
            </w:r>
          </w:p>
        </w:tc>
        <w:tc>
          <w:tcPr>
            <w:tcW w:w="1562" w:type="dxa"/>
            <w:tcBorders>
              <w:top w:val="nil"/>
              <w:left w:val="nil"/>
              <w:bottom w:val="double" w:sz="6" w:space="0" w:color="1F497D"/>
              <w:right w:val="double" w:sz="6" w:space="0" w:color="1F497D"/>
            </w:tcBorders>
            <w:shd w:val="clear" w:color="auto" w:fill="auto"/>
            <w:noWrap/>
            <w:vAlign w:val="center"/>
            <w:hideMark/>
          </w:tcPr>
          <w:p w14:paraId="7EE59DE4"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240.000,00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49E73454"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45CF6823"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40DAD697"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240.000,00 </w:t>
            </w:r>
          </w:p>
        </w:tc>
      </w:tr>
      <w:tr w:rsidR="001341EC" w:rsidRPr="00493BFE" w14:paraId="3D0B9448" w14:textId="77777777" w:rsidTr="00165AA6">
        <w:trPr>
          <w:trHeight w:val="310"/>
        </w:trPr>
        <w:tc>
          <w:tcPr>
            <w:tcW w:w="1974" w:type="dxa"/>
            <w:tcBorders>
              <w:top w:val="nil"/>
              <w:left w:val="double" w:sz="6" w:space="0" w:color="1F497D"/>
              <w:bottom w:val="double" w:sz="6" w:space="0" w:color="1F497D"/>
              <w:right w:val="double" w:sz="6" w:space="0" w:color="1F497D"/>
            </w:tcBorders>
            <w:shd w:val="clear" w:color="auto" w:fill="auto"/>
            <w:vAlign w:val="center"/>
            <w:hideMark/>
          </w:tcPr>
          <w:p w14:paraId="5ED4AEE8"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Bloqueador solar</w:t>
            </w:r>
          </w:p>
        </w:tc>
        <w:tc>
          <w:tcPr>
            <w:tcW w:w="1562" w:type="dxa"/>
            <w:tcBorders>
              <w:top w:val="nil"/>
              <w:left w:val="nil"/>
              <w:bottom w:val="double" w:sz="6" w:space="0" w:color="1F497D"/>
              <w:right w:val="double" w:sz="6" w:space="0" w:color="1F497D"/>
            </w:tcBorders>
            <w:shd w:val="clear" w:color="auto" w:fill="auto"/>
            <w:noWrap/>
            <w:vAlign w:val="center"/>
            <w:hideMark/>
          </w:tcPr>
          <w:p w14:paraId="2046E368"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120.000,00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5A8EE08D"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36495DE9"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37A48192"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120.000,00 </w:t>
            </w:r>
          </w:p>
        </w:tc>
      </w:tr>
      <w:tr w:rsidR="001341EC" w:rsidRPr="00493BFE" w14:paraId="622C10CF" w14:textId="77777777" w:rsidTr="00165AA6">
        <w:trPr>
          <w:trHeight w:val="310"/>
        </w:trPr>
        <w:tc>
          <w:tcPr>
            <w:tcW w:w="1974" w:type="dxa"/>
            <w:tcBorders>
              <w:top w:val="nil"/>
              <w:left w:val="double" w:sz="6" w:space="0" w:color="1F497D"/>
              <w:bottom w:val="double" w:sz="6" w:space="0" w:color="1F497D"/>
              <w:right w:val="double" w:sz="6" w:space="0" w:color="1F497D"/>
            </w:tcBorders>
            <w:shd w:val="clear" w:color="auto" w:fill="auto"/>
            <w:vAlign w:val="center"/>
            <w:hideMark/>
          </w:tcPr>
          <w:p w14:paraId="00446A9F"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Mangas protectoras</w:t>
            </w:r>
          </w:p>
        </w:tc>
        <w:tc>
          <w:tcPr>
            <w:tcW w:w="1562" w:type="dxa"/>
            <w:tcBorders>
              <w:top w:val="nil"/>
              <w:left w:val="nil"/>
              <w:bottom w:val="double" w:sz="6" w:space="0" w:color="1F497D"/>
              <w:right w:val="double" w:sz="6" w:space="0" w:color="1F497D"/>
            </w:tcBorders>
            <w:shd w:val="clear" w:color="auto" w:fill="auto"/>
            <w:noWrap/>
            <w:vAlign w:val="center"/>
            <w:hideMark/>
          </w:tcPr>
          <w:p w14:paraId="5BBB0EC8"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40.000,00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3232F144"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675E8110"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2F8A27F8"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40.000,00 </w:t>
            </w:r>
          </w:p>
        </w:tc>
      </w:tr>
      <w:tr w:rsidR="001341EC" w:rsidRPr="00493BFE" w14:paraId="37DDEF5D" w14:textId="77777777" w:rsidTr="00165AA6">
        <w:trPr>
          <w:trHeight w:val="310"/>
        </w:trPr>
        <w:tc>
          <w:tcPr>
            <w:tcW w:w="1974" w:type="dxa"/>
            <w:tcBorders>
              <w:top w:val="nil"/>
              <w:left w:val="double" w:sz="6" w:space="0" w:color="1F497D"/>
              <w:bottom w:val="double" w:sz="6" w:space="0" w:color="1F497D"/>
              <w:right w:val="double" w:sz="6" w:space="0" w:color="1F497D"/>
            </w:tcBorders>
            <w:shd w:val="clear" w:color="auto" w:fill="auto"/>
            <w:vAlign w:val="center"/>
            <w:hideMark/>
          </w:tcPr>
          <w:p w14:paraId="4F8DCC7C"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t>Repelente</w:t>
            </w:r>
          </w:p>
        </w:tc>
        <w:tc>
          <w:tcPr>
            <w:tcW w:w="1562" w:type="dxa"/>
            <w:tcBorders>
              <w:top w:val="nil"/>
              <w:left w:val="nil"/>
              <w:bottom w:val="double" w:sz="6" w:space="0" w:color="1F497D"/>
              <w:right w:val="double" w:sz="6" w:space="0" w:color="1F497D"/>
            </w:tcBorders>
            <w:shd w:val="clear" w:color="auto" w:fill="auto"/>
            <w:noWrap/>
            <w:vAlign w:val="center"/>
            <w:hideMark/>
          </w:tcPr>
          <w:p w14:paraId="0DEA917C"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40.000,00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7ADBECC1"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6216967B"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1797DBF4"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40.000,00 </w:t>
            </w:r>
          </w:p>
        </w:tc>
      </w:tr>
      <w:tr w:rsidR="001341EC" w:rsidRPr="00493BFE" w14:paraId="22734A2C" w14:textId="77777777" w:rsidTr="00165AA6">
        <w:trPr>
          <w:trHeight w:val="310"/>
        </w:trPr>
        <w:tc>
          <w:tcPr>
            <w:tcW w:w="1974" w:type="dxa"/>
            <w:tcBorders>
              <w:top w:val="nil"/>
              <w:left w:val="double" w:sz="6" w:space="0" w:color="1F497D"/>
              <w:bottom w:val="double" w:sz="6" w:space="0" w:color="1F497D"/>
              <w:right w:val="double" w:sz="6" w:space="0" w:color="1F497D"/>
            </w:tcBorders>
            <w:shd w:val="clear" w:color="auto" w:fill="auto"/>
            <w:vAlign w:val="center"/>
            <w:hideMark/>
          </w:tcPr>
          <w:p w14:paraId="5834A6D0" w14:textId="77777777" w:rsidR="001341EC" w:rsidRPr="00493BFE" w:rsidRDefault="001341EC" w:rsidP="00165AA6">
            <w:pPr>
              <w:rPr>
                <w:rFonts w:ascii="Book Antiqua" w:hAnsi="Book Antiqua" w:cs="Calibri"/>
                <w:color w:val="000000"/>
                <w:lang w:eastAsia="es-CR"/>
              </w:rPr>
            </w:pPr>
            <w:r w:rsidRPr="00493BFE">
              <w:rPr>
                <w:rFonts w:ascii="Book Antiqua" w:hAnsi="Book Antiqua" w:cs="Calibri"/>
                <w:color w:val="000000"/>
                <w:sz w:val="22"/>
                <w:szCs w:val="22"/>
                <w:lang w:eastAsia="es-CR"/>
              </w:rPr>
              <w:lastRenderedPageBreak/>
              <w:t>Alquiler de parqueo</w:t>
            </w:r>
          </w:p>
        </w:tc>
        <w:tc>
          <w:tcPr>
            <w:tcW w:w="1562" w:type="dxa"/>
            <w:tcBorders>
              <w:top w:val="nil"/>
              <w:left w:val="nil"/>
              <w:bottom w:val="double" w:sz="6" w:space="0" w:color="1F497D"/>
              <w:right w:val="double" w:sz="6" w:space="0" w:color="1F497D"/>
            </w:tcBorders>
            <w:shd w:val="clear" w:color="auto" w:fill="auto"/>
            <w:noWrap/>
            <w:vAlign w:val="center"/>
            <w:hideMark/>
          </w:tcPr>
          <w:p w14:paraId="76F06635"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640.000,00 </w:t>
            </w:r>
          </w:p>
        </w:tc>
        <w:tc>
          <w:tcPr>
            <w:tcW w:w="1562" w:type="dxa"/>
            <w:tcBorders>
              <w:top w:val="nil"/>
              <w:left w:val="nil"/>
              <w:bottom w:val="double" w:sz="6" w:space="0" w:color="1F497D"/>
              <w:right w:val="double" w:sz="6" w:space="0" w:color="1F497D"/>
            </w:tcBorders>
            <w:shd w:val="clear" w:color="auto" w:fill="auto"/>
            <w:noWrap/>
            <w:vAlign w:val="center"/>
            <w:hideMark/>
          </w:tcPr>
          <w:p w14:paraId="7F8DE7A0"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1460" w:type="dxa"/>
            <w:tcBorders>
              <w:top w:val="nil"/>
              <w:left w:val="nil"/>
              <w:bottom w:val="double" w:sz="6" w:space="0" w:color="1F497D"/>
              <w:right w:val="double" w:sz="6" w:space="0" w:color="1F497D"/>
            </w:tcBorders>
            <w:shd w:val="clear" w:color="auto" w:fill="auto"/>
            <w:noWrap/>
            <w:vAlign w:val="center"/>
            <w:hideMark/>
          </w:tcPr>
          <w:p w14:paraId="01FBE661" w14:textId="77777777" w:rsidR="001341EC" w:rsidRPr="00493BFE" w:rsidRDefault="001341EC" w:rsidP="00165AA6">
            <w:pPr>
              <w:jc w:val="center"/>
              <w:rPr>
                <w:rFonts w:ascii="Book Antiqua" w:hAnsi="Book Antiqua" w:cs="Calibri"/>
                <w:color w:val="000000"/>
                <w:lang w:eastAsia="es-CR"/>
              </w:rPr>
            </w:pPr>
            <w:r w:rsidRPr="00493BFE">
              <w:rPr>
                <w:rFonts w:ascii="Book Antiqua" w:hAnsi="Book Antiqua" w:cs="Calibri"/>
                <w:color w:val="000000"/>
                <w:sz w:val="22"/>
                <w:szCs w:val="22"/>
                <w:lang w:eastAsia="es-CR"/>
              </w:rPr>
              <w:t>-</w:t>
            </w:r>
          </w:p>
        </w:tc>
        <w:tc>
          <w:tcPr>
            <w:tcW w:w="2420" w:type="dxa"/>
            <w:tcBorders>
              <w:top w:val="nil"/>
              <w:left w:val="nil"/>
              <w:bottom w:val="double" w:sz="6" w:space="0" w:color="1F497D"/>
              <w:right w:val="double" w:sz="6" w:space="0" w:color="1F497D"/>
            </w:tcBorders>
            <w:shd w:val="clear" w:color="auto" w:fill="auto"/>
            <w:noWrap/>
            <w:vAlign w:val="center"/>
            <w:hideMark/>
          </w:tcPr>
          <w:p w14:paraId="37C1D774" w14:textId="77777777" w:rsidR="001341EC" w:rsidRPr="00055D4B" w:rsidRDefault="001341EC" w:rsidP="00165AA6">
            <w:pPr>
              <w:jc w:val="center"/>
              <w:rPr>
                <w:rFonts w:ascii="Book Antiqua" w:hAnsi="Book Antiqua"/>
                <w:color w:val="000000"/>
                <w:lang w:eastAsia="es-CR"/>
              </w:rPr>
            </w:pPr>
            <w:r w:rsidRPr="00493BFE">
              <w:rPr>
                <w:color w:val="000000"/>
                <w:sz w:val="22"/>
                <w:szCs w:val="22"/>
                <w:lang w:eastAsia="es-CR"/>
              </w:rPr>
              <w:t>₡</w:t>
            </w:r>
            <w:r w:rsidRPr="00055D4B">
              <w:rPr>
                <w:rFonts w:ascii="Book Antiqua" w:hAnsi="Book Antiqua"/>
                <w:color w:val="000000"/>
                <w:sz w:val="22"/>
                <w:szCs w:val="22"/>
                <w:lang w:eastAsia="es-CR"/>
              </w:rPr>
              <w:t xml:space="preserve">640.000,00 </w:t>
            </w:r>
          </w:p>
        </w:tc>
      </w:tr>
      <w:tr w:rsidR="001341EC" w:rsidRPr="00493BFE" w14:paraId="0FEF58A0" w14:textId="77777777" w:rsidTr="00165AA6">
        <w:trPr>
          <w:trHeight w:val="310"/>
        </w:trPr>
        <w:tc>
          <w:tcPr>
            <w:tcW w:w="1974" w:type="dxa"/>
            <w:tcBorders>
              <w:top w:val="nil"/>
              <w:left w:val="double" w:sz="6" w:space="0" w:color="1F497D"/>
              <w:bottom w:val="double" w:sz="6" w:space="0" w:color="1F497D"/>
              <w:right w:val="double" w:sz="6" w:space="0" w:color="1F497D"/>
            </w:tcBorders>
            <w:shd w:val="clear" w:color="auto" w:fill="auto"/>
            <w:vAlign w:val="center"/>
            <w:hideMark/>
          </w:tcPr>
          <w:p w14:paraId="3BF139F9" w14:textId="77777777" w:rsidR="001341EC" w:rsidRPr="00493BFE" w:rsidRDefault="001341EC" w:rsidP="00165AA6">
            <w:pPr>
              <w:jc w:val="center"/>
              <w:rPr>
                <w:rFonts w:ascii="Book Antiqua" w:hAnsi="Book Antiqua" w:cs="Calibri"/>
                <w:b/>
                <w:bCs/>
                <w:color w:val="000000"/>
                <w:lang w:eastAsia="es-CR"/>
              </w:rPr>
            </w:pPr>
            <w:r w:rsidRPr="00493BFE">
              <w:rPr>
                <w:rFonts w:ascii="Book Antiqua" w:hAnsi="Book Antiqua" w:cs="Calibri"/>
                <w:b/>
                <w:bCs/>
                <w:color w:val="000000"/>
                <w:sz w:val="22"/>
                <w:szCs w:val="22"/>
                <w:lang w:eastAsia="es-CR"/>
              </w:rPr>
              <w:t>Total por programa presupuestario</w:t>
            </w:r>
          </w:p>
        </w:tc>
        <w:tc>
          <w:tcPr>
            <w:tcW w:w="1562" w:type="dxa"/>
            <w:tcBorders>
              <w:top w:val="nil"/>
              <w:left w:val="nil"/>
              <w:bottom w:val="double" w:sz="6" w:space="0" w:color="1F497D"/>
              <w:right w:val="double" w:sz="6" w:space="0" w:color="1F497D"/>
            </w:tcBorders>
            <w:shd w:val="clear" w:color="auto" w:fill="auto"/>
            <w:noWrap/>
            <w:vAlign w:val="center"/>
            <w:hideMark/>
          </w:tcPr>
          <w:p w14:paraId="3049E3F1" w14:textId="77777777" w:rsidR="001341EC" w:rsidRPr="00055D4B" w:rsidRDefault="001341EC" w:rsidP="00165AA6">
            <w:pPr>
              <w:jc w:val="center"/>
              <w:rPr>
                <w:rFonts w:ascii="Book Antiqua" w:hAnsi="Book Antiqua"/>
                <w:b/>
                <w:bCs/>
                <w:color w:val="000000"/>
                <w:lang w:eastAsia="es-CR"/>
              </w:rPr>
            </w:pPr>
            <w:r w:rsidRPr="00493BFE">
              <w:rPr>
                <w:b/>
                <w:bCs/>
                <w:color w:val="000000"/>
                <w:sz w:val="22"/>
                <w:szCs w:val="22"/>
                <w:lang w:eastAsia="es-CR"/>
              </w:rPr>
              <w:t>₡</w:t>
            </w:r>
            <w:r w:rsidRPr="00055D4B">
              <w:rPr>
                <w:rFonts w:ascii="Book Antiqua" w:hAnsi="Book Antiqua"/>
                <w:b/>
                <w:bCs/>
                <w:color w:val="000000"/>
                <w:sz w:val="22"/>
                <w:szCs w:val="22"/>
                <w:lang w:eastAsia="es-CR"/>
              </w:rPr>
              <w:t xml:space="preserve">399.957.026,27 </w:t>
            </w:r>
          </w:p>
        </w:tc>
        <w:tc>
          <w:tcPr>
            <w:tcW w:w="1562" w:type="dxa"/>
            <w:tcBorders>
              <w:top w:val="nil"/>
              <w:left w:val="nil"/>
              <w:bottom w:val="double" w:sz="6" w:space="0" w:color="1F497D"/>
              <w:right w:val="double" w:sz="6" w:space="0" w:color="1F497D"/>
            </w:tcBorders>
            <w:shd w:val="clear" w:color="auto" w:fill="auto"/>
            <w:noWrap/>
            <w:vAlign w:val="center"/>
            <w:hideMark/>
          </w:tcPr>
          <w:p w14:paraId="1DBA7044" w14:textId="77777777" w:rsidR="001341EC" w:rsidRPr="00055D4B" w:rsidRDefault="001341EC" w:rsidP="00165AA6">
            <w:pPr>
              <w:jc w:val="center"/>
              <w:rPr>
                <w:rFonts w:ascii="Book Antiqua" w:hAnsi="Book Antiqua"/>
                <w:b/>
                <w:bCs/>
                <w:color w:val="000000"/>
                <w:lang w:eastAsia="es-CR"/>
              </w:rPr>
            </w:pPr>
            <w:r w:rsidRPr="00493BFE">
              <w:rPr>
                <w:b/>
                <w:bCs/>
                <w:color w:val="000000"/>
                <w:sz w:val="22"/>
                <w:szCs w:val="22"/>
                <w:lang w:eastAsia="es-CR"/>
              </w:rPr>
              <w:t>₡</w:t>
            </w:r>
            <w:r w:rsidRPr="00055D4B">
              <w:rPr>
                <w:rFonts w:ascii="Book Antiqua" w:hAnsi="Book Antiqua"/>
                <w:b/>
                <w:bCs/>
                <w:color w:val="000000"/>
                <w:sz w:val="22"/>
                <w:szCs w:val="22"/>
                <w:lang w:eastAsia="es-CR"/>
              </w:rPr>
              <w:t xml:space="preserve">126.630.647,67 </w:t>
            </w:r>
          </w:p>
        </w:tc>
        <w:tc>
          <w:tcPr>
            <w:tcW w:w="1460" w:type="dxa"/>
            <w:tcBorders>
              <w:top w:val="nil"/>
              <w:left w:val="nil"/>
              <w:bottom w:val="double" w:sz="6" w:space="0" w:color="1F497D"/>
              <w:right w:val="double" w:sz="6" w:space="0" w:color="1F497D"/>
            </w:tcBorders>
            <w:shd w:val="clear" w:color="auto" w:fill="auto"/>
            <w:noWrap/>
            <w:vAlign w:val="center"/>
            <w:hideMark/>
          </w:tcPr>
          <w:p w14:paraId="1471A0C5" w14:textId="77777777" w:rsidR="001341EC" w:rsidRPr="00055D4B" w:rsidRDefault="001341EC" w:rsidP="00165AA6">
            <w:pPr>
              <w:jc w:val="center"/>
              <w:rPr>
                <w:rFonts w:ascii="Book Antiqua" w:hAnsi="Book Antiqua"/>
                <w:b/>
                <w:bCs/>
                <w:color w:val="000000"/>
                <w:lang w:eastAsia="es-CR"/>
              </w:rPr>
            </w:pPr>
            <w:r w:rsidRPr="00493BFE">
              <w:rPr>
                <w:b/>
                <w:bCs/>
                <w:color w:val="000000"/>
                <w:sz w:val="22"/>
                <w:szCs w:val="22"/>
                <w:lang w:eastAsia="es-CR"/>
              </w:rPr>
              <w:t>₡</w:t>
            </w:r>
            <w:r w:rsidRPr="00055D4B">
              <w:rPr>
                <w:rFonts w:ascii="Book Antiqua" w:hAnsi="Book Antiqua"/>
                <w:b/>
                <w:bCs/>
                <w:color w:val="000000"/>
                <w:sz w:val="22"/>
                <w:szCs w:val="22"/>
                <w:lang w:eastAsia="es-CR"/>
              </w:rPr>
              <w:t xml:space="preserve">17.274.783,00 </w:t>
            </w:r>
          </w:p>
        </w:tc>
        <w:tc>
          <w:tcPr>
            <w:tcW w:w="2420" w:type="dxa"/>
            <w:tcBorders>
              <w:top w:val="nil"/>
              <w:left w:val="nil"/>
              <w:bottom w:val="double" w:sz="6" w:space="0" w:color="1F497D"/>
              <w:right w:val="double" w:sz="6" w:space="0" w:color="1F497D"/>
            </w:tcBorders>
            <w:shd w:val="clear" w:color="auto" w:fill="auto"/>
            <w:noWrap/>
            <w:vAlign w:val="center"/>
            <w:hideMark/>
          </w:tcPr>
          <w:p w14:paraId="663164A7" w14:textId="77777777" w:rsidR="001341EC" w:rsidRPr="00055D4B" w:rsidRDefault="001341EC" w:rsidP="00165AA6">
            <w:pPr>
              <w:jc w:val="center"/>
              <w:rPr>
                <w:rFonts w:ascii="Book Antiqua" w:hAnsi="Book Antiqua"/>
                <w:b/>
                <w:bCs/>
                <w:color w:val="000000"/>
                <w:lang w:eastAsia="es-CR"/>
              </w:rPr>
            </w:pPr>
            <w:r w:rsidRPr="00493BFE">
              <w:rPr>
                <w:b/>
                <w:bCs/>
                <w:color w:val="000000"/>
                <w:sz w:val="22"/>
                <w:szCs w:val="22"/>
                <w:lang w:eastAsia="es-CR"/>
              </w:rPr>
              <w:t>₡</w:t>
            </w:r>
            <w:r w:rsidRPr="00055D4B">
              <w:rPr>
                <w:rFonts w:ascii="Book Antiqua" w:hAnsi="Book Antiqua"/>
                <w:b/>
                <w:bCs/>
                <w:color w:val="000000"/>
                <w:sz w:val="22"/>
                <w:szCs w:val="22"/>
                <w:lang w:eastAsia="es-CR"/>
              </w:rPr>
              <w:t>5</w:t>
            </w:r>
            <w:r>
              <w:rPr>
                <w:rFonts w:ascii="Book Antiqua" w:hAnsi="Book Antiqua"/>
                <w:b/>
                <w:bCs/>
                <w:color w:val="000000"/>
                <w:sz w:val="22"/>
                <w:szCs w:val="22"/>
                <w:lang w:eastAsia="es-CR"/>
              </w:rPr>
              <w:t>06</w:t>
            </w:r>
            <w:r w:rsidRPr="00055D4B">
              <w:rPr>
                <w:rFonts w:ascii="Book Antiqua" w:hAnsi="Book Antiqua"/>
                <w:b/>
                <w:bCs/>
                <w:color w:val="000000"/>
                <w:sz w:val="22"/>
                <w:szCs w:val="22"/>
                <w:lang w:eastAsia="es-CR"/>
              </w:rPr>
              <w:t>.</w:t>
            </w:r>
            <w:r>
              <w:rPr>
                <w:rFonts w:ascii="Book Antiqua" w:hAnsi="Book Antiqua"/>
                <w:b/>
                <w:bCs/>
                <w:color w:val="000000"/>
                <w:sz w:val="22"/>
                <w:szCs w:val="22"/>
                <w:lang w:eastAsia="es-CR"/>
              </w:rPr>
              <w:t>277</w:t>
            </w:r>
            <w:r w:rsidRPr="00055D4B">
              <w:rPr>
                <w:rFonts w:ascii="Book Antiqua" w:hAnsi="Book Antiqua"/>
                <w:b/>
                <w:bCs/>
                <w:color w:val="000000"/>
                <w:sz w:val="22"/>
                <w:szCs w:val="22"/>
                <w:lang w:eastAsia="es-CR"/>
              </w:rPr>
              <w:t>.</w:t>
            </w:r>
            <w:r>
              <w:rPr>
                <w:rFonts w:ascii="Book Antiqua" w:hAnsi="Book Antiqua"/>
                <w:b/>
                <w:bCs/>
                <w:color w:val="000000"/>
                <w:sz w:val="22"/>
                <w:szCs w:val="22"/>
                <w:lang w:eastAsia="es-CR"/>
              </w:rPr>
              <w:t>374</w:t>
            </w:r>
            <w:r w:rsidRPr="00055D4B">
              <w:rPr>
                <w:rFonts w:ascii="Book Antiqua" w:hAnsi="Book Antiqua"/>
                <w:b/>
                <w:bCs/>
                <w:color w:val="000000"/>
                <w:sz w:val="22"/>
                <w:szCs w:val="22"/>
                <w:lang w:eastAsia="es-CR"/>
              </w:rPr>
              <w:t>,</w:t>
            </w:r>
            <w:r>
              <w:rPr>
                <w:rFonts w:ascii="Book Antiqua" w:hAnsi="Book Antiqua"/>
                <w:b/>
                <w:bCs/>
                <w:color w:val="000000"/>
                <w:sz w:val="22"/>
                <w:szCs w:val="22"/>
                <w:lang w:eastAsia="es-CR"/>
              </w:rPr>
              <w:t>24</w:t>
            </w:r>
            <w:r w:rsidRPr="00055D4B">
              <w:rPr>
                <w:rFonts w:ascii="Book Antiqua" w:hAnsi="Book Antiqua"/>
                <w:b/>
                <w:bCs/>
                <w:color w:val="000000"/>
                <w:sz w:val="22"/>
                <w:szCs w:val="22"/>
                <w:lang w:eastAsia="es-CR"/>
              </w:rPr>
              <w:t xml:space="preserve"> </w:t>
            </w:r>
          </w:p>
        </w:tc>
      </w:tr>
    </w:tbl>
    <w:p w14:paraId="6C27B290" w14:textId="77777777" w:rsidR="001341EC" w:rsidRPr="0016798C" w:rsidRDefault="001341EC" w:rsidP="001341EC">
      <w:pPr>
        <w:jc w:val="both"/>
        <w:rPr>
          <w:rFonts w:ascii="Book Antiqua" w:hAnsi="Book Antiqua"/>
          <w:b/>
          <w:i/>
          <w:lang w:eastAsia="en-US"/>
        </w:rPr>
      </w:pPr>
      <w:r w:rsidRPr="0016798C">
        <w:rPr>
          <w:rFonts w:ascii="Book Antiqua" w:hAnsi="Book Antiqua"/>
          <w:b/>
          <w:i/>
          <w:lang w:eastAsia="en-US"/>
        </w:rPr>
        <w:t>Fuente: Subproceso de Modernización Institucional, Dirección de Planificación, datos suministrados por la Dirección Ejecutiva y Dirección Tecnología, según programa presupuestario 2020.</w:t>
      </w:r>
    </w:p>
    <w:p w14:paraId="49FA203E" w14:textId="77777777" w:rsidR="001341EC" w:rsidRPr="00055D4B" w:rsidRDefault="001341EC" w:rsidP="001341EC">
      <w:pPr>
        <w:rPr>
          <w:rFonts w:ascii="Book Antiqua" w:hAnsi="Book Antiqua"/>
          <w:b/>
          <w:i/>
          <w:sz w:val="22"/>
          <w:szCs w:val="22"/>
          <w:lang w:eastAsia="en-US"/>
        </w:rPr>
      </w:pPr>
    </w:p>
    <w:p w14:paraId="1BB3D3F3" w14:textId="77777777" w:rsidR="001341EC" w:rsidRPr="0016798C" w:rsidRDefault="001341EC" w:rsidP="001341EC">
      <w:pPr>
        <w:rPr>
          <w:rFonts w:ascii="Book Antiqua" w:hAnsi="Book Antiqua"/>
          <w:b/>
          <w:i/>
          <w:lang w:eastAsia="en-US"/>
        </w:rPr>
      </w:pPr>
      <w:r w:rsidRPr="0016798C">
        <w:rPr>
          <w:rFonts w:ascii="Book Antiqua" w:hAnsi="Book Antiqua"/>
          <w:b/>
          <w:i/>
          <w:lang w:eastAsia="en-US"/>
        </w:rPr>
        <w:t>Nota:</w:t>
      </w:r>
      <w:r w:rsidRPr="0016798C">
        <w:rPr>
          <w:rFonts w:ascii="Book Antiqua" w:hAnsi="Book Antiqua"/>
        </w:rPr>
        <w:t xml:space="preserve"> </w:t>
      </w:r>
      <w:r w:rsidRPr="0016798C">
        <w:rPr>
          <w:rFonts w:ascii="Book Antiqua" w:hAnsi="Book Antiqua"/>
          <w:b/>
          <w:i/>
          <w:lang w:eastAsia="en-US"/>
        </w:rPr>
        <w:t>Para el presupuesto del año 2020 se utiliza un tipo de cambio de ¢643.47 por US$1,00.</w:t>
      </w:r>
    </w:p>
    <w:p w14:paraId="5CD6DA8E" w14:textId="77777777" w:rsidR="001341EC" w:rsidRPr="0016798C" w:rsidRDefault="001341EC" w:rsidP="001341EC">
      <w:pPr>
        <w:rPr>
          <w:rFonts w:ascii="Book Antiqua" w:hAnsi="Book Antiqua"/>
          <w:b/>
          <w:i/>
          <w:lang w:eastAsia="en-US"/>
        </w:rPr>
      </w:pPr>
      <w:r w:rsidRPr="0016798C">
        <w:rPr>
          <w:rFonts w:ascii="Book Antiqua" w:hAnsi="Book Antiqua"/>
          <w:b/>
          <w:i/>
          <w:lang w:eastAsia="en-US"/>
        </w:rPr>
        <w:t>Los costos son anuales. (Ver anexo 7. Costos Reforma 2020)</w:t>
      </w:r>
    </w:p>
    <w:p w14:paraId="398B6C27" w14:textId="77777777" w:rsidR="001341EC" w:rsidRPr="00055D4B" w:rsidRDefault="001341EC" w:rsidP="001341EC">
      <w:pPr>
        <w:rPr>
          <w:rFonts w:ascii="Book Antiqua" w:hAnsi="Book Antiqua"/>
          <w:sz w:val="22"/>
          <w:szCs w:val="22"/>
          <w:lang w:eastAsia="en-US"/>
        </w:rPr>
      </w:pPr>
    </w:p>
    <w:p w14:paraId="34C0E398" w14:textId="77777777" w:rsidR="001341EC" w:rsidRDefault="001341EC" w:rsidP="008C0E64">
      <w:pPr>
        <w:ind w:left="851"/>
        <w:jc w:val="both"/>
        <w:rPr>
          <w:rFonts w:ascii="Book Antiqua" w:hAnsi="Book Antiqua"/>
          <w:b/>
          <w:bCs/>
          <w:sz w:val="22"/>
          <w:szCs w:val="22"/>
          <w:lang w:eastAsia="es-CR"/>
        </w:rPr>
      </w:pPr>
      <w:r w:rsidRPr="00055D4B">
        <w:rPr>
          <w:rFonts w:ascii="Book Antiqua" w:hAnsi="Book Antiqua"/>
          <w:sz w:val="22"/>
          <w:szCs w:val="22"/>
          <w:lang w:val="es-ES_tradnl"/>
        </w:rPr>
        <w:t xml:space="preserve">Como se muestra en el cuadro anterior, los costos de implementación del Nuevo Código Procesal Agrario, de acuerdo con el criterio de la Dirección de Planificación, son de </w:t>
      </w:r>
      <w:r w:rsidRPr="00055D4B">
        <w:rPr>
          <w:b/>
          <w:bCs/>
          <w:sz w:val="22"/>
          <w:szCs w:val="22"/>
          <w:lang w:eastAsia="es-CR"/>
        </w:rPr>
        <w:t>₡</w:t>
      </w:r>
      <w:r w:rsidRPr="00BE1DBC">
        <w:rPr>
          <w:rFonts w:ascii="Book Antiqua" w:hAnsi="Book Antiqua"/>
          <w:b/>
          <w:bCs/>
          <w:color w:val="000000"/>
          <w:sz w:val="22"/>
          <w:szCs w:val="22"/>
          <w:lang w:eastAsia="es-CR"/>
        </w:rPr>
        <w:t>5</w:t>
      </w:r>
      <w:r>
        <w:rPr>
          <w:rFonts w:ascii="Book Antiqua" w:hAnsi="Book Antiqua"/>
          <w:b/>
          <w:bCs/>
          <w:color w:val="000000"/>
          <w:sz w:val="22"/>
          <w:szCs w:val="22"/>
          <w:lang w:eastAsia="es-CR"/>
        </w:rPr>
        <w:t>06</w:t>
      </w:r>
      <w:r w:rsidRPr="00BE1DBC">
        <w:rPr>
          <w:rFonts w:ascii="Book Antiqua" w:hAnsi="Book Antiqua"/>
          <w:b/>
          <w:bCs/>
          <w:color w:val="000000"/>
          <w:sz w:val="22"/>
          <w:szCs w:val="22"/>
          <w:lang w:eastAsia="es-CR"/>
        </w:rPr>
        <w:t>.</w:t>
      </w:r>
      <w:r>
        <w:rPr>
          <w:rFonts w:ascii="Book Antiqua" w:hAnsi="Book Antiqua"/>
          <w:b/>
          <w:bCs/>
          <w:color w:val="000000"/>
          <w:sz w:val="22"/>
          <w:szCs w:val="22"/>
          <w:lang w:eastAsia="es-CR"/>
        </w:rPr>
        <w:t>277</w:t>
      </w:r>
      <w:r w:rsidRPr="00BE1DBC">
        <w:rPr>
          <w:rFonts w:ascii="Book Antiqua" w:hAnsi="Book Antiqua"/>
          <w:b/>
          <w:bCs/>
          <w:color w:val="000000"/>
          <w:sz w:val="22"/>
          <w:szCs w:val="22"/>
          <w:lang w:eastAsia="es-CR"/>
        </w:rPr>
        <w:t>.</w:t>
      </w:r>
      <w:r>
        <w:rPr>
          <w:rFonts w:ascii="Book Antiqua" w:hAnsi="Book Antiqua"/>
          <w:b/>
          <w:bCs/>
          <w:color w:val="000000"/>
          <w:sz w:val="22"/>
          <w:szCs w:val="22"/>
          <w:lang w:eastAsia="es-CR"/>
        </w:rPr>
        <w:t>374</w:t>
      </w:r>
      <w:r w:rsidRPr="00BE1DBC">
        <w:rPr>
          <w:rFonts w:ascii="Book Antiqua" w:hAnsi="Book Antiqua"/>
          <w:b/>
          <w:bCs/>
          <w:color w:val="000000"/>
          <w:sz w:val="22"/>
          <w:szCs w:val="22"/>
          <w:lang w:eastAsia="es-CR"/>
        </w:rPr>
        <w:t>,</w:t>
      </w:r>
      <w:r>
        <w:rPr>
          <w:rFonts w:ascii="Book Antiqua" w:hAnsi="Book Antiqua"/>
          <w:b/>
          <w:bCs/>
          <w:color w:val="000000"/>
          <w:sz w:val="22"/>
          <w:szCs w:val="22"/>
          <w:lang w:eastAsia="es-CR"/>
        </w:rPr>
        <w:t>24</w:t>
      </w:r>
      <w:r w:rsidRPr="00055D4B">
        <w:rPr>
          <w:rFonts w:ascii="Book Antiqua" w:hAnsi="Book Antiqua"/>
          <w:b/>
          <w:bCs/>
          <w:sz w:val="22"/>
          <w:szCs w:val="22"/>
          <w:lang w:eastAsia="es-CR"/>
        </w:rPr>
        <w:t xml:space="preserve">. </w:t>
      </w:r>
    </w:p>
    <w:p w14:paraId="66E8065F" w14:textId="77777777" w:rsidR="00983457" w:rsidRPr="00055D4B" w:rsidRDefault="00983457" w:rsidP="001341EC">
      <w:pPr>
        <w:jc w:val="both"/>
        <w:rPr>
          <w:rFonts w:ascii="Book Antiqua" w:hAnsi="Book Antiqua"/>
          <w:sz w:val="22"/>
          <w:szCs w:val="22"/>
          <w:lang w:val="es-ES_tradnl"/>
        </w:rPr>
      </w:pPr>
    </w:p>
    <w:p w14:paraId="6E4967A4" w14:textId="77777777" w:rsidR="001341EC" w:rsidRPr="00983457" w:rsidRDefault="001341EC" w:rsidP="00983457">
      <w:pPr>
        <w:pStyle w:val="Prrafodelista"/>
        <w:numPr>
          <w:ilvl w:val="1"/>
          <w:numId w:val="48"/>
        </w:numPr>
        <w:jc w:val="both"/>
        <w:rPr>
          <w:rFonts w:ascii="Book Antiqua" w:hAnsi="Book Antiqua"/>
          <w:sz w:val="22"/>
          <w:szCs w:val="22"/>
          <w:lang w:val="es-ES_tradnl"/>
        </w:rPr>
      </w:pPr>
      <w:r w:rsidRPr="00983457">
        <w:rPr>
          <w:rFonts w:ascii="Book Antiqua" w:hAnsi="Book Antiqua"/>
          <w:sz w:val="22"/>
          <w:szCs w:val="22"/>
          <w:lang w:val="es-ES_tradnl"/>
        </w:rPr>
        <w:t xml:space="preserve">Adicionalmente, La Escuela Judicial, emite observaciones al presente informe, se considera un </w:t>
      </w:r>
      <w:r w:rsidRPr="009B3B20">
        <w:rPr>
          <w:rFonts w:ascii="Book Antiqua" w:hAnsi="Book Antiqua"/>
          <w:b/>
          <w:sz w:val="22"/>
          <w:szCs w:val="22"/>
          <w:lang w:val="es-ES_tradnl"/>
        </w:rPr>
        <w:t>Escenario 2</w:t>
      </w:r>
      <w:r w:rsidRPr="00983457">
        <w:rPr>
          <w:rFonts w:ascii="Book Antiqua" w:hAnsi="Book Antiqua"/>
          <w:sz w:val="22"/>
          <w:szCs w:val="22"/>
          <w:lang w:val="es-ES_tradnl"/>
        </w:rPr>
        <w:t xml:space="preserve"> en el tema capacitación, donde literalmente indica lo siguiente: </w:t>
      </w:r>
    </w:p>
    <w:p w14:paraId="1119E575" w14:textId="77777777" w:rsidR="001341EC" w:rsidRPr="00126FA8" w:rsidRDefault="001341EC" w:rsidP="001341EC">
      <w:pPr>
        <w:rPr>
          <w:rFonts w:ascii="Book Antiqua" w:hAnsi="Book Antiqua"/>
          <w:sz w:val="22"/>
          <w:szCs w:val="22"/>
          <w:lang w:val="es-ES_tradnl"/>
        </w:rPr>
      </w:pPr>
    </w:p>
    <w:p w14:paraId="29847C1E" w14:textId="77777777" w:rsidR="001341EC" w:rsidRPr="00126FA8" w:rsidRDefault="001341EC" w:rsidP="001341EC">
      <w:pPr>
        <w:ind w:left="993" w:right="616"/>
        <w:jc w:val="both"/>
        <w:rPr>
          <w:rFonts w:ascii="Book Antiqua" w:hAnsi="Book Antiqua"/>
          <w:i/>
          <w:sz w:val="22"/>
          <w:szCs w:val="22"/>
        </w:rPr>
      </w:pPr>
      <w:r w:rsidRPr="00126FA8">
        <w:rPr>
          <w:rFonts w:ascii="Book Antiqua" w:hAnsi="Book Antiqua"/>
          <w:i/>
          <w:sz w:val="22"/>
          <w:szCs w:val="22"/>
        </w:rPr>
        <w:t xml:space="preserve">“…en una sesión de la Comisión de la Jurisdicción Agraria, se solicitó que la capacitación a impartir durante diciembre de 2018 fuera de carácter </w:t>
      </w:r>
      <w:r w:rsidRPr="00126FA8">
        <w:rPr>
          <w:rFonts w:ascii="Book Antiqua" w:hAnsi="Book Antiqua"/>
          <w:b/>
          <w:i/>
          <w:sz w:val="22"/>
          <w:szCs w:val="22"/>
        </w:rPr>
        <w:t>“informativa y no evaluada”</w:t>
      </w:r>
      <w:r w:rsidRPr="00126FA8">
        <w:rPr>
          <w:rFonts w:ascii="Book Antiqua" w:hAnsi="Book Antiqua"/>
          <w:i/>
          <w:sz w:val="22"/>
          <w:szCs w:val="22"/>
        </w:rPr>
        <w:t xml:space="preserve">, lo </w:t>
      </w:r>
      <w:proofErr w:type="spellStart"/>
      <w:r w:rsidRPr="00126FA8">
        <w:rPr>
          <w:rFonts w:ascii="Book Antiqua" w:hAnsi="Book Antiqua"/>
          <w:i/>
          <w:sz w:val="22"/>
          <w:szCs w:val="22"/>
        </w:rPr>
        <w:t>cuál</w:t>
      </w:r>
      <w:proofErr w:type="spellEnd"/>
      <w:r w:rsidRPr="00126FA8">
        <w:rPr>
          <w:rFonts w:ascii="Book Antiqua" w:hAnsi="Book Antiqua"/>
          <w:i/>
          <w:sz w:val="22"/>
          <w:szCs w:val="22"/>
        </w:rPr>
        <w:t xml:space="preserve"> desde un punto de vista de Capacitación resulta válido en un primer estudio del proceso de desarrollo de competencias profesionales…”</w:t>
      </w:r>
    </w:p>
    <w:p w14:paraId="5A9A50BB" w14:textId="77777777" w:rsidR="001341EC" w:rsidRPr="00126FA8" w:rsidRDefault="001341EC" w:rsidP="001341EC">
      <w:pPr>
        <w:rPr>
          <w:rFonts w:ascii="Book Antiqua" w:hAnsi="Book Antiqua"/>
          <w:sz w:val="22"/>
          <w:szCs w:val="22"/>
        </w:rPr>
      </w:pPr>
    </w:p>
    <w:p w14:paraId="6D17FADC" w14:textId="77777777" w:rsidR="001341EC" w:rsidRPr="00126FA8" w:rsidRDefault="001341EC" w:rsidP="001341EC">
      <w:pPr>
        <w:rPr>
          <w:rFonts w:ascii="Book Antiqua" w:hAnsi="Book Antiqua"/>
          <w:sz w:val="22"/>
          <w:szCs w:val="22"/>
        </w:rPr>
      </w:pPr>
      <w:r w:rsidRPr="00126FA8">
        <w:rPr>
          <w:rFonts w:ascii="Book Antiqua" w:hAnsi="Book Antiqua"/>
          <w:sz w:val="22"/>
          <w:szCs w:val="22"/>
        </w:rPr>
        <w:t xml:space="preserve"> </w:t>
      </w:r>
      <w:r w:rsidR="00983457">
        <w:rPr>
          <w:rFonts w:ascii="Book Antiqua" w:hAnsi="Book Antiqua"/>
          <w:sz w:val="22"/>
          <w:szCs w:val="22"/>
        </w:rPr>
        <w:tab/>
      </w:r>
      <w:r w:rsidRPr="00126FA8">
        <w:rPr>
          <w:rFonts w:ascii="Book Antiqua" w:hAnsi="Book Antiqua"/>
          <w:sz w:val="22"/>
          <w:szCs w:val="22"/>
        </w:rPr>
        <w:t>Por otro lado, se menciona lo siguiente:</w:t>
      </w:r>
    </w:p>
    <w:p w14:paraId="4BFFBD76" w14:textId="77777777" w:rsidR="001341EC" w:rsidRPr="00126FA8" w:rsidRDefault="001341EC" w:rsidP="001341EC">
      <w:pPr>
        <w:ind w:left="-567" w:right="-376"/>
        <w:jc w:val="both"/>
        <w:rPr>
          <w:rFonts w:ascii="Book Antiqua" w:hAnsi="Book Antiqua"/>
          <w:sz w:val="22"/>
          <w:szCs w:val="22"/>
        </w:rPr>
      </w:pPr>
    </w:p>
    <w:p w14:paraId="2D14354E" w14:textId="77777777" w:rsidR="001341EC" w:rsidRPr="00126FA8" w:rsidRDefault="001341EC" w:rsidP="001341EC">
      <w:pPr>
        <w:ind w:left="1134" w:right="616"/>
        <w:jc w:val="both"/>
        <w:rPr>
          <w:rFonts w:ascii="Book Antiqua" w:hAnsi="Book Antiqua"/>
          <w:i/>
          <w:sz w:val="22"/>
          <w:szCs w:val="22"/>
        </w:rPr>
      </w:pPr>
      <w:r w:rsidRPr="00126FA8">
        <w:rPr>
          <w:rFonts w:ascii="Book Antiqua" w:hAnsi="Book Antiqua"/>
          <w:i/>
          <w:sz w:val="22"/>
          <w:szCs w:val="22"/>
        </w:rPr>
        <w:t>“…Desde un punto de vista técnico-metodológico, esta Escuela Judicial considera que replicar los cursos impartidos en el mes de diciembre, desde ningún punto de vista podría permitir el desarrollo o fortalecimiento de las competencias que se requieren en la administración de justicia agraria…”</w:t>
      </w:r>
    </w:p>
    <w:p w14:paraId="7B4DB837" w14:textId="77777777" w:rsidR="001341EC" w:rsidRPr="00126FA8" w:rsidRDefault="001341EC" w:rsidP="001341EC">
      <w:pPr>
        <w:rPr>
          <w:rFonts w:ascii="Book Antiqua" w:hAnsi="Book Antiqua"/>
          <w:sz w:val="22"/>
          <w:szCs w:val="22"/>
        </w:rPr>
      </w:pPr>
    </w:p>
    <w:p w14:paraId="6FA10FBD" w14:textId="77777777" w:rsidR="001341EC" w:rsidRPr="00126FA8" w:rsidRDefault="001341EC" w:rsidP="00983457">
      <w:pPr>
        <w:ind w:left="709"/>
        <w:jc w:val="both"/>
        <w:rPr>
          <w:rFonts w:ascii="Book Antiqua" w:hAnsi="Book Antiqua"/>
          <w:sz w:val="22"/>
          <w:szCs w:val="22"/>
        </w:rPr>
      </w:pPr>
      <w:r w:rsidRPr="00126FA8">
        <w:rPr>
          <w:rFonts w:ascii="Book Antiqua" w:hAnsi="Book Antiqua"/>
          <w:sz w:val="22"/>
          <w:szCs w:val="22"/>
        </w:rPr>
        <w:t xml:space="preserve">La propuesta que se hace mención, doña Damaris Vargas </w:t>
      </w:r>
      <w:r>
        <w:rPr>
          <w:rFonts w:ascii="Book Antiqua" w:hAnsi="Book Antiqua"/>
          <w:sz w:val="22"/>
          <w:szCs w:val="22"/>
        </w:rPr>
        <w:t>indica</w:t>
      </w:r>
      <w:r w:rsidRPr="00126FA8">
        <w:rPr>
          <w:rFonts w:ascii="Book Antiqua" w:hAnsi="Book Antiqua"/>
          <w:sz w:val="22"/>
          <w:szCs w:val="22"/>
        </w:rPr>
        <w:t xml:space="preserve"> que en sesión de trabajo por parte de la señora Kattia Escalante Barboza, Subdirectora </w:t>
      </w:r>
      <w:proofErr w:type="spellStart"/>
      <w:r w:rsidRPr="00126FA8">
        <w:rPr>
          <w:rFonts w:ascii="Book Antiqua" w:hAnsi="Book Antiqua"/>
          <w:sz w:val="22"/>
          <w:szCs w:val="22"/>
        </w:rPr>
        <w:t>a.i.</w:t>
      </w:r>
      <w:proofErr w:type="spellEnd"/>
      <w:r w:rsidRPr="00126FA8">
        <w:rPr>
          <w:rFonts w:ascii="Book Antiqua" w:hAnsi="Book Antiqua"/>
          <w:sz w:val="22"/>
          <w:szCs w:val="22"/>
        </w:rPr>
        <w:t xml:space="preserve"> de la Escuela Judicial y el señor Gustavo Céspedes Chinchilla, Gestor de Capacitación Agraria, informaron su disposición de mantener la propuesta que socializó don Gustavo para el Informe de Presupuesto 2020. </w:t>
      </w:r>
      <w:r w:rsidRPr="00126FA8">
        <w:rPr>
          <w:rFonts w:ascii="Book Antiqua" w:hAnsi="Book Antiqua"/>
          <w:b/>
          <w:i/>
          <w:sz w:val="22"/>
          <w:szCs w:val="22"/>
          <w:lang w:eastAsia="es-CR"/>
        </w:rPr>
        <w:t xml:space="preserve">(ver anexo 22 </w:t>
      </w:r>
      <w:r w:rsidRPr="001D1C4B">
        <w:rPr>
          <w:rFonts w:ascii="Book Antiqua" w:hAnsi="Book Antiqua"/>
          <w:b/>
          <w:i/>
          <w:sz w:val="22"/>
          <w:szCs w:val="22"/>
        </w:rPr>
        <w:t>Correo consulta sobre formulación presupuestaria 2020 a</w:t>
      </w:r>
      <w:r w:rsidRPr="000C41D4">
        <w:rPr>
          <w:rFonts w:ascii="Book Antiqua" w:hAnsi="Book Antiqua"/>
          <w:b/>
          <w:i/>
          <w:sz w:val="22"/>
          <w:szCs w:val="22"/>
        </w:rPr>
        <w:t>sociada a capacitación del CPA)</w:t>
      </w:r>
    </w:p>
    <w:p w14:paraId="10E5A5F2" w14:textId="77777777" w:rsidR="001341EC" w:rsidRPr="00126FA8" w:rsidRDefault="001341EC" w:rsidP="00983457">
      <w:pPr>
        <w:ind w:left="709"/>
        <w:rPr>
          <w:rFonts w:ascii="Book Antiqua" w:hAnsi="Book Antiqua"/>
          <w:sz w:val="22"/>
          <w:szCs w:val="22"/>
        </w:rPr>
      </w:pPr>
    </w:p>
    <w:p w14:paraId="551BF820" w14:textId="77777777" w:rsidR="001341EC" w:rsidRDefault="001341EC" w:rsidP="00E422DB">
      <w:pPr>
        <w:jc w:val="both"/>
        <w:rPr>
          <w:rFonts w:ascii="Book Antiqua" w:hAnsi="Book Antiqua"/>
          <w:sz w:val="22"/>
          <w:szCs w:val="22"/>
        </w:rPr>
      </w:pPr>
      <w:r w:rsidRPr="00126FA8">
        <w:rPr>
          <w:rFonts w:ascii="Book Antiqua" w:hAnsi="Book Antiqua"/>
          <w:sz w:val="22"/>
          <w:szCs w:val="22"/>
        </w:rPr>
        <w:t>Por lo anterior, se solicita al Consejo Superior, valorar el otorga</w:t>
      </w:r>
      <w:r>
        <w:rPr>
          <w:rFonts w:ascii="Book Antiqua" w:hAnsi="Book Antiqua"/>
          <w:sz w:val="22"/>
          <w:szCs w:val="22"/>
        </w:rPr>
        <w:t xml:space="preserve">r </w:t>
      </w:r>
      <w:r w:rsidRPr="00126FA8">
        <w:rPr>
          <w:rFonts w:ascii="Book Antiqua" w:hAnsi="Book Antiqua"/>
          <w:sz w:val="22"/>
          <w:szCs w:val="22"/>
        </w:rPr>
        <w:t>e</w:t>
      </w:r>
      <w:r>
        <w:rPr>
          <w:rFonts w:ascii="Book Antiqua" w:hAnsi="Book Antiqua"/>
          <w:sz w:val="22"/>
          <w:szCs w:val="22"/>
        </w:rPr>
        <w:t>l</w:t>
      </w:r>
      <w:r w:rsidRPr="00126FA8">
        <w:rPr>
          <w:rFonts w:ascii="Book Antiqua" w:hAnsi="Book Antiqua"/>
          <w:sz w:val="22"/>
          <w:szCs w:val="22"/>
        </w:rPr>
        <w:t xml:space="preserve"> nuevo </w:t>
      </w:r>
      <w:r>
        <w:rPr>
          <w:rFonts w:ascii="Book Antiqua" w:hAnsi="Book Antiqua"/>
          <w:sz w:val="22"/>
          <w:szCs w:val="22"/>
        </w:rPr>
        <w:t>requerimiento de capacitación de</w:t>
      </w:r>
      <w:r w:rsidRPr="001F5AC5">
        <w:rPr>
          <w:rFonts w:ascii="Book Antiqua" w:hAnsi="Book Antiqua"/>
          <w:sz w:val="22"/>
          <w:szCs w:val="22"/>
        </w:rPr>
        <w:t xml:space="preserve"> la Escuela Judicial</w:t>
      </w:r>
      <w:r>
        <w:rPr>
          <w:rFonts w:ascii="Book Antiqua" w:hAnsi="Book Antiqua"/>
          <w:sz w:val="22"/>
          <w:szCs w:val="22"/>
        </w:rPr>
        <w:t xml:space="preserve">, dentro del </w:t>
      </w:r>
      <w:r w:rsidRPr="00126FA8">
        <w:rPr>
          <w:rFonts w:ascii="Book Antiqua" w:hAnsi="Book Antiqua"/>
          <w:sz w:val="22"/>
          <w:szCs w:val="22"/>
        </w:rPr>
        <w:t>presupuesto</w:t>
      </w:r>
      <w:r>
        <w:rPr>
          <w:rFonts w:ascii="Book Antiqua" w:hAnsi="Book Antiqua"/>
          <w:sz w:val="22"/>
          <w:szCs w:val="22"/>
        </w:rPr>
        <w:t xml:space="preserve"> 2020</w:t>
      </w:r>
      <w:r w:rsidRPr="00126FA8">
        <w:rPr>
          <w:rFonts w:ascii="Book Antiqua" w:hAnsi="Book Antiqua"/>
          <w:sz w:val="22"/>
          <w:szCs w:val="22"/>
        </w:rPr>
        <w:t xml:space="preserve">, para brindar las capacitaciones correspondientes a la entrada en vigencia del Código Procesal Agrario, donde se consideren </w:t>
      </w:r>
      <w:r w:rsidRPr="00126FA8">
        <w:rPr>
          <w:rFonts w:ascii="Book Antiqua" w:hAnsi="Book Antiqua"/>
          <w:sz w:val="22"/>
          <w:szCs w:val="22"/>
          <w:lang w:val="es-ES"/>
        </w:rPr>
        <w:t xml:space="preserve">aspectos técnicos-metodológicos propios de la </w:t>
      </w:r>
      <w:r w:rsidRPr="00126FA8">
        <w:rPr>
          <w:rFonts w:ascii="Book Antiqua" w:hAnsi="Book Antiqua"/>
          <w:sz w:val="22"/>
          <w:szCs w:val="22"/>
          <w:lang w:val="es-ES"/>
        </w:rPr>
        <w:lastRenderedPageBreak/>
        <w:t xml:space="preserve">formación, reconociendo la </w:t>
      </w:r>
      <w:r w:rsidRPr="001D1C4B">
        <w:rPr>
          <w:rFonts w:ascii="Book Antiqua" w:hAnsi="Book Antiqua" w:cs="Arial"/>
          <w:sz w:val="22"/>
          <w:szCs w:val="22"/>
          <w:lang w:val="es-ES_tradnl"/>
        </w:rPr>
        <w:t>existencia</w:t>
      </w:r>
      <w:r w:rsidRPr="00126FA8">
        <w:rPr>
          <w:rFonts w:ascii="Book Antiqua" w:hAnsi="Book Antiqua"/>
          <w:sz w:val="22"/>
          <w:szCs w:val="22"/>
          <w:lang w:val="es-ES"/>
        </w:rPr>
        <w:t xml:space="preserve"> de diferentes niveles de desarrollo de las competencias requeridas para ello.</w:t>
      </w:r>
      <w:r w:rsidRPr="00126FA8">
        <w:rPr>
          <w:rFonts w:ascii="Book Antiqua" w:hAnsi="Book Antiqua"/>
          <w:sz w:val="22"/>
          <w:szCs w:val="22"/>
        </w:rPr>
        <w:t xml:space="preserve"> </w:t>
      </w:r>
      <w:r>
        <w:rPr>
          <w:rFonts w:ascii="Book Antiqua" w:hAnsi="Book Antiqua"/>
          <w:sz w:val="22"/>
          <w:szCs w:val="22"/>
        </w:rPr>
        <w:t xml:space="preserve">Lo anterior incrementaría el costo anterior del presupuesto 2020 de </w:t>
      </w:r>
      <w:r w:rsidRPr="00126FA8">
        <w:rPr>
          <w:sz w:val="22"/>
          <w:szCs w:val="22"/>
        </w:rPr>
        <w:t>₡</w:t>
      </w:r>
      <w:r w:rsidRPr="00126FA8">
        <w:rPr>
          <w:rFonts w:ascii="Book Antiqua" w:hAnsi="Book Antiqua"/>
          <w:sz w:val="22"/>
          <w:szCs w:val="22"/>
        </w:rPr>
        <w:t xml:space="preserve">506.277.374,24 a </w:t>
      </w:r>
      <w:r w:rsidRPr="00DE1B1C">
        <w:rPr>
          <w:sz w:val="22"/>
          <w:szCs w:val="22"/>
        </w:rPr>
        <w:t>₡</w:t>
      </w:r>
      <w:r>
        <w:rPr>
          <w:rFonts w:ascii="Book Antiqua" w:hAnsi="Book Antiqua"/>
          <w:sz w:val="22"/>
          <w:szCs w:val="22"/>
        </w:rPr>
        <w:t>731.739.340,24, según se muestra en el siguiente cuadro:</w:t>
      </w:r>
    </w:p>
    <w:p w14:paraId="2D0ABAD8" w14:textId="77777777" w:rsidR="001341EC" w:rsidRDefault="001341EC" w:rsidP="001341EC">
      <w:pPr>
        <w:jc w:val="both"/>
        <w:rPr>
          <w:color w:val="000000"/>
          <w:sz w:val="22"/>
          <w:szCs w:val="22"/>
          <w:lang w:eastAsia="es-CR"/>
        </w:rPr>
      </w:pPr>
    </w:p>
    <w:p w14:paraId="0FAEB46F" w14:textId="77777777" w:rsidR="001341EC" w:rsidRDefault="001341EC" w:rsidP="001341EC">
      <w:pPr>
        <w:jc w:val="both"/>
        <w:rPr>
          <w:color w:val="000000"/>
          <w:sz w:val="22"/>
          <w:szCs w:val="22"/>
          <w:lang w:eastAsia="es-CR"/>
        </w:rPr>
      </w:pPr>
      <w:r>
        <w:rPr>
          <w:noProof/>
          <w:lang w:val="es-ES"/>
        </w:rPr>
        <w:drawing>
          <wp:inline distT="0" distB="0" distL="0" distR="0" wp14:anchorId="7B620118" wp14:editId="79D0F864">
            <wp:extent cx="5608320" cy="647700"/>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srcRect/>
                    <a:stretch>
                      <a:fillRect/>
                    </a:stretch>
                  </pic:blipFill>
                  <pic:spPr bwMode="auto">
                    <a:xfrm>
                      <a:off x="0" y="0"/>
                      <a:ext cx="5608320" cy="647700"/>
                    </a:xfrm>
                    <a:prstGeom prst="rect">
                      <a:avLst/>
                    </a:prstGeom>
                    <a:noFill/>
                    <a:ln w="9525">
                      <a:noFill/>
                      <a:miter lim="800000"/>
                      <a:headEnd/>
                      <a:tailEnd/>
                    </a:ln>
                  </pic:spPr>
                </pic:pic>
              </a:graphicData>
            </a:graphic>
          </wp:inline>
        </w:drawing>
      </w:r>
    </w:p>
    <w:p w14:paraId="3C4CB022" w14:textId="77777777" w:rsidR="001341EC" w:rsidRDefault="001341EC" w:rsidP="001341EC">
      <w:pPr>
        <w:jc w:val="both"/>
        <w:rPr>
          <w:color w:val="000000"/>
          <w:sz w:val="22"/>
          <w:szCs w:val="22"/>
          <w:lang w:eastAsia="es-CR"/>
        </w:rPr>
      </w:pPr>
    </w:p>
    <w:p w14:paraId="650DEFD3" w14:textId="77777777" w:rsidR="001341EC" w:rsidRDefault="001341EC" w:rsidP="001341EC">
      <w:pPr>
        <w:jc w:val="both"/>
        <w:rPr>
          <w:color w:val="000000"/>
          <w:sz w:val="22"/>
          <w:szCs w:val="22"/>
          <w:lang w:eastAsia="es-CR"/>
        </w:rPr>
      </w:pPr>
    </w:p>
    <w:p w14:paraId="62B66BEF" w14:textId="77777777" w:rsidR="001341EC" w:rsidRPr="00055D4B" w:rsidRDefault="001341EC" w:rsidP="00983457">
      <w:pPr>
        <w:pStyle w:val="Prrafodelista"/>
        <w:numPr>
          <w:ilvl w:val="1"/>
          <w:numId w:val="48"/>
        </w:numPr>
        <w:jc w:val="both"/>
        <w:rPr>
          <w:rFonts w:ascii="Book Antiqua" w:hAnsi="Book Antiqua"/>
          <w:sz w:val="22"/>
          <w:szCs w:val="22"/>
          <w:lang w:val="es-ES_tradnl"/>
        </w:rPr>
      </w:pPr>
      <w:r w:rsidRPr="00126FA8">
        <w:rPr>
          <w:rFonts w:ascii="Book Antiqua" w:hAnsi="Book Antiqua"/>
          <w:sz w:val="22"/>
          <w:szCs w:val="22"/>
          <w:lang w:val="es-ES_tradnl"/>
        </w:rPr>
        <w:t xml:space="preserve">Se recomienda a la Dirección Ejecutiva y la Comisión de la Jurisdicción Agraria, redactar el Reglamento para el Fondo de Financiamiento de la </w:t>
      </w:r>
      <w:r w:rsidRPr="00055D4B">
        <w:rPr>
          <w:rFonts w:ascii="Book Antiqua" w:hAnsi="Book Antiqua"/>
          <w:sz w:val="22"/>
          <w:szCs w:val="22"/>
          <w:lang w:val="es-ES_tradnl"/>
        </w:rPr>
        <w:t>Jurisdicción Agraria, el cual debe remitirlo en aprobación a Corte Plena.</w:t>
      </w:r>
    </w:p>
    <w:p w14:paraId="0B579A73" w14:textId="77777777" w:rsidR="001341EC" w:rsidRPr="00055D4B" w:rsidRDefault="001341EC" w:rsidP="001341EC">
      <w:pPr>
        <w:pStyle w:val="Prrafodelista"/>
        <w:ind w:left="284"/>
        <w:jc w:val="both"/>
        <w:rPr>
          <w:rFonts w:ascii="Book Antiqua" w:hAnsi="Book Antiqua"/>
          <w:sz w:val="22"/>
          <w:szCs w:val="22"/>
          <w:lang w:val="es-ES_tradnl"/>
        </w:rPr>
      </w:pPr>
    </w:p>
    <w:p w14:paraId="3ACCF376" w14:textId="77777777" w:rsidR="001341EC" w:rsidRPr="00055D4B" w:rsidRDefault="001341EC" w:rsidP="00983457">
      <w:pPr>
        <w:pStyle w:val="Prrafodelista"/>
        <w:numPr>
          <w:ilvl w:val="1"/>
          <w:numId w:val="48"/>
        </w:numPr>
        <w:jc w:val="both"/>
        <w:rPr>
          <w:rFonts w:ascii="Book Antiqua" w:hAnsi="Book Antiqua"/>
          <w:sz w:val="22"/>
          <w:szCs w:val="22"/>
          <w:lang w:val="es-ES_tradnl"/>
        </w:rPr>
      </w:pPr>
      <w:r w:rsidRPr="00055D4B">
        <w:rPr>
          <w:rFonts w:ascii="Book Antiqua" w:hAnsi="Book Antiqua"/>
          <w:sz w:val="22"/>
          <w:szCs w:val="22"/>
          <w:lang w:val="es-ES_tradnl"/>
        </w:rPr>
        <w:t>Se recomienda a la Dirección Ejecutiva, la Comisión de la Jurisdicción Agraria y a la Defensa Pública, redactar el Reglamento para el Fondo de fortalecimiento de la Defensa Pública, el cual debe remitirlo en aprobación a Corte Plena.</w:t>
      </w:r>
    </w:p>
    <w:p w14:paraId="63A4CCDB" w14:textId="77777777" w:rsidR="001341EC" w:rsidRPr="00055D4B" w:rsidRDefault="001341EC" w:rsidP="001341EC">
      <w:pPr>
        <w:pStyle w:val="Prrafodelista"/>
        <w:ind w:left="284"/>
        <w:jc w:val="both"/>
        <w:rPr>
          <w:rFonts w:ascii="Book Antiqua" w:hAnsi="Book Antiqua"/>
          <w:sz w:val="22"/>
          <w:szCs w:val="22"/>
          <w:lang w:val="es-ES_tradnl"/>
        </w:rPr>
      </w:pPr>
    </w:p>
    <w:p w14:paraId="4453E957" w14:textId="77777777" w:rsidR="001341EC" w:rsidRPr="00055D4B" w:rsidRDefault="001341EC" w:rsidP="00983457">
      <w:pPr>
        <w:pStyle w:val="Prrafodelista"/>
        <w:numPr>
          <w:ilvl w:val="1"/>
          <w:numId w:val="48"/>
        </w:numPr>
        <w:jc w:val="both"/>
        <w:rPr>
          <w:rFonts w:ascii="Book Antiqua" w:hAnsi="Book Antiqua"/>
          <w:sz w:val="22"/>
          <w:szCs w:val="22"/>
          <w:lang w:val="es-ES_tradnl"/>
        </w:rPr>
      </w:pPr>
      <w:r w:rsidRPr="00055D4B">
        <w:rPr>
          <w:rFonts w:ascii="Book Antiqua" w:hAnsi="Book Antiqua"/>
          <w:sz w:val="22"/>
          <w:szCs w:val="22"/>
          <w:lang w:val="es-ES_tradnl"/>
        </w:rPr>
        <w:t>Se recomienda a la Comisión de la Jurisdicción Agraria el ajuste en la formula estadística, de forma que se logre obtener la estadística de l</w:t>
      </w:r>
      <w:r>
        <w:rPr>
          <w:rFonts w:ascii="Book Antiqua" w:hAnsi="Book Antiqua"/>
          <w:sz w:val="22"/>
          <w:szCs w:val="22"/>
          <w:lang w:val="es-ES_tradnl"/>
        </w:rPr>
        <w:t>a</w:t>
      </w:r>
      <w:r w:rsidRPr="00055D4B">
        <w:rPr>
          <w:rFonts w:ascii="Book Antiqua" w:hAnsi="Book Antiqua"/>
          <w:sz w:val="22"/>
          <w:szCs w:val="22"/>
          <w:lang w:val="es-ES_tradnl"/>
        </w:rPr>
        <w:t>s nuevas clases de asuntos que la Ley prevé que tendrá competencia esta Jurisdicción.</w:t>
      </w:r>
    </w:p>
    <w:p w14:paraId="622B8B24" w14:textId="77777777" w:rsidR="001341EC" w:rsidRPr="00055D4B" w:rsidRDefault="001341EC" w:rsidP="001341EC">
      <w:pPr>
        <w:pStyle w:val="Prrafodelista"/>
        <w:ind w:left="284"/>
        <w:jc w:val="both"/>
        <w:rPr>
          <w:rFonts w:ascii="Book Antiqua" w:hAnsi="Book Antiqua"/>
          <w:sz w:val="22"/>
          <w:szCs w:val="22"/>
          <w:lang w:val="es-ES_tradnl"/>
        </w:rPr>
      </w:pPr>
    </w:p>
    <w:p w14:paraId="3B85CA6E" w14:textId="77777777" w:rsidR="001341EC" w:rsidRPr="00983457" w:rsidRDefault="001341EC" w:rsidP="00983457">
      <w:pPr>
        <w:pStyle w:val="Prrafodelista"/>
        <w:numPr>
          <w:ilvl w:val="1"/>
          <w:numId w:val="48"/>
        </w:numPr>
        <w:jc w:val="both"/>
        <w:rPr>
          <w:rFonts w:ascii="Book Antiqua" w:hAnsi="Book Antiqua"/>
          <w:sz w:val="22"/>
          <w:szCs w:val="22"/>
          <w:lang w:val="es-ES_tradnl"/>
        </w:rPr>
      </w:pPr>
      <w:r w:rsidRPr="00983457">
        <w:rPr>
          <w:rFonts w:ascii="Book Antiqua" w:hAnsi="Book Antiqua"/>
          <w:sz w:val="22"/>
          <w:szCs w:val="22"/>
          <w:lang w:val="es-ES_tradnl"/>
        </w:rPr>
        <w:t>Se recomienda aprobar la metodología de trabajo establecida en el Cuadro 7 y 8 de este informe, en donde tres despachos requieren de colaboración en el trámite y dictado de sentencias, al mantener la entrada de asuntos mayor a su capacidad instalada (Santa Cruz, Pérez Zeledón y Pococí) y pueden recibir colaboración de cuatro despachos (Liberia y Alajuela a Santa Cruz, Corredores a Perez Zeledón y Limón a Pococí y Perez Zeledón), que por el contrario tienen capacidad instalada superior a la cantidad de asuntos entrados por mes por plaza de Jueza o Juez. Para lo cual de previo se deberá establecer el plan de trabajo y momento oportuno para iniciar el proyecto, es necesario realizar esto durante el año 2019 para prepararse a la entrada en vigencia del nuevo código procesal agrario.</w:t>
      </w:r>
    </w:p>
    <w:p w14:paraId="16B3BC73" w14:textId="77777777" w:rsidR="001341EC" w:rsidRDefault="001341EC" w:rsidP="001341EC">
      <w:pPr>
        <w:pStyle w:val="Prrafodelista"/>
        <w:ind w:left="284"/>
        <w:jc w:val="both"/>
        <w:rPr>
          <w:rFonts w:ascii="Book Antiqua" w:hAnsi="Book Antiqua"/>
          <w:sz w:val="22"/>
          <w:szCs w:val="22"/>
          <w:lang w:val="es-ES_tradnl"/>
        </w:rPr>
      </w:pPr>
    </w:p>
    <w:p w14:paraId="08513D21" w14:textId="77777777" w:rsidR="001341EC" w:rsidRPr="00126FA8" w:rsidRDefault="001341EC" w:rsidP="00983457">
      <w:pPr>
        <w:pStyle w:val="Prrafodelista"/>
        <w:numPr>
          <w:ilvl w:val="1"/>
          <w:numId w:val="48"/>
        </w:numPr>
        <w:jc w:val="both"/>
        <w:rPr>
          <w:rFonts w:ascii="Book Antiqua" w:hAnsi="Book Antiqua"/>
          <w:sz w:val="22"/>
          <w:szCs w:val="22"/>
          <w:lang w:val="es-ES_tradnl"/>
        </w:rPr>
      </w:pPr>
      <w:r w:rsidRPr="00055D4B">
        <w:rPr>
          <w:rFonts w:ascii="Book Antiqua" w:hAnsi="Book Antiqua"/>
          <w:sz w:val="22"/>
          <w:szCs w:val="22"/>
          <w:lang w:val="es-ES_tradnl"/>
        </w:rPr>
        <w:t>En caso de aprobarse las metodologías de trabajo de los apartado</w:t>
      </w:r>
      <w:r>
        <w:rPr>
          <w:rFonts w:ascii="Book Antiqua" w:hAnsi="Book Antiqua"/>
          <w:sz w:val="22"/>
          <w:szCs w:val="22"/>
          <w:lang w:val="es-ES_tradnl"/>
        </w:rPr>
        <w:t>s</w:t>
      </w:r>
      <w:r w:rsidRPr="00055D4B">
        <w:rPr>
          <w:rFonts w:ascii="Book Antiqua" w:hAnsi="Book Antiqua"/>
          <w:sz w:val="22"/>
          <w:szCs w:val="22"/>
          <w:lang w:val="es-ES_tradnl"/>
        </w:rPr>
        <w:t xml:space="preserve"> 5.</w:t>
      </w:r>
      <w:r>
        <w:rPr>
          <w:rFonts w:ascii="Book Antiqua" w:hAnsi="Book Antiqua"/>
          <w:sz w:val="22"/>
          <w:szCs w:val="22"/>
          <w:lang w:val="es-ES_tradnl"/>
        </w:rPr>
        <w:t>12</w:t>
      </w:r>
      <w:r w:rsidRPr="00055D4B">
        <w:rPr>
          <w:rFonts w:ascii="Book Antiqua" w:hAnsi="Book Antiqua"/>
          <w:sz w:val="22"/>
          <w:szCs w:val="22"/>
          <w:lang w:val="es-ES_tradnl"/>
        </w:rPr>
        <w:t>, se requiere ampliar la competencia territorial de estas zonas</w:t>
      </w:r>
      <w:r>
        <w:rPr>
          <w:rFonts w:ascii="Book Antiqua" w:hAnsi="Book Antiqua"/>
          <w:sz w:val="22"/>
          <w:szCs w:val="22"/>
          <w:lang w:val="es-ES_tradnl"/>
        </w:rPr>
        <w:t>, según se establece en</w:t>
      </w:r>
      <w:r w:rsidRPr="00126FA8">
        <w:rPr>
          <w:rFonts w:ascii="Book Antiqua" w:hAnsi="Book Antiqua"/>
          <w:sz w:val="22"/>
          <w:szCs w:val="22"/>
          <w:lang w:val="es-ES_tradnl"/>
        </w:rPr>
        <w:t xml:space="preserve"> la Ley Orgánica del Poder Judicial en los artículos 56 y 59. </w:t>
      </w:r>
    </w:p>
    <w:p w14:paraId="2FA2DB0E" w14:textId="77777777" w:rsidR="001341EC" w:rsidRDefault="001341EC" w:rsidP="001341EC">
      <w:pPr>
        <w:pStyle w:val="Default"/>
        <w:jc w:val="both"/>
        <w:rPr>
          <w:rFonts w:cs="Arial"/>
          <w:sz w:val="20"/>
          <w:szCs w:val="20"/>
        </w:rPr>
      </w:pPr>
    </w:p>
    <w:p w14:paraId="15BA672E" w14:textId="77777777" w:rsidR="001341EC" w:rsidRPr="00126FA8" w:rsidRDefault="001341EC" w:rsidP="00983457">
      <w:pPr>
        <w:pStyle w:val="Default"/>
        <w:ind w:left="851" w:right="172"/>
        <w:jc w:val="both"/>
        <w:rPr>
          <w:rFonts w:ascii="Book Antiqua" w:hAnsi="Book Antiqua" w:cs="Arial"/>
          <w:i/>
          <w:sz w:val="20"/>
          <w:szCs w:val="20"/>
        </w:rPr>
      </w:pPr>
      <w:r w:rsidRPr="00126FA8">
        <w:rPr>
          <w:rFonts w:ascii="Book Antiqua" w:hAnsi="Book Antiqua" w:cs="Arial"/>
          <w:i/>
          <w:sz w:val="20"/>
          <w:szCs w:val="20"/>
        </w:rPr>
        <w:t>“Refundir dos o más despachos judiciales en uno solo o dividirlos, trasladarlos de sede, fijarles la respectiva competencia territorio y por materia, tomando en consideración el mejor servicio público.</w:t>
      </w:r>
    </w:p>
    <w:p w14:paraId="2B1500F1" w14:textId="77777777" w:rsidR="001341EC" w:rsidRPr="00126FA8" w:rsidRDefault="001341EC" w:rsidP="00983457">
      <w:pPr>
        <w:pStyle w:val="Default"/>
        <w:ind w:left="851" w:right="172"/>
        <w:jc w:val="both"/>
        <w:rPr>
          <w:rFonts w:ascii="Book Antiqua" w:hAnsi="Book Antiqua" w:cs="Arial"/>
          <w:i/>
          <w:sz w:val="20"/>
          <w:szCs w:val="20"/>
        </w:rPr>
      </w:pPr>
    </w:p>
    <w:p w14:paraId="5FD1DDFD" w14:textId="77777777" w:rsidR="001341EC" w:rsidRPr="00126FA8" w:rsidRDefault="001341EC" w:rsidP="00983457">
      <w:pPr>
        <w:pStyle w:val="Default"/>
        <w:ind w:left="851" w:right="172"/>
        <w:jc w:val="both"/>
        <w:rPr>
          <w:rFonts w:ascii="Book Antiqua" w:hAnsi="Book Antiqua" w:cs="Arial"/>
          <w:i/>
          <w:sz w:val="20"/>
          <w:szCs w:val="20"/>
        </w:rPr>
      </w:pPr>
      <w:r w:rsidRPr="00126FA8">
        <w:rPr>
          <w:rFonts w:ascii="Book Antiqua" w:hAnsi="Book Antiqua" w:cs="Arial"/>
          <w:i/>
          <w:sz w:val="20"/>
          <w:szCs w:val="20"/>
        </w:rPr>
        <w:t>También podrá asignarle competencia especializada a uno o varios despachos, para que conozcan de determinados asuntos, dentro de una misma materia, ocurridos en una o varias circunscripciones o en todo el territorio nacional.”</w:t>
      </w:r>
    </w:p>
    <w:p w14:paraId="113E14D8" w14:textId="77777777" w:rsidR="001341EC" w:rsidRPr="001D1C4B" w:rsidRDefault="001341EC" w:rsidP="001341EC">
      <w:pPr>
        <w:pStyle w:val="Prrafodelista"/>
        <w:ind w:left="284"/>
        <w:jc w:val="both"/>
        <w:rPr>
          <w:rFonts w:ascii="Book Antiqua" w:hAnsi="Book Antiqua"/>
          <w:sz w:val="22"/>
          <w:szCs w:val="22"/>
          <w:lang w:val="es-ES_tradnl"/>
        </w:rPr>
      </w:pPr>
      <w:r>
        <w:rPr>
          <w:rFonts w:ascii="Book Antiqua" w:hAnsi="Book Antiqua"/>
          <w:sz w:val="22"/>
          <w:szCs w:val="22"/>
          <w:lang w:val="es-ES_tradnl"/>
        </w:rPr>
        <w:t xml:space="preserve"> </w:t>
      </w:r>
    </w:p>
    <w:p w14:paraId="15B26575" w14:textId="77777777" w:rsidR="001341EC" w:rsidRDefault="001341EC" w:rsidP="00983457">
      <w:pPr>
        <w:pStyle w:val="Prrafodelista"/>
        <w:numPr>
          <w:ilvl w:val="1"/>
          <w:numId w:val="48"/>
        </w:numPr>
        <w:jc w:val="both"/>
        <w:rPr>
          <w:rFonts w:ascii="Book Antiqua" w:hAnsi="Book Antiqua"/>
          <w:sz w:val="22"/>
          <w:szCs w:val="22"/>
          <w:lang w:val="es-ES_tradnl"/>
        </w:rPr>
      </w:pPr>
      <w:r>
        <w:rPr>
          <w:rFonts w:ascii="Book Antiqua" w:hAnsi="Book Antiqua"/>
          <w:sz w:val="22"/>
          <w:szCs w:val="22"/>
          <w:lang w:val="es-ES_tradnl"/>
        </w:rPr>
        <w:lastRenderedPageBreak/>
        <w:t xml:space="preserve">En Centro de Apoyo, Coordinación y Mejoramiento a la Función Jurisdiccional deberá velar por el cumplimiento de las cuotas del personal juzgador establecidos en el Cuadro 6 de este informe, de forma que se pueda dar cumplimiento a los planes de trabajo para la atención de los casos entrados en materia Agraria en todo el país. </w:t>
      </w:r>
      <w:r w:rsidRPr="00055D4B">
        <w:rPr>
          <w:rFonts w:ascii="Book Antiqua" w:hAnsi="Book Antiqua"/>
          <w:sz w:val="22"/>
          <w:szCs w:val="22"/>
          <w:lang w:val="es-ES_tradnl"/>
        </w:rPr>
        <w:t>De de la misma forma deberá velar</w:t>
      </w:r>
      <w:r>
        <w:rPr>
          <w:rFonts w:ascii="Book Antiqua" w:hAnsi="Book Antiqua"/>
          <w:sz w:val="22"/>
          <w:szCs w:val="22"/>
          <w:lang w:val="es-ES_tradnl"/>
        </w:rPr>
        <w:t>,</w:t>
      </w:r>
      <w:r w:rsidRPr="00055D4B">
        <w:rPr>
          <w:rFonts w:ascii="Book Antiqua" w:hAnsi="Book Antiqua"/>
          <w:sz w:val="22"/>
          <w:szCs w:val="22"/>
          <w:lang w:val="es-ES_tradnl"/>
        </w:rPr>
        <w:t xml:space="preserve"> porque en los planes de descongestionamiento con plazas de personal juzgador que pertenecen al CACMFJ</w:t>
      </w:r>
      <w:r>
        <w:rPr>
          <w:rFonts w:ascii="Book Antiqua" w:hAnsi="Book Antiqua"/>
          <w:sz w:val="22"/>
          <w:szCs w:val="22"/>
          <w:lang w:val="es-ES_tradnl"/>
        </w:rPr>
        <w:t>,</w:t>
      </w:r>
      <w:r w:rsidRPr="00055D4B">
        <w:rPr>
          <w:rFonts w:ascii="Book Antiqua" w:hAnsi="Book Antiqua"/>
          <w:sz w:val="22"/>
          <w:szCs w:val="22"/>
          <w:lang w:val="es-ES_tradnl"/>
        </w:rPr>
        <w:t xml:space="preserve"> </w:t>
      </w:r>
      <w:r>
        <w:rPr>
          <w:rFonts w:ascii="Book Antiqua" w:hAnsi="Book Antiqua"/>
          <w:sz w:val="22"/>
          <w:szCs w:val="22"/>
          <w:lang w:val="es-ES_tradnl"/>
        </w:rPr>
        <w:t xml:space="preserve">se </w:t>
      </w:r>
      <w:r w:rsidRPr="00055D4B">
        <w:rPr>
          <w:rFonts w:ascii="Book Antiqua" w:hAnsi="Book Antiqua"/>
          <w:sz w:val="22"/>
          <w:szCs w:val="22"/>
          <w:lang w:val="es-ES_tradnl"/>
        </w:rPr>
        <w:t>cumplan</w:t>
      </w:r>
      <w:r>
        <w:rPr>
          <w:rFonts w:ascii="Book Antiqua" w:hAnsi="Book Antiqua"/>
          <w:sz w:val="22"/>
          <w:szCs w:val="22"/>
          <w:lang w:val="es-ES_tradnl"/>
        </w:rPr>
        <w:t xml:space="preserve">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 La recopilación de indicadores a nivel nacional deberá empezar a recolectarse a partir del mes de mayo del año en curso.</w:t>
      </w:r>
    </w:p>
    <w:p w14:paraId="77EAFBD0" w14:textId="77777777" w:rsidR="001341EC" w:rsidRDefault="001341EC" w:rsidP="001341EC">
      <w:pPr>
        <w:pStyle w:val="Prrafodelista"/>
        <w:numPr>
          <w:ilvl w:val="2"/>
          <w:numId w:val="0"/>
        </w:numPr>
        <w:jc w:val="both"/>
        <w:rPr>
          <w:sz w:val="22"/>
          <w:szCs w:val="22"/>
        </w:rPr>
      </w:pPr>
    </w:p>
    <w:p w14:paraId="0CCB5141" w14:textId="77777777" w:rsidR="001341EC" w:rsidRPr="007A4037" w:rsidRDefault="001341EC" w:rsidP="00165AA6">
      <w:pPr>
        <w:pStyle w:val="Ttulo1"/>
        <w:keepLines/>
        <w:numPr>
          <w:ilvl w:val="0"/>
          <w:numId w:val="42"/>
        </w:numPr>
        <w:pBdr>
          <w:top w:val="single" w:sz="4" w:space="1" w:color="4F81BD"/>
          <w:left w:val="single" w:sz="4" w:space="4" w:color="4F81BD"/>
          <w:bottom w:val="single" w:sz="4" w:space="1" w:color="4F81BD"/>
          <w:right w:val="single" w:sz="4" w:space="4" w:color="4F81BD"/>
        </w:pBdr>
        <w:shd w:val="clear" w:color="auto" w:fill="B8CCE4"/>
        <w:tabs>
          <w:tab w:val="clear" w:pos="4680"/>
        </w:tabs>
        <w:spacing w:before="240"/>
        <w:ind w:right="191"/>
        <w:rPr>
          <w:rStyle w:val="nfasis"/>
          <w:rFonts w:ascii="Book Antiqua" w:hAnsi="Book Antiqua"/>
          <w:i/>
        </w:rPr>
      </w:pPr>
      <w:r w:rsidRPr="007A4037">
        <w:rPr>
          <w:rStyle w:val="nfasis"/>
          <w:rFonts w:ascii="Book Antiqua" w:hAnsi="Book Antiqua"/>
          <w:i/>
        </w:rPr>
        <w:t>ANEXOS</w:t>
      </w:r>
    </w:p>
    <w:p w14:paraId="6EF8D34C" w14:textId="77777777" w:rsidR="001341EC" w:rsidRPr="00126FA8" w:rsidRDefault="001341EC" w:rsidP="001341EC"/>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478"/>
        <w:gridCol w:w="3881"/>
        <w:gridCol w:w="3129"/>
      </w:tblGrid>
      <w:tr w:rsidR="001341EC" w:rsidRPr="00493BFE" w14:paraId="73508F1E" w14:textId="77777777" w:rsidTr="00165AA6">
        <w:trPr>
          <w:trHeight w:val="227"/>
          <w:tblHeader/>
          <w:tblCellSpacing w:w="1440" w:type="nil"/>
        </w:trPr>
        <w:tc>
          <w:tcPr>
            <w:tcW w:w="871" w:type="pct"/>
            <w:shd w:val="clear" w:color="auto" w:fill="365F91"/>
            <w:vAlign w:val="center"/>
          </w:tcPr>
          <w:p w14:paraId="5ACEFCA6" w14:textId="77777777" w:rsidR="001341EC" w:rsidRPr="00055D4B" w:rsidRDefault="001341EC" w:rsidP="00165AA6">
            <w:pPr>
              <w:jc w:val="center"/>
              <w:rPr>
                <w:rFonts w:ascii="Book Antiqua" w:hAnsi="Book Antiqua"/>
                <w:b/>
                <w:color w:val="FFFFFF"/>
              </w:rPr>
            </w:pPr>
            <w:r w:rsidRPr="00055D4B">
              <w:rPr>
                <w:rFonts w:ascii="Book Antiqua" w:hAnsi="Book Antiqua"/>
                <w:b/>
                <w:color w:val="FFFFFF"/>
                <w:sz w:val="22"/>
                <w:szCs w:val="22"/>
              </w:rPr>
              <w:t>Anexo</w:t>
            </w:r>
          </w:p>
        </w:tc>
        <w:tc>
          <w:tcPr>
            <w:tcW w:w="2286" w:type="pct"/>
            <w:shd w:val="clear" w:color="auto" w:fill="365F91"/>
            <w:vAlign w:val="center"/>
          </w:tcPr>
          <w:p w14:paraId="51BF57D3" w14:textId="77777777" w:rsidR="001341EC" w:rsidRPr="00055D4B" w:rsidRDefault="001341EC" w:rsidP="00165AA6">
            <w:pPr>
              <w:jc w:val="center"/>
              <w:rPr>
                <w:rFonts w:ascii="Book Antiqua" w:hAnsi="Book Antiqua"/>
                <w:b/>
                <w:color w:val="FFFFFF"/>
              </w:rPr>
            </w:pPr>
            <w:r w:rsidRPr="00055D4B">
              <w:rPr>
                <w:rFonts w:ascii="Book Antiqua" w:hAnsi="Book Antiqua"/>
                <w:b/>
                <w:color w:val="FFFFFF"/>
                <w:sz w:val="22"/>
                <w:szCs w:val="22"/>
              </w:rPr>
              <w:t>Nombre</w:t>
            </w:r>
          </w:p>
        </w:tc>
        <w:tc>
          <w:tcPr>
            <w:tcW w:w="1843" w:type="pct"/>
            <w:shd w:val="clear" w:color="auto" w:fill="365F91"/>
            <w:vAlign w:val="center"/>
          </w:tcPr>
          <w:p w14:paraId="34992C98" w14:textId="77777777" w:rsidR="001341EC" w:rsidRPr="00055D4B" w:rsidRDefault="001341EC" w:rsidP="00165AA6">
            <w:pPr>
              <w:jc w:val="center"/>
              <w:rPr>
                <w:rFonts w:ascii="Book Antiqua" w:hAnsi="Book Antiqua"/>
                <w:b/>
                <w:color w:val="FFFFFF"/>
              </w:rPr>
            </w:pPr>
            <w:r w:rsidRPr="00055D4B">
              <w:rPr>
                <w:rFonts w:ascii="Book Antiqua" w:hAnsi="Book Antiqua"/>
                <w:b/>
                <w:color w:val="FFFFFF"/>
                <w:sz w:val="22"/>
                <w:szCs w:val="22"/>
              </w:rPr>
              <w:t>Documento</w:t>
            </w:r>
          </w:p>
        </w:tc>
      </w:tr>
      <w:tr w:rsidR="001341EC" w:rsidRPr="00493BFE" w14:paraId="74DBF62E" w14:textId="77777777" w:rsidTr="00165AA6">
        <w:trPr>
          <w:trHeight w:val="227"/>
          <w:tblCellSpacing w:w="1440" w:type="nil"/>
        </w:trPr>
        <w:tc>
          <w:tcPr>
            <w:tcW w:w="871" w:type="pct"/>
            <w:shd w:val="clear" w:color="auto" w:fill="auto"/>
            <w:vAlign w:val="center"/>
          </w:tcPr>
          <w:p w14:paraId="748F722C"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1</w:t>
            </w:r>
          </w:p>
        </w:tc>
        <w:tc>
          <w:tcPr>
            <w:tcW w:w="2286" w:type="pct"/>
            <w:shd w:val="clear" w:color="auto" w:fill="auto"/>
            <w:vAlign w:val="center"/>
          </w:tcPr>
          <w:p w14:paraId="3E1C00FD" w14:textId="77777777" w:rsidR="001341EC" w:rsidRPr="00055D4B" w:rsidRDefault="001341EC" w:rsidP="00165AA6">
            <w:pPr>
              <w:jc w:val="center"/>
              <w:rPr>
                <w:rFonts w:ascii="Book Antiqua" w:hAnsi="Book Antiqua"/>
              </w:rPr>
            </w:pPr>
            <w:r w:rsidRPr="00055D4B">
              <w:rPr>
                <w:rFonts w:ascii="Book Antiqua" w:hAnsi="Book Antiqua"/>
                <w:sz w:val="22"/>
                <w:szCs w:val="22"/>
              </w:rPr>
              <w:t>Solicitud de la Jueza Damaris Vargas Vásquez, MBA</w:t>
            </w:r>
          </w:p>
        </w:tc>
        <w:bookmarkStart w:id="24" w:name="_MON_1614683251"/>
        <w:bookmarkEnd w:id="24"/>
        <w:bookmarkStart w:id="25" w:name="_MON_1618748128"/>
        <w:bookmarkEnd w:id="25"/>
        <w:tc>
          <w:tcPr>
            <w:tcW w:w="1843" w:type="pct"/>
            <w:shd w:val="clear" w:color="auto" w:fill="auto"/>
            <w:vAlign w:val="center"/>
          </w:tcPr>
          <w:p w14:paraId="535EBF41" w14:textId="77777777" w:rsidR="001341EC" w:rsidRPr="00055D4B" w:rsidRDefault="001341EC" w:rsidP="00165AA6">
            <w:pPr>
              <w:jc w:val="center"/>
              <w:rPr>
                <w:rFonts w:ascii="Book Antiqua" w:hAnsi="Book Antiqua"/>
              </w:rPr>
            </w:pPr>
            <w:r w:rsidRPr="00301CF2">
              <w:rPr>
                <w:rFonts w:ascii="Book Antiqua" w:hAnsi="Book Antiqua"/>
                <w:sz w:val="22"/>
                <w:szCs w:val="22"/>
              </w:rPr>
              <w:object w:dxaOrig="1513" w:dyaOrig="984" w14:anchorId="60D60C23">
                <v:shape id="_x0000_i1035" type="#_x0000_t75" style="width:78pt;height:46pt" o:ole="">
                  <v:imagedata r:id="rId29" o:title=""/>
                </v:shape>
                <o:OLEObject Type="Embed" ProgID="Word.Document.12" ShapeID="_x0000_i1035" DrawAspect="Icon" ObjectID="_1687780060" r:id="rId30">
                  <o:FieldCodes>\s</o:FieldCodes>
                </o:OLEObject>
              </w:object>
            </w:r>
          </w:p>
        </w:tc>
      </w:tr>
      <w:tr w:rsidR="001341EC" w:rsidRPr="00493BFE" w14:paraId="66A6E942" w14:textId="77777777" w:rsidTr="00165AA6">
        <w:trPr>
          <w:trHeight w:val="227"/>
          <w:tblCellSpacing w:w="1440" w:type="nil"/>
        </w:trPr>
        <w:tc>
          <w:tcPr>
            <w:tcW w:w="871" w:type="pct"/>
            <w:shd w:val="clear" w:color="auto" w:fill="auto"/>
            <w:vAlign w:val="center"/>
          </w:tcPr>
          <w:p w14:paraId="35802D2F"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2</w:t>
            </w:r>
          </w:p>
        </w:tc>
        <w:tc>
          <w:tcPr>
            <w:tcW w:w="2286" w:type="pct"/>
            <w:shd w:val="clear" w:color="auto" w:fill="auto"/>
            <w:vAlign w:val="center"/>
          </w:tcPr>
          <w:p w14:paraId="11524243" w14:textId="77777777" w:rsidR="001341EC" w:rsidRPr="00055D4B" w:rsidRDefault="001341EC" w:rsidP="00165AA6">
            <w:pPr>
              <w:jc w:val="center"/>
              <w:rPr>
                <w:rFonts w:ascii="Book Antiqua" w:hAnsi="Book Antiqua"/>
              </w:rPr>
            </w:pPr>
            <w:r w:rsidRPr="00055D4B">
              <w:rPr>
                <w:rFonts w:ascii="Book Antiqua" w:hAnsi="Book Antiqua"/>
                <w:sz w:val="22"/>
                <w:szCs w:val="22"/>
              </w:rPr>
              <w:t>Oficio de Presupuesto Informe 2526-DTI-2018</w:t>
            </w:r>
          </w:p>
        </w:tc>
        <w:bookmarkStart w:id="26" w:name="_MON_1614683460"/>
        <w:bookmarkEnd w:id="26"/>
        <w:bookmarkStart w:id="27" w:name="_MON_1618748150"/>
        <w:bookmarkEnd w:id="27"/>
        <w:tc>
          <w:tcPr>
            <w:tcW w:w="1843" w:type="pct"/>
            <w:shd w:val="clear" w:color="auto" w:fill="auto"/>
            <w:vAlign w:val="center"/>
          </w:tcPr>
          <w:p w14:paraId="1BC4C42E" w14:textId="77777777" w:rsidR="001341EC" w:rsidRPr="00055D4B" w:rsidRDefault="001341EC" w:rsidP="00165AA6">
            <w:pPr>
              <w:jc w:val="center"/>
              <w:rPr>
                <w:rFonts w:ascii="Book Antiqua" w:hAnsi="Book Antiqua"/>
              </w:rPr>
            </w:pPr>
            <w:r w:rsidRPr="00301CF2">
              <w:rPr>
                <w:rFonts w:ascii="Book Antiqua" w:hAnsi="Book Antiqua"/>
                <w:sz w:val="22"/>
                <w:szCs w:val="22"/>
                <w:lang w:eastAsia="en-US"/>
              </w:rPr>
              <w:object w:dxaOrig="1520" w:dyaOrig="987" w14:anchorId="0E9C85A4">
                <v:shape id="_x0000_i1036" type="#_x0000_t75" style="width:77.5pt;height:48pt" o:ole="">
                  <v:imagedata r:id="rId31" o:title=""/>
                </v:shape>
                <o:OLEObject Type="Embed" ProgID="Word.Document.12" ShapeID="_x0000_i1036" DrawAspect="Icon" ObjectID="_1687780061" r:id="rId32">
                  <o:FieldCodes>\s</o:FieldCodes>
                </o:OLEObject>
              </w:object>
            </w:r>
          </w:p>
        </w:tc>
      </w:tr>
      <w:tr w:rsidR="001341EC" w:rsidRPr="00493BFE" w14:paraId="1757A525" w14:textId="77777777" w:rsidTr="00165AA6">
        <w:trPr>
          <w:trHeight w:val="227"/>
          <w:tblCellSpacing w:w="1440" w:type="nil"/>
        </w:trPr>
        <w:tc>
          <w:tcPr>
            <w:tcW w:w="871" w:type="pct"/>
            <w:shd w:val="clear" w:color="auto" w:fill="auto"/>
            <w:vAlign w:val="center"/>
          </w:tcPr>
          <w:p w14:paraId="2C4F6CEF"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3</w:t>
            </w:r>
          </w:p>
        </w:tc>
        <w:tc>
          <w:tcPr>
            <w:tcW w:w="2286" w:type="pct"/>
            <w:shd w:val="clear" w:color="auto" w:fill="auto"/>
            <w:vAlign w:val="center"/>
          </w:tcPr>
          <w:p w14:paraId="7E12CC23" w14:textId="77777777" w:rsidR="001341EC" w:rsidRPr="00055D4B" w:rsidRDefault="001341EC" w:rsidP="00165AA6">
            <w:pPr>
              <w:jc w:val="center"/>
              <w:rPr>
                <w:rFonts w:ascii="Book Antiqua" w:hAnsi="Book Antiqua"/>
              </w:rPr>
            </w:pPr>
            <w:r w:rsidRPr="00055D4B">
              <w:rPr>
                <w:rFonts w:ascii="Book Antiqua" w:hAnsi="Book Antiqua"/>
                <w:sz w:val="22"/>
                <w:szCs w:val="22"/>
              </w:rPr>
              <w:t xml:space="preserve">Informe 820-PLA-2018 </w:t>
            </w:r>
          </w:p>
          <w:p w14:paraId="322E4736" w14:textId="77777777" w:rsidR="001341EC" w:rsidRPr="00055D4B" w:rsidRDefault="001341EC" w:rsidP="00165AA6">
            <w:pPr>
              <w:jc w:val="center"/>
              <w:rPr>
                <w:rFonts w:ascii="Book Antiqua" w:hAnsi="Book Antiqua"/>
              </w:rPr>
            </w:pPr>
            <w:r w:rsidRPr="00055D4B">
              <w:rPr>
                <w:rFonts w:ascii="Book Antiqua" w:hAnsi="Book Antiqua"/>
                <w:sz w:val="22"/>
                <w:szCs w:val="22"/>
              </w:rPr>
              <w:t>Posible costo que representa la implementación del Código Procesal Agraria</w:t>
            </w:r>
          </w:p>
        </w:tc>
        <w:bookmarkStart w:id="28" w:name="_MON_1614683863"/>
        <w:bookmarkEnd w:id="28"/>
        <w:bookmarkStart w:id="29" w:name="_MON_1618748167"/>
        <w:bookmarkEnd w:id="29"/>
        <w:tc>
          <w:tcPr>
            <w:tcW w:w="1843" w:type="pct"/>
            <w:shd w:val="clear" w:color="auto" w:fill="auto"/>
            <w:vAlign w:val="center"/>
          </w:tcPr>
          <w:p w14:paraId="346EBD0F" w14:textId="77777777" w:rsidR="001341EC" w:rsidRPr="00055D4B" w:rsidRDefault="001341EC" w:rsidP="00165AA6">
            <w:pPr>
              <w:jc w:val="center"/>
              <w:rPr>
                <w:rFonts w:ascii="Book Antiqua" w:hAnsi="Book Antiqua"/>
              </w:rPr>
            </w:pPr>
            <w:r w:rsidRPr="00301CF2">
              <w:rPr>
                <w:rFonts w:ascii="Book Antiqua" w:hAnsi="Book Antiqua"/>
                <w:sz w:val="22"/>
                <w:szCs w:val="22"/>
              </w:rPr>
              <w:object w:dxaOrig="1513" w:dyaOrig="984" w14:anchorId="25BF9FC6">
                <v:shape id="_x0000_i1037" type="#_x0000_t75" style="width:75.5pt;height:49pt" o:ole="">
                  <v:imagedata r:id="rId33" o:title=""/>
                </v:shape>
                <o:OLEObject Type="Embed" ProgID="Word.Document.8" ShapeID="_x0000_i1037" DrawAspect="Icon" ObjectID="_1687780062" r:id="rId34">
                  <o:FieldCodes>\s</o:FieldCodes>
                </o:OLEObject>
              </w:object>
            </w:r>
          </w:p>
        </w:tc>
      </w:tr>
      <w:tr w:rsidR="001341EC" w:rsidRPr="00493BFE" w14:paraId="4131810F" w14:textId="77777777" w:rsidTr="00E422DB">
        <w:trPr>
          <w:trHeight w:val="1011"/>
          <w:tblCellSpacing w:w="1440" w:type="nil"/>
        </w:trPr>
        <w:tc>
          <w:tcPr>
            <w:tcW w:w="871" w:type="pct"/>
            <w:shd w:val="clear" w:color="auto" w:fill="auto"/>
            <w:vAlign w:val="center"/>
          </w:tcPr>
          <w:p w14:paraId="186734DD"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4</w:t>
            </w:r>
          </w:p>
        </w:tc>
        <w:tc>
          <w:tcPr>
            <w:tcW w:w="2286" w:type="pct"/>
            <w:shd w:val="clear" w:color="auto" w:fill="auto"/>
            <w:vAlign w:val="center"/>
          </w:tcPr>
          <w:p w14:paraId="4A63D382" w14:textId="77777777" w:rsidR="001341EC" w:rsidRPr="00055D4B" w:rsidRDefault="001341EC" w:rsidP="00165AA6">
            <w:pPr>
              <w:jc w:val="center"/>
              <w:rPr>
                <w:rFonts w:ascii="Book Antiqua" w:hAnsi="Book Antiqua"/>
              </w:rPr>
            </w:pPr>
            <w:r w:rsidRPr="00055D4B">
              <w:rPr>
                <w:rFonts w:ascii="Book Antiqua" w:hAnsi="Book Antiqua"/>
                <w:sz w:val="22"/>
                <w:szCs w:val="22"/>
              </w:rPr>
              <w:t>Oficio0292-P-2018</w:t>
            </w:r>
          </w:p>
          <w:p w14:paraId="72B5F82B" w14:textId="77777777" w:rsidR="001341EC" w:rsidRPr="00055D4B" w:rsidRDefault="001341EC" w:rsidP="00165AA6">
            <w:pPr>
              <w:jc w:val="center"/>
              <w:rPr>
                <w:rFonts w:ascii="Book Antiqua" w:hAnsi="Book Antiqua"/>
              </w:rPr>
            </w:pPr>
            <w:r w:rsidRPr="00055D4B">
              <w:rPr>
                <w:rFonts w:ascii="Book Antiqua" w:hAnsi="Book Antiqua"/>
                <w:sz w:val="22"/>
                <w:szCs w:val="22"/>
              </w:rPr>
              <w:t>Presidencia de la Corte Suprema de Justicia</w:t>
            </w:r>
          </w:p>
        </w:tc>
        <w:tc>
          <w:tcPr>
            <w:tcW w:w="1843" w:type="pct"/>
            <w:shd w:val="clear" w:color="auto" w:fill="auto"/>
            <w:vAlign w:val="center"/>
          </w:tcPr>
          <w:p w14:paraId="49FE7093" w14:textId="77777777" w:rsidR="001341EC" w:rsidRPr="00055D4B" w:rsidRDefault="008C0E64" w:rsidP="00165AA6">
            <w:pPr>
              <w:jc w:val="center"/>
              <w:rPr>
                <w:rFonts w:ascii="Book Antiqua" w:hAnsi="Book Antiqua"/>
              </w:rPr>
            </w:pPr>
            <w:r w:rsidRPr="00301CF2">
              <w:rPr>
                <w:rFonts w:ascii="Book Antiqua" w:hAnsi="Book Antiqua"/>
                <w:sz w:val="22"/>
                <w:szCs w:val="22"/>
              </w:rPr>
              <w:object w:dxaOrig="1891" w:dyaOrig="1230" w14:anchorId="43613570">
                <v:shape id="_x0000_i1038" type="#_x0000_t75" style="width:94pt;height:62pt" o:ole="">
                  <v:imagedata r:id="rId35" o:title=""/>
                </v:shape>
                <o:OLEObject Type="Embed" ProgID="AcroExch.Document.DC" ShapeID="_x0000_i1038" DrawAspect="Icon" ObjectID="_1687780063" r:id="rId36"/>
              </w:object>
            </w:r>
          </w:p>
        </w:tc>
      </w:tr>
      <w:tr w:rsidR="001341EC" w:rsidRPr="00493BFE" w14:paraId="4A461C9D" w14:textId="77777777" w:rsidTr="00165AA6">
        <w:trPr>
          <w:trHeight w:val="227"/>
          <w:tblCellSpacing w:w="1440" w:type="nil"/>
        </w:trPr>
        <w:tc>
          <w:tcPr>
            <w:tcW w:w="871" w:type="pct"/>
            <w:shd w:val="clear" w:color="auto" w:fill="auto"/>
            <w:vAlign w:val="center"/>
          </w:tcPr>
          <w:p w14:paraId="2330E522"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5</w:t>
            </w:r>
          </w:p>
        </w:tc>
        <w:tc>
          <w:tcPr>
            <w:tcW w:w="2286" w:type="pct"/>
            <w:shd w:val="clear" w:color="auto" w:fill="auto"/>
            <w:vAlign w:val="center"/>
          </w:tcPr>
          <w:p w14:paraId="25D3042C" w14:textId="77777777" w:rsidR="001341EC" w:rsidRPr="00055D4B" w:rsidRDefault="001341EC" w:rsidP="00165AA6">
            <w:pPr>
              <w:jc w:val="center"/>
              <w:rPr>
                <w:rFonts w:ascii="Book Antiqua" w:hAnsi="Book Antiqua"/>
              </w:rPr>
            </w:pPr>
            <w:r w:rsidRPr="00055D4B">
              <w:rPr>
                <w:rFonts w:ascii="Book Antiqua" w:hAnsi="Book Antiqua"/>
                <w:sz w:val="22"/>
                <w:szCs w:val="22"/>
              </w:rPr>
              <w:t xml:space="preserve">Correo sobre Propuesta de Capacitación en materia Agraria </w:t>
            </w:r>
          </w:p>
        </w:tc>
        <w:tc>
          <w:tcPr>
            <w:tcW w:w="1843" w:type="pct"/>
            <w:shd w:val="clear" w:color="auto" w:fill="auto"/>
            <w:vAlign w:val="center"/>
          </w:tcPr>
          <w:p w14:paraId="2B53D604" w14:textId="77777777" w:rsidR="001341EC" w:rsidRPr="00055D4B" w:rsidRDefault="007661D0" w:rsidP="00165AA6">
            <w:pPr>
              <w:jc w:val="center"/>
              <w:rPr>
                <w:rFonts w:ascii="Book Antiqua" w:hAnsi="Book Antiqua"/>
              </w:rPr>
            </w:pPr>
            <w:r w:rsidRPr="00301CF2">
              <w:rPr>
                <w:rFonts w:ascii="Book Antiqua" w:hAnsi="Book Antiqua"/>
                <w:sz w:val="22"/>
                <w:szCs w:val="22"/>
              </w:rPr>
              <w:object w:dxaOrig="1891" w:dyaOrig="1230" w14:anchorId="034BE09C">
                <v:shape id="_x0000_i1039" type="#_x0000_t75" style="width:94pt;height:62pt" o:ole="">
                  <v:imagedata r:id="rId37" o:title=""/>
                </v:shape>
                <o:OLEObject Type="Embed" ProgID="Package" ShapeID="_x0000_i1039" DrawAspect="Icon" ObjectID="_1687780064" r:id="rId38"/>
              </w:object>
            </w:r>
          </w:p>
        </w:tc>
      </w:tr>
      <w:tr w:rsidR="001341EC" w:rsidRPr="00493BFE" w14:paraId="32F267F5" w14:textId="77777777" w:rsidTr="00165AA6">
        <w:trPr>
          <w:trHeight w:val="227"/>
          <w:tblCellSpacing w:w="1440" w:type="nil"/>
        </w:trPr>
        <w:tc>
          <w:tcPr>
            <w:tcW w:w="871" w:type="pct"/>
            <w:shd w:val="clear" w:color="auto" w:fill="auto"/>
            <w:vAlign w:val="center"/>
          </w:tcPr>
          <w:p w14:paraId="7EC47F9C"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6</w:t>
            </w:r>
          </w:p>
        </w:tc>
        <w:tc>
          <w:tcPr>
            <w:tcW w:w="2286" w:type="pct"/>
            <w:shd w:val="clear" w:color="auto" w:fill="auto"/>
            <w:vAlign w:val="center"/>
          </w:tcPr>
          <w:p w14:paraId="536075F0" w14:textId="77777777" w:rsidR="001341EC" w:rsidRPr="00055D4B" w:rsidRDefault="001341EC" w:rsidP="00165AA6">
            <w:pPr>
              <w:jc w:val="center"/>
              <w:rPr>
                <w:rFonts w:ascii="Book Antiqua" w:hAnsi="Book Antiqua"/>
              </w:rPr>
            </w:pPr>
            <w:r w:rsidRPr="00055D4B">
              <w:rPr>
                <w:rFonts w:ascii="Book Antiqua" w:hAnsi="Book Antiqua"/>
                <w:sz w:val="22"/>
                <w:szCs w:val="22"/>
              </w:rPr>
              <w:t xml:space="preserve">Correo Sobre Capacitación en materia Agraria 2018 </w:t>
            </w:r>
          </w:p>
        </w:tc>
        <w:tc>
          <w:tcPr>
            <w:tcW w:w="1843" w:type="pct"/>
            <w:shd w:val="clear" w:color="auto" w:fill="auto"/>
            <w:vAlign w:val="center"/>
          </w:tcPr>
          <w:p w14:paraId="3699522D" w14:textId="77777777" w:rsidR="001341EC" w:rsidRPr="00055D4B" w:rsidRDefault="007661D0" w:rsidP="00165AA6">
            <w:pPr>
              <w:jc w:val="center"/>
              <w:rPr>
                <w:rFonts w:ascii="Book Antiqua" w:hAnsi="Book Antiqua"/>
              </w:rPr>
            </w:pPr>
            <w:r w:rsidRPr="00301CF2">
              <w:rPr>
                <w:rFonts w:ascii="Book Antiqua" w:hAnsi="Book Antiqua"/>
                <w:sz w:val="22"/>
                <w:szCs w:val="22"/>
              </w:rPr>
              <w:object w:dxaOrig="1891" w:dyaOrig="1230" w14:anchorId="10F468C3">
                <v:shape id="_x0000_i1040" type="#_x0000_t75" style="width:94pt;height:62pt" o:ole="">
                  <v:imagedata r:id="rId39" o:title=""/>
                </v:shape>
                <o:OLEObject Type="Embed" ProgID="Package" ShapeID="_x0000_i1040" DrawAspect="Icon" ObjectID="_1687780065" r:id="rId40"/>
              </w:object>
            </w:r>
          </w:p>
        </w:tc>
      </w:tr>
      <w:tr w:rsidR="001341EC" w:rsidRPr="00493BFE" w14:paraId="1A188F4D" w14:textId="77777777" w:rsidTr="00165AA6">
        <w:trPr>
          <w:trHeight w:val="227"/>
          <w:tblCellSpacing w:w="1440" w:type="nil"/>
        </w:trPr>
        <w:tc>
          <w:tcPr>
            <w:tcW w:w="871" w:type="pct"/>
            <w:shd w:val="clear" w:color="auto" w:fill="auto"/>
            <w:vAlign w:val="center"/>
          </w:tcPr>
          <w:p w14:paraId="188AF327"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7</w:t>
            </w:r>
          </w:p>
        </w:tc>
        <w:tc>
          <w:tcPr>
            <w:tcW w:w="2286" w:type="pct"/>
            <w:shd w:val="clear" w:color="auto" w:fill="auto"/>
            <w:vAlign w:val="center"/>
          </w:tcPr>
          <w:p w14:paraId="259EEE25" w14:textId="77777777" w:rsidR="001341EC" w:rsidRPr="00055D4B" w:rsidRDefault="001341EC" w:rsidP="00165AA6">
            <w:pPr>
              <w:jc w:val="center"/>
              <w:rPr>
                <w:rFonts w:ascii="Book Antiqua" w:hAnsi="Book Antiqua"/>
              </w:rPr>
            </w:pPr>
            <w:r w:rsidRPr="00055D4B">
              <w:rPr>
                <w:rFonts w:ascii="Book Antiqua" w:hAnsi="Book Antiqua"/>
                <w:sz w:val="22"/>
                <w:szCs w:val="22"/>
              </w:rPr>
              <w:t>Costos Reforma 2020 Dirección Ejecutiva</w:t>
            </w:r>
          </w:p>
        </w:tc>
        <w:bookmarkStart w:id="30" w:name="_MON_1618748350"/>
        <w:bookmarkStart w:id="31" w:name="_MON_1614685306"/>
        <w:bookmarkStart w:id="32" w:name="_MON_1618748297"/>
        <w:bookmarkStart w:id="33" w:name="_MON_1618748327"/>
        <w:bookmarkEnd w:id="30"/>
        <w:bookmarkEnd w:id="31"/>
        <w:bookmarkEnd w:id="32"/>
        <w:bookmarkEnd w:id="33"/>
        <w:bookmarkStart w:id="34" w:name="_MON_1618748338"/>
        <w:bookmarkEnd w:id="34"/>
        <w:tc>
          <w:tcPr>
            <w:tcW w:w="1843" w:type="pct"/>
            <w:shd w:val="clear" w:color="auto" w:fill="auto"/>
            <w:vAlign w:val="center"/>
          </w:tcPr>
          <w:p w14:paraId="5D22C626" w14:textId="77777777" w:rsidR="001341EC" w:rsidRPr="00055D4B" w:rsidRDefault="007661D0" w:rsidP="00165AA6">
            <w:pPr>
              <w:jc w:val="center"/>
              <w:rPr>
                <w:rFonts w:ascii="Book Antiqua" w:hAnsi="Book Antiqua"/>
              </w:rPr>
            </w:pPr>
            <w:r w:rsidRPr="00301CF2">
              <w:rPr>
                <w:rFonts w:ascii="Book Antiqua" w:hAnsi="Book Antiqua"/>
                <w:sz w:val="22"/>
                <w:szCs w:val="22"/>
              </w:rPr>
              <w:object w:dxaOrig="1891" w:dyaOrig="1230" w14:anchorId="0B63BB24">
                <v:shape id="_x0000_i1041" type="#_x0000_t75" style="width:94pt;height:62pt" o:ole="">
                  <v:imagedata r:id="rId41" o:title=""/>
                </v:shape>
                <o:OLEObject Type="Embed" ProgID="Excel.Sheet.12" ShapeID="_x0000_i1041" DrawAspect="Icon" ObjectID="_1687780066" r:id="rId42"/>
              </w:object>
            </w:r>
          </w:p>
        </w:tc>
      </w:tr>
      <w:tr w:rsidR="001341EC" w:rsidRPr="00493BFE" w14:paraId="41F4230B" w14:textId="77777777" w:rsidTr="00165AA6">
        <w:trPr>
          <w:trHeight w:val="227"/>
          <w:tblCellSpacing w:w="1440" w:type="nil"/>
        </w:trPr>
        <w:tc>
          <w:tcPr>
            <w:tcW w:w="871" w:type="pct"/>
            <w:shd w:val="clear" w:color="auto" w:fill="auto"/>
            <w:vAlign w:val="center"/>
          </w:tcPr>
          <w:p w14:paraId="3B3E3B3D"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lastRenderedPageBreak/>
              <w:t>8</w:t>
            </w:r>
          </w:p>
        </w:tc>
        <w:tc>
          <w:tcPr>
            <w:tcW w:w="2286" w:type="pct"/>
            <w:shd w:val="clear" w:color="auto" w:fill="auto"/>
            <w:vAlign w:val="center"/>
          </w:tcPr>
          <w:p w14:paraId="5D736AD3" w14:textId="77777777" w:rsidR="001341EC" w:rsidRPr="00055D4B" w:rsidRDefault="001341EC" w:rsidP="00165AA6">
            <w:pPr>
              <w:jc w:val="center"/>
              <w:rPr>
                <w:rFonts w:ascii="Book Antiqua" w:hAnsi="Book Antiqua"/>
              </w:rPr>
            </w:pPr>
            <w:r w:rsidRPr="00055D4B">
              <w:rPr>
                <w:rFonts w:ascii="Book Antiqua" w:hAnsi="Book Antiqua"/>
                <w:sz w:val="22"/>
                <w:szCs w:val="22"/>
              </w:rPr>
              <w:t>Minuta sesión Plan de Descongestionamiento 2019</w:t>
            </w:r>
          </w:p>
        </w:tc>
        <w:bookmarkStart w:id="35" w:name="_MON_1614685650"/>
        <w:bookmarkEnd w:id="35"/>
        <w:bookmarkStart w:id="36" w:name="_MON_1618748357"/>
        <w:bookmarkEnd w:id="36"/>
        <w:tc>
          <w:tcPr>
            <w:tcW w:w="1843" w:type="pct"/>
            <w:shd w:val="clear" w:color="auto" w:fill="auto"/>
            <w:vAlign w:val="center"/>
          </w:tcPr>
          <w:p w14:paraId="2FD60E6C" w14:textId="77777777" w:rsidR="001341EC" w:rsidRPr="00055D4B" w:rsidRDefault="001341EC" w:rsidP="00165AA6">
            <w:pPr>
              <w:jc w:val="center"/>
              <w:rPr>
                <w:rFonts w:ascii="Book Antiqua" w:hAnsi="Book Antiqua"/>
              </w:rPr>
            </w:pPr>
            <w:r w:rsidRPr="00301CF2">
              <w:rPr>
                <w:rFonts w:ascii="Book Antiqua" w:hAnsi="Book Antiqua"/>
                <w:sz w:val="22"/>
                <w:szCs w:val="22"/>
              </w:rPr>
              <w:object w:dxaOrig="1513" w:dyaOrig="984" w14:anchorId="0C0F0456">
                <v:shape id="_x0000_i1042" type="#_x0000_t75" style="width:75.5pt;height:49pt" o:ole="">
                  <v:imagedata r:id="rId43" o:title=""/>
                </v:shape>
                <o:OLEObject Type="Embed" ProgID="Word.Document.12" ShapeID="_x0000_i1042" DrawAspect="Icon" ObjectID="_1687780067" r:id="rId44">
                  <o:FieldCodes>\s</o:FieldCodes>
                </o:OLEObject>
              </w:object>
            </w:r>
          </w:p>
        </w:tc>
      </w:tr>
      <w:tr w:rsidR="001341EC" w:rsidRPr="00493BFE" w14:paraId="444EE8C4" w14:textId="77777777" w:rsidTr="00165AA6">
        <w:trPr>
          <w:trHeight w:val="227"/>
          <w:tblCellSpacing w:w="1440" w:type="nil"/>
        </w:trPr>
        <w:tc>
          <w:tcPr>
            <w:tcW w:w="871" w:type="pct"/>
            <w:shd w:val="clear" w:color="auto" w:fill="auto"/>
            <w:vAlign w:val="center"/>
          </w:tcPr>
          <w:p w14:paraId="4DF146B8"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9</w:t>
            </w:r>
          </w:p>
        </w:tc>
        <w:tc>
          <w:tcPr>
            <w:tcW w:w="2286" w:type="pct"/>
            <w:shd w:val="clear" w:color="auto" w:fill="auto"/>
            <w:vAlign w:val="center"/>
          </w:tcPr>
          <w:p w14:paraId="3C32E5FF" w14:textId="77777777" w:rsidR="001341EC" w:rsidRPr="00055D4B" w:rsidRDefault="001341EC" w:rsidP="00165AA6">
            <w:pPr>
              <w:jc w:val="center"/>
              <w:rPr>
                <w:rFonts w:ascii="Book Antiqua" w:hAnsi="Book Antiqua"/>
              </w:rPr>
            </w:pPr>
            <w:r w:rsidRPr="00055D4B">
              <w:rPr>
                <w:rFonts w:ascii="Book Antiqua" w:hAnsi="Book Antiqua"/>
                <w:sz w:val="22"/>
                <w:szCs w:val="22"/>
              </w:rPr>
              <w:t>Correo Consulta sobre plaza agraria para el plan de descongestionamiento</w:t>
            </w:r>
          </w:p>
        </w:tc>
        <w:tc>
          <w:tcPr>
            <w:tcW w:w="1843" w:type="pct"/>
            <w:shd w:val="clear" w:color="auto" w:fill="auto"/>
            <w:vAlign w:val="center"/>
          </w:tcPr>
          <w:p w14:paraId="07AE49B9" w14:textId="77777777" w:rsidR="001341EC" w:rsidRPr="00055D4B" w:rsidRDefault="007661D0" w:rsidP="00165AA6">
            <w:pPr>
              <w:jc w:val="center"/>
              <w:rPr>
                <w:rFonts w:ascii="Book Antiqua" w:hAnsi="Book Antiqua"/>
              </w:rPr>
            </w:pPr>
            <w:r w:rsidRPr="00301CF2">
              <w:rPr>
                <w:rFonts w:ascii="Book Antiqua" w:hAnsi="Book Antiqua"/>
                <w:sz w:val="22"/>
                <w:szCs w:val="22"/>
              </w:rPr>
              <w:object w:dxaOrig="1891" w:dyaOrig="1230" w14:anchorId="372609D2">
                <v:shape id="_x0000_i1043" type="#_x0000_t75" style="width:94pt;height:62pt" o:ole="">
                  <v:imagedata r:id="rId45" o:title=""/>
                </v:shape>
                <o:OLEObject Type="Embed" ProgID="Package" ShapeID="_x0000_i1043" DrawAspect="Icon" ObjectID="_1687780068" r:id="rId46"/>
              </w:object>
            </w:r>
          </w:p>
        </w:tc>
      </w:tr>
      <w:tr w:rsidR="001341EC" w:rsidRPr="00493BFE" w14:paraId="08A0EAAA" w14:textId="77777777" w:rsidTr="00165AA6">
        <w:trPr>
          <w:trHeight w:val="227"/>
          <w:tblCellSpacing w:w="1440" w:type="nil"/>
        </w:trPr>
        <w:tc>
          <w:tcPr>
            <w:tcW w:w="871" w:type="pct"/>
            <w:shd w:val="clear" w:color="auto" w:fill="auto"/>
            <w:vAlign w:val="center"/>
          </w:tcPr>
          <w:p w14:paraId="224487A3"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 xml:space="preserve">10 </w:t>
            </w:r>
          </w:p>
        </w:tc>
        <w:tc>
          <w:tcPr>
            <w:tcW w:w="2286" w:type="pct"/>
            <w:shd w:val="clear" w:color="auto" w:fill="auto"/>
            <w:vAlign w:val="center"/>
          </w:tcPr>
          <w:p w14:paraId="3A14494A" w14:textId="77777777" w:rsidR="001341EC" w:rsidRPr="00055D4B" w:rsidRDefault="001341EC" w:rsidP="00165AA6">
            <w:pPr>
              <w:jc w:val="center"/>
              <w:rPr>
                <w:rFonts w:ascii="Book Antiqua" w:hAnsi="Book Antiqua"/>
              </w:rPr>
            </w:pPr>
            <w:r w:rsidRPr="00055D4B">
              <w:rPr>
                <w:rFonts w:ascii="Book Antiqua" w:hAnsi="Book Antiqua"/>
                <w:sz w:val="22"/>
                <w:szCs w:val="22"/>
              </w:rPr>
              <w:t>Respuesta a información Solicitada a la Licda. Vargas respecto Capacitación CONCILIACION</w:t>
            </w:r>
          </w:p>
        </w:tc>
        <w:tc>
          <w:tcPr>
            <w:tcW w:w="1843" w:type="pct"/>
            <w:shd w:val="clear" w:color="auto" w:fill="auto"/>
            <w:vAlign w:val="center"/>
          </w:tcPr>
          <w:p w14:paraId="374C63E4" w14:textId="77777777" w:rsidR="001341EC" w:rsidRPr="00055D4B" w:rsidRDefault="007661D0" w:rsidP="00165AA6">
            <w:pPr>
              <w:jc w:val="center"/>
              <w:rPr>
                <w:rFonts w:ascii="Book Antiqua" w:hAnsi="Book Antiqua"/>
              </w:rPr>
            </w:pPr>
            <w:r w:rsidRPr="00301CF2">
              <w:rPr>
                <w:rFonts w:ascii="Book Antiqua" w:hAnsi="Book Antiqua"/>
                <w:sz w:val="22"/>
                <w:szCs w:val="22"/>
              </w:rPr>
              <w:object w:dxaOrig="1891" w:dyaOrig="1230" w14:anchorId="49538811">
                <v:shape id="_x0000_i1044" type="#_x0000_t75" style="width:94pt;height:62pt" o:ole="">
                  <v:imagedata r:id="rId47" o:title=""/>
                </v:shape>
                <o:OLEObject Type="Embed" ProgID="Package" ShapeID="_x0000_i1044" DrawAspect="Icon" ObjectID="_1687780069" r:id="rId48"/>
              </w:object>
            </w:r>
          </w:p>
        </w:tc>
      </w:tr>
      <w:tr w:rsidR="001341EC" w:rsidRPr="00493BFE" w14:paraId="6344998A" w14:textId="77777777" w:rsidTr="00165AA6">
        <w:trPr>
          <w:trHeight w:val="227"/>
          <w:tblCellSpacing w:w="1440" w:type="nil"/>
        </w:trPr>
        <w:tc>
          <w:tcPr>
            <w:tcW w:w="871" w:type="pct"/>
            <w:shd w:val="clear" w:color="auto" w:fill="auto"/>
            <w:vAlign w:val="center"/>
          </w:tcPr>
          <w:p w14:paraId="20571E27"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11</w:t>
            </w:r>
          </w:p>
        </w:tc>
        <w:tc>
          <w:tcPr>
            <w:tcW w:w="2286" w:type="pct"/>
            <w:shd w:val="clear" w:color="auto" w:fill="auto"/>
            <w:vAlign w:val="center"/>
          </w:tcPr>
          <w:p w14:paraId="492C7FF4" w14:textId="77777777" w:rsidR="001341EC" w:rsidRPr="00055D4B" w:rsidRDefault="001341EC" w:rsidP="00165AA6">
            <w:pPr>
              <w:jc w:val="center"/>
              <w:rPr>
                <w:rFonts w:ascii="Book Antiqua" w:hAnsi="Book Antiqua"/>
              </w:rPr>
            </w:pPr>
            <w:r w:rsidRPr="00055D4B">
              <w:rPr>
                <w:rFonts w:ascii="Book Antiqua" w:hAnsi="Book Antiqua"/>
                <w:sz w:val="22"/>
                <w:szCs w:val="22"/>
              </w:rPr>
              <w:t>Plan Piloto Colaboración del Centro de Conciliación del Poder Judicial para el proyecto de implementación del Código Procesal Agrario</w:t>
            </w:r>
          </w:p>
        </w:tc>
        <w:tc>
          <w:tcPr>
            <w:tcW w:w="1843" w:type="pct"/>
            <w:shd w:val="clear" w:color="auto" w:fill="auto"/>
            <w:vAlign w:val="center"/>
          </w:tcPr>
          <w:p w14:paraId="4B359FE9" w14:textId="77777777" w:rsidR="001341EC" w:rsidRPr="00055D4B" w:rsidRDefault="007661D0" w:rsidP="00165AA6">
            <w:pPr>
              <w:jc w:val="center"/>
              <w:rPr>
                <w:rFonts w:ascii="Book Antiqua" w:hAnsi="Book Antiqua"/>
              </w:rPr>
            </w:pPr>
            <w:r w:rsidRPr="00301CF2">
              <w:rPr>
                <w:rFonts w:ascii="Book Antiqua" w:hAnsi="Book Antiqua"/>
                <w:sz w:val="22"/>
                <w:szCs w:val="22"/>
              </w:rPr>
              <w:object w:dxaOrig="1891" w:dyaOrig="1230" w14:anchorId="2497D8A8">
                <v:shape id="_x0000_i1045" type="#_x0000_t75" style="width:94pt;height:62pt" o:ole="">
                  <v:imagedata r:id="rId49" o:title=""/>
                </v:shape>
                <o:OLEObject Type="Embed" ProgID="Package" ShapeID="_x0000_i1045" DrawAspect="Icon" ObjectID="_1687780070" r:id="rId50"/>
              </w:object>
            </w:r>
          </w:p>
        </w:tc>
      </w:tr>
      <w:tr w:rsidR="001341EC" w:rsidRPr="00493BFE" w14:paraId="48B48EDC" w14:textId="77777777" w:rsidTr="00165AA6">
        <w:trPr>
          <w:trHeight w:val="227"/>
          <w:tblCellSpacing w:w="1440" w:type="nil"/>
        </w:trPr>
        <w:tc>
          <w:tcPr>
            <w:tcW w:w="871" w:type="pct"/>
            <w:shd w:val="clear" w:color="auto" w:fill="auto"/>
            <w:vAlign w:val="center"/>
          </w:tcPr>
          <w:p w14:paraId="59C3328D"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12</w:t>
            </w:r>
          </w:p>
        </w:tc>
        <w:tc>
          <w:tcPr>
            <w:tcW w:w="2286" w:type="pct"/>
            <w:shd w:val="clear" w:color="auto" w:fill="auto"/>
            <w:vAlign w:val="center"/>
          </w:tcPr>
          <w:p w14:paraId="307728E2" w14:textId="77777777" w:rsidR="001341EC" w:rsidRPr="00055D4B" w:rsidRDefault="001341EC" w:rsidP="00165AA6">
            <w:pPr>
              <w:jc w:val="center"/>
              <w:rPr>
                <w:rFonts w:ascii="Book Antiqua" w:hAnsi="Book Antiqua"/>
              </w:rPr>
            </w:pPr>
            <w:r w:rsidRPr="00055D4B">
              <w:rPr>
                <w:rFonts w:ascii="Book Antiqua" w:hAnsi="Book Antiqua"/>
                <w:sz w:val="22"/>
                <w:szCs w:val="22"/>
              </w:rPr>
              <w:t>Cronograma de trabajo abordajes Juzgados Agrarios</w:t>
            </w:r>
          </w:p>
        </w:tc>
        <w:tc>
          <w:tcPr>
            <w:tcW w:w="1843" w:type="pct"/>
            <w:shd w:val="clear" w:color="auto" w:fill="auto"/>
            <w:vAlign w:val="center"/>
          </w:tcPr>
          <w:p w14:paraId="666841E3" w14:textId="77777777" w:rsidR="001341EC" w:rsidRPr="00055D4B" w:rsidRDefault="007661D0" w:rsidP="00165AA6">
            <w:pPr>
              <w:jc w:val="center"/>
              <w:rPr>
                <w:rFonts w:ascii="Book Antiqua" w:hAnsi="Book Antiqua"/>
              </w:rPr>
            </w:pPr>
            <w:r w:rsidRPr="00301CF2">
              <w:rPr>
                <w:rFonts w:ascii="Book Antiqua" w:hAnsi="Book Antiqua"/>
                <w:sz w:val="22"/>
                <w:szCs w:val="22"/>
              </w:rPr>
              <w:object w:dxaOrig="1891" w:dyaOrig="1230" w14:anchorId="705F6EC2">
                <v:shape id="_x0000_i1046" type="#_x0000_t75" style="width:94pt;height:62pt" o:ole="">
                  <v:imagedata r:id="rId51" o:title=""/>
                </v:shape>
                <o:OLEObject Type="Embed" ProgID="Package" ShapeID="_x0000_i1046" DrawAspect="Icon" ObjectID="_1687780071" r:id="rId52"/>
              </w:object>
            </w:r>
          </w:p>
        </w:tc>
      </w:tr>
      <w:tr w:rsidR="001341EC" w:rsidRPr="00493BFE" w14:paraId="3C04EEB0" w14:textId="77777777" w:rsidTr="00165AA6">
        <w:trPr>
          <w:trHeight w:val="227"/>
          <w:tblCellSpacing w:w="1440" w:type="nil"/>
        </w:trPr>
        <w:tc>
          <w:tcPr>
            <w:tcW w:w="871" w:type="pct"/>
            <w:shd w:val="clear" w:color="auto" w:fill="auto"/>
            <w:vAlign w:val="center"/>
          </w:tcPr>
          <w:p w14:paraId="51D96F41"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13</w:t>
            </w:r>
          </w:p>
        </w:tc>
        <w:tc>
          <w:tcPr>
            <w:tcW w:w="2286" w:type="pct"/>
            <w:shd w:val="clear" w:color="auto" w:fill="auto"/>
            <w:vAlign w:val="center"/>
          </w:tcPr>
          <w:p w14:paraId="1D8DE895" w14:textId="77777777" w:rsidR="001341EC" w:rsidRPr="00055D4B" w:rsidRDefault="001341EC" w:rsidP="00165AA6">
            <w:pPr>
              <w:jc w:val="center"/>
              <w:rPr>
                <w:rFonts w:ascii="Book Antiqua" w:hAnsi="Book Antiqua"/>
              </w:rPr>
            </w:pPr>
            <w:r w:rsidRPr="00055D4B">
              <w:rPr>
                <w:rFonts w:ascii="Book Antiqua" w:hAnsi="Book Antiqua"/>
                <w:sz w:val="22"/>
                <w:szCs w:val="22"/>
              </w:rPr>
              <w:t>Minuta de primera sesión de seguimiento Implementación Reforma Procesal Agraria</w:t>
            </w:r>
          </w:p>
        </w:tc>
        <w:bookmarkStart w:id="37" w:name="_MON_1614689562"/>
        <w:bookmarkEnd w:id="37"/>
        <w:bookmarkStart w:id="38" w:name="_MON_1618748431"/>
        <w:bookmarkEnd w:id="38"/>
        <w:tc>
          <w:tcPr>
            <w:tcW w:w="1843" w:type="pct"/>
            <w:shd w:val="clear" w:color="auto" w:fill="auto"/>
            <w:vAlign w:val="center"/>
          </w:tcPr>
          <w:p w14:paraId="6820590B" w14:textId="77777777" w:rsidR="001341EC" w:rsidRPr="00055D4B" w:rsidRDefault="001341EC" w:rsidP="00165AA6">
            <w:pPr>
              <w:jc w:val="center"/>
              <w:rPr>
                <w:rFonts w:ascii="Book Antiqua" w:hAnsi="Book Antiqua"/>
              </w:rPr>
            </w:pPr>
            <w:r w:rsidRPr="00301CF2">
              <w:rPr>
                <w:rFonts w:ascii="Book Antiqua" w:hAnsi="Book Antiqua"/>
                <w:sz w:val="22"/>
                <w:szCs w:val="22"/>
              </w:rPr>
              <w:object w:dxaOrig="1513" w:dyaOrig="984" w14:anchorId="1828FE7E">
                <v:shape id="_x0000_i1047" type="#_x0000_t75" style="width:75.5pt;height:49pt" o:ole="">
                  <v:imagedata r:id="rId53" o:title=""/>
                </v:shape>
                <o:OLEObject Type="Embed" ProgID="Word.Document.12" ShapeID="_x0000_i1047" DrawAspect="Icon" ObjectID="_1687780072" r:id="rId54">
                  <o:FieldCodes>\s</o:FieldCodes>
                </o:OLEObject>
              </w:object>
            </w:r>
          </w:p>
        </w:tc>
      </w:tr>
      <w:tr w:rsidR="001341EC" w:rsidRPr="00493BFE" w14:paraId="166A69B7" w14:textId="77777777" w:rsidTr="00165AA6">
        <w:trPr>
          <w:trHeight w:val="227"/>
          <w:tblCellSpacing w:w="1440" w:type="nil"/>
        </w:trPr>
        <w:tc>
          <w:tcPr>
            <w:tcW w:w="871" w:type="pct"/>
            <w:shd w:val="clear" w:color="auto" w:fill="auto"/>
            <w:vAlign w:val="center"/>
          </w:tcPr>
          <w:p w14:paraId="24459ACC"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14</w:t>
            </w:r>
          </w:p>
        </w:tc>
        <w:tc>
          <w:tcPr>
            <w:tcW w:w="2286" w:type="pct"/>
            <w:shd w:val="clear" w:color="auto" w:fill="auto"/>
            <w:vAlign w:val="center"/>
          </w:tcPr>
          <w:p w14:paraId="1D505B2E" w14:textId="77777777" w:rsidR="001341EC" w:rsidRPr="00055D4B" w:rsidRDefault="001341EC" w:rsidP="00165AA6">
            <w:pPr>
              <w:jc w:val="center"/>
              <w:rPr>
                <w:rFonts w:ascii="Book Antiqua" w:hAnsi="Book Antiqua"/>
              </w:rPr>
            </w:pPr>
            <w:r w:rsidRPr="00055D4B">
              <w:rPr>
                <w:rFonts w:ascii="Book Antiqua" w:hAnsi="Book Antiqua"/>
                <w:sz w:val="22"/>
                <w:szCs w:val="22"/>
              </w:rPr>
              <w:t>Correo sobre consulta de espacio físico en el Juzgado Civil y Trabajo de Upala</w:t>
            </w:r>
          </w:p>
        </w:tc>
        <w:tc>
          <w:tcPr>
            <w:tcW w:w="1843" w:type="pct"/>
            <w:shd w:val="clear" w:color="auto" w:fill="auto"/>
            <w:vAlign w:val="center"/>
          </w:tcPr>
          <w:p w14:paraId="2EC6A9BC" w14:textId="77777777" w:rsidR="001341EC" w:rsidRPr="00055D4B" w:rsidRDefault="007661D0" w:rsidP="00165AA6">
            <w:pPr>
              <w:jc w:val="center"/>
              <w:rPr>
                <w:rFonts w:ascii="Book Antiqua" w:hAnsi="Book Antiqua"/>
              </w:rPr>
            </w:pPr>
            <w:r w:rsidRPr="00301CF2">
              <w:rPr>
                <w:rFonts w:ascii="Book Antiqua" w:hAnsi="Book Antiqua"/>
                <w:sz w:val="22"/>
                <w:szCs w:val="22"/>
              </w:rPr>
              <w:object w:dxaOrig="1891" w:dyaOrig="1230" w14:anchorId="77B7DE8B">
                <v:shape id="_x0000_i1048" type="#_x0000_t75" style="width:94pt;height:62pt" o:ole="">
                  <v:imagedata r:id="rId55" o:title=""/>
                </v:shape>
                <o:OLEObject Type="Embed" ProgID="Package" ShapeID="_x0000_i1048" DrawAspect="Icon" ObjectID="_1687780073" r:id="rId56"/>
              </w:object>
            </w:r>
          </w:p>
        </w:tc>
      </w:tr>
      <w:tr w:rsidR="001341EC" w:rsidRPr="00493BFE" w14:paraId="7E40DF55" w14:textId="77777777" w:rsidTr="00165AA6">
        <w:trPr>
          <w:trHeight w:val="227"/>
          <w:tblCellSpacing w:w="1440" w:type="nil"/>
        </w:trPr>
        <w:tc>
          <w:tcPr>
            <w:tcW w:w="871" w:type="pct"/>
            <w:shd w:val="clear" w:color="auto" w:fill="auto"/>
            <w:vAlign w:val="center"/>
          </w:tcPr>
          <w:p w14:paraId="0B6651D9"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15</w:t>
            </w:r>
          </w:p>
        </w:tc>
        <w:tc>
          <w:tcPr>
            <w:tcW w:w="2286" w:type="pct"/>
            <w:shd w:val="clear" w:color="auto" w:fill="auto"/>
            <w:vAlign w:val="center"/>
          </w:tcPr>
          <w:p w14:paraId="6F5EA66E" w14:textId="77777777" w:rsidR="001341EC" w:rsidRPr="00055D4B" w:rsidRDefault="001341EC" w:rsidP="00165AA6">
            <w:pPr>
              <w:jc w:val="center"/>
              <w:rPr>
                <w:rFonts w:ascii="Book Antiqua" w:hAnsi="Book Antiqua"/>
              </w:rPr>
            </w:pPr>
            <w:r w:rsidRPr="00055D4B">
              <w:rPr>
                <w:rFonts w:ascii="Book Antiqua" w:hAnsi="Book Antiqua"/>
                <w:sz w:val="22"/>
                <w:szCs w:val="22"/>
              </w:rPr>
              <w:t>Participación de personas juzgadoras conciliadoras en el Taller Medidas Cautelares</w:t>
            </w:r>
          </w:p>
        </w:tc>
        <w:tc>
          <w:tcPr>
            <w:tcW w:w="1843" w:type="pct"/>
            <w:shd w:val="clear" w:color="auto" w:fill="auto"/>
            <w:vAlign w:val="center"/>
          </w:tcPr>
          <w:p w14:paraId="1D23B76F" w14:textId="77777777" w:rsidR="001341EC" w:rsidRPr="00055D4B" w:rsidRDefault="007661D0" w:rsidP="00165AA6">
            <w:pPr>
              <w:jc w:val="center"/>
              <w:rPr>
                <w:rFonts w:ascii="Book Antiqua" w:hAnsi="Book Antiqua"/>
              </w:rPr>
            </w:pPr>
            <w:r w:rsidRPr="00301CF2">
              <w:rPr>
                <w:rFonts w:ascii="Book Antiqua" w:hAnsi="Book Antiqua"/>
                <w:sz w:val="22"/>
                <w:szCs w:val="22"/>
              </w:rPr>
              <w:object w:dxaOrig="1891" w:dyaOrig="1230" w14:anchorId="63E1723B">
                <v:shape id="_x0000_i1049" type="#_x0000_t75" style="width:94pt;height:62pt" o:ole="">
                  <v:imagedata r:id="rId57" o:title=""/>
                </v:shape>
                <o:OLEObject Type="Embed" ProgID="Package" ShapeID="_x0000_i1049" DrawAspect="Icon" ObjectID="_1687780074" r:id="rId58"/>
              </w:object>
            </w:r>
          </w:p>
        </w:tc>
      </w:tr>
      <w:tr w:rsidR="001341EC" w:rsidRPr="00493BFE" w14:paraId="054476A6" w14:textId="77777777" w:rsidTr="00165AA6">
        <w:trPr>
          <w:trHeight w:val="227"/>
          <w:tblCellSpacing w:w="1440" w:type="nil"/>
        </w:trPr>
        <w:tc>
          <w:tcPr>
            <w:tcW w:w="871" w:type="pct"/>
            <w:shd w:val="clear" w:color="auto" w:fill="auto"/>
            <w:vAlign w:val="center"/>
          </w:tcPr>
          <w:p w14:paraId="19C4C10F"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16</w:t>
            </w:r>
          </w:p>
        </w:tc>
        <w:tc>
          <w:tcPr>
            <w:tcW w:w="2286" w:type="pct"/>
            <w:shd w:val="clear" w:color="auto" w:fill="auto"/>
            <w:vAlign w:val="center"/>
          </w:tcPr>
          <w:p w14:paraId="2C2F159F" w14:textId="77777777" w:rsidR="001341EC" w:rsidRPr="00055D4B" w:rsidRDefault="001341EC" w:rsidP="00165AA6">
            <w:pPr>
              <w:jc w:val="center"/>
              <w:rPr>
                <w:rFonts w:ascii="Book Antiqua" w:hAnsi="Book Antiqua"/>
              </w:rPr>
            </w:pPr>
            <w:r w:rsidRPr="00055D4B">
              <w:rPr>
                <w:rFonts w:ascii="Book Antiqua" w:hAnsi="Book Antiqua"/>
                <w:sz w:val="22"/>
                <w:szCs w:val="22"/>
              </w:rPr>
              <w:t>Proyecto de Implementación de la Reforma Procesal Agraria</w:t>
            </w:r>
          </w:p>
        </w:tc>
        <w:bookmarkStart w:id="39" w:name="_MON_1618748469"/>
        <w:bookmarkEnd w:id="39"/>
        <w:tc>
          <w:tcPr>
            <w:tcW w:w="1843" w:type="pct"/>
            <w:shd w:val="clear" w:color="auto" w:fill="auto"/>
            <w:vAlign w:val="center"/>
          </w:tcPr>
          <w:p w14:paraId="255D3EF1" w14:textId="77777777" w:rsidR="001341EC" w:rsidRPr="00055D4B" w:rsidRDefault="001341EC" w:rsidP="00165AA6">
            <w:pPr>
              <w:jc w:val="center"/>
              <w:rPr>
                <w:rFonts w:ascii="Book Antiqua" w:hAnsi="Book Antiqua"/>
              </w:rPr>
            </w:pPr>
            <w:r w:rsidRPr="00301CF2">
              <w:rPr>
                <w:rFonts w:ascii="Book Antiqua" w:hAnsi="Book Antiqua"/>
                <w:sz w:val="22"/>
                <w:szCs w:val="22"/>
              </w:rPr>
              <w:object w:dxaOrig="1513" w:dyaOrig="984" w14:anchorId="5AE82576">
                <v:shape id="_x0000_i1050" type="#_x0000_t75" style="width:75.5pt;height:49pt" o:ole="">
                  <v:imagedata r:id="rId59" o:title=""/>
                </v:shape>
                <o:OLEObject Type="Embed" ProgID="PowerPoint.Show.12" ShapeID="_x0000_i1050" DrawAspect="Icon" ObjectID="_1687780075" r:id="rId60"/>
              </w:object>
            </w:r>
          </w:p>
        </w:tc>
      </w:tr>
      <w:tr w:rsidR="001341EC" w:rsidRPr="00493BFE" w14:paraId="65A63220" w14:textId="77777777" w:rsidTr="00165AA6">
        <w:trPr>
          <w:trHeight w:val="227"/>
          <w:tblCellSpacing w:w="1440" w:type="nil"/>
        </w:trPr>
        <w:tc>
          <w:tcPr>
            <w:tcW w:w="871" w:type="pct"/>
            <w:shd w:val="clear" w:color="auto" w:fill="auto"/>
            <w:vAlign w:val="center"/>
          </w:tcPr>
          <w:p w14:paraId="2E8882A4"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17</w:t>
            </w:r>
          </w:p>
        </w:tc>
        <w:tc>
          <w:tcPr>
            <w:tcW w:w="2286" w:type="pct"/>
            <w:shd w:val="clear" w:color="auto" w:fill="auto"/>
            <w:vAlign w:val="center"/>
          </w:tcPr>
          <w:p w14:paraId="46089A3B" w14:textId="77777777" w:rsidR="001341EC" w:rsidRPr="00055D4B" w:rsidRDefault="001341EC" w:rsidP="00165AA6">
            <w:pPr>
              <w:jc w:val="center"/>
              <w:rPr>
                <w:rFonts w:ascii="Book Antiqua" w:hAnsi="Book Antiqua"/>
              </w:rPr>
            </w:pPr>
            <w:r w:rsidRPr="00055D4B">
              <w:rPr>
                <w:rFonts w:ascii="Book Antiqua" w:hAnsi="Book Antiqua"/>
                <w:sz w:val="22"/>
                <w:szCs w:val="22"/>
              </w:rPr>
              <w:t>Comunicación del Consejo de la Judicatura CJ-09-2019 PJ-DGH-SACJ-0471-2019</w:t>
            </w:r>
          </w:p>
        </w:tc>
        <w:bookmarkStart w:id="40" w:name="_MON_1615028899"/>
        <w:bookmarkEnd w:id="40"/>
        <w:bookmarkStart w:id="41" w:name="_MON_1618748476"/>
        <w:bookmarkEnd w:id="41"/>
        <w:tc>
          <w:tcPr>
            <w:tcW w:w="1843" w:type="pct"/>
            <w:shd w:val="clear" w:color="auto" w:fill="auto"/>
            <w:vAlign w:val="center"/>
          </w:tcPr>
          <w:p w14:paraId="53119C4E" w14:textId="77777777" w:rsidR="001341EC" w:rsidRPr="00055D4B" w:rsidRDefault="001341EC" w:rsidP="00165AA6">
            <w:pPr>
              <w:jc w:val="center"/>
              <w:rPr>
                <w:rFonts w:ascii="Book Antiqua" w:hAnsi="Book Antiqua"/>
              </w:rPr>
            </w:pPr>
            <w:r w:rsidRPr="00301CF2">
              <w:rPr>
                <w:rFonts w:ascii="Book Antiqua" w:hAnsi="Book Antiqua"/>
                <w:sz w:val="22"/>
                <w:szCs w:val="22"/>
              </w:rPr>
              <w:object w:dxaOrig="1513" w:dyaOrig="984" w14:anchorId="16F20C84">
                <v:shape id="_x0000_i1051" type="#_x0000_t75" style="width:75.5pt;height:49pt" o:ole="">
                  <v:imagedata r:id="rId61" o:title=""/>
                </v:shape>
                <o:OLEObject Type="Embed" ProgID="Word.Document.12" ShapeID="_x0000_i1051" DrawAspect="Icon" ObjectID="_1687780076" r:id="rId62">
                  <o:FieldCodes>\s</o:FieldCodes>
                </o:OLEObject>
              </w:object>
            </w:r>
          </w:p>
        </w:tc>
      </w:tr>
      <w:tr w:rsidR="001341EC" w:rsidRPr="00493BFE" w14:paraId="2B053683" w14:textId="77777777" w:rsidTr="00165AA6">
        <w:trPr>
          <w:trHeight w:val="227"/>
          <w:tblCellSpacing w:w="1440" w:type="nil"/>
        </w:trPr>
        <w:tc>
          <w:tcPr>
            <w:tcW w:w="871" w:type="pct"/>
            <w:shd w:val="clear" w:color="auto" w:fill="auto"/>
            <w:vAlign w:val="center"/>
          </w:tcPr>
          <w:p w14:paraId="33DDF501"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18</w:t>
            </w:r>
          </w:p>
        </w:tc>
        <w:tc>
          <w:tcPr>
            <w:tcW w:w="2286" w:type="pct"/>
            <w:shd w:val="clear" w:color="auto" w:fill="auto"/>
            <w:vAlign w:val="center"/>
          </w:tcPr>
          <w:p w14:paraId="650CF91C" w14:textId="77777777" w:rsidR="001341EC" w:rsidRPr="00055D4B" w:rsidRDefault="001341EC" w:rsidP="00165AA6">
            <w:pPr>
              <w:jc w:val="center"/>
              <w:rPr>
                <w:rFonts w:ascii="Book Antiqua" w:hAnsi="Book Antiqua"/>
              </w:rPr>
            </w:pPr>
            <w:r w:rsidRPr="00055D4B">
              <w:rPr>
                <w:rFonts w:ascii="Book Antiqua" w:hAnsi="Book Antiqua"/>
                <w:sz w:val="22"/>
                <w:szCs w:val="22"/>
              </w:rPr>
              <w:t>Comunicación del Consejo de la Judicatura CJ-07-2019 PJ-DGH-SACJ-0484-2019</w:t>
            </w:r>
          </w:p>
        </w:tc>
        <w:bookmarkStart w:id="42" w:name="_MON_1615028992"/>
        <w:bookmarkEnd w:id="42"/>
        <w:bookmarkStart w:id="43" w:name="_MON_1618748492"/>
        <w:bookmarkEnd w:id="43"/>
        <w:tc>
          <w:tcPr>
            <w:tcW w:w="1843" w:type="pct"/>
            <w:shd w:val="clear" w:color="auto" w:fill="auto"/>
            <w:vAlign w:val="center"/>
          </w:tcPr>
          <w:p w14:paraId="3DBD8788" w14:textId="77777777" w:rsidR="001341EC" w:rsidRPr="00055D4B" w:rsidRDefault="001341EC" w:rsidP="00165AA6">
            <w:pPr>
              <w:jc w:val="center"/>
              <w:rPr>
                <w:rFonts w:ascii="Book Antiqua" w:hAnsi="Book Antiqua"/>
              </w:rPr>
            </w:pPr>
            <w:r w:rsidRPr="00301CF2">
              <w:rPr>
                <w:rFonts w:ascii="Book Antiqua" w:hAnsi="Book Antiqua"/>
                <w:sz w:val="22"/>
                <w:szCs w:val="22"/>
              </w:rPr>
              <w:object w:dxaOrig="1513" w:dyaOrig="984" w14:anchorId="5ED6E5F7">
                <v:shape id="_x0000_i1052" type="#_x0000_t75" style="width:75.5pt;height:49pt" o:ole="">
                  <v:imagedata r:id="rId63" o:title=""/>
                </v:shape>
                <o:OLEObject Type="Embed" ProgID="Word.Document.12" ShapeID="_x0000_i1052" DrawAspect="Icon" ObjectID="_1687780077" r:id="rId64">
                  <o:FieldCodes>\s</o:FieldCodes>
                </o:OLEObject>
              </w:object>
            </w:r>
          </w:p>
        </w:tc>
      </w:tr>
      <w:tr w:rsidR="001341EC" w:rsidRPr="00493BFE" w14:paraId="3E556CA5" w14:textId="77777777" w:rsidTr="00165AA6">
        <w:trPr>
          <w:trHeight w:val="227"/>
          <w:tblCellSpacing w:w="1440" w:type="nil"/>
        </w:trPr>
        <w:tc>
          <w:tcPr>
            <w:tcW w:w="871" w:type="pct"/>
            <w:shd w:val="clear" w:color="auto" w:fill="auto"/>
            <w:vAlign w:val="center"/>
          </w:tcPr>
          <w:p w14:paraId="02090BB9"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lastRenderedPageBreak/>
              <w:t>19</w:t>
            </w:r>
          </w:p>
        </w:tc>
        <w:tc>
          <w:tcPr>
            <w:tcW w:w="2286" w:type="pct"/>
            <w:shd w:val="clear" w:color="auto" w:fill="auto"/>
            <w:vAlign w:val="center"/>
          </w:tcPr>
          <w:p w14:paraId="30135A4D" w14:textId="77777777" w:rsidR="001341EC" w:rsidRPr="00055D4B" w:rsidRDefault="001341EC" w:rsidP="00165AA6">
            <w:pPr>
              <w:jc w:val="center"/>
              <w:rPr>
                <w:rFonts w:ascii="Book Antiqua" w:hAnsi="Book Antiqua"/>
              </w:rPr>
            </w:pPr>
            <w:r w:rsidRPr="00055D4B">
              <w:rPr>
                <w:rFonts w:ascii="Book Antiqua" w:hAnsi="Book Antiqua"/>
                <w:sz w:val="22"/>
                <w:szCs w:val="22"/>
              </w:rPr>
              <w:t>Sobre cursos de CONCILIACIÓN EN MATERIA AGRARIA</w:t>
            </w:r>
          </w:p>
        </w:tc>
        <w:tc>
          <w:tcPr>
            <w:tcW w:w="1843" w:type="pct"/>
            <w:shd w:val="clear" w:color="auto" w:fill="auto"/>
            <w:vAlign w:val="center"/>
          </w:tcPr>
          <w:p w14:paraId="717C0840" w14:textId="77777777" w:rsidR="001341EC" w:rsidRPr="00055D4B" w:rsidRDefault="007661D0" w:rsidP="00165AA6">
            <w:pPr>
              <w:jc w:val="center"/>
              <w:rPr>
                <w:rFonts w:ascii="Book Antiqua" w:hAnsi="Book Antiqua"/>
              </w:rPr>
            </w:pPr>
            <w:r w:rsidRPr="00301CF2">
              <w:rPr>
                <w:rFonts w:ascii="Book Antiqua" w:hAnsi="Book Antiqua"/>
                <w:sz w:val="22"/>
                <w:szCs w:val="22"/>
              </w:rPr>
              <w:object w:dxaOrig="1891" w:dyaOrig="1230" w14:anchorId="75410F8A">
                <v:shape id="_x0000_i1053" type="#_x0000_t75" style="width:94pt;height:62pt" o:ole="">
                  <v:imagedata r:id="rId65" o:title=""/>
                </v:shape>
                <o:OLEObject Type="Embed" ProgID="Package" ShapeID="_x0000_i1053" DrawAspect="Icon" ObjectID="_1687780078" r:id="rId66"/>
              </w:object>
            </w:r>
          </w:p>
        </w:tc>
      </w:tr>
      <w:tr w:rsidR="001341EC" w:rsidRPr="00493BFE" w14:paraId="733B9E86" w14:textId="77777777" w:rsidTr="00165AA6">
        <w:trPr>
          <w:trHeight w:val="227"/>
          <w:tblCellSpacing w:w="1440" w:type="nil"/>
        </w:trPr>
        <w:tc>
          <w:tcPr>
            <w:tcW w:w="871" w:type="pct"/>
            <w:shd w:val="clear" w:color="auto" w:fill="auto"/>
            <w:vAlign w:val="center"/>
          </w:tcPr>
          <w:p w14:paraId="6E35D745" w14:textId="77777777" w:rsidR="001341EC" w:rsidRPr="00055D4B" w:rsidRDefault="001341EC" w:rsidP="00165AA6">
            <w:pPr>
              <w:jc w:val="center"/>
              <w:rPr>
                <w:rFonts w:ascii="Book Antiqua" w:hAnsi="Book Antiqua"/>
                <w:b/>
                <w:i/>
                <w:color w:val="000000"/>
              </w:rPr>
            </w:pPr>
            <w:r w:rsidRPr="00055D4B">
              <w:rPr>
                <w:rFonts w:ascii="Book Antiqua" w:hAnsi="Book Antiqua"/>
                <w:b/>
                <w:i/>
                <w:color w:val="000000"/>
                <w:sz w:val="22"/>
                <w:szCs w:val="22"/>
              </w:rPr>
              <w:t>20</w:t>
            </w:r>
          </w:p>
        </w:tc>
        <w:tc>
          <w:tcPr>
            <w:tcW w:w="2286" w:type="pct"/>
            <w:shd w:val="clear" w:color="auto" w:fill="auto"/>
            <w:vAlign w:val="center"/>
          </w:tcPr>
          <w:p w14:paraId="22907066" w14:textId="77777777" w:rsidR="001341EC" w:rsidRPr="00055D4B" w:rsidRDefault="001341EC" w:rsidP="00165AA6">
            <w:pPr>
              <w:jc w:val="center"/>
              <w:rPr>
                <w:rFonts w:ascii="Book Antiqua" w:hAnsi="Book Antiqua"/>
              </w:rPr>
            </w:pPr>
            <w:r w:rsidRPr="00055D4B">
              <w:rPr>
                <w:rFonts w:ascii="Book Antiqua" w:hAnsi="Book Antiqua"/>
                <w:sz w:val="22"/>
                <w:szCs w:val="22"/>
              </w:rPr>
              <w:t>Acuerdos del Consejo Superior en capacitación en materia agraria, para hacer frente al nuevo Código Procesal Agrario</w:t>
            </w:r>
          </w:p>
        </w:tc>
        <w:tc>
          <w:tcPr>
            <w:tcW w:w="1843" w:type="pct"/>
            <w:shd w:val="clear" w:color="auto" w:fill="auto"/>
            <w:vAlign w:val="center"/>
          </w:tcPr>
          <w:p w14:paraId="1A34B620" w14:textId="77777777" w:rsidR="001341EC" w:rsidRPr="00055D4B" w:rsidRDefault="007661D0" w:rsidP="00165AA6">
            <w:pPr>
              <w:jc w:val="center"/>
              <w:rPr>
                <w:rFonts w:ascii="Book Antiqua" w:hAnsi="Book Antiqua"/>
              </w:rPr>
            </w:pPr>
            <w:r w:rsidRPr="00301CF2">
              <w:rPr>
                <w:rFonts w:ascii="Book Antiqua" w:hAnsi="Book Antiqua"/>
                <w:sz w:val="22"/>
                <w:szCs w:val="22"/>
              </w:rPr>
              <w:object w:dxaOrig="1376" w:dyaOrig="893" w14:anchorId="5BFE2707">
                <v:shape id="_x0000_i1054" type="#_x0000_t75" style="width:68.5pt;height:44.5pt" o:ole="">
                  <v:imagedata r:id="rId67" o:title=""/>
                </v:shape>
                <o:OLEObject Type="Embed" ProgID="Package" ShapeID="_x0000_i1054" DrawAspect="Icon" ObjectID="_1687780079" r:id="rId68"/>
              </w:object>
            </w:r>
          </w:p>
        </w:tc>
      </w:tr>
      <w:tr w:rsidR="001341EC" w:rsidRPr="00493BFE" w14:paraId="3CAB6CD4" w14:textId="77777777" w:rsidTr="00165AA6">
        <w:trPr>
          <w:trHeight w:val="227"/>
          <w:tblCellSpacing w:w="1440" w:type="nil"/>
        </w:trPr>
        <w:tc>
          <w:tcPr>
            <w:tcW w:w="871" w:type="pct"/>
            <w:shd w:val="clear" w:color="auto" w:fill="auto"/>
            <w:vAlign w:val="center"/>
          </w:tcPr>
          <w:p w14:paraId="513D5DA9" w14:textId="77777777" w:rsidR="001341EC" w:rsidRPr="00493BFE" w:rsidRDefault="001341EC" w:rsidP="00165AA6">
            <w:pPr>
              <w:jc w:val="center"/>
              <w:rPr>
                <w:rFonts w:ascii="Book Antiqua" w:hAnsi="Book Antiqua"/>
                <w:b/>
                <w:i/>
                <w:color w:val="000000"/>
              </w:rPr>
            </w:pPr>
            <w:r>
              <w:rPr>
                <w:rFonts w:ascii="Book Antiqua" w:hAnsi="Book Antiqua"/>
                <w:b/>
                <w:i/>
                <w:color w:val="000000"/>
                <w:sz w:val="22"/>
                <w:szCs w:val="22"/>
              </w:rPr>
              <w:t>21</w:t>
            </w:r>
          </w:p>
        </w:tc>
        <w:tc>
          <w:tcPr>
            <w:tcW w:w="2286" w:type="pct"/>
            <w:shd w:val="clear" w:color="auto" w:fill="auto"/>
            <w:vAlign w:val="center"/>
          </w:tcPr>
          <w:p w14:paraId="3A3EF449" w14:textId="77777777" w:rsidR="001341EC" w:rsidRPr="00493BFE" w:rsidRDefault="001341EC" w:rsidP="00165AA6">
            <w:pPr>
              <w:jc w:val="center"/>
              <w:rPr>
                <w:rFonts w:ascii="Book Antiqua" w:hAnsi="Book Antiqua"/>
              </w:rPr>
            </w:pPr>
            <w:r>
              <w:rPr>
                <w:rFonts w:ascii="Book Antiqua" w:hAnsi="Book Antiqua"/>
                <w:sz w:val="22"/>
                <w:szCs w:val="22"/>
              </w:rPr>
              <w:t>Correo enviado por la Dirección Ejecutiva sobre la necesidad de vehículos para materia agraria</w:t>
            </w:r>
          </w:p>
        </w:tc>
        <w:tc>
          <w:tcPr>
            <w:tcW w:w="1843" w:type="pct"/>
            <w:shd w:val="clear" w:color="auto" w:fill="auto"/>
            <w:vAlign w:val="center"/>
          </w:tcPr>
          <w:p w14:paraId="1C2E70D5" w14:textId="77777777" w:rsidR="001341EC" w:rsidRPr="00493BFE" w:rsidRDefault="007661D0" w:rsidP="00165AA6">
            <w:pPr>
              <w:jc w:val="center"/>
              <w:rPr>
                <w:rFonts w:ascii="Book Antiqua" w:hAnsi="Book Antiqua"/>
              </w:rPr>
            </w:pPr>
            <w:r w:rsidRPr="008E585C">
              <w:rPr>
                <w:rFonts w:ascii="Book Antiqua" w:hAnsi="Book Antiqua"/>
                <w:sz w:val="22"/>
                <w:szCs w:val="22"/>
              </w:rPr>
              <w:object w:dxaOrig="1376" w:dyaOrig="893" w14:anchorId="402C2829">
                <v:shape id="_x0000_i1055" type="#_x0000_t75" style="width:68.5pt;height:44.5pt" o:ole="">
                  <v:imagedata r:id="rId69" o:title=""/>
                </v:shape>
                <o:OLEObject Type="Embed" ProgID="Package" ShapeID="_x0000_i1055" DrawAspect="Icon" ObjectID="_1687780080" r:id="rId70"/>
              </w:object>
            </w:r>
          </w:p>
        </w:tc>
      </w:tr>
      <w:tr w:rsidR="001341EC" w:rsidRPr="00493BFE" w14:paraId="411A5017" w14:textId="77777777" w:rsidTr="00165AA6">
        <w:trPr>
          <w:trHeight w:val="227"/>
          <w:tblCellSpacing w:w="1440" w:type="nil"/>
        </w:trPr>
        <w:tc>
          <w:tcPr>
            <w:tcW w:w="871" w:type="pct"/>
            <w:shd w:val="clear" w:color="auto" w:fill="auto"/>
            <w:vAlign w:val="center"/>
          </w:tcPr>
          <w:p w14:paraId="177AC581" w14:textId="77777777" w:rsidR="001341EC" w:rsidRDefault="001341EC" w:rsidP="00165AA6">
            <w:pPr>
              <w:jc w:val="center"/>
              <w:rPr>
                <w:rFonts w:ascii="Book Antiqua" w:hAnsi="Book Antiqua"/>
                <w:b/>
                <w:i/>
                <w:color w:val="000000"/>
                <w:sz w:val="22"/>
                <w:szCs w:val="22"/>
              </w:rPr>
            </w:pPr>
            <w:r>
              <w:rPr>
                <w:rFonts w:ascii="Book Antiqua" w:hAnsi="Book Antiqua"/>
                <w:b/>
                <w:i/>
                <w:color w:val="000000"/>
                <w:sz w:val="22"/>
                <w:szCs w:val="22"/>
              </w:rPr>
              <w:t>22</w:t>
            </w:r>
          </w:p>
        </w:tc>
        <w:tc>
          <w:tcPr>
            <w:tcW w:w="2286" w:type="pct"/>
            <w:shd w:val="clear" w:color="auto" w:fill="auto"/>
            <w:vAlign w:val="center"/>
          </w:tcPr>
          <w:p w14:paraId="5BF79A16" w14:textId="77777777" w:rsidR="001341EC" w:rsidRDefault="001341EC" w:rsidP="00165AA6">
            <w:pPr>
              <w:jc w:val="center"/>
              <w:rPr>
                <w:rFonts w:ascii="Book Antiqua" w:hAnsi="Book Antiqua"/>
                <w:sz w:val="22"/>
                <w:szCs w:val="22"/>
              </w:rPr>
            </w:pPr>
            <w:r>
              <w:rPr>
                <w:rFonts w:ascii="Book Antiqua" w:hAnsi="Book Antiqua"/>
                <w:sz w:val="22"/>
                <w:szCs w:val="22"/>
              </w:rPr>
              <w:t xml:space="preserve">Correo </w:t>
            </w:r>
            <w:r w:rsidRPr="00FE385B">
              <w:rPr>
                <w:rFonts w:ascii="Book Antiqua" w:hAnsi="Book Antiqua"/>
                <w:sz w:val="22"/>
                <w:szCs w:val="22"/>
              </w:rPr>
              <w:t xml:space="preserve">consulta sobre formulación presupuestaria 2020 asociada a capacitación del </w:t>
            </w:r>
            <w:r>
              <w:rPr>
                <w:rFonts w:ascii="Book Antiqua" w:hAnsi="Book Antiqua"/>
                <w:sz w:val="22"/>
                <w:szCs w:val="22"/>
              </w:rPr>
              <w:t>CPA</w:t>
            </w:r>
          </w:p>
        </w:tc>
        <w:tc>
          <w:tcPr>
            <w:tcW w:w="1843" w:type="pct"/>
            <w:shd w:val="clear" w:color="auto" w:fill="auto"/>
            <w:vAlign w:val="center"/>
          </w:tcPr>
          <w:p w14:paraId="44DF2EFC" w14:textId="77777777" w:rsidR="001341EC" w:rsidRPr="008E585C" w:rsidRDefault="007661D0" w:rsidP="00165AA6">
            <w:pPr>
              <w:jc w:val="center"/>
              <w:rPr>
                <w:rFonts w:ascii="Book Antiqua" w:hAnsi="Book Antiqua"/>
                <w:sz w:val="22"/>
                <w:szCs w:val="22"/>
              </w:rPr>
            </w:pPr>
            <w:r w:rsidRPr="00BC28F6">
              <w:rPr>
                <w:rFonts w:ascii="Book Antiqua" w:hAnsi="Book Antiqua"/>
                <w:sz w:val="22"/>
                <w:szCs w:val="22"/>
              </w:rPr>
              <w:object w:dxaOrig="1513" w:dyaOrig="984" w14:anchorId="790D86F5">
                <v:shape id="_x0000_i1056" type="#_x0000_t75" style="width:75.5pt;height:49pt" o:ole="">
                  <v:imagedata r:id="rId71" o:title=""/>
                </v:shape>
                <o:OLEObject Type="Embed" ProgID="Package" ShapeID="_x0000_i1056" DrawAspect="Icon" ObjectID="_1687780081" r:id="rId72"/>
              </w:object>
            </w:r>
          </w:p>
        </w:tc>
      </w:tr>
      <w:tr w:rsidR="001341EC" w:rsidRPr="00493BFE" w14:paraId="56AE5BD9" w14:textId="77777777" w:rsidTr="00165AA6">
        <w:trPr>
          <w:trHeight w:val="227"/>
          <w:tblCellSpacing w:w="1440" w:type="nil"/>
        </w:trPr>
        <w:tc>
          <w:tcPr>
            <w:tcW w:w="871" w:type="pct"/>
            <w:shd w:val="clear" w:color="auto" w:fill="auto"/>
            <w:vAlign w:val="center"/>
          </w:tcPr>
          <w:p w14:paraId="297F5454" w14:textId="77777777" w:rsidR="001341EC" w:rsidRDefault="001341EC" w:rsidP="00165AA6">
            <w:pPr>
              <w:jc w:val="center"/>
              <w:rPr>
                <w:rFonts w:ascii="Book Antiqua" w:hAnsi="Book Antiqua"/>
                <w:b/>
                <w:i/>
                <w:color w:val="000000"/>
                <w:sz w:val="22"/>
                <w:szCs w:val="22"/>
              </w:rPr>
            </w:pPr>
            <w:r>
              <w:rPr>
                <w:rFonts w:ascii="Book Antiqua" w:hAnsi="Book Antiqua"/>
                <w:b/>
                <w:i/>
                <w:color w:val="000000"/>
                <w:sz w:val="22"/>
                <w:szCs w:val="22"/>
              </w:rPr>
              <w:t>23</w:t>
            </w:r>
          </w:p>
        </w:tc>
        <w:tc>
          <w:tcPr>
            <w:tcW w:w="2286" w:type="pct"/>
            <w:shd w:val="clear" w:color="auto" w:fill="auto"/>
            <w:vAlign w:val="center"/>
          </w:tcPr>
          <w:p w14:paraId="14D2E96B" w14:textId="77777777" w:rsidR="001341EC" w:rsidRDefault="001341EC" w:rsidP="00165AA6">
            <w:pPr>
              <w:jc w:val="center"/>
              <w:rPr>
                <w:rFonts w:ascii="Book Antiqua" w:hAnsi="Book Antiqua"/>
                <w:sz w:val="22"/>
                <w:szCs w:val="22"/>
              </w:rPr>
            </w:pPr>
            <w:r>
              <w:rPr>
                <w:rFonts w:ascii="Book Antiqua" w:hAnsi="Book Antiqua"/>
                <w:sz w:val="22"/>
                <w:szCs w:val="22"/>
              </w:rPr>
              <w:t xml:space="preserve">Respuesta emitida por la Escuela Judicial bajo oficio </w:t>
            </w:r>
            <w:r w:rsidRPr="008C0878">
              <w:rPr>
                <w:rFonts w:ascii="Book Antiqua" w:hAnsi="Book Antiqua"/>
                <w:sz w:val="22"/>
                <w:szCs w:val="22"/>
              </w:rPr>
              <w:t>EJ-DIR-072-2019</w:t>
            </w:r>
          </w:p>
        </w:tc>
        <w:bookmarkStart w:id="44" w:name="_MON_1617975353"/>
        <w:bookmarkEnd w:id="44"/>
        <w:bookmarkStart w:id="45" w:name="_MON_1618748564"/>
        <w:bookmarkEnd w:id="45"/>
        <w:tc>
          <w:tcPr>
            <w:tcW w:w="1843" w:type="pct"/>
            <w:shd w:val="clear" w:color="auto" w:fill="auto"/>
            <w:vAlign w:val="center"/>
          </w:tcPr>
          <w:p w14:paraId="7A516B9C" w14:textId="77777777" w:rsidR="001341EC" w:rsidRDefault="001341EC" w:rsidP="00165AA6">
            <w:pPr>
              <w:jc w:val="center"/>
              <w:rPr>
                <w:rFonts w:ascii="Book Antiqua" w:hAnsi="Book Antiqua"/>
                <w:sz w:val="22"/>
                <w:szCs w:val="22"/>
              </w:rPr>
            </w:pPr>
            <w:r w:rsidRPr="00BC28F6">
              <w:rPr>
                <w:rFonts w:ascii="Book Antiqua" w:hAnsi="Book Antiqua"/>
                <w:sz w:val="22"/>
                <w:szCs w:val="22"/>
              </w:rPr>
              <w:object w:dxaOrig="1513" w:dyaOrig="984" w14:anchorId="16FF4B95">
                <v:shape id="_x0000_i1057" type="#_x0000_t75" style="width:75.5pt;height:49pt" o:ole="">
                  <v:imagedata r:id="rId73" o:title=""/>
                </v:shape>
                <o:OLEObject Type="Embed" ProgID="Word.Document.12" ShapeID="_x0000_i1057" DrawAspect="Icon" ObjectID="_1687780082" r:id="rId74">
                  <o:FieldCodes>\s</o:FieldCodes>
                </o:OLEObject>
              </w:object>
            </w:r>
          </w:p>
          <w:p w14:paraId="209A334A" w14:textId="77777777" w:rsidR="00E422DB" w:rsidRDefault="00E422DB" w:rsidP="00165AA6">
            <w:pPr>
              <w:jc w:val="center"/>
              <w:rPr>
                <w:rFonts w:ascii="Book Antiqua" w:hAnsi="Book Antiqua"/>
                <w:sz w:val="22"/>
                <w:szCs w:val="22"/>
              </w:rPr>
            </w:pPr>
          </w:p>
        </w:tc>
      </w:tr>
      <w:tr w:rsidR="001341EC" w:rsidRPr="00493BFE" w14:paraId="20D96657" w14:textId="77777777" w:rsidTr="00165AA6">
        <w:trPr>
          <w:trHeight w:val="227"/>
          <w:tblCellSpacing w:w="1440" w:type="nil"/>
        </w:trPr>
        <w:tc>
          <w:tcPr>
            <w:tcW w:w="871" w:type="pct"/>
            <w:shd w:val="clear" w:color="auto" w:fill="auto"/>
            <w:vAlign w:val="center"/>
          </w:tcPr>
          <w:p w14:paraId="7A0675FC" w14:textId="77777777" w:rsidR="001341EC" w:rsidRDefault="001341EC" w:rsidP="00165AA6">
            <w:pPr>
              <w:jc w:val="center"/>
              <w:rPr>
                <w:rFonts w:ascii="Book Antiqua" w:hAnsi="Book Antiqua"/>
                <w:b/>
                <w:i/>
                <w:color w:val="000000"/>
                <w:sz w:val="22"/>
                <w:szCs w:val="22"/>
              </w:rPr>
            </w:pPr>
            <w:r>
              <w:rPr>
                <w:rFonts w:ascii="Book Antiqua" w:hAnsi="Book Antiqua"/>
                <w:b/>
                <w:i/>
                <w:color w:val="000000"/>
                <w:sz w:val="22"/>
                <w:szCs w:val="22"/>
              </w:rPr>
              <w:t>24</w:t>
            </w:r>
          </w:p>
        </w:tc>
        <w:tc>
          <w:tcPr>
            <w:tcW w:w="2286" w:type="pct"/>
            <w:shd w:val="clear" w:color="auto" w:fill="auto"/>
            <w:vAlign w:val="center"/>
          </w:tcPr>
          <w:p w14:paraId="64E942CD" w14:textId="77777777" w:rsidR="001341EC" w:rsidRDefault="001341EC" w:rsidP="00165AA6">
            <w:pPr>
              <w:jc w:val="center"/>
              <w:rPr>
                <w:rFonts w:ascii="Book Antiqua" w:hAnsi="Book Antiqua"/>
                <w:sz w:val="22"/>
                <w:szCs w:val="22"/>
              </w:rPr>
            </w:pPr>
            <w:r>
              <w:rPr>
                <w:rFonts w:ascii="Book Antiqua" w:hAnsi="Book Antiqua"/>
                <w:sz w:val="22"/>
                <w:szCs w:val="22"/>
              </w:rPr>
              <w:t xml:space="preserve">Respuesta emitida por el Juzgado Agrario de San Carlos </w:t>
            </w:r>
          </w:p>
        </w:tc>
        <w:tc>
          <w:tcPr>
            <w:tcW w:w="1843" w:type="pct"/>
            <w:shd w:val="clear" w:color="auto" w:fill="auto"/>
            <w:vAlign w:val="center"/>
          </w:tcPr>
          <w:p w14:paraId="63B48EDB" w14:textId="77777777" w:rsidR="001341EC" w:rsidRDefault="007661D0" w:rsidP="00165AA6">
            <w:pPr>
              <w:jc w:val="center"/>
              <w:rPr>
                <w:rFonts w:ascii="Book Antiqua" w:hAnsi="Book Antiqua"/>
                <w:sz w:val="22"/>
                <w:szCs w:val="22"/>
              </w:rPr>
            </w:pPr>
            <w:r w:rsidRPr="00BC28F6">
              <w:rPr>
                <w:rFonts w:ascii="Book Antiqua" w:hAnsi="Book Antiqua"/>
                <w:sz w:val="22"/>
                <w:szCs w:val="22"/>
              </w:rPr>
              <w:object w:dxaOrig="1513" w:dyaOrig="984" w14:anchorId="5B03603B">
                <v:shape id="_x0000_i1058" type="#_x0000_t75" style="width:75.5pt;height:49pt" o:ole="">
                  <v:imagedata r:id="rId75" o:title=""/>
                </v:shape>
                <o:OLEObject Type="Embed" ProgID="Package" ShapeID="_x0000_i1058" DrawAspect="Icon" ObjectID="_1687780083" r:id="rId76"/>
              </w:object>
            </w:r>
          </w:p>
        </w:tc>
      </w:tr>
      <w:tr w:rsidR="001341EC" w:rsidRPr="00493BFE" w14:paraId="0E817DE4" w14:textId="77777777" w:rsidTr="00165AA6">
        <w:trPr>
          <w:trHeight w:val="227"/>
          <w:tblCellSpacing w:w="1440" w:type="nil"/>
        </w:trPr>
        <w:tc>
          <w:tcPr>
            <w:tcW w:w="871" w:type="pct"/>
            <w:shd w:val="clear" w:color="auto" w:fill="auto"/>
            <w:vAlign w:val="center"/>
          </w:tcPr>
          <w:p w14:paraId="4F37D7F8" w14:textId="77777777" w:rsidR="001341EC" w:rsidRDefault="001341EC" w:rsidP="00165AA6">
            <w:pPr>
              <w:jc w:val="center"/>
              <w:rPr>
                <w:rFonts w:ascii="Book Antiqua" w:hAnsi="Book Antiqua"/>
                <w:b/>
                <w:i/>
                <w:color w:val="000000"/>
                <w:sz w:val="22"/>
                <w:szCs w:val="22"/>
              </w:rPr>
            </w:pPr>
            <w:r>
              <w:rPr>
                <w:rFonts w:ascii="Book Antiqua" w:hAnsi="Book Antiqua"/>
                <w:b/>
                <w:i/>
                <w:color w:val="000000"/>
                <w:sz w:val="22"/>
                <w:szCs w:val="22"/>
              </w:rPr>
              <w:t>25</w:t>
            </w:r>
          </w:p>
        </w:tc>
        <w:tc>
          <w:tcPr>
            <w:tcW w:w="2286" w:type="pct"/>
            <w:shd w:val="clear" w:color="auto" w:fill="auto"/>
            <w:vAlign w:val="center"/>
          </w:tcPr>
          <w:p w14:paraId="2C65200F" w14:textId="77777777" w:rsidR="001341EC" w:rsidRDefault="001341EC" w:rsidP="00165AA6">
            <w:pPr>
              <w:jc w:val="center"/>
              <w:rPr>
                <w:rFonts w:ascii="Book Antiqua" w:hAnsi="Book Antiqua"/>
                <w:sz w:val="22"/>
                <w:szCs w:val="22"/>
              </w:rPr>
            </w:pPr>
            <w:r>
              <w:rPr>
                <w:rFonts w:ascii="Book Antiqua" w:hAnsi="Book Antiqua"/>
                <w:sz w:val="22"/>
                <w:szCs w:val="22"/>
              </w:rPr>
              <w:t>Respuestas emitidas por el Juzgado Agrario de Santa Cruz</w:t>
            </w:r>
          </w:p>
        </w:tc>
        <w:tc>
          <w:tcPr>
            <w:tcW w:w="1843" w:type="pct"/>
            <w:shd w:val="clear" w:color="auto" w:fill="auto"/>
            <w:vAlign w:val="center"/>
          </w:tcPr>
          <w:p w14:paraId="3E8BA68E" w14:textId="77777777" w:rsidR="001341EC" w:rsidRDefault="007661D0" w:rsidP="00165AA6">
            <w:pPr>
              <w:jc w:val="center"/>
              <w:rPr>
                <w:rFonts w:ascii="Book Antiqua" w:hAnsi="Book Antiqua"/>
                <w:sz w:val="22"/>
                <w:szCs w:val="22"/>
              </w:rPr>
            </w:pPr>
            <w:r w:rsidRPr="00BC28F6">
              <w:rPr>
                <w:rFonts w:ascii="Book Antiqua" w:hAnsi="Book Antiqua"/>
                <w:sz w:val="22"/>
                <w:szCs w:val="22"/>
              </w:rPr>
              <w:object w:dxaOrig="1513" w:dyaOrig="984" w14:anchorId="2B8F8DC1">
                <v:shape id="_x0000_i1059" type="#_x0000_t75" style="width:75.5pt;height:49pt" o:ole="">
                  <v:imagedata r:id="rId77" o:title=""/>
                </v:shape>
                <o:OLEObject Type="Embed" ProgID="Package" ShapeID="_x0000_i1059" DrawAspect="Icon" ObjectID="_1687780084" r:id="rId78"/>
              </w:object>
            </w:r>
          </w:p>
        </w:tc>
      </w:tr>
      <w:tr w:rsidR="001341EC" w:rsidRPr="00493BFE" w14:paraId="67377FE6" w14:textId="77777777" w:rsidTr="00165AA6">
        <w:trPr>
          <w:trHeight w:val="227"/>
          <w:tblCellSpacing w:w="1440" w:type="nil"/>
        </w:trPr>
        <w:tc>
          <w:tcPr>
            <w:tcW w:w="871" w:type="pct"/>
            <w:shd w:val="clear" w:color="auto" w:fill="auto"/>
            <w:vAlign w:val="center"/>
          </w:tcPr>
          <w:p w14:paraId="18C74150" w14:textId="77777777" w:rsidR="001341EC" w:rsidRDefault="001341EC" w:rsidP="00165AA6">
            <w:pPr>
              <w:jc w:val="center"/>
              <w:rPr>
                <w:rFonts w:ascii="Book Antiqua" w:hAnsi="Book Antiqua"/>
                <w:b/>
                <w:i/>
                <w:color w:val="000000"/>
                <w:sz w:val="22"/>
                <w:szCs w:val="22"/>
              </w:rPr>
            </w:pPr>
            <w:r>
              <w:rPr>
                <w:rFonts w:ascii="Book Antiqua" w:hAnsi="Book Antiqua"/>
                <w:b/>
                <w:i/>
                <w:color w:val="000000"/>
                <w:sz w:val="22"/>
                <w:szCs w:val="22"/>
              </w:rPr>
              <w:t>26</w:t>
            </w:r>
          </w:p>
        </w:tc>
        <w:tc>
          <w:tcPr>
            <w:tcW w:w="2286" w:type="pct"/>
            <w:shd w:val="clear" w:color="auto" w:fill="auto"/>
            <w:vAlign w:val="center"/>
          </w:tcPr>
          <w:p w14:paraId="2F21575B" w14:textId="77777777" w:rsidR="001341EC" w:rsidRDefault="001341EC" w:rsidP="00165AA6">
            <w:pPr>
              <w:jc w:val="center"/>
              <w:rPr>
                <w:rFonts w:ascii="Book Antiqua" w:hAnsi="Book Antiqua"/>
                <w:sz w:val="22"/>
                <w:szCs w:val="22"/>
              </w:rPr>
            </w:pPr>
            <w:r>
              <w:rPr>
                <w:rFonts w:ascii="Book Antiqua" w:hAnsi="Book Antiqua"/>
                <w:sz w:val="22"/>
                <w:szCs w:val="22"/>
              </w:rPr>
              <w:t>Respuestas emitidas por la Licda. Silvia Sánchez del Juzgado Civil y Trabajo de Upala</w:t>
            </w:r>
          </w:p>
        </w:tc>
        <w:tc>
          <w:tcPr>
            <w:tcW w:w="1843" w:type="pct"/>
            <w:shd w:val="clear" w:color="auto" w:fill="auto"/>
            <w:vAlign w:val="center"/>
          </w:tcPr>
          <w:p w14:paraId="2D2107DD" w14:textId="77777777" w:rsidR="001341EC" w:rsidRDefault="007661D0" w:rsidP="00165AA6">
            <w:pPr>
              <w:jc w:val="center"/>
              <w:rPr>
                <w:rFonts w:ascii="Book Antiqua" w:hAnsi="Book Antiqua"/>
                <w:sz w:val="22"/>
                <w:szCs w:val="22"/>
              </w:rPr>
            </w:pPr>
            <w:r w:rsidRPr="00BC28F6">
              <w:rPr>
                <w:rFonts w:ascii="Book Antiqua" w:hAnsi="Book Antiqua"/>
                <w:sz w:val="22"/>
                <w:szCs w:val="22"/>
              </w:rPr>
              <w:object w:dxaOrig="1513" w:dyaOrig="984" w14:anchorId="3D3DE22E">
                <v:shape id="_x0000_i1060" type="#_x0000_t75" style="width:75.5pt;height:49pt" o:ole="">
                  <v:imagedata r:id="rId79" o:title=""/>
                </v:shape>
                <o:OLEObject Type="Embed" ProgID="Package" ShapeID="_x0000_i1060" DrawAspect="Icon" ObjectID="_1687780085" r:id="rId80"/>
              </w:object>
            </w:r>
          </w:p>
        </w:tc>
      </w:tr>
      <w:tr w:rsidR="001341EC" w:rsidRPr="00493BFE" w14:paraId="11640EF6" w14:textId="77777777" w:rsidTr="00165AA6">
        <w:trPr>
          <w:trHeight w:val="227"/>
          <w:tblCellSpacing w:w="1440" w:type="nil"/>
        </w:trPr>
        <w:tc>
          <w:tcPr>
            <w:tcW w:w="871" w:type="pct"/>
            <w:shd w:val="clear" w:color="auto" w:fill="auto"/>
            <w:vAlign w:val="center"/>
          </w:tcPr>
          <w:p w14:paraId="573299DB" w14:textId="77777777" w:rsidR="001341EC" w:rsidRDefault="001341EC" w:rsidP="00165AA6">
            <w:pPr>
              <w:jc w:val="center"/>
              <w:rPr>
                <w:rFonts w:ascii="Book Antiqua" w:hAnsi="Book Antiqua"/>
                <w:b/>
                <w:i/>
                <w:color w:val="000000"/>
                <w:sz w:val="22"/>
                <w:szCs w:val="22"/>
              </w:rPr>
            </w:pPr>
            <w:r>
              <w:rPr>
                <w:rFonts w:ascii="Book Antiqua" w:hAnsi="Book Antiqua"/>
                <w:b/>
                <w:i/>
                <w:color w:val="000000"/>
                <w:sz w:val="22"/>
                <w:szCs w:val="22"/>
              </w:rPr>
              <w:t>27</w:t>
            </w:r>
          </w:p>
        </w:tc>
        <w:tc>
          <w:tcPr>
            <w:tcW w:w="2286" w:type="pct"/>
            <w:shd w:val="clear" w:color="auto" w:fill="auto"/>
            <w:vAlign w:val="center"/>
          </w:tcPr>
          <w:p w14:paraId="4B4557B3" w14:textId="77777777" w:rsidR="001341EC" w:rsidRDefault="001341EC" w:rsidP="00165AA6">
            <w:pPr>
              <w:jc w:val="center"/>
              <w:rPr>
                <w:rFonts w:ascii="Book Antiqua" w:hAnsi="Book Antiqua"/>
                <w:sz w:val="22"/>
                <w:szCs w:val="22"/>
              </w:rPr>
            </w:pPr>
            <w:r>
              <w:rPr>
                <w:rFonts w:ascii="Book Antiqua" w:hAnsi="Book Antiqua"/>
                <w:sz w:val="22"/>
                <w:szCs w:val="22"/>
              </w:rPr>
              <w:t>Respuestas emitidas por el Juzgado de Upala</w:t>
            </w:r>
          </w:p>
        </w:tc>
        <w:tc>
          <w:tcPr>
            <w:tcW w:w="1843" w:type="pct"/>
            <w:shd w:val="clear" w:color="auto" w:fill="auto"/>
            <w:vAlign w:val="center"/>
          </w:tcPr>
          <w:p w14:paraId="3E425282" w14:textId="77777777" w:rsidR="001341EC" w:rsidRDefault="007661D0" w:rsidP="00165AA6">
            <w:pPr>
              <w:jc w:val="center"/>
              <w:rPr>
                <w:rFonts w:ascii="Book Antiqua" w:hAnsi="Book Antiqua"/>
                <w:sz w:val="22"/>
                <w:szCs w:val="22"/>
              </w:rPr>
            </w:pPr>
            <w:r w:rsidRPr="00BC28F6">
              <w:rPr>
                <w:rFonts w:ascii="Book Antiqua" w:hAnsi="Book Antiqua"/>
                <w:sz w:val="22"/>
                <w:szCs w:val="22"/>
              </w:rPr>
              <w:object w:dxaOrig="1513" w:dyaOrig="984" w14:anchorId="0A1AD9FA">
                <v:shape id="_x0000_i1061" type="#_x0000_t75" style="width:75.5pt;height:49pt" o:ole="">
                  <v:imagedata r:id="rId81" o:title=""/>
                </v:shape>
                <o:OLEObject Type="Embed" ProgID="Package" ShapeID="_x0000_i1061" DrawAspect="Icon" ObjectID="_1687780086" r:id="rId82"/>
              </w:object>
            </w:r>
          </w:p>
        </w:tc>
      </w:tr>
      <w:tr w:rsidR="001341EC" w:rsidRPr="00493BFE" w14:paraId="0D1CA23F" w14:textId="77777777" w:rsidTr="00165AA6">
        <w:trPr>
          <w:trHeight w:val="227"/>
          <w:tblCellSpacing w:w="1440" w:type="nil"/>
        </w:trPr>
        <w:tc>
          <w:tcPr>
            <w:tcW w:w="871" w:type="pct"/>
            <w:shd w:val="clear" w:color="auto" w:fill="auto"/>
            <w:vAlign w:val="center"/>
          </w:tcPr>
          <w:p w14:paraId="469E9CA7" w14:textId="77777777" w:rsidR="001341EC" w:rsidRDefault="001341EC" w:rsidP="00165AA6">
            <w:pPr>
              <w:jc w:val="center"/>
              <w:rPr>
                <w:rFonts w:ascii="Book Antiqua" w:hAnsi="Book Antiqua"/>
                <w:b/>
                <w:i/>
                <w:color w:val="000000"/>
                <w:sz w:val="22"/>
                <w:szCs w:val="22"/>
              </w:rPr>
            </w:pPr>
            <w:r>
              <w:rPr>
                <w:rFonts w:ascii="Book Antiqua" w:hAnsi="Book Antiqua"/>
                <w:b/>
                <w:i/>
                <w:color w:val="000000"/>
                <w:sz w:val="22"/>
                <w:szCs w:val="22"/>
              </w:rPr>
              <w:t>28</w:t>
            </w:r>
          </w:p>
        </w:tc>
        <w:tc>
          <w:tcPr>
            <w:tcW w:w="2286" w:type="pct"/>
            <w:shd w:val="clear" w:color="auto" w:fill="auto"/>
            <w:vAlign w:val="center"/>
          </w:tcPr>
          <w:p w14:paraId="4DEC8FBA" w14:textId="77777777" w:rsidR="001341EC" w:rsidRDefault="001341EC" w:rsidP="00165AA6">
            <w:pPr>
              <w:jc w:val="center"/>
              <w:rPr>
                <w:rFonts w:ascii="Book Antiqua" w:hAnsi="Book Antiqua"/>
                <w:sz w:val="22"/>
                <w:szCs w:val="22"/>
              </w:rPr>
            </w:pPr>
            <w:r>
              <w:rPr>
                <w:rFonts w:ascii="Book Antiqua" w:hAnsi="Book Antiqua"/>
                <w:sz w:val="22"/>
                <w:szCs w:val="22"/>
              </w:rPr>
              <w:t>Respuestas emitidas por el Tribunal Agrario</w:t>
            </w:r>
          </w:p>
        </w:tc>
        <w:tc>
          <w:tcPr>
            <w:tcW w:w="1843" w:type="pct"/>
            <w:shd w:val="clear" w:color="auto" w:fill="auto"/>
            <w:vAlign w:val="center"/>
          </w:tcPr>
          <w:p w14:paraId="0752C357" w14:textId="77777777" w:rsidR="001341EC" w:rsidRDefault="007661D0" w:rsidP="00165AA6">
            <w:pPr>
              <w:jc w:val="center"/>
              <w:rPr>
                <w:rFonts w:ascii="Book Antiqua" w:hAnsi="Book Antiqua"/>
                <w:sz w:val="22"/>
                <w:szCs w:val="22"/>
              </w:rPr>
            </w:pPr>
            <w:r w:rsidRPr="00BC28F6">
              <w:rPr>
                <w:rFonts w:ascii="Book Antiqua" w:hAnsi="Book Antiqua"/>
                <w:sz w:val="22"/>
                <w:szCs w:val="22"/>
              </w:rPr>
              <w:object w:dxaOrig="1513" w:dyaOrig="984" w14:anchorId="43290870">
                <v:shape id="_x0000_i1062" type="#_x0000_t75" style="width:75.5pt;height:49pt" o:ole="">
                  <v:imagedata r:id="rId83" o:title=""/>
                </v:shape>
                <o:OLEObject Type="Embed" ProgID="AcroExch.Document.DC" ShapeID="_x0000_i1062" DrawAspect="Icon" ObjectID="_1687780087" r:id="rId84"/>
              </w:object>
            </w:r>
          </w:p>
        </w:tc>
      </w:tr>
      <w:tr w:rsidR="001341EC" w:rsidRPr="00493BFE" w14:paraId="3E1CA795" w14:textId="77777777" w:rsidTr="00165AA6">
        <w:trPr>
          <w:trHeight w:val="227"/>
          <w:tblCellSpacing w:w="1440" w:type="nil"/>
        </w:trPr>
        <w:tc>
          <w:tcPr>
            <w:tcW w:w="871" w:type="pct"/>
            <w:shd w:val="clear" w:color="auto" w:fill="auto"/>
            <w:vAlign w:val="center"/>
          </w:tcPr>
          <w:p w14:paraId="1E8902DC" w14:textId="77777777" w:rsidR="001341EC" w:rsidRDefault="001341EC" w:rsidP="00165AA6">
            <w:pPr>
              <w:jc w:val="center"/>
              <w:rPr>
                <w:rFonts w:ascii="Book Antiqua" w:hAnsi="Book Antiqua"/>
                <w:b/>
                <w:i/>
                <w:color w:val="000000"/>
                <w:sz w:val="22"/>
                <w:szCs w:val="22"/>
              </w:rPr>
            </w:pPr>
            <w:r>
              <w:rPr>
                <w:rFonts w:ascii="Book Antiqua" w:hAnsi="Book Antiqua"/>
                <w:b/>
                <w:i/>
                <w:color w:val="000000"/>
                <w:sz w:val="22"/>
                <w:szCs w:val="22"/>
              </w:rPr>
              <w:t>29</w:t>
            </w:r>
          </w:p>
        </w:tc>
        <w:tc>
          <w:tcPr>
            <w:tcW w:w="2286" w:type="pct"/>
            <w:shd w:val="clear" w:color="auto" w:fill="auto"/>
            <w:vAlign w:val="center"/>
          </w:tcPr>
          <w:p w14:paraId="093F7FB3" w14:textId="77777777" w:rsidR="001341EC" w:rsidRDefault="001341EC" w:rsidP="00165AA6">
            <w:pPr>
              <w:jc w:val="center"/>
              <w:rPr>
                <w:rFonts w:ascii="Book Antiqua" w:hAnsi="Book Antiqua"/>
                <w:sz w:val="22"/>
                <w:szCs w:val="22"/>
              </w:rPr>
            </w:pPr>
            <w:r>
              <w:rPr>
                <w:rFonts w:ascii="Book Antiqua" w:hAnsi="Book Antiqua"/>
                <w:sz w:val="22"/>
                <w:szCs w:val="22"/>
              </w:rPr>
              <w:t xml:space="preserve">Observación emitida por la </w:t>
            </w:r>
            <w:proofErr w:type="spellStart"/>
            <w:r>
              <w:rPr>
                <w:rFonts w:ascii="Book Antiqua" w:hAnsi="Book Antiqua"/>
                <w:sz w:val="22"/>
                <w:szCs w:val="22"/>
              </w:rPr>
              <w:t>Mba</w:t>
            </w:r>
            <w:proofErr w:type="spellEnd"/>
            <w:r>
              <w:rPr>
                <w:rFonts w:ascii="Book Antiqua" w:hAnsi="Book Antiqua"/>
                <w:sz w:val="22"/>
                <w:szCs w:val="22"/>
              </w:rPr>
              <w:t xml:space="preserve">. Damaris Vargas </w:t>
            </w:r>
            <w:r w:rsidRPr="00126FA8">
              <w:rPr>
                <w:rFonts w:ascii="Book Antiqua" w:hAnsi="Book Antiqua"/>
                <w:sz w:val="22"/>
                <w:szCs w:val="22"/>
              </w:rPr>
              <w:t>Coordinadora Proyecto Implementación del Código Procesal Agrario</w:t>
            </w:r>
          </w:p>
        </w:tc>
        <w:tc>
          <w:tcPr>
            <w:tcW w:w="1843" w:type="pct"/>
            <w:shd w:val="clear" w:color="auto" w:fill="auto"/>
            <w:vAlign w:val="center"/>
          </w:tcPr>
          <w:p w14:paraId="6412BE55" w14:textId="77777777" w:rsidR="001341EC" w:rsidRDefault="007661D0" w:rsidP="00165AA6">
            <w:pPr>
              <w:jc w:val="center"/>
              <w:rPr>
                <w:rFonts w:ascii="Book Antiqua" w:hAnsi="Book Antiqua"/>
                <w:sz w:val="22"/>
                <w:szCs w:val="22"/>
              </w:rPr>
            </w:pPr>
            <w:r w:rsidRPr="00BC28F6">
              <w:rPr>
                <w:rFonts w:ascii="Book Antiqua" w:hAnsi="Book Antiqua"/>
                <w:sz w:val="22"/>
                <w:szCs w:val="22"/>
              </w:rPr>
              <w:object w:dxaOrig="1513" w:dyaOrig="984" w14:anchorId="18358882">
                <v:shape id="_x0000_i1063" type="#_x0000_t75" style="width:75.5pt;height:49pt" o:ole="">
                  <v:imagedata r:id="rId85" o:title=""/>
                </v:shape>
                <o:OLEObject Type="Embed" ProgID="Package" ShapeID="_x0000_i1063" DrawAspect="Icon" ObjectID="_1687780088" r:id="rId86"/>
              </w:object>
            </w:r>
          </w:p>
        </w:tc>
      </w:tr>
      <w:tr w:rsidR="001341EC" w:rsidRPr="00493BFE" w14:paraId="4CDE0529" w14:textId="77777777" w:rsidTr="00165AA6">
        <w:trPr>
          <w:trHeight w:val="227"/>
          <w:tblCellSpacing w:w="1440" w:type="nil"/>
        </w:trPr>
        <w:tc>
          <w:tcPr>
            <w:tcW w:w="871" w:type="pct"/>
            <w:shd w:val="clear" w:color="auto" w:fill="auto"/>
            <w:vAlign w:val="center"/>
          </w:tcPr>
          <w:p w14:paraId="6C55DDC3" w14:textId="77777777" w:rsidR="001341EC" w:rsidRDefault="001341EC" w:rsidP="00165AA6">
            <w:pPr>
              <w:jc w:val="center"/>
              <w:rPr>
                <w:rFonts w:ascii="Book Antiqua" w:hAnsi="Book Antiqua"/>
                <w:b/>
                <w:i/>
                <w:color w:val="000000"/>
                <w:sz w:val="22"/>
                <w:szCs w:val="22"/>
              </w:rPr>
            </w:pPr>
            <w:r>
              <w:rPr>
                <w:rFonts w:ascii="Book Antiqua" w:hAnsi="Book Antiqua"/>
                <w:b/>
                <w:i/>
                <w:color w:val="000000"/>
                <w:sz w:val="22"/>
                <w:szCs w:val="22"/>
              </w:rPr>
              <w:t>30</w:t>
            </w:r>
          </w:p>
        </w:tc>
        <w:tc>
          <w:tcPr>
            <w:tcW w:w="2286" w:type="pct"/>
            <w:shd w:val="clear" w:color="auto" w:fill="auto"/>
            <w:vAlign w:val="center"/>
          </w:tcPr>
          <w:p w14:paraId="35296B7D" w14:textId="77777777" w:rsidR="001341EC" w:rsidRDefault="001341EC" w:rsidP="0079308B">
            <w:pPr>
              <w:jc w:val="center"/>
              <w:rPr>
                <w:rFonts w:ascii="Book Antiqua" w:hAnsi="Book Antiqua"/>
                <w:sz w:val="22"/>
                <w:szCs w:val="22"/>
              </w:rPr>
            </w:pPr>
            <w:r>
              <w:rPr>
                <w:rFonts w:ascii="Book Antiqua" w:hAnsi="Book Antiqua"/>
                <w:sz w:val="22"/>
                <w:szCs w:val="22"/>
              </w:rPr>
              <w:t xml:space="preserve">Respuesta emitida por </w:t>
            </w:r>
            <w:r w:rsidRPr="00126FA8">
              <w:rPr>
                <w:rFonts w:ascii="Book Antiqua" w:hAnsi="Book Antiqua"/>
                <w:sz w:val="22"/>
                <w:szCs w:val="22"/>
              </w:rPr>
              <w:t xml:space="preserve">Lic. Mariano Rodríguez Flores, Jefe </w:t>
            </w:r>
            <w:proofErr w:type="spellStart"/>
            <w:r w:rsidRPr="00126FA8">
              <w:rPr>
                <w:rFonts w:ascii="Book Antiqua" w:hAnsi="Book Antiqua"/>
                <w:sz w:val="22"/>
                <w:szCs w:val="22"/>
              </w:rPr>
              <w:t>a.i</w:t>
            </w:r>
            <w:proofErr w:type="spellEnd"/>
            <w:r w:rsidRPr="00126FA8">
              <w:rPr>
                <w:rFonts w:ascii="Book Antiqua" w:hAnsi="Book Antiqua"/>
                <w:sz w:val="22"/>
                <w:szCs w:val="22"/>
              </w:rPr>
              <w:t xml:space="preserve"> del Área de Gestión y Apoyo</w:t>
            </w:r>
            <w:r>
              <w:rPr>
                <w:rFonts w:ascii="Book Antiqua" w:hAnsi="Book Antiqua"/>
                <w:sz w:val="22"/>
                <w:szCs w:val="22"/>
              </w:rPr>
              <w:t>, bajo oficio 209</w:t>
            </w:r>
            <w:r w:rsidR="0079308B">
              <w:rPr>
                <w:rFonts w:ascii="Book Antiqua" w:hAnsi="Book Antiqua"/>
                <w:sz w:val="22"/>
                <w:szCs w:val="22"/>
              </w:rPr>
              <w:t>-CACMFJ-</w:t>
            </w:r>
            <w:r>
              <w:rPr>
                <w:rFonts w:ascii="Book Antiqua" w:hAnsi="Book Antiqua"/>
                <w:sz w:val="22"/>
                <w:szCs w:val="22"/>
              </w:rPr>
              <w:t>JEF</w:t>
            </w:r>
            <w:r w:rsidR="0079308B">
              <w:rPr>
                <w:rFonts w:ascii="Book Antiqua" w:hAnsi="Book Antiqua"/>
                <w:sz w:val="22"/>
                <w:szCs w:val="22"/>
              </w:rPr>
              <w:t>-2</w:t>
            </w:r>
            <w:r>
              <w:rPr>
                <w:rFonts w:ascii="Book Antiqua" w:hAnsi="Book Antiqua"/>
                <w:sz w:val="22"/>
                <w:szCs w:val="22"/>
              </w:rPr>
              <w:t>019</w:t>
            </w:r>
          </w:p>
        </w:tc>
        <w:bookmarkStart w:id="46" w:name="_MON_1618748723"/>
        <w:bookmarkStart w:id="47" w:name="_MON_1618750467"/>
        <w:bookmarkEnd w:id="46"/>
        <w:bookmarkEnd w:id="47"/>
        <w:bookmarkStart w:id="48" w:name="_MON_1617976635"/>
        <w:bookmarkEnd w:id="48"/>
        <w:tc>
          <w:tcPr>
            <w:tcW w:w="1843" w:type="pct"/>
            <w:shd w:val="clear" w:color="auto" w:fill="auto"/>
            <w:vAlign w:val="center"/>
          </w:tcPr>
          <w:p w14:paraId="110D78C0" w14:textId="77777777" w:rsidR="001341EC" w:rsidRDefault="001341EC" w:rsidP="00165AA6">
            <w:pPr>
              <w:jc w:val="center"/>
              <w:rPr>
                <w:rFonts w:ascii="Book Antiqua" w:hAnsi="Book Antiqua"/>
                <w:sz w:val="22"/>
                <w:szCs w:val="22"/>
              </w:rPr>
            </w:pPr>
            <w:r w:rsidRPr="00BC28F6">
              <w:rPr>
                <w:rFonts w:ascii="Book Antiqua" w:hAnsi="Book Antiqua"/>
                <w:sz w:val="22"/>
                <w:szCs w:val="22"/>
              </w:rPr>
              <w:object w:dxaOrig="1513" w:dyaOrig="984" w14:anchorId="58C29235">
                <v:shape id="_x0000_i1064" type="#_x0000_t75" style="width:75.5pt;height:49pt" o:ole="">
                  <v:imagedata r:id="rId87" o:title=""/>
                </v:shape>
                <o:OLEObject Type="Embed" ProgID="Word.Document.12" ShapeID="_x0000_i1064" DrawAspect="Icon" ObjectID="_1687780089" r:id="rId88">
                  <o:FieldCodes>\s</o:FieldCodes>
                </o:OLEObject>
              </w:object>
            </w:r>
          </w:p>
        </w:tc>
      </w:tr>
      <w:tr w:rsidR="001341EC" w:rsidRPr="00493BFE" w14:paraId="43A742A4" w14:textId="77777777" w:rsidTr="00165AA6">
        <w:trPr>
          <w:trHeight w:val="227"/>
          <w:tblCellSpacing w:w="1440" w:type="nil"/>
        </w:trPr>
        <w:tc>
          <w:tcPr>
            <w:tcW w:w="871" w:type="pct"/>
            <w:shd w:val="clear" w:color="auto" w:fill="auto"/>
            <w:vAlign w:val="center"/>
          </w:tcPr>
          <w:p w14:paraId="7C78E48F" w14:textId="77777777" w:rsidR="001341EC" w:rsidRDefault="001341EC" w:rsidP="00165AA6">
            <w:pPr>
              <w:jc w:val="center"/>
              <w:rPr>
                <w:rFonts w:ascii="Book Antiqua" w:hAnsi="Book Antiqua"/>
                <w:b/>
                <w:i/>
                <w:color w:val="000000"/>
                <w:sz w:val="22"/>
                <w:szCs w:val="22"/>
              </w:rPr>
            </w:pPr>
            <w:r>
              <w:rPr>
                <w:rFonts w:ascii="Book Antiqua" w:hAnsi="Book Antiqua"/>
                <w:b/>
                <w:i/>
                <w:color w:val="000000"/>
                <w:sz w:val="22"/>
                <w:szCs w:val="22"/>
              </w:rPr>
              <w:lastRenderedPageBreak/>
              <w:t>31</w:t>
            </w:r>
          </w:p>
        </w:tc>
        <w:tc>
          <w:tcPr>
            <w:tcW w:w="2286" w:type="pct"/>
            <w:shd w:val="clear" w:color="auto" w:fill="auto"/>
            <w:vAlign w:val="center"/>
          </w:tcPr>
          <w:p w14:paraId="44E54D04" w14:textId="77777777" w:rsidR="001341EC" w:rsidRDefault="001341EC" w:rsidP="00165AA6">
            <w:pPr>
              <w:jc w:val="center"/>
              <w:rPr>
                <w:rFonts w:ascii="Book Antiqua" w:hAnsi="Book Antiqua"/>
                <w:sz w:val="22"/>
                <w:szCs w:val="22"/>
              </w:rPr>
            </w:pPr>
            <w:r>
              <w:rPr>
                <w:rFonts w:ascii="Book Antiqua" w:hAnsi="Book Antiqua"/>
                <w:sz w:val="22"/>
                <w:szCs w:val="22"/>
              </w:rPr>
              <w:t>Respuesta sobre consulta Administración Regional de Santa Cruz</w:t>
            </w:r>
          </w:p>
        </w:tc>
        <w:tc>
          <w:tcPr>
            <w:tcW w:w="1843" w:type="pct"/>
            <w:shd w:val="clear" w:color="auto" w:fill="auto"/>
            <w:vAlign w:val="center"/>
          </w:tcPr>
          <w:p w14:paraId="2BC87117" w14:textId="77777777" w:rsidR="001341EC" w:rsidRDefault="007661D0" w:rsidP="00165AA6">
            <w:pPr>
              <w:jc w:val="center"/>
              <w:rPr>
                <w:rFonts w:ascii="Book Antiqua" w:hAnsi="Book Antiqua"/>
                <w:sz w:val="22"/>
                <w:szCs w:val="22"/>
              </w:rPr>
            </w:pPr>
            <w:r w:rsidRPr="00BC28F6">
              <w:rPr>
                <w:rFonts w:ascii="Book Antiqua" w:hAnsi="Book Antiqua"/>
                <w:sz w:val="22"/>
                <w:szCs w:val="22"/>
              </w:rPr>
              <w:object w:dxaOrig="1513" w:dyaOrig="984" w14:anchorId="3B6FD0D3">
                <v:shape id="_x0000_i1065" type="#_x0000_t75" style="width:75.5pt;height:49pt" o:ole="">
                  <v:imagedata r:id="rId89" o:title=""/>
                </v:shape>
                <o:OLEObject Type="Embed" ProgID="Package" ShapeID="_x0000_i1065" DrawAspect="Icon" ObjectID="_1687780090" r:id="rId90"/>
              </w:object>
            </w:r>
          </w:p>
        </w:tc>
      </w:tr>
      <w:tr w:rsidR="001341EC" w:rsidRPr="00493BFE" w14:paraId="54FA1B74" w14:textId="77777777" w:rsidTr="00165AA6">
        <w:trPr>
          <w:trHeight w:val="227"/>
          <w:tblCellSpacing w:w="1440" w:type="nil"/>
        </w:trPr>
        <w:tc>
          <w:tcPr>
            <w:tcW w:w="871" w:type="pct"/>
            <w:shd w:val="clear" w:color="auto" w:fill="auto"/>
            <w:vAlign w:val="center"/>
          </w:tcPr>
          <w:p w14:paraId="02B46BC4" w14:textId="77777777" w:rsidR="001341EC" w:rsidRDefault="001341EC" w:rsidP="00165AA6">
            <w:pPr>
              <w:jc w:val="center"/>
              <w:rPr>
                <w:rFonts w:ascii="Book Antiqua" w:hAnsi="Book Antiqua"/>
                <w:b/>
                <w:i/>
                <w:color w:val="000000"/>
                <w:sz w:val="22"/>
                <w:szCs w:val="22"/>
              </w:rPr>
            </w:pPr>
            <w:r>
              <w:rPr>
                <w:rFonts w:ascii="Book Antiqua" w:hAnsi="Book Antiqua"/>
                <w:b/>
                <w:i/>
                <w:color w:val="000000"/>
                <w:sz w:val="22"/>
                <w:szCs w:val="22"/>
              </w:rPr>
              <w:t>32</w:t>
            </w:r>
          </w:p>
        </w:tc>
        <w:tc>
          <w:tcPr>
            <w:tcW w:w="2286" w:type="pct"/>
            <w:shd w:val="clear" w:color="auto" w:fill="auto"/>
            <w:vAlign w:val="center"/>
          </w:tcPr>
          <w:p w14:paraId="5E96FE0A" w14:textId="77777777" w:rsidR="001341EC" w:rsidRDefault="001341EC" w:rsidP="00165AA6">
            <w:pPr>
              <w:jc w:val="center"/>
              <w:rPr>
                <w:rFonts w:ascii="Book Antiqua" w:hAnsi="Book Antiqua"/>
                <w:sz w:val="22"/>
                <w:szCs w:val="22"/>
              </w:rPr>
            </w:pPr>
            <w:r w:rsidRPr="00D96590">
              <w:rPr>
                <w:rFonts w:ascii="Book Antiqua" w:hAnsi="Book Antiqua"/>
                <w:sz w:val="22"/>
                <w:szCs w:val="22"/>
              </w:rPr>
              <w:t>Información sobre proveído Juzgado Agrario de Santa Cruz</w:t>
            </w:r>
          </w:p>
        </w:tc>
        <w:tc>
          <w:tcPr>
            <w:tcW w:w="1843" w:type="pct"/>
            <w:shd w:val="clear" w:color="auto" w:fill="auto"/>
            <w:vAlign w:val="center"/>
          </w:tcPr>
          <w:p w14:paraId="619CBC8B" w14:textId="77777777" w:rsidR="001341EC" w:rsidRDefault="007661D0" w:rsidP="00165AA6">
            <w:pPr>
              <w:jc w:val="center"/>
              <w:rPr>
                <w:rFonts w:ascii="Book Antiqua" w:hAnsi="Book Antiqua"/>
                <w:sz w:val="22"/>
                <w:szCs w:val="22"/>
              </w:rPr>
            </w:pPr>
            <w:r w:rsidRPr="00BC28F6">
              <w:rPr>
                <w:rFonts w:ascii="Book Antiqua" w:hAnsi="Book Antiqua"/>
                <w:sz w:val="22"/>
                <w:szCs w:val="22"/>
              </w:rPr>
              <w:object w:dxaOrig="1513" w:dyaOrig="984" w14:anchorId="4BAAF2C3">
                <v:shape id="_x0000_i1066" type="#_x0000_t75" style="width:75.5pt;height:49pt" o:ole="">
                  <v:imagedata r:id="rId91" o:title=""/>
                </v:shape>
                <o:OLEObject Type="Embed" ProgID="Package" ShapeID="_x0000_i1066" DrawAspect="Icon" ObjectID="_1687780091" r:id="rId92"/>
              </w:object>
            </w:r>
          </w:p>
        </w:tc>
      </w:tr>
    </w:tbl>
    <w:p w14:paraId="19FC0DC1" w14:textId="77777777" w:rsidR="00E422DB" w:rsidRDefault="00E422DB">
      <w:pPr>
        <w:spacing w:after="200" w:line="276" w:lineRule="auto"/>
        <w:rPr>
          <w:rFonts w:ascii="Book Antiqua" w:hAnsi="Book Antiqua" w:cs="Arial"/>
          <w:sz w:val="22"/>
          <w:szCs w:val="22"/>
          <w:lang w:val="es-ES_tradnl"/>
        </w:rPr>
      </w:pPr>
    </w:p>
    <w:p w14:paraId="75A86C11" w14:textId="77777777" w:rsidR="001341EC" w:rsidRPr="00055D4B" w:rsidRDefault="001341EC" w:rsidP="001341EC">
      <w:pPr>
        <w:pStyle w:val="Prrafodelista"/>
        <w:ind w:left="425"/>
        <w:jc w:val="both"/>
        <w:rPr>
          <w:rFonts w:ascii="Book Antiqua" w:hAnsi="Book Antiqua"/>
          <w:sz w:val="22"/>
          <w:szCs w:val="22"/>
          <w:lang w:val="es-ES_tradnl"/>
        </w:rPr>
      </w:pPr>
    </w:p>
    <w:p w14:paraId="5946C8E7" w14:textId="77777777" w:rsidR="001341EC" w:rsidRPr="00055D4B" w:rsidRDefault="001341EC" w:rsidP="001341EC">
      <w:pPr>
        <w:pStyle w:val="Prrafodelista"/>
        <w:ind w:left="0"/>
        <w:jc w:val="both"/>
        <w:rPr>
          <w:rFonts w:ascii="Book Antiqua" w:hAnsi="Book Antiqua"/>
          <w:sz w:val="22"/>
          <w:szCs w:val="22"/>
          <w:lang w:val="es-ES_tradnl"/>
        </w:rPr>
      </w:pPr>
      <w:r w:rsidRPr="00055D4B">
        <w:rPr>
          <w:rFonts w:ascii="Book Antiqua" w:hAnsi="Book Antiqua"/>
          <w:sz w:val="22"/>
          <w:szCs w:val="22"/>
          <w:lang w:val="es-ES_tradnl"/>
        </w:rPr>
        <w:t>Atentamente</w:t>
      </w:r>
      <w:r>
        <w:rPr>
          <w:rFonts w:ascii="Book Antiqua" w:hAnsi="Book Antiqua"/>
          <w:sz w:val="22"/>
          <w:szCs w:val="22"/>
          <w:lang w:val="es-ES_tradnl"/>
        </w:rPr>
        <w:t>,</w:t>
      </w:r>
    </w:p>
    <w:p w14:paraId="0B962229" w14:textId="77777777" w:rsidR="001341EC" w:rsidRDefault="001341EC" w:rsidP="001341EC">
      <w:pPr>
        <w:pStyle w:val="Prrafodelista"/>
        <w:ind w:left="425"/>
        <w:jc w:val="both"/>
        <w:rPr>
          <w:rFonts w:ascii="Book Antiqua" w:hAnsi="Book Antiqua"/>
          <w:sz w:val="22"/>
          <w:szCs w:val="22"/>
          <w:lang w:val="es-ES_tradnl"/>
        </w:rPr>
      </w:pPr>
    </w:p>
    <w:p w14:paraId="19A92303" w14:textId="77777777" w:rsidR="00E422DB" w:rsidRPr="00055D4B" w:rsidRDefault="00E422DB" w:rsidP="001341EC">
      <w:pPr>
        <w:pStyle w:val="Prrafodelista"/>
        <w:ind w:left="425"/>
        <w:jc w:val="both"/>
        <w:rPr>
          <w:rFonts w:ascii="Book Antiqua" w:hAnsi="Book Antiqua"/>
          <w:sz w:val="22"/>
          <w:szCs w:val="22"/>
          <w:lang w:val="es-ES_tradnl"/>
        </w:rPr>
      </w:pPr>
    </w:p>
    <w:p w14:paraId="08B0F2B3" w14:textId="77777777" w:rsidR="001341EC" w:rsidRPr="00055D4B" w:rsidRDefault="001341EC" w:rsidP="001341EC">
      <w:pPr>
        <w:pStyle w:val="Prrafodelista"/>
        <w:ind w:left="0"/>
        <w:jc w:val="both"/>
        <w:rPr>
          <w:rFonts w:ascii="Book Antiqua" w:hAnsi="Book Antiqua"/>
          <w:sz w:val="22"/>
          <w:szCs w:val="22"/>
          <w:lang w:val="es-ES_tradnl"/>
        </w:rPr>
      </w:pPr>
      <w:r w:rsidRPr="00055D4B">
        <w:rPr>
          <w:rFonts w:ascii="Book Antiqua" w:hAnsi="Book Antiqua"/>
          <w:sz w:val="22"/>
          <w:szCs w:val="22"/>
          <w:lang w:val="es-ES_tradnl"/>
        </w:rPr>
        <w:t xml:space="preserve">Ing. Elena Gabriela Picado González, Jefa </w:t>
      </w:r>
      <w:proofErr w:type="spellStart"/>
      <w:r w:rsidRPr="00055D4B">
        <w:rPr>
          <w:rFonts w:ascii="Book Antiqua" w:hAnsi="Book Antiqua"/>
          <w:sz w:val="22"/>
          <w:szCs w:val="22"/>
          <w:lang w:val="es-ES_tradnl"/>
        </w:rPr>
        <w:t>a.i.</w:t>
      </w:r>
      <w:proofErr w:type="spellEnd"/>
    </w:p>
    <w:p w14:paraId="075B70E2" w14:textId="77777777" w:rsidR="001341EC" w:rsidRPr="00055D4B" w:rsidRDefault="001341EC" w:rsidP="001341EC">
      <w:pPr>
        <w:pStyle w:val="Prrafodelista"/>
        <w:ind w:left="0"/>
        <w:jc w:val="both"/>
        <w:rPr>
          <w:rFonts w:ascii="Book Antiqua" w:hAnsi="Book Antiqua"/>
          <w:sz w:val="22"/>
          <w:szCs w:val="22"/>
          <w:lang w:val="es-ES_tradnl"/>
        </w:rPr>
      </w:pPr>
      <w:r w:rsidRPr="00055D4B">
        <w:rPr>
          <w:rFonts w:ascii="Book Antiqua" w:hAnsi="Book Antiqua"/>
          <w:sz w:val="22"/>
          <w:szCs w:val="22"/>
          <w:lang w:val="es-ES_tradnl"/>
        </w:rPr>
        <w:t>Subproceso Modernización Institucional</w:t>
      </w:r>
    </w:p>
    <w:p w14:paraId="5A0635E3" w14:textId="77777777" w:rsidR="001341EC" w:rsidRPr="00055D4B" w:rsidRDefault="001341EC" w:rsidP="001341EC">
      <w:pPr>
        <w:pStyle w:val="Prrafodelista"/>
        <w:ind w:left="425"/>
        <w:jc w:val="both"/>
        <w:rPr>
          <w:rFonts w:ascii="Book Antiqua" w:hAnsi="Book Antiqua"/>
          <w:sz w:val="22"/>
          <w:szCs w:val="22"/>
          <w:lang w:val="es-ES_tradnl"/>
        </w:rPr>
      </w:pPr>
    </w:p>
    <w:p w14:paraId="3B4E309D" w14:textId="77777777" w:rsidR="00E422DB" w:rsidRDefault="00E422DB" w:rsidP="001341EC">
      <w:pPr>
        <w:pStyle w:val="Prrafodelista"/>
        <w:ind w:left="0"/>
        <w:jc w:val="both"/>
        <w:rPr>
          <w:rFonts w:ascii="Book Antiqua" w:hAnsi="Book Antiqua"/>
          <w:sz w:val="22"/>
          <w:szCs w:val="22"/>
          <w:lang w:val="es-ES_tradnl"/>
        </w:rPr>
      </w:pPr>
    </w:p>
    <w:p w14:paraId="41ABC722" w14:textId="77777777" w:rsidR="001341EC" w:rsidRPr="00055D4B" w:rsidRDefault="001341EC" w:rsidP="001341EC">
      <w:pPr>
        <w:pStyle w:val="Prrafodelista"/>
        <w:ind w:left="0"/>
        <w:jc w:val="both"/>
        <w:rPr>
          <w:rFonts w:ascii="Book Antiqua" w:hAnsi="Book Antiqua"/>
          <w:sz w:val="22"/>
          <w:szCs w:val="22"/>
          <w:lang w:val="es-ES_tradnl"/>
        </w:rPr>
      </w:pPr>
      <w:r>
        <w:rPr>
          <w:rFonts w:ascii="Book Antiqua" w:hAnsi="Book Antiqua"/>
          <w:sz w:val="22"/>
          <w:szCs w:val="22"/>
          <w:lang w:val="es-ES_tradnl"/>
        </w:rPr>
        <w:t>Copia: archivo</w:t>
      </w:r>
    </w:p>
    <w:p w14:paraId="760343DB" w14:textId="77777777" w:rsidR="00983457" w:rsidRDefault="00983457" w:rsidP="00983457">
      <w:pPr>
        <w:jc w:val="both"/>
        <w:rPr>
          <w:rFonts w:ascii="Book Antiqua" w:hAnsi="Book Antiqua"/>
          <w:sz w:val="22"/>
          <w:szCs w:val="22"/>
          <w:lang w:val="es-ES_tradnl"/>
        </w:rPr>
      </w:pPr>
    </w:p>
    <w:p w14:paraId="764F26F6" w14:textId="77777777" w:rsidR="00B52943" w:rsidRDefault="00983457" w:rsidP="00983457">
      <w:pPr>
        <w:jc w:val="both"/>
      </w:pPr>
      <w:proofErr w:type="spellStart"/>
      <w:r>
        <w:rPr>
          <w:rFonts w:ascii="Book Antiqua" w:hAnsi="Book Antiqua"/>
          <w:sz w:val="22"/>
          <w:szCs w:val="22"/>
          <w:lang w:val="es-ES_tradnl"/>
        </w:rPr>
        <w:t>xba</w:t>
      </w:r>
      <w:proofErr w:type="spellEnd"/>
    </w:p>
    <w:sectPr w:rsidR="00B52943" w:rsidSect="00B5294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00D0F5A" w14:textId="77777777" w:rsidR="00C15504" w:rsidRDefault="00C15504">
      <w:r>
        <w:separator/>
      </w:r>
    </w:p>
  </w:endnote>
  <w:endnote w:type="continuationSeparator" w:id="0">
    <w:p w14:paraId="6BDE7D89" w14:textId="77777777" w:rsidR="00C15504" w:rsidRDefault="00C155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BoldMT">
    <w:altName w:val="Arial"/>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8080000" w:usb2="00000010" w:usb3="00000000" w:csb0="00100001" w:csb1="00000000"/>
  </w:font>
  <w:font w:name="TimesNewRomanPSMT">
    <w:panose1 w:val="00000000000000000000"/>
    <w:charset w:val="00"/>
    <w:family w:val="auto"/>
    <w:notTrueType/>
    <w:pitch w:val="default"/>
    <w:sig w:usb0="00000003" w:usb1="00000000" w:usb2="00000000" w:usb3="00000000" w:csb0="00000001" w:csb1="00000000"/>
  </w:font>
  <w:font w:name="Times-Roman">
    <w:charset w:val="00"/>
    <w:family w:val="roman"/>
    <w:pitch w:val="default"/>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BB3B82" w14:textId="77777777" w:rsidR="00C15571" w:rsidRDefault="009A23D1" w:rsidP="00165AA6">
    <w:pPr>
      <w:pStyle w:val="Piedepgina"/>
      <w:framePr w:wrap="auto" w:vAnchor="text" w:hAnchor="margin" w:xAlign="right" w:y="1"/>
      <w:rPr>
        <w:rStyle w:val="Nmerodepgina"/>
      </w:rPr>
    </w:pPr>
    <w:r>
      <w:rPr>
        <w:rStyle w:val="Nmerodepgina"/>
      </w:rPr>
      <w:fldChar w:fldCharType="begin"/>
    </w:r>
    <w:r w:rsidR="00C15571">
      <w:rPr>
        <w:rStyle w:val="Nmerodepgina"/>
      </w:rPr>
      <w:instrText xml:space="preserve">PAGE  </w:instrText>
    </w:r>
    <w:r>
      <w:rPr>
        <w:rStyle w:val="Nmerodepgina"/>
      </w:rPr>
      <w:fldChar w:fldCharType="separate"/>
    </w:r>
    <w:r w:rsidR="007D236A">
      <w:rPr>
        <w:rStyle w:val="Nmerodepgina"/>
        <w:noProof/>
      </w:rPr>
      <w:t>1</w:t>
    </w:r>
    <w:r>
      <w:rPr>
        <w:rStyle w:val="Nmerodepgina"/>
      </w:rPr>
      <w:fldChar w:fldCharType="end"/>
    </w:r>
  </w:p>
  <w:p w14:paraId="21E6D035" w14:textId="77777777" w:rsidR="00C15571" w:rsidRPr="0036463A" w:rsidRDefault="00C15571" w:rsidP="00165AA6">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2ECE3CE6" w14:textId="77777777" w:rsidR="00C15571" w:rsidRDefault="00C15571" w:rsidP="00165AA6">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C88DFF" w14:textId="77777777" w:rsidR="00C15571" w:rsidRDefault="00C15504">
    <w:pPr>
      <w:pStyle w:val="Piedepgina"/>
      <w:jc w:val="right"/>
    </w:pPr>
    <w:r>
      <w:fldChar w:fldCharType="begin"/>
    </w:r>
    <w:r>
      <w:instrText>PAGE   \* MERGEFORMAT</w:instrText>
    </w:r>
    <w:r>
      <w:fldChar w:fldCharType="separate"/>
    </w:r>
    <w:r w:rsidR="00167412" w:rsidRPr="00167412">
      <w:rPr>
        <w:noProof/>
        <w:lang w:val="es-ES"/>
      </w:rPr>
      <w:t>133</w:t>
    </w:r>
    <w:r>
      <w:rPr>
        <w:noProof/>
        <w:lang w:val="es-ES"/>
      </w:rPr>
      <w:fldChar w:fldCharType="end"/>
    </w:r>
  </w:p>
  <w:p w14:paraId="2FFC2BCE" w14:textId="77777777" w:rsidR="00C15571" w:rsidRDefault="00C1557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0A7F569" w14:textId="77777777" w:rsidR="00C15504" w:rsidRDefault="00C15504">
      <w:r>
        <w:separator/>
      </w:r>
    </w:p>
  </w:footnote>
  <w:footnote w:type="continuationSeparator" w:id="0">
    <w:p w14:paraId="4261A87C" w14:textId="77777777" w:rsidR="00C15504" w:rsidRDefault="00C155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0485B" w14:textId="77777777" w:rsidR="00C15571" w:rsidRDefault="00C15571" w:rsidP="00165AA6">
    <w:pPr>
      <w:framePr w:w="640" w:hSpace="141" w:wrap="auto" w:vAnchor="text" w:hAnchor="margin" w:x="8456" w:y="-91"/>
    </w:pPr>
  </w:p>
  <w:p w14:paraId="2CD4A38D" w14:textId="77777777" w:rsidR="00C15571" w:rsidRDefault="00C15571" w:rsidP="00165AA6">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BC28F6">
      <w:rPr>
        <w:sz w:val="24"/>
        <w:szCs w:val="24"/>
      </w:rPr>
      <w:object w:dxaOrig="1845" w:dyaOrig="2145" w14:anchorId="0D03EA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pt;height:32.5pt" o:ole="">
          <v:imagedata r:id="rId1" o:title=""/>
        </v:shape>
        <o:OLEObject Type="Embed" ProgID="PBrush" ShapeID="_x0000_i1025" DrawAspect="Content" ObjectID="_1687780092" r:id="rId2"/>
      </w:object>
    </w:r>
  </w:p>
  <w:p w14:paraId="74931F8D" w14:textId="77777777" w:rsidR="00C15571" w:rsidRDefault="00C15571" w:rsidP="00165AA6">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4B2E616D" w14:textId="77777777" w:rsidR="00C15571" w:rsidRPr="005B3B0C" w:rsidRDefault="00C15571" w:rsidP="00165AA6">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xml:space="preserve">.  95-1003  / </w:t>
    </w:r>
    <w:r w:rsidRPr="005B3B0C">
      <w:rPr>
        <w:rFonts w:ascii="Book Antiqua" w:hAnsi="Book Antiqua" w:cs="Book Antiqua"/>
        <w:i/>
        <w:iCs/>
        <w:sz w:val="18"/>
        <w:szCs w:val="18"/>
        <w:lang w:val="en-US"/>
      </w:rPr>
      <w:t>planificacion@poder-judicial.go.cr</w:t>
    </w:r>
  </w:p>
  <w:p w14:paraId="4D5C8084" w14:textId="77777777" w:rsidR="00C15571" w:rsidRPr="005B3B0C" w:rsidRDefault="00C15571" w:rsidP="00165AA6">
    <w:pPr>
      <w:pBdr>
        <w:bottom w:val="single" w:sz="6" w:space="0" w:color="auto"/>
      </w:pBdr>
      <w:spacing w:after="20"/>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2A18C8" w14:textId="77777777" w:rsidR="00C15571" w:rsidRDefault="00C15571" w:rsidP="00165AA6">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BC28F6">
      <w:rPr>
        <w:sz w:val="24"/>
        <w:szCs w:val="24"/>
      </w:rPr>
      <w:object w:dxaOrig="1845" w:dyaOrig="2145" w14:anchorId="6A521B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pt;height:32.5pt" o:ole="">
          <v:imagedata r:id="rId1" o:title=""/>
        </v:shape>
        <o:OLEObject Type="Embed" ProgID="PBrush" ShapeID="_x0000_i1026" DrawAspect="Content" ObjectID="_1687780093" r:id="rId2"/>
      </w:object>
    </w:r>
  </w:p>
  <w:p w14:paraId="7B05815A" w14:textId="77777777" w:rsidR="00C15571" w:rsidRDefault="00C15571" w:rsidP="00165AA6">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1D404B97" w14:textId="77777777" w:rsidR="00C15571" w:rsidRPr="005B3B0C" w:rsidRDefault="00C15571" w:rsidP="00165AA6">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2295-3600 / 3599  Fax. 22</w:t>
    </w:r>
    <w:r>
      <w:rPr>
        <w:rFonts w:ascii="Book Antiqua" w:hAnsi="Book Antiqua" w:cs="Book Antiqua"/>
        <w:i/>
        <w:iCs/>
        <w:sz w:val="18"/>
        <w:szCs w:val="18"/>
        <w:lang w:val="en-US"/>
      </w:rPr>
      <w:t xml:space="preserve">57-5633   / </w:t>
    </w:r>
    <w:proofErr w:type="spellStart"/>
    <w:r>
      <w:rPr>
        <w:rFonts w:ascii="Book Antiqua" w:hAnsi="Book Antiqua" w:cs="Book Antiqua"/>
        <w:i/>
        <w:iCs/>
        <w:sz w:val="18"/>
        <w:szCs w:val="18"/>
        <w:lang w:val="en-US"/>
      </w:rPr>
      <w:t>Apdo</w:t>
    </w:r>
    <w:proofErr w:type="spellEnd"/>
    <w:r>
      <w:rPr>
        <w:rFonts w:ascii="Book Antiqua" w:hAnsi="Book Antiqua" w:cs="Book Antiqua"/>
        <w:i/>
        <w:iCs/>
        <w:sz w:val="18"/>
        <w:szCs w:val="18"/>
        <w:lang w:val="en-US"/>
      </w:rPr>
      <w:t xml:space="preserve">.  95-1003  / </w:t>
    </w:r>
    <w:r w:rsidRPr="005B3B0C">
      <w:rPr>
        <w:rFonts w:ascii="Book Antiqua" w:hAnsi="Book Antiqua" w:cs="Book Antiqua"/>
        <w:i/>
        <w:iCs/>
        <w:sz w:val="18"/>
        <w:szCs w:val="18"/>
        <w:lang w:val="en-US"/>
      </w:rPr>
      <w:t>planificacion@poder-judicial.go.cr</w:t>
    </w:r>
  </w:p>
  <w:p w14:paraId="46A096ED" w14:textId="77777777" w:rsidR="00C15571" w:rsidRPr="005B3B0C" w:rsidRDefault="00C15571" w:rsidP="00165AA6">
    <w:pPr>
      <w:pBdr>
        <w:bottom w:val="single" w:sz="6" w:space="0" w:color="auto"/>
      </w:pBdr>
      <w:spacing w:after="20"/>
      <w:rPr>
        <w:lang w:val="en-US"/>
      </w:rPr>
    </w:pPr>
  </w:p>
  <w:p w14:paraId="19CAEF59" w14:textId="77777777" w:rsidR="00C15571" w:rsidRPr="00857627" w:rsidRDefault="00C15571">
    <w:pPr>
      <w:pStyle w:val="Encabezado"/>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74DECE0A"/>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0000001"/>
    <w:multiLevelType w:val="multilevel"/>
    <w:tmpl w:val="BEBA65CE"/>
    <w:name w:val="WW8Num1"/>
    <w:lvl w:ilvl="0">
      <w:start w:val="1"/>
      <w:numFmt w:val="decimal"/>
      <w:lvlText w:val="%1."/>
      <w:lvlJc w:val="left"/>
      <w:pPr>
        <w:tabs>
          <w:tab w:val="num" w:pos="0"/>
        </w:tabs>
      </w:pPr>
      <w:rPr>
        <w:rFonts w:ascii="Book Antiqua" w:hAnsi="Book Antiqua" w:cs="Arial" w:hint="default"/>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2" w15:restartNumberingAfterBreak="0">
    <w:nsid w:val="00000002"/>
    <w:multiLevelType w:val="hybridMultilevel"/>
    <w:tmpl w:val="9BB875E6"/>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3"/>
    <w:multiLevelType w:val="hybridMultilevel"/>
    <w:tmpl w:val="5BD062C2"/>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04"/>
    <w:multiLevelType w:val="hybridMultilevel"/>
    <w:tmpl w:val="E98E82C4"/>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05"/>
    <w:multiLevelType w:val="hybridMultilevel"/>
    <w:tmpl w:val="C900B0BE"/>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0000006"/>
    <w:multiLevelType w:val="hybridMultilevel"/>
    <w:tmpl w:val="AEEE6BF4"/>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15:restartNumberingAfterBreak="0">
    <w:nsid w:val="00000007"/>
    <w:multiLevelType w:val="hybridMultilevel"/>
    <w:tmpl w:val="47F0366C"/>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15:restartNumberingAfterBreak="0">
    <w:nsid w:val="00000008"/>
    <w:multiLevelType w:val="hybridMultilevel"/>
    <w:tmpl w:val="9014EBFA"/>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15:restartNumberingAfterBreak="0">
    <w:nsid w:val="00000009"/>
    <w:multiLevelType w:val="hybridMultilevel"/>
    <w:tmpl w:val="E87EE57E"/>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15:restartNumberingAfterBreak="0">
    <w:nsid w:val="0000000A"/>
    <w:multiLevelType w:val="hybridMultilevel"/>
    <w:tmpl w:val="952AE3CE"/>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15:restartNumberingAfterBreak="0">
    <w:nsid w:val="0000000B"/>
    <w:multiLevelType w:val="hybridMultilevel"/>
    <w:tmpl w:val="92F2E908"/>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15:restartNumberingAfterBreak="0">
    <w:nsid w:val="0000000C"/>
    <w:multiLevelType w:val="hybridMultilevel"/>
    <w:tmpl w:val="9EBADE16"/>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15:restartNumberingAfterBreak="0">
    <w:nsid w:val="0000000D"/>
    <w:multiLevelType w:val="hybridMultilevel"/>
    <w:tmpl w:val="2F368C28"/>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4" w15:restartNumberingAfterBreak="0">
    <w:nsid w:val="0000000E"/>
    <w:multiLevelType w:val="hybridMultilevel"/>
    <w:tmpl w:val="826869D0"/>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5" w15:restartNumberingAfterBreak="0">
    <w:nsid w:val="0000000F"/>
    <w:multiLevelType w:val="hybridMultilevel"/>
    <w:tmpl w:val="52CA6032"/>
    <w:lvl w:ilvl="0" w:tplc="140A0017">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6" w15:restartNumberingAfterBreak="0">
    <w:nsid w:val="05A00336"/>
    <w:multiLevelType w:val="multilevel"/>
    <w:tmpl w:val="A844AD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6035112"/>
    <w:multiLevelType w:val="hybridMultilevel"/>
    <w:tmpl w:val="83B66826"/>
    <w:lvl w:ilvl="0" w:tplc="D7B4911C">
      <w:start w:val="10"/>
      <w:numFmt w:val="decimal"/>
      <w:lvlText w:val="%1."/>
      <w:lvlJc w:val="left"/>
      <w:pPr>
        <w:ind w:left="900" w:hanging="360"/>
      </w:pPr>
      <w:rPr>
        <w:rFonts w:hint="default"/>
        <w:b/>
        <w:color w:val="000000"/>
      </w:rPr>
    </w:lvl>
    <w:lvl w:ilvl="1" w:tplc="140A0019" w:tentative="1">
      <w:start w:val="1"/>
      <w:numFmt w:val="lowerLetter"/>
      <w:lvlText w:val="%2."/>
      <w:lvlJc w:val="left"/>
      <w:pPr>
        <w:ind w:left="1620" w:hanging="360"/>
      </w:pPr>
    </w:lvl>
    <w:lvl w:ilvl="2" w:tplc="140A001B" w:tentative="1">
      <w:start w:val="1"/>
      <w:numFmt w:val="lowerRoman"/>
      <w:lvlText w:val="%3."/>
      <w:lvlJc w:val="right"/>
      <w:pPr>
        <w:ind w:left="2340" w:hanging="180"/>
      </w:pPr>
    </w:lvl>
    <w:lvl w:ilvl="3" w:tplc="140A000F" w:tentative="1">
      <w:start w:val="1"/>
      <w:numFmt w:val="decimal"/>
      <w:lvlText w:val="%4."/>
      <w:lvlJc w:val="left"/>
      <w:pPr>
        <w:ind w:left="3060" w:hanging="360"/>
      </w:pPr>
    </w:lvl>
    <w:lvl w:ilvl="4" w:tplc="140A0019" w:tentative="1">
      <w:start w:val="1"/>
      <w:numFmt w:val="lowerLetter"/>
      <w:lvlText w:val="%5."/>
      <w:lvlJc w:val="left"/>
      <w:pPr>
        <w:ind w:left="3780" w:hanging="360"/>
      </w:pPr>
    </w:lvl>
    <w:lvl w:ilvl="5" w:tplc="140A001B" w:tentative="1">
      <w:start w:val="1"/>
      <w:numFmt w:val="lowerRoman"/>
      <w:lvlText w:val="%6."/>
      <w:lvlJc w:val="right"/>
      <w:pPr>
        <w:ind w:left="4500" w:hanging="180"/>
      </w:pPr>
    </w:lvl>
    <w:lvl w:ilvl="6" w:tplc="140A000F" w:tentative="1">
      <w:start w:val="1"/>
      <w:numFmt w:val="decimal"/>
      <w:lvlText w:val="%7."/>
      <w:lvlJc w:val="left"/>
      <w:pPr>
        <w:ind w:left="5220" w:hanging="360"/>
      </w:pPr>
    </w:lvl>
    <w:lvl w:ilvl="7" w:tplc="140A0019" w:tentative="1">
      <w:start w:val="1"/>
      <w:numFmt w:val="lowerLetter"/>
      <w:lvlText w:val="%8."/>
      <w:lvlJc w:val="left"/>
      <w:pPr>
        <w:ind w:left="5940" w:hanging="360"/>
      </w:pPr>
    </w:lvl>
    <w:lvl w:ilvl="8" w:tplc="140A001B" w:tentative="1">
      <w:start w:val="1"/>
      <w:numFmt w:val="lowerRoman"/>
      <w:lvlText w:val="%9."/>
      <w:lvlJc w:val="right"/>
      <w:pPr>
        <w:ind w:left="6660" w:hanging="180"/>
      </w:pPr>
    </w:lvl>
  </w:abstractNum>
  <w:abstractNum w:abstractNumId="18" w15:restartNumberingAfterBreak="0">
    <w:nsid w:val="065F0EC3"/>
    <w:multiLevelType w:val="hybridMultilevel"/>
    <w:tmpl w:val="1DEC71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082E0848"/>
    <w:multiLevelType w:val="hybridMultilevel"/>
    <w:tmpl w:val="B044A61E"/>
    <w:lvl w:ilvl="0" w:tplc="140A0017">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20" w15:restartNumberingAfterBreak="0">
    <w:nsid w:val="18C60ABA"/>
    <w:multiLevelType w:val="hybridMultilevel"/>
    <w:tmpl w:val="83E6A858"/>
    <w:lvl w:ilvl="0" w:tplc="FB20BA02">
      <w:start w:val="10"/>
      <w:numFmt w:val="decimal"/>
      <w:lvlText w:val="%1."/>
      <w:lvlJc w:val="left"/>
      <w:pPr>
        <w:ind w:left="900" w:hanging="360"/>
      </w:pPr>
      <w:rPr>
        <w:rFonts w:hint="default"/>
        <w:b/>
        <w:color w:val="000000"/>
      </w:rPr>
    </w:lvl>
    <w:lvl w:ilvl="1" w:tplc="140A0019" w:tentative="1">
      <w:start w:val="1"/>
      <w:numFmt w:val="lowerLetter"/>
      <w:lvlText w:val="%2."/>
      <w:lvlJc w:val="left"/>
      <w:pPr>
        <w:ind w:left="1620" w:hanging="360"/>
      </w:pPr>
    </w:lvl>
    <w:lvl w:ilvl="2" w:tplc="140A001B" w:tentative="1">
      <w:start w:val="1"/>
      <w:numFmt w:val="lowerRoman"/>
      <w:lvlText w:val="%3."/>
      <w:lvlJc w:val="right"/>
      <w:pPr>
        <w:ind w:left="2340" w:hanging="180"/>
      </w:pPr>
    </w:lvl>
    <w:lvl w:ilvl="3" w:tplc="140A000F" w:tentative="1">
      <w:start w:val="1"/>
      <w:numFmt w:val="decimal"/>
      <w:lvlText w:val="%4."/>
      <w:lvlJc w:val="left"/>
      <w:pPr>
        <w:ind w:left="3060" w:hanging="360"/>
      </w:pPr>
    </w:lvl>
    <w:lvl w:ilvl="4" w:tplc="140A0019" w:tentative="1">
      <w:start w:val="1"/>
      <w:numFmt w:val="lowerLetter"/>
      <w:lvlText w:val="%5."/>
      <w:lvlJc w:val="left"/>
      <w:pPr>
        <w:ind w:left="3780" w:hanging="360"/>
      </w:pPr>
    </w:lvl>
    <w:lvl w:ilvl="5" w:tplc="140A001B" w:tentative="1">
      <w:start w:val="1"/>
      <w:numFmt w:val="lowerRoman"/>
      <w:lvlText w:val="%6."/>
      <w:lvlJc w:val="right"/>
      <w:pPr>
        <w:ind w:left="4500" w:hanging="180"/>
      </w:pPr>
    </w:lvl>
    <w:lvl w:ilvl="6" w:tplc="140A000F" w:tentative="1">
      <w:start w:val="1"/>
      <w:numFmt w:val="decimal"/>
      <w:lvlText w:val="%7."/>
      <w:lvlJc w:val="left"/>
      <w:pPr>
        <w:ind w:left="5220" w:hanging="360"/>
      </w:pPr>
    </w:lvl>
    <w:lvl w:ilvl="7" w:tplc="140A0019" w:tentative="1">
      <w:start w:val="1"/>
      <w:numFmt w:val="lowerLetter"/>
      <w:lvlText w:val="%8."/>
      <w:lvlJc w:val="left"/>
      <w:pPr>
        <w:ind w:left="5940" w:hanging="360"/>
      </w:pPr>
    </w:lvl>
    <w:lvl w:ilvl="8" w:tplc="140A001B" w:tentative="1">
      <w:start w:val="1"/>
      <w:numFmt w:val="lowerRoman"/>
      <w:lvlText w:val="%9."/>
      <w:lvlJc w:val="right"/>
      <w:pPr>
        <w:ind w:left="6660" w:hanging="180"/>
      </w:pPr>
    </w:lvl>
  </w:abstractNum>
  <w:abstractNum w:abstractNumId="21" w15:restartNumberingAfterBreak="0">
    <w:nsid w:val="1F9A16F7"/>
    <w:multiLevelType w:val="multilevel"/>
    <w:tmpl w:val="5B702E7C"/>
    <w:lvl w:ilvl="0">
      <w:start w:val="1"/>
      <w:numFmt w:val="upperRoman"/>
      <w:lvlText w:val="%1."/>
      <w:lvlJc w:val="left"/>
      <w:pPr>
        <w:ind w:left="1080" w:hanging="720"/>
      </w:pPr>
      <w:rPr>
        <w:rFonts w:hint="default"/>
        <w:b/>
        <w:color w:val="000000"/>
      </w:rPr>
    </w:lvl>
    <w:lvl w:ilvl="1">
      <w:start w:val="1"/>
      <w:numFmt w:val="decimal"/>
      <w:isLgl/>
      <w:lvlText w:val="5.%2."/>
      <w:lvlJc w:val="left"/>
      <w:pPr>
        <w:ind w:left="862"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22097DD8"/>
    <w:multiLevelType w:val="hybridMultilevel"/>
    <w:tmpl w:val="420E881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22BD75BD"/>
    <w:multiLevelType w:val="hybridMultilevel"/>
    <w:tmpl w:val="7D00109A"/>
    <w:lvl w:ilvl="0" w:tplc="BBC02A26">
      <w:start w:val="10"/>
      <w:numFmt w:val="decimal"/>
      <w:lvlText w:val="%1."/>
      <w:lvlJc w:val="left"/>
      <w:pPr>
        <w:ind w:left="900" w:hanging="360"/>
      </w:pPr>
      <w:rPr>
        <w:rFonts w:hint="default"/>
        <w:b/>
        <w:color w:val="000000"/>
      </w:rPr>
    </w:lvl>
    <w:lvl w:ilvl="1" w:tplc="140A0019" w:tentative="1">
      <w:start w:val="1"/>
      <w:numFmt w:val="lowerLetter"/>
      <w:lvlText w:val="%2."/>
      <w:lvlJc w:val="left"/>
      <w:pPr>
        <w:ind w:left="1620" w:hanging="360"/>
      </w:pPr>
    </w:lvl>
    <w:lvl w:ilvl="2" w:tplc="140A001B" w:tentative="1">
      <w:start w:val="1"/>
      <w:numFmt w:val="lowerRoman"/>
      <w:lvlText w:val="%3."/>
      <w:lvlJc w:val="right"/>
      <w:pPr>
        <w:ind w:left="2340" w:hanging="180"/>
      </w:pPr>
    </w:lvl>
    <w:lvl w:ilvl="3" w:tplc="140A000F" w:tentative="1">
      <w:start w:val="1"/>
      <w:numFmt w:val="decimal"/>
      <w:lvlText w:val="%4."/>
      <w:lvlJc w:val="left"/>
      <w:pPr>
        <w:ind w:left="3060" w:hanging="360"/>
      </w:pPr>
    </w:lvl>
    <w:lvl w:ilvl="4" w:tplc="140A0019" w:tentative="1">
      <w:start w:val="1"/>
      <w:numFmt w:val="lowerLetter"/>
      <w:lvlText w:val="%5."/>
      <w:lvlJc w:val="left"/>
      <w:pPr>
        <w:ind w:left="3780" w:hanging="360"/>
      </w:pPr>
    </w:lvl>
    <w:lvl w:ilvl="5" w:tplc="140A001B" w:tentative="1">
      <w:start w:val="1"/>
      <w:numFmt w:val="lowerRoman"/>
      <w:lvlText w:val="%6."/>
      <w:lvlJc w:val="right"/>
      <w:pPr>
        <w:ind w:left="4500" w:hanging="180"/>
      </w:pPr>
    </w:lvl>
    <w:lvl w:ilvl="6" w:tplc="140A000F" w:tentative="1">
      <w:start w:val="1"/>
      <w:numFmt w:val="decimal"/>
      <w:lvlText w:val="%7."/>
      <w:lvlJc w:val="left"/>
      <w:pPr>
        <w:ind w:left="5220" w:hanging="360"/>
      </w:pPr>
    </w:lvl>
    <w:lvl w:ilvl="7" w:tplc="140A0019" w:tentative="1">
      <w:start w:val="1"/>
      <w:numFmt w:val="lowerLetter"/>
      <w:lvlText w:val="%8."/>
      <w:lvlJc w:val="left"/>
      <w:pPr>
        <w:ind w:left="5940" w:hanging="360"/>
      </w:pPr>
    </w:lvl>
    <w:lvl w:ilvl="8" w:tplc="140A001B" w:tentative="1">
      <w:start w:val="1"/>
      <w:numFmt w:val="lowerRoman"/>
      <w:lvlText w:val="%9."/>
      <w:lvlJc w:val="right"/>
      <w:pPr>
        <w:ind w:left="6660" w:hanging="180"/>
      </w:pPr>
    </w:lvl>
  </w:abstractNum>
  <w:abstractNum w:abstractNumId="24" w15:restartNumberingAfterBreak="0">
    <w:nsid w:val="239E272D"/>
    <w:multiLevelType w:val="hybridMultilevel"/>
    <w:tmpl w:val="674A1718"/>
    <w:lvl w:ilvl="0" w:tplc="140A0019">
      <w:start w:val="1"/>
      <w:numFmt w:val="lowerLetter"/>
      <w:lvlText w:val="%1."/>
      <w:lvlJc w:val="left"/>
      <w:pPr>
        <w:ind w:left="144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5" w15:restartNumberingAfterBreak="0">
    <w:nsid w:val="29514388"/>
    <w:multiLevelType w:val="hybridMultilevel"/>
    <w:tmpl w:val="F6688E2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6" w15:restartNumberingAfterBreak="0">
    <w:nsid w:val="296C4A69"/>
    <w:multiLevelType w:val="hybridMultilevel"/>
    <w:tmpl w:val="E24296A4"/>
    <w:lvl w:ilvl="0" w:tplc="140A000F">
      <w:start w:val="1"/>
      <w:numFmt w:val="decimal"/>
      <w:lvlText w:val="%1."/>
      <w:lvlJc w:val="left"/>
      <w:pPr>
        <w:ind w:left="720" w:hanging="360"/>
      </w:pPr>
      <w:rPr>
        <w:rFont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7" w15:restartNumberingAfterBreak="0">
    <w:nsid w:val="388E669E"/>
    <w:multiLevelType w:val="hybridMultilevel"/>
    <w:tmpl w:val="159EC004"/>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42D4721C"/>
    <w:multiLevelType w:val="multilevel"/>
    <w:tmpl w:val="F18C4716"/>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15:restartNumberingAfterBreak="0">
    <w:nsid w:val="44D97FBA"/>
    <w:multiLevelType w:val="hybridMultilevel"/>
    <w:tmpl w:val="B044A61E"/>
    <w:lvl w:ilvl="0" w:tplc="0C0A0001">
      <w:start w:val="1"/>
      <w:numFmt w:val="lowerLetter"/>
      <w:lvlText w:val="%1)"/>
      <w:lvlJc w:val="left"/>
      <w:pPr>
        <w:ind w:left="1260" w:hanging="360"/>
      </w:pPr>
    </w:lvl>
    <w:lvl w:ilvl="1" w:tplc="0C0A0003" w:tentative="1">
      <w:start w:val="1"/>
      <w:numFmt w:val="lowerLetter"/>
      <w:lvlText w:val="%2."/>
      <w:lvlJc w:val="left"/>
      <w:pPr>
        <w:ind w:left="1980" w:hanging="360"/>
      </w:pPr>
    </w:lvl>
    <w:lvl w:ilvl="2" w:tplc="0C0A0005" w:tentative="1">
      <w:start w:val="1"/>
      <w:numFmt w:val="lowerRoman"/>
      <w:lvlText w:val="%3."/>
      <w:lvlJc w:val="right"/>
      <w:pPr>
        <w:ind w:left="2700" w:hanging="180"/>
      </w:pPr>
    </w:lvl>
    <w:lvl w:ilvl="3" w:tplc="0C0A0001" w:tentative="1">
      <w:start w:val="1"/>
      <w:numFmt w:val="decimal"/>
      <w:lvlText w:val="%4."/>
      <w:lvlJc w:val="left"/>
      <w:pPr>
        <w:ind w:left="3420" w:hanging="360"/>
      </w:pPr>
    </w:lvl>
    <w:lvl w:ilvl="4" w:tplc="0C0A0003" w:tentative="1">
      <w:start w:val="1"/>
      <w:numFmt w:val="lowerLetter"/>
      <w:lvlText w:val="%5."/>
      <w:lvlJc w:val="left"/>
      <w:pPr>
        <w:ind w:left="4140" w:hanging="360"/>
      </w:pPr>
    </w:lvl>
    <w:lvl w:ilvl="5" w:tplc="0C0A0005" w:tentative="1">
      <w:start w:val="1"/>
      <w:numFmt w:val="lowerRoman"/>
      <w:lvlText w:val="%6."/>
      <w:lvlJc w:val="right"/>
      <w:pPr>
        <w:ind w:left="4860" w:hanging="180"/>
      </w:pPr>
    </w:lvl>
    <w:lvl w:ilvl="6" w:tplc="0C0A0001" w:tentative="1">
      <w:start w:val="1"/>
      <w:numFmt w:val="decimal"/>
      <w:lvlText w:val="%7."/>
      <w:lvlJc w:val="left"/>
      <w:pPr>
        <w:ind w:left="5580" w:hanging="360"/>
      </w:pPr>
    </w:lvl>
    <w:lvl w:ilvl="7" w:tplc="0C0A0003" w:tentative="1">
      <w:start w:val="1"/>
      <w:numFmt w:val="lowerLetter"/>
      <w:lvlText w:val="%8."/>
      <w:lvlJc w:val="left"/>
      <w:pPr>
        <w:ind w:left="6300" w:hanging="360"/>
      </w:pPr>
    </w:lvl>
    <w:lvl w:ilvl="8" w:tplc="0C0A0005" w:tentative="1">
      <w:start w:val="1"/>
      <w:numFmt w:val="lowerRoman"/>
      <w:lvlText w:val="%9."/>
      <w:lvlJc w:val="right"/>
      <w:pPr>
        <w:ind w:left="7020" w:hanging="180"/>
      </w:pPr>
    </w:lvl>
  </w:abstractNum>
  <w:abstractNum w:abstractNumId="30" w15:restartNumberingAfterBreak="0">
    <w:nsid w:val="46E50DD0"/>
    <w:multiLevelType w:val="multilevel"/>
    <w:tmpl w:val="C6983E8C"/>
    <w:lvl w:ilvl="0">
      <w:start w:val="1"/>
      <w:numFmt w:val="upperRoman"/>
      <w:lvlText w:val="%1."/>
      <w:lvlJc w:val="left"/>
      <w:pPr>
        <w:ind w:left="1080" w:hanging="720"/>
      </w:pPr>
      <w:rPr>
        <w:rFonts w:hint="default"/>
        <w:b/>
        <w:color w:val="000000"/>
      </w:rPr>
    </w:lvl>
    <w:lvl w:ilvl="1">
      <w:start w:val="1"/>
      <w:numFmt w:val="decimal"/>
      <w:isLgl/>
      <w:lvlText w:val="%1.%2."/>
      <w:lvlJc w:val="left"/>
      <w:pPr>
        <w:ind w:left="862"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492A275F"/>
    <w:multiLevelType w:val="hybridMultilevel"/>
    <w:tmpl w:val="6700F7F2"/>
    <w:lvl w:ilvl="0" w:tplc="140A0017">
      <w:start w:val="1"/>
      <w:numFmt w:val="bullet"/>
      <w:lvlText w:val=""/>
      <w:lvlJc w:val="left"/>
      <w:pPr>
        <w:ind w:left="720" w:hanging="360"/>
      </w:pPr>
      <w:rPr>
        <w:rFonts w:ascii="Symbol" w:hAnsi="Symbol" w:hint="default"/>
      </w:rPr>
    </w:lvl>
    <w:lvl w:ilvl="1" w:tplc="140A0019" w:tentative="1">
      <w:start w:val="1"/>
      <w:numFmt w:val="bullet"/>
      <w:lvlText w:val="o"/>
      <w:lvlJc w:val="left"/>
      <w:pPr>
        <w:ind w:left="1440" w:hanging="360"/>
      </w:pPr>
      <w:rPr>
        <w:rFonts w:ascii="Courier New" w:hAnsi="Courier New" w:cs="Courier New" w:hint="default"/>
      </w:rPr>
    </w:lvl>
    <w:lvl w:ilvl="2" w:tplc="140A001B" w:tentative="1">
      <w:start w:val="1"/>
      <w:numFmt w:val="bullet"/>
      <w:lvlText w:val=""/>
      <w:lvlJc w:val="left"/>
      <w:pPr>
        <w:ind w:left="2160" w:hanging="360"/>
      </w:pPr>
      <w:rPr>
        <w:rFonts w:ascii="Wingdings" w:hAnsi="Wingdings" w:hint="default"/>
      </w:rPr>
    </w:lvl>
    <w:lvl w:ilvl="3" w:tplc="140A000F" w:tentative="1">
      <w:start w:val="1"/>
      <w:numFmt w:val="bullet"/>
      <w:lvlText w:val=""/>
      <w:lvlJc w:val="left"/>
      <w:pPr>
        <w:ind w:left="2880" w:hanging="360"/>
      </w:pPr>
      <w:rPr>
        <w:rFonts w:ascii="Symbol" w:hAnsi="Symbol" w:hint="default"/>
      </w:rPr>
    </w:lvl>
    <w:lvl w:ilvl="4" w:tplc="140A0019" w:tentative="1">
      <w:start w:val="1"/>
      <w:numFmt w:val="bullet"/>
      <w:lvlText w:val="o"/>
      <w:lvlJc w:val="left"/>
      <w:pPr>
        <w:ind w:left="3600" w:hanging="360"/>
      </w:pPr>
      <w:rPr>
        <w:rFonts w:ascii="Courier New" w:hAnsi="Courier New" w:cs="Courier New" w:hint="default"/>
      </w:rPr>
    </w:lvl>
    <w:lvl w:ilvl="5" w:tplc="140A001B" w:tentative="1">
      <w:start w:val="1"/>
      <w:numFmt w:val="bullet"/>
      <w:lvlText w:val=""/>
      <w:lvlJc w:val="left"/>
      <w:pPr>
        <w:ind w:left="4320" w:hanging="360"/>
      </w:pPr>
      <w:rPr>
        <w:rFonts w:ascii="Wingdings" w:hAnsi="Wingdings" w:hint="default"/>
      </w:rPr>
    </w:lvl>
    <w:lvl w:ilvl="6" w:tplc="140A000F" w:tentative="1">
      <w:start w:val="1"/>
      <w:numFmt w:val="bullet"/>
      <w:lvlText w:val=""/>
      <w:lvlJc w:val="left"/>
      <w:pPr>
        <w:ind w:left="5040" w:hanging="360"/>
      </w:pPr>
      <w:rPr>
        <w:rFonts w:ascii="Symbol" w:hAnsi="Symbol" w:hint="default"/>
      </w:rPr>
    </w:lvl>
    <w:lvl w:ilvl="7" w:tplc="140A0019" w:tentative="1">
      <w:start w:val="1"/>
      <w:numFmt w:val="bullet"/>
      <w:lvlText w:val="o"/>
      <w:lvlJc w:val="left"/>
      <w:pPr>
        <w:ind w:left="5760" w:hanging="360"/>
      </w:pPr>
      <w:rPr>
        <w:rFonts w:ascii="Courier New" w:hAnsi="Courier New" w:cs="Courier New" w:hint="default"/>
      </w:rPr>
    </w:lvl>
    <w:lvl w:ilvl="8" w:tplc="140A001B" w:tentative="1">
      <w:start w:val="1"/>
      <w:numFmt w:val="bullet"/>
      <w:lvlText w:val=""/>
      <w:lvlJc w:val="left"/>
      <w:pPr>
        <w:ind w:left="6480" w:hanging="360"/>
      </w:pPr>
      <w:rPr>
        <w:rFonts w:ascii="Wingdings" w:hAnsi="Wingdings" w:hint="default"/>
      </w:rPr>
    </w:lvl>
  </w:abstractNum>
  <w:abstractNum w:abstractNumId="32" w15:restartNumberingAfterBreak="0">
    <w:nsid w:val="4B693707"/>
    <w:multiLevelType w:val="hybridMultilevel"/>
    <w:tmpl w:val="8DB6FE86"/>
    <w:lvl w:ilvl="0" w:tplc="0C0A000F">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4D690836"/>
    <w:multiLevelType w:val="hybridMultilevel"/>
    <w:tmpl w:val="B204CA04"/>
    <w:lvl w:ilvl="0" w:tplc="140A0017">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4" w15:restartNumberingAfterBreak="0">
    <w:nsid w:val="54200C8F"/>
    <w:multiLevelType w:val="hybridMultilevel"/>
    <w:tmpl w:val="35D498C2"/>
    <w:lvl w:ilvl="0" w:tplc="03B6C7F2">
      <w:start w:val="1"/>
      <w:numFmt w:val="decimal"/>
      <w:lvlText w:val="%1."/>
      <w:lvlJc w:val="left"/>
      <w:pPr>
        <w:ind w:left="720" w:hanging="360"/>
      </w:pPr>
      <w:rPr>
        <w:rFonts w:hint="default"/>
        <w:sz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563169C8"/>
    <w:multiLevelType w:val="hybridMultilevel"/>
    <w:tmpl w:val="084EF6AA"/>
    <w:lvl w:ilvl="0" w:tplc="140A0001">
      <w:start w:val="10"/>
      <w:numFmt w:val="decimal"/>
      <w:lvlText w:val="%1."/>
      <w:lvlJc w:val="left"/>
      <w:pPr>
        <w:ind w:left="900" w:hanging="360"/>
      </w:pPr>
      <w:rPr>
        <w:rFonts w:hint="default"/>
        <w:b/>
        <w:color w:val="000000"/>
      </w:rPr>
    </w:lvl>
    <w:lvl w:ilvl="1" w:tplc="140A0003" w:tentative="1">
      <w:start w:val="1"/>
      <w:numFmt w:val="lowerLetter"/>
      <w:lvlText w:val="%2."/>
      <w:lvlJc w:val="left"/>
      <w:pPr>
        <w:ind w:left="1620" w:hanging="360"/>
      </w:pPr>
    </w:lvl>
    <w:lvl w:ilvl="2" w:tplc="140A0005" w:tentative="1">
      <w:start w:val="1"/>
      <w:numFmt w:val="lowerRoman"/>
      <w:lvlText w:val="%3."/>
      <w:lvlJc w:val="right"/>
      <w:pPr>
        <w:ind w:left="2340" w:hanging="180"/>
      </w:pPr>
    </w:lvl>
    <w:lvl w:ilvl="3" w:tplc="140A0001" w:tentative="1">
      <w:start w:val="1"/>
      <w:numFmt w:val="decimal"/>
      <w:lvlText w:val="%4."/>
      <w:lvlJc w:val="left"/>
      <w:pPr>
        <w:ind w:left="3060" w:hanging="360"/>
      </w:pPr>
    </w:lvl>
    <w:lvl w:ilvl="4" w:tplc="140A0003" w:tentative="1">
      <w:start w:val="1"/>
      <w:numFmt w:val="lowerLetter"/>
      <w:lvlText w:val="%5."/>
      <w:lvlJc w:val="left"/>
      <w:pPr>
        <w:ind w:left="3780" w:hanging="360"/>
      </w:pPr>
    </w:lvl>
    <w:lvl w:ilvl="5" w:tplc="140A0005" w:tentative="1">
      <w:start w:val="1"/>
      <w:numFmt w:val="lowerRoman"/>
      <w:lvlText w:val="%6."/>
      <w:lvlJc w:val="right"/>
      <w:pPr>
        <w:ind w:left="4500" w:hanging="180"/>
      </w:pPr>
    </w:lvl>
    <w:lvl w:ilvl="6" w:tplc="140A0001" w:tentative="1">
      <w:start w:val="1"/>
      <w:numFmt w:val="decimal"/>
      <w:lvlText w:val="%7."/>
      <w:lvlJc w:val="left"/>
      <w:pPr>
        <w:ind w:left="5220" w:hanging="360"/>
      </w:pPr>
    </w:lvl>
    <w:lvl w:ilvl="7" w:tplc="140A0003" w:tentative="1">
      <w:start w:val="1"/>
      <w:numFmt w:val="lowerLetter"/>
      <w:lvlText w:val="%8."/>
      <w:lvlJc w:val="left"/>
      <w:pPr>
        <w:ind w:left="5940" w:hanging="360"/>
      </w:pPr>
    </w:lvl>
    <w:lvl w:ilvl="8" w:tplc="140A0005" w:tentative="1">
      <w:start w:val="1"/>
      <w:numFmt w:val="lowerRoman"/>
      <w:lvlText w:val="%9."/>
      <w:lvlJc w:val="right"/>
      <w:pPr>
        <w:ind w:left="6660" w:hanging="180"/>
      </w:pPr>
    </w:lvl>
  </w:abstractNum>
  <w:abstractNum w:abstractNumId="36" w15:restartNumberingAfterBreak="0">
    <w:nsid w:val="585C777F"/>
    <w:multiLevelType w:val="hybridMultilevel"/>
    <w:tmpl w:val="0AB06B18"/>
    <w:lvl w:ilvl="0" w:tplc="0C0A000D">
      <w:start w:val="1"/>
      <w:numFmt w:val="bullet"/>
      <w:lvlText w:val=""/>
      <w:lvlJc w:val="left"/>
      <w:pPr>
        <w:ind w:left="774" w:hanging="360"/>
      </w:pPr>
      <w:rPr>
        <w:rFonts w:ascii="Symbol" w:hAnsi="Symbol" w:hint="default"/>
      </w:rPr>
    </w:lvl>
    <w:lvl w:ilvl="1" w:tplc="0C0A0003">
      <w:start w:val="1"/>
      <w:numFmt w:val="bullet"/>
      <w:lvlText w:val="o"/>
      <w:lvlJc w:val="left"/>
      <w:pPr>
        <w:ind w:left="1494" w:hanging="360"/>
      </w:pPr>
      <w:rPr>
        <w:rFonts w:ascii="Courier New" w:hAnsi="Courier New" w:cs="Courier New" w:hint="default"/>
      </w:rPr>
    </w:lvl>
    <w:lvl w:ilvl="2" w:tplc="0C0A0005" w:tentative="1">
      <w:start w:val="1"/>
      <w:numFmt w:val="bullet"/>
      <w:lvlText w:val=""/>
      <w:lvlJc w:val="left"/>
      <w:pPr>
        <w:ind w:left="2214" w:hanging="360"/>
      </w:pPr>
      <w:rPr>
        <w:rFonts w:ascii="Wingdings" w:hAnsi="Wingdings" w:hint="default"/>
      </w:rPr>
    </w:lvl>
    <w:lvl w:ilvl="3" w:tplc="0C0A0001" w:tentative="1">
      <w:start w:val="1"/>
      <w:numFmt w:val="bullet"/>
      <w:lvlText w:val=""/>
      <w:lvlJc w:val="left"/>
      <w:pPr>
        <w:ind w:left="2934" w:hanging="360"/>
      </w:pPr>
      <w:rPr>
        <w:rFonts w:ascii="Symbol" w:hAnsi="Symbol" w:hint="default"/>
      </w:rPr>
    </w:lvl>
    <w:lvl w:ilvl="4" w:tplc="0C0A0003" w:tentative="1">
      <w:start w:val="1"/>
      <w:numFmt w:val="bullet"/>
      <w:lvlText w:val="o"/>
      <w:lvlJc w:val="left"/>
      <w:pPr>
        <w:ind w:left="3654" w:hanging="360"/>
      </w:pPr>
      <w:rPr>
        <w:rFonts w:ascii="Courier New" w:hAnsi="Courier New" w:cs="Courier New" w:hint="default"/>
      </w:rPr>
    </w:lvl>
    <w:lvl w:ilvl="5" w:tplc="0C0A0005" w:tentative="1">
      <w:start w:val="1"/>
      <w:numFmt w:val="bullet"/>
      <w:lvlText w:val=""/>
      <w:lvlJc w:val="left"/>
      <w:pPr>
        <w:ind w:left="4374" w:hanging="360"/>
      </w:pPr>
      <w:rPr>
        <w:rFonts w:ascii="Wingdings" w:hAnsi="Wingdings" w:hint="default"/>
      </w:rPr>
    </w:lvl>
    <w:lvl w:ilvl="6" w:tplc="0C0A0001" w:tentative="1">
      <w:start w:val="1"/>
      <w:numFmt w:val="bullet"/>
      <w:lvlText w:val=""/>
      <w:lvlJc w:val="left"/>
      <w:pPr>
        <w:ind w:left="5094" w:hanging="360"/>
      </w:pPr>
      <w:rPr>
        <w:rFonts w:ascii="Symbol" w:hAnsi="Symbol" w:hint="default"/>
      </w:rPr>
    </w:lvl>
    <w:lvl w:ilvl="7" w:tplc="0C0A0003" w:tentative="1">
      <w:start w:val="1"/>
      <w:numFmt w:val="bullet"/>
      <w:lvlText w:val="o"/>
      <w:lvlJc w:val="left"/>
      <w:pPr>
        <w:ind w:left="5814" w:hanging="360"/>
      </w:pPr>
      <w:rPr>
        <w:rFonts w:ascii="Courier New" w:hAnsi="Courier New" w:cs="Courier New" w:hint="default"/>
      </w:rPr>
    </w:lvl>
    <w:lvl w:ilvl="8" w:tplc="0C0A0005" w:tentative="1">
      <w:start w:val="1"/>
      <w:numFmt w:val="bullet"/>
      <w:lvlText w:val=""/>
      <w:lvlJc w:val="left"/>
      <w:pPr>
        <w:ind w:left="6534" w:hanging="360"/>
      </w:pPr>
      <w:rPr>
        <w:rFonts w:ascii="Wingdings" w:hAnsi="Wingdings" w:hint="default"/>
      </w:rPr>
    </w:lvl>
  </w:abstractNum>
  <w:abstractNum w:abstractNumId="37" w15:restartNumberingAfterBreak="0">
    <w:nsid w:val="5E4016C1"/>
    <w:multiLevelType w:val="hybridMultilevel"/>
    <w:tmpl w:val="43768CCA"/>
    <w:lvl w:ilvl="0" w:tplc="8C74E532">
      <w:start w:val="1"/>
      <w:numFmt w:val="decimal"/>
      <w:lvlText w:val="5.%1"/>
      <w:lvlJc w:val="left"/>
      <w:pPr>
        <w:ind w:left="1200" w:hanging="360"/>
      </w:pPr>
      <w:rPr>
        <w:rFonts w:hint="default"/>
      </w:rPr>
    </w:lvl>
    <w:lvl w:ilvl="1" w:tplc="140A0019" w:tentative="1">
      <w:start w:val="1"/>
      <w:numFmt w:val="lowerLetter"/>
      <w:lvlText w:val="%2."/>
      <w:lvlJc w:val="left"/>
      <w:pPr>
        <w:ind w:left="1920" w:hanging="360"/>
      </w:pPr>
    </w:lvl>
    <w:lvl w:ilvl="2" w:tplc="140A001B" w:tentative="1">
      <w:start w:val="1"/>
      <w:numFmt w:val="lowerRoman"/>
      <w:lvlText w:val="%3."/>
      <w:lvlJc w:val="right"/>
      <w:pPr>
        <w:ind w:left="2640" w:hanging="180"/>
      </w:pPr>
    </w:lvl>
    <w:lvl w:ilvl="3" w:tplc="140A000F" w:tentative="1">
      <w:start w:val="1"/>
      <w:numFmt w:val="decimal"/>
      <w:lvlText w:val="%4."/>
      <w:lvlJc w:val="left"/>
      <w:pPr>
        <w:ind w:left="3360" w:hanging="360"/>
      </w:pPr>
    </w:lvl>
    <w:lvl w:ilvl="4" w:tplc="140A0019" w:tentative="1">
      <w:start w:val="1"/>
      <w:numFmt w:val="lowerLetter"/>
      <w:lvlText w:val="%5."/>
      <w:lvlJc w:val="left"/>
      <w:pPr>
        <w:ind w:left="4080" w:hanging="360"/>
      </w:pPr>
    </w:lvl>
    <w:lvl w:ilvl="5" w:tplc="140A001B" w:tentative="1">
      <w:start w:val="1"/>
      <w:numFmt w:val="lowerRoman"/>
      <w:lvlText w:val="%6."/>
      <w:lvlJc w:val="right"/>
      <w:pPr>
        <w:ind w:left="4800" w:hanging="180"/>
      </w:pPr>
    </w:lvl>
    <w:lvl w:ilvl="6" w:tplc="140A000F" w:tentative="1">
      <w:start w:val="1"/>
      <w:numFmt w:val="decimal"/>
      <w:lvlText w:val="%7."/>
      <w:lvlJc w:val="left"/>
      <w:pPr>
        <w:ind w:left="5520" w:hanging="360"/>
      </w:pPr>
    </w:lvl>
    <w:lvl w:ilvl="7" w:tplc="140A0019" w:tentative="1">
      <w:start w:val="1"/>
      <w:numFmt w:val="lowerLetter"/>
      <w:lvlText w:val="%8."/>
      <w:lvlJc w:val="left"/>
      <w:pPr>
        <w:ind w:left="6240" w:hanging="360"/>
      </w:pPr>
    </w:lvl>
    <w:lvl w:ilvl="8" w:tplc="140A001B" w:tentative="1">
      <w:start w:val="1"/>
      <w:numFmt w:val="lowerRoman"/>
      <w:lvlText w:val="%9."/>
      <w:lvlJc w:val="right"/>
      <w:pPr>
        <w:ind w:left="6960" w:hanging="180"/>
      </w:pPr>
    </w:lvl>
  </w:abstractNum>
  <w:abstractNum w:abstractNumId="38" w15:restartNumberingAfterBreak="0">
    <w:nsid w:val="638C412C"/>
    <w:multiLevelType w:val="multilevel"/>
    <w:tmpl w:val="6066A8B6"/>
    <w:lvl w:ilvl="0">
      <w:start w:val="1"/>
      <w:numFmt w:val="decimal"/>
      <w:lvlText w:val="%1."/>
      <w:lvlJc w:val="left"/>
      <w:pPr>
        <w:ind w:left="360" w:hanging="360"/>
      </w:pPr>
      <w:rPr>
        <w:rFonts w:hint="default"/>
        <w:b w:val="0"/>
        <w:lang w:val="es-CR"/>
      </w:rPr>
    </w:lvl>
    <w:lvl w:ilvl="1">
      <w:start w:val="5"/>
      <w:numFmt w:val="decimal"/>
      <w:lvlText w:val="%1.%2."/>
      <w:lvlJc w:val="left"/>
      <w:pPr>
        <w:ind w:left="1146" w:hanging="720"/>
      </w:pPr>
      <w:rPr>
        <w:rFonts w:hint="default"/>
        <w:b w:val="0"/>
      </w:rPr>
    </w:lvl>
    <w:lvl w:ilvl="2">
      <w:start w:val="1"/>
      <w:numFmt w:val="decimal"/>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3996" w:hanging="144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39" w15:restartNumberingAfterBreak="0">
    <w:nsid w:val="66285C1E"/>
    <w:multiLevelType w:val="hybridMultilevel"/>
    <w:tmpl w:val="AA60A9E4"/>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0" w15:restartNumberingAfterBreak="0">
    <w:nsid w:val="681549EE"/>
    <w:multiLevelType w:val="hybridMultilevel"/>
    <w:tmpl w:val="BD06165E"/>
    <w:lvl w:ilvl="0" w:tplc="38C89DBE">
      <w:start w:val="1"/>
      <w:numFmt w:val="bullet"/>
      <w:lvlText w:val=""/>
      <w:lvlJc w:val="left"/>
      <w:pPr>
        <w:ind w:left="980" w:hanging="360"/>
      </w:pPr>
      <w:rPr>
        <w:rFonts w:ascii="Symbol" w:hAnsi="Symbol" w:hint="default"/>
      </w:rPr>
    </w:lvl>
    <w:lvl w:ilvl="1" w:tplc="140A0019">
      <w:start w:val="1"/>
      <w:numFmt w:val="bullet"/>
      <w:lvlText w:val="o"/>
      <w:lvlJc w:val="left"/>
      <w:pPr>
        <w:ind w:left="1700" w:hanging="360"/>
      </w:pPr>
      <w:rPr>
        <w:rFonts w:ascii="Courier New" w:hAnsi="Courier New" w:cs="Courier New" w:hint="default"/>
      </w:rPr>
    </w:lvl>
    <w:lvl w:ilvl="2" w:tplc="140A001B" w:tentative="1">
      <w:start w:val="1"/>
      <w:numFmt w:val="bullet"/>
      <w:lvlText w:val=""/>
      <w:lvlJc w:val="left"/>
      <w:pPr>
        <w:ind w:left="2420" w:hanging="360"/>
      </w:pPr>
      <w:rPr>
        <w:rFonts w:ascii="Wingdings" w:hAnsi="Wingdings" w:hint="default"/>
      </w:rPr>
    </w:lvl>
    <w:lvl w:ilvl="3" w:tplc="140A000F" w:tentative="1">
      <w:start w:val="1"/>
      <w:numFmt w:val="bullet"/>
      <w:lvlText w:val=""/>
      <w:lvlJc w:val="left"/>
      <w:pPr>
        <w:ind w:left="3140" w:hanging="360"/>
      </w:pPr>
      <w:rPr>
        <w:rFonts w:ascii="Symbol" w:hAnsi="Symbol" w:hint="default"/>
      </w:rPr>
    </w:lvl>
    <w:lvl w:ilvl="4" w:tplc="140A0019" w:tentative="1">
      <w:start w:val="1"/>
      <w:numFmt w:val="bullet"/>
      <w:lvlText w:val="o"/>
      <w:lvlJc w:val="left"/>
      <w:pPr>
        <w:ind w:left="3860" w:hanging="360"/>
      </w:pPr>
      <w:rPr>
        <w:rFonts w:ascii="Courier New" w:hAnsi="Courier New" w:cs="Courier New" w:hint="default"/>
      </w:rPr>
    </w:lvl>
    <w:lvl w:ilvl="5" w:tplc="140A001B" w:tentative="1">
      <w:start w:val="1"/>
      <w:numFmt w:val="bullet"/>
      <w:lvlText w:val=""/>
      <w:lvlJc w:val="left"/>
      <w:pPr>
        <w:ind w:left="4580" w:hanging="360"/>
      </w:pPr>
      <w:rPr>
        <w:rFonts w:ascii="Wingdings" w:hAnsi="Wingdings" w:hint="default"/>
      </w:rPr>
    </w:lvl>
    <w:lvl w:ilvl="6" w:tplc="140A000F" w:tentative="1">
      <w:start w:val="1"/>
      <w:numFmt w:val="bullet"/>
      <w:lvlText w:val=""/>
      <w:lvlJc w:val="left"/>
      <w:pPr>
        <w:ind w:left="5300" w:hanging="360"/>
      </w:pPr>
      <w:rPr>
        <w:rFonts w:ascii="Symbol" w:hAnsi="Symbol" w:hint="default"/>
      </w:rPr>
    </w:lvl>
    <w:lvl w:ilvl="7" w:tplc="140A0019" w:tentative="1">
      <w:start w:val="1"/>
      <w:numFmt w:val="bullet"/>
      <w:lvlText w:val="o"/>
      <w:lvlJc w:val="left"/>
      <w:pPr>
        <w:ind w:left="6020" w:hanging="360"/>
      </w:pPr>
      <w:rPr>
        <w:rFonts w:ascii="Courier New" w:hAnsi="Courier New" w:cs="Courier New" w:hint="default"/>
      </w:rPr>
    </w:lvl>
    <w:lvl w:ilvl="8" w:tplc="140A001B" w:tentative="1">
      <w:start w:val="1"/>
      <w:numFmt w:val="bullet"/>
      <w:lvlText w:val=""/>
      <w:lvlJc w:val="left"/>
      <w:pPr>
        <w:ind w:left="6740" w:hanging="360"/>
      </w:pPr>
      <w:rPr>
        <w:rFonts w:ascii="Wingdings" w:hAnsi="Wingdings" w:hint="default"/>
      </w:rPr>
    </w:lvl>
  </w:abstractNum>
  <w:abstractNum w:abstractNumId="41" w15:restartNumberingAfterBreak="0">
    <w:nsid w:val="69646004"/>
    <w:multiLevelType w:val="hybridMultilevel"/>
    <w:tmpl w:val="16EA6A02"/>
    <w:lvl w:ilvl="0" w:tplc="9C5A9896">
      <w:start w:val="10"/>
      <w:numFmt w:val="decimal"/>
      <w:lvlText w:val="%1."/>
      <w:lvlJc w:val="left"/>
      <w:pPr>
        <w:ind w:left="900" w:hanging="360"/>
      </w:pPr>
      <w:rPr>
        <w:rFonts w:hint="default"/>
        <w:b/>
        <w:color w:val="000000"/>
      </w:rPr>
    </w:lvl>
    <w:lvl w:ilvl="1" w:tplc="140A0003" w:tentative="1">
      <w:start w:val="1"/>
      <w:numFmt w:val="lowerLetter"/>
      <w:lvlText w:val="%2."/>
      <w:lvlJc w:val="left"/>
      <w:pPr>
        <w:ind w:left="1620" w:hanging="360"/>
      </w:pPr>
    </w:lvl>
    <w:lvl w:ilvl="2" w:tplc="140A0005" w:tentative="1">
      <w:start w:val="1"/>
      <w:numFmt w:val="lowerRoman"/>
      <w:lvlText w:val="%3."/>
      <w:lvlJc w:val="right"/>
      <w:pPr>
        <w:ind w:left="2340" w:hanging="180"/>
      </w:pPr>
    </w:lvl>
    <w:lvl w:ilvl="3" w:tplc="140A0001" w:tentative="1">
      <w:start w:val="1"/>
      <w:numFmt w:val="decimal"/>
      <w:lvlText w:val="%4."/>
      <w:lvlJc w:val="left"/>
      <w:pPr>
        <w:ind w:left="3060" w:hanging="360"/>
      </w:pPr>
    </w:lvl>
    <w:lvl w:ilvl="4" w:tplc="140A0003" w:tentative="1">
      <w:start w:val="1"/>
      <w:numFmt w:val="lowerLetter"/>
      <w:lvlText w:val="%5."/>
      <w:lvlJc w:val="left"/>
      <w:pPr>
        <w:ind w:left="3780" w:hanging="360"/>
      </w:pPr>
    </w:lvl>
    <w:lvl w:ilvl="5" w:tplc="140A0005" w:tentative="1">
      <w:start w:val="1"/>
      <w:numFmt w:val="lowerRoman"/>
      <w:lvlText w:val="%6."/>
      <w:lvlJc w:val="right"/>
      <w:pPr>
        <w:ind w:left="4500" w:hanging="180"/>
      </w:pPr>
    </w:lvl>
    <w:lvl w:ilvl="6" w:tplc="140A0001" w:tentative="1">
      <w:start w:val="1"/>
      <w:numFmt w:val="decimal"/>
      <w:lvlText w:val="%7."/>
      <w:lvlJc w:val="left"/>
      <w:pPr>
        <w:ind w:left="5220" w:hanging="360"/>
      </w:pPr>
    </w:lvl>
    <w:lvl w:ilvl="7" w:tplc="140A0003" w:tentative="1">
      <w:start w:val="1"/>
      <w:numFmt w:val="lowerLetter"/>
      <w:lvlText w:val="%8."/>
      <w:lvlJc w:val="left"/>
      <w:pPr>
        <w:ind w:left="5940" w:hanging="360"/>
      </w:pPr>
    </w:lvl>
    <w:lvl w:ilvl="8" w:tplc="140A0005" w:tentative="1">
      <w:start w:val="1"/>
      <w:numFmt w:val="lowerRoman"/>
      <w:lvlText w:val="%9."/>
      <w:lvlJc w:val="right"/>
      <w:pPr>
        <w:ind w:left="6660" w:hanging="180"/>
      </w:pPr>
    </w:lvl>
  </w:abstractNum>
  <w:abstractNum w:abstractNumId="42" w15:restartNumberingAfterBreak="0">
    <w:nsid w:val="6D1A5B3C"/>
    <w:multiLevelType w:val="hybridMultilevel"/>
    <w:tmpl w:val="0B6A6336"/>
    <w:lvl w:ilvl="0" w:tplc="8C065804">
      <w:start w:val="1"/>
      <w:numFmt w:val="lowerLetter"/>
      <w:lvlText w:val="%1)"/>
      <w:lvlJc w:val="left"/>
      <w:pPr>
        <w:tabs>
          <w:tab w:val="num" w:pos="770"/>
        </w:tabs>
        <w:ind w:left="770" w:hanging="360"/>
      </w:pPr>
      <w:rPr>
        <w:rFonts w:hint="default"/>
      </w:rPr>
    </w:lvl>
    <w:lvl w:ilvl="1" w:tplc="140A0019" w:tentative="1">
      <w:start w:val="1"/>
      <w:numFmt w:val="bullet"/>
      <w:lvlText w:val="o"/>
      <w:lvlJc w:val="left"/>
      <w:pPr>
        <w:tabs>
          <w:tab w:val="num" w:pos="1490"/>
        </w:tabs>
        <w:ind w:left="1490" w:hanging="360"/>
      </w:pPr>
      <w:rPr>
        <w:rFonts w:ascii="Courier New" w:hAnsi="Courier New" w:cs="Courier New" w:hint="default"/>
      </w:rPr>
    </w:lvl>
    <w:lvl w:ilvl="2" w:tplc="140A001B" w:tentative="1">
      <w:start w:val="1"/>
      <w:numFmt w:val="bullet"/>
      <w:lvlText w:val=""/>
      <w:lvlJc w:val="left"/>
      <w:pPr>
        <w:tabs>
          <w:tab w:val="num" w:pos="2210"/>
        </w:tabs>
        <w:ind w:left="2210" w:hanging="360"/>
      </w:pPr>
      <w:rPr>
        <w:rFonts w:ascii="Wingdings" w:hAnsi="Wingdings" w:hint="default"/>
      </w:rPr>
    </w:lvl>
    <w:lvl w:ilvl="3" w:tplc="140A000F" w:tentative="1">
      <w:start w:val="1"/>
      <w:numFmt w:val="bullet"/>
      <w:lvlText w:val=""/>
      <w:lvlJc w:val="left"/>
      <w:pPr>
        <w:tabs>
          <w:tab w:val="num" w:pos="2930"/>
        </w:tabs>
        <w:ind w:left="2930" w:hanging="360"/>
      </w:pPr>
      <w:rPr>
        <w:rFonts w:ascii="Symbol" w:hAnsi="Symbol" w:hint="default"/>
      </w:rPr>
    </w:lvl>
    <w:lvl w:ilvl="4" w:tplc="140A0019" w:tentative="1">
      <w:start w:val="1"/>
      <w:numFmt w:val="bullet"/>
      <w:lvlText w:val="o"/>
      <w:lvlJc w:val="left"/>
      <w:pPr>
        <w:tabs>
          <w:tab w:val="num" w:pos="3650"/>
        </w:tabs>
        <w:ind w:left="3650" w:hanging="360"/>
      </w:pPr>
      <w:rPr>
        <w:rFonts w:ascii="Courier New" w:hAnsi="Courier New" w:cs="Courier New" w:hint="default"/>
      </w:rPr>
    </w:lvl>
    <w:lvl w:ilvl="5" w:tplc="140A001B" w:tentative="1">
      <w:start w:val="1"/>
      <w:numFmt w:val="bullet"/>
      <w:lvlText w:val=""/>
      <w:lvlJc w:val="left"/>
      <w:pPr>
        <w:tabs>
          <w:tab w:val="num" w:pos="4370"/>
        </w:tabs>
        <w:ind w:left="4370" w:hanging="360"/>
      </w:pPr>
      <w:rPr>
        <w:rFonts w:ascii="Wingdings" w:hAnsi="Wingdings" w:hint="default"/>
      </w:rPr>
    </w:lvl>
    <w:lvl w:ilvl="6" w:tplc="140A000F" w:tentative="1">
      <w:start w:val="1"/>
      <w:numFmt w:val="bullet"/>
      <w:lvlText w:val=""/>
      <w:lvlJc w:val="left"/>
      <w:pPr>
        <w:tabs>
          <w:tab w:val="num" w:pos="5090"/>
        </w:tabs>
        <w:ind w:left="5090" w:hanging="360"/>
      </w:pPr>
      <w:rPr>
        <w:rFonts w:ascii="Symbol" w:hAnsi="Symbol" w:hint="default"/>
      </w:rPr>
    </w:lvl>
    <w:lvl w:ilvl="7" w:tplc="140A0019" w:tentative="1">
      <w:start w:val="1"/>
      <w:numFmt w:val="bullet"/>
      <w:lvlText w:val="o"/>
      <w:lvlJc w:val="left"/>
      <w:pPr>
        <w:tabs>
          <w:tab w:val="num" w:pos="5810"/>
        </w:tabs>
        <w:ind w:left="5810" w:hanging="360"/>
      </w:pPr>
      <w:rPr>
        <w:rFonts w:ascii="Courier New" w:hAnsi="Courier New" w:cs="Courier New" w:hint="default"/>
      </w:rPr>
    </w:lvl>
    <w:lvl w:ilvl="8" w:tplc="140A001B" w:tentative="1">
      <w:start w:val="1"/>
      <w:numFmt w:val="bullet"/>
      <w:lvlText w:val=""/>
      <w:lvlJc w:val="left"/>
      <w:pPr>
        <w:tabs>
          <w:tab w:val="num" w:pos="6530"/>
        </w:tabs>
        <w:ind w:left="6530" w:hanging="360"/>
      </w:pPr>
      <w:rPr>
        <w:rFonts w:ascii="Wingdings" w:hAnsi="Wingdings" w:hint="default"/>
      </w:rPr>
    </w:lvl>
  </w:abstractNum>
  <w:abstractNum w:abstractNumId="43" w15:restartNumberingAfterBreak="0">
    <w:nsid w:val="6E4655D3"/>
    <w:multiLevelType w:val="hybridMultilevel"/>
    <w:tmpl w:val="AA60A9E4"/>
    <w:lvl w:ilvl="0" w:tplc="2FE825FA">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4" w15:restartNumberingAfterBreak="0">
    <w:nsid w:val="71841379"/>
    <w:multiLevelType w:val="multilevel"/>
    <w:tmpl w:val="6B6A29C8"/>
    <w:lvl w:ilvl="0">
      <w:start w:val="1"/>
      <w:numFmt w:val="bullet"/>
      <w:lvlText w:val=""/>
      <w:lvlJc w:val="left"/>
      <w:pPr>
        <w:tabs>
          <w:tab w:val="num" w:pos="720"/>
        </w:tabs>
        <w:ind w:left="720" w:hanging="360"/>
      </w:pPr>
      <w:rPr>
        <w:rFonts w:ascii="Symbol" w:hAnsi="Symbol" w:cs="Symbol" w:hint="default"/>
        <w:sz w:val="22"/>
      </w:rPr>
    </w:lvl>
    <w:lvl w:ilvl="1">
      <w:start w:val="1"/>
      <w:numFmt w:val="bullet"/>
      <w:lvlText w:val=""/>
      <w:lvlJc w:val="left"/>
      <w:pPr>
        <w:tabs>
          <w:tab w:val="num" w:pos="1440"/>
        </w:tabs>
        <w:ind w:left="1440" w:hanging="360"/>
      </w:pPr>
      <w:rPr>
        <w:rFonts w:ascii="Symbol" w:hAnsi="Symbol" w:cs="Symbol" w:hint="default"/>
        <w:sz w:val="20"/>
      </w:rPr>
    </w:lvl>
    <w:lvl w:ilvl="2">
      <w:start w:val="1"/>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Symbol" w:hAnsi="Symbol" w:cs="Symbol" w:hint="default"/>
        <w:sz w:val="20"/>
      </w:rPr>
    </w:lvl>
    <w:lvl w:ilvl="4">
      <w:start w:val="1"/>
      <w:numFmt w:val="bullet"/>
      <w:lvlText w:val=""/>
      <w:lvlJc w:val="left"/>
      <w:pPr>
        <w:tabs>
          <w:tab w:val="num" w:pos="3600"/>
        </w:tabs>
        <w:ind w:left="3600" w:hanging="360"/>
      </w:pPr>
      <w:rPr>
        <w:rFonts w:ascii="Symbol" w:hAnsi="Symbol" w:cs="Symbol" w:hint="default"/>
        <w:sz w:val="20"/>
      </w:rPr>
    </w:lvl>
    <w:lvl w:ilvl="5">
      <w:start w:val="1"/>
      <w:numFmt w:val="bullet"/>
      <w:lvlText w:val=""/>
      <w:lvlJc w:val="left"/>
      <w:pPr>
        <w:tabs>
          <w:tab w:val="num" w:pos="4320"/>
        </w:tabs>
        <w:ind w:left="4320" w:hanging="360"/>
      </w:pPr>
      <w:rPr>
        <w:rFonts w:ascii="Symbol" w:hAnsi="Symbol" w:cs="Symbol" w:hint="default"/>
        <w:sz w:val="20"/>
      </w:rPr>
    </w:lvl>
    <w:lvl w:ilvl="6">
      <w:start w:val="1"/>
      <w:numFmt w:val="bullet"/>
      <w:lvlText w:val=""/>
      <w:lvlJc w:val="left"/>
      <w:pPr>
        <w:tabs>
          <w:tab w:val="num" w:pos="5040"/>
        </w:tabs>
        <w:ind w:left="5040" w:hanging="360"/>
      </w:pPr>
      <w:rPr>
        <w:rFonts w:ascii="Symbol" w:hAnsi="Symbol" w:cs="Symbol" w:hint="default"/>
        <w:sz w:val="20"/>
      </w:rPr>
    </w:lvl>
    <w:lvl w:ilvl="7">
      <w:start w:val="1"/>
      <w:numFmt w:val="bullet"/>
      <w:lvlText w:val=""/>
      <w:lvlJc w:val="left"/>
      <w:pPr>
        <w:tabs>
          <w:tab w:val="num" w:pos="5760"/>
        </w:tabs>
        <w:ind w:left="5760" w:hanging="360"/>
      </w:pPr>
      <w:rPr>
        <w:rFonts w:ascii="Symbol" w:hAnsi="Symbol" w:cs="Symbol" w:hint="default"/>
        <w:sz w:val="20"/>
      </w:rPr>
    </w:lvl>
    <w:lvl w:ilvl="8">
      <w:start w:val="1"/>
      <w:numFmt w:val="bullet"/>
      <w:lvlText w:val=""/>
      <w:lvlJc w:val="left"/>
      <w:pPr>
        <w:tabs>
          <w:tab w:val="num" w:pos="6480"/>
        </w:tabs>
        <w:ind w:left="6480" w:hanging="360"/>
      </w:pPr>
      <w:rPr>
        <w:rFonts w:ascii="Symbol" w:hAnsi="Symbol" w:cs="Symbol" w:hint="default"/>
        <w:sz w:val="20"/>
      </w:rPr>
    </w:lvl>
  </w:abstractNum>
  <w:abstractNum w:abstractNumId="45" w15:restartNumberingAfterBreak="0">
    <w:nsid w:val="72336247"/>
    <w:multiLevelType w:val="hybridMultilevel"/>
    <w:tmpl w:val="F4700E12"/>
    <w:lvl w:ilvl="0" w:tplc="53D461A4">
      <w:start w:val="10"/>
      <w:numFmt w:val="decimal"/>
      <w:lvlText w:val="%1."/>
      <w:lvlJc w:val="left"/>
      <w:pPr>
        <w:ind w:left="900" w:hanging="360"/>
      </w:pPr>
      <w:rPr>
        <w:rFonts w:hint="default"/>
        <w:b/>
        <w:color w:val="000000"/>
      </w:rPr>
    </w:lvl>
    <w:lvl w:ilvl="1" w:tplc="0C0A0003" w:tentative="1">
      <w:start w:val="1"/>
      <w:numFmt w:val="lowerLetter"/>
      <w:lvlText w:val="%2."/>
      <w:lvlJc w:val="left"/>
      <w:pPr>
        <w:ind w:left="1620" w:hanging="360"/>
      </w:pPr>
    </w:lvl>
    <w:lvl w:ilvl="2" w:tplc="0C0A0005" w:tentative="1">
      <w:start w:val="1"/>
      <w:numFmt w:val="lowerRoman"/>
      <w:lvlText w:val="%3."/>
      <w:lvlJc w:val="right"/>
      <w:pPr>
        <w:ind w:left="2340" w:hanging="180"/>
      </w:pPr>
    </w:lvl>
    <w:lvl w:ilvl="3" w:tplc="0C0A0001" w:tentative="1">
      <w:start w:val="1"/>
      <w:numFmt w:val="decimal"/>
      <w:lvlText w:val="%4."/>
      <w:lvlJc w:val="left"/>
      <w:pPr>
        <w:ind w:left="3060" w:hanging="360"/>
      </w:pPr>
    </w:lvl>
    <w:lvl w:ilvl="4" w:tplc="0C0A0003" w:tentative="1">
      <w:start w:val="1"/>
      <w:numFmt w:val="lowerLetter"/>
      <w:lvlText w:val="%5."/>
      <w:lvlJc w:val="left"/>
      <w:pPr>
        <w:ind w:left="3780" w:hanging="360"/>
      </w:pPr>
    </w:lvl>
    <w:lvl w:ilvl="5" w:tplc="0C0A0005" w:tentative="1">
      <w:start w:val="1"/>
      <w:numFmt w:val="lowerRoman"/>
      <w:lvlText w:val="%6."/>
      <w:lvlJc w:val="right"/>
      <w:pPr>
        <w:ind w:left="4500" w:hanging="180"/>
      </w:pPr>
    </w:lvl>
    <w:lvl w:ilvl="6" w:tplc="0C0A0001" w:tentative="1">
      <w:start w:val="1"/>
      <w:numFmt w:val="decimal"/>
      <w:lvlText w:val="%7."/>
      <w:lvlJc w:val="left"/>
      <w:pPr>
        <w:ind w:left="5220" w:hanging="360"/>
      </w:pPr>
    </w:lvl>
    <w:lvl w:ilvl="7" w:tplc="0C0A0003" w:tentative="1">
      <w:start w:val="1"/>
      <w:numFmt w:val="lowerLetter"/>
      <w:lvlText w:val="%8."/>
      <w:lvlJc w:val="left"/>
      <w:pPr>
        <w:ind w:left="5940" w:hanging="360"/>
      </w:pPr>
    </w:lvl>
    <w:lvl w:ilvl="8" w:tplc="0C0A0005" w:tentative="1">
      <w:start w:val="1"/>
      <w:numFmt w:val="lowerRoman"/>
      <w:lvlText w:val="%9."/>
      <w:lvlJc w:val="right"/>
      <w:pPr>
        <w:ind w:left="6660" w:hanging="180"/>
      </w:pPr>
    </w:lvl>
  </w:abstractNum>
  <w:abstractNum w:abstractNumId="46" w15:restartNumberingAfterBreak="0">
    <w:nsid w:val="7407011D"/>
    <w:multiLevelType w:val="hybridMultilevel"/>
    <w:tmpl w:val="A6C2134A"/>
    <w:lvl w:ilvl="0" w:tplc="E676E3A0">
      <w:start w:val="1"/>
      <w:numFmt w:val="bullet"/>
      <w:lvlText w:val="o"/>
      <w:lvlJc w:val="left"/>
      <w:pPr>
        <w:ind w:left="1068" w:hanging="360"/>
      </w:pPr>
      <w:rPr>
        <w:rFonts w:ascii="Courier New" w:hAnsi="Courier New" w:cs="Courier New" w:hint="default"/>
      </w:rPr>
    </w:lvl>
    <w:lvl w:ilvl="1" w:tplc="140A0019" w:tentative="1">
      <w:start w:val="1"/>
      <w:numFmt w:val="bullet"/>
      <w:lvlText w:val="o"/>
      <w:lvlJc w:val="left"/>
      <w:pPr>
        <w:ind w:left="1788" w:hanging="360"/>
      </w:pPr>
      <w:rPr>
        <w:rFonts w:ascii="Courier New" w:hAnsi="Courier New" w:cs="Courier New" w:hint="default"/>
      </w:rPr>
    </w:lvl>
    <w:lvl w:ilvl="2" w:tplc="140A001B">
      <w:start w:val="1"/>
      <w:numFmt w:val="bullet"/>
      <w:lvlText w:val=""/>
      <w:lvlJc w:val="left"/>
      <w:pPr>
        <w:ind w:left="2508" w:hanging="360"/>
      </w:pPr>
      <w:rPr>
        <w:rFonts w:ascii="Wingdings" w:hAnsi="Wingdings" w:hint="default"/>
      </w:rPr>
    </w:lvl>
    <w:lvl w:ilvl="3" w:tplc="140A000F" w:tentative="1">
      <w:start w:val="1"/>
      <w:numFmt w:val="bullet"/>
      <w:lvlText w:val=""/>
      <w:lvlJc w:val="left"/>
      <w:pPr>
        <w:ind w:left="3228" w:hanging="360"/>
      </w:pPr>
      <w:rPr>
        <w:rFonts w:ascii="Symbol" w:hAnsi="Symbol" w:hint="default"/>
      </w:rPr>
    </w:lvl>
    <w:lvl w:ilvl="4" w:tplc="140A0019" w:tentative="1">
      <w:start w:val="1"/>
      <w:numFmt w:val="bullet"/>
      <w:lvlText w:val="o"/>
      <w:lvlJc w:val="left"/>
      <w:pPr>
        <w:ind w:left="3948" w:hanging="360"/>
      </w:pPr>
      <w:rPr>
        <w:rFonts w:ascii="Courier New" w:hAnsi="Courier New" w:cs="Courier New" w:hint="default"/>
      </w:rPr>
    </w:lvl>
    <w:lvl w:ilvl="5" w:tplc="140A001B" w:tentative="1">
      <w:start w:val="1"/>
      <w:numFmt w:val="bullet"/>
      <w:lvlText w:val=""/>
      <w:lvlJc w:val="left"/>
      <w:pPr>
        <w:ind w:left="4668" w:hanging="360"/>
      </w:pPr>
      <w:rPr>
        <w:rFonts w:ascii="Wingdings" w:hAnsi="Wingdings" w:hint="default"/>
      </w:rPr>
    </w:lvl>
    <w:lvl w:ilvl="6" w:tplc="140A000F" w:tentative="1">
      <w:start w:val="1"/>
      <w:numFmt w:val="bullet"/>
      <w:lvlText w:val=""/>
      <w:lvlJc w:val="left"/>
      <w:pPr>
        <w:ind w:left="5388" w:hanging="360"/>
      </w:pPr>
      <w:rPr>
        <w:rFonts w:ascii="Symbol" w:hAnsi="Symbol" w:hint="default"/>
      </w:rPr>
    </w:lvl>
    <w:lvl w:ilvl="7" w:tplc="140A0019" w:tentative="1">
      <w:start w:val="1"/>
      <w:numFmt w:val="bullet"/>
      <w:lvlText w:val="o"/>
      <w:lvlJc w:val="left"/>
      <w:pPr>
        <w:ind w:left="6108" w:hanging="360"/>
      </w:pPr>
      <w:rPr>
        <w:rFonts w:ascii="Courier New" w:hAnsi="Courier New" w:cs="Courier New" w:hint="default"/>
      </w:rPr>
    </w:lvl>
    <w:lvl w:ilvl="8" w:tplc="140A001B" w:tentative="1">
      <w:start w:val="1"/>
      <w:numFmt w:val="bullet"/>
      <w:lvlText w:val=""/>
      <w:lvlJc w:val="left"/>
      <w:pPr>
        <w:ind w:left="6828" w:hanging="360"/>
      </w:pPr>
      <w:rPr>
        <w:rFonts w:ascii="Wingdings" w:hAnsi="Wingdings" w:hint="default"/>
      </w:rPr>
    </w:lvl>
  </w:abstractNum>
  <w:abstractNum w:abstractNumId="47" w15:restartNumberingAfterBreak="0">
    <w:nsid w:val="75231EB7"/>
    <w:multiLevelType w:val="multilevel"/>
    <w:tmpl w:val="C6983E8C"/>
    <w:lvl w:ilvl="0">
      <w:start w:val="1"/>
      <w:numFmt w:val="upperRoman"/>
      <w:lvlText w:val="%1."/>
      <w:lvlJc w:val="left"/>
      <w:pPr>
        <w:ind w:left="1080" w:hanging="720"/>
      </w:pPr>
      <w:rPr>
        <w:rFonts w:hint="default"/>
        <w:b/>
        <w:color w:val="000000"/>
      </w:rPr>
    </w:lvl>
    <w:lvl w:ilvl="1">
      <w:start w:val="1"/>
      <w:numFmt w:val="decimal"/>
      <w:isLgl/>
      <w:lvlText w:val="%1.%2."/>
      <w:lvlJc w:val="left"/>
      <w:pPr>
        <w:ind w:left="862"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78A35001"/>
    <w:multiLevelType w:val="hybridMultilevel"/>
    <w:tmpl w:val="21D66A0A"/>
    <w:lvl w:ilvl="0" w:tplc="E3BEB2AC">
      <w:start w:val="10"/>
      <w:numFmt w:val="decimal"/>
      <w:lvlText w:val="%1."/>
      <w:lvlJc w:val="left"/>
      <w:pPr>
        <w:ind w:left="900" w:hanging="360"/>
      </w:pPr>
      <w:rPr>
        <w:rFonts w:hint="default"/>
        <w:b/>
        <w:color w:val="000000"/>
      </w:rPr>
    </w:lvl>
    <w:lvl w:ilvl="1" w:tplc="140A0019" w:tentative="1">
      <w:start w:val="1"/>
      <w:numFmt w:val="lowerLetter"/>
      <w:lvlText w:val="%2."/>
      <w:lvlJc w:val="left"/>
      <w:pPr>
        <w:ind w:left="1620" w:hanging="360"/>
      </w:pPr>
    </w:lvl>
    <w:lvl w:ilvl="2" w:tplc="140A001B" w:tentative="1">
      <w:start w:val="1"/>
      <w:numFmt w:val="lowerRoman"/>
      <w:lvlText w:val="%3."/>
      <w:lvlJc w:val="right"/>
      <w:pPr>
        <w:ind w:left="2340" w:hanging="180"/>
      </w:pPr>
    </w:lvl>
    <w:lvl w:ilvl="3" w:tplc="140A000F" w:tentative="1">
      <w:start w:val="1"/>
      <w:numFmt w:val="decimal"/>
      <w:lvlText w:val="%4."/>
      <w:lvlJc w:val="left"/>
      <w:pPr>
        <w:ind w:left="3060" w:hanging="360"/>
      </w:pPr>
    </w:lvl>
    <w:lvl w:ilvl="4" w:tplc="140A0019" w:tentative="1">
      <w:start w:val="1"/>
      <w:numFmt w:val="lowerLetter"/>
      <w:lvlText w:val="%5."/>
      <w:lvlJc w:val="left"/>
      <w:pPr>
        <w:ind w:left="3780" w:hanging="360"/>
      </w:pPr>
    </w:lvl>
    <w:lvl w:ilvl="5" w:tplc="140A001B" w:tentative="1">
      <w:start w:val="1"/>
      <w:numFmt w:val="lowerRoman"/>
      <w:lvlText w:val="%6."/>
      <w:lvlJc w:val="right"/>
      <w:pPr>
        <w:ind w:left="4500" w:hanging="180"/>
      </w:pPr>
    </w:lvl>
    <w:lvl w:ilvl="6" w:tplc="140A000F" w:tentative="1">
      <w:start w:val="1"/>
      <w:numFmt w:val="decimal"/>
      <w:lvlText w:val="%7."/>
      <w:lvlJc w:val="left"/>
      <w:pPr>
        <w:ind w:left="5220" w:hanging="360"/>
      </w:pPr>
    </w:lvl>
    <w:lvl w:ilvl="7" w:tplc="140A0019" w:tentative="1">
      <w:start w:val="1"/>
      <w:numFmt w:val="lowerLetter"/>
      <w:lvlText w:val="%8."/>
      <w:lvlJc w:val="left"/>
      <w:pPr>
        <w:ind w:left="5940" w:hanging="360"/>
      </w:pPr>
    </w:lvl>
    <w:lvl w:ilvl="8" w:tplc="140A001B" w:tentative="1">
      <w:start w:val="1"/>
      <w:numFmt w:val="lowerRoman"/>
      <w:lvlText w:val="%9."/>
      <w:lvlJc w:val="right"/>
      <w:pPr>
        <w:ind w:left="6660" w:hanging="180"/>
      </w:pPr>
    </w:lvl>
  </w:abstractNum>
  <w:abstractNum w:abstractNumId="49" w15:restartNumberingAfterBreak="0">
    <w:nsid w:val="7F025196"/>
    <w:multiLevelType w:val="multilevel"/>
    <w:tmpl w:val="5B00A9DA"/>
    <w:lvl w:ilvl="0">
      <w:start w:val="1"/>
      <w:numFmt w:val="bullet"/>
      <w:lvlText w:val=""/>
      <w:lvlJc w:val="left"/>
      <w:pPr>
        <w:ind w:left="774" w:hanging="360"/>
      </w:pPr>
      <w:rPr>
        <w:rFonts w:ascii="Symbol" w:hAnsi="Symbol" w:cs="Symbol" w:hint="default"/>
        <w:sz w:val="20"/>
      </w:rPr>
    </w:lvl>
    <w:lvl w:ilvl="1">
      <w:start w:val="1"/>
      <w:numFmt w:val="bullet"/>
      <w:lvlText w:val="o"/>
      <w:lvlJc w:val="left"/>
      <w:pPr>
        <w:ind w:left="927" w:hanging="360"/>
      </w:pPr>
      <w:rPr>
        <w:rFonts w:ascii="Courier New" w:hAnsi="Courier New" w:cs="Courier New" w:hint="default"/>
        <w:sz w:val="20"/>
      </w:rPr>
    </w:lvl>
    <w:lvl w:ilvl="2">
      <w:start w:val="1"/>
      <w:numFmt w:val="bullet"/>
      <w:lvlText w:val=""/>
      <w:lvlJc w:val="left"/>
      <w:pPr>
        <w:ind w:left="2214" w:hanging="360"/>
      </w:pPr>
      <w:rPr>
        <w:rFonts w:ascii="Wingdings" w:hAnsi="Wingdings" w:cs="Wingdings" w:hint="default"/>
      </w:rPr>
    </w:lvl>
    <w:lvl w:ilvl="3">
      <w:start w:val="1"/>
      <w:numFmt w:val="bullet"/>
      <w:lvlText w:val=""/>
      <w:lvlJc w:val="left"/>
      <w:pPr>
        <w:ind w:left="2934" w:hanging="360"/>
      </w:pPr>
      <w:rPr>
        <w:rFonts w:ascii="Symbol" w:hAnsi="Symbol" w:cs="Symbol" w:hint="default"/>
      </w:rPr>
    </w:lvl>
    <w:lvl w:ilvl="4">
      <w:start w:val="1"/>
      <w:numFmt w:val="bullet"/>
      <w:lvlText w:val="o"/>
      <w:lvlJc w:val="left"/>
      <w:pPr>
        <w:ind w:left="3654" w:hanging="360"/>
      </w:pPr>
      <w:rPr>
        <w:rFonts w:ascii="Courier New" w:hAnsi="Courier New" w:cs="Courier New" w:hint="default"/>
      </w:rPr>
    </w:lvl>
    <w:lvl w:ilvl="5">
      <w:start w:val="1"/>
      <w:numFmt w:val="bullet"/>
      <w:lvlText w:val=""/>
      <w:lvlJc w:val="left"/>
      <w:pPr>
        <w:ind w:left="4374" w:hanging="360"/>
      </w:pPr>
      <w:rPr>
        <w:rFonts w:ascii="Wingdings" w:hAnsi="Wingdings" w:cs="Wingdings" w:hint="default"/>
      </w:rPr>
    </w:lvl>
    <w:lvl w:ilvl="6">
      <w:start w:val="1"/>
      <w:numFmt w:val="bullet"/>
      <w:lvlText w:val=""/>
      <w:lvlJc w:val="left"/>
      <w:pPr>
        <w:ind w:left="5094" w:hanging="360"/>
      </w:pPr>
      <w:rPr>
        <w:rFonts w:ascii="Symbol" w:hAnsi="Symbol" w:cs="Symbol" w:hint="default"/>
      </w:rPr>
    </w:lvl>
    <w:lvl w:ilvl="7">
      <w:start w:val="1"/>
      <w:numFmt w:val="bullet"/>
      <w:lvlText w:val="o"/>
      <w:lvlJc w:val="left"/>
      <w:pPr>
        <w:ind w:left="5814" w:hanging="360"/>
      </w:pPr>
      <w:rPr>
        <w:rFonts w:ascii="Courier New" w:hAnsi="Courier New" w:cs="Courier New" w:hint="default"/>
      </w:rPr>
    </w:lvl>
    <w:lvl w:ilvl="8">
      <w:start w:val="1"/>
      <w:numFmt w:val="bullet"/>
      <w:lvlText w:val=""/>
      <w:lvlJc w:val="left"/>
      <w:pPr>
        <w:ind w:left="6534" w:hanging="360"/>
      </w:pPr>
      <w:rPr>
        <w:rFonts w:ascii="Wingdings" w:hAnsi="Wingdings" w:cs="Wingdings" w:hint="default"/>
      </w:rPr>
    </w:lvl>
  </w:abstractNum>
  <w:num w:numId="1">
    <w:abstractNumId w:val="27"/>
  </w:num>
  <w:num w:numId="2">
    <w:abstractNumId w:val="25"/>
  </w:num>
  <w:num w:numId="3">
    <w:abstractNumId w:val="31"/>
  </w:num>
  <w:num w:numId="4">
    <w:abstractNumId w:val="40"/>
  </w:num>
  <w:num w:numId="5">
    <w:abstractNumId w:val="1"/>
  </w:num>
  <w:num w:numId="6">
    <w:abstractNumId w:val="2"/>
  </w:num>
  <w:num w:numId="7">
    <w:abstractNumId w:val="3"/>
  </w:num>
  <w:num w:numId="8">
    <w:abstractNumId w:val="4"/>
  </w:num>
  <w:num w:numId="9">
    <w:abstractNumId w:val="5"/>
  </w:num>
  <w:num w:numId="10">
    <w:abstractNumId w:val="6"/>
  </w:num>
  <w:num w:numId="11">
    <w:abstractNumId w:val="7"/>
  </w:num>
  <w:num w:numId="12">
    <w:abstractNumId w:val="8"/>
  </w:num>
  <w:num w:numId="13">
    <w:abstractNumId w:val="9"/>
  </w:num>
  <w:num w:numId="14">
    <w:abstractNumId w:val="10"/>
  </w:num>
  <w:num w:numId="15">
    <w:abstractNumId w:val="11"/>
  </w:num>
  <w:num w:numId="16">
    <w:abstractNumId w:val="12"/>
  </w:num>
  <w:num w:numId="17">
    <w:abstractNumId w:val="13"/>
  </w:num>
  <w:num w:numId="18">
    <w:abstractNumId w:val="14"/>
  </w:num>
  <w:num w:numId="19">
    <w:abstractNumId w:val="15"/>
  </w:num>
  <w:num w:numId="20">
    <w:abstractNumId w:val="42"/>
  </w:num>
  <w:num w:numId="2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2"/>
  </w:num>
  <w:num w:numId="23">
    <w:abstractNumId w:val="16"/>
  </w:num>
  <w:num w:numId="24">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num>
  <w:num w:numId="27">
    <w:abstractNumId w:val="46"/>
  </w:num>
  <w:num w:numId="28">
    <w:abstractNumId w:val="36"/>
  </w:num>
  <w:num w:numId="29">
    <w:abstractNumId w:val="26"/>
  </w:num>
  <w:num w:numId="30">
    <w:abstractNumId w:val="38"/>
  </w:num>
  <w:num w:numId="31">
    <w:abstractNumId w:val="39"/>
  </w:num>
  <w:num w:numId="32">
    <w:abstractNumId w:val="48"/>
  </w:num>
  <w:num w:numId="33">
    <w:abstractNumId w:val="20"/>
  </w:num>
  <w:num w:numId="34">
    <w:abstractNumId w:val="17"/>
  </w:num>
  <w:num w:numId="35">
    <w:abstractNumId w:val="35"/>
  </w:num>
  <w:num w:numId="36">
    <w:abstractNumId w:val="23"/>
  </w:num>
  <w:num w:numId="37">
    <w:abstractNumId w:val="41"/>
  </w:num>
  <w:num w:numId="38">
    <w:abstractNumId w:val="45"/>
  </w:num>
  <w:num w:numId="39">
    <w:abstractNumId w:val="29"/>
  </w:num>
  <w:num w:numId="40">
    <w:abstractNumId w:val="19"/>
  </w:num>
  <w:num w:numId="41">
    <w:abstractNumId w:val="18"/>
  </w:num>
  <w:num w:numId="42">
    <w:abstractNumId w:val="47"/>
  </w:num>
  <w:num w:numId="43">
    <w:abstractNumId w:val="49"/>
  </w:num>
  <w:num w:numId="44">
    <w:abstractNumId w:val="28"/>
  </w:num>
  <w:num w:numId="45">
    <w:abstractNumId w:val="44"/>
  </w:num>
  <w:num w:numId="46">
    <w:abstractNumId w:val="34"/>
  </w:num>
  <w:num w:numId="47">
    <w:abstractNumId w:val="30"/>
  </w:num>
  <w:num w:numId="48">
    <w:abstractNumId w:val="21"/>
  </w:num>
  <w:num w:numId="49">
    <w:abstractNumId w:val="37"/>
  </w:num>
  <w:num w:numId="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41EC"/>
    <w:rsid w:val="00020BDA"/>
    <w:rsid w:val="00082401"/>
    <w:rsid w:val="001341EC"/>
    <w:rsid w:val="00165AA6"/>
    <w:rsid w:val="00167412"/>
    <w:rsid w:val="00174554"/>
    <w:rsid w:val="001D2F22"/>
    <w:rsid w:val="002C467F"/>
    <w:rsid w:val="00320125"/>
    <w:rsid w:val="003638B3"/>
    <w:rsid w:val="004A6752"/>
    <w:rsid w:val="004F0AC6"/>
    <w:rsid w:val="005A5815"/>
    <w:rsid w:val="007661D0"/>
    <w:rsid w:val="0079308B"/>
    <w:rsid w:val="00794FEE"/>
    <w:rsid w:val="007A380D"/>
    <w:rsid w:val="007A4037"/>
    <w:rsid w:val="007B77B3"/>
    <w:rsid w:val="007D236A"/>
    <w:rsid w:val="007E3F21"/>
    <w:rsid w:val="00817898"/>
    <w:rsid w:val="008276B0"/>
    <w:rsid w:val="008472C3"/>
    <w:rsid w:val="00857627"/>
    <w:rsid w:val="008B6263"/>
    <w:rsid w:val="008C0E64"/>
    <w:rsid w:val="008D67EA"/>
    <w:rsid w:val="009471FA"/>
    <w:rsid w:val="00983457"/>
    <w:rsid w:val="009A23D1"/>
    <w:rsid w:val="009B3B20"/>
    <w:rsid w:val="00AE30E4"/>
    <w:rsid w:val="00B52943"/>
    <w:rsid w:val="00BC28F6"/>
    <w:rsid w:val="00BE6EAE"/>
    <w:rsid w:val="00C15504"/>
    <w:rsid w:val="00C15571"/>
    <w:rsid w:val="00D314B4"/>
    <w:rsid w:val="00E422DB"/>
    <w:rsid w:val="00EA2968"/>
    <w:rsid w:val="00F44362"/>
    <w:rsid w:val="00F80EBB"/>
    <w:rsid w:val="00F86032"/>
    <w:rsid w:val="00F94199"/>
    <w:rsid w:val="00FE7CB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BE6832"/>
  <w15:docId w15:val="{0E539BE1-6C63-4880-A427-7B74C831E3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41EC"/>
    <w:pPr>
      <w:spacing w:after="0" w:line="240" w:lineRule="auto"/>
    </w:pPr>
    <w:rPr>
      <w:rFonts w:ascii="Times New Roman" w:eastAsia="Times New Roman" w:hAnsi="Times New Roman" w:cs="Times New Roman"/>
      <w:sz w:val="20"/>
      <w:szCs w:val="20"/>
      <w:lang w:val="es-CR" w:eastAsia="es-ES"/>
    </w:rPr>
  </w:style>
  <w:style w:type="paragraph" w:styleId="Ttulo1">
    <w:name w:val="heading 1"/>
    <w:aliases w:val="Título Principal"/>
    <w:basedOn w:val="Normal"/>
    <w:next w:val="Normal"/>
    <w:link w:val="Ttulo1Car"/>
    <w:uiPriority w:val="9"/>
    <w:qFormat/>
    <w:rsid w:val="001341EC"/>
    <w:pPr>
      <w:keepNext/>
      <w:widowControl w:val="0"/>
      <w:tabs>
        <w:tab w:val="center" w:pos="4680"/>
      </w:tabs>
      <w:autoSpaceDE w:val="0"/>
      <w:autoSpaceDN w:val="0"/>
      <w:outlineLvl w:val="0"/>
    </w:pPr>
    <w:rPr>
      <w:rFonts w:ascii="Arial" w:hAnsi="Arial"/>
      <w:b/>
      <w:bCs/>
      <w:i/>
      <w:iCs/>
      <w:color w:val="000000"/>
      <w:spacing w:val="-3"/>
      <w:sz w:val="24"/>
      <w:szCs w:val="24"/>
      <w:u w:color="000000"/>
    </w:rPr>
  </w:style>
  <w:style w:type="paragraph" w:styleId="Ttulo2">
    <w:name w:val="heading 2"/>
    <w:basedOn w:val="Normal"/>
    <w:next w:val="Normal"/>
    <w:link w:val="Ttulo2Car"/>
    <w:uiPriority w:val="9"/>
    <w:qFormat/>
    <w:rsid w:val="001341EC"/>
    <w:pPr>
      <w:keepNext/>
      <w:widowControl w:val="0"/>
      <w:autoSpaceDE w:val="0"/>
      <w:autoSpaceDN w:val="0"/>
      <w:spacing w:before="240" w:after="60"/>
      <w:outlineLvl w:val="1"/>
    </w:pPr>
    <w:rPr>
      <w:rFonts w:ascii="Arial" w:hAnsi="Arial"/>
      <w:b/>
      <w:bCs/>
      <w:i/>
      <w:iCs/>
      <w:sz w:val="28"/>
      <w:szCs w:val="28"/>
    </w:rPr>
  </w:style>
  <w:style w:type="paragraph" w:styleId="Ttulo3">
    <w:name w:val="heading 3"/>
    <w:basedOn w:val="Normal"/>
    <w:next w:val="Normal"/>
    <w:link w:val="Ttulo3Car"/>
    <w:uiPriority w:val="9"/>
    <w:qFormat/>
    <w:rsid w:val="001341EC"/>
    <w:pPr>
      <w:keepNext/>
      <w:widowControl w:val="0"/>
      <w:autoSpaceDE w:val="0"/>
      <w:autoSpaceDN w:val="0"/>
      <w:adjustRightInd w:val="0"/>
      <w:spacing w:before="240" w:after="60"/>
      <w:outlineLvl w:val="2"/>
    </w:pPr>
    <w:rPr>
      <w:rFonts w:ascii="Arial" w:hAnsi="Arial"/>
      <w:b/>
      <w:bCs/>
      <w:sz w:val="26"/>
      <w:szCs w:val="26"/>
    </w:rPr>
  </w:style>
  <w:style w:type="paragraph" w:styleId="Ttulo4">
    <w:name w:val="heading 4"/>
    <w:basedOn w:val="Normal"/>
    <w:next w:val="Normal"/>
    <w:link w:val="Ttulo4Car"/>
    <w:qFormat/>
    <w:rsid w:val="001341EC"/>
    <w:pPr>
      <w:keepNext/>
      <w:widowControl w:val="0"/>
      <w:autoSpaceDE w:val="0"/>
      <w:autoSpaceDN w:val="0"/>
      <w:adjustRightInd w:val="0"/>
      <w:outlineLvl w:val="3"/>
    </w:pPr>
    <w:rPr>
      <w:rFonts w:ascii="Book Antiqua" w:hAnsi="Book Antiqua"/>
      <w:b/>
      <w:bCs/>
      <w:sz w:val="24"/>
      <w:szCs w:val="24"/>
      <w:u w:color="000000"/>
      <w:lang w:val="es-ES"/>
    </w:rPr>
  </w:style>
  <w:style w:type="paragraph" w:styleId="Ttulo5">
    <w:name w:val="heading 5"/>
    <w:basedOn w:val="Normal"/>
    <w:next w:val="Normal"/>
    <w:link w:val="Ttulo5Car"/>
    <w:qFormat/>
    <w:rsid w:val="001341EC"/>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link w:val="Ttulo6Car"/>
    <w:qFormat/>
    <w:rsid w:val="001341EC"/>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1341EC"/>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qFormat/>
    <w:rsid w:val="001341EC"/>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qFormat/>
    <w:rsid w:val="001341EC"/>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basedOn w:val="Fuentedeprrafopredeter"/>
    <w:link w:val="Ttulo1"/>
    <w:uiPriority w:val="9"/>
    <w:rsid w:val="001341EC"/>
    <w:rPr>
      <w:rFonts w:ascii="Arial" w:eastAsia="Times New Roman" w:hAnsi="Arial" w:cs="Times New Roman"/>
      <w:b/>
      <w:bCs/>
      <w:i/>
      <w:iCs/>
      <w:color w:val="000000"/>
      <w:spacing w:val="-3"/>
      <w:sz w:val="24"/>
      <w:szCs w:val="24"/>
      <w:u w:color="000000"/>
    </w:rPr>
  </w:style>
  <w:style w:type="character" w:customStyle="1" w:styleId="Ttulo2Car">
    <w:name w:val="Título 2 Car"/>
    <w:basedOn w:val="Fuentedeprrafopredeter"/>
    <w:link w:val="Ttulo2"/>
    <w:uiPriority w:val="9"/>
    <w:rsid w:val="001341EC"/>
    <w:rPr>
      <w:rFonts w:ascii="Arial" w:eastAsia="Times New Roman" w:hAnsi="Arial" w:cs="Times New Roman"/>
      <w:b/>
      <w:bCs/>
      <w:i/>
      <w:iCs/>
      <w:sz w:val="28"/>
      <w:szCs w:val="28"/>
    </w:rPr>
  </w:style>
  <w:style w:type="character" w:customStyle="1" w:styleId="Ttulo3Car">
    <w:name w:val="Título 3 Car"/>
    <w:basedOn w:val="Fuentedeprrafopredeter"/>
    <w:link w:val="Ttulo3"/>
    <w:uiPriority w:val="9"/>
    <w:rsid w:val="001341EC"/>
    <w:rPr>
      <w:rFonts w:ascii="Arial" w:eastAsia="Times New Roman" w:hAnsi="Arial" w:cs="Times New Roman"/>
      <w:b/>
      <w:bCs/>
      <w:sz w:val="26"/>
      <w:szCs w:val="26"/>
    </w:rPr>
  </w:style>
  <w:style w:type="character" w:customStyle="1" w:styleId="Ttulo4Car">
    <w:name w:val="Título 4 Car"/>
    <w:basedOn w:val="Fuentedeprrafopredeter"/>
    <w:link w:val="Ttulo4"/>
    <w:rsid w:val="001341EC"/>
    <w:rPr>
      <w:rFonts w:ascii="Book Antiqua" w:eastAsia="Times New Roman" w:hAnsi="Book Antiqua" w:cs="Times New Roman"/>
      <w:b/>
      <w:bCs/>
      <w:sz w:val="24"/>
      <w:szCs w:val="24"/>
      <w:u w:color="000000"/>
      <w:lang w:eastAsia="es-ES"/>
    </w:rPr>
  </w:style>
  <w:style w:type="character" w:customStyle="1" w:styleId="Ttulo5Car">
    <w:name w:val="Título 5 Car"/>
    <w:basedOn w:val="Fuentedeprrafopredeter"/>
    <w:link w:val="Ttulo5"/>
    <w:rsid w:val="001341EC"/>
    <w:rPr>
      <w:rFonts w:ascii="Arial" w:eastAsia="Times New Roman" w:hAnsi="Arial" w:cs="Arial"/>
      <w:b/>
      <w:bCs/>
      <w:i/>
      <w:iCs/>
      <w:color w:val="000000"/>
      <w:sz w:val="24"/>
      <w:szCs w:val="24"/>
      <w:u w:color="000000"/>
      <w:lang w:eastAsia="es-ES"/>
    </w:rPr>
  </w:style>
  <w:style w:type="character" w:customStyle="1" w:styleId="Ttulo6Car">
    <w:name w:val="Título 6 Car"/>
    <w:basedOn w:val="Fuentedeprrafopredeter"/>
    <w:link w:val="Ttulo6"/>
    <w:rsid w:val="001341EC"/>
    <w:rPr>
      <w:rFonts w:ascii="Times New Roman" w:eastAsia="Times New Roman" w:hAnsi="Times New Roman" w:cs="Times New Roman"/>
      <w:b/>
      <w:bCs/>
      <w:lang w:eastAsia="es-ES"/>
    </w:rPr>
  </w:style>
  <w:style w:type="character" w:customStyle="1" w:styleId="Ttulo7Car">
    <w:name w:val="Título 7 Car"/>
    <w:basedOn w:val="Fuentedeprrafopredeter"/>
    <w:link w:val="Ttulo7"/>
    <w:rsid w:val="001341EC"/>
    <w:rPr>
      <w:rFonts w:ascii="Arial" w:eastAsia="Times New Roman" w:hAnsi="Arial" w:cs="Arial"/>
      <w:b/>
      <w:bCs/>
      <w:sz w:val="24"/>
      <w:szCs w:val="24"/>
      <w:u w:val="single"/>
      <w:shd w:val="clear" w:color="auto" w:fill="FFFFFF"/>
      <w:lang w:eastAsia="es-ES"/>
    </w:rPr>
  </w:style>
  <w:style w:type="character" w:customStyle="1" w:styleId="Ttulo8Car">
    <w:name w:val="Título 8 Car"/>
    <w:basedOn w:val="Fuentedeprrafopredeter"/>
    <w:link w:val="Ttulo8"/>
    <w:rsid w:val="001341EC"/>
    <w:rPr>
      <w:rFonts w:ascii="Book Antiqua" w:eastAsia="Times New Roman" w:hAnsi="Book Antiqua" w:cs="Book Antiqua"/>
      <w:sz w:val="24"/>
      <w:szCs w:val="24"/>
      <w:lang w:eastAsia="es-ES"/>
    </w:rPr>
  </w:style>
  <w:style w:type="character" w:customStyle="1" w:styleId="Ttulo9Car">
    <w:name w:val="Título 9 Car"/>
    <w:basedOn w:val="Fuentedeprrafopredeter"/>
    <w:link w:val="Ttulo9"/>
    <w:rsid w:val="001341EC"/>
    <w:rPr>
      <w:rFonts w:ascii="Arial" w:eastAsia="Times New Roman" w:hAnsi="Arial" w:cs="Arial"/>
      <w:b/>
      <w:bCs/>
      <w:sz w:val="18"/>
      <w:szCs w:val="18"/>
      <w:lang w:val="es-ES_tradnl" w:eastAsia="es-ES"/>
    </w:rPr>
  </w:style>
  <w:style w:type="paragraph" w:styleId="Textodeglobo">
    <w:name w:val="Balloon Text"/>
    <w:basedOn w:val="Normal"/>
    <w:link w:val="TextodegloboCar"/>
    <w:uiPriority w:val="99"/>
    <w:semiHidden/>
    <w:rsid w:val="001341EC"/>
    <w:rPr>
      <w:rFonts w:ascii="Tahoma" w:hAnsi="Tahoma"/>
      <w:sz w:val="16"/>
      <w:szCs w:val="16"/>
    </w:rPr>
  </w:style>
  <w:style w:type="character" w:customStyle="1" w:styleId="TextodegloboCar">
    <w:name w:val="Texto de globo Car"/>
    <w:basedOn w:val="Fuentedeprrafopredeter"/>
    <w:link w:val="Textodeglobo"/>
    <w:uiPriority w:val="99"/>
    <w:semiHidden/>
    <w:rsid w:val="001341EC"/>
    <w:rPr>
      <w:rFonts w:ascii="Tahoma" w:eastAsia="Times New Roman" w:hAnsi="Tahoma" w:cs="Times New Roman"/>
      <w:sz w:val="16"/>
      <w:szCs w:val="16"/>
    </w:rPr>
  </w:style>
  <w:style w:type="paragraph" w:styleId="Textoindependiente2">
    <w:name w:val="Body Text 2"/>
    <w:basedOn w:val="Normal"/>
    <w:link w:val="Textoindependiente2Car"/>
    <w:rsid w:val="001341EC"/>
    <w:pPr>
      <w:jc w:val="both"/>
    </w:pPr>
    <w:rPr>
      <w:rFonts w:ascii="Bookman Old Style" w:hAnsi="Bookman Old Style" w:cs="Bookman Old Style"/>
      <w:sz w:val="24"/>
      <w:szCs w:val="24"/>
      <w:lang w:val="es-ES_tradnl"/>
    </w:rPr>
  </w:style>
  <w:style w:type="character" w:customStyle="1" w:styleId="Textoindependiente2Car">
    <w:name w:val="Texto independiente 2 Car"/>
    <w:basedOn w:val="Fuentedeprrafopredeter"/>
    <w:link w:val="Textoindependiente2"/>
    <w:rsid w:val="001341EC"/>
    <w:rPr>
      <w:rFonts w:ascii="Bookman Old Style" w:eastAsia="Times New Roman" w:hAnsi="Bookman Old Style" w:cs="Bookman Old Style"/>
      <w:sz w:val="24"/>
      <w:szCs w:val="24"/>
      <w:lang w:val="es-ES_tradnl" w:eastAsia="es-ES"/>
    </w:rPr>
  </w:style>
  <w:style w:type="character" w:styleId="Hipervnculo">
    <w:name w:val="Hyperlink"/>
    <w:rsid w:val="001341EC"/>
    <w:rPr>
      <w:rFonts w:cs="Times New Roman"/>
      <w:color w:val="0000FF"/>
      <w:u w:val="single"/>
    </w:rPr>
  </w:style>
  <w:style w:type="paragraph" w:customStyle="1" w:styleId="Car">
    <w:name w:val="Car"/>
    <w:basedOn w:val="Normal"/>
    <w:semiHidden/>
    <w:rsid w:val="001341EC"/>
    <w:pPr>
      <w:spacing w:after="160" w:line="240" w:lineRule="exact"/>
    </w:pPr>
    <w:rPr>
      <w:rFonts w:ascii="Verdana" w:hAnsi="Verdana" w:cs="Verdana"/>
      <w:lang w:val="en-AU" w:eastAsia="en-US"/>
    </w:rPr>
  </w:style>
  <w:style w:type="paragraph" w:styleId="Encabezado">
    <w:name w:val="header"/>
    <w:aliases w:val="encabezado,h"/>
    <w:basedOn w:val="Normal"/>
    <w:link w:val="EncabezadoCar"/>
    <w:uiPriority w:val="99"/>
    <w:rsid w:val="001341EC"/>
    <w:pPr>
      <w:tabs>
        <w:tab w:val="center" w:pos="4252"/>
        <w:tab w:val="right" w:pos="8504"/>
      </w:tabs>
    </w:pPr>
  </w:style>
  <w:style w:type="character" w:customStyle="1" w:styleId="EncabezadoCar">
    <w:name w:val="Encabezado Car"/>
    <w:aliases w:val="encabezado Car,h Car"/>
    <w:basedOn w:val="Fuentedeprrafopredeter"/>
    <w:link w:val="Encabezado"/>
    <w:uiPriority w:val="99"/>
    <w:rsid w:val="001341EC"/>
    <w:rPr>
      <w:rFonts w:ascii="Times New Roman" w:eastAsia="Times New Roman" w:hAnsi="Times New Roman" w:cs="Times New Roman"/>
      <w:sz w:val="20"/>
      <w:szCs w:val="20"/>
      <w:lang w:val="es-CR" w:eastAsia="es-ES"/>
    </w:rPr>
  </w:style>
  <w:style w:type="paragraph" w:styleId="Piedepgina">
    <w:name w:val="footer"/>
    <w:basedOn w:val="Normal"/>
    <w:link w:val="PiedepginaCar"/>
    <w:uiPriority w:val="99"/>
    <w:rsid w:val="001341EC"/>
    <w:pPr>
      <w:tabs>
        <w:tab w:val="center" w:pos="4252"/>
        <w:tab w:val="right" w:pos="8504"/>
      </w:tabs>
    </w:pPr>
  </w:style>
  <w:style w:type="character" w:customStyle="1" w:styleId="PiedepginaCar">
    <w:name w:val="Pie de página Car"/>
    <w:basedOn w:val="Fuentedeprrafopredeter"/>
    <w:link w:val="Piedepgina"/>
    <w:uiPriority w:val="99"/>
    <w:rsid w:val="001341EC"/>
    <w:rPr>
      <w:rFonts w:ascii="Times New Roman" w:eastAsia="Times New Roman" w:hAnsi="Times New Roman" w:cs="Times New Roman"/>
      <w:sz w:val="20"/>
      <w:szCs w:val="20"/>
      <w:lang w:val="es-CR"/>
    </w:rPr>
  </w:style>
  <w:style w:type="character" w:styleId="Nmerodepgina">
    <w:name w:val="page number"/>
    <w:rsid w:val="001341EC"/>
    <w:rPr>
      <w:rFonts w:cs="Times New Roman"/>
    </w:rPr>
  </w:style>
  <w:style w:type="paragraph" w:styleId="NormalWeb">
    <w:name w:val="Normal (Web)"/>
    <w:basedOn w:val="Normal"/>
    <w:link w:val="NormalWebCar"/>
    <w:uiPriority w:val="99"/>
    <w:qFormat/>
    <w:rsid w:val="001341EC"/>
    <w:pPr>
      <w:widowControl w:val="0"/>
      <w:autoSpaceDE w:val="0"/>
      <w:autoSpaceDN w:val="0"/>
      <w:adjustRightInd w:val="0"/>
    </w:pPr>
    <w:rPr>
      <w:rFonts w:ascii="Arial Unicode MS" w:eastAsia="Arial Unicode MS" w:hAnsi="Arial"/>
      <w:color w:val="000000"/>
      <w:sz w:val="24"/>
      <w:szCs w:val="24"/>
      <w:u w:color="000000"/>
    </w:rPr>
  </w:style>
  <w:style w:type="table" w:styleId="Tablaconcuadrcula">
    <w:name w:val="Table Grid"/>
    <w:basedOn w:val="Tablanormal"/>
    <w:rsid w:val="001341EC"/>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1341EC"/>
    <w:pPr>
      <w:spacing w:after="120"/>
    </w:pPr>
  </w:style>
  <w:style w:type="character" w:customStyle="1" w:styleId="TextoindependienteCar">
    <w:name w:val="Texto independiente Car"/>
    <w:basedOn w:val="Fuentedeprrafopredeter"/>
    <w:link w:val="Textoindependiente"/>
    <w:rsid w:val="001341EC"/>
    <w:rPr>
      <w:rFonts w:ascii="Times New Roman" w:eastAsia="Times New Roman" w:hAnsi="Times New Roman" w:cs="Times New Roman"/>
      <w:sz w:val="20"/>
      <w:szCs w:val="20"/>
      <w:lang w:val="es-CR" w:eastAsia="es-ES"/>
    </w:rPr>
  </w:style>
  <w:style w:type="paragraph" w:styleId="Textonotapie">
    <w:name w:val="footnote text"/>
    <w:basedOn w:val="Normal"/>
    <w:link w:val="TextonotapieCar"/>
    <w:rsid w:val="001341EC"/>
    <w:rPr>
      <w:lang w:val="es-ES"/>
    </w:rPr>
  </w:style>
  <w:style w:type="character" w:customStyle="1" w:styleId="TextonotapieCar">
    <w:name w:val="Texto nota pie Car"/>
    <w:basedOn w:val="Fuentedeprrafopredeter"/>
    <w:link w:val="Textonotapie"/>
    <w:rsid w:val="001341EC"/>
    <w:rPr>
      <w:rFonts w:ascii="Times New Roman" w:eastAsia="Times New Roman" w:hAnsi="Times New Roman" w:cs="Times New Roman"/>
      <w:sz w:val="20"/>
      <w:szCs w:val="20"/>
      <w:lang w:eastAsia="es-ES"/>
    </w:rPr>
  </w:style>
  <w:style w:type="character" w:styleId="Refdenotaalpie">
    <w:name w:val="footnote reference"/>
    <w:rsid w:val="001341EC"/>
    <w:rPr>
      <w:rFonts w:cs="Times New Roman"/>
      <w:vertAlign w:val="superscript"/>
    </w:rPr>
  </w:style>
  <w:style w:type="character" w:styleId="Textoennegrita">
    <w:name w:val="Strong"/>
    <w:uiPriority w:val="22"/>
    <w:qFormat/>
    <w:rsid w:val="001341EC"/>
    <w:rPr>
      <w:rFonts w:cs="Times New Roman"/>
      <w:b/>
      <w:bCs/>
    </w:rPr>
  </w:style>
  <w:style w:type="paragraph" w:customStyle="1" w:styleId="CharChar">
    <w:name w:val="Char Char"/>
    <w:basedOn w:val="Normal"/>
    <w:semiHidden/>
    <w:rsid w:val="001341EC"/>
    <w:pPr>
      <w:spacing w:after="160" w:line="240" w:lineRule="exact"/>
    </w:pPr>
    <w:rPr>
      <w:rFonts w:ascii="Verdana" w:hAnsi="Verdana" w:cs="Verdana"/>
      <w:lang w:val="en-AU" w:eastAsia="en-US"/>
    </w:rPr>
  </w:style>
  <w:style w:type="paragraph" w:customStyle="1" w:styleId="Estilo">
    <w:name w:val="Estilo"/>
    <w:next w:val="Normal"/>
    <w:rsid w:val="001341EC"/>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customStyle="1" w:styleId="Estilo1">
    <w:name w:val="Estilo1"/>
    <w:next w:val="Normal"/>
    <w:rsid w:val="001341EC"/>
    <w:pPr>
      <w:widowControl w:val="0"/>
      <w:autoSpaceDE w:val="0"/>
      <w:autoSpaceDN w:val="0"/>
      <w:adjustRightInd w:val="0"/>
      <w:spacing w:after="0" w:line="240" w:lineRule="auto"/>
    </w:pPr>
    <w:rPr>
      <w:rFonts w:ascii="Arial" w:eastAsia="Times New Roman" w:hAnsi="Arial" w:cs="Arial"/>
      <w:sz w:val="24"/>
      <w:szCs w:val="24"/>
      <w:u w:color="000000"/>
      <w:lang w:eastAsia="es-ES"/>
    </w:rPr>
  </w:style>
  <w:style w:type="paragraph" w:styleId="Textoindependiente3">
    <w:name w:val="Body Text 3"/>
    <w:basedOn w:val="Normal"/>
    <w:link w:val="Textoindependiente3Car"/>
    <w:rsid w:val="001341EC"/>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basedOn w:val="Fuentedeprrafopredeter"/>
    <w:link w:val="Textoindependiente3"/>
    <w:rsid w:val="001341EC"/>
    <w:rPr>
      <w:rFonts w:ascii="Book Antiqua" w:eastAsia="Times New Roman" w:hAnsi="Book Antiqua" w:cs="Book Antiqua"/>
      <w:sz w:val="24"/>
      <w:szCs w:val="24"/>
      <w:lang w:eastAsia="es-ES"/>
    </w:rPr>
  </w:style>
  <w:style w:type="character" w:styleId="Hipervnculovisitado">
    <w:name w:val="FollowedHyperlink"/>
    <w:rsid w:val="001341EC"/>
    <w:rPr>
      <w:rFonts w:cs="Times New Roman"/>
      <w:color w:val="800080"/>
      <w:u w:val="single"/>
    </w:rPr>
  </w:style>
  <w:style w:type="paragraph" w:customStyle="1" w:styleId="Ttulo30">
    <w:name w:val="TÍtulo 3"/>
    <w:next w:val="Normal"/>
    <w:rsid w:val="001341EC"/>
    <w:pPr>
      <w:keepNext/>
      <w:widowControl w:val="0"/>
      <w:autoSpaceDE w:val="0"/>
      <w:autoSpaceDN w:val="0"/>
      <w:adjustRightInd w:val="0"/>
      <w:spacing w:after="0" w:line="240" w:lineRule="auto"/>
      <w:jc w:val="both"/>
    </w:pPr>
    <w:rPr>
      <w:rFonts w:ascii="Arial" w:eastAsia="Times New Roman" w:hAnsi="Arial" w:cs="Arial"/>
      <w:sz w:val="24"/>
      <w:szCs w:val="24"/>
      <w:lang w:eastAsia="es-ES"/>
    </w:rPr>
  </w:style>
  <w:style w:type="paragraph" w:styleId="Sangra2detindependiente">
    <w:name w:val="Body Text Indent 2"/>
    <w:basedOn w:val="Normal"/>
    <w:link w:val="Sangra2detindependienteCar"/>
    <w:rsid w:val="001341EC"/>
    <w:pPr>
      <w:widowControl w:val="0"/>
      <w:autoSpaceDE w:val="0"/>
      <w:autoSpaceDN w:val="0"/>
      <w:adjustRightInd w:val="0"/>
      <w:ind w:left="497"/>
      <w:jc w:val="both"/>
    </w:pPr>
    <w:rPr>
      <w:rFonts w:ascii="Arial" w:hAnsi="Arial" w:cs="Arial"/>
      <w:color w:val="000000"/>
      <w:spacing w:val="-10"/>
      <w:sz w:val="28"/>
      <w:szCs w:val="28"/>
      <w:u w:color="000000"/>
      <w:lang w:val="es-ES"/>
    </w:rPr>
  </w:style>
  <w:style w:type="character" w:customStyle="1" w:styleId="Sangra2detindependienteCar">
    <w:name w:val="Sangría 2 de t. independiente Car"/>
    <w:basedOn w:val="Fuentedeprrafopredeter"/>
    <w:link w:val="Sangra2detindependiente"/>
    <w:rsid w:val="001341EC"/>
    <w:rPr>
      <w:rFonts w:ascii="Arial" w:eastAsia="Times New Roman" w:hAnsi="Arial" w:cs="Arial"/>
      <w:color w:val="000000"/>
      <w:spacing w:val="-10"/>
      <w:sz w:val="28"/>
      <w:szCs w:val="28"/>
      <w:u w:color="000000"/>
      <w:lang w:eastAsia="es-ES"/>
    </w:rPr>
  </w:style>
  <w:style w:type="paragraph" w:styleId="Mapadeldocumento">
    <w:name w:val="Document Map"/>
    <w:basedOn w:val="Normal"/>
    <w:link w:val="MapadeldocumentoCar"/>
    <w:semiHidden/>
    <w:rsid w:val="001341EC"/>
    <w:pPr>
      <w:widowControl w:val="0"/>
      <w:shd w:val="clear" w:color="auto" w:fill="000080"/>
      <w:autoSpaceDE w:val="0"/>
      <w:autoSpaceDN w:val="0"/>
      <w:adjustRightInd w:val="0"/>
    </w:pPr>
    <w:rPr>
      <w:rFonts w:ascii="Tahoma" w:hAnsi="Tahoma" w:cs="Tahoma"/>
      <w:color w:val="000000"/>
      <w:u w:color="000000"/>
      <w:lang w:val="es-ES"/>
    </w:rPr>
  </w:style>
  <w:style w:type="character" w:customStyle="1" w:styleId="MapadeldocumentoCar">
    <w:name w:val="Mapa del documento Car"/>
    <w:basedOn w:val="Fuentedeprrafopredeter"/>
    <w:link w:val="Mapadeldocumento"/>
    <w:semiHidden/>
    <w:rsid w:val="001341EC"/>
    <w:rPr>
      <w:rFonts w:ascii="Tahoma" w:eastAsia="Times New Roman" w:hAnsi="Tahoma" w:cs="Tahoma"/>
      <w:color w:val="000000"/>
      <w:sz w:val="20"/>
      <w:szCs w:val="20"/>
      <w:u w:color="000000"/>
      <w:shd w:val="clear" w:color="auto" w:fill="000080"/>
      <w:lang w:eastAsia="es-ES"/>
    </w:rPr>
  </w:style>
  <w:style w:type="paragraph" w:customStyle="1" w:styleId="H5">
    <w:name w:val="H5"/>
    <w:next w:val="Normal"/>
    <w:rsid w:val="001341EC"/>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eastAsia="es-ES"/>
    </w:rPr>
  </w:style>
  <w:style w:type="paragraph" w:customStyle="1" w:styleId="estilo2">
    <w:name w:val="estilo2"/>
    <w:basedOn w:val="Normal"/>
    <w:rsid w:val="001341EC"/>
    <w:pPr>
      <w:spacing w:before="100" w:beforeAutospacing="1" w:after="100" w:afterAutospacing="1"/>
    </w:pPr>
    <w:rPr>
      <w:rFonts w:ascii="Verdana" w:hAnsi="Verdana" w:cs="Verdana"/>
      <w:sz w:val="24"/>
      <w:szCs w:val="24"/>
      <w:lang w:val="es-ES"/>
    </w:rPr>
  </w:style>
  <w:style w:type="character" w:customStyle="1" w:styleId="estilo51">
    <w:name w:val="estilo51"/>
    <w:rsid w:val="001341EC"/>
    <w:rPr>
      <w:rFonts w:cs="Times New Roman"/>
      <w:b/>
      <w:bCs/>
    </w:rPr>
  </w:style>
  <w:style w:type="character" w:customStyle="1" w:styleId="estilo41">
    <w:name w:val="estilo41"/>
    <w:rsid w:val="001341EC"/>
    <w:rPr>
      <w:rFonts w:cs="Times New Roman"/>
    </w:rPr>
  </w:style>
  <w:style w:type="paragraph" w:styleId="Prrafodelista">
    <w:name w:val="List Paragraph"/>
    <w:basedOn w:val="Normal"/>
    <w:qFormat/>
    <w:rsid w:val="001341EC"/>
    <w:pPr>
      <w:ind w:left="708"/>
    </w:pPr>
    <w:rPr>
      <w:rFonts w:ascii="Arial" w:hAnsi="Arial" w:cs="Arial"/>
      <w:sz w:val="24"/>
      <w:szCs w:val="24"/>
      <w:lang w:val="es-ES"/>
    </w:rPr>
  </w:style>
  <w:style w:type="character" w:styleId="nfasis">
    <w:name w:val="Emphasis"/>
    <w:qFormat/>
    <w:rsid w:val="001341EC"/>
    <w:rPr>
      <w:rFonts w:cs="Times New Roman"/>
      <w:i/>
      <w:iCs/>
    </w:rPr>
  </w:style>
  <w:style w:type="paragraph" w:customStyle="1" w:styleId="Prrafodelista1">
    <w:name w:val="Párrafo de lista1"/>
    <w:basedOn w:val="Normal"/>
    <w:rsid w:val="001341EC"/>
    <w:pPr>
      <w:spacing w:after="200" w:line="276" w:lineRule="auto"/>
      <w:ind w:left="720"/>
    </w:pPr>
    <w:rPr>
      <w:rFonts w:ascii="Calibri" w:hAnsi="Calibri" w:cs="Calibri"/>
      <w:sz w:val="22"/>
      <w:szCs w:val="22"/>
      <w:lang w:eastAsia="en-US"/>
    </w:rPr>
  </w:style>
  <w:style w:type="character" w:customStyle="1" w:styleId="CarCar1">
    <w:name w:val="Car Car1"/>
    <w:semiHidden/>
    <w:locked/>
    <w:rsid w:val="001341EC"/>
    <w:rPr>
      <w:rFonts w:ascii="Calibri" w:hAnsi="Calibri" w:cs="Calibri"/>
      <w:lang w:val="es-CR" w:eastAsia="en-US"/>
    </w:rPr>
  </w:style>
  <w:style w:type="paragraph" w:styleId="Sangradetextonormal">
    <w:name w:val="Body Text Indent"/>
    <w:basedOn w:val="Normal"/>
    <w:link w:val="SangradetextonormalCar"/>
    <w:rsid w:val="001341EC"/>
    <w:pPr>
      <w:widowControl w:val="0"/>
      <w:autoSpaceDE w:val="0"/>
      <w:autoSpaceDN w:val="0"/>
      <w:adjustRightInd w:val="0"/>
      <w:spacing w:after="120"/>
      <w:ind w:left="283"/>
    </w:pPr>
    <w:rPr>
      <w:rFonts w:ascii="Arial" w:hAnsi="Arial" w:cs="Arial"/>
      <w:sz w:val="24"/>
      <w:szCs w:val="24"/>
      <w:lang w:val="es-ES"/>
    </w:rPr>
  </w:style>
  <w:style w:type="character" w:customStyle="1" w:styleId="SangradetextonormalCar">
    <w:name w:val="Sangría de texto normal Car"/>
    <w:basedOn w:val="Fuentedeprrafopredeter"/>
    <w:link w:val="Sangradetextonormal"/>
    <w:rsid w:val="001341EC"/>
    <w:rPr>
      <w:rFonts w:ascii="Arial" w:eastAsia="Times New Roman" w:hAnsi="Arial" w:cs="Arial"/>
      <w:sz w:val="24"/>
      <w:szCs w:val="24"/>
      <w:lang w:eastAsia="es-ES"/>
    </w:rPr>
  </w:style>
  <w:style w:type="character" w:customStyle="1" w:styleId="CarCar2">
    <w:name w:val="Car Car2"/>
    <w:semiHidden/>
    <w:rsid w:val="001341EC"/>
    <w:rPr>
      <w:rFonts w:cs="Times New Roman"/>
      <w:lang w:val="es-ES" w:eastAsia="es-ES"/>
    </w:rPr>
  </w:style>
  <w:style w:type="paragraph" w:customStyle="1" w:styleId="BodyText22">
    <w:name w:val="Body Text 22"/>
    <w:rsid w:val="001341EC"/>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eastAsia="es-ES"/>
    </w:rPr>
  </w:style>
  <w:style w:type="paragraph" w:styleId="Textodebloque">
    <w:name w:val="Block Text"/>
    <w:basedOn w:val="Normal"/>
    <w:rsid w:val="001341EC"/>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1341EC"/>
    <w:pPr>
      <w:spacing w:after="160" w:line="240" w:lineRule="exact"/>
    </w:pPr>
    <w:rPr>
      <w:rFonts w:ascii="Verdana" w:hAnsi="Verdana" w:cs="Verdana"/>
      <w:lang w:val="en-AU" w:eastAsia="en-US"/>
    </w:rPr>
  </w:style>
  <w:style w:type="paragraph" w:styleId="Ttulo">
    <w:name w:val="Title"/>
    <w:basedOn w:val="Normal"/>
    <w:link w:val="TtuloCar"/>
    <w:qFormat/>
    <w:rsid w:val="001341EC"/>
    <w:pPr>
      <w:jc w:val="center"/>
    </w:pPr>
    <w:rPr>
      <w:rFonts w:ascii="Arial" w:hAnsi="Arial"/>
      <w:b/>
      <w:bCs/>
      <w:sz w:val="36"/>
      <w:szCs w:val="36"/>
    </w:rPr>
  </w:style>
  <w:style w:type="character" w:customStyle="1" w:styleId="TtuloCar">
    <w:name w:val="Título Car"/>
    <w:basedOn w:val="Fuentedeprrafopredeter"/>
    <w:link w:val="Ttulo"/>
    <w:rsid w:val="001341EC"/>
    <w:rPr>
      <w:rFonts w:ascii="Arial" w:eastAsia="Times New Roman" w:hAnsi="Arial" w:cs="Times New Roman"/>
      <w:b/>
      <w:bCs/>
      <w:sz w:val="36"/>
      <w:szCs w:val="36"/>
      <w:lang w:val="es-CR" w:eastAsia="es-ES"/>
    </w:rPr>
  </w:style>
  <w:style w:type="paragraph" w:customStyle="1" w:styleId="Prrafodelista2">
    <w:name w:val="Párrafo de lista2"/>
    <w:basedOn w:val="Normal"/>
    <w:qFormat/>
    <w:rsid w:val="001341EC"/>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1341EC"/>
    <w:pPr>
      <w:ind w:left="720"/>
    </w:pPr>
    <w:rPr>
      <w:sz w:val="24"/>
      <w:szCs w:val="24"/>
      <w:lang w:val="es-ES"/>
    </w:rPr>
  </w:style>
  <w:style w:type="paragraph" w:styleId="Sangra3detindependiente">
    <w:name w:val="Body Text Indent 3"/>
    <w:basedOn w:val="Normal"/>
    <w:link w:val="Sangra3detindependienteCar"/>
    <w:rsid w:val="001341EC"/>
    <w:pPr>
      <w:ind w:left="709" w:hanging="709"/>
      <w:jc w:val="both"/>
    </w:pPr>
    <w:rPr>
      <w:rFonts w:ascii="Bookman Old Style" w:hAnsi="Bookman Old Style" w:cs="Bookman Old Style"/>
      <w:sz w:val="24"/>
      <w:szCs w:val="24"/>
      <w:lang w:val="es-ES_tradnl"/>
    </w:rPr>
  </w:style>
  <w:style w:type="character" w:customStyle="1" w:styleId="Sangra3detindependienteCar">
    <w:name w:val="Sangría 3 de t. independiente Car"/>
    <w:basedOn w:val="Fuentedeprrafopredeter"/>
    <w:link w:val="Sangra3detindependiente"/>
    <w:rsid w:val="001341EC"/>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qFormat/>
    <w:rsid w:val="001341EC"/>
    <w:pPr>
      <w:jc w:val="center"/>
    </w:pPr>
    <w:rPr>
      <w:b/>
      <w:bCs/>
      <w:sz w:val="32"/>
      <w:szCs w:val="32"/>
      <w:lang w:val="es-ES"/>
    </w:rPr>
  </w:style>
  <w:style w:type="character" w:customStyle="1" w:styleId="SubttuloCar">
    <w:name w:val="Subtítulo Car"/>
    <w:basedOn w:val="Fuentedeprrafopredeter"/>
    <w:link w:val="Subttulo"/>
    <w:rsid w:val="001341EC"/>
    <w:rPr>
      <w:rFonts w:ascii="Times New Roman" w:eastAsia="Times New Roman" w:hAnsi="Times New Roman" w:cs="Times New Roman"/>
      <w:b/>
      <w:bCs/>
      <w:sz w:val="32"/>
      <w:szCs w:val="32"/>
      <w:lang w:eastAsia="es-ES"/>
    </w:rPr>
  </w:style>
  <w:style w:type="paragraph" w:styleId="Lista">
    <w:name w:val="List"/>
    <w:basedOn w:val="Normal"/>
    <w:rsid w:val="001341EC"/>
    <w:pPr>
      <w:ind w:left="283" w:hanging="283"/>
    </w:pPr>
    <w:rPr>
      <w:sz w:val="28"/>
      <w:szCs w:val="28"/>
      <w:lang w:val="es-ES"/>
    </w:rPr>
  </w:style>
  <w:style w:type="paragraph" w:customStyle="1" w:styleId="Ttulo60">
    <w:name w:val="TÍtulo 6"/>
    <w:basedOn w:val="Normal"/>
    <w:next w:val="Normal"/>
    <w:rsid w:val="001341EC"/>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1341EC"/>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1341EC"/>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1341EC"/>
    <w:pPr>
      <w:widowControl w:val="0"/>
      <w:autoSpaceDE w:val="0"/>
      <w:autoSpaceDN w:val="0"/>
      <w:adjustRightInd w:val="0"/>
      <w:spacing w:line="360" w:lineRule="auto"/>
    </w:pPr>
    <w:rPr>
      <w:sz w:val="28"/>
      <w:szCs w:val="28"/>
      <w:shd w:val="clear" w:color="auto" w:fill="FFFFFF"/>
      <w:lang w:val="es-MX"/>
    </w:rPr>
  </w:style>
  <w:style w:type="paragraph" w:styleId="Descripcin">
    <w:name w:val="caption"/>
    <w:basedOn w:val="Normal"/>
    <w:next w:val="Normal"/>
    <w:uiPriority w:val="35"/>
    <w:qFormat/>
    <w:rsid w:val="001341EC"/>
    <w:pPr>
      <w:widowControl w:val="0"/>
      <w:autoSpaceDE w:val="0"/>
      <w:autoSpaceDN w:val="0"/>
      <w:adjustRightInd w:val="0"/>
    </w:pPr>
    <w:rPr>
      <w:rFonts w:ascii="Arial" w:hAnsi="Arial" w:cs="Arial"/>
      <w:b/>
      <w:bCs/>
      <w:lang w:val="es-ES"/>
    </w:rPr>
  </w:style>
  <w:style w:type="paragraph" w:customStyle="1" w:styleId="xxmsonormal">
    <w:name w:val="x_x_msonormal"/>
    <w:basedOn w:val="Normal"/>
    <w:rsid w:val="001341EC"/>
    <w:rPr>
      <w:rFonts w:ascii="Calibri" w:eastAsia="Calibri" w:hAnsi="Calibri" w:cs="Calibri"/>
      <w:sz w:val="22"/>
      <w:szCs w:val="22"/>
      <w:lang w:eastAsia="es-CR"/>
    </w:rPr>
  </w:style>
  <w:style w:type="paragraph" w:customStyle="1" w:styleId="Pa2">
    <w:name w:val="Pa2"/>
    <w:next w:val="Normal"/>
    <w:uiPriority w:val="99"/>
    <w:rsid w:val="001341EC"/>
    <w:pPr>
      <w:widowControl w:val="0"/>
      <w:autoSpaceDE w:val="0"/>
      <w:autoSpaceDN w:val="0"/>
      <w:adjustRightInd w:val="0"/>
      <w:spacing w:after="0" w:line="221" w:lineRule="atLeast"/>
    </w:pPr>
    <w:rPr>
      <w:rFonts w:ascii="Arial" w:eastAsia="Times New Roman" w:hAnsi="Arial" w:cs="Arial"/>
      <w:sz w:val="24"/>
      <w:szCs w:val="24"/>
      <w:lang w:eastAsia="es-ES"/>
    </w:rPr>
  </w:style>
  <w:style w:type="paragraph" w:customStyle="1" w:styleId="Default">
    <w:name w:val="Default"/>
    <w:rsid w:val="001341EC"/>
    <w:pPr>
      <w:autoSpaceDE w:val="0"/>
      <w:autoSpaceDN w:val="0"/>
      <w:adjustRightInd w:val="0"/>
      <w:spacing w:after="0" w:line="240" w:lineRule="auto"/>
    </w:pPr>
    <w:rPr>
      <w:rFonts w:ascii="Bookman Old Style" w:eastAsia="Calibri" w:hAnsi="Bookman Old Style" w:cs="Bookman Old Style"/>
      <w:color w:val="000000"/>
      <w:sz w:val="24"/>
      <w:szCs w:val="24"/>
      <w:lang w:val="es-CR"/>
    </w:rPr>
  </w:style>
  <w:style w:type="character" w:customStyle="1" w:styleId="NormalWebCar">
    <w:name w:val="Normal (Web) Car"/>
    <w:link w:val="NormalWeb"/>
    <w:uiPriority w:val="99"/>
    <w:locked/>
    <w:rsid w:val="001341EC"/>
    <w:rPr>
      <w:rFonts w:ascii="Arial Unicode MS" w:eastAsia="Arial Unicode MS" w:hAnsi="Arial" w:cs="Times New Roman"/>
      <w:color w:val="000000"/>
      <w:sz w:val="24"/>
      <w:szCs w:val="24"/>
      <w:u w:color="000000"/>
    </w:rPr>
  </w:style>
  <w:style w:type="paragraph" w:customStyle="1" w:styleId="xmsonormal">
    <w:name w:val="x_msonormal"/>
    <w:basedOn w:val="Normal"/>
    <w:rsid w:val="001341EC"/>
    <w:rPr>
      <w:rFonts w:eastAsia="Calibri"/>
      <w:sz w:val="24"/>
      <w:szCs w:val="24"/>
      <w:lang w:eastAsia="es-CR"/>
    </w:rPr>
  </w:style>
  <w:style w:type="character" w:styleId="Refdecomentario">
    <w:name w:val="annotation reference"/>
    <w:uiPriority w:val="99"/>
    <w:unhideWhenUsed/>
    <w:rsid w:val="001341EC"/>
    <w:rPr>
      <w:sz w:val="16"/>
      <w:szCs w:val="16"/>
    </w:rPr>
  </w:style>
  <w:style w:type="paragraph" w:styleId="Textocomentario">
    <w:name w:val="annotation text"/>
    <w:basedOn w:val="Normal"/>
    <w:link w:val="TextocomentarioCar"/>
    <w:uiPriority w:val="99"/>
    <w:unhideWhenUsed/>
    <w:rsid w:val="001341EC"/>
    <w:pPr>
      <w:widowControl w:val="0"/>
      <w:autoSpaceDE w:val="0"/>
      <w:autoSpaceDN w:val="0"/>
      <w:adjustRightInd w:val="0"/>
    </w:pPr>
    <w:rPr>
      <w:rFonts w:ascii="Arial" w:hAnsi="Arial"/>
    </w:rPr>
  </w:style>
  <w:style w:type="character" w:customStyle="1" w:styleId="TextocomentarioCar">
    <w:name w:val="Texto comentario Car"/>
    <w:basedOn w:val="Fuentedeprrafopredeter"/>
    <w:link w:val="Textocomentario"/>
    <w:uiPriority w:val="99"/>
    <w:rsid w:val="001341EC"/>
    <w:rPr>
      <w:rFonts w:ascii="Arial" w:eastAsia="Times New Roman" w:hAnsi="Arial" w:cs="Times New Roman"/>
      <w:sz w:val="20"/>
      <w:szCs w:val="20"/>
    </w:rPr>
  </w:style>
  <w:style w:type="paragraph" w:styleId="Asuntodelcomentario">
    <w:name w:val="annotation subject"/>
    <w:basedOn w:val="Textocomentario"/>
    <w:next w:val="Textocomentario"/>
    <w:link w:val="AsuntodelcomentarioCar"/>
    <w:uiPriority w:val="99"/>
    <w:unhideWhenUsed/>
    <w:rsid w:val="001341EC"/>
    <w:rPr>
      <w:b/>
      <w:bCs/>
    </w:rPr>
  </w:style>
  <w:style w:type="character" w:customStyle="1" w:styleId="AsuntodelcomentarioCar">
    <w:name w:val="Asunto del comentario Car"/>
    <w:basedOn w:val="TextocomentarioCar"/>
    <w:link w:val="Asuntodelcomentario"/>
    <w:uiPriority w:val="99"/>
    <w:rsid w:val="001341EC"/>
    <w:rPr>
      <w:rFonts w:ascii="Arial" w:eastAsia="Times New Roman" w:hAnsi="Arial" w:cs="Times New Roman"/>
      <w:b/>
      <w:bCs/>
      <w:sz w:val="20"/>
      <w:szCs w:val="20"/>
    </w:rPr>
  </w:style>
  <w:style w:type="character" w:customStyle="1" w:styleId="ilfuvd">
    <w:name w:val="ilfuvd"/>
    <w:basedOn w:val="Fuentedeprrafopredeter"/>
    <w:rsid w:val="001341EC"/>
  </w:style>
  <w:style w:type="paragraph" w:styleId="Revisin">
    <w:name w:val="Revision"/>
    <w:hidden/>
    <w:uiPriority w:val="99"/>
    <w:semiHidden/>
    <w:rsid w:val="001341EC"/>
    <w:pPr>
      <w:spacing w:after="0" w:line="240" w:lineRule="auto"/>
    </w:pPr>
    <w:rPr>
      <w:rFonts w:ascii="Arial" w:eastAsia="Times New Roman" w:hAnsi="Arial" w:cs="Arial"/>
      <w:sz w:val="24"/>
      <w:szCs w:val="24"/>
      <w:lang w:eastAsia="es-ES"/>
    </w:rPr>
  </w:style>
  <w:style w:type="paragraph" w:styleId="Sinespaciado">
    <w:name w:val="No Spacing"/>
    <w:uiPriority w:val="1"/>
    <w:qFormat/>
    <w:rsid w:val="001341EC"/>
    <w:pPr>
      <w:widowControl w:val="0"/>
      <w:autoSpaceDE w:val="0"/>
      <w:autoSpaceDN w:val="0"/>
      <w:adjustRightInd w:val="0"/>
      <w:spacing w:after="0" w:line="240" w:lineRule="auto"/>
    </w:pPr>
    <w:rPr>
      <w:rFonts w:ascii="Arial" w:eastAsia="Times New Roman" w:hAnsi="Arial" w:cs="Arial"/>
      <w:sz w:val="24"/>
      <w:szCs w:val="24"/>
      <w:lang w:eastAsia="es-ES"/>
    </w:rPr>
  </w:style>
  <w:style w:type="character" w:customStyle="1" w:styleId="apple-converted-space">
    <w:name w:val="apple-converted-space"/>
    <w:qFormat/>
    <w:rsid w:val="001341EC"/>
  </w:style>
  <w:style w:type="character" w:customStyle="1" w:styleId="EnlacedeInternet">
    <w:name w:val="Enlace de Internet"/>
    <w:uiPriority w:val="99"/>
    <w:semiHidden/>
    <w:unhideWhenUsed/>
    <w:rsid w:val="001341EC"/>
    <w:rPr>
      <w:color w:val="0000FF"/>
      <w:u w:val="single"/>
    </w:rPr>
  </w:style>
  <w:style w:type="character" w:customStyle="1" w:styleId="ninguno">
    <w:name w:val="ninguno"/>
    <w:qFormat/>
    <w:rsid w:val="001341EC"/>
  </w:style>
  <w:style w:type="paragraph" w:customStyle="1" w:styleId="encabezamiento2">
    <w:name w:val="encabezamiento2"/>
    <w:basedOn w:val="Normal"/>
    <w:qFormat/>
    <w:rsid w:val="001341EC"/>
    <w:pPr>
      <w:spacing w:beforeAutospacing="1" w:afterAutospacing="1"/>
    </w:pPr>
    <w:rPr>
      <w:sz w:val="24"/>
      <w:szCs w:val="24"/>
      <w:lang w:eastAsia="es-ES_tradnl"/>
    </w:rPr>
  </w:style>
  <w:style w:type="paragraph" w:customStyle="1" w:styleId="cuerpo">
    <w:name w:val="cuerpo"/>
    <w:basedOn w:val="Normal"/>
    <w:qFormat/>
    <w:rsid w:val="001341EC"/>
    <w:pPr>
      <w:spacing w:beforeAutospacing="1" w:afterAutospacing="1"/>
    </w:pPr>
    <w:rPr>
      <w:sz w:val="24"/>
      <w:szCs w:val="24"/>
      <w:lang w:eastAsia="es-ES_tradnl"/>
    </w:rPr>
  </w:style>
  <w:style w:type="paragraph" w:customStyle="1" w:styleId="formatolibre">
    <w:name w:val="formatolibre"/>
    <w:basedOn w:val="Normal"/>
    <w:qFormat/>
    <w:rsid w:val="001341EC"/>
    <w:pPr>
      <w:spacing w:beforeAutospacing="1" w:afterAutospacing="1"/>
    </w:pPr>
    <w:rPr>
      <w:sz w:val="24"/>
      <w:szCs w:val="24"/>
      <w:lang w:eastAsia="es-ES_tradnl"/>
    </w:rPr>
  </w:style>
  <w:style w:type="paragraph" w:customStyle="1" w:styleId="contenidodelatabla">
    <w:name w:val="contenidodelatabla"/>
    <w:basedOn w:val="Normal"/>
    <w:qFormat/>
    <w:rsid w:val="001341EC"/>
    <w:pPr>
      <w:spacing w:beforeAutospacing="1" w:afterAutospacing="1"/>
    </w:pPr>
    <w:rPr>
      <w:sz w:val="24"/>
      <w:szCs w:val="24"/>
      <w:lang w:eastAsia="es-ES_tradnl"/>
    </w:rPr>
  </w:style>
  <w:style w:type="paragraph" w:styleId="Listaconvietas2">
    <w:name w:val="List Bullet 2"/>
    <w:basedOn w:val="Normal"/>
    <w:rsid w:val="00F94199"/>
    <w:pPr>
      <w:numPr>
        <w:numId w:val="50"/>
      </w:numPr>
      <w:contextualSpacing/>
    </w:pPr>
    <w:rPr>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8.emf"/><Relationship Id="rId42" Type="http://schemas.openxmlformats.org/officeDocument/2006/relationships/package" Target="embeddings/Microsoft_Excel_Worksheet.xls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oleObject" Target="embeddings/oleObject20.bin"/><Relationship Id="rId84" Type="http://schemas.openxmlformats.org/officeDocument/2006/relationships/oleObject" Target="embeddings/oleObject27.bin"/><Relationship Id="rId89" Type="http://schemas.openxmlformats.org/officeDocument/2006/relationships/image" Target="media/image42.emf"/><Relationship Id="rId16" Type="http://schemas.openxmlformats.org/officeDocument/2006/relationships/image" Target="media/image5.emf"/><Relationship Id="rId11" Type="http://schemas.openxmlformats.org/officeDocument/2006/relationships/image" Target="media/image2.emf"/><Relationship Id="rId32" Type="http://schemas.openxmlformats.org/officeDocument/2006/relationships/package" Target="embeddings/Microsoft_Word_Document2.docx"/><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oleObject" Target="embeddings/oleObject18.bin"/><Relationship Id="rId74" Type="http://schemas.openxmlformats.org/officeDocument/2006/relationships/package" Target="embeddings/Microsoft_Word_Document7.docx"/><Relationship Id="rId79" Type="http://schemas.openxmlformats.org/officeDocument/2006/relationships/image" Target="media/image37.emf"/><Relationship Id="rId5" Type="http://schemas.openxmlformats.org/officeDocument/2006/relationships/footnotes" Target="footnotes.xml"/><Relationship Id="rId90" Type="http://schemas.openxmlformats.org/officeDocument/2006/relationships/oleObject" Target="embeddings/oleObject29.bin"/><Relationship Id="rId22" Type="http://schemas.openxmlformats.org/officeDocument/2006/relationships/oleObject" Target="embeddings/oleObject6.bin"/><Relationship Id="rId27" Type="http://schemas.openxmlformats.org/officeDocument/2006/relationships/oleObject" Target="embeddings/oleObject9.bin"/><Relationship Id="rId43" Type="http://schemas.openxmlformats.org/officeDocument/2006/relationships/image" Target="media/image19.emf"/><Relationship Id="rId48" Type="http://schemas.openxmlformats.org/officeDocument/2006/relationships/oleObject" Target="embeddings/oleObject14.bin"/><Relationship Id="rId64" Type="http://schemas.openxmlformats.org/officeDocument/2006/relationships/package" Target="embeddings/Microsoft_Word_Document6.docx"/><Relationship Id="rId69" Type="http://schemas.openxmlformats.org/officeDocument/2006/relationships/image" Target="media/image32.emf"/><Relationship Id="rId8" Type="http://schemas.openxmlformats.org/officeDocument/2006/relationships/footer" Target="footer1.xml"/><Relationship Id="rId51" Type="http://schemas.openxmlformats.org/officeDocument/2006/relationships/image" Target="media/image23.emf"/><Relationship Id="rId72" Type="http://schemas.openxmlformats.org/officeDocument/2006/relationships/oleObject" Target="embeddings/oleObject22.bin"/><Relationship Id="rId80" Type="http://schemas.openxmlformats.org/officeDocument/2006/relationships/oleObject" Target="embeddings/oleObject25.bin"/><Relationship Id="rId85" Type="http://schemas.openxmlformats.org/officeDocument/2006/relationships/image" Target="media/image40.emf"/><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package" Target="embeddings/Microsoft_Word_Document.docx"/><Relationship Id="rId17" Type="http://schemas.openxmlformats.org/officeDocument/2006/relationships/oleObject" Target="embeddings/oleObject4.bin"/><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1.bin"/><Relationship Id="rId46" Type="http://schemas.openxmlformats.org/officeDocument/2006/relationships/oleObject" Target="embeddings/oleObject13.bin"/><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oleObject" Target="embeddings/oleObject5.bin"/><Relationship Id="rId41" Type="http://schemas.openxmlformats.org/officeDocument/2006/relationships/image" Target="media/image18.emf"/><Relationship Id="rId54" Type="http://schemas.openxmlformats.org/officeDocument/2006/relationships/package" Target="embeddings/Microsoft_Word_Document4.docx"/><Relationship Id="rId62" Type="http://schemas.openxmlformats.org/officeDocument/2006/relationships/package" Target="embeddings/Microsoft_Word_Document5.docx"/><Relationship Id="rId70" Type="http://schemas.openxmlformats.org/officeDocument/2006/relationships/oleObject" Target="embeddings/oleObject21.bin"/><Relationship Id="rId75" Type="http://schemas.openxmlformats.org/officeDocument/2006/relationships/image" Target="media/image35.emf"/><Relationship Id="rId83" Type="http://schemas.openxmlformats.org/officeDocument/2006/relationships/image" Target="media/image39.emf"/><Relationship Id="rId88" Type="http://schemas.openxmlformats.org/officeDocument/2006/relationships/package" Target="embeddings/Microsoft_Word_Document8.docx"/><Relationship Id="rId91" Type="http://schemas.openxmlformats.org/officeDocument/2006/relationships/image" Target="media/image43.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emf"/><Relationship Id="rId23" Type="http://schemas.openxmlformats.org/officeDocument/2006/relationships/image" Target="media/image9.emf"/><Relationship Id="rId28" Type="http://schemas.openxmlformats.org/officeDocument/2006/relationships/image" Target="media/image11.emf"/><Relationship Id="rId36" Type="http://schemas.openxmlformats.org/officeDocument/2006/relationships/oleObject" Target="embeddings/oleObject10.bin"/><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footer" Target="footer2.xml"/><Relationship Id="rId31" Type="http://schemas.openxmlformats.org/officeDocument/2006/relationships/image" Target="media/image13.emf"/><Relationship Id="rId44" Type="http://schemas.openxmlformats.org/officeDocument/2006/relationships/package" Target="embeddings/Microsoft_Word_Document3.docx"/><Relationship Id="rId52" Type="http://schemas.openxmlformats.org/officeDocument/2006/relationships/oleObject" Target="embeddings/oleObject16.bin"/><Relationship Id="rId60" Type="http://schemas.openxmlformats.org/officeDocument/2006/relationships/package" Target="embeddings/Microsoft_PowerPoint_Presentation.ppt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oleObject" Target="embeddings/oleObject24.bin"/><Relationship Id="rId81" Type="http://schemas.openxmlformats.org/officeDocument/2006/relationships/image" Target="media/image38.emf"/><Relationship Id="rId86" Type="http://schemas.openxmlformats.org/officeDocument/2006/relationships/oleObject" Target="embeddings/oleObject28.bin"/><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image" Target="media/image3.emf"/><Relationship Id="rId18" Type="http://schemas.openxmlformats.org/officeDocument/2006/relationships/image" Target="media/image6.png"/><Relationship Id="rId39" Type="http://schemas.openxmlformats.org/officeDocument/2006/relationships/image" Target="media/image17.emf"/><Relationship Id="rId34" Type="http://schemas.openxmlformats.org/officeDocument/2006/relationships/oleObject" Target="embeddings/Microsoft_Word_97_-_2003_Document.doc"/><Relationship Id="rId50" Type="http://schemas.openxmlformats.org/officeDocument/2006/relationships/oleObject" Target="embeddings/oleObject15.bin"/><Relationship Id="rId55" Type="http://schemas.openxmlformats.org/officeDocument/2006/relationships/image" Target="media/image25.emf"/><Relationship Id="rId76" Type="http://schemas.openxmlformats.org/officeDocument/2006/relationships/oleObject" Target="embeddings/oleObject23.bin"/><Relationship Id="rId7" Type="http://schemas.openxmlformats.org/officeDocument/2006/relationships/header" Target="header1.xml"/><Relationship Id="rId71" Type="http://schemas.openxmlformats.org/officeDocument/2006/relationships/image" Target="media/image33.emf"/><Relationship Id="rId92" Type="http://schemas.openxmlformats.org/officeDocument/2006/relationships/oleObject" Target="embeddings/oleObject30.bin"/><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oleObject" Target="embeddings/oleObject7.bin"/><Relationship Id="rId40" Type="http://schemas.openxmlformats.org/officeDocument/2006/relationships/oleObject" Target="embeddings/oleObject12.bin"/><Relationship Id="rId45" Type="http://schemas.openxmlformats.org/officeDocument/2006/relationships/image" Target="media/image20.emf"/><Relationship Id="rId66" Type="http://schemas.openxmlformats.org/officeDocument/2006/relationships/oleObject" Target="embeddings/oleObject19.bin"/><Relationship Id="rId87" Type="http://schemas.openxmlformats.org/officeDocument/2006/relationships/image" Target="media/image41.emf"/><Relationship Id="rId61" Type="http://schemas.openxmlformats.org/officeDocument/2006/relationships/image" Target="media/image28.emf"/><Relationship Id="rId82" Type="http://schemas.openxmlformats.org/officeDocument/2006/relationships/oleObject" Target="embeddings/oleObject26.bin"/><Relationship Id="rId19" Type="http://schemas.openxmlformats.org/officeDocument/2006/relationships/image" Target="media/image7.emf"/><Relationship Id="rId14" Type="http://schemas.openxmlformats.org/officeDocument/2006/relationships/oleObject" Target="embeddings/oleObject3.bin"/><Relationship Id="rId30" Type="http://schemas.openxmlformats.org/officeDocument/2006/relationships/package" Target="embeddings/Microsoft_Word_Document1.docx"/><Relationship Id="rId35" Type="http://schemas.openxmlformats.org/officeDocument/2006/relationships/image" Target="media/image15.emf"/><Relationship Id="rId56" Type="http://schemas.openxmlformats.org/officeDocument/2006/relationships/oleObject" Target="embeddings/oleObject17.bin"/><Relationship Id="rId77" Type="http://schemas.openxmlformats.org/officeDocument/2006/relationships/image" Target="media/image36.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133</Pages>
  <Words>46152</Words>
  <Characters>253838</Characters>
  <Application>Microsoft Office Word</Application>
  <DocSecurity>0</DocSecurity>
  <Lines>2115</Lines>
  <Paragraphs>598</Paragraphs>
  <ScaleCrop>false</ScaleCrop>
  <HeadingPairs>
    <vt:vector size="2" baseType="variant">
      <vt:variant>
        <vt:lpstr>Título</vt:lpstr>
      </vt:variant>
      <vt:variant>
        <vt:i4>1</vt:i4>
      </vt:variant>
    </vt:vector>
  </HeadingPairs>
  <TitlesOfParts>
    <vt:vector size="1" baseType="lpstr">
      <vt:lpstr/>
    </vt:vector>
  </TitlesOfParts>
  <Company>PJ</Company>
  <LinksUpToDate>false</LinksUpToDate>
  <CharactersWithSpaces>299392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xbarrientos</dc:creator>
  <cp:lastModifiedBy>Minor Anchia Vargas</cp:lastModifiedBy>
  <cp:revision>2</cp:revision>
  <dcterms:created xsi:type="dcterms:W3CDTF">2021-07-14T20:58:00Z</dcterms:created>
  <dcterms:modified xsi:type="dcterms:W3CDTF">2021-07-14T20:58:00Z</dcterms:modified>
</cp:coreProperties>
</file>