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0AE6" w:rsidRPr="00FE4ED5" w:rsidRDefault="001E303F" w:rsidP="00240AE6">
      <w:pPr>
        <w:widowControl/>
        <w:jc w:val="right"/>
        <w:rPr>
          <w:rFonts w:ascii="Book Antiqua" w:hAnsi="Book Antiqua" w:cs="Book Antiqua"/>
        </w:rPr>
      </w:pPr>
      <w:r>
        <w:rPr>
          <w:rFonts w:ascii="Book Antiqua" w:hAnsi="Book Antiqua" w:cs="Book Antiqua"/>
        </w:rPr>
        <w:t>1338</w:t>
      </w:r>
      <w:r w:rsidR="00240AE6">
        <w:rPr>
          <w:rFonts w:ascii="Book Antiqua" w:hAnsi="Book Antiqua" w:cs="Book Antiqua"/>
        </w:rPr>
        <w:t>-PLA-EV-2020</w:t>
      </w:r>
    </w:p>
    <w:p w:rsidR="00240AE6" w:rsidRDefault="00240AE6" w:rsidP="00240AE6">
      <w:pPr>
        <w:widowControl/>
        <w:jc w:val="right"/>
        <w:rPr>
          <w:rFonts w:ascii="Book Antiqua" w:hAnsi="Book Antiqua" w:cs="Book Antiqua"/>
          <w:lang w:val="es-CR"/>
        </w:rPr>
      </w:pPr>
      <w:r w:rsidRPr="00FE4ED5">
        <w:rPr>
          <w:rFonts w:ascii="Book Antiqua" w:hAnsi="Book Antiqua" w:cs="Book Antiqua"/>
        </w:rPr>
        <w:t xml:space="preserve"> </w:t>
      </w:r>
      <w:r>
        <w:rPr>
          <w:rFonts w:ascii="Book Antiqua" w:hAnsi="Book Antiqua" w:cs="Book Antiqua"/>
          <w:lang w:val="es-CR"/>
        </w:rPr>
        <w:t xml:space="preserve">Ref. SICE: </w:t>
      </w:r>
      <w:r w:rsidR="00C846A0">
        <w:rPr>
          <w:rFonts w:ascii="Book Antiqua" w:hAnsi="Book Antiqua" w:cs="Book Antiqua"/>
          <w:lang w:val="es-CR"/>
        </w:rPr>
        <w:t>1851-2019</w:t>
      </w:r>
    </w:p>
    <w:p w:rsidR="004573F5" w:rsidRDefault="004573F5" w:rsidP="00240AE6">
      <w:pPr>
        <w:widowControl/>
        <w:jc w:val="right"/>
        <w:rPr>
          <w:rFonts w:ascii="Book Antiqua" w:hAnsi="Book Antiqua" w:cs="Book Antiqua"/>
          <w:lang w:val="es-CR"/>
        </w:rPr>
      </w:pPr>
    </w:p>
    <w:p w:rsidR="00B34FF2" w:rsidRDefault="00B34FF2" w:rsidP="00240AE6">
      <w:pPr>
        <w:widowControl/>
        <w:autoSpaceDE/>
        <w:autoSpaceDN/>
        <w:adjustRightInd/>
        <w:rPr>
          <w:rFonts w:ascii="Book Antiqua" w:hAnsi="Book Antiqua"/>
        </w:rPr>
      </w:pPr>
    </w:p>
    <w:p w:rsidR="00B34FF2" w:rsidRDefault="00B34FF2" w:rsidP="00240AE6">
      <w:pPr>
        <w:widowControl/>
        <w:autoSpaceDE/>
        <w:autoSpaceDN/>
        <w:adjustRightInd/>
        <w:rPr>
          <w:rFonts w:ascii="Book Antiqua" w:hAnsi="Book Antiqua"/>
        </w:rPr>
      </w:pPr>
    </w:p>
    <w:p w:rsidR="001E303F" w:rsidRDefault="001E303F" w:rsidP="00240AE6">
      <w:pPr>
        <w:widowControl/>
        <w:autoSpaceDE/>
        <w:autoSpaceDN/>
        <w:adjustRightInd/>
        <w:rPr>
          <w:rFonts w:ascii="Book Antiqua" w:hAnsi="Book Antiqua"/>
        </w:rPr>
      </w:pPr>
      <w:r>
        <w:rPr>
          <w:rFonts w:ascii="Book Antiqua" w:hAnsi="Book Antiqua"/>
        </w:rPr>
        <w:t>28</w:t>
      </w:r>
      <w:r w:rsidR="00852433">
        <w:rPr>
          <w:rFonts w:ascii="Book Antiqua" w:hAnsi="Book Antiqua"/>
        </w:rPr>
        <w:t xml:space="preserve"> </w:t>
      </w:r>
      <w:r w:rsidR="00240AE6">
        <w:rPr>
          <w:rFonts w:ascii="Book Antiqua" w:hAnsi="Book Antiqua"/>
        </w:rPr>
        <w:t xml:space="preserve">de </w:t>
      </w:r>
      <w:r w:rsidR="00B822B4">
        <w:rPr>
          <w:rFonts w:ascii="Book Antiqua" w:hAnsi="Book Antiqua"/>
        </w:rPr>
        <w:t>agosto</w:t>
      </w:r>
      <w:r w:rsidR="001E5C11">
        <w:rPr>
          <w:rFonts w:ascii="Book Antiqua" w:hAnsi="Book Antiqua"/>
        </w:rPr>
        <w:t xml:space="preserve"> de 2020</w:t>
      </w:r>
    </w:p>
    <w:p w:rsidR="004573F5" w:rsidRDefault="004573F5">
      <w:pPr>
        <w:widowControl/>
        <w:autoSpaceDE/>
        <w:autoSpaceDN/>
        <w:adjustRightInd/>
        <w:rPr>
          <w:rFonts w:ascii="Book Antiqua" w:hAnsi="Book Antiqua"/>
        </w:rPr>
      </w:pPr>
    </w:p>
    <w:p w:rsidR="004573F5" w:rsidRDefault="004573F5">
      <w:pPr>
        <w:widowControl/>
        <w:autoSpaceDE/>
        <w:autoSpaceDN/>
        <w:adjustRightInd/>
        <w:rPr>
          <w:rFonts w:ascii="Book Antiqua" w:hAnsi="Book Antiqua"/>
        </w:rPr>
      </w:pPr>
    </w:p>
    <w:p w:rsidR="004573F5" w:rsidRPr="00497441" w:rsidRDefault="004573F5" w:rsidP="004573F5">
      <w:pPr>
        <w:rPr>
          <w:rFonts w:ascii="Book Antiqua" w:hAnsi="Book Antiqua" w:cs="Book Antiqua"/>
          <w:lang w:val="pt-BR"/>
        </w:rPr>
      </w:pPr>
      <w:r w:rsidRPr="00497441">
        <w:rPr>
          <w:rFonts w:ascii="Book Antiqua" w:hAnsi="Book Antiqua" w:cs="Book Antiqua"/>
          <w:lang w:val="pt-BR"/>
        </w:rPr>
        <w:t>Licenciada</w:t>
      </w:r>
    </w:p>
    <w:p w:rsidR="004573F5" w:rsidRPr="00497441" w:rsidRDefault="004573F5" w:rsidP="004573F5">
      <w:pPr>
        <w:rPr>
          <w:rFonts w:ascii="Book Antiqua" w:hAnsi="Book Antiqua" w:cs="Book Antiqua"/>
          <w:lang w:val="pt-BR"/>
        </w:rPr>
      </w:pPr>
      <w:smartTag w:uri="urn:schemas-microsoft-com:office:smarttags" w:element="PersonName">
        <w:r w:rsidRPr="00497441">
          <w:rPr>
            <w:rFonts w:ascii="Book Antiqua" w:hAnsi="Book Antiqua" w:cs="Book Antiqua"/>
            <w:lang w:val="pt-BR"/>
          </w:rPr>
          <w:t>Silvia Navarro Romanini</w:t>
        </w:r>
      </w:smartTag>
      <w:r w:rsidRPr="00497441">
        <w:rPr>
          <w:rFonts w:ascii="Book Antiqua" w:hAnsi="Book Antiqua" w:cs="Book Antiqua"/>
          <w:lang w:val="pt-BR"/>
        </w:rPr>
        <w:t xml:space="preserve"> </w:t>
      </w:r>
    </w:p>
    <w:p w:rsidR="004573F5" w:rsidRPr="00497441" w:rsidRDefault="004573F5" w:rsidP="004573F5">
      <w:pPr>
        <w:rPr>
          <w:rFonts w:ascii="Book Antiqua" w:hAnsi="Book Antiqua" w:cs="Book Antiqua"/>
        </w:rPr>
      </w:pPr>
      <w:r w:rsidRPr="00497441">
        <w:rPr>
          <w:rFonts w:ascii="Book Antiqua" w:hAnsi="Book Antiqua" w:cs="Book Antiqua"/>
        </w:rPr>
        <w:t xml:space="preserve">Secretaría General de </w:t>
      </w:r>
      <w:smartTag w:uri="urn:schemas-microsoft-com:office:smarttags" w:element="PersonName">
        <w:smartTagPr>
          <w:attr w:name="ProductID" w:val="la Corte"/>
        </w:smartTagPr>
        <w:r w:rsidRPr="00497441">
          <w:rPr>
            <w:rFonts w:ascii="Book Antiqua" w:hAnsi="Book Antiqua" w:cs="Book Antiqua"/>
          </w:rPr>
          <w:t>la Corte</w:t>
        </w:r>
      </w:smartTag>
    </w:p>
    <w:p w:rsidR="004573F5" w:rsidRPr="00497441" w:rsidRDefault="004573F5" w:rsidP="004573F5">
      <w:pPr>
        <w:rPr>
          <w:rFonts w:ascii="Book Antiqua" w:hAnsi="Book Antiqua"/>
        </w:rPr>
      </w:pPr>
    </w:p>
    <w:p w:rsidR="004573F5" w:rsidRDefault="004573F5" w:rsidP="004573F5">
      <w:pPr>
        <w:rPr>
          <w:rFonts w:ascii="Book Antiqua" w:hAnsi="Book Antiqua" w:cs="Book Antiqua"/>
          <w:snapToGrid w:val="0"/>
          <w:lang w:val="pt-BR"/>
        </w:rPr>
      </w:pPr>
    </w:p>
    <w:p w:rsidR="00B34FF2" w:rsidRPr="00497441" w:rsidRDefault="00B34FF2" w:rsidP="004573F5">
      <w:pPr>
        <w:rPr>
          <w:rFonts w:ascii="Book Antiqua" w:hAnsi="Book Antiqua" w:cs="Book Antiqua"/>
          <w:snapToGrid w:val="0"/>
          <w:lang w:val="pt-BR"/>
        </w:rPr>
      </w:pPr>
    </w:p>
    <w:p w:rsidR="004573F5" w:rsidRPr="00497441" w:rsidRDefault="004573F5" w:rsidP="004573F5">
      <w:pPr>
        <w:rPr>
          <w:rFonts w:ascii="Book Antiqua" w:hAnsi="Book Antiqua" w:cs="Book Antiqua"/>
          <w:snapToGrid w:val="0"/>
          <w:lang w:val="pt-BR"/>
        </w:rPr>
      </w:pPr>
      <w:r w:rsidRPr="00497441">
        <w:rPr>
          <w:rFonts w:ascii="Book Antiqua" w:hAnsi="Book Antiqua" w:cs="Book Antiqua"/>
          <w:snapToGrid w:val="0"/>
          <w:lang w:val="pt-BR"/>
        </w:rPr>
        <w:t>Estimada señora:</w:t>
      </w:r>
    </w:p>
    <w:p w:rsidR="004573F5" w:rsidRPr="00497441" w:rsidRDefault="004573F5" w:rsidP="004573F5">
      <w:pPr>
        <w:jc w:val="both"/>
        <w:rPr>
          <w:rFonts w:ascii="Book Antiqua" w:hAnsi="Book Antiqua" w:cs="Book Antiqua"/>
          <w:snapToGrid w:val="0"/>
          <w:lang w:val="pt-BR"/>
        </w:rPr>
      </w:pPr>
    </w:p>
    <w:p w:rsidR="004573F5" w:rsidRPr="00497441" w:rsidRDefault="004573F5" w:rsidP="004573F5">
      <w:pPr>
        <w:ind w:firstLine="708"/>
        <w:jc w:val="both"/>
        <w:rPr>
          <w:rFonts w:ascii="Book Antiqua" w:hAnsi="Book Antiqua" w:cs="Book Antiqua"/>
        </w:rPr>
      </w:pPr>
      <w:r w:rsidRPr="00497441">
        <w:rPr>
          <w:rFonts w:ascii="Book Antiqua" w:hAnsi="Book Antiqua" w:cs="Book Antiqua"/>
        </w:rPr>
        <w:t xml:space="preserve">En atención al oficio </w:t>
      </w:r>
      <w:r w:rsidRPr="004573F5">
        <w:rPr>
          <w:rFonts w:ascii="Book Antiqua" w:hAnsi="Book Antiqua"/>
          <w:lang w:val="es-ES_tradnl"/>
        </w:rPr>
        <w:t>12155-19</w:t>
      </w:r>
      <w:r w:rsidRPr="00497441">
        <w:rPr>
          <w:rFonts w:ascii="Book Antiqua" w:hAnsi="Book Antiqua" w:cs="Book Antiqua"/>
        </w:rPr>
        <w:t xml:space="preserve">, donde se transcribe el acuerdo tomado por </w:t>
      </w:r>
      <w:r>
        <w:rPr>
          <w:rFonts w:ascii="Book Antiqua" w:hAnsi="Book Antiqua" w:cs="Book Antiqua"/>
        </w:rPr>
        <w:t>Corte Plena</w:t>
      </w:r>
      <w:r w:rsidRPr="00497441">
        <w:rPr>
          <w:rFonts w:ascii="Book Antiqua" w:hAnsi="Book Antiqua" w:cs="Book Antiqua"/>
        </w:rPr>
        <w:t xml:space="preserve"> en sesión celebrada el </w:t>
      </w:r>
      <w:r>
        <w:rPr>
          <w:rFonts w:ascii="Book Antiqua" w:hAnsi="Book Antiqua" w:cs="Book Antiqua"/>
        </w:rPr>
        <w:t>28 de octubre de 2019</w:t>
      </w:r>
      <w:r w:rsidRPr="00497441">
        <w:rPr>
          <w:rFonts w:ascii="Book Antiqua" w:hAnsi="Book Antiqua" w:cs="Book Antiqua"/>
        </w:rPr>
        <w:t xml:space="preserve">, artículo </w:t>
      </w:r>
      <w:r w:rsidRPr="004573F5">
        <w:rPr>
          <w:rFonts w:ascii="Book Antiqua" w:hAnsi="Book Antiqua" w:cs="Book Antiqua"/>
        </w:rPr>
        <w:t>XI</w:t>
      </w:r>
      <w:r w:rsidRPr="00497441">
        <w:rPr>
          <w:rFonts w:ascii="Book Antiqua" w:hAnsi="Book Antiqua" w:cs="Book Antiqua"/>
        </w:rPr>
        <w:t xml:space="preserve">, le remito el informe suscrito </w:t>
      </w:r>
      <w:r w:rsidR="00376C2C" w:rsidRPr="008C5E65">
        <w:rPr>
          <w:rFonts w:ascii="Book Antiqua" w:hAnsi="Book Antiqua" w:cs="Book Antiqua"/>
        </w:rPr>
        <w:t>por el</w:t>
      </w:r>
      <w:r w:rsidR="00376C2C">
        <w:rPr>
          <w:rFonts w:ascii="Book Antiqua" w:hAnsi="Book Antiqua" w:cs="Book Antiqua"/>
        </w:rPr>
        <w:t xml:space="preserve"> Ing. Jorge Fernando Rodríguez Salazar,</w:t>
      </w:r>
      <w:r w:rsidR="00376C2C" w:rsidRPr="008C5E65">
        <w:rPr>
          <w:rFonts w:ascii="Book Antiqua" w:hAnsi="Book Antiqua" w:cs="Book Antiqua"/>
        </w:rPr>
        <w:t xml:space="preserve"> </w:t>
      </w:r>
      <w:r w:rsidR="00376C2C">
        <w:rPr>
          <w:rFonts w:ascii="Book Antiqua" w:hAnsi="Book Antiqua" w:cs="Book Antiqua"/>
        </w:rPr>
        <w:t xml:space="preserve">Jefe a.i </w:t>
      </w:r>
      <w:r w:rsidR="00376C2C" w:rsidRPr="008C5E65">
        <w:rPr>
          <w:rFonts w:ascii="Book Antiqua" w:hAnsi="Book Antiqua" w:cs="Book Antiqua"/>
        </w:rPr>
        <w:t>Subproceso de Evaluación</w:t>
      </w:r>
      <w:r w:rsidRPr="00497441">
        <w:rPr>
          <w:rFonts w:ascii="Book Antiqua" w:hAnsi="Book Antiqua" w:cs="Book Antiqua"/>
        </w:rPr>
        <w:t xml:space="preserve">, relacionado con </w:t>
      </w:r>
      <w:r w:rsidR="00376C2C">
        <w:rPr>
          <w:rFonts w:ascii="Book Antiqua" w:hAnsi="Book Antiqua" w:cs="Book Antiqua"/>
        </w:rPr>
        <w:t>la ampliación de competencia del Tribunal de Apelación Laboral del Segundo Circuito Judicial de San Jose.</w:t>
      </w:r>
    </w:p>
    <w:p w:rsidR="004573F5" w:rsidRDefault="004573F5" w:rsidP="004573F5">
      <w:pPr>
        <w:rPr>
          <w:rStyle w:val="Hipervnculo"/>
          <w:rFonts w:ascii="Book Antiqua" w:hAnsi="Book Antiqua" w:cs="Book Antiqua"/>
        </w:rPr>
      </w:pPr>
      <w:r w:rsidRPr="00497441">
        <w:rPr>
          <w:rStyle w:val="Hipervnculo"/>
          <w:rFonts w:ascii="Book Antiqua" w:hAnsi="Book Antiqua" w:cs="Book Antiqua"/>
        </w:rPr>
        <w:t xml:space="preserve"> </w:t>
      </w:r>
    </w:p>
    <w:p w:rsidR="00376C2C" w:rsidRDefault="00376C2C" w:rsidP="004573F5">
      <w:pPr>
        <w:rPr>
          <w:rStyle w:val="Hipervnculo"/>
          <w:rFonts w:ascii="Book Antiqua" w:hAnsi="Book Antiqua" w:cs="Book Antiqua"/>
        </w:rPr>
      </w:pPr>
    </w:p>
    <w:p w:rsidR="00376C2C" w:rsidRPr="00497441" w:rsidRDefault="00376C2C" w:rsidP="004573F5">
      <w:pPr>
        <w:rPr>
          <w:rFonts w:ascii="Book Antiqua" w:hAnsi="Book Antiqua" w:cs="Book Antiqua"/>
        </w:rPr>
      </w:pPr>
    </w:p>
    <w:p w:rsidR="004573F5" w:rsidRPr="00497441" w:rsidRDefault="004573F5" w:rsidP="004573F5">
      <w:pPr>
        <w:jc w:val="both"/>
        <w:rPr>
          <w:rFonts w:ascii="Book Antiqua" w:hAnsi="Book Antiqua" w:cs="Book Antiqua"/>
        </w:rPr>
      </w:pPr>
    </w:p>
    <w:p w:rsidR="004573F5" w:rsidRPr="00497441" w:rsidRDefault="004573F5" w:rsidP="004573F5">
      <w:pPr>
        <w:rPr>
          <w:rFonts w:ascii="Book Antiqua" w:hAnsi="Book Antiqua" w:cs="Book Antiqua"/>
          <w:snapToGrid w:val="0"/>
          <w:lang w:val="pt-BR"/>
        </w:rPr>
      </w:pPr>
      <w:r w:rsidRPr="00497441">
        <w:rPr>
          <w:rFonts w:ascii="Book Antiqua" w:hAnsi="Book Antiqua" w:cs="Book Antiqua"/>
          <w:snapToGrid w:val="0"/>
          <w:lang w:val="pt-BR"/>
        </w:rPr>
        <w:t>Atentamente,</w:t>
      </w:r>
    </w:p>
    <w:p w:rsidR="004573F5" w:rsidRPr="00497441" w:rsidRDefault="004573F5" w:rsidP="004573F5">
      <w:pPr>
        <w:jc w:val="center"/>
        <w:rPr>
          <w:rFonts w:ascii="Book Antiqua" w:hAnsi="Book Antiqua" w:cs="Book Antiqua"/>
          <w:b/>
          <w:bCs/>
          <w:snapToGrid w:val="0"/>
          <w:lang w:val="pt-BR"/>
        </w:rPr>
      </w:pPr>
    </w:p>
    <w:p w:rsidR="004573F5" w:rsidRPr="00497441" w:rsidRDefault="004573F5" w:rsidP="004573F5">
      <w:pPr>
        <w:rPr>
          <w:rFonts w:ascii="Book Antiqua" w:hAnsi="Book Antiqua" w:cs="Book Antiqua"/>
          <w:snapToGrid w:val="0"/>
          <w:lang w:val="pt-BR"/>
        </w:rPr>
      </w:pPr>
    </w:p>
    <w:p w:rsidR="004573F5" w:rsidRPr="00497441" w:rsidRDefault="004573F5" w:rsidP="004573F5">
      <w:pPr>
        <w:rPr>
          <w:rFonts w:ascii="Book Antiqua" w:hAnsi="Book Antiqua" w:cs="Book Antiqua"/>
          <w:snapToGrid w:val="0"/>
          <w:lang w:val="pt-BR"/>
        </w:rPr>
      </w:pPr>
    </w:p>
    <w:p w:rsidR="004573F5" w:rsidRPr="00497441" w:rsidRDefault="004573F5" w:rsidP="004573F5">
      <w:pPr>
        <w:rPr>
          <w:rFonts w:ascii="Book Antiqua" w:hAnsi="Book Antiqua" w:cs="Book Antiqua"/>
          <w:snapToGrid w:val="0"/>
          <w:lang w:val="pt-BR"/>
        </w:rPr>
      </w:pPr>
      <w:r w:rsidRPr="00497441">
        <w:rPr>
          <w:rFonts w:ascii="Book Antiqua" w:hAnsi="Book Antiqua" w:cs="Book Antiqua"/>
          <w:snapToGrid w:val="0"/>
          <w:lang w:val="pt-BR"/>
        </w:rPr>
        <w:t>Nacira Valverde Bermúdez</w:t>
      </w:r>
    </w:p>
    <w:p w:rsidR="004573F5" w:rsidRPr="00497441" w:rsidRDefault="004573F5" w:rsidP="004573F5">
      <w:pPr>
        <w:rPr>
          <w:rFonts w:ascii="Book Antiqua" w:hAnsi="Book Antiqua" w:cs="Book Antiqua"/>
          <w:snapToGrid w:val="0"/>
          <w:lang w:val="pt-BR"/>
        </w:rPr>
      </w:pPr>
      <w:r w:rsidRPr="00497441">
        <w:rPr>
          <w:rFonts w:ascii="Book Antiqua" w:hAnsi="Book Antiqua" w:cs="Book Antiqua"/>
          <w:snapToGrid w:val="0"/>
          <w:lang w:val="pt-BR"/>
        </w:rPr>
        <w:t>Directora a.i. de Planificación</w:t>
      </w:r>
    </w:p>
    <w:p w:rsidR="004573F5" w:rsidRPr="00497441" w:rsidRDefault="004573F5" w:rsidP="004573F5">
      <w:pPr>
        <w:rPr>
          <w:rFonts w:ascii="Book Antiqua" w:hAnsi="Book Antiqua" w:cs="Book Antiqua"/>
          <w:snapToGrid w:val="0"/>
          <w:lang w:val="pt-BR"/>
        </w:rPr>
      </w:pPr>
    </w:p>
    <w:p w:rsidR="004573F5" w:rsidRPr="00497441" w:rsidRDefault="004573F5" w:rsidP="004573F5">
      <w:pPr>
        <w:rPr>
          <w:rFonts w:ascii="Book Antiqua" w:hAnsi="Book Antiqua" w:cs="Book Antiqua"/>
          <w:snapToGrid w:val="0"/>
          <w:lang w:val="pt-BR"/>
        </w:rPr>
      </w:pPr>
    </w:p>
    <w:p w:rsidR="004573F5" w:rsidRPr="00497441" w:rsidRDefault="004573F5" w:rsidP="004573F5">
      <w:pPr>
        <w:rPr>
          <w:rFonts w:ascii="Book Antiqua" w:hAnsi="Book Antiqua" w:cs="Book Antiqua"/>
          <w:snapToGrid w:val="0"/>
          <w:lang w:val="pt-BR"/>
        </w:rPr>
      </w:pPr>
    </w:p>
    <w:p w:rsidR="004573F5" w:rsidRDefault="004573F5" w:rsidP="004573F5">
      <w:pPr>
        <w:rPr>
          <w:rFonts w:ascii="Book Antiqua" w:hAnsi="Book Antiqua" w:cs="Book Antiqua"/>
        </w:rPr>
      </w:pPr>
    </w:p>
    <w:p w:rsidR="00376C2C" w:rsidRDefault="00376C2C" w:rsidP="004573F5">
      <w:pPr>
        <w:rPr>
          <w:rFonts w:ascii="Book Antiqua" w:hAnsi="Book Antiqua" w:cs="Book Antiqua"/>
        </w:rPr>
      </w:pPr>
    </w:p>
    <w:p w:rsidR="00376C2C" w:rsidRDefault="00376C2C" w:rsidP="004573F5">
      <w:pPr>
        <w:rPr>
          <w:rFonts w:ascii="Book Antiqua" w:hAnsi="Book Antiqua" w:cs="Book Antiqua"/>
        </w:rPr>
      </w:pPr>
    </w:p>
    <w:p w:rsidR="00376C2C" w:rsidRDefault="00376C2C" w:rsidP="004573F5">
      <w:pPr>
        <w:rPr>
          <w:rFonts w:ascii="Book Antiqua" w:hAnsi="Book Antiqua" w:cs="Book Antiqua"/>
        </w:rPr>
      </w:pPr>
    </w:p>
    <w:p w:rsidR="00376C2C" w:rsidRDefault="00376C2C" w:rsidP="004573F5">
      <w:pPr>
        <w:rPr>
          <w:rFonts w:ascii="Book Antiqua" w:hAnsi="Book Antiqua" w:cs="Book Antiqua"/>
        </w:rPr>
      </w:pPr>
    </w:p>
    <w:p w:rsidR="00376C2C" w:rsidRDefault="00376C2C" w:rsidP="004573F5">
      <w:pPr>
        <w:rPr>
          <w:rFonts w:ascii="Book Antiqua" w:hAnsi="Book Antiqua" w:cs="Book Antiqua"/>
        </w:rPr>
      </w:pPr>
    </w:p>
    <w:p w:rsidR="00376C2C" w:rsidRDefault="00376C2C" w:rsidP="004573F5">
      <w:pPr>
        <w:rPr>
          <w:rFonts w:ascii="Book Antiqua" w:hAnsi="Book Antiqua" w:cs="Book Antiqua"/>
        </w:rPr>
      </w:pPr>
    </w:p>
    <w:p w:rsidR="00376C2C" w:rsidRDefault="00376C2C" w:rsidP="004573F5">
      <w:pPr>
        <w:rPr>
          <w:rFonts w:ascii="Book Antiqua" w:hAnsi="Book Antiqua" w:cs="Book Antiqua"/>
        </w:rPr>
      </w:pPr>
    </w:p>
    <w:p w:rsidR="00376C2C" w:rsidRPr="00497441" w:rsidRDefault="00376C2C" w:rsidP="004573F5">
      <w:pPr>
        <w:rPr>
          <w:rFonts w:ascii="Book Antiqua" w:hAnsi="Book Antiqua" w:cs="Book Antiqua"/>
        </w:rPr>
      </w:pPr>
    </w:p>
    <w:p w:rsidR="00376C2C" w:rsidRDefault="004573F5" w:rsidP="004573F5">
      <w:pPr>
        <w:rPr>
          <w:rFonts w:ascii="Book Antiqua" w:hAnsi="Book Antiqua" w:cs="Book Antiqua"/>
        </w:rPr>
      </w:pPr>
      <w:r w:rsidRPr="00497441">
        <w:rPr>
          <w:rFonts w:ascii="Book Antiqua" w:hAnsi="Book Antiqua" w:cs="Book Antiqua"/>
        </w:rPr>
        <w:t>Copia</w:t>
      </w:r>
      <w:r w:rsidR="00376C2C">
        <w:rPr>
          <w:rFonts w:ascii="Book Antiqua" w:hAnsi="Book Antiqua" w:cs="Book Antiqua"/>
        </w:rPr>
        <w:t>s</w:t>
      </w:r>
      <w:r w:rsidRPr="00497441">
        <w:rPr>
          <w:rFonts w:ascii="Book Antiqua" w:hAnsi="Book Antiqua" w:cs="Book Antiqua"/>
        </w:rPr>
        <w:t>:</w:t>
      </w:r>
    </w:p>
    <w:p w:rsidR="00376C2C" w:rsidRDefault="00376C2C" w:rsidP="004573F5">
      <w:pPr>
        <w:rPr>
          <w:rFonts w:ascii="Book Antiqua" w:hAnsi="Book Antiqua" w:cs="Book Antiqua"/>
        </w:rPr>
      </w:pPr>
    </w:p>
    <w:p w:rsidR="00376C2C" w:rsidRDefault="00376C2C" w:rsidP="00376C2C">
      <w:pPr>
        <w:pStyle w:val="Prrafodelista"/>
        <w:numPr>
          <w:ilvl w:val="0"/>
          <w:numId w:val="44"/>
        </w:numPr>
        <w:rPr>
          <w:rFonts w:ascii="Book Antiqua" w:hAnsi="Book Antiqua" w:cs="Book Antiqua"/>
        </w:rPr>
      </w:pPr>
      <w:r>
        <w:rPr>
          <w:rFonts w:ascii="Book Antiqua" w:hAnsi="Book Antiqua" w:cs="Book Antiqua"/>
        </w:rPr>
        <w:t>Comisión de la Jurisdicción Laboral</w:t>
      </w:r>
    </w:p>
    <w:p w:rsidR="00376C2C" w:rsidRPr="00DE48D0" w:rsidRDefault="00DE48D0" w:rsidP="00376C2C">
      <w:pPr>
        <w:pStyle w:val="Prrafodelista"/>
        <w:numPr>
          <w:ilvl w:val="0"/>
          <w:numId w:val="44"/>
        </w:numPr>
        <w:rPr>
          <w:rFonts w:ascii="Book Antiqua" w:hAnsi="Book Antiqua" w:cs="Book Antiqua"/>
        </w:rPr>
      </w:pPr>
      <w:r w:rsidRPr="00442AC2">
        <w:rPr>
          <w:rFonts w:ascii="Book Antiqua" w:hAnsi="Book Antiqua" w:cs="Book Antiqua"/>
          <w:lang w:val="es-CR"/>
        </w:rPr>
        <w:t xml:space="preserve">Centro de Apoyo, Coordinación y Mejoramiento de la </w:t>
      </w:r>
      <w:r>
        <w:rPr>
          <w:rFonts w:ascii="Book Antiqua" w:hAnsi="Book Antiqua" w:cs="Book Antiqua"/>
          <w:lang w:val="es-CR"/>
        </w:rPr>
        <w:t>F</w:t>
      </w:r>
      <w:r w:rsidRPr="00442AC2">
        <w:rPr>
          <w:rFonts w:ascii="Book Antiqua" w:hAnsi="Book Antiqua" w:cs="Book Antiqua"/>
          <w:lang w:val="es-CR"/>
        </w:rPr>
        <w:t>unción Jurisdiccional</w:t>
      </w:r>
    </w:p>
    <w:p w:rsidR="00DE48D0" w:rsidRDefault="00DE48D0" w:rsidP="00DE48D0">
      <w:pPr>
        <w:pStyle w:val="Prrafodelista"/>
        <w:numPr>
          <w:ilvl w:val="0"/>
          <w:numId w:val="44"/>
        </w:numPr>
        <w:jc w:val="both"/>
        <w:rPr>
          <w:rFonts w:ascii="Book Antiqua" w:hAnsi="Book Antiqua" w:cs="Book Antiqua"/>
        </w:rPr>
      </w:pPr>
      <w:r w:rsidRPr="00DE48D0">
        <w:rPr>
          <w:rFonts w:ascii="Book Antiqua" w:hAnsi="Book Antiqua" w:cs="Book Antiqua"/>
        </w:rPr>
        <w:t xml:space="preserve">Tribunal de Apelación Laboral del </w:t>
      </w:r>
      <w:r>
        <w:rPr>
          <w:rFonts w:ascii="Book Antiqua" w:hAnsi="Book Antiqua" w:cs="Book Antiqua"/>
        </w:rPr>
        <w:t>Primer</w:t>
      </w:r>
      <w:r w:rsidRPr="00DE48D0">
        <w:rPr>
          <w:rFonts w:ascii="Book Antiqua" w:hAnsi="Book Antiqua" w:cs="Book Antiqua"/>
        </w:rPr>
        <w:t xml:space="preserve"> Circuito Judicial de San Jose.</w:t>
      </w:r>
    </w:p>
    <w:p w:rsidR="00DE48D0" w:rsidRPr="00DE48D0" w:rsidRDefault="00DE48D0" w:rsidP="00DE48D0">
      <w:pPr>
        <w:pStyle w:val="Prrafodelista"/>
        <w:numPr>
          <w:ilvl w:val="0"/>
          <w:numId w:val="44"/>
        </w:numPr>
        <w:jc w:val="both"/>
        <w:rPr>
          <w:rFonts w:ascii="Book Antiqua" w:hAnsi="Book Antiqua" w:cs="Book Antiqua"/>
        </w:rPr>
      </w:pPr>
      <w:r w:rsidRPr="00DE48D0">
        <w:rPr>
          <w:rFonts w:ascii="Book Antiqua" w:hAnsi="Book Antiqua" w:cs="Book Antiqua"/>
        </w:rPr>
        <w:t>Tribunal de Apelación Laboral del Segundo Circuito Judicial de San Jose.</w:t>
      </w:r>
    </w:p>
    <w:p w:rsidR="004573F5" w:rsidRPr="00DE48D0" w:rsidRDefault="004573F5" w:rsidP="004573F5">
      <w:pPr>
        <w:pStyle w:val="Prrafodelista"/>
        <w:numPr>
          <w:ilvl w:val="0"/>
          <w:numId w:val="44"/>
        </w:numPr>
        <w:rPr>
          <w:rFonts w:ascii="Book Antiqua" w:hAnsi="Book Antiqua" w:cs="Book Antiqua"/>
        </w:rPr>
      </w:pPr>
      <w:r w:rsidRPr="00DE48D0">
        <w:rPr>
          <w:rFonts w:ascii="Book Antiqua" w:hAnsi="Book Antiqua" w:cs="Book Antiqua"/>
        </w:rPr>
        <w:t>Archivo</w:t>
      </w:r>
    </w:p>
    <w:p w:rsidR="004573F5" w:rsidRPr="00497441" w:rsidRDefault="004573F5" w:rsidP="004573F5">
      <w:pPr>
        <w:rPr>
          <w:rFonts w:ascii="Book Antiqua" w:hAnsi="Book Antiqua" w:cs="Book Antiqua"/>
        </w:rPr>
      </w:pPr>
    </w:p>
    <w:p w:rsidR="004573F5" w:rsidRPr="00497441" w:rsidRDefault="00DE48D0" w:rsidP="004573F5">
      <w:pPr>
        <w:rPr>
          <w:rFonts w:ascii="Book Antiqua" w:hAnsi="Book Antiqua" w:cs="Book Antiqua"/>
        </w:rPr>
      </w:pPr>
      <w:r>
        <w:rPr>
          <w:rFonts w:ascii="Book Antiqua" w:hAnsi="Book Antiqua" w:cs="Book Antiqua"/>
        </w:rPr>
        <w:t>bls</w:t>
      </w:r>
    </w:p>
    <w:p w:rsidR="004573F5" w:rsidRDefault="004573F5" w:rsidP="004573F5">
      <w:pPr>
        <w:pStyle w:val="Textoindependiente2"/>
      </w:pPr>
      <w:r w:rsidRPr="00497441">
        <w:t>Ref.</w:t>
      </w:r>
      <w:r w:rsidR="00DE48D0">
        <w:t>1851-20</w:t>
      </w:r>
    </w:p>
    <w:p w:rsidR="001E303F" w:rsidRDefault="001E303F">
      <w:pPr>
        <w:widowControl/>
        <w:autoSpaceDE/>
        <w:autoSpaceDN/>
        <w:adjustRightInd/>
        <w:rPr>
          <w:rFonts w:ascii="Book Antiqua" w:hAnsi="Book Antiqua"/>
        </w:rPr>
      </w:pPr>
      <w:r>
        <w:rPr>
          <w:rFonts w:ascii="Book Antiqua" w:hAnsi="Book Antiqua"/>
        </w:rPr>
        <w:br w:type="page"/>
      </w:r>
    </w:p>
    <w:p w:rsidR="001E5C11" w:rsidRDefault="001E5C11" w:rsidP="00240AE6">
      <w:pPr>
        <w:widowControl/>
        <w:autoSpaceDE/>
        <w:autoSpaceDN/>
        <w:adjustRightInd/>
        <w:rPr>
          <w:rFonts w:ascii="Book Antiqua" w:hAnsi="Book Antiqua" w:cs="Book Antiqua"/>
          <w:snapToGrid w:val="0"/>
          <w:color w:val="000000"/>
          <w:lang w:val="es-CR"/>
        </w:rPr>
      </w:pPr>
    </w:p>
    <w:p w:rsidR="00376C2C" w:rsidRDefault="00376C2C" w:rsidP="00376C2C">
      <w:pPr>
        <w:widowControl/>
        <w:jc w:val="right"/>
        <w:rPr>
          <w:rFonts w:ascii="Book Antiqua" w:hAnsi="Book Antiqua" w:cs="Book Antiqua"/>
          <w:lang w:val="es-CR"/>
        </w:rPr>
      </w:pPr>
    </w:p>
    <w:p w:rsidR="00376C2C" w:rsidRDefault="00376C2C" w:rsidP="00376C2C">
      <w:pPr>
        <w:widowControl/>
        <w:autoSpaceDE/>
        <w:autoSpaceDN/>
        <w:adjustRightInd/>
        <w:rPr>
          <w:rFonts w:ascii="Book Antiqua" w:hAnsi="Book Antiqua"/>
        </w:rPr>
      </w:pPr>
      <w:r>
        <w:rPr>
          <w:rFonts w:ascii="Book Antiqua" w:hAnsi="Book Antiqua"/>
        </w:rPr>
        <w:t>28 de agosto de 2020</w:t>
      </w:r>
    </w:p>
    <w:p w:rsidR="00376C2C" w:rsidRDefault="00376C2C" w:rsidP="00240AE6">
      <w:pPr>
        <w:widowControl/>
        <w:autoSpaceDE/>
        <w:autoSpaceDN/>
        <w:adjustRightInd/>
        <w:rPr>
          <w:rFonts w:ascii="Book Antiqua" w:hAnsi="Book Antiqua" w:cs="Book Antiqua"/>
          <w:snapToGrid w:val="0"/>
          <w:color w:val="000000"/>
          <w:lang w:val="es-CR"/>
        </w:rPr>
      </w:pPr>
    </w:p>
    <w:p w:rsidR="00376C2C" w:rsidRPr="00B8697C" w:rsidRDefault="00376C2C" w:rsidP="00240AE6">
      <w:pPr>
        <w:widowControl/>
        <w:autoSpaceDE/>
        <w:autoSpaceDN/>
        <w:adjustRightInd/>
        <w:rPr>
          <w:rFonts w:ascii="Book Antiqua" w:hAnsi="Book Antiqua" w:cs="Book Antiqua"/>
          <w:snapToGrid w:val="0"/>
          <w:color w:val="000000"/>
          <w:lang w:val="es-CR"/>
        </w:rPr>
      </w:pPr>
    </w:p>
    <w:p w:rsidR="001E5C11" w:rsidRDefault="001E5C11" w:rsidP="001E5C11">
      <w:pPr>
        <w:jc w:val="both"/>
        <w:rPr>
          <w:rFonts w:ascii="Book Antiqua" w:hAnsi="Book Antiqua"/>
        </w:rPr>
      </w:pPr>
    </w:p>
    <w:p w:rsidR="001E5C11" w:rsidRPr="002333F6" w:rsidRDefault="00376C2C" w:rsidP="001E5C11">
      <w:pPr>
        <w:jc w:val="both"/>
        <w:rPr>
          <w:rFonts w:ascii="Book Antiqua" w:hAnsi="Book Antiqua"/>
        </w:rPr>
      </w:pPr>
      <w:r>
        <w:rPr>
          <w:rFonts w:ascii="Book Antiqua" w:hAnsi="Book Antiqua"/>
        </w:rPr>
        <w:t>Licenciada</w:t>
      </w:r>
    </w:p>
    <w:p w:rsidR="001E5C11" w:rsidRDefault="00376C2C" w:rsidP="001E5C11">
      <w:pPr>
        <w:jc w:val="both"/>
        <w:rPr>
          <w:rFonts w:ascii="Book Antiqua" w:hAnsi="Book Antiqua"/>
        </w:rPr>
      </w:pPr>
      <w:r>
        <w:rPr>
          <w:rFonts w:ascii="Book Antiqua" w:hAnsi="Book Antiqua"/>
        </w:rPr>
        <w:t>Nacira Valverde Bermúdez</w:t>
      </w:r>
    </w:p>
    <w:p w:rsidR="00376C2C" w:rsidRPr="002333F6" w:rsidRDefault="00376C2C" w:rsidP="001E5C11">
      <w:pPr>
        <w:jc w:val="both"/>
        <w:rPr>
          <w:rFonts w:ascii="Book Antiqua" w:hAnsi="Book Antiqua"/>
        </w:rPr>
      </w:pPr>
      <w:r>
        <w:rPr>
          <w:rFonts w:ascii="Book Antiqua" w:hAnsi="Book Antiqua"/>
        </w:rPr>
        <w:t>Directora a.i Planificación</w:t>
      </w:r>
    </w:p>
    <w:p w:rsidR="001E5C11" w:rsidRDefault="001E5C11" w:rsidP="005A0670">
      <w:pPr>
        <w:autoSpaceDE/>
        <w:autoSpaceDN/>
        <w:adjustRightInd/>
        <w:rPr>
          <w:rFonts w:ascii="Book Antiqua" w:hAnsi="Book Antiqua" w:cs="Book Antiqua"/>
          <w:snapToGrid w:val="0"/>
          <w:color w:val="000000"/>
          <w:lang w:val="es-CR"/>
        </w:rPr>
      </w:pPr>
    </w:p>
    <w:p w:rsidR="001E5C11" w:rsidRDefault="001E5C11" w:rsidP="005A0670">
      <w:pPr>
        <w:autoSpaceDE/>
        <w:autoSpaceDN/>
        <w:adjustRightInd/>
        <w:rPr>
          <w:rFonts w:ascii="Book Antiqua" w:hAnsi="Book Antiqua" w:cs="Book Antiqua"/>
          <w:snapToGrid w:val="0"/>
          <w:color w:val="000000"/>
          <w:lang w:val="es-CR"/>
        </w:rPr>
      </w:pPr>
    </w:p>
    <w:p w:rsidR="005A0670" w:rsidRPr="00733311" w:rsidRDefault="005A0670" w:rsidP="005A0670">
      <w:pPr>
        <w:autoSpaceDE/>
        <w:autoSpaceDN/>
        <w:adjustRightInd/>
        <w:rPr>
          <w:rFonts w:ascii="Book Antiqua" w:hAnsi="Book Antiqua" w:cs="Book Antiqua"/>
          <w:snapToGrid w:val="0"/>
          <w:color w:val="000000"/>
          <w:lang w:val="es-CR"/>
        </w:rPr>
      </w:pPr>
      <w:r w:rsidRPr="00733311">
        <w:rPr>
          <w:rFonts w:ascii="Book Antiqua" w:hAnsi="Book Antiqua" w:cs="Book Antiqua"/>
          <w:snapToGrid w:val="0"/>
          <w:color w:val="000000"/>
          <w:lang w:val="es-CR"/>
        </w:rPr>
        <w:t>Estimad</w:t>
      </w:r>
      <w:r w:rsidR="00376C2C">
        <w:rPr>
          <w:rFonts w:ascii="Book Antiqua" w:hAnsi="Book Antiqua" w:cs="Book Antiqua"/>
          <w:snapToGrid w:val="0"/>
          <w:color w:val="000000"/>
          <w:lang w:val="es-CR"/>
        </w:rPr>
        <w:t>a</w:t>
      </w:r>
      <w:r w:rsidRPr="00733311">
        <w:rPr>
          <w:rFonts w:ascii="Book Antiqua" w:hAnsi="Book Antiqua" w:cs="Book Antiqua"/>
          <w:snapToGrid w:val="0"/>
          <w:color w:val="FF0000"/>
          <w:lang w:val="es-CR"/>
        </w:rPr>
        <w:t xml:space="preserve"> </w:t>
      </w:r>
      <w:r w:rsidRPr="00733311">
        <w:rPr>
          <w:rFonts w:ascii="Book Antiqua" w:hAnsi="Book Antiqua" w:cs="Book Antiqua"/>
          <w:snapToGrid w:val="0"/>
          <w:color w:val="000000"/>
          <w:lang w:val="es-CR"/>
        </w:rPr>
        <w:t>señor</w:t>
      </w:r>
      <w:r w:rsidR="00376C2C">
        <w:rPr>
          <w:rFonts w:ascii="Book Antiqua" w:hAnsi="Book Antiqua" w:cs="Book Antiqua"/>
          <w:snapToGrid w:val="0"/>
          <w:color w:val="000000"/>
          <w:lang w:val="es-CR"/>
        </w:rPr>
        <w:t>a</w:t>
      </w:r>
      <w:r w:rsidRPr="00733311">
        <w:rPr>
          <w:rFonts w:ascii="Book Antiqua" w:hAnsi="Book Antiqua" w:cs="Book Antiqua"/>
          <w:snapToGrid w:val="0"/>
          <w:color w:val="000000"/>
          <w:lang w:val="es-CR"/>
        </w:rPr>
        <w:t>:</w:t>
      </w:r>
    </w:p>
    <w:p w:rsidR="005A0670" w:rsidRPr="00733311" w:rsidRDefault="005A0670" w:rsidP="005A0670">
      <w:pPr>
        <w:autoSpaceDE/>
        <w:autoSpaceDN/>
        <w:adjustRightInd/>
        <w:jc w:val="both"/>
        <w:rPr>
          <w:rFonts w:ascii="Book Antiqua" w:hAnsi="Book Antiqua" w:cs="Book Antiqua"/>
          <w:snapToGrid w:val="0"/>
          <w:lang w:val="es-CR"/>
        </w:rPr>
      </w:pPr>
    </w:p>
    <w:p w:rsidR="001E5C11" w:rsidRDefault="00FE107E" w:rsidP="006A4D53">
      <w:pPr>
        <w:pStyle w:val="Textoindependiente"/>
        <w:spacing w:before="120"/>
        <w:jc w:val="both"/>
        <w:rPr>
          <w:sz w:val="24"/>
          <w:szCs w:val="24"/>
        </w:rPr>
      </w:pPr>
      <w:r>
        <w:rPr>
          <w:sz w:val="24"/>
          <w:szCs w:val="24"/>
          <w:lang w:val="es-CR"/>
        </w:rPr>
        <w:t>Mediante</w:t>
      </w:r>
      <w:r w:rsidR="005A0670" w:rsidRPr="00733311">
        <w:rPr>
          <w:sz w:val="24"/>
          <w:szCs w:val="24"/>
          <w:lang w:val="es-CR"/>
        </w:rPr>
        <w:t xml:space="preserve"> oficio </w:t>
      </w:r>
      <w:r w:rsidR="00661151">
        <w:rPr>
          <w:sz w:val="24"/>
          <w:szCs w:val="24"/>
          <w:lang w:val="es-CR"/>
        </w:rPr>
        <w:t>12155-</w:t>
      </w:r>
      <w:r w:rsidR="005E39CC">
        <w:rPr>
          <w:sz w:val="24"/>
          <w:szCs w:val="24"/>
          <w:lang w:val="es-CR"/>
        </w:rPr>
        <w:t>19</w:t>
      </w:r>
      <w:r w:rsidR="005A0670" w:rsidRPr="00733311">
        <w:rPr>
          <w:sz w:val="24"/>
          <w:szCs w:val="24"/>
          <w:lang w:val="es-CR"/>
        </w:rPr>
        <w:t xml:space="preserve">, </w:t>
      </w:r>
      <w:r w:rsidR="005A0670" w:rsidRPr="00733311">
        <w:rPr>
          <w:color w:val="000000"/>
          <w:sz w:val="24"/>
          <w:szCs w:val="24"/>
          <w:lang w:val="es-CR"/>
        </w:rPr>
        <w:t>donde se transcribe el acuerdo</w:t>
      </w:r>
      <w:r w:rsidR="005A0670" w:rsidRPr="00733311">
        <w:rPr>
          <w:sz w:val="24"/>
          <w:szCs w:val="24"/>
          <w:lang w:val="es-CR"/>
        </w:rPr>
        <w:t xml:space="preserve"> tomado por </w:t>
      </w:r>
      <w:r w:rsidR="006A4D53" w:rsidRPr="00733311">
        <w:rPr>
          <w:sz w:val="24"/>
          <w:szCs w:val="24"/>
          <w:lang w:val="es-CR"/>
        </w:rPr>
        <w:t>Corte Plena</w:t>
      </w:r>
      <w:r w:rsidR="005A0670" w:rsidRPr="00733311">
        <w:rPr>
          <w:sz w:val="24"/>
          <w:szCs w:val="24"/>
          <w:lang w:val="es-CR"/>
        </w:rPr>
        <w:t xml:space="preserve"> en sesión </w:t>
      </w:r>
      <w:r w:rsidR="00897918">
        <w:rPr>
          <w:sz w:val="24"/>
          <w:szCs w:val="24"/>
          <w:lang w:val="es-CR"/>
        </w:rPr>
        <w:t>45-19</w:t>
      </w:r>
      <w:r w:rsidR="005A0670" w:rsidRPr="00733311">
        <w:rPr>
          <w:sz w:val="24"/>
          <w:szCs w:val="24"/>
          <w:lang w:val="es-CR"/>
        </w:rPr>
        <w:t xml:space="preserve">, celebrada el </w:t>
      </w:r>
      <w:r w:rsidR="006A5740">
        <w:rPr>
          <w:sz w:val="24"/>
          <w:szCs w:val="24"/>
          <w:lang w:val="es-CR"/>
        </w:rPr>
        <w:t>28</w:t>
      </w:r>
      <w:r w:rsidR="005A0670" w:rsidRPr="00733311">
        <w:rPr>
          <w:sz w:val="24"/>
          <w:szCs w:val="24"/>
          <w:lang w:val="es-CR"/>
        </w:rPr>
        <w:t xml:space="preserve"> de </w:t>
      </w:r>
      <w:r w:rsidR="006A5740">
        <w:rPr>
          <w:sz w:val="24"/>
          <w:szCs w:val="24"/>
          <w:lang w:val="es-CR"/>
        </w:rPr>
        <w:t>octubre</w:t>
      </w:r>
      <w:r w:rsidR="005A0670" w:rsidRPr="00733311">
        <w:rPr>
          <w:sz w:val="24"/>
          <w:szCs w:val="24"/>
          <w:lang w:val="es-CR"/>
        </w:rPr>
        <w:t xml:space="preserve"> de 201</w:t>
      </w:r>
      <w:r w:rsidR="006A4D53" w:rsidRPr="00733311">
        <w:rPr>
          <w:sz w:val="24"/>
          <w:szCs w:val="24"/>
          <w:lang w:val="es-CR"/>
        </w:rPr>
        <w:t>9</w:t>
      </w:r>
      <w:r w:rsidR="005A0670" w:rsidRPr="00733311">
        <w:rPr>
          <w:sz w:val="24"/>
          <w:szCs w:val="24"/>
          <w:lang w:val="es-CR"/>
        </w:rPr>
        <w:t xml:space="preserve">, artículo </w:t>
      </w:r>
      <w:r w:rsidR="006A4D53" w:rsidRPr="00733311">
        <w:rPr>
          <w:sz w:val="24"/>
          <w:szCs w:val="24"/>
          <w:lang w:val="es-CR"/>
        </w:rPr>
        <w:t>X</w:t>
      </w:r>
      <w:r w:rsidR="006A5740">
        <w:rPr>
          <w:sz w:val="24"/>
          <w:szCs w:val="24"/>
          <w:lang w:val="es-CR"/>
        </w:rPr>
        <w:t>I</w:t>
      </w:r>
      <w:r w:rsidR="005A0670" w:rsidRPr="00733311">
        <w:rPr>
          <w:sz w:val="24"/>
          <w:szCs w:val="24"/>
          <w:lang w:val="es-CR"/>
        </w:rPr>
        <w:t xml:space="preserve">, </w:t>
      </w:r>
      <w:r w:rsidR="006A4D53" w:rsidRPr="00733311">
        <w:rPr>
          <w:sz w:val="24"/>
          <w:szCs w:val="24"/>
        </w:rPr>
        <w:t xml:space="preserve">en la que se aprobó lo siguiente: </w:t>
      </w:r>
    </w:p>
    <w:p w:rsidR="006A5740" w:rsidRDefault="006A5740" w:rsidP="006A4D53">
      <w:pPr>
        <w:pStyle w:val="Textoindependiente"/>
        <w:spacing w:before="120"/>
        <w:jc w:val="both"/>
        <w:rPr>
          <w:sz w:val="24"/>
          <w:szCs w:val="24"/>
        </w:rPr>
      </w:pPr>
    </w:p>
    <w:p w:rsidR="006A4D53" w:rsidRPr="006A5740" w:rsidRDefault="006A4D53" w:rsidP="006A5740">
      <w:pPr>
        <w:ind w:left="709" w:right="1275"/>
        <w:jc w:val="both"/>
        <w:rPr>
          <w:rFonts w:ascii="Book Antiqua" w:hAnsi="Book Antiqua" w:cs="Times New Roman"/>
          <w:i/>
          <w:iCs/>
          <w:lang w:val="es-ES_tradnl"/>
        </w:rPr>
      </w:pPr>
      <w:r w:rsidRPr="006A5740">
        <w:rPr>
          <w:rFonts w:ascii="Book Antiqua" w:hAnsi="Book Antiqua"/>
          <w:i/>
          <w:iCs/>
        </w:rPr>
        <w:t>“</w:t>
      </w:r>
      <w:r w:rsidR="006A5740" w:rsidRPr="006A5740">
        <w:rPr>
          <w:rFonts w:ascii="Book Antiqua" w:hAnsi="Book Antiqua"/>
          <w:i/>
          <w:iCs/>
          <w:lang w:val="es-ES_tradnl"/>
        </w:rPr>
        <w:t xml:space="preserve">Aprobar el informe 1785-PLA-MI-2019 de la Dirección de Planificación en los términos señalados, por ende, ampliar la competencia del Tribunal del Segundo Circuito Judicial de San José a nivel nacional, a partir del 1 </w:t>
      </w:r>
      <w:r w:rsidR="00C846A0" w:rsidRPr="006A5740">
        <w:rPr>
          <w:rFonts w:ascii="Book Antiqua" w:hAnsi="Book Antiqua"/>
          <w:i/>
          <w:iCs/>
          <w:lang w:val="es-ES_tradnl"/>
        </w:rPr>
        <w:t>de noviembre</w:t>
      </w:r>
      <w:r w:rsidR="006A5740" w:rsidRPr="006A5740">
        <w:rPr>
          <w:rFonts w:ascii="Book Antiqua" w:hAnsi="Book Antiqua"/>
          <w:i/>
          <w:iCs/>
          <w:lang w:val="es-ES_tradnl"/>
        </w:rPr>
        <w:t xml:space="preserve"> de 2019 y hasta el 30 de junio del 2020, a fin de que puedan asumir expedientes de otros Tribunales que registran una mayor entrada así como un importante volumen de expedientes para fallo. Lo anterior, en el entendido de que la asignación de la carga de trabajo será designada por parte del Centro de Apoyo Coordinación y Mejoramiento de la Función Jurisdiccional en coordinación con la Comisión de la Jurisdicción Laboral a partir de parámetros objetivos, que iniciará con la asignación de los expedientes nuevos en apelación que provengan del Juzgado de Seguridad Social, que bajo la distribución de competencia vigente ingresarían al citado Tribunal</w:t>
      </w:r>
      <w:r w:rsidRPr="006A5740">
        <w:rPr>
          <w:rFonts w:ascii="Book Antiqua" w:hAnsi="Book Antiqua"/>
          <w:bCs/>
          <w:i/>
          <w:iCs/>
        </w:rPr>
        <w:t>.”</w:t>
      </w:r>
    </w:p>
    <w:p w:rsidR="005A0670" w:rsidRPr="006A5740" w:rsidRDefault="005A0670" w:rsidP="005A0670">
      <w:pPr>
        <w:widowControl/>
        <w:autoSpaceDE/>
        <w:autoSpaceDN/>
        <w:adjustRightInd/>
        <w:ind w:right="51"/>
        <w:jc w:val="both"/>
        <w:rPr>
          <w:rFonts w:ascii="Book Antiqua" w:hAnsi="Book Antiqua" w:cs="Book Antiqua"/>
          <w:i/>
          <w:iCs/>
        </w:rPr>
      </w:pPr>
    </w:p>
    <w:p w:rsidR="00442AC2" w:rsidRDefault="002751E0" w:rsidP="009D693E">
      <w:pPr>
        <w:jc w:val="both"/>
        <w:rPr>
          <w:rFonts w:ascii="Book Antiqua" w:hAnsi="Book Antiqua" w:cs="Book Antiqua"/>
          <w:lang w:val="es-CR"/>
        </w:rPr>
      </w:pPr>
      <w:r>
        <w:rPr>
          <w:rFonts w:ascii="Book Antiqua" w:hAnsi="Book Antiqua" w:cs="Book Antiqua"/>
          <w:lang w:val="es-CR"/>
        </w:rPr>
        <w:t xml:space="preserve">Adicionalmente, se puede indicar </w:t>
      </w:r>
      <w:r w:rsidRPr="002751E0">
        <w:rPr>
          <w:rFonts w:ascii="Book Antiqua" w:hAnsi="Book Antiqua" w:cs="Book Antiqua"/>
          <w:lang w:val="es-CR"/>
        </w:rPr>
        <w:t>que e</w:t>
      </w:r>
      <w:r w:rsidRPr="00442AC2">
        <w:rPr>
          <w:rFonts w:ascii="Book Antiqua" w:hAnsi="Book Antiqua" w:cs="Book Antiqua"/>
          <w:lang w:val="es-CR"/>
        </w:rPr>
        <w:t xml:space="preserve">l Centro de Apoyo, Coordinación y Mejoramiento de la función Jurisdiccional (CACMFJ) mediante el oficio 429-CACMFJ-JEF-2019 del 25 de octubre, </w:t>
      </w:r>
      <w:r w:rsidR="00442AC2" w:rsidRPr="00442AC2">
        <w:rPr>
          <w:rFonts w:ascii="Book Antiqua" w:hAnsi="Book Antiqua" w:cs="Book Antiqua"/>
          <w:lang w:val="es-CR"/>
        </w:rPr>
        <w:t xml:space="preserve">analizó la carga de trabajo del Tribunal de Trabajo del Segundo Circuito Judicial de San José durante el 2019 </w:t>
      </w:r>
      <w:r w:rsidR="00852433">
        <w:rPr>
          <w:rFonts w:ascii="Book Antiqua" w:hAnsi="Book Antiqua" w:cs="Book Antiqua"/>
          <w:lang w:val="es-CR"/>
        </w:rPr>
        <w:t xml:space="preserve">y </w:t>
      </w:r>
      <w:r w:rsidR="00442AC2" w:rsidRPr="00442AC2">
        <w:rPr>
          <w:rFonts w:ascii="Book Antiqua" w:hAnsi="Book Antiqua" w:cs="Book Antiqua"/>
          <w:lang w:val="es-CR"/>
        </w:rPr>
        <w:t>detectó la disminución en la cantidad de asuntos nuevos ingresados, que a su vez ha generado un descenso en el circulante</w:t>
      </w:r>
      <w:r w:rsidR="00C5731F">
        <w:rPr>
          <w:rFonts w:ascii="Book Antiqua" w:hAnsi="Book Antiqua" w:cs="Book Antiqua"/>
          <w:lang w:val="es-CR"/>
        </w:rPr>
        <w:t>,</w:t>
      </w:r>
      <w:r w:rsidR="00442AC2" w:rsidRPr="00442AC2">
        <w:rPr>
          <w:rFonts w:ascii="Book Antiqua" w:hAnsi="Book Antiqua" w:cs="Book Antiqua"/>
          <w:lang w:val="es-CR"/>
        </w:rPr>
        <w:t xml:space="preserve"> que al 31 de agosto </w:t>
      </w:r>
      <w:r w:rsidR="00C5731F">
        <w:rPr>
          <w:rFonts w:ascii="Book Antiqua" w:hAnsi="Book Antiqua" w:cs="Book Antiqua"/>
          <w:lang w:val="es-CR"/>
        </w:rPr>
        <w:t>de ese mismo año</w:t>
      </w:r>
      <w:r w:rsidR="00C5731F" w:rsidRPr="00442AC2">
        <w:rPr>
          <w:rFonts w:ascii="Book Antiqua" w:hAnsi="Book Antiqua" w:cs="Book Antiqua"/>
          <w:lang w:val="es-CR"/>
        </w:rPr>
        <w:t xml:space="preserve"> </w:t>
      </w:r>
      <w:r w:rsidR="00442AC2" w:rsidRPr="00442AC2">
        <w:rPr>
          <w:rFonts w:ascii="Book Antiqua" w:hAnsi="Book Antiqua" w:cs="Book Antiqua"/>
          <w:lang w:val="es-CR"/>
        </w:rPr>
        <w:t xml:space="preserve">fue de apenas 77 expedientes activos </w:t>
      </w:r>
      <w:r w:rsidR="00092905">
        <w:rPr>
          <w:rFonts w:ascii="Book Antiqua" w:hAnsi="Book Antiqua" w:cs="Book Antiqua"/>
          <w:lang w:val="es-CR"/>
        </w:rPr>
        <w:t>distribuido entre las</w:t>
      </w:r>
      <w:r w:rsidR="00442AC2" w:rsidRPr="00442AC2">
        <w:rPr>
          <w:rFonts w:ascii="Book Antiqua" w:hAnsi="Book Antiqua" w:cs="Book Antiqua"/>
          <w:lang w:val="es-CR"/>
        </w:rPr>
        <w:t xml:space="preserve"> seis personas juzgadoras que conforman</w:t>
      </w:r>
      <w:r w:rsidR="00092905">
        <w:rPr>
          <w:rFonts w:ascii="Book Antiqua" w:hAnsi="Book Antiqua" w:cs="Book Antiqua"/>
          <w:lang w:val="es-CR"/>
        </w:rPr>
        <w:t xml:space="preserve"> las</w:t>
      </w:r>
      <w:r w:rsidR="00442AC2" w:rsidRPr="00442AC2">
        <w:rPr>
          <w:rFonts w:ascii="Book Antiqua" w:hAnsi="Book Antiqua" w:cs="Book Antiqua"/>
          <w:lang w:val="es-CR"/>
        </w:rPr>
        <w:t xml:space="preserve"> dos secciones de dicho </w:t>
      </w:r>
      <w:r w:rsidR="00092905">
        <w:rPr>
          <w:rFonts w:ascii="Book Antiqua" w:hAnsi="Book Antiqua" w:cs="Book Antiqua"/>
          <w:lang w:val="es-CR"/>
        </w:rPr>
        <w:t>T</w:t>
      </w:r>
      <w:r w:rsidR="00442AC2" w:rsidRPr="00442AC2">
        <w:rPr>
          <w:rFonts w:ascii="Book Antiqua" w:hAnsi="Book Antiqua" w:cs="Book Antiqua"/>
          <w:lang w:val="es-CR"/>
        </w:rPr>
        <w:t xml:space="preserve">ribunal, que constituye </w:t>
      </w:r>
      <w:r w:rsidR="002A6EB4">
        <w:rPr>
          <w:rFonts w:ascii="Book Antiqua" w:hAnsi="Book Antiqua" w:cs="Book Antiqua"/>
          <w:lang w:val="es-CR"/>
        </w:rPr>
        <w:t>una</w:t>
      </w:r>
      <w:r w:rsidR="00442AC2" w:rsidRPr="00442AC2">
        <w:rPr>
          <w:rFonts w:ascii="Book Antiqua" w:hAnsi="Book Antiqua" w:cs="Book Antiqua"/>
          <w:lang w:val="es-CR"/>
        </w:rPr>
        <w:t xml:space="preserve"> carga de trabajo</w:t>
      </w:r>
      <w:r w:rsidR="009D693E">
        <w:rPr>
          <w:rFonts w:ascii="Book Antiqua" w:hAnsi="Book Antiqua" w:cs="Book Antiqua"/>
          <w:lang w:val="es-CR"/>
        </w:rPr>
        <w:t xml:space="preserve"> muy</w:t>
      </w:r>
      <w:r w:rsidR="00442AC2" w:rsidRPr="00442AC2">
        <w:rPr>
          <w:rFonts w:ascii="Book Antiqua" w:hAnsi="Book Antiqua" w:cs="Book Antiqua"/>
          <w:lang w:val="es-CR"/>
        </w:rPr>
        <w:t xml:space="preserve"> baja en relación al</w:t>
      </w:r>
      <w:r w:rsidR="009D693E">
        <w:rPr>
          <w:rFonts w:ascii="Book Antiqua" w:hAnsi="Book Antiqua" w:cs="Book Antiqua"/>
          <w:lang w:val="es-CR"/>
        </w:rPr>
        <w:t xml:space="preserve"> </w:t>
      </w:r>
      <w:r w:rsidR="00442AC2" w:rsidRPr="00442AC2">
        <w:rPr>
          <w:rFonts w:ascii="Book Antiqua" w:hAnsi="Book Antiqua" w:cs="Book Antiqua"/>
          <w:lang w:val="es-CR"/>
        </w:rPr>
        <w:t xml:space="preserve"> </w:t>
      </w:r>
      <w:r w:rsidR="00FC7AB0">
        <w:rPr>
          <w:rFonts w:ascii="Book Antiqua" w:hAnsi="Book Antiqua" w:cs="Book Antiqua"/>
          <w:lang w:val="es-CR"/>
        </w:rPr>
        <w:t xml:space="preserve">rendimiento esperado, de al menos 21 sentencias por persona juzgadora mensualmente. </w:t>
      </w:r>
    </w:p>
    <w:p w:rsidR="004573F5" w:rsidRDefault="004573F5" w:rsidP="009D693E">
      <w:pPr>
        <w:jc w:val="both"/>
        <w:rPr>
          <w:rFonts w:ascii="Book Antiqua" w:hAnsi="Book Antiqua" w:cs="Book Antiqua"/>
          <w:lang w:val="es-CR"/>
        </w:rPr>
      </w:pPr>
    </w:p>
    <w:p w:rsidR="004573F5" w:rsidRDefault="004573F5" w:rsidP="009D693E">
      <w:pPr>
        <w:jc w:val="both"/>
        <w:rPr>
          <w:rFonts w:ascii="Book Antiqua" w:hAnsi="Book Antiqua" w:cs="Book Antiqua"/>
          <w:lang w:val="es-CR"/>
        </w:rPr>
      </w:pPr>
    </w:p>
    <w:p w:rsidR="00A43297" w:rsidRPr="007160CB" w:rsidRDefault="006E17CA" w:rsidP="00A43297">
      <w:pPr>
        <w:jc w:val="center"/>
        <w:rPr>
          <w:rFonts w:ascii="Book Antiqua" w:hAnsi="Book Antiqua" w:cs="Book Antiqua"/>
          <w:b/>
          <w:bCs/>
          <w:lang w:val="es-CR"/>
        </w:rPr>
      </w:pPr>
      <w:r>
        <w:rPr>
          <w:rFonts w:ascii="Book Antiqua" w:hAnsi="Book Antiqua" w:cs="Book Antiqua"/>
          <w:b/>
          <w:bCs/>
          <w:lang w:val="es-CR"/>
        </w:rPr>
        <w:t>Gráfico</w:t>
      </w:r>
      <w:r w:rsidR="00A43297" w:rsidRPr="007160CB">
        <w:rPr>
          <w:rFonts w:ascii="Book Antiqua" w:hAnsi="Book Antiqua" w:cs="Book Antiqua"/>
          <w:b/>
          <w:bCs/>
          <w:lang w:val="es-CR"/>
        </w:rPr>
        <w:t xml:space="preserve"> 1</w:t>
      </w:r>
    </w:p>
    <w:p w:rsidR="00A43297" w:rsidRPr="007160CB" w:rsidRDefault="00A43297" w:rsidP="00A43297">
      <w:pPr>
        <w:jc w:val="center"/>
        <w:rPr>
          <w:rFonts w:ascii="Book Antiqua" w:hAnsi="Book Antiqua" w:cs="Book Antiqua"/>
          <w:b/>
          <w:bCs/>
          <w:lang w:val="es-CR"/>
        </w:rPr>
      </w:pPr>
      <w:r w:rsidRPr="007160CB">
        <w:rPr>
          <w:rFonts w:ascii="Book Antiqua" w:hAnsi="Book Antiqua" w:cs="Book Antiqua"/>
          <w:b/>
          <w:bCs/>
          <w:lang w:val="es-CR"/>
        </w:rPr>
        <w:t xml:space="preserve">Balance </w:t>
      </w:r>
      <w:r>
        <w:rPr>
          <w:rFonts w:ascii="Book Antiqua" w:hAnsi="Book Antiqua" w:cs="Book Antiqua"/>
          <w:b/>
          <w:bCs/>
          <w:lang w:val="es-CR"/>
        </w:rPr>
        <w:t>G</w:t>
      </w:r>
      <w:r w:rsidRPr="007160CB">
        <w:rPr>
          <w:rFonts w:ascii="Book Antiqua" w:hAnsi="Book Antiqua" w:cs="Book Antiqua"/>
          <w:b/>
          <w:bCs/>
          <w:lang w:val="es-CR"/>
        </w:rPr>
        <w:t>eneral</w:t>
      </w:r>
    </w:p>
    <w:p w:rsidR="00A43297" w:rsidRDefault="00A43297" w:rsidP="00A43297">
      <w:pPr>
        <w:jc w:val="center"/>
        <w:rPr>
          <w:rFonts w:ascii="Book Antiqua" w:hAnsi="Book Antiqua" w:cs="Book Antiqua"/>
          <w:b/>
          <w:bCs/>
          <w:lang w:val="es-CR"/>
        </w:rPr>
      </w:pPr>
      <w:r w:rsidRPr="007160CB">
        <w:rPr>
          <w:rFonts w:ascii="Book Antiqua" w:hAnsi="Book Antiqua" w:cs="Book Antiqua"/>
          <w:b/>
          <w:bCs/>
          <w:lang w:val="es-CR"/>
        </w:rPr>
        <w:t>Tribunal de Apelación de Trabajo</w:t>
      </w:r>
      <w:r>
        <w:rPr>
          <w:rFonts w:ascii="Book Antiqua" w:hAnsi="Book Antiqua" w:cs="Book Antiqua"/>
          <w:b/>
          <w:bCs/>
          <w:lang w:val="es-CR"/>
        </w:rPr>
        <w:t xml:space="preserve"> </w:t>
      </w:r>
      <w:r w:rsidRPr="007160CB">
        <w:rPr>
          <w:rFonts w:ascii="Book Antiqua" w:hAnsi="Book Antiqua" w:cs="Book Antiqua"/>
          <w:b/>
          <w:bCs/>
          <w:lang w:val="es-CR"/>
        </w:rPr>
        <w:t>Segundo Circuito Judicial de San José</w:t>
      </w:r>
    </w:p>
    <w:p w:rsidR="00A43297" w:rsidRPr="007160CB" w:rsidRDefault="00A43297" w:rsidP="00A43297">
      <w:pPr>
        <w:jc w:val="center"/>
        <w:rPr>
          <w:rFonts w:ascii="Book Antiqua" w:hAnsi="Book Antiqua" w:cs="Book Antiqua"/>
          <w:b/>
          <w:bCs/>
          <w:lang w:val="es-CR"/>
        </w:rPr>
      </w:pPr>
      <w:r>
        <w:rPr>
          <w:rFonts w:ascii="Book Antiqua" w:hAnsi="Book Antiqua" w:cs="Book Antiqua"/>
          <w:b/>
          <w:bCs/>
          <w:lang w:val="es-CR"/>
        </w:rPr>
        <w:t xml:space="preserve"> 2017, 2018 y 2019</w:t>
      </w:r>
    </w:p>
    <w:p w:rsidR="00A43297" w:rsidRDefault="00A43297" w:rsidP="00442AC2">
      <w:pPr>
        <w:jc w:val="both"/>
        <w:rPr>
          <w:rFonts w:ascii="Book Antiqua" w:hAnsi="Book Antiqua" w:cs="Book Antiqua"/>
          <w:highlight w:val="green"/>
          <w:lang w:val="es-CR"/>
        </w:rPr>
      </w:pPr>
    </w:p>
    <w:p w:rsidR="00A43297" w:rsidRDefault="009F4249" w:rsidP="00057488">
      <w:pPr>
        <w:jc w:val="center"/>
        <w:rPr>
          <w:rFonts w:ascii="Book Antiqua" w:hAnsi="Book Antiqua" w:cs="Book Antiqua"/>
          <w:highlight w:val="green"/>
          <w:lang w:val="es-CR"/>
        </w:rPr>
      </w:pPr>
      <w:r>
        <w:rPr>
          <w:noProof/>
        </w:rPr>
        <w:drawing>
          <wp:inline distT="0" distB="0" distL="0" distR="0" wp14:anchorId="60119F70" wp14:editId="1F1E6348">
            <wp:extent cx="5486400" cy="32004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43297" w:rsidRPr="00057488" w:rsidRDefault="009F4249" w:rsidP="00442AC2">
      <w:pPr>
        <w:jc w:val="both"/>
        <w:rPr>
          <w:rFonts w:ascii="Book Antiqua" w:hAnsi="Book Antiqua" w:cs="Book Antiqua"/>
          <w:sz w:val="16"/>
          <w:szCs w:val="16"/>
          <w:lang w:val="es-CR"/>
        </w:rPr>
      </w:pPr>
      <w:r>
        <w:rPr>
          <w:rFonts w:ascii="Book Antiqua" w:hAnsi="Book Antiqua" w:cs="Book Antiqua"/>
          <w:lang w:val="es-CR"/>
        </w:rPr>
        <w:t xml:space="preserve">    </w:t>
      </w:r>
      <w:r w:rsidR="00A43297" w:rsidRPr="00057488">
        <w:rPr>
          <w:rFonts w:ascii="Book Antiqua" w:hAnsi="Book Antiqua" w:cs="Book Antiqua"/>
          <w:b/>
          <w:bCs/>
          <w:sz w:val="16"/>
          <w:szCs w:val="16"/>
          <w:lang w:val="es-CR"/>
        </w:rPr>
        <w:t xml:space="preserve">Fuente: </w:t>
      </w:r>
      <w:r w:rsidR="00A43297" w:rsidRPr="00057488">
        <w:rPr>
          <w:rFonts w:ascii="Book Antiqua" w:hAnsi="Book Antiqua" w:cs="Book Antiqua"/>
          <w:sz w:val="16"/>
          <w:szCs w:val="16"/>
          <w:lang w:val="es-CR"/>
        </w:rPr>
        <w:t>Matriz de Indicadores del Tribunal de Apelaciones del Segundo Circuito Judicial de San José.</w:t>
      </w:r>
    </w:p>
    <w:p w:rsidR="00A43297" w:rsidRPr="00057488" w:rsidRDefault="00A43297" w:rsidP="00442AC2">
      <w:pPr>
        <w:jc w:val="both"/>
        <w:rPr>
          <w:rFonts w:ascii="Book Antiqua" w:hAnsi="Book Antiqua" w:cs="Book Antiqua"/>
          <w:lang w:val="es-CR"/>
        </w:rPr>
      </w:pPr>
    </w:p>
    <w:p w:rsidR="00A43297" w:rsidRDefault="00A43297" w:rsidP="00A43297">
      <w:pPr>
        <w:jc w:val="both"/>
        <w:rPr>
          <w:rFonts w:ascii="Book Antiqua" w:hAnsi="Book Antiqua" w:cs="Book Antiqua"/>
          <w:lang w:val="es-CR"/>
        </w:rPr>
      </w:pPr>
    </w:p>
    <w:p w:rsidR="00A43297" w:rsidRDefault="00A43297">
      <w:pPr>
        <w:jc w:val="both"/>
        <w:rPr>
          <w:rFonts w:ascii="Book Antiqua" w:hAnsi="Book Antiqua" w:cs="Book Antiqua"/>
          <w:lang w:val="es-CR"/>
        </w:rPr>
      </w:pPr>
      <w:r w:rsidRPr="00057488">
        <w:rPr>
          <w:rFonts w:ascii="Book Antiqua" w:hAnsi="Book Antiqua" w:cs="Book Antiqua"/>
          <w:lang w:val="es-CR"/>
        </w:rPr>
        <w:t>Del gráfico anterior</w:t>
      </w:r>
      <w:r w:rsidR="00E00168">
        <w:rPr>
          <w:rFonts w:ascii="Book Antiqua" w:hAnsi="Book Antiqua" w:cs="Book Antiqua"/>
          <w:lang w:val="es-CR"/>
        </w:rPr>
        <w:t xml:space="preserve"> se puede</w:t>
      </w:r>
      <w:r w:rsidRPr="00057488">
        <w:rPr>
          <w:rFonts w:ascii="Book Antiqua" w:hAnsi="Book Antiqua" w:cs="Book Antiqua"/>
          <w:lang w:val="es-CR"/>
        </w:rPr>
        <w:t xml:space="preserve"> </w:t>
      </w:r>
      <w:r w:rsidR="009D693E" w:rsidRPr="009D693E">
        <w:rPr>
          <w:rFonts w:ascii="Book Antiqua" w:hAnsi="Book Antiqua" w:cs="Book Antiqua"/>
          <w:lang w:val="es-CR"/>
        </w:rPr>
        <w:t>observar como</w:t>
      </w:r>
      <w:r w:rsidRPr="00057488">
        <w:rPr>
          <w:rFonts w:ascii="Book Antiqua" w:hAnsi="Book Antiqua" w:cs="Book Antiqua"/>
          <w:lang w:val="es-CR"/>
        </w:rPr>
        <w:t xml:space="preserve"> el Tribunal de Apelación de Trabajo </w:t>
      </w:r>
      <w:r w:rsidR="00D61F8D">
        <w:rPr>
          <w:rFonts w:ascii="Book Antiqua" w:hAnsi="Book Antiqua" w:cs="Book Antiqua"/>
          <w:lang w:val="es-CR"/>
        </w:rPr>
        <w:t xml:space="preserve">del Segundo Circuito Judicial de San José </w:t>
      </w:r>
      <w:r w:rsidRPr="00057488">
        <w:rPr>
          <w:rFonts w:ascii="Book Antiqua" w:hAnsi="Book Antiqua" w:cs="Book Antiqua"/>
          <w:lang w:val="es-CR"/>
        </w:rPr>
        <w:t>ha presentado una disminución en las variables analizadas (entrada, salida y circulante) de los años 2017 al 2019</w:t>
      </w:r>
      <w:r>
        <w:rPr>
          <w:rFonts w:ascii="Book Antiqua" w:hAnsi="Book Antiqua" w:cs="Book Antiqua"/>
          <w:lang w:val="es-CR"/>
        </w:rPr>
        <w:t xml:space="preserve">, </w:t>
      </w:r>
      <w:r w:rsidR="001E5318">
        <w:rPr>
          <w:rFonts w:ascii="Book Antiqua" w:hAnsi="Book Antiqua" w:cs="Book Antiqua"/>
          <w:lang w:val="es-CR"/>
        </w:rPr>
        <w:t xml:space="preserve">por lo que es preocupante </w:t>
      </w:r>
      <w:r w:rsidRPr="00057488">
        <w:rPr>
          <w:rFonts w:ascii="Book Antiqua" w:hAnsi="Book Antiqua" w:cs="Book Antiqua"/>
          <w:lang w:val="es-CR"/>
        </w:rPr>
        <w:t xml:space="preserve">que el Tribunal de Apelaciones </w:t>
      </w:r>
      <w:r w:rsidR="001E5318">
        <w:rPr>
          <w:rFonts w:ascii="Book Antiqua" w:hAnsi="Book Antiqua" w:cs="Book Antiqua"/>
          <w:lang w:val="es-CR"/>
        </w:rPr>
        <w:t xml:space="preserve">actualmente, de mantener la entrada y estructura de personal </w:t>
      </w:r>
      <w:r w:rsidR="00DA3DD5">
        <w:rPr>
          <w:rFonts w:ascii="Book Antiqua" w:hAnsi="Book Antiqua" w:cs="Book Antiqua"/>
          <w:lang w:val="es-CR"/>
        </w:rPr>
        <w:t xml:space="preserve">no </w:t>
      </w:r>
      <w:r w:rsidR="00536079">
        <w:rPr>
          <w:rFonts w:ascii="Book Antiqua" w:hAnsi="Book Antiqua" w:cs="Book Antiqua"/>
          <w:lang w:val="es-CR"/>
        </w:rPr>
        <w:t>logra</w:t>
      </w:r>
      <w:r w:rsidR="00DA3DD5">
        <w:rPr>
          <w:rFonts w:ascii="Book Antiqua" w:hAnsi="Book Antiqua" w:cs="Book Antiqua"/>
          <w:lang w:val="es-CR"/>
        </w:rPr>
        <w:t xml:space="preserve"> siquiera alcanzar la cantidad de terminados mínima esperada por mes para</w:t>
      </w:r>
      <w:r w:rsidRPr="00057488">
        <w:rPr>
          <w:rFonts w:ascii="Book Antiqua" w:hAnsi="Book Antiqua" w:cs="Book Antiqua"/>
          <w:lang w:val="es-CR"/>
        </w:rPr>
        <w:t xml:space="preserve"> las seis personas juzgadoras</w:t>
      </w:r>
      <w:r w:rsidR="00DA3DD5">
        <w:rPr>
          <w:rFonts w:ascii="Book Antiqua" w:hAnsi="Book Antiqua" w:cs="Book Antiqua"/>
          <w:lang w:val="es-CR"/>
        </w:rPr>
        <w:t xml:space="preserve"> (</w:t>
      </w:r>
      <w:r w:rsidRPr="00057488">
        <w:rPr>
          <w:rFonts w:ascii="Book Antiqua" w:hAnsi="Book Antiqua" w:cs="Book Antiqua"/>
          <w:lang w:val="es-CR"/>
        </w:rPr>
        <w:t xml:space="preserve">cuota de 126 </w:t>
      </w:r>
      <w:r w:rsidR="00DA3DD5">
        <w:rPr>
          <w:rFonts w:ascii="Book Antiqua" w:hAnsi="Book Antiqua" w:cs="Book Antiqua"/>
          <w:lang w:val="es-CR"/>
        </w:rPr>
        <w:t xml:space="preserve">asuntos terminados </w:t>
      </w:r>
      <w:r w:rsidRPr="00057488">
        <w:rPr>
          <w:rFonts w:ascii="Book Antiqua" w:hAnsi="Book Antiqua" w:cs="Book Antiqua"/>
          <w:lang w:val="es-CR"/>
        </w:rPr>
        <w:t>por mes</w:t>
      </w:r>
      <w:r w:rsidR="00DA3DD5">
        <w:rPr>
          <w:rFonts w:ascii="Book Antiqua" w:hAnsi="Book Antiqua" w:cs="Book Antiqua"/>
          <w:lang w:val="es-CR"/>
        </w:rPr>
        <w:t>=21 por plaza de persona juzgadora)</w:t>
      </w:r>
      <w:r w:rsidRPr="00057488">
        <w:rPr>
          <w:rFonts w:ascii="Book Antiqua" w:hAnsi="Book Antiqua" w:cs="Book Antiqua"/>
          <w:lang w:val="es-CR"/>
        </w:rPr>
        <w:t>.</w:t>
      </w:r>
    </w:p>
    <w:p w:rsidR="007C2374" w:rsidRDefault="007C2374">
      <w:pPr>
        <w:jc w:val="both"/>
        <w:rPr>
          <w:rFonts w:ascii="Book Antiqua" w:hAnsi="Book Antiqua" w:cs="Book Antiqua"/>
          <w:lang w:val="es-CR"/>
        </w:rPr>
      </w:pPr>
    </w:p>
    <w:p w:rsidR="007C2374" w:rsidRDefault="007C2374">
      <w:pPr>
        <w:jc w:val="both"/>
        <w:rPr>
          <w:rFonts w:ascii="Book Antiqua" w:hAnsi="Book Antiqua" w:cs="Book Antiqua"/>
          <w:lang w:val="es-CR"/>
        </w:rPr>
      </w:pPr>
      <w:r>
        <w:rPr>
          <w:rFonts w:ascii="Book Antiqua" w:hAnsi="Book Antiqua" w:cs="Book Antiqua"/>
          <w:lang w:val="es-CR"/>
        </w:rPr>
        <w:t>El ingres</w:t>
      </w:r>
      <w:r w:rsidR="00D61F8D">
        <w:rPr>
          <w:rFonts w:ascii="Book Antiqua" w:hAnsi="Book Antiqua" w:cs="Book Antiqua"/>
          <w:lang w:val="es-CR"/>
        </w:rPr>
        <w:t>o</w:t>
      </w:r>
      <w:r>
        <w:rPr>
          <w:rFonts w:ascii="Book Antiqua" w:hAnsi="Book Antiqua" w:cs="Book Antiqua"/>
          <w:lang w:val="es-CR"/>
        </w:rPr>
        <w:t xml:space="preserve"> de asuntos nuevos ha presentado una tendencia de disminución</w:t>
      </w:r>
      <w:r w:rsidR="004F6F4C">
        <w:rPr>
          <w:rFonts w:ascii="Book Antiqua" w:hAnsi="Book Antiqua" w:cs="Book Antiqua"/>
          <w:lang w:val="es-CR"/>
        </w:rPr>
        <w:t>, siendo que</w:t>
      </w:r>
      <w:r>
        <w:rPr>
          <w:rFonts w:ascii="Book Antiqua" w:hAnsi="Book Antiqua" w:cs="Book Antiqua"/>
          <w:lang w:val="es-CR"/>
        </w:rPr>
        <w:t xml:space="preserve"> en </w:t>
      </w:r>
      <w:r w:rsidR="004F6F4C">
        <w:rPr>
          <w:rFonts w:ascii="Book Antiqua" w:hAnsi="Book Antiqua" w:cs="Book Antiqua"/>
          <w:lang w:val="es-CR"/>
        </w:rPr>
        <w:t>e</w:t>
      </w:r>
      <w:r>
        <w:rPr>
          <w:rFonts w:ascii="Book Antiqua" w:hAnsi="Book Antiqua" w:cs="Book Antiqua"/>
          <w:lang w:val="es-CR"/>
        </w:rPr>
        <w:t xml:space="preserve">l 2017 ingresaron un total de 2848 asuntos, mientras que para el 2019 al Tribunal le ingresaron un total de 511 expedientes, esto para una reducción del 82% (2337 expedientes). </w:t>
      </w:r>
    </w:p>
    <w:p w:rsidR="004F6F4C" w:rsidRDefault="004F6F4C">
      <w:pPr>
        <w:jc w:val="both"/>
        <w:rPr>
          <w:rFonts w:ascii="Book Antiqua" w:hAnsi="Book Antiqua" w:cs="Book Antiqua"/>
          <w:lang w:val="es-CR"/>
        </w:rPr>
      </w:pPr>
    </w:p>
    <w:p w:rsidR="007C2374" w:rsidRPr="00057488" w:rsidRDefault="007C2374" w:rsidP="00057488">
      <w:pPr>
        <w:jc w:val="both"/>
        <w:rPr>
          <w:rFonts w:ascii="Book Antiqua" w:hAnsi="Book Antiqua" w:cs="Book Antiqua"/>
          <w:lang w:val="es-CR"/>
        </w:rPr>
      </w:pPr>
      <w:r>
        <w:rPr>
          <w:rFonts w:ascii="Book Antiqua" w:hAnsi="Book Antiqua" w:cs="Book Antiqua"/>
          <w:lang w:val="es-CR"/>
        </w:rPr>
        <w:t xml:space="preserve">Con relación a la variable salida de asuntos, </w:t>
      </w:r>
      <w:r w:rsidR="00453440">
        <w:rPr>
          <w:rFonts w:ascii="Book Antiqua" w:hAnsi="Book Antiqua" w:cs="Book Antiqua"/>
          <w:lang w:val="es-CR"/>
        </w:rPr>
        <w:t>se puede indicar que presenta una tendencia de disminución entre los años 2017 y 2019, en donde el 2017 presentó un total de 3730 casos y para el 2019 obtuvo un total de 1030 asuntos, lo cual presentó una disminución del 72%.</w:t>
      </w:r>
    </w:p>
    <w:p w:rsidR="00A43297" w:rsidRPr="00057488" w:rsidRDefault="00A43297" w:rsidP="00A43297">
      <w:pPr>
        <w:jc w:val="both"/>
        <w:rPr>
          <w:rFonts w:ascii="Book Antiqua" w:hAnsi="Book Antiqua" w:cs="Book Antiqua"/>
          <w:highlight w:val="green"/>
          <w:lang w:val="es-CR"/>
        </w:rPr>
      </w:pPr>
    </w:p>
    <w:p w:rsidR="00453440" w:rsidRDefault="00453440" w:rsidP="00453440">
      <w:pPr>
        <w:widowControl/>
        <w:autoSpaceDE/>
        <w:autoSpaceDN/>
        <w:adjustRightInd/>
        <w:rPr>
          <w:rFonts w:ascii="Book Antiqua" w:hAnsi="Book Antiqua" w:cs="Segoe UI"/>
          <w:lang w:val="es-CR" w:eastAsia="es-CR"/>
        </w:rPr>
      </w:pPr>
      <w:r w:rsidRPr="00057488">
        <w:rPr>
          <w:rFonts w:ascii="Book Antiqua" w:hAnsi="Book Antiqua" w:cs="Segoe UI"/>
          <w:lang w:val="es-CR" w:eastAsia="es-CR"/>
        </w:rPr>
        <w:t xml:space="preserve">En relación con el indicador denominado “circulante”, muestra </w:t>
      </w:r>
      <w:r>
        <w:rPr>
          <w:rFonts w:ascii="Book Antiqua" w:hAnsi="Book Antiqua" w:cs="Segoe UI"/>
          <w:lang w:val="es-CR" w:eastAsia="es-CR"/>
        </w:rPr>
        <w:t>que entre los años analizados obtuvo una disminución del 99%.</w:t>
      </w:r>
    </w:p>
    <w:p w:rsidR="004F6F4C" w:rsidRPr="00057488" w:rsidRDefault="004F6F4C" w:rsidP="00453440">
      <w:pPr>
        <w:widowControl/>
        <w:autoSpaceDE/>
        <w:autoSpaceDN/>
        <w:adjustRightInd/>
        <w:rPr>
          <w:rFonts w:ascii="Book Antiqua" w:hAnsi="Book Antiqua" w:cs="Segoe UI"/>
          <w:lang w:val="es-CR" w:eastAsia="es-CR"/>
        </w:rPr>
      </w:pPr>
    </w:p>
    <w:p w:rsidR="004F6F4C" w:rsidRDefault="0086333B" w:rsidP="00B8697C">
      <w:pPr>
        <w:spacing w:after="200"/>
        <w:jc w:val="both"/>
        <w:rPr>
          <w:rFonts w:ascii="Book Antiqua" w:hAnsi="Book Antiqua" w:cs="Book Antiqua"/>
          <w:lang w:val="es-CR"/>
        </w:rPr>
      </w:pPr>
      <w:r>
        <w:rPr>
          <w:rFonts w:ascii="Book Antiqua" w:hAnsi="Book Antiqua" w:cs="Book Antiqua"/>
          <w:lang w:val="es-CR"/>
        </w:rPr>
        <w:t xml:space="preserve">En función de lo anterior, con el fin de procurar un uso adecuado del recurso humano institucional es necesario generar </w:t>
      </w:r>
      <w:r w:rsidR="00442AC2" w:rsidRPr="00442AC2">
        <w:rPr>
          <w:rFonts w:ascii="Book Antiqua" w:hAnsi="Book Antiqua" w:cs="Book Antiqua"/>
          <w:lang w:val="es-CR"/>
        </w:rPr>
        <w:t xml:space="preserve">carga de trabajo </w:t>
      </w:r>
      <w:r w:rsidR="00FC7AB0">
        <w:rPr>
          <w:rFonts w:ascii="Book Antiqua" w:hAnsi="Book Antiqua" w:cs="Book Antiqua"/>
          <w:lang w:val="es-CR"/>
        </w:rPr>
        <w:t>para el Tribunal de Trabajo del Segundo Circuito Judicial de San José, conforme los hallazgos del</w:t>
      </w:r>
      <w:r w:rsidR="00442AC2" w:rsidRPr="00442AC2">
        <w:rPr>
          <w:rFonts w:ascii="Book Antiqua" w:hAnsi="Book Antiqua" w:cs="Book Antiqua"/>
          <w:lang w:val="es-CR"/>
        </w:rPr>
        <w:t xml:space="preserve"> Centro de Apoyo Coordinación y Mejoramiento de la Función Jurisdiccional en coordinación con la Comisión de la Jurisdicción Laboral</w:t>
      </w:r>
      <w:r w:rsidR="00FC7AB0">
        <w:rPr>
          <w:rFonts w:ascii="Book Antiqua" w:hAnsi="Book Antiqua" w:cs="Book Antiqua"/>
          <w:lang w:val="es-CR"/>
        </w:rPr>
        <w:t xml:space="preserve"> y</w:t>
      </w:r>
      <w:r w:rsidR="00442AC2" w:rsidRPr="00442AC2">
        <w:rPr>
          <w:rFonts w:ascii="Book Antiqua" w:hAnsi="Book Antiqua" w:cs="Book Antiqua"/>
          <w:lang w:val="es-CR"/>
        </w:rPr>
        <w:t xml:space="preserve"> a partir de parámetros objetivos</w:t>
      </w:r>
      <w:r w:rsidR="00FC7AB0">
        <w:rPr>
          <w:rFonts w:ascii="Book Antiqua" w:hAnsi="Book Antiqua" w:cs="Book Antiqua"/>
          <w:lang w:val="es-CR"/>
        </w:rPr>
        <w:t xml:space="preserve">. </w:t>
      </w:r>
    </w:p>
    <w:p w:rsidR="00442AC2" w:rsidRPr="00057488" w:rsidRDefault="00FC7AB0" w:rsidP="00B8697C">
      <w:pPr>
        <w:spacing w:after="200"/>
        <w:jc w:val="both"/>
        <w:rPr>
          <w:rFonts w:ascii="Book Antiqua" w:hAnsi="Book Antiqua" w:cs="Book Antiqua"/>
          <w:b/>
          <w:bCs/>
          <w:lang w:val="es-CR"/>
        </w:rPr>
      </w:pPr>
      <w:r>
        <w:rPr>
          <w:rFonts w:ascii="Book Antiqua" w:hAnsi="Book Antiqua" w:cs="Book Antiqua"/>
          <w:lang w:val="es-CR"/>
        </w:rPr>
        <w:t xml:space="preserve">Por ello, se requiere </w:t>
      </w:r>
      <w:r w:rsidR="00417689">
        <w:rPr>
          <w:rFonts w:ascii="Book Antiqua" w:hAnsi="Book Antiqua" w:cs="Book Antiqua"/>
          <w:lang w:val="es-CR"/>
        </w:rPr>
        <w:t xml:space="preserve">con prioridad </w:t>
      </w:r>
      <w:r w:rsidR="00AD6D4D">
        <w:rPr>
          <w:rFonts w:ascii="Book Antiqua" w:hAnsi="Book Antiqua" w:cs="Book Antiqua"/>
          <w:lang w:val="es-CR"/>
        </w:rPr>
        <w:t xml:space="preserve">incrementar la carga de trabajo del citado Tribunal, a partir de </w:t>
      </w:r>
      <w:r w:rsidR="00442AC2" w:rsidRPr="00442AC2">
        <w:rPr>
          <w:rFonts w:ascii="Book Antiqua" w:hAnsi="Book Antiqua" w:cs="Book Antiqua"/>
          <w:lang w:val="es-CR"/>
        </w:rPr>
        <w:t xml:space="preserve">la asignación </w:t>
      </w:r>
      <w:r w:rsidR="00442AC2" w:rsidRPr="00417689">
        <w:rPr>
          <w:rFonts w:ascii="Book Antiqua" w:hAnsi="Book Antiqua" w:cs="Book Antiqua"/>
          <w:lang w:val="es-CR"/>
        </w:rPr>
        <w:t xml:space="preserve">de </w:t>
      </w:r>
      <w:r>
        <w:rPr>
          <w:rFonts w:ascii="Book Antiqua" w:hAnsi="Book Antiqua" w:cs="Book Antiqua"/>
          <w:lang w:val="es-CR"/>
        </w:rPr>
        <w:t>recursos de apelación</w:t>
      </w:r>
      <w:r w:rsidR="00442AC2" w:rsidRPr="00417689">
        <w:rPr>
          <w:rFonts w:ascii="Book Antiqua" w:hAnsi="Book Antiqua" w:cs="Book Antiqua"/>
          <w:lang w:val="es-CR"/>
        </w:rPr>
        <w:t xml:space="preserve"> nuevos que provengan del Juzgado de</w:t>
      </w:r>
      <w:r w:rsidR="00442AC2" w:rsidRPr="008B532E">
        <w:rPr>
          <w:rFonts w:ascii="Book Antiqua" w:hAnsi="Book Antiqua" w:cs="Book Antiqua"/>
          <w:lang w:val="es-CR"/>
        </w:rPr>
        <w:t xml:space="preserve"> Seguridad Social</w:t>
      </w:r>
      <w:r w:rsidR="0086333B">
        <w:rPr>
          <w:rFonts w:ascii="Book Antiqua" w:hAnsi="Book Antiqua" w:cs="Book Antiqua"/>
          <w:lang w:val="es-CR"/>
        </w:rPr>
        <w:t xml:space="preserve"> de San José</w:t>
      </w:r>
      <w:r w:rsidR="00DA3DD5">
        <w:rPr>
          <w:rFonts w:ascii="Book Antiqua" w:hAnsi="Book Antiqua" w:cs="Book Antiqua"/>
          <w:lang w:val="es-CR"/>
        </w:rPr>
        <w:t xml:space="preserve"> (</w:t>
      </w:r>
      <w:r w:rsidR="00442AC2" w:rsidRPr="00417689">
        <w:rPr>
          <w:rFonts w:ascii="Book Antiqua" w:hAnsi="Book Antiqua" w:cs="Book Antiqua"/>
          <w:lang w:val="es-CR"/>
        </w:rPr>
        <w:t>bajo la distribución de competencia</w:t>
      </w:r>
      <w:r w:rsidR="00EC091F" w:rsidRPr="00417689">
        <w:rPr>
          <w:rFonts w:ascii="Book Antiqua" w:hAnsi="Book Antiqua" w:cs="Book Antiqua"/>
          <w:lang w:val="es-CR"/>
        </w:rPr>
        <w:t xml:space="preserve"> territorial</w:t>
      </w:r>
      <w:r w:rsidR="00442AC2" w:rsidRPr="00417689">
        <w:rPr>
          <w:rFonts w:ascii="Book Antiqua" w:hAnsi="Book Antiqua" w:cs="Book Antiqua"/>
          <w:lang w:val="es-CR"/>
        </w:rPr>
        <w:t xml:space="preserve"> </w:t>
      </w:r>
      <w:r w:rsidR="00D0328D" w:rsidRPr="00417689">
        <w:rPr>
          <w:rFonts w:ascii="Book Antiqua" w:hAnsi="Book Antiqua" w:cs="Book Antiqua"/>
          <w:lang w:val="es-CR"/>
        </w:rPr>
        <w:t>ordinaria</w:t>
      </w:r>
      <w:r>
        <w:rPr>
          <w:rFonts w:ascii="Book Antiqua" w:hAnsi="Book Antiqua" w:cs="Book Antiqua"/>
          <w:lang w:val="es-CR"/>
        </w:rPr>
        <w:t xml:space="preserve"> actual</w:t>
      </w:r>
      <w:r w:rsidR="00D0328D" w:rsidRPr="00417689">
        <w:rPr>
          <w:rFonts w:ascii="Book Antiqua" w:hAnsi="Book Antiqua" w:cs="Book Antiqua"/>
          <w:lang w:val="es-CR"/>
        </w:rPr>
        <w:t xml:space="preserve"> </w:t>
      </w:r>
      <w:r w:rsidR="004F6F4C">
        <w:rPr>
          <w:rFonts w:ascii="Book Antiqua" w:hAnsi="Book Antiqua" w:cs="Book Antiqua"/>
          <w:lang w:val="es-CR"/>
        </w:rPr>
        <w:t xml:space="preserve">estos recursos </w:t>
      </w:r>
      <w:r w:rsidR="00442AC2" w:rsidRPr="00417689">
        <w:rPr>
          <w:rFonts w:ascii="Book Antiqua" w:hAnsi="Book Antiqua" w:cs="Book Antiqua"/>
          <w:lang w:val="es-CR"/>
        </w:rPr>
        <w:t>ingresan al Tribunal</w:t>
      </w:r>
      <w:r w:rsidR="00442AC2" w:rsidRPr="00442AC2">
        <w:rPr>
          <w:rFonts w:ascii="Book Antiqua" w:hAnsi="Book Antiqua" w:cs="Book Antiqua"/>
          <w:lang w:val="es-CR"/>
        </w:rPr>
        <w:t xml:space="preserve"> </w:t>
      </w:r>
      <w:r>
        <w:rPr>
          <w:rFonts w:ascii="Book Antiqua" w:hAnsi="Book Antiqua" w:cs="Book Antiqua"/>
          <w:lang w:val="es-CR"/>
        </w:rPr>
        <w:t>de Apelación de Trabajo</w:t>
      </w:r>
      <w:r w:rsidR="00442AC2" w:rsidRPr="00442AC2">
        <w:rPr>
          <w:rFonts w:ascii="Book Antiqua" w:hAnsi="Book Antiqua" w:cs="Book Antiqua"/>
          <w:lang w:val="es-CR"/>
        </w:rPr>
        <w:t xml:space="preserve"> del Primer Circuito Judicial de San José</w:t>
      </w:r>
      <w:r w:rsidR="00DA3DD5">
        <w:rPr>
          <w:rFonts w:ascii="Book Antiqua" w:hAnsi="Book Antiqua" w:cs="Book Antiqua"/>
          <w:lang w:val="es-CR"/>
        </w:rPr>
        <w:t>)</w:t>
      </w:r>
      <w:r w:rsidR="00442AC2" w:rsidRPr="00442AC2">
        <w:rPr>
          <w:rFonts w:ascii="Book Antiqua" w:hAnsi="Book Antiqua" w:cs="Book Antiqua"/>
          <w:lang w:val="es-CR"/>
        </w:rPr>
        <w:t>.</w:t>
      </w:r>
      <w:r w:rsidR="00EC091F" w:rsidRPr="00057488">
        <w:rPr>
          <w:rFonts w:ascii="Book Antiqua" w:hAnsi="Book Antiqua" w:cs="Book Antiqua"/>
          <w:b/>
          <w:bCs/>
          <w:lang w:val="es-CR"/>
        </w:rPr>
        <w:t xml:space="preserve">  </w:t>
      </w:r>
    </w:p>
    <w:p w:rsidR="00536079" w:rsidRPr="00057488" w:rsidRDefault="00FC7AB0" w:rsidP="00B8697C">
      <w:pPr>
        <w:spacing w:after="200"/>
        <w:jc w:val="both"/>
        <w:rPr>
          <w:rFonts w:ascii="Book Antiqua" w:hAnsi="Book Antiqua" w:cs="Book Antiqua"/>
          <w:lang w:val="es-CR"/>
        </w:rPr>
      </w:pPr>
      <w:r w:rsidRPr="004F6F4C">
        <w:rPr>
          <w:rFonts w:ascii="Book Antiqua" w:hAnsi="Book Antiqua" w:cs="Book Antiqua"/>
          <w:lang w:val="es-CR"/>
        </w:rPr>
        <w:t xml:space="preserve">Conforme al acuerdo de Corte Plena en sesión </w:t>
      </w:r>
      <w:r w:rsidRPr="00057488">
        <w:rPr>
          <w:rFonts w:ascii="Book Antiqua" w:hAnsi="Book Antiqua" w:cs="Book Antiqua"/>
          <w:lang w:val="es-CR"/>
        </w:rPr>
        <w:t>45-19, celebrada el 28 de octubre de 2019, artículo XI</w:t>
      </w:r>
      <w:r w:rsidR="004F6F4C" w:rsidRPr="004F6F4C">
        <w:rPr>
          <w:rFonts w:ascii="Book Antiqua" w:hAnsi="Book Antiqua" w:cs="Book Antiqua"/>
          <w:lang w:val="es-CR"/>
        </w:rPr>
        <w:t>,</w:t>
      </w:r>
      <w:r w:rsidRPr="004F6F4C">
        <w:rPr>
          <w:rFonts w:ascii="Book Antiqua" w:hAnsi="Book Antiqua" w:cs="Book Antiqua"/>
          <w:lang w:val="es-CR"/>
        </w:rPr>
        <w:t xml:space="preserve"> </w:t>
      </w:r>
      <w:r w:rsidR="00C21283" w:rsidRPr="004F6F4C">
        <w:rPr>
          <w:rFonts w:ascii="Book Antiqua" w:hAnsi="Book Antiqua" w:cs="Book Antiqua"/>
          <w:lang w:val="es-CR"/>
        </w:rPr>
        <w:t>el Tribunal Apelación</w:t>
      </w:r>
      <w:r w:rsidR="00A852EA" w:rsidRPr="004F6F4C">
        <w:rPr>
          <w:rFonts w:ascii="Book Antiqua" w:hAnsi="Book Antiqua" w:cs="Book Antiqua"/>
          <w:lang w:val="es-CR"/>
        </w:rPr>
        <w:t xml:space="preserve"> de Trabajo</w:t>
      </w:r>
      <w:r w:rsidR="00C21283" w:rsidRPr="004F6F4C">
        <w:rPr>
          <w:rFonts w:ascii="Book Antiqua" w:hAnsi="Book Antiqua" w:cs="Book Antiqua"/>
          <w:lang w:val="es-CR"/>
        </w:rPr>
        <w:t xml:space="preserve"> del Segundo Circuito Judicial de San José </w:t>
      </w:r>
      <w:r w:rsidRPr="004F6F4C">
        <w:rPr>
          <w:rFonts w:ascii="Book Antiqua" w:hAnsi="Book Antiqua" w:cs="Book Antiqua"/>
          <w:lang w:val="es-CR"/>
        </w:rPr>
        <w:t xml:space="preserve">tramitó los recursos </w:t>
      </w:r>
      <w:r w:rsidR="00C21283" w:rsidRPr="004F6F4C">
        <w:rPr>
          <w:rFonts w:ascii="Book Antiqua" w:hAnsi="Book Antiqua" w:cs="Book Antiqua"/>
          <w:lang w:val="es-CR"/>
        </w:rPr>
        <w:t>nuevos en apelación del Juz</w:t>
      </w:r>
      <w:r w:rsidR="00A852EA" w:rsidRPr="004F6F4C">
        <w:rPr>
          <w:rFonts w:ascii="Book Antiqua" w:hAnsi="Book Antiqua" w:cs="Book Antiqua"/>
          <w:lang w:val="es-CR"/>
        </w:rPr>
        <w:t>g</w:t>
      </w:r>
      <w:r w:rsidR="00C21283" w:rsidRPr="004F6F4C">
        <w:rPr>
          <w:rFonts w:ascii="Book Antiqua" w:hAnsi="Book Antiqua" w:cs="Book Antiqua"/>
          <w:lang w:val="es-CR"/>
        </w:rPr>
        <w:t xml:space="preserve">ado </w:t>
      </w:r>
      <w:r w:rsidR="00A852EA" w:rsidRPr="004F6F4C">
        <w:rPr>
          <w:rFonts w:ascii="Book Antiqua" w:hAnsi="Book Antiqua" w:cs="Book Antiqua"/>
          <w:lang w:val="es-CR"/>
        </w:rPr>
        <w:t>de Seguridad</w:t>
      </w:r>
      <w:r w:rsidR="00C21283" w:rsidRPr="004F6F4C">
        <w:rPr>
          <w:rFonts w:ascii="Book Antiqua" w:hAnsi="Book Antiqua" w:cs="Book Antiqua"/>
          <w:lang w:val="es-CR"/>
        </w:rPr>
        <w:t xml:space="preserve"> Social</w:t>
      </w:r>
      <w:r w:rsidRPr="004F6F4C">
        <w:rPr>
          <w:rFonts w:ascii="Book Antiqua" w:hAnsi="Book Antiqua" w:cs="Book Antiqua"/>
          <w:lang w:val="es-CR"/>
        </w:rPr>
        <w:t xml:space="preserve">, según propuesta </w:t>
      </w:r>
      <w:r w:rsidR="00417689" w:rsidRPr="00057488">
        <w:rPr>
          <w:rFonts w:ascii="Book Antiqua" w:hAnsi="Book Antiqua" w:cs="Book Antiqua"/>
          <w:lang w:val="es-CR"/>
        </w:rPr>
        <w:t xml:space="preserve">temporal por un plazo que se </w:t>
      </w:r>
      <w:r w:rsidR="00C94549" w:rsidRPr="00057488">
        <w:rPr>
          <w:rFonts w:ascii="Book Antiqua" w:hAnsi="Book Antiqua" w:cs="Book Antiqua"/>
          <w:lang w:val="es-CR"/>
        </w:rPr>
        <w:t>extendió</w:t>
      </w:r>
      <w:r w:rsidR="00417689" w:rsidRPr="00057488">
        <w:rPr>
          <w:rFonts w:ascii="Book Antiqua" w:hAnsi="Book Antiqua" w:cs="Book Antiqua"/>
          <w:lang w:val="es-CR"/>
        </w:rPr>
        <w:t xml:space="preserve"> del 01 de noviembre de 2019 el 30 de junio del 2020</w:t>
      </w:r>
      <w:r w:rsidR="004E27EF" w:rsidRPr="00057488">
        <w:rPr>
          <w:rFonts w:ascii="Book Antiqua" w:hAnsi="Book Antiqua" w:cs="Book Antiqua"/>
          <w:lang w:val="es-CR"/>
        </w:rPr>
        <w:t>.</w:t>
      </w:r>
    </w:p>
    <w:p w:rsidR="00536079" w:rsidRDefault="00536079" w:rsidP="00536079">
      <w:pPr>
        <w:spacing w:after="200"/>
        <w:jc w:val="both"/>
        <w:rPr>
          <w:rFonts w:ascii="Book Antiqua" w:hAnsi="Book Antiqua" w:cs="Book Antiqua"/>
          <w:lang w:val="es-CR"/>
        </w:rPr>
      </w:pPr>
      <w:r w:rsidRPr="00057488">
        <w:rPr>
          <w:rFonts w:ascii="Book Antiqua" w:hAnsi="Book Antiqua" w:cs="Book Antiqua"/>
          <w:lang w:val="es-CR"/>
        </w:rPr>
        <w:t xml:space="preserve">Con el traslado de competencia del Tribunal del Primer al Segundo Circuito Judicial de San José (en lo que respecta al conocimiento en segunda instancia de los asuntos provenientes del Juzgado de Seguridad Social), se logró incrementar la carga de trabajo del Tribunal en el Segundo Circuito, y liberar al Tribunal en el Primer Circuito que cuanta con mayor carga de trabajo. </w:t>
      </w:r>
    </w:p>
    <w:p w:rsidR="00453440" w:rsidRDefault="00453440" w:rsidP="00536079">
      <w:pPr>
        <w:spacing w:after="200"/>
        <w:jc w:val="both"/>
        <w:rPr>
          <w:rFonts w:ascii="Book Antiqua" w:hAnsi="Book Antiqua" w:cs="Book Antiqua"/>
          <w:lang w:val="es-CR"/>
        </w:rPr>
      </w:pPr>
    </w:p>
    <w:p w:rsidR="004F6F4C" w:rsidRDefault="004F6F4C">
      <w:pPr>
        <w:widowControl/>
        <w:autoSpaceDE/>
        <w:autoSpaceDN/>
        <w:adjustRightInd/>
        <w:rPr>
          <w:rFonts w:ascii="Book Antiqua" w:hAnsi="Book Antiqua" w:cs="Book Antiqua"/>
          <w:b/>
          <w:bCs/>
          <w:lang w:val="es-CR"/>
        </w:rPr>
      </w:pPr>
      <w:r>
        <w:rPr>
          <w:rFonts w:ascii="Book Antiqua" w:hAnsi="Book Antiqua" w:cs="Book Antiqua"/>
          <w:b/>
          <w:bCs/>
          <w:lang w:val="es-CR"/>
        </w:rPr>
        <w:br w:type="page"/>
      </w:r>
    </w:p>
    <w:p w:rsidR="00453440" w:rsidRPr="007160CB" w:rsidRDefault="00453440" w:rsidP="00453440">
      <w:pPr>
        <w:jc w:val="center"/>
        <w:rPr>
          <w:rFonts w:ascii="Book Antiqua" w:hAnsi="Book Antiqua" w:cs="Book Antiqua"/>
          <w:b/>
          <w:bCs/>
          <w:lang w:val="es-CR"/>
        </w:rPr>
      </w:pPr>
      <w:bookmarkStart w:id="0" w:name="_Hlk48233533"/>
      <w:r w:rsidRPr="007160CB">
        <w:rPr>
          <w:rFonts w:ascii="Book Antiqua" w:hAnsi="Book Antiqua" w:cs="Book Antiqua"/>
          <w:b/>
          <w:bCs/>
          <w:lang w:val="es-CR"/>
        </w:rPr>
        <w:t>Cuadro 1</w:t>
      </w:r>
    </w:p>
    <w:p w:rsidR="00453440" w:rsidRPr="007160CB" w:rsidRDefault="00453440" w:rsidP="00453440">
      <w:pPr>
        <w:jc w:val="center"/>
        <w:rPr>
          <w:rFonts w:ascii="Book Antiqua" w:hAnsi="Book Antiqua" w:cs="Book Antiqua"/>
          <w:b/>
          <w:bCs/>
          <w:lang w:val="es-CR"/>
        </w:rPr>
      </w:pPr>
      <w:r>
        <w:rPr>
          <w:rFonts w:ascii="Book Antiqua" w:hAnsi="Book Antiqua" w:cs="Book Antiqua"/>
          <w:b/>
          <w:bCs/>
          <w:lang w:val="es-CR"/>
        </w:rPr>
        <w:t xml:space="preserve">Comparación del </w:t>
      </w:r>
      <w:r w:rsidRPr="007160CB">
        <w:rPr>
          <w:rFonts w:ascii="Book Antiqua" w:hAnsi="Book Antiqua" w:cs="Book Antiqua"/>
          <w:b/>
          <w:bCs/>
          <w:lang w:val="es-CR"/>
        </w:rPr>
        <w:t xml:space="preserve">Balance </w:t>
      </w:r>
      <w:r>
        <w:rPr>
          <w:rFonts w:ascii="Book Antiqua" w:hAnsi="Book Antiqua" w:cs="Book Antiqua"/>
          <w:b/>
          <w:bCs/>
          <w:lang w:val="es-CR"/>
        </w:rPr>
        <w:t>G</w:t>
      </w:r>
      <w:r w:rsidRPr="007160CB">
        <w:rPr>
          <w:rFonts w:ascii="Book Antiqua" w:hAnsi="Book Antiqua" w:cs="Book Antiqua"/>
          <w:b/>
          <w:bCs/>
          <w:lang w:val="es-CR"/>
        </w:rPr>
        <w:t>eneral</w:t>
      </w:r>
    </w:p>
    <w:p w:rsidR="00453440" w:rsidRDefault="00453440" w:rsidP="00453440">
      <w:pPr>
        <w:jc w:val="center"/>
        <w:rPr>
          <w:rFonts w:ascii="Book Antiqua" w:hAnsi="Book Antiqua" w:cs="Book Antiqua"/>
          <w:b/>
          <w:bCs/>
          <w:lang w:val="es-CR"/>
        </w:rPr>
      </w:pPr>
      <w:r w:rsidRPr="007160CB">
        <w:rPr>
          <w:rFonts w:ascii="Book Antiqua" w:hAnsi="Book Antiqua" w:cs="Book Antiqua"/>
          <w:b/>
          <w:bCs/>
          <w:lang w:val="es-CR"/>
        </w:rPr>
        <w:t>Tribunal de Apelación de Trabajo</w:t>
      </w:r>
      <w:r>
        <w:rPr>
          <w:rFonts w:ascii="Book Antiqua" w:hAnsi="Book Antiqua" w:cs="Book Antiqua"/>
          <w:b/>
          <w:bCs/>
          <w:lang w:val="es-CR"/>
        </w:rPr>
        <w:t xml:space="preserve"> Primero y </w:t>
      </w:r>
      <w:r w:rsidRPr="007160CB">
        <w:rPr>
          <w:rFonts w:ascii="Book Antiqua" w:hAnsi="Book Antiqua" w:cs="Book Antiqua"/>
          <w:b/>
          <w:bCs/>
          <w:lang w:val="es-CR"/>
        </w:rPr>
        <w:t>Segundo Circuito Judicial de San José</w:t>
      </w:r>
    </w:p>
    <w:p w:rsidR="00453440" w:rsidRPr="007160CB" w:rsidRDefault="00453440" w:rsidP="00453440">
      <w:pPr>
        <w:jc w:val="center"/>
        <w:rPr>
          <w:rFonts w:ascii="Book Antiqua" w:hAnsi="Book Antiqua" w:cs="Book Antiqua"/>
          <w:b/>
          <w:bCs/>
          <w:lang w:val="es-CR"/>
        </w:rPr>
      </w:pPr>
      <w:r>
        <w:rPr>
          <w:rFonts w:ascii="Book Antiqua" w:hAnsi="Book Antiqua" w:cs="Book Antiqua"/>
          <w:b/>
          <w:bCs/>
          <w:lang w:val="es-CR"/>
        </w:rPr>
        <w:t>Octubre 2019 a junio 2020</w:t>
      </w:r>
    </w:p>
    <w:bookmarkEnd w:id="0"/>
    <w:p w:rsidR="00536079" w:rsidRDefault="00536079" w:rsidP="00536079">
      <w:pPr>
        <w:spacing w:after="200"/>
        <w:jc w:val="both"/>
        <w:rPr>
          <w:rFonts w:ascii="Book Antiqua" w:hAnsi="Book Antiqua" w:cs="Book Antiqua"/>
          <w:highlight w:val="yellow"/>
          <w:lang w:val="es-CR"/>
        </w:rPr>
      </w:pPr>
    </w:p>
    <w:tbl>
      <w:tblPr>
        <w:tblW w:w="5000" w:type="pct"/>
        <w:tblCellMar>
          <w:left w:w="70" w:type="dxa"/>
          <w:right w:w="70" w:type="dxa"/>
        </w:tblCellMar>
        <w:tblLook w:val="04A0" w:firstRow="1" w:lastRow="0" w:firstColumn="1" w:lastColumn="0" w:noHBand="0" w:noVBand="1"/>
      </w:tblPr>
      <w:tblGrid>
        <w:gridCol w:w="1173"/>
        <w:gridCol w:w="915"/>
        <w:gridCol w:w="1240"/>
        <w:gridCol w:w="1097"/>
        <w:gridCol w:w="275"/>
        <w:gridCol w:w="1174"/>
        <w:gridCol w:w="852"/>
        <w:gridCol w:w="1240"/>
        <w:gridCol w:w="1096"/>
      </w:tblGrid>
      <w:tr w:rsidR="002C7B05" w:rsidRPr="002C7B05" w:rsidTr="00057488">
        <w:trPr>
          <w:trHeight w:val="1040"/>
        </w:trPr>
        <w:tc>
          <w:tcPr>
            <w:tcW w:w="648" w:type="pct"/>
            <w:tcBorders>
              <w:top w:val="single" w:sz="4" w:space="0" w:color="auto"/>
              <w:left w:val="single" w:sz="4" w:space="0" w:color="auto"/>
              <w:bottom w:val="single" w:sz="4" w:space="0" w:color="auto"/>
              <w:right w:val="single" w:sz="4" w:space="0" w:color="auto"/>
            </w:tcBorders>
            <w:shd w:val="clear" w:color="000000" w:fill="4472C4"/>
            <w:vAlign w:val="center"/>
            <w:hideMark/>
          </w:tcPr>
          <w:p w:rsidR="002C7B05" w:rsidRPr="002C7B05" w:rsidRDefault="002C7B05" w:rsidP="002C7B05">
            <w:pPr>
              <w:widowControl/>
              <w:autoSpaceDE/>
              <w:autoSpaceDN/>
              <w:adjustRightInd/>
              <w:jc w:val="center"/>
              <w:rPr>
                <w:rFonts w:ascii="Book Antiqua" w:hAnsi="Book Antiqua" w:cs="Calibri"/>
                <w:b/>
                <w:bCs/>
                <w:color w:val="FFFFFF"/>
                <w:sz w:val="20"/>
                <w:szCs w:val="20"/>
                <w:lang w:val="es-CR" w:eastAsia="es-CR"/>
              </w:rPr>
            </w:pPr>
            <w:r w:rsidRPr="002C7B05">
              <w:rPr>
                <w:rFonts w:ascii="Book Antiqua" w:hAnsi="Book Antiqua" w:cs="Calibri"/>
                <w:b/>
                <w:bCs/>
                <w:color w:val="FFFFFF"/>
                <w:sz w:val="20"/>
                <w:szCs w:val="20"/>
                <w:lang w:val="es-CR" w:eastAsia="es-CR"/>
              </w:rPr>
              <w:t>Tribunal Ap</w:t>
            </w:r>
            <w:r w:rsidR="00DB3EC8">
              <w:rPr>
                <w:rFonts w:ascii="Book Antiqua" w:hAnsi="Book Antiqua" w:cs="Calibri"/>
                <w:b/>
                <w:bCs/>
                <w:color w:val="FFFFFF"/>
                <w:sz w:val="20"/>
                <w:szCs w:val="20"/>
                <w:lang w:val="es-CR" w:eastAsia="es-CR"/>
              </w:rPr>
              <w:t>e</w:t>
            </w:r>
            <w:r w:rsidRPr="002C7B05">
              <w:rPr>
                <w:rFonts w:ascii="Book Antiqua" w:hAnsi="Book Antiqua" w:cs="Calibri"/>
                <w:b/>
                <w:bCs/>
                <w:color w:val="FFFFFF"/>
                <w:sz w:val="20"/>
                <w:szCs w:val="20"/>
                <w:lang w:val="es-CR" w:eastAsia="es-CR"/>
              </w:rPr>
              <w:t>lación de Trabajo del I CJSJ</w:t>
            </w:r>
          </w:p>
        </w:tc>
        <w:tc>
          <w:tcPr>
            <w:tcW w:w="505" w:type="pct"/>
            <w:tcBorders>
              <w:top w:val="single" w:sz="4" w:space="0" w:color="auto"/>
              <w:left w:val="nil"/>
              <w:bottom w:val="single" w:sz="4" w:space="0" w:color="auto"/>
              <w:right w:val="single" w:sz="4" w:space="0" w:color="auto"/>
            </w:tcBorders>
            <w:shd w:val="clear" w:color="000000" w:fill="4472C4"/>
            <w:vAlign w:val="center"/>
            <w:hideMark/>
          </w:tcPr>
          <w:p w:rsidR="002C7B05" w:rsidRPr="002C7B05" w:rsidRDefault="002C7B05" w:rsidP="002C7B05">
            <w:pPr>
              <w:widowControl/>
              <w:autoSpaceDE/>
              <w:autoSpaceDN/>
              <w:adjustRightInd/>
              <w:jc w:val="center"/>
              <w:rPr>
                <w:rFonts w:ascii="Book Antiqua" w:hAnsi="Book Antiqua" w:cs="Calibri"/>
                <w:b/>
                <w:bCs/>
                <w:color w:val="FFFFFF"/>
                <w:sz w:val="20"/>
                <w:szCs w:val="20"/>
                <w:lang w:val="es-CR" w:eastAsia="es-CR"/>
              </w:rPr>
            </w:pPr>
            <w:r w:rsidRPr="002C7B05">
              <w:rPr>
                <w:rFonts w:ascii="Book Antiqua" w:hAnsi="Book Antiqua" w:cs="Calibri"/>
                <w:b/>
                <w:bCs/>
                <w:color w:val="FFFFFF"/>
                <w:sz w:val="20"/>
                <w:szCs w:val="20"/>
                <w:lang w:val="es-CR" w:eastAsia="es-CR"/>
              </w:rPr>
              <w:t>Entrada</w:t>
            </w:r>
          </w:p>
        </w:tc>
        <w:tc>
          <w:tcPr>
            <w:tcW w:w="684" w:type="pct"/>
            <w:tcBorders>
              <w:top w:val="single" w:sz="4" w:space="0" w:color="auto"/>
              <w:left w:val="nil"/>
              <w:bottom w:val="single" w:sz="4" w:space="0" w:color="auto"/>
              <w:right w:val="single" w:sz="4" w:space="0" w:color="auto"/>
            </w:tcBorders>
            <w:shd w:val="clear" w:color="000000" w:fill="4472C4"/>
            <w:vAlign w:val="center"/>
            <w:hideMark/>
          </w:tcPr>
          <w:p w:rsidR="002C7B05" w:rsidRPr="002C7B05" w:rsidRDefault="002C7B05" w:rsidP="002C7B05">
            <w:pPr>
              <w:widowControl/>
              <w:autoSpaceDE/>
              <w:autoSpaceDN/>
              <w:adjustRightInd/>
              <w:jc w:val="center"/>
              <w:rPr>
                <w:rFonts w:ascii="Book Antiqua" w:hAnsi="Book Antiqua" w:cs="Calibri"/>
                <w:b/>
                <w:bCs/>
                <w:color w:val="FFFFFF"/>
                <w:sz w:val="20"/>
                <w:szCs w:val="20"/>
                <w:lang w:val="es-CR" w:eastAsia="es-CR"/>
              </w:rPr>
            </w:pPr>
            <w:r w:rsidRPr="002C7B05">
              <w:rPr>
                <w:rFonts w:ascii="Book Antiqua" w:hAnsi="Book Antiqua" w:cs="Calibri"/>
                <w:b/>
                <w:bCs/>
                <w:color w:val="FFFFFF"/>
                <w:sz w:val="20"/>
                <w:szCs w:val="20"/>
                <w:lang w:val="es-CR" w:eastAsia="es-CR"/>
              </w:rPr>
              <w:t>Terminados</w:t>
            </w:r>
          </w:p>
        </w:tc>
        <w:tc>
          <w:tcPr>
            <w:tcW w:w="605" w:type="pct"/>
            <w:tcBorders>
              <w:top w:val="single" w:sz="4" w:space="0" w:color="auto"/>
              <w:left w:val="nil"/>
              <w:bottom w:val="single" w:sz="4" w:space="0" w:color="auto"/>
              <w:right w:val="single" w:sz="4" w:space="0" w:color="auto"/>
            </w:tcBorders>
            <w:shd w:val="clear" w:color="000000" w:fill="4472C4"/>
            <w:vAlign w:val="center"/>
            <w:hideMark/>
          </w:tcPr>
          <w:p w:rsidR="002C7B05" w:rsidRPr="002C7B05" w:rsidRDefault="002C7B05" w:rsidP="002C7B05">
            <w:pPr>
              <w:widowControl/>
              <w:autoSpaceDE/>
              <w:autoSpaceDN/>
              <w:adjustRightInd/>
              <w:jc w:val="center"/>
              <w:rPr>
                <w:rFonts w:ascii="Book Antiqua" w:hAnsi="Book Antiqua" w:cs="Calibri"/>
                <w:b/>
                <w:bCs/>
                <w:color w:val="FFFFFF"/>
                <w:sz w:val="20"/>
                <w:szCs w:val="20"/>
                <w:lang w:val="es-CR" w:eastAsia="es-CR"/>
              </w:rPr>
            </w:pPr>
            <w:r w:rsidRPr="002C7B05">
              <w:rPr>
                <w:rFonts w:ascii="Book Antiqua" w:hAnsi="Book Antiqua" w:cs="Calibri"/>
                <w:b/>
                <w:bCs/>
                <w:color w:val="FFFFFF"/>
                <w:sz w:val="20"/>
                <w:szCs w:val="20"/>
                <w:lang w:val="es-CR" w:eastAsia="es-CR"/>
              </w:rPr>
              <w:t>Circulante final</w:t>
            </w:r>
          </w:p>
        </w:tc>
        <w:tc>
          <w:tcPr>
            <w:tcW w:w="152" w:type="pct"/>
            <w:tcBorders>
              <w:top w:val="nil"/>
              <w:left w:val="nil"/>
              <w:bottom w:val="nil"/>
              <w:right w:val="nil"/>
            </w:tcBorders>
            <w:shd w:val="clear" w:color="000000" w:fill="FFFFFF"/>
            <w:noWrap/>
            <w:vAlign w:val="bottom"/>
            <w:hideMark/>
          </w:tcPr>
          <w:p w:rsidR="002C7B05" w:rsidRPr="002C7B05" w:rsidRDefault="002C7B05" w:rsidP="002C7B05">
            <w:pPr>
              <w:widowControl/>
              <w:autoSpaceDE/>
              <w:autoSpaceDN/>
              <w:adjustRightInd/>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 </w:t>
            </w:r>
          </w:p>
        </w:tc>
        <w:tc>
          <w:tcPr>
            <w:tcW w:w="648" w:type="pct"/>
            <w:tcBorders>
              <w:top w:val="single" w:sz="4" w:space="0" w:color="auto"/>
              <w:left w:val="single" w:sz="4" w:space="0" w:color="auto"/>
              <w:bottom w:val="single" w:sz="4" w:space="0" w:color="auto"/>
              <w:right w:val="single" w:sz="4" w:space="0" w:color="auto"/>
            </w:tcBorders>
            <w:shd w:val="clear" w:color="000000" w:fill="4472C4"/>
            <w:vAlign w:val="center"/>
            <w:hideMark/>
          </w:tcPr>
          <w:p w:rsidR="002C7B05" w:rsidRPr="002C7B05" w:rsidRDefault="002C7B05" w:rsidP="002C7B05">
            <w:pPr>
              <w:widowControl/>
              <w:autoSpaceDE/>
              <w:autoSpaceDN/>
              <w:adjustRightInd/>
              <w:jc w:val="center"/>
              <w:rPr>
                <w:rFonts w:ascii="Book Antiqua" w:hAnsi="Book Antiqua" w:cs="Calibri"/>
                <w:b/>
                <w:bCs/>
                <w:color w:val="FFFFFF"/>
                <w:sz w:val="20"/>
                <w:szCs w:val="20"/>
                <w:lang w:val="es-CR" w:eastAsia="es-CR"/>
              </w:rPr>
            </w:pPr>
            <w:r w:rsidRPr="002C7B05">
              <w:rPr>
                <w:rFonts w:ascii="Book Antiqua" w:hAnsi="Book Antiqua" w:cs="Calibri"/>
                <w:b/>
                <w:bCs/>
                <w:color w:val="FFFFFF"/>
                <w:sz w:val="20"/>
                <w:szCs w:val="20"/>
                <w:lang w:val="es-CR" w:eastAsia="es-CR"/>
              </w:rPr>
              <w:t>Tribunal Ap</w:t>
            </w:r>
            <w:r w:rsidR="00DB3EC8">
              <w:rPr>
                <w:rFonts w:ascii="Book Antiqua" w:hAnsi="Book Antiqua" w:cs="Calibri"/>
                <w:b/>
                <w:bCs/>
                <w:color w:val="FFFFFF"/>
                <w:sz w:val="20"/>
                <w:szCs w:val="20"/>
                <w:lang w:val="es-CR" w:eastAsia="es-CR"/>
              </w:rPr>
              <w:t>e</w:t>
            </w:r>
            <w:r w:rsidRPr="002C7B05">
              <w:rPr>
                <w:rFonts w:ascii="Book Antiqua" w:hAnsi="Book Antiqua" w:cs="Calibri"/>
                <w:b/>
                <w:bCs/>
                <w:color w:val="FFFFFF"/>
                <w:sz w:val="20"/>
                <w:szCs w:val="20"/>
                <w:lang w:val="es-CR" w:eastAsia="es-CR"/>
              </w:rPr>
              <w:t>lación de Trabajo del II CJSJ</w:t>
            </w:r>
          </w:p>
        </w:tc>
        <w:tc>
          <w:tcPr>
            <w:tcW w:w="470" w:type="pct"/>
            <w:tcBorders>
              <w:top w:val="single" w:sz="4" w:space="0" w:color="auto"/>
              <w:left w:val="nil"/>
              <w:bottom w:val="single" w:sz="4" w:space="0" w:color="auto"/>
              <w:right w:val="single" w:sz="4" w:space="0" w:color="auto"/>
            </w:tcBorders>
            <w:shd w:val="clear" w:color="000000" w:fill="4472C4"/>
            <w:vAlign w:val="center"/>
            <w:hideMark/>
          </w:tcPr>
          <w:p w:rsidR="002C7B05" w:rsidRPr="002C7B05" w:rsidRDefault="002C7B05" w:rsidP="002C7B05">
            <w:pPr>
              <w:widowControl/>
              <w:autoSpaceDE/>
              <w:autoSpaceDN/>
              <w:adjustRightInd/>
              <w:jc w:val="center"/>
              <w:rPr>
                <w:rFonts w:ascii="Book Antiqua" w:hAnsi="Book Antiqua" w:cs="Calibri"/>
                <w:b/>
                <w:bCs/>
                <w:color w:val="FFFFFF"/>
                <w:sz w:val="20"/>
                <w:szCs w:val="20"/>
                <w:lang w:val="es-CR" w:eastAsia="es-CR"/>
              </w:rPr>
            </w:pPr>
            <w:r w:rsidRPr="002C7B05">
              <w:rPr>
                <w:rFonts w:ascii="Book Antiqua" w:hAnsi="Book Antiqua" w:cs="Calibri"/>
                <w:b/>
                <w:bCs/>
                <w:color w:val="FFFFFF"/>
                <w:sz w:val="20"/>
                <w:szCs w:val="20"/>
                <w:lang w:val="es-CR" w:eastAsia="es-CR"/>
              </w:rPr>
              <w:t>Entrada</w:t>
            </w:r>
          </w:p>
        </w:tc>
        <w:tc>
          <w:tcPr>
            <w:tcW w:w="684" w:type="pct"/>
            <w:tcBorders>
              <w:top w:val="single" w:sz="4" w:space="0" w:color="auto"/>
              <w:left w:val="nil"/>
              <w:bottom w:val="single" w:sz="4" w:space="0" w:color="auto"/>
              <w:right w:val="single" w:sz="4" w:space="0" w:color="auto"/>
            </w:tcBorders>
            <w:shd w:val="clear" w:color="000000" w:fill="4472C4"/>
            <w:vAlign w:val="center"/>
            <w:hideMark/>
          </w:tcPr>
          <w:p w:rsidR="002C7B05" w:rsidRPr="002C7B05" w:rsidRDefault="002C7B05" w:rsidP="002C7B05">
            <w:pPr>
              <w:widowControl/>
              <w:autoSpaceDE/>
              <w:autoSpaceDN/>
              <w:adjustRightInd/>
              <w:jc w:val="center"/>
              <w:rPr>
                <w:rFonts w:ascii="Book Antiqua" w:hAnsi="Book Antiqua" w:cs="Calibri"/>
                <w:b/>
                <w:bCs/>
                <w:color w:val="FFFFFF"/>
                <w:sz w:val="20"/>
                <w:szCs w:val="20"/>
                <w:lang w:val="es-CR" w:eastAsia="es-CR"/>
              </w:rPr>
            </w:pPr>
            <w:r w:rsidRPr="002C7B05">
              <w:rPr>
                <w:rFonts w:ascii="Book Antiqua" w:hAnsi="Book Antiqua" w:cs="Calibri"/>
                <w:b/>
                <w:bCs/>
                <w:color w:val="FFFFFF"/>
                <w:sz w:val="20"/>
                <w:szCs w:val="20"/>
                <w:lang w:val="es-CR" w:eastAsia="es-CR"/>
              </w:rPr>
              <w:t>Terminados</w:t>
            </w:r>
          </w:p>
        </w:tc>
        <w:tc>
          <w:tcPr>
            <w:tcW w:w="605" w:type="pct"/>
            <w:tcBorders>
              <w:top w:val="single" w:sz="4" w:space="0" w:color="auto"/>
              <w:left w:val="nil"/>
              <w:bottom w:val="single" w:sz="4" w:space="0" w:color="auto"/>
              <w:right w:val="single" w:sz="4" w:space="0" w:color="auto"/>
            </w:tcBorders>
            <w:shd w:val="clear" w:color="000000" w:fill="4472C4"/>
            <w:vAlign w:val="center"/>
            <w:hideMark/>
          </w:tcPr>
          <w:p w:rsidR="002C7B05" w:rsidRPr="002C7B05" w:rsidRDefault="002C7B05" w:rsidP="002C7B05">
            <w:pPr>
              <w:widowControl/>
              <w:autoSpaceDE/>
              <w:autoSpaceDN/>
              <w:adjustRightInd/>
              <w:jc w:val="center"/>
              <w:rPr>
                <w:rFonts w:ascii="Book Antiqua" w:hAnsi="Book Antiqua" w:cs="Calibri"/>
                <w:b/>
                <w:bCs/>
                <w:color w:val="FFFFFF"/>
                <w:sz w:val="20"/>
                <w:szCs w:val="20"/>
                <w:lang w:val="es-CR" w:eastAsia="es-CR"/>
              </w:rPr>
            </w:pPr>
            <w:r w:rsidRPr="002C7B05">
              <w:rPr>
                <w:rFonts w:ascii="Book Antiqua" w:hAnsi="Book Antiqua" w:cs="Calibri"/>
                <w:b/>
                <w:bCs/>
                <w:color w:val="FFFFFF"/>
                <w:sz w:val="20"/>
                <w:szCs w:val="20"/>
                <w:lang w:val="es-CR" w:eastAsia="es-CR"/>
              </w:rPr>
              <w:t>Circulante final</w:t>
            </w:r>
          </w:p>
        </w:tc>
      </w:tr>
      <w:tr w:rsidR="002C7B05" w:rsidRPr="002C7B05" w:rsidTr="00057488">
        <w:trPr>
          <w:trHeight w:val="290"/>
        </w:trPr>
        <w:tc>
          <w:tcPr>
            <w:tcW w:w="648" w:type="pct"/>
            <w:tcBorders>
              <w:top w:val="nil"/>
              <w:left w:val="single" w:sz="4" w:space="0" w:color="auto"/>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oct-19</w:t>
            </w:r>
          </w:p>
        </w:tc>
        <w:tc>
          <w:tcPr>
            <w:tcW w:w="505" w:type="pct"/>
            <w:tcBorders>
              <w:top w:val="nil"/>
              <w:left w:val="nil"/>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145</w:t>
            </w:r>
          </w:p>
        </w:tc>
        <w:tc>
          <w:tcPr>
            <w:tcW w:w="684" w:type="pct"/>
            <w:tcBorders>
              <w:top w:val="nil"/>
              <w:left w:val="nil"/>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118</w:t>
            </w:r>
          </w:p>
        </w:tc>
        <w:tc>
          <w:tcPr>
            <w:tcW w:w="605" w:type="pct"/>
            <w:tcBorders>
              <w:top w:val="nil"/>
              <w:left w:val="nil"/>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435</w:t>
            </w:r>
          </w:p>
        </w:tc>
        <w:tc>
          <w:tcPr>
            <w:tcW w:w="152" w:type="pct"/>
            <w:tcBorders>
              <w:top w:val="nil"/>
              <w:left w:val="nil"/>
              <w:bottom w:val="nil"/>
              <w:right w:val="nil"/>
            </w:tcBorders>
            <w:shd w:val="clear" w:color="000000" w:fill="FFFFFF"/>
            <w:noWrap/>
            <w:vAlign w:val="bottom"/>
            <w:hideMark/>
          </w:tcPr>
          <w:p w:rsidR="002C7B05" w:rsidRPr="002C7B05" w:rsidRDefault="002C7B05" w:rsidP="002C7B05">
            <w:pPr>
              <w:widowControl/>
              <w:autoSpaceDE/>
              <w:autoSpaceDN/>
              <w:adjustRightInd/>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 </w:t>
            </w:r>
          </w:p>
        </w:tc>
        <w:tc>
          <w:tcPr>
            <w:tcW w:w="648" w:type="pct"/>
            <w:tcBorders>
              <w:top w:val="nil"/>
              <w:left w:val="single" w:sz="4" w:space="0" w:color="auto"/>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oct-19</w:t>
            </w:r>
          </w:p>
        </w:tc>
        <w:tc>
          <w:tcPr>
            <w:tcW w:w="470" w:type="pct"/>
            <w:tcBorders>
              <w:top w:val="nil"/>
              <w:left w:val="nil"/>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38</w:t>
            </w:r>
          </w:p>
        </w:tc>
        <w:tc>
          <w:tcPr>
            <w:tcW w:w="684" w:type="pct"/>
            <w:tcBorders>
              <w:top w:val="nil"/>
              <w:left w:val="nil"/>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52</w:t>
            </w:r>
          </w:p>
        </w:tc>
        <w:tc>
          <w:tcPr>
            <w:tcW w:w="605" w:type="pct"/>
            <w:tcBorders>
              <w:top w:val="nil"/>
              <w:left w:val="nil"/>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54</w:t>
            </w:r>
          </w:p>
        </w:tc>
      </w:tr>
      <w:tr w:rsidR="002C7B05" w:rsidRPr="002C7B05" w:rsidTr="00057488">
        <w:trPr>
          <w:trHeight w:val="290"/>
        </w:trPr>
        <w:tc>
          <w:tcPr>
            <w:tcW w:w="648" w:type="pct"/>
            <w:tcBorders>
              <w:top w:val="nil"/>
              <w:left w:val="single" w:sz="4" w:space="0" w:color="auto"/>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nov-19</w:t>
            </w:r>
          </w:p>
        </w:tc>
        <w:tc>
          <w:tcPr>
            <w:tcW w:w="505" w:type="pct"/>
            <w:tcBorders>
              <w:top w:val="nil"/>
              <w:left w:val="nil"/>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144</w:t>
            </w:r>
          </w:p>
        </w:tc>
        <w:tc>
          <w:tcPr>
            <w:tcW w:w="684" w:type="pct"/>
            <w:tcBorders>
              <w:top w:val="nil"/>
              <w:left w:val="nil"/>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179</w:t>
            </w:r>
          </w:p>
        </w:tc>
        <w:tc>
          <w:tcPr>
            <w:tcW w:w="605" w:type="pct"/>
            <w:tcBorders>
              <w:top w:val="nil"/>
              <w:left w:val="nil"/>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400</w:t>
            </w:r>
          </w:p>
        </w:tc>
        <w:tc>
          <w:tcPr>
            <w:tcW w:w="152" w:type="pct"/>
            <w:tcBorders>
              <w:top w:val="nil"/>
              <w:left w:val="nil"/>
              <w:bottom w:val="nil"/>
              <w:right w:val="nil"/>
            </w:tcBorders>
            <w:shd w:val="clear" w:color="000000" w:fill="FFFFFF"/>
            <w:noWrap/>
            <w:vAlign w:val="bottom"/>
            <w:hideMark/>
          </w:tcPr>
          <w:p w:rsidR="002C7B05" w:rsidRPr="002C7B05" w:rsidRDefault="002C7B05" w:rsidP="002C7B05">
            <w:pPr>
              <w:widowControl/>
              <w:autoSpaceDE/>
              <w:autoSpaceDN/>
              <w:adjustRightInd/>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 </w:t>
            </w:r>
          </w:p>
        </w:tc>
        <w:tc>
          <w:tcPr>
            <w:tcW w:w="648" w:type="pct"/>
            <w:tcBorders>
              <w:top w:val="nil"/>
              <w:left w:val="single" w:sz="4" w:space="0" w:color="auto"/>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nov-19</w:t>
            </w:r>
          </w:p>
        </w:tc>
        <w:tc>
          <w:tcPr>
            <w:tcW w:w="470" w:type="pct"/>
            <w:tcBorders>
              <w:top w:val="nil"/>
              <w:left w:val="nil"/>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30</w:t>
            </w:r>
          </w:p>
        </w:tc>
        <w:tc>
          <w:tcPr>
            <w:tcW w:w="684" w:type="pct"/>
            <w:tcBorders>
              <w:top w:val="nil"/>
              <w:left w:val="nil"/>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35</w:t>
            </w:r>
          </w:p>
        </w:tc>
        <w:tc>
          <w:tcPr>
            <w:tcW w:w="605" w:type="pct"/>
            <w:tcBorders>
              <w:top w:val="nil"/>
              <w:left w:val="nil"/>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49</w:t>
            </w:r>
          </w:p>
        </w:tc>
      </w:tr>
      <w:tr w:rsidR="002C7B05" w:rsidRPr="002C7B05" w:rsidTr="00057488">
        <w:trPr>
          <w:trHeight w:val="290"/>
        </w:trPr>
        <w:tc>
          <w:tcPr>
            <w:tcW w:w="648" w:type="pct"/>
            <w:tcBorders>
              <w:top w:val="nil"/>
              <w:left w:val="single" w:sz="4" w:space="0" w:color="auto"/>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dic-19</w:t>
            </w:r>
          </w:p>
        </w:tc>
        <w:tc>
          <w:tcPr>
            <w:tcW w:w="505" w:type="pct"/>
            <w:tcBorders>
              <w:top w:val="nil"/>
              <w:left w:val="nil"/>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113</w:t>
            </w:r>
          </w:p>
        </w:tc>
        <w:tc>
          <w:tcPr>
            <w:tcW w:w="684" w:type="pct"/>
            <w:tcBorders>
              <w:top w:val="nil"/>
              <w:left w:val="nil"/>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100</w:t>
            </w:r>
          </w:p>
        </w:tc>
        <w:tc>
          <w:tcPr>
            <w:tcW w:w="605" w:type="pct"/>
            <w:tcBorders>
              <w:top w:val="nil"/>
              <w:left w:val="nil"/>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398</w:t>
            </w:r>
          </w:p>
        </w:tc>
        <w:tc>
          <w:tcPr>
            <w:tcW w:w="152" w:type="pct"/>
            <w:tcBorders>
              <w:top w:val="nil"/>
              <w:left w:val="nil"/>
              <w:bottom w:val="nil"/>
              <w:right w:val="nil"/>
            </w:tcBorders>
            <w:shd w:val="clear" w:color="000000" w:fill="FFFFFF"/>
            <w:noWrap/>
            <w:vAlign w:val="bottom"/>
            <w:hideMark/>
          </w:tcPr>
          <w:p w:rsidR="002C7B05" w:rsidRPr="002C7B05" w:rsidRDefault="002C7B05" w:rsidP="002C7B05">
            <w:pPr>
              <w:widowControl/>
              <w:autoSpaceDE/>
              <w:autoSpaceDN/>
              <w:adjustRightInd/>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 </w:t>
            </w:r>
          </w:p>
        </w:tc>
        <w:tc>
          <w:tcPr>
            <w:tcW w:w="648" w:type="pct"/>
            <w:tcBorders>
              <w:top w:val="nil"/>
              <w:left w:val="single" w:sz="4" w:space="0" w:color="auto"/>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dic-19</w:t>
            </w:r>
          </w:p>
        </w:tc>
        <w:tc>
          <w:tcPr>
            <w:tcW w:w="470" w:type="pct"/>
            <w:tcBorders>
              <w:top w:val="nil"/>
              <w:left w:val="nil"/>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42</w:t>
            </w:r>
          </w:p>
        </w:tc>
        <w:tc>
          <w:tcPr>
            <w:tcW w:w="684" w:type="pct"/>
            <w:tcBorders>
              <w:top w:val="nil"/>
              <w:left w:val="nil"/>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39</w:t>
            </w:r>
          </w:p>
        </w:tc>
        <w:tc>
          <w:tcPr>
            <w:tcW w:w="605" w:type="pct"/>
            <w:tcBorders>
              <w:top w:val="nil"/>
              <w:left w:val="nil"/>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52</w:t>
            </w:r>
          </w:p>
        </w:tc>
      </w:tr>
      <w:tr w:rsidR="002C7B05" w:rsidRPr="002C7B05" w:rsidTr="00057488">
        <w:trPr>
          <w:trHeight w:val="290"/>
        </w:trPr>
        <w:tc>
          <w:tcPr>
            <w:tcW w:w="648" w:type="pct"/>
            <w:tcBorders>
              <w:top w:val="nil"/>
              <w:left w:val="single" w:sz="4" w:space="0" w:color="auto"/>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ene-20</w:t>
            </w:r>
          </w:p>
        </w:tc>
        <w:tc>
          <w:tcPr>
            <w:tcW w:w="505" w:type="pct"/>
            <w:tcBorders>
              <w:top w:val="nil"/>
              <w:left w:val="nil"/>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251</w:t>
            </w:r>
          </w:p>
        </w:tc>
        <w:tc>
          <w:tcPr>
            <w:tcW w:w="684" w:type="pct"/>
            <w:tcBorders>
              <w:top w:val="nil"/>
              <w:left w:val="nil"/>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156</w:t>
            </w:r>
          </w:p>
        </w:tc>
        <w:tc>
          <w:tcPr>
            <w:tcW w:w="605" w:type="pct"/>
            <w:tcBorders>
              <w:top w:val="nil"/>
              <w:left w:val="nil"/>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494</w:t>
            </w:r>
          </w:p>
        </w:tc>
        <w:tc>
          <w:tcPr>
            <w:tcW w:w="152" w:type="pct"/>
            <w:tcBorders>
              <w:top w:val="nil"/>
              <w:left w:val="nil"/>
              <w:bottom w:val="single" w:sz="4" w:space="0" w:color="auto"/>
              <w:right w:val="nil"/>
            </w:tcBorders>
            <w:shd w:val="clear" w:color="000000" w:fill="FFFFFF"/>
            <w:noWrap/>
            <w:vAlign w:val="bottom"/>
            <w:hideMark/>
          </w:tcPr>
          <w:p w:rsidR="002C7B05" w:rsidRPr="002C7B05" w:rsidRDefault="002C7B05" w:rsidP="002C7B05">
            <w:pPr>
              <w:widowControl/>
              <w:autoSpaceDE/>
              <w:autoSpaceDN/>
              <w:adjustRightInd/>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 </w:t>
            </w:r>
          </w:p>
        </w:tc>
        <w:tc>
          <w:tcPr>
            <w:tcW w:w="648" w:type="pct"/>
            <w:tcBorders>
              <w:top w:val="nil"/>
              <w:left w:val="single" w:sz="4" w:space="0" w:color="auto"/>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ene-20</w:t>
            </w:r>
          </w:p>
        </w:tc>
        <w:tc>
          <w:tcPr>
            <w:tcW w:w="470" w:type="pct"/>
            <w:tcBorders>
              <w:top w:val="nil"/>
              <w:left w:val="nil"/>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101</w:t>
            </w:r>
          </w:p>
        </w:tc>
        <w:tc>
          <w:tcPr>
            <w:tcW w:w="684" w:type="pct"/>
            <w:tcBorders>
              <w:top w:val="nil"/>
              <w:left w:val="nil"/>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60</w:t>
            </w:r>
          </w:p>
        </w:tc>
        <w:tc>
          <w:tcPr>
            <w:tcW w:w="605" w:type="pct"/>
            <w:tcBorders>
              <w:top w:val="nil"/>
              <w:left w:val="nil"/>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93</w:t>
            </w:r>
          </w:p>
        </w:tc>
      </w:tr>
      <w:tr w:rsidR="002C7B05" w:rsidRPr="002C7B05" w:rsidTr="00057488">
        <w:trPr>
          <w:trHeight w:val="29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feb-20</w:t>
            </w:r>
          </w:p>
        </w:tc>
        <w:tc>
          <w:tcPr>
            <w:tcW w:w="505" w:type="pct"/>
            <w:tcBorders>
              <w:top w:val="single" w:sz="4" w:space="0" w:color="auto"/>
              <w:left w:val="nil"/>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176</w:t>
            </w:r>
          </w:p>
        </w:tc>
        <w:tc>
          <w:tcPr>
            <w:tcW w:w="684" w:type="pct"/>
            <w:tcBorders>
              <w:top w:val="single" w:sz="4" w:space="0" w:color="auto"/>
              <w:left w:val="nil"/>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206</w:t>
            </w:r>
          </w:p>
        </w:tc>
        <w:tc>
          <w:tcPr>
            <w:tcW w:w="605" w:type="pct"/>
            <w:tcBorders>
              <w:top w:val="single" w:sz="4" w:space="0" w:color="auto"/>
              <w:left w:val="nil"/>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463</w:t>
            </w:r>
          </w:p>
        </w:tc>
        <w:tc>
          <w:tcPr>
            <w:tcW w:w="152" w:type="pct"/>
            <w:tcBorders>
              <w:top w:val="single" w:sz="4" w:space="0" w:color="auto"/>
              <w:left w:val="nil"/>
              <w:bottom w:val="single" w:sz="4" w:space="0" w:color="auto"/>
              <w:right w:val="nil"/>
            </w:tcBorders>
            <w:shd w:val="clear" w:color="000000" w:fill="FFFFFF"/>
            <w:noWrap/>
            <w:vAlign w:val="bottom"/>
            <w:hideMark/>
          </w:tcPr>
          <w:p w:rsidR="002C7B05" w:rsidRPr="002C7B05" w:rsidRDefault="002C7B05" w:rsidP="002C7B05">
            <w:pPr>
              <w:widowControl/>
              <w:autoSpaceDE/>
              <w:autoSpaceDN/>
              <w:adjustRightInd/>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 </w:t>
            </w: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feb-20</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75</w:t>
            </w:r>
          </w:p>
        </w:tc>
        <w:tc>
          <w:tcPr>
            <w:tcW w:w="684" w:type="pct"/>
            <w:tcBorders>
              <w:top w:val="single" w:sz="4" w:space="0" w:color="auto"/>
              <w:left w:val="nil"/>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58</w:t>
            </w:r>
          </w:p>
        </w:tc>
        <w:tc>
          <w:tcPr>
            <w:tcW w:w="605" w:type="pct"/>
            <w:tcBorders>
              <w:top w:val="single" w:sz="4" w:space="0" w:color="auto"/>
              <w:left w:val="nil"/>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110</w:t>
            </w:r>
          </w:p>
        </w:tc>
      </w:tr>
      <w:tr w:rsidR="002C7B05" w:rsidRPr="002C7B05" w:rsidTr="00057488">
        <w:trPr>
          <w:trHeight w:val="29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mar-20</w:t>
            </w:r>
          </w:p>
        </w:tc>
        <w:tc>
          <w:tcPr>
            <w:tcW w:w="505" w:type="pct"/>
            <w:tcBorders>
              <w:top w:val="single" w:sz="4" w:space="0" w:color="auto"/>
              <w:left w:val="nil"/>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121</w:t>
            </w:r>
          </w:p>
        </w:tc>
        <w:tc>
          <w:tcPr>
            <w:tcW w:w="684" w:type="pct"/>
            <w:tcBorders>
              <w:top w:val="single" w:sz="4" w:space="0" w:color="auto"/>
              <w:left w:val="nil"/>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228</w:t>
            </w:r>
          </w:p>
        </w:tc>
        <w:tc>
          <w:tcPr>
            <w:tcW w:w="605" w:type="pct"/>
            <w:tcBorders>
              <w:top w:val="single" w:sz="4" w:space="0" w:color="auto"/>
              <w:left w:val="nil"/>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356</w:t>
            </w:r>
          </w:p>
        </w:tc>
        <w:tc>
          <w:tcPr>
            <w:tcW w:w="152" w:type="pct"/>
            <w:tcBorders>
              <w:top w:val="single" w:sz="4" w:space="0" w:color="auto"/>
              <w:left w:val="nil"/>
              <w:bottom w:val="single" w:sz="4" w:space="0" w:color="auto"/>
              <w:right w:val="nil"/>
            </w:tcBorders>
            <w:shd w:val="clear" w:color="000000" w:fill="FFFFFF"/>
            <w:noWrap/>
            <w:vAlign w:val="bottom"/>
            <w:hideMark/>
          </w:tcPr>
          <w:p w:rsidR="002C7B05" w:rsidRPr="002C7B05" w:rsidRDefault="002C7B05" w:rsidP="002C7B05">
            <w:pPr>
              <w:widowControl/>
              <w:autoSpaceDE/>
              <w:autoSpaceDN/>
              <w:adjustRightInd/>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 </w:t>
            </w: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mar-20</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60</w:t>
            </w:r>
          </w:p>
        </w:tc>
        <w:tc>
          <w:tcPr>
            <w:tcW w:w="684" w:type="pct"/>
            <w:tcBorders>
              <w:top w:val="single" w:sz="4" w:space="0" w:color="auto"/>
              <w:left w:val="nil"/>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25</w:t>
            </w:r>
          </w:p>
        </w:tc>
        <w:tc>
          <w:tcPr>
            <w:tcW w:w="605" w:type="pct"/>
            <w:tcBorders>
              <w:top w:val="single" w:sz="4" w:space="0" w:color="auto"/>
              <w:left w:val="nil"/>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145</w:t>
            </w:r>
          </w:p>
        </w:tc>
      </w:tr>
      <w:tr w:rsidR="002C7B05" w:rsidRPr="002C7B05" w:rsidTr="00057488">
        <w:trPr>
          <w:trHeight w:val="29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abr-20</w:t>
            </w:r>
          </w:p>
        </w:tc>
        <w:tc>
          <w:tcPr>
            <w:tcW w:w="505" w:type="pct"/>
            <w:tcBorders>
              <w:top w:val="single" w:sz="4" w:space="0" w:color="auto"/>
              <w:left w:val="nil"/>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178</w:t>
            </w:r>
          </w:p>
        </w:tc>
        <w:tc>
          <w:tcPr>
            <w:tcW w:w="684" w:type="pct"/>
            <w:tcBorders>
              <w:top w:val="single" w:sz="4" w:space="0" w:color="auto"/>
              <w:left w:val="nil"/>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146</w:t>
            </w:r>
          </w:p>
        </w:tc>
        <w:tc>
          <w:tcPr>
            <w:tcW w:w="605" w:type="pct"/>
            <w:tcBorders>
              <w:top w:val="single" w:sz="4" w:space="0" w:color="auto"/>
              <w:left w:val="nil"/>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388</w:t>
            </w:r>
          </w:p>
        </w:tc>
        <w:tc>
          <w:tcPr>
            <w:tcW w:w="152" w:type="pct"/>
            <w:tcBorders>
              <w:top w:val="single" w:sz="4" w:space="0" w:color="auto"/>
              <w:left w:val="nil"/>
              <w:bottom w:val="single" w:sz="4" w:space="0" w:color="auto"/>
              <w:right w:val="nil"/>
            </w:tcBorders>
            <w:shd w:val="clear" w:color="000000" w:fill="FFFFFF"/>
            <w:noWrap/>
            <w:vAlign w:val="bottom"/>
            <w:hideMark/>
          </w:tcPr>
          <w:p w:rsidR="002C7B05" w:rsidRPr="002C7B05" w:rsidRDefault="002C7B05" w:rsidP="002C7B05">
            <w:pPr>
              <w:widowControl/>
              <w:autoSpaceDE/>
              <w:autoSpaceDN/>
              <w:adjustRightInd/>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 </w:t>
            </w: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abr-20</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67</w:t>
            </w:r>
          </w:p>
        </w:tc>
        <w:tc>
          <w:tcPr>
            <w:tcW w:w="684" w:type="pct"/>
            <w:tcBorders>
              <w:top w:val="single" w:sz="4" w:space="0" w:color="auto"/>
              <w:left w:val="nil"/>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114</w:t>
            </w:r>
          </w:p>
        </w:tc>
        <w:tc>
          <w:tcPr>
            <w:tcW w:w="605" w:type="pct"/>
            <w:tcBorders>
              <w:top w:val="single" w:sz="4" w:space="0" w:color="auto"/>
              <w:left w:val="nil"/>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98</w:t>
            </w:r>
          </w:p>
        </w:tc>
      </w:tr>
      <w:tr w:rsidR="002C7B05" w:rsidRPr="002C7B05" w:rsidTr="00057488">
        <w:trPr>
          <w:trHeight w:val="29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may-20</w:t>
            </w:r>
          </w:p>
        </w:tc>
        <w:tc>
          <w:tcPr>
            <w:tcW w:w="505" w:type="pct"/>
            <w:tcBorders>
              <w:top w:val="single" w:sz="4" w:space="0" w:color="auto"/>
              <w:left w:val="nil"/>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112</w:t>
            </w:r>
          </w:p>
        </w:tc>
        <w:tc>
          <w:tcPr>
            <w:tcW w:w="684" w:type="pct"/>
            <w:tcBorders>
              <w:top w:val="single" w:sz="4" w:space="0" w:color="auto"/>
              <w:left w:val="nil"/>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178</w:t>
            </w:r>
          </w:p>
        </w:tc>
        <w:tc>
          <w:tcPr>
            <w:tcW w:w="605" w:type="pct"/>
            <w:tcBorders>
              <w:top w:val="single" w:sz="4" w:space="0" w:color="auto"/>
              <w:left w:val="nil"/>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322</w:t>
            </w:r>
          </w:p>
        </w:tc>
        <w:tc>
          <w:tcPr>
            <w:tcW w:w="152" w:type="pct"/>
            <w:tcBorders>
              <w:top w:val="single" w:sz="4" w:space="0" w:color="auto"/>
              <w:left w:val="nil"/>
              <w:bottom w:val="single" w:sz="4" w:space="0" w:color="auto"/>
              <w:right w:val="nil"/>
            </w:tcBorders>
            <w:shd w:val="clear" w:color="000000" w:fill="FFFFFF"/>
            <w:noWrap/>
            <w:vAlign w:val="bottom"/>
            <w:hideMark/>
          </w:tcPr>
          <w:p w:rsidR="002C7B05" w:rsidRPr="002C7B05" w:rsidRDefault="002C7B05" w:rsidP="002C7B05">
            <w:pPr>
              <w:widowControl/>
              <w:autoSpaceDE/>
              <w:autoSpaceDN/>
              <w:adjustRightInd/>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 </w:t>
            </w: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may-20</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104</w:t>
            </w:r>
          </w:p>
        </w:tc>
        <w:tc>
          <w:tcPr>
            <w:tcW w:w="684" w:type="pct"/>
            <w:tcBorders>
              <w:top w:val="single" w:sz="4" w:space="0" w:color="auto"/>
              <w:left w:val="nil"/>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87</w:t>
            </w:r>
          </w:p>
        </w:tc>
        <w:tc>
          <w:tcPr>
            <w:tcW w:w="605" w:type="pct"/>
            <w:tcBorders>
              <w:top w:val="single" w:sz="4" w:space="0" w:color="auto"/>
              <w:left w:val="nil"/>
              <w:bottom w:val="single" w:sz="4" w:space="0" w:color="auto"/>
              <w:right w:val="single" w:sz="4" w:space="0" w:color="auto"/>
            </w:tcBorders>
            <w:shd w:val="clear" w:color="auto" w:fill="auto"/>
            <w:noWrap/>
            <w:vAlign w:val="bottom"/>
            <w:hideMark/>
          </w:tcPr>
          <w:p w:rsidR="002C7B05" w:rsidRPr="002C7B05" w:rsidRDefault="002C7B05" w:rsidP="002C7B05">
            <w:pPr>
              <w:widowControl/>
              <w:autoSpaceDE/>
              <w:autoSpaceDN/>
              <w:adjustRightInd/>
              <w:jc w:val="center"/>
              <w:rPr>
                <w:rFonts w:ascii="Book Antiqua" w:hAnsi="Book Antiqua" w:cs="Calibri"/>
                <w:color w:val="000000"/>
                <w:sz w:val="20"/>
                <w:szCs w:val="20"/>
                <w:lang w:val="es-CR" w:eastAsia="es-CR"/>
              </w:rPr>
            </w:pPr>
            <w:r w:rsidRPr="002C7B05">
              <w:rPr>
                <w:rFonts w:ascii="Book Antiqua" w:hAnsi="Book Antiqua" w:cs="Calibri"/>
                <w:color w:val="000000"/>
                <w:sz w:val="20"/>
                <w:szCs w:val="20"/>
                <w:lang w:val="es-CR" w:eastAsia="es-CR"/>
              </w:rPr>
              <w:t>115</w:t>
            </w:r>
          </w:p>
        </w:tc>
      </w:tr>
      <w:tr w:rsidR="00E00168" w:rsidRPr="002C7B05" w:rsidTr="00057488">
        <w:trPr>
          <w:trHeight w:val="29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0168" w:rsidRPr="002C7B05" w:rsidRDefault="00E00168" w:rsidP="002C7B05">
            <w:pPr>
              <w:widowControl/>
              <w:autoSpaceDE/>
              <w:autoSpaceDN/>
              <w:adjustRightInd/>
              <w:jc w:val="center"/>
              <w:rPr>
                <w:rFonts w:ascii="Book Antiqua" w:hAnsi="Book Antiqua" w:cs="Calibri"/>
                <w:color w:val="000000"/>
                <w:sz w:val="20"/>
                <w:szCs w:val="20"/>
                <w:lang w:val="es-CR" w:eastAsia="es-CR"/>
              </w:rPr>
            </w:pPr>
            <w:r>
              <w:rPr>
                <w:rFonts w:ascii="Book Antiqua" w:hAnsi="Book Antiqua" w:cs="Calibri"/>
                <w:color w:val="000000"/>
                <w:sz w:val="20"/>
                <w:szCs w:val="20"/>
                <w:lang w:val="es-CR" w:eastAsia="es-CR"/>
              </w:rPr>
              <w:t>Promedio</w:t>
            </w:r>
          </w:p>
        </w:tc>
        <w:tc>
          <w:tcPr>
            <w:tcW w:w="505" w:type="pct"/>
            <w:tcBorders>
              <w:top w:val="single" w:sz="4" w:space="0" w:color="auto"/>
              <w:left w:val="nil"/>
              <w:bottom w:val="single" w:sz="4" w:space="0" w:color="auto"/>
              <w:right w:val="single" w:sz="4" w:space="0" w:color="auto"/>
            </w:tcBorders>
            <w:shd w:val="clear" w:color="auto" w:fill="auto"/>
            <w:noWrap/>
            <w:vAlign w:val="bottom"/>
          </w:tcPr>
          <w:p w:rsidR="00E00168" w:rsidRPr="002C7B05" w:rsidRDefault="00E00168" w:rsidP="002C7B05">
            <w:pPr>
              <w:widowControl/>
              <w:autoSpaceDE/>
              <w:autoSpaceDN/>
              <w:adjustRightInd/>
              <w:jc w:val="center"/>
              <w:rPr>
                <w:rFonts w:ascii="Book Antiqua" w:hAnsi="Book Antiqua" w:cs="Calibri"/>
                <w:color w:val="000000"/>
                <w:sz w:val="20"/>
                <w:szCs w:val="20"/>
                <w:lang w:val="es-CR" w:eastAsia="es-CR"/>
              </w:rPr>
            </w:pPr>
            <w:r>
              <w:rPr>
                <w:rFonts w:ascii="Book Antiqua" w:hAnsi="Book Antiqua" w:cs="Calibri"/>
                <w:color w:val="000000"/>
                <w:sz w:val="20"/>
                <w:szCs w:val="20"/>
                <w:lang w:val="es-CR" w:eastAsia="es-CR"/>
              </w:rPr>
              <w:t>155</w:t>
            </w:r>
          </w:p>
        </w:tc>
        <w:tc>
          <w:tcPr>
            <w:tcW w:w="684" w:type="pct"/>
            <w:tcBorders>
              <w:top w:val="single" w:sz="4" w:space="0" w:color="auto"/>
              <w:left w:val="nil"/>
              <w:bottom w:val="single" w:sz="4" w:space="0" w:color="auto"/>
              <w:right w:val="single" w:sz="4" w:space="0" w:color="auto"/>
            </w:tcBorders>
            <w:shd w:val="clear" w:color="auto" w:fill="auto"/>
            <w:noWrap/>
            <w:vAlign w:val="bottom"/>
          </w:tcPr>
          <w:p w:rsidR="00E00168" w:rsidRPr="002C7B05" w:rsidRDefault="00E00168" w:rsidP="002C7B05">
            <w:pPr>
              <w:widowControl/>
              <w:autoSpaceDE/>
              <w:autoSpaceDN/>
              <w:adjustRightInd/>
              <w:jc w:val="center"/>
              <w:rPr>
                <w:rFonts w:ascii="Book Antiqua" w:hAnsi="Book Antiqua" w:cs="Calibri"/>
                <w:color w:val="000000"/>
                <w:sz w:val="20"/>
                <w:szCs w:val="20"/>
                <w:lang w:val="es-CR" w:eastAsia="es-CR"/>
              </w:rPr>
            </w:pPr>
            <w:r>
              <w:rPr>
                <w:rFonts w:ascii="Book Antiqua" w:hAnsi="Book Antiqua" w:cs="Calibri"/>
                <w:color w:val="000000"/>
                <w:sz w:val="20"/>
                <w:szCs w:val="20"/>
                <w:lang w:val="es-CR" w:eastAsia="es-CR"/>
              </w:rPr>
              <w:t>164</w:t>
            </w:r>
          </w:p>
        </w:tc>
        <w:tc>
          <w:tcPr>
            <w:tcW w:w="605" w:type="pct"/>
            <w:tcBorders>
              <w:top w:val="single" w:sz="4" w:space="0" w:color="auto"/>
              <w:left w:val="nil"/>
              <w:bottom w:val="single" w:sz="4" w:space="0" w:color="auto"/>
              <w:right w:val="single" w:sz="4" w:space="0" w:color="auto"/>
            </w:tcBorders>
            <w:shd w:val="clear" w:color="auto" w:fill="auto"/>
            <w:noWrap/>
            <w:vAlign w:val="bottom"/>
          </w:tcPr>
          <w:p w:rsidR="00E00168" w:rsidRPr="002C7B05" w:rsidRDefault="00E00168" w:rsidP="00057488">
            <w:pPr>
              <w:widowControl/>
              <w:autoSpaceDE/>
              <w:autoSpaceDN/>
              <w:adjustRightInd/>
              <w:rPr>
                <w:rFonts w:ascii="Book Antiqua" w:hAnsi="Book Antiqua" w:cs="Calibri"/>
                <w:color w:val="000000"/>
                <w:sz w:val="20"/>
                <w:szCs w:val="20"/>
                <w:lang w:val="es-CR" w:eastAsia="es-CR"/>
              </w:rPr>
            </w:pPr>
          </w:p>
        </w:tc>
        <w:tc>
          <w:tcPr>
            <w:tcW w:w="152" w:type="pct"/>
            <w:tcBorders>
              <w:top w:val="single" w:sz="4" w:space="0" w:color="auto"/>
              <w:left w:val="nil"/>
              <w:bottom w:val="single" w:sz="4" w:space="0" w:color="auto"/>
              <w:right w:val="nil"/>
            </w:tcBorders>
            <w:shd w:val="clear" w:color="000000" w:fill="FFFFFF"/>
            <w:noWrap/>
            <w:vAlign w:val="bottom"/>
          </w:tcPr>
          <w:p w:rsidR="00E00168" w:rsidRPr="002C7B05" w:rsidRDefault="00E00168" w:rsidP="002C7B05">
            <w:pPr>
              <w:widowControl/>
              <w:autoSpaceDE/>
              <w:autoSpaceDN/>
              <w:adjustRightInd/>
              <w:rPr>
                <w:rFonts w:ascii="Book Antiqua" w:hAnsi="Book Antiqua" w:cs="Calibri"/>
                <w:color w:val="000000"/>
                <w:sz w:val="20"/>
                <w:szCs w:val="20"/>
                <w:lang w:val="es-CR" w:eastAsia="es-CR"/>
              </w:rPr>
            </w:pP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00168" w:rsidRPr="002C7B05" w:rsidRDefault="0033267A" w:rsidP="002C7B05">
            <w:pPr>
              <w:widowControl/>
              <w:autoSpaceDE/>
              <w:autoSpaceDN/>
              <w:adjustRightInd/>
              <w:jc w:val="center"/>
              <w:rPr>
                <w:rFonts w:ascii="Book Antiqua" w:hAnsi="Book Antiqua" w:cs="Calibri"/>
                <w:color w:val="000000"/>
                <w:sz w:val="20"/>
                <w:szCs w:val="20"/>
                <w:lang w:val="es-CR" w:eastAsia="es-CR"/>
              </w:rPr>
            </w:pPr>
            <w:r>
              <w:rPr>
                <w:rFonts w:ascii="Book Antiqua" w:hAnsi="Book Antiqua" w:cs="Calibri"/>
                <w:color w:val="000000"/>
                <w:sz w:val="20"/>
                <w:szCs w:val="20"/>
                <w:lang w:val="es-CR" w:eastAsia="es-CR"/>
              </w:rPr>
              <w:t>Promedio</w:t>
            </w:r>
          </w:p>
        </w:tc>
        <w:tc>
          <w:tcPr>
            <w:tcW w:w="470" w:type="pct"/>
            <w:tcBorders>
              <w:top w:val="single" w:sz="4" w:space="0" w:color="auto"/>
              <w:left w:val="nil"/>
              <w:bottom w:val="single" w:sz="4" w:space="0" w:color="auto"/>
              <w:right w:val="single" w:sz="4" w:space="0" w:color="auto"/>
            </w:tcBorders>
            <w:shd w:val="clear" w:color="auto" w:fill="auto"/>
            <w:noWrap/>
            <w:vAlign w:val="bottom"/>
          </w:tcPr>
          <w:p w:rsidR="00E00168" w:rsidRPr="002C7B05" w:rsidRDefault="00E00168" w:rsidP="002C7B05">
            <w:pPr>
              <w:widowControl/>
              <w:autoSpaceDE/>
              <w:autoSpaceDN/>
              <w:adjustRightInd/>
              <w:jc w:val="center"/>
              <w:rPr>
                <w:rFonts w:ascii="Book Antiqua" w:hAnsi="Book Antiqua" w:cs="Calibri"/>
                <w:color w:val="000000"/>
                <w:sz w:val="20"/>
                <w:szCs w:val="20"/>
                <w:lang w:val="es-CR" w:eastAsia="es-CR"/>
              </w:rPr>
            </w:pPr>
            <w:r>
              <w:rPr>
                <w:rFonts w:ascii="Book Antiqua" w:hAnsi="Book Antiqua" w:cs="Calibri"/>
                <w:color w:val="000000"/>
                <w:sz w:val="20"/>
                <w:szCs w:val="20"/>
                <w:lang w:val="es-CR" w:eastAsia="es-CR"/>
              </w:rPr>
              <w:t>65</w:t>
            </w:r>
          </w:p>
        </w:tc>
        <w:tc>
          <w:tcPr>
            <w:tcW w:w="684" w:type="pct"/>
            <w:tcBorders>
              <w:top w:val="single" w:sz="4" w:space="0" w:color="auto"/>
              <w:left w:val="nil"/>
              <w:bottom w:val="single" w:sz="4" w:space="0" w:color="auto"/>
              <w:right w:val="single" w:sz="4" w:space="0" w:color="auto"/>
            </w:tcBorders>
            <w:shd w:val="clear" w:color="auto" w:fill="auto"/>
            <w:noWrap/>
            <w:vAlign w:val="bottom"/>
          </w:tcPr>
          <w:p w:rsidR="00E00168" w:rsidRPr="002C7B05" w:rsidRDefault="00E00168" w:rsidP="002C7B05">
            <w:pPr>
              <w:widowControl/>
              <w:autoSpaceDE/>
              <w:autoSpaceDN/>
              <w:adjustRightInd/>
              <w:jc w:val="center"/>
              <w:rPr>
                <w:rFonts w:ascii="Book Antiqua" w:hAnsi="Book Antiqua" w:cs="Calibri"/>
                <w:color w:val="000000"/>
                <w:sz w:val="20"/>
                <w:szCs w:val="20"/>
                <w:lang w:val="es-CR" w:eastAsia="es-CR"/>
              </w:rPr>
            </w:pPr>
            <w:r>
              <w:rPr>
                <w:rFonts w:ascii="Book Antiqua" w:hAnsi="Book Antiqua" w:cs="Calibri"/>
                <w:color w:val="000000"/>
                <w:sz w:val="20"/>
                <w:szCs w:val="20"/>
                <w:lang w:val="es-CR" w:eastAsia="es-CR"/>
              </w:rPr>
              <w:t>59</w:t>
            </w:r>
          </w:p>
        </w:tc>
        <w:tc>
          <w:tcPr>
            <w:tcW w:w="605" w:type="pct"/>
            <w:tcBorders>
              <w:top w:val="single" w:sz="4" w:space="0" w:color="auto"/>
              <w:left w:val="nil"/>
              <w:bottom w:val="single" w:sz="4" w:space="0" w:color="auto"/>
              <w:right w:val="single" w:sz="4" w:space="0" w:color="auto"/>
            </w:tcBorders>
            <w:shd w:val="clear" w:color="auto" w:fill="auto"/>
            <w:noWrap/>
            <w:vAlign w:val="bottom"/>
          </w:tcPr>
          <w:p w:rsidR="00E00168" w:rsidRPr="002C7B05" w:rsidRDefault="00E00168" w:rsidP="002C7B05">
            <w:pPr>
              <w:widowControl/>
              <w:autoSpaceDE/>
              <w:autoSpaceDN/>
              <w:adjustRightInd/>
              <w:jc w:val="center"/>
              <w:rPr>
                <w:rFonts w:ascii="Book Antiqua" w:hAnsi="Book Antiqua" w:cs="Calibri"/>
                <w:color w:val="000000"/>
                <w:sz w:val="20"/>
                <w:szCs w:val="20"/>
                <w:lang w:val="es-CR" w:eastAsia="es-CR"/>
              </w:rPr>
            </w:pPr>
          </w:p>
        </w:tc>
      </w:tr>
    </w:tbl>
    <w:p w:rsidR="002C7B05" w:rsidRPr="00057488" w:rsidRDefault="002C7B05" w:rsidP="00B8697C">
      <w:pPr>
        <w:spacing w:after="200"/>
        <w:jc w:val="both"/>
        <w:rPr>
          <w:rFonts w:ascii="Book Antiqua" w:hAnsi="Book Antiqua" w:cs="Book Antiqua"/>
          <w:sz w:val="16"/>
          <w:szCs w:val="16"/>
          <w:lang w:val="es-CR"/>
        </w:rPr>
      </w:pPr>
      <w:bookmarkStart w:id="1" w:name="_Hlk48234142"/>
      <w:r w:rsidRPr="00057488">
        <w:rPr>
          <w:rFonts w:ascii="Book Antiqua" w:hAnsi="Book Antiqua" w:cs="Book Antiqua"/>
          <w:b/>
          <w:bCs/>
          <w:sz w:val="16"/>
          <w:szCs w:val="16"/>
          <w:lang w:val="es-CR"/>
        </w:rPr>
        <w:t>Fuente:</w:t>
      </w:r>
      <w:r w:rsidRPr="00057488">
        <w:rPr>
          <w:rFonts w:ascii="Book Antiqua" w:hAnsi="Book Antiqua" w:cs="Book Antiqua"/>
          <w:sz w:val="16"/>
          <w:szCs w:val="16"/>
          <w:lang w:val="es-CR"/>
        </w:rPr>
        <w:t xml:space="preserve"> Sistema Sigma.</w:t>
      </w:r>
    </w:p>
    <w:bookmarkEnd w:id="1"/>
    <w:p w:rsidR="008F5046" w:rsidRDefault="00DB3EC8" w:rsidP="00B8697C">
      <w:pPr>
        <w:spacing w:after="200"/>
        <w:jc w:val="both"/>
        <w:rPr>
          <w:rFonts w:ascii="Book Antiqua" w:hAnsi="Book Antiqua" w:cs="Book Antiqua"/>
          <w:lang w:val="es-CR"/>
        </w:rPr>
      </w:pPr>
      <w:r>
        <w:rPr>
          <w:rFonts w:ascii="Book Antiqua" w:hAnsi="Book Antiqua" w:cs="Book Antiqua"/>
          <w:lang w:val="es-CR"/>
        </w:rPr>
        <w:t>Como se puede apreciar se experimentó una mejora en ambos despachos, en términos de un mayor equilibrio de los circulantes y por ende en mejor aprovechamiento del recurso humano</w:t>
      </w:r>
      <w:r w:rsidR="00E00168">
        <w:rPr>
          <w:rFonts w:ascii="Book Antiqua" w:hAnsi="Book Antiqua" w:cs="Book Antiqua"/>
          <w:lang w:val="es-CR"/>
        </w:rPr>
        <w:t>, el Segundo Circuito Judicial de San José tiene un 58% de entrada más baja en comparación al Primer Circuito.</w:t>
      </w:r>
    </w:p>
    <w:p w:rsidR="008F5046" w:rsidRDefault="008F5046" w:rsidP="00B8697C">
      <w:pPr>
        <w:spacing w:after="200"/>
        <w:jc w:val="both"/>
        <w:rPr>
          <w:rFonts w:ascii="Book Antiqua" w:hAnsi="Book Antiqua" w:cs="Book Antiqua"/>
          <w:lang w:val="es-CR"/>
        </w:rPr>
      </w:pPr>
    </w:p>
    <w:p w:rsidR="00145AA5" w:rsidRDefault="00145AA5">
      <w:pPr>
        <w:widowControl/>
        <w:autoSpaceDE/>
        <w:autoSpaceDN/>
        <w:adjustRightInd/>
        <w:rPr>
          <w:rFonts w:ascii="Book Antiqua" w:hAnsi="Book Antiqua" w:cs="Book Antiqua"/>
          <w:b/>
          <w:bCs/>
          <w:lang w:val="es-CR"/>
        </w:rPr>
      </w:pPr>
      <w:r>
        <w:rPr>
          <w:rFonts w:ascii="Book Antiqua" w:hAnsi="Book Antiqua" w:cs="Book Antiqua"/>
          <w:b/>
          <w:bCs/>
          <w:lang w:val="es-CR"/>
        </w:rPr>
        <w:br w:type="page"/>
      </w:r>
    </w:p>
    <w:p w:rsidR="008F5046" w:rsidRPr="007160CB" w:rsidRDefault="008F5046" w:rsidP="008F5046">
      <w:pPr>
        <w:jc w:val="center"/>
        <w:rPr>
          <w:rFonts w:ascii="Book Antiqua" w:hAnsi="Book Antiqua" w:cs="Book Antiqua"/>
          <w:b/>
          <w:bCs/>
          <w:lang w:val="es-CR"/>
        </w:rPr>
      </w:pPr>
      <w:r w:rsidRPr="007160CB">
        <w:rPr>
          <w:rFonts w:ascii="Book Antiqua" w:hAnsi="Book Antiqua" w:cs="Book Antiqua"/>
          <w:b/>
          <w:bCs/>
          <w:lang w:val="es-CR"/>
        </w:rPr>
        <w:t xml:space="preserve">Cuadro </w:t>
      </w:r>
      <w:r>
        <w:rPr>
          <w:rFonts w:ascii="Book Antiqua" w:hAnsi="Book Antiqua" w:cs="Book Antiqua"/>
          <w:b/>
          <w:bCs/>
          <w:lang w:val="es-CR"/>
        </w:rPr>
        <w:t>2</w:t>
      </w:r>
    </w:p>
    <w:p w:rsidR="008F5046" w:rsidRPr="007160CB" w:rsidRDefault="008F5046" w:rsidP="008F5046">
      <w:pPr>
        <w:jc w:val="center"/>
        <w:rPr>
          <w:rFonts w:ascii="Book Antiqua" w:hAnsi="Book Antiqua" w:cs="Book Antiqua"/>
          <w:b/>
          <w:bCs/>
          <w:lang w:val="es-CR"/>
        </w:rPr>
      </w:pPr>
      <w:r>
        <w:rPr>
          <w:rFonts w:ascii="Book Antiqua" w:hAnsi="Book Antiqua" w:cs="Book Antiqua"/>
          <w:b/>
          <w:bCs/>
          <w:lang w:val="es-CR"/>
        </w:rPr>
        <w:t>Indicadores de plazos</w:t>
      </w:r>
    </w:p>
    <w:p w:rsidR="008F5046" w:rsidRDefault="008F5046" w:rsidP="008F5046">
      <w:pPr>
        <w:jc w:val="center"/>
        <w:rPr>
          <w:rFonts w:ascii="Book Antiqua" w:hAnsi="Book Antiqua" w:cs="Book Antiqua"/>
          <w:b/>
          <w:bCs/>
          <w:lang w:val="es-CR"/>
        </w:rPr>
      </w:pPr>
      <w:r w:rsidRPr="007160CB">
        <w:rPr>
          <w:rFonts w:ascii="Book Antiqua" w:hAnsi="Book Antiqua" w:cs="Book Antiqua"/>
          <w:b/>
          <w:bCs/>
          <w:lang w:val="es-CR"/>
        </w:rPr>
        <w:t>Tribunal de Apelación de Trabajo</w:t>
      </w:r>
      <w:r>
        <w:rPr>
          <w:rFonts w:ascii="Book Antiqua" w:hAnsi="Book Antiqua" w:cs="Book Antiqua"/>
          <w:b/>
          <w:bCs/>
          <w:lang w:val="es-CR"/>
        </w:rPr>
        <w:t xml:space="preserve"> Primero y </w:t>
      </w:r>
      <w:r w:rsidRPr="007160CB">
        <w:rPr>
          <w:rFonts w:ascii="Book Antiqua" w:hAnsi="Book Antiqua" w:cs="Book Antiqua"/>
          <w:b/>
          <w:bCs/>
          <w:lang w:val="es-CR"/>
        </w:rPr>
        <w:t>Segundo Circuito Judicial de San José</w:t>
      </w:r>
    </w:p>
    <w:p w:rsidR="008F5046" w:rsidRPr="007160CB" w:rsidRDefault="008F5046" w:rsidP="008F5046">
      <w:pPr>
        <w:jc w:val="center"/>
        <w:rPr>
          <w:rFonts w:ascii="Book Antiqua" w:hAnsi="Book Antiqua" w:cs="Book Antiqua"/>
          <w:b/>
          <w:bCs/>
          <w:lang w:val="es-CR"/>
        </w:rPr>
      </w:pPr>
      <w:r>
        <w:rPr>
          <w:rFonts w:ascii="Book Antiqua" w:hAnsi="Book Antiqua" w:cs="Book Antiqua"/>
          <w:b/>
          <w:bCs/>
          <w:lang w:val="es-CR"/>
        </w:rPr>
        <w:t>Octubre 2019 a junio 2020</w:t>
      </w:r>
    </w:p>
    <w:p w:rsidR="008F5046" w:rsidRDefault="008F5046" w:rsidP="00B8697C">
      <w:pPr>
        <w:spacing w:after="200"/>
        <w:jc w:val="both"/>
        <w:rPr>
          <w:rFonts w:ascii="Book Antiqua" w:hAnsi="Book Antiqua" w:cs="Book Antiqua"/>
          <w:lang w:val="es-CR"/>
        </w:rPr>
      </w:pPr>
    </w:p>
    <w:tbl>
      <w:tblPr>
        <w:tblW w:w="5000" w:type="pct"/>
        <w:tblCellMar>
          <w:left w:w="70" w:type="dxa"/>
          <w:right w:w="70" w:type="dxa"/>
        </w:tblCellMar>
        <w:tblLook w:val="04A0" w:firstRow="1" w:lastRow="0" w:firstColumn="1" w:lastColumn="0" w:noHBand="0" w:noVBand="1"/>
      </w:tblPr>
      <w:tblGrid>
        <w:gridCol w:w="1075"/>
        <w:gridCol w:w="996"/>
        <w:gridCol w:w="874"/>
        <w:gridCol w:w="1360"/>
        <w:gridCol w:w="378"/>
        <w:gridCol w:w="1074"/>
        <w:gridCol w:w="996"/>
        <w:gridCol w:w="874"/>
        <w:gridCol w:w="1425"/>
      </w:tblGrid>
      <w:tr w:rsidR="005F3544" w:rsidRPr="005F3544" w:rsidTr="005F3544">
        <w:trPr>
          <w:trHeight w:val="1830"/>
        </w:trPr>
        <w:tc>
          <w:tcPr>
            <w:tcW w:w="593" w:type="pct"/>
            <w:tcBorders>
              <w:top w:val="single" w:sz="8" w:space="0" w:color="auto"/>
              <w:left w:val="single" w:sz="8" w:space="0" w:color="auto"/>
              <w:bottom w:val="single" w:sz="8" w:space="0" w:color="auto"/>
              <w:right w:val="single" w:sz="8" w:space="0" w:color="auto"/>
            </w:tcBorders>
            <w:shd w:val="clear" w:color="000000" w:fill="4472C4"/>
            <w:vAlign w:val="center"/>
            <w:hideMark/>
          </w:tcPr>
          <w:p w:rsidR="005F3544" w:rsidRPr="005F3544" w:rsidRDefault="005F3544" w:rsidP="005F3544">
            <w:pPr>
              <w:widowControl/>
              <w:autoSpaceDE/>
              <w:autoSpaceDN/>
              <w:adjustRightInd/>
              <w:jc w:val="center"/>
              <w:rPr>
                <w:rFonts w:ascii="Book Antiqua" w:hAnsi="Book Antiqua" w:cs="Calibri"/>
                <w:b/>
                <w:bCs/>
                <w:color w:val="FFFFFF"/>
                <w:sz w:val="20"/>
                <w:szCs w:val="20"/>
                <w:lang w:val="es-CR" w:eastAsia="es-CR"/>
              </w:rPr>
            </w:pPr>
            <w:r w:rsidRPr="005F3544">
              <w:rPr>
                <w:rFonts w:ascii="Book Antiqua" w:hAnsi="Book Antiqua" w:cs="Calibri"/>
                <w:b/>
                <w:bCs/>
                <w:color w:val="FFFFFF"/>
                <w:sz w:val="20"/>
                <w:szCs w:val="20"/>
                <w:lang w:val="es-CR" w:eastAsia="es-CR"/>
              </w:rPr>
              <w:t>Tribunal Apelación de Trabajo del I CJSJ</w:t>
            </w:r>
          </w:p>
        </w:tc>
        <w:tc>
          <w:tcPr>
            <w:tcW w:w="550" w:type="pct"/>
            <w:tcBorders>
              <w:top w:val="single" w:sz="8" w:space="0" w:color="auto"/>
              <w:left w:val="nil"/>
              <w:bottom w:val="single" w:sz="8" w:space="0" w:color="auto"/>
              <w:right w:val="single" w:sz="8" w:space="0" w:color="auto"/>
            </w:tcBorders>
            <w:shd w:val="clear" w:color="000000" w:fill="4472C4"/>
            <w:vAlign w:val="center"/>
            <w:hideMark/>
          </w:tcPr>
          <w:p w:rsidR="005F3544" w:rsidRPr="005F3544" w:rsidRDefault="005F3544" w:rsidP="005F3544">
            <w:pPr>
              <w:widowControl/>
              <w:autoSpaceDE/>
              <w:autoSpaceDN/>
              <w:adjustRightInd/>
              <w:jc w:val="center"/>
              <w:rPr>
                <w:rFonts w:ascii="Book Antiqua" w:hAnsi="Book Antiqua" w:cs="Calibri"/>
                <w:b/>
                <w:bCs/>
                <w:color w:val="FFFFFF"/>
                <w:sz w:val="20"/>
                <w:szCs w:val="20"/>
                <w:lang w:val="es-CR" w:eastAsia="es-CR"/>
              </w:rPr>
            </w:pPr>
            <w:r w:rsidRPr="005F3544">
              <w:rPr>
                <w:rFonts w:ascii="Book Antiqua" w:hAnsi="Book Antiqua" w:cs="Calibri"/>
                <w:b/>
                <w:bCs/>
                <w:color w:val="FFFFFF"/>
                <w:sz w:val="20"/>
                <w:szCs w:val="20"/>
                <w:lang w:val="es-CR" w:eastAsia="es-CR"/>
              </w:rPr>
              <w:t>Plazo de espera de dictado de sentencia</w:t>
            </w:r>
          </w:p>
        </w:tc>
        <w:tc>
          <w:tcPr>
            <w:tcW w:w="483" w:type="pct"/>
            <w:tcBorders>
              <w:top w:val="single" w:sz="8" w:space="0" w:color="auto"/>
              <w:left w:val="nil"/>
              <w:bottom w:val="single" w:sz="8" w:space="0" w:color="auto"/>
              <w:right w:val="single" w:sz="8" w:space="0" w:color="auto"/>
            </w:tcBorders>
            <w:shd w:val="clear" w:color="000000" w:fill="4472C4"/>
            <w:vAlign w:val="center"/>
            <w:hideMark/>
          </w:tcPr>
          <w:p w:rsidR="005F3544" w:rsidRPr="005F3544" w:rsidRDefault="005F3544" w:rsidP="005F3544">
            <w:pPr>
              <w:widowControl/>
              <w:autoSpaceDE/>
              <w:autoSpaceDN/>
              <w:adjustRightInd/>
              <w:jc w:val="center"/>
              <w:rPr>
                <w:rFonts w:ascii="Book Antiqua" w:hAnsi="Book Antiqua" w:cs="Calibri"/>
                <w:b/>
                <w:bCs/>
                <w:color w:val="FFFFFF"/>
                <w:sz w:val="20"/>
                <w:szCs w:val="20"/>
                <w:lang w:val="es-CR" w:eastAsia="es-CR"/>
              </w:rPr>
            </w:pPr>
            <w:r w:rsidRPr="005F3544">
              <w:rPr>
                <w:rFonts w:ascii="Book Antiqua" w:hAnsi="Book Antiqua" w:cs="Calibri"/>
                <w:b/>
                <w:bCs/>
                <w:color w:val="FFFFFF"/>
                <w:sz w:val="20"/>
                <w:szCs w:val="20"/>
                <w:lang w:val="es-CR" w:eastAsia="es-CR"/>
              </w:rPr>
              <w:t>Plazo para resolver escritos</w:t>
            </w:r>
          </w:p>
        </w:tc>
        <w:tc>
          <w:tcPr>
            <w:tcW w:w="751" w:type="pct"/>
            <w:tcBorders>
              <w:top w:val="single" w:sz="8" w:space="0" w:color="auto"/>
              <w:left w:val="nil"/>
              <w:bottom w:val="single" w:sz="8" w:space="0" w:color="auto"/>
              <w:right w:val="single" w:sz="8" w:space="0" w:color="auto"/>
            </w:tcBorders>
            <w:shd w:val="clear" w:color="000000" w:fill="4472C4"/>
            <w:vAlign w:val="center"/>
            <w:hideMark/>
          </w:tcPr>
          <w:p w:rsidR="005F3544" w:rsidRPr="005F3544" w:rsidRDefault="005F3544" w:rsidP="005F3544">
            <w:pPr>
              <w:widowControl/>
              <w:autoSpaceDE/>
              <w:autoSpaceDN/>
              <w:adjustRightInd/>
              <w:jc w:val="center"/>
              <w:rPr>
                <w:rFonts w:ascii="Book Antiqua" w:hAnsi="Book Antiqua" w:cs="Calibri"/>
                <w:b/>
                <w:bCs/>
                <w:color w:val="FFFFFF"/>
                <w:sz w:val="20"/>
                <w:szCs w:val="20"/>
                <w:lang w:val="es-CR" w:eastAsia="es-CR"/>
              </w:rPr>
            </w:pPr>
            <w:r w:rsidRPr="005F3544">
              <w:rPr>
                <w:rFonts w:ascii="Book Antiqua" w:hAnsi="Book Antiqua" w:cs="Calibri"/>
                <w:b/>
                <w:bCs/>
                <w:color w:val="FFFFFF"/>
                <w:sz w:val="20"/>
                <w:szCs w:val="20"/>
                <w:lang w:val="es-CR" w:eastAsia="es-CR"/>
              </w:rPr>
              <w:t>Plazo de espera de expediente votado más antiguo pendiente de firmar la sentencia</w:t>
            </w:r>
          </w:p>
        </w:tc>
        <w:tc>
          <w:tcPr>
            <w:tcW w:w="209" w:type="pct"/>
            <w:tcBorders>
              <w:top w:val="nil"/>
              <w:left w:val="nil"/>
              <w:bottom w:val="nil"/>
              <w:right w:val="nil"/>
            </w:tcBorders>
            <w:shd w:val="clear" w:color="000000" w:fill="FFFFFF"/>
            <w:noWrap/>
            <w:vAlign w:val="center"/>
            <w:hideMark/>
          </w:tcPr>
          <w:p w:rsidR="005F3544" w:rsidRPr="005F3544" w:rsidRDefault="005F3544" w:rsidP="005F3544">
            <w:pPr>
              <w:widowControl/>
              <w:autoSpaceDE/>
              <w:autoSpaceDN/>
              <w:adjustRightInd/>
              <w:rPr>
                <w:rFonts w:ascii="Book Antiqua" w:hAnsi="Book Antiqua" w:cs="Calibri"/>
                <w:color w:val="000000"/>
                <w:sz w:val="20"/>
                <w:szCs w:val="20"/>
                <w:lang w:val="es-CR" w:eastAsia="es-CR"/>
              </w:rPr>
            </w:pPr>
            <w:r w:rsidRPr="005F3544">
              <w:rPr>
                <w:rFonts w:ascii="Book Antiqua" w:hAnsi="Book Antiqua" w:cs="Calibri"/>
                <w:color w:val="000000"/>
                <w:sz w:val="20"/>
                <w:szCs w:val="20"/>
                <w:lang w:val="es-CR" w:eastAsia="es-CR"/>
              </w:rPr>
              <w:t> </w:t>
            </w:r>
          </w:p>
        </w:tc>
        <w:tc>
          <w:tcPr>
            <w:tcW w:w="593" w:type="pct"/>
            <w:tcBorders>
              <w:top w:val="single" w:sz="8" w:space="0" w:color="auto"/>
              <w:left w:val="single" w:sz="8" w:space="0" w:color="auto"/>
              <w:bottom w:val="single" w:sz="8" w:space="0" w:color="auto"/>
              <w:right w:val="single" w:sz="8" w:space="0" w:color="auto"/>
            </w:tcBorders>
            <w:shd w:val="clear" w:color="000000" w:fill="4472C4"/>
            <w:vAlign w:val="center"/>
            <w:hideMark/>
          </w:tcPr>
          <w:p w:rsidR="005F3544" w:rsidRPr="005F3544" w:rsidRDefault="005F3544" w:rsidP="005F3544">
            <w:pPr>
              <w:widowControl/>
              <w:autoSpaceDE/>
              <w:autoSpaceDN/>
              <w:adjustRightInd/>
              <w:jc w:val="center"/>
              <w:rPr>
                <w:rFonts w:ascii="Book Antiqua" w:hAnsi="Book Antiqua" w:cs="Calibri"/>
                <w:b/>
                <w:bCs/>
                <w:color w:val="FFFFFF"/>
                <w:sz w:val="20"/>
                <w:szCs w:val="20"/>
                <w:lang w:val="es-CR" w:eastAsia="es-CR"/>
              </w:rPr>
            </w:pPr>
            <w:r w:rsidRPr="005F3544">
              <w:rPr>
                <w:rFonts w:ascii="Book Antiqua" w:hAnsi="Book Antiqua" w:cs="Calibri"/>
                <w:b/>
                <w:bCs/>
                <w:color w:val="FFFFFF"/>
                <w:sz w:val="20"/>
                <w:szCs w:val="20"/>
                <w:lang w:val="es-CR" w:eastAsia="es-CR"/>
              </w:rPr>
              <w:t>Tribunal Apelación de Trabajo del II CJSJ</w:t>
            </w:r>
          </w:p>
        </w:tc>
        <w:tc>
          <w:tcPr>
            <w:tcW w:w="550" w:type="pct"/>
            <w:tcBorders>
              <w:top w:val="single" w:sz="8" w:space="0" w:color="auto"/>
              <w:left w:val="nil"/>
              <w:bottom w:val="single" w:sz="8" w:space="0" w:color="auto"/>
              <w:right w:val="single" w:sz="8" w:space="0" w:color="auto"/>
            </w:tcBorders>
            <w:shd w:val="clear" w:color="000000" w:fill="4472C4"/>
            <w:vAlign w:val="center"/>
            <w:hideMark/>
          </w:tcPr>
          <w:p w:rsidR="005F3544" w:rsidRPr="005F3544" w:rsidRDefault="005F3544" w:rsidP="005F3544">
            <w:pPr>
              <w:widowControl/>
              <w:autoSpaceDE/>
              <w:autoSpaceDN/>
              <w:adjustRightInd/>
              <w:jc w:val="center"/>
              <w:rPr>
                <w:rFonts w:ascii="Book Antiqua" w:hAnsi="Book Antiqua" w:cs="Calibri"/>
                <w:b/>
                <w:bCs/>
                <w:color w:val="FFFFFF"/>
                <w:sz w:val="20"/>
                <w:szCs w:val="20"/>
                <w:lang w:val="es-CR" w:eastAsia="es-CR"/>
              </w:rPr>
            </w:pPr>
            <w:r w:rsidRPr="005F3544">
              <w:rPr>
                <w:rFonts w:ascii="Book Antiqua" w:hAnsi="Book Antiqua" w:cs="Calibri"/>
                <w:b/>
                <w:bCs/>
                <w:color w:val="FFFFFF"/>
                <w:sz w:val="20"/>
                <w:szCs w:val="20"/>
                <w:lang w:val="es-CR" w:eastAsia="es-CR"/>
              </w:rPr>
              <w:t>Plazo de espera de dictado de sentencia</w:t>
            </w:r>
          </w:p>
        </w:tc>
        <w:tc>
          <w:tcPr>
            <w:tcW w:w="483" w:type="pct"/>
            <w:tcBorders>
              <w:top w:val="single" w:sz="8" w:space="0" w:color="auto"/>
              <w:left w:val="nil"/>
              <w:bottom w:val="single" w:sz="8" w:space="0" w:color="auto"/>
              <w:right w:val="single" w:sz="8" w:space="0" w:color="auto"/>
            </w:tcBorders>
            <w:shd w:val="clear" w:color="000000" w:fill="4472C4"/>
            <w:vAlign w:val="center"/>
            <w:hideMark/>
          </w:tcPr>
          <w:p w:rsidR="005F3544" w:rsidRPr="005F3544" w:rsidRDefault="005F3544" w:rsidP="005F3544">
            <w:pPr>
              <w:widowControl/>
              <w:autoSpaceDE/>
              <w:autoSpaceDN/>
              <w:adjustRightInd/>
              <w:jc w:val="center"/>
              <w:rPr>
                <w:rFonts w:ascii="Book Antiqua" w:hAnsi="Book Antiqua" w:cs="Calibri"/>
                <w:b/>
                <w:bCs/>
                <w:color w:val="FFFFFF"/>
                <w:sz w:val="20"/>
                <w:szCs w:val="20"/>
                <w:lang w:val="es-CR" w:eastAsia="es-CR"/>
              </w:rPr>
            </w:pPr>
            <w:r w:rsidRPr="005F3544">
              <w:rPr>
                <w:rFonts w:ascii="Book Antiqua" w:hAnsi="Book Antiqua" w:cs="Calibri"/>
                <w:b/>
                <w:bCs/>
                <w:color w:val="FFFFFF"/>
                <w:sz w:val="20"/>
                <w:szCs w:val="20"/>
                <w:lang w:val="es-CR" w:eastAsia="es-CR"/>
              </w:rPr>
              <w:t>Plazo para resolver escritos</w:t>
            </w:r>
          </w:p>
        </w:tc>
        <w:tc>
          <w:tcPr>
            <w:tcW w:w="787" w:type="pct"/>
            <w:tcBorders>
              <w:top w:val="single" w:sz="8" w:space="0" w:color="auto"/>
              <w:left w:val="nil"/>
              <w:bottom w:val="single" w:sz="8" w:space="0" w:color="auto"/>
              <w:right w:val="single" w:sz="8" w:space="0" w:color="auto"/>
            </w:tcBorders>
            <w:shd w:val="clear" w:color="000000" w:fill="4472C4"/>
            <w:vAlign w:val="center"/>
            <w:hideMark/>
          </w:tcPr>
          <w:p w:rsidR="005F3544" w:rsidRPr="005F3544" w:rsidRDefault="005F3544" w:rsidP="005F3544">
            <w:pPr>
              <w:widowControl/>
              <w:autoSpaceDE/>
              <w:autoSpaceDN/>
              <w:adjustRightInd/>
              <w:jc w:val="center"/>
              <w:rPr>
                <w:rFonts w:ascii="Book Antiqua" w:hAnsi="Book Antiqua" w:cs="Calibri"/>
                <w:b/>
                <w:bCs/>
                <w:color w:val="FFFFFF"/>
                <w:sz w:val="20"/>
                <w:szCs w:val="20"/>
                <w:lang w:val="es-CR" w:eastAsia="es-CR"/>
              </w:rPr>
            </w:pPr>
            <w:r w:rsidRPr="005F3544">
              <w:rPr>
                <w:rFonts w:ascii="Book Antiqua" w:hAnsi="Book Antiqua" w:cs="Calibri"/>
                <w:b/>
                <w:bCs/>
                <w:color w:val="FFFFFF"/>
                <w:sz w:val="20"/>
                <w:szCs w:val="20"/>
                <w:lang w:val="es-CR" w:eastAsia="es-CR"/>
              </w:rPr>
              <w:t>Plazo de espera de expediente votado más antiguo pendiente de firmar la sentencia</w:t>
            </w:r>
          </w:p>
        </w:tc>
      </w:tr>
      <w:tr w:rsidR="005F3544" w:rsidRPr="005F3544" w:rsidTr="005F3544">
        <w:trPr>
          <w:trHeight w:val="300"/>
        </w:trPr>
        <w:tc>
          <w:tcPr>
            <w:tcW w:w="593" w:type="pct"/>
            <w:tcBorders>
              <w:top w:val="nil"/>
              <w:left w:val="single" w:sz="8" w:space="0" w:color="auto"/>
              <w:bottom w:val="single" w:sz="8" w:space="0" w:color="auto"/>
              <w:right w:val="single" w:sz="8" w:space="0" w:color="auto"/>
            </w:tcBorders>
            <w:shd w:val="clear" w:color="auto" w:fill="auto"/>
            <w:noWrap/>
            <w:vAlign w:val="center"/>
            <w:hideMark/>
          </w:tcPr>
          <w:p w:rsidR="005F3544" w:rsidRPr="005F3544" w:rsidRDefault="005F3544" w:rsidP="005F3544">
            <w:pPr>
              <w:widowControl/>
              <w:autoSpaceDE/>
              <w:autoSpaceDN/>
              <w:adjustRightInd/>
              <w:jc w:val="center"/>
              <w:rPr>
                <w:rFonts w:ascii="Book Antiqua" w:hAnsi="Book Antiqua" w:cs="Calibri"/>
                <w:color w:val="000000"/>
                <w:sz w:val="20"/>
                <w:szCs w:val="20"/>
                <w:lang w:val="es-CR" w:eastAsia="es-CR"/>
              </w:rPr>
            </w:pPr>
            <w:r w:rsidRPr="005F3544">
              <w:rPr>
                <w:rFonts w:ascii="Book Antiqua" w:hAnsi="Book Antiqua" w:cs="Calibri"/>
                <w:color w:val="000000"/>
                <w:sz w:val="20"/>
                <w:szCs w:val="20"/>
                <w:lang w:val="es-CR" w:eastAsia="es-CR"/>
              </w:rPr>
              <w:t>ene-20</w:t>
            </w:r>
          </w:p>
        </w:tc>
        <w:tc>
          <w:tcPr>
            <w:tcW w:w="550" w:type="pct"/>
            <w:tcBorders>
              <w:top w:val="nil"/>
              <w:left w:val="nil"/>
              <w:bottom w:val="single" w:sz="8" w:space="0" w:color="auto"/>
              <w:right w:val="single" w:sz="8" w:space="0" w:color="auto"/>
            </w:tcBorders>
            <w:shd w:val="clear" w:color="auto" w:fill="auto"/>
            <w:noWrap/>
            <w:vAlign w:val="center"/>
            <w:hideMark/>
          </w:tcPr>
          <w:p w:rsidR="005F3544" w:rsidRPr="005F3544" w:rsidRDefault="005F3544" w:rsidP="005F3544">
            <w:pPr>
              <w:widowControl/>
              <w:autoSpaceDE/>
              <w:autoSpaceDN/>
              <w:adjustRightInd/>
              <w:jc w:val="center"/>
              <w:rPr>
                <w:rFonts w:ascii="Book Antiqua" w:hAnsi="Book Antiqua" w:cs="Calibri"/>
                <w:color w:val="000000"/>
                <w:sz w:val="20"/>
                <w:szCs w:val="20"/>
                <w:lang w:val="es-CR" w:eastAsia="es-CR"/>
              </w:rPr>
            </w:pPr>
            <w:r w:rsidRPr="005F3544">
              <w:rPr>
                <w:rFonts w:ascii="Book Antiqua" w:hAnsi="Book Antiqua" w:cs="Calibri"/>
                <w:color w:val="000000"/>
                <w:sz w:val="20"/>
                <w:szCs w:val="20"/>
                <w:lang w:val="es-CR" w:eastAsia="es-CR"/>
              </w:rPr>
              <w:t>249</w:t>
            </w:r>
          </w:p>
        </w:tc>
        <w:tc>
          <w:tcPr>
            <w:tcW w:w="483" w:type="pct"/>
            <w:tcBorders>
              <w:top w:val="nil"/>
              <w:left w:val="nil"/>
              <w:bottom w:val="single" w:sz="8" w:space="0" w:color="auto"/>
              <w:right w:val="single" w:sz="8" w:space="0" w:color="auto"/>
            </w:tcBorders>
            <w:shd w:val="clear" w:color="auto" w:fill="auto"/>
            <w:noWrap/>
            <w:vAlign w:val="center"/>
            <w:hideMark/>
          </w:tcPr>
          <w:p w:rsidR="005F3544" w:rsidRPr="005F3544" w:rsidRDefault="005F3544" w:rsidP="005F3544">
            <w:pPr>
              <w:widowControl/>
              <w:autoSpaceDE/>
              <w:autoSpaceDN/>
              <w:adjustRightInd/>
              <w:jc w:val="center"/>
              <w:rPr>
                <w:rFonts w:ascii="Book Antiqua" w:hAnsi="Book Antiqua" w:cs="Calibri"/>
                <w:color w:val="000000"/>
                <w:sz w:val="20"/>
                <w:szCs w:val="20"/>
                <w:lang w:val="es-CR" w:eastAsia="es-CR"/>
              </w:rPr>
            </w:pPr>
            <w:r w:rsidRPr="005F3544">
              <w:rPr>
                <w:rFonts w:ascii="Book Antiqua" w:hAnsi="Book Antiqua" w:cs="Calibri"/>
                <w:color w:val="000000"/>
                <w:sz w:val="20"/>
                <w:szCs w:val="20"/>
                <w:lang w:val="es-CR" w:eastAsia="es-CR"/>
              </w:rPr>
              <w:t>248</w:t>
            </w:r>
          </w:p>
        </w:tc>
        <w:tc>
          <w:tcPr>
            <w:tcW w:w="751" w:type="pct"/>
            <w:tcBorders>
              <w:top w:val="nil"/>
              <w:left w:val="nil"/>
              <w:bottom w:val="single" w:sz="8" w:space="0" w:color="auto"/>
              <w:right w:val="single" w:sz="8" w:space="0" w:color="auto"/>
            </w:tcBorders>
            <w:shd w:val="clear" w:color="auto" w:fill="auto"/>
            <w:noWrap/>
            <w:vAlign w:val="center"/>
            <w:hideMark/>
          </w:tcPr>
          <w:p w:rsidR="005F3544" w:rsidRPr="005F3544" w:rsidRDefault="005F3544" w:rsidP="005F3544">
            <w:pPr>
              <w:widowControl/>
              <w:autoSpaceDE/>
              <w:autoSpaceDN/>
              <w:adjustRightInd/>
              <w:jc w:val="center"/>
              <w:rPr>
                <w:rFonts w:ascii="Book Antiqua" w:hAnsi="Book Antiqua" w:cs="Calibri"/>
                <w:color w:val="000000"/>
                <w:sz w:val="20"/>
                <w:szCs w:val="20"/>
                <w:lang w:val="es-CR" w:eastAsia="es-CR"/>
              </w:rPr>
            </w:pPr>
            <w:r w:rsidRPr="005F3544">
              <w:rPr>
                <w:rFonts w:ascii="Book Antiqua" w:hAnsi="Book Antiqua" w:cs="Calibri"/>
                <w:color w:val="000000"/>
                <w:sz w:val="20"/>
                <w:szCs w:val="20"/>
                <w:lang w:val="es-CR" w:eastAsia="es-CR"/>
              </w:rPr>
              <w:t>10</w:t>
            </w:r>
          </w:p>
        </w:tc>
        <w:tc>
          <w:tcPr>
            <w:tcW w:w="209" w:type="pct"/>
            <w:tcBorders>
              <w:top w:val="nil"/>
              <w:left w:val="nil"/>
              <w:bottom w:val="nil"/>
              <w:right w:val="nil"/>
            </w:tcBorders>
            <w:shd w:val="clear" w:color="000000" w:fill="FFFFFF"/>
            <w:noWrap/>
            <w:vAlign w:val="center"/>
            <w:hideMark/>
          </w:tcPr>
          <w:p w:rsidR="005F3544" w:rsidRPr="005F3544" w:rsidRDefault="005F3544" w:rsidP="005F3544">
            <w:pPr>
              <w:widowControl/>
              <w:autoSpaceDE/>
              <w:autoSpaceDN/>
              <w:adjustRightInd/>
              <w:rPr>
                <w:rFonts w:ascii="Book Antiqua" w:hAnsi="Book Antiqua" w:cs="Calibri"/>
                <w:color w:val="000000"/>
                <w:sz w:val="20"/>
                <w:szCs w:val="20"/>
                <w:lang w:val="es-CR" w:eastAsia="es-CR"/>
              </w:rPr>
            </w:pPr>
            <w:r w:rsidRPr="005F3544">
              <w:rPr>
                <w:rFonts w:ascii="Book Antiqua" w:hAnsi="Book Antiqua" w:cs="Calibri"/>
                <w:color w:val="000000"/>
                <w:sz w:val="20"/>
                <w:szCs w:val="20"/>
                <w:lang w:val="es-CR" w:eastAsia="es-CR"/>
              </w:rPr>
              <w:t> </w:t>
            </w:r>
          </w:p>
        </w:tc>
        <w:tc>
          <w:tcPr>
            <w:tcW w:w="593" w:type="pct"/>
            <w:tcBorders>
              <w:top w:val="nil"/>
              <w:left w:val="single" w:sz="8" w:space="0" w:color="auto"/>
              <w:bottom w:val="single" w:sz="8" w:space="0" w:color="auto"/>
              <w:right w:val="single" w:sz="8" w:space="0" w:color="auto"/>
            </w:tcBorders>
            <w:shd w:val="clear" w:color="auto" w:fill="auto"/>
            <w:noWrap/>
            <w:vAlign w:val="center"/>
            <w:hideMark/>
          </w:tcPr>
          <w:p w:rsidR="005F3544" w:rsidRPr="005F3544" w:rsidRDefault="005F3544" w:rsidP="005F3544">
            <w:pPr>
              <w:widowControl/>
              <w:autoSpaceDE/>
              <w:autoSpaceDN/>
              <w:adjustRightInd/>
              <w:jc w:val="center"/>
              <w:rPr>
                <w:rFonts w:ascii="Book Antiqua" w:hAnsi="Book Antiqua" w:cs="Calibri"/>
                <w:color w:val="000000"/>
                <w:sz w:val="20"/>
                <w:szCs w:val="20"/>
                <w:lang w:val="es-CR" w:eastAsia="es-CR"/>
              </w:rPr>
            </w:pPr>
            <w:r w:rsidRPr="005F3544">
              <w:rPr>
                <w:rFonts w:ascii="Book Antiqua" w:hAnsi="Book Antiqua" w:cs="Calibri"/>
                <w:color w:val="000000"/>
                <w:sz w:val="20"/>
                <w:szCs w:val="20"/>
                <w:lang w:val="es-CR" w:eastAsia="es-CR"/>
              </w:rPr>
              <w:t>ene-20</w:t>
            </w:r>
          </w:p>
        </w:tc>
        <w:tc>
          <w:tcPr>
            <w:tcW w:w="550" w:type="pct"/>
            <w:tcBorders>
              <w:top w:val="nil"/>
              <w:left w:val="nil"/>
              <w:bottom w:val="single" w:sz="8" w:space="0" w:color="auto"/>
              <w:right w:val="single" w:sz="8" w:space="0" w:color="auto"/>
            </w:tcBorders>
            <w:shd w:val="clear" w:color="auto" w:fill="auto"/>
            <w:noWrap/>
            <w:vAlign w:val="center"/>
            <w:hideMark/>
          </w:tcPr>
          <w:p w:rsidR="005F3544" w:rsidRPr="005F3544" w:rsidRDefault="005F3544" w:rsidP="005F3544">
            <w:pPr>
              <w:widowControl/>
              <w:autoSpaceDE/>
              <w:autoSpaceDN/>
              <w:adjustRightInd/>
              <w:jc w:val="center"/>
              <w:rPr>
                <w:rFonts w:ascii="Book Antiqua" w:hAnsi="Book Antiqua" w:cs="Calibri"/>
                <w:color w:val="000000"/>
                <w:sz w:val="20"/>
                <w:szCs w:val="20"/>
                <w:lang w:val="es-CR" w:eastAsia="es-CR"/>
              </w:rPr>
            </w:pPr>
            <w:r w:rsidRPr="005F3544">
              <w:rPr>
                <w:rFonts w:ascii="Book Antiqua" w:hAnsi="Book Antiqua" w:cs="Calibri"/>
                <w:color w:val="000000"/>
                <w:sz w:val="20"/>
                <w:szCs w:val="20"/>
                <w:lang w:val="es-CR" w:eastAsia="es-CR"/>
              </w:rPr>
              <w:t>228</w:t>
            </w:r>
          </w:p>
        </w:tc>
        <w:tc>
          <w:tcPr>
            <w:tcW w:w="483" w:type="pct"/>
            <w:tcBorders>
              <w:top w:val="nil"/>
              <w:left w:val="nil"/>
              <w:bottom w:val="single" w:sz="8" w:space="0" w:color="auto"/>
              <w:right w:val="single" w:sz="8" w:space="0" w:color="auto"/>
            </w:tcBorders>
            <w:shd w:val="clear" w:color="auto" w:fill="auto"/>
            <w:noWrap/>
            <w:vAlign w:val="center"/>
            <w:hideMark/>
          </w:tcPr>
          <w:p w:rsidR="005F3544" w:rsidRPr="005F3544" w:rsidRDefault="005F3544" w:rsidP="005F3544">
            <w:pPr>
              <w:widowControl/>
              <w:autoSpaceDE/>
              <w:autoSpaceDN/>
              <w:adjustRightInd/>
              <w:jc w:val="center"/>
              <w:rPr>
                <w:rFonts w:ascii="Book Antiqua" w:hAnsi="Book Antiqua" w:cs="Calibri"/>
                <w:color w:val="000000"/>
                <w:sz w:val="20"/>
                <w:szCs w:val="20"/>
                <w:lang w:val="es-CR" w:eastAsia="es-CR"/>
              </w:rPr>
            </w:pPr>
            <w:r w:rsidRPr="005F3544">
              <w:rPr>
                <w:rFonts w:ascii="Book Antiqua" w:hAnsi="Book Antiqua" w:cs="Calibri"/>
                <w:color w:val="000000"/>
                <w:sz w:val="20"/>
                <w:szCs w:val="20"/>
                <w:lang w:val="es-CR" w:eastAsia="es-CR"/>
              </w:rPr>
              <w:t>0</w:t>
            </w:r>
          </w:p>
        </w:tc>
        <w:tc>
          <w:tcPr>
            <w:tcW w:w="787" w:type="pct"/>
            <w:tcBorders>
              <w:top w:val="nil"/>
              <w:left w:val="nil"/>
              <w:bottom w:val="single" w:sz="8" w:space="0" w:color="auto"/>
              <w:right w:val="single" w:sz="8" w:space="0" w:color="auto"/>
            </w:tcBorders>
            <w:shd w:val="clear" w:color="auto" w:fill="auto"/>
            <w:noWrap/>
            <w:vAlign w:val="center"/>
            <w:hideMark/>
          </w:tcPr>
          <w:p w:rsidR="005F3544" w:rsidRPr="005F3544" w:rsidRDefault="005F3544" w:rsidP="005F3544">
            <w:pPr>
              <w:widowControl/>
              <w:autoSpaceDE/>
              <w:autoSpaceDN/>
              <w:adjustRightInd/>
              <w:jc w:val="center"/>
              <w:rPr>
                <w:rFonts w:ascii="Book Antiqua" w:hAnsi="Book Antiqua" w:cs="Calibri"/>
                <w:color w:val="000000"/>
                <w:sz w:val="20"/>
                <w:szCs w:val="20"/>
                <w:lang w:val="es-CR" w:eastAsia="es-CR"/>
              </w:rPr>
            </w:pPr>
            <w:r w:rsidRPr="005F3544">
              <w:rPr>
                <w:rFonts w:ascii="Book Antiqua" w:hAnsi="Book Antiqua" w:cs="Calibri"/>
                <w:color w:val="000000"/>
                <w:sz w:val="20"/>
                <w:szCs w:val="20"/>
                <w:lang w:val="es-CR" w:eastAsia="es-CR"/>
              </w:rPr>
              <w:t>18</w:t>
            </w:r>
          </w:p>
        </w:tc>
      </w:tr>
      <w:tr w:rsidR="005F3544" w:rsidRPr="005F3544" w:rsidTr="005F3544">
        <w:trPr>
          <w:trHeight w:val="300"/>
        </w:trPr>
        <w:tc>
          <w:tcPr>
            <w:tcW w:w="593" w:type="pct"/>
            <w:tcBorders>
              <w:top w:val="nil"/>
              <w:left w:val="single" w:sz="8" w:space="0" w:color="auto"/>
              <w:bottom w:val="single" w:sz="8" w:space="0" w:color="auto"/>
              <w:right w:val="single" w:sz="8" w:space="0" w:color="auto"/>
            </w:tcBorders>
            <w:shd w:val="clear" w:color="auto" w:fill="auto"/>
            <w:noWrap/>
            <w:vAlign w:val="center"/>
            <w:hideMark/>
          </w:tcPr>
          <w:p w:rsidR="005F3544" w:rsidRPr="005F3544" w:rsidRDefault="005F3544" w:rsidP="005F3544">
            <w:pPr>
              <w:widowControl/>
              <w:autoSpaceDE/>
              <w:autoSpaceDN/>
              <w:adjustRightInd/>
              <w:jc w:val="center"/>
              <w:rPr>
                <w:rFonts w:ascii="Book Antiqua" w:hAnsi="Book Antiqua" w:cs="Calibri"/>
                <w:color w:val="000000"/>
                <w:sz w:val="20"/>
                <w:szCs w:val="20"/>
                <w:lang w:val="es-CR" w:eastAsia="es-CR"/>
              </w:rPr>
            </w:pPr>
            <w:r w:rsidRPr="005F3544">
              <w:rPr>
                <w:rFonts w:ascii="Book Antiqua" w:hAnsi="Book Antiqua" w:cs="Calibri"/>
                <w:color w:val="000000"/>
                <w:sz w:val="20"/>
                <w:szCs w:val="20"/>
                <w:lang w:val="es-CR" w:eastAsia="es-CR"/>
              </w:rPr>
              <w:t>feb-20</w:t>
            </w:r>
          </w:p>
        </w:tc>
        <w:tc>
          <w:tcPr>
            <w:tcW w:w="550" w:type="pct"/>
            <w:tcBorders>
              <w:top w:val="nil"/>
              <w:left w:val="nil"/>
              <w:bottom w:val="single" w:sz="8" w:space="0" w:color="auto"/>
              <w:right w:val="single" w:sz="8" w:space="0" w:color="auto"/>
            </w:tcBorders>
            <w:shd w:val="clear" w:color="auto" w:fill="auto"/>
            <w:noWrap/>
            <w:vAlign w:val="center"/>
            <w:hideMark/>
          </w:tcPr>
          <w:p w:rsidR="005F3544" w:rsidRPr="005F3544" w:rsidRDefault="005F3544" w:rsidP="005F3544">
            <w:pPr>
              <w:widowControl/>
              <w:autoSpaceDE/>
              <w:autoSpaceDN/>
              <w:adjustRightInd/>
              <w:jc w:val="center"/>
              <w:rPr>
                <w:rFonts w:ascii="Book Antiqua" w:hAnsi="Book Antiqua" w:cs="Calibri"/>
                <w:color w:val="000000"/>
                <w:sz w:val="20"/>
                <w:szCs w:val="20"/>
                <w:lang w:val="es-CR" w:eastAsia="es-CR"/>
              </w:rPr>
            </w:pPr>
            <w:r w:rsidRPr="005F3544">
              <w:rPr>
                <w:rFonts w:ascii="Book Antiqua" w:hAnsi="Book Antiqua" w:cs="Calibri"/>
                <w:color w:val="000000"/>
                <w:sz w:val="20"/>
                <w:szCs w:val="20"/>
                <w:lang w:val="es-CR" w:eastAsia="es-CR"/>
              </w:rPr>
              <w:t>274</w:t>
            </w:r>
          </w:p>
        </w:tc>
        <w:tc>
          <w:tcPr>
            <w:tcW w:w="483" w:type="pct"/>
            <w:tcBorders>
              <w:top w:val="nil"/>
              <w:left w:val="nil"/>
              <w:bottom w:val="single" w:sz="8" w:space="0" w:color="auto"/>
              <w:right w:val="single" w:sz="8" w:space="0" w:color="auto"/>
            </w:tcBorders>
            <w:shd w:val="clear" w:color="auto" w:fill="auto"/>
            <w:noWrap/>
            <w:vAlign w:val="center"/>
            <w:hideMark/>
          </w:tcPr>
          <w:p w:rsidR="005F3544" w:rsidRPr="005F3544" w:rsidRDefault="005F3544" w:rsidP="005F3544">
            <w:pPr>
              <w:widowControl/>
              <w:autoSpaceDE/>
              <w:autoSpaceDN/>
              <w:adjustRightInd/>
              <w:jc w:val="center"/>
              <w:rPr>
                <w:rFonts w:ascii="Book Antiqua" w:hAnsi="Book Antiqua" w:cs="Calibri"/>
                <w:color w:val="000000"/>
                <w:sz w:val="20"/>
                <w:szCs w:val="20"/>
                <w:lang w:val="es-CR" w:eastAsia="es-CR"/>
              </w:rPr>
            </w:pPr>
            <w:r w:rsidRPr="005F3544">
              <w:rPr>
                <w:rFonts w:ascii="Book Antiqua" w:hAnsi="Book Antiqua" w:cs="Calibri"/>
                <w:color w:val="000000"/>
                <w:sz w:val="20"/>
                <w:szCs w:val="20"/>
                <w:lang w:val="es-CR" w:eastAsia="es-CR"/>
              </w:rPr>
              <w:t>231</w:t>
            </w:r>
          </w:p>
        </w:tc>
        <w:tc>
          <w:tcPr>
            <w:tcW w:w="751" w:type="pct"/>
            <w:tcBorders>
              <w:top w:val="nil"/>
              <w:left w:val="nil"/>
              <w:bottom w:val="single" w:sz="8" w:space="0" w:color="auto"/>
              <w:right w:val="single" w:sz="8" w:space="0" w:color="auto"/>
            </w:tcBorders>
            <w:shd w:val="clear" w:color="auto" w:fill="auto"/>
            <w:noWrap/>
            <w:vAlign w:val="center"/>
            <w:hideMark/>
          </w:tcPr>
          <w:p w:rsidR="005F3544" w:rsidRPr="005F3544" w:rsidRDefault="005F3544" w:rsidP="005F3544">
            <w:pPr>
              <w:widowControl/>
              <w:autoSpaceDE/>
              <w:autoSpaceDN/>
              <w:adjustRightInd/>
              <w:jc w:val="center"/>
              <w:rPr>
                <w:rFonts w:ascii="Book Antiqua" w:hAnsi="Book Antiqua" w:cs="Calibri"/>
                <w:color w:val="000000"/>
                <w:sz w:val="20"/>
                <w:szCs w:val="20"/>
                <w:lang w:val="es-CR" w:eastAsia="es-CR"/>
              </w:rPr>
            </w:pPr>
            <w:r w:rsidRPr="005F3544">
              <w:rPr>
                <w:rFonts w:ascii="Book Antiqua" w:hAnsi="Book Antiqua" w:cs="Calibri"/>
                <w:color w:val="000000"/>
                <w:sz w:val="20"/>
                <w:szCs w:val="20"/>
                <w:lang w:val="es-CR" w:eastAsia="es-CR"/>
              </w:rPr>
              <w:t>1</w:t>
            </w:r>
          </w:p>
        </w:tc>
        <w:tc>
          <w:tcPr>
            <w:tcW w:w="209" w:type="pct"/>
            <w:tcBorders>
              <w:top w:val="nil"/>
              <w:left w:val="nil"/>
              <w:bottom w:val="nil"/>
              <w:right w:val="nil"/>
            </w:tcBorders>
            <w:shd w:val="clear" w:color="000000" w:fill="FFFFFF"/>
            <w:noWrap/>
            <w:vAlign w:val="center"/>
            <w:hideMark/>
          </w:tcPr>
          <w:p w:rsidR="005F3544" w:rsidRPr="005F3544" w:rsidRDefault="005F3544" w:rsidP="005F3544">
            <w:pPr>
              <w:widowControl/>
              <w:autoSpaceDE/>
              <w:autoSpaceDN/>
              <w:adjustRightInd/>
              <w:rPr>
                <w:rFonts w:ascii="Book Antiqua" w:hAnsi="Book Antiqua" w:cs="Calibri"/>
                <w:color w:val="000000"/>
                <w:sz w:val="20"/>
                <w:szCs w:val="20"/>
                <w:lang w:val="es-CR" w:eastAsia="es-CR"/>
              </w:rPr>
            </w:pPr>
            <w:r w:rsidRPr="005F3544">
              <w:rPr>
                <w:rFonts w:ascii="Book Antiqua" w:hAnsi="Book Antiqua" w:cs="Calibri"/>
                <w:color w:val="000000"/>
                <w:sz w:val="20"/>
                <w:szCs w:val="20"/>
                <w:lang w:val="es-CR" w:eastAsia="es-CR"/>
              </w:rPr>
              <w:t> </w:t>
            </w:r>
          </w:p>
        </w:tc>
        <w:tc>
          <w:tcPr>
            <w:tcW w:w="593" w:type="pct"/>
            <w:tcBorders>
              <w:top w:val="nil"/>
              <w:left w:val="single" w:sz="8" w:space="0" w:color="auto"/>
              <w:bottom w:val="single" w:sz="8" w:space="0" w:color="auto"/>
              <w:right w:val="single" w:sz="8" w:space="0" w:color="auto"/>
            </w:tcBorders>
            <w:shd w:val="clear" w:color="auto" w:fill="auto"/>
            <w:noWrap/>
            <w:vAlign w:val="center"/>
            <w:hideMark/>
          </w:tcPr>
          <w:p w:rsidR="005F3544" w:rsidRPr="005F3544" w:rsidRDefault="005F3544" w:rsidP="005F3544">
            <w:pPr>
              <w:widowControl/>
              <w:autoSpaceDE/>
              <w:autoSpaceDN/>
              <w:adjustRightInd/>
              <w:jc w:val="center"/>
              <w:rPr>
                <w:rFonts w:ascii="Book Antiqua" w:hAnsi="Book Antiqua" w:cs="Calibri"/>
                <w:color w:val="000000"/>
                <w:sz w:val="20"/>
                <w:szCs w:val="20"/>
                <w:lang w:val="es-CR" w:eastAsia="es-CR"/>
              </w:rPr>
            </w:pPr>
            <w:r w:rsidRPr="005F3544">
              <w:rPr>
                <w:rFonts w:ascii="Book Antiqua" w:hAnsi="Book Antiqua" w:cs="Calibri"/>
                <w:color w:val="000000"/>
                <w:sz w:val="20"/>
                <w:szCs w:val="20"/>
                <w:lang w:val="es-CR" w:eastAsia="es-CR"/>
              </w:rPr>
              <w:t>feb-20</w:t>
            </w:r>
          </w:p>
        </w:tc>
        <w:tc>
          <w:tcPr>
            <w:tcW w:w="550" w:type="pct"/>
            <w:tcBorders>
              <w:top w:val="nil"/>
              <w:left w:val="nil"/>
              <w:bottom w:val="single" w:sz="8" w:space="0" w:color="auto"/>
              <w:right w:val="single" w:sz="8" w:space="0" w:color="auto"/>
            </w:tcBorders>
            <w:shd w:val="clear" w:color="auto" w:fill="auto"/>
            <w:noWrap/>
            <w:vAlign w:val="center"/>
            <w:hideMark/>
          </w:tcPr>
          <w:p w:rsidR="005F3544" w:rsidRPr="005F3544" w:rsidRDefault="005F3544" w:rsidP="005F3544">
            <w:pPr>
              <w:widowControl/>
              <w:autoSpaceDE/>
              <w:autoSpaceDN/>
              <w:adjustRightInd/>
              <w:jc w:val="center"/>
              <w:rPr>
                <w:rFonts w:ascii="Book Antiqua" w:hAnsi="Book Antiqua" w:cs="Calibri"/>
                <w:color w:val="000000"/>
                <w:sz w:val="20"/>
                <w:szCs w:val="20"/>
                <w:lang w:val="es-CR" w:eastAsia="es-CR"/>
              </w:rPr>
            </w:pPr>
            <w:r w:rsidRPr="005F3544">
              <w:rPr>
                <w:rFonts w:ascii="Book Antiqua" w:hAnsi="Book Antiqua" w:cs="Calibri"/>
                <w:color w:val="000000"/>
                <w:sz w:val="20"/>
                <w:szCs w:val="20"/>
                <w:lang w:val="es-CR" w:eastAsia="es-CR"/>
              </w:rPr>
              <w:t>174</w:t>
            </w:r>
          </w:p>
        </w:tc>
        <w:tc>
          <w:tcPr>
            <w:tcW w:w="483" w:type="pct"/>
            <w:tcBorders>
              <w:top w:val="nil"/>
              <w:left w:val="nil"/>
              <w:bottom w:val="single" w:sz="8" w:space="0" w:color="auto"/>
              <w:right w:val="single" w:sz="8" w:space="0" w:color="auto"/>
            </w:tcBorders>
            <w:shd w:val="clear" w:color="auto" w:fill="auto"/>
            <w:noWrap/>
            <w:vAlign w:val="center"/>
            <w:hideMark/>
          </w:tcPr>
          <w:p w:rsidR="005F3544" w:rsidRPr="005F3544" w:rsidRDefault="005F3544" w:rsidP="005F3544">
            <w:pPr>
              <w:widowControl/>
              <w:autoSpaceDE/>
              <w:autoSpaceDN/>
              <w:adjustRightInd/>
              <w:jc w:val="center"/>
              <w:rPr>
                <w:rFonts w:ascii="Book Antiqua" w:hAnsi="Book Antiqua" w:cs="Calibri"/>
                <w:color w:val="000000"/>
                <w:sz w:val="20"/>
                <w:szCs w:val="20"/>
                <w:lang w:val="es-CR" w:eastAsia="es-CR"/>
              </w:rPr>
            </w:pPr>
            <w:r w:rsidRPr="005F3544">
              <w:rPr>
                <w:rFonts w:ascii="Book Antiqua" w:hAnsi="Book Antiqua" w:cs="Calibri"/>
                <w:color w:val="000000"/>
                <w:sz w:val="20"/>
                <w:szCs w:val="20"/>
                <w:lang w:val="es-CR" w:eastAsia="es-CR"/>
              </w:rPr>
              <w:t>0</w:t>
            </w:r>
          </w:p>
        </w:tc>
        <w:tc>
          <w:tcPr>
            <w:tcW w:w="787" w:type="pct"/>
            <w:tcBorders>
              <w:top w:val="nil"/>
              <w:left w:val="nil"/>
              <w:bottom w:val="single" w:sz="8" w:space="0" w:color="auto"/>
              <w:right w:val="single" w:sz="8" w:space="0" w:color="auto"/>
            </w:tcBorders>
            <w:shd w:val="clear" w:color="auto" w:fill="auto"/>
            <w:noWrap/>
            <w:vAlign w:val="center"/>
            <w:hideMark/>
          </w:tcPr>
          <w:p w:rsidR="005F3544" w:rsidRPr="005F3544" w:rsidRDefault="005F3544" w:rsidP="005F3544">
            <w:pPr>
              <w:widowControl/>
              <w:autoSpaceDE/>
              <w:autoSpaceDN/>
              <w:adjustRightInd/>
              <w:jc w:val="center"/>
              <w:rPr>
                <w:rFonts w:ascii="Book Antiqua" w:hAnsi="Book Antiqua" w:cs="Calibri"/>
                <w:color w:val="000000"/>
                <w:sz w:val="20"/>
                <w:szCs w:val="20"/>
                <w:lang w:val="es-CR" w:eastAsia="es-CR"/>
              </w:rPr>
            </w:pPr>
            <w:r w:rsidRPr="005F3544">
              <w:rPr>
                <w:rFonts w:ascii="Book Antiqua" w:hAnsi="Book Antiqua" w:cs="Calibri"/>
                <w:color w:val="000000"/>
                <w:sz w:val="20"/>
                <w:szCs w:val="20"/>
                <w:lang w:val="es-CR" w:eastAsia="es-CR"/>
              </w:rPr>
              <w:t>33</w:t>
            </w:r>
          </w:p>
        </w:tc>
      </w:tr>
      <w:tr w:rsidR="005F3544" w:rsidRPr="005F3544" w:rsidTr="005F3544">
        <w:trPr>
          <w:trHeight w:val="300"/>
        </w:trPr>
        <w:tc>
          <w:tcPr>
            <w:tcW w:w="593" w:type="pct"/>
            <w:tcBorders>
              <w:top w:val="nil"/>
              <w:left w:val="single" w:sz="8" w:space="0" w:color="auto"/>
              <w:bottom w:val="single" w:sz="8" w:space="0" w:color="auto"/>
              <w:right w:val="single" w:sz="8" w:space="0" w:color="auto"/>
            </w:tcBorders>
            <w:shd w:val="clear" w:color="auto" w:fill="auto"/>
            <w:noWrap/>
            <w:vAlign w:val="center"/>
            <w:hideMark/>
          </w:tcPr>
          <w:p w:rsidR="005F3544" w:rsidRPr="005F3544" w:rsidRDefault="005F3544" w:rsidP="005F3544">
            <w:pPr>
              <w:widowControl/>
              <w:autoSpaceDE/>
              <w:autoSpaceDN/>
              <w:adjustRightInd/>
              <w:jc w:val="center"/>
              <w:rPr>
                <w:rFonts w:ascii="Book Antiqua" w:hAnsi="Book Antiqua" w:cs="Calibri"/>
                <w:color w:val="000000"/>
                <w:sz w:val="20"/>
                <w:szCs w:val="20"/>
                <w:lang w:val="es-CR" w:eastAsia="es-CR"/>
              </w:rPr>
            </w:pPr>
            <w:r w:rsidRPr="005F3544">
              <w:rPr>
                <w:rFonts w:ascii="Book Antiqua" w:hAnsi="Book Antiqua" w:cs="Calibri"/>
                <w:color w:val="000000"/>
                <w:sz w:val="20"/>
                <w:szCs w:val="20"/>
                <w:lang w:val="es-CR" w:eastAsia="es-CR"/>
              </w:rPr>
              <w:t>mar-20</w:t>
            </w:r>
          </w:p>
        </w:tc>
        <w:tc>
          <w:tcPr>
            <w:tcW w:w="550" w:type="pct"/>
            <w:tcBorders>
              <w:top w:val="nil"/>
              <w:left w:val="nil"/>
              <w:bottom w:val="single" w:sz="8" w:space="0" w:color="auto"/>
              <w:right w:val="single" w:sz="8" w:space="0" w:color="auto"/>
            </w:tcBorders>
            <w:shd w:val="clear" w:color="auto" w:fill="auto"/>
            <w:noWrap/>
            <w:vAlign w:val="center"/>
            <w:hideMark/>
          </w:tcPr>
          <w:p w:rsidR="005F3544" w:rsidRPr="005F3544" w:rsidRDefault="005F3544" w:rsidP="005F3544">
            <w:pPr>
              <w:widowControl/>
              <w:autoSpaceDE/>
              <w:autoSpaceDN/>
              <w:adjustRightInd/>
              <w:jc w:val="center"/>
              <w:rPr>
                <w:rFonts w:ascii="Book Antiqua" w:hAnsi="Book Antiqua" w:cs="Calibri"/>
                <w:color w:val="000000"/>
                <w:sz w:val="20"/>
                <w:szCs w:val="20"/>
                <w:lang w:val="es-CR" w:eastAsia="es-CR"/>
              </w:rPr>
            </w:pPr>
            <w:r w:rsidRPr="005F3544">
              <w:rPr>
                <w:rFonts w:ascii="Book Antiqua" w:hAnsi="Book Antiqua" w:cs="Calibri"/>
                <w:color w:val="000000"/>
                <w:sz w:val="20"/>
                <w:szCs w:val="20"/>
                <w:lang w:val="es-CR" w:eastAsia="es-CR"/>
              </w:rPr>
              <w:t>303</w:t>
            </w:r>
          </w:p>
        </w:tc>
        <w:tc>
          <w:tcPr>
            <w:tcW w:w="483" w:type="pct"/>
            <w:tcBorders>
              <w:top w:val="nil"/>
              <w:left w:val="nil"/>
              <w:bottom w:val="single" w:sz="8" w:space="0" w:color="auto"/>
              <w:right w:val="single" w:sz="8" w:space="0" w:color="auto"/>
            </w:tcBorders>
            <w:shd w:val="clear" w:color="auto" w:fill="auto"/>
            <w:noWrap/>
            <w:vAlign w:val="center"/>
            <w:hideMark/>
          </w:tcPr>
          <w:p w:rsidR="005F3544" w:rsidRPr="005F3544" w:rsidRDefault="005F3544" w:rsidP="005F3544">
            <w:pPr>
              <w:widowControl/>
              <w:autoSpaceDE/>
              <w:autoSpaceDN/>
              <w:adjustRightInd/>
              <w:jc w:val="center"/>
              <w:rPr>
                <w:rFonts w:ascii="Book Antiqua" w:hAnsi="Book Antiqua" w:cs="Calibri"/>
                <w:color w:val="000000"/>
                <w:sz w:val="20"/>
                <w:szCs w:val="20"/>
                <w:lang w:val="es-CR" w:eastAsia="es-CR"/>
              </w:rPr>
            </w:pPr>
            <w:r w:rsidRPr="005F3544">
              <w:rPr>
                <w:rFonts w:ascii="Book Antiqua" w:hAnsi="Book Antiqua" w:cs="Calibri"/>
                <w:color w:val="000000"/>
                <w:sz w:val="20"/>
                <w:szCs w:val="20"/>
                <w:lang w:val="es-CR" w:eastAsia="es-CR"/>
              </w:rPr>
              <w:t>260</w:t>
            </w:r>
          </w:p>
        </w:tc>
        <w:tc>
          <w:tcPr>
            <w:tcW w:w="751" w:type="pct"/>
            <w:tcBorders>
              <w:top w:val="nil"/>
              <w:left w:val="nil"/>
              <w:bottom w:val="single" w:sz="8" w:space="0" w:color="auto"/>
              <w:right w:val="single" w:sz="8" w:space="0" w:color="auto"/>
            </w:tcBorders>
            <w:shd w:val="clear" w:color="auto" w:fill="auto"/>
            <w:noWrap/>
            <w:vAlign w:val="center"/>
            <w:hideMark/>
          </w:tcPr>
          <w:p w:rsidR="005F3544" w:rsidRPr="005F3544" w:rsidRDefault="005F3544" w:rsidP="005F3544">
            <w:pPr>
              <w:widowControl/>
              <w:autoSpaceDE/>
              <w:autoSpaceDN/>
              <w:adjustRightInd/>
              <w:jc w:val="center"/>
              <w:rPr>
                <w:rFonts w:ascii="Book Antiqua" w:hAnsi="Book Antiqua" w:cs="Calibri"/>
                <w:color w:val="000000"/>
                <w:sz w:val="20"/>
                <w:szCs w:val="20"/>
                <w:lang w:val="es-CR" w:eastAsia="es-CR"/>
              </w:rPr>
            </w:pPr>
            <w:r w:rsidRPr="005F3544">
              <w:rPr>
                <w:rFonts w:ascii="Book Antiqua" w:hAnsi="Book Antiqua" w:cs="Calibri"/>
                <w:color w:val="000000"/>
                <w:sz w:val="20"/>
                <w:szCs w:val="20"/>
                <w:lang w:val="es-CR" w:eastAsia="es-CR"/>
              </w:rPr>
              <w:t>0</w:t>
            </w:r>
          </w:p>
        </w:tc>
        <w:tc>
          <w:tcPr>
            <w:tcW w:w="209" w:type="pct"/>
            <w:tcBorders>
              <w:top w:val="nil"/>
              <w:left w:val="nil"/>
              <w:bottom w:val="nil"/>
              <w:right w:val="nil"/>
            </w:tcBorders>
            <w:shd w:val="clear" w:color="000000" w:fill="FFFFFF"/>
            <w:noWrap/>
            <w:vAlign w:val="center"/>
            <w:hideMark/>
          </w:tcPr>
          <w:p w:rsidR="005F3544" w:rsidRPr="005F3544" w:rsidRDefault="005F3544" w:rsidP="005F3544">
            <w:pPr>
              <w:widowControl/>
              <w:autoSpaceDE/>
              <w:autoSpaceDN/>
              <w:adjustRightInd/>
              <w:rPr>
                <w:rFonts w:ascii="Book Antiqua" w:hAnsi="Book Antiqua" w:cs="Calibri"/>
                <w:color w:val="000000"/>
                <w:sz w:val="20"/>
                <w:szCs w:val="20"/>
                <w:lang w:val="es-CR" w:eastAsia="es-CR"/>
              </w:rPr>
            </w:pPr>
            <w:r w:rsidRPr="005F3544">
              <w:rPr>
                <w:rFonts w:ascii="Book Antiqua" w:hAnsi="Book Antiqua" w:cs="Calibri"/>
                <w:color w:val="000000"/>
                <w:sz w:val="20"/>
                <w:szCs w:val="20"/>
                <w:lang w:val="es-CR" w:eastAsia="es-CR"/>
              </w:rPr>
              <w:t> </w:t>
            </w:r>
          </w:p>
        </w:tc>
        <w:tc>
          <w:tcPr>
            <w:tcW w:w="593" w:type="pct"/>
            <w:tcBorders>
              <w:top w:val="nil"/>
              <w:left w:val="single" w:sz="8" w:space="0" w:color="auto"/>
              <w:bottom w:val="single" w:sz="8" w:space="0" w:color="auto"/>
              <w:right w:val="single" w:sz="8" w:space="0" w:color="auto"/>
            </w:tcBorders>
            <w:shd w:val="clear" w:color="auto" w:fill="auto"/>
            <w:noWrap/>
            <w:vAlign w:val="center"/>
            <w:hideMark/>
          </w:tcPr>
          <w:p w:rsidR="005F3544" w:rsidRPr="005F3544" w:rsidRDefault="005F3544" w:rsidP="005F3544">
            <w:pPr>
              <w:widowControl/>
              <w:autoSpaceDE/>
              <w:autoSpaceDN/>
              <w:adjustRightInd/>
              <w:jc w:val="center"/>
              <w:rPr>
                <w:rFonts w:ascii="Book Antiqua" w:hAnsi="Book Antiqua" w:cs="Calibri"/>
                <w:color w:val="000000"/>
                <w:sz w:val="20"/>
                <w:szCs w:val="20"/>
                <w:lang w:val="es-CR" w:eastAsia="es-CR"/>
              </w:rPr>
            </w:pPr>
            <w:r w:rsidRPr="005F3544">
              <w:rPr>
                <w:rFonts w:ascii="Book Antiqua" w:hAnsi="Book Antiqua" w:cs="Calibri"/>
                <w:color w:val="000000"/>
                <w:sz w:val="20"/>
                <w:szCs w:val="20"/>
                <w:lang w:val="es-CR" w:eastAsia="es-CR"/>
              </w:rPr>
              <w:t>mar-20</w:t>
            </w:r>
          </w:p>
        </w:tc>
        <w:tc>
          <w:tcPr>
            <w:tcW w:w="550" w:type="pct"/>
            <w:tcBorders>
              <w:top w:val="nil"/>
              <w:left w:val="nil"/>
              <w:bottom w:val="single" w:sz="8" w:space="0" w:color="auto"/>
              <w:right w:val="single" w:sz="8" w:space="0" w:color="auto"/>
            </w:tcBorders>
            <w:shd w:val="clear" w:color="auto" w:fill="auto"/>
            <w:noWrap/>
            <w:vAlign w:val="center"/>
            <w:hideMark/>
          </w:tcPr>
          <w:p w:rsidR="005F3544" w:rsidRPr="005F3544" w:rsidRDefault="005F3544" w:rsidP="005F3544">
            <w:pPr>
              <w:widowControl/>
              <w:autoSpaceDE/>
              <w:autoSpaceDN/>
              <w:adjustRightInd/>
              <w:jc w:val="center"/>
              <w:rPr>
                <w:rFonts w:ascii="Book Antiqua" w:hAnsi="Book Antiqua" w:cs="Calibri"/>
                <w:color w:val="000000"/>
                <w:sz w:val="20"/>
                <w:szCs w:val="20"/>
                <w:lang w:val="es-CR" w:eastAsia="es-CR"/>
              </w:rPr>
            </w:pPr>
            <w:r w:rsidRPr="005F3544">
              <w:rPr>
                <w:rFonts w:ascii="Book Antiqua" w:hAnsi="Book Antiqua" w:cs="Calibri"/>
                <w:color w:val="000000"/>
                <w:sz w:val="20"/>
                <w:szCs w:val="20"/>
                <w:lang w:val="es-CR" w:eastAsia="es-CR"/>
              </w:rPr>
              <w:t>164</w:t>
            </w:r>
          </w:p>
        </w:tc>
        <w:tc>
          <w:tcPr>
            <w:tcW w:w="483" w:type="pct"/>
            <w:tcBorders>
              <w:top w:val="nil"/>
              <w:left w:val="nil"/>
              <w:bottom w:val="single" w:sz="8" w:space="0" w:color="auto"/>
              <w:right w:val="single" w:sz="8" w:space="0" w:color="auto"/>
            </w:tcBorders>
            <w:shd w:val="clear" w:color="auto" w:fill="auto"/>
            <w:noWrap/>
            <w:vAlign w:val="center"/>
            <w:hideMark/>
          </w:tcPr>
          <w:p w:rsidR="005F3544" w:rsidRPr="005F3544" w:rsidRDefault="005F3544" w:rsidP="005F3544">
            <w:pPr>
              <w:widowControl/>
              <w:autoSpaceDE/>
              <w:autoSpaceDN/>
              <w:adjustRightInd/>
              <w:jc w:val="center"/>
              <w:rPr>
                <w:rFonts w:ascii="Book Antiqua" w:hAnsi="Book Antiqua" w:cs="Calibri"/>
                <w:color w:val="000000"/>
                <w:sz w:val="20"/>
                <w:szCs w:val="20"/>
                <w:lang w:val="es-CR" w:eastAsia="es-CR"/>
              </w:rPr>
            </w:pPr>
            <w:r w:rsidRPr="005F3544">
              <w:rPr>
                <w:rFonts w:ascii="Book Antiqua" w:hAnsi="Book Antiqua" w:cs="Calibri"/>
                <w:color w:val="000000"/>
                <w:sz w:val="20"/>
                <w:szCs w:val="20"/>
                <w:lang w:val="es-CR" w:eastAsia="es-CR"/>
              </w:rPr>
              <w:t>0</w:t>
            </w:r>
          </w:p>
        </w:tc>
        <w:tc>
          <w:tcPr>
            <w:tcW w:w="787" w:type="pct"/>
            <w:tcBorders>
              <w:top w:val="nil"/>
              <w:left w:val="nil"/>
              <w:bottom w:val="single" w:sz="8" w:space="0" w:color="auto"/>
              <w:right w:val="single" w:sz="8" w:space="0" w:color="auto"/>
            </w:tcBorders>
            <w:shd w:val="clear" w:color="auto" w:fill="auto"/>
            <w:noWrap/>
            <w:vAlign w:val="center"/>
            <w:hideMark/>
          </w:tcPr>
          <w:p w:rsidR="005F3544" w:rsidRPr="005F3544" w:rsidRDefault="005F3544" w:rsidP="005F3544">
            <w:pPr>
              <w:widowControl/>
              <w:autoSpaceDE/>
              <w:autoSpaceDN/>
              <w:adjustRightInd/>
              <w:jc w:val="center"/>
              <w:rPr>
                <w:rFonts w:ascii="Book Antiqua" w:hAnsi="Book Antiqua" w:cs="Calibri"/>
                <w:color w:val="000000"/>
                <w:sz w:val="20"/>
                <w:szCs w:val="20"/>
                <w:lang w:val="es-CR" w:eastAsia="es-CR"/>
              </w:rPr>
            </w:pPr>
            <w:r w:rsidRPr="005F3544">
              <w:rPr>
                <w:rFonts w:ascii="Book Antiqua" w:hAnsi="Book Antiqua" w:cs="Calibri"/>
                <w:color w:val="000000"/>
                <w:sz w:val="20"/>
                <w:szCs w:val="20"/>
                <w:lang w:val="es-CR" w:eastAsia="es-CR"/>
              </w:rPr>
              <w:t>74</w:t>
            </w:r>
          </w:p>
        </w:tc>
      </w:tr>
      <w:tr w:rsidR="005F3544" w:rsidRPr="005F3544" w:rsidTr="005F3544">
        <w:trPr>
          <w:trHeight w:val="300"/>
        </w:trPr>
        <w:tc>
          <w:tcPr>
            <w:tcW w:w="593" w:type="pct"/>
            <w:tcBorders>
              <w:top w:val="nil"/>
              <w:left w:val="single" w:sz="8" w:space="0" w:color="auto"/>
              <w:bottom w:val="single" w:sz="8" w:space="0" w:color="auto"/>
              <w:right w:val="single" w:sz="8" w:space="0" w:color="auto"/>
            </w:tcBorders>
            <w:shd w:val="clear" w:color="auto" w:fill="auto"/>
            <w:noWrap/>
            <w:vAlign w:val="center"/>
            <w:hideMark/>
          </w:tcPr>
          <w:p w:rsidR="005F3544" w:rsidRPr="005F3544" w:rsidRDefault="005F3544" w:rsidP="005F3544">
            <w:pPr>
              <w:widowControl/>
              <w:autoSpaceDE/>
              <w:autoSpaceDN/>
              <w:adjustRightInd/>
              <w:jc w:val="center"/>
              <w:rPr>
                <w:rFonts w:ascii="Book Antiqua" w:hAnsi="Book Antiqua" w:cs="Calibri"/>
                <w:color w:val="000000"/>
                <w:sz w:val="20"/>
                <w:szCs w:val="20"/>
                <w:lang w:val="es-CR" w:eastAsia="es-CR"/>
              </w:rPr>
            </w:pPr>
            <w:r w:rsidRPr="005F3544">
              <w:rPr>
                <w:rFonts w:ascii="Book Antiqua" w:hAnsi="Book Antiqua" w:cs="Calibri"/>
                <w:color w:val="000000"/>
                <w:sz w:val="20"/>
                <w:szCs w:val="20"/>
                <w:lang w:val="es-CR" w:eastAsia="es-CR"/>
              </w:rPr>
              <w:t>abr-20</w:t>
            </w:r>
          </w:p>
        </w:tc>
        <w:tc>
          <w:tcPr>
            <w:tcW w:w="550" w:type="pct"/>
            <w:tcBorders>
              <w:top w:val="nil"/>
              <w:left w:val="nil"/>
              <w:bottom w:val="single" w:sz="8" w:space="0" w:color="auto"/>
              <w:right w:val="single" w:sz="8" w:space="0" w:color="auto"/>
            </w:tcBorders>
            <w:shd w:val="clear" w:color="auto" w:fill="auto"/>
            <w:noWrap/>
            <w:vAlign w:val="center"/>
            <w:hideMark/>
          </w:tcPr>
          <w:p w:rsidR="005F3544" w:rsidRPr="005F3544" w:rsidRDefault="005F3544" w:rsidP="005F3544">
            <w:pPr>
              <w:widowControl/>
              <w:autoSpaceDE/>
              <w:autoSpaceDN/>
              <w:adjustRightInd/>
              <w:jc w:val="center"/>
              <w:rPr>
                <w:rFonts w:ascii="Book Antiqua" w:hAnsi="Book Antiqua" w:cs="Calibri"/>
                <w:color w:val="000000"/>
                <w:sz w:val="20"/>
                <w:szCs w:val="20"/>
                <w:lang w:val="es-CR" w:eastAsia="es-CR"/>
              </w:rPr>
            </w:pPr>
            <w:r w:rsidRPr="005F3544">
              <w:rPr>
                <w:rFonts w:ascii="Book Antiqua" w:hAnsi="Book Antiqua" w:cs="Calibri"/>
                <w:color w:val="000000"/>
                <w:sz w:val="20"/>
                <w:szCs w:val="20"/>
                <w:lang w:val="es-CR" w:eastAsia="es-CR"/>
              </w:rPr>
              <w:t>285</w:t>
            </w:r>
          </w:p>
        </w:tc>
        <w:tc>
          <w:tcPr>
            <w:tcW w:w="483" w:type="pct"/>
            <w:tcBorders>
              <w:top w:val="nil"/>
              <w:left w:val="nil"/>
              <w:bottom w:val="single" w:sz="8" w:space="0" w:color="auto"/>
              <w:right w:val="single" w:sz="8" w:space="0" w:color="auto"/>
            </w:tcBorders>
            <w:shd w:val="clear" w:color="auto" w:fill="auto"/>
            <w:noWrap/>
            <w:vAlign w:val="center"/>
            <w:hideMark/>
          </w:tcPr>
          <w:p w:rsidR="005F3544" w:rsidRPr="005F3544" w:rsidRDefault="005F3544" w:rsidP="005F3544">
            <w:pPr>
              <w:widowControl/>
              <w:autoSpaceDE/>
              <w:autoSpaceDN/>
              <w:adjustRightInd/>
              <w:jc w:val="center"/>
              <w:rPr>
                <w:rFonts w:ascii="Book Antiqua" w:hAnsi="Book Antiqua" w:cs="Calibri"/>
                <w:color w:val="000000"/>
                <w:sz w:val="20"/>
                <w:szCs w:val="20"/>
                <w:lang w:val="es-CR" w:eastAsia="es-CR"/>
              </w:rPr>
            </w:pPr>
            <w:r w:rsidRPr="005F3544">
              <w:rPr>
                <w:rFonts w:ascii="Book Antiqua" w:hAnsi="Book Antiqua" w:cs="Calibri"/>
                <w:color w:val="000000"/>
                <w:sz w:val="20"/>
                <w:szCs w:val="20"/>
                <w:lang w:val="es-CR" w:eastAsia="es-CR"/>
              </w:rPr>
              <w:t>56</w:t>
            </w:r>
          </w:p>
        </w:tc>
        <w:tc>
          <w:tcPr>
            <w:tcW w:w="751" w:type="pct"/>
            <w:tcBorders>
              <w:top w:val="nil"/>
              <w:left w:val="nil"/>
              <w:bottom w:val="single" w:sz="8" w:space="0" w:color="auto"/>
              <w:right w:val="single" w:sz="8" w:space="0" w:color="auto"/>
            </w:tcBorders>
            <w:shd w:val="clear" w:color="auto" w:fill="auto"/>
            <w:noWrap/>
            <w:vAlign w:val="center"/>
            <w:hideMark/>
          </w:tcPr>
          <w:p w:rsidR="005F3544" w:rsidRPr="005F3544" w:rsidRDefault="005F3544" w:rsidP="005F3544">
            <w:pPr>
              <w:widowControl/>
              <w:autoSpaceDE/>
              <w:autoSpaceDN/>
              <w:adjustRightInd/>
              <w:jc w:val="center"/>
              <w:rPr>
                <w:rFonts w:ascii="Book Antiqua" w:hAnsi="Book Antiqua" w:cs="Calibri"/>
                <w:color w:val="000000"/>
                <w:sz w:val="20"/>
                <w:szCs w:val="20"/>
                <w:lang w:val="es-CR" w:eastAsia="es-CR"/>
              </w:rPr>
            </w:pPr>
            <w:r w:rsidRPr="005F3544">
              <w:rPr>
                <w:rFonts w:ascii="Book Antiqua" w:hAnsi="Book Antiqua" w:cs="Calibri"/>
                <w:color w:val="000000"/>
                <w:sz w:val="20"/>
                <w:szCs w:val="20"/>
                <w:lang w:val="es-CR" w:eastAsia="es-CR"/>
              </w:rPr>
              <w:t>7</w:t>
            </w:r>
          </w:p>
        </w:tc>
        <w:tc>
          <w:tcPr>
            <w:tcW w:w="209" w:type="pct"/>
            <w:tcBorders>
              <w:top w:val="nil"/>
              <w:left w:val="nil"/>
              <w:bottom w:val="nil"/>
              <w:right w:val="nil"/>
            </w:tcBorders>
            <w:shd w:val="clear" w:color="000000" w:fill="FFFFFF"/>
            <w:noWrap/>
            <w:vAlign w:val="center"/>
            <w:hideMark/>
          </w:tcPr>
          <w:p w:rsidR="005F3544" w:rsidRPr="005F3544" w:rsidRDefault="005F3544" w:rsidP="005F3544">
            <w:pPr>
              <w:widowControl/>
              <w:autoSpaceDE/>
              <w:autoSpaceDN/>
              <w:adjustRightInd/>
              <w:rPr>
                <w:rFonts w:ascii="Book Antiqua" w:hAnsi="Book Antiqua" w:cs="Calibri"/>
                <w:color w:val="000000"/>
                <w:sz w:val="20"/>
                <w:szCs w:val="20"/>
                <w:lang w:val="es-CR" w:eastAsia="es-CR"/>
              </w:rPr>
            </w:pPr>
            <w:r w:rsidRPr="005F3544">
              <w:rPr>
                <w:rFonts w:ascii="Book Antiqua" w:hAnsi="Book Antiqua" w:cs="Calibri"/>
                <w:color w:val="000000"/>
                <w:sz w:val="20"/>
                <w:szCs w:val="20"/>
                <w:lang w:val="es-CR" w:eastAsia="es-CR"/>
              </w:rPr>
              <w:t> </w:t>
            </w:r>
          </w:p>
        </w:tc>
        <w:tc>
          <w:tcPr>
            <w:tcW w:w="593" w:type="pct"/>
            <w:tcBorders>
              <w:top w:val="nil"/>
              <w:left w:val="single" w:sz="8" w:space="0" w:color="auto"/>
              <w:bottom w:val="single" w:sz="8" w:space="0" w:color="auto"/>
              <w:right w:val="single" w:sz="8" w:space="0" w:color="auto"/>
            </w:tcBorders>
            <w:shd w:val="clear" w:color="auto" w:fill="auto"/>
            <w:noWrap/>
            <w:vAlign w:val="center"/>
            <w:hideMark/>
          </w:tcPr>
          <w:p w:rsidR="005F3544" w:rsidRPr="005F3544" w:rsidRDefault="005F3544" w:rsidP="005F3544">
            <w:pPr>
              <w:widowControl/>
              <w:autoSpaceDE/>
              <w:autoSpaceDN/>
              <w:adjustRightInd/>
              <w:jc w:val="center"/>
              <w:rPr>
                <w:rFonts w:ascii="Book Antiqua" w:hAnsi="Book Antiqua" w:cs="Calibri"/>
                <w:color w:val="000000"/>
                <w:sz w:val="20"/>
                <w:szCs w:val="20"/>
                <w:lang w:val="es-CR" w:eastAsia="es-CR"/>
              </w:rPr>
            </w:pPr>
            <w:r w:rsidRPr="005F3544">
              <w:rPr>
                <w:rFonts w:ascii="Book Antiqua" w:hAnsi="Book Antiqua" w:cs="Calibri"/>
                <w:color w:val="000000"/>
                <w:sz w:val="20"/>
                <w:szCs w:val="20"/>
                <w:lang w:val="es-CR" w:eastAsia="es-CR"/>
              </w:rPr>
              <w:t>abr-20</w:t>
            </w:r>
          </w:p>
        </w:tc>
        <w:tc>
          <w:tcPr>
            <w:tcW w:w="550" w:type="pct"/>
            <w:tcBorders>
              <w:top w:val="nil"/>
              <w:left w:val="nil"/>
              <w:bottom w:val="single" w:sz="8" w:space="0" w:color="auto"/>
              <w:right w:val="single" w:sz="8" w:space="0" w:color="auto"/>
            </w:tcBorders>
            <w:shd w:val="clear" w:color="auto" w:fill="auto"/>
            <w:noWrap/>
            <w:vAlign w:val="center"/>
            <w:hideMark/>
          </w:tcPr>
          <w:p w:rsidR="005F3544" w:rsidRPr="005F3544" w:rsidRDefault="005F3544" w:rsidP="005F3544">
            <w:pPr>
              <w:widowControl/>
              <w:autoSpaceDE/>
              <w:autoSpaceDN/>
              <w:adjustRightInd/>
              <w:jc w:val="center"/>
              <w:rPr>
                <w:rFonts w:ascii="Book Antiqua" w:hAnsi="Book Antiqua" w:cs="Calibri"/>
                <w:color w:val="000000"/>
                <w:sz w:val="20"/>
                <w:szCs w:val="20"/>
                <w:lang w:val="es-CR" w:eastAsia="es-CR"/>
              </w:rPr>
            </w:pPr>
            <w:r w:rsidRPr="005F3544">
              <w:rPr>
                <w:rFonts w:ascii="Book Antiqua" w:hAnsi="Book Antiqua" w:cs="Calibri"/>
                <w:color w:val="000000"/>
                <w:sz w:val="20"/>
                <w:szCs w:val="20"/>
                <w:lang w:val="es-CR" w:eastAsia="es-CR"/>
              </w:rPr>
              <w:t>110</w:t>
            </w:r>
          </w:p>
        </w:tc>
        <w:tc>
          <w:tcPr>
            <w:tcW w:w="483" w:type="pct"/>
            <w:tcBorders>
              <w:top w:val="nil"/>
              <w:left w:val="nil"/>
              <w:bottom w:val="single" w:sz="8" w:space="0" w:color="auto"/>
              <w:right w:val="single" w:sz="8" w:space="0" w:color="auto"/>
            </w:tcBorders>
            <w:shd w:val="clear" w:color="auto" w:fill="auto"/>
            <w:noWrap/>
            <w:vAlign w:val="center"/>
            <w:hideMark/>
          </w:tcPr>
          <w:p w:rsidR="005F3544" w:rsidRPr="005F3544" w:rsidRDefault="005F3544" w:rsidP="005F3544">
            <w:pPr>
              <w:widowControl/>
              <w:autoSpaceDE/>
              <w:autoSpaceDN/>
              <w:adjustRightInd/>
              <w:jc w:val="center"/>
              <w:rPr>
                <w:rFonts w:ascii="Book Antiqua" w:hAnsi="Book Antiqua" w:cs="Calibri"/>
                <w:color w:val="000000"/>
                <w:sz w:val="20"/>
                <w:szCs w:val="20"/>
                <w:lang w:val="es-CR" w:eastAsia="es-CR"/>
              </w:rPr>
            </w:pPr>
            <w:r w:rsidRPr="005F3544">
              <w:rPr>
                <w:rFonts w:ascii="Book Antiqua" w:hAnsi="Book Antiqua" w:cs="Calibri"/>
                <w:color w:val="000000"/>
                <w:sz w:val="20"/>
                <w:szCs w:val="20"/>
                <w:lang w:val="es-CR" w:eastAsia="es-CR"/>
              </w:rPr>
              <w:t>0</w:t>
            </w:r>
          </w:p>
        </w:tc>
        <w:tc>
          <w:tcPr>
            <w:tcW w:w="787" w:type="pct"/>
            <w:tcBorders>
              <w:top w:val="nil"/>
              <w:left w:val="nil"/>
              <w:bottom w:val="single" w:sz="8" w:space="0" w:color="auto"/>
              <w:right w:val="single" w:sz="8" w:space="0" w:color="auto"/>
            </w:tcBorders>
            <w:shd w:val="clear" w:color="auto" w:fill="auto"/>
            <w:noWrap/>
            <w:vAlign w:val="center"/>
            <w:hideMark/>
          </w:tcPr>
          <w:p w:rsidR="005F3544" w:rsidRPr="005F3544" w:rsidRDefault="005F3544" w:rsidP="005F3544">
            <w:pPr>
              <w:widowControl/>
              <w:autoSpaceDE/>
              <w:autoSpaceDN/>
              <w:adjustRightInd/>
              <w:jc w:val="center"/>
              <w:rPr>
                <w:rFonts w:ascii="Book Antiqua" w:hAnsi="Book Antiqua" w:cs="Calibri"/>
                <w:color w:val="000000"/>
                <w:sz w:val="20"/>
                <w:szCs w:val="20"/>
                <w:lang w:val="es-CR" w:eastAsia="es-CR"/>
              </w:rPr>
            </w:pPr>
            <w:r w:rsidRPr="005F3544">
              <w:rPr>
                <w:rFonts w:ascii="Book Antiqua" w:hAnsi="Book Antiqua" w:cs="Calibri"/>
                <w:color w:val="000000"/>
                <w:sz w:val="20"/>
                <w:szCs w:val="20"/>
                <w:lang w:val="es-CR" w:eastAsia="es-CR"/>
              </w:rPr>
              <w:t>17</w:t>
            </w:r>
          </w:p>
        </w:tc>
      </w:tr>
      <w:tr w:rsidR="005F3544" w:rsidRPr="005F3544" w:rsidTr="005F3544">
        <w:trPr>
          <w:trHeight w:val="300"/>
        </w:trPr>
        <w:tc>
          <w:tcPr>
            <w:tcW w:w="593" w:type="pct"/>
            <w:tcBorders>
              <w:top w:val="nil"/>
              <w:left w:val="single" w:sz="8" w:space="0" w:color="auto"/>
              <w:bottom w:val="single" w:sz="8" w:space="0" w:color="auto"/>
              <w:right w:val="single" w:sz="8" w:space="0" w:color="auto"/>
            </w:tcBorders>
            <w:shd w:val="clear" w:color="auto" w:fill="auto"/>
            <w:noWrap/>
            <w:vAlign w:val="center"/>
            <w:hideMark/>
          </w:tcPr>
          <w:p w:rsidR="005F3544" w:rsidRPr="005F3544" w:rsidRDefault="005F3544" w:rsidP="005F3544">
            <w:pPr>
              <w:widowControl/>
              <w:autoSpaceDE/>
              <w:autoSpaceDN/>
              <w:adjustRightInd/>
              <w:jc w:val="center"/>
              <w:rPr>
                <w:rFonts w:ascii="Book Antiqua" w:hAnsi="Book Antiqua" w:cs="Calibri"/>
                <w:color w:val="000000"/>
                <w:sz w:val="20"/>
                <w:szCs w:val="20"/>
                <w:lang w:val="es-CR" w:eastAsia="es-CR"/>
              </w:rPr>
            </w:pPr>
            <w:r w:rsidRPr="005F3544">
              <w:rPr>
                <w:rFonts w:ascii="Book Antiqua" w:hAnsi="Book Antiqua" w:cs="Calibri"/>
                <w:color w:val="000000"/>
                <w:sz w:val="20"/>
                <w:szCs w:val="20"/>
                <w:lang w:val="es-CR" w:eastAsia="es-CR"/>
              </w:rPr>
              <w:t>may-20</w:t>
            </w:r>
          </w:p>
        </w:tc>
        <w:tc>
          <w:tcPr>
            <w:tcW w:w="550" w:type="pct"/>
            <w:tcBorders>
              <w:top w:val="nil"/>
              <w:left w:val="nil"/>
              <w:bottom w:val="single" w:sz="8" w:space="0" w:color="auto"/>
              <w:right w:val="single" w:sz="8" w:space="0" w:color="auto"/>
            </w:tcBorders>
            <w:shd w:val="clear" w:color="auto" w:fill="auto"/>
            <w:noWrap/>
            <w:vAlign w:val="center"/>
            <w:hideMark/>
          </w:tcPr>
          <w:p w:rsidR="005F3544" w:rsidRPr="005F3544" w:rsidRDefault="005F3544" w:rsidP="005F3544">
            <w:pPr>
              <w:widowControl/>
              <w:autoSpaceDE/>
              <w:autoSpaceDN/>
              <w:adjustRightInd/>
              <w:jc w:val="center"/>
              <w:rPr>
                <w:rFonts w:ascii="Book Antiqua" w:hAnsi="Book Antiqua" w:cs="Calibri"/>
                <w:color w:val="000000"/>
                <w:sz w:val="20"/>
                <w:szCs w:val="20"/>
                <w:lang w:val="es-CR" w:eastAsia="es-CR"/>
              </w:rPr>
            </w:pPr>
            <w:r w:rsidRPr="005F3544">
              <w:rPr>
                <w:rFonts w:ascii="Book Antiqua" w:hAnsi="Book Antiqua" w:cs="Calibri"/>
                <w:color w:val="000000"/>
                <w:sz w:val="20"/>
                <w:szCs w:val="20"/>
                <w:lang w:val="es-CR" w:eastAsia="es-CR"/>
              </w:rPr>
              <w:t>314</w:t>
            </w:r>
          </w:p>
        </w:tc>
        <w:tc>
          <w:tcPr>
            <w:tcW w:w="483" w:type="pct"/>
            <w:tcBorders>
              <w:top w:val="nil"/>
              <w:left w:val="nil"/>
              <w:bottom w:val="single" w:sz="8" w:space="0" w:color="auto"/>
              <w:right w:val="single" w:sz="8" w:space="0" w:color="auto"/>
            </w:tcBorders>
            <w:shd w:val="clear" w:color="auto" w:fill="auto"/>
            <w:noWrap/>
            <w:vAlign w:val="center"/>
            <w:hideMark/>
          </w:tcPr>
          <w:p w:rsidR="005F3544" w:rsidRPr="005F3544" w:rsidRDefault="005F3544" w:rsidP="005F3544">
            <w:pPr>
              <w:widowControl/>
              <w:autoSpaceDE/>
              <w:autoSpaceDN/>
              <w:adjustRightInd/>
              <w:jc w:val="center"/>
              <w:rPr>
                <w:rFonts w:ascii="Book Antiqua" w:hAnsi="Book Antiqua" w:cs="Calibri"/>
                <w:color w:val="000000"/>
                <w:sz w:val="20"/>
                <w:szCs w:val="20"/>
                <w:lang w:val="es-CR" w:eastAsia="es-CR"/>
              </w:rPr>
            </w:pPr>
            <w:r w:rsidRPr="005F3544">
              <w:rPr>
                <w:rFonts w:ascii="Book Antiqua" w:hAnsi="Book Antiqua" w:cs="Calibri"/>
                <w:color w:val="000000"/>
                <w:sz w:val="20"/>
                <w:szCs w:val="20"/>
                <w:lang w:val="es-CR" w:eastAsia="es-CR"/>
              </w:rPr>
              <w:t>34</w:t>
            </w:r>
          </w:p>
        </w:tc>
        <w:tc>
          <w:tcPr>
            <w:tcW w:w="751" w:type="pct"/>
            <w:tcBorders>
              <w:top w:val="nil"/>
              <w:left w:val="nil"/>
              <w:bottom w:val="single" w:sz="8" w:space="0" w:color="auto"/>
              <w:right w:val="single" w:sz="8" w:space="0" w:color="auto"/>
            </w:tcBorders>
            <w:shd w:val="clear" w:color="auto" w:fill="auto"/>
            <w:noWrap/>
            <w:vAlign w:val="center"/>
            <w:hideMark/>
          </w:tcPr>
          <w:p w:rsidR="005F3544" w:rsidRPr="005F3544" w:rsidRDefault="005F3544" w:rsidP="005F3544">
            <w:pPr>
              <w:widowControl/>
              <w:autoSpaceDE/>
              <w:autoSpaceDN/>
              <w:adjustRightInd/>
              <w:jc w:val="center"/>
              <w:rPr>
                <w:rFonts w:ascii="Book Antiqua" w:hAnsi="Book Antiqua" w:cs="Calibri"/>
                <w:color w:val="000000"/>
                <w:sz w:val="20"/>
                <w:szCs w:val="20"/>
                <w:lang w:val="es-CR" w:eastAsia="es-CR"/>
              </w:rPr>
            </w:pPr>
            <w:r w:rsidRPr="005F3544">
              <w:rPr>
                <w:rFonts w:ascii="Book Antiqua" w:hAnsi="Book Antiqua" w:cs="Calibri"/>
                <w:color w:val="000000"/>
                <w:sz w:val="20"/>
                <w:szCs w:val="20"/>
                <w:lang w:val="es-CR" w:eastAsia="es-CR"/>
              </w:rPr>
              <w:t>0</w:t>
            </w:r>
          </w:p>
        </w:tc>
        <w:tc>
          <w:tcPr>
            <w:tcW w:w="209" w:type="pct"/>
            <w:tcBorders>
              <w:top w:val="nil"/>
              <w:left w:val="nil"/>
              <w:bottom w:val="nil"/>
              <w:right w:val="nil"/>
            </w:tcBorders>
            <w:shd w:val="clear" w:color="000000" w:fill="FFFFFF"/>
            <w:noWrap/>
            <w:vAlign w:val="center"/>
            <w:hideMark/>
          </w:tcPr>
          <w:p w:rsidR="005F3544" w:rsidRPr="005F3544" w:rsidRDefault="005F3544" w:rsidP="005F3544">
            <w:pPr>
              <w:widowControl/>
              <w:autoSpaceDE/>
              <w:autoSpaceDN/>
              <w:adjustRightInd/>
              <w:rPr>
                <w:rFonts w:ascii="Book Antiqua" w:hAnsi="Book Antiqua" w:cs="Calibri"/>
                <w:color w:val="000000"/>
                <w:sz w:val="20"/>
                <w:szCs w:val="20"/>
                <w:lang w:val="es-CR" w:eastAsia="es-CR"/>
              </w:rPr>
            </w:pPr>
            <w:r w:rsidRPr="005F3544">
              <w:rPr>
                <w:rFonts w:ascii="Book Antiqua" w:hAnsi="Book Antiqua" w:cs="Calibri"/>
                <w:color w:val="000000"/>
                <w:sz w:val="20"/>
                <w:szCs w:val="20"/>
                <w:lang w:val="es-CR" w:eastAsia="es-CR"/>
              </w:rPr>
              <w:t> </w:t>
            </w:r>
          </w:p>
        </w:tc>
        <w:tc>
          <w:tcPr>
            <w:tcW w:w="593" w:type="pct"/>
            <w:tcBorders>
              <w:top w:val="nil"/>
              <w:left w:val="single" w:sz="8" w:space="0" w:color="auto"/>
              <w:bottom w:val="single" w:sz="8" w:space="0" w:color="auto"/>
              <w:right w:val="single" w:sz="8" w:space="0" w:color="auto"/>
            </w:tcBorders>
            <w:shd w:val="clear" w:color="auto" w:fill="auto"/>
            <w:noWrap/>
            <w:vAlign w:val="center"/>
            <w:hideMark/>
          </w:tcPr>
          <w:p w:rsidR="005F3544" w:rsidRPr="005F3544" w:rsidRDefault="005F3544" w:rsidP="005F3544">
            <w:pPr>
              <w:widowControl/>
              <w:autoSpaceDE/>
              <w:autoSpaceDN/>
              <w:adjustRightInd/>
              <w:jc w:val="center"/>
              <w:rPr>
                <w:rFonts w:ascii="Book Antiqua" w:hAnsi="Book Antiqua" w:cs="Calibri"/>
                <w:color w:val="000000"/>
                <w:sz w:val="20"/>
                <w:szCs w:val="20"/>
                <w:lang w:val="es-CR" w:eastAsia="es-CR"/>
              </w:rPr>
            </w:pPr>
            <w:r w:rsidRPr="005F3544">
              <w:rPr>
                <w:rFonts w:ascii="Book Antiqua" w:hAnsi="Book Antiqua" w:cs="Calibri"/>
                <w:color w:val="000000"/>
                <w:sz w:val="20"/>
                <w:szCs w:val="20"/>
                <w:lang w:val="es-CR" w:eastAsia="es-CR"/>
              </w:rPr>
              <w:t>may-20</w:t>
            </w:r>
          </w:p>
        </w:tc>
        <w:tc>
          <w:tcPr>
            <w:tcW w:w="550" w:type="pct"/>
            <w:tcBorders>
              <w:top w:val="nil"/>
              <w:left w:val="nil"/>
              <w:bottom w:val="single" w:sz="8" w:space="0" w:color="auto"/>
              <w:right w:val="single" w:sz="8" w:space="0" w:color="auto"/>
            </w:tcBorders>
            <w:shd w:val="clear" w:color="auto" w:fill="auto"/>
            <w:noWrap/>
            <w:vAlign w:val="center"/>
            <w:hideMark/>
          </w:tcPr>
          <w:p w:rsidR="005F3544" w:rsidRPr="005F3544" w:rsidRDefault="005F3544" w:rsidP="005F3544">
            <w:pPr>
              <w:widowControl/>
              <w:autoSpaceDE/>
              <w:autoSpaceDN/>
              <w:adjustRightInd/>
              <w:jc w:val="center"/>
              <w:rPr>
                <w:rFonts w:ascii="Book Antiqua" w:hAnsi="Book Antiqua" w:cs="Calibri"/>
                <w:color w:val="000000"/>
                <w:sz w:val="20"/>
                <w:szCs w:val="20"/>
                <w:lang w:val="es-CR" w:eastAsia="es-CR"/>
              </w:rPr>
            </w:pPr>
            <w:r w:rsidRPr="005F3544">
              <w:rPr>
                <w:rFonts w:ascii="Book Antiqua" w:hAnsi="Book Antiqua" w:cs="Calibri"/>
                <w:color w:val="000000"/>
                <w:sz w:val="20"/>
                <w:szCs w:val="20"/>
                <w:lang w:val="es-CR" w:eastAsia="es-CR"/>
              </w:rPr>
              <w:t>130</w:t>
            </w:r>
          </w:p>
        </w:tc>
        <w:tc>
          <w:tcPr>
            <w:tcW w:w="483" w:type="pct"/>
            <w:tcBorders>
              <w:top w:val="nil"/>
              <w:left w:val="nil"/>
              <w:bottom w:val="single" w:sz="8" w:space="0" w:color="auto"/>
              <w:right w:val="single" w:sz="8" w:space="0" w:color="auto"/>
            </w:tcBorders>
            <w:shd w:val="clear" w:color="auto" w:fill="auto"/>
            <w:noWrap/>
            <w:vAlign w:val="center"/>
            <w:hideMark/>
          </w:tcPr>
          <w:p w:rsidR="005F3544" w:rsidRPr="005F3544" w:rsidRDefault="005F3544" w:rsidP="005F3544">
            <w:pPr>
              <w:widowControl/>
              <w:autoSpaceDE/>
              <w:autoSpaceDN/>
              <w:adjustRightInd/>
              <w:jc w:val="center"/>
              <w:rPr>
                <w:rFonts w:ascii="Book Antiqua" w:hAnsi="Book Antiqua" w:cs="Calibri"/>
                <w:color w:val="000000"/>
                <w:sz w:val="20"/>
                <w:szCs w:val="20"/>
                <w:lang w:val="es-CR" w:eastAsia="es-CR"/>
              </w:rPr>
            </w:pPr>
            <w:r w:rsidRPr="005F3544">
              <w:rPr>
                <w:rFonts w:ascii="Book Antiqua" w:hAnsi="Book Antiqua" w:cs="Calibri"/>
                <w:color w:val="000000"/>
                <w:sz w:val="20"/>
                <w:szCs w:val="20"/>
                <w:lang w:val="es-CR" w:eastAsia="es-CR"/>
              </w:rPr>
              <w:t>0</w:t>
            </w:r>
          </w:p>
        </w:tc>
        <w:tc>
          <w:tcPr>
            <w:tcW w:w="787" w:type="pct"/>
            <w:tcBorders>
              <w:top w:val="nil"/>
              <w:left w:val="nil"/>
              <w:bottom w:val="single" w:sz="8" w:space="0" w:color="auto"/>
              <w:right w:val="single" w:sz="8" w:space="0" w:color="auto"/>
            </w:tcBorders>
            <w:shd w:val="clear" w:color="auto" w:fill="auto"/>
            <w:noWrap/>
            <w:vAlign w:val="center"/>
            <w:hideMark/>
          </w:tcPr>
          <w:p w:rsidR="005F3544" w:rsidRPr="005F3544" w:rsidRDefault="005F3544" w:rsidP="005F3544">
            <w:pPr>
              <w:widowControl/>
              <w:autoSpaceDE/>
              <w:autoSpaceDN/>
              <w:adjustRightInd/>
              <w:jc w:val="center"/>
              <w:rPr>
                <w:rFonts w:ascii="Book Antiqua" w:hAnsi="Book Antiqua" w:cs="Calibri"/>
                <w:color w:val="000000"/>
                <w:sz w:val="20"/>
                <w:szCs w:val="20"/>
                <w:lang w:val="es-CR" w:eastAsia="es-CR"/>
              </w:rPr>
            </w:pPr>
            <w:r w:rsidRPr="005F3544">
              <w:rPr>
                <w:rFonts w:ascii="Book Antiqua" w:hAnsi="Book Antiqua" w:cs="Calibri"/>
                <w:color w:val="000000"/>
                <w:sz w:val="20"/>
                <w:szCs w:val="20"/>
                <w:lang w:val="es-CR" w:eastAsia="es-CR"/>
              </w:rPr>
              <w:t>33</w:t>
            </w:r>
          </w:p>
        </w:tc>
      </w:tr>
    </w:tbl>
    <w:p w:rsidR="005F3544" w:rsidRPr="00226454" w:rsidRDefault="005F3544" w:rsidP="005F3544">
      <w:pPr>
        <w:spacing w:after="200"/>
        <w:jc w:val="both"/>
        <w:rPr>
          <w:rFonts w:ascii="Book Antiqua" w:hAnsi="Book Antiqua" w:cs="Book Antiqua"/>
          <w:sz w:val="16"/>
          <w:szCs w:val="16"/>
          <w:lang w:val="es-CR"/>
        </w:rPr>
      </w:pPr>
      <w:r w:rsidRPr="00226454">
        <w:rPr>
          <w:rFonts w:ascii="Book Antiqua" w:hAnsi="Book Antiqua" w:cs="Book Antiqua"/>
          <w:b/>
          <w:bCs/>
          <w:sz w:val="16"/>
          <w:szCs w:val="16"/>
          <w:lang w:val="es-CR"/>
        </w:rPr>
        <w:t>Fuente:</w:t>
      </w:r>
      <w:r w:rsidRPr="00226454">
        <w:rPr>
          <w:rFonts w:ascii="Book Antiqua" w:hAnsi="Book Antiqua" w:cs="Book Antiqua"/>
          <w:sz w:val="16"/>
          <w:szCs w:val="16"/>
          <w:lang w:val="es-CR"/>
        </w:rPr>
        <w:t xml:space="preserve"> </w:t>
      </w:r>
      <w:r>
        <w:rPr>
          <w:rFonts w:ascii="Book Antiqua" w:hAnsi="Book Antiqua" w:cs="Book Antiqua"/>
          <w:sz w:val="16"/>
          <w:szCs w:val="16"/>
          <w:lang w:val="es-CR"/>
        </w:rPr>
        <w:t>Matrices de Indicadores de Gestión (enero a mayo 2020)</w:t>
      </w:r>
      <w:r w:rsidRPr="00226454">
        <w:rPr>
          <w:rFonts w:ascii="Book Antiqua" w:hAnsi="Book Antiqua" w:cs="Book Antiqua"/>
          <w:sz w:val="16"/>
          <w:szCs w:val="16"/>
          <w:lang w:val="es-CR"/>
        </w:rPr>
        <w:t>.</w:t>
      </w:r>
    </w:p>
    <w:p w:rsidR="005F3544" w:rsidRDefault="00DB3EC8" w:rsidP="00B8697C">
      <w:pPr>
        <w:spacing w:after="200"/>
        <w:jc w:val="both"/>
        <w:rPr>
          <w:rFonts w:ascii="Book Antiqua" w:hAnsi="Book Antiqua" w:cs="Book Antiqua"/>
          <w:lang w:val="es-CR"/>
        </w:rPr>
      </w:pPr>
      <w:r>
        <w:rPr>
          <w:rFonts w:ascii="Book Antiqua" w:hAnsi="Book Antiqua" w:cs="Book Antiqua"/>
          <w:lang w:val="es-CR"/>
        </w:rPr>
        <w:t xml:space="preserve">De forma complementaria, cabe señalar que en cuanto al indicador </w:t>
      </w:r>
      <w:r w:rsidR="00D21112">
        <w:rPr>
          <w:rFonts w:ascii="Book Antiqua" w:hAnsi="Book Antiqua" w:cs="Book Antiqua"/>
          <w:lang w:val="es-CR"/>
        </w:rPr>
        <w:t>p</w:t>
      </w:r>
      <w:r w:rsidR="005F3544">
        <w:rPr>
          <w:rFonts w:ascii="Book Antiqua" w:hAnsi="Book Antiqua" w:cs="Book Antiqua"/>
          <w:lang w:val="es-CR"/>
        </w:rPr>
        <w:t>lazo de espera de dictado de sentencia, el Tribunal de Apelación de Trabajo del Primer Circuito Judicial de San José incremento en un 26% (65 días), mientras que el Tribunal de Apelación de Trabajo del Segundo Circuito Judicial de San José disminuyó el plazo en un 43% (98 días).</w:t>
      </w:r>
    </w:p>
    <w:p w:rsidR="00F33AB5" w:rsidRDefault="00F33AB5" w:rsidP="00B8697C">
      <w:pPr>
        <w:spacing w:after="200"/>
        <w:jc w:val="both"/>
        <w:rPr>
          <w:rFonts w:ascii="Book Antiqua" w:hAnsi="Book Antiqua" w:cs="Book Antiqua"/>
          <w:highlight w:val="yellow"/>
          <w:lang w:val="es-CR"/>
        </w:rPr>
      </w:pPr>
      <w:r>
        <w:rPr>
          <w:rFonts w:ascii="Book Antiqua" w:hAnsi="Book Antiqua" w:cs="Book Antiqua"/>
          <w:lang w:val="es-CR"/>
        </w:rPr>
        <w:t>Es importante señalar que el incrementó en el indicador plazo de espera de dictado de sentencia en el Tribunal de Apelaciones de Trabajo del Primer Circuito Judicial de San José, se debe a la complejidad del expediente 13-149-1102-LA, el cual no se ha podido resolver por parte de la persona juzgadora del Tribunal.</w:t>
      </w:r>
    </w:p>
    <w:p w:rsidR="005F3544" w:rsidRDefault="005F3544" w:rsidP="00B8697C">
      <w:pPr>
        <w:spacing w:after="200"/>
        <w:jc w:val="both"/>
        <w:rPr>
          <w:rFonts w:ascii="Book Antiqua" w:hAnsi="Book Antiqua" w:cs="Book Antiqua"/>
          <w:lang w:val="es-CR"/>
        </w:rPr>
      </w:pPr>
      <w:r w:rsidRPr="00057488">
        <w:rPr>
          <w:rFonts w:ascii="Book Antiqua" w:hAnsi="Book Antiqua" w:cs="Book Antiqua"/>
          <w:lang w:val="es-CR"/>
        </w:rPr>
        <w:t xml:space="preserve">En relación </w:t>
      </w:r>
      <w:r>
        <w:rPr>
          <w:rFonts w:ascii="Book Antiqua" w:hAnsi="Book Antiqua" w:cs="Book Antiqua"/>
          <w:lang w:val="es-CR"/>
        </w:rPr>
        <w:t xml:space="preserve">con el indicador denominado “plazo para resolver escritos”, el Tribunal de Apelaciones </w:t>
      </w:r>
      <w:r w:rsidR="00D21112">
        <w:rPr>
          <w:rFonts w:ascii="Book Antiqua" w:hAnsi="Book Antiqua" w:cs="Book Antiqua"/>
          <w:lang w:val="es-CR"/>
        </w:rPr>
        <w:t xml:space="preserve">de Trabajo </w:t>
      </w:r>
      <w:r>
        <w:rPr>
          <w:rFonts w:ascii="Book Antiqua" w:hAnsi="Book Antiqua" w:cs="Book Antiqua"/>
          <w:lang w:val="es-CR"/>
        </w:rPr>
        <w:t>del Primer Circuito Judicial de San José disminuyó en un 86% (214 días), mientras el Tribunal de Apela</w:t>
      </w:r>
      <w:r w:rsidR="00D21112">
        <w:rPr>
          <w:rFonts w:ascii="Book Antiqua" w:hAnsi="Book Antiqua" w:cs="Book Antiqua"/>
          <w:lang w:val="es-CR"/>
        </w:rPr>
        <w:t>ciones de Trabajo del Segundo Circuito Judicial de San José se mantuvo durante los meses analizados resolviendo los escritos al día</w:t>
      </w:r>
      <w:r w:rsidR="00F33AB5">
        <w:rPr>
          <w:rFonts w:ascii="Book Antiqua" w:hAnsi="Book Antiqua" w:cs="Book Antiqua"/>
          <w:lang w:val="es-CR"/>
        </w:rPr>
        <w:t>.</w:t>
      </w:r>
    </w:p>
    <w:p w:rsidR="00F33AB5" w:rsidRDefault="00F33AB5" w:rsidP="00B8697C">
      <w:pPr>
        <w:spacing w:after="200"/>
        <w:jc w:val="both"/>
        <w:rPr>
          <w:rFonts w:ascii="Book Antiqua" w:hAnsi="Book Antiqua" w:cs="Book Antiqua"/>
          <w:lang w:val="es-CR"/>
        </w:rPr>
      </w:pPr>
      <w:r>
        <w:rPr>
          <w:rFonts w:ascii="Book Antiqua" w:hAnsi="Book Antiqua" w:cs="Book Antiqua"/>
          <w:lang w:val="es-CR"/>
        </w:rPr>
        <w:t>E</w:t>
      </w:r>
      <w:r w:rsidR="00D21112">
        <w:rPr>
          <w:rFonts w:ascii="Book Antiqua" w:hAnsi="Book Antiqua" w:cs="Book Antiqua"/>
          <w:lang w:val="es-CR"/>
        </w:rPr>
        <w:t>l indicador “</w:t>
      </w:r>
      <w:r w:rsidR="00D21112" w:rsidRPr="00057488">
        <w:rPr>
          <w:rFonts w:ascii="Book Antiqua" w:hAnsi="Book Antiqua" w:cs="Book Antiqua"/>
          <w:lang w:val="es-CR"/>
        </w:rPr>
        <w:t>Plazo de espera de expediente votado más antiguo pendiente de firmar la sentencia</w:t>
      </w:r>
      <w:r w:rsidR="00D21112">
        <w:rPr>
          <w:rFonts w:ascii="Book Antiqua" w:hAnsi="Book Antiqua" w:cs="Book Antiqua"/>
          <w:lang w:val="es-CR"/>
        </w:rPr>
        <w:t>”, el Tribunal de Apelación de Trabajo del Primer Circuito Judicial de San José disminuyó a un 100% (100 días), mientras que el Tribunal de Apelaciones de Trabajo del Segundo Circuito Judicial de San José aumentó el plazo en un 83% (15 días)</w:t>
      </w:r>
      <w:r>
        <w:rPr>
          <w:rFonts w:ascii="Book Antiqua" w:hAnsi="Book Antiqua" w:cs="Book Antiqua"/>
          <w:lang w:val="es-CR"/>
        </w:rPr>
        <w:t>.</w:t>
      </w:r>
    </w:p>
    <w:p w:rsidR="00D85198" w:rsidRPr="005F3544" w:rsidRDefault="00F33AB5" w:rsidP="00D85198">
      <w:pPr>
        <w:widowControl/>
        <w:autoSpaceDE/>
        <w:autoSpaceDN/>
        <w:adjustRightInd/>
        <w:jc w:val="both"/>
        <w:rPr>
          <w:rFonts w:ascii="Book Antiqua" w:hAnsi="Book Antiqua" w:cs="Calibri"/>
          <w:b/>
          <w:bCs/>
          <w:color w:val="FFFFFF"/>
          <w:sz w:val="20"/>
          <w:szCs w:val="20"/>
          <w:lang w:val="es-CR" w:eastAsia="es-CR"/>
        </w:rPr>
      </w:pPr>
      <w:r>
        <w:rPr>
          <w:rFonts w:ascii="Book Antiqua" w:hAnsi="Book Antiqua" w:cs="Book Antiqua"/>
          <w:lang w:val="es-CR"/>
        </w:rPr>
        <w:t xml:space="preserve">Finalmente se puede comentar que el Tribunal de Apelaciones </w:t>
      </w:r>
      <w:r w:rsidR="00D85198">
        <w:rPr>
          <w:rFonts w:ascii="Book Antiqua" w:hAnsi="Book Antiqua" w:cs="Book Antiqua"/>
          <w:lang w:val="es-CR"/>
        </w:rPr>
        <w:t>de Trabajo del Segundo Circuito Judicial de San José, presenta el incremento en el plazo</w:t>
      </w:r>
      <w:r w:rsidR="00D85198" w:rsidRPr="00057488">
        <w:rPr>
          <w:rFonts w:ascii="Book Antiqua" w:hAnsi="Book Antiqua" w:cs="Book Antiqua"/>
          <w:lang w:val="es-CR"/>
        </w:rPr>
        <w:t xml:space="preserve"> de espera de expediente votado más antiguo pendiente de firmar la sentencia</w:t>
      </w:r>
      <w:r w:rsidR="00D85198">
        <w:rPr>
          <w:rFonts w:ascii="Book Antiqua" w:hAnsi="Book Antiqua" w:cs="Book Antiqua"/>
          <w:lang w:val="es-CR"/>
        </w:rPr>
        <w:t>, debido a un atraso que se presentó en la firma de los expedientes por parte de las personas juzgadoras.</w:t>
      </w:r>
    </w:p>
    <w:p w:rsidR="00F33AB5" w:rsidRDefault="00F33AB5" w:rsidP="00B8697C">
      <w:pPr>
        <w:spacing w:after="200"/>
        <w:jc w:val="both"/>
        <w:rPr>
          <w:rFonts w:ascii="Book Antiqua" w:hAnsi="Book Antiqua" w:cs="Book Antiqua"/>
          <w:lang w:val="es-CR"/>
        </w:rPr>
      </w:pPr>
    </w:p>
    <w:p w:rsidR="00D21112" w:rsidRDefault="00FC7AB0" w:rsidP="004573F5">
      <w:pPr>
        <w:widowControl/>
        <w:autoSpaceDE/>
        <w:autoSpaceDN/>
        <w:adjustRightInd/>
        <w:jc w:val="both"/>
        <w:rPr>
          <w:rFonts w:ascii="Book Antiqua" w:hAnsi="Book Antiqua" w:cs="Book Antiqua"/>
          <w:lang w:val="es-CR"/>
        </w:rPr>
      </w:pPr>
      <w:r>
        <w:rPr>
          <w:rFonts w:ascii="Book Antiqua" w:hAnsi="Book Antiqua" w:cs="Book Antiqua"/>
          <w:lang w:val="es-CR"/>
        </w:rPr>
        <w:t>Por</w:t>
      </w:r>
      <w:r w:rsidR="00B8697C" w:rsidRPr="008B532E">
        <w:rPr>
          <w:rFonts w:ascii="Book Antiqua" w:hAnsi="Book Antiqua" w:cs="Book Antiqua"/>
          <w:lang w:val="es-CR"/>
        </w:rPr>
        <w:t xml:space="preserve"> lo anterior,</w:t>
      </w:r>
      <w:r>
        <w:rPr>
          <w:rFonts w:ascii="Book Antiqua" w:hAnsi="Book Antiqua" w:cs="Book Antiqua"/>
          <w:lang w:val="es-CR"/>
        </w:rPr>
        <w:t xml:space="preserve"> se </w:t>
      </w:r>
      <w:r w:rsidR="00536079">
        <w:rPr>
          <w:rFonts w:ascii="Book Antiqua" w:hAnsi="Book Antiqua" w:cs="Book Antiqua"/>
          <w:lang w:val="es-CR"/>
        </w:rPr>
        <w:t>mantiene</w:t>
      </w:r>
      <w:r w:rsidR="00BF4D3A" w:rsidRPr="008B532E">
        <w:rPr>
          <w:rFonts w:ascii="Book Antiqua" w:hAnsi="Book Antiqua" w:cs="Book Antiqua"/>
          <w:lang w:val="es-CR"/>
        </w:rPr>
        <w:t xml:space="preserve"> la </w:t>
      </w:r>
      <w:r>
        <w:rPr>
          <w:rFonts w:ascii="Book Antiqua" w:hAnsi="Book Antiqua" w:cs="Book Antiqua"/>
          <w:lang w:val="es-CR"/>
        </w:rPr>
        <w:t>necesidad</w:t>
      </w:r>
      <w:r w:rsidRPr="008B532E">
        <w:rPr>
          <w:rFonts w:ascii="Book Antiqua" w:hAnsi="Book Antiqua" w:cs="Book Antiqua"/>
          <w:lang w:val="es-CR"/>
        </w:rPr>
        <w:t xml:space="preserve"> </w:t>
      </w:r>
      <w:r w:rsidR="00BF4D3A" w:rsidRPr="008B532E">
        <w:rPr>
          <w:rFonts w:ascii="Book Antiqua" w:hAnsi="Book Antiqua" w:cs="Book Antiqua"/>
          <w:lang w:val="es-CR"/>
        </w:rPr>
        <w:t xml:space="preserve">de extender </w:t>
      </w:r>
      <w:r w:rsidR="00536079">
        <w:rPr>
          <w:rFonts w:ascii="Book Antiqua" w:hAnsi="Book Antiqua" w:cs="Book Antiqua"/>
          <w:lang w:val="es-CR"/>
        </w:rPr>
        <w:t xml:space="preserve">el plan de trabajo </w:t>
      </w:r>
      <w:r w:rsidR="00BF4D3A" w:rsidRPr="008B532E">
        <w:rPr>
          <w:rFonts w:ascii="Book Antiqua" w:hAnsi="Book Antiqua" w:cs="Book Antiqua"/>
          <w:lang w:val="es-CR"/>
        </w:rPr>
        <w:t xml:space="preserve">por </w:t>
      </w:r>
      <w:r w:rsidR="00DA3DD5">
        <w:rPr>
          <w:rFonts w:ascii="Book Antiqua" w:hAnsi="Book Antiqua" w:cs="Book Antiqua"/>
          <w:lang w:val="es-CR"/>
        </w:rPr>
        <w:t>el</w:t>
      </w:r>
      <w:r w:rsidR="00DA3DD5" w:rsidRPr="008B532E">
        <w:rPr>
          <w:rFonts w:ascii="Book Antiqua" w:hAnsi="Book Antiqua" w:cs="Book Antiqua"/>
          <w:lang w:val="es-CR"/>
        </w:rPr>
        <w:t xml:space="preserve"> </w:t>
      </w:r>
      <w:r w:rsidR="00BF4D3A" w:rsidRPr="008B532E">
        <w:rPr>
          <w:rFonts w:ascii="Book Antiqua" w:hAnsi="Book Antiqua" w:cs="Book Antiqua"/>
          <w:lang w:val="es-CR"/>
        </w:rPr>
        <w:t xml:space="preserve">plazo de seis meses </w:t>
      </w:r>
      <w:r>
        <w:rPr>
          <w:rFonts w:ascii="Book Antiqua" w:hAnsi="Book Antiqua" w:cs="Book Antiqua"/>
          <w:lang w:val="es-CR"/>
        </w:rPr>
        <w:t xml:space="preserve">más, </w:t>
      </w:r>
      <w:r w:rsidR="00536079">
        <w:rPr>
          <w:rFonts w:ascii="Book Antiqua" w:hAnsi="Book Antiqua" w:cs="Book Antiqua"/>
          <w:lang w:val="es-CR"/>
        </w:rPr>
        <w:t xml:space="preserve">trasladando la </w:t>
      </w:r>
      <w:r w:rsidR="00BF4D3A" w:rsidRPr="008B532E">
        <w:rPr>
          <w:rFonts w:ascii="Book Antiqua" w:hAnsi="Book Antiqua" w:cs="Book Antiqua"/>
          <w:lang w:val="es-CR"/>
        </w:rPr>
        <w:t>compet</w:t>
      </w:r>
      <w:r w:rsidR="00A208F8" w:rsidRPr="008B532E">
        <w:rPr>
          <w:rFonts w:ascii="Book Antiqua" w:hAnsi="Book Antiqua" w:cs="Book Antiqua"/>
          <w:lang w:val="es-CR"/>
        </w:rPr>
        <w:t>encia</w:t>
      </w:r>
      <w:r w:rsidR="00BF4D3A" w:rsidRPr="008B532E">
        <w:rPr>
          <w:rFonts w:ascii="Book Antiqua" w:hAnsi="Book Antiqua" w:cs="Book Antiqua"/>
          <w:lang w:val="es-CR"/>
        </w:rPr>
        <w:t xml:space="preserve"> </w:t>
      </w:r>
      <w:r w:rsidR="00536079">
        <w:rPr>
          <w:rFonts w:ascii="Book Antiqua" w:hAnsi="Book Antiqua" w:cs="Book Antiqua"/>
          <w:lang w:val="es-CR"/>
        </w:rPr>
        <w:t>para conocer en segunda instancia los recursos de apelación provenientes del Juzgado de Seguridad Social de San José</w:t>
      </w:r>
      <w:r w:rsidR="00536079" w:rsidRPr="008B532E" w:rsidDel="00536079">
        <w:rPr>
          <w:rFonts w:ascii="Book Antiqua" w:hAnsi="Book Antiqua" w:cs="Book Antiqua"/>
          <w:lang w:val="es-CR"/>
        </w:rPr>
        <w:t xml:space="preserve"> </w:t>
      </w:r>
      <w:r w:rsidR="00536079">
        <w:rPr>
          <w:rFonts w:ascii="Book Antiqua" w:hAnsi="Book Antiqua" w:cs="Book Antiqua"/>
          <w:lang w:val="es-CR"/>
        </w:rPr>
        <w:t xml:space="preserve"> al</w:t>
      </w:r>
      <w:r w:rsidR="00BF4D3A" w:rsidRPr="008B532E">
        <w:rPr>
          <w:rFonts w:ascii="Book Antiqua" w:hAnsi="Book Antiqua" w:cs="Book Antiqua"/>
          <w:lang w:val="es-CR"/>
        </w:rPr>
        <w:t xml:space="preserve"> Tribunal de Apelación de Trabajo del Segundo Circuito Judicial de San José</w:t>
      </w:r>
      <w:r>
        <w:rPr>
          <w:rFonts w:ascii="Book Antiqua" w:hAnsi="Book Antiqua" w:cs="Book Antiqua"/>
          <w:lang w:val="es-CR"/>
        </w:rPr>
        <w:t xml:space="preserve">, considerando </w:t>
      </w:r>
      <w:r w:rsidR="00536079">
        <w:rPr>
          <w:rFonts w:ascii="Book Antiqua" w:hAnsi="Book Antiqua" w:cs="Book Antiqua"/>
          <w:lang w:val="es-CR"/>
        </w:rPr>
        <w:t xml:space="preserve">también </w:t>
      </w:r>
      <w:r w:rsidR="00340DF9" w:rsidRPr="008B532E">
        <w:rPr>
          <w:rFonts w:ascii="Book Antiqua" w:hAnsi="Book Antiqua" w:cs="Book Antiqua"/>
          <w:lang w:val="es-CR"/>
        </w:rPr>
        <w:t xml:space="preserve">el comportamiento </w:t>
      </w:r>
      <w:r w:rsidR="00570D4E">
        <w:rPr>
          <w:rFonts w:ascii="Book Antiqua" w:hAnsi="Book Antiqua" w:cs="Book Antiqua"/>
          <w:lang w:val="es-CR"/>
        </w:rPr>
        <w:t>estadístico</w:t>
      </w:r>
      <w:r w:rsidR="00B8697C" w:rsidRPr="008B532E">
        <w:rPr>
          <w:rFonts w:ascii="Book Antiqua" w:hAnsi="Book Antiqua" w:cs="Book Antiqua"/>
          <w:lang w:val="es-CR"/>
        </w:rPr>
        <w:t xml:space="preserve"> </w:t>
      </w:r>
      <w:r w:rsidR="00340DF9" w:rsidRPr="008B532E">
        <w:rPr>
          <w:rFonts w:ascii="Book Antiqua" w:hAnsi="Book Antiqua" w:cs="Book Antiqua"/>
          <w:lang w:val="es-CR"/>
        </w:rPr>
        <w:t>de</w:t>
      </w:r>
      <w:r>
        <w:rPr>
          <w:rFonts w:ascii="Book Antiqua" w:hAnsi="Book Antiqua" w:cs="Book Antiqua"/>
          <w:lang w:val="es-CR"/>
        </w:rPr>
        <w:t xml:space="preserve"> </w:t>
      </w:r>
      <w:r w:rsidR="00340DF9" w:rsidRPr="008B532E">
        <w:rPr>
          <w:rFonts w:ascii="Book Antiqua" w:hAnsi="Book Antiqua" w:cs="Book Antiqua"/>
          <w:lang w:val="es-CR"/>
        </w:rPr>
        <w:t>noviembre 2019 a mayo 202</w:t>
      </w:r>
      <w:r w:rsidR="00D21112">
        <w:rPr>
          <w:rFonts w:ascii="Book Antiqua" w:hAnsi="Book Antiqua" w:cs="Book Antiqua"/>
          <w:lang w:val="es-CR"/>
        </w:rPr>
        <w:t xml:space="preserve">0 </w:t>
      </w:r>
    </w:p>
    <w:p w:rsidR="00D21112" w:rsidRDefault="00D21112" w:rsidP="00D21112">
      <w:pPr>
        <w:widowControl/>
        <w:autoSpaceDE/>
        <w:autoSpaceDN/>
        <w:adjustRightInd/>
        <w:rPr>
          <w:rFonts w:ascii="Book Antiqua" w:hAnsi="Book Antiqua" w:cs="Book Antiqua"/>
          <w:lang w:val="es-CR"/>
        </w:rPr>
      </w:pPr>
    </w:p>
    <w:p w:rsidR="00654720" w:rsidRPr="007160CB" w:rsidRDefault="00654720" w:rsidP="00057488">
      <w:pPr>
        <w:widowControl/>
        <w:autoSpaceDE/>
        <w:autoSpaceDN/>
        <w:adjustRightInd/>
        <w:jc w:val="center"/>
        <w:rPr>
          <w:rFonts w:ascii="Book Antiqua" w:hAnsi="Book Antiqua" w:cs="Book Antiqua"/>
          <w:b/>
          <w:bCs/>
          <w:lang w:val="es-CR"/>
        </w:rPr>
      </w:pPr>
      <w:r w:rsidRPr="007160CB">
        <w:rPr>
          <w:rFonts w:ascii="Book Antiqua" w:hAnsi="Book Antiqua" w:cs="Book Antiqua"/>
          <w:b/>
          <w:bCs/>
          <w:lang w:val="es-CR"/>
        </w:rPr>
        <w:t xml:space="preserve">Cuadro </w:t>
      </w:r>
      <w:r w:rsidR="00D21112">
        <w:rPr>
          <w:rFonts w:ascii="Book Antiqua" w:hAnsi="Book Antiqua" w:cs="Book Antiqua"/>
          <w:b/>
          <w:bCs/>
          <w:lang w:val="es-CR"/>
        </w:rPr>
        <w:t>3</w:t>
      </w:r>
    </w:p>
    <w:p w:rsidR="00654720" w:rsidRPr="007160CB" w:rsidRDefault="007070A5" w:rsidP="007070A5">
      <w:pPr>
        <w:jc w:val="center"/>
        <w:rPr>
          <w:rFonts w:ascii="Book Antiqua" w:hAnsi="Book Antiqua" w:cs="Book Antiqua"/>
          <w:b/>
          <w:bCs/>
          <w:lang w:val="es-CR"/>
        </w:rPr>
      </w:pPr>
      <w:r w:rsidRPr="007160CB">
        <w:rPr>
          <w:rFonts w:ascii="Book Antiqua" w:hAnsi="Book Antiqua" w:cs="Book Antiqua"/>
          <w:b/>
          <w:bCs/>
          <w:lang w:val="es-CR"/>
        </w:rPr>
        <w:t>Balance</w:t>
      </w:r>
      <w:r w:rsidR="00654720" w:rsidRPr="007160CB">
        <w:rPr>
          <w:rFonts w:ascii="Book Antiqua" w:hAnsi="Book Antiqua" w:cs="Book Antiqua"/>
          <w:b/>
          <w:bCs/>
          <w:lang w:val="es-CR"/>
        </w:rPr>
        <w:t xml:space="preserve"> </w:t>
      </w:r>
      <w:r>
        <w:rPr>
          <w:rFonts w:ascii="Book Antiqua" w:hAnsi="Book Antiqua" w:cs="Book Antiqua"/>
          <w:b/>
          <w:bCs/>
          <w:lang w:val="es-CR"/>
        </w:rPr>
        <w:t>G</w:t>
      </w:r>
      <w:r w:rsidR="00654720" w:rsidRPr="007160CB">
        <w:rPr>
          <w:rFonts w:ascii="Book Antiqua" w:hAnsi="Book Antiqua" w:cs="Book Antiqua"/>
          <w:b/>
          <w:bCs/>
          <w:lang w:val="es-CR"/>
        </w:rPr>
        <w:t>eneral</w:t>
      </w:r>
    </w:p>
    <w:p w:rsidR="00654720" w:rsidRDefault="00654720" w:rsidP="007070A5">
      <w:pPr>
        <w:jc w:val="center"/>
        <w:rPr>
          <w:rFonts w:ascii="Book Antiqua" w:hAnsi="Book Antiqua" w:cs="Book Antiqua"/>
          <w:b/>
          <w:bCs/>
          <w:lang w:val="es-CR"/>
        </w:rPr>
      </w:pPr>
      <w:r w:rsidRPr="007160CB">
        <w:rPr>
          <w:rFonts w:ascii="Book Antiqua" w:hAnsi="Book Antiqua" w:cs="Book Antiqua"/>
          <w:b/>
          <w:bCs/>
          <w:lang w:val="es-CR"/>
        </w:rPr>
        <w:t>Tribunal de Apelación de Trabajo</w:t>
      </w:r>
      <w:r w:rsidR="00EB7319">
        <w:rPr>
          <w:rFonts w:ascii="Book Antiqua" w:hAnsi="Book Antiqua" w:cs="Book Antiqua"/>
          <w:b/>
          <w:bCs/>
          <w:lang w:val="es-CR"/>
        </w:rPr>
        <w:t xml:space="preserve"> </w:t>
      </w:r>
      <w:r w:rsidRPr="007160CB">
        <w:rPr>
          <w:rFonts w:ascii="Book Antiqua" w:hAnsi="Book Antiqua" w:cs="Book Antiqua"/>
          <w:b/>
          <w:bCs/>
          <w:lang w:val="es-CR"/>
        </w:rPr>
        <w:t>Segundo Circuito Judicial de San José</w:t>
      </w:r>
    </w:p>
    <w:p w:rsidR="001146FE" w:rsidRDefault="001146FE" w:rsidP="007070A5">
      <w:pPr>
        <w:jc w:val="center"/>
        <w:rPr>
          <w:rFonts w:ascii="Book Antiqua" w:hAnsi="Book Antiqua" w:cs="Book Antiqua"/>
          <w:b/>
          <w:bCs/>
          <w:lang w:val="es-CR"/>
        </w:rPr>
      </w:pPr>
      <w:r>
        <w:rPr>
          <w:rFonts w:ascii="Book Antiqua" w:hAnsi="Book Antiqua" w:cs="Book Antiqua"/>
          <w:b/>
          <w:bCs/>
          <w:lang w:val="es-CR"/>
        </w:rPr>
        <w:t xml:space="preserve">Noviembre </w:t>
      </w:r>
      <w:r w:rsidR="007070A5" w:rsidRPr="006A5501">
        <w:rPr>
          <w:rFonts w:ascii="Book Antiqua" w:hAnsi="Book Antiqua" w:cs="Book Antiqua"/>
          <w:b/>
          <w:bCs/>
          <w:lang w:val="es-CR"/>
        </w:rPr>
        <w:t>20</w:t>
      </w:r>
      <w:r w:rsidRPr="006A5501">
        <w:rPr>
          <w:rFonts w:ascii="Book Antiqua" w:hAnsi="Book Antiqua" w:cs="Book Antiqua"/>
          <w:b/>
          <w:bCs/>
          <w:lang w:val="es-CR"/>
        </w:rPr>
        <w:t xml:space="preserve">19 a mayo </w:t>
      </w:r>
      <w:r w:rsidR="007070A5" w:rsidRPr="006A5501">
        <w:rPr>
          <w:rFonts w:ascii="Book Antiqua" w:hAnsi="Book Antiqua" w:cs="Book Antiqua"/>
          <w:b/>
          <w:bCs/>
          <w:lang w:val="es-CR"/>
        </w:rPr>
        <w:t>20</w:t>
      </w:r>
      <w:r w:rsidRPr="006A5501">
        <w:rPr>
          <w:rFonts w:ascii="Book Antiqua" w:hAnsi="Book Antiqua" w:cs="Book Antiqua"/>
          <w:b/>
          <w:bCs/>
          <w:lang w:val="es-CR"/>
        </w:rPr>
        <w:t>20</w:t>
      </w:r>
    </w:p>
    <w:p w:rsidR="00D21112" w:rsidRPr="007160CB" w:rsidRDefault="00D21112" w:rsidP="007070A5">
      <w:pPr>
        <w:jc w:val="center"/>
        <w:rPr>
          <w:rFonts w:ascii="Book Antiqua" w:hAnsi="Book Antiqua" w:cs="Book Antiqua"/>
          <w:b/>
          <w:bCs/>
          <w:lang w:val="es-CR"/>
        </w:rPr>
      </w:pPr>
    </w:p>
    <w:tbl>
      <w:tblPr>
        <w:tblW w:w="9052" w:type="dxa"/>
        <w:jc w:val="center"/>
        <w:tblCellMar>
          <w:left w:w="0" w:type="dxa"/>
          <w:right w:w="0" w:type="dxa"/>
        </w:tblCellMar>
        <w:tblLook w:val="0600" w:firstRow="0" w:lastRow="0" w:firstColumn="0" w:lastColumn="0" w:noHBand="1" w:noVBand="1"/>
      </w:tblPr>
      <w:tblGrid>
        <w:gridCol w:w="1666"/>
        <w:gridCol w:w="1229"/>
        <w:gridCol w:w="1479"/>
        <w:gridCol w:w="1463"/>
        <w:gridCol w:w="1502"/>
        <w:gridCol w:w="1713"/>
      </w:tblGrid>
      <w:tr w:rsidR="00570D4E" w:rsidRPr="00B8697C" w:rsidTr="00057488">
        <w:trPr>
          <w:trHeight w:val="1333"/>
          <w:jc w:val="center"/>
        </w:trPr>
        <w:tc>
          <w:tcPr>
            <w:tcW w:w="1666" w:type="dxa"/>
            <w:tcBorders>
              <w:top w:val="single" w:sz="8" w:space="0" w:color="FFFFFF"/>
              <w:left w:val="single" w:sz="8" w:space="0" w:color="FFFFFF"/>
              <w:bottom w:val="single" w:sz="8" w:space="0" w:color="FFFFFF"/>
              <w:right w:val="single" w:sz="8" w:space="0" w:color="FFFFFF"/>
            </w:tcBorders>
            <w:shd w:val="clear" w:color="auto" w:fill="DBDBDB"/>
            <w:tcMar>
              <w:top w:w="10" w:type="dxa"/>
              <w:left w:w="10" w:type="dxa"/>
              <w:bottom w:w="0" w:type="dxa"/>
              <w:right w:w="10" w:type="dxa"/>
            </w:tcMar>
            <w:vAlign w:val="center"/>
            <w:hideMark/>
          </w:tcPr>
          <w:p w:rsidR="00570D4E" w:rsidRPr="00B8697C" w:rsidRDefault="00570D4E" w:rsidP="00570D4E">
            <w:pPr>
              <w:widowControl/>
              <w:autoSpaceDE/>
              <w:autoSpaceDN/>
              <w:adjustRightInd/>
              <w:jc w:val="center"/>
              <w:textAlignment w:val="center"/>
              <w:rPr>
                <w:rFonts w:ascii="Book Antiqua" w:hAnsi="Book Antiqua"/>
                <w:lang w:val="es-CR" w:eastAsia="es-CR"/>
              </w:rPr>
            </w:pPr>
            <w:r w:rsidRPr="00B8697C">
              <w:rPr>
                <w:rFonts w:ascii="Book Antiqua" w:hAnsi="Book Antiqua" w:cs="Calibri"/>
                <w:b/>
                <w:bCs/>
                <w:color w:val="000000" w:themeColor="dark1"/>
                <w:kern w:val="24"/>
                <w:lang w:val="es-419" w:eastAsia="es-CR"/>
              </w:rPr>
              <w:t xml:space="preserve">Tribunal Apelación de Trabajo del </w:t>
            </w:r>
            <w:r>
              <w:rPr>
                <w:rFonts w:ascii="Book Antiqua" w:hAnsi="Book Antiqua" w:cs="Calibri"/>
                <w:b/>
                <w:bCs/>
                <w:color w:val="000000" w:themeColor="dark1"/>
                <w:kern w:val="24"/>
                <w:lang w:val="es-419" w:eastAsia="es-CR"/>
              </w:rPr>
              <w:t>Segundo</w:t>
            </w:r>
            <w:r w:rsidRPr="00B8697C">
              <w:rPr>
                <w:rFonts w:ascii="Book Antiqua" w:hAnsi="Book Antiqua" w:cs="Calibri"/>
                <w:b/>
                <w:bCs/>
                <w:color w:val="000000" w:themeColor="dark1"/>
                <w:kern w:val="24"/>
                <w:lang w:val="es-419" w:eastAsia="es-CR"/>
              </w:rPr>
              <w:t xml:space="preserve"> </w:t>
            </w:r>
            <w:r>
              <w:rPr>
                <w:rFonts w:ascii="Book Antiqua" w:hAnsi="Book Antiqua" w:cs="Calibri"/>
                <w:b/>
                <w:bCs/>
                <w:color w:val="000000" w:themeColor="dark1"/>
                <w:kern w:val="24"/>
                <w:lang w:val="es-419" w:eastAsia="es-CR"/>
              </w:rPr>
              <w:t>Circuito Judicial de San José</w:t>
            </w:r>
          </w:p>
        </w:tc>
        <w:tc>
          <w:tcPr>
            <w:tcW w:w="1229" w:type="dxa"/>
            <w:tcBorders>
              <w:top w:val="single" w:sz="8" w:space="0" w:color="FFFFFF"/>
              <w:left w:val="single" w:sz="8" w:space="0" w:color="FFFFFF"/>
              <w:bottom w:val="single" w:sz="8" w:space="0" w:color="FFFFFF"/>
              <w:right w:val="single" w:sz="8" w:space="0" w:color="FFFFFF"/>
            </w:tcBorders>
            <w:shd w:val="clear" w:color="auto" w:fill="DBDBDB"/>
            <w:tcMar>
              <w:top w:w="10" w:type="dxa"/>
              <w:left w:w="10" w:type="dxa"/>
              <w:bottom w:w="0" w:type="dxa"/>
              <w:right w:w="10" w:type="dxa"/>
            </w:tcMar>
            <w:vAlign w:val="center"/>
            <w:hideMark/>
          </w:tcPr>
          <w:p w:rsidR="00570D4E" w:rsidRPr="00B8697C" w:rsidRDefault="00570D4E" w:rsidP="00570D4E">
            <w:pPr>
              <w:widowControl/>
              <w:autoSpaceDE/>
              <w:autoSpaceDN/>
              <w:adjustRightInd/>
              <w:jc w:val="center"/>
              <w:textAlignment w:val="center"/>
              <w:rPr>
                <w:rFonts w:ascii="Book Antiqua" w:hAnsi="Book Antiqua"/>
                <w:lang w:val="es-CR" w:eastAsia="es-CR"/>
              </w:rPr>
            </w:pPr>
            <w:r w:rsidRPr="00B8697C">
              <w:rPr>
                <w:rFonts w:ascii="Book Antiqua" w:hAnsi="Book Antiqua" w:cs="Calibri"/>
                <w:b/>
                <w:bCs/>
                <w:color w:val="000000" w:themeColor="dark1"/>
                <w:kern w:val="24"/>
                <w:lang w:val="es-419" w:eastAsia="es-CR"/>
              </w:rPr>
              <w:t>Entrada</w:t>
            </w:r>
            <w:r w:rsidRPr="000D286E">
              <w:rPr>
                <w:rFonts w:ascii="Book Antiqua" w:hAnsi="Book Antiqua" w:cs="Calibri"/>
                <w:b/>
                <w:bCs/>
                <w:color w:val="000000" w:themeColor="dark1"/>
                <w:kern w:val="24"/>
                <w:vertAlign w:val="superscript"/>
                <w:lang w:val="es-419" w:eastAsia="es-CR"/>
              </w:rPr>
              <w:t>1</w:t>
            </w:r>
          </w:p>
        </w:tc>
        <w:tc>
          <w:tcPr>
            <w:tcW w:w="1479" w:type="dxa"/>
            <w:tcBorders>
              <w:top w:val="single" w:sz="8" w:space="0" w:color="FFFFFF"/>
              <w:left w:val="single" w:sz="8" w:space="0" w:color="FFFFFF"/>
              <w:bottom w:val="single" w:sz="8" w:space="0" w:color="FFFFFF"/>
              <w:right w:val="single" w:sz="8" w:space="0" w:color="FFFFFF"/>
            </w:tcBorders>
            <w:shd w:val="clear" w:color="auto" w:fill="DBDBDB"/>
            <w:tcMar>
              <w:top w:w="10" w:type="dxa"/>
              <w:left w:w="10" w:type="dxa"/>
              <w:bottom w:w="0" w:type="dxa"/>
              <w:right w:w="10" w:type="dxa"/>
            </w:tcMar>
            <w:vAlign w:val="center"/>
            <w:hideMark/>
          </w:tcPr>
          <w:p w:rsidR="00570D4E" w:rsidRPr="00B8697C" w:rsidRDefault="00570D4E" w:rsidP="00570D4E">
            <w:pPr>
              <w:widowControl/>
              <w:autoSpaceDE/>
              <w:autoSpaceDN/>
              <w:adjustRightInd/>
              <w:jc w:val="center"/>
              <w:textAlignment w:val="center"/>
              <w:rPr>
                <w:rFonts w:ascii="Book Antiqua" w:hAnsi="Book Antiqua"/>
                <w:lang w:val="es-CR" w:eastAsia="es-CR"/>
              </w:rPr>
            </w:pPr>
            <w:r w:rsidRPr="00B8697C">
              <w:rPr>
                <w:rFonts w:ascii="Book Antiqua" w:hAnsi="Book Antiqua" w:cs="Calibri"/>
                <w:b/>
                <w:bCs/>
                <w:color w:val="000000" w:themeColor="dark1"/>
                <w:kern w:val="24"/>
                <w:lang w:val="es-419" w:eastAsia="es-CR"/>
              </w:rPr>
              <w:t>Terminados</w:t>
            </w:r>
          </w:p>
        </w:tc>
        <w:tc>
          <w:tcPr>
            <w:tcW w:w="1463" w:type="dxa"/>
            <w:tcBorders>
              <w:top w:val="single" w:sz="8" w:space="0" w:color="FFFFFF"/>
              <w:left w:val="single" w:sz="8" w:space="0" w:color="FFFFFF"/>
              <w:bottom w:val="single" w:sz="8" w:space="0" w:color="FFFFFF"/>
              <w:right w:val="single" w:sz="8" w:space="0" w:color="FFFFFF"/>
            </w:tcBorders>
            <w:shd w:val="clear" w:color="auto" w:fill="DBDBDB"/>
            <w:tcMar>
              <w:top w:w="10" w:type="dxa"/>
              <w:left w:w="10" w:type="dxa"/>
              <w:bottom w:w="0" w:type="dxa"/>
              <w:right w:w="10" w:type="dxa"/>
            </w:tcMar>
            <w:vAlign w:val="center"/>
            <w:hideMark/>
          </w:tcPr>
          <w:p w:rsidR="00570D4E" w:rsidRPr="00B8697C" w:rsidRDefault="00570D4E" w:rsidP="00570D4E">
            <w:pPr>
              <w:widowControl/>
              <w:autoSpaceDE/>
              <w:autoSpaceDN/>
              <w:adjustRightInd/>
              <w:jc w:val="center"/>
              <w:textAlignment w:val="center"/>
              <w:rPr>
                <w:rFonts w:ascii="Book Antiqua" w:hAnsi="Book Antiqua"/>
                <w:lang w:val="es-CR" w:eastAsia="es-CR"/>
              </w:rPr>
            </w:pPr>
            <w:r w:rsidRPr="00B8697C">
              <w:rPr>
                <w:rFonts w:ascii="Book Antiqua" w:hAnsi="Book Antiqua" w:cs="Calibri"/>
                <w:b/>
                <w:bCs/>
                <w:color w:val="000000" w:themeColor="dark1"/>
                <w:kern w:val="24"/>
                <w:lang w:val="es-419" w:eastAsia="es-CR"/>
              </w:rPr>
              <w:t>Circulante final</w:t>
            </w:r>
          </w:p>
        </w:tc>
        <w:tc>
          <w:tcPr>
            <w:tcW w:w="1502"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vAlign w:val="center"/>
          </w:tcPr>
          <w:p w:rsidR="00570D4E" w:rsidRPr="006615B0" w:rsidRDefault="00570D4E" w:rsidP="00570D4E">
            <w:pPr>
              <w:widowControl/>
              <w:autoSpaceDE/>
              <w:autoSpaceDN/>
              <w:adjustRightInd/>
              <w:jc w:val="center"/>
              <w:textAlignment w:val="center"/>
              <w:rPr>
                <w:rFonts w:ascii="Book Antiqua" w:hAnsi="Book Antiqua" w:cs="Calibri"/>
                <w:b/>
                <w:bCs/>
                <w:color w:val="000000" w:themeColor="dark1"/>
                <w:kern w:val="24"/>
                <w:lang w:val="es-419" w:eastAsia="es-CR"/>
              </w:rPr>
            </w:pPr>
            <w:r w:rsidRPr="00057488">
              <w:rPr>
                <w:rFonts w:ascii="Book Antiqua" w:hAnsi="Book Antiqua" w:cs="Calibri"/>
                <w:b/>
                <w:bCs/>
                <w:color w:val="000000" w:themeColor="dark1"/>
                <w:kern w:val="24"/>
                <w:lang w:val="es-419" w:eastAsia="es-CR"/>
              </w:rPr>
              <w:t>Asuntos e</w:t>
            </w:r>
            <w:r w:rsidRPr="006615B0">
              <w:rPr>
                <w:rFonts w:ascii="Book Antiqua" w:hAnsi="Book Antiqua" w:cs="Calibri"/>
                <w:b/>
                <w:bCs/>
                <w:color w:val="000000" w:themeColor="dark1"/>
                <w:kern w:val="24"/>
                <w:lang w:val="es-419" w:eastAsia="es-CR"/>
              </w:rPr>
              <w:t xml:space="preserve">ntrados </w:t>
            </w:r>
            <w:r w:rsidRPr="00057488">
              <w:rPr>
                <w:rFonts w:ascii="Book Antiqua" w:hAnsi="Book Antiqua" w:cs="Calibri"/>
                <w:b/>
                <w:bCs/>
                <w:color w:val="000000" w:themeColor="dark1"/>
                <w:kern w:val="24"/>
                <w:lang w:val="es-419" w:eastAsia="es-CR"/>
              </w:rPr>
              <w:t xml:space="preserve">provenientes del Juzgado de </w:t>
            </w:r>
            <w:r w:rsidRPr="006615B0">
              <w:rPr>
                <w:rFonts w:ascii="Book Antiqua" w:hAnsi="Book Antiqua" w:cs="Calibri"/>
                <w:b/>
                <w:bCs/>
                <w:color w:val="000000" w:themeColor="dark1"/>
                <w:kern w:val="24"/>
                <w:lang w:val="es-419" w:eastAsia="es-CR"/>
              </w:rPr>
              <w:t xml:space="preserve">Seguridad Social </w:t>
            </w:r>
          </w:p>
        </w:tc>
        <w:tc>
          <w:tcPr>
            <w:tcW w:w="1713"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Pr>
          <w:p w:rsidR="00570D4E" w:rsidRPr="00057488" w:rsidRDefault="00570D4E" w:rsidP="00570D4E">
            <w:pPr>
              <w:widowControl/>
              <w:autoSpaceDE/>
              <w:autoSpaceDN/>
              <w:adjustRightInd/>
              <w:jc w:val="center"/>
              <w:textAlignment w:val="center"/>
              <w:rPr>
                <w:rFonts w:ascii="Book Antiqua" w:hAnsi="Book Antiqua" w:cs="Calibri"/>
                <w:b/>
                <w:bCs/>
                <w:color w:val="000000" w:themeColor="dark1"/>
                <w:kern w:val="24"/>
                <w:lang w:val="es-419" w:eastAsia="es-CR"/>
              </w:rPr>
            </w:pPr>
            <w:r w:rsidRPr="00057488">
              <w:rPr>
                <w:rFonts w:ascii="Book Antiqua" w:hAnsi="Book Antiqua" w:cs="Calibri"/>
                <w:b/>
                <w:bCs/>
                <w:color w:val="000000" w:themeColor="dark1"/>
                <w:kern w:val="24"/>
                <w:lang w:val="es-419" w:eastAsia="es-CR"/>
              </w:rPr>
              <w:t>Representación  porcentual de la entrada de asuntos provenientes del Juzgado de Seguridad Social</w:t>
            </w:r>
          </w:p>
        </w:tc>
      </w:tr>
      <w:tr w:rsidR="00C94549" w:rsidRPr="00B8697C" w:rsidTr="00057488">
        <w:trPr>
          <w:trHeight w:val="374"/>
          <w:jc w:val="center"/>
        </w:trPr>
        <w:tc>
          <w:tcPr>
            <w:tcW w:w="1666" w:type="dxa"/>
            <w:tcBorders>
              <w:top w:val="single" w:sz="8" w:space="0" w:color="FFFFFF"/>
              <w:left w:val="single" w:sz="8" w:space="0" w:color="FFFFFF"/>
              <w:bottom w:val="single" w:sz="8" w:space="0" w:color="FFFFFF"/>
              <w:right w:val="single" w:sz="8" w:space="0" w:color="FFFFFF"/>
            </w:tcBorders>
            <w:shd w:val="clear" w:color="auto" w:fill="DBDBDB"/>
            <w:tcMar>
              <w:top w:w="10" w:type="dxa"/>
              <w:left w:w="10" w:type="dxa"/>
              <w:bottom w:w="0" w:type="dxa"/>
              <w:right w:w="10" w:type="dxa"/>
            </w:tcMar>
            <w:vAlign w:val="center"/>
          </w:tcPr>
          <w:p w:rsidR="00C94549" w:rsidRPr="00B8697C" w:rsidRDefault="00C94549" w:rsidP="00C94549">
            <w:pPr>
              <w:widowControl/>
              <w:autoSpaceDE/>
              <w:autoSpaceDN/>
              <w:adjustRightInd/>
              <w:jc w:val="center"/>
              <w:textAlignment w:val="center"/>
              <w:rPr>
                <w:rFonts w:ascii="Book Antiqua" w:hAnsi="Book Antiqua"/>
                <w:sz w:val="20"/>
                <w:szCs w:val="20"/>
                <w:lang w:val="es-CR" w:eastAsia="es-CR"/>
              </w:rPr>
            </w:pPr>
            <w:r w:rsidRPr="00B8697C">
              <w:rPr>
                <w:rFonts w:ascii="Book Antiqua" w:hAnsi="Book Antiqua" w:cs="Calibri"/>
                <w:color w:val="000000" w:themeColor="dark1"/>
                <w:kern w:val="24"/>
                <w:sz w:val="20"/>
                <w:szCs w:val="20"/>
                <w:lang w:val="es-419" w:eastAsia="es-CR"/>
              </w:rPr>
              <w:t>nov-19</w:t>
            </w:r>
          </w:p>
        </w:tc>
        <w:tc>
          <w:tcPr>
            <w:tcW w:w="1229" w:type="dxa"/>
            <w:tcBorders>
              <w:top w:val="single" w:sz="8" w:space="0" w:color="FFFFFF"/>
              <w:left w:val="single" w:sz="8" w:space="0" w:color="FFFFFF"/>
              <w:bottom w:val="single" w:sz="8" w:space="0" w:color="FFFFFF"/>
              <w:right w:val="single" w:sz="8" w:space="0" w:color="FFFFFF"/>
            </w:tcBorders>
            <w:shd w:val="clear" w:color="auto" w:fill="DBDBDB"/>
            <w:tcMar>
              <w:top w:w="10" w:type="dxa"/>
              <w:left w:w="10" w:type="dxa"/>
              <w:bottom w:w="0" w:type="dxa"/>
              <w:right w:w="10" w:type="dxa"/>
            </w:tcMar>
            <w:vAlign w:val="center"/>
          </w:tcPr>
          <w:p w:rsidR="00C94549" w:rsidRPr="00B8697C" w:rsidRDefault="00C94549" w:rsidP="00C94549">
            <w:pPr>
              <w:widowControl/>
              <w:autoSpaceDE/>
              <w:autoSpaceDN/>
              <w:adjustRightInd/>
              <w:jc w:val="center"/>
              <w:textAlignment w:val="center"/>
              <w:rPr>
                <w:rFonts w:ascii="Book Antiqua" w:hAnsi="Book Antiqua"/>
                <w:sz w:val="20"/>
                <w:szCs w:val="20"/>
                <w:lang w:val="es-CR" w:eastAsia="es-CR"/>
              </w:rPr>
            </w:pPr>
            <w:r w:rsidRPr="00B8697C">
              <w:rPr>
                <w:rFonts w:ascii="Book Antiqua" w:hAnsi="Book Antiqua" w:cs="Calibri"/>
                <w:color w:val="000000" w:themeColor="dark1"/>
                <w:kern w:val="24"/>
                <w:sz w:val="20"/>
                <w:szCs w:val="20"/>
                <w:lang w:val="es-419" w:eastAsia="es-CR"/>
              </w:rPr>
              <w:t>30</w:t>
            </w:r>
          </w:p>
        </w:tc>
        <w:tc>
          <w:tcPr>
            <w:tcW w:w="1479" w:type="dxa"/>
            <w:tcBorders>
              <w:top w:val="single" w:sz="8" w:space="0" w:color="FFFFFF"/>
              <w:left w:val="single" w:sz="8" w:space="0" w:color="FFFFFF"/>
              <w:bottom w:val="single" w:sz="8" w:space="0" w:color="FFFFFF"/>
              <w:right w:val="single" w:sz="8" w:space="0" w:color="FFFFFF"/>
            </w:tcBorders>
            <w:shd w:val="clear" w:color="auto" w:fill="DBDBDB"/>
            <w:tcMar>
              <w:top w:w="10" w:type="dxa"/>
              <w:left w:w="10" w:type="dxa"/>
              <w:bottom w:w="0" w:type="dxa"/>
              <w:right w:w="10" w:type="dxa"/>
            </w:tcMar>
            <w:vAlign w:val="center"/>
          </w:tcPr>
          <w:p w:rsidR="00C94549" w:rsidRPr="00B8697C" w:rsidRDefault="00C94549" w:rsidP="00C94549">
            <w:pPr>
              <w:widowControl/>
              <w:autoSpaceDE/>
              <w:autoSpaceDN/>
              <w:adjustRightInd/>
              <w:jc w:val="center"/>
              <w:textAlignment w:val="center"/>
              <w:rPr>
                <w:rFonts w:ascii="Book Antiqua" w:hAnsi="Book Antiqua"/>
                <w:sz w:val="20"/>
                <w:szCs w:val="20"/>
                <w:lang w:val="es-CR" w:eastAsia="es-CR"/>
              </w:rPr>
            </w:pPr>
            <w:r w:rsidRPr="00B8697C">
              <w:rPr>
                <w:rFonts w:ascii="Book Antiqua" w:hAnsi="Book Antiqua" w:cs="Calibri"/>
                <w:color w:val="000000" w:themeColor="dark1"/>
                <w:kern w:val="24"/>
                <w:sz w:val="20"/>
                <w:szCs w:val="20"/>
                <w:lang w:val="es-419" w:eastAsia="es-CR"/>
              </w:rPr>
              <w:t>35</w:t>
            </w:r>
          </w:p>
        </w:tc>
        <w:tc>
          <w:tcPr>
            <w:tcW w:w="1463" w:type="dxa"/>
            <w:tcBorders>
              <w:top w:val="single" w:sz="8" w:space="0" w:color="FFFFFF"/>
              <w:left w:val="single" w:sz="8" w:space="0" w:color="FFFFFF"/>
              <w:bottom w:val="single" w:sz="8" w:space="0" w:color="FFFFFF"/>
              <w:right w:val="single" w:sz="8" w:space="0" w:color="FFFFFF"/>
            </w:tcBorders>
            <w:shd w:val="clear" w:color="auto" w:fill="DBDBDB"/>
            <w:tcMar>
              <w:top w:w="10" w:type="dxa"/>
              <w:left w:w="10" w:type="dxa"/>
              <w:bottom w:w="0" w:type="dxa"/>
              <w:right w:w="10" w:type="dxa"/>
            </w:tcMar>
            <w:vAlign w:val="center"/>
          </w:tcPr>
          <w:p w:rsidR="00C94549" w:rsidRPr="00B8697C" w:rsidRDefault="00C94549" w:rsidP="00C94549">
            <w:pPr>
              <w:widowControl/>
              <w:autoSpaceDE/>
              <w:autoSpaceDN/>
              <w:adjustRightInd/>
              <w:jc w:val="center"/>
              <w:textAlignment w:val="center"/>
              <w:rPr>
                <w:rFonts w:ascii="Book Antiqua" w:hAnsi="Book Antiqua"/>
                <w:sz w:val="20"/>
                <w:szCs w:val="20"/>
                <w:lang w:val="es-CR" w:eastAsia="es-CR"/>
              </w:rPr>
            </w:pPr>
            <w:r w:rsidRPr="00B8697C">
              <w:rPr>
                <w:rFonts w:ascii="Book Antiqua" w:hAnsi="Book Antiqua" w:cs="Calibri"/>
                <w:color w:val="000000" w:themeColor="dark1"/>
                <w:kern w:val="24"/>
                <w:sz w:val="20"/>
                <w:szCs w:val="20"/>
                <w:lang w:val="es-419" w:eastAsia="es-CR"/>
              </w:rPr>
              <w:t>49</w:t>
            </w:r>
          </w:p>
        </w:tc>
        <w:tc>
          <w:tcPr>
            <w:tcW w:w="1502"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vAlign w:val="center"/>
          </w:tcPr>
          <w:p w:rsidR="00C94549" w:rsidRPr="00350BEC" w:rsidRDefault="00C94549" w:rsidP="00C94549">
            <w:pPr>
              <w:widowControl/>
              <w:autoSpaceDE/>
              <w:autoSpaceDN/>
              <w:adjustRightInd/>
              <w:jc w:val="center"/>
              <w:textAlignment w:val="center"/>
              <w:rPr>
                <w:rFonts w:ascii="Book Antiqua" w:hAnsi="Book Antiqua" w:cs="Calibri"/>
                <w:color w:val="000000" w:themeColor="dark1"/>
                <w:kern w:val="24"/>
                <w:sz w:val="20"/>
                <w:szCs w:val="20"/>
                <w:lang w:val="es-419" w:eastAsia="es-CR"/>
              </w:rPr>
            </w:pPr>
            <w:r w:rsidRPr="006615B0">
              <w:rPr>
                <w:rFonts w:ascii="Book Antiqua" w:hAnsi="Book Antiqua" w:cs="Calibri"/>
                <w:color w:val="000000" w:themeColor="dark1"/>
                <w:kern w:val="24"/>
                <w:sz w:val="20"/>
                <w:szCs w:val="20"/>
                <w:lang w:val="es-419" w:eastAsia="es-CR"/>
              </w:rPr>
              <w:t>0</w:t>
            </w:r>
          </w:p>
        </w:tc>
        <w:tc>
          <w:tcPr>
            <w:tcW w:w="1713"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Pr>
          <w:p w:rsidR="00C94549" w:rsidRPr="00057488" w:rsidRDefault="00C94549" w:rsidP="00C94549">
            <w:pPr>
              <w:widowControl/>
              <w:autoSpaceDE/>
              <w:autoSpaceDN/>
              <w:adjustRightInd/>
              <w:jc w:val="center"/>
              <w:textAlignment w:val="center"/>
              <w:rPr>
                <w:rFonts w:ascii="Book Antiqua" w:hAnsi="Book Antiqua" w:cs="Calibri"/>
                <w:color w:val="000000" w:themeColor="dark1"/>
                <w:kern w:val="24"/>
                <w:sz w:val="20"/>
                <w:szCs w:val="20"/>
                <w:lang w:val="es-419" w:eastAsia="es-CR"/>
              </w:rPr>
            </w:pPr>
            <w:r w:rsidRPr="00057488">
              <w:rPr>
                <w:rFonts w:ascii="Book Antiqua" w:hAnsi="Book Antiqua"/>
                <w:sz w:val="20"/>
                <w:szCs w:val="20"/>
              </w:rPr>
              <w:t>0</w:t>
            </w:r>
            <w:r w:rsidR="00F764FE">
              <w:rPr>
                <w:rFonts w:ascii="Book Antiqua" w:hAnsi="Book Antiqua"/>
                <w:sz w:val="20"/>
                <w:szCs w:val="20"/>
              </w:rPr>
              <w:t>,0</w:t>
            </w:r>
            <w:r w:rsidRPr="00057488">
              <w:rPr>
                <w:rFonts w:ascii="Book Antiqua" w:hAnsi="Book Antiqua"/>
                <w:sz w:val="20"/>
                <w:szCs w:val="20"/>
              </w:rPr>
              <w:t>%</w:t>
            </w:r>
          </w:p>
        </w:tc>
      </w:tr>
      <w:tr w:rsidR="00C94549" w:rsidRPr="00B8697C" w:rsidTr="00057488">
        <w:trPr>
          <w:trHeight w:val="374"/>
          <w:jc w:val="center"/>
        </w:trPr>
        <w:tc>
          <w:tcPr>
            <w:tcW w:w="1666" w:type="dxa"/>
            <w:tcBorders>
              <w:top w:val="single" w:sz="8" w:space="0" w:color="FFFFFF"/>
              <w:left w:val="single" w:sz="8" w:space="0" w:color="FFFFFF"/>
              <w:bottom w:val="single" w:sz="8" w:space="0" w:color="FFFFFF"/>
              <w:right w:val="single" w:sz="8" w:space="0" w:color="FFFFFF"/>
            </w:tcBorders>
            <w:shd w:val="clear" w:color="auto" w:fill="DBDBDB"/>
            <w:tcMar>
              <w:top w:w="10" w:type="dxa"/>
              <w:left w:w="10" w:type="dxa"/>
              <w:bottom w:w="0" w:type="dxa"/>
              <w:right w:w="10" w:type="dxa"/>
            </w:tcMar>
            <w:vAlign w:val="center"/>
            <w:hideMark/>
          </w:tcPr>
          <w:p w:rsidR="00C94549" w:rsidRPr="00B8697C" w:rsidRDefault="00C94549" w:rsidP="00C94549">
            <w:pPr>
              <w:widowControl/>
              <w:autoSpaceDE/>
              <w:autoSpaceDN/>
              <w:adjustRightInd/>
              <w:jc w:val="center"/>
              <w:textAlignment w:val="center"/>
              <w:rPr>
                <w:rFonts w:ascii="Book Antiqua" w:hAnsi="Book Antiqua"/>
                <w:sz w:val="20"/>
                <w:szCs w:val="20"/>
                <w:lang w:val="es-CR" w:eastAsia="es-CR"/>
              </w:rPr>
            </w:pPr>
            <w:r w:rsidRPr="00B8697C">
              <w:rPr>
                <w:rFonts w:ascii="Book Antiqua" w:hAnsi="Book Antiqua" w:cs="Calibri"/>
                <w:color w:val="000000" w:themeColor="dark1"/>
                <w:kern w:val="24"/>
                <w:sz w:val="20"/>
                <w:szCs w:val="20"/>
                <w:lang w:val="es-419" w:eastAsia="es-CR"/>
              </w:rPr>
              <w:t>dic-19</w:t>
            </w:r>
          </w:p>
        </w:tc>
        <w:tc>
          <w:tcPr>
            <w:tcW w:w="1229" w:type="dxa"/>
            <w:tcBorders>
              <w:top w:val="single" w:sz="8" w:space="0" w:color="FFFFFF"/>
              <w:left w:val="single" w:sz="8" w:space="0" w:color="FFFFFF"/>
              <w:bottom w:val="single" w:sz="8" w:space="0" w:color="FFFFFF"/>
              <w:right w:val="single" w:sz="8" w:space="0" w:color="FFFFFF"/>
            </w:tcBorders>
            <w:shd w:val="clear" w:color="auto" w:fill="DBDBDB"/>
            <w:tcMar>
              <w:top w:w="10" w:type="dxa"/>
              <w:left w:w="10" w:type="dxa"/>
              <w:bottom w:w="0" w:type="dxa"/>
              <w:right w:w="10" w:type="dxa"/>
            </w:tcMar>
            <w:vAlign w:val="center"/>
            <w:hideMark/>
          </w:tcPr>
          <w:p w:rsidR="00C94549" w:rsidRPr="00B8697C" w:rsidRDefault="00C94549" w:rsidP="00C94549">
            <w:pPr>
              <w:widowControl/>
              <w:autoSpaceDE/>
              <w:autoSpaceDN/>
              <w:adjustRightInd/>
              <w:jc w:val="center"/>
              <w:textAlignment w:val="center"/>
              <w:rPr>
                <w:rFonts w:ascii="Book Antiqua" w:hAnsi="Book Antiqua"/>
                <w:sz w:val="20"/>
                <w:szCs w:val="20"/>
                <w:lang w:val="es-CR" w:eastAsia="es-CR"/>
              </w:rPr>
            </w:pPr>
            <w:r w:rsidRPr="00B8697C">
              <w:rPr>
                <w:rFonts w:ascii="Book Antiqua" w:hAnsi="Book Antiqua" w:cs="Calibri"/>
                <w:color w:val="000000" w:themeColor="dark1"/>
                <w:kern w:val="24"/>
                <w:sz w:val="20"/>
                <w:szCs w:val="20"/>
                <w:lang w:val="es-419" w:eastAsia="es-CR"/>
              </w:rPr>
              <w:t>42</w:t>
            </w:r>
          </w:p>
        </w:tc>
        <w:tc>
          <w:tcPr>
            <w:tcW w:w="1479" w:type="dxa"/>
            <w:tcBorders>
              <w:top w:val="single" w:sz="8" w:space="0" w:color="FFFFFF"/>
              <w:left w:val="single" w:sz="8" w:space="0" w:color="FFFFFF"/>
              <w:bottom w:val="single" w:sz="8" w:space="0" w:color="FFFFFF"/>
              <w:right w:val="single" w:sz="8" w:space="0" w:color="FFFFFF"/>
            </w:tcBorders>
            <w:shd w:val="clear" w:color="auto" w:fill="DBDBDB"/>
            <w:tcMar>
              <w:top w:w="10" w:type="dxa"/>
              <w:left w:w="10" w:type="dxa"/>
              <w:bottom w:w="0" w:type="dxa"/>
              <w:right w:w="10" w:type="dxa"/>
            </w:tcMar>
            <w:vAlign w:val="center"/>
            <w:hideMark/>
          </w:tcPr>
          <w:p w:rsidR="00C94549" w:rsidRPr="00B8697C" w:rsidRDefault="00C94549" w:rsidP="00C94549">
            <w:pPr>
              <w:widowControl/>
              <w:autoSpaceDE/>
              <w:autoSpaceDN/>
              <w:adjustRightInd/>
              <w:jc w:val="center"/>
              <w:textAlignment w:val="center"/>
              <w:rPr>
                <w:rFonts w:ascii="Book Antiqua" w:hAnsi="Book Antiqua"/>
                <w:sz w:val="20"/>
                <w:szCs w:val="20"/>
                <w:lang w:val="es-CR" w:eastAsia="es-CR"/>
              </w:rPr>
            </w:pPr>
            <w:r w:rsidRPr="00B8697C">
              <w:rPr>
                <w:rFonts w:ascii="Book Antiqua" w:hAnsi="Book Antiqua" w:cs="Calibri"/>
                <w:color w:val="000000" w:themeColor="dark1"/>
                <w:kern w:val="24"/>
                <w:sz w:val="20"/>
                <w:szCs w:val="20"/>
                <w:lang w:val="es-419" w:eastAsia="es-CR"/>
              </w:rPr>
              <w:t>39</w:t>
            </w:r>
          </w:p>
        </w:tc>
        <w:tc>
          <w:tcPr>
            <w:tcW w:w="1463" w:type="dxa"/>
            <w:tcBorders>
              <w:top w:val="single" w:sz="8" w:space="0" w:color="FFFFFF"/>
              <w:left w:val="single" w:sz="8" w:space="0" w:color="FFFFFF"/>
              <w:bottom w:val="single" w:sz="8" w:space="0" w:color="FFFFFF"/>
              <w:right w:val="single" w:sz="8" w:space="0" w:color="FFFFFF"/>
            </w:tcBorders>
            <w:shd w:val="clear" w:color="auto" w:fill="DBDBDB"/>
            <w:tcMar>
              <w:top w:w="10" w:type="dxa"/>
              <w:left w:w="10" w:type="dxa"/>
              <w:bottom w:w="0" w:type="dxa"/>
              <w:right w:w="10" w:type="dxa"/>
            </w:tcMar>
            <w:vAlign w:val="center"/>
            <w:hideMark/>
          </w:tcPr>
          <w:p w:rsidR="00C94549" w:rsidRPr="00B8697C" w:rsidRDefault="00C94549" w:rsidP="00C94549">
            <w:pPr>
              <w:widowControl/>
              <w:autoSpaceDE/>
              <w:autoSpaceDN/>
              <w:adjustRightInd/>
              <w:jc w:val="center"/>
              <w:textAlignment w:val="center"/>
              <w:rPr>
                <w:rFonts w:ascii="Book Antiqua" w:hAnsi="Book Antiqua"/>
                <w:sz w:val="20"/>
                <w:szCs w:val="20"/>
                <w:lang w:val="es-CR" w:eastAsia="es-CR"/>
              </w:rPr>
            </w:pPr>
            <w:r w:rsidRPr="00B8697C">
              <w:rPr>
                <w:rFonts w:ascii="Book Antiqua" w:hAnsi="Book Antiqua" w:cs="Calibri"/>
                <w:color w:val="000000" w:themeColor="dark1"/>
                <w:kern w:val="24"/>
                <w:sz w:val="20"/>
                <w:szCs w:val="20"/>
                <w:lang w:val="es-419" w:eastAsia="es-CR"/>
              </w:rPr>
              <w:t>52</w:t>
            </w:r>
          </w:p>
        </w:tc>
        <w:tc>
          <w:tcPr>
            <w:tcW w:w="1502"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vAlign w:val="center"/>
          </w:tcPr>
          <w:p w:rsidR="00C94549" w:rsidRPr="00350BEC" w:rsidRDefault="00C94549" w:rsidP="00C94549">
            <w:pPr>
              <w:widowControl/>
              <w:autoSpaceDE/>
              <w:autoSpaceDN/>
              <w:adjustRightInd/>
              <w:jc w:val="center"/>
              <w:textAlignment w:val="center"/>
              <w:rPr>
                <w:rFonts w:ascii="Book Antiqua" w:hAnsi="Book Antiqua" w:cs="Calibri"/>
                <w:color w:val="000000" w:themeColor="dark1"/>
                <w:kern w:val="24"/>
                <w:sz w:val="20"/>
                <w:szCs w:val="20"/>
                <w:lang w:val="es-419" w:eastAsia="es-CR"/>
              </w:rPr>
            </w:pPr>
            <w:r w:rsidRPr="006615B0">
              <w:rPr>
                <w:rFonts w:ascii="Book Antiqua" w:hAnsi="Book Antiqua" w:cs="Calibri"/>
                <w:color w:val="000000" w:themeColor="dark1"/>
                <w:kern w:val="24"/>
                <w:sz w:val="20"/>
                <w:szCs w:val="20"/>
                <w:lang w:val="es-419" w:eastAsia="es-CR"/>
              </w:rPr>
              <w:t>6</w:t>
            </w:r>
          </w:p>
        </w:tc>
        <w:tc>
          <w:tcPr>
            <w:tcW w:w="1713"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Pr>
          <w:p w:rsidR="00C94549" w:rsidRPr="00057488" w:rsidRDefault="00C94549" w:rsidP="00C94549">
            <w:pPr>
              <w:widowControl/>
              <w:autoSpaceDE/>
              <w:autoSpaceDN/>
              <w:adjustRightInd/>
              <w:jc w:val="center"/>
              <w:textAlignment w:val="center"/>
              <w:rPr>
                <w:rFonts w:ascii="Book Antiqua" w:hAnsi="Book Antiqua" w:cs="Calibri"/>
                <w:color w:val="000000" w:themeColor="dark1"/>
                <w:kern w:val="24"/>
                <w:sz w:val="20"/>
                <w:szCs w:val="20"/>
                <w:lang w:val="es-419" w:eastAsia="es-CR"/>
              </w:rPr>
            </w:pPr>
            <w:r w:rsidRPr="00057488">
              <w:rPr>
                <w:rFonts w:ascii="Book Antiqua" w:hAnsi="Book Antiqua"/>
                <w:sz w:val="20"/>
                <w:szCs w:val="20"/>
              </w:rPr>
              <w:t>14</w:t>
            </w:r>
            <w:r w:rsidR="00F764FE">
              <w:rPr>
                <w:rFonts w:ascii="Book Antiqua" w:hAnsi="Book Antiqua"/>
                <w:sz w:val="20"/>
                <w:szCs w:val="20"/>
              </w:rPr>
              <w:t>,3</w:t>
            </w:r>
            <w:r w:rsidRPr="00057488">
              <w:rPr>
                <w:rFonts w:ascii="Book Antiqua" w:hAnsi="Book Antiqua"/>
                <w:sz w:val="20"/>
                <w:szCs w:val="20"/>
              </w:rPr>
              <w:t>%</w:t>
            </w:r>
          </w:p>
        </w:tc>
      </w:tr>
      <w:tr w:rsidR="00C94549" w:rsidRPr="00B8697C" w:rsidTr="00057488">
        <w:trPr>
          <w:trHeight w:val="374"/>
          <w:jc w:val="center"/>
        </w:trPr>
        <w:tc>
          <w:tcPr>
            <w:tcW w:w="1666" w:type="dxa"/>
            <w:tcBorders>
              <w:top w:val="single" w:sz="8" w:space="0" w:color="FFFFFF"/>
              <w:left w:val="single" w:sz="8" w:space="0" w:color="FFFFFF"/>
              <w:bottom w:val="single" w:sz="8" w:space="0" w:color="FFFFFF"/>
              <w:right w:val="single" w:sz="8" w:space="0" w:color="FFFFFF"/>
            </w:tcBorders>
            <w:shd w:val="clear" w:color="auto" w:fill="DBDBDB"/>
            <w:tcMar>
              <w:top w:w="10" w:type="dxa"/>
              <w:left w:w="10" w:type="dxa"/>
              <w:bottom w:w="0" w:type="dxa"/>
              <w:right w:w="10" w:type="dxa"/>
            </w:tcMar>
            <w:vAlign w:val="center"/>
            <w:hideMark/>
          </w:tcPr>
          <w:p w:rsidR="00C94549" w:rsidRPr="00B8697C" w:rsidRDefault="00C94549" w:rsidP="00C94549">
            <w:pPr>
              <w:widowControl/>
              <w:autoSpaceDE/>
              <w:autoSpaceDN/>
              <w:adjustRightInd/>
              <w:jc w:val="center"/>
              <w:textAlignment w:val="center"/>
              <w:rPr>
                <w:rFonts w:ascii="Book Antiqua" w:hAnsi="Book Antiqua"/>
                <w:sz w:val="20"/>
                <w:szCs w:val="20"/>
                <w:lang w:val="es-CR" w:eastAsia="es-CR"/>
              </w:rPr>
            </w:pPr>
            <w:r w:rsidRPr="00B8697C">
              <w:rPr>
                <w:rFonts w:ascii="Book Antiqua" w:hAnsi="Book Antiqua" w:cs="Calibri"/>
                <w:color w:val="000000" w:themeColor="dark1"/>
                <w:kern w:val="24"/>
                <w:sz w:val="20"/>
                <w:szCs w:val="20"/>
                <w:lang w:val="es-419" w:eastAsia="es-CR"/>
              </w:rPr>
              <w:t>ene-20</w:t>
            </w:r>
          </w:p>
        </w:tc>
        <w:tc>
          <w:tcPr>
            <w:tcW w:w="1229" w:type="dxa"/>
            <w:tcBorders>
              <w:top w:val="single" w:sz="8" w:space="0" w:color="FFFFFF"/>
              <w:left w:val="single" w:sz="8" w:space="0" w:color="FFFFFF"/>
              <w:bottom w:val="single" w:sz="8" w:space="0" w:color="FFFFFF"/>
              <w:right w:val="single" w:sz="8" w:space="0" w:color="FFFFFF"/>
            </w:tcBorders>
            <w:shd w:val="clear" w:color="auto" w:fill="DBDBDB"/>
            <w:tcMar>
              <w:top w:w="10" w:type="dxa"/>
              <w:left w:w="10" w:type="dxa"/>
              <w:bottom w:w="0" w:type="dxa"/>
              <w:right w:w="10" w:type="dxa"/>
            </w:tcMar>
            <w:vAlign w:val="center"/>
            <w:hideMark/>
          </w:tcPr>
          <w:p w:rsidR="00C94549" w:rsidRPr="00B8697C" w:rsidRDefault="00C94549" w:rsidP="00C94549">
            <w:pPr>
              <w:widowControl/>
              <w:autoSpaceDE/>
              <w:autoSpaceDN/>
              <w:adjustRightInd/>
              <w:jc w:val="center"/>
              <w:textAlignment w:val="center"/>
              <w:rPr>
                <w:rFonts w:ascii="Book Antiqua" w:hAnsi="Book Antiqua"/>
                <w:sz w:val="20"/>
                <w:szCs w:val="20"/>
                <w:lang w:val="es-CR" w:eastAsia="es-CR"/>
              </w:rPr>
            </w:pPr>
            <w:r w:rsidRPr="00B8697C">
              <w:rPr>
                <w:rFonts w:ascii="Book Antiqua" w:hAnsi="Book Antiqua" w:cs="Calibri"/>
                <w:color w:val="000000" w:themeColor="dark1"/>
                <w:kern w:val="24"/>
                <w:sz w:val="20"/>
                <w:szCs w:val="20"/>
                <w:lang w:val="es-419" w:eastAsia="es-CR"/>
              </w:rPr>
              <w:t>101</w:t>
            </w:r>
          </w:p>
        </w:tc>
        <w:tc>
          <w:tcPr>
            <w:tcW w:w="1479" w:type="dxa"/>
            <w:tcBorders>
              <w:top w:val="single" w:sz="8" w:space="0" w:color="FFFFFF"/>
              <w:left w:val="single" w:sz="8" w:space="0" w:color="FFFFFF"/>
              <w:bottom w:val="single" w:sz="8" w:space="0" w:color="FFFFFF"/>
              <w:right w:val="single" w:sz="8" w:space="0" w:color="FFFFFF"/>
            </w:tcBorders>
            <w:shd w:val="clear" w:color="auto" w:fill="DBDBDB"/>
            <w:tcMar>
              <w:top w:w="10" w:type="dxa"/>
              <w:left w:w="10" w:type="dxa"/>
              <w:bottom w:w="0" w:type="dxa"/>
              <w:right w:w="10" w:type="dxa"/>
            </w:tcMar>
            <w:vAlign w:val="center"/>
            <w:hideMark/>
          </w:tcPr>
          <w:p w:rsidR="00C94549" w:rsidRPr="00B8697C" w:rsidRDefault="00C94549" w:rsidP="00C94549">
            <w:pPr>
              <w:widowControl/>
              <w:autoSpaceDE/>
              <w:autoSpaceDN/>
              <w:adjustRightInd/>
              <w:jc w:val="center"/>
              <w:textAlignment w:val="center"/>
              <w:rPr>
                <w:rFonts w:ascii="Book Antiqua" w:hAnsi="Book Antiqua"/>
                <w:sz w:val="20"/>
                <w:szCs w:val="20"/>
                <w:lang w:val="es-CR" w:eastAsia="es-CR"/>
              </w:rPr>
            </w:pPr>
            <w:r w:rsidRPr="00B8697C">
              <w:rPr>
                <w:rFonts w:ascii="Book Antiqua" w:hAnsi="Book Antiqua" w:cs="Calibri"/>
                <w:color w:val="000000" w:themeColor="dark1"/>
                <w:kern w:val="24"/>
                <w:sz w:val="20"/>
                <w:szCs w:val="20"/>
                <w:lang w:val="es-419" w:eastAsia="es-CR"/>
              </w:rPr>
              <w:t>60</w:t>
            </w:r>
          </w:p>
        </w:tc>
        <w:tc>
          <w:tcPr>
            <w:tcW w:w="1463" w:type="dxa"/>
            <w:tcBorders>
              <w:top w:val="single" w:sz="8" w:space="0" w:color="FFFFFF"/>
              <w:left w:val="single" w:sz="8" w:space="0" w:color="FFFFFF"/>
              <w:bottom w:val="single" w:sz="8" w:space="0" w:color="FFFFFF"/>
              <w:right w:val="single" w:sz="8" w:space="0" w:color="FFFFFF"/>
            </w:tcBorders>
            <w:shd w:val="clear" w:color="auto" w:fill="DBDBDB"/>
            <w:tcMar>
              <w:top w:w="10" w:type="dxa"/>
              <w:left w:w="10" w:type="dxa"/>
              <w:bottom w:w="0" w:type="dxa"/>
              <w:right w:w="10" w:type="dxa"/>
            </w:tcMar>
            <w:vAlign w:val="center"/>
            <w:hideMark/>
          </w:tcPr>
          <w:p w:rsidR="00C94549" w:rsidRPr="00B8697C" w:rsidRDefault="00C94549" w:rsidP="00C94549">
            <w:pPr>
              <w:widowControl/>
              <w:autoSpaceDE/>
              <w:autoSpaceDN/>
              <w:adjustRightInd/>
              <w:jc w:val="center"/>
              <w:textAlignment w:val="center"/>
              <w:rPr>
                <w:rFonts w:ascii="Book Antiqua" w:hAnsi="Book Antiqua"/>
                <w:sz w:val="20"/>
                <w:szCs w:val="20"/>
                <w:lang w:val="es-CR" w:eastAsia="es-CR"/>
              </w:rPr>
            </w:pPr>
            <w:r w:rsidRPr="00B8697C">
              <w:rPr>
                <w:rFonts w:ascii="Book Antiqua" w:hAnsi="Book Antiqua" w:cs="Calibri"/>
                <w:color w:val="000000" w:themeColor="dark1"/>
                <w:kern w:val="24"/>
                <w:sz w:val="20"/>
                <w:szCs w:val="20"/>
                <w:lang w:val="es-419" w:eastAsia="es-CR"/>
              </w:rPr>
              <w:t>93</w:t>
            </w:r>
          </w:p>
        </w:tc>
        <w:tc>
          <w:tcPr>
            <w:tcW w:w="1502"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vAlign w:val="center"/>
          </w:tcPr>
          <w:p w:rsidR="00C94549" w:rsidRPr="00350BEC" w:rsidRDefault="00C94549" w:rsidP="00C94549">
            <w:pPr>
              <w:widowControl/>
              <w:autoSpaceDE/>
              <w:autoSpaceDN/>
              <w:adjustRightInd/>
              <w:jc w:val="center"/>
              <w:textAlignment w:val="center"/>
              <w:rPr>
                <w:rFonts w:ascii="Book Antiqua" w:hAnsi="Book Antiqua" w:cs="Calibri"/>
                <w:color w:val="000000" w:themeColor="dark1"/>
                <w:kern w:val="24"/>
                <w:sz w:val="20"/>
                <w:szCs w:val="20"/>
                <w:lang w:val="es-419" w:eastAsia="es-CR"/>
              </w:rPr>
            </w:pPr>
            <w:r w:rsidRPr="006615B0">
              <w:rPr>
                <w:rFonts w:ascii="Book Antiqua" w:hAnsi="Book Antiqua" w:cs="Calibri"/>
                <w:color w:val="000000" w:themeColor="dark1"/>
                <w:kern w:val="24"/>
                <w:sz w:val="20"/>
                <w:szCs w:val="20"/>
                <w:lang w:val="es-419" w:eastAsia="es-CR"/>
              </w:rPr>
              <w:t>26</w:t>
            </w:r>
          </w:p>
        </w:tc>
        <w:tc>
          <w:tcPr>
            <w:tcW w:w="1713"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Pr>
          <w:p w:rsidR="00C94549" w:rsidRPr="00057488" w:rsidRDefault="00C94549" w:rsidP="00C94549">
            <w:pPr>
              <w:widowControl/>
              <w:autoSpaceDE/>
              <w:autoSpaceDN/>
              <w:adjustRightInd/>
              <w:jc w:val="center"/>
              <w:textAlignment w:val="center"/>
              <w:rPr>
                <w:rFonts w:ascii="Book Antiqua" w:hAnsi="Book Antiqua" w:cs="Calibri"/>
                <w:color w:val="000000" w:themeColor="dark1"/>
                <w:kern w:val="24"/>
                <w:sz w:val="20"/>
                <w:szCs w:val="20"/>
                <w:lang w:val="es-419" w:eastAsia="es-CR"/>
              </w:rPr>
            </w:pPr>
            <w:r w:rsidRPr="00057488">
              <w:rPr>
                <w:rFonts w:ascii="Book Antiqua" w:hAnsi="Book Antiqua"/>
                <w:sz w:val="20"/>
                <w:szCs w:val="20"/>
              </w:rPr>
              <w:t>2</w:t>
            </w:r>
            <w:r w:rsidR="00F764FE">
              <w:rPr>
                <w:rFonts w:ascii="Book Antiqua" w:hAnsi="Book Antiqua"/>
                <w:sz w:val="20"/>
                <w:szCs w:val="20"/>
              </w:rPr>
              <w:t>5,7</w:t>
            </w:r>
            <w:r w:rsidRPr="00057488">
              <w:rPr>
                <w:rFonts w:ascii="Book Antiqua" w:hAnsi="Book Antiqua"/>
                <w:sz w:val="20"/>
                <w:szCs w:val="20"/>
              </w:rPr>
              <w:t>%</w:t>
            </w:r>
          </w:p>
        </w:tc>
      </w:tr>
      <w:tr w:rsidR="00C94549" w:rsidRPr="00B8697C" w:rsidTr="00057488">
        <w:trPr>
          <w:trHeight w:val="374"/>
          <w:jc w:val="center"/>
        </w:trPr>
        <w:tc>
          <w:tcPr>
            <w:tcW w:w="1666" w:type="dxa"/>
            <w:tcBorders>
              <w:top w:val="single" w:sz="8" w:space="0" w:color="FFFFFF"/>
              <w:left w:val="single" w:sz="8" w:space="0" w:color="FFFFFF"/>
              <w:bottom w:val="single" w:sz="8" w:space="0" w:color="FFFFFF"/>
              <w:right w:val="single" w:sz="8" w:space="0" w:color="FFFFFF"/>
            </w:tcBorders>
            <w:shd w:val="clear" w:color="auto" w:fill="DBDBDB"/>
            <w:tcMar>
              <w:top w:w="10" w:type="dxa"/>
              <w:left w:w="10" w:type="dxa"/>
              <w:bottom w:w="0" w:type="dxa"/>
              <w:right w:w="10" w:type="dxa"/>
            </w:tcMar>
            <w:vAlign w:val="center"/>
            <w:hideMark/>
          </w:tcPr>
          <w:p w:rsidR="00C94549" w:rsidRPr="00B8697C" w:rsidRDefault="00C94549" w:rsidP="00C94549">
            <w:pPr>
              <w:widowControl/>
              <w:autoSpaceDE/>
              <w:autoSpaceDN/>
              <w:adjustRightInd/>
              <w:jc w:val="center"/>
              <w:textAlignment w:val="center"/>
              <w:rPr>
                <w:rFonts w:ascii="Book Antiqua" w:hAnsi="Book Antiqua"/>
                <w:sz w:val="20"/>
                <w:szCs w:val="20"/>
                <w:lang w:val="es-CR" w:eastAsia="es-CR"/>
              </w:rPr>
            </w:pPr>
            <w:r w:rsidRPr="00B8697C">
              <w:rPr>
                <w:rFonts w:ascii="Book Antiqua" w:hAnsi="Book Antiqua" w:cs="Calibri"/>
                <w:color w:val="000000" w:themeColor="dark1"/>
                <w:kern w:val="24"/>
                <w:sz w:val="20"/>
                <w:szCs w:val="20"/>
                <w:lang w:val="es-419" w:eastAsia="es-CR"/>
              </w:rPr>
              <w:t>feb-20</w:t>
            </w:r>
          </w:p>
        </w:tc>
        <w:tc>
          <w:tcPr>
            <w:tcW w:w="1229" w:type="dxa"/>
            <w:tcBorders>
              <w:top w:val="single" w:sz="8" w:space="0" w:color="FFFFFF"/>
              <w:left w:val="single" w:sz="8" w:space="0" w:color="FFFFFF"/>
              <w:bottom w:val="single" w:sz="8" w:space="0" w:color="FFFFFF"/>
              <w:right w:val="single" w:sz="8" w:space="0" w:color="FFFFFF"/>
            </w:tcBorders>
            <w:shd w:val="clear" w:color="auto" w:fill="DBDBDB"/>
            <w:tcMar>
              <w:top w:w="10" w:type="dxa"/>
              <w:left w:w="10" w:type="dxa"/>
              <w:bottom w:w="0" w:type="dxa"/>
              <w:right w:w="10" w:type="dxa"/>
            </w:tcMar>
            <w:vAlign w:val="center"/>
            <w:hideMark/>
          </w:tcPr>
          <w:p w:rsidR="00C94549" w:rsidRPr="00B8697C" w:rsidRDefault="00C94549" w:rsidP="00C94549">
            <w:pPr>
              <w:widowControl/>
              <w:autoSpaceDE/>
              <w:autoSpaceDN/>
              <w:adjustRightInd/>
              <w:jc w:val="center"/>
              <w:textAlignment w:val="center"/>
              <w:rPr>
                <w:rFonts w:ascii="Book Antiqua" w:hAnsi="Book Antiqua"/>
                <w:sz w:val="20"/>
                <w:szCs w:val="20"/>
                <w:lang w:val="es-CR" w:eastAsia="es-CR"/>
              </w:rPr>
            </w:pPr>
            <w:r w:rsidRPr="00B8697C">
              <w:rPr>
                <w:rFonts w:ascii="Book Antiqua" w:hAnsi="Book Antiqua" w:cs="Calibri"/>
                <w:color w:val="000000" w:themeColor="dark1"/>
                <w:kern w:val="24"/>
                <w:sz w:val="20"/>
                <w:szCs w:val="20"/>
                <w:lang w:val="es-419" w:eastAsia="es-CR"/>
              </w:rPr>
              <w:t>75</w:t>
            </w:r>
          </w:p>
        </w:tc>
        <w:tc>
          <w:tcPr>
            <w:tcW w:w="1479" w:type="dxa"/>
            <w:tcBorders>
              <w:top w:val="single" w:sz="8" w:space="0" w:color="FFFFFF"/>
              <w:left w:val="single" w:sz="8" w:space="0" w:color="FFFFFF"/>
              <w:bottom w:val="single" w:sz="8" w:space="0" w:color="FFFFFF"/>
              <w:right w:val="single" w:sz="8" w:space="0" w:color="FFFFFF"/>
            </w:tcBorders>
            <w:shd w:val="clear" w:color="auto" w:fill="DBDBDB"/>
            <w:tcMar>
              <w:top w:w="10" w:type="dxa"/>
              <w:left w:w="10" w:type="dxa"/>
              <w:bottom w:w="0" w:type="dxa"/>
              <w:right w:w="10" w:type="dxa"/>
            </w:tcMar>
            <w:vAlign w:val="center"/>
            <w:hideMark/>
          </w:tcPr>
          <w:p w:rsidR="00C94549" w:rsidRPr="00B8697C" w:rsidRDefault="00C94549" w:rsidP="00C94549">
            <w:pPr>
              <w:widowControl/>
              <w:autoSpaceDE/>
              <w:autoSpaceDN/>
              <w:adjustRightInd/>
              <w:jc w:val="center"/>
              <w:textAlignment w:val="center"/>
              <w:rPr>
                <w:rFonts w:ascii="Book Antiqua" w:hAnsi="Book Antiqua"/>
                <w:sz w:val="20"/>
                <w:szCs w:val="20"/>
                <w:lang w:val="es-CR" w:eastAsia="es-CR"/>
              </w:rPr>
            </w:pPr>
            <w:r w:rsidRPr="00B8697C">
              <w:rPr>
                <w:rFonts w:ascii="Book Antiqua" w:hAnsi="Book Antiqua" w:cs="Calibri"/>
                <w:color w:val="000000" w:themeColor="dark1"/>
                <w:kern w:val="24"/>
                <w:sz w:val="20"/>
                <w:szCs w:val="20"/>
                <w:lang w:val="es-419" w:eastAsia="es-CR"/>
              </w:rPr>
              <w:t>58</w:t>
            </w:r>
          </w:p>
        </w:tc>
        <w:tc>
          <w:tcPr>
            <w:tcW w:w="1463" w:type="dxa"/>
            <w:tcBorders>
              <w:top w:val="single" w:sz="8" w:space="0" w:color="FFFFFF"/>
              <w:left w:val="single" w:sz="8" w:space="0" w:color="FFFFFF"/>
              <w:bottom w:val="single" w:sz="8" w:space="0" w:color="FFFFFF"/>
              <w:right w:val="single" w:sz="8" w:space="0" w:color="FFFFFF"/>
            </w:tcBorders>
            <w:shd w:val="clear" w:color="auto" w:fill="DBDBDB"/>
            <w:tcMar>
              <w:top w:w="10" w:type="dxa"/>
              <w:left w:w="10" w:type="dxa"/>
              <w:bottom w:w="0" w:type="dxa"/>
              <w:right w:w="10" w:type="dxa"/>
            </w:tcMar>
            <w:vAlign w:val="center"/>
            <w:hideMark/>
          </w:tcPr>
          <w:p w:rsidR="00C94549" w:rsidRPr="00B8697C" w:rsidRDefault="00C94549" w:rsidP="00C94549">
            <w:pPr>
              <w:widowControl/>
              <w:autoSpaceDE/>
              <w:autoSpaceDN/>
              <w:adjustRightInd/>
              <w:jc w:val="center"/>
              <w:textAlignment w:val="center"/>
              <w:rPr>
                <w:rFonts w:ascii="Book Antiqua" w:hAnsi="Book Antiqua"/>
                <w:sz w:val="20"/>
                <w:szCs w:val="20"/>
                <w:lang w:val="es-CR" w:eastAsia="es-CR"/>
              </w:rPr>
            </w:pPr>
            <w:r w:rsidRPr="00B8697C">
              <w:rPr>
                <w:rFonts w:ascii="Book Antiqua" w:hAnsi="Book Antiqua" w:cs="Calibri"/>
                <w:color w:val="000000" w:themeColor="dark1"/>
                <w:kern w:val="24"/>
                <w:sz w:val="20"/>
                <w:szCs w:val="20"/>
                <w:lang w:val="es-419" w:eastAsia="es-CR"/>
              </w:rPr>
              <w:t>110</w:t>
            </w:r>
          </w:p>
        </w:tc>
        <w:tc>
          <w:tcPr>
            <w:tcW w:w="1502"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vAlign w:val="center"/>
          </w:tcPr>
          <w:p w:rsidR="00C94549" w:rsidRPr="00350BEC" w:rsidRDefault="00C94549" w:rsidP="00C94549">
            <w:pPr>
              <w:widowControl/>
              <w:autoSpaceDE/>
              <w:autoSpaceDN/>
              <w:adjustRightInd/>
              <w:jc w:val="center"/>
              <w:textAlignment w:val="center"/>
              <w:rPr>
                <w:rFonts w:ascii="Book Antiqua" w:hAnsi="Book Antiqua" w:cs="Calibri"/>
                <w:color w:val="000000" w:themeColor="dark1"/>
                <w:kern w:val="24"/>
                <w:sz w:val="20"/>
                <w:szCs w:val="20"/>
                <w:lang w:val="es-419" w:eastAsia="es-CR"/>
              </w:rPr>
            </w:pPr>
            <w:r w:rsidRPr="006615B0">
              <w:rPr>
                <w:rFonts w:ascii="Book Antiqua" w:hAnsi="Book Antiqua" w:cs="Calibri"/>
                <w:color w:val="000000" w:themeColor="dark1"/>
                <w:kern w:val="24"/>
                <w:sz w:val="20"/>
                <w:szCs w:val="20"/>
                <w:lang w:val="es-419" w:eastAsia="es-CR"/>
              </w:rPr>
              <w:t>36</w:t>
            </w:r>
          </w:p>
        </w:tc>
        <w:tc>
          <w:tcPr>
            <w:tcW w:w="1713"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Pr>
          <w:p w:rsidR="00C94549" w:rsidRPr="00057488" w:rsidRDefault="00C94549" w:rsidP="00C94549">
            <w:pPr>
              <w:widowControl/>
              <w:autoSpaceDE/>
              <w:autoSpaceDN/>
              <w:adjustRightInd/>
              <w:jc w:val="center"/>
              <w:textAlignment w:val="center"/>
              <w:rPr>
                <w:rFonts w:ascii="Book Antiqua" w:hAnsi="Book Antiqua" w:cs="Calibri"/>
                <w:color w:val="000000" w:themeColor="dark1"/>
                <w:kern w:val="24"/>
                <w:sz w:val="20"/>
                <w:szCs w:val="20"/>
                <w:lang w:val="es-419" w:eastAsia="es-CR"/>
              </w:rPr>
            </w:pPr>
            <w:r w:rsidRPr="00057488">
              <w:rPr>
                <w:rFonts w:ascii="Book Antiqua" w:hAnsi="Book Antiqua"/>
                <w:sz w:val="20"/>
                <w:szCs w:val="20"/>
              </w:rPr>
              <w:t>48</w:t>
            </w:r>
            <w:r w:rsidR="00F764FE">
              <w:rPr>
                <w:rFonts w:ascii="Book Antiqua" w:hAnsi="Book Antiqua"/>
                <w:sz w:val="20"/>
                <w:szCs w:val="20"/>
              </w:rPr>
              <w:t>,0</w:t>
            </w:r>
            <w:r w:rsidRPr="00057488">
              <w:rPr>
                <w:rFonts w:ascii="Book Antiqua" w:hAnsi="Book Antiqua"/>
                <w:sz w:val="20"/>
                <w:szCs w:val="20"/>
              </w:rPr>
              <w:t>%</w:t>
            </w:r>
          </w:p>
        </w:tc>
      </w:tr>
      <w:tr w:rsidR="00C94549" w:rsidRPr="00B8697C" w:rsidTr="00057488">
        <w:trPr>
          <w:trHeight w:val="374"/>
          <w:jc w:val="center"/>
        </w:trPr>
        <w:tc>
          <w:tcPr>
            <w:tcW w:w="1666" w:type="dxa"/>
            <w:tcBorders>
              <w:top w:val="single" w:sz="8" w:space="0" w:color="FFFFFF"/>
              <w:left w:val="single" w:sz="8" w:space="0" w:color="FFFFFF"/>
              <w:bottom w:val="single" w:sz="8" w:space="0" w:color="FFFFFF"/>
              <w:right w:val="single" w:sz="8" w:space="0" w:color="FFFFFF"/>
            </w:tcBorders>
            <w:shd w:val="clear" w:color="auto" w:fill="DBDBDB"/>
            <w:tcMar>
              <w:top w:w="10" w:type="dxa"/>
              <w:left w:w="10" w:type="dxa"/>
              <w:bottom w:w="0" w:type="dxa"/>
              <w:right w:w="10" w:type="dxa"/>
            </w:tcMar>
            <w:vAlign w:val="center"/>
            <w:hideMark/>
          </w:tcPr>
          <w:p w:rsidR="00C94549" w:rsidRPr="00B8697C" w:rsidRDefault="00C94549" w:rsidP="00C94549">
            <w:pPr>
              <w:widowControl/>
              <w:autoSpaceDE/>
              <w:autoSpaceDN/>
              <w:adjustRightInd/>
              <w:jc w:val="center"/>
              <w:textAlignment w:val="center"/>
              <w:rPr>
                <w:rFonts w:ascii="Book Antiqua" w:hAnsi="Book Antiqua"/>
                <w:sz w:val="20"/>
                <w:szCs w:val="20"/>
                <w:lang w:val="es-CR" w:eastAsia="es-CR"/>
              </w:rPr>
            </w:pPr>
            <w:r w:rsidRPr="00B8697C">
              <w:rPr>
                <w:rFonts w:ascii="Book Antiqua" w:hAnsi="Book Antiqua" w:cs="Calibri"/>
                <w:color w:val="000000" w:themeColor="dark1"/>
                <w:kern w:val="24"/>
                <w:sz w:val="20"/>
                <w:szCs w:val="20"/>
                <w:lang w:val="es-419" w:eastAsia="es-CR"/>
              </w:rPr>
              <w:t>mar-20</w:t>
            </w:r>
          </w:p>
        </w:tc>
        <w:tc>
          <w:tcPr>
            <w:tcW w:w="1229" w:type="dxa"/>
            <w:tcBorders>
              <w:top w:val="single" w:sz="8" w:space="0" w:color="FFFFFF"/>
              <w:left w:val="single" w:sz="8" w:space="0" w:color="FFFFFF"/>
              <w:bottom w:val="single" w:sz="8" w:space="0" w:color="FFFFFF"/>
              <w:right w:val="single" w:sz="8" w:space="0" w:color="FFFFFF"/>
            </w:tcBorders>
            <w:shd w:val="clear" w:color="auto" w:fill="DBDBDB"/>
            <w:tcMar>
              <w:top w:w="10" w:type="dxa"/>
              <w:left w:w="10" w:type="dxa"/>
              <w:bottom w:w="0" w:type="dxa"/>
              <w:right w:w="10" w:type="dxa"/>
            </w:tcMar>
            <w:vAlign w:val="center"/>
            <w:hideMark/>
          </w:tcPr>
          <w:p w:rsidR="00C94549" w:rsidRPr="00B8697C" w:rsidRDefault="00C94549" w:rsidP="00C94549">
            <w:pPr>
              <w:widowControl/>
              <w:autoSpaceDE/>
              <w:autoSpaceDN/>
              <w:adjustRightInd/>
              <w:jc w:val="center"/>
              <w:textAlignment w:val="center"/>
              <w:rPr>
                <w:rFonts w:ascii="Book Antiqua" w:hAnsi="Book Antiqua"/>
                <w:sz w:val="20"/>
                <w:szCs w:val="20"/>
                <w:lang w:val="es-CR" w:eastAsia="es-CR"/>
              </w:rPr>
            </w:pPr>
            <w:r w:rsidRPr="00B8697C">
              <w:rPr>
                <w:rFonts w:ascii="Book Antiqua" w:hAnsi="Book Antiqua" w:cs="Calibri"/>
                <w:color w:val="000000" w:themeColor="dark1"/>
                <w:kern w:val="24"/>
                <w:sz w:val="20"/>
                <w:szCs w:val="20"/>
                <w:lang w:val="es-419" w:eastAsia="es-CR"/>
              </w:rPr>
              <w:t>60</w:t>
            </w:r>
          </w:p>
        </w:tc>
        <w:tc>
          <w:tcPr>
            <w:tcW w:w="1479" w:type="dxa"/>
            <w:tcBorders>
              <w:top w:val="single" w:sz="8" w:space="0" w:color="FFFFFF"/>
              <w:left w:val="single" w:sz="8" w:space="0" w:color="FFFFFF"/>
              <w:bottom w:val="single" w:sz="8" w:space="0" w:color="FFFFFF"/>
              <w:right w:val="single" w:sz="8" w:space="0" w:color="FFFFFF"/>
            </w:tcBorders>
            <w:shd w:val="clear" w:color="auto" w:fill="DBDBDB"/>
            <w:tcMar>
              <w:top w:w="10" w:type="dxa"/>
              <w:left w:w="10" w:type="dxa"/>
              <w:bottom w:w="0" w:type="dxa"/>
              <w:right w:w="10" w:type="dxa"/>
            </w:tcMar>
            <w:vAlign w:val="center"/>
            <w:hideMark/>
          </w:tcPr>
          <w:p w:rsidR="00C94549" w:rsidRPr="00B8697C" w:rsidRDefault="00C94549" w:rsidP="00C94549">
            <w:pPr>
              <w:widowControl/>
              <w:autoSpaceDE/>
              <w:autoSpaceDN/>
              <w:adjustRightInd/>
              <w:jc w:val="center"/>
              <w:textAlignment w:val="center"/>
              <w:rPr>
                <w:rFonts w:ascii="Book Antiqua" w:hAnsi="Book Antiqua"/>
                <w:sz w:val="20"/>
                <w:szCs w:val="20"/>
                <w:lang w:val="es-CR" w:eastAsia="es-CR"/>
              </w:rPr>
            </w:pPr>
            <w:r w:rsidRPr="00B8697C">
              <w:rPr>
                <w:rFonts w:ascii="Book Antiqua" w:hAnsi="Book Antiqua" w:cs="Calibri"/>
                <w:color w:val="000000" w:themeColor="dark1"/>
                <w:kern w:val="24"/>
                <w:sz w:val="20"/>
                <w:szCs w:val="20"/>
                <w:lang w:val="es-419" w:eastAsia="es-CR"/>
              </w:rPr>
              <w:t>25</w:t>
            </w:r>
          </w:p>
        </w:tc>
        <w:tc>
          <w:tcPr>
            <w:tcW w:w="1463" w:type="dxa"/>
            <w:tcBorders>
              <w:top w:val="single" w:sz="8" w:space="0" w:color="FFFFFF"/>
              <w:left w:val="single" w:sz="8" w:space="0" w:color="FFFFFF"/>
              <w:bottom w:val="single" w:sz="8" w:space="0" w:color="FFFFFF"/>
              <w:right w:val="single" w:sz="8" w:space="0" w:color="FFFFFF"/>
            </w:tcBorders>
            <w:shd w:val="clear" w:color="auto" w:fill="DBDBDB"/>
            <w:tcMar>
              <w:top w:w="10" w:type="dxa"/>
              <w:left w:w="10" w:type="dxa"/>
              <w:bottom w:w="0" w:type="dxa"/>
              <w:right w:w="10" w:type="dxa"/>
            </w:tcMar>
            <w:vAlign w:val="center"/>
            <w:hideMark/>
          </w:tcPr>
          <w:p w:rsidR="00C94549" w:rsidRPr="00B8697C" w:rsidRDefault="00C94549" w:rsidP="00C94549">
            <w:pPr>
              <w:widowControl/>
              <w:autoSpaceDE/>
              <w:autoSpaceDN/>
              <w:adjustRightInd/>
              <w:jc w:val="center"/>
              <w:textAlignment w:val="center"/>
              <w:rPr>
                <w:rFonts w:ascii="Book Antiqua" w:hAnsi="Book Antiqua"/>
                <w:sz w:val="20"/>
                <w:szCs w:val="20"/>
                <w:lang w:val="es-CR" w:eastAsia="es-CR"/>
              </w:rPr>
            </w:pPr>
            <w:r w:rsidRPr="00B8697C">
              <w:rPr>
                <w:rFonts w:ascii="Book Antiqua" w:hAnsi="Book Antiqua" w:cs="Calibri"/>
                <w:color w:val="000000" w:themeColor="dark1"/>
                <w:kern w:val="24"/>
                <w:sz w:val="20"/>
                <w:szCs w:val="20"/>
                <w:lang w:val="es-419" w:eastAsia="es-CR"/>
              </w:rPr>
              <w:t>145</w:t>
            </w:r>
          </w:p>
        </w:tc>
        <w:tc>
          <w:tcPr>
            <w:tcW w:w="1502"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vAlign w:val="center"/>
          </w:tcPr>
          <w:p w:rsidR="00C94549" w:rsidRPr="00350BEC" w:rsidRDefault="00C94549" w:rsidP="00C94549">
            <w:pPr>
              <w:widowControl/>
              <w:autoSpaceDE/>
              <w:autoSpaceDN/>
              <w:adjustRightInd/>
              <w:jc w:val="center"/>
              <w:textAlignment w:val="center"/>
              <w:rPr>
                <w:rFonts w:ascii="Book Antiqua" w:hAnsi="Book Antiqua" w:cs="Calibri"/>
                <w:color w:val="000000" w:themeColor="dark1"/>
                <w:kern w:val="24"/>
                <w:sz w:val="20"/>
                <w:szCs w:val="20"/>
                <w:lang w:val="es-419" w:eastAsia="es-CR"/>
              </w:rPr>
            </w:pPr>
            <w:r w:rsidRPr="006615B0">
              <w:rPr>
                <w:rFonts w:ascii="Book Antiqua" w:hAnsi="Book Antiqua" w:cs="Calibri"/>
                <w:color w:val="000000" w:themeColor="dark1"/>
                <w:kern w:val="24"/>
                <w:sz w:val="20"/>
                <w:szCs w:val="20"/>
                <w:lang w:val="es-419" w:eastAsia="es-CR"/>
              </w:rPr>
              <w:t>35</w:t>
            </w:r>
          </w:p>
        </w:tc>
        <w:tc>
          <w:tcPr>
            <w:tcW w:w="1713"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Pr>
          <w:p w:rsidR="00C94549" w:rsidRPr="00057488" w:rsidRDefault="00C94549" w:rsidP="00C94549">
            <w:pPr>
              <w:widowControl/>
              <w:autoSpaceDE/>
              <w:autoSpaceDN/>
              <w:adjustRightInd/>
              <w:jc w:val="center"/>
              <w:textAlignment w:val="center"/>
              <w:rPr>
                <w:rFonts w:ascii="Book Antiqua" w:hAnsi="Book Antiqua" w:cs="Calibri"/>
                <w:color w:val="000000" w:themeColor="dark1"/>
                <w:kern w:val="24"/>
                <w:sz w:val="20"/>
                <w:szCs w:val="20"/>
                <w:lang w:val="es-419" w:eastAsia="es-CR"/>
              </w:rPr>
            </w:pPr>
            <w:r w:rsidRPr="00057488">
              <w:rPr>
                <w:rFonts w:ascii="Book Antiqua" w:hAnsi="Book Antiqua"/>
                <w:sz w:val="20"/>
                <w:szCs w:val="20"/>
              </w:rPr>
              <w:t>58</w:t>
            </w:r>
            <w:r w:rsidR="00F764FE">
              <w:rPr>
                <w:rFonts w:ascii="Book Antiqua" w:hAnsi="Book Antiqua"/>
                <w:sz w:val="20"/>
                <w:szCs w:val="20"/>
              </w:rPr>
              <w:t>,3</w:t>
            </w:r>
            <w:r w:rsidRPr="00057488">
              <w:rPr>
                <w:rFonts w:ascii="Book Antiqua" w:hAnsi="Book Antiqua"/>
                <w:sz w:val="20"/>
                <w:szCs w:val="20"/>
              </w:rPr>
              <w:t>%</w:t>
            </w:r>
          </w:p>
        </w:tc>
      </w:tr>
      <w:tr w:rsidR="00C94549" w:rsidRPr="00B8697C" w:rsidTr="00057488">
        <w:trPr>
          <w:trHeight w:val="374"/>
          <w:jc w:val="center"/>
        </w:trPr>
        <w:tc>
          <w:tcPr>
            <w:tcW w:w="1666" w:type="dxa"/>
            <w:tcBorders>
              <w:top w:val="single" w:sz="8" w:space="0" w:color="FFFFFF"/>
              <w:left w:val="single" w:sz="8" w:space="0" w:color="FFFFFF"/>
              <w:bottom w:val="single" w:sz="8" w:space="0" w:color="FFFFFF"/>
              <w:right w:val="single" w:sz="8" w:space="0" w:color="FFFFFF"/>
            </w:tcBorders>
            <w:shd w:val="clear" w:color="auto" w:fill="DBDBDB"/>
            <w:tcMar>
              <w:top w:w="10" w:type="dxa"/>
              <w:left w:w="10" w:type="dxa"/>
              <w:bottom w:w="0" w:type="dxa"/>
              <w:right w:w="10" w:type="dxa"/>
            </w:tcMar>
            <w:vAlign w:val="center"/>
            <w:hideMark/>
          </w:tcPr>
          <w:p w:rsidR="00C94549" w:rsidRPr="00057488" w:rsidRDefault="00C94549" w:rsidP="00C94549">
            <w:pPr>
              <w:widowControl/>
              <w:autoSpaceDE/>
              <w:autoSpaceDN/>
              <w:adjustRightInd/>
              <w:jc w:val="center"/>
              <w:textAlignment w:val="center"/>
              <w:rPr>
                <w:rFonts w:ascii="Book Antiqua" w:hAnsi="Book Antiqua"/>
                <w:sz w:val="20"/>
                <w:szCs w:val="20"/>
                <w:highlight w:val="green"/>
                <w:lang w:val="es-CR" w:eastAsia="es-CR"/>
              </w:rPr>
            </w:pPr>
            <w:r w:rsidRPr="002C7B05">
              <w:rPr>
                <w:rFonts w:ascii="Book Antiqua" w:hAnsi="Book Antiqua" w:cs="Calibri"/>
                <w:color w:val="000000" w:themeColor="dark1"/>
                <w:kern w:val="24"/>
                <w:sz w:val="20"/>
                <w:szCs w:val="20"/>
                <w:lang w:val="es-419" w:eastAsia="es-CR"/>
              </w:rPr>
              <w:t>abr-20</w:t>
            </w:r>
          </w:p>
        </w:tc>
        <w:tc>
          <w:tcPr>
            <w:tcW w:w="1229" w:type="dxa"/>
            <w:tcBorders>
              <w:top w:val="single" w:sz="8" w:space="0" w:color="FFFFFF"/>
              <w:left w:val="single" w:sz="8" w:space="0" w:color="FFFFFF"/>
              <w:bottom w:val="single" w:sz="8" w:space="0" w:color="FFFFFF"/>
              <w:right w:val="single" w:sz="8" w:space="0" w:color="FFFFFF"/>
            </w:tcBorders>
            <w:shd w:val="clear" w:color="auto" w:fill="DBDBDB"/>
            <w:tcMar>
              <w:top w:w="10" w:type="dxa"/>
              <w:left w:w="10" w:type="dxa"/>
              <w:bottom w:w="0" w:type="dxa"/>
              <w:right w:w="10" w:type="dxa"/>
            </w:tcMar>
            <w:vAlign w:val="center"/>
            <w:hideMark/>
          </w:tcPr>
          <w:p w:rsidR="00C94549" w:rsidRPr="00B8697C" w:rsidRDefault="00C94549" w:rsidP="00C94549">
            <w:pPr>
              <w:widowControl/>
              <w:autoSpaceDE/>
              <w:autoSpaceDN/>
              <w:adjustRightInd/>
              <w:jc w:val="center"/>
              <w:textAlignment w:val="center"/>
              <w:rPr>
                <w:rFonts w:ascii="Book Antiqua" w:hAnsi="Book Antiqua"/>
                <w:sz w:val="20"/>
                <w:szCs w:val="20"/>
                <w:lang w:val="es-CR" w:eastAsia="es-CR"/>
              </w:rPr>
            </w:pPr>
            <w:r w:rsidRPr="00B8697C">
              <w:rPr>
                <w:rFonts w:ascii="Book Antiqua" w:hAnsi="Book Antiqua" w:cs="Calibri"/>
                <w:color w:val="000000" w:themeColor="dark1"/>
                <w:kern w:val="24"/>
                <w:sz w:val="20"/>
                <w:szCs w:val="20"/>
                <w:lang w:val="es-419" w:eastAsia="es-CR"/>
              </w:rPr>
              <w:t>67</w:t>
            </w:r>
          </w:p>
        </w:tc>
        <w:tc>
          <w:tcPr>
            <w:tcW w:w="1479" w:type="dxa"/>
            <w:tcBorders>
              <w:top w:val="single" w:sz="8" w:space="0" w:color="FFFFFF"/>
              <w:left w:val="single" w:sz="8" w:space="0" w:color="FFFFFF"/>
              <w:bottom w:val="single" w:sz="8" w:space="0" w:color="FFFFFF"/>
              <w:right w:val="single" w:sz="8" w:space="0" w:color="FFFFFF"/>
            </w:tcBorders>
            <w:shd w:val="clear" w:color="auto" w:fill="DBDBDB"/>
            <w:tcMar>
              <w:top w:w="10" w:type="dxa"/>
              <w:left w:w="10" w:type="dxa"/>
              <w:bottom w:w="0" w:type="dxa"/>
              <w:right w:w="10" w:type="dxa"/>
            </w:tcMar>
            <w:vAlign w:val="center"/>
            <w:hideMark/>
          </w:tcPr>
          <w:p w:rsidR="00C94549" w:rsidRPr="00B8697C" w:rsidRDefault="00C94549" w:rsidP="00C94549">
            <w:pPr>
              <w:widowControl/>
              <w:autoSpaceDE/>
              <w:autoSpaceDN/>
              <w:adjustRightInd/>
              <w:jc w:val="center"/>
              <w:textAlignment w:val="center"/>
              <w:rPr>
                <w:rFonts w:ascii="Book Antiqua" w:hAnsi="Book Antiqua"/>
                <w:sz w:val="20"/>
                <w:szCs w:val="20"/>
                <w:lang w:val="es-CR" w:eastAsia="es-CR"/>
              </w:rPr>
            </w:pPr>
            <w:r w:rsidRPr="00B8697C">
              <w:rPr>
                <w:rFonts w:ascii="Book Antiqua" w:hAnsi="Book Antiqua" w:cs="Calibri"/>
                <w:color w:val="000000" w:themeColor="dark1"/>
                <w:kern w:val="24"/>
                <w:sz w:val="20"/>
                <w:szCs w:val="20"/>
                <w:lang w:val="es-419" w:eastAsia="es-CR"/>
              </w:rPr>
              <w:t>114</w:t>
            </w:r>
          </w:p>
        </w:tc>
        <w:tc>
          <w:tcPr>
            <w:tcW w:w="1463" w:type="dxa"/>
            <w:tcBorders>
              <w:top w:val="single" w:sz="8" w:space="0" w:color="FFFFFF"/>
              <w:left w:val="single" w:sz="8" w:space="0" w:color="FFFFFF"/>
              <w:bottom w:val="single" w:sz="8" w:space="0" w:color="FFFFFF"/>
              <w:right w:val="single" w:sz="8" w:space="0" w:color="FFFFFF"/>
            </w:tcBorders>
            <w:shd w:val="clear" w:color="auto" w:fill="DBDBDB"/>
            <w:tcMar>
              <w:top w:w="10" w:type="dxa"/>
              <w:left w:w="10" w:type="dxa"/>
              <w:bottom w:w="0" w:type="dxa"/>
              <w:right w:w="10" w:type="dxa"/>
            </w:tcMar>
            <w:vAlign w:val="center"/>
            <w:hideMark/>
          </w:tcPr>
          <w:p w:rsidR="00C94549" w:rsidRPr="00B8697C" w:rsidRDefault="00C94549" w:rsidP="00C94549">
            <w:pPr>
              <w:widowControl/>
              <w:autoSpaceDE/>
              <w:autoSpaceDN/>
              <w:adjustRightInd/>
              <w:jc w:val="center"/>
              <w:textAlignment w:val="center"/>
              <w:rPr>
                <w:rFonts w:ascii="Book Antiqua" w:hAnsi="Book Antiqua"/>
                <w:sz w:val="20"/>
                <w:szCs w:val="20"/>
                <w:lang w:val="es-CR" w:eastAsia="es-CR"/>
              </w:rPr>
            </w:pPr>
            <w:r w:rsidRPr="00B8697C">
              <w:rPr>
                <w:rFonts w:ascii="Book Antiqua" w:hAnsi="Book Antiqua" w:cs="Calibri"/>
                <w:color w:val="000000" w:themeColor="dark1"/>
                <w:kern w:val="24"/>
                <w:sz w:val="20"/>
                <w:szCs w:val="20"/>
                <w:lang w:val="es-419" w:eastAsia="es-CR"/>
              </w:rPr>
              <w:t>98</w:t>
            </w:r>
          </w:p>
        </w:tc>
        <w:tc>
          <w:tcPr>
            <w:tcW w:w="1502"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vAlign w:val="center"/>
          </w:tcPr>
          <w:p w:rsidR="00C94549" w:rsidRPr="00350BEC" w:rsidRDefault="00C94549" w:rsidP="00C94549">
            <w:pPr>
              <w:widowControl/>
              <w:autoSpaceDE/>
              <w:autoSpaceDN/>
              <w:adjustRightInd/>
              <w:jc w:val="center"/>
              <w:textAlignment w:val="center"/>
              <w:rPr>
                <w:rFonts w:ascii="Book Antiqua" w:hAnsi="Book Antiqua" w:cs="Calibri"/>
                <w:color w:val="000000" w:themeColor="dark1"/>
                <w:kern w:val="24"/>
                <w:sz w:val="20"/>
                <w:szCs w:val="20"/>
                <w:lang w:val="es-419" w:eastAsia="es-CR"/>
              </w:rPr>
            </w:pPr>
            <w:r w:rsidRPr="006615B0">
              <w:rPr>
                <w:rFonts w:ascii="Book Antiqua" w:hAnsi="Book Antiqua" w:cs="Calibri"/>
                <w:color w:val="000000" w:themeColor="dark1"/>
                <w:kern w:val="24"/>
                <w:sz w:val="20"/>
                <w:szCs w:val="20"/>
                <w:lang w:val="es-419" w:eastAsia="es-CR"/>
              </w:rPr>
              <w:t>18</w:t>
            </w:r>
          </w:p>
        </w:tc>
        <w:tc>
          <w:tcPr>
            <w:tcW w:w="1713"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Pr>
          <w:p w:rsidR="00C94549" w:rsidRPr="00057488" w:rsidRDefault="00C94549" w:rsidP="00C94549">
            <w:pPr>
              <w:widowControl/>
              <w:autoSpaceDE/>
              <w:autoSpaceDN/>
              <w:adjustRightInd/>
              <w:jc w:val="center"/>
              <w:textAlignment w:val="center"/>
              <w:rPr>
                <w:rFonts w:ascii="Book Antiqua" w:hAnsi="Book Antiqua" w:cs="Calibri"/>
                <w:color w:val="000000" w:themeColor="dark1"/>
                <w:kern w:val="24"/>
                <w:sz w:val="20"/>
                <w:szCs w:val="20"/>
                <w:lang w:val="es-419" w:eastAsia="es-CR"/>
              </w:rPr>
            </w:pPr>
            <w:r w:rsidRPr="00057488">
              <w:rPr>
                <w:rFonts w:ascii="Book Antiqua" w:hAnsi="Book Antiqua"/>
                <w:sz w:val="20"/>
                <w:szCs w:val="20"/>
              </w:rPr>
              <w:t>2</w:t>
            </w:r>
            <w:r w:rsidR="00F764FE">
              <w:rPr>
                <w:rFonts w:ascii="Book Antiqua" w:hAnsi="Book Antiqua"/>
                <w:sz w:val="20"/>
                <w:szCs w:val="20"/>
              </w:rPr>
              <w:t>6,9</w:t>
            </w:r>
            <w:r w:rsidRPr="00057488">
              <w:rPr>
                <w:rFonts w:ascii="Book Antiqua" w:hAnsi="Book Antiqua"/>
                <w:sz w:val="20"/>
                <w:szCs w:val="20"/>
              </w:rPr>
              <w:t>%</w:t>
            </w:r>
          </w:p>
        </w:tc>
      </w:tr>
      <w:tr w:rsidR="00C94549" w:rsidRPr="00D032CA" w:rsidTr="00057488">
        <w:trPr>
          <w:trHeight w:val="374"/>
          <w:jc w:val="center"/>
        </w:trPr>
        <w:tc>
          <w:tcPr>
            <w:tcW w:w="1666" w:type="dxa"/>
            <w:tcBorders>
              <w:top w:val="single" w:sz="8" w:space="0" w:color="FFFFFF"/>
              <w:left w:val="single" w:sz="8" w:space="0" w:color="FFFFFF"/>
              <w:bottom w:val="single" w:sz="8" w:space="0" w:color="FFFFFF"/>
              <w:right w:val="single" w:sz="8" w:space="0" w:color="FFFFFF"/>
            </w:tcBorders>
            <w:shd w:val="clear" w:color="auto" w:fill="DBDBDB"/>
            <w:tcMar>
              <w:top w:w="10" w:type="dxa"/>
              <w:left w:w="10" w:type="dxa"/>
              <w:bottom w:w="0" w:type="dxa"/>
              <w:right w:w="10" w:type="dxa"/>
            </w:tcMar>
            <w:vAlign w:val="center"/>
          </w:tcPr>
          <w:p w:rsidR="00C94549" w:rsidRPr="00D032CA" w:rsidRDefault="00C94549" w:rsidP="00C94549">
            <w:pPr>
              <w:widowControl/>
              <w:autoSpaceDE/>
              <w:autoSpaceDN/>
              <w:adjustRightInd/>
              <w:jc w:val="center"/>
              <w:textAlignment w:val="center"/>
              <w:rPr>
                <w:rFonts w:ascii="Book Antiqua" w:hAnsi="Book Antiqua" w:cs="Calibri"/>
                <w:color w:val="000000" w:themeColor="dark1"/>
                <w:kern w:val="24"/>
                <w:sz w:val="20"/>
                <w:szCs w:val="20"/>
                <w:lang w:val="es-419" w:eastAsia="es-CR"/>
              </w:rPr>
            </w:pPr>
            <w:r w:rsidRPr="00D032CA">
              <w:rPr>
                <w:rFonts w:ascii="Book Antiqua" w:hAnsi="Book Antiqua" w:cs="Calibri"/>
                <w:color w:val="000000" w:themeColor="dark1"/>
                <w:kern w:val="24"/>
                <w:sz w:val="20"/>
                <w:szCs w:val="20"/>
                <w:lang w:val="es-419" w:eastAsia="es-CR"/>
              </w:rPr>
              <w:t>May-20</w:t>
            </w:r>
          </w:p>
        </w:tc>
        <w:tc>
          <w:tcPr>
            <w:tcW w:w="1229" w:type="dxa"/>
            <w:tcBorders>
              <w:top w:val="single" w:sz="8" w:space="0" w:color="FFFFFF"/>
              <w:left w:val="single" w:sz="8" w:space="0" w:color="FFFFFF"/>
              <w:bottom w:val="single" w:sz="8" w:space="0" w:color="FFFFFF"/>
              <w:right w:val="single" w:sz="8" w:space="0" w:color="FFFFFF"/>
            </w:tcBorders>
            <w:shd w:val="clear" w:color="auto" w:fill="DBDBDB"/>
            <w:tcMar>
              <w:top w:w="10" w:type="dxa"/>
              <w:left w:w="10" w:type="dxa"/>
              <w:bottom w:w="0" w:type="dxa"/>
              <w:right w:w="10" w:type="dxa"/>
            </w:tcMar>
            <w:vAlign w:val="center"/>
          </w:tcPr>
          <w:p w:rsidR="00C94549" w:rsidRPr="00D032CA" w:rsidRDefault="00C94549" w:rsidP="00C94549">
            <w:pPr>
              <w:widowControl/>
              <w:autoSpaceDE/>
              <w:autoSpaceDN/>
              <w:adjustRightInd/>
              <w:jc w:val="center"/>
              <w:textAlignment w:val="center"/>
              <w:rPr>
                <w:rFonts w:ascii="Book Antiqua" w:hAnsi="Book Antiqua" w:cs="Calibri"/>
                <w:color w:val="000000" w:themeColor="dark1"/>
                <w:kern w:val="24"/>
                <w:sz w:val="20"/>
                <w:szCs w:val="20"/>
                <w:lang w:val="es-419" w:eastAsia="es-CR"/>
              </w:rPr>
            </w:pPr>
            <w:r w:rsidRPr="00D032CA">
              <w:rPr>
                <w:rFonts w:ascii="Book Antiqua" w:hAnsi="Book Antiqua" w:cs="Calibri"/>
                <w:color w:val="000000" w:themeColor="dark1"/>
                <w:kern w:val="24"/>
                <w:sz w:val="20"/>
                <w:szCs w:val="20"/>
                <w:lang w:val="es-419" w:eastAsia="es-CR"/>
              </w:rPr>
              <w:t>104</w:t>
            </w:r>
          </w:p>
        </w:tc>
        <w:tc>
          <w:tcPr>
            <w:tcW w:w="1479" w:type="dxa"/>
            <w:tcBorders>
              <w:top w:val="single" w:sz="8" w:space="0" w:color="FFFFFF"/>
              <w:left w:val="single" w:sz="8" w:space="0" w:color="FFFFFF"/>
              <w:bottom w:val="single" w:sz="8" w:space="0" w:color="FFFFFF"/>
              <w:right w:val="single" w:sz="8" w:space="0" w:color="FFFFFF"/>
            </w:tcBorders>
            <w:shd w:val="clear" w:color="auto" w:fill="DBDBDB"/>
            <w:tcMar>
              <w:top w:w="10" w:type="dxa"/>
              <w:left w:w="10" w:type="dxa"/>
              <w:bottom w:w="0" w:type="dxa"/>
              <w:right w:w="10" w:type="dxa"/>
            </w:tcMar>
            <w:vAlign w:val="center"/>
          </w:tcPr>
          <w:p w:rsidR="00C94549" w:rsidRPr="00D032CA" w:rsidRDefault="00C94549" w:rsidP="00C94549">
            <w:pPr>
              <w:widowControl/>
              <w:autoSpaceDE/>
              <w:autoSpaceDN/>
              <w:adjustRightInd/>
              <w:jc w:val="center"/>
              <w:textAlignment w:val="center"/>
              <w:rPr>
                <w:rFonts w:ascii="Book Antiqua" w:hAnsi="Book Antiqua" w:cs="Calibri"/>
                <w:color w:val="000000" w:themeColor="dark1"/>
                <w:kern w:val="24"/>
                <w:sz w:val="20"/>
                <w:szCs w:val="20"/>
                <w:lang w:val="es-419" w:eastAsia="es-CR"/>
              </w:rPr>
            </w:pPr>
            <w:r w:rsidRPr="002B1939">
              <w:rPr>
                <w:rFonts w:ascii="Book Antiqua" w:hAnsi="Book Antiqua" w:cs="Calibri"/>
                <w:color w:val="000000" w:themeColor="dark1"/>
                <w:kern w:val="24"/>
                <w:sz w:val="20"/>
                <w:szCs w:val="20"/>
                <w:lang w:val="es-419" w:eastAsia="es-CR"/>
              </w:rPr>
              <w:t>87</w:t>
            </w:r>
          </w:p>
        </w:tc>
        <w:tc>
          <w:tcPr>
            <w:tcW w:w="1463" w:type="dxa"/>
            <w:tcBorders>
              <w:top w:val="single" w:sz="8" w:space="0" w:color="FFFFFF"/>
              <w:left w:val="single" w:sz="8" w:space="0" w:color="FFFFFF"/>
              <w:bottom w:val="single" w:sz="8" w:space="0" w:color="FFFFFF"/>
              <w:right w:val="single" w:sz="8" w:space="0" w:color="FFFFFF"/>
            </w:tcBorders>
            <w:shd w:val="clear" w:color="auto" w:fill="DBDBDB"/>
            <w:tcMar>
              <w:top w:w="10" w:type="dxa"/>
              <w:left w:w="10" w:type="dxa"/>
              <w:bottom w:w="0" w:type="dxa"/>
              <w:right w:w="10" w:type="dxa"/>
            </w:tcMar>
            <w:vAlign w:val="center"/>
          </w:tcPr>
          <w:p w:rsidR="00C94549" w:rsidRPr="00D032CA" w:rsidRDefault="00C94549" w:rsidP="00C94549">
            <w:pPr>
              <w:widowControl/>
              <w:autoSpaceDE/>
              <w:autoSpaceDN/>
              <w:adjustRightInd/>
              <w:jc w:val="center"/>
              <w:textAlignment w:val="center"/>
              <w:rPr>
                <w:rFonts w:ascii="Book Antiqua" w:hAnsi="Book Antiqua" w:cs="Calibri"/>
                <w:color w:val="000000" w:themeColor="dark1"/>
                <w:kern w:val="24"/>
                <w:sz w:val="20"/>
                <w:szCs w:val="20"/>
                <w:lang w:val="es-419" w:eastAsia="es-CR"/>
              </w:rPr>
            </w:pPr>
            <w:r w:rsidRPr="00D032CA">
              <w:rPr>
                <w:rFonts w:ascii="Book Antiqua" w:hAnsi="Book Antiqua" w:cs="Calibri"/>
                <w:color w:val="000000" w:themeColor="dark1"/>
                <w:kern w:val="24"/>
                <w:sz w:val="20"/>
                <w:szCs w:val="20"/>
                <w:lang w:val="es-419" w:eastAsia="es-CR"/>
              </w:rPr>
              <w:t>115</w:t>
            </w:r>
          </w:p>
        </w:tc>
        <w:tc>
          <w:tcPr>
            <w:tcW w:w="1502"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vAlign w:val="center"/>
          </w:tcPr>
          <w:p w:rsidR="00C94549" w:rsidRPr="00350BEC" w:rsidRDefault="00C94549" w:rsidP="00C94549">
            <w:pPr>
              <w:widowControl/>
              <w:autoSpaceDE/>
              <w:autoSpaceDN/>
              <w:adjustRightInd/>
              <w:jc w:val="center"/>
              <w:textAlignment w:val="center"/>
              <w:rPr>
                <w:rFonts w:ascii="Book Antiqua" w:hAnsi="Book Antiqua" w:cs="Calibri"/>
                <w:color w:val="000000" w:themeColor="dark1"/>
                <w:kern w:val="24"/>
                <w:sz w:val="20"/>
                <w:szCs w:val="20"/>
                <w:lang w:val="es-419" w:eastAsia="es-CR"/>
              </w:rPr>
            </w:pPr>
            <w:r w:rsidRPr="006615B0">
              <w:rPr>
                <w:rFonts w:ascii="Book Antiqua" w:hAnsi="Book Antiqua" w:cs="Calibri"/>
                <w:color w:val="000000" w:themeColor="dark1"/>
                <w:kern w:val="24"/>
                <w:sz w:val="20"/>
                <w:szCs w:val="20"/>
                <w:lang w:val="es-419" w:eastAsia="es-CR"/>
              </w:rPr>
              <w:t>37</w:t>
            </w:r>
          </w:p>
        </w:tc>
        <w:tc>
          <w:tcPr>
            <w:tcW w:w="1713"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Pr>
          <w:p w:rsidR="00C94549" w:rsidRPr="00057488" w:rsidRDefault="00C94549" w:rsidP="00C94549">
            <w:pPr>
              <w:widowControl/>
              <w:autoSpaceDE/>
              <w:autoSpaceDN/>
              <w:adjustRightInd/>
              <w:jc w:val="center"/>
              <w:textAlignment w:val="center"/>
              <w:rPr>
                <w:rFonts w:ascii="Book Antiqua" w:hAnsi="Book Antiqua" w:cs="Calibri"/>
                <w:color w:val="000000" w:themeColor="dark1"/>
                <w:kern w:val="24"/>
                <w:sz w:val="20"/>
                <w:szCs w:val="20"/>
                <w:lang w:val="es-419" w:eastAsia="es-CR"/>
              </w:rPr>
            </w:pPr>
            <w:r w:rsidRPr="00057488">
              <w:rPr>
                <w:rFonts w:ascii="Book Antiqua" w:hAnsi="Book Antiqua"/>
                <w:sz w:val="20"/>
                <w:szCs w:val="20"/>
              </w:rPr>
              <w:t>3</w:t>
            </w:r>
            <w:r w:rsidR="00F764FE">
              <w:rPr>
                <w:rFonts w:ascii="Book Antiqua" w:hAnsi="Book Antiqua"/>
                <w:sz w:val="20"/>
                <w:szCs w:val="20"/>
              </w:rPr>
              <w:t>5,6</w:t>
            </w:r>
            <w:r w:rsidRPr="00057488">
              <w:rPr>
                <w:rFonts w:ascii="Book Antiqua" w:hAnsi="Book Antiqua"/>
                <w:sz w:val="20"/>
                <w:szCs w:val="20"/>
              </w:rPr>
              <w:t>%</w:t>
            </w:r>
          </w:p>
        </w:tc>
      </w:tr>
      <w:tr w:rsidR="00C94549" w:rsidRPr="00D032CA" w:rsidTr="00057488">
        <w:trPr>
          <w:trHeight w:val="374"/>
          <w:jc w:val="center"/>
        </w:trPr>
        <w:tc>
          <w:tcPr>
            <w:tcW w:w="1666" w:type="dxa"/>
            <w:tcBorders>
              <w:top w:val="single" w:sz="8" w:space="0" w:color="FFFFFF"/>
              <w:left w:val="single" w:sz="8" w:space="0" w:color="FFFFFF"/>
              <w:bottom w:val="single" w:sz="8" w:space="0" w:color="FFFFFF"/>
              <w:right w:val="single" w:sz="8" w:space="0" w:color="FFFFFF"/>
            </w:tcBorders>
            <w:shd w:val="clear" w:color="auto" w:fill="DBDBDB"/>
            <w:tcMar>
              <w:top w:w="10" w:type="dxa"/>
              <w:left w:w="10" w:type="dxa"/>
              <w:bottom w:w="0" w:type="dxa"/>
              <w:right w:w="10" w:type="dxa"/>
            </w:tcMar>
            <w:vAlign w:val="center"/>
          </w:tcPr>
          <w:p w:rsidR="00C94549" w:rsidRPr="00D032CA" w:rsidRDefault="00C94549" w:rsidP="00C94549">
            <w:pPr>
              <w:widowControl/>
              <w:autoSpaceDE/>
              <w:autoSpaceDN/>
              <w:adjustRightInd/>
              <w:jc w:val="center"/>
              <w:textAlignment w:val="center"/>
              <w:rPr>
                <w:rFonts w:ascii="Book Antiqua" w:hAnsi="Book Antiqua" w:cs="Calibri"/>
                <w:b/>
                <w:bCs/>
                <w:color w:val="000000" w:themeColor="dark1"/>
                <w:kern w:val="24"/>
                <w:sz w:val="20"/>
                <w:szCs w:val="20"/>
                <w:lang w:val="es-419" w:eastAsia="es-CR"/>
              </w:rPr>
            </w:pPr>
            <w:r w:rsidRPr="00D032CA">
              <w:rPr>
                <w:rFonts w:ascii="Book Antiqua" w:hAnsi="Book Antiqua" w:cs="Calibri"/>
                <w:b/>
                <w:bCs/>
                <w:color w:val="000000" w:themeColor="dark1"/>
                <w:kern w:val="24"/>
                <w:sz w:val="20"/>
                <w:szCs w:val="20"/>
                <w:lang w:val="es-419" w:eastAsia="es-CR"/>
              </w:rPr>
              <w:t>Promedio</w:t>
            </w:r>
          </w:p>
        </w:tc>
        <w:tc>
          <w:tcPr>
            <w:tcW w:w="1229" w:type="dxa"/>
            <w:tcBorders>
              <w:top w:val="single" w:sz="8" w:space="0" w:color="FFFFFF"/>
              <w:left w:val="single" w:sz="8" w:space="0" w:color="FFFFFF"/>
              <w:bottom w:val="single" w:sz="8" w:space="0" w:color="FFFFFF"/>
              <w:right w:val="single" w:sz="8" w:space="0" w:color="FFFFFF"/>
            </w:tcBorders>
            <w:shd w:val="clear" w:color="auto" w:fill="DBDBDB"/>
            <w:tcMar>
              <w:top w:w="10" w:type="dxa"/>
              <w:left w:w="10" w:type="dxa"/>
              <w:bottom w:w="0" w:type="dxa"/>
              <w:right w:w="10" w:type="dxa"/>
            </w:tcMar>
            <w:vAlign w:val="center"/>
          </w:tcPr>
          <w:p w:rsidR="00C94549" w:rsidRPr="00D032CA" w:rsidRDefault="00C94549" w:rsidP="00C94549">
            <w:pPr>
              <w:widowControl/>
              <w:autoSpaceDE/>
              <w:autoSpaceDN/>
              <w:adjustRightInd/>
              <w:jc w:val="center"/>
              <w:textAlignment w:val="center"/>
              <w:rPr>
                <w:rFonts w:ascii="Book Antiqua" w:hAnsi="Book Antiqua" w:cs="Calibri"/>
                <w:b/>
                <w:bCs/>
                <w:color w:val="000000" w:themeColor="dark1"/>
                <w:kern w:val="24"/>
                <w:sz w:val="20"/>
                <w:szCs w:val="20"/>
                <w:lang w:val="es-419" w:eastAsia="es-CR"/>
              </w:rPr>
            </w:pPr>
            <w:r w:rsidRPr="00D032CA">
              <w:rPr>
                <w:rFonts w:ascii="Book Antiqua" w:hAnsi="Book Antiqua" w:cs="Calibri"/>
                <w:b/>
                <w:bCs/>
                <w:color w:val="000000" w:themeColor="dark1"/>
                <w:kern w:val="24"/>
                <w:sz w:val="20"/>
                <w:szCs w:val="20"/>
                <w:lang w:val="es-419" w:eastAsia="es-CR"/>
              </w:rPr>
              <w:t>68</w:t>
            </w:r>
          </w:p>
        </w:tc>
        <w:tc>
          <w:tcPr>
            <w:tcW w:w="1479" w:type="dxa"/>
            <w:tcBorders>
              <w:top w:val="single" w:sz="8" w:space="0" w:color="FFFFFF"/>
              <w:left w:val="single" w:sz="8" w:space="0" w:color="FFFFFF"/>
              <w:bottom w:val="single" w:sz="8" w:space="0" w:color="FFFFFF"/>
              <w:right w:val="single" w:sz="8" w:space="0" w:color="FFFFFF"/>
            </w:tcBorders>
            <w:shd w:val="clear" w:color="auto" w:fill="DBDBDB"/>
            <w:tcMar>
              <w:top w:w="10" w:type="dxa"/>
              <w:left w:w="10" w:type="dxa"/>
              <w:bottom w:w="0" w:type="dxa"/>
              <w:right w:w="10" w:type="dxa"/>
            </w:tcMar>
            <w:vAlign w:val="center"/>
          </w:tcPr>
          <w:p w:rsidR="00C94549" w:rsidRPr="00D032CA" w:rsidRDefault="00F764FE" w:rsidP="00C94549">
            <w:pPr>
              <w:widowControl/>
              <w:autoSpaceDE/>
              <w:autoSpaceDN/>
              <w:adjustRightInd/>
              <w:jc w:val="center"/>
              <w:textAlignment w:val="center"/>
              <w:rPr>
                <w:rFonts w:ascii="Book Antiqua" w:hAnsi="Book Antiqua" w:cs="Calibri"/>
                <w:b/>
                <w:bCs/>
                <w:color w:val="000000" w:themeColor="dark1"/>
                <w:kern w:val="24"/>
                <w:sz w:val="20"/>
                <w:szCs w:val="20"/>
                <w:lang w:val="es-419" w:eastAsia="es-CR"/>
              </w:rPr>
            </w:pPr>
            <w:r w:rsidRPr="002B1939">
              <w:rPr>
                <w:rFonts w:ascii="Book Antiqua" w:hAnsi="Book Antiqua" w:cs="Calibri"/>
                <w:b/>
                <w:bCs/>
                <w:color w:val="000000" w:themeColor="dark1"/>
                <w:kern w:val="24"/>
                <w:sz w:val="20"/>
                <w:szCs w:val="20"/>
                <w:lang w:val="es-419" w:eastAsia="es-CR"/>
              </w:rPr>
              <w:t>60</w:t>
            </w:r>
          </w:p>
        </w:tc>
        <w:tc>
          <w:tcPr>
            <w:tcW w:w="1463" w:type="dxa"/>
            <w:tcBorders>
              <w:top w:val="single" w:sz="8" w:space="0" w:color="FFFFFF"/>
              <w:left w:val="single" w:sz="8" w:space="0" w:color="FFFFFF"/>
              <w:bottom w:val="single" w:sz="8" w:space="0" w:color="FFFFFF"/>
              <w:right w:val="single" w:sz="8" w:space="0" w:color="FFFFFF"/>
            </w:tcBorders>
            <w:shd w:val="clear" w:color="auto" w:fill="DBDBDB"/>
            <w:tcMar>
              <w:top w:w="10" w:type="dxa"/>
              <w:left w:w="10" w:type="dxa"/>
              <w:bottom w:w="0" w:type="dxa"/>
              <w:right w:w="10" w:type="dxa"/>
            </w:tcMar>
            <w:vAlign w:val="center"/>
          </w:tcPr>
          <w:p w:rsidR="00C94549" w:rsidRPr="00D032CA" w:rsidRDefault="00C94549" w:rsidP="00C94549">
            <w:pPr>
              <w:widowControl/>
              <w:autoSpaceDE/>
              <w:autoSpaceDN/>
              <w:adjustRightInd/>
              <w:jc w:val="center"/>
              <w:textAlignment w:val="center"/>
              <w:rPr>
                <w:rFonts w:ascii="Book Antiqua" w:hAnsi="Book Antiqua" w:cs="Calibri"/>
                <w:b/>
                <w:bCs/>
                <w:color w:val="000000" w:themeColor="dark1"/>
                <w:kern w:val="24"/>
                <w:sz w:val="20"/>
                <w:szCs w:val="20"/>
                <w:lang w:val="es-419" w:eastAsia="es-CR"/>
              </w:rPr>
            </w:pPr>
            <w:r>
              <w:rPr>
                <w:rFonts w:ascii="Book Antiqua" w:hAnsi="Book Antiqua" w:cs="Calibri"/>
                <w:b/>
                <w:bCs/>
                <w:color w:val="000000" w:themeColor="dark1"/>
                <w:kern w:val="24"/>
                <w:sz w:val="20"/>
                <w:szCs w:val="20"/>
                <w:lang w:val="es-419" w:eastAsia="es-CR"/>
              </w:rPr>
              <w:t>95</w:t>
            </w:r>
          </w:p>
        </w:tc>
        <w:tc>
          <w:tcPr>
            <w:tcW w:w="1502"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vAlign w:val="center"/>
          </w:tcPr>
          <w:p w:rsidR="00C94549" w:rsidRPr="00350BEC" w:rsidRDefault="00C94549" w:rsidP="00C94549">
            <w:pPr>
              <w:widowControl/>
              <w:autoSpaceDE/>
              <w:autoSpaceDN/>
              <w:adjustRightInd/>
              <w:jc w:val="center"/>
              <w:textAlignment w:val="center"/>
              <w:rPr>
                <w:rFonts w:ascii="Book Antiqua" w:hAnsi="Book Antiqua" w:cs="Calibri"/>
                <w:b/>
                <w:bCs/>
                <w:color w:val="000000" w:themeColor="dark1"/>
                <w:kern w:val="24"/>
                <w:sz w:val="20"/>
                <w:szCs w:val="20"/>
                <w:lang w:val="es-419" w:eastAsia="es-CR"/>
              </w:rPr>
            </w:pPr>
            <w:r w:rsidRPr="006615B0">
              <w:rPr>
                <w:rFonts w:ascii="Book Antiqua" w:hAnsi="Book Antiqua" w:cs="Calibri"/>
                <w:b/>
                <w:bCs/>
                <w:color w:val="000000" w:themeColor="dark1"/>
                <w:kern w:val="24"/>
                <w:sz w:val="20"/>
                <w:szCs w:val="20"/>
                <w:lang w:val="es-419" w:eastAsia="es-CR"/>
              </w:rPr>
              <w:t>2</w:t>
            </w:r>
            <w:r w:rsidR="00F764FE">
              <w:rPr>
                <w:rFonts w:ascii="Book Antiqua" w:hAnsi="Book Antiqua" w:cs="Calibri"/>
                <w:b/>
                <w:bCs/>
                <w:color w:val="000000" w:themeColor="dark1"/>
                <w:kern w:val="24"/>
                <w:sz w:val="20"/>
                <w:szCs w:val="20"/>
                <w:lang w:val="es-419" w:eastAsia="es-CR"/>
              </w:rPr>
              <w:t>3</w:t>
            </w:r>
          </w:p>
        </w:tc>
        <w:tc>
          <w:tcPr>
            <w:tcW w:w="1713"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Pr>
          <w:p w:rsidR="00C94549" w:rsidRPr="00057488" w:rsidRDefault="00A46A64" w:rsidP="00C94549">
            <w:pPr>
              <w:widowControl/>
              <w:autoSpaceDE/>
              <w:autoSpaceDN/>
              <w:adjustRightInd/>
              <w:jc w:val="center"/>
              <w:textAlignment w:val="center"/>
              <w:rPr>
                <w:rFonts w:ascii="Book Antiqua" w:hAnsi="Book Antiqua" w:cs="Calibri"/>
                <w:b/>
                <w:bCs/>
                <w:color w:val="000000" w:themeColor="dark1"/>
                <w:kern w:val="24"/>
                <w:sz w:val="20"/>
                <w:szCs w:val="20"/>
                <w:lang w:val="es-419" w:eastAsia="es-CR"/>
              </w:rPr>
            </w:pPr>
            <w:r>
              <w:rPr>
                <w:rFonts w:ascii="Book Antiqua" w:hAnsi="Book Antiqua"/>
                <w:sz w:val="20"/>
                <w:szCs w:val="20"/>
              </w:rPr>
              <w:t>3</w:t>
            </w:r>
            <w:r w:rsidR="00F764FE">
              <w:rPr>
                <w:rFonts w:ascii="Book Antiqua" w:hAnsi="Book Antiqua"/>
                <w:sz w:val="20"/>
                <w:szCs w:val="20"/>
              </w:rPr>
              <w:t>2,4</w:t>
            </w:r>
            <w:r w:rsidR="00C94549" w:rsidRPr="00057488">
              <w:rPr>
                <w:rFonts w:ascii="Book Antiqua" w:hAnsi="Book Antiqua"/>
                <w:sz w:val="20"/>
                <w:szCs w:val="20"/>
              </w:rPr>
              <w:t>%</w:t>
            </w:r>
          </w:p>
        </w:tc>
      </w:tr>
    </w:tbl>
    <w:p w:rsidR="000D286E" w:rsidRDefault="000D286E" w:rsidP="000D286E">
      <w:pPr>
        <w:ind w:left="851" w:right="850"/>
        <w:jc w:val="both"/>
        <w:rPr>
          <w:rFonts w:ascii="Book Antiqua" w:hAnsi="Book Antiqua" w:cs="Book Antiqua"/>
          <w:b/>
          <w:bCs/>
          <w:sz w:val="16"/>
          <w:szCs w:val="16"/>
          <w:lang w:val="es-CR"/>
        </w:rPr>
      </w:pPr>
      <w:r>
        <w:rPr>
          <w:rFonts w:ascii="Book Antiqua" w:hAnsi="Book Antiqua" w:cs="Book Antiqua"/>
          <w:b/>
          <w:bCs/>
          <w:sz w:val="16"/>
          <w:szCs w:val="16"/>
          <w:lang w:val="es-CR"/>
        </w:rPr>
        <w:t>Nota(1):</w:t>
      </w:r>
      <w:r w:rsidRPr="000D286E">
        <w:rPr>
          <w:rFonts w:ascii="Book Antiqua" w:hAnsi="Book Antiqua" w:cs="Book Antiqua"/>
          <w:sz w:val="16"/>
          <w:szCs w:val="16"/>
          <w:lang w:val="es-CR"/>
        </w:rPr>
        <w:t xml:space="preserve"> </w:t>
      </w:r>
      <w:r>
        <w:rPr>
          <w:rFonts w:ascii="Book Antiqua" w:hAnsi="Book Antiqua" w:cs="Book Antiqua"/>
          <w:sz w:val="16"/>
          <w:szCs w:val="16"/>
          <w:lang w:val="es-CR"/>
        </w:rPr>
        <w:t xml:space="preserve"> </w:t>
      </w:r>
      <w:r w:rsidRPr="00240AE6">
        <w:rPr>
          <w:rFonts w:ascii="Book Antiqua" w:hAnsi="Book Antiqua" w:cs="Book Antiqua"/>
          <w:sz w:val="16"/>
          <w:szCs w:val="16"/>
          <w:lang w:val="es-CR"/>
        </w:rPr>
        <w:t xml:space="preserve"> En la variable entrada, </w:t>
      </w:r>
      <w:r>
        <w:rPr>
          <w:rFonts w:ascii="Book Antiqua" w:hAnsi="Book Antiqua" w:cs="Book Antiqua"/>
          <w:sz w:val="16"/>
          <w:szCs w:val="16"/>
          <w:lang w:val="es-CR"/>
        </w:rPr>
        <w:t>es la suma de</w:t>
      </w:r>
      <w:r w:rsidRPr="00240AE6">
        <w:rPr>
          <w:rFonts w:ascii="Book Antiqua" w:hAnsi="Book Antiqua" w:cs="Book Antiqua"/>
          <w:sz w:val="16"/>
          <w:szCs w:val="16"/>
          <w:lang w:val="es-CR"/>
        </w:rPr>
        <w:t xml:space="preserve"> los casos entrados y los casos reentrados.</w:t>
      </w:r>
    </w:p>
    <w:p w:rsidR="001146FE" w:rsidRPr="00240AE6" w:rsidRDefault="001146FE" w:rsidP="000D286E">
      <w:pPr>
        <w:ind w:left="851" w:right="850"/>
        <w:jc w:val="both"/>
        <w:rPr>
          <w:rFonts w:ascii="Book Antiqua" w:hAnsi="Book Antiqua" w:cs="Book Antiqua"/>
          <w:sz w:val="16"/>
          <w:szCs w:val="16"/>
          <w:lang w:val="es-CR"/>
        </w:rPr>
      </w:pPr>
      <w:r w:rsidRPr="00240AE6">
        <w:rPr>
          <w:rFonts w:ascii="Book Antiqua" w:hAnsi="Book Antiqua" w:cs="Book Antiqua"/>
          <w:b/>
          <w:bCs/>
          <w:sz w:val="16"/>
          <w:szCs w:val="16"/>
          <w:lang w:val="es-CR"/>
        </w:rPr>
        <w:t>Fuente:</w:t>
      </w:r>
      <w:r w:rsidRPr="00240AE6">
        <w:rPr>
          <w:rFonts w:ascii="Book Antiqua" w:hAnsi="Book Antiqua" w:cs="Book Antiqua"/>
          <w:sz w:val="16"/>
          <w:szCs w:val="16"/>
          <w:lang w:val="es-CR"/>
        </w:rPr>
        <w:t xml:space="preserve"> Elaboración propia, con base a los informes estadísticos del Tribunal de Apelación del Segundo Circuito Judicial de San José.</w:t>
      </w:r>
    </w:p>
    <w:p w:rsidR="00F764FE" w:rsidRDefault="00F764FE" w:rsidP="00B8697C">
      <w:pPr>
        <w:spacing w:after="200"/>
        <w:jc w:val="both"/>
        <w:rPr>
          <w:rFonts w:ascii="Book Antiqua" w:hAnsi="Book Antiqua" w:cs="Book Antiqua"/>
          <w:lang w:val="es-CR"/>
        </w:rPr>
      </w:pPr>
    </w:p>
    <w:p w:rsidR="00240AE6" w:rsidRDefault="00240AE6" w:rsidP="00B8697C">
      <w:pPr>
        <w:spacing w:after="200"/>
        <w:jc w:val="both"/>
        <w:rPr>
          <w:rFonts w:ascii="Book Antiqua" w:hAnsi="Book Antiqua" w:cs="Book Antiqua"/>
          <w:lang w:val="es-CR"/>
        </w:rPr>
      </w:pPr>
      <w:r>
        <w:rPr>
          <w:rFonts w:ascii="Book Antiqua" w:hAnsi="Book Antiqua" w:cs="Book Antiqua"/>
          <w:lang w:val="es-CR"/>
        </w:rPr>
        <w:t xml:space="preserve">Del cuadro anterior, se puede </w:t>
      </w:r>
      <w:r w:rsidR="007070A5">
        <w:rPr>
          <w:rFonts w:ascii="Book Antiqua" w:hAnsi="Book Antiqua" w:cs="Book Antiqua"/>
          <w:lang w:val="es-CR"/>
        </w:rPr>
        <w:t>concluir</w:t>
      </w:r>
      <w:r>
        <w:rPr>
          <w:rFonts w:ascii="Book Antiqua" w:hAnsi="Book Antiqua" w:cs="Book Antiqua"/>
          <w:lang w:val="es-CR"/>
        </w:rPr>
        <w:t xml:space="preserve"> lo siguiente:</w:t>
      </w:r>
    </w:p>
    <w:p w:rsidR="007070A5" w:rsidRDefault="00975F6A" w:rsidP="00AF3C59">
      <w:pPr>
        <w:pStyle w:val="Prrafodelista"/>
        <w:numPr>
          <w:ilvl w:val="0"/>
          <w:numId w:val="36"/>
        </w:numPr>
        <w:spacing w:after="200"/>
        <w:jc w:val="both"/>
        <w:rPr>
          <w:rFonts w:ascii="Book Antiqua" w:hAnsi="Book Antiqua" w:cs="Book Antiqua"/>
          <w:lang w:val="es-CR"/>
        </w:rPr>
      </w:pPr>
      <w:r w:rsidRPr="00AF3C59">
        <w:rPr>
          <w:rFonts w:ascii="Book Antiqua" w:hAnsi="Book Antiqua" w:cs="Book Antiqua"/>
          <w:lang w:val="es-CR"/>
        </w:rPr>
        <w:t xml:space="preserve">La tendencia de la entrada en el Tribunal de Apelación de Trabajo del Segundo Circuito Judicial de San José es muy irregular en donde los meses de enero </w:t>
      </w:r>
      <w:r w:rsidR="00BD4B55" w:rsidRPr="00AF3C59">
        <w:rPr>
          <w:rFonts w:ascii="Book Antiqua" w:hAnsi="Book Antiqua" w:cs="Book Antiqua"/>
          <w:lang w:val="es-CR"/>
        </w:rPr>
        <w:t>20</w:t>
      </w:r>
      <w:r w:rsidRPr="00AF3C59">
        <w:rPr>
          <w:rFonts w:ascii="Book Antiqua" w:hAnsi="Book Antiqua" w:cs="Book Antiqua"/>
          <w:lang w:val="es-CR"/>
        </w:rPr>
        <w:t xml:space="preserve">20 (101 asuntos) y mayo </w:t>
      </w:r>
      <w:r w:rsidR="00BD4B55" w:rsidRPr="00AF3C59">
        <w:rPr>
          <w:rFonts w:ascii="Book Antiqua" w:hAnsi="Book Antiqua" w:cs="Book Antiqua"/>
          <w:lang w:val="es-CR"/>
        </w:rPr>
        <w:t>20</w:t>
      </w:r>
      <w:r w:rsidRPr="00AF3C59">
        <w:rPr>
          <w:rFonts w:ascii="Book Antiqua" w:hAnsi="Book Antiqua" w:cs="Book Antiqua"/>
          <w:lang w:val="es-CR"/>
        </w:rPr>
        <w:t xml:space="preserve">20 (104 asuntos) fueron los periodos que presentaron la mayor cantidad de asuntos ingresados en el Tribunal, por otro </w:t>
      </w:r>
      <w:r w:rsidR="007070A5" w:rsidRPr="00AF3C59">
        <w:rPr>
          <w:rFonts w:ascii="Book Antiqua" w:hAnsi="Book Antiqua" w:cs="Book Antiqua"/>
          <w:lang w:val="es-CR"/>
        </w:rPr>
        <w:t>lado,</w:t>
      </w:r>
      <w:r w:rsidRPr="00AF3C59">
        <w:rPr>
          <w:rFonts w:ascii="Book Antiqua" w:hAnsi="Book Antiqua" w:cs="Book Antiqua"/>
          <w:lang w:val="es-CR"/>
        </w:rPr>
        <w:t xml:space="preserve"> noviembre </w:t>
      </w:r>
      <w:r w:rsidR="005F5589" w:rsidRPr="00AF3C59">
        <w:rPr>
          <w:rFonts w:ascii="Book Antiqua" w:hAnsi="Book Antiqua" w:cs="Book Antiqua"/>
          <w:lang w:val="es-CR"/>
        </w:rPr>
        <w:t>20</w:t>
      </w:r>
      <w:r w:rsidR="00852433">
        <w:rPr>
          <w:rFonts w:ascii="Book Antiqua" w:hAnsi="Book Antiqua" w:cs="Book Antiqua"/>
          <w:lang w:val="es-CR"/>
        </w:rPr>
        <w:t>1</w:t>
      </w:r>
      <w:r w:rsidRPr="00AF3C59">
        <w:rPr>
          <w:rFonts w:ascii="Book Antiqua" w:hAnsi="Book Antiqua" w:cs="Book Antiqua"/>
          <w:lang w:val="es-CR"/>
        </w:rPr>
        <w:t xml:space="preserve">9 (30 asuntos) y diciembre </w:t>
      </w:r>
      <w:r w:rsidR="005F5589" w:rsidRPr="00AF3C59">
        <w:rPr>
          <w:rFonts w:ascii="Book Antiqua" w:hAnsi="Book Antiqua" w:cs="Book Antiqua"/>
          <w:lang w:val="es-CR"/>
        </w:rPr>
        <w:t>201</w:t>
      </w:r>
      <w:r w:rsidRPr="00AF3C59">
        <w:rPr>
          <w:rFonts w:ascii="Book Antiqua" w:hAnsi="Book Antiqua" w:cs="Book Antiqua"/>
          <w:lang w:val="es-CR"/>
        </w:rPr>
        <w:t xml:space="preserve">9 (42 asuntos) fueron los dos meses que presentaron la menor cantidad de asuntos nuevos durante el periodo analizado. </w:t>
      </w:r>
      <w:r w:rsidR="00AF3C59">
        <w:rPr>
          <w:rFonts w:ascii="Book Antiqua" w:hAnsi="Book Antiqua" w:cs="Book Antiqua"/>
          <w:lang w:val="es-CR"/>
        </w:rPr>
        <w:t>E</w:t>
      </w:r>
      <w:r w:rsidR="007070A5" w:rsidRPr="00AF3C59">
        <w:rPr>
          <w:rFonts w:ascii="Book Antiqua" w:hAnsi="Book Antiqua" w:cs="Book Antiqua"/>
          <w:lang w:val="es-CR"/>
        </w:rPr>
        <w:t>n promedio</w:t>
      </w:r>
      <w:r w:rsidR="00AF3C59">
        <w:rPr>
          <w:rFonts w:ascii="Book Antiqua" w:hAnsi="Book Antiqua" w:cs="Book Antiqua"/>
          <w:lang w:val="es-CR"/>
        </w:rPr>
        <w:t xml:space="preserve"> se registraron</w:t>
      </w:r>
      <w:r w:rsidR="007070A5" w:rsidRPr="00AF3C59">
        <w:rPr>
          <w:rFonts w:ascii="Book Antiqua" w:hAnsi="Book Antiqua" w:cs="Book Antiqua"/>
          <w:lang w:val="es-CR"/>
        </w:rPr>
        <w:t xml:space="preserve"> 6</w:t>
      </w:r>
      <w:r w:rsidR="002B1939">
        <w:rPr>
          <w:rFonts w:ascii="Book Antiqua" w:hAnsi="Book Antiqua" w:cs="Book Antiqua"/>
          <w:lang w:val="es-CR"/>
        </w:rPr>
        <w:t>0</w:t>
      </w:r>
      <w:r w:rsidR="007070A5" w:rsidRPr="00AF3C59">
        <w:rPr>
          <w:rFonts w:ascii="Book Antiqua" w:hAnsi="Book Antiqua" w:cs="Book Antiqua"/>
          <w:lang w:val="es-CR"/>
        </w:rPr>
        <w:t xml:space="preserve"> casos ingresados al mes.</w:t>
      </w:r>
    </w:p>
    <w:p w:rsidR="009F6965" w:rsidRPr="00AF3C59" w:rsidRDefault="009F6965" w:rsidP="00AF3C59">
      <w:pPr>
        <w:pStyle w:val="Prrafodelista"/>
        <w:numPr>
          <w:ilvl w:val="0"/>
          <w:numId w:val="36"/>
        </w:numPr>
        <w:spacing w:after="200"/>
        <w:jc w:val="both"/>
        <w:rPr>
          <w:rFonts w:ascii="Book Antiqua" w:hAnsi="Book Antiqua" w:cs="Book Antiqua"/>
          <w:lang w:val="es-CR"/>
        </w:rPr>
      </w:pPr>
      <w:r>
        <w:rPr>
          <w:rFonts w:ascii="Book Antiqua" w:hAnsi="Book Antiqua" w:cs="Book Antiqua"/>
          <w:lang w:val="es-CR"/>
        </w:rPr>
        <w:t>De los asuntos ingresado</w:t>
      </w:r>
      <w:r w:rsidR="00D128AF">
        <w:rPr>
          <w:rFonts w:ascii="Book Antiqua" w:hAnsi="Book Antiqua" w:cs="Book Antiqua"/>
          <w:lang w:val="es-CR"/>
        </w:rPr>
        <w:t>s</w:t>
      </w:r>
      <w:r>
        <w:rPr>
          <w:rFonts w:ascii="Book Antiqua" w:hAnsi="Book Antiqua" w:cs="Book Antiqua"/>
          <w:lang w:val="es-CR"/>
        </w:rPr>
        <w:t xml:space="preserve"> en el Tribunal de Apelación </w:t>
      </w:r>
      <w:r w:rsidR="00D128AF">
        <w:rPr>
          <w:rFonts w:ascii="Book Antiqua" w:hAnsi="Book Antiqua" w:cs="Book Antiqua"/>
          <w:lang w:val="es-CR"/>
        </w:rPr>
        <w:t xml:space="preserve">de Trabajo </w:t>
      </w:r>
      <w:r>
        <w:rPr>
          <w:rFonts w:ascii="Book Antiqua" w:hAnsi="Book Antiqua" w:cs="Book Antiqua"/>
          <w:lang w:val="es-CR"/>
        </w:rPr>
        <w:t xml:space="preserve">de </w:t>
      </w:r>
      <w:r w:rsidR="00D128AF">
        <w:rPr>
          <w:rFonts w:ascii="Book Antiqua" w:hAnsi="Book Antiqua" w:cs="Book Antiqua"/>
          <w:lang w:val="es-CR"/>
        </w:rPr>
        <w:t>Segundo Circuito Judicial de San Jos</w:t>
      </w:r>
      <w:r w:rsidR="00350BEC">
        <w:rPr>
          <w:rFonts w:ascii="Book Antiqua" w:hAnsi="Book Antiqua" w:cs="Book Antiqua"/>
          <w:lang w:val="es-CR"/>
        </w:rPr>
        <w:t xml:space="preserve">é, en promedio el </w:t>
      </w:r>
      <w:r w:rsidR="009F64F5">
        <w:rPr>
          <w:rFonts w:ascii="Book Antiqua" w:hAnsi="Book Antiqua" w:cs="Book Antiqua"/>
          <w:lang w:val="es-CR"/>
        </w:rPr>
        <w:t>3</w:t>
      </w:r>
      <w:r w:rsidR="00F764FE">
        <w:rPr>
          <w:rFonts w:ascii="Book Antiqua" w:hAnsi="Book Antiqua" w:cs="Book Antiqua"/>
          <w:lang w:val="es-CR"/>
        </w:rPr>
        <w:t>2,4</w:t>
      </w:r>
      <w:r w:rsidR="00350BEC">
        <w:rPr>
          <w:rFonts w:ascii="Book Antiqua" w:hAnsi="Book Antiqua" w:cs="Book Antiqua"/>
          <w:lang w:val="es-CR"/>
        </w:rPr>
        <w:t>% proviene del Juzgado Especializado de Seguridad Social (efecto temporal del plan de trabajo.)</w:t>
      </w:r>
    </w:p>
    <w:p w:rsidR="00801989" w:rsidRDefault="00801989" w:rsidP="00AF3C59">
      <w:pPr>
        <w:pStyle w:val="Prrafodelista"/>
        <w:numPr>
          <w:ilvl w:val="0"/>
          <w:numId w:val="36"/>
        </w:numPr>
        <w:spacing w:after="200"/>
        <w:jc w:val="both"/>
        <w:rPr>
          <w:rFonts w:ascii="Book Antiqua" w:hAnsi="Book Antiqua" w:cs="Book Antiqua"/>
          <w:lang w:val="es-CR"/>
        </w:rPr>
      </w:pPr>
      <w:r>
        <w:rPr>
          <w:rFonts w:ascii="Book Antiqua" w:hAnsi="Book Antiqua" w:cs="Book Antiqua"/>
          <w:lang w:val="es-CR"/>
        </w:rPr>
        <w:t>La cuota de terminados por plaza juzgadora es de 21 asuntos mínimo por mes (126 en total considerando estructura actual de 6 personas juzgadoras). Como se observa, l</w:t>
      </w:r>
      <w:r w:rsidR="007070A5">
        <w:rPr>
          <w:rFonts w:ascii="Book Antiqua" w:hAnsi="Book Antiqua" w:cs="Book Antiqua"/>
          <w:lang w:val="es-CR"/>
        </w:rPr>
        <w:t>a tendencia de la salida de casos es muy irregular</w:t>
      </w:r>
      <w:r w:rsidR="00C65EFE">
        <w:rPr>
          <w:rFonts w:ascii="Book Antiqua" w:hAnsi="Book Antiqua" w:cs="Book Antiqua"/>
          <w:lang w:val="es-CR"/>
        </w:rPr>
        <w:t>, siendo que para</w:t>
      </w:r>
      <w:r w:rsidR="007070A5">
        <w:rPr>
          <w:rFonts w:ascii="Book Antiqua" w:hAnsi="Book Antiqua" w:cs="Book Antiqua"/>
          <w:lang w:val="es-CR"/>
        </w:rPr>
        <w:t xml:space="preserve"> los meses de </w:t>
      </w:r>
      <w:r w:rsidR="005B7277" w:rsidRPr="005B7277">
        <w:rPr>
          <w:rFonts w:ascii="Book Antiqua" w:hAnsi="Book Antiqua" w:cs="Book Antiqua"/>
          <w:lang w:val="es-CR"/>
        </w:rPr>
        <w:t xml:space="preserve">marzo </w:t>
      </w:r>
      <w:r w:rsidR="005B7277">
        <w:rPr>
          <w:rFonts w:ascii="Book Antiqua" w:hAnsi="Book Antiqua" w:cs="Book Antiqua"/>
          <w:lang w:val="es-CR"/>
        </w:rPr>
        <w:t>2020</w:t>
      </w:r>
      <w:r w:rsidR="007070A5" w:rsidRPr="005B7277">
        <w:rPr>
          <w:rFonts w:ascii="Book Antiqua" w:hAnsi="Book Antiqua" w:cs="Book Antiqua"/>
          <w:lang w:val="es-CR"/>
        </w:rPr>
        <w:t xml:space="preserve"> y mayo </w:t>
      </w:r>
      <w:r w:rsidR="00C65EFE" w:rsidRPr="005B7277">
        <w:rPr>
          <w:rFonts w:ascii="Book Antiqua" w:hAnsi="Book Antiqua" w:cs="Book Antiqua"/>
          <w:lang w:val="es-CR"/>
        </w:rPr>
        <w:t>20</w:t>
      </w:r>
      <w:r w:rsidR="007070A5" w:rsidRPr="005B7277">
        <w:rPr>
          <w:rFonts w:ascii="Book Antiqua" w:hAnsi="Book Antiqua" w:cs="Book Antiqua"/>
          <w:lang w:val="es-CR"/>
        </w:rPr>
        <w:t xml:space="preserve">20 finalizaron un total de </w:t>
      </w:r>
      <w:r w:rsidR="005B7277">
        <w:rPr>
          <w:rFonts w:ascii="Book Antiqua" w:hAnsi="Book Antiqua" w:cs="Book Antiqua"/>
          <w:lang w:val="es-CR"/>
        </w:rPr>
        <w:t xml:space="preserve">145 </w:t>
      </w:r>
      <w:r w:rsidR="00FA67E8">
        <w:rPr>
          <w:rFonts w:ascii="Book Antiqua" w:hAnsi="Book Antiqua" w:cs="Book Antiqua"/>
          <w:lang w:val="es-CR"/>
        </w:rPr>
        <w:t xml:space="preserve">casos y </w:t>
      </w:r>
      <w:r w:rsidR="007070A5" w:rsidRPr="005B7277">
        <w:rPr>
          <w:rFonts w:ascii="Book Antiqua" w:hAnsi="Book Antiqua" w:cs="Book Antiqua"/>
          <w:lang w:val="es-CR"/>
        </w:rPr>
        <w:t>11</w:t>
      </w:r>
      <w:r w:rsidR="00134990">
        <w:rPr>
          <w:rFonts w:ascii="Book Antiqua" w:hAnsi="Book Antiqua" w:cs="Book Antiqua"/>
          <w:lang w:val="es-CR"/>
        </w:rPr>
        <w:t>5</w:t>
      </w:r>
      <w:r w:rsidR="007070A5" w:rsidRPr="005B7277">
        <w:rPr>
          <w:rFonts w:ascii="Book Antiqua" w:hAnsi="Book Antiqua" w:cs="Book Antiqua"/>
          <w:lang w:val="es-CR"/>
        </w:rPr>
        <w:t xml:space="preserve"> casos</w:t>
      </w:r>
      <w:r w:rsidR="00FA67E8">
        <w:rPr>
          <w:rFonts w:ascii="Book Antiqua" w:hAnsi="Book Antiqua" w:cs="Book Antiqua"/>
          <w:lang w:val="es-CR"/>
        </w:rPr>
        <w:t xml:space="preserve"> respectivamente</w:t>
      </w:r>
      <w:r w:rsidR="007070A5">
        <w:rPr>
          <w:rFonts w:ascii="Book Antiqua" w:hAnsi="Book Antiqua" w:cs="Book Antiqua"/>
          <w:lang w:val="es-CR"/>
        </w:rPr>
        <w:t xml:space="preserve">, mientras que los meses de noviembre </w:t>
      </w:r>
      <w:r w:rsidR="00C65EFE">
        <w:rPr>
          <w:rFonts w:ascii="Book Antiqua" w:hAnsi="Book Antiqua" w:cs="Book Antiqua"/>
          <w:lang w:val="es-CR"/>
        </w:rPr>
        <w:t>2019</w:t>
      </w:r>
      <w:r w:rsidR="007070A5">
        <w:rPr>
          <w:rFonts w:ascii="Book Antiqua" w:hAnsi="Book Antiqua" w:cs="Book Antiqua"/>
          <w:lang w:val="es-CR"/>
        </w:rPr>
        <w:t xml:space="preserve"> (35 casos) y marzo </w:t>
      </w:r>
      <w:r w:rsidR="002533B3">
        <w:rPr>
          <w:rFonts w:ascii="Book Antiqua" w:hAnsi="Book Antiqua" w:cs="Book Antiqua"/>
          <w:lang w:val="es-CR"/>
        </w:rPr>
        <w:t>2020</w:t>
      </w:r>
      <w:r w:rsidR="007070A5">
        <w:rPr>
          <w:rFonts w:ascii="Book Antiqua" w:hAnsi="Book Antiqua" w:cs="Book Antiqua"/>
          <w:lang w:val="es-CR"/>
        </w:rPr>
        <w:t xml:space="preserve"> (25 casos) fueron los meses que reportaron menos casos finalizados.</w:t>
      </w:r>
      <w:r w:rsidR="00AF3C59">
        <w:rPr>
          <w:rFonts w:ascii="Book Antiqua" w:hAnsi="Book Antiqua" w:cs="Book Antiqua"/>
          <w:lang w:val="es-CR"/>
        </w:rPr>
        <w:t xml:space="preserve"> </w:t>
      </w:r>
    </w:p>
    <w:p w:rsidR="007070A5" w:rsidRPr="00EB7319" w:rsidRDefault="00AF3C59" w:rsidP="00057488">
      <w:pPr>
        <w:pStyle w:val="Prrafodelista"/>
        <w:spacing w:after="200"/>
        <w:ind w:left="720"/>
        <w:jc w:val="both"/>
        <w:rPr>
          <w:rFonts w:ascii="Book Antiqua" w:hAnsi="Book Antiqua" w:cs="Book Antiqua"/>
          <w:lang w:val="es-CR"/>
        </w:rPr>
      </w:pPr>
      <w:r>
        <w:rPr>
          <w:rFonts w:ascii="Book Antiqua" w:hAnsi="Book Antiqua" w:cs="Book Antiqua"/>
          <w:lang w:val="es-CR"/>
        </w:rPr>
        <w:t>E</w:t>
      </w:r>
      <w:r w:rsidR="00B83D16" w:rsidRPr="00EB7319">
        <w:rPr>
          <w:rFonts w:ascii="Book Antiqua" w:hAnsi="Book Antiqua" w:cs="Book Antiqua"/>
          <w:lang w:val="es-CR"/>
        </w:rPr>
        <w:t>n promedio</w:t>
      </w:r>
      <w:r w:rsidR="00801989">
        <w:rPr>
          <w:rFonts w:ascii="Book Antiqua" w:hAnsi="Book Antiqua" w:cs="Book Antiqua"/>
          <w:lang w:val="es-CR"/>
        </w:rPr>
        <w:t xml:space="preserve"> la oficina finalizó</w:t>
      </w:r>
      <w:r w:rsidR="00FA67E8">
        <w:rPr>
          <w:rFonts w:ascii="Book Antiqua" w:hAnsi="Book Antiqua" w:cs="Book Antiqua"/>
          <w:lang w:val="es-CR"/>
        </w:rPr>
        <w:t xml:space="preserve"> en </w:t>
      </w:r>
      <w:r w:rsidR="00FA67E8" w:rsidRPr="00145AA5">
        <w:rPr>
          <w:rFonts w:ascii="Book Antiqua" w:hAnsi="Book Antiqua" w:cs="Book Antiqua"/>
          <w:lang w:val="es-CR"/>
        </w:rPr>
        <w:t>promedio</w:t>
      </w:r>
      <w:r w:rsidR="00801989" w:rsidRPr="00145AA5">
        <w:rPr>
          <w:rFonts w:ascii="Book Antiqua" w:hAnsi="Book Antiqua" w:cs="Book Antiqua"/>
          <w:lang w:val="es-CR"/>
        </w:rPr>
        <w:t xml:space="preserve"> 6</w:t>
      </w:r>
      <w:r w:rsidR="00FA67E8" w:rsidRPr="00145AA5">
        <w:rPr>
          <w:rFonts w:ascii="Book Antiqua" w:hAnsi="Book Antiqua" w:cs="Book Antiqua"/>
          <w:lang w:val="es-CR"/>
        </w:rPr>
        <w:t>0</w:t>
      </w:r>
      <w:r w:rsidR="00145AA5">
        <w:rPr>
          <w:rFonts w:ascii="Book Antiqua" w:hAnsi="Book Antiqua" w:cs="Book Antiqua"/>
          <w:lang w:val="es-CR"/>
        </w:rPr>
        <w:t xml:space="preserve"> </w:t>
      </w:r>
      <w:r w:rsidR="00B83D16" w:rsidRPr="00145AA5">
        <w:rPr>
          <w:rFonts w:ascii="Book Antiqua" w:hAnsi="Book Antiqua" w:cs="Book Antiqua"/>
          <w:lang w:val="es-CR"/>
        </w:rPr>
        <w:t>casos</w:t>
      </w:r>
      <w:r w:rsidR="00B83D16" w:rsidRPr="00EB7319">
        <w:rPr>
          <w:rFonts w:ascii="Book Antiqua" w:hAnsi="Book Antiqua" w:cs="Book Antiqua"/>
          <w:lang w:val="es-CR"/>
        </w:rPr>
        <w:t xml:space="preserve"> </w:t>
      </w:r>
      <w:r w:rsidR="00801989">
        <w:rPr>
          <w:rFonts w:ascii="Book Antiqua" w:hAnsi="Book Antiqua" w:cs="Book Antiqua"/>
          <w:lang w:val="es-CR"/>
        </w:rPr>
        <w:t xml:space="preserve">por mes </w:t>
      </w:r>
      <w:r w:rsidR="00B83D16" w:rsidRPr="00EB7319">
        <w:rPr>
          <w:rFonts w:ascii="Book Antiqua" w:hAnsi="Book Antiqua" w:cs="Book Antiqua"/>
          <w:lang w:val="es-CR"/>
        </w:rPr>
        <w:t>durante el periodo analizad</w:t>
      </w:r>
      <w:r w:rsidR="00801989">
        <w:rPr>
          <w:rFonts w:ascii="Book Antiqua" w:hAnsi="Book Antiqua" w:cs="Book Antiqua"/>
          <w:lang w:val="es-CR"/>
        </w:rPr>
        <w:t>o</w:t>
      </w:r>
      <w:r w:rsidR="00536079">
        <w:rPr>
          <w:rFonts w:ascii="Book Antiqua" w:hAnsi="Book Antiqua" w:cs="Book Antiqua"/>
          <w:lang w:val="es-CR"/>
        </w:rPr>
        <w:t xml:space="preserve"> (promedio de 1</w:t>
      </w:r>
      <w:r w:rsidR="00FA67E8">
        <w:rPr>
          <w:rFonts w:ascii="Book Antiqua" w:hAnsi="Book Antiqua" w:cs="Book Antiqua"/>
          <w:lang w:val="es-CR"/>
        </w:rPr>
        <w:t>0</w:t>
      </w:r>
      <w:r w:rsidR="00536079">
        <w:rPr>
          <w:rFonts w:ascii="Book Antiqua" w:hAnsi="Book Antiqua" w:cs="Book Antiqua"/>
          <w:lang w:val="es-CR"/>
        </w:rPr>
        <w:t xml:space="preserve"> sentencias mensuales por persona juzgadora)</w:t>
      </w:r>
      <w:r w:rsidR="00801989">
        <w:rPr>
          <w:rFonts w:ascii="Book Antiqua" w:hAnsi="Book Antiqua" w:cs="Book Antiqua"/>
          <w:lang w:val="es-CR"/>
        </w:rPr>
        <w:t xml:space="preserve">, lo que representa un </w:t>
      </w:r>
      <w:r w:rsidR="00FA67E8">
        <w:rPr>
          <w:rFonts w:ascii="Book Antiqua" w:hAnsi="Book Antiqua" w:cs="Book Antiqua"/>
          <w:lang w:val="es-CR"/>
        </w:rPr>
        <w:t>48%</w:t>
      </w:r>
      <w:r w:rsidR="00801989">
        <w:rPr>
          <w:rFonts w:ascii="Book Antiqua" w:hAnsi="Book Antiqua" w:cs="Book Antiqua"/>
          <w:lang w:val="es-CR"/>
        </w:rPr>
        <w:t>de cumplimiento de la cuota de trabajo.</w:t>
      </w:r>
    </w:p>
    <w:p w:rsidR="00B83D16" w:rsidRDefault="000B779F" w:rsidP="00A31092">
      <w:pPr>
        <w:pStyle w:val="Prrafodelista"/>
        <w:numPr>
          <w:ilvl w:val="0"/>
          <w:numId w:val="36"/>
        </w:numPr>
        <w:spacing w:after="200"/>
        <w:jc w:val="both"/>
        <w:rPr>
          <w:rFonts w:ascii="Book Antiqua" w:hAnsi="Book Antiqua" w:cs="Book Antiqua"/>
          <w:lang w:val="es-CR"/>
        </w:rPr>
      </w:pPr>
      <w:r>
        <w:rPr>
          <w:rFonts w:ascii="Book Antiqua" w:hAnsi="Book Antiqua" w:cs="Book Antiqua"/>
          <w:lang w:val="es-CR"/>
        </w:rPr>
        <w:t>Con respecto a la</w:t>
      </w:r>
      <w:r w:rsidR="00F22AF2">
        <w:rPr>
          <w:rFonts w:ascii="Book Antiqua" w:hAnsi="Book Antiqua" w:cs="Book Antiqua"/>
          <w:lang w:val="es-CR"/>
        </w:rPr>
        <w:t xml:space="preserve"> relación proporcional de</w:t>
      </w:r>
      <w:r>
        <w:rPr>
          <w:rFonts w:ascii="Book Antiqua" w:hAnsi="Book Antiqua" w:cs="Book Antiqua"/>
          <w:lang w:val="es-CR"/>
        </w:rPr>
        <w:t xml:space="preserve"> </w:t>
      </w:r>
      <w:r w:rsidR="00F22AF2">
        <w:rPr>
          <w:rFonts w:ascii="Book Antiqua" w:hAnsi="Book Antiqua" w:cs="Book Antiqua"/>
          <w:lang w:val="es-CR"/>
        </w:rPr>
        <w:t>asuntos terminados y</w:t>
      </w:r>
      <w:r>
        <w:rPr>
          <w:rFonts w:ascii="Book Antiqua" w:hAnsi="Book Antiqua" w:cs="Book Antiqua"/>
          <w:lang w:val="es-CR"/>
        </w:rPr>
        <w:t xml:space="preserve"> </w:t>
      </w:r>
      <w:r w:rsidR="00F22AF2">
        <w:rPr>
          <w:rFonts w:ascii="Book Antiqua" w:hAnsi="Book Antiqua" w:cs="Book Antiqua"/>
          <w:lang w:val="es-CR"/>
        </w:rPr>
        <w:t xml:space="preserve">la </w:t>
      </w:r>
      <w:r>
        <w:rPr>
          <w:rFonts w:ascii="Book Antiqua" w:hAnsi="Book Antiqua" w:cs="Book Antiqua"/>
          <w:lang w:val="es-CR"/>
        </w:rPr>
        <w:t>entrada</w:t>
      </w:r>
      <w:r w:rsidR="00F22AF2">
        <w:rPr>
          <w:rFonts w:ascii="Book Antiqua" w:hAnsi="Book Antiqua" w:cs="Book Antiqua"/>
          <w:lang w:val="es-CR"/>
        </w:rPr>
        <w:t>,</w:t>
      </w:r>
      <w:r>
        <w:rPr>
          <w:rFonts w:ascii="Book Antiqua" w:hAnsi="Book Antiqua" w:cs="Book Antiqua"/>
          <w:lang w:val="es-CR"/>
        </w:rPr>
        <w:t xml:space="preserve"> se </w:t>
      </w:r>
      <w:r w:rsidR="00F22AF2">
        <w:rPr>
          <w:rFonts w:ascii="Book Antiqua" w:hAnsi="Book Antiqua" w:cs="Book Antiqua"/>
          <w:lang w:val="es-CR"/>
        </w:rPr>
        <w:t>tiene</w:t>
      </w:r>
      <w:r>
        <w:rPr>
          <w:rFonts w:ascii="Book Antiqua" w:hAnsi="Book Antiqua" w:cs="Book Antiqua"/>
          <w:lang w:val="es-CR"/>
        </w:rPr>
        <w:t xml:space="preserve"> que el Tribunal finalizó un </w:t>
      </w:r>
      <w:r w:rsidR="00FA67E8" w:rsidRPr="00057488">
        <w:rPr>
          <w:rFonts w:ascii="Book Antiqua" w:hAnsi="Book Antiqua" w:cs="Book Antiqua"/>
          <w:lang w:val="es-CR"/>
        </w:rPr>
        <w:t>88</w:t>
      </w:r>
      <w:r w:rsidRPr="00DD1F11">
        <w:rPr>
          <w:rFonts w:ascii="Book Antiqua" w:hAnsi="Book Antiqua" w:cs="Book Antiqua"/>
          <w:lang w:val="es-CR"/>
        </w:rPr>
        <w:t>%</w:t>
      </w:r>
      <w:r w:rsidR="00852433" w:rsidRPr="00DD1F11">
        <w:rPr>
          <w:rFonts w:ascii="Book Antiqua" w:hAnsi="Book Antiqua" w:cs="Book Antiqua"/>
          <w:lang w:val="es-CR"/>
        </w:rPr>
        <w:t xml:space="preserve">de </w:t>
      </w:r>
      <w:r w:rsidRPr="00DD1F11">
        <w:rPr>
          <w:rFonts w:ascii="Book Antiqua" w:hAnsi="Book Antiqua" w:cs="Book Antiqua"/>
          <w:lang w:val="es-CR"/>
        </w:rPr>
        <w:t>los</w:t>
      </w:r>
      <w:r>
        <w:rPr>
          <w:rFonts w:ascii="Book Antiqua" w:hAnsi="Book Antiqua" w:cs="Book Antiqua"/>
          <w:lang w:val="es-CR"/>
        </w:rPr>
        <w:t xml:space="preserve"> asuntos que ingresaron en el periodo analizado</w:t>
      </w:r>
      <w:r w:rsidR="00E2273E">
        <w:rPr>
          <w:rFonts w:ascii="Book Antiqua" w:hAnsi="Book Antiqua" w:cs="Book Antiqua"/>
          <w:lang w:val="es-CR"/>
        </w:rPr>
        <w:t>.</w:t>
      </w:r>
    </w:p>
    <w:p w:rsidR="00EF5020" w:rsidRPr="00C14B8F" w:rsidRDefault="0066015B" w:rsidP="00A31092">
      <w:pPr>
        <w:pStyle w:val="Prrafodelista"/>
        <w:numPr>
          <w:ilvl w:val="0"/>
          <w:numId w:val="36"/>
        </w:numPr>
        <w:spacing w:after="200"/>
        <w:jc w:val="both"/>
        <w:rPr>
          <w:rFonts w:ascii="Book Antiqua" w:hAnsi="Book Antiqua" w:cs="Book Antiqua"/>
          <w:lang w:val="es-CR"/>
        </w:rPr>
      </w:pPr>
      <w:r>
        <w:rPr>
          <w:rFonts w:ascii="Book Antiqua" w:hAnsi="Book Antiqua" w:cs="Book Antiqua"/>
          <w:lang w:val="es-CR"/>
        </w:rPr>
        <w:t>Respecto al</w:t>
      </w:r>
      <w:r w:rsidR="00E2273E">
        <w:rPr>
          <w:rFonts w:ascii="Book Antiqua" w:hAnsi="Book Antiqua" w:cs="Book Antiqua"/>
          <w:lang w:val="es-CR"/>
        </w:rPr>
        <w:t xml:space="preserve"> circulante en trámite</w:t>
      </w:r>
      <w:r>
        <w:rPr>
          <w:rFonts w:ascii="Book Antiqua" w:hAnsi="Book Antiqua" w:cs="Book Antiqua"/>
          <w:lang w:val="es-CR"/>
        </w:rPr>
        <w:t>,</w:t>
      </w:r>
      <w:r w:rsidR="00E2273E">
        <w:rPr>
          <w:rFonts w:ascii="Book Antiqua" w:hAnsi="Book Antiqua" w:cs="Book Antiqua"/>
          <w:lang w:val="es-CR"/>
        </w:rPr>
        <w:t xml:space="preserve"> ha incrementado </w:t>
      </w:r>
      <w:r w:rsidR="00962646">
        <w:rPr>
          <w:rFonts w:ascii="Book Antiqua" w:hAnsi="Book Antiqua" w:cs="Book Antiqua"/>
          <w:lang w:val="es-CR"/>
        </w:rPr>
        <w:t>en un 13</w:t>
      </w:r>
      <w:r w:rsidR="00F764FE">
        <w:rPr>
          <w:rFonts w:ascii="Book Antiqua" w:hAnsi="Book Antiqua" w:cs="Book Antiqua"/>
          <w:lang w:val="es-CR"/>
        </w:rPr>
        <w:t>4,7</w:t>
      </w:r>
      <w:r w:rsidR="00962646">
        <w:rPr>
          <w:rFonts w:ascii="Book Antiqua" w:hAnsi="Book Antiqua" w:cs="Book Antiqua"/>
          <w:lang w:val="es-CR"/>
        </w:rPr>
        <w:t>%</w:t>
      </w:r>
      <w:r w:rsidR="0070785D">
        <w:rPr>
          <w:rFonts w:ascii="Book Antiqua" w:hAnsi="Book Antiqua" w:cs="Book Antiqua"/>
          <w:lang w:val="es-CR"/>
        </w:rPr>
        <w:t xml:space="preserve">, </w:t>
      </w:r>
      <w:r w:rsidR="00962646">
        <w:rPr>
          <w:rFonts w:ascii="Book Antiqua" w:hAnsi="Book Antiqua" w:cs="Book Antiqua"/>
          <w:lang w:val="es-CR"/>
        </w:rPr>
        <w:t xml:space="preserve">(66 expedientes) en donde el mes de noviembre </w:t>
      </w:r>
      <w:r w:rsidR="0017368E">
        <w:rPr>
          <w:rFonts w:ascii="Book Antiqua" w:hAnsi="Book Antiqua" w:cs="Book Antiqua"/>
          <w:lang w:val="es-CR"/>
        </w:rPr>
        <w:t>de 20</w:t>
      </w:r>
      <w:r w:rsidR="00962646">
        <w:rPr>
          <w:rFonts w:ascii="Book Antiqua" w:hAnsi="Book Antiqua" w:cs="Book Antiqua"/>
          <w:lang w:val="es-CR"/>
        </w:rPr>
        <w:t>19 presentaba 49 expedientes y para el mes de mayo 20 finalizó en 115 expedientes</w:t>
      </w:r>
      <w:r w:rsidR="00467539">
        <w:rPr>
          <w:rFonts w:ascii="Book Antiqua" w:hAnsi="Book Antiqua" w:cs="Book Antiqua"/>
          <w:lang w:val="es-CR"/>
        </w:rPr>
        <w:t xml:space="preserve">, obteniendo una tendencia irregular con un </w:t>
      </w:r>
      <w:r w:rsidR="00467539" w:rsidRPr="00C14B8F">
        <w:rPr>
          <w:rFonts w:ascii="Book Antiqua" w:hAnsi="Book Antiqua" w:cs="Book Antiqua"/>
          <w:lang w:val="es-CR"/>
        </w:rPr>
        <w:t>promedio de 95 expedientes</w:t>
      </w:r>
      <w:r w:rsidR="00EF5020" w:rsidRPr="00C14B8F">
        <w:rPr>
          <w:rFonts w:ascii="Book Antiqua" w:hAnsi="Book Antiqua" w:cs="Book Antiqua"/>
          <w:lang w:val="es-CR"/>
        </w:rPr>
        <w:t>.</w:t>
      </w:r>
    </w:p>
    <w:p w:rsidR="00FA67E8" w:rsidRDefault="00DA3DD5">
      <w:pPr>
        <w:pStyle w:val="Prrafodelista"/>
        <w:numPr>
          <w:ilvl w:val="0"/>
          <w:numId w:val="36"/>
        </w:numPr>
        <w:spacing w:after="200"/>
        <w:jc w:val="both"/>
        <w:rPr>
          <w:rFonts w:ascii="Book Antiqua" w:hAnsi="Book Antiqua" w:cs="Book Antiqua"/>
          <w:lang w:val="es-CR"/>
        </w:rPr>
      </w:pPr>
      <w:r w:rsidRPr="00057488">
        <w:rPr>
          <w:rFonts w:ascii="Book Antiqua" w:hAnsi="Book Antiqua" w:cs="Book Antiqua"/>
          <w:lang w:val="es-CR"/>
        </w:rPr>
        <w:t>Como se observa, la entrada en el periodo analizado no logró cubrir ni siquiera la cantidad de asuntos que deben finalizar las personas juzgadoras mensualmente</w:t>
      </w:r>
      <w:r w:rsidR="00D61F8D" w:rsidRPr="00145AA5">
        <w:rPr>
          <w:rFonts w:ascii="Book Antiqua" w:hAnsi="Book Antiqua" w:cs="Book Antiqua"/>
          <w:lang w:val="es-CR"/>
        </w:rPr>
        <w:t xml:space="preserve"> (126)</w:t>
      </w:r>
      <w:r w:rsidRPr="00057488">
        <w:rPr>
          <w:rFonts w:ascii="Book Antiqua" w:hAnsi="Book Antiqua" w:cs="Book Antiqua"/>
          <w:lang w:val="es-CR"/>
        </w:rPr>
        <w:t xml:space="preserve">. </w:t>
      </w:r>
      <w:r w:rsidR="00117596" w:rsidRPr="00145AA5">
        <w:rPr>
          <w:rFonts w:ascii="Book Antiqua" w:hAnsi="Book Antiqua" w:cs="Book Antiqua"/>
          <w:lang w:val="es-CR"/>
        </w:rPr>
        <w:t xml:space="preserve">La entrada promedio es de 68 asuntos por mes. </w:t>
      </w:r>
      <w:r w:rsidR="007E3687" w:rsidRPr="00145AA5">
        <w:rPr>
          <w:rFonts w:ascii="Book Antiqua" w:hAnsi="Book Antiqua" w:cs="Book Antiqua"/>
          <w:lang w:val="es-CR"/>
        </w:rPr>
        <w:t>Es importante señalar que la Dirección de Planificación estructuró el informe 457-PLA-EV-2019 el cu</w:t>
      </w:r>
      <w:r w:rsidR="007E3687">
        <w:rPr>
          <w:rFonts w:ascii="Book Antiqua" w:hAnsi="Book Antiqua" w:cs="Book Antiqua"/>
          <w:lang w:val="es-CR"/>
        </w:rPr>
        <w:t xml:space="preserve">al </w:t>
      </w:r>
      <w:r w:rsidR="007E3687" w:rsidRPr="00226454">
        <w:rPr>
          <w:rFonts w:ascii="Book Antiqua" w:hAnsi="Book Antiqua" w:cs="Book Antiqua"/>
          <w:lang w:val="es-CR"/>
        </w:rPr>
        <w:t>propone el traslado de dos plazas de Juez del Tribunal de Apelación de Trabajo del Segundo Circuito Judicial al Juzgado de Trabajo de ese mismo circuito, para que colaboren temporalmente en el fallo de primera instancia</w:t>
      </w:r>
      <w:r w:rsidR="001328C8">
        <w:rPr>
          <w:rFonts w:ascii="Book Antiqua" w:hAnsi="Book Antiqua" w:cs="Book Antiqua"/>
          <w:lang w:val="es-CR"/>
        </w:rPr>
        <w:t>, informe que ya fue aprobado por la Corte Plena</w:t>
      </w:r>
    </w:p>
    <w:p w:rsidR="006A5501" w:rsidRPr="00057488" w:rsidRDefault="006A5501" w:rsidP="00057488">
      <w:pPr>
        <w:spacing w:after="200"/>
        <w:ind w:left="360"/>
        <w:jc w:val="both"/>
        <w:rPr>
          <w:rFonts w:ascii="Book Antiqua" w:hAnsi="Book Antiqua" w:cs="Book Antiqua"/>
          <w:lang w:val="es-CR"/>
        </w:rPr>
      </w:pPr>
    </w:p>
    <w:tbl>
      <w:tblPr>
        <w:tblStyle w:val="Tablaconcuadrcula"/>
        <w:tblW w:w="0" w:type="auto"/>
        <w:tblLook w:val="04A0" w:firstRow="1" w:lastRow="0" w:firstColumn="1" w:lastColumn="0" w:noHBand="0" w:noVBand="1"/>
      </w:tblPr>
      <w:tblGrid>
        <w:gridCol w:w="2377"/>
        <w:gridCol w:w="2312"/>
        <w:gridCol w:w="2365"/>
        <w:gridCol w:w="2008"/>
      </w:tblGrid>
      <w:tr w:rsidR="00117596" w:rsidTr="00057488">
        <w:tc>
          <w:tcPr>
            <w:tcW w:w="2377" w:type="dxa"/>
            <w:shd w:val="clear" w:color="auto" w:fill="4F81BD" w:themeFill="accent1"/>
            <w:vAlign w:val="center"/>
          </w:tcPr>
          <w:p w:rsidR="00117596" w:rsidRPr="00057488" w:rsidRDefault="00117596" w:rsidP="00057488">
            <w:pPr>
              <w:spacing w:after="200"/>
              <w:jc w:val="center"/>
              <w:rPr>
                <w:rFonts w:ascii="Book Antiqua" w:hAnsi="Book Antiqua" w:cs="Book Antiqua"/>
                <w:b/>
                <w:bCs/>
                <w:color w:val="FFFFFF" w:themeColor="background1"/>
                <w:lang w:val="es-CR"/>
              </w:rPr>
            </w:pPr>
            <w:r w:rsidRPr="00057488">
              <w:rPr>
                <w:rFonts w:ascii="Book Antiqua" w:hAnsi="Book Antiqua" w:cs="Book Antiqua"/>
                <w:b/>
                <w:bCs/>
                <w:color w:val="FFFFFF" w:themeColor="background1"/>
                <w:lang w:val="es-CR"/>
              </w:rPr>
              <w:t>Escenario</w:t>
            </w:r>
          </w:p>
        </w:tc>
        <w:tc>
          <w:tcPr>
            <w:tcW w:w="2312" w:type="dxa"/>
            <w:shd w:val="clear" w:color="auto" w:fill="4F81BD" w:themeFill="accent1"/>
            <w:vAlign w:val="center"/>
          </w:tcPr>
          <w:p w:rsidR="00117596" w:rsidRPr="00057488" w:rsidRDefault="00117596" w:rsidP="00057488">
            <w:pPr>
              <w:spacing w:after="200"/>
              <w:jc w:val="center"/>
              <w:rPr>
                <w:rFonts w:ascii="Book Antiqua" w:hAnsi="Book Antiqua" w:cs="Book Antiqua"/>
                <w:b/>
                <w:bCs/>
                <w:color w:val="FFFFFF" w:themeColor="background1"/>
                <w:lang w:val="es-CR"/>
              </w:rPr>
            </w:pPr>
            <w:r w:rsidRPr="00057488">
              <w:rPr>
                <w:rFonts w:ascii="Book Antiqua" w:hAnsi="Book Antiqua" w:cs="Book Antiqua"/>
                <w:b/>
                <w:bCs/>
                <w:color w:val="FFFFFF" w:themeColor="background1"/>
                <w:lang w:val="es-CR"/>
              </w:rPr>
              <w:t>Entrada promedio de enero a mayo 2020</w:t>
            </w:r>
          </w:p>
        </w:tc>
        <w:tc>
          <w:tcPr>
            <w:tcW w:w="2365" w:type="dxa"/>
            <w:shd w:val="clear" w:color="auto" w:fill="4F81BD" w:themeFill="accent1"/>
            <w:vAlign w:val="center"/>
          </w:tcPr>
          <w:p w:rsidR="00117596" w:rsidRPr="00057488" w:rsidRDefault="00117596" w:rsidP="00057488">
            <w:pPr>
              <w:spacing w:after="200"/>
              <w:jc w:val="center"/>
              <w:rPr>
                <w:rFonts w:ascii="Book Antiqua" w:hAnsi="Book Antiqua" w:cs="Book Antiqua"/>
                <w:b/>
                <w:bCs/>
                <w:color w:val="FFFFFF" w:themeColor="background1"/>
                <w:lang w:val="es-CR"/>
              </w:rPr>
            </w:pPr>
            <w:r w:rsidRPr="00057488">
              <w:rPr>
                <w:rFonts w:ascii="Book Antiqua" w:hAnsi="Book Antiqua" w:cs="Book Antiqua"/>
                <w:b/>
                <w:bCs/>
                <w:color w:val="FFFFFF" w:themeColor="background1"/>
                <w:lang w:val="es-CR"/>
              </w:rPr>
              <w:t>Cantidad de jueces</w:t>
            </w:r>
          </w:p>
        </w:tc>
        <w:tc>
          <w:tcPr>
            <w:tcW w:w="2008" w:type="dxa"/>
            <w:shd w:val="clear" w:color="auto" w:fill="4F81BD" w:themeFill="accent1"/>
            <w:vAlign w:val="center"/>
          </w:tcPr>
          <w:p w:rsidR="00117596" w:rsidRPr="00057488" w:rsidRDefault="0076742B" w:rsidP="00057488">
            <w:pPr>
              <w:spacing w:after="200"/>
              <w:jc w:val="center"/>
              <w:rPr>
                <w:rFonts w:ascii="Book Antiqua" w:hAnsi="Book Antiqua" w:cs="Book Antiqua"/>
                <w:b/>
                <w:bCs/>
                <w:color w:val="FFFFFF" w:themeColor="background1"/>
                <w:lang w:val="es-CR"/>
              </w:rPr>
            </w:pPr>
            <w:r w:rsidRPr="00057488">
              <w:rPr>
                <w:rFonts w:ascii="Book Antiqua" w:hAnsi="Book Antiqua" w:cs="Book Antiqua"/>
                <w:b/>
                <w:bCs/>
                <w:lang w:val="es-CR"/>
              </w:rPr>
              <w:t>Cantidad de casos entrados por Persona Juzgadora</w:t>
            </w:r>
          </w:p>
        </w:tc>
      </w:tr>
      <w:tr w:rsidR="00117596" w:rsidTr="00057488">
        <w:tc>
          <w:tcPr>
            <w:tcW w:w="2377" w:type="dxa"/>
          </w:tcPr>
          <w:p w:rsidR="00117596" w:rsidRPr="00145AA5" w:rsidRDefault="00117596" w:rsidP="00117596">
            <w:pPr>
              <w:spacing w:after="200"/>
              <w:jc w:val="both"/>
              <w:rPr>
                <w:rFonts w:ascii="Book Antiqua" w:hAnsi="Book Antiqua" w:cs="Book Antiqua"/>
                <w:lang w:val="es-CR"/>
              </w:rPr>
            </w:pPr>
            <w:r w:rsidRPr="00145AA5">
              <w:rPr>
                <w:rFonts w:ascii="Book Antiqua" w:hAnsi="Book Antiqua" w:cs="Book Antiqua"/>
                <w:lang w:val="es-CR"/>
              </w:rPr>
              <w:t>Actual</w:t>
            </w:r>
          </w:p>
        </w:tc>
        <w:tc>
          <w:tcPr>
            <w:tcW w:w="2312" w:type="dxa"/>
            <w:vMerge w:val="restart"/>
            <w:vAlign w:val="center"/>
          </w:tcPr>
          <w:p w:rsidR="00117596" w:rsidRPr="00145AA5" w:rsidRDefault="00117596" w:rsidP="00057488">
            <w:pPr>
              <w:spacing w:after="200"/>
              <w:jc w:val="center"/>
              <w:rPr>
                <w:rFonts w:ascii="Book Antiqua" w:hAnsi="Book Antiqua" w:cs="Book Antiqua"/>
                <w:lang w:val="es-CR"/>
              </w:rPr>
            </w:pPr>
            <w:r w:rsidRPr="00145AA5">
              <w:rPr>
                <w:rFonts w:ascii="Book Antiqua" w:hAnsi="Book Antiqua" w:cs="Book Antiqua"/>
                <w:lang w:val="es-CR"/>
              </w:rPr>
              <w:t>68</w:t>
            </w:r>
          </w:p>
        </w:tc>
        <w:tc>
          <w:tcPr>
            <w:tcW w:w="2365" w:type="dxa"/>
            <w:vAlign w:val="center"/>
          </w:tcPr>
          <w:p w:rsidR="00117596" w:rsidRPr="00145AA5" w:rsidRDefault="00117596" w:rsidP="00057488">
            <w:pPr>
              <w:spacing w:after="200"/>
              <w:jc w:val="center"/>
              <w:rPr>
                <w:rFonts w:ascii="Book Antiqua" w:hAnsi="Book Antiqua" w:cs="Book Antiqua"/>
                <w:lang w:val="es-CR"/>
              </w:rPr>
            </w:pPr>
            <w:r w:rsidRPr="00145AA5">
              <w:rPr>
                <w:rFonts w:ascii="Book Antiqua" w:hAnsi="Book Antiqua" w:cs="Book Antiqua"/>
                <w:lang w:val="es-CR"/>
              </w:rPr>
              <w:t>6</w:t>
            </w:r>
          </w:p>
        </w:tc>
        <w:tc>
          <w:tcPr>
            <w:tcW w:w="2008" w:type="dxa"/>
            <w:vAlign w:val="center"/>
          </w:tcPr>
          <w:p w:rsidR="00117596" w:rsidRPr="00145AA5" w:rsidRDefault="00117596" w:rsidP="00057488">
            <w:pPr>
              <w:spacing w:after="200"/>
              <w:jc w:val="center"/>
              <w:rPr>
                <w:rFonts w:ascii="Book Antiqua" w:hAnsi="Book Antiqua" w:cs="Book Antiqua"/>
                <w:lang w:val="es-CR"/>
              </w:rPr>
            </w:pPr>
            <w:r w:rsidRPr="00145AA5">
              <w:rPr>
                <w:rFonts w:ascii="Book Antiqua" w:hAnsi="Book Antiqua" w:cs="Book Antiqua"/>
                <w:lang w:val="es-CR"/>
              </w:rPr>
              <w:t>11</w:t>
            </w:r>
          </w:p>
        </w:tc>
      </w:tr>
      <w:tr w:rsidR="00117596" w:rsidTr="00057488">
        <w:tc>
          <w:tcPr>
            <w:tcW w:w="2377" w:type="dxa"/>
          </w:tcPr>
          <w:p w:rsidR="00117596" w:rsidRPr="00145AA5" w:rsidRDefault="00117596" w:rsidP="00117596">
            <w:pPr>
              <w:spacing w:after="200"/>
              <w:jc w:val="both"/>
              <w:rPr>
                <w:rFonts w:ascii="Book Antiqua" w:hAnsi="Book Antiqua" w:cs="Book Antiqua"/>
                <w:lang w:val="es-CR"/>
              </w:rPr>
            </w:pPr>
            <w:r w:rsidRPr="00145AA5">
              <w:rPr>
                <w:rFonts w:ascii="Book Antiqua" w:hAnsi="Book Antiqua" w:cs="Times New Roman"/>
                <w:sz w:val="20"/>
                <w:szCs w:val="20"/>
                <w:lang w:val="es-CR" w:eastAsia="es-CR"/>
              </w:rPr>
              <w:t>Escenario en caso de aprobarse el informe 457</w:t>
            </w:r>
            <w:r w:rsidRPr="00145AA5">
              <w:rPr>
                <w:rFonts w:ascii="Book Antiqua" w:hAnsi="Book Antiqua" w:cs="Book Antiqua"/>
                <w:lang w:val="es-CR"/>
              </w:rPr>
              <w:t>-PLA-EV-2020</w:t>
            </w:r>
          </w:p>
        </w:tc>
        <w:tc>
          <w:tcPr>
            <w:tcW w:w="2312" w:type="dxa"/>
            <w:vMerge/>
          </w:tcPr>
          <w:p w:rsidR="00117596" w:rsidRPr="00145AA5" w:rsidRDefault="00117596" w:rsidP="00117596">
            <w:pPr>
              <w:spacing w:after="200"/>
              <w:jc w:val="both"/>
              <w:rPr>
                <w:rFonts w:ascii="Book Antiqua" w:hAnsi="Book Antiqua" w:cs="Book Antiqua"/>
                <w:lang w:val="es-CR"/>
              </w:rPr>
            </w:pPr>
          </w:p>
        </w:tc>
        <w:tc>
          <w:tcPr>
            <w:tcW w:w="2365" w:type="dxa"/>
            <w:vAlign w:val="center"/>
          </w:tcPr>
          <w:p w:rsidR="00117596" w:rsidRPr="00145AA5" w:rsidRDefault="00117596" w:rsidP="00057488">
            <w:pPr>
              <w:spacing w:after="200"/>
              <w:jc w:val="center"/>
              <w:rPr>
                <w:rFonts w:ascii="Book Antiqua" w:hAnsi="Book Antiqua" w:cs="Book Antiqua"/>
                <w:lang w:val="es-CR"/>
              </w:rPr>
            </w:pPr>
            <w:r w:rsidRPr="00145AA5">
              <w:rPr>
                <w:rFonts w:ascii="Book Antiqua" w:hAnsi="Book Antiqua" w:cs="Book Antiqua"/>
                <w:lang w:val="es-CR"/>
              </w:rPr>
              <w:t>4</w:t>
            </w:r>
          </w:p>
        </w:tc>
        <w:tc>
          <w:tcPr>
            <w:tcW w:w="2008" w:type="dxa"/>
            <w:vAlign w:val="center"/>
          </w:tcPr>
          <w:p w:rsidR="00117596" w:rsidRPr="00145AA5" w:rsidRDefault="00117596" w:rsidP="00057488">
            <w:pPr>
              <w:spacing w:after="200"/>
              <w:jc w:val="center"/>
              <w:rPr>
                <w:rFonts w:ascii="Book Antiqua" w:hAnsi="Book Antiqua" w:cs="Book Antiqua"/>
                <w:lang w:val="es-CR"/>
              </w:rPr>
            </w:pPr>
            <w:r w:rsidRPr="00145AA5">
              <w:rPr>
                <w:rFonts w:ascii="Book Antiqua" w:hAnsi="Book Antiqua" w:cs="Book Antiqua"/>
                <w:lang w:val="es-CR"/>
              </w:rPr>
              <w:t>17</w:t>
            </w:r>
          </w:p>
        </w:tc>
      </w:tr>
    </w:tbl>
    <w:p w:rsidR="00117596" w:rsidRPr="00057488" w:rsidRDefault="0030025C" w:rsidP="00117596">
      <w:pPr>
        <w:spacing w:after="200"/>
        <w:jc w:val="both"/>
        <w:rPr>
          <w:rFonts w:ascii="Book Antiqua" w:hAnsi="Book Antiqua" w:cs="Book Antiqua"/>
          <w:sz w:val="16"/>
          <w:szCs w:val="16"/>
          <w:lang w:val="es-CR"/>
        </w:rPr>
      </w:pPr>
      <w:r w:rsidRPr="00057488">
        <w:rPr>
          <w:rFonts w:ascii="Book Antiqua" w:hAnsi="Book Antiqua" w:cs="Book Antiqua"/>
          <w:b/>
          <w:bCs/>
          <w:sz w:val="16"/>
          <w:szCs w:val="16"/>
          <w:lang w:val="es-CR"/>
        </w:rPr>
        <w:t>Fuente:</w:t>
      </w:r>
      <w:r w:rsidRPr="00057488">
        <w:rPr>
          <w:rFonts w:ascii="Book Antiqua" w:hAnsi="Book Antiqua" w:cs="Book Antiqua"/>
          <w:sz w:val="16"/>
          <w:szCs w:val="16"/>
          <w:lang w:val="es-CR"/>
        </w:rPr>
        <w:t xml:space="preserve"> Matriz de Indicadores del Tribunal Apelación de Trabajo del Segundo Circuito Judicial de San José.</w:t>
      </w:r>
    </w:p>
    <w:p w:rsidR="006A5501" w:rsidRDefault="006A5501" w:rsidP="00101D02">
      <w:pPr>
        <w:spacing w:after="200"/>
        <w:jc w:val="both"/>
        <w:rPr>
          <w:rFonts w:ascii="Book Antiqua" w:hAnsi="Book Antiqua" w:cs="Book Antiqua"/>
          <w:lang w:val="es-CR"/>
        </w:rPr>
      </w:pPr>
    </w:p>
    <w:p w:rsidR="0013596A" w:rsidRPr="00057488" w:rsidRDefault="00117596" w:rsidP="00101D02">
      <w:pPr>
        <w:spacing w:after="200"/>
        <w:jc w:val="both"/>
        <w:rPr>
          <w:rFonts w:ascii="Book Antiqua" w:hAnsi="Book Antiqua" w:cs="Book Antiqua"/>
          <w:lang w:val="es-CR"/>
        </w:rPr>
      </w:pPr>
      <w:r>
        <w:rPr>
          <w:rFonts w:ascii="Book Antiqua" w:hAnsi="Book Antiqua" w:cs="Book Antiqua"/>
          <w:lang w:val="es-CR"/>
        </w:rPr>
        <w:t>En lo que respecta al circulante, con el actual 115</w:t>
      </w:r>
      <w:r w:rsidR="0030025C">
        <w:rPr>
          <w:rFonts w:ascii="Book Antiqua" w:hAnsi="Book Antiqua" w:cs="Book Antiqua"/>
          <w:lang w:val="es-CR"/>
        </w:rPr>
        <w:t xml:space="preserve"> </w:t>
      </w:r>
      <w:r>
        <w:rPr>
          <w:rFonts w:ascii="Book Antiqua" w:hAnsi="Book Antiqua" w:cs="Book Antiqua"/>
          <w:lang w:val="es-CR"/>
        </w:rPr>
        <w:t xml:space="preserve">(a mayo 2020), se garantizan asuntos para cubrir únicamente un mes de cuota de las personas juzgadoras. </w:t>
      </w:r>
    </w:p>
    <w:p w:rsidR="00D61F8D" w:rsidRDefault="00D61F8D">
      <w:pPr>
        <w:spacing w:after="200"/>
        <w:jc w:val="both"/>
        <w:rPr>
          <w:rFonts w:ascii="Book Antiqua" w:hAnsi="Book Antiqua" w:cs="Book Antiqua"/>
          <w:lang w:val="es-CR"/>
        </w:rPr>
      </w:pPr>
    </w:p>
    <w:p w:rsidR="00E2273E" w:rsidRPr="00057488" w:rsidRDefault="00101D02" w:rsidP="00057488">
      <w:pPr>
        <w:spacing w:after="200"/>
        <w:jc w:val="both"/>
        <w:rPr>
          <w:rFonts w:ascii="Book Antiqua" w:hAnsi="Book Antiqua" w:cs="Book Antiqua"/>
          <w:lang w:val="es-CR"/>
        </w:rPr>
      </w:pPr>
      <w:r w:rsidRPr="00057488">
        <w:rPr>
          <w:rFonts w:ascii="Book Antiqua" w:hAnsi="Book Antiqua" w:cs="Book Antiqua"/>
          <w:lang w:val="es-CR"/>
        </w:rPr>
        <w:t xml:space="preserve">En el siguiente cuadro se muestra el detalle de los asuntos reportados </w:t>
      </w:r>
      <w:r w:rsidR="00117596">
        <w:rPr>
          <w:rFonts w:ascii="Book Antiqua" w:hAnsi="Book Antiqua" w:cs="Book Antiqua"/>
          <w:lang w:val="es-CR"/>
        </w:rPr>
        <w:t xml:space="preserve">en circulante de enero a mayo 2020 </w:t>
      </w:r>
      <w:r w:rsidRPr="00057488">
        <w:rPr>
          <w:rFonts w:ascii="Book Antiqua" w:hAnsi="Book Antiqua" w:cs="Book Antiqua"/>
          <w:lang w:val="es-CR"/>
        </w:rPr>
        <w:t xml:space="preserve">según la matriz de indicadores del Tribunal.  </w:t>
      </w:r>
    </w:p>
    <w:p w:rsidR="0058717B" w:rsidRPr="007160CB" w:rsidRDefault="0058717B" w:rsidP="0058717B">
      <w:pPr>
        <w:jc w:val="center"/>
        <w:rPr>
          <w:rFonts w:ascii="Book Antiqua" w:hAnsi="Book Antiqua" w:cs="Book Antiqua"/>
          <w:b/>
          <w:bCs/>
          <w:lang w:val="es-CR"/>
        </w:rPr>
      </w:pPr>
      <w:bookmarkStart w:id="2" w:name="_Hlk47706483"/>
      <w:r w:rsidRPr="007160CB">
        <w:rPr>
          <w:rFonts w:ascii="Book Antiqua" w:hAnsi="Book Antiqua" w:cs="Book Antiqua"/>
          <w:b/>
          <w:bCs/>
          <w:lang w:val="es-CR"/>
        </w:rPr>
        <w:t xml:space="preserve">Cuadro  </w:t>
      </w:r>
      <w:r w:rsidR="007E3687">
        <w:rPr>
          <w:rFonts w:ascii="Book Antiqua" w:hAnsi="Book Antiqua" w:cs="Book Antiqua"/>
          <w:b/>
          <w:bCs/>
          <w:lang w:val="es-CR"/>
        </w:rPr>
        <w:t>4</w:t>
      </w:r>
    </w:p>
    <w:p w:rsidR="0058717B" w:rsidRPr="00A86B7E" w:rsidRDefault="00574D1C" w:rsidP="0058717B">
      <w:pPr>
        <w:jc w:val="center"/>
        <w:rPr>
          <w:rFonts w:ascii="Book Antiqua" w:hAnsi="Book Antiqua" w:cs="Book Antiqua"/>
          <w:b/>
          <w:bCs/>
          <w:lang w:val="es-CR"/>
        </w:rPr>
      </w:pPr>
      <w:r w:rsidRPr="00A86B7E">
        <w:rPr>
          <w:rFonts w:ascii="Book Antiqua" w:hAnsi="Book Antiqua" w:cs="Book Antiqua"/>
          <w:b/>
          <w:bCs/>
          <w:lang w:val="es-CR"/>
        </w:rPr>
        <w:t xml:space="preserve">Cantidad de expedientes </w:t>
      </w:r>
      <w:r w:rsidR="009F64F5">
        <w:rPr>
          <w:rFonts w:ascii="Book Antiqua" w:hAnsi="Book Antiqua" w:cs="Book Antiqua"/>
          <w:b/>
          <w:bCs/>
          <w:lang w:val="es-CR"/>
        </w:rPr>
        <w:t>en circulante</w:t>
      </w:r>
    </w:p>
    <w:p w:rsidR="0058717B" w:rsidRPr="00A86B7E" w:rsidRDefault="0058717B" w:rsidP="0058717B">
      <w:pPr>
        <w:jc w:val="center"/>
        <w:rPr>
          <w:rFonts w:ascii="Book Antiqua" w:hAnsi="Book Antiqua" w:cs="Book Antiqua"/>
          <w:b/>
          <w:bCs/>
          <w:lang w:val="es-CR"/>
        </w:rPr>
      </w:pPr>
      <w:r w:rsidRPr="00A86B7E">
        <w:rPr>
          <w:rFonts w:ascii="Book Antiqua" w:hAnsi="Book Antiqua" w:cs="Book Antiqua"/>
          <w:b/>
          <w:bCs/>
          <w:lang w:val="es-CR"/>
        </w:rPr>
        <w:t>Tribunal de Apelación de Trabajo</w:t>
      </w:r>
    </w:p>
    <w:p w:rsidR="0058717B" w:rsidRPr="00A86B7E" w:rsidRDefault="0058717B" w:rsidP="0058717B">
      <w:pPr>
        <w:jc w:val="center"/>
        <w:rPr>
          <w:rFonts w:ascii="Book Antiqua" w:hAnsi="Book Antiqua" w:cs="Book Antiqua"/>
          <w:b/>
          <w:bCs/>
          <w:lang w:val="es-CR"/>
        </w:rPr>
      </w:pPr>
      <w:r w:rsidRPr="004573F5">
        <w:rPr>
          <w:rFonts w:ascii="Book Antiqua" w:hAnsi="Book Antiqua" w:cs="Book Antiqua"/>
          <w:b/>
          <w:bCs/>
          <w:lang w:val="es-CR"/>
        </w:rPr>
        <w:t>Segundo</w:t>
      </w:r>
      <w:r w:rsidRPr="00057488">
        <w:rPr>
          <w:rFonts w:ascii="Book Antiqua" w:hAnsi="Book Antiqua" w:cs="Book Antiqua"/>
          <w:b/>
          <w:bCs/>
          <w:color w:val="FF0000"/>
          <w:lang w:val="es-CR"/>
        </w:rPr>
        <w:t xml:space="preserve"> </w:t>
      </w:r>
      <w:r w:rsidRPr="00A86B7E">
        <w:rPr>
          <w:rFonts w:ascii="Book Antiqua" w:hAnsi="Book Antiqua" w:cs="Book Antiqua"/>
          <w:b/>
          <w:bCs/>
          <w:lang w:val="es-CR"/>
        </w:rPr>
        <w:t>Circuito Judicial de San José</w:t>
      </w:r>
    </w:p>
    <w:p w:rsidR="0058717B" w:rsidRPr="007160CB" w:rsidRDefault="00574D1C" w:rsidP="0058717B">
      <w:pPr>
        <w:jc w:val="center"/>
        <w:rPr>
          <w:rFonts w:ascii="Book Antiqua" w:hAnsi="Book Antiqua" w:cs="Book Antiqua"/>
          <w:b/>
          <w:bCs/>
          <w:lang w:val="es-CR"/>
        </w:rPr>
      </w:pPr>
      <w:r w:rsidRPr="00A86B7E">
        <w:rPr>
          <w:rFonts w:ascii="Book Antiqua" w:hAnsi="Book Antiqua" w:cs="Book Antiqua"/>
          <w:b/>
          <w:bCs/>
          <w:lang w:val="es-CR"/>
        </w:rPr>
        <w:t>Enero</w:t>
      </w:r>
      <w:r w:rsidR="0058717B" w:rsidRPr="00A86B7E">
        <w:rPr>
          <w:rFonts w:ascii="Book Antiqua" w:hAnsi="Book Antiqua" w:cs="Book Antiqua"/>
          <w:b/>
          <w:bCs/>
          <w:lang w:val="es-CR"/>
        </w:rPr>
        <w:t xml:space="preserve"> a mayo 2020</w:t>
      </w:r>
    </w:p>
    <w:bookmarkEnd w:id="2"/>
    <w:p w:rsidR="0058717B" w:rsidRDefault="0058717B" w:rsidP="0058717B">
      <w:pPr>
        <w:jc w:val="both"/>
        <w:rPr>
          <w:rFonts w:ascii="Book Antiqua" w:eastAsia="Arial Unicode MS" w:hAnsi="Book Antiqua"/>
          <w:color w:val="00000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78"/>
        <w:gridCol w:w="535"/>
        <w:gridCol w:w="633"/>
        <w:gridCol w:w="574"/>
        <w:gridCol w:w="536"/>
        <w:gridCol w:w="808"/>
        <w:gridCol w:w="1168"/>
        <w:gridCol w:w="1134"/>
        <w:gridCol w:w="1134"/>
      </w:tblGrid>
      <w:tr w:rsidR="00C14B8F" w:rsidRPr="00117596" w:rsidTr="00DD7B49">
        <w:trPr>
          <w:trHeight w:val="632"/>
        </w:trPr>
        <w:tc>
          <w:tcPr>
            <w:tcW w:w="1978" w:type="dxa"/>
            <w:vMerge w:val="restart"/>
            <w:shd w:val="clear" w:color="000000" w:fill="0070C0"/>
            <w:noWrap/>
            <w:vAlign w:val="center"/>
            <w:hideMark/>
          </w:tcPr>
          <w:p w:rsidR="00C14B8F" w:rsidRPr="00117596" w:rsidRDefault="00C14B8F" w:rsidP="00E357D1">
            <w:pPr>
              <w:widowControl/>
              <w:autoSpaceDE/>
              <w:autoSpaceDN/>
              <w:adjustRightInd/>
              <w:jc w:val="center"/>
              <w:rPr>
                <w:rFonts w:ascii="Book Antiqua" w:hAnsi="Book Antiqua" w:cs="Times New Roman"/>
                <w:b/>
                <w:bCs/>
                <w:color w:val="FFFFFF"/>
                <w:sz w:val="20"/>
                <w:szCs w:val="20"/>
                <w:lang w:val="es-CR" w:eastAsia="es-CR"/>
              </w:rPr>
            </w:pPr>
            <w:r w:rsidRPr="00117596">
              <w:rPr>
                <w:rFonts w:ascii="Book Antiqua" w:hAnsi="Book Antiqua" w:cs="Times New Roman"/>
                <w:b/>
                <w:bCs/>
                <w:color w:val="FFFFFF"/>
                <w:sz w:val="20"/>
                <w:szCs w:val="20"/>
                <w:lang w:val="es-CR" w:eastAsia="es-CR"/>
              </w:rPr>
              <w:t>OFICINA</w:t>
            </w:r>
          </w:p>
        </w:tc>
        <w:tc>
          <w:tcPr>
            <w:tcW w:w="3086" w:type="dxa"/>
            <w:gridSpan w:val="5"/>
            <w:shd w:val="clear" w:color="000000" w:fill="0070C0"/>
            <w:noWrap/>
            <w:vAlign w:val="center"/>
            <w:hideMark/>
          </w:tcPr>
          <w:p w:rsidR="00C14B8F" w:rsidRPr="00117596" w:rsidRDefault="00C14B8F" w:rsidP="00E357D1">
            <w:pPr>
              <w:widowControl/>
              <w:autoSpaceDE/>
              <w:autoSpaceDN/>
              <w:adjustRightInd/>
              <w:jc w:val="center"/>
              <w:rPr>
                <w:rFonts w:ascii="Book Antiqua" w:hAnsi="Book Antiqua" w:cs="Times New Roman"/>
                <w:b/>
                <w:bCs/>
                <w:color w:val="FFFFFF"/>
                <w:sz w:val="20"/>
                <w:szCs w:val="20"/>
                <w:lang w:val="es-CR" w:eastAsia="es-CR"/>
              </w:rPr>
            </w:pPr>
            <w:r w:rsidRPr="00117596">
              <w:rPr>
                <w:rFonts w:ascii="Book Antiqua" w:hAnsi="Book Antiqua" w:cs="Times New Roman"/>
                <w:b/>
                <w:bCs/>
                <w:color w:val="FFFFFF"/>
                <w:sz w:val="20"/>
                <w:szCs w:val="20"/>
                <w:lang w:val="es-CR" w:eastAsia="es-CR"/>
              </w:rPr>
              <w:t>MESES ANALIZADOS</w:t>
            </w:r>
          </w:p>
          <w:p w:rsidR="00C14B8F" w:rsidRPr="00117596" w:rsidRDefault="00C14B8F" w:rsidP="00E357D1">
            <w:pPr>
              <w:widowControl/>
              <w:autoSpaceDE/>
              <w:autoSpaceDN/>
              <w:adjustRightInd/>
              <w:jc w:val="center"/>
              <w:rPr>
                <w:rFonts w:ascii="Book Antiqua" w:hAnsi="Book Antiqua" w:cs="Times New Roman"/>
                <w:b/>
                <w:bCs/>
                <w:color w:val="FFFFFF"/>
                <w:sz w:val="20"/>
                <w:szCs w:val="20"/>
                <w:lang w:val="es-CR" w:eastAsia="es-CR"/>
              </w:rPr>
            </w:pPr>
          </w:p>
        </w:tc>
        <w:tc>
          <w:tcPr>
            <w:tcW w:w="1168" w:type="dxa"/>
            <w:vMerge w:val="restart"/>
            <w:shd w:val="clear" w:color="000000" w:fill="0070C0"/>
            <w:vAlign w:val="center"/>
          </w:tcPr>
          <w:p w:rsidR="00C14B8F" w:rsidRPr="00117596" w:rsidRDefault="00C14B8F" w:rsidP="00E357D1">
            <w:pPr>
              <w:rPr>
                <w:rFonts w:ascii="Book Antiqua" w:hAnsi="Book Antiqua" w:cs="Times New Roman"/>
                <w:b/>
                <w:bCs/>
                <w:color w:val="FFFFFF"/>
                <w:sz w:val="20"/>
                <w:szCs w:val="20"/>
                <w:lang w:val="es-CR" w:eastAsia="es-CR"/>
              </w:rPr>
            </w:pPr>
            <w:r w:rsidRPr="00117596">
              <w:rPr>
                <w:rFonts w:ascii="Book Antiqua" w:hAnsi="Book Antiqua" w:cs="Times New Roman"/>
                <w:b/>
                <w:bCs/>
                <w:color w:val="FFFFFF"/>
                <w:sz w:val="20"/>
                <w:szCs w:val="20"/>
                <w:lang w:val="es-CR" w:eastAsia="es-CR"/>
              </w:rPr>
              <w:t>Promedio</w:t>
            </w:r>
          </w:p>
        </w:tc>
        <w:tc>
          <w:tcPr>
            <w:tcW w:w="1134" w:type="dxa"/>
            <w:vMerge w:val="restart"/>
            <w:shd w:val="clear" w:color="000000" w:fill="0070C0"/>
            <w:vAlign w:val="center"/>
          </w:tcPr>
          <w:p w:rsidR="00C14B8F" w:rsidRPr="00117596" w:rsidRDefault="00C14B8F" w:rsidP="00E357D1">
            <w:pPr>
              <w:widowControl/>
              <w:autoSpaceDE/>
              <w:autoSpaceDN/>
              <w:adjustRightInd/>
              <w:jc w:val="center"/>
              <w:rPr>
                <w:rFonts w:ascii="Book Antiqua" w:hAnsi="Book Antiqua" w:cs="Times New Roman"/>
                <w:b/>
                <w:bCs/>
                <w:color w:val="FFFFFF"/>
                <w:sz w:val="20"/>
                <w:szCs w:val="20"/>
                <w:lang w:val="es-CR" w:eastAsia="es-CR"/>
              </w:rPr>
            </w:pPr>
            <w:r w:rsidRPr="00117596">
              <w:rPr>
                <w:rFonts w:ascii="Book Antiqua" w:hAnsi="Book Antiqua" w:cs="Times New Roman"/>
                <w:b/>
                <w:bCs/>
                <w:color w:val="FFFFFF"/>
                <w:sz w:val="20"/>
                <w:szCs w:val="20"/>
                <w:lang w:val="es-CR" w:eastAsia="es-CR"/>
              </w:rPr>
              <w:t>Cantidad de jueces</w:t>
            </w:r>
          </w:p>
        </w:tc>
        <w:tc>
          <w:tcPr>
            <w:tcW w:w="1134" w:type="dxa"/>
            <w:vMerge w:val="restart"/>
            <w:shd w:val="clear" w:color="000000" w:fill="0070C0"/>
            <w:vAlign w:val="center"/>
          </w:tcPr>
          <w:p w:rsidR="00C14B8F" w:rsidRPr="00117596" w:rsidRDefault="00E24621" w:rsidP="00E357D1">
            <w:pPr>
              <w:rPr>
                <w:rFonts w:ascii="Book Antiqua" w:hAnsi="Book Antiqua" w:cs="Times New Roman"/>
                <w:b/>
                <w:bCs/>
                <w:color w:val="FFFFFF"/>
                <w:sz w:val="20"/>
                <w:szCs w:val="20"/>
                <w:lang w:val="es-CR" w:eastAsia="es-CR"/>
              </w:rPr>
            </w:pPr>
            <w:r w:rsidRPr="007E3687">
              <w:rPr>
                <w:rFonts w:ascii="Book Antiqua" w:hAnsi="Book Antiqua" w:cs="Times New Roman"/>
                <w:b/>
                <w:bCs/>
                <w:color w:val="FFFFFF"/>
                <w:sz w:val="20"/>
                <w:szCs w:val="20"/>
                <w:lang w:val="es-CR" w:eastAsia="es-CR"/>
              </w:rPr>
              <w:t>Circulante</w:t>
            </w:r>
          </w:p>
        </w:tc>
      </w:tr>
      <w:tr w:rsidR="00C14B8F" w:rsidRPr="00117596" w:rsidTr="00DD7B49">
        <w:trPr>
          <w:trHeight w:val="632"/>
        </w:trPr>
        <w:tc>
          <w:tcPr>
            <w:tcW w:w="1978" w:type="dxa"/>
            <w:vMerge/>
            <w:vAlign w:val="center"/>
            <w:hideMark/>
          </w:tcPr>
          <w:p w:rsidR="00C14B8F" w:rsidRPr="00117596" w:rsidRDefault="00C14B8F" w:rsidP="00E357D1">
            <w:pPr>
              <w:widowControl/>
              <w:autoSpaceDE/>
              <w:autoSpaceDN/>
              <w:adjustRightInd/>
              <w:rPr>
                <w:rFonts w:ascii="Book Antiqua" w:hAnsi="Book Antiqua" w:cs="Times New Roman"/>
                <w:b/>
                <w:bCs/>
                <w:color w:val="FFFFFF"/>
                <w:sz w:val="20"/>
                <w:szCs w:val="20"/>
                <w:lang w:val="es-CR" w:eastAsia="es-CR"/>
              </w:rPr>
            </w:pPr>
          </w:p>
        </w:tc>
        <w:tc>
          <w:tcPr>
            <w:tcW w:w="535" w:type="dxa"/>
            <w:shd w:val="clear" w:color="000000" w:fill="0070C0"/>
            <w:noWrap/>
            <w:vAlign w:val="center"/>
            <w:hideMark/>
          </w:tcPr>
          <w:p w:rsidR="00C14B8F" w:rsidRPr="00117596" w:rsidRDefault="00C14B8F" w:rsidP="00E357D1">
            <w:pPr>
              <w:widowControl/>
              <w:autoSpaceDE/>
              <w:autoSpaceDN/>
              <w:adjustRightInd/>
              <w:jc w:val="center"/>
              <w:rPr>
                <w:rFonts w:ascii="Book Antiqua" w:hAnsi="Book Antiqua" w:cs="Times New Roman"/>
                <w:b/>
                <w:bCs/>
                <w:color w:val="FFFFFF"/>
                <w:sz w:val="20"/>
                <w:szCs w:val="20"/>
                <w:lang w:val="es-CR" w:eastAsia="es-CR"/>
              </w:rPr>
            </w:pPr>
            <w:r w:rsidRPr="00117596">
              <w:rPr>
                <w:rFonts w:ascii="Book Antiqua" w:hAnsi="Book Antiqua" w:cs="Times New Roman"/>
                <w:b/>
                <w:bCs/>
                <w:color w:val="FFFFFF"/>
                <w:sz w:val="20"/>
                <w:szCs w:val="20"/>
                <w:lang w:val="es-CR" w:eastAsia="es-CR"/>
              </w:rPr>
              <w:t>ene-20</w:t>
            </w:r>
          </w:p>
        </w:tc>
        <w:tc>
          <w:tcPr>
            <w:tcW w:w="633" w:type="dxa"/>
            <w:shd w:val="clear" w:color="000000" w:fill="0070C0"/>
            <w:noWrap/>
            <w:vAlign w:val="center"/>
            <w:hideMark/>
          </w:tcPr>
          <w:p w:rsidR="00C14B8F" w:rsidRPr="00117596" w:rsidRDefault="00C14B8F" w:rsidP="00E357D1">
            <w:pPr>
              <w:widowControl/>
              <w:autoSpaceDE/>
              <w:autoSpaceDN/>
              <w:adjustRightInd/>
              <w:jc w:val="center"/>
              <w:rPr>
                <w:rFonts w:ascii="Book Antiqua" w:hAnsi="Book Antiqua" w:cs="Times New Roman"/>
                <w:b/>
                <w:bCs/>
                <w:color w:val="FFFFFF"/>
                <w:sz w:val="20"/>
                <w:szCs w:val="20"/>
                <w:lang w:val="es-CR" w:eastAsia="es-CR"/>
              </w:rPr>
            </w:pPr>
            <w:r w:rsidRPr="00117596">
              <w:rPr>
                <w:rFonts w:ascii="Book Antiqua" w:hAnsi="Book Antiqua" w:cs="Times New Roman"/>
                <w:b/>
                <w:bCs/>
                <w:color w:val="FFFFFF"/>
                <w:sz w:val="20"/>
                <w:szCs w:val="20"/>
                <w:lang w:val="es-CR" w:eastAsia="es-CR"/>
              </w:rPr>
              <w:t>feb-20</w:t>
            </w:r>
          </w:p>
        </w:tc>
        <w:tc>
          <w:tcPr>
            <w:tcW w:w="574" w:type="dxa"/>
            <w:shd w:val="clear" w:color="000000" w:fill="0070C0"/>
            <w:noWrap/>
            <w:vAlign w:val="center"/>
            <w:hideMark/>
          </w:tcPr>
          <w:p w:rsidR="00C14B8F" w:rsidRPr="00117596" w:rsidRDefault="00C14B8F" w:rsidP="00E357D1">
            <w:pPr>
              <w:widowControl/>
              <w:autoSpaceDE/>
              <w:autoSpaceDN/>
              <w:adjustRightInd/>
              <w:jc w:val="center"/>
              <w:rPr>
                <w:rFonts w:ascii="Book Antiqua" w:hAnsi="Book Antiqua" w:cs="Times New Roman"/>
                <w:b/>
                <w:bCs/>
                <w:color w:val="FFFFFF"/>
                <w:sz w:val="20"/>
                <w:szCs w:val="20"/>
                <w:lang w:val="es-CR" w:eastAsia="es-CR"/>
              </w:rPr>
            </w:pPr>
            <w:r w:rsidRPr="00117596">
              <w:rPr>
                <w:rFonts w:ascii="Book Antiqua" w:hAnsi="Book Antiqua" w:cs="Times New Roman"/>
                <w:b/>
                <w:bCs/>
                <w:color w:val="FFFFFF"/>
                <w:sz w:val="20"/>
                <w:szCs w:val="20"/>
                <w:lang w:val="es-CR" w:eastAsia="es-CR"/>
              </w:rPr>
              <w:t>mar-20</w:t>
            </w:r>
          </w:p>
        </w:tc>
        <w:tc>
          <w:tcPr>
            <w:tcW w:w="536" w:type="dxa"/>
            <w:shd w:val="clear" w:color="000000" w:fill="0070C0"/>
            <w:noWrap/>
            <w:vAlign w:val="center"/>
            <w:hideMark/>
          </w:tcPr>
          <w:p w:rsidR="00C14B8F" w:rsidRPr="00117596" w:rsidRDefault="00C14B8F" w:rsidP="00E357D1">
            <w:pPr>
              <w:widowControl/>
              <w:autoSpaceDE/>
              <w:autoSpaceDN/>
              <w:adjustRightInd/>
              <w:jc w:val="center"/>
              <w:rPr>
                <w:rFonts w:ascii="Book Antiqua" w:hAnsi="Book Antiqua" w:cs="Times New Roman"/>
                <w:b/>
                <w:bCs/>
                <w:color w:val="FFFFFF"/>
                <w:sz w:val="20"/>
                <w:szCs w:val="20"/>
                <w:lang w:val="es-CR" w:eastAsia="es-CR"/>
              </w:rPr>
            </w:pPr>
            <w:r w:rsidRPr="00117596">
              <w:rPr>
                <w:rFonts w:ascii="Book Antiqua" w:hAnsi="Book Antiqua" w:cs="Times New Roman"/>
                <w:b/>
                <w:bCs/>
                <w:color w:val="FFFFFF"/>
                <w:sz w:val="20"/>
                <w:szCs w:val="20"/>
                <w:lang w:val="es-CR" w:eastAsia="es-CR"/>
              </w:rPr>
              <w:t>abr-20</w:t>
            </w:r>
          </w:p>
        </w:tc>
        <w:tc>
          <w:tcPr>
            <w:tcW w:w="808" w:type="dxa"/>
            <w:shd w:val="clear" w:color="000000" w:fill="0070C0"/>
            <w:noWrap/>
            <w:vAlign w:val="center"/>
            <w:hideMark/>
          </w:tcPr>
          <w:p w:rsidR="00C14B8F" w:rsidRPr="00117596" w:rsidRDefault="00C14B8F" w:rsidP="00E357D1">
            <w:pPr>
              <w:widowControl/>
              <w:autoSpaceDE/>
              <w:autoSpaceDN/>
              <w:adjustRightInd/>
              <w:jc w:val="center"/>
              <w:rPr>
                <w:rFonts w:ascii="Book Antiqua" w:hAnsi="Book Antiqua" w:cs="Times New Roman"/>
                <w:b/>
                <w:bCs/>
                <w:color w:val="FFFFFF"/>
                <w:sz w:val="20"/>
                <w:szCs w:val="20"/>
                <w:lang w:val="es-CR" w:eastAsia="es-CR"/>
              </w:rPr>
            </w:pPr>
            <w:r w:rsidRPr="00117596">
              <w:rPr>
                <w:rFonts w:ascii="Book Antiqua" w:hAnsi="Book Antiqua" w:cs="Times New Roman"/>
                <w:b/>
                <w:bCs/>
                <w:color w:val="FFFFFF"/>
                <w:sz w:val="20"/>
                <w:szCs w:val="20"/>
                <w:lang w:val="es-CR" w:eastAsia="es-CR"/>
              </w:rPr>
              <w:t>may-20</w:t>
            </w:r>
          </w:p>
        </w:tc>
        <w:tc>
          <w:tcPr>
            <w:tcW w:w="1168" w:type="dxa"/>
            <w:vMerge/>
            <w:vAlign w:val="center"/>
          </w:tcPr>
          <w:p w:rsidR="00C14B8F" w:rsidRPr="00117596" w:rsidRDefault="00C14B8F" w:rsidP="00E357D1">
            <w:pPr>
              <w:widowControl/>
              <w:autoSpaceDE/>
              <w:autoSpaceDN/>
              <w:adjustRightInd/>
              <w:rPr>
                <w:rFonts w:ascii="Book Antiqua" w:hAnsi="Book Antiqua" w:cs="Times New Roman"/>
                <w:b/>
                <w:bCs/>
                <w:color w:val="FFFFFF"/>
                <w:sz w:val="20"/>
                <w:szCs w:val="20"/>
                <w:lang w:val="es-CR" w:eastAsia="es-CR"/>
              </w:rPr>
            </w:pPr>
          </w:p>
        </w:tc>
        <w:tc>
          <w:tcPr>
            <w:tcW w:w="1134" w:type="dxa"/>
            <w:vMerge/>
            <w:vAlign w:val="center"/>
          </w:tcPr>
          <w:p w:rsidR="00C14B8F" w:rsidRPr="00117596" w:rsidRDefault="00C14B8F" w:rsidP="00E357D1">
            <w:pPr>
              <w:widowControl/>
              <w:autoSpaceDE/>
              <w:autoSpaceDN/>
              <w:adjustRightInd/>
              <w:rPr>
                <w:rFonts w:ascii="Book Antiqua" w:hAnsi="Book Antiqua" w:cs="Times New Roman"/>
                <w:b/>
                <w:bCs/>
                <w:color w:val="FFFFFF"/>
                <w:sz w:val="20"/>
                <w:szCs w:val="20"/>
                <w:lang w:val="es-CR" w:eastAsia="es-CR"/>
              </w:rPr>
            </w:pPr>
          </w:p>
        </w:tc>
        <w:tc>
          <w:tcPr>
            <w:tcW w:w="1134" w:type="dxa"/>
            <w:vMerge/>
            <w:vAlign w:val="center"/>
          </w:tcPr>
          <w:p w:rsidR="00C14B8F" w:rsidRPr="00117596" w:rsidRDefault="00C14B8F" w:rsidP="00E357D1">
            <w:pPr>
              <w:widowControl/>
              <w:autoSpaceDE/>
              <w:autoSpaceDN/>
              <w:adjustRightInd/>
              <w:rPr>
                <w:rFonts w:ascii="Book Antiqua" w:hAnsi="Book Antiqua" w:cs="Times New Roman"/>
                <w:b/>
                <w:bCs/>
                <w:color w:val="FFFFFF"/>
                <w:sz w:val="20"/>
                <w:szCs w:val="20"/>
                <w:lang w:val="es-CR" w:eastAsia="es-CR"/>
              </w:rPr>
            </w:pPr>
          </w:p>
        </w:tc>
      </w:tr>
      <w:tr w:rsidR="0030025C" w:rsidRPr="00117596" w:rsidTr="00057488">
        <w:trPr>
          <w:trHeight w:val="1264"/>
        </w:trPr>
        <w:tc>
          <w:tcPr>
            <w:tcW w:w="1978" w:type="dxa"/>
            <w:shd w:val="clear" w:color="auto" w:fill="auto"/>
            <w:vAlign w:val="center"/>
            <w:hideMark/>
          </w:tcPr>
          <w:p w:rsidR="0030025C" w:rsidRPr="00117596" w:rsidRDefault="0030025C" w:rsidP="00E357D1">
            <w:pPr>
              <w:widowControl/>
              <w:autoSpaceDE/>
              <w:autoSpaceDN/>
              <w:adjustRightInd/>
              <w:rPr>
                <w:rFonts w:ascii="Book Antiqua" w:hAnsi="Book Antiqua" w:cs="Times New Roman"/>
                <w:sz w:val="20"/>
                <w:szCs w:val="20"/>
                <w:lang w:val="es-CR" w:eastAsia="es-CR"/>
              </w:rPr>
            </w:pPr>
            <w:r w:rsidRPr="00117596">
              <w:rPr>
                <w:rFonts w:ascii="Book Antiqua" w:hAnsi="Book Antiqua" w:cs="Times New Roman"/>
                <w:sz w:val="20"/>
                <w:szCs w:val="20"/>
                <w:lang w:val="es-CR" w:eastAsia="es-CR"/>
              </w:rPr>
              <w:t>Tribunal de Apelación de Trabajo del Segundo Circuito Judicial de San José</w:t>
            </w:r>
          </w:p>
        </w:tc>
        <w:tc>
          <w:tcPr>
            <w:tcW w:w="535" w:type="dxa"/>
            <w:vMerge w:val="restart"/>
            <w:shd w:val="clear" w:color="auto" w:fill="auto"/>
            <w:noWrap/>
            <w:vAlign w:val="center"/>
            <w:hideMark/>
          </w:tcPr>
          <w:p w:rsidR="0030025C" w:rsidRPr="00117596" w:rsidRDefault="0030025C" w:rsidP="00E357D1">
            <w:pPr>
              <w:widowControl/>
              <w:autoSpaceDE/>
              <w:autoSpaceDN/>
              <w:adjustRightInd/>
              <w:jc w:val="center"/>
              <w:rPr>
                <w:rFonts w:ascii="Book Antiqua" w:hAnsi="Book Antiqua" w:cs="Times New Roman"/>
                <w:sz w:val="20"/>
                <w:szCs w:val="20"/>
                <w:lang w:val="es-CR" w:eastAsia="es-CR"/>
              </w:rPr>
            </w:pPr>
            <w:r w:rsidRPr="00117596">
              <w:rPr>
                <w:rFonts w:ascii="Book Antiqua" w:hAnsi="Book Antiqua"/>
                <w:sz w:val="20"/>
                <w:szCs w:val="20"/>
                <w:lang w:val="es-CR" w:eastAsia="es-CR"/>
              </w:rPr>
              <w:t>93</w:t>
            </w:r>
          </w:p>
        </w:tc>
        <w:tc>
          <w:tcPr>
            <w:tcW w:w="633" w:type="dxa"/>
            <w:vMerge w:val="restart"/>
            <w:shd w:val="clear" w:color="auto" w:fill="auto"/>
            <w:noWrap/>
            <w:vAlign w:val="center"/>
            <w:hideMark/>
          </w:tcPr>
          <w:p w:rsidR="0030025C" w:rsidRPr="00117596" w:rsidRDefault="0030025C" w:rsidP="00E357D1">
            <w:pPr>
              <w:widowControl/>
              <w:autoSpaceDE/>
              <w:autoSpaceDN/>
              <w:adjustRightInd/>
              <w:jc w:val="center"/>
              <w:rPr>
                <w:rFonts w:ascii="Book Antiqua" w:hAnsi="Book Antiqua" w:cs="Times New Roman"/>
                <w:sz w:val="20"/>
                <w:szCs w:val="20"/>
                <w:lang w:val="es-CR" w:eastAsia="es-CR"/>
              </w:rPr>
            </w:pPr>
            <w:r w:rsidRPr="00117596">
              <w:rPr>
                <w:rFonts w:ascii="Book Antiqua" w:hAnsi="Book Antiqua"/>
                <w:sz w:val="20"/>
                <w:szCs w:val="20"/>
                <w:lang w:val="es-CR" w:eastAsia="es-CR"/>
              </w:rPr>
              <w:t>110</w:t>
            </w:r>
          </w:p>
        </w:tc>
        <w:tc>
          <w:tcPr>
            <w:tcW w:w="574" w:type="dxa"/>
            <w:vMerge w:val="restart"/>
            <w:shd w:val="clear" w:color="auto" w:fill="auto"/>
            <w:noWrap/>
            <w:vAlign w:val="center"/>
            <w:hideMark/>
          </w:tcPr>
          <w:p w:rsidR="0030025C" w:rsidRPr="00117596" w:rsidRDefault="0030025C" w:rsidP="00E357D1">
            <w:pPr>
              <w:widowControl/>
              <w:autoSpaceDE/>
              <w:autoSpaceDN/>
              <w:adjustRightInd/>
              <w:jc w:val="center"/>
              <w:rPr>
                <w:rFonts w:ascii="Book Antiqua" w:hAnsi="Book Antiqua" w:cs="Times New Roman"/>
                <w:sz w:val="20"/>
                <w:szCs w:val="20"/>
                <w:lang w:val="es-CR" w:eastAsia="es-CR"/>
              </w:rPr>
            </w:pPr>
            <w:r w:rsidRPr="00117596">
              <w:rPr>
                <w:rFonts w:ascii="Book Antiqua" w:hAnsi="Book Antiqua"/>
                <w:sz w:val="20"/>
                <w:szCs w:val="20"/>
                <w:lang w:val="es-CR" w:eastAsia="es-CR"/>
              </w:rPr>
              <w:t>145</w:t>
            </w:r>
          </w:p>
        </w:tc>
        <w:tc>
          <w:tcPr>
            <w:tcW w:w="536" w:type="dxa"/>
            <w:vMerge w:val="restart"/>
            <w:shd w:val="clear" w:color="auto" w:fill="auto"/>
            <w:noWrap/>
            <w:vAlign w:val="center"/>
            <w:hideMark/>
          </w:tcPr>
          <w:p w:rsidR="0030025C" w:rsidRPr="00117596" w:rsidRDefault="0030025C" w:rsidP="00E357D1">
            <w:pPr>
              <w:widowControl/>
              <w:autoSpaceDE/>
              <w:autoSpaceDN/>
              <w:adjustRightInd/>
              <w:jc w:val="center"/>
              <w:rPr>
                <w:rFonts w:ascii="Book Antiqua" w:hAnsi="Book Antiqua" w:cs="Times New Roman"/>
                <w:sz w:val="20"/>
                <w:szCs w:val="20"/>
                <w:lang w:val="es-CR" w:eastAsia="es-CR"/>
              </w:rPr>
            </w:pPr>
            <w:r w:rsidRPr="00117596">
              <w:rPr>
                <w:rFonts w:ascii="Book Antiqua" w:hAnsi="Book Antiqua"/>
                <w:sz w:val="20"/>
                <w:szCs w:val="20"/>
                <w:lang w:val="es-CR" w:eastAsia="es-CR"/>
              </w:rPr>
              <w:t>98</w:t>
            </w:r>
          </w:p>
        </w:tc>
        <w:tc>
          <w:tcPr>
            <w:tcW w:w="808" w:type="dxa"/>
            <w:vMerge w:val="restart"/>
            <w:shd w:val="clear" w:color="auto" w:fill="auto"/>
            <w:noWrap/>
            <w:vAlign w:val="center"/>
            <w:hideMark/>
          </w:tcPr>
          <w:p w:rsidR="0030025C" w:rsidRPr="00117596" w:rsidRDefault="0030025C" w:rsidP="00E357D1">
            <w:pPr>
              <w:widowControl/>
              <w:autoSpaceDE/>
              <w:autoSpaceDN/>
              <w:adjustRightInd/>
              <w:jc w:val="center"/>
              <w:rPr>
                <w:rFonts w:ascii="Book Antiqua" w:hAnsi="Book Antiqua" w:cs="Times New Roman"/>
                <w:sz w:val="20"/>
                <w:szCs w:val="20"/>
                <w:lang w:val="es-CR" w:eastAsia="es-CR"/>
              </w:rPr>
            </w:pPr>
            <w:r w:rsidRPr="00117596">
              <w:rPr>
                <w:rFonts w:ascii="Book Antiqua" w:hAnsi="Book Antiqua"/>
                <w:sz w:val="20"/>
                <w:szCs w:val="20"/>
                <w:lang w:val="es-CR" w:eastAsia="es-CR"/>
              </w:rPr>
              <w:t>115</w:t>
            </w:r>
          </w:p>
        </w:tc>
        <w:tc>
          <w:tcPr>
            <w:tcW w:w="1168" w:type="dxa"/>
            <w:vAlign w:val="center"/>
          </w:tcPr>
          <w:p w:rsidR="0030025C" w:rsidRPr="00117596" w:rsidRDefault="0030025C" w:rsidP="00E357D1">
            <w:pPr>
              <w:widowControl/>
              <w:autoSpaceDE/>
              <w:autoSpaceDN/>
              <w:adjustRightInd/>
              <w:jc w:val="center"/>
              <w:rPr>
                <w:rFonts w:ascii="Book Antiqua" w:hAnsi="Book Antiqua"/>
                <w:sz w:val="20"/>
                <w:szCs w:val="20"/>
                <w:lang w:val="es-CR" w:eastAsia="es-CR"/>
              </w:rPr>
            </w:pPr>
            <w:r w:rsidRPr="00117596">
              <w:rPr>
                <w:rFonts w:ascii="Book Antiqua" w:hAnsi="Book Antiqua"/>
                <w:sz w:val="20"/>
                <w:szCs w:val="20"/>
                <w:lang w:val="es-CR" w:eastAsia="es-CR"/>
              </w:rPr>
              <w:t>94</w:t>
            </w:r>
          </w:p>
        </w:tc>
        <w:tc>
          <w:tcPr>
            <w:tcW w:w="1134" w:type="dxa"/>
            <w:vAlign w:val="center"/>
          </w:tcPr>
          <w:p w:rsidR="0030025C" w:rsidRPr="00117596" w:rsidRDefault="0030025C" w:rsidP="00057488">
            <w:pPr>
              <w:widowControl/>
              <w:autoSpaceDE/>
              <w:autoSpaceDN/>
              <w:adjustRightInd/>
              <w:ind w:left="153" w:hanging="153"/>
              <w:jc w:val="center"/>
              <w:rPr>
                <w:rFonts w:ascii="Book Antiqua" w:hAnsi="Book Antiqua" w:cs="Times New Roman"/>
                <w:sz w:val="20"/>
                <w:szCs w:val="20"/>
                <w:lang w:val="es-CR" w:eastAsia="es-CR"/>
              </w:rPr>
            </w:pPr>
            <w:r w:rsidRPr="00117596">
              <w:rPr>
                <w:rFonts w:ascii="Book Antiqua" w:hAnsi="Book Antiqua"/>
                <w:sz w:val="20"/>
                <w:szCs w:val="20"/>
                <w:lang w:val="es-CR" w:eastAsia="es-CR"/>
              </w:rPr>
              <w:t>6</w:t>
            </w:r>
          </w:p>
        </w:tc>
        <w:tc>
          <w:tcPr>
            <w:tcW w:w="1134" w:type="dxa"/>
            <w:vAlign w:val="center"/>
          </w:tcPr>
          <w:p w:rsidR="0030025C" w:rsidRPr="00117596" w:rsidRDefault="0030025C" w:rsidP="00E357D1">
            <w:pPr>
              <w:widowControl/>
              <w:autoSpaceDE/>
              <w:autoSpaceDN/>
              <w:adjustRightInd/>
              <w:jc w:val="center"/>
              <w:rPr>
                <w:rFonts w:ascii="Book Antiqua" w:hAnsi="Book Antiqua"/>
                <w:sz w:val="20"/>
                <w:szCs w:val="20"/>
                <w:lang w:val="es-CR" w:eastAsia="es-CR"/>
              </w:rPr>
            </w:pPr>
            <w:r w:rsidRPr="00117596">
              <w:rPr>
                <w:rFonts w:ascii="Book Antiqua" w:hAnsi="Book Antiqua"/>
                <w:sz w:val="20"/>
                <w:szCs w:val="20"/>
                <w:lang w:val="es-CR" w:eastAsia="es-CR"/>
              </w:rPr>
              <w:t xml:space="preserve">16  </w:t>
            </w:r>
          </w:p>
        </w:tc>
      </w:tr>
      <w:tr w:rsidR="0030025C" w:rsidRPr="0058717B" w:rsidTr="00057488">
        <w:trPr>
          <w:trHeight w:val="1264"/>
        </w:trPr>
        <w:tc>
          <w:tcPr>
            <w:tcW w:w="1978" w:type="dxa"/>
            <w:shd w:val="clear" w:color="auto" w:fill="auto"/>
            <w:vAlign w:val="center"/>
          </w:tcPr>
          <w:p w:rsidR="0030025C" w:rsidRPr="00117596" w:rsidRDefault="0030025C" w:rsidP="00E357D1">
            <w:pPr>
              <w:widowControl/>
              <w:autoSpaceDE/>
              <w:autoSpaceDN/>
              <w:adjustRightInd/>
              <w:rPr>
                <w:rFonts w:ascii="Book Antiqua" w:hAnsi="Book Antiqua" w:cs="Times New Roman"/>
                <w:sz w:val="20"/>
                <w:szCs w:val="20"/>
                <w:lang w:val="es-CR" w:eastAsia="es-CR"/>
              </w:rPr>
            </w:pPr>
            <w:r w:rsidRPr="00117596">
              <w:rPr>
                <w:rFonts w:ascii="Book Antiqua" w:hAnsi="Book Antiqua" w:cs="Times New Roman"/>
                <w:sz w:val="20"/>
                <w:szCs w:val="20"/>
                <w:lang w:val="es-CR" w:eastAsia="es-CR"/>
              </w:rPr>
              <w:t>Escenario en caso de aprobarse el informe 457</w:t>
            </w:r>
            <w:r w:rsidRPr="00117596">
              <w:rPr>
                <w:rFonts w:ascii="Book Antiqua" w:hAnsi="Book Antiqua" w:cs="Book Antiqua"/>
                <w:lang w:val="es-CR"/>
              </w:rPr>
              <w:t>-PLA-EV-2020</w:t>
            </w:r>
          </w:p>
        </w:tc>
        <w:tc>
          <w:tcPr>
            <w:tcW w:w="535" w:type="dxa"/>
            <w:vMerge/>
            <w:shd w:val="clear" w:color="auto" w:fill="auto"/>
            <w:noWrap/>
            <w:vAlign w:val="center"/>
          </w:tcPr>
          <w:p w:rsidR="0030025C" w:rsidRPr="00117596" w:rsidRDefault="0030025C" w:rsidP="00E357D1">
            <w:pPr>
              <w:widowControl/>
              <w:autoSpaceDE/>
              <w:autoSpaceDN/>
              <w:adjustRightInd/>
              <w:jc w:val="center"/>
              <w:rPr>
                <w:rFonts w:ascii="Book Antiqua" w:hAnsi="Book Antiqua"/>
                <w:sz w:val="20"/>
                <w:szCs w:val="20"/>
                <w:lang w:val="es-CR" w:eastAsia="es-CR"/>
              </w:rPr>
            </w:pPr>
          </w:p>
        </w:tc>
        <w:tc>
          <w:tcPr>
            <w:tcW w:w="633" w:type="dxa"/>
            <w:vMerge/>
            <w:shd w:val="clear" w:color="auto" w:fill="auto"/>
            <w:noWrap/>
            <w:vAlign w:val="center"/>
          </w:tcPr>
          <w:p w:rsidR="0030025C" w:rsidRPr="00117596" w:rsidRDefault="0030025C" w:rsidP="00E357D1">
            <w:pPr>
              <w:widowControl/>
              <w:autoSpaceDE/>
              <w:autoSpaceDN/>
              <w:adjustRightInd/>
              <w:jc w:val="center"/>
              <w:rPr>
                <w:rFonts w:ascii="Book Antiqua" w:hAnsi="Book Antiqua"/>
                <w:sz w:val="20"/>
                <w:szCs w:val="20"/>
                <w:lang w:val="es-CR" w:eastAsia="es-CR"/>
              </w:rPr>
            </w:pPr>
          </w:p>
        </w:tc>
        <w:tc>
          <w:tcPr>
            <w:tcW w:w="574" w:type="dxa"/>
            <w:vMerge/>
            <w:shd w:val="clear" w:color="auto" w:fill="auto"/>
            <w:noWrap/>
            <w:vAlign w:val="center"/>
          </w:tcPr>
          <w:p w:rsidR="0030025C" w:rsidRPr="00117596" w:rsidRDefault="0030025C" w:rsidP="00E357D1">
            <w:pPr>
              <w:widowControl/>
              <w:autoSpaceDE/>
              <w:autoSpaceDN/>
              <w:adjustRightInd/>
              <w:jc w:val="center"/>
              <w:rPr>
                <w:rFonts w:ascii="Book Antiqua" w:hAnsi="Book Antiqua"/>
                <w:sz w:val="20"/>
                <w:szCs w:val="20"/>
                <w:lang w:val="es-CR" w:eastAsia="es-CR"/>
              </w:rPr>
            </w:pPr>
          </w:p>
        </w:tc>
        <w:tc>
          <w:tcPr>
            <w:tcW w:w="536" w:type="dxa"/>
            <w:vMerge/>
            <w:shd w:val="clear" w:color="auto" w:fill="auto"/>
            <w:noWrap/>
            <w:vAlign w:val="center"/>
          </w:tcPr>
          <w:p w:rsidR="0030025C" w:rsidRPr="00117596" w:rsidRDefault="0030025C" w:rsidP="00E357D1">
            <w:pPr>
              <w:widowControl/>
              <w:autoSpaceDE/>
              <w:autoSpaceDN/>
              <w:adjustRightInd/>
              <w:jc w:val="center"/>
              <w:rPr>
                <w:rFonts w:ascii="Book Antiqua" w:hAnsi="Book Antiqua"/>
                <w:sz w:val="20"/>
                <w:szCs w:val="20"/>
                <w:lang w:val="es-CR" w:eastAsia="es-CR"/>
              </w:rPr>
            </w:pPr>
          </w:p>
        </w:tc>
        <w:tc>
          <w:tcPr>
            <w:tcW w:w="808" w:type="dxa"/>
            <w:vMerge/>
            <w:shd w:val="clear" w:color="auto" w:fill="auto"/>
            <w:noWrap/>
            <w:vAlign w:val="center"/>
          </w:tcPr>
          <w:p w:rsidR="0030025C" w:rsidRPr="00117596" w:rsidRDefault="0030025C" w:rsidP="00E357D1">
            <w:pPr>
              <w:widowControl/>
              <w:autoSpaceDE/>
              <w:autoSpaceDN/>
              <w:adjustRightInd/>
              <w:jc w:val="center"/>
              <w:rPr>
                <w:rFonts w:ascii="Book Antiqua" w:hAnsi="Book Antiqua"/>
                <w:sz w:val="20"/>
                <w:szCs w:val="20"/>
                <w:lang w:val="es-CR" w:eastAsia="es-CR"/>
              </w:rPr>
            </w:pPr>
          </w:p>
        </w:tc>
        <w:tc>
          <w:tcPr>
            <w:tcW w:w="1168" w:type="dxa"/>
            <w:vAlign w:val="center"/>
          </w:tcPr>
          <w:p w:rsidR="0030025C" w:rsidRPr="00117596" w:rsidRDefault="0030025C" w:rsidP="00E357D1">
            <w:pPr>
              <w:widowControl/>
              <w:autoSpaceDE/>
              <w:autoSpaceDN/>
              <w:adjustRightInd/>
              <w:jc w:val="center"/>
              <w:rPr>
                <w:rFonts w:ascii="Book Antiqua" w:hAnsi="Book Antiqua"/>
                <w:sz w:val="20"/>
                <w:szCs w:val="20"/>
                <w:lang w:val="es-CR" w:eastAsia="es-CR"/>
              </w:rPr>
            </w:pPr>
            <w:r w:rsidRPr="00117596">
              <w:rPr>
                <w:rFonts w:ascii="Book Antiqua" w:hAnsi="Book Antiqua"/>
                <w:sz w:val="20"/>
                <w:szCs w:val="20"/>
                <w:lang w:val="es-CR" w:eastAsia="es-CR"/>
              </w:rPr>
              <w:t>94</w:t>
            </w:r>
          </w:p>
        </w:tc>
        <w:tc>
          <w:tcPr>
            <w:tcW w:w="1134" w:type="dxa"/>
            <w:vAlign w:val="center"/>
          </w:tcPr>
          <w:p w:rsidR="0030025C" w:rsidRPr="00117596" w:rsidRDefault="0030025C" w:rsidP="00E357D1">
            <w:pPr>
              <w:widowControl/>
              <w:autoSpaceDE/>
              <w:autoSpaceDN/>
              <w:adjustRightInd/>
              <w:jc w:val="center"/>
              <w:rPr>
                <w:rFonts w:ascii="Book Antiqua" w:hAnsi="Book Antiqua"/>
                <w:sz w:val="20"/>
                <w:szCs w:val="20"/>
                <w:lang w:val="es-CR" w:eastAsia="es-CR"/>
              </w:rPr>
            </w:pPr>
            <w:r w:rsidRPr="00117596">
              <w:rPr>
                <w:rFonts w:ascii="Book Antiqua" w:hAnsi="Book Antiqua"/>
                <w:sz w:val="20"/>
                <w:szCs w:val="20"/>
                <w:lang w:val="es-CR" w:eastAsia="es-CR"/>
              </w:rPr>
              <w:t>4</w:t>
            </w:r>
          </w:p>
        </w:tc>
        <w:tc>
          <w:tcPr>
            <w:tcW w:w="1134" w:type="dxa"/>
            <w:vAlign w:val="center"/>
          </w:tcPr>
          <w:p w:rsidR="0030025C" w:rsidRPr="00117596" w:rsidRDefault="0030025C" w:rsidP="00E357D1">
            <w:pPr>
              <w:widowControl/>
              <w:autoSpaceDE/>
              <w:autoSpaceDN/>
              <w:adjustRightInd/>
              <w:jc w:val="center"/>
              <w:rPr>
                <w:rFonts w:ascii="Book Antiqua" w:hAnsi="Book Antiqua"/>
                <w:sz w:val="20"/>
                <w:szCs w:val="20"/>
                <w:lang w:val="es-CR" w:eastAsia="es-CR"/>
              </w:rPr>
            </w:pPr>
            <w:r w:rsidRPr="00117596">
              <w:rPr>
                <w:rFonts w:ascii="Book Antiqua" w:hAnsi="Book Antiqua"/>
                <w:sz w:val="20"/>
                <w:szCs w:val="20"/>
                <w:lang w:val="es-CR" w:eastAsia="es-CR"/>
              </w:rPr>
              <w:t>24</w:t>
            </w:r>
          </w:p>
        </w:tc>
      </w:tr>
    </w:tbl>
    <w:p w:rsidR="00B53C4B" w:rsidRDefault="00B53C4B">
      <w:pPr>
        <w:jc w:val="both"/>
        <w:rPr>
          <w:rFonts w:ascii="Book Antiqua" w:hAnsi="Book Antiqua"/>
          <w:sz w:val="16"/>
          <w:szCs w:val="16"/>
        </w:rPr>
      </w:pPr>
      <w:r>
        <w:rPr>
          <w:rFonts w:ascii="Book Antiqua" w:hAnsi="Book Antiqua"/>
          <w:sz w:val="16"/>
          <w:szCs w:val="16"/>
        </w:rPr>
        <w:t xml:space="preserve">Nota(1): </w:t>
      </w:r>
      <w:r w:rsidR="00A9436D">
        <w:rPr>
          <w:rFonts w:ascii="Book Antiqua" w:hAnsi="Book Antiqua"/>
          <w:sz w:val="16"/>
          <w:szCs w:val="16"/>
        </w:rPr>
        <w:t xml:space="preserve">La cuota teórica de terminados </w:t>
      </w:r>
      <w:r w:rsidR="00E24621">
        <w:rPr>
          <w:rFonts w:ascii="Book Antiqua" w:hAnsi="Book Antiqua"/>
          <w:sz w:val="16"/>
          <w:szCs w:val="16"/>
        </w:rPr>
        <w:t>individual es</w:t>
      </w:r>
      <w:r w:rsidR="00B70856">
        <w:rPr>
          <w:rFonts w:ascii="Book Antiqua" w:hAnsi="Book Antiqua"/>
          <w:sz w:val="16"/>
          <w:szCs w:val="16"/>
        </w:rPr>
        <w:t xml:space="preserve"> 21 fallos por la cantidad de plazas de Juez del Tribunal</w:t>
      </w:r>
    </w:p>
    <w:p w:rsidR="0058717B" w:rsidRPr="00EB7319" w:rsidRDefault="0058717B" w:rsidP="00EB7319">
      <w:pPr>
        <w:jc w:val="both"/>
        <w:rPr>
          <w:rFonts w:ascii="Book Antiqua" w:hAnsi="Book Antiqua" w:cs="Times New Roman"/>
          <w:sz w:val="16"/>
          <w:szCs w:val="16"/>
          <w:u w:color="000000"/>
        </w:rPr>
      </w:pPr>
      <w:r w:rsidRPr="00E357D1">
        <w:rPr>
          <w:rFonts w:ascii="Book Antiqua" w:hAnsi="Book Antiqua"/>
          <w:sz w:val="16"/>
          <w:szCs w:val="16"/>
        </w:rPr>
        <w:t>Fuente: Indicadores de Gestión de</w:t>
      </w:r>
      <w:r>
        <w:rPr>
          <w:rFonts w:ascii="Book Antiqua" w:hAnsi="Book Antiqua"/>
          <w:sz w:val="16"/>
          <w:szCs w:val="16"/>
        </w:rPr>
        <w:t xml:space="preserve"> </w:t>
      </w:r>
      <w:r w:rsidR="007E3687">
        <w:rPr>
          <w:rFonts w:ascii="Book Antiqua" w:hAnsi="Book Antiqua"/>
          <w:sz w:val="16"/>
          <w:szCs w:val="16"/>
        </w:rPr>
        <w:t>los</w:t>
      </w:r>
      <w:r>
        <w:rPr>
          <w:rFonts w:ascii="Book Antiqua" w:hAnsi="Book Antiqua"/>
          <w:sz w:val="16"/>
          <w:szCs w:val="16"/>
        </w:rPr>
        <w:t xml:space="preserve"> Tribunal de Apelación de Trabajo del Primer y Segundo Circuito Judicial de San José</w:t>
      </w:r>
      <w:r w:rsidRPr="00E357D1">
        <w:rPr>
          <w:rFonts w:ascii="Book Antiqua" w:hAnsi="Book Antiqua"/>
          <w:sz w:val="16"/>
          <w:szCs w:val="16"/>
        </w:rPr>
        <w:t xml:space="preserve">. </w:t>
      </w:r>
    </w:p>
    <w:p w:rsidR="00212C71" w:rsidRDefault="00212C71" w:rsidP="00055EFD">
      <w:pPr>
        <w:jc w:val="both"/>
        <w:rPr>
          <w:rFonts w:ascii="Book Antiqua" w:hAnsi="Book Antiqua" w:cs="Book Antiqua"/>
          <w:lang w:val="es-CR"/>
        </w:rPr>
      </w:pPr>
    </w:p>
    <w:p w:rsidR="009D693E" w:rsidRPr="00057488" w:rsidRDefault="00055EFD" w:rsidP="00057488">
      <w:pPr>
        <w:pStyle w:val="Prrafodelista"/>
        <w:numPr>
          <w:ilvl w:val="0"/>
          <w:numId w:val="43"/>
        </w:numPr>
        <w:jc w:val="both"/>
        <w:rPr>
          <w:rFonts w:ascii="Book Antiqua" w:hAnsi="Book Antiqua" w:cs="Book Antiqua"/>
          <w:lang w:val="es-CR"/>
        </w:rPr>
      </w:pPr>
      <w:r w:rsidRPr="00057488">
        <w:rPr>
          <w:rFonts w:ascii="Book Antiqua" w:hAnsi="Book Antiqua" w:cs="Book Antiqua"/>
          <w:lang w:val="es-CR"/>
        </w:rPr>
        <w:t xml:space="preserve">Revisado </w:t>
      </w:r>
      <w:r w:rsidR="0058717B" w:rsidRPr="00057488">
        <w:rPr>
          <w:rFonts w:ascii="Book Antiqua" w:hAnsi="Book Antiqua" w:cs="Book Antiqua"/>
          <w:lang w:val="es-CR"/>
        </w:rPr>
        <w:t>el indicador de gestión</w:t>
      </w:r>
      <w:r w:rsidRPr="00057488">
        <w:rPr>
          <w:rFonts w:ascii="Book Antiqua" w:hAnsi="Book Antiqua" w:cs="Book Antiqua"/>
          <w:lang w:val="es-CR"/>
        </w:rPr>
        <w:t xml:space="preserve"> </w:t>
      </w:r>
      <w:r w:rsidR="00574D1C" w:rsidRPr="00057488">
        <w:rPr>
          <w:rFonts w:ascii="Book Antiqua" w:hAnsi="Book Antiqua" w:cs="Book Antiqua"/>
          <w:lang w:val="es-CR"/>
        </w:rPr>
        <w:t>denominado “</w:t>
      </w:r>
      <w:r w:rsidR="0076742B">
        <w:rPr>
          <w:rFonts w:ascii="Book Antiqua" w:hAnsi="Book Antiqua" w:cs="Book Antiqua"/>
          <w:b/>
          <w:bCs/>
          <w:lang w:val="es-CR"/>
        </w:rPr>
        <w:t>circulante</w:t>
      </w:r>
      <w:r w:rsidR="00574D1C" w:rsidRPr="00057488">
        <w:rPr>
          <w:rFonts w:ascii="Book Antiqua" w:hAnsi="Book Antiqua" w:cs="Book Antiqua"/>
          <w:lang w:val="es-CR"/>
        </w:rPr>
        <w:t xml:space="preserve">” </w:t>
      </w:r>
      <w:r w:rsidRPr="00057488">
        <w:rPr>
          <w:rFonts w:ascii="Book Antiqua" w:hAnsi="Book Antiqua" w:cs="Book Antiqua"/>
          <w:lang w:val="es-CR"/>
        </w:rPr>
        <w:t>del Tribunal de Apelación del Segundo Circuito Judicial de San José</w:t>
      </w:r>
      <w:r w:rsidR="00574D1C" w:rsidRPr="00057488">
        <w:rPr>
          <w:rFonts w:ascii="Book Antiqua" w:hAnsi="Book Antiqua" w:cs="Book Antiqua"/>
          <w:lang w:val="es-CR"/>
        </w:rPr>
        <w:t>,</w:t>
      </w:r>
      <w:r w:rsidRPr="00057488">
        <w:rPr>
          <w:rFonts w:ascii="Book Antiqua" w:hAnsi="Book Antiqua" w:cs="Book Antiqua"/>
          <w:lang w:val="es-CR"/>
        </w:rPr>
        <w:t xml:space="preserve"> se visualiza</w:t>
      </w:r>
      <w:r w:rsidR="00632172" w:rsidRPr="00057488">
        <w:rPr>
          <w:rFonts w:ascii="Book Antiqua" w:hAnsi="Book Antiqua" w:cs="Book Antiqua"/>
          <w:lang w:val="es-CR"/>
        </w:rPr>
        <w:t xml:space="preserve"> que la cantidad de asuntos aumentó </w:t>
      </w:r>
      <w:r w:rsidR="00271A54" w:rsidRPr="00057488">
        <w:rPr>
          <w:rFonts w:ascii="Book Antiqua" w:hAnsi="Book Antiqua" w:cs="Book Antiqua"/>
          <w:lang w:val="es-CR"/>
        </w:rPr>
        <w:t>en un 24% (</w:t>
      </w:r>
      <w:r w:rsidR="00127FAB" w:rsidRPr="00057488">
        <w:rPr>
          <w:rFonts w:ascii="Book Antiqua" w:hAnsi="Book Antiqua" w:cs="Book Antiqua"/>
          <w:lang w:val="es-CR"/>
        </w:rPr>
        <w:t>22 expedientes)</w:t>
      </w:r>
      <w:r w:rsidR="004E2BCD" w:rsidRPr="00057488">
        <w:rPr>
          <w:rFonts w:ascii="Book Antiqua" w:hAnsi="Book Antiqua" w:cs="Book Antiqua"/>
          <w:lang w:val="es-CR"/>
        </w:rPr>
        <w:t xml:space="preserve"> de enero a mayo</w:t>
      </w:r>
      <w:r w:rsidR="00127FAB" w:rsidRPr="00057488">
        <w:rPr>
          <w:rFonts w:ascii="Book Antiqua" w:hAnsi="Book Antiqua" w:cs="Book Antiqua"/>
          <w:lang w:val="es-CR"/>
        </w:rPr>
        <w:t>, manteniéndose en el rango muy bueno en el periodo analizado</w:t>
      </w:r>
      <w:r w:rsidR="00632172" w:rsidRPr="00057488">
        <w:rPr>
          <w:rFonts w:ascii="Book Antiqua" w:hAnsi="Book Antiqua" w:cs="Book Antiqua"/>
          <w:lang w:val="es-CR"/>
        </w:rPr>
        <w:t xml:space="preserve">, sin </w:t>
      </w:r>
      <w:r w:rsidR="006860D2" w:rsidRPr="00057488">
        <w:rPr>
          <w:rFonts w:ascii="Book Antiqua" w:hAnsi="Book Antiqua" w:cs="Book Antiqua"/>
          <w:lang w:val="es-CR"/>
        </w:rPr>
        <w:t>embargo,</w:t>
      </w:r>
      <w:r w:rsidR="00632172" w:rsidRPr="00057488">
        <w:rPr>
          <w:rFonts w:ascii="Book Antiqua" w:hAnsi="Book Antiqua" w:cs="Book Antiqua"/>
          <w:lang w:val="es-CR"/>
        </w:rPr>
        <w:t xml:space="preserve"> no es una carga de trabajo suficiente para cumplir con el parámetro espera</w:t>
      </w:r>
      <w:r w:rsidR="00852433" w:rsidRPr="00057488">
        <w:rPr>
          <w:rFonts w:ascii="Book Antiqua" w:hAnsi="Book Antiqua" w:cs="Book Antiqua"/>
          <w:lang w:val="es-CR"/>
        </w:rPr>
        <w:t>do</w:t>
      </w:r>
      <w:r w:rsidR="00632172" w:rsidRPr="00057488">
        <w:rPr>
          <w:rFonts w:ascii="Book Antiqua" w:hAnsi="Book Antiqua" w:cs="Book Antiqua"/>
          <w:lang w:val="es-CR"/>
        </w:rPr>
        <w:t xml:space="preserve"> de 1</w:t>
      </w:r>
      <w:r w:rsidR="00FA150F">
        <w:rPr>
          <w:rFonts w:ascii="Book Antiqua" w:hAnsi="Book Antiqua" w:cs="Book Antiqua"/>
          <w:lang w:val="es-CR"/>
        </w:rPr>
        <w:t>09</w:t>
      </w:r>
      <w:r w:rsidR="00632172" w:rsidRPr="00057488">
        <w:rPr>
          <w:rFonts w:ascii="Book Antiqua" w:hAnsi="Book Antiqua" w:cs="Book Antiqua"/>
          <w:lang w:val="es-CR"/>
        </w:rPr>
        <w:t xml:space="preserve"> asuntos</w:t>
      </w:r>
      <w:r w:rsidR="009D693E" w:rsidRPr="00057488">
        <w:rPr>
          <w:rFonts w:ascii="Book Antiqua" w:hAnsi="Book Antiqua" w:cs="Book Antiqua"/>
          <w:lang w:val="es-CR"/>
        </w:rPr>
        <w:t xml:space="preserve"> </w:t>
      </w:r>
      <w:r w:rsidR="00101D02" w:rsidRPr="00057488">
        <w:rPr>
          <w:rFonts w:ascii="Book Antiqua" w:hAnsi="Book Antiqua" w:cs="Book Antiqua"/>
          <w:lang w:val="es-CR"/>
        </w:rPr>
        <w:t xml:space="preserve"> terminados mínimo por mes, lo que genera </w:t>
      </w:r>
      <w:r w:rsidR="009D693E" w:rsidRPr="00057488">
        <w:rPr>
          <w:rFonts w:ascii="Book Antiqua" w:hAnsi="Book Antiqua" w:cs="Book Antiqua"/>
          <w:lang w:val="es-CR"/>
        </w:rPr>
        <w:t xml:space="preserve">un promedio de rendimiento por persona juzgadora del </w:t>
      </w:r>
      <w:r w:rsidR="009D693E" w:rsidRPr="00145AA5">
        <w:rPr>
          <w:rFonts w:ascii="Book Antiqua" w:hAnsi="Book Antiqua" w:cs="Book Antiqua"/>
          <w:lang w:val="es-CR"/>
        </w:rPr>
        <w:t>59%</w:t>
      </w:r>
      <w:r w:rsidR="00FA150F" w:rsidRPr="00145AA5">
        <w:rPr>
          <w:rFonts w:ascii="Book Antiqua" w:hAnsi="Book Antiqua" w:cs="Book Antiqua"/>
          <w:lang w:val="es-CR"/>
        </w:rPr>
        <w:t xml:space="preserve"> (el promedio del</w:t>
      </w:r>
      <w:r w:rsidR="00FA150F">
        <w:rPr>
          <w:rFonts w:ascii="Book Antiqua" w:hAnsi="Book Antiqua" w:cs="Book Antiqua"/>
          <w:lang w:val="es-CR"/>
        </w:rPr>
        <w:t xml:space="preserve"> rendimiento de la persona juzgadora se obtiene al dividir la cantidad de sentencias dictas/cantidad de sentencias esperadas durante el mes).</w:t>
      </w:r>
      <w:r w:rsidR="00801989" w:rsidRPr="00057488">
        <w:rPr>
          <w:rFonts w:ascii="Book Antiqua" w:hAnsi="Book Antiqua" w:cs="Book Antiqua"/>
          <w:lang w:val="es-CR"/>
        </w:rPr>
        <w:t xml:space="preserve"> </w:t>
      </w:r>
    </w:p>
    <w:p w:rsidR="009D693E" w:rsidRDefault="009D693E" w:rsidP="00632172">
      <w:pPr>
        <w:jc w:val="both"/>
        <w:rPr>
          <w:rFonts w:ascii="Book Antiqua" w:hAnsi="Book Antiqua" w:cs="Book Antiqua"/>
          <w:lang w:val="es-CR"/>
        </w:rPr>
      </w:pPr>
    </w:p>
    <w:p w:rsidR="009A7122" w:rsidRDefault="009A7122" w:rsidP="00632172">
      <w:pPr>
        <w:jc w:val="both"/>
        <w:rPr>
          <w:rFonts w:ascii="Book Antiqua" w:hAnsi="Book Antiqua" w:cs="Book Antiqua"/>
          <w:lang w:val="es-CR"/>
        </w:rPr>
      </w:pPr>
    </w:p>
    <w:p w:rsidR="004E27EF" w:rsidRPr="00057488" w:rsidRDefault="004E27EF" w:rsidP="00057488">
      <w:pPr>
        <w:pStyle w:val="Prrafodelista"/>
        <w:numPr>
          <w:ilvl w:val="0"/>
          <w:numId w:val="43"/>
        </w:numPr>
        <w:spacing w:after="200"/>
        <w:jc w:val="both"/>
        <w:rPr>
          <w:rFonts w:ascii="Book Antiqua" w:hAnsi="Book Antiqua" w:cs="Book Antiqua"/>
          <w:lang w:val="es-CR"/>
        </w:rPr>
      </w:pPr>
      <w:r w:rsidRPr="00057488">
        <w:rPr>
          <w:rFonts w:ascii="Book Antiqua" w:hAnsi="Book Antiqua" w:cs="Book Antiqua"/>
          <w:lang w:val="es-CR"/>
        </w:rPr>
        <w:t xml:space="preserve">Por lo anterior, con el fin de generar carga de trabajo para el Tribunal de Apelación de Trabajo del Segundo Circuito Judicial de </w:t>
      </w:r>
      <w:r w:rsidR="00FA150F">
        <w:rPr>
          <w:rFonts w:ascii="Book Antiqua" w:hAnsi="Book Antiqua" w:cs="Book Antiqua"/>
          <w:lang w:val="es-CR"/>
        </w:rPr>
        <w:t xml:space="preserve">San </w:t>
      </w:r>
      <w:r w:rsidR="00FA150F" w:rsidRPr="00145AA5">
        <w:rPr>
          <w:rFonts w:ascii="Book Antiqua" w:hAnsi="Book Antiqua" w:cs="Book Antiqua"/>
          <w:lang w:val="es-CR"/>
        </w:rPr>
        <w:t>José</w:t>
      </w:r>
      <w:r w:rsidRPr="00145AA5">
        <w:rPr>
          <w:rFonts w:ascii="Book Antiqua" w:hAnsi="Book Antiqua" w:cs="Book Antiqua"/>
          <w:lang w:val="es-CR"/>
        </w:rPr>
        <w:t>,</w:t>
      </w:r>
      <w:r w:rsidRPr="00057488">
        <w:rPr>
          <w:rFonts w:ascii="Book Antiqua" w:hAnsi="Book Antiqua" w:cs="Book Antiqua"/>
          <w:lang w:val="es-CR"/>
        </w:rPr>
        <w:t xml:space="preserve"> se requiere no </w:t>
      </w:r>
      <w:r w:rsidR="00D61F8D" w:rsidRPr="00057488">
        <w:rPr>
          <w:rFonts w:ascii="Book Antiqua" w:hAnsi="Book Antiqua" w:cs="Book Antiqua"/>
          <w:lang w:val="es-CR"/>
        </w:rPr>
        <w:t xml:space="preserve">solo </w:t>
      </w:r>
      <w:r w:rsidRPr="00057488">
        <w:rPr>
          <w:rFonts w:ascii="Book Antiqua" w:hAnsi="Book Antiqua" w:cs="Book Antiqua"/>
          <w:lang w:val="es-CR"/>
        </w:rPr>
        <w:t xml:space="preserve">ampliar la competencia como se propone en el presente </w:t>
      </w:r>
      <w:r w:rsidR="00D61F8D" w:rsidRPr="00057488">
        <w:rPr>
          <w:rFonts w:ascii="Book Antiqua" w:hAnsi="Book Antiqua" w:cs="Book Antiqua"/>
          <w:lang w:val="es-CR"/>
        </w:rPr>
        <w:t>estudio, trasladando los asuntos nuevos en apelación del Juzgado de Seguridad Social de San José que ingresan al Tribunal de Apelación del Primer Circuito Judicial de San José</w:t>
      </w:r>
      <w:r w:rsidRPr="00057488">
        <w:rPr>
          <w:rFonts w:ascii="Book Antiqua" w:hAnsi="Book Antiqua" w:cs="Book Antiqua"/>
          <w:lang w:val="es-CR"/>
        </w:rPr>
        <w:t xml:space="preserve">, sino también </w:t>
      </w:r>
      <w:r w:rsidR="00D61F8D" w:rsidRPr="00057488">
        <w:rPr>
          <w:rFonts w:ascii="Book Antiqua" w:hAnsi="Book Antiqua" w:cs="Book Antiqua"/>
          <w:lang w:val="es-CR"/>
        </w:rPr>
        <w:t xml:space="preserve">el traslado temporal de dos plazas de persona juzgadora del Tribunal de Apelación de Trabajo del Segundo Circuito Judicial para atender fallo del Juzgado de Trabajo de ese mismo Circuito Judicial, propuesta incluida en el informe </w:t>
      </w:r>
      <w:r w:rsidRPr="00057488">
        <w:rPr>
          <w:rFonts w:ascii="Book Antiqua" w:hAnsi="Book Antiqua" w:cs="Book Antiqua"/>
          <w:lang w:val="es-CR"/>
        </w:rPr>
        <w:t>457-PLA-EV-2020 de la Dirección de Planificación</w:t>
      </w:r>
      <w:r w:rsidR="00145AA5">
        <w:rPr>
          <w:rFonts w:ascii="Book Antiqua" w:hAnsi="Book Antiqua" w:cs="Book Antiqua"/>
          <w:lang w:val="es-CR"/>
        </w:rPr>
        <w:t>.</w:t>
      </w:r>
      <w:r w:rsidRPr="00057488">
        <w:rPr>
          <w:rFonts w:ascii="Book Antiqua" w:hAnsi="Book Antiqua" w:cs="Book Antiqua"/>
          <w:lang w:val="es-CR"/>
        </w:rPr>
        <w:t xml:space="preserve"> </w:t>
      </w:r>
    </w:p>
    <w:p w:rsidR="00D61F8D" w:rsidRDefault="00D61F8D" w:rsidP="009D693E">
      <w:pPr>
        <w:spacing w:after="200"/>
        <w:jc w:val="both"/>
        <w:rPr>
          <w:rFonts w:ascii="Book Antiqua" w:hAnsi="Book Antiqua" w:cs="Book Antiqua"/>
          <w:lang w:val="es-CR"/>
        </w:rPr>
      </w:pPr>
    </w:p>
    <w:p w:rsidR="009D693E" w:rsidRPr="00057488" w:rsidRDefault="009D693E" w:rsidP="00057488">
      <w:pPr>
        <w:pStyle w:val="Prrafodelista"/>
        <w:numPr>
          <w:ilvl w:val="0"/>
          <w:numId w:val="43"/>
        </w:numPr>
        <w:spacing w:after="200"/>
        <w:jc w:val="both"/>
        <w:rPr>
          <w:rFonts w:ascii="Book Antiqua" w:hAnsi="Book Antiqua" w:cs="Book Antiqua"/>
          <w:lang w:val="es-CR"/>
        </w:rPr>
      </w:pPr>
      <w:r w:rsidRPr="00057488">
        <w:rPr>
          <w:rFonts w:ascii="Book Antiqua" w:hAnsi="Book Antiqua" w:cs="Book Antiqua"/>
          <w:lang w:val="es-CR"/>
        </w:rPr>
        <w:t>De mantenerse el promedio de entrada</w:t>
      </w:r>
      <w:r w:rsidR="004E27EF" w:rsidRPr="00057488">
        <w:rPr>
          <w:rFonts w:ascii="Book Antiqua" w:hAnsi="Book Antiqua" w:cs="Book Antiqua"/>
          <w:lang w:val="es-CR"/>
        </w:rPr>
        <w:t xml:space="preserve"> en</w:t>
      </w:r>
      <w:r w:rsidRPr="00057488">
        <w:rPr>
          <w:rFonts w:ascii="Book Antiqua" w:hAnsi="Book Antiqua" w:cs="Book Antiqua"/>
          <w:lang w:val="es-CR"/>
        </w:rPr>
        <w:t xml:space="preserve"> el Tribunal de Apelación de Trabajo del Segundo Circuito Judicial de San José</w:t>
      </w:r>
      <w:r w:rsidR="004E27EF" w:rsidRPr="00057488">
        <w:rPr>
          <w:rFonts w:ascii="Book Antiqua" w:hAnsi="Book Antiqua" w:cs="Book Antiqua"/>
          <w:lang w:val="es-CR"/>
        </w:rPr>
        <w:t>, y con una estructura de cuatro personas juzgadoras, aún en esas condiciones mantendría</w:t>
      </w:r>
      <w:r w:rsidRPr="00057488">
        <w:rPr>
          <w:rFonts w:ascii="Book Antiqua" w:hAnsi="Book Antiqua" w:cs="Book Antiqua"/>
          <w:lang w:val="es-CR"/>
        </w:rPr>
        <w:t xml:space="preserve"> capacidad </w:t>
      </w:r>
      <w:r w:rsidR="004E27EF" w:rsidRPr="00057488">
        <w:rPr>
          <w:rFonts w:ascii="Book Antiqua" w:hAnsi="Book Antiqua" w:cs="Book Antiqua"/>
          <w:lang w:val="es-CR"/>
        </w:rPr>
        <w:t xml:space="preserve">operativa para </w:t>
      </w:r>
      <w:r w:rsidRPr="00057488">
        <w:rPr>
          <w:rFonts w:ascii="Book Antiqua" w:hAnsi="Book Antiqua" w:cs="Book Antiqua"/>
          <w:lang w:val="es-CR"/>
        </w:rPr>
        <w:t>resolver la carga de trabajo entre los cuatro jueces</w:t>
      </w:r>
      <w:r w:rsidR="00A9436D" w:rsidRPr="00057488">
        <w:rPr>
          <w:rFonts w:ascii="Book Antiqua" w:hAnsi="Book Antiqua" w:cs="Book Antiqua"/>
          <w:lang w:val="es-CR"/>
        </w:rPr>
        <w:t>, con un pendiente de fallo por plaza de 24 asuntos, es decir, el Tribunal estaría resolviendo  a un mes plazo</w:t>
      </w:r>
      <w:r w:rsidR="00C14B8F" w:rsidRPr="00057488">
        <w:rPr>
          <w:rFonts w:ascii="Book Antiqua" w:hAnsi="Book Antiqua" w:cs="Book Antiqua"/>
          <w:lang w:val="es-CR"/>
        </w:rPr>
        <w:t xml:space="preserve"> y las personas juzgadoras podrían alcanzar un rendimiento del 100%</w:t>
      </w:r>
      <w:r w:rsidR="00A9436D" w:rsidRPr="00057488">
        <w:rPr>
          <w:rFonts w:ascii="Book Antiqua" w:hAnsi="Book Antiqua" w:cs="Book Antiqua"/>
          <w:lang w:val="es-CR"/>
        </w:rPr>
        <w:t>.</w:t>
      </w:r>
    </w:p>
    <w:p w:rsidR="00406A2B" w:rsidRPr="00057488" w:rsidRDefault="00406A2B" w:rsidP="00406A2B">
      <w:pPr>
        <w:jc w:val="both"/>
        <w:rPr>
          <w:rFonts w:ascii="Book Antiqua" w:hAnsi="Book Antiqua" w:cs="Book Antiqua"/>
          <w:lang w:val="es-CR"/>
        </w:rPr>
      </w:pPr>
    </w:p>
    <w:p w:rsidR="00145AA5" w:rsidRDefault="00145AA5">
      <w:pPr>
        <w:widowControl/>
        <w:autoSpaceDE/>
        <w:autoSpaceDN/>
        <w:adjustRightInd/>
        <w:rPr>
          <w:rFonts w:ascii="Book Antiqua" w:hAnsi="Book Antiqua" w:cs="Book Antiqua"/>
          <w:lang w:val="es-CR"/>
        </w:rPr>
      </w:pPr>
      <w:r>
        <w:rPr>
          <w:rFonts w:ascii="Book Antiqua" w:hAnsi="Book Antiqua" w:cs="Book Antiqua"/>
          <w:lang w:val="es-CR"/>
        </w:rPr>
        <w:br w:type="page"/>
      </w:r>
    </w:p>
    <w:p w:rsidR="008B532E" w:rsidRPr="00057488" w:rsidRDefault="008B532E" w:rsidP="00EB7319">
      <w:pPr>
        <w:autoSpaceDE/>
        <w:autoSpaceDN/>
        <w:adjustRightInd/>
        <w:jc w:val="both"/>
        <w:rPr>
          <w:rFonts w:ascii="Book Antiqua" w:hAnsi="Book Antiqua" w:cs="Book Antiqua"/>
          <w:b/>
          <w:bCs/>
          <w:lang w:val="es-CR"/>
        </w:rPr>
      </w:pPr>
      <w:r w:rsidRPr="00057488">
        <w:rPr>
          <w:rFonts w:ascii="Book Antiqua" w:hAnsi="Book Antiqua" w:cs="Book Antiqua"/>
          <w:b/>
          <w:bCs/>
          <w:lang w:val="es-CR"/>
        </w:rPr>
        <w:t>Recomendaciones</w:t>
      </w:r>
    </w:p>
    <w:p w:rsidR="008B532E" w:rsidRDefault="008B532E" w:rsidP="00EB7319">
      <w:pPr>
        <w:autoSpaceDE/>
        <w:autoSpaceDN/>
        <w:adjustRightInd/>
        <w:jc w:val="both"/>
        <w:rPr>
          <w:rFonts w:ascii="Book Antiqua" w:hAnsi="Book Antiqua" w:cs="Book Antiqua"/>
          <w:lang w:val="es-CR"/>
        </w:rPr>
      </w:pPr>
    </w:p>
    <w:p w:rsidR="00C31371" w:rsidRPr="00057488" w:rsidRDefault="00C31371" w:rsidP="00EB7319">
      <w:pPr>
        <w:autoSpaceDE/>
        <w:autoSpaceDN/>
        <w:adjustRightInd/>
        <w:jc w:val="both"/>
        <w:rPr>
          <w:rFonts w:ascii="Book Antiqua" w:hAnsi="Book Antiqua" w:cs="Book Antiqua"/>
          <w:b/>
          <w:bCs/>
          <w:lang w:val="es-CR"/>
        </w:rPr>
      </w:pPr>
      <w:r w:rsidRPr="00057488">
        <w:rPr>
          <w:rFonts w:ascii="Book Antiqua" w:hAnsi="Book Antiqua" w:cs="Book Antiqua"/>
          <w:b/>
          <w:bCs/>
          <w:lang w:val="es-CR"/>
        </w:rPr>
        <w:t>A Corte Plena:</w:t>
      </w:r>
    </w:p>
    <w:p w:rsidR="00C31371" w:rsidRDefault="00C31371" w:rsidP="00EB7319">
      <w:pPr>
        <w:autoSpaceDE/>
        <w:autoSpaceDN/>
        <w:adjustRightInd/>
        <w:jc w:val="both"/>
        <w:rPr>
          <w:rFonts w:ascii="Book Antiqua" w:hAnsi="Book Antiqua" w:cs="Book Antiqua"/>
          <w:lang w:val="es-CR"/>
        </w:rPr>
      </w:pPr>
    </w:p>
    <w:p w:rsidR="00B20424" w:rsidRPr="00057488" w:rsidRDefault="00B20424" w:rsidP="00057488">
      <w:pPr>
        <w:pStyle w:val="Prrafodelista"/>
        <w:numPr>
          <w:ilvl w:val="0"/>
          <w:numId w:val="42"/>
        </w:numPr>
        <w:jc w:val="both"/>
        <w:rPr>
          <w:rFonts w:ascii="Book Antiqua" w:hAnsi="Book Antiqua" w:cs="Book Antiqua"/>
          <w:lang w:val="es-CR"/>
        </w:rPr>
      </w:pPr>
      <w:r w:rsidRPr="00057488">
        <w:rPr>
          <w:rFonts w:ascii="Book Antiqua" w:hAnsi="Book Antiqua" w:cs="Book Antiqua"/>
          <w:lang w:val="es-CR"/>
        </w:rPr>
        <w:t xml:space="preserve">Reiterar </w:t>
      </w:r>
      <w:r w:rsidR="00C31371" w:rsidRPr="00057488">
        <w:rPr>
          <w:rFonts w:ascii="Book Antiqua" w:hAnsi="Book Antiqua" w:cs="Book Antiqua"/>
          <w:lang w:val="es-CR"/>
        </w:rPr>
        <w:t xml:space="preserve">a los Tribunales de Apelación Laboral del Primer y Segundo Circuito Judicial de San José </w:t>
      </w:r>
      <w:r w:rsidRPr="00057488">
        <w:rPr>
          <w:rFonts w:ascii="Book Antiqua" w:hAnsi="Book Antiqua" w:cs="Book Antiqua"/>
          <w:lang w:val="es-CR"/>
        </w:rPr>
        <w:t xml:space="preserve">que la cuota de </w:t>
      </w:r>
      <w:r w:rsidR="00C31371" w:rsidRPr="00057488">
        <w:rPr>
          <w:rFonts w:ascii="Book Antiqua" w:hAnsi="Book Antiqua" w:cs="Book Antiqua"/>
          <w:lang w:val="es-CR"/>
        </w:rPr>
        <w:t xml:space="preserve">asuntos </w:t>
      </w:r>
      <w:r w:rsidRPr="00057488">
        <w:rPr>
          <w:rFonts w:ascii="Book Antiqua" w:hAnsi="Book Antiqua" w:cs="Book Antiqua"/>
          <w:lang w:val="es-CR"/>
        </w:rPr>
        <w:t xml:space="preserve">terminados por plaza de persona Juzgadora categoría 5 es de 21 asuntos mensuales, </w:t>
      </w:r>
      <w:r w:rsidR="00C31371" w:rsidRPr="00057488">
        <w:rPr>
          <w:rFonts w:ascii="Book Antiqua" w:hAnsi="Book Antiqua" w:cs="Book Antiqua"/>
          <w:lang w:val="es-CR"/>
        </w:rPr>
        <w:t xml:space="preserve">lo </w:t>
      </w:r>
      <w:r w:rsidRPr="00057488">
        <w:rPr>
          <w:rFonts w:ascii="Book Antiqua" w:hAnsi="Book Antiqua" w:cs="Book Antiqua"/>
          <w:lang w:val="es-CR"/>
        </w:rPr>
        <w:t xml:space="preserve">que representa la cuota mínima de fallo que debe realizar cada persona juzgadora. </w:t>
      </w:r>
    </w:p>
    <w:p w:rsidR="00B20424" w:rsidRDefault="00B20424" w:rsidP="00EB7319">
      <w:pPr>
        <w:autoSpaceDE/>
        <w:autoSpaceDN/>
        <w:adjustRightInd/>
        <w:jc w:val="both"/>
        <w:rPr>
          <w:rFonts w:ascii="Book Antiqua" w:hAnsi="Book Antiqua" w:cs="Book Antiqua"/>
          <w:lang w:val="es-CR"/>
        </w:rPr>
      </w:pPr>
    </w:p>
    <w:p w:rsidR="00AB6CEE" w:rsidRPr="00057488" w:rsidRDefault="008B532E" w:rsidP="00057488">
      <w:pPr>
        <w:pStyle w:val="Prrafodelista"/>
        <w:numPr>
          <w:ilvl w:val="0"/>
          <w:numId w:val="42"/>
        </w:numPr>
        <w:jc w:val="both"/>
        <w:rPr>
          <w:rFonts w:ascii="Book Antiqua" w:hAnsi="Book Antiqua" w:cs="Book Antiqua"/>
          <w:lang w:val="es-CR"/>
        </w:rPr>
      </w:pPr>
      <w:r w:rsidRPr="00057488">
        <w:rPr>
          <w:rFonts w:ascii="Book Antiqua" w:hAnsi="Book Antiqua" w:cs="Book Antiqua"/>
          <w:lang w:val="es-CR"/>
        </w:rPr>
        <w:t xml:space="preserve">Solicitar a la </w:t>
      </w:r>
      <w:r w:rsidR="00405CB3" w:rsidRPr="00057488">
        <w:rPr>
          <w:rFonts w:ascii="Book Antiqua" w:hAnsi="Book Antiqua" w:cs="Book Antiqua"/>
          <w:lang w:val="es-CR"/>
        </w:rPr>
        <w:t xml:space="preserve">Corte Plena </w:t>
      </w:r>
      <w:r w:rsidRPr="00057488">
        <w:rPr>
          <w:rFonts w:ascii="Book Antiqua" w:hAnsi="Book Antiqua" w:cs="Book Antiqua"/>
          <w:lang w:val="es-CR"/>
        </w:rPr>
        <w:t xml:space="preserve">la autorización correspondiente </w:t>
      </w:r>
      <w:r w:rsidR="00405CB3" w:rsidRPr="00057488">
        <w:rPr>
          <w:rFonts w:ascii="Book Antiqua" w:hAnsi="Book Antiqua" w:cs="Book Antiqua"/>
          <w:lang w:val="es-CR"/>
        </w:rPr>
        <w:t xml:space="preserve">para que sea extendida la competencia </w:t>
      </w:r>
      <w:r w:rsidR="001D3B2A" w:rsidRPr="00057488">
        <w:rPr>
          <w:rFonts w:ascii="Book Antiqua" w:hAnsi="Book Antiqua" w:cs="Book Antiqua"/>
          <w:lang w:val="es-CR"/>
        </w:rPr>
        <w:t>del Tribunal de Apelación de Trabajo del Segundo Circuito Judicial de San Jos</w:t>
      </w:r>
      <w:r w:rsidR="00492C6C" w:rsidRPr="00057488">
        <w:rPr>
          <w:rFonts w:ascii="Book Antiqua" w:hAnsi="Book Antiqua" w:cs="Book Antiqua"/>
          <w:lang w:val="es-CR"/>
        </w:rPr>
        <w:t>é</w:t>
      </w:r>
      <w:r w:rsidR="001D3B2A" w:rsidRPr="00057488">
        <w:rPr>
          <w:rFonts w:ascii="Book Antiqua" w:hAnsi="Book Antiqua" w:cs="Book Antiqua"/>
          <w:lang w:val="es-CR"/>
        </w:rPr>
        <w:t xml:space="preserve">, para conocer como superior en grado las apelaciones provenientes del </w:t>
      </w:r>
      <w:r w:rsidR="00405CB3" w:rsidRPr="00057488">
        <w:rPr>
          <w:rFonts w:ascii="Book Antiqua" w:hAnsi="Book Antiqua" w:cs="Book Antiqua"/>
          <w:lang w:val="es-CR"/>
        </w:rPr>
        <w:t xml:space="preserve"> </w:t>
      </w:r>
      <w:r w:rsidR="003A7252" w:rsidRPr="00057488">
        <w:rPr>
          <w:rFonts w:ascii="Book Antiqua" w:hAnsi="Book Antiqua" w:cs="Book Antiqua"/>
          <w:lang w:val="es-CR"/>
        </w:rPr>
        <w:t xml:space="preserve">Juzgado de Seguridad </w:t>
      </w:r>
      <w:r w:rsidR="00C31371">
        <w:rPr>
          <w:rFonts w:ascii="Book Antiqua" w:hAnsi="Book Antiqua" w:cs="Book Antiqua"/>
          <w:lang w:val="es-CR"/>
        </w:rPr>
        <w:t xml:space="preserve">Social </w:t>
      </w:r>
      <w:r w:rsidR="003A7252" w:rsidRPr="00057488">
        <w:rPr>
          <w:rFonts w:ascii="Book Antiqua" w:hAnsi="Book Antiqua" w:cs="Book Antiqua"/>
          <w:lang w:val="es-CR"/>
        </w:rPr>
        <w:t>de San José.</w:t>
      </w:r>
      <w:r w:rsidR="00A852EA" w:rsidRPr="00057488">
        <w:rPr>
          <w:rFonts w:ascii="Book Antiqua" w:hAnsi="Book Antiqua" w:cs="Book Antiqua"/>
          <w:lang w:val="es-CR"/>
        </w:rPr>
        <w:t xml:space="preserve"> </w:t>
      </w:r>
    </w:p>
    <w:p w:rsidR="003B073F" w:rsidRDefault="003B073F" w:rsidP="005A0670">
      <w:pPr>
        <w:autoSpaceDE/>
        <w:autoSpaceDN/>
        <w:adjustRightInd/>
        <w:rPr>
          <w:rFonts w:ascii="Book Antiqua" w:hAnsi="Book Antiqua" w:cs="Book Antiqua"/>
          <w:lang w:val="es-CR"/>
        </w:rPr>
      </w:pPr>
    </w:p>
    <w:p w:rsidR="00946964" w:rsidRDefault="00A852EA" w:rsidP="00255693">
      <w:pPr>
        <w:spacing w:after="200"/>
        <w:jc w:val="both"/>
        <w:rPr>
          <w:rFonts w:ascii="Book Antiqua" w:hAnsi="Book Antiqua" w:cs="Book Antiqua"/>
          <w:lang w:val="es-CR"/>
        </w:rPr>
      </w:pPr>
      <w:r>
        <w:rPr>
          <w:rFonts w:ascii="Book Antiqua" w:hAnsi="Book Antiqua" w:cs="Book Antiqua"/>
          <w:lang w:val="es-CR"/>
        </w:rPr>
        <w:t xml:space="preserve">Lo anterior se propone de forma temporal por un plazo </w:t>
      </w:r>
      <w:r w:rsidR="008C18B1">
        <w:rPr>
          <w:rFonts w:ascii="Book Antiqua" w:hAnsi="Book Antiqua" w:cs="Book Antiqua"/>
          <w:lang w:val="es-CR"/>
        </w:rPr>
        <w:t xml:space="preserve">de seis meses a partir </w:t>
      </w:r>
      <w:r w:rsidR="00C60EDC">
        <w:rPr>
          <w:rFonts w:ascii="Book Antiqua" w:hAnsi="Book Antiqua" w:cs="Book Antiqua"/>
          <w:lang w:val="es-CR"/>
        </w:rPr>
        <w:t xml:space="preserve">de la fecha en que se conozca </w:t>
      </w:r>
      <w:r w:rsidR="008C18B1">
        <w:rPr>
          <w:rFonts w:ascii="Book Antiqua" w:hAnsi="Book Antiqua" w:cs="Book Antiqua"/>
          <w:lang w:val="es-CR"/>
        </w:rPr>
        <w:t xml:space="preserve">y apruebe </w:t>
      </w:r>
      <w:r w:rsidR="00C60EDC">
        <w:rPr>
          <w:rFonts w:ascii="Book Antiqua" w:hAnsi="Book Antiqua" w:cs="Book Antiqua"/>
          <w:lang w:val="es-CR"/>
        </w:rPr>
        <w:t>este informe</w:t>
      </w:r>
      <w:r w:rsidR="008C18B1">
        <w:rPr>
          <w:rFonts w:ascii="Book Antiqua" w:hAnsi="Book Antiqua" w:cs="Book Antiqua"/>
          <w:lang w:val="es-CR"/>
        </w:rPr>
        <w:t xml:space="preserve">, </w:t>
      </w:r>
      <w:r w:rsidR="000A3C23">
        <w:rPr>
          <w:rFonts w:ascii="Book Antiqua" w:hAnsi="Book Antiqua" w:cs="Book Antiqua"/>
          <w:lang w:val="es-CR"/>
        </w:rPr>
        <w:t>manten</w:t>
      </w:r>
      <w:r w:rsidR="008C18B1">
        <w:rPr>
          <w:rFonts w:ascii="Book Antiqua" w:hAnsi="Book Antiqua" w:cs="Book Antiqua"/>
          <w:lang w:val="es-CR"/>
        </w:rPr>
        <w:t>iéndose una</w:t>
      </w:r>
      <w:r w:rsidR="000A3C23">
        <w:rPr>
          <w:rFonts w:ascii="Book Antiqua" w:hAnsi="Book Antiqua" w:cs="Book Antiqua"/>
          <w:lang w:val="es-CR"/>
        </w:rPr>
        <w:t xml:space="preserve"> cuota</w:t>
      </w:r>
      <w:r w:rsidR="008C18B1">
        <w:rPr>
          <w:rFonts w:ascii="Book Antiqua" w:hAnsi="Book Antiqua" w:cs="Book Antiqua"/>
          <w:lang w:val="es-CR"/>
        </w:rPr>
        <w:t xml:space="preserve"> mínima</w:t>
      </w:r>
      <w:r w:rsidR="000A3C23">
        <w:rPr>
          <w:rFonts w:ascii="Book Antiqua" w:hAnsi="Book Antiqua" w:cs="Book Antiqua"/>
          <w:lang w:val="es-CR"/>
        </w:rPr>
        <w:t xml:space="preserve"> de </w:t>
      </w:r>
      <w:r w:rsidR="000F0021">
        <w:rPr>
          <w:rFonts w:ascii="Book Antiqua" w:hAnsi="Book Antiqua" w:cs="Book Antiqua"/>
          <w:lang w:val="es-CR"/>
        </w:rPr>
        <w:t>21 asuntos mensuales resueltos por persona juzgadora.</w:t>
      </w:r>
    </w:p>
    <w:p w:rsidR="00A852EA" w:rsidRDefault="00A852EA" w:rsidP="005A0670">
      <w:pPr>
        <w:autoSpaceDE/>
        <w:autoSpaceDN/>
        <w:adjustRightInd/>
        <w:rPr>
          <w:rFonts w:ascii="Book Antiqua" w:hAnsi="Book Antiqua" w:cs="Book Antiqua"/>
          <w:snapToGrid w:val="0"/>
          <w:lang w:val="pt-BR"/>
        </w:rPr>
      </w:pPr>
      <w:bookmarkStart w:id="3" w:name="_Hlk47707669"/>
    </w:p>
    <w:bookmarkEnd w:id="3"/>
    <w:p w:rsidR="00E10272" w:rsidRDefault="00E10272" w:rsidP="005A0670">
      <w:pPr>
        <w:autoSpaceDE/>
        <w:autoSpaceDN/>
        <w:adjustRightInd/>
        <w:rPr>
          <w:rFonts w:ascii="Book Antiqua" w:hAnsi="Book Antiqua" w:cs="Book Antiqua"/>
          <w:snapToGrid w:val="0"/>
          <w:lang w:val="pt-BR"/>
        </w:rPr>
      </w:pPr>
    </w:p>
    <w:p w:rsidR="00790BE2" w:rsidRDefault="00790BE2" w:rsidP="00057488">
      <w:pPr>
        <w:autoSpaceDE/>
        <w:autoSpaceDN/>
        <w:adjustRightInd/>
        <w:rPr>
          <w:rFonts w:ascii="Book Antiqua" w:hAnsi="Book Antiqua" w:cs="Book Antiqua"/>
          <w:snapToGrid w:val="0"/>
          <w:lang w:val="pt-BR"/>
        </w:rPr>
      </w:pPr>
    </w:p>
    <w:p w:rsidR="004445C6" w:rsidRPr="005A0670" w:rsidRDefault="004445C6" w:rsidP="005A0670">
      <w:pPr>
        <w:autoSpaceDE/>
        <w:autoSpaceDN/>
        <w:adjustRightInd/>
        <w:rPr>
          <w:rFonts w:ascii="Book Antiqua" w:hAnsi="Book Antiqua" w:cs="Book Antiqua"/>
          <w:snapToGrid w:val="0"/>
          <w:lang w:val="pt-BR"/>
        </w:rPr>
      </w:pPr>
    </w:p>
    <w:p w:rsidR="005A0670" w:rsidRPr="005A0670" w:rsidRDefault="005A0670" w:rsidP="005A0670">
      <w:pPr>
        <w:autoSpaceDE/>
        <w:autoSpaceDN/>
        <w:adjustRightInd/>
        <w:rPr>
          <w:rFonts w:ascii="Book Antiqua" w:hAnsi="Book Antiqua" w:cs="Book Antiqua"/>
          <w:snapToGrid w:val="0"/>
          <w:lang w:val="pt-BR"/>
        </w:rPr>
      </w:pPr>
      <w:r w:rsidRPr="005A0670">
        <w:rPr>
          <w:rFonts w:ascii="Book Antiqua" w:hAnsi="Book Antiqua" w:cs="Book Antiqua"/>
          <w:snapToGrid w:val="0"/>
          <w:lang w:val="pt-BR"/>
        </w:rPr>
        <w:t>Atentamente,</w:t>
      </w:r>
    </w:p>
    <w:p w:rsidR="005A0670" w:rsidRPr="005A0670" w:rsidRDefault="005A0670" w:rsidP="005A0670">
      <w:pPr>
        <w:autoSpaceDE/>
        <w:autoSpaceDN/>
        <w:adjustRightInd/>
        <w:rPr>
          <w:rFonts w:ascii="Book Antiqua" w:hAnsi="Book Antiqua" w:cs="Book Antiqua"/>
          <w:snapToGrid w:val="0"/>
          <w:lang w:val="pt-BR"/>
        </w:rPr>
      </w:pPr>
    </w:p>
    <w:p w:rsidR="00AC5F89" w:rsidRDefault="00AC5F89" w:rsidP="005A0670">
      <w:pPr>
        <w:autoSpaceDE/>
        <w:autoSpaceDN/>
        <w:adjustRightInd/>
        <w:spacing w:line="276" w:lineRule="auto"/>
        <w:jc w:val="both"/>
        <w:rPr>
          <w:rFonts w:ascii="Book Antiqua" w:hAnsi="Book Antiqua" w:cs="Book Antiqua"/>
          <w:snapToGrid w:val="0"/>
        </w:rPr>
      </w:pPr>
    </w:p>
    <w:p w:rsidR="004573F5" w:rsidRPr="00FB0540" w:rsidRDefault="004573F5" w:rsidP="004573F5">
      <w:pPr>
        <w:jc w:val="both"/>
        <w:rPr>
          <w:rFonts w:ascii="Book Antiqua" w:hAnsi="Book Antiqua"/>
        </w:rPr>
      </w:pPr>
      <w:r w:rsidRPr="00FB0540">
        <w:rPr>
          <w:rFonts w:ascii="Book Antiqua" w:hAnsi="Book Antiqua"/>
        </w:rPr>
        <w:t xml:space="preserve">Ing. Jorge Fernando  Rodríguez Salazar, Jefe a.i.            </w:t>
      </w:r>
      <w:r w:rsidRPr="00FB0540">
        <w:rPr>
          <w:rFonts w:ascii="Book Antiqua" w:hAnsi="Book Antiqua"/>
        </w:rPr>
        <w:tab/>
      </w:r>
      <w:r w:rsidRPr="00FB0540">
        <w:rPr>
          <w:rFonts w:ascii="Book Antiqua" w:hAnsi="Book Antiqua"/>
        </w:rPr>
        <w:tab/>
      </w:r>
      <w:r w:rsidRPr="00FB0540">
        <w:rPr>
          <w:rFonts w:ascii="Book Antiqua" w:hAnsi="Book Antiqua"/>
        </w:rPr>
        <w:tab/>
        <w:t xml:space="preserve">             </w:t>
      </w:r>
    </w:p>
    <w:p w:rsidR="004573F5" w:rsidRPr="00FB0540" w:rsidRDefault="004573F5" w:rsidP="004573F5">
      <w:pPr>
        <w:jc w:val="both"/>
        <w:rPr>
          <w:rFonts w:ascii="Book Antiqua" w:hAnsi="Book Antiqua" w:cs="Book Antiqua"/>
          <w:snapToGrid w:val="0"/>
          <w:lang w:val="pt-BR"/>
        </w:rPr>
      </w:pPr>
      <w:r w:rsidRPr="00FB0540">
        <w:rPr>
          <w:rFonts w:ascii="Book Antiqua" w:hAnsi="Book Antiqua"/>
        </w:rPr>
        <w:t>Subproceso de Evaluación</w:t>
      </w:r>
      <w:r w:rsidRPr="00FB0540">
        <w:rPr>
          <w:rFonts w:ascii="Book Antiqua" w:hAnsi="Book Antiqua" w:cs="Book Antiqua"/>
          <w:snapToGrid w:val="0"/>
          <w:lang w:val="pt-BR"/>
        </w:rPr>
        <w:t xml:space="preserve">                                    </w:t>
      </w:r>
    </w:p>
    <w:p w:rsidR="00F2281F" w:rsidRDefault="00F2281F" w:rsidP="005A0670">
      <w:pPr>
        <w:widowControl/>
        <w:autoSpaceDE/>
        <w:autoSpaceDN/>
        <w:adjustRightInd/>
        <w:rPr>
          <w:rFonts w:ascii="Times New Roman" w:hAnsi="Times New Roman" w:cs="Times New Roman"/>
          <w:sz w:val="20"/>
          <w:szCs w:val="20"/>
          <w:lang w:val="es-CR"/>
        </w:rPr>
      </w:pPr>
    </w:p>
    <w:p w:rsidR="00F2281F" w:rsidRPr="005A0670" w:rsidRDefault="00F2281F" w:rsidP="005A0670">
      <w:pPr>
        <w:widowControl/>
        <w:autoSpaceDE/>
        <w:autoSpaceDN/>
        <w:adjustRightInd/>
        <w:rPr>
          <w:rFonts w:ascii="Times New Roman" w:hAnsi="Times New Roman" w:cs="Times New Roman"/>
          <w:sz w:val="20"/>
          <w:szCs w:val="20"/>
          <w:lang w:val="es-CR"/>
        </w:rPr>
      </w:pPr>
      <w:r>
        <w:rPr>
          <w:rFonts w:ascii="Times New Roman" w:hAnsi="Times New Roman" w:cs="Times New Roman"/>
          <w:sz w:val="20"/>
          <w:szCs w:val="20"/>
          <w:lang w:val="es-CR"/>
        </w:rPr>
        <w:t xml:space="preserve"> </w:t>
      </w:r>
    </w:p>
    <w:sectPr w:rsidR="00F2281F" w:rsidRPr="005A0670" w:rsidSect="00856429">
      <w:headerReference w:type="default" r:id="rId9"/>
      <w:footerReference w:type="default" r:id="rId10"/>
      <w:pgSz w:w="12242" w:h="15842" w:code="1"/>
      <w:pgMar w:top="1418" w:right="1469"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20031" w:rsidRDefault="00620031">
      <w:r>
        <w:separator/>
      </w:r>
    </w:p>
  </w:endnote>
  <w:endnote w:type="continuationSeparator" w:id="0">
    <w:p w:rsidR="00620031" w:rsidRDefault="0062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04B7" w:rsidRDefault="002D04B7" w:rsidP="007C0BF9">
    <w:pPr>
      <w:pStyle w:val="Piedepgina"/>
      <w:framePr w:wrap="auto" w:vAnchor="text" w:hAnchor="margin" w:xAlign="right" w:y="1"/>
      <w:rPr>
        <w:rStyle w:val="Nmerodepgina"/>
        <w:rFonts w:cs="Arial"/>
      </w:rPr>
    </w:pPr>
    <w:r>
      <w:rPr>
        <w:rStyle w:val="Nmerodepgina"/>
        <w:rFonts w:cs="Arial"/>
      </w:rPr>
      <w:fldChar w:fldCharType="begin"/>
    </w:r>
    <w:r>
      <w:rPr>
        <w:rStyle w:val="Nmerodepgina"/>
        <w:rFonts w:cs="Arial"/>
      </w:rPr>
      <w:instrText xml:space="preserve">PAGE  </w:instrText>
    </w:r>
    <w:r>
      <w:rPr>
        <w:rStyle w:val="Nmerodepgina"/>
        <w:rFonts w:cs="Arial"/>
      </w:rPr>
      <w:fldChar w:fldCharType="separate"/>
    </w:r>
    <w:r w:rsidR="002D4EDC">
      <w:rPr>
        <w:rStyle w:val="Nmerodepgina"/>
        <w:rFonts w:cs="Arial"/>
        <w:noProof/>
      </w:rPr>
      <w:t>2</w:t>
    </w:r>
    <w:r>
      <w:rPr>
        <w:rStyle w:val="Nmerodepgina"/>
        <w:rFonts w:cs="Arial"/>
      </w:rPr>
      <w:fldChar w:fldCharType="end"/>
    </w:r>
  </w:p>
  <w:p w:rsidR="002D04B7" w:rsidRDefault="002D04B7" w:rsidP="00843775">
    <w:pPr>
      <w:widowControl/>
      <w:pBdr>
        <w:top w:val="single" w:sz="4" w:space="1" w:color="auto"/>
      </w:pBdr>
      <w:autoSpaceDE/>
      <w:autoSpaceDN/>
      <w:adjustRightInd/>
      <w:jc w:val="center"/>
      <w:rPr>
        <w:rFonts w:ascii="Book Antiqua" w:hAnsi="Book Antiqua" w:cs="Times New Roman"/>
        <w:b/>
        <w:bCs/>
        <w:color w:val="000000"/>
      </w:rPr>
    </w:pPr>
    <w:r w:rsidRPr="003F17C3">
      <w:rPr>
        <w:rFonts w:ascii="Book Antiqua" w:hAnsi="Book Antiqua" w:cs="Times New Roman"/>
        <w:b/>
        <w:bCs/>
        <w:color w:val="000000"/>
      </w:rPr>
      <w:t>Trabajamos por el desarrollo de la administración de justicia</w:t>
    </w:r>
    <w:r>
      <w:rPr>
        <w:rFonts w:ascii="Book Antiqua" w:hAnsi="Book Antiqua" w:cs="Times New Roman"/>
        <w:b/>
        <w:bCs/>
        <w:color w:val="000000"/>
      </w:rPr>
      <w:t xml:space="preserve">       </w:t>
    </w:r>
  </w:p>
  <w:p w:rsidR="002D04B7" w:rsidRPr="003F17C3" w:rsidRDefault="002D04B7" w:rsidP="00843775">
    <w:pPr>
      <w:widowControl/>
      <w:pBdr>
        <w:top w:val="single" w:sz="4" w:space="1" w:color="auto"/>
      </w:pBdr>
      <w:autoSpaceDE/>
      <w:autoSpaceDN/>
      <w:adjustRightInd/>
      <w:jc w:val="center"/>
      <w:rPr>
        <w:rFonts w:ascii="Book Antiqua" w:hAnsi="Book Antiqua" w:cs="Times New Roman"/>
        <w:b/>
        <w:bCs/>
        <w:color w:val="000000"/>
      </w:rPr>
    </w:pPr>
    <w:r w:rsidRPr="003F17C3">
      <w:rPr>
        <w:rFonts w:ascii="Book Antiqua" w:hAnsi="Book Antiqua" w:cs="Times New Roman"/>
        <w:b/>
        <w:bCs/>
        <w:color w:val="000000"/>
      </w:rPr>
      <w:t>con proyección e innovación</w:t>
    </w:r>
  </w:p>
  <w:p w:rsidR="002D04B7" w:rsidRDefault="002D04B7" w:rsidP="00C04D8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20031" w:rsidRDefault="00620031">
      <w:r>
        <w:separator/>
      </w:r>
    </w:p>
  </w:footnote>
  <w:footnote w:type="continuationSeparator" w:id="0">
    <w:p w:rsidR="00620031" w:rsidRDefault="00620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04B7" w:rsidRDefault="002D04B7" w:rsidP="00856429">
    <w:pPr>
      <w:pStyle w:val="Encabezado"/>
      <w:tabs>
        <w:tab w:val="clear" w:pos="4252"/>
        <w:tab w:val="clear" w:pos="8504"/>
        <w:tab w:val="center" w:pos="8804"/>
        <w:tab w:val="right" w:pos="8875"/>
      </w:tabs>
      <w:rPr>
        <w:rFonts w:ascii="Book Antiqua" w:hAnsi="Book Antiqua" w:cs="Book Antiqua"/>
        <w:i/>
        <w:iCs/>
        <w:sz w:val="18"/>
        <w:szCs w:val="18"/>
      </w:rPr>
    </w:pPr>
    <w:r>
      <w:rPr>
        <w:rFonts w:ascii="Book Antiqua" w:hAnsi="Book Antiqua" w:cs="Book Antiqua"/>
        <w:i/>
        <w:iCs/>
        <w:sz w:val="18"/>
        <w:szCs w:val="18"/>
      </w:rPr>
      <w:t xml:space="preserve">                                                        Poder Judicial –Dirección </w:t>
    </w:r>
    <w:proofErr w:type="gramStart"/>
    <w:r>
      <w:rPr>
        <w:rFonts w:ascii="Book Antiqua" w:hAnsi="Book Antiqua" w:cs="Book Antiqua"/>
        <w:i/>
        <w:iCs/>
        <w:sz w:val="18"/>
        <w:szCs w:val="18"/>
      </w:rPr>
      <w:t>de  Planificación</w:t>
    </w:r>
    <w:proofErr w:type="gramEnd"/>
    <w:r>
      <w:rPr>
        <w:sz w:val="24"/>
        <w:szCs w:val="24"/>
      </w:rPr>
      <w:object w:dxaOrig="1845" w:dyaOrig="2145" w14:anchorId="55522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pt;height:29.5pt">
          <v:imagedata r:id="rId1" o:title=""/>
        </v:shape>
        <o:OLEObject Type="Embed" ProgID="PBrush" ShapeID="_x0000_i1025" DrawAspect="Content" ObjectID="_1673972588" r:id="rId2"/>
      </w:object>
    </w:r>
  </w:p>
  <w:p w:rsidR="002D04B7" w:rsidRDefault="002D04B7" w:rsidP="00856429">
    <w:pPr>
      <w:pStyle w:val="Encabezado"/>
      <w:tabs>
        <w:tab w:val="clear" w:pos="8504"/>
        <w:tab w:val="right" w:pos="8875"/>
      </w:tabs>
      <w:jc w:val="center"/>
      <w:rPr>
        <w:rFonts w:ascii="Book Antiqua" w:hAnsi="Book Antiqua" w:cs="Book Antiqua"/>
        <w:i/>
        <w:iCs/>
        <w:sz w:val="18"/>
        <w:szCs w:val="18"/>
      </w:rPr>
    </w:pPr>
    <w:r>
      <w:rPr>
        <w:rFonts w:ascii="Book Antiqua" w:hAnsi="Book Antiqua" w:cs="Book Antiqua"/>
        <w:i/>
        <w:iCs/>
        <w:sz w:val="18"/>
        <w:szCs w:val="18"/>
      </w:rPr>
      <w:t>San José -  Costa Rica</w:t>
    </w:r>
  </w:p>
  <w:p w:rsidR="002D04B7" w:rsidRPr="00667361" w:rsidRDefault="002D04B7" w:rsidP="00856429">
    <w:pPr>
      <w:pStyle w:val="Encabezado"/>
      <w:jc w:val="center"/>
      <w:rPr>
        <w:lang w:val="en-US"/>
      </w:rPr>
    </w:pPr>
    <w:r w:rsidRPr="00852433">
      <w:rPr>
        <w:rFonts w:ascii="Book Antiqua" w:hAnsi="Book Antiqua" w:cs="Book Antiqua"/>
        <w:i/>
        <w:iCs/>
        <w:sz w:val="18"/>
        <w:szCs w:val="18"/>
        <w:lang w:val="es-CR"/>
      </w:rPr>
      <w:t xml:space="preserve">Telf.   </w:t>
    </w:r>
    <w:r w:rsidRPr="00667361">
      <w:rPr>
        <w:rFonts w:ascii="Book Antiqua" w:hAnsi="Book Antiqua" w:cs="Book Antiqua"/>
        <w:i/>
        <w:iCs/>
        <w:sz w:val="18"/>
        <w:szCs w:val="18"/>
        <w:lang w:val="en-US"/>
      </w:rPr>
      <w:t>2295-3600 / 3599  Fax. 2</w:t>
    </w:r>
    <w:r>
      <w:rPr>
        <w:rFonts w:ascii="Book Antiqua" w:hAnsi="Book Antiqua" w:cs="Book Antiqua"/>
        <w:i/>
        <w:iCs/>
        <w:sz w:val="18"/>
        <w:szCs w:val="18"/>
        <w:lang w:val="en-US"/>
      </w:rPr>
      <w:t xml:space="preserve">257-5633   / Apdo.  95-1003  / </w:t>
    </w:r>
    <w:r w:rsidRPr="00667361">
      <w:rPr>
        <w:rFonts w:ascii="Book Antiqua" w:hAnsi="Book Antiqua" w:cs="Book Antiqua"/>
        <w:i/>
        <w:iCs/>
        <w:sz w:val="18"/>
        <w:szCs w:val="18"/>
        <w:lang w:val="en-US"/>
      </w:rPr>
      <w:t>planificacion@poder-judicial.go.cr</w:t>
    </w:r>
  </w:p>
  <w:p w:rsidR="002D04B7" w:rsidRPr="00667361" w:rsidRDefault="002D04B7" w:rsidP="00856429">
    <w:pPr>
      <w:pBdr>
        <w:bottom w:val="single" w:sz="6" w:space="0" w:color="auto"/>
      </w:pBdr>
      <w:spacing w:after="20"/>
      <w:rPr>
        <w:lang w:val="en-US"/>
      </w:rPr>
    </w:pPr>
  </w:p>
  <w:p w:rsidR="002D04B7" w:rsidRPr="00E55DAB" w:rsidRDefault="002D04B7">
    <w:pPr>
      <w:pStyle w:val="Encabezado"/>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739E9"/>
    <w:multiLevelType w:val="hybridMultilevel"/>
    <w:tmpl w:val="E034C7D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6825EB4"/>
    <w:multiLevelType w:val="hybridMultilevel"/>
    <w:tmpl w:val="E8E41D8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E54DE"/>
    <w:multiLevelType w:val="hybridMultilevel"/>
    <w:tmpl w:val="DB92F79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FA3AC2"/>
    <w:multiLevelType w:val="hybridMultilevel"/>
    <w:tmpl w:val="A864B7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B667EFE"/>
    <w:multiLevelType w:val="hybridMultilevel"/>
    <w:tmpl w:val="543A958A"/>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C066DDA"/>
    <w:multiLevelType w:val="hybridMultilevel"/>
    <w:tmpl w:val="3E8AAD26"/>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B64E79"/>
    <w:multiLevelType w:val="hybridMultilevel"/>
    <w:tmpl w:val="BA4452D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0E562BED"/>
    <w:multiLevelType w:val="hybridMultilevel"/>
    <w:tmpl w:val="A35A506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0F24040C"/>
    <w:multiLevelType w:val="hybridMultilevel"/>
    <w:tmpl w:val="C5CEE84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146A65A8"/>
    <w:multiLevelType w:val="hybridMultilevel"/>
    <w:tmpl w:val="6E3A3556"/>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15:restartNumberingAfterBreak="0">
    <w:nsid w:val="16E63D25"/>
    <w:multiLevelType w:val="hybridMultilevel"/>
    <w:tmpl w:val="C67C39B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9D00997"/>
    <w:multiLevelType w:val="hybridMultilevel"/>
    <w:tmpl w:val="3D7C118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2C12BD"/>
    <w:multiLevelType w:val="hybridMultilevel"/>
    <w:tmpl w:val="32EA9696"/>
    <w:lvl w:ilvl="0" w:tplc="0C0A0001">
      <w:start w:val="1"/>
      <w:numFmt w:val="bullet"/>
      <w:lvlText w:val=""/>
      <w:lvlJc w:val="left"/>
      <w:pPr>
        <w:tabs>
          <w:tab w:val="num" w:pos="720"/>
        </w:tabs>
        <w:ind w:left="720" w:hanging="360"/>
      </w:pPr>
      <w:rPr>
        <w:rFonts w:ascii="Symbol" w:hAnsi="Symbol" w:hint="default"/>
        <w:b/>
        <w:i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4C96C4B"/>
    <w:multiLevelType w:val="hybridMultilevel"/>
    <w:tmpl w:val="7A18842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24D821CB"/>
    <w:multiLevelType w:val="hybridMultilevel"/>
    <w:tmpl w:val="B9521CB4"/>
    <w:lvl w:ilvl="0" w:tplc="0C0A000F">
      <w:start w:val="6"/>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2A970CC4"/>
    <w:multiLevelType w:val="hybridMultilevel"/>
    <w:tmpl w:val="CC9629EE"/>
    <w:lvl w:ilvl="0" w:tplc="7BF4A210">
      <w:numFmt w:val="bullet"/>
      <w:lvlText w:val="-"/>
      <w:lvlJc w:val="left"/>
      <w:pPr>
        <w:ind w:left="1080" w:hanging="360"/>
      </w:pPr>
      <w:rPr>
        <w:rFonts w:ascii="Book Antiqua" w:eastAsia="Times New Roman" w:hAnsi="Book Antiqua" w:cs="Book Antiqua"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6" w15:restartNumberingAfterBreak="0">
    <w:nsid w:val="321B7F47"/>
    <w:multiLevelType w:val="hybridMultilevel"/>
    <w:tmpl w:val="73504B3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42936F9"/>
    <w:multiLevelType w:val="hybridMultilevel"/>
    <w:tmpl w:val="991EC1E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6127EA9"/>
    <w:multiLevelType w:val="hybridMultilevel"/>
    <w:tmpl w:val="4A36687E"/>
    <w:lvl w:ilvl="0" w:tplc="2674807E">
      <w:start w:val="1"/>
      <w:numFmt w:val="upperRoman"/>
      <w:lvlText w:val="%1."/>
      <w:lvlJc w:val="left"/>
      <w:pPr>
        <w:tabs>
          <w:tab w:val="num" w:pos="1080"/>
        </w:tabs>
        <w:ind w:left="1080" w:hanging="720"/>
      </w:pPr>
      <w:rPr>
        <w:rFonts w:hint="default"/>
      </w:rPr>
    </w:lvl>
    <w:lvl w:ilvl="1" w:tplc="C840C64E">
      <w:numFmt w:val="none"/>
      <w:lvlText w:val=""/>
      <w:lvlJc w:val="left"/>
      <w:pPr>
        <w:tabs>
          <w:tab w:val="num" w:pos="360"/>
        </w:tabs>
      </w:pPr>
    </w:lvl>
    <w:lvl w:ilvl="2" w:tplc="420AFD1E">
      <w:numFmt w:val="none"/>
      <w:lvlText w:val=""/>
      <w:lvlJc w:val="left"/>
      <w:pPr>
        <w:tabs>
          <w:tab w:val="num" w:pos="360"/>
        </w:tabs>
      </w:pPr>
    </w:lvl>
    <w:lvl w:ilvl="3" w:tplc="1B56F682">
      <w:numFmt w:val="none"/>
      <w:lvlText w:val=""/>
      <w:lvlJc w:val="left"/>
      <w:pPr>
        <w:tabs>
          <w:tab w:val="num" w:pos="360"/>
        </w:tabs>
      </w:pPr>
    </w:lvl>
    <w:lvl w:ilvl="4" w:tplc="8E0627E6">
      <w:numFmt w:val="none"/>
      <w:lvlText w:val=""/>
      <w:lvlJc w:val="left"/>
      <w:pPr>
        <w:tabs>
          <w:tab w:val="num" w:pos="360"/>
        </w:tabs>
      </w:pPr>
    </w:lvl>
    <w:lvl w:ilvl="5" w:tplc="2F146016">
      <w:numFmt w:val="none"/>
      <w:lvlText w:val=""/>
      <w:lvlJc w:val="left"/>
      <w:pPr>
        <w:tabs>
          <w:tab w:val="num" w:pos="360"/>
        </w:tabs>
      </w:pPr>
    </w:lvl>
    <w:lvl w:ilvl="6" w:tplc="C186E214">
      <w:numFmt w:val="none"/>
      <w:lvlText w:val=""/>
      <w:lvlJc w:val="left"/>
      <w:pPr>
        <w:tabs>
          <w:tab w:val="num" w:pos="360"/>
        </w:tabs>
      </w:pPr>
    </w:lvl>
    <w:lvl w:ilvl="7" w:tplc="D214C79C">
      <w:numFmt w:val="none"/>
      <w:lvlText w:val=""/>
      <w:lvlJc w:val="left"/>
      <w:pPr>
        <w:tabs>
          <w:tab w:val="num" w:pos="360"/>
        </w:tabs>
      </w:pPr>
    </w:lvl>
    <w:lvl w:ilvl="8" w:tplc="2D6295A4">
      <w:numFmt w:val="none"/>
      <w:lvlText w:val=""/>
      <w:lvlJc w:val="left"/>
      <w:pPr>
        <w:tabs>
          <w:tab w:val="num" w:pos="360"/>
        </w:tabs>
      </w:pPr>
    </w:lvl>
  </w:abstractNum>
  <w:abstractNum w:abstractNumId="19" w15:restartNumberingAfterBreak="0">
    <w:nsid w:val="37B715CE"/>
    <w:multiLevelType w:val="hybridMultilevel"/>
    <w:tmpl w:val="5C84BB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F02A81"/>
    <w:multiLevelType w:val="hybridMultilevel"/>
    <w:tmpl w:val="FEC6A0D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1" w15:restartNumberingAfterBreak="0">
    <w:nsid w:val="3DFE75B3"/>
    <w:multiLevelType w:val="multilevel"/>
    <w:tmpl w:val="A20ACDB0"/>
    <w:lvl w:ilvl="0">
      <w:start w:val="1"/>
      <w:numFmt w:val="decimal"/>
      <w:lvlText w:val="%1."/>
      <w:lvlJc w:val="left"/>
      <w:pPr>
        <w:ind w:left="360" w:hanging="360"/>
      </w:pPr>
      <w:rPr>
        <w:rFonts w:hint="default"/>
        <w:i/>
      </w:rPr>
    </w:lvl>
    <w:lvl w:ilvl="1">
      <w:start w:val="10"/>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3E632C05"/>
    <w:multiLevelType w:val="hybridMultilevel"/>
    <w:tmpl w:val="24F2B7AA"/>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424F1CAE"/>
    <w:multiLevelType w:val="hybridMultilevel"/>
    <w:tmpl w:val="0DF6E23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449972F8"/>
    <w:multiLevelType w:val="multilevel"/>
    <w:tmpl w:val="BA76DC3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24055C"/>
    <w:multiLevelType w:val="hybridMultilevel"/>
    <w:tmpl w:val="DA849B4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67FCA3A"/>
    <w:multiLevelType w:val="multilevel"/>
    <w:tmpl w:val="00000001"/>
    <w:name w:val="List1182779962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15:restartNumberingAfterBreak="0">
    <w:nsid w:val="467FCA49"/>
    <w:multiLevelType w:val="multilevel"/>
    <w:tmpl w:val="00000002"/>
    <w:name w:val="List1182779977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15:restartNumberingAfterBreak="0">
    <w:nsid w:val="467FCA55"/>
    <w:multiLevelType w:val="multilevel"/>
    <w:tmpl w:val="00000003"/>
    <w:name w:val="List118277998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15:restartNumberingAfterBreak="0">
    <w:nsid w:val="467FCA5B"/>
    <w:multiLevelType w:val="multilevel"/>
    <w:tmpl w:val="00000004"/>
    <w:name w:val="List1182779995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15:restartNumberingAfterBreak="0">
    <w:nsid w:val="467FCB27"/>
    <w:multiLevelType w:val="multilevel"/>
    <w:tmpl w:val="00000005"/>
    <w:name w:val="List118278019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15:restartNumberingAfterBreak="0">
    <w:nsid w:val="467FCB2B"/>
    <w:multiLevelType w:val="multilevel"/>
    <w:tmpl w:val="00000006"/>
    <w:name w:val="List1182780203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15:restartNumberingAfterBreak="0">
    <w:nsid w:val="467FCDA6"/>
    <w:multiLevelType w:val="multilevel"/>
    <w:tmpl w:val="00000007"/>
    <w:name w:val="List1182780838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15:restartNumberingAfterBreak="0">
    <w:nsid w:val="467FF4F6"/>
    <w:multiLevelType w:val="multilevel"/>
    <w:tmpl w:val="00000008"/>
    <w:name w:val="List1182790902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15:restartNumberingAfterBreak="0">
    <w:nsid w:val="468019A7"/>
    <w:multiLevelType w:val="multilevel"/>
    <w:tmpl w:val="00000009"/>
    <w:name w:val="List1182800295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5" w15:restartNumberingAfterBreak="0">
    <w:nsid w:val="46816EEA"/>
    <w:multiLevelType w:val="multilevel"/>
    <w:tmpl w:val="0000000A"/>
    <w:name w:val="List1182887658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6" w15:restartNumberingAfterBreak="0">
    <w:nsid w:val="4681700A"/>
    <w:multiLevelType w:val="multilevel"/>
    <w:tmpl w:val="0000000B"/>
    <w:name w:val="List1182887946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15:restartNumberingAfterBreak="0">
    <w:nsid w:val="46828F28"/>
    <w:multiLevelType w:val="multilevel"/>
    <w:tmpl w:val="238E84DD"/>
    <w:name w:val="List1182961448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8" w15:restartNumberingAfterBreak="0">
    <w:nsid w:val="46895D6F"/>
    <w:multiLevelType w:val="multilevel"/>
    <w:tmpl w:val="00000001"/>
    <w:name w:val="List1183407471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9" w15:restartNumberingAfterBreak="0">
    <w:nsid w:val="46895D72"/>
    <w:multiLevelType w:val="multilevel"/>
    <w:tmpl w:val="00000002"/>
    <w:name w:val="List1183407474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15:restartNumberingAfterBreak="0">
    <w:nsid w:val="468BC571"/>
    <w:multiLevelType w:val="multilevel"/>
    <w:tmpl w:val="00000006"/>
    <w:name w:val="List118356516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15:restartNumberingAfterBreak="0">
    <w:nsid w:val="468BC576"/>
    <w:multiLevelType w:val="multilevel"/>
    <w:tmpl w:val="00000007"/>
    <w:name w:val="List1183565174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2" w15:restartNumberingAfterBreak="0">
    <w:nsid w:val="483C71FB"/>
    <w:multiLevelType w:val="hybridMultilevel"/>
    <w:tmpl w:val="2FC02BDA"/>
    <w:lvl w:ilvl="0" w:tplc="CF1853F4">
      <w:start w:val="1"/>
      <w:numFmt w:val="upperLetter"/>
      <w:lvlText w:val="%1."/>
      <w:lvlJc w:val="left"/>
      <w:pPr>
        <w:tabs>
          <w:tab w:val="num" w:pos="720"/>
        </w:tabs>
        <w:ind w:left="720" w:hanging="360"/>
      </w:pPr>
      <w:rPr>
        <w:rFonts w:ascii="Book Antiqua" w:eastAsia="Times New Roman" w:hAnsi="Book Antiqua" w:cs="Times New Roman"/>
        <w:b/>
      </w:rPr>
    </w:lvl>
    <w:lvl w:ilvl="1" w:tplc="12DCCBC0">
      <w:start w:val="1"/>
      <w:numFmt w:val="decimal"/>
      <w:lvlText w:val="%2."/>
      <w:lvlJc w:val="left"/>
      <w:pPr>
        <w:tabs>
          <w:tab w:val="num" w:pos="1440"/>
        </w:tabs>
        <w:ind w:left="1440" w:hanging="360"/>
      </w:pPr>
      <w:rPr>
        <w:rFonts w:cs="Times New Roman" w:hint="default"/>
        <w:b/>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3" w15:restartNumberingAfterBreak="0">
    <w:nsid w:val="54921D2F"/>
    <w:multiLevelType w:val="hybridMultilevel"/>
    <w:tmpl w:val="54B660D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8324AFC"/>
    <w:multiLevelType w:val="hybridMultilevel"/>
    <w:tmpl w:val="3D6EEDE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5A606265"/>
    <w:multiLevelType w:val="hybridMultilevel"/>
    <w:tmpl w:val="A4AE122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AE019D9"/>
    <w:multiLevelType w:val="hybridMultilevel"/>
    <w:tmpl w:val="EAF4176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7" w15:restartNumberingAfterBreak="0">
    <w:nsid w:val="5F91798B"/>
    <w:multiLevelType w:val="hybridMultilevel"/>
    <w:tmpl w:val="272872E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1486374"/>
    <w:multiLevelType w:val="hybridMultilevel"/>
    <w:tmpl w:val="0700C49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9" w15:restartNumberingAfterBreak="0">
    <w:nsid w:val="65FC30D4"/>
    <w:multiLevelType w:val="hybridMultilevel"/>
    <w:tmpl w:val="13E22D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6A551263"/>
    <w:multiLevelType w:val="hybridMultilevel"/>
    <w:tmpl w:val="723C016E"/>
    <w:lvl w:ilvl="0" w:tplc="4ABEB33C">
      <w:numFmt w:val="bullet"/>
      <w:lvlText w:val="-"/>
      <w:lvlJc w:val="left"/>
      <w:pPr>
        <w:ind w:left="1070" w:hanging="360"/>
      </w:pPr>
      <w:rPr>
        <w:rFonts w:ascii="Book Antiqua" w:eastAsia="Times New Roman" w:hAnsi="Book Antiqua" w:cs="Book Antiqua" w:hint="default"/>
        <w:i/>
      </w:rPr>
    </w:lvl>
    <w:lvl w:ilvl="1" w:tplc="140A0003" w:tentative="1">
      <w:start w:val="1"/>
      <w:numFmt w:val="bullet"/>
      <w:lvlText w:val="o"/>
      <w:lvlJc w:val="left"/>
      <w:pPr>
        <w:ind w:left="1790" w:hanging="360"/>
      </w:pPr>
      <w:rPr>
        <w:rFonts w:ascii="Courier New" w:hAnsi="Courier New" w:cs="Courier New" w:hint="default"/>
      </w:rPr>
    </w:lvl>
    <w:lvl w:ilvl="2" w:tplc="140A0005" w:tentative="1">
      <w:start w:val="1"/>
      <w:numFmt w:val="bullet"/>
      <w:lvlText w:val=""/>
      <w:lvlJc w:val="left"/>
      <w:pPr>
        <w:ind w:left="2510" w:hanging="360"/>
      </w:pPr>
      <w:rPr>
        <w:rFonts w:ascii="Wingdings" w:hAnsi="Wingdings" w:hint="default"/>
      </w:rPr>
    </w:lvl>
    <w:lvl w:ilvl="3" w:tplc="140A0001" w:tentative="1">
      <w:start w:val="1"/>
      <w:numFmt w:val="bullet"/>
      <w:lvlText w:val=""/>
      <w:lvlJc w:val="left"/>
      <w:pPr>
        <w:ind w:left="3230" w:hanging="360"/>
      </w:pPr>
      <w:rPr>
        <w:rFonts w:ascii="Symbol" w:hAnsi="Symbol" w:hint="default"/>
      </w:rPr>
    </w:lvl>
    <w:lvl w:ilvl="4" w:tplc="140A0003" w:tentative="1">
      <w:start w:val="1"/>
      <w:numFmt w:val="bullet"/>
      <w:lvlText w:val="o"/>
      <w:lvlJc w:val="left"/>
      <w:pPr>
        <w:ind w:left="3950" w:hanging="360"/>
      </w:pPr>
      <w:rPr>
        <w:rFonts w:ascii="Courier New" w:hAnsi="Courier New" w:cs="Courier New" w:hint="default"/>
      </w:rPr>
    </w:lvl>
    <w:lvl w:ilvl="5" w:tplc="140A0005" w:tentative="1">
      <w:start w:val="1"/>
      <w:numFmt w:val="bullet"/>
      <w:lvlText w:val=""/>
      <w:lvlJc w:val="left"/>
      <w:pPr>
        <w:ind w:left="4670" w:hanging="360"/>
      </w:pPr>
      <w:rPr>
        <w:rFonts w:ascii="Wingdings" w:hAnsi="Wingdings" w:hint="default"/>
      </w:rPr>
    </w:lvl>
    <w:lvl w:ilvl="6" w:tplc="140A0001" w:tentative="1">
      <w:start w:val="1"/>
      <w:numFmt w:val="bullet"/>
      <w:lvlText w:val=""/>
      <w:lvlJc w:val="left"/>
      <w:pPr>
        <w:ind w:left="5390" w:hanging="360"/>
      </w:pPr>
      <w:rPr>
        <w:rFonts w:ascii="Symbol" w:hAnsi="Symbol" w:hint="default"/>
      </w:rPr>
    </w:lvl>
    <w:lvl w:ilvl="7" w:tplc="140A0003" w:tentative="1">
      <w:start w:val="1"/>
      <w:numFmt w:val="bullet"/>
      <w:lvlText w:val="o"/>
      <w:lvlJc w:val="left"/>
      <w:pPr>
        <w:ind w:left="6110" w:hanging="360"/>
      </w:pPr>
      <w:rPr>
        <w:rFonts w:ascii="Courier New" w:hAnsi="Courier New" w:cs="Courier New" w:hint="default"/>
      </w:rPr>
    </w:lvl>
    <w:lvl w:ilvl="8" w:tplc="140A0005" w:tentative="1">
      <w:start w:val="1"/>
      <w:numFmt w:val="bullet"/>
      <w:lvlText w:val=""/>
      <w:lvlJc w:val="left"/>
      <w:pPr>
        <w:ind w:left="6830" w:hanging="360"/>
      </w:pPr>
      <w:rPr>
        <w:rFonts w:ascii="Wingdings" w:hAnsi="Wingdings" w:hint="default"/>
      </w:rPr>
    </w:lvl>
  </w:abstractNum>
  <w:abstractNum w:abstractNumId="51" w15:restartNumberingAfterBreak="0">
    <w:nsid w:val="6AAF7A6B"/>
    <w:multiLevelType w:val="multilevel"/>
    <w:tmpl w:val="7EA850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2" w15:restartNumberingAfterBreak="0">
    <w:nsid w:val="6CD900ED"/>
    <w:multiLevelType w:val="hybridMultilevel"/>
    <w:tmpl w:val="7186BF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3" w15:restartNumberingAfterBreak="0">
    <w:nsid w:val="6F474FE5"/>
    <w:multiLevelType w:val="hybridMultilevel"/>
    <w:tmpl w:val="734206B2"/>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4" w15:restartNumberingAfterBreak="0">
    <w:nsid w:val="6FEE44C0"/>
    <w:multiLevelType w:val="hybridMultilevel"/>
    <w:tmpl w:val="B69C224C"/>
    <w:lvl w:ilvl="0" w:tplc="53D461A4">
      <w:start w:val="1"/>
      <w:numFmt w:val="bullet"/>
      <w:lvlText w:val=""/>
      <w:lvlJc w:val="left"/>
      <w:pPr>
        <w:tabs>
          <w:tab w:val="num" w:pos="1080"/>
        </w:tabs>
        <w:ind w:left="1080" w:hanging="360"/>
      </w:pPr>
      <w:rPr>
        <w:rFonts w:ascii="Symbol" w:hAnsi="Symbol" w:hint="default"/>
        <w:color w:val="auto"/>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70C746F8"/>
    <w:multiLevelType w:val="hybridMultilevel"/>
    <w:tmpl w:val="B87AA67C"/>
    <w:lvl w:ilvl="0" w:tplc="D6BCA788">
      <w:numFmt w:val="bullet"/>
      <w:lvlText w:val="-"/>
      <w:lvlJc w:val="left"/>
      <w:pPr>
        <w:ind w:left="1080" w:hanging="360"/>
      </w:pPr>
      <w:rPr>
        <w:rFonts w:ascii="Book Antiqua" w:eastAsia="Times New Roman" w:hAnsi="Book Antiqua" w:cs="Book Antiqua"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56" w15:restartNumberingAfterBreak="0">
    <w:nsid w:val="70FD6976"/>
    <w:multiLevelType w:val="hybridMultilevel"/>
    <w:tmpl w:val="3E7C8F6E"/>
    <w:lvl w:ilvl="0" w:tplc="1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714F4670"/>
    <w:multiLevelType w:val="hybridMultilevel"/>
    <w:tmpl w:val="9A9CDCF2"/>
    <w:lvl w:ilvl="0" w:tplc="9496D456">
      <w:numFmt w:val="bullet"/>
      <w:lvlText w:val="-"/>
      <w:lvlJc w:val="left"/>
      <w:pPr>
        <w:ind w:left="1080" w:hanging="360"/>
      </w:pPr>
      <w:rPr>
        <w:rFonts w:ascii="Book Antiqua" w:eastAsia="Times New Roman" w:hAnsi="Book Antiqua" w:cs="Book Antiqua" w:hint="default"/>
        <w:i/>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58" w15:restartNumberingAfterBreak="0">
    <w:nsid w:val="7343159F"/>
    <w:multiLevelType w:val="hybridMultilevel"/>
    <w:tmpl w:val="1622799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9" w15:restartNumberingAfterBreak="0">
    <w:nsid w:val="754A5D15"/>
    <w:multiLevelType w:val="multilevel"/>
    <w:tmpl w:val="2558E7E1"/>
    <w:name w:val="List1183153210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0" w15:restartNumberingAfterBreak="0">
    <w:nsid w:val="754A5D16"/>
    <w:multiLevelType w:val="multilevel"/>
    <w:tmpl w:val="2558E7E2"/>
    <w:name w:val="List1183153215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1" w15:restartNumberingAfterBreak="0">
    <w:nsid w:val="754A5D17"/>
    <w:multiLevelType w:val="multilevel"/>
    <w:tmpl w:val="2558E7E3"/>
    <w:name w:val="List118315327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2" w15:restartNumberingAfterBreak="0">
    <w:nsid w:val="754A5D18"/>
    <w:multiLevelType w:val="multilevel"/>
    <w:tmpl w:val="2558E7E4"/>
    <w:name w:val="List118315331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3" w15:restartNumberingAfterBreak="0">
    <w:nsid w:val="754A5D19"/>
    <w:multiLevelType w:val="multilevel"/>
    <w:tmpl w:val="2558E7E5"/>
    <w:name w:val="List1183153477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4" w15:restartNumberingAfterBreak="0">
    <w:nsid w:val="754A5D1A"/>
    <w:multiLevelType w:val="multilevel"/>
    <w:tmpl w:val="2558E7E6"/>
    <w:name w:val="List1183583397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5" w15:restartNumberingAfterBreak="0">
    <w:nsid w:val="754A5D1B"/>
    <w:multiLevelType w:val="multilevel"/>
    <w:tmpl w:val="2558E7E7"/>
    <w:name w:val="List1183583403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6" w15:restartNumberingAfterBreak="0">
    <w:nsid w:val="754A5D1C"/>
    <w:multiLevelType w:val="multilevel"/>
    <w:tmpl w:val="684A596F"/>
    <w:name w:val="List1185998224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7" w15:restartNumberingAfterBreak="0">
    <w:nsid w:val="754A5D1D"/>
    <w:multiLevelType w:val="multilevel"/>
    <w:tmpl w:val="684A5970"/>
    <w:name w:val="List1185999295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8" w15:restartNumberingAfterBreak="0">
    <w:nsid w:val="754A5D1E"/>
    <w:multiLevelType w:val="multilevel"/>
    <w:tmpl w:val="2558E7EA"/>
    <w:name w:val="List1185902774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9" w15:restartNumberingAfterBreak="0">
    <w:nsid w:val="754A5D1F"/>
    <w:multiLevelType w:val="multilevel"/>
    <w:tmpl w:val="2558E7EB"/>
    <w:name w:val="List1185912087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0" w15:restartNumberingAfterBreak="0">
    <w:nsid w:val="754A5D20"/>
    <w:multiLevelType w:val="multilevel"/>
    <w:tmpl w:val="2558E7EC"/>
    <w:name w:val="List1185913294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1" w15:restartNumberingAfterBreak="0">
    <w:nsid w:val="754A5D21"/>
    <w:multiLevelType w:val="multilevel"/>
    <w:tmpl w:val="2558E7ED"/>
    <w:name w:val="List1185918543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2" w15:restartNumberingAfterBreak="0">
    <w:nsid w:val="754A5D22"/>
    <w:multiLevelType w:val="multilevel"/>
    <w:tmpl w:val="2558E7EE"/>
    <w:name w:val="List118591854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3" w15:restartNumberingAfterBreak="0">
    <w:nsid w:val="754A5D23"/>
    <w:multiLevelType w:val="multilevel"/>
    <w:tmpl w:val="2558E7EF"/>
    <w:name w:val="List1185979638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4" w15:restartNumberingAfterBreak="0">
    <w:nsid w:val="754A5D24"/>
    <w:multiLevelType w:val="multilevel"/>
    <w:tmpl w:val="76621B07"/>
    <w:name w:val="List1189202695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5" w15:restartNumberingAfterBreak="0">
    <w:nsid w:val="754A5D25"/>
    <w:multiLevelType w:val="multilevel"/>
    <w:tmpl w:val="76621B08"/>
    <w:name w:val="List1189202715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6" w15:restartNumberingAfterBreak="0">
    <w:nsid w:val="7D405AA9"/>
    <w:multiLevelType w:val="hybridMultilevel"/>
    <w:tmpl w:val="8738F31A"/>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54"/>
  </w:num>
  <w:num w:numId="2">
    <w:abstractNumId w:val="45"/>
  </w:num>
  <w:num w:numId="3">
    <w:abstractNumId w:val="43"/>
  </w:num>
  <w:num w:numId="4">
    <w:abstractNumId w:val="1"/>
  </w:num>
  <w:num w:numId="5">
    <w:abstractNumId w:val="47"/>
  </w:num>
  <w:num w:numId="6">
    <w:abstractNumId w:val="5"/>
  </w:num>
  <w:num w:numId="7">
    <w:abstractNumId w:val="11"/>
  </w:num>
  <w:num w:numId="8">
    <w:abstractNumId w:val="44"/>
  </w:num>
  <w:num w:numId="9">
    <w:abstractNumId w:val="4"/>
  </w:num>
  <w:num w:numId="10">
    <w:abstractNumId w:val="12"/>
  </w:num>
  <w:num w:numId="11">
    <w:abstractNumId w:val="18"/>
  </w:num>
  <w:num w:numId="12">
    <w:abstractNumId w:val="51"/>
  </w:num>
  <w:num w:numId="13">
    <w:abstractNumId w:val="19"/>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num>
  <w:num w:numId="16">
    <w:abstractNumId w:val="55"/>
  </w:num>
  <w:num w:numId="17">
    <w:abstractNumId w:val="15"/>
  </w:num>
  <w:num w:numId="18">
    <w:abstractNumId w:val="50"/>
  </w:num>
  <w:num w:numId="19">
    <w:abstractNumId w:val="8"/>
  </w:num>
  <w:num w:numId="20">
    <w:abstractNumId w:val="42"/>
  </w:num>
  <w:num w:numId="21">
    <w:abstractNumId w:val="24"/>
  </w:num>
  <w:num w:numId="22">
    <w:abstractNumId w:val="52"/>
  </w:num>
  <w:num w:numId="23">
    <w:abstractNumId w:val="46"/>
  </w:num>
  <w:num w:numId="24">
    <w:abstractNumId w:val="21"/>
  </w:num>
  <w:num w:numId="25">
    <w:abstractNumId w:val="14"/>
  </w:num>
  <w:num w:numId="26">
    <w:abstractNumId w:val="49"/>
  </w:num>
  <w:num w:numId="27">
    <w:abstractNumId w:val="56"/>
  </w:num>
  <w:num w:numId="28">
    <w:abstractNumId w:val="2"/>
  </w:num>
  <w:num w:numId="29">
    <w:abstractNumId w:val="53"/>
  </w:num>
  <w:num w:numId="30">
    <w:abstractNumId w:val="76"/>
  </w:num>
  <w:num w:numId="31">
    <w:abstractNumId w:val="9"/>
  </w:num>
  <w:num w:numId="32">
    <w:abstractNumId w:val="17"/>
  </w:num>
  <w:num w:numId="33">
    <w:abstractNumId w:val="10"/>
  </w:num>
  <w:num w:numId="34">
    <w:abstractNumId w:val="16"/>
  </w:num>
  <w:num w:numId="35">
    <w:abstractNumId w:val="20"/>
  </w:num>
  <w:num w:numId="36">
    <w:abstractNumId w:val="23"/>
  </w:num>
  <w:num w:numId="37">
    <w:abstractNumId w:val="6"/>
  </w:num>
  <w:num w:numId="38">
    <w:abstractNumId w:val="48"/>
  </w:num>
  <w:num w:numId="39">
    <w:abstractNumId w:val="0"/>
  </w:num>
  <w:num w:numId="40">
    <w:abstractNumId w:val="58"/>
  </w:num>
  <w:num w:numId="41">
    <w:abstractNumId w:val="7"/>
  </w:num>
  <w:num w:numId="42">
    <w:abstractNumId w:val="25"/>
  </w:num>
  <w:num w:numId="43">
    <w:abstractNumId w:val="13"/>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pt-BR" w:vendorID="64" w:dllVersion="6" w:nlCheck="1" w:checkStyle="0"/>
  <w:activeWritingStyle w:appName="MSWord" w:lang="es-CR" w:vendorID="64" w:dllVersion="6" w:nlCheck="1" w:checkStyle="0"/>
  <w:activeWritingStyle w:appName="MSWord" w:lang="es-ES" w:vendorID="64" w:dllVersion="6" w:nlCheck="1" w:checkStyle="0"/>
  <w:activeWritingStyle w:appName="MSWord" w:lang="en-US" w:vendorID="64" w:dllVersion="6" w:nlCheck="1" w:checkStyle="0"/>
  <w:activeWritingStyle w:appName="MSWord" w:lang="pt-BR" w:vendorID="64" w:dllVersion="0" w:nlCheck="1" w:checkStyle="0"/>
  <w:activeWritingStyle w:appName="MSWord" w:lang="es-CR" w:vendorID="64" w:dllVersion="0"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419"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99C"/>
    <w:rsid w:val="000008D2"/>
    <w:rsid w:val="000022EC"/>
    <w:rsid w:val="00002597"/>
    <w:rsid w:val="000047A6"/>
    <w:rsid w:val="00013A3C"/>
    <w:rsid w:val="00013EFB"/>
    <w:rsid w:val="00014A09"/>
    <w:rsid w:val="000179CE"/>
    <w:rsid w:val="000242F8"/>
    <w:rsid w:val="00036F57"/>
    <w:rsid w:val="00041FA5"/>
    <w:rsid w:val="00047304"/>
    <w:rsid w:val="00051484"/>
    <w:rsid w:val="00051E23"/>
    <w:rsid w:val="00052D39"/>
    <w:rsid w:val="0005393F"/>
    <w:rsid w:val="00055EFD"/>
    <w:rsid w:val="00056425"/>
    <w:rsid w:val="00056A40"/>
    <w:rsid w:val="00056E16"/>
    <w:rsid w:val="00057488"/>
    <w:rsid w:val="00063C88"/>
    <w:rsid w:val="00066BC5"/>
    <w:rsid w:val="00077994"/>
    <w:rsid w:val="00087C8A"/>
    <w:rsid w:val="00091ACE"/>
    <w:rsid w:val="00092905"/>
    <w:rsid w:val="000A15F3"/>
    <w:rsid w:val="000A3C23"/>
    <w:rsid w:val="000A3F46"/>
    <w:rsid w:val="000B0BE6"/>
    <w:rsid w:val="000B779F"/>
    <w:rsid w:val="000C508C"/>
    <w:rsid w:val="000C5BE7"/>
    <w:rsid w:val="000C5D54"/>
    <w:rsid w:val="000D10F2"/>
    <w:rsid w:val="000D15DD"/>
    <w:rsid w:val="000D286E"/>
    <w:rsid w:val="000D5F59"/>
    <w:rsid w:val="000E318D"/>
    <w:rsid w:val="000F0021"/>
    <w:rsid w:val="000F01AC"/>
    <w:rsid w:val="000F245B"/>
    <w:rsid w:val="00101D02"/>
    <w:rsid w:val="0010706B"/>
    <w:rsid w:val="001110F8"/>
    <w:rsid w:val="0011152D"/>
    <w:rsid w:val="00111EED"/>
    <w:rsid w:val="00112041"/>
    <w:rsid w:val="001131D3"/>
    <w:rsid w:val="001146FE"/>
    <w:rsid w:val="00115C8F"/>
    <w:rsid w:val="00115F20"/>
    <w:rsid w:val="00116902"/>
    <w:rsid w:val="00116E2E"/>
    <w:rsid w:val="00117596"/>
    <w:rsid w:val="00123EAD"/>
    <w:rsid w:val="00124514"/>
    <w:rsid w:val="00127FAB"/>
    <w:rsid w:val="00132818"/>
    <w:rsid w:val="001328C8"/>
    <w:rsid w:val="00134358"/>
    <w:rsid w:val="00134990"/>
    <w:rsid w:val="00134CEA"/>
    <w:rsid w:val="0013596A"/>
    <w:rsid w:val="00135BD5"/>
    <w:rsid w:val="00135CB5"/>
    <w:rsid w:val="00145AA5"/>
    <w:rsid w:val="001534A1"/>
    <w:rsid w:val="001549B6"/>
    <w:rsid w:val="00173456"/>
    <w:rsid w:val="0017368E"/>
    <w:rsid w:val="00184947"/>
    <w:rsid w:val="00186631"/>
    <w:rsid w:val="001956DC"/>
    <w:rsid w:val="00195A19"/>
    <w:rsid w:val="001A3959"/>
    <w:rsid w:val="001A53EC"/>
    <w:rsid w:val="001A7688"/>
    <w:rsid w:val="001C1DF7"/>
    <w:rsid w:val="001C41BD"/>
    <w:rsid w:val="001D3B2A"/>
    <w:rsid w:val="001D4A27"/>
    <w:rsid w:val="001D4F95"/>
    <w:rsid w:val="001E303F"/>
    <w:rsid w:val="001E38DA"/>
    <w:rsid w:val="001E5318"/>
    <w:rsid w:val="001E5C11"/>
    <w:rsid w:val="001F1C58"/>
    <w:rsid w:val="001F31E6"/>
    <w:rsid w:val="002044E2"/>
    <w:rsid w:val="00204B44"/>
    <w:rsid w:val="002062F2"/>
    <w:rsid w:val="0021204C"/>
    <w:rsid w:val="00212C71"/>
    <w:rsid w:val="002176F6"/>
    <w:rsid w:val="002178E9"/>
    <w:rsid w:val="00223E1F"/>
    <w:rsid w:val="00224913"/>
    <w:rsid w:val="00240AE6"/>
    <w:rsid w:val="00243DEA"/>
    <w:rsid w:val="00245E2E"/>
    <w:rsid w:val="002533B3"/>
    <w:rsid w:val="002535EC"/>
    <w:rsid w:val="0025544A"/>
    <w:rsid w:val="00255693"/>
    <w:rsid w:val="00257395"/>
    <w:rsid w:val="00263456"/>
    <w:rsid w:val="002667DF"/>
    <w:rsid w:val="00266C92"/>
    <w:rsid w:val="00271A54"/>
    <w:rsid w:val="002751E0"/>
    <w:rsid w:val="00276DD4"/>
    <w:rsid w:val="00285471"/>
    <w:rsid w:val="00287F54"/>
    <w:rsid w:val="002A3752"/>
    <w:rsid w:val="002A5062"/>
    <w:rsid w:val="002A50B4"/>
    <w:rsid w:val="002A61CE"/>
    <w:rsid w:val="002A6DD9"/>
    <w:rsid w:val="002A6EB4"/>
    <w:rsid w:val="002A7A25"/>
    <w:rsid w:val="002B1939"/>
    <w:rsid w:val="002B3002"/>
    <w:rsid w:val="002B59A2"/>
    <w:rsid w:val="002C3CBE"/>
    <w:rsid w:val="002C4565"/>
    <w:rsid w:val="002C5E96"/>
    <w:rsid w:val="002C7B05"/>
    <w:rsid w:val="002D04B7"/>
    <w:rsid w:val="002D3574"/>
    <w:rsid w:val="002D43CE"/>
    <w:rsid w:val="002D4470"/>
    <w:rsid w:val="002D4EDC"/>
    <w:rsid w:val="002D67D9"/>
    <w:rsid w:val="002E0BFA"/>
    <w:rsid w:val="002E6B06"/>
    <w:rsid w:val="002E78FA"/>
    <w:rsid w:val="002F008C"/>
    <w:rsid w:val="002F2359"/>
    <w:rsid w:val="002F7F61"/>
    <w:rsid w:val="0030025C"/>
    <w:rsid w:val="00304812"/>
    <w:rsid w:val="00304AEB"/>
    <w:rsid w:val="00312A92"/>
    <w:rsid w:val="0032710D"/>
    <w:rsid w:val="00327D03"/>
    <w:rsid w:val="0033267A"/>
    <w:rsid w:val="0033399C"/>
    <w:rsid w:val="00340DF9"/>
    <w:rsid w:val="0034301B"/>
    <w:rsid w:val="0034525B"/>
    <w:rsid w:val="00346FF7"/>
    <w:rsid w:val="003507DB"/>
    <w:rsid w:val="00350BEC"/>
    <w:rsid w:val="00353D85"/>
    <w:rsid w:val="00366792"/>
    <w:rsid w:val="003746CD"/>
    <w:rsid w:val="003759A5"/>
    <w:rsid w:val="00375CD4"/>
    <w:rsid w:val="00376836"/>
    <w:rsid w:val="00376C2C"/>
    <w:rsid w:val="00382812"/>
    <w:rsid w:val="00382864"/>
    <w:rsid w:val="00386444"/>
    <w:rsid w:val="003961B8"/>
    <w:rsid w:val="003A683A"/>
    <w:rsid w:val="003A7252"/>
    <w:rsid w:val="003B073F"/>
    <w:rsid w:val="003B1523"/>
    <w:rsid w:val="003C111C"/>
    <w:rsid w:val="003D40EA"/>
    <w:rsid w:val="003E04D6"/>
    <w:rsid w:val="003E5973"/>
    <w:rsid w:val="003E5A85"/>
    <w:rsid w:val="003E6006"/>
    <w:rsid w:val="003E725C"/>
    <w:rsid w:val="003F2547"/>
    <w:rsid w:val="00400CEB"/>
    <w:rsid w:val="00405080"/>
    <w:rsid w:val="0040582B"/>
    <w:rsid w:val="00405CB3"/>
    <w:rsid w:val="00406A2B"/>
    <w:rsid w:val="004147C2"/>
    <w:rsid w:val="00417689"/>
    <w:rsid w:val="00421957"/>
    <w:rsid w:val="004246FE"/>
    <w:rsid w:val="004307F8"/>
    <w:rsid w:val="004328DB"/>
    <w:rsid w:val="00434405"/>
    <w:rsid w:val="0043696F"/>
    <w:rsid w:val="00440E51"/>
    <w:rsid w:val="00442AC2"/>
    <w:rsid w:val="004445C6"/>
    <w:rsid w:val="004460EC"/>
    <w:rsid w:val="0045107F"/>
    <w:rsid w:val="00451CEF"/>
    <w:rsid w:val="00453440"/>
    <w:rsid w:val="004573F5"/>
    <w:rsid w:val="0046218B"/>
    <w:rsid w:val="00462AA9"/>
    <w:rsid w:val="00466813"/>
    <w:rsid w:val="00467539"/>
    <w:rsid w:val="00472784"/>
    <w:rsid w:val="00475077"/>
    <w:rsid w:val="00476A44"/>
    <w:rsid w:val="004812A3"/>
    <w:rsid w:val="0048544F"/>
    <w:rsid w:val="00492C6C"/>
    <w:rsid w:val="00494648"/>
    <w:rsid w:val="004975E6"/>
    <w:rsid w:val="004A13B6"/>
    <w:rsid w:val="004A3314"/>
    <w:rsid w:val="004A48ED"/>
    <w:rsid w:val="004A596A"/>
    <w:rsid w:val="004A6F6F"/>
    <w:rsid w:val="004B2CE8"/>
    <w:rsid w:val="004B697A"/>
    <w:rsid w:val="004B776F"/>
    <w:rsid w:val="004C4AD7"/>
    <w:rsid w:val="004C73E8"/>
    <w:rsid w:val="004D14B9"/>
    <w:rsid w:val="004E1018"/>
    <w:rsid w:val="004E1538"/>
    <w:rsid w:val="004E27EF"/>
    <w:rsid w:val="004E2BCD"/>
    <w:rsid w:val="004E6092"/>
    <w:rsid w:val="004F6F4C"/>
    <w:rsid w:val="004F72A8"/>
    <w:rsid w:val="005123C0"/>
    <w:rsid w:val="00515CEC"/>
    <w:rsid w:val="005278C4"/>
    <w:rsid w:val="00536079"/>
    <w:rsid w:val="00537041"/>
    <w:rsid w:val="0053785B"/>
    <w:rsid w:val="00542ECC"/>
    <w:rsid w:val="00562721"/>
    <w:rsid w:val="0056754F"/>
    <w:rsid w:val="00570534"/>
    <w:rsid w:val="00570D4E"/>
    <w:rsid w:val="0057147E"/>
    <w:rsid w:val="00574D1C"/>
    <w:rsid w:val="00582761"/>
    <w:rsid w:val="0058717B"/>
    <w:rsid w:val="00587741"/>
    <w:rsid w:val="005A0670"/>
    <w:rsid w:val="005A3B46"/>
    <w:rsid w:val="005A6AD9"/>
    <w:rsid w:val="005B27D6"/>
    <w:rsid w:val="005B7277"/>
    <w:rsid w:val="005B7897"/>
    <w:rsid w:val="005C3C04"/>
    <w:rsid w:val="005C775A"/>
    <w:rsid w:val="005D4F74"/>
    <w:rsid w:val="005D6AE7"/>
    <w:rsid w:val="005E1BE3"/>
    <w:rsid w:val="005E3222"/>
    <w:rsid w:val="005E39CC"/>
    <w:rsid w:val="005E3AA0"/>
    <w:rsid w:val="005E4849"/>
    <w:rsid w:val="005E5D27"/>
    <w:rsid w:val="005F2DDD"/>
    <w:rsid w:val="005F3544"/>
    <w:rsid w:val="005F4086"/>
    <w:rsid w:val="005F5589"/>
    <w:rsid w:val="0060102B"/>
    <w:rsid w:val="00612633"/>
    <w:rsid w:val="00620031"/>
    <w:rsid w:val="0062008B"/>
    <w:rsid w:val="006222BB"/>
    <w:rsid w:val="00632172"/>
    <w:rsid w:val="00641146"/>
    <w:rsid w:val="0064655B"/>
    <w:rsid w:val="00652EF8"/>
    <w:rsid w:val="00653EA9"/>
    <w:rsid w:val="00654720"/>
    <w:rsid w:val="0066015B"/>
    <w:rsid w:val="00661151"/>
    <w:rsid w:val="0066126A"/>
    <w:rsid w:val="006615B0"/>
    <w:rsid w:val="00664790"/>
    <w:rsid w:val="00667361"/>
    <w:rsid w:val="0067029D"/>
    <w:rsid w:val="00680EC7"/>
    <w:rsid w:val="006822E3"/>
    <w:rsid w:val="006860D2"/>
    <w:rsid w:val="006867D0"/>
    <w:rsid w:val="006900B5"/>
    <w:rsid w:val="00690A2A"/>
    <w:rsid w:val="00695DED"/>
    <w:rsid w:val="00695F65"/>
    <w:rsid w:val="00697DA8"/>
    <w:rsid w:val="006A489B"/>
    <w:rsid w:val="006A4D53"/>
    <w:rsid w:val="006A5501"/>
    <w:rsid w:val="006A5740"/>
    <w:rsid w:val="006A71F1"/>
    <w:rsid w:val="006B3292"/>
    <w:rsid w:val="006D5DE2"/>
    <w:rsid w:val="006D685B"/>
    <w:rsid w:val="006D7603"/>
    <w:rsid w:val="006E15E3"/>
    <w:rsid w:val="006E17CA"/>
    <w:rsid w:val="006E3F9B"/>
    <w:rsid w:val="006F08EA"/>
    <w:rsid w:val="006F3C97"/>
    <w:rsid w:val="006F4479"/>
    <w:rsid w:val="006F74DE"/>
    <w:rsid w:val="007045F1"/>
    <w:rsid w:val="00706670"/>
    <w:rsid w:val="007070A5"/>
    <w:rsid w:val="0070785D"/>
    <w:rsid w:val="00710890"/>
    <w:rsid w:val="00711B0A"/>
    <w:rsid w:val="007160CB"/>
    <w:rsid w:val="00731A90"/>
    <w:rsid w:val="00732A06"/>
    <w:rsid w:val="00733311"/>
    <w:rsid w:val="00745AF6"/>
    <w:rsid w:val="007475FD"/>
    <w:rsid w:val="00754D0B"/>
    <w:rsid w:val="00757133"/>
    <w:rsid w:val="00757219"/>
    <w:rsid w:val="007645EF"/>
    <w:rsid w:val="00766D0B"/>
    <w:rsid w:val="00766D92"/>
    <w:rsid w:val="0076742B"/>
    <w:rsid w:val="00770AFB"/>
    <w:rsid w:val="00771DA2"/>
    <w:rsid w:val="00776E99"/>
    <w:rsid w:val="00781615"/>
    <w:rsid w:val="00787497"/>
    <w:rsid w:val="00790BE2"/>
    <w:rsid w:val="00794AE0"/>
    <w:rsid w:val="007971BE"/>
    <w:rsid w:val="007A5B48"/>
    <w:rsid w:val="007B0ECD"/>
    <w:rsid w:val="007B584C"/>
    <w:rsid w:val="007C0BF9"/>
    <w:rsid w:val="007C2374"/>
    <w:rsid w:val="007D5F0B"/>
    <w:rsid w:val="007E3687"/>
    <w:rsid w:val="007E3C52"/>
    <w:rsid w:val="007F30A6"/>
    <w:rsid w:val="00801989"/>
    <w:rsid w:val="0080436B"/>
    <w:rsid w:val="008065AC"/>
    <w:rsid w:val="008149AF"/>
    <w:rsid w:val="00823DA5"/>
    <w:rsid w:val="008242C3"/>
    <w:rsid w:val="008317D0"/>
    <w:rsid w:val="00832AFB"/>
    <w:rsid w:val="00832B21"/>
    <w:rsid w:val="008371AA"/>
    <w:rsid w:val="008426D8"/>
    <w:rsid w:val="00842D8E"/>
    <w:rsid w:val="00843775"/>
    <w:rsid w:val="00852433"/>
    <w:rsid w:val="00854653"/>
    <w:rsid w:val="00856429"/>
    <w:rsid w:val="0086333B"/>
    <w:rsid w:val="00866612"/>
    <w:rsid w:val="0087361C"/>
    <w:rsid w:val="008737FD"/>
    <w:rsid w:val="008741D4"/>
    <w:rsid w:val="00880A89"/>
    <w:rsid w:val="00883F7D"/>
    <w:rsid w:val="008901CB"/>
    <w:rsid w:val="0089175E"/>
    <w:rsid w:val="00894307"/>
    <w:rsid w:val="00897918"/>
    <w:rsid w:val="008A04F3"/>
    <w:rsid w:val="008A727A"/>
    <w:rsid w:val="008B2573"/>
    <w:rsid w:val="008B2D70"/>
    <w:rsid w:val="008B4B3D"/>
    <w:rsid w:val="008B532E"/>
    <w:rsid w:val="008B58DB"/>
    <w:rsid w:val="008B5BDE"/>
    <w:rsid w:val="008C0841"/>
    <w:rsid w:val="008C0AE0"/>
    <w:rsid w:val="008C18B1"/>
    <w:rsid w:val="008C371C"/>
    <w:rsid w:val="008C39AF"/>
    <w:rsid w:val="008C541F"/>
    <w:rsid w:val="008C6C47"/>
    <w:rsid w:val="008D1384"/>
    <w:rsid w:val="008D30AC"/>
    <w:rsid w:val="008D3966"/>
    <w:rsid w:val="008D694F"/>
    <w:rsid w:val="008E52BF"/>
    <w:rsid w:val="008E5522"/>
    <w:rsid w:val="008E55EB"/>
    <w:rsid w:val="008E5754"/>
    <w:rsid w:val="008E6480"/>
    <w:rsid w:val="008E6F68"/>
    <w:rsid w:val="008F5046"/>
    <w:rsid w:val="008F6C20"/>
    <w:rsid w:val="009119BE"/>
    <w:rsid w:val="00921A4A"/>
    <w:rsid w:val="009225BF"/>
    <w:rsid w:val="00932230"/>
    <w:rsid w:val="009353F3"/>
    <w:rsid w:val="0093599D"/>
    <w:rsid w:val="00936B3F"/>
    <w:rsid w:val="00942B03"/>
    <w:rsid w:val="00946964"/>
    <w:rsid w:val="00946FE5"/>
    <w:rsid w:val="00953723"/>
    <w:rsid w:val="00962142"/>
    <w:rsid w:val="00962646"/>
    <w:rsid w:val="009676D8"/>
    <w:rsid w:val="00970E35"/>
    <w:rsid w:val="00972270"/>
    <w:rsid w:val="00975F6A"/>
    <w:rsid w:val="00976DF1"/>
    <w:rsid w:val="009772DD"/>
    <w:rsid w:val="00977E1A"/>
    <w:rsid w:val="009839B4"/>
    <w:rsid w:val="00983B19"/>
    <w:rsid w:val="00985732"/>
    <w:rsid w:val="0098652B"/>
    <w:rsid w:val="00986667"/>
    <w:rsid w:val="00987151"/>
    <w:rsid w:val="00994811"/>
    <w:rsid w:val="009A0348"/>
    <w:rsid w:val="009A16C5"/>
    <w:rsid w:val="009A7122"/>
    <w:rsid w:val="009A7309"/>
    <w:rsid w:val="009B036B"/>
    <w:rsid w:val="009B09AE"/>
    <w:rsid w:val="009B11E6"/>
    <w:rsid w:val="009B47C0"/>
    <w:rsid w:val="009C13A6"/>
    <w:rsid w:val="009C3C2A"/>
    <w:rsid w:val="009C70E5"/>
    <w:rsid w:val="009D693E"/>
    <w:rsid w:val="009D6D4B"/>
    <w:rsid w:val="009E1EAA"/>
    <w:rsid w:val="009E2091"/>
    <w:rsid w:val="009E595A"/>
    <w:rsid w:val="009F0A2A"/>
    <w:rsid w:val="009F4249"/>
    <w:rsid w:val="009F64F5"/>
    <w:rsid w:val="009F6965"/>
    <w:rsid w:val="00A00DFE"/>
    <w:rsid w:val="00A0159D"/>
    <w:rsid w:val="00A0169C"/>
    <w:rsid w:val="00A04027"/>
    <w:rsid w:val="00A059E8"/>
    <w:rsid w:val="00A11032"/>
    <w:rsid w:val="00A1645C"/>
    <w:rsid w:val="00A17B50"/>
    <w:rsid w:val="00A208F8"/>
    <w:rsid w:val="00A23D40"/>
    <w:rsid w:val="00A24190"/>
    <w:rsid w:val="00A31092"/>
    <w:rsid w:val="00A361F6"/>
    <w:rsid w:val="00A41E07"/>
    <w:rsid w:val="00A43297"/>
    <w:rsid w:val="00A4631E"/>
    <w:rsid w:val="00A46A64"/>
    <w:rsid w:val="00A47F76"/>
    <w:rsid w:val="00A56488"/>
    <w:rsid w:val="00A65703"/>
    <w:rsid w:val="00A74C51"/>
    <w:rsid w:val="00A80C44"/>
    <w:rsid w:val="00A81EDD"/>
    <w:rsid w:val="00A82EFC"/>
    <w:rsid w:val="00A83012"/>
    <w:rsid w:val="00A852EA"/>
    <w:rsid w:val="00A85998"/>
    <w:rsid w:val="00A86B7E"/>
    <w:rsid w:val="00A9436D"/>
    <w:rsid w:val="00A965B8"/>
    <w:rsid w:val="00AA0768"/>
    <w:rsid w:val="00AA382D"/>
    <w:rsid w:val="00AB4F17"/>
    <w:rsid w:val="00AB6B47"/>
    <w:rsid w:val="00AB6CEE"/>
    <w:rsid w:val="00AC2429"/>
    <w:rsid w:val="00AC5F89"/>
    <w:rsid w:val="00AD67E1"/>
    <w:rsid w:val="00AD6D4D"/>
    <w:rsid w:val="00AF3C59"/>
    <w:rsid w:val="00B0245D"/>
    <w:rsid w:val="00B051A5"/>
    <w:rsid w:val="00B15C05"/>
    <w:rsid w:val="00B20424"/>
    <w:rsid w:val="00B21262"/>
    <w:rsid w:val="00B21D82"/>
    <w:rsid w:val="00B2396B"/>
    <w:rsid w:val="00B2795D"/>
    <w:rsid w:val="00B32763"/>
    <w:rsid w:val="00B32F79"/>
    <w:rsid w:val="00B34FF2"/>
    <w:rsid w:val="00B44314"/>
    <w:rsid w:val="00B521E6"/>
    <w:rsid w:val="00B53C4B"/>
    <w:rsid w:val="00B54D5A"/>
    <w:rsid w:val="00B60BD3"/>
    <w:rsid w:val="00B60E53"/>
    <w:rsid w:val="00B70856"/>
    <w:rsid w:val="00B715D5"/>
    <w:rsid w:val="00B74C1A"/>
    <w:rsid w:val="00B77E9C"/>
    <w:rsid w:val="00B81C6A"/>
    <w:rsid w:val="00B822B4"/>
    <w:rsid w:val="00B834BB"/>
    <w:rsid w:val="00B83D16"/>
    <w:rsid w:val="00B8697C"/>
    <w:rsid w:val="00B961C5"/>
    <w:rsid w:val="00BA1764"/>
    <w:rsid w:val="00BA4DBC"/>
    <w:rsid w:val="00BB2677"/>
    <w:rsid w:val="00BC12E1"/>
    <w:rsid w:val="00BC294B"/>
    <w:rsid w:val="00BD4B55"/>
    <w:rsid w:val="00BE1800"/>
    <w:rsid w:val="00BE497D"/>
    <w:rsid w:val="00BF1764"/>
    <w:rsid w:val="00BF4D3A"/>
    <w:rsid w:val="00C01B04"/>
    <w:rsid w:val="00C03DAA"/>
    <w:rsid w:val="00C03E7D"/>
    <w:rsid w:val="00C04D85"/>
    <w:rsid w:val="00C10626"/>
    <w:rsid w:val="00C10834"/>
    <w:rsid w:val="00C1284C"/>
    <w:rsid w:val="00C1492B"/>
    <w:rsid w:val="00C14B8F"/>
    <w:rsid w:val="00C21283"/>
    <w:rsid w:val="00C212E6"/>
    <w:rsid w:val="00C22D10"/>
    <w:rsid w:val="00C31371"/>
    <w:rsid w:val="00C32F98"/>
    <w:rsid w:val="00C3445F"/>
    <w:rsid w:val="00C41919"/>
    <w:rsid w:val="00C42719"/>
    <w:rsid w:val="00C54F4C"/>
    <w:rsid w:val="00C5731F"/>
    <w:rsid w:val="00C57B36"/>
    <w:rsid w:val="00C60EDC"/>
    <w:rsid w:val="00C616A0"/>
    <w:rsid w:val="00C65EFE"/>
    <w:rsid w:val="00C66C5A"/>
    <w:rsid w:val="00C816FC"/>
    <w:rsid w:val="00C81A30"/>
    <w:rsid w:val="00C837F9"/>
    <w:rsid w:val="00C846A0"/>
    <w:rsid w:val="00C87C75"/>
    <w:rsid w:val="00C92239"/>
    <w:rsid w:val="00C93551"/>
    <w:rsid w:val="00C94549"/>
    <w:rsid w:val="00C94AE9"/>
    <w:rsid w:val="00CA0644"/>
    <w:rsid w:val="00CA598F"/>
    <w:rsid w:val="00CB4FD4"/>
    <w:rsid w:val="00CB691F"/>
    <w:rsid w:val="00CB7A8A"/>
    <w:rsid w:val="00CC526E"/>
    <w:rsid w:val="00CD6B1A"/>
    <w:rsid w:val="00CE0107"/>
    <w:rsid w:val="00CE50DF"/>
    <w:rsid w:val="00CE7909"/>
    <w:rsid w:val="00CF3917"/>
    <w:rsid w:val="00CF3E3D"/>
    <w:rsid w:val="00CF47A4"/>
    <w:rsid w:val="00CF6B65"/>
    <w:rsid w:val="00D0328D"/>
    <w:rsid w:val="00D032CA"/>
    <w:rsid w:val="00D06CFD"/>
    <w:rsid w:val="00D128AF"/>
    <w:rsid w:val="00D206B3"/>
    <w:rsid w:val="00D21112"/>
    <w:rsid w:val="00D27DB6"/>
    <w:rsid w:val="00D423C6"/>
    <w:rsid w:val="00D4491A"/>
    <w:rsid w:val="00D45F18"/>
    <w:rsid w:val="00D52222"/>
    <w:rsid w:val="00D537AD"/>
    <w:rsid w:val="00D54DF5"/>
    <w:rsid w:val="00D61F8D"/>
    <w:rsid w:val="00D621DD"/>
    <w:rsid w:val="00D629FE"/>
    <w:rsid w:val="00D65003"/>
    <w:rsid w:val="00D6615B"/>
    <w:rsid w:val="00D702F6"/>
    <w:rsid w:val="00D72546"/>
    <w:rsid w:val="00D73FF6"/>
    <w:rsid w:val="00D7488A"/>
    <w:rsid w:val="00D74953"/>
    <w:rsid w:val="00D76604"/>
    <w:rsid w:val="00D80444"/>
    <w:rsid w:val="00D85198"/>
    <w:rsid w:val="00D852A9"/>
    <w:rsid w:val="00D908E3"/>
    <w:rsid w:val="00D92A51"/>
    <w:rsid w:val="00D968C6"/>
    <w:rsid w:val="00DA2C94"/>
    <w:rsid w:val="00DA3DD5"/>
    <w:rsid w:val="00DA5916"/>
    <w:rsid w:val="00DB3EC8"/>
    <w:rsid w:val="00DB601A"/>
    <w:rsid w:val="00DC4EA9"/>
    <w:rsid w:val="00DC565F"/>
    <w:rsid w:val="00DD1F11"/>
    <w:rsid w:val="00DD79CC"/>
    <w:rsid w:val="00DD7CF9"/>
    <w:rsid w:val="00DE48D0"/>
    <w:rsid w:val="00DF16FC"/>
    <w:rsid w:val="00DF5894"/>
    <w:rsid w:val="00E00168"/>
    <w:rsid w:val="00E10272"/>
    <w:rsid w:val="00E10885"/>
    <w:rsid w:val="00E11A87"/>
    <w:rsid w:val="00E17CF4"/>
    <w:rsid w:val="00E2016A"/>
    <w:rsid w:val="00E21E3D"/>
    <w:rsid w:val="00E2273E"/>
    <w:rsid w:val="00E229FE"/>
    <w:rsid w:val="00E23AC0"/>
    <w:rsid w:val="00E24621"/>
    <w:rsid w:val="00E264C0"/>
    <w:rsid w:val="00E26AB0"/>
    <w:rsid w:val="00E325F8"/>
    <w:rsid w:val="00E35573"/>
    <w:rsid w:val="00E4091D"/>
    <w:rsid w:val="00E41063"/>
    <w:rsid w:val="00E411F6"/>
    <w:rsid w:val="00E4258A"/>
    <w:rsid w:val="00E42752"/>
    <w:rsid w:val="00E4465A"/>
    <w:rsid w:val="00E543BB"/>
    <w:rsid w:val="00E55DAB"/>
    <w:rsid w:val="00E57357"/>
    <w:rsid w:val="00E57598"/>
    <w:rsid w:val="00E62EB1"/>
    <w:rsid w:val="00E67193"/>
    <w:rsid w:val="00E67EAE"/>
    <w:rsid w:val="00E70ADC"/>
    <w:rsid w:val="00E73CF2"/>
    <w:rsid w:val="00E74995"/>
    <w:rsid w:val="00E77D2B"/>
    <w:rsid w:val="00E8062B"/>
    <w:rsid w:val="00E81D79"/>
    <w:rsid w:val="00E825DC"/>
    <w:rsid w:val="00E9691D"/>
    <w:rsid w:val="00E97CE2"/>
    <w:rsid w:val="00EB7319"/>
    <w:rsid w:val="00EC091F"/>
    <w:rsid w:val="00EC4512"/>
    <w:rsid w:val="00EC65D5"/>
    <w:rsid w:val="00EC70B3"/>
    <w:rsid w:val="00ED58B0"/>
    <w:rsid w:val="00EE769C"/>
    <w:rsid w:val="00EF5020"/>
    <w:rsid w:val="00EF5F55"/>
    <w:rsid w:val="00EF6C5A"/>
    <w:rsid w:val="00EF7494"/>
    <w:rsid w:val="00F05B94"/>
    <w:rsid w:val="00F07257"/>
    <w:rsid w:val="00F131D2"/>
    <w:rsid w:val="00F135BF"/>
    <w:rsid w:val="00F2281F"/>
    <w:rsid w:val="00F22AF2"/>
    <w:rsid w:val="00F22C9B"/>
    <w:rsid w:val="00F31628"/>
    <w:rsid w:val="00F31C7D"/>
    <w:rsid w:val="00F33AB5"/>
    <w:rsid w:val="00F34BA1"/>
    <w:rsid w:val="00F41C8C"/>
    <w:rsid w:val="00F43CAD"/>
    <w:rsid w:val="00F511F4"/>
    <w:rsid w:val="00F52303"/>
    <w:rsid w:val="00F6436F"/>
    <w:rsid w:val="00F64BCF"/>
    <w:rsid w:val="00F720BA"/>
    <w:rsid w:val="00F764FE"/>
    <w:rsid w:val="00F80F6D"/>
    <w:rsid w:val="00F83E90"/>
    <w:rsid w:val="00F9409A"/>
    <w:rsid w:val="00F9449A"/>
    <w:rsid w:val="00FA150F"/>
    <w:rsid w:val="00FA435A"/>
    <w:rsid w:val="00FA5E13"/>
    <w:rsid w:val="00FA67E8"/>
    <w:rsid w:val="00FA75C2"/>
    <w:rsid w:val="00FB0FCD"/>
    <w:rsid w:val="00FC7AB0"/>
    <w:rsid w:val="00FD0221"/>
    <w:rsid w:val="00FD65F7"/>
    <w:rsid w:val="00FE0A03"/>
    <w:rsid w:val="00FE107E"/>
    <w:rsid w:val="00FE1F26"/>
    <w:rsid w:val="00FE5F91"/>
    <w:rsid w:val="00FF4ABD"/>
    <w:rsid w:val="00FF737E"/>
    <w:rsid w:val="00FF7401"/>
    <w:rsid w:val="16EC9060"/>
    <w:rsid w:val="25A8C7AD"/>
    <w:rsid w:val="34E8CF4A"/>
    <w:rsid w:val="5CF33513"/>
    <w:rsid w:val="73F6DC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975A320"/>
  <w15:docId w15:val="{46E30E81-5982-4A61-B531-1D15B0ED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Arial" w:hAnsi="Arial" w:cs="Arial"/>
      <w:sz w:val="24"/>
      <w:szCs w:val="24"/>
    </w:rPr>
  </w:style>
  <w:style w:type="paragraph" w:styleId="Ttulo1">
    <w:name w:val="heading 1"/>
    <w:aliases w:val="Título Principal"/>
    <w:basedOn w:val="Normal"/>
    <w:next w:val="Normal"/>
    <w:qFormat/>
    <w:pPr>
      <w:keepNext/>
      <w:tabs>
        <w:tab w:val="center" w:pos="4680"/>
      </w:tabs>
      <w:jc w:val="both"/>
      <w:outlineLvl w:val="0"/>
    </w:pPr>
    <w:rPr>
      <w:b/>
      <w:bCs/>
      <w:i/>
      <w:iCs/>
      <w:color w:val="000000"/>
      <w:spacing w:val="-3"/>
      <w:u w:color="000000"/>
    </w:rPr>
  </w:style>
  <w:style w:type="paragraph" w:styleId="Ttulo3">
    <w:name w:val="heading 3"/>
    <w:basedOn w:val="Normal"/>
    <w:next w:val="Normal"/>
    <w:link w:val="Ttulo3Car"/>
    <w:semiHidden/>
    <w:unhideWhenUsed/>
    <w:qFormat/>
    <w:rsid w:val="005123C0"/>
    <w:pPr>
      <w:keepNext/>
      <w:spacing w:before="240" w:after="60"/>
      <w:outlineLvl w:val="2"/>
    </w:pPr>
    <w:rPr>
      <w:rFonts w:ascii="Cambria" w:hAnsi="Cambria" w:cs="Times New Roman"/>
      <w:b/>
      <w:bCs/>
      <w:sz w:val="26"/>
      <w:szCs w:val="26"/>
    </w:rPr>
  </w:style>
  <w:style w:type="paragraph" w:styleId="Ttulo4">
    <w:name w:val="heading 4"/>
    <w:basedOn w:val="Normal"/>
    <w:next w:val="Normal"/>
    <w:link w:val="Ttulo4Car"/>
    <w:qFormat/>
    <w:pPr>
      <w:keepNext/>
      <w:outlineLvl w:val="3"/>
    </w:pPr>
    <w:rPr>
      <w:rFonts w:ascii="Book Antiqua" w:hAnsi="Book Antiqua" w:cs="Times New Roman"/>
      <w:b/>
      <w:bCs/>
      <w:u w:color="000000"/>
    </w:rPr>
  </w:style>
  <w:style w:type="paragraph" w:styleId="Ttulo5">
    <w:name w:val="heading 5"/>
    <w:basedOn w:val="Normal"/>
    <w:next w:val="Normal"/>
    <w:qFormat/>
    <w:pPr>
      <w:keepNext/>
      <w:jc w:val="both"/>
      <w:outlineLvl w:val="4"/>
    </w:pPr>
    <w:rPr>
      <w:b/>
      <w:bCs/>
      <w:i/>
      <w:iCs/>
      <w:color w:val="000000"/>
      <w:u w:color="000000"/>
    </w:rPr>
  </w:style>
  <w:style w:type="paragraph" w:styleId="Ttulo8">
    <w:name w:val="heading 8"/>
    <w:basedOn w:val="Normal"/>
    <w:next w:val="Normal"/>
    <w:qFormat/>
    <w:pPr>
      <w:keepNext/>
      <w:jc w:val="right"/>
      <w:outlineLvl w:val="7"/>
    </w:pPr>
    <w:rPr>
      <w:rFonts w:ascii="Book Antiqua" w:hAnsi="Book Antiqua" w:cs="Book Antiqu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pPr>
      <w:widowControl/>
      <w:autoSpaceDE/>
      <w:autoSpaceDN/>
      <w:adjustRightInd/>
    </w:pPr>
    <w:rPr>
      <w:rFonts w:ascii="Tahoma" w:hAnsi="Tahoma" w:cs="Tahoma"/>
      <w:sz w:val="16"/>
      <w:szCs w:val="16"/>
    </w:rPr>
  </w:style>
  <w:style w:type="paragraph" w:customStyle="1" w:styleId="Car">
    <w:name w:val="Car"/>
    <w:basedOn w:val="Normal"/>
    <w:semiHidden/>
    <w:rsid w:val="00A17B50"/>
    <w:pPr>
      <w:widowControl/>
      <w:autoSpaceDE/>
      <w:autoSpaceDN/>
      <w:adjustRightInd/>
      <w:spacing w:after="160" w:line="240" w:lineRule="exact"/>
    </w:pPr>
    <w:rPr>
      <w:rFonts w:ascii="Verdana" w:hAnsi="Verdana" w:cs="Verdana"/>
      <w:sz w:val="20"/>
      <w:szCs w:val="20"/>
      <w:lang w:val="en-AU" w:eastAsia="en-US"/>
    </w:rPr>
  </w:style>
  <w:style w:type="paragraph" w:customStyle="1" w:styleId="Estilo">
    <w:name w:val="Estilo"/>
    <w:next w:val="Normal"/>
    <w:pPr>
      <w:widowControl w:val="0"/>
      <w:autoSpaceDE w:val="0"/>
      <w:autoSpaceDN w:val="0"/>
      <w:adjustRightInd w:val="0"/>
    </w:pPr>
    <w:rPr>
      <w:rFonts w:ascii="Arial" w:hAnsi="Arial" w:cs="Arial"/>
      <w:sz w:val="24"/>
      <w:szCs w:val="24"/>
    </w:rPr>
  </w:style>
  <w:style w:type="paragraph" w:customStyle="1" w:styleId="Estilo1">
    <w:name w:val="Estilo1"/>
    <w:next w:val="Normal"/>
    <w:pPr>
      <w:widowControl w:val="0"/>
      <w:autoSpaceDE w:val="0"/>
      <w:autoSpaceDN w:val="0"/>
      <w:adjustRightInd w:val="0"/>
    </w:pPr>
    <w:rPr>
      <w:rFonts w:ascii="Arial" w:hAnsi="Arial" w:cs="Arial"/>
      <w:sz w:val="24"/>
      <w:szCs w:val="24"/>
      <w:u w:color="000000"/>
    </w:rPr>
  </w:style>
  <w:style w:type="paragraph" w:styleId="Encabezado">
    <w:name w:val="header"/>
    <w:aliases w:val="encabezado"/>
    <w:basedOn w:val="Normal"/>
    <w:link w:val="EncabezadoCar"/>
    <w:pPr>
      <w:tabs>
        <w:tab w:val="center" w:pos="4252"/>
        <w:tab w:val="right" w:pos="8504"/>
      </w:tabs>
    </w:pPr>
    <w:rPr>
      <w:rFonts w:cs="Times New Roman"/>
      <w:sz w:val="20"/>
      <w:szCs w:val="20"/>
      <w:u w:color="000000"/>
    </w:rPr>
  </w:style>
  <w:style w:type="character" w:customStyle="1" w:styleId="EncabezadoCar">
    <w:name w:val="Encabezado Car"/>
    <w:aliases w:val="encabezado Car"/>
    <w:link w:val="Encabezado"/>
    <w:locked/>
    <w:rsid w:val="008B5BDE"/>
    <w:rPr>
      <w:rFonts w:ascii="Arial" w:hAnsi="Arial"/>
      <w:u w:color="000000"/>
      <w:lang w:val="es-ES" w:eastAsia="es-ES"/>
    </w:rPr>
  </w:style>
  <w:style w:type="paragraph" w:styleId="Textoindependiente3">
    <w:name w:val="Body Text 3"/>
    <w:basedOn w:val="Normal"/>
    <w:pPr>
      <w:jc w:val="both"/>
    </w:pPr>
    <w:rPr>
      <w:rFonts w:ascii="Book Antiqua" w:hAnsi="Book Antiqua" w:cs="Book Antiqua"/>
    </w:rPr>
  </w:style>
  <w:style w:type="paragraph" w:styleId="Piedepgina">
    <w:name w:val="footer"/>
    <w:basedOn w:val="Normal"/>
    <w:link w:val="PiedepginaCar"/>
    <w:pPr>
      <w:tabs>
        <w:tab w:val="center" w:pos="4252"/>
        <w:tab w:val="right" w:pos="8504"/>
      </w:tabs>
    </w:pPr>
    <w:rPr>
      <w:sz w:val="20"/>
      <w:szCs w:val="20"/>
    </w:rPr>
  </w:style>
  <w:style w:type="paragraph" w:styleId="Textoindependiente2">
    <w:name w:val="Body Text 2"/>
    <w:basedOn w:val="Normal"/>
    <w:pPr>
      <w:jc w:val="both"/>
    </w:pPr>
    <w:rPr>
      <w:rFonts w:ascii="Book Antiqua" w:hAnsi="Book Antiqua" w:cs="Book Antiqua"/>
    </w:rPr>
  </w:style>
  <w:style w:type="character" w:styleId="Hipervnculo">
    <w:name w:val="Hyperlink"/>
    <w:rPr>
      <w:rFonts w:cs="Times New Roman"/>
      <w:color w:val="0000FF"/>
      <w:u w:val="single"/>
    </w:rPr>
  </w:style>
  <w:style w:type="character" w:styleId="Nmerodepgina">
    <w:name w:val="page number"/>
    <w:rPr>
      <w:rFonts w:cs="Times New Roman"/>
    </w:rPr>
  </w:style>
  <w:style w:type="character" w:styleId="Hipervnculovisitado">
    <w:name w:val="FollowedHyperlink"/>
    <w:rPr>
      <w:rFonts w:cs="Times New Roman"/>
      <w:color w:val="800080"/>
      <w:u w:val="single"/>
    </w:rPr>
  </w:style>
  <w:style w:type="paragraph" w:customStyle="1" w:styleId="Ttulo30">
    <w:name w:val="TÍtulo 3"/>
    <w:next w:val="Normal"/>
    <w:pPr>
      <w:keepNext/>
      <w:widowControl w:val="0"/>
      <w:autoSpaceDE w:val="0"/>
      <w:autoSpaceDN w:val="0"/>
      <w:adjustRightInd w:val="0"/>
      <w:jc w:val="both"/>
    </w:pPr>
    <w:rPr>
      <w:rFonts w:ascii="Arial" w:hAnsi="Arial" w:cs="Arial"/>
      <w:sz w:val="24"/>
      <w:szCs w:val="24"/>
    </w:rPr>
  </w:style>
  <w:style w:type="paragraph" w:styleId="Textoindependiente">
    <w:name w:val="Body Text"/>
    <w:basedOn w:val="Normal"/>
    <w:rPr>
      <w:rFonts w:ascii="Book Antiqua" w:hAnsi="Book Antiqua" w:cs="Book Antiqua"/>
      <w:sz w:val="22"/>
      <w:szCs w:val="22"/>
    </w:rPr>
  </w:style>
  <w:style w:type="paragraph" w:styleId="Textonotapie">
    <w:name w:val="footnote text"/>
    <w:basedOn w:val="Normal"/>
    <w:link w:val="TextonotapieCar"/>
    <w:semiHidden/>
    <w:rPr>
      <w:rFonts w:cs="Times New Roman"/>
      <w:sz w:val="20"/>
      <w:szCs w:val="20"/>
    </w:rPr>
  </w:style>
  <w:style w:type="character" w:customStyle="1" w:styleId="TextonotapieCar">
    <w:name w:val="Texto nota pie Car"/>
    <w:link w:val="Textonotapie"/>
    <w:semiHidden/>
    <w:locked/>
    <w:rsid w:val="008B5BDE"/>
    <w:rPr>
      <w:rFonts w:ascii="Arial" w:hAnsi="Arial" w:cs="Arial"/>
      <w:lang w:val="es-ES" w:eastAsia="es-ES"/>
    </w:rPr>
  </w:style>
  <w:style w:type="character" w:styleId="Refdenotaalpie">
    <w:name w:val="footnote reference"/>
    <w:semiHidden/>
    <w:rPr>
      <w:rFonts w:cs="Times New Roman"/>
      <w:vertAlign w:val="superscript"/>
    </w:rPr>
  </w:style>
  <w:style w:type="paragraph" w:styleId="Sangra2detindependiente">
    <w:name w:val="Body Text Indent 2"/>
    <w:basedOn w:val="Normal"/>
    <w:pPr>
      <w:ind w:left="497"/>
      <w:jc w:val="both"/>
    </w:pPr>
    <w:rPr>
      <w:color w:val="000000"/>
      <w:spacing w:val="-10"/>
      <w:sz w:val="28"/>
      <w:szCs w:val="28"/>
      <w:u w:color="000000"/>
    </w:rPr>
  </w:style>
  <w:style w:type="paragraph" w:styleId="Mapadeldocumento">
    <w:name w:val="Document Map"/>
    <w:basedOn w:val="Normal"/>
    <w:semiHidden/>
    <w:pPr>
      <w:shd w:val="clear" w:color="auto" w:fill="000080"/>
    </w:pPr>
    <w:rPr>
      <w:rFonts w:ascii="Tahoma" w:hAnsi="Tahoma" w:cs="Tahoma"/>
      <w:color w:val="000000"/>
      <w:sz w:val="20"/>
      <w:szCs w:val="20"/>
      <w:u w:color="000000"/>
    </w:rPr>
  </w:style>
  <w:style w:type="paragraph" w:styleId="NormalWeb">
    <w:name w:val="Normal (Web)"/>
    <w:basedOn w:val="Normal"/>
    <w:link w:val="NormalWebCar"/>
    <w:uiPriority w:val="99"/>
    <w:rPr>
      <w:rFonts w:ascii="Arial Unicode MS" w:eastAsia="Arial Unicode MS" w:cs="Times New Roman"/>
      <w:color w:val="000000"/>
      <w:u w:color="000000"/>
    </w:rPr>
  </w:style>
  <w:style w:type="table" w:styleId="Tablaconcuadrcula">
    <w:name w:val="Table Grid"/>
    <w:basedOn w:val="Tablanormal"/>
    <w:rsid w:val="008B5BDE"/>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8B5BDE"/>
    <w:pPr>
      <w:widowControl/>
      <w:autoSpaceDE/>
      <w:autoSpaceDN/>
      <w:adjustRightInd/>
      <w:spacing w:after="120"/>
      <w:ind w:left="283"/>
    </w:pPr>
    <w:rPr>
      <w:sz w:val="20"/>
      <w:szCs w:val="20"/>
      <w:lang w:val="es-CR"/>
    </w:rPr>
  </w:style>
  <w:style w:type="paragraph" w:customStyle="1" w:styleId="estilo2">
    <w:name w:val="estilo2"/>
    <w:basedOn w:val="Normal"/>
    <w:rsid w:val="00F52303"/>
    <w:pPr>
      <w:widowControl/>
      <w:autoSpaceDE/>
      <w:autoSpaceDN/>
      <w:adjustRightInd/>
      <w:spacing w:before="100" w:beforeAutospacing="1" w:after="100" w:afterAutospacing="1"/>
    </w:pPr>
    <w:rPr>
      <w:rFonts w:ascii="Verdana" w:hAnsi="Verdana" w:cs="Verdana"/>
    </w:rPr>
  </w:style>
  <w:style w:type="character" w:customStyle="1" w:styleId="estilo51">
    <w:name w:val="estilo51"/>
    <w:rsid w:val="00F52303"/>
    <w:rPr>
      <w:rFonts w:cs="Times New Roman"/>
      <w:b/>
      <w:bCs/>
    </w:rPr>
  </w:style>
  <w:style w:type="paragraph" w:customStyle="1" w:styleId="CharChar">
    <w:name w:val="Char Char"/>
    <w:basedOn w:val="Normal"/>
    <w:semiHidden/>
    <w:rsid w:val="004E1018"/>
    <w:pPr>
      <w:widowControl/>
      <w:autoSpaceDE/>
      <w:autoSpaceDN/>
      <w:adjustRightInd/>
      <w:spacing w:after="160" w:line="240" w:lineRule="exact"/>
    </w:pPr>
    <w:rPr>
      <w:rFonts w:ascii="Verdana" w:hAnsi="Verdana" w:cs="Verdana"/>
      <w:sz w:val="20"/>
      <w:szCs w:val="20"/>
      <w:lang w:val="en-AU" w:eastAsia="en-US"/>
    </w:rPr>
  </w:style>
  <w:style w:type="character" w:customStyle="1" w:styleId="CarCar">
    <w:name w:val="Car Car"/>
    <w:semiHidden/>
    <w:locked/>
    <w:rsid w:val="007C0BF9"/>
    <w:rPr>
      <w:rFonts w:ascii="Arial" w:hAnsi="Arial" w:cs="Arial"/>
      <w:color w:val="000000"/>
      <w:u w:color="000000"/>
      <w:lang w:val="es-ES" w:eastAsia="es-ES"/>
    </w:rPr>
  </w:style>
  <w:style w:type="paragraph" w:styleId="Prrafodelista">
    <w:name w:val="List Paragraph"/>
    <w:aliases w:val="Titulo 2,Bullet 1,Use Case List Paragraph,lp1,Párrafo de Informe de Auditoría,VIÑETA,Figuras de tesis,References,Dot pt,No Spacing1,List Paragraph Char Char Char,Indicator Text,List Paragraph1,Numbered Para 1,F5 List Paragraph,titulo 3"/>
    <w:basedOn w:val="Normal"/>
    <w:link w:val="PrrafodelistaCar"/>
    <w:uiPriority w:val="34"/>
    <w:qFormat/>
    <w:rsid w:val="001C1DF7"/>
    <w:pPr>
      <w:widowControl/>
      <w:autoSpaceDE/>
      <w:autoSpaceDN/>
      <w:adjustRightInd/>
      <w:ind w:left="708"/>
    </w:pPr>
  </w:style>
  <w:style w:type="paragraph" w:customStyle="1" w:styleId="Prrafodelista1">
    <w:name w:val="Párrafo de lista1"/>
    <w:basedOn w:val="Normal"/>
    <w:qFormat/>
    <w:rsid w:val="001C1DF7"/>
    <w:pPr>
      <w:widowControl/>
      <w:autoSpaceDE/>
      <w:autoSpaceDN/>
      <w:adjustRightInd/>
      <w:spacing w:after="200" w:line="276" w:lineRule="auto"/>
      <w:ind w:left="720"/>
      <w:contextualSpacing/>
    </w:pPr>
    <w:rPr>
      <w:rFonts w:ascii="Calibri" w:hAnsi="Calibri" w:cs="Times New Roman"/>
      <w:sz w:val="22"/>
      <w:szCs w:val="22"/>
      <w:lang w:eastAsia="en-US"/>
    </w:rPr>
  </w:style>
  <w:style w:type="character" w:customStyle="1" w:styleId="PiedepginaCar">
    <w:name w:val="Pie de página Car"/>
    <w:link w:val="Piedepgina"/>
    <w:rsid w:val="00111EED"/>
    <w:rPr>
      <w:rFonts w:ascii="Arial" w:hAnsi="Arial" w:cs="Arial"/>
      <w:lang w:val="es-ES" w:eastAsia="es-ES" w:bidi="ar-SA"/>
    </w:rPr>
  </w:style>
  <w:style w:type="character" w:customStyle="1" w:styleId="apple-converted-space">
    <w:name w:val="apple-converted-space"/>
    <w:basedOn w:val="Fuentedeprrafopredeter"/>
    <w:rsid w:val="00440E51"/>
  </w:style>
  <w:style w:type="character" w:customStyle="1" w:styleId="Ttulo4Car">
    <w:name w:val="Título 4 Car"/>
    <w:link w:val="Ttulo4"/>
    <w:rsid w:val="00E97CE2"/>
    <w:rPr>
      <w:rFonts w:ascii="Book Antiqua" w:hAnsi="Book Antiqua" w:cs="Book Antiqua"/>
      <w:b/>
      <w:bCs/>
      <w:sz w:val="24"/>
      <w:szCs w:val="24"/>
      <w:u w:color="000000"/>
      <w:lang w:val="es-ES" w:eastAsia="es-ES"/>
    </w:rPr>
  </w:style>
  <w:style w:type="character" w:customStyle="1" w:styleId="Ttulo3Car">
    <w:name w:val="Título 3 Car"/>
    <w:link w:val="Ttulo3"/>
    <w:semiHidden/>
    <w:rsid w:val="005123C0"/>
    <w:rPr>
      <w:rFonts w:ascii="Cambria" w:eastAsia="Times New Roman" w:hAnsi="Cambria" w:cs="Times New Roman"/>
      <w:b/>
      <w:bCs/>
      <w:sz w:val="26"/>
      <w:szCs w:val="26"/>
      <w:lang w:val="es-ES" w:eastAsia="es-ES"/>
    </w:rPr>
  </w:style>
  <w:style w:type="character" w:customStyle="1" w:styleId="NormalWebCar">
    <w:name w:val="Normal (Web) Car"/>
    <w:link w:val="NormalWeb"/>
    <w:locked/>
    <w:rsid w:val="005123C0"/>
    <w:rPr>
      <w:rFonts w:ascii="Arial Unicode MS" w:eastAsia="Arial Unicode MS" w:hAnsi="Arial" w:cs="Arial Unicode MS"/>
      <w:color w:val="000000"/>
      <w:sz w:val="24"/>
      <w:szCs w:val="24"/>
      <w:u w:color="000000"/>
      <w:lang w:val="es-ES" w:eastAsia="es-ES"/>
    </w:rPr>
  </w:style>
  <w:style w:type="paragraph" w:customStyle="1" w:styleId="Trabajo2">
    <w:name w:val="Trabajo2"/>
    <w:rsid w:val="005123C0"/>
    <w:pPr>
      <w:suppressAutoHyphens/>
      <w:spacing w:line="360" w:lineRule="auto"/>
      <w:jc w:val="both"/>
    </w:pPr>
    <w:rPr>
      <w:rFonts w:ascii="Arial" w:hAnsi="Arial" w:cs="Arial"/>
      <w:lang w:eastAsia="ar-SA"/>
    </w:rPr>
  </w:style>
  <w:style w:type="paragraph" w:customStyle="1" w:styleId="Epgrafe1">
    <w:name w:val="Epígrafe1"/>
    <w:basedOn w:val="Normal"/>
    <w:next w:val="Normal"/>
    <w:uiPriority w:val="35"/>
    <w:qFormat/>
    <w:rsid w:val="005123C0"/>
    <w:pPr>
      <w:widowControl/>
      <w:numPr>
        <w:ilvl w:val="12"/>
      </w:numPr>
      <w:autoSpaceDE/>
      <w:autoSpaceDN/>
      <w:adjustRightInd/>
      <w:spacing w:line="276" w:lineRule="auto"/>
      <w:jc w:val="center"/>
    </w:pPr>
    <w:rPr>
      <w:rFonts w:cs="Times New Roman"/>
      <w:b/>
      <w:bCs/>
      <w:color w:val="1F497D"/>
      <w:sz w:val="22"/>
    </w:rPr>
  </w:style>
  <w:style w:type="character" w:styleId="Refdecomentario">
    <w:name w:val="annotation reference"/>
    <w:basedOn w:val="Fuentedeprrafopredeter"/>
    <w:semiHidden/>
    <w:unhideWhenUsed/>
    <w:rsid w:val="00F80F6D"/>
    <w:rPr>
      <w:sz w:val="16"/>
      <w:szCs w:val="16"/>
    </w:rPr>
  </w:style>
  <w:style w:type="paragraph" w:styleId="Textocomentario">
    <w:name w:val="annotation text"/>
    <w:basedOn w:val="Normal"/>
    <w:link w:val="TextocomentarioCar"/>
    <w:semiHidden/>
    <w:unhideWhenUsed/>
    <w:rsid w:val="00F80F6D"/>
    <w:rPr>
      <w:sz w:val="20"/>
      <w:szCs w:val="20"/>
    </w:rPr>
  </w:style>
  <w:style w:type="character" w:customStyle="1" w:styleId="TextocomentarioCar">
    <w:name w:val="Texto comentario Car"/>
    <w:basedOn w:val="Fuentedeprrafopredeter"/>
    <w:link w:val="Textocomentario"/>
    <w:semiHidden/>
    <w:rsid w:val="00F80F6D"/>
    <w:rPr>
      <w:rFonts w:ascii="Arial" w:hAnsi="Arial" w:cs="Arial"/>
    </w:rPr>
  </w:style>
  <w:style w:type="paragraph" w:styleId="Asuntodelcomentario">
    <w:name w:val="annotation subject"/>
    <w:basedOn w:val="Textocomentario"/>
    <w:next w:val="Textocomentario"/>
    <w:link w:val="AsuntodelcomentarioCar"/>
    <w:semiHidden/>
    <w:unhideWhenUsed/>
    <w:rsid w:val="00F80F6D"/>
    <w:rPr>
      <w:b/>
      <w:bCs/>
    </w:rPr>
  </w:style>
  <w:style w:type="character" w:customStyle="1" w:styleId="AsuntodelcomentarioCar">
    <w:name w:val="Asunto del comentario Car"/>
    <w:basedOn w:val="TextocomentarioCar"/>
    <w:link w:val="Asuntodelcomentario"/>
    <w:semiHidden/>
    <w:rsid w:val="00F80F6D"/>
    <w:rPr>
      <w:rFonts w:ascii="Arial" w:hAnsi="Arial" w:cs="Arial"/>
      <w:b/>
      <w:bCs/>
    </w:rPr>
  </w:style>
  <w:style w:type="character" w:customStyle="1" w:styleId="PrrafodelistaCar">
    <w:name w:val="Párrafo de lista Car"/>
    <w:aliases w:val="Titulo 2 Car,Bullet 1 Car,Use Case List Paragraph Car,lp1 Car,Párrafo de Informe de Auditoría Car,VIÑETA Car,Figuras de tesis Car,References Car,Dot pt Car,No Spacing1 Car,List Paragraph Char Char Char Car,Indicator Text Car"/>
    <w:basedOn w:val="Fuentedeprrafopredeter"/>
    <w:link w:val="Prrafodelista"/>
    <w:uiPriority w:val="34"/>
    <w:rsid w:val="001E5C11"/>
    <w:rPr>
      <w:rFonts w:ascii="Arial" w:hAnsi="Arial" w:cs="Arial"/>
      <w:sz w:val="24"/>
      <w:szCs w:val="24"/>
    </w:rPr>
  </w:style>
  <w:style w:type="paragraph" w:styleId="Revisin">
    <w:name w:val="Revision"/>
    <w:hidden/>
    <w:uiPriority w:val="99"/>
    <w:semiHidden/>
    <w:rsid w:val="002B300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32199205">
      <w:bodyDiv w:val="1"/>
      <w:marLeft w:val="0"/>
      <w:marRight w:val="0"/>
      <w:marTop w:val="0"/>
      <w:marBottom w:val="0"/>
      <w:divBdr>
        <w:top w:val="none" w:sz="0" w:space="0" w:color="auto"/>
        <w:left w:val="none" w:sz="0" w:space="0" w:color="auto"/>
        <w:bottom w:val="none" w:sz="0" w:space="0" w:color="auto"/>
        <w:right w:val="none" w:sz="0" w:space="0" w:color="auto"/>
      </w:divBdr>
    </w:div>
    <w:div w:id="83498520">
      <w:bodyDiv w:val="1"/>
      <w:marLeft w:val="0"/>
      <w:marRight w:val="0"/>
      <w:marTop w:val="0"/>
      <w:marBottom w:val="0"/>
      <w:divBdr>
        <w:top w:val="none" w:sz="0" w:space="0" w:color="auto"/>
        <w:left w:val="none" w:sz="0" w:space="0" w:color="auto"/>
        <w:bottom w:val="none" w:sz="0" w:space="0" w:color="auto"/>
        <w:right w:val="none" w:sz="0" w:space="0" w:color="auto"/>
      </w:divBdr>
    </w:div>
    <w:div w:id="202058557">
      <w:bodyDiv w:val="1"/>
      <w:marLeft w:val="0"/>
      <w:marRight w:val="0"/>
      <w:marTop w:val="0"/>
      <w:marBottom w:val="0"/>
      <w:divBdr>
        <w:top w:val="none" w:sz="0" w:space="0" w:color="auto"/>
        <w:left w:val="none" w:sz="0" w:space="0" w:color="auto"/>
        <w:bottom w:val="none" w:sz="0" w:space="0" w:color="auto"/>
        <w:right w:val="none" w:sz="0" w:space="0" w:color="auto"/>
      </w:divBdr>
    </w:div>
    <w:div w:id="225380105">
      <w:bodyDiv w:val="1"/>
      <w:marLeft w:val="0"/>
      <w:marRight w:val="0"/>
      <w:marTop w:val="0"/>
      <w:marBottom w:val="0"/>
      <w:divBdr>
        <w:top w:val="none" w:sz="0" w:space="0" w:color="auto"/>
        <w:left w:val="none" w:sz="0" w:space="0" w:color="auto"/>
        <w:bottom w:val="none" w:sz="0" w:space="0" w:color="auto"/>
        <w:right w:val="none" w:sz="0" w:space="0" w:color="auto"/>
      </w:divBdr>
    </w:div>
    <w:div w:id="255210242">
      <w:bodyDiv w:val="1"/>
      <w:marLeft w:val="0"/>
      <w:marRight w:val="0"/>
      <w:marTop w:val="0"/>
      <w:marBottom w:val="0"/>
      <w:divBdr>
        <w:top w:val="none" w:sz="0" w:space="0" w:color="auto"/>
        <w:left w:val="none" w:sz="0" w:space="0" w:color="auto"/>
        <w:bottom w:val="none" w:sz="0" w:space="0" w:color="auto"/>
        <w:right w:val="none" w:sz="0" w:space="0" w:color="auto"/>
      </w:divBdr>
    </w:div>
    <w:div w:id="311296120">
      <w:bodyDiv w:val="1"/>
      <w:marLeft w:val="0"/>
      <w:marRight w:val="0"/>
      <w:marTop w:val="0"/>
      <w:marBottom w:val="0"/>
      <w:divBdr>
        <w:top w:val="none" w:sz="0" w:space="0" w:color="auto"/>
        <w:left w:val="none" w:sz="0" w:space="0" w:color="auto"/>
        <w:bottom w:val="none" w:sz="0" w:space="0" w:color="auto"/>
        <w:right w:val="none" w:sz="0" w:space="0" w:color="auto"/>
      </w:divBdr>
    </w:div>
    <w:div w:id="436874836">
      <w:bodyDiv w:val="1"/>
      <w:marLeft w:val="0"/>
      <w:marRight w:val="0"/>
      <w:marTop w:val="0"/>
      <w:marBottom w:val="0"/>
      <w:divBdr>
        <w:top w:val="none" w:sz="0" w:space="0" w:color="auto"/>
        <w:left w:val="none" w:sz="0" w:space="0" w:color="auto"/>
        <w:bottom w:val="none" w:sz="0" w:space="0" w:color="auto"/>
        <w:right w:val="none" w:sz="0" w:space="0" w:color="auto"/>
      </w:divBdr>
      <w:divsChild>
        <w:div w:id="1459839577">
          <w:marLeft w:val="0"/>
          <w:marRight w:val="0"/>
          <w:marTop w:val="0"/>
          <w:marBottom w:val="0"/>
          <w:divBdr>
            <w:top w:val="none" w:sz="0" w:space="0" w:color="auto"/>
            <w:left w:val="none" w:sz="0" w:space="0" w:color="auto"/>
            <w:bottom w:val="none" w:sz="0" w:space="0" w:color="auto"/>
            <w:right w:val="none" w:sz="0" w:space="0" w:color="auto"/>
          </w:divBdr>
        </w:div>
      </w:divsChild>
    </w:div>
    <w:div w:id="461850046">
      <w:bodyDiv w:val="1"/>
      <w:marLeft w:val="0"/>
      <w:marRight w:val="0"/>
      <w:marTop w:val="0"/>
      <w:marBottom w:val="0"/>
      <w:divBdr>
        <w:top w:val="none" w:sz="0" w:space="0" w:color="auto"/>
        <w:left w:val="none" w:sz="0" w:space="0" w:color="auto"/>
        <w:bottom w:val="none" w:sz="0" w:space="0" w:color="auto"/>
        <w:right w:val="none" w:sz="0" w:space="0" w:color="auto"/>
      </w:divBdr>
    </w:div>
    <w:div w:id="527765558">
      <w:bodyDiv w:val="1"/>
      <w:marLeft w:val="0"/>
      <w:marRight w:val="0"/>
      <w:marTop w:val="0"/>
      <w:marBottom w:val="0"/>
      <w:divBdr>
        <w:top w:val="none" w:sz="0" w:space="0" w:color="auto"/>
        <w:left w:val="none" w:sz="0" w:space="0" w:color="auto"/>
        <w:bottom w:val="none" w:sz="0" w:space="0" w:color="auto"/>
        <w:right w:val="none" w:sz="0" w:space="0" w:color="auto"/>
      </w:divBdr>
    </w:div>
    <w:div w:id="672103836">
      <w:bodyDiv w:val="1"/>
      <w:marLeft w:val="0"/>
      <w:marRight w:val="0"/>
      <w:marTop w:val="0"/>
      <w:marBottom w:val="0"/>
      <w:divBdr>
        <w:top w:val="none" w:sz="0" w:space="0" w:color="auto"/>
        <w:left w:val="none" w:sz="0" w:space="0" w:color="auto"/>
        <w:bottom w:val="none" w:sz="0" w:space="0" w:color="auto"/>
        <w:right w:val="none" w:sz="0" w:space="0" w:color="auto"/>
      </w:divBdr>
      <w:divsChild>
        <w:div w:id="2004624818">
          <w:marLeft w:val="0"/>
          <w:marRight w:val="0"/>
          <w:marTop w:val="0"/>
          <w:marBottom w:val="0"/>
          <w:divBdr>
            <w:top w:val="none" w:sz="0" w:space="0" w:color="auto"/>
            <w:left w:val="none" w:sz="0" w:space="0" w:color="auto"/>
            <w:bottom w:val="none" w:sz="0" w:space="0" w:color="auto"/>
            <w:right w:val="none" w:sz="0" w:space="0" w:color="auto"/>
          </w:divBdr>
        </w:div>
      </w:divsChild>
    </w:div>
    <w:div w:id="720397619">
      <w:bodyDiv w:val="1"/>
      <w:marLeft w:val="0"/>
      <w:marRight w:val="0"/>
      <w:marTop w:val="0"/>
      <w:marBottom w:val="0"/>
      <w:divBdr>
        <w:top w:val="none" w:sz="0" w:space="0" w:color="auto"/>
        <w:left w:val="none" w:sz="0" w:space="0" w:color="auto"/>
        <w:bottom w:val="none" w:sz="0" w:space="0" w:color="auto"/>
        <w:right w:val="none" w:sz="0" w:space="0" w:color="auto"/>
      </w:divBdr>
    </w:div>
    <w:div w:id="730423516">
      <w:bodyDiv w:val="1"/>
      <w:marLeft w:val="0"/>
      <w:marRight w:val="0"/>
      <w:marTop w:val="0"/>
      <w:marBottom w:val="0"/>
      <w:divBdr>
        <w:top w:val="none" w:sz="0" w:space="0" w:color="auto"/>
        <w:left w:val="none" w:sz="0" w:space="0" w:color="auto"/>
        <w:bottom w:val="none" w:sz="0" w:space="0" w:color="auto"/>
        <w:right w:val="none" w:sz="0" w:space="0" w:color="auto"/>
      </w:divBdr>
    </w:div>
    <w:div w:id="761729712">
      <w:bodyDiv w:val="1"/>
      <w:marLeft w:val="0"/>
      <w:marRight w:val="0"/>
      <w:marTop w:val="0"/>
      <w:marBottom w:val="0"/>
      <w:divBdr>
        <w:top w:val="none" w:sz="0" w:space="0" w:color="auto"/>
        <w:left w:val="none" w:sz="0" w:space="0" w:color="auto"/>
        <w:bottom w:val="none" w:sz="0" w:space="0" w:color="auto"/>
        <w:right w:val="none" w:sz="0" w:space="0" w:color="auto"/>
      </w:divBdr>
    </w:div>
    <w:div w:id="991635954">
      <w:bodyDiv w:val="1"/>
      <w:marLeft w:val="0"/>
      <w:marRight w:val="0"/>
      <w:marTop w:val="0"/>
      <w:marBottom w:val="0"/>
      <w:divBdr>
        <w:top w:val="none" w:sz="0" w:space="0" w:color="auto"/>
        <w:left w:val="none" w:sz="0" w:space="0" w:color="auto"/>
        <w:bottom w:val="none" w:sz="0" w:space="0" w:color="auto"/>
        <w:right w:val="none" w:sz="0" w:space="0" w:color="auto"/>
      </w:divBdr>
    </w:div>
    <w:div w:id="1092749307">
      <w:bodyDiv w:val="1"/>
      <w:marLeft w:val="0"/>
      <w:marRight w:val="0"/>
      <w:marTop w:val="0"/>
      <w:marBottom w:val="0"/>
      <w:divBdr>
        <w:top w:val="none" w:sz="0" w:space="0" w:color="auto"/>
        <w:left w:val="none" w:sz="0" w:space="0" w:color="auto"/>
        <w:bottom w:val="none" w:sz="0" w:space="0" w:color="auto"/>
        <w:right w:val="none" w:sz="0" w:space="0" w:color="auto"/>
      </w:divBdr>
    </w:div>
    <w:div w:id="1167750972">
      <w:bodyDiv w:val="1"/>
      <w:marLeft w:val="0"/>
      <w:marRight w:val="0"/>
      <w:marTop w:val="0"/>
      <w:marBottom w:val="0"/>
      <w:divBdr>
        <w:top w:val="none" w:sz="0" w:space="0" w:color="auto"/>
        <w:left w:val="none" w:sz="0" w:space="0" w:color="auto"/>
        <w:bottom w:val="none" w:sz="0" w:space="0" w:color="auto"/>
        <w:right w:val="none" w:sz="0" w:space="0" w:color="auto"/>
      </w:divBdr>
    </w:div>
    <w:div w:id="1224218443">
      <w:bodyDiv w:val="1"/>
      <w:marLeft w:val="0"/>
      <w:marRight w:val="0"/>
      <w:marTop w:val="0"/>
      <w:marBottom w:val="0"/>
      <w:divBdr>
        <w:top w:val="none" w:sz="0" w:space="0" w:color="auto"/>
        <w:left w:val="none" w:sz="0" w:space="0" w:color="auto"/>
        <w:bottom w:val="none" w:sz="0" w:space="0" w:color="auto"/>
        <w:right w:val="none" w:sz="0" w:space="0" w:color="auto"/>
      </w:divBdr>
    </w:div>
    <w:div w:id="1245148718">
      <w:bodyDiv w:val="1"/>
      <w:marLeft w:val="0"/>
      <w:marRight w:val="0"/>
      <w:marTop w:val="0"/>
      <w:marBottom w:val="0"/>
      <w:divBdr>
        <w:top w:val="none" w:sz="0" w:space="0" w:color="auto"/>
        <w:left w:val="none" w:sz="0" w:space="0" w:color="auto"/>
        <w:bottom w:val="none" w:sz="0" w:space="0" w:color="auto"/>
        <w:right w:val="none" w:sz="0" w:space="0" w:color="auto"/>
      </w:divBdr>
    </w:div>
    <w:div w:id="1378814967">
      <w:bodyDiv w:val="1"/>
      <w:marLeft w:val="0"/>
      <w:marRight w:val="0"/>
      <w:marTop w:val="0"/>
      <w:marBottom w:val="0"/>
      <w:divBdr>
        <w:top w:val="none" w:sz="0" w:space="0" w:color="auto"/>
        <w:left w:val="none" w:sz="0" w:space="0" w:color="auto"/>
        <w:bottom w:val="none" w:sz="0" w:space="0" w:color="auto"/>
        <w:right w:val="none" w:sz="0" w:space="0" w:color="auto"/>
      </w:divBdr>
    </w:div>
    <w:div w:id="1530138934">
      <w:bodyDiv w:val="1"/>
      <w:marLeft w:val="0"/>
      <w:marRight w:val="0"/>
      <w:marTop w:val="0"/>
      <w:marBottom w:val="0"/>
      <w:divBdr>
        <w:top w:val="none" w:sz="0" w:space="0" w:color="auto"/>
        <w:left w:val="none" w:sz="0" w:space="0" w:color="auto"/>
        <w:bottom w:val="none" w:sz="0" w:space="0" w:color="auto"/>
        <w:right w:val="none" w:sz="0" w:space="0" w:color="auto"/>
      </w:divBdr>
    </w:div>
    <w:div w:id="1709456097">
      <w:bodyDiv w:val="1"/>
      <w:marLeft w:val="0"/>
      <w:marRight w:val="0"/>
      <w:marTop w:val="0"/>
      <w:marBottom w:val="0"/>
      <w:divBdr>
        <w:top w:val="none" w:sz="0" w:space="0" w:color="auto"/>
        <w:left w:val="none" w:sz="0" w:space="0" w:color="auto"/>
        <w:bottom w:val="none" w:sz="0" w:space="0" w:color="auto"/>
        <w:right w:val="none" w:sz="0" w:space="0" w:color="auto"/>
      </w:divBdr>
    </w:div>
    <w:div w:id="1985962846">
      <w:bodyDiv w:val="1"/>
      <w:marLeft w:val="0"/>
      <w:marRight w:val="0"/>
      <w:marTop w:val="0"/>
      <w:marBottom w:val="0"/>
      <w:divBdr>
        <w:top w:val="none" w:sz="0" w:space="0" w:color="auto"/>
        <w:left w:val="none" w:sz="0" w:space="0" w:color="auto"/>
        <w:bottom w:val="none" w:sz="0" w:space="0" w:color="auto"/>
        <w:right w:val="none" w:sz="0" w:space="0" w:color="auto"/>
      </w:divBdr>
    </w:div>
    <w:div w:id="2025940629">
      <w:bodyDiv w:val="1"/>
      <w:marLeft w:val="0"/>
      <w:marRight w:val="0"/>
      <w:marTop w:val="0"/>
      <w:marBottom w:val="0"/>
      <w:divBdr>
        <w:top w:val="none" w:sz="0" w:space="0" w:color="auto"/>
        <w:left w:val="none" w:sz="0" w:space="0" w:color="auto"/>
        <w:bottom w:val="none" w:sz="0" w:space="0" w:color="auto"/>
        <w:right w:val="none" w:sz="0" w:space="0" w:color="auto"/>
      </w:divBdr>
    </w:div>
    <w:div w:id="2088072830">
      <w:bodyDiv w:val="1"/>
      <w:marLeft w:val="0"/>
      <w:marRight w:val="0"/>
      <w:marTop w:val="0"/>
      <w:marBottom w:val="0"/>
      <w:divBdr>
        <w:top w:val="none" w:sz="0" w:space="0" w:color="auto"/>
        <w:left w:val="none" w:sz="0" w:space="0" w:color="auto"/>
        <w:bottom w:val="none" w:sz="0" w:space="0" w:color="auto"/>
        <w:right w:val="none" w:sz="0" w:space="0" w:color="auto"/>
      </w:divBdr>
    </w:div>
    <w:div w:id="2113551203">
      <w:bodyDiv w:val="1"/>
      <w:marLeft w:val="0"/>
      <w:marRight w:val="0"/>
      <w:marTop w:val="0"/>
      <w:marBottom w:val="0"/>
      <w:divBdr>
        <w:top w:val="none" w:sz="0" w:space="0" w:color="auto"/>
        <w:left w:val="none" w:sz="0" w:space="0" w:color="auto"/>
        <w:bottom w:val="none" w:sz="0" w:space="0" w:color="auto"/>
        <w:right w:val="none" w:sz="0" w:space="0" w:color="auto"/>
      </w:divBdr>
      <w:divsChild>
        <w:div w:id="1170678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Hoja1!$B$1</c:f>
              <c:strCache>
                <c:ptCount val="1"/>
                <c:pt idx="0">
                  <c:v>Entrada</c:v>
                </c:pt>
              </c:strCache>
            </c:strRef>
          </c:tx>
          <c:spPr>
            <a:ln w="28575" cap="rnd">
              <a:solidFill>
                <a:schemeClr val="accent1"/>
              </a:solidFill>
              <a:round/>
            </a:ln>
            <a:effectLst/>
          </c:spPr>
          <c:marker>
            <c:symbol val="none"/>
          </c:marker>
          <c:dLbls>
            <c:dLbl>
              <c:idx val="1"/>
              <c:layout>
                <c:manualLayout>
                  <c:x val="-2.5462962962962962E-2"/>
                  <c:y val="-4.36507936507935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70E-48D3-B8C5-5A40A030E0E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Hoja1!$A$2:$A$4</c:f>
              <c:numCache>
                <c:formatCode>General</c:formatCode>
                <c:ptCount val="3"/>
                <c:pt idx="0">
                  <c:v>2017</c:v>
                </c:pt>
                <c:pt idx="1">
                  <c:v>2018</c:v>
                </c:pt>
                <c:pt idx="2">
                  <c:v>2019</c:v>
                </c:pt>
              </c:numCache>
            </c:numRef>
          </c:cat>
          <c:val>
            <c:numRef>
              <c:f>Hoja1!$B$2:$B$4</c:f>
              <c:numCache>
                <c:formatCode>General</c:formatCode>
                <c:ptCount val="3"/>
                <c:pt idx="0">
                  <c:v>2848</c:v>
                </c:pt>
                <c:pt idx="1">
                  <c:v>793</c:v>
                </c:pt>
                <c:pt idx="2">
                  <c:v>511</c:v>
                </c:pt>
              </c:numCache>
            </c:numRef>
          </c:val>
          <c:smooth val="0"/>
          <c:extLst>
            <c:ext xmlns:c16="http://schemas.microsoft.com/office/drawing/2014/chart" uri="{C3380CC4-5D6E-409C-BE32-E72D297353CC}">
              <c16:uniqueId val="{00000001-770E-48D3-B8C5-5A40A030E0E2}"/>
            </c:ext>
          </c:extLst>
        </c:ser>
        <c:ser>
          <c:idx val="1"/>
          <c:order val="1"/>
          <c:tx>
            <c:strRef>
              <c:f>Hoja1!$C$1</c:f>
              <c:strCache>
                <c:ptCount val="1"/>
                <c:pt idx="0">
                  <c:v>Salida</c:v>
                </c:pt>
              </c:strCache>
            </c:strRef>
          </c:tx>
          <c:spPr>
            <a:ln w="28575" cap="rnd">
              <a:solidFill>
                <a:schemeClr val="accent2"/>
              </a:solidFill>
              <a:round/>
            </a:ln>
            <a:effectLst/>
          </c:spPr>
          <c:marker>
            <c:symbol val="none"/>
          </c:marker>
          <c:dLbls>
            <c:dLbl>
              <c:idx val="0"/>
              <c:layout>
                <c:manualLayout>
                  <c:x val="-1.3888888888888888E-2"/>
                  <c:y val="-7.53968253968253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70E-48D3-B8C5-5A40A030E0E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Hoja1!$A$2:$A$4</c:f>
              <c:numCache>
                <c:formatCode>General</c:formatCode>
                <c:ptCount val="3"/>
                <c:pt idx="0">
                  <c:v>2017</c:v>
                </c:pt>
                <c:pt idx="1">
                  <c:v>2018</c:v>
                </c:pt>
                <c:pt idx="2">
                  <c:v>2019</c:v>
                </c:pt>
              </c:numCache>
            </c:numRef>
          </c:cat>
          <c:val>
            <c:numRef>
              <c:f>Hoja1!$C$2:$C$4</c:f>
              <c:numCache>
                <c:formatCode>General</c:formatCode>
                <c:ptCount val="3"/>
                <c:pt idx="0">
                  <c:v>3730</c:v>
                </c:pt>
                <c:pt idx="1">
                  <c:v>2329</c:v>
                </c:pt>
                <c:pt idx="2">
                  <c:v>1030</c:v>
                </c:pt>
              </c:numCache>
            </c:numRef>
          </c:val>
          <c:smooth val="0"/>
          <c:extLst>
            <c:ext xmlns:c16="http://schemas.microsoft.com/office/drawing/2014/chart" uri="{C3380CC4-5D6E-409C-BE32-E72D297353CC}">
              <c16:uniqueId val="{00000003-770E-48D3-B8C5-5A40A030E0E2}"/>
            </c:ext>
          </c:extLst>
        </c:ser>
        <c:ser>
          <c:idx val="2"/>
          <c:order val="2"/>
          <c:tx>
            <c:strRef>
              <c:f>Hoja1!$D$1</c:f>
              <c:strCache>
                <c:ptCount val="1"/>
                <c:pt idx="0">
                  <c:v>Circulante</c:v>
                </c:pt>
              </c:strCache>
            </c:strRef>
          </c:tx>
          <c:spPr>
            <a:ln w="28575" cap="rnd">
              <a:solidFill>
                <a:schemeClr val="accent3"/>
              </a:solidFill>
              <a:round/>
            </a:ln>
            <a:effectLst/>
          </c:spPr>
          <c:marker>
            <c:symbol val="none"/>
          </c:marker>
          <c:dLbls>
            <c:dLbl>
              <c:idx val="0"/>
              <c:layout>
                <c:manualLayout>
                  <c:x val="4.6296296296296294E-2"/>
                  <c:y val="0.107142857142857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70E-48D3-B8C5-5A40A030E0E2}"/>
                </c:ext>
              </c:extLst>
            </c:dLbl>
            <c:dLbl>
              <c:idx val="1"/>
              <c:layout>
                <c:manualLayout>
                  <c:x val="-4.1666666666666755E-2"/>
                  <c:y val="4.36507936507935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70E-48D3-B8C5-5A40A030E0E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Hoja1!$A$2:$A$4</c:f>
              <c:numCache>
                <c:formatCode>General</c:formatCode>
                <c:ptCount val="3"/>
                <c:pt idx="0">
                  <c:v>2017</c:v>
                </c:pt>
                <c:pt idx="1">
                  <c:v>2018</c:v>
                </c:pt>
                <c:pt idx="2">
                  <c:v>2019</c:v>
                </c:pt>
              </c:numCache>
            </c:numRef>
          </c:cat>
          <c:val>
            <c:numRef>
              <c:f>Hoja1!$D$2:$D$4</c:f>
              <c:numCache>
                <c:formatCode>General</c:formatCode>
                <c:ptCount val="3"/>
                <c:pt idx="0">
                  <c:v>3720</c:v>
                </c:pt>
                <c:pt idx="1">
                  <c:v>582</c:v>
                </c:pt>
                <c:pt idx="2">
                  <c:v>26</c:v>
                </c:pt>
              </c:numCache>
            </c:numRef>
          </c:val>
          <c:smooth val="0"/>
          <c:extLst>
            <c:ext xmlns:c16="http://schemas.microsoft.com/office/drawing/2014/chart" uri="{C3380CC4-5D6E-409C-BE32-E72D297353CC}">
              <c16:uniqueId val="{00000006-770E-48D3-B8C5-5A40A030E0E2}"/>
            </c:ext>
          </c:extLst>
        </c:ser>
        <c:dLbls>
          <c:showLegendKey val="0"/>
          <c:showVal val="0"/>
          <c:showCatName val="0"/>
          <c:showSerName val="0"/>
          <c:showPercent val="0"/>
          <c:showBubbleSize val="0"/>
        </c:dLbls>
        <c:smooth val="0"/>
        <c:axId val="1984270431"/>
        <c:axId val="2062854287"/>
      </c:lineChart>
      <c:catAx>
        <c:axId val="19842704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R"/>
          </a:p>
        </c:txPr>
        <c:crossAx val="2062854287"/>
        <c:crosses val="autoZero"/>
        <c:auto val="1"/>
        <c:lblAlgn val="ctr"/>
        <c:lblOffset val="100"/>
        <c:noMultiLvlLbl val="0"/>
      </c:catAx>
      <c:valAx>
        <c:axId val="2062854287"/>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R"/>
          </a:p>
        </c:txPr>
        <c:crossAx val="19842704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742C1-B7F9-464E-A4B6-BE1C30C2D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2615</Words>
  <Characters>14387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1388-PLA-2013</vt:lpstr>
    </vt:vector>
  </TitlesOfParts>
  <Company>Poder Judicial</Company>
  <LinksUpToDate>false</LinksUpToDate>
  <CharactersWithSpaces>16969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1388-PLA-2013</dc:title>
  <dc:creator>xbarrientos</dc:creator>
  <cp:lastModifiedBy>Rocío Picado Vargas</cp:lastModifiedBy>
  <cp:revision>1</cp:revision>
  <dcterms:created xsi:type="dcterms:W3CDTF">2021-02-05T01:36:00Z</dcterms:created>
  <dcterms:modified xsi:type="dcterms:W3CDTF">2021-02-05T01:36:00Z</dcterms:modified>
</cp:coreProperties>
</file>