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08EE9F80" w:rsidR="0029216A" w:rsidRPr="00D3581E" w:rsidRDefault="006312AE" w:rsidP="00D3581E">
      <w:pPr>
        <w:pStyle w:val="Ttulo7"/>
        <w:tabs>
          <w:tab w:val="clear" w:pos="0"/>
          <w:tab w:val="left" w:pos="4280"/>
        </w:tabs>
        <w:ind w:left="4248"/>
        <w:jc w:val="both"/>
        <w:rPr>
          <w:rFonts w:ascii="Times New Roman" w:hAnsi="Times New Roman"/>
          <w:bCs w:val="0"/>
          <w:sz w:val="23"/>
          <w:szCs w:val="23"/>
          <w:u w:val="none"/>
          <w:lang w:val="es-ES_tradnl"/>
        </w:rPr>
      </w:pPr>
      <w:r w:rsidRPr="00D3581E">
        <w:rPr>
          <w:rFonts w:ascii="Times New Roman" w:hAnsi="Times New Roman"/>
          <w:bCs w:val="0"/>
          <w:sz w:val="23"/>
          <w:szCs w:val="23"/>
          <w:u w:val="none"/>
          <w:lang w:val="es-ES_tradnl"/>
        </w:rPr>
        <w:t>San José,</w:t>
      </w:r>
      <w:r w:rsidR="00D93E61" w:rsidRPr="00D3581E">
        <w:rPr>
          <w:rFonts w:ascii="Times New Roman" w:hAnsi="Times New Roman"/>
          <w:bCs w:val="0"/>
          <w:sz w:val="23"/>
          <w:szCs w:val="23"/>
          <w:u w:val="none"/>
          <w:lang w:val="es-ES_tradnl"/>
        </w:rPr>
        <w:t xml:space="preserve"> </w:t>
      </w:r>
      <w:r w:rsidR="00807085" w:rsidRPr="00D3581E">
        <w:rPr>
          <w:rFonts w:ascii="Times New Roman" w:hAnsi="Times New Roman"/>
          <w:bCs w:val="0"/>
          <w:sz w:val="23"/>
          <w:szCs w:val="23"/>
          <w:u w:val="none"/>
          <w:lang w:val="es-ES_tradnl"/>
        </w:rPr>
        <w:t>2</w:t>
      </w:r>
      <w:r w:rsidR="003D5D45" w:rsidRPr="00D3581E">
        <w:rPr>
          <w:rFonts w:ascii="Times New Roman" w:hAnsi="Times New Roman"/>
          <w:bCs w:val="0"/>
          <w:sz w:val="23"/>
          <w:szCs w:val="23"/>
          <w:u w:val="none"/>
          <w:lang w:val="es-ES_tradnl"/>
        </w:rPr>
        <w:t>8</w:t>
      </w:r>
      <w:r w:rsidR="00807085" w:rsidRPr="00D3581E">
        <w:rPr>
          <w:rFonts w:ascii="Times New Roman" w:hAnsi="Times New Roman"/>
          <w:bCs w:val="0"/>
          <w:sz w:val="23"/>
          <w:szCs w:val="23"/>
          <w:u w:val="none"/>
          <w:lang w:val="es-ES_tradnl"/>
        </w:rPr>
        <w:t xml:space="preserve"> </w:t>
      </w:r>
      <w:r w:rsidR="006A694A" w:rsidRPr="00D3581E">
        <w:rPr>
          <w:rFonts w:ascii="Times New Roman" w:hAnsi="Times New Roman"/>
          <w:bCs w:val="0"/>
          <w:sz w:val="23"/>
          <w:szCs w:val="23"/>
          <w:u w:val="none"/>
          <w:lang w:val="es-ES_tradnl"/>
        </w:rPr>
        <w:t xml:space="preserve">de </w:t>
      </w:r>
      <w:r w:rsidR="00807085" w:rsidRPr="00D3581E">
        <w:rPr>
          <w:rFonts w:ascii="Times New Roman" w:hAnsi="Times New Roman"/>
          <w:bCs w:val="0"/>
          <w:sz w:val="23"/>
          <w:szCs w:val="23"/>
          <w:u w:val="none"/>
          <w:lang w:val="es-ES_tradnl"/>
        </w:rPr>
        <w:t>Julio</w:t>
      </w:r>
      <w:r w:rsidR="00860FA5" w:rsidRPr="00D3581E">
        <w:rPr>
          <w:rFonts w:ascii="Times New Roman" w:hAnsi="Times New Roman"/>
          <w:bCs w:val="0"/>
          <w:sz w:val="23"/>
          <w:szCs w:val="23"/>
          <w:u w:val="none"/>
          <w:lang w:val="es-ES_tradnl"/>
        </w:rPr>
        <w:t xml:space="preserve"> de 20</w:t>
      </w:r>
      <w:r w:rsidR="00701685" w:rsidRPr="00D3581E">
        <w:rPr>
          <w:rFonts w:ascii="Times New Roman" w:hAnsi="Times New Roman"/>
          <w:bCs w:val="0"/>
          <w:sz w:val="23"/>
          <w:szCs w:val="23"/>
          <w:u w:val="none"/>
          <w:lang w:val="es-ES_tradnl"/>
        </w:rPr>
        <w:t>2</w:t>
      </w:r>
      <w:r w:rsidR="0072667E" w:rsidRPr="00D3581E">
        <w:rPr>
          <w:rFonts w:ascii="Times New Roman" w:hAnsi="Times New Roman"/>
          <w:bCs w:val="0"/>
          <w:sz w:val="23"/>
          <w:szCs w:val="23"/>
          <w:u w:val="none"/>
          <w:lang w:val="es-ES_tradnl"/>
        </w:rPr>
        <w:t>1</w:t>
      </w:r>
    </w:p>
    <w:p w14:paraId="47AA7D0E" w14:textId="082D59CB" w:rsidR="0029216A" w:rsidRPr="00D3581E" w:rsidRDefault="00860FA5" w:rsidP="00D3581E">
      <w:pPr>
        <w:pStyle w:val="Ttulo7"/>
        <w:tabs>
          <w:tab w:val="clear" w:pos="0"/>
          <w:tab w:val="left" w:pos="4280"/>
        </w:tabs>
        <w:ind w:left="4248"/>
        <w:jc w:val="both"/>
        <w:rPr>
          <w:rFonts w:ascii="Times New Roman" w:hAnsi="Times New Roman"/>
          <w:sz w:val="23"/>
          <w:szCs w:val="23"/>
          <w:u w:val="none"/>
          <w:lang w:val="es-ES_tradnl"/>
        </w:rPr>
      </w:pPr>
      <w:proofErr w:type="spellStart"/>
      <w:r w:rsidRPr="00D3581E">
        <w:rPr>
          <w:rFonts w:ascii="Times New Roman" w:hAnsi="Times New Roman"/>
          <w:sz w:val="23"/>
          <w:szCs w:val="23"/>
          <w:u w:val="none"/>
          <w:lang w:val="es-ES_tradnl"/>
        </w:rPr>
        <w:t>N°</w:t>
      </w:r>
      <w:proofErr w:type="spellEnd"/>
      <w:r w:rsidRPr="00D3581E">
        <w:rPr>
          <w:rFonts w:ascii="Times New Roman" w:hAnsi="Times New Roman"/>
          <w:sz w:val="23"/>
          <w:szCs w:val="23"/>
          <w:u w:val="none"/>
          <w:lang w:val="es-ES_tradnl"/>
        </w:rPr>
        <w:t xml:space="preserve"> </w:t>
      </w:r>
      <w:r w:rsidR="00D3581E" w:rsidRPr="00D3581E">
        <w:rPr>
          <w:rFonts w:ascii="Times New Roman" w:hAnsi="Times New Roman"/>
          <w:sz w:val="23"/>
          <w:szCs w:val="23"/>
          <w:u w:val="none"/>
          <w:lang w:val="es-ES_tradnl"/>
        </w:rPr>
        <w:t>6669</w:t>
      </w:r>
      <w:r w:rsidR="00186ADE" w:rsidRPr="00D3581E">
        <w:rPr>
          <w:rFonts w:ascii="Times New Roman" w:hAnsi="Times New Roman"/>
          <w:sz w:val="23"/>
          <w:szCs w:val="23"/>
          <w:u w:val="none"/>
          <w:lang w:val="es-ES_tradnl"/>
        </w:rPr>
        <w:t>-</w:t>
      </w:r>
      <w:r w:rsidR="007A440D" w:rsidRPr="00D3581E">
        <w:rPr>
          <w:rFonts w:ascii="Times New Roman" w:hAnsi="Times New Roman"/>
          <w:sz w:val="23"/>
          <w:szCs w:val="23"/>
          <w:u w:val="none"/>
          <w:lang w:val="es-ES_tradnl"/>
        </w:rPr>
        <w:t>202</w:t>
      </w:r>
      <w:r w:rsidR="0072667E" w:rsidRPr="00D3581E">
        <w:rPr>
          <w:rFonts w:ascii="Times New Roman" w:hAnsi="Times New Roman"/>
          <w:sz w:val="23"/>
          <w:szCs w:val="23"/>
          <w:u w:val="none"/>
          <w:lang w:val="es-ES_tradnl"/>
        </w:rPr>
        <w:t>1</w:t>
      </w:r>
    </w:p>
    <w:p w14:paraId="1EFDEE6B" w14:textId="1261ACA4" w:rsidR="00484095" w:rsidRPr="00D3581E" w:rsidRDefault="0029216A" w:rsidP="00D3581E">
      <w:pPr>
        <w:pStyle w:val="Ttulo7"/>
        <w:tabs>
          <w:tab w:val="clear" w:pos="0"/>
          <w:tab w:val="left" w:pos="4280"/>
        </w:tabs>
        <w:ind w:left="4248"/>
        <w:jc w:val="both"/>
        <w:rPr>
          <w:rFonts w:ascii="Times New Roman" w:hAnsi="Times New Roman"/>
          <w:sz w:val="23"/>
          <w:szCs w:val="23"/>
          <w:u w:val="none"/>
          <w:lang w:val="es-CR"/>
        </w:rPr>
      </w:pPr>
      <w:r w:rsidRPr="00D3581E">
        <w:rPr>
          <w:rFonts w:ascii="Times New Roman" w:hAnsi="Times New Roman"/>
          <w:sz w:val="23"/>
          <w:szCs w:val="23"/>
          <w:u w:val="none"/>
          <w:lang w:val="es-CR"/>
        </w:rPr>
        <w:t>Al contestar refiérase a este # de oficio</w:t>
      </w:r>
    </w:p>
    <w:p w14:paraId="0EB03EDD" w14:textId="77777777" w:rsidR="00484095" w:rsidRPr="00D3581E" w:rsidRDefault="00484095" w:rsidP="00D3581E">
      <w:pPr>
        <w:jc w:val="both"/>
        <w:rPr>
          <w:b/>
          <w:bCs/>
          <w:sz w:val="23"/>
          <w:szCs w:val="23"/>
        </w:rPr>
      </w:pPr>
    </w:p>
    <w:p w14:paraId="36EF9D6E" w14:textId="77777777" w:rsidR="00D3581E" w:rsidRPr="00D3581E" w:rsidRDefault="00D3581E" w:rsidP="00D3581E">
      <w:pPr>
        <w:autoSpaceDE w:val="0"/>
        <w:snapToGrid w:val="0"/>
        <w:rPr>
          <w:bCs/>
          <w:sz w:val="23"/>
          <w:szCs w:val="23"/>
          <w:lang w:eastAsia="hi-IN"/>
        </w:rPr>
      </w:pPr>
      <w:r w:rsidRPr="00D3581E">
        <w:rPr>
          <w:b/>
          <w:bCs/>
          <w:sz w:val="23"/>
          <w:szCs w:val="23"/>
        </w:rPr>
        <w:t>Señora</w:t>
      </w:r>
    </w:p>
    <w:p w14:paraId="21774CD2" w14:textId="77777777" w:rsidR="00D3581E" w:rsidRPr="00D3581E" w:rsidRDefault="00D3581E" w:rsidP="00D3581E">
      <w:pPr>
        <w:autoSpaceDE w:val="0"/>
        <w:snapToGrid w:val="0"/>
        <w:rPr>
          <w:b/>
          <w:bCs/>
          <w:sz w:val="23"/>
          <w:szCs w:val="23"/>
        </w:rPr>
      </w:pPr>
      <w:r w:rsidRPr="00D3581E">
        <w:rPr>
          <w:b/>
          <w:bCs/>
          <w:sz w:val="23"/>
          <w:szCs w:val="23"/>
        </w:rPr>
        <w:t>Licda. Nacira Valverde Bermúdez</w:t>
      </w:r>
    </w:p>
    <w:p w14:paraId="78CACF2E" w14:textId="77777777" w:rsidR="00D3581E" w:rsidRPr="00D3581E" w:rsidRDefault="00D3581E" w:rsidP="00D3581E">
      <w:pPr>
        <w:autoSpaceDE w:val="0"/>
        <w:snapToGrid w:val="0"/>
        <w:rPr>
          <w:b/>
          <w:bCs/>
          <w:sz w:val="23"/>
          <w:szCs w:val="23"/>
        </w:rPr>
      </w:pPr>
      <w:r w:rsidRPr="00D3581E">
        <w:rPr>
          <w:b/>
          <w:bCs/>
          <w:sz w:val="23"/>
          <w:szCs w:val="23"/>
        </w:rPr>
        <w:t>Directora de Planificación</w:t>
      </w:r>
    </w:p>
    <w:p w14:paraId="177B0F13" w14:textId="77777777" w:rsidR="00D3581E" w:rsidRPr="00D3581E" w:rsidRDefault="00D3581E" w:rsidP="00D3581E">
      <w:pPr>
        <w:rPr>
          <w:rFonts w:eastAsia="Arial Unicode MS"/>
          <w:b/>
          <w:bCs/>
          <w:sz w:val="23"/>
          <w:szCs w:val="23"/>
        </w:rPr>
      </w:pPr>
    </w:p>
    <w:p w14:paraId="66FE0D03" w14:textId="77777777" w:rsidR="00D3581E" w:rsidRPr="00D3581E" w:rsidRDefault="00D3581E" w:rsidP="00D3581E">
      <w:pPr>
        <w:autoSpaceDE w:val="0"/>
        <w:snapToGrid w:val="0"/>
        <w:rPr>
          <w:b/>
          <w:bCs/>
          <w:sz w:val="23"/>
          <w:szCs w:val="23"/>
        </w:rPr>
      </w:pPr>
      <w:r w:rsidRPr="00D3581E">
        <w:rPr>
          <w:b/>
          <w:bCs/>
          <w:sz w:val="23"/>
          <w:szCs w:val="23"/>
        </w:rPr>
        <w:t>Estimada señora:</w:t>
      </w:r>
    </w:p>
    <w:p w14:paraId="01E06EA3" w14:textId="77777777" w:rsidR="00082CBA" w:rsidRPr="00D3581E" w:rsidRDefault="00082CBA" w:rsidP="00D3581E">
      <w:pPr>
        <w:jc w:val="both"/>
        <w:rPr>
          <w:b/>
          <w:bCs/>
          <w:sz w:val="23"/>
          <w:szCs w:val="23"/>
          <w:lang w:val="es-CR"/>
        </w:rPr>
      </w:pPr>
    </w:p>
    <w:p w14:paraId="1A012587" w14:textId="3A3AE561" w:rsidR="0029216A" w:rsidRPr="00D3581E" w:rsidRDefault="0029216A" w:rsidP="00D3581E">
      <w:pPr>
        <w:ind w:firstLine="708"/>
        <w:jc w:val="both"/>
        <w:rPr>
          <w:sz w:val="23"/>
          <w:szCs w:val="23"/>
        </w:rPr>
      </w:pPr>
      <w:r w:rsidRPr="00D3581E">
        <w:rPr>
          <w:sz w:val="23"/>
          <w:szCs w:val="23"/>
        </w:rPr>
        <w:t xml:space="preserve">Para su estimable conocimiento y fines consiguientes, le transcribo el acuerdo tomado por el Consejo Superior del Poder Judicial, en sesión </w:t>
      </w:r>
      <w:proofErr w:type="spellStart"/>
      <w:r w:rsidR="0087670A" w:rsidRPr="00D3581E">
        <w:rPr>
          <w:b/>
          <w:bCs/>
          <w:sz w:val="23"/>
          <w:szCs w:val="23"/>
        </w:rPr>
        <w:t>N°</w:t>
      </w:r>
      <w:proofErr w:type="spellEnd"/>
      <w:r w:rsidR="009F45D2" w:rsidRPr="00D3581E">
        <w:rPr>
          <w:b/>
          <w:bCs/>
          <w:sz w:val="23"/>
          <w:szCs w:val="23"/>
        </w:rPr>
        <w:t xml:space="preserve"> </w:t>
      </w:r>
      <w:r w:rsidR="00807085" w:rsidRPr="00D3581E">
        <w:rPr>
          <w:b/>
          <w:bCs/>
          <w:sz w:val="23"/>
          <w:szCs w:val="23"/>
        </w:rPr>
        <w:t>61</w:t>
      </w:r>
      <w:r w:rsidR="003011FF" w:rsidRPr="00D3581E">
        <w:rPr>
          <w:b/>
          <w:bCs/>
          <w:sz w:val="23"/>
          <w:szCs w:val="23"/>
        </w:rPr>
        <w:t>-</w:t>
      </w:r>
      <w:r w:rsidR="005B7EAE" w:rsidRPr="00D3581E">
        <w:rPr>
          <w:b/>
          <w:bCs/>
          <w:sz w:val="23"/>
          <w:szCs w:val="23"/>
        </w:rPr>
        <w:t>2021</w:t>
      </w:r>
      <w:r w:rsidR="00D930B6" w:rsidRPr="00D3581E">
        <w:rPr>
          <w:b/>
          <w:bCs/>
          <w:sz w:val="23"/>
          <w:szCs w:val="23"/>
        </w:rPr>
        <w:t xml:space="preserve"> </w:t>
      </w:r>
      <w:r w:rsidR="00D930B6" w:rsidRPr="00D3581E">
        <w:rPr>
          <w:bCs/>
          <w:sz w:val="23"/>
          <w:szCs w:val="23"/>
        </w:rPr>
        <w:t>c</w:t>
      </w:r>
      <w:r w:rsidRPr="00D3581E">
        <w:rPr>
          <w:sz w:val="23"/>
          <w:szCs w:val="23"/>
        </w:rPr>
        <w:t>elebrada el</w:t>
      </w:r>
      <w:r w:rsidR="004C65F3" w:rsidRPr="00D3581E">
        <w:rPr>
          <w:sz w:val="23"/>
          <w:szCs w:val="23"/>
        </w:rPr>
        <w:t xml:space="preserve"> </w:t>
      </w:r>
      <w:r w:rsidR="00807085" w:rsidRPr="00D3581E">
        <w:rPr>
          <w:b/>
          <w:sz w:val="23"/>
          <w:szCs w:val="23"/>
        </w:rPr>
        <w:t>22</w:t>
      </w:r>
      <w:r w:rsidR="007A440D" w:rsidRPr="00D3581E">
        <w:rPr>
          <w:b/>
          <w:sz w:val="23"/>
          <w:szCs w:val="23"/>
        </w:rPr>
        <w:t xml:space="preserve"> de </w:t>
      </w:r>
      <w:r w:rsidR="00807085" w:rsidRPr="00D3581E">
        <w:rPr>
          <w:b/>
          <w:sz w:val="23"/>
          <w:szCs w:val="23"/>
        </w:rPr>
        <w:t>julio</w:t>
      </w:r>
      <w:r w:rsidR="006F5DA1" w:rsidRPr="00D3581E">
        <w:rPr>
          <w:b/>
          <w:bCs/>
          <w:sz w:val="23"/>
          <w:szCs w:val="23"/>
        </w:rPr>
        <w:t xml:space="preserve"> </w:t>
      </w:r>
      <w:r w:rsidR="003011FF" w:rsidRPr="00D3581E">
        <w:rPr>
          <w:b/>
          <w:bCs/>
          <w:sz w:val="23"/>
          <w:szCs w:val="23"/>
        </w:rPr>
        <w:t xml:space="preserve">del </w:t>
      </w:r>
      <w:r w:rsidR="007A440D" w:rsidRPr="00D3581E">
        <w:rPr>
          <w:b/>
          <w:bCs/>
          <w:sz w:val="23"/>
          <w:szCs w:val="23"/>
        </w:rPr>
        <w:t>202</w:t>
      </w:r>
      <w:r w:rsidR="00FF0677" w:rsidRPr="00D3581E">
        <w:rPr>
          <w:b/>
          <w:bCs/>
          <w:sz w:val="23"/>
          <w:szCs w:val="23"/>
        </w:rPr>
        <w:t>1</w:t>
      </w:r>
      <w:r w:rsidR="00B43F30" w:rsidRPr="00D3581E">
        <w:rPr>
          <w:b/>
          <w:bCs/>
          <w:sz w:val="23"/>
          <w:szCs w:val="23"/>
        </w:rPr>
        <w:t>,</w:t>
      </w:r>
      <w:r w:rsidRPr="00D3581E">
        <w:rPr>
          <w:sz w:val="23"/>
          <w:szCs w:val="23"/>
        </w:rPr>
        <w:t xml:space="preserve"> que literalmente dice:</w:t>
      </w:r>
    </w:p>
    <w:p w14:paraId="39097C5F" w14:textId="77777777" w:rsidR="0029216A" w:rsidRPr="00D3581E" w:rsidRDefault="0029216A" w:rsidP="00D3581E">
      <w:pPr>
        <w:ind w:firstLine="15"/>
        <w:jc w:val="both"/>
        <w:rPr>
          <w:sz w:val="23"/>
          <w:szCs w:val="23"/>
        </w:rPr>
      </w:pPr>
    </w:p>
    <w:p w14:paraId="0957A90D" w14:textId="06B9C647" w:rsidR="00D3581E" w:rsidRPr="00D3581E" w:rsidRDefault="00294863" w:rsidP="00D3581E">
      <w:pPr>
        <w:keepNext/>
        <w:widowControl w:val="0"/>
        <w:suppressAutoHyphens w:val="0"/>
        <w:autoSpaceDE w:val="0"/>
        <w:autoSpaceDN w:val="0"/>
        <w:adjustRightInd w:val="0"/>
        <w:jc w:val="center"/>
        <w:outlineLvl w:val="1"/>
        <w:rPr>
          <w:b/>
          <w:bCs/>
          <w:color w:val="FF0000"/>
          <w:sz w:val="23"/>
          <w:szCs w:val="23"/>
          <w:u w:val="single"/>
          <w:lang w:val="es-CR" w:eastAsia="es-ES"/>
        </w:rPr>
      </w:pPr>
      <w:r w:rsidRPr="00D3581E">
        <w:rPr>
          <w:sz w:val="23"/>
          <w:szCs w:val="23"/>
        </w:rPr>
        <w:t>“</w:t>
      </w:r>
      <w:bookmarkStart w:id="0" w:name="_Toc77604223"/>
      <w:r w:rsidR="00D3581E" w:rsidRPr="00D3581E">
        <w:rPr>
          <w:b/>
          <w:bCs/>
          <w:sz w:val="23"/>
          <w:szCs w:val="23"/>
          <w:u w:val="single"/>
          <w:lang w:val="es-CR" w:eastAsia="es-ES"/>
        </w:rPr>
        <w:t>ARTÍCULO XLIV</w:t>
      </w:r>
      <w:bookmarkEnd w:id="0"/>
    </w:p>
    <w:p w14:paraId="02FD0702" w14:textId="77777777" w:rsidR="00D3581E" w:rsidRPr="00D3581E" w:rsidRDefault="00D3581E" w:rsidP="00D3581E">
      <w:pPr>
        <w:pStyle w:val="Textoindependiente"/>
        <w:spacing w:after="0"/>
        <w:rPr>
          <w:sz w:val="23"/>
          <w:szCs w:val="23"/>
          <w:lang w:val="es-CR"/>
        </w:rPr>
      </w:pPr>
    </w:p>
    <w:p w14:paraId="17001205" w14:textId="339170AD" w:rsidR="00D3581E" w:rsidRPr="00D3581E" w:rsidRDefault="00D3581E" w:rsidP="00D3581E">
      <w:pPr>
        <w:widowControl w:val="0"/>
        <w:suppressAutoHyphens w:val="0"/>
        <w:autoSpaceDE w:val="0"/>
        <w:autoSpaceDN w:val="0"/>
        <w:adjustRightInd w:val="0"/>
        <w:jc w:val="both"/>
        <w:rPr>
          <w:b/>
          <w:bCs/>
          <w:sz w:val="23"/>
          <w:szCs w:val="23"/>
          <w:lang w:val="es-CR" w:eastAsia="es-ES"/>
        </w:rPr>
      </w:pPr>
      <w:r w:rsidRPr="00D3581E">
        <w:rPr>
          <w:b/>
          <w:bCs/>
          <w:sz w:val="23"/>
          <w:szCs w:val="23"/>
          <w:lang w:val="es-CR" w:eastAsia="es-ES"/>
        </w:rPr>
        <w:t xml:space="preserve">Documento </w:t>
      </w:r>
      <w:proofErr w:type="spellStart"/>
      <w:r w:rsidRPr="00D3581E">
        <w:rPr>
          <w:b/>
          <w:bCs/>
          <w:sz w:val="23"/>
          <w:szCs w:val="23"/>
          <w:lang w:val="es-CR" w:eastAsia="es-ES"/>
        </w:rPr>
        <w:t>N°</w:t>
      </w:r>
      <w:proofErr w:type="spellEnd"/>
      <w:r w:rsidRPr="00D3581E">
        <w:rPr>
          <w:sz w:val="23"/>
          <w:szCs w:val="23"/>
          <w:lang w:val="es-CR" w:eastAsia="es-ES"/>
        </w:rPr>
        <w:t xml:space="preserve"> </w:t>
      </w:r>
      <w:r w:rsidRPr="00D3581E">
        <w:rPr>
          <w:b/>
          <w:bCs/>
          <w:sz w:val="23"/>
          <w:szCs w:val="23"/>
          <w:lang w:val="es-CR" w:eastAsia="es-ES"/>
        </w:rPr>
        <w:t>7776-2017 / 7070-2021</w:t>
      </w:r>
    </w:p>
    <w:p w14:paraId="6D9C6932" w14:textId="77777777" w:rsidR="00D3581E" w:rsidRPr="00D3581E" w:rsidRDefault="00D3581E" w:rsidP="00D3581E">
      <w:pPr>
        <w:widowControl w:val="0"/>
        <w:suppressAutoHyphens w:val="0"/>
        <w:autoSpaceDE w:val="0"/>
        <w:autoSpaceDN w:val="0"/>
        <w:adjustRightInd w:val="0"/>
        <w:jc w:val="both"/>
        <w:rPr>
          <w:b/>
          <w:color w:val="0000FF"/>
          <w:sz w:val="23"/>
          <w:szCs w:val="23"/>
          <w:lang w:val="es-CR" w:eastAsia="es-ES"/>
        </w:rPr>
      </w:pPr>
    </w:p>
    <w:p w14:paraId="78C00981" w14:textId="510D8475" w:rsidR="00D3581E" w:rsidRPr="00D3581E" w:rsidRDefault="00D3581E" w:rsidP="00D3581E">
      <w:pPr>
        <w:widowControl w:val="0"/>
        <w:suppressAutoHyphens w:val="0"/>
        <w:autoSpaceDE w:val="0"/>
        <w:autoSpaceDN w:val="0"/>
        <w:adjustRightInd w:val="0"/>
        <w:ind w:firstLine="709"/>
        <w:jc w:val="both"/>
        <w:rPr>
          <w:sz w:val="23"/>
          <w:szCs w:val="23"/>
          <w:lang w:val="es-CR" w:eastAsia="es-ES"/>
        </w:rPr>
      </w:pPr>
      <w:r w:rsidRPr="00D3581E">
        <w:rPr>
          <w:sz w:val="23"/>
          <w:szCs w:val="23"/>
          <w:lang w:val="es-CR" w:eastAsia="en-US"/>
        </w:rPr>
        <w:t xml:space="preserve">Mediante oficio </w:t>
      </w:r>
      <w:proofErr w:type="spellStart"/>
      <w:r w:rsidRPr="00D3581E">
        <w:rPr>
          <w:sz w:val="23"/>
          <w:szCs w:val="23"/>
          <w:lang w:val="es-CR" w:eastAsia="en-US"/>
        </w:rPr>
        <w:t>Nº</w:t>
      </w:r>
      <w:proofErr w:type="spellEnd"/>
      <w:r w:rsidRPr="00D3581E">
        <w:rPr>
          <w:sz w:val="23"/>
          <w:szCs w:val="23"/>
          <w:lang w:val="es-CR" w:eastAsia="en-US"/>
        </w:rPr>
        <w:t xml:space="preserve"> 752-PLA-EV-2021 del 06 de julio de 2021,</w:t>
      </w:r>
      <w:r w:rsidRPr="00D3581E">
        <w:rPr>
          <w:sz w:val="23"/>
          <w:szCs w:val="23"/>
          <w:lang w:val="es-CR" w:eastAsia="es-ES"/>
        </w:rPr>
        <w:t xml:space="preserve"> el Máster Erick Antonio Mora Leiva, </w:t>
      </w:r>
      <w:proofErr w:type="gramStart"/>
      <w:r w:rsidRPr="00D3581E">
        <w:rPr>
          <w:sz w:val="23"/>
          <w:szCs w:val="23"/>
          <w:lang w:val="es-CR" w:eastAsia="es-ES"/>
        </w:rPr>
        <w:t>Jefe</w:t>
      </w:r>
      <w:proofErr w:type="gramEnd"/>
      <w:r w:rsidRPr="00D3581E">
        <w:rPr>
          <w:sz w:val="23"/>
          <w:szCs w:val="23"/>
          <w:lang w:val="es-CR" w:eastAsia="es-ES"/>
        </w:rPr>
        <w:t xml:space="preserve"> del Proceso de Planeación y Evaluación de la Dirección de Planificación, en atención al oficio 5445-20 del 11 de junio de 2020, donde se transcribe el acuerdo tomado por el Consejo Superior en sesión celebrada el 21 de mayo de 2020, artículo LIV, remite el informe suscrito por la Inga. Elena Gabriela Picado González, </w:t>
      </w:r>
      <w:proofErr w:type="gramStart"/>
      <w:r w:rsidRPr="00D3581E">
        <w:rPr>
          <w:sz w:val="23"/>
          <w:szCs w:val="23"/>
          <w:lang w:val="es-CR" w:eastAsia="es-ES"/>
        </w:rPr>
        <w:t>Jefa</w:t>
      </w:r>
      <w:proofErr w:type="gramEnd"/>
      <w:r w:rsidRPr="00D3581E">
        <w:rPr>
          <w:sz w:val="23"/>
          <w:szCs w:val="23"/>
          <w:lang w:val="es-CR" w:eastAsia="es-ES"/>
        </w:rPr>
        <w:t xml:space="preserve"> </w:t>
      </w:r>
      <w:proofErr w:type="spellStart"/>
      <w:r w:rsidRPr="00D3581E">
        <w:rPr>
          <w:sz w:val="23"/>
          <w:szCs w:val="23"/>
          <w:lang w:val="es-CR" w:eastAsia="es-ES"/>
        </w:rPr>
        <w:t>a.i.</w:t>
      </w:r>
      <w:proofErr w:type="spellEnd"/>
      <w:r w:rsidRPr="00D3581E">
        <w:rPr>
          <w:sz w:val="23"/>
          <w:szCs w:val="23"/>
          <w:lang w:val="es-CR" w:eastAsia="es-ES"/>
        </w:rPr>
        <w:t xml:space="preserve"> del Subproceso Evaluación, relacionado con los resultados obtenidos del segundo seguimiento realizado a la Oficina de Comunicaciones Judiciales de Siquirres, a finales de 2020; que literalmente dice:</w:t>
      </w:r>
    </w:p>
    <w:p w14:paraId="0E9F59CB" w14:textId="77777777" w:rsidR="00D3581E" w:rsidRPr="00D3581E" w:rsidRDefault="00D3581E" w:rsidP="00D3581E">
      <w:pPr>
        <w:widowControl w:val="0"/>
        <w:suppressAutoHyphens w:val="0"/>
        <w:autoSpaceDE w:val="0"/>
        <w:autoSpaceDN w:val="0"/>
        <w:adjustRightInd w:val="0"/>
        <w:ind w:firstLine="709"/>
        <w:jc w:val="both"/>
        <w:rPr>
          <w:sz w:val="23"/>
          <w:szCs w:val="23"/>
          <w:lang w:val="es-CR" w:eastAsia="es-ES"/>
        </w:rPr>
      </w:pPr>
    </w:p>
    <w:p w14:paraId="7A3982D6" w14:textId="124479B2" w:rsidR="00D3581E" w:rsidRPr="00D3581E" w:rsidRDefault="00D3581E" w:rsidP="00D3581E">
      <w:pPr>
        <w:widowControl w:val="0"/>
        <w:suppressAutoHyphens w:val="0"/>
        <w:autoSpaceDE w:val="0"/>
        <w:autoSpaceDN w:val="0"/>
        <w:adjustRightInd w:val="0"/>
        <w:ind w:left="851" w:right="851" w:firstLine="709"/>
        <w:jc w:val="both"/>
        <w:rPr>
          <w:sz w:val="23"/>
          <w:szCs w:val="23"/>
          <w:lang w:val="es-CR" w:eastAsia="es-ES"/>
        </w:rPr>
      </w:pPr>
      <w:r w:rsidRPr="00D3581E">
        <w:rPr>
          <w:sz w:val="23"/>
          <w:szCs w:val="23"/>
          <w:lang w:val="es-CR" w:eastAsia="es-ES"/>
        </w:rPr>
        <w:t>“(…)</w:t>
      </w:r>
    </w:p>
    <w:p w14:paraId="67FD56F0" w14:textId="77777777" w:rsidR="00D3581E" w:rsidRPr="00D3581E" w:rsidRDefault="00D3581E" w:rsidP="00D3581E">
      <w:pPr>
        <w:widowControl w:val="0"/>
        <w:suppressAutoHyphens w:val="0"/>
        <w:autoSpaceDE w:val="0"/>
        <w:autoSpaceDN w:val="0"/>
        <w:adjustRightInd w:val="0"/>
        <w:ind w:left="851" w:right="851" w:firstLine="709"/>
        <w:jc w:val="both"/>
        <w:rPr>
          <w:sz w:val="23"/>
          <w:szCs w:val="23"/>
          <w:lang w:val="es-CR" w:eastAsia="es-ES"/>
        </w:rPr>
      </w:pPr>
    </w:p>
    <w:p w14:paraId="0B5D3804" w14:textId="77777777" w:rsidR="00D3581E" w:rsidRPr="00D3581E" w:rsidRDefault="00D3581E" w:rsidP="00D3581E">
      <w:pPr>
        <w:widowControl w:val="0"/>
        <w:suppressAutoHyphens w:val="0"/>
        <w:autoSpaceDE w:val="0"/>
        <w:autoSpaceDN w:val="0"/>
        <w:adjustRightInd w:val="0"/>
        <w:ind w:left="851" w:right="851" w:firstLine="709"/>
        <w:jc w:val="both"/>
        <w:rPr>
          <w:sz w:val="23"/>
          <w:szCs w:val="23"/>
          <w:u w:val="single"/>
          <w:lang w:val="es-CR" w:eastAsia="es-ES"/>
        </w:rPr>
      </w:pPr>
      <w:r w:rsidRPr="00D3581E">
        <w:rPr>
          <w:sz w:val="23"/>
          <w:szCs w:val="23"/>
          <w:lang w:val="es-CR" w:eastAsia="es-ES"/>
        </w:rPr>
        <w:t xml:space="preserve">En atención al oficio 5445-20 del 11 de junio de 2020, donde se transcribe el acuerdo tomado por el Consejo Superior en sesión celebrada el 21 de mayo de 2020, artículo LIV, le remito el informe suscrito por la Inga. Elena Gabriela Picado González, </w:t>
      </w:r>
      <w:proofErr w:type="gramStart"/>
      <w:r w:rsidRPr="00D3581E">
        <w:rPr>
          <w:sz w:val="23"/>
          <w:szCs w:val="23"/>
          <w:lang w:val="es-CR" w:eastAsia="es-ES"/>
        </w:rPr>
        <w:t>Jefa</w:t>
      </w:r>
      <w:proofErr w:type="gramEnd"/>
      <w:r w:rsidRPr="00D3581E">
        <w:rPr>
          <w:sz w:val="23"/>
          <w:szCs w:val="23"/>
          <w:lang w:val="es-CR" w:eastAsia="es-ES"/>
        </w:rPr>
        <w:t xml:space="preserve"> </w:t>
      </w:r>
      <w:proofErr w:type="spellStart"/>
      <w:r w:rsidRPr="00D3581E">
        <w:rPr>
          <w:sz w:val="23"/>
          <w:szCs w:val="23"/>
          <w:lang w:val="es-CR" w:eastAsia="es-ES"/>
        </w:rPr>
        <w:t>a.i.</w:t>
      </w:r>
      <w:proofErr w:type="spellEnd"/>
      <w:r w:rsidRPr="00D3581E">
        <w:rPr>
          <w:sz w:val="23"/>
          <w:szCs w:val="23"/>
          <w:lang w:val="es-CR" w:eastAsia="es-ES"/>
        </w:rPr>
        <w:t xml:space="preserve"> del Subproceso Evaluación, relacionado con los resultados obtenidos del segundo seguimiento realizado a la Oficina de Comunicaciones Judiciales de Siquirres, a finales de 2020.</w:t>
      </w:r>
      <w:r w:rsidRPr="00D3581E">
        <w:rPr>
          <w:sz w:val="23"/>
          <w:szCs w:val="23"/>
          <w:u w:val="single"/>
          <w:lang w:val="es-CR" w:eastAsia="es-ES"/>
        </w:rPr>
        <w:t xml:space="preserve"> </w:t>
      </w:r>
    </w:p>
    <w:p w14:paraId="123AB711" w14:textId="77777777" w:rsidR="00D3581E" w:rsidRPr="00D3581E" w:rsidRDefault="00D3581E" w:rsidP="00D3581E">
      <w:pPr>
        <w:widowControl w:val="0"/>
        <w:suppressAutoHyphens w:val="0"/>
        <w:autoSpaceDE w:val="0"/>
        <w:autoSpaceDN w:val="0"/>
        <w:adjustRightInd w:val="0"/>
        <w:ind w:left="851" w:right="851" w:firstLine="709"/>
        <w:jc w:val="both"/>
        <w:rPr>
          <w:sz w:val="23"/>
          <w:szCs w:val="23"/>
          <w:u w:val="single"/>
          <w:lang w:val="es-CR" w:eastAsia="es-ES"/>
        </w:rPr>
      </w:pPr>
    </w:p>
    <w:p w14:paraId="718DB0D5" w14:textId="77777777" w:rsidR="00D3581E" w:rsidRPr="00D3581E" w:rsidRDefault="00D3581E" w:rsidP="00D3581E">
      <w:pPr>
        <w:widowControl w:val="0"/>
        <w:suppressAutoHyphens w:val="0"/>
        <w:autoSpaceDE w:val="0"/>
        <w:autoSpaceDN w:val="0"/>
        <w:adjustRightInd w:val="0"/>
        <w:ind w:left="851" w:right="851" w:firstLine="709"/>
        <w:jc w:val="both"/>
        <w:rPr>
          <w:sz w:val="23"/>
          <w:szCs w:val="23"/>
          <w:lang w:val="es-CR" w:eastAsia="es-ES"/>
        </w:rPr>
      </w:pPr>
      <w:r w:rsidRPr="00D3581E">
        <w:rPr>
          <w:sz w:val="23"/>
          <w:szCs w:val="23"/>
          <w:lang w:val="es-CR" w:eastAsia="es-ES"/>
        </w:rPr>
        <w:tab/>
        <w:t xml:space="preserve">Con el fin de que se manifestaran al respecto, mediante oficio 689-PLA-EV-2021, del 21 de junio de 2021, el preliminar de este documento fue puesto en conocimiento de la Máster Ana Eugenia Romero Jenkins, Directora Ejecutiva. Además, se le solicitó criterio a la </w:t>
      </w:r>
      <w:bookmarkStart w:id="1" w:name="_Hlk76473387"/>
      <w:r w:rsidRPr="00D3581E">
        <w:rPr>
          <w:sz w:val="23"/>
          <w:szCs w:val="23"/>
          <w:lang w:val="es-CR" w:eastAsia="es-ES"/>
        </w:rPr>
        <w:t>Dirección de Gestión Humana, Administración Regional del Segundo Circuito Judicial de la Zona Atlántica, Fiscalía de Siquirres y a la Oficina de Comunicaciones Judiciales de Siquirres</w:t>
      </w:r>
      <w:bookmarkEnd w:id="1"/>
      <w:r w:rsidRPr="00D3581E">
        <w:rPr>
          <w:sz w:val="23"/>
          <w:szCs w:val="23"/>
          <w:lang w:val="es-CR" w:eastAsia="es-ES"/>
        </w:rPr>
        <w:t>. Como respuesta se recibió oficio 2186-DE-2021 del 05 de julio de 2021 de la Dirección Ejecutiva. Las observaciones</w:t>
      </w:r>
      <w:r w:rsidRPr="00D3581E">
        <w:rPr>
          <w:b/>
          <w:sz w:val="23"/>
          <w:szCs w:val="23"/>
          <w:lang w:val="es-CR" w:eastAsia="es-ES"/>
        </w:rPr>
        <w:t xml:space="preserve"> </w:t>
      </w:r>
      <w:r w:rsidRPr="00D3581E">
        <w:rPr>
          <w:sz w:val="23"/>
          <w:szCs w:val="23"/>
          <w:lang w:val="es-CR" w:eastAsia="es-ES"/>
        </w:rPr>
        <w:t>se consideraron en lo pertinente, en el informe que se presenta. (…)”.</w:t>
      </w:r>
    </w:p>
    <w:p w14:paraId="63C5DB48" w14:textId="77777777" w:rsidR="00D3581E" w:rsidRPr="00D3581E" w:rsidRDefault="00D3581E" w:rsidP="00D3581E">
      <w:pPr>
        <w:widowControl w:val="0"/>
        <w:tabs>
          <w:tab w:val="num" w:pos="709"/>
        </w:tabs>
        <w:suppressAutoHyphens w:val="0"/>
        <w:autoSpaceDE w:val="0"/>
        <w:autoSpaceDN w:val="0"/>
        <w:adjustRightInd w:val="0"/>
        <w:ind w:left="851" w:right="851" w:firstLine="709"/>
        <w:jc w:val="center"/>
        <w:rPr>
          <w:b/>
          <w:sz w:val="23"/>
          <w:szCs w:val="23"/>
          <w:lang w:val="es-CR" w:eastAsia="es-ES"/>
        </w:rPr>
      </w:pPr>
      <w:r w:rsidRPr="00D3581E">
        <w:rPr>
          <w:b/>
          <w:sz w:val="23"/>
          <w:szCs w:val="23"/>
          <w:lang w:val="es-CR" w:eastAsia="es-ES"/>
        </w:rPr>
        <w:t>-0-</w:t>
      </w:r>
    </w:p>
    <w:p w14:paraId="387A3565" w14:textId="77777777" w:rsidR="00D3581E" w:rsidRPr="00D3581E" w:rsidRDefault="00D3581E" w:rsidP="00D3581E">
      <w:pPr>
        <w:widowControl w:val="0"/>
        <w:tabs>
          <w:tab w:val="num" w:pos="709"/>
        </w:tabs>
        <w:suppressAutoHyphens w:val="0"/>
        <w:autoSpaceDE w:val="0"/>
        <w:autoSpaceDN w:val="0"/>
        <w:adjustRightInd w:val="0"/>
        <w:ind w:left="851" w:right="851" w:firstLine="709"/>
        <w:jc w:val="center"/>
        <w:rPr>
          <w:b/>
          <w:sz w:val="23"/>
          <w:szCs w:val="23"/>
          <w:lang w:val="es-CR" w:eastAsia="es-ES"/>
        </w:rPr>
      </w:pPr>
    </w:p>
    <w:p w14:paraId="435F2E2C" w14:textId="77777777" w:rsidR="00D3581E" w:rsidRPr="00D3581E" w:rsidRDefault="00D3581E" w:rsidP="00D3581E">
      <w:pPr>
        <w:widowControl w:val="0"/>
        <w:suppressAutoHyphens w:val="0"/>
        <w:autoSpaceDE w:val="0"/>
        <w:autoSpaceDN w:val="0"/>
        <w:adjustRightInd w:val="0"/>
        <w:ind w:left="851" w:right="851" w:firstLine="709"/>
        <w:jc w:val="both"/>
        <w:rPr>
          <w:sz w:val="23"/>
          <w:szCs w:val="23"/>
          <w:lang w:val="es-CR" w:eastAsia="es-ES"/>
        </w:rPr>
      </w:pPr>
      <w:bookmarkStart w:id="2" w:name="_Hlk75164433"/>
      <w:r w:rsidRPr="00D3581E">
        <w:rPr>
          <w:sz w:val="23"/>
          <w:szCs w:val="23"/>
          <w:lang w:val="es-CR" w:eastAsia="es-ES"/>
        </w:rPr>
        <w:t>“En atención al acuerdo tomado por el Consejo Superior en sesión número 51-2020 celebrada el 21 de mayo de 2020, artículo LIV, comunicado a la Dirección de Planificación mediante oficio número 5445-2020 del 11 de junio de 2020 por la Secretaría General de la Corte, en el cual se conoció y se tuvo por rendido el informe 634-PLA-EV-2020, mediante el cual la Dirección de Planificación comunicó los resultados obtenidos del primer seguimiento realizado a la Oficina de Comunicaciones Judiciales de Siquirres, hago de su conocimiento los resultados definitivos obtenidos del segundo seguimiento realizado a esta oficina a finales de 2020.</w:t>
      </w:r>
    </w:p>
    <w:bookmarkEnd w:id="2"/>
    <w:p w14:paraId="357B1697" w14:textId="77777777" w:rsidR="00D3581E" w:rsidRPr="00D3581E" w:rsidRDefault="00D3581E" w:rsidP="00D3581E">
      <w:pPr>
        <w:widowControl w:val="0"/>
        <w:suppressAutoHyphens w:val="0"/>
        <w:autoSpaceDE w:val="0"/>
        <w:autoSpaceDN w:val="0"/>
        <w:adjustRightInd w:val="0"/>
        <w:ind w:left="851" w:right="851" w:firstLine="709"/>
        <w:jc w:val="both"/>
        <w:rPr>
          <w:sz w:val="23"/>
          <w:szCs w:val="23"/>
          <w:lang w:val="es-CR" w:eastAsia="es-ES"/>
        </w:rPr>
      </w:pPr>
    </w:p>
    <w:p w14:paraId="4E1E7912" w14:textId="77777777" w:rsidR="00D3581E" w:rsidRPr="00D3581E" w:rsidRDefault="00D3581E" w:rsidP="00D3581E">
      <w:pPr>
        <w:widowControl w:val="0"/>
        <w:suppressAutoHyphens w:val="0"/>
        <w:autoSpaceDE w:val="0"/>
        <w:autoSpaceDN w:val="0"/>
        <w:adjustRightInd w:val="0"/>
        <w:ind w:left="851" w:right="851" w:firstLine="709"/>
        <w:jc w:val="both"/>
        <w:rPr>
          <w:sz w:val="23"/>
          <w:szCs w:val="23"/>
          <w:lang w:val="es-CR" w:eastAsia="es-ES"/>
        </w:rPr>
      </w:pPr>
      <w:r w:rsidRPr="00D3581E">
        <w:rPr>
          <w:sz w:val="23"/>
          <w:szCs w:val="23"/>
          <w:lang w:val="es-CR" w:eastAsia="es-ES"/>
        </w:rPr>
        <w:t>La versión preliminar de este informe, número 689-PLA-EV-2021 del 21 de junio de 2021, fue sometida al conocimiento de la Dirección Ejecutiva, Dirección de Gestión Humana, Administración Regional del Segundo Circuito Judicial de la Zona Atlántica, Fiscalía de Siquirres y Oficina de Comunicaciones Judiciales de Siquirres, para que manifestaran al respecto.</w:t>
      </w:r>
    </w:p>
    <w:p w14:paraId="021775B2" w14:textId="77777777" w:rsidR="00D3581E" w:rsidRPr="00D3581E" w:rsidRDefault="00D3581E" w:rsidP="00D3581E">
      <w:pPr>
        <w:widowControl w:val="0"/>
        <w:suppressAutoHyphens w:val="0"/>
        <w:autoSpaceDE w:val="0"/>
        <w:autoSpaceDN w:val="0"/>
        <w:adjustRightInd w:val="0"/>
        <w:ind w:left="851" w:right="851" w:firstLine="709"/>
        <w:jc w:val="both"/>
        <w:rPr>
          <w:sz w:val="23"/>
          <w:szCs w:val="23"/>
          <w:lang w:val="es-CR" w:eastAsia="es-ES"/>
        </w:rPr>
      </w:pPr>
    </w:p>
    <w:p w14:paraId="590ACC15" w14:textId="7CFD14A5" w:rsidR="00D3581E" w:rsidRPr="00D3581E" w:rsidRDefault="00D3581E" w:rsidP="00D3581E">
      <w:pPr>
        <w:widowControl w:val="0"/>
        <w:suppressAutoHyphens w:val="0"/>
        <w:autoSpaceDE w:val="0"/>
        <w:autoSpaceDN w:val="0"/>
        <w:adjustRightInd w:val="0"/>
        <w:ind w:left="851" w:right="851" w:firstLine="709"/>
        <w:jc w:val="both"/>
        <w:rPr>
          <w:sz w:val="23"/>
          <w:szCs w:val="23"/>
          <w:lang w:val="es-CR" w:eastAsia="es-ES"/>
        </w:rPr>
      </w:pPr>
      <w:r w:rsidRPr="00D3581E">
        <w:rPr>
          <w:sz w:val="23"/>
          <w:szCs w:val="23"/>
          <w:lang w:val="es-CR" w:eastAsia="es-ES"/>
        </w:rPr>
        <w:t>Como respuesta la Dirección Ejecutiva realizó observaciones mediante oficio número 2186-DE-2021 del 05 de julio de 2021, el cual se incorporó al “</w:t>
      </w:r>
      <w:r w:rsidRPr="00D3581E">
        <w:rPr>
          <w:b/>
          <w:bCs/>
          <w:i/>
          <w:iCs/>
          <w:sz w:val="23"/>
          <w:szCs w:val="23"/>
          <w:lang w:val="es-CR" w:eastAsia="es-ES"/>
        </w:rPr>
        <w:t>Anexo B</w:t>
      </w:r>
      <w:r w:rsidRPr="00D3581E">
        <w:rPr>
          <w:sz w:val="23"/>
          <w:szCs w:val="23"/>
          <w:lang w:val="es-CR" w:eastAsia="es-ES"/>
        </w:rPr>
        <w:t>” de este informe, y las observaciones realizadas fueron atendidas en el ítem “</w:t>
      </w:r>
      <w:r w:rsidRPr="00D3581E">
        <w:rPr>
          <w:b/>
          <w:bCs/>
          <w:i/>
          <w:iCs/>
          <w:sz w:val="23"/>
          <w:szCs w:val="23"/>
          <w:lang w:val="es-CR" w:eastAsia="es-ES"/>
        </w:rPr>
        <w:t>3.3-</w:t>
      </w:r>
      <w:r w:rsidRPr="00D3581E">
        <w:rPr>
          <w:sz w:val="23"/>
          <w:szCs w:val="23"/>
          <w:lang w:val="es-CR" w:eastAsia="es-ES"/>
        </w:rPr>
        <w:t xml:space="preserve">”. </w:t>
      </w:r>
    </w:p>
    <w:p w14:paraId="140DE785" w14:textId="77777777" w:rsidR="00D3581E" w:rsidRPr="00D3581E" w:rsidRDefault="00D3581E" w:rsidP="00D3581E">
      <w:pPr>
        <w:widowControl w:val="0"/>
        <w:suppressAutoHyphens w:val="0"/>
        <w:autoSpaceDE w:val="0"/>
        <w:autoSpaceDN w:val="0"/>
        <w:adjustRightInd w:val="0"/>
        <w:ind w:left="851" w:right="851" w:firstLine="709"/>
        <w:jc w:val="both"/>
        <w:rPr>
          <w:sz w:val="23"/>
          <w:szCs w:val="23"/>
          <w:lang w:val="es-CR" w:eastAsia="es-ES"/>
        </w:rPr>
      </w:pPr>
    </w:p>
    <w:p w14:paraId="0E443819" w14:textId="77777777" w:rsidR="00D3581E" w:rsidRPr="00D3581E" w:rsidRDefault="00D3581E" w:rsidP="00D3581E">
      <w:pPr>
        <w:widowControl w:val="0"/>
        <w:tabs>
          <w:tab w:val="num" w:pos="709"/>
        </w:tabs>
        <w:suppressAutoHyphens w:val="0"/>
        <w:autoSpaceDE w:val="0"/>
        <w:autoSpaceDN w:val="0"/>
        <w:adjustRightInd w:val="0"/>
        <w:ind w:left="851" w:right="851" w:firstLine="709"/>
        <w:jc w:val="both"/>
        <w:rPr>
          <w:b/>
          <w:sz w:val="23"/>
          <w:szCs w:val="23"/>
          <w:lang w:val="es-CR" w:eastAsia="es-ES"/>
        </w:rPr>
      </w:pPr>
      <w:r w:rsidRPr="00D3581E">
        <w:rPr>
          <w:sz w:val="23"/>
          <w:szCs w:val="23"/>
          <w:lang w:val="es-CR" w:eastAsia="es-ES"/>
        </w:rPr>
        <w:t>(…)</w:t>
      </w:r>
    </w:p>
    <w:p w14:paraId="6A28C1DD" w14:textId="77777777" w:rsidR="00D3581E" w:rsidRPr="00D3581E" w:rsidRDefault="00D3581E" w:rsidP="00D3581E">
      <w:pPr>
        <w:widowControl w:val="0"/>
        <w:suppressAutoHyphens w:val="0"/>
        <w:autoSpaceDE w:val="0"/>
        <w:autoSpaceDN w:val="0"/>
        <w:adjustRightInd w:val="0"/>
        <w:rPr>
          <w:snapToGrid w:val="0"/>
          <w:sz w:val="23"/>
          <w:szCs w:val="23"/>
          <w:lang w:val="es-CR" w:eastAsia="es-E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122"/>
        <w:gridCol w:w="4394"/>
        <w:gridCol w:w="1276"/>
        <w:gridCol w:w="2126"/>
      </w:tblGrid>
      <w:tr w:rsidR="00D3581E" w:rsidRPr="00D3581E" w14:paraId="359F9FA4" w14:textId="77777777" w:rsidTr="00A20FB3">
        <w:trPr>
          <w:trHeight w:val="540"/>
          <w:jc w:val="center"/>
        </w:trPr>
        <w:tc>
          <w:tcPr>
            <w:tcW w:w="6516" w:type="dxa"/>
            <w:gridSpan w:val="2"/>
            <w:shd w:val="clear" w:color="auto" w:fill="000000"/>
            <w:vAlign w:val="center"/>
          </w:tcPr>
          <w:p w14:paraId="38A230A0" w14:textId="77777777" w:rsidR="00D3581E" w:rsidRPr="00D3581E" w:rsidRDefault="00D3581E" w:rsidP="00D3581E">
            <w:pPr>
              <w:widowControl w:val="0"/>
              <w:suppressAutoHyphens w:val="0"/>
              <w:autoSpaceDE w:val="0"/>
              <w:autoSpaceDN w:val="0"/>
              <w:adjustRightInd w:val="0"/>
              <w:jc w:val="center"/>
              <w:rPr>
                <w:b/>
                <w:sz w:val="23"/>
                <w:szCs w:val="23"/>
                <w:lang w:val="es-CR" w:eastAsia="es-ES"/>
              </w:rPr>
            </w:pPr>
            <w:r w:rsidRPr="00D3581E">
              <w:rPr>
                <w:b/>
                <w:sz w:val="23"/>
                <w:szCs w:val="23"/>
                <w:lang w:val="es-CR" w:eastAsia="es-ES"/>
              </w:rPr>
              <w:t>Dirección de Planificación</w:t>
            </w:r>
          </w:p>
        </w:tc>
        <w:tc>
          <w:tcPr>
            <w:tcW w:w="1276" w:type="dxa"/>
            <w:shd w:val="clear" w:color="auto" w:fill="B3B3B3"/>
            <w:vAlign w:val="center"/>
          </w:tcPr>
          <w:p w14:paraId="41302ED6" w14:textId="77777777" w:rsidR="00D3581E" w:rsidRPr="00D3581E" w:rsidRDefault="00D3581E" w:rsidP="00D3581E">
            <w:pPr>
              <w:widowControl w:val="0"/>
              <w:suppressAutoHyphens w:val="0"/>
              <w:autoSpaceDE w:val="0"/>
              <w:autoSpaceDN w:val="0"/>
              <w:adjustRightInd w:val="0"/>
              <w:rPr>
                <w:sz w:val="23"/>
                <w:szCs w:val="23"/>
                <w:lang w:val="es-CR" w:eastAsia="es-ES"/>
              </w:rPr>
            </w:pPr>
            <w:r w:rsidRPr="00D3581E">
              <w:rPr>
                <w:b/>
                <w:sz w:val="23"/>
                <w:szCs w:val="23"/>
                <w:lang w:val="es-CR" w:eastAsia="es-ES"/>
              </w:rPr>
              <w:t>Fecha:</w:t>
            </w:r>
          </w:p>
        </w:tc>
        <w:tc>
          <w:tcPr>
            <w:tcW w:w="2126" w:type="dxa"/>
            <w:vAlign w:val="center"/>
          </w:tcPr>
          <w:p w14:paraId="708190DF"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r w:rsidRPr="00D3581E">
              <w:rPr>
                <w:sz w:val="23"/>
                <w:szCs w:val="23"/>
                <w:lang w:val="es-CR" w:eastAsia="es-ES"/>
              </w:rPr>
              <w:t>06/07/2021</w:t>
            </w:r>
          </w:p>
        </w:tc>
      </w:tr>
      <w:tr w:rsidR="00D3581E" w:rsidRPr="00D3581E" w14:paraId="79BB54B8" w14:textId="77777777" w:rsidTr="00A20FB3">
        <w:trPr>
          <w:trHeight w:val="229"/>
          <w:jc w:val="center"/>
        </w:trPr>
        <w:tc>
          <w:tcPr>
            <w:tcW w:w="2122" w:type="dxa"/>
            <w:shd w:val="clear" w:color="auto" w:fill="B3B3B3"/>
            <w:vAlign w:val="center"/>
          </w:tcPr>
          <w:p w14:paraId="47BC2E52" w14:textId="77777777" w:rsidR="00D3581E" w:rsidRPr="00D3581E" w:rsidRDefault="00D3581E" w:rsidP="00D3581E">
            <w:pPr>
              <w:widowControl w:val="0"/>
              <w:suppressAutoHyphens w:val="0"/>
              <w:autoSpaceDE w:val="0"/>
              <w:autoSpaceDN w:val="0"/>
              <w:adjustRightInd w:val="0"/>
              <w:rPr>
                <w:b/>
                <w:sz w:val="23"/>
                <w:szCs w:val="23"/>
                <w:lang w:val="es-CR" w:eastAsia="es-ES"/>
              </w:rPr>
            </w:pPr>
            <w:r w:rsidRPr="00D3581E">
              <w:rPr>
                <w:b/>
                <w:sz w:val="23"/>
                <w:szCs w:val="23"/>
                <w:lang w:val="es-CR" w:eastAsia="es-ES"/>
              </w:rPr>
              <w:t>Oficina remitente:</w:t>
            </w:r>
          </w:p>
        </w:tc>
        <w:tc>
          <w:tcPr>
            <w:tcW w:w="4394" w:type="dxa"/>
            <w:vAlign w:val="center"/>
          </w:tcPr>
          <w:p w14:paraId="1949CE2B"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Unidad de Evaluación Operativa, Subproceso Evaluación.</w:t>
            </w:r>
          </w:p>
        </w:tc>
        <w:tc>
          <w:tcPr>
            <w:tcW w:w="1276" w:type="dxa"/>
            <w:shd w:val="clear" w:color="auto" w:fill="B3B3B3"/>
            <w:tcMar>
              <w:top w:w="0" w:type="dxa"/>
              <w:left w:w="0" w:type="dxa"/>
              <w:bottom w:w="0" w:type="dxa"/>
              <w:right w:w="0" w:type="dxa"/>
            </w:tcMar>
            <w:vAlign w:val="center"/>
          </w:tcPr>
          <w:p w14:paraId="3F76FAF3" w14:textId="77777777" w:rsidR="00D3581E" w:rsidRPr="00D3581E" w:rsidRDefault="00D3581E" w:rsidP="00D3581E">
            <w:pPr>
              <w:widowControl w:val="0"/>
              <w:suppressAutoHyphens w:val="0"/>
              <w:autoSpaceDE w:val="0"/>
              <w:autoSpaceDN w:val="0"/>
              <w:adjustRightInd w:val="0"/>
              <w:rPr>
                <w:b/>
                <w:sz w:val="23"/>
                <w:szCs w:val="23"/>
                <w:lang w:val="es-CR" w:eastAsia="es-ES"/>
              </w:rPr>
            </w:pPr>
            <w:r w:rsidRPr="00D3581E">
              <w:rPr>
                <w:b/>
                <w:sz w:val="23"/>
                <w:szCs w:val="23"/>
                <w:lang w:val="es-CR" w:eastAsia="es-ES"/>
              </w:rPr>
              <w:t># Informe:</w:t>
            </w:r>
          </w:p>
        </w:tc>
        <w:tc>
          <w:tcPr>
            <w:tcW w:w="2126" w:type="dxa"/>
            <w:tcMar>
              <w:top w:w="0" w:type="dxa"/>
              <w:left w:w="0" w:type="dxa"/>
              <w:bottom w:w="0" w:type="dxa"/>
              <w:right w:w="0" w:type="dxa"/>
            </w:tcMar>
            <w:vAlign w:val="center"/>
          </w:tcPr>
          <w:p w14:paraId="52860003" w14:textId="77777777" w:rsidR="00D3581E" w:rsidRPr="00D3581E" w:rsidRDefault="00D3581E" w:rsidP="00D3581E">
            <w:pPr>
              <w:widowControl w:val="0"/>
              <w:suppressAutoHyphens w:val="0"/>
              <w:autoSpaceDE w:val="0"/>
              <w:autoSpaceDN w:val="0"/>
              <w:adjustRightInd w:val="0"/>
              <w:jc w:val="center"/>
              <w:rPr>
                <w:bCs/>
                <w:sz w:val="23"/>
                <w:szCs w:val="23"/>
                <w:lang w:val="es-CR" w:eastAsia="es-ES"/>
              </w:rPr>
            </w:pPr>
            <w:r w:rsidRPr="00D3581E">
              <w:rPr>
                <w:bCs/>
                <w:sz w:val="23"/>
                <w:szCs w:val="23"/>
                <w:lang w:val="es-CR" w:eastAsia="es-ES"/>
              </w:rPr>
              <w:t>752-PLA-EV-2021</w:t>
            </w:r>
          </w:p>
        </w:tc>
      </w:tr>
      <w:tr w:rsidR="00D3581E" w:rsidRPr="00D3581E" w14:paraId="72200113" w14:textId="77777777" w:rsidTr="00A20FB3">
        <w:trPr>
          <w:trHeight w:val="217"/>
          <w:jc w:val="center"/>
        </w:trPr>
        <w:tc>
          <w:tcPr>
            <w:tcW w:w="2122" w:type="dxa"/>
            <w:shd w:val="clear" w:color="auto" w:fill="B3B3B3"/>
            <w:vAlign w:val="center"/>
          </w:tcPr>
          <w:p w14:paraId="22AE0AAF" w14:textId="77777777" w:rsidR="00D3581E" w:rsidRPr="00D3581E" w:rsidRDefault="00D3581E" w:rsidP="00D3581E">
            <w:pPr>
              <w:widowControl w:val="0"/>
              <w:suppressAutoHyphens w:val="0"/>
              <w:autoSpaceDE w:val="0"/>
              <w:autoSpaceDN w:val="0"/>
              <w:adjustRightInd w:val="0"/>
              <w:rPr>
                <w:b/>
                <w:sz w:val="23"/>
                <w:szCs w:val="23"/>
                <w:lang w:val="es-CR" w:eastAsia="es-ES"/>
              </w:rPr>
            </w:pPr>
            <w:r w:rsidRPr="00D3581E">
              <w:rPr>
                <w:b/>
                <w:sz w:val="23"/>
                <w:szCs w:val="23"/>
                <w:lang w:val="es-CR" w:eastAsia="es-ES"/>
              </w:rPr>
              <w:t>Temática:</w:t>
            </w:r>
          </w:p>
        </w:tc>
        <w:tc>
          <w:tcPr>
            <w:tcW w:w="7796" w:type="dxa"/>
            <w:gridSpan w:val="3"/>
          </w:tcPr>
          <w:p w14:paraId="09DCAE86"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Resultados definitivos del segundo seguimiento realizado a la Oficina de Comunicaciones Judiciales de Siquirres a finales de 2020.</w:t>
            </w:r>
          </w:p>
        </w:tc>
      </w:tr>
      <w:tr w:rsidR="00D3581E" w:rsidRPr="00D3581E" w14:paraId="6AF78A28" w14:textId="77777777" w:rsidTr="00A20FB3">
        <w:trPr>
          <w:trHeight w:val="81"/>
          <w:jc w:val="center"/>
        </w:trPr>
        <w:tc>
          <w:tcPr>
            <w:tcW w:w="2122" w:type="dxa"/>
            <w:shd w:val="clear" w:color="auto" w:fill="B3B3B3"/>
            <w:vAlign w:val="center"/>
          </w:tcPr>
          <w:p w14:paraId="50D63129" w14:textId="77777777" w:rsidR="00D3581E" w:rsidRPr="00D3581E" w:rsidRDefault="00D3581E" w:rsidP="00D3581E">
            <w:pPr>
              <w:widowControl w:val="0"/>
              <w:suppressAutoHyphens w:val="0"/>
              <w:autoSpaceDE w:val="0"/>
              <w:autoSpaceDN w:val="0"/>
              <w:adjustRightInd w:val="0"/>
              <w:rPr>
                <w:b/>
                <w:sz w:val="23"/>
                <w:szCs w:val="23"/>
                <w:lang w:val="es-CR" w:eastAsia="es-ES"/>
              </w:rPr>
            </w:pPr>
            <w:r w:rsidRPr="00D3581E">
              <w:rPr>
                <w:b/>
                <w:sz w:val="23"/>
                <w:szCs w:val="23"/>
                <w:lang w:val="es-CR" w:eastAsia="es-ES"/>
              </w:rPr>
              <w:t>Para:</w:t>
            </w:r>
          </w:p>
        </w:tc>
        <w:tc>
          <w:tcPr>
            <w:tcW w:w="7796" w:type="dxa"/>
            <w:gridSpan w:val="3"/>
          </w:tcPr>
          <w:p w14:paraId="4428C417"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Secretaría General de la Corte</w:t>
            </w:r>
          </w:p>
        </w:tc>
      </w:tr>
      <w:tr w:rsidR="00D3581E" w:rsidRPr="00D3581E" w14:paraId="6BA8A5CE" w14:textId="77777777" w:rsidTr="00A20FB3">
        <w:trPr>
          <w:trHeight w:val="133"/>
          <w:jc w:val="center"/>
        </w:trPr>
        <w:tc>
          <w:tcPr>
            <w:tcW w:w="2122" w:type="dxa"/>
            <w:shd w:val="clear" w:color="auto" w:fill="B3B3B3"/>
            <w:vAlign w:val="center"/>
          </w:tcPr>
          <w:p w14:paraId="357C1EA3" w14:textId="77777777" w:rsidR="00D3581E" w:rsidRPr="00D3581E" w:rsidRDefault="00D3581E" w:rsidP="00D3581E">
            <w:pPr>
              <w:widowControl w:val="0"/>
              <w:suppressAutoHyphens w:val="0"/>
              <w:autoSpaceDE w:val="0"/>
              <w:autoSpaceDN w:val="0"/>
              <w:adjustRightInd w:val="0"/>
              <w:rPr>
                <w:b/>
                <w:sz w:val="23"/>
                <w:szCs w:val="23"/>
                <w:lang w:val="es-CR" w:eastAsia="es-ES"/>
              </w:rPr>
            </w:pPr>
            <w:r w:rsidRPr="00D3581E">
              <w:rPr>
                <w:b/>
                <w:sz w:val="23"/>
                <w:szCs w:val="23"/>
                <w:lang w:val="es-CR" w:eastAsia="es-ES"/>
              </w:rPr>
              <w:t xml:space="preserve">Copias: </w:t>
            </w:r>
          </w:p>
        </w:tc>
        <w:tc>
          <w:tcPr>
            <w:tcW w:w="7796" w:type="dxa"/>
            <w:gridSpan w:val="3"/>
          </w:tcPr>
          <w:p w14:paraId="75B021A9"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Dirección Ejecutiva</w:t>
            </w:r>
          </w:p>
          <w:p w14:paraId="0108576B"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Dirección de Gestión Humana</w:t>
            </w:r>
          </w:p>
          <w:p w14:paraId="380E63A3"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Administración Regional del Segundo Circuito Judicial de la Zona Atlántica</w:t>
            </w:r>
          </w:p>
          <w:p w14:paraId="1B112DCC"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Fiscalía de Siquirres</w:t>
            </w:r>
          </w:p>
          <w:p w14:paraId="7D16B848"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Oficina de Comunicaciones Judiciales de Siquirres</w:t>
            </w:r>
          </w:p>
        </w:tc>
      </w:tr>
      <w:tr w:rsidR="00D3581E" w:rsidRPr="00D3581E" w14:paraId="228B0172" w14:textId="77777777" w:rsidTr="00A20FB3">
        <w:trPr>
          <w:trHeight w:val="570"/>
          <w:jc w:val="center"/>
        </w:trPr>
        <w:tc>
          <w:tcPr>
            <w:tcW w:w="2122" w:type="dxa"/>
            <w:shd w:val="clear" w:color="auto" w:fill="B3B3B3"/>
            <w:vAlign w:val="center"/>
          </w:tcPr>
          <w:p w14:paraId="3FEDAF38" w14:textId="77777777" w:rsidR="00D3581E" w:rsidRPr="00D3581E" w:rsidRDefault="00D3581E" w:rsidP="00D3581E">
            <w:pPr>
              <w:widowControl w:val="0"/>
              <w:suppressAutoHyphens w:val="0"/>
              <w:autoSpaceDE w:val="0"/>
              <w:autoSpaceDN w:val="0"/>
              <w:adjustRightInd w:val="0"/>
              <w:rPr>
                <w:b/>
                <w:sz w:val="23"/>
                <w:szCs w:val="23"/>
                <w:lang w:val="es-CR" w:eastAsia="es-ES"/>
              </w:rPr>
            </w:pPr>
            <w:r w:rsidRPr="00D3581E">
              <w:rPr>
                <w:b/>
                <w:sz w:val="23"/>
                <w:szCs w:val="23"/>
                <w:lang w:val="es-CR" w:eastAsia="es-ES"/>
              </w:rPr>
              <w:t>Oficios y Referencias:</w:t>
            </w:r>
          </w:p>
        </w:tc>
        <w:tc>
          <w:tcPr>
            <w:tcW w:w="7796" w:type="dxa"/>
            <w:gridSpan w:val="3"/>
          </w:tcPr>
          <w:p w14:paraId="1C67DA07"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Oficio número 5445-2020 del 11 de junio de 2020 emitido por la Secretaría General de la Corte, mediante el cual comunica el acuerdo tomado por el Consejo Superior en la sesión número 51-2020 celebrada el 21 de mayo de 2020, artículo LIV.</w:t>
            </w:r>
          </w:p>
          <w:p w14:paraId="5723FA7C"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p w14:paraId="1A4D4CE1"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 xml:space="preserve">Oficio número 10597—2020 del 11 de noviembre de 2020, emitido por Secretaría General de la Corte, por medio del cual comunica el acuerdo tomado por el Consejo </w:t>
            </w:r>
            <w:r w:rsidRPr="00D3581E">
              <w:rPr>
                <w:sz w:val="23"/>
                <w:szCs w:val="23"/>
                <w:lang w:val="es-CR" w:eastAsia="es-ES"/>
              </w:rPr>
              <w:lastRenderedPageBreak/>
              <w:t>Superior en la sesión número 100-2020 celebrada el 20 de octubre de 2020, artículo XLII, sobre el estado en que se encuentra y la fecha proyectada para elaborar el informe de seguimiento solicitado a la Dirección de Planificación, en la sesión número 51-2020 celebrada el 21 de mayo de 2020, artículo LIV, que da origen a la elaboración del presente informe de seguimiento.</w:t>
            </w:r>
          </w:p>
        </w:tc>
      </w:tr>
      <w:tr w:rsidR="00D3581E" w:rsidRPr="00D3581E" w14:paraId="28E83810" w14:textId="77777777" w:rsidTr="00A20FB3">
        <w:trPr>
          <w:trHeight w:val="22"/>
          <w:jc w:val="center"/>
        </w:trPr>
        <w:tc>
          <w:tcPr>
            <w:tcW w:w="2122" w:type="dxa"/>
            <w:shd w:val="clear" w:color="auto" w:fill="B3B3B3"/>
            <w:vAlign w:val="center"/>
          </w:tcPr>
          <w:p w14:paraId="49C3449C" w14:textId="77777777" w:rsidR="00D3581E" w:rsidRPr="00D3581E" w:rsidRDefault="00D3581E" w:rsidP="00D3581E">
            <w:pPr>
              <w:widowControl w:val="0"/>
              <w:suppressAutoHyphens w:val="0"/>
              <w:autoSpaceDE w:val="0"/>
              <w:autoSpaceDN w:val="0"/>
              <w:adjustRightInd w:val="0"/>
              <w:rPr>
                <w:b/>
                <w:sz w:val="23"/>
                <w:szCs w:val="23"/>
                <w:lang w:val="es-CR" w:eastAsia="es-ES"/>
              </w:rPr>
            </w:pPr>
            <w:r w:rsidRPr="00D3581E">
              <w:rPr>
                <w:b/>
                <w:sz w:val="23"/>
                <w:szCs w:val="23"/>
                <w:lang w:val="es-CR" w:eastAsia="es-ES"/>
              </w:rPr>
              <w:lastRenderedPageBreak/>
              <w:t>I. Antecedentes:</w:t>
            </w:r>
          </w:p>
        </w:tc>
        <w:tc>
          <w:tcPr>
            <w:tcW w:w="7796" w:type="dxa"/>
            <w:gridSpan w:val="3"/>
          </w:tcPr>
          <w:p w14:paraId="632BF879"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Acuerdo tomado por el Consejo Superior en la sesión número 51-2020 celebrada el 21 de mayo de 2020, artículo LIV, en el cual se conoció y se tuvo por rendido el oficio número 634-PLA-EV-2020, mediante el cual la Dirección de Planificación comunicó los resultados obtenidos del primer seguimiento realizado a la Oficina de Comunicaciones Judiciales de Siquirres.</w:t>
            </w:r>
          </w:p>
        </w:tc>
      </w:tr>
      <w:tr w:rsidR="00D3581E" w:rsidRPr="00D3581E" w14:paraId="0F98A0CD" w14:textId="77777777" w:rsidTr="00A20FB3">
        <w:trPr>
          <w:trHeight w:val="48"/>
          <w:jc w:val="center"/>
        </w:trPr>
        <w:tc>
          <w:tcPr>
            <w:tcW w:w="2122" w:type="dxa"/>
            <w:shd w:val="clear" w:color="auto" w:fill="B3B3B3"/>
            <w:vAlign w:val="center"/>
          </w:tcPr>
          <w:p w14:paraId="6FBB8C2F" w14:textId="77777777" w:rsidR="00D3581E" w:rsidRPr="00D3581E" w:rsidRDefault="00D3581E" w:rsidP="00D3581E">
            <w:pPr>
              <w:widowControl w:val="0"/>
              <w:suppressAutoHyphens w:val="0"/>
              <w:autoSpaceDE w:val="0"/>
              <w:autoSpaceDN w:val="0"/>
              <w:adjustRightInd w:val="0"/>
              <w:rPr>
                <w:b/>
                <w:sz w:val="23"/>
                <w:szCs w:val="23"/>
                <w:lang w:val="es-CR" w:eastAsia="es-ES"/>
              </w:rPr>
            </w:pPr>
            <w:r w:rsidRPr="00D3581E">
              <w:rPr>
                <w:b/>
                <w:sz w:val="23"/>
                <w:szCs w:val="23"/>
                <w:lang w:val="es-CR" w:eastAsia="es-ES"/>
              </w:rPr>
              <w:t>II. Justificación:</w:t>
            </w:r>
          </w:p>
        </w:tc>
        <w:tc>
          <w:tcPr>
            <w:tcW w:w="7796" w:type="dxa"/>
            <w:gridSpan w:val="3"/>
          </w:tcPr>
          <w:p w14:paraId="08FDE721"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La elaboración del presente seguimiento atiende el octavo punto, del acuerdo tomado por el Consejo Superior en la sesión número 51-2020 celebrada el 21 de mayo de 2020, artículo LIV, en el que se solicita a la Dirección de Planificación realizar un nuevo seguimiento a la Oficina de Comunicaciones Judiciales de Siquirres.</w:t>
            </w:r>
          </w:p>
        </w:tc>
      </w:tr>
      <w:tr w:rsidR="00D3581E" w:rsidRPr="00D3581E" w14:paraId="3866BA56" w14:textId="77777777" w:rsidTr="00A20FB3">
        <w:trPr>
          <w:trHeight w:val="863"/>
          <w:jc w:val="center"/>
        </w:trPr>
        <w:tc>
          <w:tcPr>
            <w:tcW w:w="2122" w:type="dxa"/>
            <w:shd w:val="clear" w:color="auto" w:fill="B3B3B3"/>
            <w:vAlign w:val="center"/>
          </w:tcPr>
          <w:p w14:paraId="6D5D9AB5" w14:textId="77777777" w:rsidR="00D3581E" w:rsidRPr="00D3581E" w:rsidRDefault="00D3581E" w:rsidP="00D3581E">
            <w:pPr>
              <w:widowControl w:val="0"/>
              <w:suppressAutoHyphens w:val="0"/>
              <w:autoSpaceDE w:val="0"/>
              <w:autoSpaceDN w:val="0"/>
              <w:adjustRightInd w:val="0"/>
              <w:rPr>
                <w:b/>
                <w:sz w:val="23"/>
                <w:szCs w:val="23"/>
                <w:lang w:val="es-CR" w:eastAsia="es-ES"/>
              </w:rPr>
            </w:pPr>
            <w:r w:rsidRPr="00D3581E">
              <w:rPr>
                <w:b/>
                <w:sz w:val="23"/>
                <w:szCs w:val="23"/>
                <w:lang w:val="es-CR" w:eastAsia="es-ES"/>
              </w:rPr>
              <w:t>III. Información Relevante:</w:t>
            </w:r>
          </w:p>
        </w:tc>
        <w:tc>
          <w:tcPr>
            <w:tcW w:w="7796" w:type="dxa"/>
            <w:gridSpan w:val="3"/>
          </w:tcPr>
          <w:p w14:paraId="3B050179"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El desarrollo de este capítulo comprende la siguiente temática relacionada con el funcionamiento de la Oficina de Comunicaciones Judiciales de Siquirres, en adelante OCJ-Siquirres:</w:t>
            </w:r>
          </w:p>
          <w:p w14:paraId="4A165234"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p w14:paraId="555C6729" w14:textId="77777777" w:rsidR="00D3581E" w:rsidRPr="00D3581E" w:rsidRDefault="00D3581E" w:rsidP="00D3581E">
            <w:pPr>
              <w:widowControl w:val="0"/>
              <w:numPr>
                <w:ilvl w:val="0"/>
                <w:numId w:val="129"/>
              </w:numPr>
              <w:suppressAutoHyphens w:val="0"/>
              <w:autoSpaceDE w:val="0"/>
              <w:autoSpaceDN w:val="0"/>
              <w:adjustRightInd w:val="0"/>
              <w:ind w:left="227" w:hanging="227"/>
              <w:jc w:val="both"/>
              <w:rPr>
                <w:sz w:val="23"/>
                <w:szCs w:val="23"/>
                <w:lang w:val="es-CR" w:eastAsia="es-ES"/>
              </w:rPr>
            </w:pPr>
            <w:r w:rsidRPr="00D3581E">
              <w:rPr>
                <w:sz w:val="23"/>
                <w:szCs w:val="23"/>
                <w:lang w:val="es-CR" w:eastAsia="es-ES"/>
              </w:rPr>
              <w:t>El movimiento general de la carga de trabajo desde su entrada en operación, el 1° de noviembre de 2018, hasta finales del 2020.</w:t>
            </w:r>
          </w:p>
          <w:p w14:paraId="54EE7AAB" w14:textId="77777777" w:rsidR="00D3581E" w:rsidRPr="00D3581E" w:rsidRDefault="00D3581E" w:rsidP="00D3581E">
            <w:pPr>
              <w:suppressAutoHyphens w:val="0"/>
              <w:ind w:left="227"/>
              <w:jc w:val="both"/>
              <w:rPr>
                <w:sz w:val="23"/>
                <w:szCs w:val="23"/>
                <w:lang w:val="es-CR" w:eastAsia="es-ES"/>
              </w:rPr>
            </w:pPr>
          </w:p>
          <w:p w14:paraId="5BE4C5BD" w14:textId="77777777" w:rsidR="00D3581E" w:rsidRPr="00D3581E" w:rsidRDefault="00D3581E" w:rsidP="00D3581E">
            <w:pPr>
              <w:widowControl w:val="0"/>
              <w:numPr>
                <w:ilvl w:val="0"/>
                <w:numId w:val="129"/>
              </w:numPr>
              <w:suppressAutoHyphens w:val="0"/>
              <w:autoSpaceDE w:val="0"/>
              <w:autoSpaceDN w:val="0"/>
              <w:adjustRightInd w:val="0"/>
              <w:ind w:left="227" w:hanging="227"/>
              <w:jc w:val="both"/>
              <w:rPr>
                <w:sz w:val="23"/>
                <w:szCs w:val="23"/>
                <w:lang w:val="es-CR" w:eastAsia="es-ES"/>
              </w:rPr>
            </w:pPr>
            <w:r w:rsidRPr="00D3581E">
              <w:rPr>
                <w:sz w:val="23"/>
                <w:szCs w:val="23"/>
                <w:lang w:val="es-CR" w:eastAsia="es-ES"/>
              </w:rPr>
              <w:t>Los resultados del seguimiento realizado al proceso de implementación de las acciones indicadas por el Consejo Superior, en el acuerdo que da origen al presente seguimiento.</w:t>
            </w:r>
          </w:p>
          <w:p w14:paraId="7282D8C5"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p w14:paraId="20C2FA19"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b/>
                <w:bCs/>
                <w:sz w:val="23"/>
                <w:szCs w:val="23"/>
                <w:lang w:val="es-CR" w:eastAsia="es-ES"/>
              </w:rPr>
              <w:t>3.1-</w:t>
            </w:r>
            <w:r w:rsidRPr="00D3581E">
              <w:rPr>
                <w:sz w:val="23"/>
                <w:szCs w:val="23"/>
                <w:lang w:val="es-CR" w:eastAsia="es-ES"/>
              </w:rPr>
              <w:t xml:space="preserve"> La OCJ-Siquirres recibe 148.339 comunicaciones judiciales para diligenciar entre el 1° de noviembre de 2018 y finales de 2020. El 83,6% de lo ingresado corresponde a notificaciones para diligenciar, seguido en orden de magnitud por las citas que representan el 10,4% de lo entrado en ese periodo, y el 6,0% restante corresponde a las comisiones recibidas. </w:t>
            </w:r>
          </w:p>
          <w:p w14:paraId="730166B9"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p w14:paraId="17CEB8A7"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En el siguiente cuadro se amplía el detalle del movimiento de la carga de trabajo en esta oficina de apoyo jurisdiccional:</w:t>
            </w:r>
          </w:p>
          <w:p w14:paraId="708E9271"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tbl>
            <w:tblPr>
              <w:tblW w:w="0" w:type="auto"/>
              <w:jc w:val="center"/>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8"/>
              <w:gridCol w:w="1141"/>
              <w:gridCol w:w="709"/>
            </w:tblGrid>
            <w:tr w:rsidR="00D3581E" w:rsidRPr="00D3581E" w14:paraId="27B6B350" w14:textId="77777777" w:rsidTr="00A20FB3">
              <w:trPr>
                <w:jc w:val="center"/>
              </w:trPr>
              <w:tc>
                <w:tcPr>
                  <w:tcW w:w="5954" w:type="dxa"/>
                  <w:gridSpan w:val="3"/>
                  <w:tcBorders>
                    <w:bottom w:val="single" w:sz="4" w:space="0" w:color="auto"/>
                  </w:tcBorders>
                </w:tcPr>
                <w:p w14:paraId="2894E699" w14:textId="77777777" w:rsidR="00D3581E" w:rsidRPr="00D3581E" w:rsidRDefault="00D3581E" w:rsidP="00D3581E">
                  <w:pPr>
                    <w:widowControl w:val="0"/>
                    <w:suppressAutoHyphens w:val="0"/>
                    <w:autoSpaceDE w:val="0"/>
                    <w:autoSpaceDN w:val="0"/>
                    <w:adjustRightInd w:val="0"/>
                    <w:jc w:val="center"/>
                    <w:rPr>
                      <w:b/>
                      <w:sz w:val="23"/>
                      <w:szCs w:val="23"/>
                      <w:lang w:val="es-CR" w:eastAsia="es-ES"/>
                    </w:rPr>
                  </w:pPr>
                  <w:r w:rsidRPr="00D3581E">
                    <w:rPr>
                      <w:b/>
                      <w:sz w:val="23"/>
                      <w:szCs w:val="23"/>
                      <w:lang w:val="es-CR" w:eastAsia="es-ES"/>
                    </w:rPr>
                    <w:t>Cuadro 1</w:t>
                  </w:r>
                </w:p>
                <w:p w14:paraId="735F44A2" w14:textId="77777777" w:rsidR="00D3581E" w:rsidRPr="00D3581E" w:rsidRDefault="00D3581E" w:rsidP="00D3581E">
                  <w:pPr>
                    <w:widowControl w:val="0"/>
                    <w:suppressAutoHyphens w:val="0"/>
                    <w:autoSpaceDE w:val="0"/>
                    <w:autoSpaceDN w:val="0"/>
                    <w:adjustRightInd w:val="0"/>
                    <w:jc w:val="both"/>
                    <w:rPr>
                      <w:b/>
                      <w:sz w:val="23"/>
                      <w:szCs w:val="23"/>
                      <w:lang w:val="es-CR" w:eastAsia="es-ES"/>
                    </w:rPr>
                  </w:pPr>
                  <w:r w:rsidRPr="00D3581E">
                    <w:rPr>
                      <w:b/>
                      <w:sz w:val="23"/>
                      <w:szCs w:val="23"/>
                      <w:lang w:val="es-CR" w:eastAsia="es-ES"/>
                    </w:rPr>
                    <w:t>MOVIMIENTO GENERAL DE TRABAJO REGISTRADO EN LA OFICINA DE COMUNICACIONES JUDICIALES DE SIQUIRRES POR TIPO DE ACTO PROCESAL A DILIGENCIAR ENTRE 1° DE NOVIEMBRE DE 2018 Y EL 31 DE DICIEMBRE DE 2020.</w:t>
                  </w:r>
                </w:p>
                <w:p w14:paraId="28D8FEE1" w14:textId="77777777" w:rsidR="00D3581E" w:rsidRPr="00D3581E" w:rsidRDefault="00D3581E" w:rsidP="00D3581E">
                  <w:pPr>
                    <w:widowControl w:val="0"/>
                    <w:suppressAutoHyphens w:val="0"/>
                    <w:autoSpaceDE w:val="0"/>
                    <w:autoSpaceDN w:val="0"/>
                    <w:adjustRightInd w:val="0"/>
                    <w:jc w:val="both"/>
                    <w:rPr>
                      <w:b/>
                      <w:sz w:val="23"/>
                      <w:szCs w:val="23"/>
                      <w:lang w:val="es-CR" w:eastAsia="es-ES"/>
                    </w:rPr>
                  </w:pPr>
                </w:p>
              </w:tc>
            </w:tr>
            <w:tr w:rsidR="00D3581E" w:rsidRPr="00D3581E" w14:paraId="31BFABEF" w14:textId="77777777" w:rsidTr="00A20FB3">
              <w:trPr>
                <w:trHeight w:val="531"/>
                <w:jc w:val="center"/>
              </w:trPr>
              <w:tc>
                <w:tcPr>
                  <w:tcW w:w="4328" w:type="dxa"/>
                  <w:tcBorders>
                    <w:top w:val="single" w:sz="4" w:space="0" w:color="auto"/>
                    <w:bottom w:val="single" w:sz="4" w:space="0" w:color="auto"/>
                    <w:right w:val="dotted" w:sz="4" w:space="0" w:color="auto"/>
                  </w:tcBorders>
                  <w:vAlign w:val="center"/>
                </w:tcPr>
                <w:p w14:paraId="2709D908" w14:textId="77777777" w:rsidR="00D3581E" w:rsidRPr="00D3581E" w:rsidRDefault="00D3581E" w:rsidP="00D3581E">
                  <w:pPr>
                    <w:widowControl w:val="0"/>
                    <w:suppressAutoHyphens w:val="0"/>
                    <w:autoSpaceDE w:val="0"/>
                    <w:autoSpaceDN w:val="0"/>
                    <w:adjustRightInd w:val="0"/>
                    <w:jc w:val="center"/>
                    <w:rPr>
                      <w:b/>
                      <w:sz w:val="23"/>
                      <w:szCs w:val="23"/>
                      <w:lang w:val="es-CR" w:eastAsia="es-ES"/>
                    </w:rPr>
                  </w:pPr>
                  <w:r w:rsidRPr="00D3581E">
                    <w:rPr>
                      <w:b/>
                      <w:sz w:val="23"/>
                      <w:szCs w:val="23"/>
                      <w:lang w:val="es-CR" w:eastAsia="es-ES"/>
                    </w:rPr>
                    <w:t>Tipo de Acto Procesal</w:t>
                  </w:r>
                </w:p>
              </w:tc>
              <w:tc>
                <w:tcPr>
                  <w:tcW w:w="917" w:type="dxa"/>
                  <w:tcBorders>
                    <w:top w:val="single" w:sz="4" w:space="0" w:color="auto"/>
                    <w:bottom w:val="single" w:sz="4" w:space="0" w:color="auto"/>
                    <w:right w:val="dotted" w:sz="4" w:space="0" w:color="auto"/>
                  </w:tcBorders>
                  <w:vAlign w:val="center"/>
                </w:tcPr>
                <w:p w14:paraId="3FD7E0FF" w14:textId="77777777" w:rsidR="00D3581E" w:rsidRPr="00D3581E" w:rsidRDefault="00D3581E" w:rsidP="00D3581E">
                  <w:pPr>
                    <w:widowControl w:val="0"/>
                    <w:suppressAutoHyphens w:val="0"/>
                    <w:autoSpaceDE w:val="0"/>
                    <w:autoSpaceDN w:val="0"/>
                    <w:adjustRightInd w:val="0"/>
                    <w:jc w:val="center"/>
                    <w:rPr>
                      <w:b/>
                      <w:sz w:val="23"/>
                      <w:szCs w:val="23"/>
                      <w:lang w:val="es-CR" w:eastAsia="es-ES"/>
                    </w:rPr>
                  </w:pPr>
                  <w:r w:rsidRPr="00D3581E">
                    <w:rPr>
                      <w:b/>
                      <w:sz w:val="23"/>
                      <w:szCs w:val="23"/>
                      <w:lang w:val="es-CR" w:eastAsia="es-ES"/>
                    </w:rPr>
                    <w:t>Cantidad</w:t>
                  </w:r>
                </w:p>
              </w:tc>
              <w:tc>
                <w:tcPr>
                  <w:tcW w:w="709" w:type="dxa"/>
                  <w:tcBorders>
                    <w:top w:val="single" w:sz="4" w:space="0" w:color="auto"/>
                    <w:left w:val="dotted" w:sz="4" w:space="0" w:color="auto"/>
                    <w:bottom w:val="single" w:sz="4" w:space="0" w:color="auto"/>
                  </w:tcBorders>
                  <w:vAlign w:val="center"/>
                </w:tcPr>
                <w:p w14:paraId="57DF6F5A" w14:textId="77777777" w:rsidR="00D3581E" w:rsidRPr="00D3581E" w:rsidRDefault="00D3581E" w:rsidP="00D3581E">
                  <w:pPr>
                    <w:widowControl w:val="0"/>
                    <w:suppressAutoHyphens w:val="0"/>
                    <w:autoSpaceDE w:val="0"/>
                    <w:autoSpaceDN w:val="0"/>
                    <w:adjustRightInd w:val="0"/>
                    <w:jc w:val="center"/>
                    <w:rPr>
                      <w:b/>
                      <w:bCs/>
                      <w:sz w:val="23"/>
                      <w:szCs w:val="23"/>
                      <w:lang w:val="es-CR" w:eastAsia="es-ES"/>
                    </w:rPr>
                  </w:pPr>
                  <w:r w:rsidRPr="00D3581E">
                    <w:rPr>
                      <w:b/>
                      <w:bCs/>
                      <w:sz w:val="23"/>
                      <w:szCs w:val="23"/>
                      <w:lang w:val="es-CR" w:eastAsia="es-ES"/>
                    </w:rPr>
                    <w:t>%</w:t>
                  </w:r>
                </w:p>
              </w:tc>
            </w:tr>
            <w:tr w:rsidR="00D3581E" w:rsidRPr="00D3581E" w14:paraId="7CBEC25A" w14:textId="77777777" w:rsidTr="00A20FB3">
              <w:trPr>
                <w:trHeight w:val="424"/>
                <w:jc w:val="center"/>
              </w:trPr>
              <w:tc>
                <w:tcPr>
                  <w:tcW w:w="4328" w:type="dxa"/>
                  <w:tcBorders>
                    <w:top w:val="single" w:sz="4" w:space="0" w:color="auto"/>
                    <w:bottom w:val="dotted" w:sz="4" w:space="0" w:color="auto"/>
                    <w:right w:val="single" w:sz="4" w:space="0" w:color="auto"/>
                  </w:tcBorders>
                  <w:vAlign w:val="center"/>
                </w:tcPr>
                <w:p w14:paraId="2133BA4E" w14:textId="77777777" w:rsidR="00D3581E" w:rsidRPr="00D3581E" w:rsidRDefault="00D3581E" w:rsidP="00D3581E">
                  <w:pPr>
                    <w:widowControl w:val="0"/>
                    <w:suppressAutoHyphens w:val="0"/>
                    <w:autoSpaceDE w:val="0"/>
                    <w:autoSpaceDN w:val="0"/>
                    <w:adjustRightInd w:val="0"/>
                    <w:jc w:val="both"/>
                    <w:rPr>
                      <w:b/>
                      <w:sz w:val="23"/>
                      <w:szCs w:val="23"/>
                      <w:lang w:val="es-CR" w:eastAsia="es-ES"/>
                    </w:rPr>
                  </w:pPr>
                  <w:proofErr w:type="gramStart"/>
                  <w:r w:rsidRPr="00D3581E">
                    <w:rPr>
                      <w:b/>
                      <w:sz w:val="23"/>
                      <w:szCs w:val="23"/>
                      <w:lang w:val="es-CR" w:eastAsia="es-ES"/>
                    </w:rPr>
                    <w:lastRenderedPageBreak/>
                    <w:t>Total</w:t>
                  </w:r>
                  <w:proofErr w:type="gramEnd"/>
                  <w:r w:rsidRPr="00D3581E">
                    <w:rPr>
                      <w:b/>
                      <w:sz w:val="23"/>
                      <w:szCs w:val="23"/>
                      <w:lang w:val="es-CR" w:eastAsia="es-ES"/>
                    </w:rPr>
                    <w:t xml:space="preserve"> de actos procesales recibidos para diligenciar:</w:t>
                  </w:r>
                </w:p>
              </w:tc>
              <w:tc>
                <w:tcPr>
                  <w:tcW w:w="917" w:type="dxa"/>
                  <w:tcBorders>
                    <w:top w:val="single" w:sz="4" w:space="0" w:color="auto"/>
                    <w:left w:val="single" w:sz="4" w:space="0" w:color="auto"/>
                    <w:bottom w:val="dotted" w:sz="4" w:space="0" w:color="auto"/>
                    <w:right w:val="dotted" w:sz="4" w:space="0" w:color="auto"/>
                  </w:tcBorders>
                  <w:tcMar>
                    <w:right w:w="113" w:type="dxa"/>
                  </w:tcMar>
                  <w:vAlign w:val="center"/>
                </w:tcPr>
                <w:p w14:paraId="587F0AF1" w14:textId="77777777" w:rsidR="00D3581E" w:rsidRPr="00D3581E" w:rsidRDefault="00D3581E" w:rsidP="00D3581E">
                  <w:pPr>
                    <w:widowControl w:val="0"/>
                    <w:suppressAutoHyphens w:val="0"/>
                    <w:autoSpaceDE w:val="0"/>
                    <w:autoSpaceDN w:val="0"/>
                    <w:adjustRightInd w:val="0"/>
                    <w:jc w:val="right"/>
                    <w:rPr>
                      <w:b/>
                      <w:sz w:val="23"/>
                      <w:szCs w:val="23"/>
                      <w:u w:val="single"/>
                      <w:lang w:val="es-CR" w:eastAsia="es-ES"/>
                    </w:rPr>
                  </w:pPr>
                  <w:r w:rsidRPr="00D3581E">
                    <w:rPr>
                      <w:b/>
                      <w:sz w:val="23"/>
                      <w:szCs w:val="23"/>
                      <w:u w:val="single"/>
                      <w:lang w:val="es-CR" w:eastAsia="es-ES"/>
                    </w:rPr>
                    <w:t>148.339</w:t>
                  </w:r>
                </w:p>
              </w:tc>
              <w:tc>
                <w:tcPr>
                  <w:tcW w:w="709" w:type="dxa"/>
                  <w:tcBorders>
                    <w:top w:val="single" w:sz="4" w:space="0" w:color="auto"/>
                    <w:left w:val="dotted" w:sz="4" w:space="0" w:color="auto"/>
                    <w:bottom w:val="dotted" w:sz="4" w:space="0" w:color="auto"/>
                  </w:tcBorders>
                  <w:vAlign w:val="center"/>
                </w:tcPr>
                <w:p w14:paraId="1CD399C4" w14:textId="77777777" w:rsidR="00D3581E" w:rsidRPr="00D3581E" w:rsidRDefault="00D3581E" w:rsidP="00D3581E">
                  <w:pPr>
                    <w:widowControl w:val="0"/>
                    <w:suppressAutoHyphens w:val="0"/>
                    <w:autoSpaceDE w:val="0"/>
                    <w:autoSpaceDN w:val="0"/>
                    <w:adjustRightInd w:val="0"/>
                    <w:jc w:val="right"/>
                    <w:rPr>
                      <w:b/>
                      <w:sz w:val="23"/>
                      <w:szCs w:val="23"/>
                      <w:u w:val="single"/>
                      <w:lang w:val="es-CR" w:eastAsia="es-ES"/>
                    </w:rPr>
                  </w:pPr>
                  <w:r w:rsidRPr="00D3581E">
                    <w:rPr>
                      <w:b/>
                      <w:sz w:val="23"/>
                      <w:szCs w:val="23"/>
                      <w:u w:val="single"/>
                      <w:lang w:val="es-CR" w:eastAsia="es-ES"/>
                    </w:rPr>
                    <w:t>100,0 %</w:t>
                  </w:r>
                </w:p>
              </w:tc>
            </w:tr>
            <w:tr w:rsidR="00D3581E" w:rsidRPr="00D3581E" w14:paraId="5E6A88E5" w14:textId="77777777" w:rsidTr="00A20FB3">
              <w:trPr>
                <w:jc w:val="center"/>
              </w:trPr>
              <w:tc>
                <w:tcPr>
                  <w:tcW w:w="4328" w:type="dxa"/>
                  <w:tcBorders>
                    <w:top w:val="dotted" w:sz="4" w:space="0" w:color="auto"/>
                    <w:bottom w:val="dotted" w:sz="4" w:space="0" w:color="auto"/>
                  </w:tcBorders>
                  <w:vAlign w:val="center"/>
                </w:tcPr>
                <w:p w14:paraId="3D32E1D8"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b/>
                      <w:sz w:val="23"/>
                      <w:szCs w:val="23"/>
                      <w:lang w:val="es-CR" w:eastAsia="es-ES"/>
                    </w:rPr>
                    <w:t xml:space="preserve">a- </w:t>
                  </w:r>
                  <w:r w:rsidRPr="00D3581E">
                    <w:rPr>
                      <w:sz w:val="23"/>
                      <w:szCs w:val="23"/>
                      <w:lang w:val="es-CR" w:eastAsia="es-ES"/>
                    </w:rPr>
                    <w:t xml:space="preserve">Citaciones </w:t>
                  </w:r>
                  <w:proofErr w:type="gramStart"/>
                  <w:r w:rsidRPr="00D3581E">
                    <w:rPr>
                      <w:sz w:val="23"/>
                      <w:szCs w:val="23"/>
                      <w:vertAlign w:val="superscript"/>
                      <w:lang w:val="es-CR" w:eastAsia="es-ES"/>
                    </w:rPr>
                    <w:t xml:space="preserve">( </w:t>
                  </w:r>
                  <w:r w:rsidRPr="00D3581E">
                    <w:rPr>
                      <w:b/>
                      <w:bCs/>
                      <w:sz w:val="23"/>
                      <w:szCs w:val="23"/>
                      <w:vertAlign w:val="superscript"/>
                      <w:lang w:val="es-CR" w:eastAsia="es-ES"/>
                    </w:rPr>
                    <w:t>1</w:t>
                  </w:r>
                  <w:proofErr w:type="gramEnd"/>
                  <w:r w:rsidRPr="00D3581E">
                    <w:rPr>
                      <w:sz w:val="23"/>
                      <w:szCs w:val="23"/>
                      <w:vertAlign w:val="superscript"/>
                      <w:lang w:val="es-CR" w:eastAsia="es-ES"/>
                    </w:rPr>
                    <w:t xml:space="preserve"> )</w:t>
                  </w:r>
                  <w:r w:rsidRPr="00D3581E">
                    <w:rPr>
                      <w:sz w:val="23"/>
                      <w:szCs w:val="23"/>
                      <w:lang w:val="es-CR" w:eastAsia="es-ES"/>
                    </w:rPr>
                    <w:t>.</w:t>
                  </w:r>
                </w:p>
              </w:tc>
              <w:tc>
                <w:tcPr>
                  <w:tcW w:w="917" w:type="dxa"/>
                  <w:tcBorders>
                    <w:top w:val="dotted" w:sz="4" w:space="0" w:color="auto"/>
                    <w:bottom w:val="dotted" w:sz="4" w:space="0" w:color="auto"/>
                    <w:right w:val="dotted" w:sz="4" w:space="0" w:color="auto"/>
                  </w:tcBorders>
                  <w:tcMar>
                    <w:right w:w="113" w:type="dxa"/>
                  </w:tcMar>
                  <w:vAlign w:val="center"/>
                </w:tcPr>
                <w:p w14:paraId="640EEBB7"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tc>
              <w:tc>
                <w:tcPr>
                  <w:tcW w:w="709" w:type="dxa"/>
                  <w:tcBorders>
                    <w:top w:val="dotted" w:sz="4" w:space="0" w:color="auto"/>
                    <w:left w:val="dotted" w:sz="4" w:space="0" w:color="auto"/>
                    <w:bottom w:val="dotted" w:sz="4" w:space="0" w:color="auto"/>
                  </w:tcBorders>
                  <w:vAlign w:val="center"/>
                </w:tcPr>
                <w:p w14:paraId="2B75B9ED"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tc>
            </w:tr>
            <w:tr w:rsidR="00D3581E" w:rsidRPr="00D3581E" w14:paraId="74441930" w14:textId="77777777" w:rsidTr="00A20FB3">
              <w:trPr>
                <w:jc w:val="center"/>
              </w:trPr>
              <w:tc>
                <w:tcPr>
                  <w:tcW w:w="4328" w:type="dxa"/>
                  <w:tcBorders>
                    <w:top w:val="dotted" w:sz="4" w:space="0" w:color="auto"/>
                    <w:bottom w:val="dotted" w:sz="4" w:space="0" w:color="auto"/>
                    <w:right w:val="dotted" w:sz="4" w:space="0" w:color="auto"/>
                  </w:tcBorders>
                  <w:vAlign w:val="center"/>
                </w:tcPr>
                <w:p w14:paraId="3812A431" w14:textId="77777777" w:rsidR="00D3581E" w:rsidRPr="00D3581E" w:rsidRDefault="00D3581E" w:rsidP="00D3581E">
                  <w:pPr>
                    <w:widowControl w:val="0"/>
                    <w:suppressAutoHyphens w:val="0"/>
                    <w:autoSpaceDE w:val="0"/>
                    <w:autoSpaceDN w:val="0"/>
                    <w:adjustRightInd w:val="0"/>
                    <w:ind w:left="170"/>
                    <w:jc w:val="both"/>
                    <w:rPr>
                      <w:sz w:val="23"/>
                      <w:szCs w:val="23"/>
                      <w:lang w:val="es-CR" w:eastAsia="es-ES"/>
                    </w:rPr>
                  </w:pPr>
                  <w:r w:rsidRPr="00D3581E">
                    <w:rPr>
                      <w:b/>
                      <w:sz w:val="23"/>
                      <w:szCs w:val="23"/>
                      <w:lang w:val="es-CR" w:eastAsia="es-ES"/>
                    </w:rPr>
                    <w:t>a.1-</w:t>
                  </w:r>
                  <w:r w:rsidRPr="00D3581E">
                    <w:rPr>
                      <w:bCs/>
                      <w:sz w:val="23"/>
                      <w:szCs w:val="23"/>
                      <w:lang w:val="es-CR" w:eastAsia="es-ES"/>
                    </w:rPr>
                    <w:t xml:space="preserve"> Recibidas</w:t>
                  </w:r>
                  <w:r w:rsidRPr="00D3581E">
                    <w:rPr>
                      <w:sz w:val="23"/>
                      <w:szCs w:val="23"/>
                      <w:lang w:val="es-CR" w:eastAsia="es-ES"/>
                    </w:rPr>
                    <w:t>:</w:t>
                  </w:r>
                </w:p>
              </w:tc>
              <w:tc>
                <w:tcPr>
                  <w:tcW w:w="917" w:type="dxa"/>
                  <w:tcBorders>
                    <w:top w:val="dotted" w:sz="4" w:space="0" w:color="auto"/>
                    <w:bottom w:val="dotted" w:sz="4" w:space="0" w:color="auto"/>
                    <w:right w:val="dotted" w:sz="4" w:space="0" w:color="auto"/>
                  </w:tcBorders>
                  <w:tcMar>
                    <w:right w:w="113" w:type="dxa"/>
                  </w:tcMar>
                  <w:vAlign w:val="center"/>
                </w:tcPr>
                <w:p w14:paraId="3E31ADF7" w14:textId="77777777" w:rsidR="00D3581E" w:rsidRPr="00D3581E" w:rsidRDefault="00D3581E" w:rsidP="00D3581E">
                  <w:pPr>
                    <w:widowControl w:val="0"/>
                    <w:suppressAutoHyphens w:val="0"/>
                    <w:autoSpaceDE w:val="0"/>
                    <w:autoSpaceDN w:val="0"/>
                    <w:adjustRightInd w:val="0"/>
                    <w:ind w:left="170"/>
                    <w:jc w:val="right"/>
                    <w:rPr>
                      <w:sz w:val="23"/>
                      <w:szCs w:val="23"/>
                      <w:lang w:val="es-CR" w:eastAsia="es-ES"/>
                    </w:rPr>
                  </w:pPr>
                  <w:r w:rsidRPr="00D3581E">
                    <w:rPr>
                      <w:sz w:val="23"/>
                      <w:szCs w:val="23"/>
                      <w:lang w:val="es-CR" w:eastAsia="es-ES"/>
                    </w:rPr>
                    <w:t>15.492</w:t>
                  </w:r>
                </w:p>
              </w:tc>
              <w:tc>
                <w:tcPr>
                  <w:tcW w:w="709" w:type="dxa"/>
                  <w:tcBorders>
                    <w:top w:val="dotted" w:sz="4" w:space="0" w:color="auto"/>
                    <w:left w:val="dotted" w:sz="4" w:space="0" w:color="auto"/>
                    <w:bottom w:val="dotted" w:sz="4" w:space="0" w:color="auto"/>
                  </w:tcBorders>
                  <w:vAlign w:val="center"/>
                </w:tcPr>
                <w:p w14:paraId="12EB9F1F"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r w:rsidRPr="00D3581E">
                    <w:rPr>
                      <w:sz w:val="23"/>
                      <w:szCs w:val="23"/>
                      <w:lang w:val="es-CR" w:eastAsia="es-ES"/>
                    </w:rPr>
                    <w:t>10,4 %</w:t>
                  </w:r>
                </w:p>
              </w:tc>
            </w:tr>
            <w:tr w:rsidR="00D3581E" w:rsidRPr="00D3581E" w14:paraId="1FDE4453" w14:textId="77777777" w:rsidTr="00A20FB3">
              <w:trPr>
                <w:jc w:val="center"/>
              </w:trPr>
              <w:tc>
                <w:tcPr>
                  <w:tcW w:w="4328" w:type="dxa"/>
                  <w:tcBorders>
                    <w:top w:val="dotted" w:sz="4" w:space="0" w:color="auto"/>
                    <w:bottom w:val="dotted" w:sz="4" w:space="0" w:color="auto"/>
                    <w:right w:val="dotted" w:sz="4" w:space="0" w:color="auto"/>
                  </w:tcBorders>
                  <w:vAlign w:val="center"/>
                </w:tcPr>
                <w:p w14:paraId="738737BA" w14:textId="77777777" w:rsidR="00D3581E" w:rsidRPr="00D3581E" w:rsidRDefault="00D3581E" w:rsidP="00D3581E">
                  <w:pPr>
                    <w:widowControl w:val="0"/>
                    <w:suppressAutoHyphens w:val="0"/>
                    <w:autoSpaceDE w:val="0"/>
                    <w:autoSpaceDN w:val="0"/>
                    <w:adjustRightInd w:val="0"/>
                    <w:ind w:left="340"/>
                    <w:jc w:val="both"/>
                    <w:rPr>
                      <w:sz w:val="23"/>
                      <w:szCs w:val="23"/>
                      <w:lang w:val="es-CR" w:eastAsia="es-ES"/>
                    </w:rPr>
                  </w:pPr>
                  <w:r w:rsidRPr="00D3581E">
                    <w:rPr>
                      <w:b/>
                      <w:sz w:val="23"/>
                      <w:szCs w:val="23"/>
                      <w:lang w:val="es-CR" w:eastAsia="es-ES"/>
                    </w:rPr>
                    <w:t xml:space="preserve">a.1.1- </w:t>
                  </w:r>
                  <w:r w:rsidRPr="00D3581E">
                    <w:rPr>
                      <w:sz w:val="23"/>
                      <w:szCs w:val="23"/>
                      <w:lang w:val="es-CR" w:eastAsia="es-ES"/>
                    </w:rPr>
                    <w:t>Positivas:</w:t>
                  </w:r>
                </w:p>
              </w:tc>
              <w:tc>
                <w:tcPr>
                  <w:tcW w:w="917" w:type="dxa"/>
                  <w:tcBorders>
                    <w:top w:val="dotted" w:sz="4" w:space="0" w:color="auto"/>
                    <w:bottom w:val="dotted" w:sz="4" w:space="0" w:color="auto"/>
                    <w:right w:val="dotted" w:sz="4" w:space="0" w:color="auto"/>
                  </w:tcBorders>
                  <w:tcMar>
                    <w:right w:w="113" w:type="dxa"/>
                  </w:tcMar>
                  <w:vAlign w:val="center"/>
                </w:tcPr>
                <w:p w14:paraId="2571CCFD" w14:textId="77777777" w:rsidR="00D3581E" w:rsidRPr="00D3581E" w:rsidRDefault="00D3581E" w:rsidP="00D3581E">
                  <w:pPr>
                    <w:widowControl w:val="0"/>
                    <w:suppressAutoHyphens w:val="0"/>
                    <w:autoSpaceDE w:val="0"/>
                    <w:autoSpaceDN w:val="0"/>
                    <w:adjustRightInd w:val="0"/>
                    <w:ind w:left="340"/>
                    <w:jc w:val="right"/>
                    <w:rPr>
                      <w:sz w:val="23"/>
                      <w:szCs w:val="23"/>
                      <w:lang w:val="es-CR" w:eastAsia="es-ES"/>
                    </w:rPr>
                  </w:pPr>
                  <w:r w:rsidRPr="00D3581E">
                    <w:rPr>
                      <w:sz w:val="23"/>
                      <w:szCs w:val="23"/>
                      <w:lang w:val="es-CR" w:eastAsia="es-ES"/>
                    </w:rPr>
                    <w:t>10.467</w:t>
                  </w:r>
                </w:p>
              </w:tc>
              <w:tc>
                <w:tcPr>
                  <w:tcW w:w="709" w:type="dxa"/>
                  <w:tcBorders>
                    <w:top w:val="dotted" w:sz="4" w:space="0" w:color="auto"/>
                    <w:left w:val="dotted" w:sz="4" w:space="0" w:color="auto"/>
                    <w:bottom w:val="dotted" w:sz="4" w:space="0" w:color="auto"/>
                  </w:tcBorders>
                  <w:vAlign w:val="center"/>
                </w:tcPr>
                <w:p w14:paraId="19D1C77A"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p>
              </w:tc>
            </w:tr>
            <w:tr w:rsidR="00D3581E" w:rsidRPr="00D3581E" w14:paraId="180C6C12" w14:textId="77777777" w:rsidTr="00A20FB3">
              <w:trPr>
                <w:jc w:val="center"/>
              </w:trPr>
              <w:tc>
                <w:tcPr>
                  <w:tcW w:w="4328" w:type="dxa"/>
                  <w:tcBorders>
                    <w:top w:val="dotted" w:sz="4" w:space="0" w:color="auto"/>
                    <w:bottom w:val="dotted" w:sz="4" w:space="0" w:color="auto"/>
                    <w:right w:val="dotted" w:sz="4" w:space="0" w:color="auto"/>
                  </w:tcBorders>
                  <w:vAlign w:val="center"/>
                </w:tcPr>
                <w:p w14:paraId="2CEFF60D" w14:textId="77777777" w:rsidR="00D3581E" w:rsidRPr="00D3581E" w:rsidRDefault="00D3581E" w:rsidP="00D3581E">
                  <w:pPr>
                    <w:widowControl w:val="0"/>
                    <w:suppressAutoHyphens w:val="0"/>
                    <w:autoSpaceDE w:val="0"/>
                    <w:autoSpaceDN w:val="0"/>
                    <w:adjustRightInd w:val="0"/>
                    <w:ind w:left="340"/>
                    <w:jc w:val="both"/>
                    <w:rPr>
                      <w:sz w:val="23"/>
                      <w:szCs w:val="23"/>
                      <w:lang w:val="es-CR" w:eastAsia="es-ES"/>
                    </w:rPr>
                  </w:pPr>
                  <w:r w:rsidRPr="00D3581E">
                    <w:rPr>
                      <w:b/>
                      <w:sz w:val="23"/>
                      <w:szCs w:val="23"/>
                      <w:lang w:val="es-CR" w:eastAsia="es-ES"/>
                    </w:rPr>
                    <w:t xml:space="preserve">a.1.2- </w:t>
                  </w:r>
                  <w:r w:rsidRPr="00D3581E">
                    <w:rPr>
                      <w:sz w:val="23"/>
                      <w:szCs w:val="23"/>
                      <w:lang w:val="es-CR" w:eastAsia="es-ES"/>
                    </w:rPr>
                    <w:t>Negativas:</w:t>
                  </w:r>
                </w:p>
              </w:tc>
              <w:tc>
                <w:tcPr>
                  <w:tcW w:w="917" w:type="dxa"/>
                  <w:tcBorders>
                    <w:top w:val="dotted" w:sz="4" w:space="0" w:color="auto"/>
                    <w:bottom w:val="dotted" w:sz="4" w:space="0" w:color="auto"/>
                    <w:right w:val="dotted" w:sz="4" w:space="0" w:color="auto"/>
                  </w:tcBorders>
                  <w:tcMar>
                    <w:right w:w="113" w:type="dxa"/>
                  </w:tcMar>
                  <w:vAlign w:val="center"/>
                </w:tcPr>
                <w:p w14:paraId="0CBF18A8" w14:textId="77777777" w:rsidR="00D3581E" w:rsidRPr="00D3581E" w:rsidRDefault="00D3581E" w:rsidP="00D3581E">
                  <w:pPr>
                    <w:widowControl w:val="0"/>
                    <w:suppressAutoHyphens w:val="0"/>
                    <w:autoSpaceDE w:val="0"/>
                    <w:autoSpaceDN w:val="0"/>
                    <w:adjustRightInd w:val="0"/>
                    <w:ind w:left="340"/>
                    <w:jc w:val="right"/>
                    <w:rPr>
                      <w:sz w:val="23"/>
                      <w:szCs w:val="23"/>
                      <w:lang w:val="es-CR" w:eastAsia="es-ES"/>
                    </w:rPr>
                  </w:pPr>
                  <w:r w:rsidRPr="00D3581E">
                    <w:rPr>
                      <w:sz w:val="23"/>
                      <w:szCs w:val="23"/>
                      <w:lang w:val="es-CR" w:eastAsia="es-ES"/>
                    </w:rPr>
                    <w:t>5.018</w:t>
                  </w:r>
                </w:p>
              </w:tc>
              <w:tc>
                <w:tcPr>
                  <w:tcW w:w="709" w:type="dxa"/>
                  <w:tcBorders>
                    <w:top w:val="dotted" w:sz="4" w:space="0" w:color="auto"/>
                    <w:left w:val="dotted" w:sz="4" w:space="0" w:color="auto"/>
                    <w:bottom w:val="dotted" w:sz="4" w:space="0" w:color="auto"/>
                  </w:tcBorders>
                  <w:vAlign w:val="center"/>
                </w:tcPr>
                <w:p w14:paraId="1A21A6E5"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p>
              </w:tc>
            </w:tr>
            <w:tr w:rsidR="00D3581E" w:rsidRPr="00D3581E" w14:paraId="3183CB65" w14:textId="77777777" w:rsidTr="00A20FB3">
              <w:trPr>
                <w:jc w:val="center"/>
              </w:trPr>
              <w:tc>
                <w:tcPr>
                  <w:tcW w:w="4328" w:type="dxa"/>
                  <w:tcBorders>
                    <w:top w:val="dotted" w:sz="4" w:space="0" w:color="auto"/>
                    <w:bottom w:val="dotted" w:sz="4" w:space="0" w:color="auto"/>
                    <w:right w:val="dotted" w:sz="4" w:space="0" w:color="auto"/>
                  </w:tcBorders>
                  <w:vAlign w:val="center"/>
                </w:tcPr>
                <w:p w14:paraId="2F9AAFF4" w14:textId="77777777" w:rsidR="00D3581E" w:rsidRPr="00D3581E" w:rsidRDefault="00D3581E" w:rsidP="00D3581E">
                  <w:pPr>
                    <w:widowControl w:val="0"/>
                    <w:suppressAutoHyphens w:val="0"/>
                    <w:autoSpaceDE w:val="0"/>
                    <w:autoSpaceDN w:val="0"/>
                    <w:adjustRightInd w:val="0"/>
                    <w:ind w:left="340"/>
                    <w:jc w:val="both"/>
                    <w:rPr>
                      <w:sz w:val="23"/>
                      <w:szCs w:val="23"/>
                      <w:lang w:val="es-CR" w:eastAsia="es-ES"/>
                    </w:rPr>
                  </w:pPr>
                  <w:r w:rsidRPr="00D3581E">
                    <w:rPr>
                      <w:b/>
                      <w:sz w:val="23"/>
                      <w:szCs w:val="23"/>
                      <w:lang w:val="es-CR" w:eastAsia="es-ES"/>
                    </w:rPr>
                    <w:t xml:space="preserve">a.1.3- </w:t>
                  </w:r>
                  <w:r w:rsidRPr="00D3581E">
                    <w:rPr>
                      <w:sz w:val="23"/>
                      <w:szCs w:val="23"/>
                      <w:lang w:val="es-CR" w:eastAsia="es-ES"/>
                    </w:rPr>
                    <w:t>Pendientes:</w:t>
                  </w:r>
                </w:p>
              </w:tc>
              <w:tc>
                <w:tcPr>
                  <w:tcW w:w="917" w:type="dxa"/>
                  <w:tcBorders>
                    <w:top w:val="dotted" w:sz="4" w:space="0" w:color="auto"/>
                    <w:bottom w:val="dotted" w:sz="4" w:space="0" w:color="auto"/>
                    <w:right w:val="dotted" w:sz="4" w:space="0" w:color="auto"/>
                  </w:tcBorders>
                  <w:tcMar>
                    <w:right w:w="113" w:type="dxa"/>
                  </w:tcMar>
                  <w:vAlign w:val="center"/>
                </w:tcPr>
                <w:p w14:paraId="5C5CED12" w14:textId="77777777" w:rsidR="00D3581E" w:rsidRPr="00D3581E" w:rsidRDefault="00D3581E" w:rsidP="00D3581E">
                  <w:pPr>
                    <w:widowControl w:val="0"/>
                    <w:suppressAutoHyphens w:val="0"/>
                    <w:autoSpaceDE w:val="0"/>
                    <w:autoSpaceDN w:val="0"/>
                    <w:adjustRightInd w:val="0"/>
                    <w:ind w:left="340"/>
                    <w:jc w:val="right"/>
                    <w:rPr>
                      <w:sz w:val="23"/>
                      <w:szCs w:val="23"/>
                      <w:lang w:val="es-CR" w:eastAsia="es-ES"/>
                    </w:rPr>
                  </w:pPr>
                  <w:r w:rsidRPr="00D3581E">
                    <w:rPr>
                      <w:sz w:val="23"/>
                      <w:szCs w:val="23"/>
                      <w:lang w:val="es-CR" w:eastAsia="es-ES"/>
                    </w:rPr>
                    <w:t>7</w:t>
                  </w:r>
                </w:p>
              </w:tc>
              <w:tc>
                <w:tcPr>
                  <w:tcW w:w="709" w:type="dxa"/>
                  <w:tcBorders>
                    <w:top w:val="dotted" w:sz="4" w:space="0" w:color="auto"/>
                    <w:left w:val="dotted" w:sz="4" w:space="0" w:color="auto"/>
                    <w:bottom w:val="dotted" w:sz="4" w:space="0" w:color="auto"/>
                  </w:tcBorders>
                  <w:vAlign w:val="center"/>
                </w:tcPr>
                <w:p w14:paraId="73FFA5AD"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p>
              </w:tc>
            </w:tr>
            <w:tr w:rsidR="00D3581E" w:rsidRPr="00D3581E" w14:paraId="2F9AF7D7" w14:textId="77777777" w:rsidTr="00A20FB3">
              <w:trPr>
                <w:jc w:val="center"/>
              </w:trPr>
              <w:tc>
                <w:tcPr>
                  <w:tcW w:w="4328" w:type="dxa"/>
                  <w:tcBorders>
                    <w:top w:val="dotted" w:sz="4" w:space="0" w:color="auto"/>
                    <w:bottom w:val="dotted" w:sz="4" w:space="0" w:color="auto"/>
                  </w:tcBorders>
                  <w:vAlign w:val="center"/>
                </w:tcPr>
                <w:p w14:paraId="281EAAC0"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b/>
                      <w:sz w:val="23"/>
                      <w:szCs w:val="23"/>
                      <w:lang w:val="es-CR" w:eastAsia="es-ES"/>
                    </w:rPr>
                    <w:t xml:space="preserve">b- </w:t>
                  </w:r>
                  <w:r w:rsidRPr="00D3581E">
                    <w:rPr>
                      <w:sz w:val="23"/>
                      <w:szCs w:val="23"/>
                      <w:lang w:val="es-CR" w:eastAsia="es-ES"/>
                    </w:rPr>
                    <w:t>Comisiones.</w:t>
                  </w:r>
                </w:p>
              </w:tc>
              <w:tc>
                <w:tcPr>
                  <w:tcW w:w="917" w:type="dxa"/>
                  <w:tcBorders>
                    <w:top w:val="dotted" w:sz="4" w:space="0" w:color="auto"/>
                    <w:bottom w:val="dotted" w:sz="4" w:space="0" w:color="auto"/>
                    <w:right w:val="dotted" w:sz="4" w:space="0" w:color="auto"/>
                  </w:tcBorders>
                  <w:tcMar>
                    <w:right w:w="113" w:type="dxa"/>
                  </w:tcMar>
                  <w:vAlign w:val="center"/>
                </w:tcPr>
                <w:p w14:paraId="3B893F0C"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tc>
              <w:tc>
                <w:tcPr>
                  <w:tcW w:w="709" w:type="dxa"/>
                  <w:tcBorders>
                    <w:top w:val="dotted" w:sz="4" w:space="0" w:color="auto"/>
                    <w:left w:val="dotted" w:sz="4" w:space="0" w:color="auto"/>
                    <w:bottom w:val="dotted" w:sz="4" w:space="0" w:color="auto"/>
                  </w:tcBorders>
                  <w:vAlign w:val="center"/>
                </w:tcPr>
                <w:p w14:paraId="1B448B26"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tc>
            </w:tr>
            <w:tr w:rsidR="00D3581E" w:rsidRPr="00D3581E" w14:paraId="7E9D38C9" w14:textId="77777777" w:rsidTr="00A20FB3">
              <w:trPr>
                <w:jc w:val="center"/>
              </w:trPr>
              <w:tc>
                <w:tcPr>
                  <w:tcW w:w="4328" w:type="dxa"/>
                  <w:tcBorders>
                    <w:top w:val="dotted" w:sz="4" w:space="0" w:color="auto"/>
                    <w:bottom w:val="dotted" w:sz="4" w:space="0" w:color="auto"/>
                    <w:right w:val="dotted" w:sz="4" w:space="0" w:color="auto"/>
                  </w:tcBorders>
                  <w:vAlign w:val="center"/>
                </w:tcPr>
                <w:p w14:paraId="6722AE12" w14:textId="77777777" w:rsidR="00D3581E" w:rsidRPr="00D3581E" w:rsidRDefault="00D3581E" w:rsidP="00D3581E">
                  <w:pPr>
                    <w:widowControl w:val="0"/>
                    <w:suppressAutoHyphens w:val="0"/>
                    <w:autoSpaceDE w:val="0"/>
                    <w:autoSpaceDN w:val="0"/>
                    <w:adjustRightInd w:val="0"/>
                    <w:ind w:left="170"/>
                    <w:jc w:val="both"/>
                    <w:rPr>
                      <w:sz w:val="23"/>
                      <w:szCs w:val="23"/>
                      <w:lang w:val="es-CR" w:eastAsia="es-ES"/>
                    </w:rPr>
                  </w:pPr>
                  <w:r w:rsidRPr="00D3581E">
                    <w:rPr>
                      <w:b/>
                      <w:sz w:val="23"/>
                      <w:szCs w:val="23"/>
                      <w:lang w:val="es-CR" w:eastAsia="es-ES"/>
                    </w:rPr>
                    <w:t xml:space="preserve">b.1- </w:t>
                  </w:r>
                  <w:r w:rsidRPr="00D3581E">
                    <w:rPr>
                      <w:sz w:val="23"/>
                      <w:szCs w:val="23"/>
                      <w:lang w:val="es-CR" w:eastAsia="es-ES"/>
                    </w:rPr>
                    <w:t>Recibidas:</w:t>
                  </w:r>
                </w:p>
              </w:tc>
              <w:tc>
                <w:tcPr>
                  <w:tcW w:w="917" w:type="dxa"/>
                  <w:tcBorders>
                    <w:top w:val="dotted" w:sz="4" w:space="0" w:color="auto"/>
                    <w:bottom w:val="dotted" w:sz="4" w:space="0" w:color="auto"/>
                    <w:right w:val="dotted" w:sz="4" w:space="0" w:color="auto"/>
                  </w:tcBorders>
                  <w:tcMar>
                    <w:right w:w="113" w:type="dxa"/>
                  </w:tcMar>
                  <w:vAlign w:val="center"/>
                </w:tcPr>
                <w:p w14:paraId="387CE6DE" w14:textId="77777777" w:rsidR="00D3581E" w:rsidRPr="00D3581E" w:rsidRDefault="00D3581E" w:rsidP="00D3581E">
                  <w:pPr>
                    <w:widowControl w:val="0"/>
                    <w:suppressAutoHyphens w:val="0"/>
                    <w:autoSpaceDE w:val="0"/>
                    <w:autoSpaceDN w:val="0"/>
                    <w:adjustRightInd w:val="0"/>
                    <w:ind w:left="170"/>
                    <w:jc w:val="right"/>
                    <w:rPr>
                      <w:sz w:val="23"/>
                      <w:szCs w:val="23"/>
                      <w:lang w:val="es-CR" w:eastAsia="es-ES"/>
                    </w:rPr>
                  </w:pPr>
                  <w:r w:rsidRPr="00D3581E">
                    <w:rPr>
                      <w:sz w:val="23"/>
                      <w:szCs w:val="23"/>
                      <w:lang w:val="es-CR" w:eastAsia="es-ES"/>
                    </w:rPr>
                    <w:t>8.854</w:t>
                  </w:r>
                </w:p>
              </w:tc>
              <w:tc>
                <w:tcPr>
                  <w:tcW w:w="709" w:type="dxa"/>
                  <w:tcBorders>
                    <w:top w:val="dotted" w:sz="4" w:space="0" w:color="auto"/>
                    <w:left w:val="dotted" w:sz="4" w:space="0" w:color="auto"/>
                    <w:bottom w:val="dotted" w:sz="4" w:space="0" w:color="auto"/>
                  </w:tcBorders>
                  <w:vAlign w:val="center"/>
                </w:tcPr>
                <w:p w14:paraId="2AB1B5EE"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r w:rsidRPr="00D3581E">
                    <w:rPr>
                      <w:sz w:val="23"/>
                      <w:szCs w:val="23"/>
                      <w:lang w:val="es-CR" w:eastAsia="es-ES"/>
                    </w:rPr>
                    <w:t>6,0 %</w:t>
                  </w:r>
                </w:p>
              </w:tc>
            </w:tr>
            <w:tr w:rsidR="00D3581E" w:rsidRPr="00D3581E" w14:paraId="6918A8B3" w14:textId="77777777" w:rsidTr="00A20FB3">
              <w:trPr>
                <w:jc w:val="center"/>
              </w:trPr>
              <w:tc>
                <w:tcPr>
                  <w:tcW w:w="4328" w:type="dxa"/>
                  <w:tcBorders>
                    <w:top w:val="dotted" w:sz="4" w:space="0" w:color="auto"/>
                    <w:bottom w:val="dotted" w:sz="4" w:space="0" w:color="auto"/>
                    <w:right w:val="dotted" w:sz="4" w:space="0" w:color="auto"/>
                  </w:tcBorders>
                  <w:vAlign w:val="center"/>
                </w:tcPr>
                <w:p w14:paraId="7098623D" w14:textId="77777777" w:rsidR="00D3581E" w:rsidRPr="00D3581E" w:rsidRDefault="00D3581E" w:rsidP="00D3581E">
                  <w:pPr>
                    <w:widowControl w:val="0"/>
                    <w:suppressAutoHyphens w:val="0"/>
                    <w:autoSpaceDE w:val="0"/>
                    <w:autoSpaceDN w:val="0"/>
                    <w:adjustRightInd w:val="0"/>
                    <w:ind w:left="340"/>
                    <w:jc w:val="both"/>
                    <w:rPr>
                      <w:sz w:val="23"/>
                      <w:szCs w:val="23"/>
                      <w:lang w:val="es-CR" w:eastAsia="es-ES"/>
                    </w:rPr>
                  </w:pPr>
                  <w:r w:rsidRPr="00D3581E">
                    <w:rPr>
                      <w:b/>
                      <w:sz w:val="23"/>
                      <w:szCs w:val="23"/>
                      <w:lang w:val="es-CR" w:eastAsia="es-ES"/>
                    </w:rPr>
                    <w:t xml:space="preserve">b.2- </w:t>
                  </w:r>
                  <w:r w:rsidRPr="00D3581E">
                    <w:rPr>
                      <w:sz w:val="23"/>
                      <w:szCs w:val="23"/>
                      <w:lang w:val="es-CR" w:eastAsia="es-ES"/>
                    </w:rPr>
                    <w:t>Practicadas:</w:t>
                  </w:r>
                </w:p>
              </w:tc>
              <w:tc>
                <w:tcPr>
                  <w:tcW w:w="917" w:type="dxa"/>
                  <w:tcBorders>
                    <w:top w:val="dotted" w:sz="4" w:space="0" w:color="auto"/>
                    <w:bottom w:val="dotted" w:sz="4" w:space="0" w:color="auto"/>
                    <w:right w:val="dotted" w:sz="4" w:space="0" w:color="auto"/>
                  </w:tcBorders>
                  <w:tcMar>
                    <w:right w:w="113" w:type="dxa"/>
                  </w:tcMar>
                  <w:vAlign w:val="center"/>
                </w:tcPr>
                <w:p w14:paraId="20FDBBAB" w14:textId="77777777" w:rsidR="00D3581E" w:rsidRPr="00D3581E" w:rsidRDefault="00D3581E" w:rsidP="00D3581E">
                  <w:pPr>
                    <w:widowControl w:val="0"/>
                    <w:suppressAutoHyphens w:val="0"/>
                    <w:autoSpaceDE w:val="0"/>
                    <w:autoSpaceDN w:val="0"/>
                    <w:adjustRightInd w:val="0"/>
                    <w:ind w:left="340"/>
                    <w:jc w:val="right"/>
                    <w:rPr>
                      <w:sz w:val="23"/>
                      <w:szCs w:val="23"/>
                      <w:lang w:val="es-CR" w:eastAsia="es-ES"/>
                    </w:rPr>
                  </w:pPr>
                  <w:r w:rsidRPr="00D3581E">
                    <w:rPr>
                      <w:sz w:val="23"/>
                      <w:szCs w:val="23"/>
                      <w:lang w:val="es-CR" w:eastAsia="es-ES"/>
                    </w:rPr>
                    <w:t>8.836</w:t>
                  </w:r>
                </w:p>
              </w:tc>
              <w:tc>
                <w:tcPr>
                  <w:tcW w:w="709" w:type="dxa"/>
                  <w:tcBorders>
                    <w:top w:val="dotted" w:sz="4" w:space="0" w:color="auto"/>
                    <w:left w:val="dotted" w:sz="4" w:space="0" w:color="auto"/>
                    <w:bottom w:val="dotted" w:sz="4" w:space="0" w:color="auto"/>
                  </w:tcBorders>
                  <w:vAlign w:val="center"/>
                </w:tcPr>
                <w:p w14:paraId="41154C30"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p>
              </w:tc>
            </w:tr>
            <w:tr w:rsidR="00D3581E" w:rsidRPr="00D3581E" w14:paraId="0B126CC1" w14:textId="77777777" w:rsidTr="00A20FB3">
              <w:trPr>
                <w:jc w:val="center"/>
              </w:trPr>
              <w:tc>
                <w:tcPr>
                  <w:tcW w:w="4328" w:type="dxa"/>
                  <w:tcBorders>
                    <w:top w:val="dotted" w:sz="4" w:space="0" w:color="auto"/>
                    <w:bottom w:val="dotted" w:sz="4" w:space="0" w:color="auto"/>
                    <w:right w:val="dotted" w:sz="4" w:space="0" w:color="auto"/>
                  </w:tcBorders>
                  <w:vAlign w:val="center"/>
                </w:tcPr>
                <w:p w14:paraId="720CBE01" w14:textId="77777777" w:rsidR="00D3581E" w:rsidRPr="00D3581E" w:rsidRDefault="00D3581E" w:rsidP="00D3581E">
                  <w:pPr>
                    <w:widowControl w:val="0"/>
                    <w:suppressAutoHyphens w:val="0"/>
                    <w:autoSpaceDE w:val="0"/>
                    <w:autoSpaceDN w:val="0"/>
                    <w:adjustRightInd w:val="0"/>
                    <w:ind w:left="510"/>
                    <w:jc w:val="both"/>
                    <w:rPr>
                      <w:sz w:val="23"/>
                      <w:szCs w:val="23"/>
                      <w:lang w:val="es-CR" w:eastAsia="es-ES"/>
                    </w:rPr>
                  </w:pPr>
                  <w:r w:rsidRPr="00D3581E">
                    <w:rPr>
                      <w:b/>
                      <w:sz w:val="23"/>
                      <w:szCs w:val="23"/>
                      <w:lang w:val="es-CR" w:eastAsia="es-ES"/>
                    </w:rPr>
                    <w:t xml:space="preserve">b.2.1- </w:t>
                  </w:r>
                  <w:r w:rsidRPr="00D3581E">
                    <w:rPr>
                      <w:sz w:val="23"/>
                      <w:szCs w:val="23"/>
                      <w:lang w:val="es-CR" w:eastAsia="es-ES"/>
                    </w:rPr>
                    <w:t>Diligenciadas:</w:t>
                  </w:r>
                </w:p>
              </w:tc>
              <w:tc>
                <w:tcPr>
                  <w:tcW w:w="917" w:type="dxa"/>
                  <w:tcBorders>
                    <w:top w:val="dotted" w:sz="4" w:space="0" w:color="auto"/>
                    <w:bottom w:val="dotted" w:sz="4" w:space="0" w:color="auto"/>
                    <w:right w:val="dotted" w:sz="4" w:space="0" w:color="auto"/>
                  </w:tcBorders>
                  <w:tcMar>
                    <w:right w:w="113" w:type="dxa"/>
                  </w:tcMar>
                  <w:vAlign w:val="center"/>
                </w:tcPr>
                <w:p w14:paraId="6DE22A8A" w14:textId="77777777" w:rsidR="00D3581E" w:rsidRPr="00D3581E" w:rsidRDefault="00D3581E" w:rsidP="00D3581E">
                  <w:pPr>
                    <w:widowControl w:val="0"/>
                    <w:suppressAutoHyphens w:val="0"/>
                    <w:autoSpaceDE w:val="0"/>
                    <w:autoSpaceDN w:val="0"/>
                    <w:adjustRightInd w:val="0"/>
                    <w:ind w:left="510"/>
                    <w:jc w:val="right"/>
                    <w:rPr>
                      <w:sz w:val="23"/>
                      <w:szCs w:val="23"/>
                      <w:lang w:val="es-CR" w:eastAsia="es-ES"/>
                    </w:rPr>
                  </w:pPr>
                  <w:r w:rsidRPr="00D3581E">
                    <w:rPr>
                      <w:sz w:val="23"/>
                      <w:szCs w:val="23"/>
                      <w:lang w:val="es-CR" w:eastAsia="es-ES"/>
                    </w:rPr>
                    <w:t>3.265</w:t>
                  </w:r>
                </w:p>
              </w:tc>
              <w:tc>
                <w:tcPr>
                  <w:tcW w:w="709" w:type="dxa"/>
                  <w:tcBorders>
                    <w:top w:val="dotted" w:sz="4" w:space="0" w:color="auto"/>
                    <w:left w:val="dotted" w:sz="4" w:space="0" w:color="auto"/>
                    <w:bottom w:val="dotted" w:sz="4" w:space="0" w:color="auto"/>
                  </w:tcBorders>
                  <w:vAlign w:val="center"/>
                </w:tcPr>
                <w:p w14:paraId="1886EBD8"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p>
              </w:tc>
            </w:tr>
            <w:tr w:rsidR="00D3581E" w:rsidRPr="00D3581E" w14:paraId="69E4C59A" w14:textId="77777777" w:rsidTr="00A20FB3">
              <w:trPr>
                <w:jc w:val="center"/>
              </w:trPr>
              <w:tc>
                <w:tcPr>
                  <w:tcW w:w="4328" w:type="dxa"/>
                  <w:tcBorders>
                    <w:top w:val="dotted" w:sz="4" w:space="0" w:color="auto"/>
                    <w:bottom w:val="dotted" w:sz="4" w:space="0" w:color="auto"/>
                    <w:right w:val="dotted" w:sz="4" w:space="0" w:color="auto"/>
                  </w:tcBorders>
                  <w:vAlign w:val="center"/>
                </w:tcPr>
                <w:p w14:paraId="5CE2CCD4" w14:textId="77777777" w:rsidR="00D3581E" w:rsidRPr="00D3581E" w:rsidRDefault="00D3581E" w:rsidP="00D3581E">
                  <w:pPr>
                    <w:widowControl w:val="0"/>
                    <w:suppressAutoHyphens w:val="0"/>
                    <w:autoSpaceDE w:val="0"/>
                    <w:autoSpaceDN w:val="0"/>
                    <w:adjustRightInd w:val="0"/>
                    <w:ind w:left="510"/>
                    <w:jc w:val="both"/>
                    <w:rPr>
                      <w:sz w:val="23"/>
                      <w:szCs w:val="23"/>
                      <w:lang w:val="es-CR" w:eastAsia="es-ES"/>
                    </w:rPr>
                  </w:pPr>
                  <w:r w:rsidRPr="00D3581E">
                    <w:rPr>
                      <w:b/>
                      <w:sz w:val="23"/>
                      <w:szCs w:val="23"/>
                      <w:lang w:val="es-CR" w:eastAsia="es-ES"/>
                    </w:rPr>
                    <w:t xml:space="preserve">b.2.2- </w:t>
                  </w:r>
                  <w:r w:rsidRPr="00D3581E">
                    <w:rPr>
                      <w:sz w:val="23"/>
                      <w:szCs w:val="23"/>
                      <w:lang w:val="es-CR" w:eastAsia="es-ES"/>
                    </w:rPr>
                    <w:t>No diligenciadas:</w:t>
                  </w:r>
                </w:p>
              </w:tc>
              <w:tc>
                <w:tcPr>
                  <w:tcW w:w="917" w:type="dxa"/>
                  <w:tcBorders>
                    <w:top w:val="dotted" w:sz="4" w:space="0" w:color="auto"/>
                    <w:bottom w:val="dotted" w:sz="4" w:space="0" w:color="auto"/>
                    <w:right w:val="dotted" w:sz="4" w:space="0" w:color="auto"/>
                  </w:tcBorders>
                  <w:tcMar>
                    <w:right w:w="113" w:type="dxa"/>
                  </w:tcMar>
                  <w:vAlign w:val="center"/>
                </w:tcPr>
                <w:p w14:paraId="03D8BB02" w14:textId="77777777" w:rsidR="00D3581E" w:rsidRPr="00D3581E" w:rsidRDefault="00D3581E" w:rsidP="00D3581E">
                  <w:pPr>
                    <w:widowControl w:val="0"/>
                    <w:suppressAutoHyphens w:val="0"/>
                    <w:autoSpaceDE w:val="0"/>
                    <w:autoSpaceDN w:val="0"/>
                    <w:adjustRightInd w:val="0"/>
                    <w:ind w:left="510"/>
                    <w:jc w:val="right"/>
                    <w:rPr>
                      <w:sz w:val="23"/>
                      <w:szCs w:val="23"/>
                      <w:lang w:val="es-CR" w:eastAsia="es-ES"/>
                    </w:rPr>
                  </w:pPr>
                  <w:r w:rsidRPr="00D3581E">
                    <w:rPr>
                      <w:sz w:val="23"/>
                      <w:szCs w:val="23"/>
                      <w:lang w:val="es-CR" w:eastAsia="es-ES"/>
                    </w:rPr>
                    <w:t>5.571</w:t>
                  </w:r>
                </w:p>
              </w:tc>
              <w:tc>
                <w:tcPr>
                  <w:tcW w:w="709" w:type="dxa"/>
                  <w:tcBorders>
                    <w:top w:val="dotted" w:sz="4" w:space="0" w:color="auto"/>
                    <w:left w:val="dotted" w:sz="4" w:space="0" w:color="auto"/>
                    <w:bottom w:val="dotted" w:sz="4" w:space="0" w:color="auto"/>
                  </w:tcBorders>
                  <w:vAlign w:val="center"/>
                </w:tcPr>
                <w:p w14:paraId="2C8AF4F9"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p>
              </w:tc>
            </w:tr>
            <w:tr w:rsidR="00D3581E" w:rsidRPr="00D3581E" w14:paraId="31BFB7F1" w14:textId="77777777" w:rsidTr="00A20FB3">
              <w:trPr>
                <w:jc w:val="center"/>
              </w:trPr>
              <w:tc>
                <w:tcPr>
                  <w:tcW w:w="4328" w:type="dxa"/>
                  <w:tcBorders>
                    <w:top w:val="dotted" w:sz="4" w:space="0" w:color="auto"/>
                    <w:bottom w:val="dotted" w:sz="4" w:space="0" w:color="auto"/>
                    <w:right w:val="dotted" w:sz="4" w:space="0" w:color="auto"/>
                  </w:tcBorders>
                  <w:vAlign w:val="center"/>
                </w:tcPr>
                <w:p w14:paraId="087D9A49" w14:textId="77777777" w:rsidR="00D3581E" w:rsidRPr="00D3581E" w:rsidRDefault="00D3581E" w:rsidP="00D3581E">
                  <w:pPr>
                    <w:widowControl w:val="0"/>
                    <w:suppressAutoHyphens w:val="0"/>
                    <w:autoSpaceDE w:val="0"/>
                    <w:autoSpaceDN w:val="0"/>
                    <w:adjustRightInd w:val="0"/>
                    <w:ind w:left="340"/>
                    <w:jc w:val="both"/>
                    <w:rPr>
                      <w:sz w:val="23"/>
                      <w:szCs w:val="23"/>
                      <w:lang w:val="es-CR" w:eastAsia="es-ES"/>
                    </w:rPr>
                  </w:pPr>
                  <w:r w:rsidRPr="00D3581E">
                    <w:rPr>
                      <w:b/>
                      <w:sz w:val="23"/>
                      <w:szCs w:val="23"/>
                      <w:lang w:val="es-CR" w:eastAsia="es-ES"/>
                    </w:rPr>
                    <w:t xml:space="preserve">b.3- </w:t>
                  </w:r>
                  <w:r w:rsidRPr="00D3581E">
                    <w:rPr>
                      <w:sz w:val="23"/>
                      <w:szCs w:val="23"/>
                      <w:lang w:val="es-CR" w:eastAsia="es-ES"/>
                    </w:rPr>
                    <w:t>Pendientes:</w:t>
                  </w:r>
                </w:p>
              </w:tc>
              <w:tc>
                <w:tcPr>
                  <w:tcW w:w="917" w:type="dxa"/>
                  <w:tcBorders>
                    <w:top w:val="dotted" w:sz="4" w:space="0" w:color="auto"/>
                    <w:bottom w:val="dotted" w:sz="4" w:space="0" w:color="auto"/>
                    <w:right w:val="dotted" w:sz="4" w:space="0" w:color="auto"/>
                  </w:tcBorders>
                  <w:tcMar>
                    <w:right w:w="113" w:type="dxa"/>
                  </w:tcMar>
                  <w:vAlign w:val="center"/>
                </w:tcPr>
                <w:p w14:paraId="5594A73A" w14:textId="77777777" w:rsidR="00D3581E" w:rsidRPr="00D3581E" w:rsidRDefault="00D3581E" w:rsidP="00D3581E">
                  <w:pPr>
                    <w:widowControl w:val="0"/>
                    <w:suppressAutoHyphens w:val="0"/>
                    <w:autoSpaceDE w:val="0"/>
                    <w:autoSpaceDN w:val="0"/>
                    <w:adjustRightInd w:val="0"/>
                    <w:ind w:left="340"/>
                    <w:jc w:val="right"/>
                    <w:rPr>
                      <w:sz w:val="23"/>
                      <w:szCs w:val="23"/>
                      <w:lang w:val="es-CR" w:eastAsia="es-ES"/>
                    </w:rPr>
                  </w:pPr>
                  <w:r w:rsidRPr="00D3581E">
                    <w:rPr>
                      <w:sz w:val="23"/>
                      <w:szCs w:val="23"/>
                      <w:lang w:val="es-CR" w:eastAsia="es-ES"/>
                    </w:rPr>
                    <w:t>18</w:t>
                  </w:r>
                </w:p>
              </w:tc>
              <w:tc>
                <w:tcPr>
                  <w:tcW w:w="709" w:type="dxa"/>
                  <w:tcBorders>
                    <w:top w:val="dotted" w:sz="4" w:space="0" w:color="auto"/>
                    <w:left w:val="dotted" w:sz="4" w:space="0" w:color="auto"/>
                    <w:bottom w:val="dotted" w:sz="4" w:space="0" w:color="auto"/>
                  </w:tcBorders>
                  <w:vAlign w:val="center"/>
                </w:tcPr>
                <w:p w14:paraId="42E04B90"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p>
              </w:tc>
            </w:tr>
            <w:tr w:rsidR="00D3581E" w:rsidRPr="00D3581E" w14:paraId="775481AC" w14:textId="77777777" w:rsidTr="00A20FB3">
              <w:trPr>
                <w:jc w:val="center"/>
              </w:trPr>
              <w:tc>
                <w:tcPr>
                  <w:tcW w:w="4328" w:type="dxa"/>
                  <w:tcBorders>
                    <w:top w:val="dotted" w:sz="4" w:space="0" w:color="auto"/>
                    <w:bottom w:val="dotted" w:sz="4" w:space="0" w:color="auto"/>
                  </w:tcBorders>
                  <w:vAlign w:val="center"/>
                </w:tcPr>
                <w:p w14:paraId="23007038"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b/>
                      <w:sz w:val="23"/>
                      <w:szCs w:val="23"/>
                      <w:lang w:val="es-CR" w:eastAsia="es-ES"/>
                    </w:rPr>
                    <w:t xml:space="preserve">c- </w:t>
                  </w:r>
                  <w:r w:rsidRPr="00D3581E">
                    <w:rPr>
                      <w:sz w:val="23"/>
                      <w:szCs w:val="23"/>
                      <w:lang w:val="es-CR" w:eastAsia="es-ES"/>
                    </w:rPr>
                    <w:t>Notificaciones.</w:t>
                  </w:r>
                </w:p>
              </w:tc>
              <w:tc>
                <w:tcPr>
                  <w:tcW w:w="917" w:type="dxa"/>
                  <w:tcBorders>
                    <w:top w:val="dotted" w:sz="4" w:space="0" w:color="auto"/>
                    <w:bottom w:val="dotted" w:sz="4" w:space="0" w:color="auto"/>
                    <w:right w:val="dotted" w:sz="4" w:space="0" w:color="auto"/>
                  </w:tcBorders>
                  <w:tcMar>
                    <w:right w:w="113" w:type="dxa"/>
                  </w:tcMar>
                  <w:vAlign w:val="center"/>
                </w:tcPr>
                <w:p w14:paraId="62DDDBC0"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tc>
              <w:tc>
                <w:tcPr>
                  <w:tcW w:w="709" w:type="dxa"/>
                  <w:tcBorders>
                    <w:top w:val="dotted" w:sz="4" w:space="0" w:color="auto"/>
                    <w:left w:val="dotted" w:sz="4" w:space="0" w:color="auto"/>
                    <w:bottom w:val="dotted" w:sz="4" w:space="0" w:color="auto"/>
                  </w:tcBorders>
                  <w:vAlign w:val="center"/>
                </w:tcPr>
                <w:p w14:paraId="7444328F"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tc>
            </w:tr>
            <w:tr w:rsidR="00D3581E" w:rsidRPr="00D3581E" w14:paraId="03156ECF" w14:textId="77777777" w:rsidTr="00A20FB3">
              <w:trPr>
                <w:jc w:val="center"/>
              </w:trPr>
              <w:tc>
                <w:tcPr>
                  <w:tcW w:w="4328" w:type="dxa"/>
                  <w:tcBorders>
                    <w:top w:val="dotted" w:sz="4" w:space="0" w:color="auto"/>
                    <w:bottom w:val="dotted" w:sz="4" w:space="0" w:color="auto"/>
                    <w:right w:val="dotted" w:sz="4" w:space="0" w:color="auto"/>
                  </w:tcBorders>
                  <w:vAlign w:val="center"/>
                </w:tcPr>
                <w:p w14:paraId="7FFF88B5" w14:textId="77777777" w:rsidR="00D3581E" w:rsidRPr="00D3581E" w:rsidRDefault="00D3581E" w:rsidP="00D3581E">
                  <w:pPr>
                    <w:widowControl w:val="0"/>
                    <w:suppressAutoHyphens w:val="0"/>
                    <w:autoSpaceDE w:val="0"/>
                    <w:autoSpaceDN w:val="0"/>
                    <w:adjustRightInd w:val="0"/>
                    <w:ind w:left="170"/>
                    <w:jc w:val="both"/>
                    <w:rPr>
                      <w:sz w:val="23"/>
                      <w:szCs w:val="23"/>
                      <w:lang w:val="es-CR" w:eastAsia="es-ES"/>
                    </w:rPr>
                  </w:pPr>
                  <w:r w:rsidRPr="00D3581E">
                    <w:rPr>
                      <w:b/>
                      <w:sz w:val="23"/>
                      <w:szCs w:val="23"/>
                      <w:lang w:val="es-CR" w:eastAsia="es-ES"/>
                    </w:rPr>
                    <w:t xml:space="preserve">c.1- </w:t>
                  </w:r>
                  <w:r w:rsidRPr="00D3581E">
                    <w:rPr>
                      <w:sz w:val="23"/>
                      <w:szCs w:val="23"/>
                      <w:lang w:val="es-CR" w:eastAsia="es-ES"/>
                    </w:rPr>
                    <w:t>Recibidas:</w:t>
                  </w:r>
                </w:p>
              </w:tc>
              <w:tc>
                <w:tcPr>
                  <w:tcW w:w="917" w:type="dxa"/>
                  <w:tcBorders>
                    <w:top w:val="dotted" w:sz="4" w:space="0" w:color="auto"/>
                    <w:bottom w:val="dotted" w:sz="4" w:space="0" w:color="auto"/>
                    <w:right w:val="dotted" w:sz="4" w:space="0" w:color="auto"/>
                  </w:tcBorders>
                  <w:tcMar>
                    <w:right w:w="113" w:type="dxa"/>
                  </w:tcMar>
                  <w:vAlign w:val="center"/>
                </w:tcPr>
                <w:p w14:paraId="092C973F" w14:textId="77777777" w:rsidR="00D3581E" w:rsidRPr="00D3581E" w:rsidRDefault="00D3581E" w:rsidP="00D3581E">
                  <w:pPr>
                    <w:widowControl w:val="0"/>
                    <w:suppressAutoHyphens w:val="0"/>
                    <w:autoSpaceDE w:val="0"/>
                    <w:autoSpaceDN w:val="0"/>
                    <w:adjustRightInd w:val="0"/>
                    <w:ind w:left="170"/>
                    <w:jc w:val="right"/>
                    <w:rPr>
                      <w:sz w:val="23"/>
                      <w:szCs w:val="23"/>
                      <w:lang w:val="es-CR" w:eastAsia="es-ES"/>
                    </w:rPr>
                  </w:pPr>
                  <w:r w:rsidRPr="00D3581E">
                    <w:rPr>
                      <w:sz w:val="23"/>
                      <w:szCs w:val="23"/>
                      <w:lang w:val="es-CR" w:eastAsia="es-ES"/>
                    </w:rPr>
                    <w:t>123.993</w:t>
                  </w:r>
                </w:p>
              </w:tc>
              <w:tc>
                <w:tcPr>
                  <w:tcW w:w="709" w:type="dxa"/>
                  <w:tcBorders>
                    <w:top w:val="dotted" w:sz="4" w:space="0" w:color="auto"/>
                    <w:left w:val="dotted" w:sz="4" w:space="0" w:color="auto"/>
                    <w:bottom w:val="dotted" w:sz="4" w:space="0" w:color="auto"/>
                  </w:tcBorders>
                  <w:vAlign w:val="center"/>
                </w:tcPr>
                <w:p w14:paraId="0EB2F95F"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r w:rsidRPr="00D3581E">
                    <w:rPr>
                      <w:sz w:val="23"/>
                      <w:szCs w:val="23"/>
                      <w:lang w:val="es-CR" w:eastAsia="es-ES"/>
                    </w:rPr>
                    <w:t>83,6 %</w:t>
                  </w:r>
                </w:p>
              </w:tc>
            </w:tr>
            <w:tr w:rsidR="00D3581E" w:rsidRPr="00D3581E" w14:paraId="1A0F7868" w14:textId="77777777" w:rsidTr="00A20FB3">
              <w:trPr>
                <w:jc w:val="center"/>
              </w:trPr>
              <w:tc>
                <w:tcPr>
                  <w:tcW w:w="5954" w:type="dxa"/>
                  <w:gridSpan w:val="3"/>
                  <w:tcBorders>
                    <w:top w:val="single" w:sz="4" w:space="0" w:color="auto"/>
                  </w:tcBorders>
                </w:tcPr>
                <w:p w14:paraId="68489EA3"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r w:rsidRPr="00D3581E">
                    <w:rPr>
                      <w:b/>
                      <w:sz w:val="23"/>
                      <w:szCs w:val="23"/>
                      <w:lang w:val="es-CR" w:eastAsia="es-ES"/>
                    </w:rPr>
                    <w:t xml:space="preserve"> </w:t>
                  </w:r>
                  <w:proofErr w:type="gramStart"/>
                  <w:r w:rsidRPr="00D3581E">
                    <w:rPr>
                      <w:b/>
                      <w:sz w:val="23"/>
                      <w:szCs w:val="23"/>
                      <w:lang w:val="es-CR" w:eastAsia="es-ES"/>
                    </w:rPr>
                    <w:t>1 :</w:t>
                  </w:r>
                  <w:proofErr w:type="gramEnd"/>
                  <w:r w:rsidRPr="00D3581E">
                    <w:rPr>
                      <w:bCs/>
                      <w:sz w:val="23"/>
                      <w:szCs w:val="23"/>
                      <w:lang w:val="es-CR" w:eastAsia="es-ES"/>
                    </w:rPr>
                    <w:t xml:space="preserve"> La línea citaciones incluye 6 localizaciones, 4 presentaciones, 82 apremios y 1 verificación.</w:t>
                  </w:r>
                </w:p>
                <w:p w14:paraId="44FAD033"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p>
                <w:p w14:paraId="6511FE1B"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b/>
                      <w:sz w:val="23"/>
                      <w:szCs w:val="23"/>
                      <w:lang w:val="es-CR" w:eastAsia="es-ES"/>
                    </w:rPr>
                    <w:t>Fuente:</w:t>
                  </w:r>
                  <w:r w:rsidRPr="00D3581E">
                    <w:rPr>
                      <w:sz w:val="23"/>
                      <w:szCs w:val="23"/>
                      <w:lang w:val="es-CR" w:eastAsia="es-ES"/>
                    </w:rPr>
                    <w:t xml:space="preserve"> Elaboración propia, con base en los datos suministrados por la Coordinación de la OCJ-Siquirres mediante correo electrónico del 11 de enero de 2021.</w:t>
                  </w:r>
                </w:p>
                <w:p w14:paraId="7E4E39E1"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tc>
            </w:tr>
          </w:tbl>
          <w:p w14:paraId="5E8AF76F"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b/>
                <w:bCs/>
                <w:sz w:val="23"/>
                <w:szCs w:val="23"/>
                <w:lang w:val="es-CR" w:eastAsia="es-ES"/>
              </w:rPr>
              <w:t>3.2-</w:t>
            </w:r>
            <w:r w:rsidRPr="00D3581E">
              <w:rPr>
                <w:sz w:val="23"/>
                <w:szCs w:val="23"/>
                <w:lang w:val="es-CR" w:eastAsia="es-ES"/>
              </w:rPr>
              <w:t xml:space="preserve"> El Consejo Superior en la sesión número 51-2020 celebrada el 21 de mayo de 2020, artículo LIV, acuerda la ejecución de ocho acciones dirigidas a consolidar el funcionamiento de la OCJ-Siquirres, y solicita a la Dirección de Planificación realizar el respectivo seguimiento e informarle. Los resultados del seguimiento realizado a finales de 2020 revelan que seis de estas ocho (75%) acciones se encuentran cumplidas, una (12,5%) en proceso de ejecución, y una (12,5%) pendiente de ejecución. El detalle de cada una de estas ocho acciones se muestra en la siguiente tabla: </w:t>
            </w:r>
          </w:p>
          <w:tbl>
            <w:tblPr>
              <w:tblW w:w="0" w:type="auto"/>
              <w:jc w:val="center"/>
              <w:tblBorders>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387"/>
              <w:gridCol w:w="1475"/>
            </w:tblGrid>
            <w:tr w:rsidR="00D3581E" w:rsidRPr="00D3581E" w14:paraId="4081EDE9" w14:textId="77777777" w:rsidTr="00A20FB3">
              <w:trPr>
                <w:jc w:val="center"/>
              </w:trPr>
              <w:tc>
                <w:tcPr>
                  <w:tcW w:w="6622" w:type="dxa"/>
                  <w:gridSpan w:val="2"/>
                  <w:noWrap/>
                  <w:tcMar>
                    <w:top w:w="28" w:type="dxa"/>
                    <w:left w:w="28" w:type="dxa"/>
                    <w:bottom w:w="28" w:type="dxa"/>
                    <w:right w:w="28" w:type="dxa"/>
                  </w:tcMar>
                </w:tcPr>
                <w:p w14:paraId="14434C5F" w14:textId="77777777" w:rsidR="00D3581E" w:rsidRPr="00D3581E" w:rsidRDefault="00D3581E" w:rsidP="00D3581E">
                  <w:pPr>
                    <w:widowControl w:val="0"/>
                    <w:suppressAutoHyphens w:val="0"/>
                    <w:autoSpaceDE w:val="0"/>
                    <w:autoSpaceDN w:val="0"/>
                    <w:adjustRightInd w:val="0"/>
                    <w:jc w:val="center"/>
                    <w:rPr>
                      <w:b/>
                      <w:sz w:val="23"/>
                      <w:szCs w:val="23"/>
                      <w:lang w:val="es-CR" w:eastAsia="es-ES"/>
                    </w:rPr>
                  </w:pPr>
                  <w:r w:rsidRPr="00D3581E">
                    <w:rPr>
                      <w:b/>
                      <w:sz w:val="23"/>
                      <w:szCs w:val="23"/>
                      <w:lang w:val="es-CR" w:eastAsia="es-ES"/>
                    </w:rPr>
                    <w:t>Tabla 1</w:t>
                  </w:r>
                </w:p>
                <w:p w14:paraId="74D59354"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b/>
                      <w:sz w:val="23"/>
                      <w:szCs w:val="23"/>
                      <w:lang w:val="es-CR" w:eastAsia="es-ES"/>
                    </w:rPr>
                    <w:t>GRADO DE CUMPLIMIENTO DEL ACUERDO TOMADO POR EL CONSEJO SUPERIOR EN SU SESIÓN NÚMERO 51-2020, ARTÍCULO LIV, POR ACCIÓN A CUMPLIR AL TÉRMINO DE 2020.</w:t>
                  </w:r>
                </w:p>
              </w:tc>
            </w:tr>
            <w:tr w:rsidR="00D3581E" w:rsidRPr="00D3581E" w14:paraId="73F7F721" w14:textId="77777777" w:rsidTr="00A20FB3">
              <w:trPr>
                <w:trHeight w:hRule="exact" w:val="690"/>
                <w:jc w:val="center"/>
              </w:trPr>
              <w:tc>
                <w:tcPr>
                  <w:tcW w:w="5387" w:type="dxa"/>
                  <w:tcBorders>
                    <w:bottom w:val="single" w:sz="4" w:space="0" w:color="auto"/>
                  </w:tcBorders>
                  <w:noWrap/>
                  <w:tcMar>
                    <w:top w:w="28" w:type="dxa"/>
                    <w:left w:w="28" w:type="dxa"/>
                    <w:bottom w:w="28" w:type="dxa"/>
                    <w:right w:w="28" w:type="dxa"/>
                  </w:tcMar>
                  <w:vAlign w:val="center"/>
                </w:tcPr>
                <w:p w14:paraId="5390C8CD" w14:textId="77777777" w:rsidR="00D3581E" w:rsidRPr="00D3581E" w:rsidRDefault="00D3581E" w:rsidP="00D3581E">
                  <w:pPr>
                    <w:widowControl w:val="0"/>
                    <w:suppressAutoHyphens w:val="0"/>
                    <w:autoSpaceDE w:val="0"/>
                    <w:autoSpaceDN w:val="0"/>
                    <w:adjustRightInd w:val="0"/>
                    <w:jc w:val="center"/>
                    <w:rPr>
                      <w:b/>
                      <w:sz w:val="23"/>
                      <w:szCs w:val="23"/>
                      <w:lang w:val="es-CR" w:eastAsia="es-ES"/>
                    </w:rPr>
                  </w:pPr>
                  <w:r w:rsidRPr="00D3581E">
                    <w:rPr>
                      <w:b/>
                      <w:sz w:val="23"/>
                      <w:szCs w:val="23"/>
                      <w:lang w:val="es-CR" w:eastAsia="es-ES"/>
                    </w:rPr>
                    <w:t>Acción Por Cumplir</w:t>
                  </w:r>
                </w:p>
              </w:tc>
              <w:tc>
                <w:tcPr>
                  <w:tcW w:w="1235" w:type="dxa"/>
                  <w:tcBorders>
                    <w:top w:val="single" w:sz="4" w:space="0" w:color="auto"/>
                    <w:bottom w:val="single" w:sz="4" w:space="0" w:color="auto"/>
                  </w:tcBorders>
                  <w:noWrap/>
                  <w:tcMar>
                    <w:top w:w="28" w:type="dxa"/>
                    <w:left w:w="28" w:type="dxa"/>
                    <w:bottom w:w="28" w:type="dxa"/>
                    <w:right w:w="28" w:type="dxa"/>
                  </w:tcMar>
                  <w:vAlign w:val="center"/>
                </w:tcPr>
                <w:p w14:paraId="74745369" w14:textId="77777777" w:rsidR="00D3581E" w:rsidRPr="00D3581E" w:rsidRDefault="00D3581E" w:rsidP="00D3581E">
                  <w:pPr>
                    <w:widowControl w:val="0"/>
                    <w:suppressAutoHyphens w:val="0"/>
                    <w:autoSpaceDE w:val="0"/>
                    <w:autoSpaceDN w:val="0"/>
                    <w:adjustRightInd w:val="0"/>
                    <w:jc w:val="center"/>
                    <w:rPr>
                      <w:b/>
                      <w:sz w:val="23"/>
                      <w:szCs w:val="23"/>
                      <w:lang w:val="es-CR" w:eastAsia="es-ES"/>
                    </w:rPr>
                  </w:pPr>
                  <w:r w:rsidRPr="00D3581E">
                    <w:rPr>
                      <w:b/>
                      <w:sz w:val="23"/>
                      <w:szCs w:val="23"/>
                      <w:lang w:val="es-CR" w:eastAsia="es-ES"/>
                    </w:rPr>
                    <w:t>Grado de</w:t>
                  </w:r>
                </w:p>
                <w:p w14:paraId="2DB0D569" w14:textId="77777777" w:rsidR="00D3581E" w:rsidRPr="00D3581E" w:rsidRDefault="00D3581E" w:rsidP="00D3581E">
                  <w:pPr>
                    <w:widowControl w:val="0"/>
                    <w:suppressAutoHyphens w:val="0"/>
                    <w:autoSpaceDE w:val="0"/>
                    <w:autoSpaceDN w:val="0"/>
                    <w:adjustRightInd w:val="0"/>
                    <w:jc w:val="center"/>
                    <w:rPr>
                      <w:b/>
                      <w:sz w:val="23"/>
                      <w:szCs w:val="23"/>
                      <w:lang w:val="es-CR" w:eastAsia="es-ES"/>
                    </w:rPr>
                  </w:pPr>
                  <w:r w:rsidRPr="00D3581E">
                    <w:rPr>
                      <w:b/>
                      <w:sz w:val="23"/>
                      <w:szCs w:val="23"/>
                      <w:lang w:val="es-CR" w:eastAsia="es-ES"/>
                    </w:rPr>
                    <w:t>Cumplimiento</w:t>
                  </w:r>
                </w:p>
              </w:tc>
            </w:tr>
            <w:tr w:rsidR="00D3581E" w:rsidRPr="00D3581E" w14:paraId="3B468EEE" w14:textId="77777777" w:rsidTr="00A20FB3">
              <w:trPr>
                <w:jc w:val="center"/>
              </w:trPr>
              <w:tc>
                <w:tcPr>
                  <w:tcW w:w="5387" w:type="dxa"/>
                  <w:tcBorders>
                    <w:top w:val="dotted" w:sz="4" w:space="0" w:color="auto"/>
                    <w:bottom w:val="dotted" w:sz="4" w:space="0" w:color="auto"/>
                  </w:tcBorders>
                  <w:noWrap/>
                  <w:tcMar>
                    <w:top w:w="28" w:type="dxa"/>
                    <w:left w:w="28" w:type="dxa"/>
                    <w:bottom w:w="28" w:type="dxa"/>
                    <w:right w:w="28" w:type="dxa"/>
                  </w:tcMar>
                  <w:vAlign w:val="center"/>
                </w:tcPr>
                <w:p w14:paraId="0AD0B2F7"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w:t>
                  </w:r>
                  <w:r w:rsidRPr="00D3581E">
                    <w:rPr>
                      <w:b/>
                      <w:bCs/>
                      <w:i/>
                      <w:iCs/>
                      <w:sz w:val="23"/>
                      <w:szCs w:val="23"/>
                      <w:lang w:val="es-CR" w:eastAsia="es-ES"/>
                    </w:rPr>
                    <w:t>2)</w:t>
                  </w:r>
                  <w:r w:rsidRPr="00D3581E">
                    <w:rPr>
                      <w:i/>
                      <w:iCs/>
                      <w:sz w:val="23"/>
                      <w:szCs w:val="23"/>
                      <w:lang w:val="es-CR" w:eastAsia="es-ES"/>
                    </w:rPr>
                    <w:t xml:space="preserve"> La Dirección de Gestión Humana deberá transferir los puestos de trabajo identificados con los números 35420, 35444, 45168 y 111298, todos ordinarios, a la Oficina de Comunicaciones Judiciales de Siquirres, código de oficina número 1833, en la estructura de la relación de puestos </w:t>
                  </w:r>
                  <w:r w:rsidRPr="00D3581E">
                    <w:rPr>
                      <w:i/>
                      <w:iCs/>
                      <w:sz w:val="23"/>
                      <w:szCs w:val="23"/>
                      <w:lang w:val="es-CR" w:eastAsia="es-ES"/>
                    </w:rPr>
                    <w:lastRenderedPageBreak/>
                    <w:t>que tiene a su cargo, en acatamiento a lo dispuesto por el Consejo Superior en número 74-2018 celebrada el 22 de agosto de 2018, artículo XLVI.</w:t>
                  </w:r>
                  <w:r w:rsidRPr="00D3581E">
                    <w:rPr>
                      <w:sz w:val="23"/>
                      <w:szCs w:val="23"/>
                      <w:lang w:val="es-CR" w:eastAsia="es-ES"/>
                    </w:rPr>
                    <w:t>”</w:t>
                  </w:r>
                </w:p>
              </w:tc>
              <w:tc>
                <w:tcPr>
                  <w:tcW w:w="1235" w:type="dxa"/>
                  <w:tcBorders>
                    <w:top w:val="dotted" w:sz="4" w:space="0" w:color="auto"/>
                    <w:bottom w:val="dotted" w:sz="4" w:space="0" w:color="auto"/>
                  </w:tcBorders>
                  <w:noWrap/>
                  <w:tcMar>
                    <w:top w:w="28" w:type="dxa"/>
                    <w:left w:w="28" w:type="dxa"/>
                    <w:bottom w:w="28" w:type="dxa"/>
                    <w:right w:w="28" w:type="dxa"/>
                  </w:tcMar>
                </w:tcPr>
                <w:p w14:paraId="036E5885"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r w:rsidRPr="00D3581E">
                    <w:rPr>
                      <w:sz w:val="23"/>
                      <w:szCs w:val="23"/>
                      <w:lang w:val="es-CR" w:eastAsia="es-ES"/>
                    </w:rPr>
                    <w:lastRenderedPageBreak/>
                    <w:t>Cumplida.</w:t>
                  </w:r>
                </w:p>
              </w:tc>
            </w:tr>
            <w:tr w:rsidR="00D3581E" w:rsidRPr="00D3581E" w14:paraId="0ECC672B" w14:textId="77777777" w:rsidTr="00A20FB3">
              <w:trPr>
                <w:jc w:val="center"/>
              </w:trPr>
              <w:tc>
                <w:tcPr>
                  <w:tcW w:w="5387" w:type="dxa"/>
                  <w:tcBorders>
                    <w:top w:val="dotted" w:sz="4" w:space="0" w:color="auto"/>
                    <w:bottom w:val="dotted" w:sz="4" w:space="0" w:color="auto"/>
                  </w:tcBorders>
                  <w:noWrap/>
                  <w:tcMar>
                    <w:top w:w="28" w:type="dxa"/>
                    <w:left w:w="28" w:type="dxa"/>
                    <w:bottom w:w="28" w:type="dxa"/>
                    <w:right w:w="28" w:type="dxa"/>
                  </w:tcMar>
                  <w:vAlign w:val="center"/>
                </w:tcPr>
                <w:p w14:paraId="1CE6052C"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w:t>
                  </w:r>
                  <w:r w:rsidRPr="00D3581E">
                    <w:rPr>
                      <w:b/>
                      <w:bCs/>
                      <w:i/>
                      <w:iCs/>
                      <w:sz w:val="23"/>
                      <w:szCs w:val="23"/>
                      <w:lang w:val="es-CR" w:eastAsia="es-ES"/>
                    </w:rPr>
                    <w:t>3)</w:t>
                  </w:r>
                  <w:r w:rsidRPr="00D3581E">
                    <w:rPr>
                      <w:i/>
                      <w:iCs/>
                      <w:sz w:val="23"/>
                      <w:szCs w:val="23"/>
                      <w:lang w:val="es-CR" w:eastAsia="es-ES"/>
                    </w:rPr>
                    <w:t xml:space="preserve"> El Subproceso de Evaluación de la Dirección de Planificación deberá considerar los períodos de indisponibilidad de la “flotilla” vehicular, en el análisis de las matrices de “Indicadores de gestión” correspondientes a las oficinas de comunicaciones judiciales, con el objetivo de corregir la distorsión que causan estos “tiempos muertos”, en la determinación del rendimiento real.</w:t>
                  </w:r>
                  <w:r w:rsidRPr="00D3581E">
                    <w:rPr>
                      <w:sz w:val="23"/>
                      <w:szCs w:val="23"/>
                      <w:lang w:val="es-CR" w:eastAsia="es-ES"/>
                    </w:rPr>
                    <w:t>”</w:t>
                  </w:r>
                </w:p>
              </w:tc>
              <w:tc>
                <w:tcPr>
                  <w:tcW w:w="1235" w:type="dxa"/>
                  <w:tcBorders>
                    <w:top w:val="dotted" w:sz="4" w:space="0" w:color="auto"/>
                    <w:bottom w:val="dotted" w:sz="4" w:space="0" w:color="auto"/>
                  </w:tcBorders>
                  <w:noWrap/>
                  <w:tcMar>
                    <w:top w:w="28" w:type="dxa"/>
                    <w:left w:w="28" w:type="dxa"/>
                    <w:bottom w:w="28" w:type="dxa"/>
                    <w:right w:w="28" w:type="dxa"/>
                  </w:tcMar>
                </w:tcPr>
                <w:p w14:paraId="3F61321D"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r w:rsidRPr="00D3581E">
                    <w:rPr>
                      <w:sz w:val="23"/>
                      <w:szCs w:val="23"/>
                      <w:lang w:val="es-CR" w:eastAsia="es-ES"/>
                    </w:rPr>
                    <w:t>Cumplida.</w:t>
                  </w:r>
                </w:p>
              </w:tc>
            </w:tr>
            <w:tr w:rsidR="00D3581E" w:rsidRPr="00D3581E" w14:paraId="466326AC" w14:textId="77777777" w:rsidTr="00A20FB3">
              <w:trPr>
                <w:jc w:val="center"/>
              </w:trPr>
              <w:tc>
                <w:tcPr>
                  <w:tcW w:w="5387" w:type="dxa"/>
                  <w:tcBorders>
                    <w:top w:val="dotted" w:sz="4" w:space="0" w:color="auto"/>
                    <w:bottom w:val="dotted" w:sz="4" w:space="0" w:color="auto"/>
                  </w:tcBorders>
                  <w:noWrap/>
                  <w:tcMar>
                    <w:top w:w="28" w:type="dxa"/>
                    <w:left w:w="28" w:type="dxa"/>
                    <w:bottom w:w="28" w:type="dxa"/>
                    <w:right w:w="28" w:type="dxa"/>
                  </w:tcMar>
                  <w:vAlign w:val="center"/>
                </w:tcPr>
                <w:p w14:paraId="529E8DEC"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w:t>
                  </w:r>
                  <w:r w:rsidRPr="00D3581E">
                    <w:rPr>
                      <w:b/>
                      <w:bCs/>
                      <w:i/>
                      <w:iCs/>
                      <w:sz w:val="23"/>
                      <w:szCs w:val="23"/>
                      <w:lang w:val="es-CR" w:eastAsia="es-ES"/>
                    </w:rPr>
                    <w:t>4)</w:t>
                  </w:r>
                  <w:r w:rsidRPr="00D3581E">
                    <w:rPr>
                      <w:i/>
                      <w:iCs/>
                      <w:sz w:val="23"/>
                      <w:szCs w:val="23"/>
                      <w:lang w:val="es-CR" w:eastAsia="es-ES"/>
                    </w:rPr>
                    <w:t xml:space="preserve"> La Fiscalía de Siquirres deberá ordenar a la persona ocupante del puesto número 111307, de Auxiliar de Servicios Generales 2 y adscrito a ese despacho, reasumir de inmediato la ejecución o realización de las labores de limpieza de la totalidad de las instalaciones arrendadas, en donde funcionan la Fiscalía de Siquirres y la Oficina de Comunicaciones Judiciales de Siquirres, así como el equipo y mobiliario de oficina ahí localizados. Además, debe evitar circunscribirlas posteriormente sin la previa autorización expresa del Consejo Superior.</w:t>
                  </w:r>
                  <w:r w:rsidRPr="00D3581E">
                    <w:rPr>
                      <w:sz w:val="23"/>
                      <w:szCs w:val="23"/>
                      <w:lang w:val="es-CR" w:eastAsia="es-ES"/>
                    </w:rPr>
                    <w:t>”</w:t>
                  </w:r>
                </w:p>
              </w:tc>
              <w:tc>
                <w:tcPr>
                  <w:tcW w:w="1235" w:type="dxa"/>
                  <w:tcBorders>
                    <w:top w:val="dotted" w:sz="4" w:space="0" w:color="auto"/>
                    <w:bottom w:val="dotted" w:sz="4" w:space="0" w:color="auto"/>
                  </w:tcBorders>
                  <w:noWrap/>
                  <w:tcMar>
                    <w:top w:w="28" w:type="dxa"/>
                    <w:left w:w="28" w:type="dxa"/>
                    <w:bottom w:w="28" w:type="dxa"/>
                    <w:right w:w="28" w:type="dxa"/>
                  </w:tcMar>
                </w:tcPr>
                <w:p w14:paraId="27B78482"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r w:rsidRPr="00D3581E">
                    <w:rPr>
                      <w:sz w:val="23"/>
                      <w:szCs w:val="23"/>
                      <w:lang w:val="es-CR" w:eastAsia="es-ES"/>
                    </w:rPr>
                    <w:t>Cumplida.</w:t>
                  </w:r>
                </w:p>
              </w:tc>
            </w:tr>
            <w:tr w:rsidR="00D3581E" w:rsidRPr="00D3581E" w14:paraId="626223DC" w14:textId="77777777" w:rsidTr="00A20FB3">
              <w:trPr>
                <w:jc w:val="center"/>
              </w:trPr>
              <w:tc>
                <w:tcPr>
                  <w:tcW w:w="5387" w:type="dxa"/>
                  <w:tcBorders>
                    <w:top w:val="dotted" w:sz="4" w:space="0" w:color="auto"/>
                    <w:bottom w:val="dotted" w:sz="4" w:space="0" w:color="auto"/>
                  </w:tcBorders>
                  <w:noWrap/>
                  <w:tcMar>
                    <w:top w:w="28" w:type="dxa"/>
                    <w:left w:w="28" w:type="dxa"/>
                    <w:bottom w:w="28" w:type="dxa"/>
                    <w:right w:w="28" w:type="dxa"/>
                  </w:tcMar>
                  <w:vAlign w:val="center"/>
                </w:tcPr>
                <w:p w14:paraId="64CF7E35" w14:textId="77777777" w:rsidR="00D3581E" w:rsidRPr="00D3581E" w:rsidRDefault="00D3581E" w:rsidP="00D3581E">
                  <w:pPr>
                    <w:widowControl w:val="0"/>
                    <w:suppressAutoHyphens w:val="0"/>
                    <w:autoSpaceDE w:val="0"/>
                    <w:autoSpaceDN w:val="0"/>
                    <w:adjustRightInd w:val="0"/>
                    <w:jc w:val="both"/>
                    <w:rPr>
                      <w:i/>
                      <w:iCs/>
                      <w:sz w:val="23"/>
                      <w:szCs w:val="23"/>
                      <w:lang w:val="es-CR" w:eastAsia="es-ES"/>
                    </w:rPr>
                  </w:pPr>
                  <w:r w:rsidRPr="00D3581E">
                    <w:rPr>
                      <w:sz w:val="23"/>
                      <w:szCs w:val="23"/>
                      <w:lang w:val="es-CR" w:eastAsia="es-ES"/>
                    </w:rPr>
                    <w:t>“</w:t>
                  </w:r>
                  <w:r w:rsidRPr="00D3581E">
                    <w:rPr>
                      <w:b/>
                      <w:bCs/>
                      <w:i/>
                      <w:iCs/>
                      <w:sz w:val="23"/>
                      <w:szCs w:val="23"/>
                      <w:lang w:val="es-CR" w:eastAsia="es-ES"/>
                    </w:rPr>
                    <w:t>5)</w:t>
                  </w:r>
                  <w:r w:rsidRPr="00D3581E">
                    <w:rPr>
                      <w:i/>
                      <w:iCs/>
                      <w:sz w:val="23"/>
                      <w:szCs w:val="23"/>
                      <w:lang w:val="es-CR" w:eastAsia="es-ES"/>
                    </w:rPr>
                    <w:t xml:space="preserve"> La Administración Regional del Segundo Circuito Judicial de la Zona Atlántica debe reforzar, aún más y en la medida de lo posible, la gestión del programa de mantenimiento vehicular que consiste en intensificar la gestión de relaciones con proveedores, dispuestos y habilitados para brindar el servicio de reparación de vehículos en el cantón de Siquirres; además, estrechar las relaciones de comunicación con el personal de la Proveeduría Judicial, con el propósito de minimizar el tiempo de suministro del repuesto requerido; y gestionar la sustitución temporal del vehículo averiado mientras permanece fuera de servicio por reparación. Lo anterior, con el objetivo de mantener funcionando la “flotilla” vehicular propia, y asignada a la Oficina de Comunicaciones Judiciales de Siquirres, más allá de la “vida útil” prevista, en tanto se generan las condiciones necesarias para reemplazarla o renovarla. Considerándose también que la necesidad de vehículos disponibles en la Oficina de Comunicaciones Judiciales de Siquirres encuentra su principal justificación en la elevada carga de trabajo por citas recibidas para diligenciar, cuyo promedio por día hábil y plaza técnica </w:t>
                  </w:r>
                  <w:r w:rsidRPr="00D3581E">
                    <w:rPr>
                      <w:i/>
                      <w:iCs/>
                      <w:sz w:val="23"/>
                      <w:szCs w:val="23"/>
                      <w:lang w:val="es-CR" w:eastAsia="es-ES"/>
                    </w:rPr>
                    <w:lastRenderedPageBreak/>
                    <w:t>en comunicaciones judiciales superó el obtenido a nivel nacional, para el periodo enero- junio de 2019.</w:t>
                  </w:r>
                  <w:r w:rsidRPr="00D3581E">
                    <w:rPr>
                      <w:sz w:val="23"/>
                      <w:szCs w:val="23"/>
                      <w:lang w:val="es-CR" w:eastAsia="es-ES"/>
                    </w:rPr>
                    <w:t>”</w:t>
                  </w:r>
                </w:p>
              </w:tc>
              <w:tc>
                <w:tcPr>
                  <w:tcW w:w="1235" w:type="dxa"/>
                  <w:tcBorders>
                    <w:top w:val="dotted" w:sz="4" w:space="0" w:color="auto"/>
                    <w:bottom w:val="dotted" w:sz="4" w:space="0" w:color="auto"/>
                  </w:tcBorders>
                  <w:noWrap/>
                  <w:tcMar>
                    <w:top w:w="28" w:type="dxa"/>
                    <w:left w:w="28" w:type="dxa"/>
                    <w:bottom w:w="28" w:type="dxa"/>
                    <w:right w:w="28" w:type="dxa"/>
                  </w:tcMar>
                </w:tcPr>
                <w:p w14:paraId="07299C69"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r w:rsidRPr="00D3581E">
                    <w:rPr>
                      <w:sz w:val="23"/>
                      <w:szCs w:val="23"/>
                      <w:lang w:val="es-CR" w:eastAsia="es-ES"/>
                    </w:rPr>
                    <w:lastRenderedPageBreak/>
                    <w:t>Cumplida.</w:t>
                  </w:r>
                </w:p>
              </w:tc>
            </w:tr>
            <w:tr w:rsidR="00D3581E" w:rsidRPr="00D3581E" w14:paraId="0A837403" w14:textId="77777777" w:rsidTr="00A20FB3">
              <w:trPr>
                <w:jc w:val="center"/>
              </w:trPr>
              <w:tc>
                <w:tcPr>
                  <w:tcW w:w="5387" w:type="dxa"/>
                  <w:tcBorders>
                    <w:top w:val="dotted" w:sz="4" w:space="0" w:color="auto"/>
                    <w:bottom w:val="nil"/>
                  </w:tcBorders>
                  <w:noWrap/>
                  <w:tcMar>
                    <w:top w:w="0" w:type="dxa"/>
                    <w:left w:w="28" w:type="dxa"/>
                    <w:bottom w:w="0" w:type="dxa"/>
                    <w:right w:w="28" w:type="dxa"/>
                  </w:tcMar>
                  <w:vAlign w:val="center"/>
                </w:tcPr>
                <w:p w14:paraId="6A06A635" w14:textId="77777777" w:rsidR="00D3581E" w:rsidRPr="00D3581E" w:rsidRDefault="00D3581E" w:rsidP="00D3581E">
                  <w:pPr>
                    <w:widowControl w:val="0"/>
                    <w:suppressAutoHyphens w:val="0"/>
                    <w:autoSpaceDE w:val="0"/>
                    <w:autoSpaceDN w:val="0"/>
                    <w:adjustRightInd w:val="0"/>
                    <w:jc w:val="both"/>
                    <w:rPr>
                      <w:i/>
                      <w:iCs/>
                      <w:sz w:val="23"/>
                      <w:szCs w:val="23"/>
                      <w:lang w:val="es-CR" w:eastAsia="es-ES"/>
                    </w:rPr>
                  </w:pPr>
                  <w:r w:rsidRPr="00D3581E">
                    <w:rPr>
                      <w:sz w:val="23"/>
                      <w:szCs w:val="23"/>
                      <w:lang w:val="es-CR" w:eastAsia="es-ES"/>
                    </w:rPr>
                    <w:t>“</w:t>
                  </w:r>
                  <w:r w:rsidRPr="00D3581E">
                    <w:rPr>
                      <w:b/>
                      <w:bCs/>
                      <w:i/>
                      <w:iCs/>
                      <w:sz w:val="23"/>
                      <w:szCs w:val="23"/>
                      <w:lang w:val="es-CR" w:eastAsia="es-ES"/>
                    </w:rPr>
                    <w:t>6)</w:t>
                  </w:r>
                  <w:r w:rsidRPr="00D3581E">
                    <w:rPr>
                      <w:i/>
                      <w:iCs/>
                      <w:sz w:val="23"/>
                      <w:szCs w:val="23"/>
                      <w:lang w:val="es-CR" w:eastAsia="es-ES"/>
                    </w:rPr>
                    <w:t xml:space="preserve"> La Oficina de Comunicaciones Judiciales de Siquirres …</w:t>
                  </w:r>
                </w:p>
              </w:tc>
              <w:tc>
                <w:tcPr>
                  <w:tcW w:w="1235" w:type="dxa"/>
                  <w:tcBorders>
                    <w:top w:val="dotted" w:sz="4" w:space="0" w:color="auto"/>
                    <w:bottom w:val="nil"/>
                  </w:tcBorders>
                  <w:noWrap/>
                  <w:tcMar>
                    <w:top w:w="28" w:type="dxa"/>
                    <w:left w:w="28" w:type="dxa"/>
                    <w:bottom w:w="28" w:type="dxa"/>
                    <w:right w:w="28" w:type="dxa"/>
                  </w:tcMar>
                </w:tcPr>
                <w:p w14:paraId="1C231FB0"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p>
              </w:tc>
            </w:tr>
            <w:tr w:rsidR="00D3581E" w:rsidRPr="00D3581E" w14:paraId="6E5E7BC3" w14:textId="77777777" w:rsidTr="00A20FB3">
              <w:trPr>
                <w:jc w:val="center"/>
              </w:trPr>
              <w:tc>
                <w:tcPr>
                  <w:tcW w:w="5387" w:type="dxa"/>
                  <w:tcBorders>
                    <w:top w:val="nil"/>
                    <w:bottom w:val="nil"/>
                  </w:tcBorders>
                  <w:noWrap/>
                  <w:tcMar>
                    <w:top w:w="0" w:type="dxa"/>
                    <w:left w:w="28" w:type="dxa"/>
                    <w:bottom w:w="0" w:type="dxa"/>
                    <w:right w:w="28" w:type="dxa"/>
                  </w:tcMar>
                  <w:vAlign w:val="center"/>
                </w:tcPr>
                <w:p w14:paraId="70065F18" w14:textId="77777777" w:rsidR="00D3581E" w:rsidRPr="00D3581E" w:rsidRDefault="00D3581E" w:rsidP="00D3581E">
                  <w:pPr>
                    <w:widowControl w:val="0"/>
                    <w:suppressAutoHyphens w:val="0"/>
                    <w:autoSpaceDE w:val="0"/>
                    <w:autoSpaceDN w:val="0"/>
                    <w:adjustRightInd w:val="0"/>
                    <w:ind w:left="170"/>
                    <w:jc w:val="both"/>
                    <w:rPr>
                      <w:sz w:val="23"/>
                      <w:szCs w:val="23"/>
                      <w:lang w:val="es-CR" w:eastAsia="es-ES"/>
                    </w:rPr>
                  </w:pPr>
                  <w:r w:rsidRPr="00D3581E">
                    <w:rPr>
                      <w:i/>
                      <w:iCs/>
                      <w:sz w:val="23"/>
                      <w:szCs w:val="23"/>
                      <w:lang w:val="es-CR" w:eastAsia="es-ES"/>
                    </w:rPr>
                    <w:t xml:space="preserve">deberá impartir las charlas programadas de 15 minutos de duración, al personal encargado de recibir las denuncias y demandas, en los despachos judiciales adscritos al Circuito Judicial de Siquirres, con el objetivo de sensibilizarlo a requerir correctamente la descripción de la dirección de las partes procesales y los testigos, a las personas usuarias judiciales; y posteriormente, a registrarla literalmente en los sistemas informáticos, y/o transcribirla de igual forma en las comunicaciones judiciales remitidas a diligenciar a la Oficina de Comunicaciones Judiciales de Siquirres. Las potenciales ventajas asociadas a esta estrategia de gestión del conocimiento justifican su utilización, tanto para la Oficina de Comunicaciones Judiciales como para el propio sistema judicial, principalmente cuando el diligenciamiento de la comunicación judicial requiere desplazamiento hasta la dirección geográfica exacta aportada por la persona usuaria judicial, en cuyo caso contribuiría a evitar por </w:t>
                  </w:r>
                  <w:proofErr w:type="spellStart"/>
                  <w:r w:rsidRPr="00D3581E">
                    <w:rPr>
                      <w:i/>
                      <w:iCs/>
                      <w:sz w:val="23"/>
                      <w:szCs w:val="23"/>
                      <w:lang w:val="es-CR" w:eastAsia="es-ES"/>
                    </w:rPr>
                    <w:t>rediligenciamiento</w:t>
                  </w:r>
                  <w:proofErr w:type="spellEnd"/>
                  <w:r w:rsidRPr="00D3581E">
                    <w:rPr>
                      <w:i/>
                      <w:iCs/>
                      <w:sz w:val="23"/>
                      <w:szCs w:val="23"/>
                      <w:lang w:val="es-CR" w:eastAsia="es-ES"/>
                    </w:rPr>
                    <w:t xml:space="preserve"> la reprogramación, el gasto, el consumo de la “vida útil” de los vehículos y la dilación del proceso jurisdiccional, así como evitar la pérdida del señalamiento jurisdiccional por diligenciamiento con resultado negativo o infructuoso…</w:t>
                  </w:r>
                </w:p>
              </w:tc>
              <w:tc>
                <w:tcPr>
                  <w:tcW w:w="1235" w:type="dxa"/>
                  <w:tcBorders>
                    <w:top w:val="nil"/>
                    <w:bottom w:val="nil"/>
                  </w:tcBorders>
                  <w:noWrap/>
                  <w:tcMar>
                    <w:top w:w="28" w:type="dxa"/>
                    <w:left w:w="28" w:type="dxa"/>
                    <w:bottom w:w="28" w:type="dxa"/>
                    <w:right w:w="28" w:type="dxa"/>
                  </w:tcMar>
                </w:tcPr>
                <w:p w14:paraId="3F7B0AEA"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En ejecución de modo diferente al previsto.</w:t>
                  </w:r>
                </w:p>
              </w:tc>
            </w:tr>
            <w:tr w:rsidR="00D3581E" w:rsidRPr="00D3581E" w14:paraId="2EF8D55A" w14:textId="77777777" w:rsidTr="00A20FB3">
              <w:trPr>
                <w:jc w:val="center"/>
              </w:trPr>
              <w:tc>
                <w:tcPr>
                  <w:tcW w:w="5387" w:type="dxa"/>
                  <w:tcBorders>
                    <w:top w:val="nil"/>
                    <w:bottom w:val="nil"/>
                  </w:tcBorders>
                  <w:noWrap/>
                  <w:tcMar>
                    <w:top w:w="0" w:type="dxa"/>
                    <w:left w:w="28" w:type="dxa"/>
                    <w:bottom w:w="0" w:type="dxa"/>
                    <w:right w:w="28" w:type="dxa"/>
                  </w:tcMar>
                  <w:vAlign w:val="center"/>
                </w:tcPr>
                <w:p w14:paraId="39BECFFE" w14:textId="77777777" w:rsidR="00D3581E" w:rsidRPr="00D3581E" w:rsidRDefault="00D3581E" w:rsidP="00D3581E">
                  <w:pPr>
                    <w:widowControl w:val="0"/>
                    <w:suppressAutoHyphens w:val="0"/>
                    <w:autoSpaceDE w:val="0"/>
                    <w:autoSpaceDN w:val="0"/>
                    <w:adjustRightInd w:val="0"/>
                    <w:ind w:left="170"/>
                    <w:jc w:val="both"/>
                    <w:rPr>
                      <w:sz w:val="23"/>
                      <w:szCs w:val="23"/>
                      <w:lang w:val="es-CR" w:eastAsia="es-ES"/>
                    </w:rPr>
                  </w:pPr>
                  <w:r w:rsidRPr="00D3581E">
                    <w:rPr>
                      <w:i/>
                      <w:iCs/>
                      <w:sz w:val="23"/>
                      <w:szCs w:val="23"/>
                      <w:lang w:val="es-CR" w:eastAsia="es-ES"/>
                    </w:rPr>
                    <w:t xml:space="preserve">Por otra parte, deberá estimar la inscripción de la práctica de organizar charlas internas o encuentros, en el próximo concurso “Buenas prácticas en las oficinas del Poder Judicial”, por ser </w:t>
                  </w:r>
                  <w:proofErr w:type="gramStart"/>
                  <w:r w:rsidRPr="00D3581E">
                    <w:rPr>
                      <w:i/>
                      <w:iCs/>
                      <w:sz w:val="23"/>
                      <w:szCs w:val="23"/>
                      <w:lang w:val="es-CR" w:eastAsia="es-ES"/>
                    </w:rPr>
                    <w:t>potencial generadora</w:t>
                  </w:r>
                  <w:proofErr w:type="gramEnd"/>
                  <w:r w:rsidRPr="00D3581E">
                    <w:rPr>
                      <w:i/>
                      <w:iCs/>
                      <w:sz w:val="23"/>
                      <w:szCs w:val="23"/>
                      <w:lang w:val="es-CR" w:eastAsia="es-ES"/>
                    </w:rPr>
                    <w:t xml:space="preserve"> de valor agregado en los procesos jurisdiccionales, específicamente cuando la descripción de la dirección requerida a la persona usuaria judicial contribuye a diligenciar con éxito el acto procesal de notificación o citación…</w:t>
                  </w:r>
                </w:p>
              </w:tc>
              <w:tc>
                <w:tcPr>
                  <w:tcW w:w="1235" w:type="dxa"/>
                  <w:tcBorders>
                    <w:top w:val="nil"/>
                    <w:bottom w:val="nil"/>
                  </w:tcBorders>
                  <w:noWrap/>
                  <w:tcMar>
                    <w:top w:w="28" w:type="dxa"/>
                    <w:left w:w="28" w:type="dxa"/>
                    <w:bottom w:w="28" w:type="dxa"/>
                    <w:right w:w="28" w:type="dxa"/>
                  </w:tcMar>
                </w:tcPr>
                <w:p w14:paraId="683E0954"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r w:rsidRPr="00D3581E">
                    <w:rPr>
                      <w:sz w:val="23"/>
                      <w:szCs w:val="23"/>
                      <w:lang w:val="es-CR" w:eastAsia="es-ES"/>
                    </w:rPr>
                    <w:t>Cumplida.</w:t>
                  </w:r>
                </w:p>
              </w:tc>
            </w:tr>
            <w:tr w:rsidR="00D3581E" w:rsidRPr="00D3581E" w14:paraId="4D02A4F5" w14:textId="77777777" w:rsidTr="00A20FB3">
              <w:trPr>
                <w:jc w:val="center"/>
              </w:trPr>
              <w:tc>
                <w:tcPr>
                  <w:tcW w:w="5387" w:type="dxa"/>
                  <w:tcBorders>
                    <w:top w:val="nil"/>
                    <w:bottom w:val="dotted" w:sz="4" w:space="0" w:color="auto"/>
                  </w:tcBorders>
                  <w:noWrap/>
                  <w:tcMar>
                    <w:top w:w="0" w:type="dxa"/>
                    <w:left w:w="28" w:type="dxa"/>
                    <w:bottom w:w="0" w:type="dxa"/>
                    <w:right w:w="28" w:type="dxa"/>
                  </w:tcMar>
                  <w:vAlign w:val="center"/>
                </w:tcPr>
                <w:p w14:paraId="1B1D9E83" w14:textId="77777777" w:rsidR="00D3581E" w:rsidRPr="00D3581E" w:rsidRDefault="00D3581E" w:rsidP="00D3581E">
                  <w:pPr>
                    <w:widowControl w:val="0"/>
                    <w:suppressAutoHyphens w:val="0"/>
                    <w:autoSpaceDE w:val="0"/>
                    <w:autoSpaceDN w:val="0"/>
                    <w:adjustRightInd w:val="0"/>
                    <w:ind w:left="170"/>
                    <w:jc w:val="both"/>
                    <w:rPr>
                      <w:sz w:val="23"/>
                      <w:szCs w:val="23"/>
                      <w:lang w:val="es-CR" w:eastAsia="es-ES"/>
                    </w:rPr>
                  </w:pPr>
                  <w:r w:rsidRPr="00D3581E">
                    <w:rPr>
                      <w:i/>
                      <w:iCs/>
                      <w:sz w:val="23"/>
                      <w:szCs w:val="23"/>
                      <w:lang w:val="es-CR" w:eastAsia="es-ES"/>
                    </w:rPr>
                    <w:t>Asimismo, saldar lo antes posible el remanente de 215 comunicaciones judiciales recibidas, 91 citas y 124 comisiones, sin registrar en los sistemas judiciales y sin diligenciar, existentes al 31 de octubre de 2019.</w:t>
                  </w:r>
                  <w:r w:rsidRPr="00D3581E">
                    <w:rPr>
                      <w:sz w:val="23"/>
                      <w:szCs w:val="23"/>
                      <w:lang w:val="es-CR" w:eastAsia="es-ES"/>
                    </w:rPr>
                    <w:t>”</w:t>
                  </w:r>
                </w:p>
              </w:tc>
              <w:tc>
                <w:tcPr>
                  <w:tcW w:w="1235" w:type="dxa"/>
                  <w:tcBorders>
                    <w:top w:val="nil"/>
                    <w:bottom w:val="dotted" w:sz="4" w:space="0" w:color="auto"/>
                  </w:tcBorders>
                  <w:noWrap/>
                  <w:tcMar>
                    <w:top w:w="28" w:type="dxa"/>
                    <w:left w:w="28" w:type="dxa"/>
                    <w:bottom w:w="28" w:type="dxa"/>
                    <w:right w:w="28" w:type="dxa"/>
                  </w:tcMar>
                </w:tcPr>
                <w:p w14:paraId="5A56BFA3"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r w:rsidRPr="00D3581E">
                    <w:rPr>
                      <w:sz w:val="23"/>
                      <w:szCs w:val="23"/>
                      <w:lang w:val="es-CR" w:eastAsia="es-ES"/>
                    </w:rPr>
                    <w:t>Cumplida.</w:t>
                  </w:r>
                </w:p>
              </w:tc>
            </w:tr>
            <w:tr w:rsidR="00D3581E" w:rsidRPr="00D3581E" w14:paraId="5D5A3029" w14:textId="77777777" w:rsidTr="00A20FB3">
              <w:trPr>
                <w:jc w:val="center"/>
              </w:trPr>
              <w:tc>
                <w:tcPr>
                  <w:tcW w:w="5387" w:type="dxa"/>
                  <w:tcBorders>
                    <w:top w:val="dotted" w:sz="4" w:space="0" w:color="auto"/>
                    <w:bottom w:val="single" w:sz="4" w:space="0" w:color="auto"/>
                  </w:tcBorders>
                  <w:noWrap/>
                  <w:tcMar>
                    <w:top w:w="28" w:type="dxa"/>
                    <w:left w:w="28" w:type="dxa"/>
                    <w:bottom w:w="28" w:type="dxa"/>
                    <w:right w:w="28" w:type="dxa"/>
                  </w:tcMar>
                  <w:vAlign w:val="center"/>
                </w:tcPr>
                <w:p w14:paraId="797F358C"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w:t>
                  </w:r>
                  <w:r w:rsidRPr="00D3581E">
                    <w:rPr>
                      <w:i/>
                      <w:iCs/>
                      <w:sz w:val="23"/>
                      <w:szCs w:val="23"/>
                      <w:lang w:val="es-CR" w:eastAsia="es-ES"/>
                    </w:rPr>
                    <w:t xml:space="preserve">8) La Dirección de Planificación realizará el </w:t>
                  </w:r>
                  <w:r w:rsidRPr="00D3581E">
                    <w:rPr>
                      <w:i/>
                      <w:iCs/>
                      <w:sz w:val="23"/>
                      <w:szCs w:val="23"/>
                      <w:lang w:val="es-CR" w:eastAsia="es-ES"/>
                    </w:rPr>
                    <w:lastRenderedPageBreak/>
                    <w:t>seguimiento correspondiente e informará oportunamente a este Consejo lo pertinente.</w:t>
                  </w:r>
                  <w:r w:rsidRPr="00D3581E">
                    <w:rPr>
                      <w:sz w:val="23"/>
                      <w:szCs w:val="23"/>
                      <w:lang w:val="es-CR" w:eastAsia="es-ES"/>
                    </w:rPr>
                    <w:t>”</w:t>
                  </w:r>
                </w:p>
              </w:tc>
              <w:tc>
                <w:tcPr>
                  <w:tcW w:w="1235" w:type="dxa"/>
                  <w:tcBorders>
                    <w:top w:val="dotted" w:sz="4" w:space="0" w:color="auto"/>
                    <w:bottom w:val="single" w:sz="4" w:space="0" w:color="auto"/>
                  </w:tcBorders>
                  <w:noWrap/>
                  <w:tcMar>
                    <w:top w:w="28" w:type="dxa"/>
                    <w:left w:w="28" w:type="dxa"/>
                    <w:bottom w:w="28" w:type="dxa"/>
                    <w:right w:w="28" w:type="dxa"/>
                  </w:tcMar>
                </w:tcPr>
                <w:p w14:paraId="2036474E" w14:textId="77777777" w:rsidR="00D3581E" w:rsidRPr="00D3581E" w:rsidRDefault="00D3581E" w:rsidP="00D3581E">
                  <w:pPr>
                    <w:widowControl w:val="0"/>
                    <w:suppressAutoHyphens w:val="0"/>
                    <w:autoSpaceDE w:val="0"/>
                    <w:autoSpaceDN w:val="0"/>
                    <w:adjustRightInd w:val="0"/>
                    <w:jc w:val="center"/>
                    <w:rPr>
                      <w:sz w:val="23"/>
                      <w:szCs w:val="23"/>
                      <w:lang w:val="es-CR" w:eastAsia="es-ES"/>
                    </w:rPr>
                  </w:pPr>
                  <w:r w:rsidRPr="00D3581E">
                    <w:rPr>
                      <w:sz w:val="23"/>
                      <w:szCs w:val="23"/>
                      <w:lang w:val="es-CR" w:eastAsia="es-ES"/>
                    </w:rPr>
                    <w:lastRenderedPageBreak/>
                    <w:t>Cumplida.</w:t>
                  </w:r>
                </w:p>
              </w:tc>
            </w:tr>
            <w:tr w:rsidR="00D3581E" w:rsidRPr="00D3581E" w14:paraId="74565037" w14:textId="77777777" w:rsidTr="00A20FB3">
              <w:trPr>
                <w:jc w:val="center"/>
              </w:trPr>
              <w:tc>
                <w:tcPr>
                  <w:tcW w:w="6622" w:type="dxa"/>
                  <w:gridSpan w:val="2"/>
                  <w:tcBorders>
                    <w:top w:val="single" w:sz="4" w:space="0" w:color="auto"/>
                  </w:tcBorders>
                  <w:noWrap/>
                  <w:tcMar>
                    <w:top w:w="28" w:type="dxa"/>
                    <w:left w:w="28" w:type="dxa"/>
                    <w:bottom w:w="28" w:type="dxa"/>
                    <w:right w:w="28" w:type="dxa"/>
                  </w:tcMar>
                </w:tcPr>
                <w:p w14:paraId="67F670E8"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b/>
                      <w:sz w:val="23"/>
                      <w:szCs w:val="23"/>
                      <w:lang w:val="es-CR" w:eastAsia="es-ES"/>
                    </w:rPr>
                    <w:t>Fuente:</w:t>
                  </w:r>
                  <w:r w:rsidRPr="00D3581E">
                    <w:rPr>
                      <w:sz w:val="23"/>
                      <w:szCs w:val="23"/>
                      <w:lang w:val="es-CR" w:eastAsia="es-ES"/>
                    </w:rPr>
                    <w:t xml:space="preserve"> Elaboración propia, a partir de la información incluida en el “</w:t>
                  </w:r>
                  <w:r w:rsidRPr="00D3581E">
                    <w:rPr>
                      <w:b/>
                      <w:i/>
                      <w:sz w:val="23"/>
                      <w:szCs w:val="23"/>
                      <w:lang w:val="es-CR" w:eastAsia="es-ES"/>
                    </w:rPr>
                    <w:t>Tabla # A-1</w:t>
                  </w:r>
                  <w:r w:rsidRPr="00D3581E">
                    <w:rPr>
                      <w:sz w:val="23"/>
                      <w:szCs w:val="23"/>
                      <w:lang w:val="es-CR" w:eastAsia="es-ES"/>
                    </w:rPr>
                    <w:t>” del “</w:t>
                  </w:r>
                  <w:r w:rsidRPr="00D3581E">
                    <w:rPr>
                      <w:b/>
                      <w:i/>
                      <w:sz w:val="23"/>
                      <w:szCs w:val="23"/>
                      <w:lang w:val="es-CR" w:eastAsia="es-ES"/>
                    </w:rPr>
                    <w:t>Anexo A</w:t>
                  </w:r>
                  <w:r w:rsidRPr="00D3581E">
                    <w:rPr>
                      <w:sz w:val="23"/>
                      <w:szCs w:val="23"/>
                      <w:lang w:val="es-CR" w:eastAsia="es-ES"/>
                    </w:rPr>
                    <w:t>”, ubicado al final de este informe de seguimiento.</w:t>
                  </w:r>
                </w:p>
              </w:tc>
            </w:tr>
          </w:tbl>
          <w:p w14:paraId="2E504950" w14:textId="77777777" w:rsidR="00D3581E" w:rsidRPr="00D3581E" w:rsidRDefault="00D3581E" w:rsidP="00D3581E">
            <w:pPr>
              <w:suppressAutoHyphens w:val="0"/>
              <w:jc w:val="both"/>
              <w:rPr>
                <w:sz w:val="23"/>
                <w:szCs w:val="23"/>
                <w:lang w:val="es-CR" w:eastAsia="es-ES"/>
              </w:rPr>
            </w:pPr>
          </w:p>
          <w:p w14:paraId="59195B4D" w14:textId="77777777" w:rsidR="00D3581E" w:rsidRPr="00D3581E" w:rsidRDefault="00D3581E" w:rsidP="00D3581E">
            <w:pPr>
              <w:suppressAutoHyphens w:val="0"/>
              <w:jc w:val="both"/>
              <w:rPr>
                <w:sz w:val="23"/>
                <w:szCs w:val="23"/>
                <w:lang w:val="es-CR" w:eastAsia="es-ES"/>
              </w:rPr>
            </w:pPr>
            <w:r w:rsidRPr="00D3581E">
              <w:rPr>
                <w:sz w:val="23"/>
                <w:szCs w:val="23"/>
                <w:lang w:val="es-CR" w:eastAsia="es-ES"/>
              </w:rPr>
              <w:t xml:space="preserve">Se recomienda la continuidad de la acción de impartir charlas programadas de 15 minutos de duración, por parte de la Coordinación de la OCJ-Siquirres, al personal encargado de recibir las denuncias y demandas, en los despachos judiciales adscritos al Circuito Judicial de Siquirres, cuyo proceso de ejecución se encuentra adecuado a los lineamientos emitidos tanto por la Corte Plena como por el Consejo Superior, dentro del marco </w:t>
            </w:r>
            <w:r w:rsidRPr="00D3581E">
              <w:rPr>
                <w:bCs/>
                <w:sz w:val="23"/>
                <w:szCs w:val="23"/>
                <w:lang w:val="es-CR" w:eastAsia="es-ES"/>
              </w:rPr>
              <w:t xml:space="preserve">nacional del </w:t>
            </w:r>
            <w:r w:rsidRPr="00D3581E">
              <w:rPr>
                <w:sz w:val="23"/>
                <w:szCs w:val="23"/>
                <w:lang w:val="es-CR" w:eastAsia="es-ES"/>
              </w:rPr>
              <w:t xml:space="preserve">“… </w:t>
            </w:r>
            <w:r w:rsidRPr="00D3581E">
              <w:rPr>
                <w:i/>
                <w:iCs/>
                <w:sz w:val="23"/>
                <w:szCs w:val="23"/>
                <w:lang w:val="es-CR" w:eastAsia="es-ES"/>
              </w:rPr>
              <w:t>estado de emergencia nacional en todo el territorio de la República de Costa Rica, debido a la situación de emergencia sanitaria provocada por la enfermedad COVID-19.</w:t>
            </w:r>
            <w:r w:rsidRPr="00D3581E">
              <w:rPr>
                <w:sz w:val="23"/>
                <w:szCs w:val="23"/>
                <w:lang w:val="es-CR" w:eastAsia="es-ES"/>
              </w:rPr>
              <w:t>”</w:t>
            </w:r>
            <w:r w:rsidRPr="00D3581E">
              <w:rPr>
                <w:sz w:val="23"/>
                <w:szCs w:val="23"/>
                <w:vertAlign w:val="superscript"/>
                <w:lang w:val="es-CR" w:eastAsia="es-ES"/>
              </w:rPr>
              <w:t>(</w:t>
            </w:r>
            <w:r w:rsidRPr="00D3581E">
              <w:rPr>
                <w:b/>
                <w:bCs/>
                <w:sz w:val="23"/>
                <w:szCs w:val="23"/>
                <w:vertAlign w:val="superscript"/>
                <w:lang w:val="es-CR" w:eastAsia="es-ES"/>
              </w:rPr>
              <w:footnoteReference w:id="1"/>
            </w:r>
            <w:r w:rsidRPr="00D3581E">
              <w:rPr>
                <w:sz w:val="23"/>
                <w:szCs w:val="23"/>
                <w:vertAlign w:val="superscript"/>
                <w:lang w:val="es-CR" w:eastAsia="es-ES"/>
              </w:rPr>
              <w:t>)</w:t>
            </w:r>
            <w:r w:rsidRPr="00D3581E">
              <w:rPr>
                <w:sz w:val="23"/>
                <w:szCs w:val="23"/>
                <w:lang w:val="es-CR" w:eastAsia="es-ES"/>
              </w:rPr>
              <w:t>, para que contribuya a mejorar la efectividad de los actos procesales diligenciados, cuya estadística se presenta en el Cuadro 1 analizado en el ítem anterior.</w:t>
            </w:r>
          </w:p>
          <w:p w14:paraId="3CD07FA0" w14:textId="77777777" w:rsidR="00D3581E" w:rsidRPr="00D3581E" w:rsidRDefault="00D3581E" w:rsidP="00D3581E">
            <w:pPr>
              <w:suppressAutoHyphens w:val="0"/>
              <w:jc w:val="both"/>
              <w:rPr>
                <w:sz w:val="23"/>
                <w:szCs w:val="23"/>
                <w:lang w:val="es-CR" w:eastAsia="es-ES"/>
              </w:rPr>
            </w:pPr>
          </w:p>
          <w:p w14:paraId="25BCF11F" w14:textId="77777777" w:rsidR="00D3581E" w:rsidRPr="00D3581E" w:rsidRDefault="00D3581E" w:rsidP="00D3581E">
            <w:pPr>
              <w:suppressAutoHyphens w:val="0"/>
              <w:jc w:val="both"/>
              <w:rPr>
                <w:sz w:val="23"/>
                <w:szCs w:val="23"/>
                <w:lang w:val="es-CR" w:eastAsia="es-ES"/>
              </w:rPr>
            </w:pPr>
            <w:r w:rsidRPr="00D3581E">
              <w:rPr>
                <w:b/>
                <w:bCs/>
                <w:sz w:val="23"/>
                <w:szCs w:val="23"/>
                <w:lang w:val="es-CR" w:eastAsia="es-ES"/>
              </w:rPr>
              <w:t>3.3-</w:t>
            </w:r>
            <w:r w:rsidRPr="00D3581E">
              <w:rPr>
                <w:sz w:val="23"/>
                <w:szCs w:val="23"/>
                <w:lang w:val="es-CR" w:eastAsia="es-ES"/>
              </w:rPr>
              <w:t xml:space="preserve"> Atención de las observaciones realizadas por las partes que se pronuncian sobre el contenido de la versión preliminar del presente informe de seguimiento, número 689-PLA-EV-2021. </w:t>
            </w:r>
          </w:p>
          <w:p w14:paraId="5C7AFD7D" w14:textId="77777777" w:rsidR="00D3581E" w:rsidRPr="00D3581E" w:rsidRDefault="00D3581E" w:rsidP="00D3581E">
            <w:pPr>
              <w:suppressAutoHyphens w:val="0"/>
              <w:jc w:val="both"/>
              <w:rPr>
                <w:sz w:val="23"/>
                <w:szCs w:val="23"/>
                <w:lang w:val="es-CR" w:eastAsia="es-ES"/>
              </w:rPr>
            </w:pPr>
          </w:p>
          <w:p w14:paraId="755B8C55" w14:textId="77777777" w:rsidR="00D3581E" w:rsidRPr="00D3581E" w:rsidRDefault="00D3581E" w:rsidP="00D3581E">
            <w:pPr>
              <w:suppressAutoHyphens w:val="0"/>
              <w:jc w:val="both"/>
              <w:rPr>
                <w:sz w:val="23"/>
                <w:szCs w:val="23"/>
                <w:lang w:val="es-CR" w:eastAsia="es-ES"/>
              </w:rPr>
            </w:pPr>
            <w:r w:rsidRPr="00D3581E">
              <w:rPr>
                <w:sz w:val="23"/>
                <w:szCs w:val="23"/>
                <w:lang w:val="es-CR" w:eastAsia="es-ES"/>
              </w:rPr>
              <w:t>La Dirección de Planificación, mediante oficio número 689-PLA-EV-2021 del 21 de junio de 2021, solicita a la Dirección Ejecutiva, Dirección de Gestión Humana, Administración Regional del Segundo Circuito Judicial de la Zona Atlántica, Fiscalía de Siquirres y Oficina de Comunicaciones Judiciales de Siquirres, pronunciarse sobre el contenido de la versión preliminar del seguimiento realizado a la OCJ-Siquirres.</w:t>
            </w:r>
          </w:p>
          <w:p w14:paraId="5423969C" w14:textId="77777777" w:rsidR="00D3581E" w:rsidRPr="00D3581E" w:rsidRDefault="00D3581E" w:rsidP="00D3581E">
            <w:pPr>
              <w:suppressAutoHyphens w:val="0"/>
              <w:jc w:val="both"/>
              <w:rPr>
                <w:sz w:val="23"/>
                <w:szCs w:val="23"/>
                <w:lang w:val="es-CR" w:eastAsia="es-ES"/>
              </w:rPr>
            </w:pPr>
          </w:p>
          <w:p w14:paraId="7455B0B7" w14:textId="77777777" w:rsidR="00D3581E" w:rsidRPr="00D3581E" w:rsidRDefault="00D3581E" w:rsidP="00D3581E">
            <w:pPr>
              <w:suppressAutoHyphens w:val="0"/>
              <w:jc w:val="both"/>
              <w:rPr>
                <w:sz w:val="23"/>
                <w:szCs w:val="23"/>
                <w:lang w:val="es-CR" w:eastAsia="es-ES"/>
              </w:rPr>
            </w:pPr>
            <w:r w:rsidRPr="00D3581E">
              <w:rPr>
                <w:sz w:val="23"/>
                <w:szCs w:val="23"/>
                <w:lang w:val="es-CR" w:eastAsia="es-ES"/>
              </w:rPr>
              <w:t>La Dirección Ejecutiva, mediante oficio número 2186-DE-2021 del 05 de julio de 2021, realiza dos observaciones que son atendidas en la siguiente tabla:</w:t>
            </w:r>
          </w:p>
          <w:p w14:paraId="166958B7" w14:textId="77777777" w:rsidR="00D3581E" w:rsidRPr="00D3581E" w:rsidRDefault="00D3581E" w:rsidP="00D3581E">
            <w:pPr>
              <w:suppressAutoHyphens w:val="0"/>
              <w:jc w:val="both"/>
              <w:rPr>
                <w:sz w:val="23"/>
                <w:szCs w:val="23"/>
                <w:lang w:val="es-CR" w:eastAsia="es-ES"/>
              </w:rPr>
            </w:pPr>
          </w:p>
          <w:tbl>
            <w:tblPr>
              <w:tblStyle w:val="Tablaconcuadrcula2"/>
              <w:tblW w:w="0" w:type="auto"/>
              <w:jc w:val="center"/>
              <w:tblCellMar>
                <w:top w:w="28" w:type="dxa"/>
                <w:left w:w="28" w:type="dxa"/>
                <w:bottom w:w="28" w:type="dxa"/>
                <w:right w:w="28" w:type="dxa"/>
              </w:tblCellMar>
              <w:tblLook w:val="04A0" w:firstRow="1" w:lastRow="0" w:firstColumn="1" w:lastColumn="0" w:noHBand="0" w:noVBand="1"/>
            </w:tblPr>
            <w:tblGrid>
              <w:gridCol w:w="1296"/>
              <w:gridCol w:w="3916"/>
              <w:gridCol w:w="2403"/>
            </w:tblGrid>
            <w:tr w:rsidR="00D3581E" w:rsidRPr="00D3581E" w14:paraId="5CA1FC0D" w14:textId="77777777" w:rsidTr="00A20FB3">
              <w:trPr>
                <w:jc w:val="center"/>
              </w:trPr>
              <w:tc>
                <w:tcPr>
                  <w:tcW w:w="7556" w:type="dxa"/>
                  <w:gridSpan w:val="3"/>
                  <w:noWrap/>
                  <w:vAlign w:val="center"/>
                </w:tcPr>
                <w:p w14:paraId="627D1E40" w14:textId="77777777" w:rsidR="00D3581E" w:rsidRPr="00D3581E" w:rsidRDefault="00D3581E" w:rsidP="00D3581E">
                  <w:pPr>
                    <w:suppressAutoHyphens w:val="0"/>
                    <w:jc w:val="center"/>
                    <w:rPr>
                      <w:rFonts w:ascii="Times New Roman" w:hAnsi="Times New Roman" w:cs="Times New Roman"/>
                      <w:b/>
                      <w:bCs/>
                      <w:sz w:val="23"/>
                      <w:szCs w:val="23"/>
                      <w:lang w:eastAsia="es-ES"/>
                    </w:rPr>
                  </w:pPr>
                  <w:r w:rsidRPr="00D3581E">
                    <w:rPr>
                      <w:rFonts w:ascii="Times New Roman" w:hAnsi="Times New Roman" w:cs="Times New Roman"/>
                      <w:b/>
                      <w:bCs/>
                      <w:sz w:val="23"/>
                      <w:szCs w:val="23"/>
                      <w:lang w:eastAsia="es-ES"/>
                    </w:rPr>
                    <w:t>Tabla # 2</w:t>
                  </w:r>
                </w:p>
                <w:p w14:paraId="74FE58CF" w14:textId="77777777" w:rsidR="00D3581E" w:rsidRPr="00D3581E" w:rsidRDefault="00D3581E" w:rsidP="00D3581E">
                  <w:pPr>
                    <w:suppressAutoHyphens w:val="0"/>
                    <w:jc w:val="center"/>
                    <w:rPr>
                      <w:rFonts w:ascii="Times New Roman" w:hAnsi="Times New Roman" w:cs="Times New Roman"/>
                      <w:sz w:val="23"/>
                      <w:szCs w:val="23"/>
                      <w:lang w:eastAsia="es-ES"/>
                    </w:rPr>
                  </w:pPr>
                  <w:r w:rsidRPr="00D3581E">
                    <w:rPr>
                      <w:rFonts w:ascii="Times New Roman" w:hAnsi="Times New Roman" w:cs="Times New Roman"/>
                      <w:b/>
                      <w:bCs/>
                      <w:sz w:val="23"/>
                      <w:szCs w:val="23"/>
                      <w:lang w:eastAsia="es-ES"/>
                    </w:rPr>
                    <w:t>ATENCIÓN DE LA OBSERVACIONES REALIZADAS POR LA DIRECCIÓN EJECUTIVA EN EL OFICIO 2186-DE-2021 AL CONTENIDO DEL INFORME PRELIMINAR # 689-PLA-EV-2021</w:t>
                  </w:r>
                </w:p>
              </w:tc>
            </w:tr>
            <w:tr w:rsidR="00D3581E" w:rsidRPr="00D3581E" w14:paraId="1F42A153" w14:textId="77777777" w:rsidTr="00A20FB3">
              <w:trPr>
                <w:jc w:val="center"/>
              </w:trPr>
              <w:tc>
                <w:tcPr>
                  <w:tcW w:w="1237" w:type="dxa"/>
                  <w:noWrap/>
                  <w:vAlign w:val="center"/>
                </w:tcPr>
                <w:p w14:paraId="4D4F6C7E" w14:textId="77777777" w:rsidR="00D3581E" w:rsidRPr="00D3581E" w:rsidRDefault="00D3581E" w:rsidP="00D3581E">
                  <w:pPr>
                    <w:suppressAutoHyphens w:val="0"/>
                    <w:jc w:val="center"/>
                    <w:rPr>
                      <w:rFonts w:ascii="Times New Roman" w:hAnsi="Times New Roman" w:cs="Times New Roman"/>
                      <w:b/>
                      <w:bCs/>
                      <w:sz w:val="23"/>
                      <w:szCs w:val="23"/>
                      <w:lang w:eastAsia="es-ES"/>
                    </w:rPr>
                  </w:pPr>
                  <w:r w:rsidRPr="00D3581E">
                    <w:rPr>
                      <w:rFonts w:ascii="Times New Roman" w:hAnsi="Times New Roman" w:cs="Times New Roman"/>
                      <w:b/>
                      <w:bCs/>
                      <w:sz w:val="23"/>
                      <w:szCs w:val="23"/>
                      <w:lang w:eastAsia="es-ES"/>
                    </w:rPr>
                    <w:t># de</w:t>
                  </w:r>
                </w:p>
                <w:p w14:paraId="7B01FB95" w14:textId="77777777" w:rsidR="00D3581E" w:rsidRPr="00D3581E" w:rsidRDefault="00D3581E" w:rsidP="00D3581E">
                  <w:pPr>
                    <w:suppressAutoHyphens w:val="0"/>
                    <w:jc w:val="center"/>
                    <w:rPr>
                      <w:rFonts w:ascii="Times New Roman" w:hAnsi="Times New Roman" w:cs="Times New Roman"/>
                      <w:b/>
                      <w:bCs/>
                      <w:sz w:val="23"/>
                      <w:szCs w:val="23"/>
                      <w:lang w:eastAsia="es-ES"/>
                    </w:rPr>
                  </w:pPr>
                  <w:r w:rsidRPr="00D3581E">
                    <w:rPr>
                      <w:rFonts w:ascii="Times New Roman" w:hAnsi="Times New Roman" w:cs="Times New Roman"/>
                      <w:b/>
                      <w:bCs/>
                      <w:sz w:val="23"/>
                      <w:szCs w:val="23"/>
                      <w:lang w:eastAsia="es-ES"/>
                    </w:rPr>
                    <w:t>Observación</w:t>
                  </w:r>
                </w:p>
              </w:tc>
              <w:tc>
                <w:tcPr>
                  <w:tcW w:w="3916" w:type="dxa"/>
                  <w:noWrap/>
                  <w:vAlign w:val="center"/>
                </w:tcPr>
                <w:p w14:paraId="161D6CDB" w14:textId="77777777" w:rsidR="00D3581E" w:rsidRPr="00D3581E" w:rsidRDefault="00D3581E" w:rsidP="00D3581E">
                  <w:pPr>
                    <w:suppressAutoHyphens w:val="0"/>
                    <w:jc w:val="center"/>
                    <w:rPr>
                      <w:rFonts w:ascii="Times New Roman" w:hAnsi="Times New Roman" w:cs="Times New Roman"/>
                      <w:b/>
                      <w:bCs/>
                      <w:sz w:val="23"/>
                      <w:szCs w:val="23"/>
                      <w:lang w:eastAsia="es-ES"/>
                    </w:rPr>
                  </w:pPr>
                  <w:r w:rsidRPr="00D3581E">
                    <w:rPr>
                      <w:rFonts w:ascii="Times New Roman" w:hAnsi="Times New Roman" w:cs="Times New Roman"/>
                      <w:b/>
                      <w:bCs/>
                      <w:sz w:val="23"/>
                      <w:szCs w:val="23"/>
                      <w:lang w:eastAsia="es-ES"/>
                    </w:rPr>
                    <w:t>Observación Realizada</w:t>
                  </w:r>
                </w:p>
              </w:tc>
              <w:tc>
                <w:tcPr>
                  <w:tcW w:w="2403" w:type="dxa"/>
                  <w:noWrap/>
                  <w:vAlign w:val="center"/>
                </w:tcPr>
                <w:p w14:paraId="01E5CC6D" w14:textId="77777777" w:rsidR="00D3581E" w:rsidRPr="00D3581E" w:rsidRDefault="00D3581E" w:rsidP="00D3581E">
                  <w:pPr>
                    <w:suppressAutoHyphens w:val="0"/>
                    <w:jc w:val="center"/>
                    <w:rPr>
                      <w:rFonts w:ascii="Times New Roman" w:hAnsi="Times New Roman" w:cs="Times New Roman"/>
                      <w:b/>
                      <w:bCs/>
                      <w:sz w:val="23"/>
                      <w:szCs w:val="23"/>
                      <w:lang w:eastAsia="es-ES"/>
                    </w:rPr>
                  </w:pPr>
                  <w:r w:rsidRPr="00D3581E">
                    <w:rPr>
                      <w:rFonts w:ascii="Times New Roman" w:hAnsi="Times New Roman" w:cs="Times New Roman"/>
                      <w:b/>
                      <w:bCs/>
                      <w:sz w:val="23"/>
                      <w:szCs w:val="23"/>
                      <w:lang w:eastAsia="es-ES"/>
                    </w:rPr>
                    <w:t>Criterio de la Dirección</w:t>
                  </w:r>
                </w:p>
                <w:p w14:paraId="67E03448" w14:textId="77777777" w:rsidR="00D3581E" w:rsidRPr="00D3581E" w:rsidRDefault="00D3581E" w:rsidP="00D3581E">
                  <w:pPr>
                    <w:suppressAutoHyphens w:val="0"/>
                    <w:jc w:val="center"/>
                    <w:rPr>
                      <w:rFonts w:ascii="Times New Roman" w:hAnsi="Times New Roman" w:cs="Times New Roman"/>
                      <w:b/>
                      <w:bCs/>
                      <w:sz w:val="23"/>
                      <w:szCs w:val="23"/>
                      <w:lang w:eastAsia="es-ES"/>
                    </w:rPr>
                  </w:pPr>
                  <w:r w:rsidRPr="00D3581E">
                    <w:rPr>
                      <w:rFonts w:ascii="Times New Roman" w:hAnsi="Times New Roman" w:cs="Times New Roman"/>
                      <w:b/>
                      <w:bCs/>
                      <w:sz w:val="23"/>
                      <w:szCs w:val="23"/>
                      <w:lang w:eastAsia="es-ES"/>
                    </w:rPr>
                    <w:t>de Planificación</w:t>
                  </w:r>
                </w:p>
              </w:tc>
            </w:tr>
            <w:tr w:rsidR="00D3581E" w:rsidRPr="00D3581E" w14:paraId="069D77DB" w14:textId="77777777" w:rsidTr="00A20FB3">
              <w:trPr>
                <w:jc w:val="center"/>
              </w:trPr>
              <w:tc>
                <w:tcPr>
                  <w:tcW w:w="1237" w:type="dxa"/>
                  <w:noWrap/>
                  <w:vAlign w:val="center"/>
                </w:tcPr>
                <w:p w14:paraId="5A33BE99" w14:textId="77777777" w:rsidR="00D3581E" w:rsidRPr="00D3581E" w:rsidRDefault="00D3581E" w:rsidP="00D3581E">
                  <w:pPr>
                    <w:suppressAutoHyphens w:val="0"/>
                    <w:jc w:val="center"/>
                    <w:rPr>
                      <w:rFonts w:ascii="Times New Roman" w:hAnsi="Times New Roman" w:cs="Times New Roman"/>
                      <w:sz w:val="23"/>
                      <w:szCs w:val="23"/>
                      <w:lang w:eastAsia="es-ES"/>
                    </w:rPr>
                  </w:pPr>
                  <w:r w:rsidRPr="00D3581E">
                    <w:rPr>
                      <w:rFonts w:ascii="Times New Roman" w:hAnsi="Times New Roman" w:cs="Times New Roman"/>
                      <w:sz w:val="23"/>
                      <w:szCs w:val="23"/>
                      <w:lang w:eastAsia="es-ES"/>
                    </w:rPr>
                    <w:t>1</w:t>
                  </w:r>
                </w:p>
              </w:tc>
              <w:tc>
                <w:tcPr>
                  <w:tcW w:w="3916" w:type="dxa"/>
                  <w:noWrap/>
                  <w:vAlign w:val="center"/>
                </w:tcPr>
                <w:p w14:paraId="0E23DE6F" w14:textId="77777777" w:rsidR="00D3581E" w:rsidRPr="00D3581E" w:rsidRDefault="00D3581E" w:rsidP="00D3581E">
                  <w:pPr>
                    <w:suppressAutoHyphens w:val="0"/>
                    <w:jc w:val="both"/>
                    <w:rPr>
                      <w:rFonts w:ascii="Times New Roman" w:hAnsi="Times New Roman" w:cs="Times New Roman"/>
                      <w:sz w:val="23"/>
                      <w:szCs w:val="23"/>
                      <w:lang w:eastAsia="es-ES"/>
                    </w:rPr>
                  </w:pPr>
                  <w:r w:rsidRPr="00D3581E">
                    <w:rPr>
                      <w:rFonts w:ascii="Times New Roman" w:hAnsi="Times New Roman" w:cs="Times New Roman"/>
                      <w:sz w:val="23"/>
                      <w:szCs w:val="23"/>
                      <w:lang w:eastAsia="es-ES"/>
                    </w:rPr>
                    <w:t>“</w:t>
                  </w:r>
                  <w:r w:rsidRPr="00D3581E">
                    <w:rPr>
                      <w:rFonts w:ascii="Times New Roman" w:hAnsi="Times New Roman" w:cs="Times New Roman"/>
                      <w:i/>
                      <w:iCs/>
                      <w:sz w:val="23"/>
                      <w:szCs w:val="23"/>
                      <w:lang w:eastAsia="es-ES"/>
                    </w:rPr>
                    <w:t xml:space="preserve">En atención a su oficio 689-PLA-MI-2021, donde remite “los resultados obtenidos del segundo seguimiento realizado a la Oficina de Comunicaciones </w:t>
                  </w:r>
                  <w:r w:rsidRPr="00D3581E">
                    <w:rPr>
                      <w:rFonts w:ascii="Times New Roman" w:hAnsi="Times New Roman" w:cs="Times New Roman"/>
                      <w:i/>
                      <w:iCs/>
                      <w:sz w:val="23"/>
                      <w:szCs w:val="23"/>
                      <w:lang w:eastAsia="es-ES"/>
                    </w:rPr>
                    <w:lastRenderedPageBreak/>
                    <w:t>Judiciales de Siquirres, a finales de 2020”, me permito indicarle que una vez revisado el contenido del informe y consultado lo pertinente a la jefatura de la Administración Regional del II Circuito Judicial de la Zona Atlántica; no se tienen observaciones por realizar de parte de esta Dirección Ejecutiva.</w:t>
                  </w:r>
                  <w:r w:rsidRPr="00D3581E">
                    <w:rPr>
                      <w:rFonts w:ascii="Times New Roman" w:hAnsi="Times New Roman" w:cs="Times New Roman"/>
                      <w:sz w:val="23"/>
                      <w:szCs w:val="23"/>
                      <w:lang w:eastAsia="es-ES"/>
                    </w:rPr>
                    <w:t>”</w:t>
                  </w:r>
                </w:p>
              </w:tc>
              <w:tc>
                <w:tcPr>
                  <w:tcW w:w="2403" w:type="dxa"/>
                  <w:noWrap/>
                  <w:vAlign w:val="center"/>
                </w:tcPr>
                <w:p w14:paraId="1118FC8D" w14:textId="77777777" w:rsidR="00D3581E" w:rsidRPr="00D3581E" w:rsidRDefault="00D3581E" w:rsidP="00D3581E">
                  <w:pPr>
                    <w:suppressAutoHyphens w:val="0"/>
                    <w:jc w:val="both"/>
                    <w:rPr>
                      <w:rFonts w:ascii="Times New Roman" w:hAnsi="Times New Roman" w:cs="Times New Roman"/>
                      <w:sz w:val="23"/>
                      <w:szCs w:val="23"/>
                      <w:lang w:eastAsia="es-ES"/>
                    </w:rPr>
                  </w:pPr>
                  <w:r w:rsidRPr="00D3581E">
                    <w:rPr>
                      <w:rFonts w:ascii="Times New Roman" w:hAnsi="Times New Roman" w:cs="Times New Roman"/>
                      <w:sz w:val="23"/>
                      <w:szCs w:val="23"/>
                      <w:lang w:eastAsia="es-ES"/>
                    </w:rPr>
                    <w:lastRenderedPageBreak/>
                    <w:t>Tomar nota de las manifestaciones brindadas por la Dirección Ejecutiva.</w:t>
                  </w:r>
                </w:p>
              </w:tc>
            </w:tr>
            <w:tr w:rsidR="00D3581E" w:rsidRPr="00D3581E" w14:paraId="05AECC6D" w14:textId="77777777" w:rsidTr="00A20FB3">
              <w:trPr>
                <w:jc w:val="center"/>
              </w:trPr>
              <w:tc>
                <w:tcPr>
                  <w:tcW w:w="1237" w:type="dxa"/>
                  <w:noWrap/>
                  <w:vAlign w:val="center"/>
                </w:tcPr>
                <w:p w14:paraId="620BBCBC" w14:textId="77777777" w:rsidR="00D3581E" w:rsidRPr="00D3581E" w:rsidRDefault="00D3581E" w:rsidP="00D3581E">
                  <w:pPr>
                    <w:suppressAutoHyphens w:val="0"/>
                    <w:jc w:val="center"/>
                    <w:rPr>
                      <w:rFonts w:ascii="Times New Roman" w:hAnsi="Times New Roman" w:cs="Times New Roman"/>
                      <w:sz w:val="23"/>
                      <w:szCs w:val="23"/>
                      <w:lang w:eastAsia="es-ES"/>
                    </w:rPr>
                  </w:pPr>
                  <w:r w:rsidRPr="00D3581E">
                    <w:rPr>
                      <w:rFonts w:ascii="Times New Roman" w:hAnsi="Times New Roman" w:cs="Times New Roman"/>
                      <w:sz w:val="23"/>
                      <w:szCs w:val="23"/>
                      <w:lang w:eastAsia="es-ES"/>
                    </w:rPr>
                    <w:t>2</w:t>
                  </w:r>
                </w:p>
              </w:tc>
              <w:tc>
                <w:tcPr>
                  <w:tcW w:w="3916" w:type="dxa"/>
                  <w:noWrap/>
                  <w:vAlign w:val="center"/>
                </w:tcPr>
                <w:p w14:paraId="775470A1" w14:textId="77777777" w:rsidR="00D3581E" w:rsidRPr="00D3581E" w:rsidRDefault="00D3581E" w:rsidP="00D3581E">
                  <w:pPr>
                    <w:suppressAutoHyphens w:val="0"/>
                    <w:jc w:val="both"/>
                    <w:rPr>
                      <w:rFonts w:ascii="Times New Roman" w:hAnsi="Times New Roman" w:cs="Times New Roman"/>
                      <w:sz w:val="23"/>
                      <w:szCs w:val="23"/>
                      <w:lang w:eastAsia="es-ES"/>
                    </w:rPr>
                  </w:pPr>
                  <w:r w:rsidRPr="00D3581E">
                    <w:rPr>
                      <w:rFonts w:ascii="Times New Roman" w:hAnsi="Times New Roman" w:cs="Times New Roman"/>
                      <w:sz w:val="23"/>
                      <w:szCs w:val="23"/>
                      <w:lang w:eastAsia="es-ES"/>
                    </w:rPr>
                    <w:t>“</w:t>
                  </w:r>
                  <w:r w:rsidRPr="00D3581E">
                    <w:rPr>
                      <w:rFonts w:ascii="Times New Roman" w:hAnsi="Times New Roman" w:cs="Times New Roman"/>
                      <w:i/>
                      <w:iCs/>
                      <w:sz w:val="23"/>
                      <w:szCs w:val="23"/>
                      <w:lang w:eastAsia="es-ES"/>
                    </w:rPr>
                    <w:t>Por otra parte, se solicita corregir el dato de la columna “Resultados Obtenidos del Seguimiento” en la página 10 del documento, donde por error se cita a “El máster Rodrigo Gutiérrez Fernández”, cuando lo correcto es “El máster Miguel Gutiérrez Fernández”.</w:t>
                  </w:r>
                  <w:r w:rsidRPr="00D3581E">
                    <w:rPr>
                      <w:rFonts w:ascii="Times New Roman" w:hAnsi="Times New Roman" w:cs="Times New Roman"/>
                      <w:sz w:val="23"/>
                      <w:szCs w:val="23"/>
                      <w:lang w:eastAsia="es-ES"/>
                    </w:rPr>
                    <w:t>”</w:t>
                  </w:r>
                </w:p>
              </w:tc>
              <w:tc>
                <w:tcPr>
                  <w:tcW w:w="2403" w:type="dxa"/>
                  <w:noWrap/>
                  <w:vAlign w:val="center"/>
                </w:tcPr>
                <w:p w14:paraId="7D71C5BF" w14:textId="77777777" w:rsidR="00D3581E" w:rsidRPr="00D3581E" w:rsidRDefault="00D3581E" w:rsidP="00D3581E">
                  <w:pPr>
                    <w:suppressAutoHyphens w:val="0"/>
                    <w:jc w:val="both"/>
                    <w:rPr>
                      <w:rFonts w:ascii="Times New Roman" w:hAnsi="Times New Roman" w:cs="Times New Roman"/>
                      <w:sz w:val="23"/>
                      <w:szCs w:val="23"/>
                      <w:lang w:eastAsia="es-ES"/>
                    </w:rPr>
                  </w:pPr>
                  <w:r w:rsidRPr="00D3581E">
                    <w:rPr>
                      <w:rFonts w:ascii="Times New Roman" w:hAnsi="Times New Roman" w:cs="Times New Roman"/>
                      <w:sz w:val="23"/>
                      <w:szCs w:val="23"/>
                      <w:lang w:eastAsia="es-ES"/>
                    </w:rPr>
                    <w:t>La solicitud procede, por tanto, el error involuntario cometido se corrige en la presente versión definitiva del seguimiento realizado a la OCJ-Siquirres, propiamente dentro de la “</w:t>
                  </w:r>
                  <w:r w:rsidRPr="00D3581E">
                    <w:rPr>
                      <w:rFonts w:ascii="Times New Roman" w:hAnsi="Times New Roman" w:cs="Times New Roman"/>
                      <w:b/>
                      <w:bCs/>
                      <w:i/>
                      <w:iCs/>
                      <w:sz w:val="23"/>
                      <w:szCs w:val="23"/>
                      <w:lang w:eastAsia="es-ES"/>
                    </w:rPr>
                    <w:t>Tabla A-1</w:t>
                  </w:r>
                  <w:r w:rsidRPr="00D3581E">
                    <w:rPr>
                      <w:rFonts w:ascii="Times New Roman" w:hAnsi="Times New Roman" w:cs="Times New Roman"/>
                      <w:sz w:val="23"/>
                      <w:szCs w:val="23"/>
                      <w:lang w:eastAsia="es-ES"/>
                    </w:rPr>
                    <w:t>” ubicada en el “</w:t>
                  </w:r>
                  <w:r w:rsidRPr="00D3581E">
                    <w:rPr>
                      <w:rFonts w:ascii="Times New Roman" w:hAnsi="Times New Roman" w:cs="Times New Roman"/>
                      <w:b/>
                      <w:bCs/>
                      <w:i/>
                      <w:iCs/>
                      <w:sz w:val="23"/>
                      <w:szCs w:val="23"/>
                      <w:lang w:eastAsia="es-ES"/>
                    </w:rPr>
                    <w:t>Anexo A</w:t>
                  </w:r>
                  <w:r w:rsidRPr="00D3581E">
                    <w:rPr>
                      <w:rFonts w:ascii="Times New Roman" w:hAnsi="Times New Roman" w:cs="Times New Roman"/>
                      <w:sz w:val="23"/>
                      <w:szCs w:val="23"/>
                      <w:lang w:eastAsia="es-ES"/>
                    </w:rPr>
                    <w:t>”.</w:t>
                  </w:r>
                </w:p>
                <w:p w14:paraId="10BC3AEF" w14:textId="77777777" w:rsidR="00D3581E" w:rsidRPr="00D3581E" w:rsidRDefault="00D3581E" w:rsidP="00D3581E">
                  <w:pPr>
                    <w:suppressAutoHyphens w:val="0"/>
                    <w:jc w:val="both"/>
                    <w:rPr>
                      <w:rFonts w:ascii="Times New Roman" w:hAnsi="Times New Roman" w:cs="Times New Roman"/>
                      <w:sz w:val="23"/>
                      <w:szCs w:val="23"/>
                      <w:lang w:eastAsia="es-ES"/>
                    </w:rPr>
                  </w:pPr>
                </w:p>
                <w:p w14:paraId="202D90C2" w14:textId="77777777" w:rsidR="00D3581E" w:rsidRPr="00D3581E" w:rsidRDefault="00D3581E" w:rsidP="00D3581E">
                  <w:pPr>
                    <w:suppressAutoHyphens w:val="0"/>
                    <w:jc w:val="both"/>
                    <w:rPr>
                      <w:rFonts w:ascii="Times New Roman" w:hAnsi="Times New Roman" w:cs="Times New Roman"/>
                      <w:sz w:val="23"/>
                      <w:szCs w:val="23"/>
                      <w:lang w:eastAsia="es-ES"/>
                    </w:rPr>
                  </w:pPr>
                  <w:r w:rsidRPr="00D3581E">
                    <w:rPr>
                      <w:rFonts w:ascii="Times New Roman" w:hAnsi="Times New Roman" w:cs="Times New Roman"/>
                      <w:sz w:val="23"/>
                      <w:szCs w:val="23"/>
                      <w:lang w:eastAsia="es-ES"/>
                    </w:rPr>
                    <w:t>También se solicita la disculpa del caso a don Miguel Gutiérrez Fernández, por medio del correo electrónico.</w:t>
                  </w:r>
                </w:p>
                <w:p w14:paraId="0F172338" w14:textId="77777777" w:rsidR="00D3581E" w:rsidRPr="00D3581E" w:rsidRDefault="00D3581E" w:rsidP="00D3581E">
                  <w:pPr>
                    <w:suppressAutoHyphens w:val="0"/>
                    <w:jc w:val="both"/>
                    <w:rPr>
                      <w:rFonts w:ascii="Times New Roman" w:hAnsi="Times New Roman" w:cs="Times New Roman"/>
                      <w:sz w:val="23"/>
                      <w:szCs w:val="23"/>
                      <w:lang w:eastAsia="es-ES"/>
                    </w:rPr>
                  </w:pPr>
                </w:p>
              </w:tc>
            </w:tr>
          </w:tbl>
          <w:p w14:paraId="1DE5241A" w14:textId="77777777" w:rsidR="00D3581E" w:rsidRPr="00D3581E" w:rsidRDefault="00D3581E" w:rsidP="00D3581E">
            <w:pPr>
              <w:suppressAutoHyphens w:val="0"/>
              <w:jc w:val="both"/>
              <w:rPr>
                <w:sz w:val="23"/>
                <w:szCs w:val="23"/>
                <w:lang w:val="es-CR" w:eastAsia="es-ES"/>
              </w:rPr>
            </w:pPr>
          </w:p>
          <w:p w14:paraId="7AA6BD41" w14:textId="77777777" w:rsidR="00D3581E" w:rsidRPr="00D3581E" w:rsidRDefault="00D3581E" w:rsidP="00D3581E">
            <w:pPr>
              <w:suppressAutoHyphens w:val="0"/>
              <w:jc w:val="both"/>
              <w:rPr>
                <w:sz w:val="23"/>
                <w:szCs w:val="23"/>
                <w:lang w:val="es-CR" w:eastAsia="es-ES"/>
              </w:rPr>
            </w:pPr>
            <w:r w:rsidRPr="00D3581E">
              <w:rPr>
                <w:sz w:val="23"/>
                <w:szCs w:val="23"/>
                <w:lang w:val="es-CR" w:eastAsia="es-ES"/>
              </w:rPr>
              <w:t>El oficio número 2186-DE-2021 remitido por la Dirección Ejecutiva se incluye en el “</w:t>
            </w:r>
            <w:r w:rsidRPr="00D3581E">
              <w:rPr>
                <w:b/>
                <w:bCs/>
                <w:i/>
                <w:iCs/>
                <w:sz w:val="23"/>
                <w:szCs w:val="23"/>
                <w:lang w:val="es-CR" w:eastAsia="es-ES"/>
              </w:rPr>
              <w:t>Anexo B</w:t>
            </w:r>
            <w:r w:rsidRPr="00D3581E">
              <w:rPr>
                <w:sz w:val="23"/>
                <w:szCs w:val="23"/>
                <w:lang w:val="es-CR" w:eastAsia="es-ES"/>
              </w:rPr>
              <w:t>” del presente informe de seguimiento.</w:t>
            </w:r>
          </w:p>
          <w:p w14:paraId="69B74F36" w14:textId="77777777" w:rsidR="00D3581E" w:rsidRPr="00D3581E" w:rsidRDefault="00D3581E" w:rsidP="00D3581E">
            <w:pPr>
              <w:suppressAutoHyphens w:val="0"/>
              <w:jc w:val="both"/>
              <w:rPr>
                <w:sz w:val="23"/>
                <w:szCs w:val="23"/>
                <w:lang w:val="es-CR" w:eastAsia="es-ES"/>
              </w:rPr>
            </w:pPr>
          </w:p>
        </w:tc>
      </w:tr>
      <w:tr w:rsidR="00D3581E" w:rsidRPr="00D3581E" w14:paraId="4DD01777" w14:textId="77777777" w:rsidTr="00A20FB3">
        <w:trPr>
          <w:trHeight w:val="23"/>
          <w:jc w:val="center"/>
        </w:trPr>
        <w:tc>
          <w:tcPr>
            <w:tcW w:w="2122" w:type="dxa"/>
            <w:shd w:val="clear" w:color="auto" w:fill="B3B3B3"/>
            <w:vAlign w:val="center"/>
          </w:tcPr>
          <w:p w14:paraId="58074869" w14:textId="77777777" w:rsidR="00D3581E" w:rsidRPr="00D3581E" w:rsidRDefault="00D3581E" w:rsidP="00D3581E">
            <w:pPr>
              <w:widowControl w:val="0"/>
              <w:suppressAutoHyphens w:val="0"/>
              <w:autoSpaceDE w:val="0"/>
              <w:autoSpaceDN w:val="0"/>
              <w:adjustRightInd w:val="0"/>
              <w:jc w:val="both"/>
              <w:rPr>
                <w:b/>
                <w:sz w:val="23"/>
                <w:szCs w:val="23"/>
                <w:lang w:val="es-CR" w:eastAsia="es-ES"/>
              </w:rPr>
            </w:pPr>
            <w:r w:rsidRPr="00D3581E">
              <w:rPr>
                <w:b/>
                <w:sz w:val="23"/>
                <w:szCs w:val="23"/>
                <w:lang w:val="es-CR" w:eastAsia="es-ES"/>
              </w:rPr>
              <w:lastRenderedPageBreak/>
              <w:t>IV. Elementos Conclusivos:</w:t>
            </w:r>
          </w:p>
        </w:tc>
        <w:tc>
          <w:tcPr>
            <w:tcW w:w="7796" w:type="dxa"/>
            <w:gridSpan w:val="3"/>
          </w:tcPr>
          <w:p w14:paraId="2A71D5D0"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r w:rsidRPr="00D3581E">
              <w:rPr>
                <w:bCs/>
                <w:sz w:val="23"/>
                <w:szCs w:val="23"/>
                <w:lang w:val="es-CR" w:eastAsia="es-ES"/>
              </w:rPr>
              <w:t>Los resultados obtenidos del seguimiento realizado permiten formular las siguientes conclusiones:</w:t>
            </w:r>
          </w:p>
          <w:p w14:paraId="6C245517"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p>
          <w:p w14:paraId="48E14CF7"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r w:rsidRPr="00D3581E">
              <w:rPr>
                <w:b/>
                <w:sz w:val="23"/>
                <w:szCs w:val="23"/>
                <w:lang w:val="es-CR" w:eastAsia="es-ES"/>
              </w:rPr>
              <w:t>4.1-</w:t>
            </w:r>
            <w:r w:rsidRPr="00D3581E">
              <w:rPr>
                <w:sz w:val="23"/>
                <w:szCs w:val="23"/>
                <w:lang w:val="es-CR" w:eastAsia="es-ES"/>
              </w:rPr>
              <w:t xml:space="preserve">El </w:t>
            </w:r>
            <w:r w:rsidRPr="00D3581E">
              <w:rPr>
                <w:bCs/>
                <w:sz w:val="23"/>
                <w:szCs w:val="23"/>
                <w:lang w:val="es-CR" w:eastAsia="es-ES"/>
              </w:rPr>
              <w:t xml:space="preserve">acuerdo tomado por el </w:t>
            </w:r>
            <w:r w:rsidRPr="00D3581E">
              <w:rPr>
                <w:sz w:val="23"/>
                <w:szCs w:val="23"/>
                <w:lang w:val="es-CR" w:eastAsia="es-ES"/>
              </w:rPr>
              <w:t>Consejo Superior en su sesión número 51-2020 celebrada el 21 de mayo de 2020, artículo LIV</w:t>
            </w:r>
            <w:r w:rsidRPr="00D3581E">
              <w:rPr>
                <w:bCs/>
                <w:sz w:val="23"/>
                <w:szCs w:val="23"/>
                <w:lang w:val="es-CR" w:eastAsia="es-ES"/>
              </w:rPr>
              <w:t>, contiene ocho acciones que fueron objeto de seguimiento a finales de 2020; de estas siete (87,5%) se cumplieron, y una (12,5%) se encuentra en proceso de ejecución.</w:t>
            </w:r>
          </w:p>
          <w:p w14:paraId="06527215"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p>
          <w:p w14:paraId="23EF34A5"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r w:rsidRPr="00D3581E">
              <w:rPr>
                <w:bCs/>
                <w:sz w:val="23"/>
                <w:szCs w:val="23"/>
                <w:lang w:val="es-CR" w:eastAsia="es-ES"/>
              </w:rPr>
              <w:t>La acción inconclusa al término del 2020 fue:</w:t>
            </w:r>
          </w:p>
          <w:p w14:paraId="2AC36D71"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p>
          <w:p w14:paraId="264A572D" w14:textId="77777777" w:rsidR="00D3581E" w:rsidRPr="00D3581E" w:rsidRDefault="00D3581E" w:rsidP="00D3581E">
            <w:pPr>
              <w:widowControl w:val="0"/>
              <w:suppressAutoHyphens w:val="0"/>
              <w:autoSpaceDE w:val="0"/>
              <w:autoSpaceDN w:val="0"/>
              <w:adjustRightInd w:val="0"/>
              <w:ind w:right="113"/>
              <w:jc w:val="both"/>
              <w:rPr>
                <w:sz w:val="23"/>
                <w:szCs w:val="23"/>
                <w:lang w:val="es-CR" w:eastAsia="es-ES"/>
              </w:rPr>
            </w:pPr>
            <w:r w:rsidRPr="00D3581E">
              <w:rPr>
                <w:bCs/>
                <w:sz w:val="23"/>
                <w:szCs w:val="23"/>
                <w:lang w:val="es-CR" w:eastAsia="es-ES"/>
              </w:rPr>
              <w:t>“</w:t>
            </w:r>
            <w:r w:rsidRPr="00D3581E">
              <w:rPr>
                <w:b/>
                <w:i/>
                <w:iCs/>
                <w:sz w:val="23"/>
                <w:szCs w:val="23"/>
                <w:lang w:val="es-CR" w:eastAsia="es-ES"/>
              </w:rPr>
              <w:t>6)</w:t>
            </w:r>
            <w:r w:rsidRPr="00D3581E">
              <w:rPr>
                <w:bCs/>
                <w:i/>
                <w:iCs/>
                <w:sz w:val="23"/>
                <w:szCs w:val="23"/>
                <w:lang w:val="es-CR" w:eastAsia="es-ES"/>
              </w:rPr>
              <w:t xml:space="preserve"> La Oficina de Comunicaciones Judiciales de Siquirres deberá impartir las charlas programadas de 15 minutos de duración, al personal encargado de recibir las denuncias y demandas, en los despachos judiciales adscritos al Circuito Judicial de Siquirres, con el objetivo de sensibilizarlo a requerir correctamente la </w:t>
            </w:r>
            <w:r w:rsidRPr="00D3581E">
              <w:rPr>
                <w:bCs/>
                <w:i/>
                <w:iCs/>
                <w:sz w:val="23"/>
                <w:szCs w:val="23"/>
                <w:lang w:val="es-CR" w:eastAsia="es-ES"/>
              </w:rPr>
              <w:lastRenderedPageBreak/>
              <w:t xml:space="preserve">descripción de la dirección de las partes procesales y los testigos, a las personas usuarias judiciales; y posteriormente, a registrarla literalmente en los sistemas informáticos, y/o transcribirla de igual forma en las comunicaciones judiciales remitidas a diligenciar a la Oficina de Comunicaciones Judiciales de Siquirres. Las potenciales ventajas asociadas a esta estrategia de gestión del conocimiento justifican su utilización, tanto para la Oficina de Comunicaciones Judiciales como para el propio sistema judicial, principalmente cuando el diligenciamiento de la comunicación judicial requiere desplazamiento hasta </w:t>
            </w:r>
            <w:r w:rsidRPr="00D3581E">
              <w:rPr>
                <w:bCs/>
                <w:i/>
                <w:iCs/>
                <w:sz w:val="23"/>
                <w:szCs w:val="23"/>
                <w:u w:val="single"/>
                <w:lang w:val="es-CR" w:eastAsia="es-ES"/>
              </w:rPr>
              <w:t>la dirección geográfica exacta</w:t>
            </w:r>
            <w:r w:rsidRPr="00D3581E">
              <w:rPr>
                <w:bCs/>
                <w:i/>
                <w:iCs/>
                <w:sz w:val="23"/>
                <w:szCs w:val="23"/>
                <w:lang w:val="es-CR" w:eastAsia="es-ES"/>
              </w:rPr>
              <w:t xml:space="preserve"> aportada por la persona usuaria judicial, en cuyo caso contribuiría a evitar por </w:t>
            </w:r>
            <w:proofErr w:type="spellStart"/>
            <w:r w:rsidRPr="00D3581E">
              <w:rPr>
                <w:bCs/>
                <w:i/>
                <w:iCs/>
                <w:sz w:val="23"/>
                <w:szCs w:val="23"/>
                <w:lang w:val="es-CR" w:eastAsia="es-ES"/>
              </w:rPr>
              <w:t>rediligenciamiento</w:t>
            </w:r>
            <w:proofErr w:type="spellEnd"/>
            <w:r w:rsidRPr="00D3581E">
              <w:rPr>
                <w:bCs/>
                <w:i/>
                <w:iCs/>
                <w:sz w:val="23"/>
                <w:szCs w:val="23"/>
                <w:lang w:val="es-CR" w:eastAsia="es-ES"/>
              </w:rPr>
              <w:t xml:space="preserve"> la reprogramación, el gasto, el consumo de la “vida útil” de los vehículos y la dilación del proceso jurisdiccional, así como evitar la pérdida del señalamiento jurisdiccional por diligenciamiento con resultado negativo o infructuoso.”.</w:t>
            </w:r>
          </w:p>
          <w:p w14:paraId="0CFF2BFF"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p w14:paraId="34479687"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Esta acción inacabada, se estima, aún reviste interés institucional, y por esta razón se recomienda su continuidad.</w:t>
            </w:r>
          </w:p>
          <w:p w14:paraId="3966780F"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p w14:paraId="2B18A813"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p w14:paraId="6BF4A576"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p w14:paraId="237C816D"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p w14:paraId="7A7DF940"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p>
        </w:tc>
      </w:tr>
      <w:tr w:rsidR="00D3581E" w:rsidRPr="00D3581E" w14:paraId="5C2FC794" w14:textId="77777777" w:rsidTr="00A20FB3">
        <w:trPr>
          <w:trHeight w:val="877"/>
          <w:jc w:val="center"/>
        </w:trPr>
        <w:tc>
          <w:tcPr>
            <w:tcW w:w="2122" w:type="dxa"/>
            <w:shd w:val="clear" w:color="auto" w:fill="B3B3B3"/>
            <w:vAlign w:val="center"/>
          </w:tcPr>
          <w:p w14:paraId="43211CF4" w14:textId="77777777" w:rsidR="00D3581E" w:rsidRPr="00D3581E" w:rsidRDefault="00D3581E" w:rsidP="00D3581E">
            <w:pPr>
              <w:widowControl w:val="0"/>
              <w:suppressAutoHyphens w:val="0"/>
              <w:autoSpaceDE w:val="0"/>
              <w:autoSpaceDN w:val="0"/>
              <w:adjustRightInd w:val="0"/>
              <w:jc w:val="both"/>
              <w:rPr>
                <w:b/>
                <w:sz w:val="23"/>
                <w:szCs w:val="23"/>
                <w:lang w:val="es-CR" w:eastAsia="es-ES"/>
              </w:rPr>
            </w:pPr>
            <w:r w:rsidRPr="00D3581E">
              <w:rPr>
                <w:b/>
                <w:sz w:val="23"/>
                <w:szCs w:val="23"/>
                <w:lang w:val="es-CR" w:eastAsia="es-ES"/>
              </w:rPr>
              <w:lastRenderedPageBreak/>
              <w:t>V. Recomendaciones:</w:t>
            </w:r>
          </w:p>
        </w:tc>
        <w:tc>
          <w:tcPr>
            <w:tcW w:w="7796" w:type="dxa"/>
            <w:gridSpan w:val="3"/>
          </w:tcPr>
          <w:p w14:paraId="6860859E" w14:textId="77777777" w:rsidR="00D3581E" w:rsidRPr="00D3581E" w:rsidRDefault="00D3581E" w:rsidP="00D3581E">
            <w:pPr>
              <w:widowControl w:val="0"/>
              <w:suppressAutoHyphens w:val="0"/>
              <w:autoSpaceDE w:val="0"/>
              <w:autoSpaceDN w:val="0"/>
              <w:adjustRightInd w:val="0"/>
              <w:jc w:val="both"/>
              <w:rPr>
                <w:sz w:val="23"/>
                <w:szCs w:val="23"/>
                <w:lang w:val="es-CR" w:eastAsia="es-ES"/>
              </w:rPr>
            </w:pPr>
            <w:r w:rsidRPr="00D3581E">
              <w:rPr>
                <w:sz w:val="23"/>
                <w:szCs w:val="23"/>
                <w:lang w:val="es-CR" w:eastAsia="es-ES"/>
              </w:rPr>
              <w:t>Al Consejo Superior:</w:t>
            </w:r>
          </w:p>
          <w:p w14:paraId="59F2FB74" w14:textId="77777777" w:rsidR="00D3581E" w:rsidRPr="00D3581E" w:rsidRDefault="00D3581E" w:rsidP="00D3581E">
            <w:pPr>
              <w:widowControl w:val="0"/>
              <w:suppressAutoHyphens w:val="0"/>
              <w:autoSpaceDE w:val="0"/>
              <w:autoSpaceDN w:val="0"/>
              <w:adjustRightInd w:val="0"/>
              <w:jc w:val="both"/>
              <w:rPr>
                <w:b/>
                <w:sz w:val="23"/>
                <w:szCs w:val="23"/>
                <w:lang w:val="es-CR" w:eastAsia="es-ES"/>
              </w:rPr>
            </w:pPr>
            <w:r w:rsidRPr="00D3581E">
              <w:rPr>
                <w:b/>
                <w:sz w:val="23"/>
                <w:szCs w:val="23"/>
                <w:lang w:val="es-CR" w:eastAsia="es-ES"/>
              </w:rPr>
              <w:t>5.1-</w:t>
            </w:r>
            <w:r w:rsidRPr="00D3581E">
              <w:rPr>
                <w:bCs/>
                <w:sz w:val="23"/>
                <w:szCs w:val="23"/>
                <w:lang w:val="es-CR" w:eastAsia="es-ES"/>
              </w:rPr>
              <w:t>Mantener vigente el cumplimiento de la siguiente acción inconclusa, incluida dentro del acuerdo tomado en la sesión número 51-2020 celebrada el 21 de mayo de 2020, artículo LIV:</w:t>
            </w:r>
            <w:r w:rsidRPr="00D3581E">
              <w:rPr>
                <w:sz w:val="23"/>
                <w:szCs w:val="23"/>
                <w:lang w:val="es-CR" w:eastAsia="es-ES"/>
              </w:rPr>
              <w:t xml:space="preserve"> </w:t>
            </w:r>
          </w:p>
          <w:p w14:paraId="59A5710C" w14:textId="77777777" w:rsidR="00D3581E" w:rsidRPr="00D3581E" w:rsidRDefault="00D3581E" w:rsidP="00D3581E">
            <w:pPr>
              <w:suppressAutoHyphens w:val="0"/>
              <w:ind w:left="227"/>
              <w:jc w:val="both"/>
              <w:rPr>
                <w:bCs/>
                <w:sz w:val="23"/>
                <w:szCs w:val="23"/>
                <w:lang w:val="es-CR" w:eastAsia="es-ES"/>
              </w:rPr>
            </w:pPr>
          </w:p>
          <w:p w14:paraId="3AEEC661" w14:textId="77777777" w:rsidR="00D3581E" w:rsidRPr="00D3581E" w:rsidRDefault="00D3581E" w:rsidP="00D3581E">
            <w:pPr>
              <w:suppressAutoHyphens w:val="0"/>
              <w:ind w:left="113" w:right="113"/>
              <w:jc w:val="both"/>
              <w:rPr>
                <w:sz w:val="23"/>
                <w:szCs w:val="23"/>
                <w:lang w:val="es-CR" w:eastAsia="es-ES"/>
              </w:rPr>
            </w:pPr>
            <w:r w:rsidRPr="00D3581E">
              <w:rPr>
                <w:bCs/>
                <w:sz w:val="23"/>
                <w:szCs w:val="23"/>
                <w:lang w:val="es-CR" w:eastAsia="es-ES"/>
              </w:rPr>
              <w:t>“</w:t>
            </w:r>
            <w:r w:rsidRPr="00D3581E">
              <w:rPr>
                <w:b/>
                <w:i/>
                <w:iCs/>
                <w:sz w:val="23"/>
                <w:szCs w:val="23"/>
                <w:lang w:val="es-CR" w:eastAsia="es-ES"/>
              </w:rPr>
              <w:t>6)</w:t>
            </w:r>
            <w:r w:rsidRPr="00D3581E">
              <w:rPr>
                <w:bCs/>
                <w:i/>
                <w:iCs/>
                <w:sz w:val="23"/>
                <w:szCs w:val="23"/>
                <w:lang w:val="es-CR" w:eastAsia="es-ES"/>
              </w:rPr>
              <w:t xml:space="preserve"> La Oficina de Comunicaciones Judiciales de Siquirres deberá impartir las charlas programadas de 15 minutos de duración, al personal encargado de recibir las denuncias y demandas, en los despachos judiciales adscritos al Circuito Judicial de Siquirres, con el objetivo de sensibilizarlo a requerir correctamente la descripción de la dirección de las partes procesales y los testigos, a las personas usuarias judiciales; y posteriormente, a registrarla literalmente en los sistemas informáticos, y/o transcribirla de igual forma en las comunicaciones judiciales remitidas a diligenciar a la Oficina de Comunicaciones Judiciales de Siquirres. Las potenciales ventajas asociadas a esta estrategia de gestión del conocimiento justifican su utilización, tanto para la Oficina de Comunicaciones Judiciales como para el propio sistema judicial, principalmente cuando el diligenciamiento de la comunicación judicial requiere desplazamiento hasta </w:t>
            </w:r>
            <w:r w:rsidRPr="00D3581E">
              <w:rPr>
                <w:bCs/>
                <w:i/>
                <w:iCs/>
                <w:sz w:val="23"/>
                <w:szCs w:val="23"/>
                <w:u w:val="single"/>
                <w:lang w:val="es-CR" w:eastAsia="es-ES"/>
              </w:rPr>
              <w:t>la dirección geográfica exacta</w:t>
            </w:r>
            <w:r w:rsidRPr="00D3581E">
              <w:rPr>
                <w:bCs/>
                <w:i/>
                <w:iCs/>
                <w:sz w:val="23"/>
                <w:szCs w:val="23"/>
                <w:lang w:val="es-CR" w:eastAsia="es-ES"/>
              </w:rPr>
              <w:t xml:space="preserve"> aportada por la persona usuaria judicial, en cuyo caso contribuiría a evitar por </w:t>
            </w:r>
            <w:proofErr w:type="spellStart"/>
            <w:r w:rsidRPr="00D3581E">
              <w:rPr>
                <w:bCs/>
                <w:i/>
                <w:iCs/>
                <w:sz w:val="23"/>
                <w:szCs w:val="23"/>
                <w:lang w:val="es-CR" w:eastAsia="es-ES"/>
              </w:rPr>
              <w:t>rediligenciamiento</w:t>
            </w:r>
            <w:proofErr w:type="spellEnd"/>
            <w:r w:rsidRPr="00D3581E">
              <w:rPr>
                <w:bCs/>
                <w:i/>
                <w:iCs/>
                <w:sz w:val="23"/>
                <w:szCs w:val="23"/>
                <w:lang w:val="es-CR" w:eastAsia="es-ES"/>
              </w:rPr>
              <w:t xml:space="preserve"> la reprogramación, el gasto, el consumo de la “vida útil” de los vehículos y la dilación del proceso jurisdiccional, así como evitar la pérdida del señalamiento jurisdiccional por diligenciamiento con resultado negativo o infructuoso.”.</w:t>
            </w:r>
          </w:p>
          <w:p w14:paraId="753D5C17" w14:textId="77777777" w:rsidR="00D3581E" w:rsidRPr="00D3581E" w:rsidRDefault="00D3581E" w:rsidP="00D3581E">
            <w:pPr>
              <w:suppressAutoHyphens w:val="0"/>
              <w:jc w:val="both"/>
              <w:rPr>
                <w:sz w:val="23"/>
                <w:szCs w:val="23"/>
                <w:lang w:val="es-CR" w:eastAsia="es-ES"/>
              </w:rPr>
            </w:pPr>
          </w:p>
          <w:p w14:paraId="4E02CAED" w14:textId="77777777" w:rsidR="00D3581E" w:rsidRPr="00D3581E" w:rsidRDefault="00D3581E" w:rsidP="00D3581E">
            <w:pPr>
              <w:suppressAutoHyphens w:val="0"/>
              <w:jc w:val="both"/>
              <w:rPr>
                <w:sz w:val="23"/>
                <w:szCs w:val="23"/>
                <w:lang w:val="es-CR" w:eastAsia="es-ES"/>
              </w:rPr>
            </w:pPr>
            <w:r w:rsidRPr="00D3581E">
              <w:rPr>
                <w:sz w:val="23"/>
                <w:szCs w:val="23"/>
                <w:lang w:val="es-CR" w:eastAsia="es-ES"/>
              </w:rPr>
              <w:t>El cumplimiento exitoso de esta acción que se recomienda mantener contribuirá al mejoramiento de la efectividad de las comunicaciones judiciales diligenciadas por el personal de la OCJ-Siquirres.</w:t>
            </w:r>
          </w:p>
        </w:tc>
      </w:tr>
      <w:tr w:rsidR="00D3581E" w:rsidRPr="00D3581E" w14:paraId="6456B131" w14:textId="77777777" w:rsidTr="00A20FB3">
        <w:trPr>
          <w:trHeight w:val="155"/>
          <w:jc w:val="center"/>
        </w:trPr>
        <w:tc>
          <w:tcPr>
            <w:tcW w:w="2122" w:type="dxa"/>
            <w:shd w:val="clear" w:color="auto" w:fill="B3B3B3"/>
            <w:vAlign w:val="center"/>
          </w:tcPr>
          <w:p w14:paraId="30085EAB" w14:textId="77777777" w:rsidR="00D3581E" w:rsidRPr="00D3581E" w:rsidRDefault="00D3581E" w:rsidP="00D3581E">
            <w:pPr>
              <w:widowControl w:val="0"/>
              <w:suppressAutoHyphens w:val="0"/>
              <w:autoSpaceDE w:val="0"/>
              <w:autoSpaceDN w:val="0"/>
              <w:adjustRightInd w:val="0"/>
              <w:rPr>
                <w:b/>
                <w:sz w:val="23"/>
                <w:szCs w:val="23"/>
                <w:lang w:val="es-CR" w:eastAsia="es-ES"/>
              </w:rPr>
            </w:pPr>
            <w:r w:rsidRPr="00D3581E">
              <w:rPr>
                <w:b/>
                <w:sz w:val="23"/>
                <w:szCs w:val="23"/>
                <w:lang w:val="es-CR" w:eastAsia="es-ES"/>
              </w:rPr>
              <w:lastRenderedPageBreak/>
              <w:t>Anexo A:</w:t>
            </w:r>
          </w:p>
        </w:tc>
        <w:tc>
          <w:tcPr>
            <w:tcW w:w="7796" w:type="dxa"/>
            <w:gridSpan w:val="3"/>
            <w:vAlign w:val="center"/>
          </w:tcPr>
          <w:p w14:paraId="4C24A129"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p>
          <w:tbl>
            <w:tblPr>
              <w:tblStyle w:val="Tablaconcuadrcula2"/>
              <w:tblW w:w="0" w:type="auto"/>
              <w:jc w:val="center"/>
              <w:tblBorders>
                <w:top w:val="none" w:sz="0" w:space="0" w:color="auto"/>
                <w:left w:val="none" w:sz="0" w:space="0" w:color="auto"/>
                <w:right w:val="none" w:sz="0" w:space="0" w:color="auto"/>
              </w:tblBorders>
              <w:tblCellMar>
                <w:top w:w="28" w:type="dxa"/>
                <w:left w:w="28" w:type="dxa"/>
                <w:bottom w:w="28" w:type="dxa"/>
                <w:right w:w="28" w:type="dxa"/>
              </w:tblCellMar>
              <w:tblLook w:val="04A0" w:firstRow="1" w:lastRow="0" w:firstColumn="1" w:lastColumn="0" w:noHBand="0" w:noVBand="1"/>
            </w:tblPr>
            <w:tblGrid>
              <w:gridCol w:w="3742"/>
              <w:gridCol w:w="3836"/>
            </w:tblGrid>
            <w:tr w:rsidR="00D3581E" w:rsidRPr="00D3581E" w14:paraId="04638EA7" w14:textId="77777777" w:rsidTr="00A20FB3">
              <w:trPr>
                <w:jc w:val="center"/>
              </w:trPr>
              <w:tc>
                <w:tcPr>
                  <w:tcW w:w="7578" w:type="dxa"/>
                  <w:gridSpan w:val="2"/>
                </w:tcPr>
                <w:p w14:paraId="34476FF9" w14:textId="77777777" w:rsidR="00D3581E" w:rsidRPr="00D3581E" w:rsidRDefault="00D3581E" w:rsidP="00D3581E">
                  <w:pPr>
                    <w:widowControl w:val="0"/>
                    <w:suppressAutoHyphens w:val="0"/>
                    <w:autoSpaceDE w:val="0"/>
                    <w:autoSpaceDN w:val="0"/>
                    <w:adjustRightInd w:val="0"/>
                    <w:jc w:val="center"/>
                    <w:rPr>
                      <w:rFonts w:ascii="Times New Roman" w:hAnsi="Times New Roman" w:cs="Times New Roman"/>
                      <w:b/>
                      <w:sz w:val="23"/>
                      <w:szCs w:val="23"/>
                      <w:lang w:eastAsia="es-ES"/>
                    </w:rPr>
                  </w:pPr>
                  <w:r w:rsidRPr="00D3581E">
                    <w:rPr>
                      <w:rFonts w:ascii="Times New Roman" w:hAnsi="Times New Roman" w:cs="Times New Roman"/>
                      <w:b/>
                      <w:sz w:val="23"/>
                      <w:szCs w:val="23"/>
                      <w:lang w:eastAsia="es-ES"/>
                    </w:rPr>
                    <w:t>Tabla A-1</w:t>
                  </w:r>
                </w:p>
                <w:p w14:paraId="339F6146"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
                      <w:sz w:val="23"/>
                      <w:szCs w:val="23"/>
                      <w:lang w:eastAsia="es-ES"/>
                    </w:rPr>
                    <w:t>RESULTADOS OBTENIDOS DEL SEGUIMIENTO REALIZADO A FINALES DE 2020 AL CUMPLIMIENTO DEL ACUERDO TOMADO POR EL CONSEJO SUPERIOR EN SU SESIÓN NÚMERO 51-2020 CELEBRADA EL 21 DE MAYO DE 2020. ARTÍCULO LIV.</w:t>
                  </w:r>
                </w:p>
              </w:tc>
            </w:tr>
            <w:tr w:rsidR="00D3581E" w:rsidRPr="00D3581E" w14:paraId="317889E4" w14:textId="77777777" w:rsidTr="00A20FB3">
              <w:trPr>
                <w:trHeight w:val="454"/>
                <w:jc w:val="center"/>
              </w:trPr>
              <w:tc>
                <w:tcPr>
                  <w:tcW w:w="3742" w:type="dxa"/>
                  <w:vAlign w:val="center"/>
                </w:tcPr>
                <w:p w14:paraId="7A64566F" w14:textId="77777777" w:rsidR="00D3581E" w:rsidRPr="00D3581E" w:rsidRDefault="00D3581E" w:rsidP="00D3581E">
                  <w:pPr>
                    <w:widowControl w:val="0"/>
                    <w:suppressAutoHyphens w:val="0"/>
                    <w:autoSpaceDE w:val="0"/>
                    <w:autoSpaceDN w:val="0"/>
                    <w:adjustRightInd w:val="0"/>
                    <w:jc w:val="center"/>
                    <w:rPr>
                      <w:rFonts w:ascii="Times New Roman" w:hAnsi="Times New Roman" w:cs="Times New Roman"/>
                      <w:b/>
                      <w:sz w:val="23"/>
                      <w:szCs w:val="23"/>
                      <w:lang w:eastAsia="es-ES"/>
                    </w:rPr>
                  </w:pPr>
                  <w:r w:rsidRPr="00D3581E">
                    <w:rPr>
                      <w:rFonts w:ascii="Times New Roman" w:hAnsi="Times New Roman" w:cs="Times New Roman"/>
                      <w:b/>
                      <w:sz w:val="23"/>
                      <w:szCs w:val="23"/>
                      <w:lang w:eastAsia="es-ES"/>
                    </w:rPr>
                    <w:t>Acción Por Ejecutar</w:t>
                  </w:r>
                </w:p>
              </w:tc>
              <w:tc>
                <w:tcPr>
                  <w:tcW w:w="3742" w:type="dxa"/>
                  <w:vAlign w:val="center"/>
                </w:tcPr>
                <w:p w14:paraId="7654E23F" w14:textId="77777777" w:rsidR="00D3581E" w:rsidRPr="00D3581E" w:rsidRDefault="00D3581E" w:rsidP="00D3581E">
                  <w:pPr>
                    <w:widowControl w:val="0"/>
                    <w:suppressAutoHyphens w:val="0"/>
                    <w:autoSpaceDE w:val="0"/>
                    <w:autoSpaceDN w:val="0"/>
                    <w:adjustRightInd w:val="0"/>
                    <w:jc w:val="center"/>
                    <w:rPr>
                      <w:rFonts w:ascii="Times New Roman" w:hAnsi="Times New Roman" w:cs="Times New Roman"/>
                      <w:b/>
                      <w:sz w:val="23"/>
                      <w:szCs w:val="23"/>
                      <w:lang w:eastAsia="es-ES"/>
                    </w:rPr>
                  </w:pPr>
                  <w:r w:rsidRPr="00D3581E">
                    <w:rPr>
                      <w:rFonts w:ascii="Times New Roman" w:hAnsi="Times New Roman" w:cs="Times New Roman"/>
                      <w:b/>
                      <w:sz w:val="23"/>
                      <w:szCs w:val="23"/>
                      <w:lang w:eastAsia="es-ES"/>
                    </w:rPr>
                    <w:t>Resultados Obtenidos del Seguimiento</w:t>
                  </w:r>
                </w:p>
              </w:tc>
            </w:tr>
            <w:tr w:rsidR="00D3581E" w:rsidRPr="00D3581E" w14:paraId="66251006" w14:textId="77777777" w:rsidTr="00A20FB3">
              <w:trPr>
                <w:jc w:val="center"/>
              </w:trPr>
              <w:tc>
                <w:tcPr>
                  <w:tcW w:w="3742" w:type="dxa"/>
                  <w:vAlign w:val="center"/>
                </w:tcPr>
                <w:p w14:paraId="784EC52B"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w:t>
                  </w:r>
                  <w:r w:rsidRPr="00D3581E">
                    <w:rPr>
                      <w:rFonts w:ascii="Times New Roman" w:hAnsi="Times New Roman" w:cs="Times New Roman"/>
                      <w:b/>
                      <w:i/>
                      <w:iCs/>
                      <w:sz w:val="23"/>
                      <w:szCs w:val="23"/>
                      <w:lang w:eastAsia="es-ES"/>
                    </w:rPr>
                    <w:t>2)</w:t>
                  </w:r>
                  <w:r w:rsidRPr="00D3581E">
                    <w:rPr>
                      <w:rFonts w:ascii="Times New Roman" w:hAnsi="Times New Roman" w:cs="Times New Roman"/>
                      <w:bCs/>
                      <w:i/>
                      <w:iCs/>
                      <w:sz w:val="23"/>
                      <w:szCs w:val="23"/>
                      <w:lang w:eastAsia="es-ES"/>
                    </w:rPr>
                    <w:t xml:space="preserve"> La Dirección de Gestión Humana deberá transferir los puestos de trabajo identificados con los números 35420, 35444, 45168 y 111298, todos ordinarios, a la Oficina de Comunicaciones Judiciales de Siquirres, código de oficina número 1833, en la estructura de la relación de puestos que tiene a su cargo, en acatamiento a lo dispuesto por el Consejo Superior en número 74-2018 celebrada el 22 de agosto de 2018, artículo XLVI.</w:t>
                  </w:r>
                  <w:r w:rsidRPr="00D3581E">
                    <w:rPr>
                      <w:rFonts w:ascii="Times New Roman" w:hAnsi="Times New Roman" w:cs="Times New Roman"/>
                      <w:bCs/>
                      <w:sz w:val="23"/>
                      <w:szCs w:val="23"/>
                      <w:lang w:eastAsia="es-ES"/>
                    </w:rPr>
                    <w:t>”</w:t>
                  </w:r>
                </w:p>
              </w:tc>
              <w:tc>
                <w:tcPr>
                  <w:tcW w:w="3742" w:type="dxa"/>
                </w:tcPr>
                <w:p w14:paraId="00EEFE8F"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Esta acción fue ejecutada con resultado positivo.</w:t>
                  </w:r>
                </w:p>
                <w:p w14:paraId="6BA851D8"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3358B785"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La licenciada Alejandra García Sánchez, Coordinadora de Unidad 4, de la Unidad de Presupuesto y Estudios Especiales, de la Dirección de Gestión Humana, mediante correo electrónico del 18 de noviembre de 2020, informó:</w:t>
                  </w:r>
                </w:p>
                <w:p w14:paraId="6D85257B"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27FBDA6B" w14:textId="77777777" w:rsidR="00D3581E" w:rsidRPr="00D3581E" w:rsidRDefault="00D3581E" w:rsidP="00D3581E">
                  <w:pPr>
                    <w:widowControl w:val="0"/>
                    <w:suppressAutoHyphens w:val="0"/>
                    <w:autoSpaceDE w:val="0"/>
                    <w:autoSpaceDN w:val="0"/>
                    <w:adjustRightInd w:val="0"/>
                    <w:ind w:left="113" w:right="113"/>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w:t>
                  </w:r>
                  <w:r w:rsidRPr="00D3581E">
                    <w:rPr>
                      <w:rFonts w:ascii="Times New Roman" w:hAnsi="Times New Roman" w:cs="Times New Roman"/>
                      <w:bCs/>
                      <w:i/>
                      <w:iCs/>
                      <w:sz w:val="23"/>
                      <w:szCs w:val="23"/>
                      <w:lang w:eastAsia="es-ES"/>
                    </w:rPr>
                    <w:t>Le comento que los traslados ordenados, fueron incluidos en la tercera modificación a la Relación de Puestos, remitida al Ministerio de Hacienda el 07 de mayo 2020, la cual se encuentra debidamente aprobada y aplicada en el SIGA GH, por lo que los puestos indicados ya se encuentran adscritos a la oficina 1833:</w:t>
                  </w:r>
                </w:p>
                <w:p w14:paraId="03F702BB" w14:textId="77777777" w:rsidR="00D3581E" w:rsidRPr="00D3581E" w:rsidRDefault="00D3581E" w:rsidP="00D3581E">
                  <w:pPr>
                    <w:widowControl w:val="0"/>
                    <w:suppressAutoHyphens w:val="0"/>
                    <w:autoSpaceDE w:val="0"/>
                    <w:autoSpaceDN w:val="0"/>
                    <w:adjustRightInd w:val="0"/>
                    <w:jc w:val="center"/>
                    <w:rPr>
                      <w:rFonts w:ascii="Times New Roman" w:hAnsi="Times New Roman" w:cs="Times New Roman"/>
                      <w:bCs/>
                      <w:sz w:val="23"/>
                      <w:szCs w:val="23"/>
                      <w:lang w:eastAsia="es-ES"/>
                    </w:rPr>
                  </w:pPr>
                  <w:r w:rsidRPr="00D3581E">
                    <w:rPr>
                      <w:b/>
                      <w:bCs/>
                      <w:noProof/>
                      <w:sz w:val="23"/>
                      <w:szCs w:val="23"/>
                      <w:lang w:eastAsia="es-419"/>
                    </w:rPr>
                    <w:drawing>
                      <wp:inline distT="0" distB="0" distL="0" distR="0" wp14:anchorId="0F886D88" wp14:editId="7FDEB0BA">
                        <wp:extent cx="2254250" cy="615950"/>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4250" cy="615950"/>
                                </a:xfrm>
                                <a:prstGeom prst="rect">
                                  <a:avLst/>
                                </a:prstGeom>
                                <a:noFill/>
                                <a:ln>
                                  <a:noFill/>
                                </a:ln>
                              </pic:spPr>
                            </pic:pic>
                          </a:graphicData>
                        </a:graphic>
                      </wp:inline>
                    </w:drawing>
                  </w:r>
                </w:p>
                <w:p w14:paraId="36307AD4"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7CE4E802"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Se adjunta la respuesta recibida:</w:t>
                  </w:r>
                </w:p>
                <w:p w14:paraId="74A5A27D"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115788BA"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val="es-ES" w:eastAsia="es-ES"/>
                    </w:rPr>
                    <w:object w:dxaOrig="1508" w:dyaOrig="983" w14:anchorId="77B03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2pt" o:ole="">
                        <v:imagedata r:id="rId8" o:title=""/>
                      </v:shape>
                      <o:OLEObject Type="Embed" ProgID="Package" ShapeID="_x0000_i1025" DrawAspect="Icon" ObjectID="_1689579147" r:id="rId9"/>
                    </w:object>
                  </w:r>
                </w:p>
              </w:tc>
            </w:tr>
            <w:tr w:rsidR="00D3581E" w:rsidRPr="00D3581E" w14:paraId="686E188A" w14:textId="77777777" w:rsidTr="00A20FB3">
              <w:trPr>
                <w:jc w:val="center"/>
              </w:trPr>
              <w:tc>
                <w:tcPr>
                  <w:tcW w:w="3742" w:type="dxa"/>
                  <w:vAlign w:val="center"/>
                </w:tcPr>
                <w:p w14:paraId="36E4A8D2"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w:t>
                  </w:r>
                  <w:r w:rsidRPr="00D3581E">
                    <w:rPr>
                      <w:rFonts w:ascii="Times New Roman" w:hAnsi="Times New Roman" w:cs="Times New Roman"/>
                      <w:b/>
                      <w:i/>
                      <w:iCs/>
                      <w:sz w:val="23"/>
                      <w:szCs w:val="23"/>
                      <w:lang w:eastAsia="es-ES"/>
                    </w:rPr>
                    <w:t>3)</w:t>
                  </w:r>
                  <w:r w:rsidRPr="00D3581E">
                    <w:rPr>
                      <w:rFonts w:ascii="Times New Roman" w:hAnsi="Times New Roman" w:cs="Times New Roman"/>
                      <w:bCs/>
                      <w:i/>
                      <w:iCs/>
                      <w:sz w:val="23"/>
                      <w:szCs w:val="23"/>
                      <w:lang w:eastAsia="es-ES"/>
                    </w:rPr>
                    <w:t xml:space="preserve"> El Subproceso de Evaluación de la Dirección de Planificación deberá </w:t>
                  </w:r>
                  <w:r w:rsidRPr="00D3581E">
                    <w:rPr>
                      <w:rFonts w:ascii="Times New Roman" w:hAnsi="Times New Roman" w:cs="Times New Roman"/>
                      <w:bCs/>
                      <w:i/>
                      <w:iCs/>
                      <w:sz w:val="23"/>
                      <w:szCs w:val="23"/>
                      <w:lang w:eastAsia="es-ES"/>
                    </w:rPr>
                    <w:lastRenderedPageBreak/>
                    <w:t>considerar los períodos de indisponibilidad de la “flotilla” vehicular, en el análisis de las matrices de “Indicadores de gestión” correspondientes a las oficinas de comunicaciones judiciales, con el objetivo de corregir la distorsión que causan estos “tiempos muertos”, en la determinación del rendimiento real.</w:t>
                  </w:r>
                  <w:r w:rsidRPr="00D3581E">
                    <w:rPr>
                      <w:rFonts w:ascii="Times New Roman" w:hAnsi="Times New Roman" w:cs="Times New Roman"/>
                      <w:bCs/>
                      <w:sz w:val="23"/>
                      <w:szCs w:val="23"/>
                      <w:lang w:eastAsia="es-ES"/>
                    </w:rPr>
                    <w:t>”</w:t>
                  </w:r>
                </w:p>
              </w:tc>
              <w:tc>
                <w:tcPr>
                  <w:tcW w:w="3742" w:type="dxa"/>
                </w:tcPr>
                <w:p w14:paraId="7D2D56AE"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lastRenderedPageBreak/>
                    <w:t>Esta acción fue ejecutada con resultado positivo.</w:t>
                  </w:r>
                </w:p>
                <w:p w14:paraId="4F633B9C"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2CF2A6D1"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La Dirección de Planificación, mediante oficio número 693-PLA-EV-2021 del 23 de junio de 2021, comunicó a las partes involucradas, para su consideración y valoración, los resultados del estudio realizado en la Oficina de Recepción y Distribución de Documentos, así como en la Oficina de Comunicaciones Judiciales, ambas del Circuito Judicial de Cartago; dentro del cual se propone la implantación de una nueva versión de la matriz de indicadores de gestión, en todas las oficinas de comunicaciones judiciales del país.</w:t>
                  </w:r>
                </w:p>
                <w:p w14:paraId="73F65CEA"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4D5777AA"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La nueva matriz sí considera los períodos de indisponibilidad de la “</w:t>
                  </w:r>
                  <w:r w:rsidRPr="00D3581E">
                    <w:rPr>
                      <w:rFonts w:ascii="Times New Roman" w:hAnsi="Times New Roman" w:cs="Times New Roman"/>
                      <w:bCs/>
                      <w:i/>
                      <w:iCs/>
                      <w:sz w:val="23"/>
                      <w:szCs w:val="23"/>
                      <w:lang w:eastAsia="es-ES"/>
                    </w:rPr>
                    <w:t>flotilla</w:t>
                  </w:r>
                  <w:r w:rsidRPr="00D3581E">
                    <w:rPr>
                      <w:rFonts w:ascii="Times New Roman" w:hAnsi="Times New Roman" w:cs="Times New Roman"/>
                      <w:bCs/>
                      <w:sz w:val="23"/>
                      <w:szCs w:val="23"/>
                      <w:lang w:eastAsia="es-ES"/>
                    </w:rPr>
                    <w:t>” vehicular, para efectos de determinar la producción real de cada persona técnica en comunicaciones judiciales; además, dentro del informe que pronto será enviado en consulta, se recomienda a la Dirección Ejecutiva dar mantenimiento oportuno a los vehículos asignados a las oficinas de comunicaciones judiciales.</w:t>
                  </w:r>
                </w:p>
                <w:p w14:paraId="2F969BEF"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3FE8FE3C"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tc>
            </w:tr>
            <w:tr w:rsidR="00D3581E" w:rsidRPr="00D3581E" w14:paraId="69D79316" w14:textId="77777777" w:rsidTr="00A20FB3">
              <w:trPr>
                <w:jc w:val="center"/>
              </w:trPr>
              <w:tc>
                <w:tcPr>
                  <w:tcW w:w="3742" w:type="dxa"/>
                  <w:vAlign w:val="center"/>
                </w:tcPr>
                <w:p w14:paraId="62B050AE"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lastRenderedPageBreak/>
                    <w:t>“</w:t>
                  </w:r>
                  <w:r w:rsidRPr="00D3581E">
                    <w:rPr>
                      <w:rFonts w:ascii="Times New Roman" w:hAnsi="Times New Roman" w:cs="Times New Roman"/>
                      <w:b/>
                      <w:i/>
                      <w:iCs/>
                      <w:sz w:val="23"/>
                      <w:szCs w:val="23"/>
                      <w:lang w:eastAsia="es-ES"/>
                    </w:rPr>
                    <w:t>4)</w:t>
                  </w:r>
                  <w:r w:rsidRPr="00D3581E">
                    <w:rPr>
                      <w:rFonts w:ascii="Times New Roman" w:hAnsi="Times New Roman" w:cs="Times New Roman"/>
                      <w:bCs/>
                      <w:i/>
                      <w:iCs/>
                      <w:sz w:val="23"/>
                      <w:szCs w:val="23"/>
                      <w:lang w:eastAsia="es-ES"/>
                    </w:rPr>
                    <w:t xml:space="preserve"> La Fiscalía de Siquirres deberá ordenar a la persona ocupante del puesto número 111307, de Auxiliar de Servicios Generales 2 y adscrito a ese despacho, reasumir de inmediato la ejecución o realización de las labores de limpieza de la totalidad de las instalaciones arrendadas, en donde funcionan la Fiscalía de Siquirres y la Oficina de Comunicaciones Judiciales de Siquirres, así como el equipo y mobiliario de oficina ahí localizados. Además, debe evitar circunscribirlas posteriormente sin la previa autorización expresa del Consejo </w:t>
                  </w:r>
                  <w:r w:rsidRPr="00D3581E">
                    <w:rPr>
                      <w:rFonts w:ascii="Times New Roman" w:hAnsi="Times New Roman" w:cs="Times New Roman"/>
                      <w:bCs/>
                      <w:i/>
                      <w:iCs/>
                      <w:sz w:val="23"/>
                      <w:szCs w:val="23"/>
                      <w:lang w:eastAsia="es-ES"/>
                    </w:rPr>
                    <w:lastRenderedPageBreak/>
                    <w:t>Superior.</w:t>
                  </w:r>
                  <w:r w:rsidRPr="00D3581E">
                    <w:rPr>
                      <w:rFonts w:ascii="Times New Roman" w:hAnsi="Times New Roman" w:cs="Times New Roman"/>
                      <w:bCs/>
                      <w:sz w:val="23"/>
                      <w:szCs w:val="23"/>
                      <w:lang w:eastAsia="es-ES"/>
                    </w:rPr>
                    <w:t>”</w:t>
                  </w:r>
                </w:p>
              </w:tc>
              <w:tc>
                <w:tcPr>
                  <w:tcW w:w="3742" w:type="dxa"/>
                </w:tcPr>
                <w:p w14:paraId="2114084B"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lastRenderedPageBreak/>
                    <w:t>Esta acción fue ejecutada con resultado positivo.</w:t>
                  </w:r>
                </w:p>
                <w:p w14:paraId="188EDA00"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3B4DE0AE"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El máster Miguel Gutiérrez Fernández, Administrador Regional del Segundo Circuito Judicial de la Zona Atlántica, mediante correo enviado el 07 de diciembre de 2020, informó:</w:t>
                  </w:r>
                </w:p>
                <w:p w14:paraId="35B15345"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6ED452A8" w14:textId="77777777" w:rsidR="00D3581E" w:rsidRPr="00D3581E" w:rsidRDefault="00D3581E" w:rsidP="00D3581E">
                  <w:pPr>
                    <w:widowControl w:val="0"/>
                    <w:suppressAutoHyphens w:val="0"/>
                    <w:autoSpaceDE w:val="0"/>
                    <w:autoSpaceDN w:val="0"/>
                    <w:adjustRightInd w:val="0"/>
                    <w:ind w:left="113" w:right="113"/>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w:t>
                  </w:r>
                  <w:r w:rsidRPr="00D3581E">
                    <w:rPr>
                      <w:rFonts w:ascii="Times New Roman" w:hAnsi="Times New Roman" w:cs="Times New Roman"/>
                      <w:bCs/>
                      <w:i/>
                      <w:iCs/>
                      <w:sz w:val="23"/>
                      <w:szCs w:val="23"/>
                      <w:u w:val="single"/>
                      <w:lang w:eastAsia="es-ES"/>
                    </w:rPr>
                    <w:t>En cuanto al punto 4, se ha cumplido a cabalidad por parte de la Fiscalía</w:t>
                  </w:r>
                  <w:r w:rsidRPr="00D3581E">
                    <w:rPr>
                      <w:rFonts w:ascii="Times New Roman" w:hAnsi="Times New Roman" w:cs="Times New Roman"/>
                      <w:bCs/>
                      <w:i/>
                      <w:iCs/>
                      <w:sz w:val="23"/>
                      <w:szCs w:val="23"/>
                      <w:lang w:eastAsia="es-ES"/>
                    </w:rPr>
                    <w:t xml:space="preserve">, no obstante, conozco </w:t>
                  </w:r>
                  <w:proofErr w:type="gramStart"/>
                  <w:r w:rsidRPr="00D3581E">
                    <w:rPr>
                      <w:rFonts w:ascii="Times New Roman" w:hAnsi="Times New Roman" w:cs="Times New Roman"/>
                      <w:bCs/>
                      <w:i/>
                      <w:iCs/>
                      <w:sz w:val="23"/>
                      <w:szCs w:val="23"/>
                      <w:lang w:eastAsia="es-ES"/>
                    </w:rPr>
                    <w:t>de que</w:t>
                  </w:r>
                  <w:proofErr w:type="gramEnd"/>
                  <w:r w:rsidRPr="00D3581E">
                    <w:rPr>
                      <w:rFonts w:ascii="Times New Roman" w:hAnsi="Times New Roman" w:cs="Times New Roman"/>
                      <w:bCs/>
                      <w:i/>
                      <w:iCs/>
                      <w:sz w:val="23"/>
                      <w:szCs w:val="23"/>
                      <w:lang w:eastAsia="es-ES"/>
                    </w:rPr>
                    <w:t xml:space="preserve"> la plaza ha sufrido recientemente cambios por renuncia de la persona titular, por lo cual considero oportuno consultarle a </w:t>
                  </w:r>
                  <w:r w:rsidRPr="00D3581E">
                    <w:rPr>
                      <w:rFonts w:ascii="Times New Roman" w:hAnsi="Times New Roman" w:cs="Times New Roman"/>
                      <w:bCs/>
                      <w:i/>
                      <w:iCs/>
                      <w:sz w:val="23"/>
                      <w:szCs w:val="23"/>
                      <w:lang w:eastAsia="es-ES"/>
                    </w:rPr>
                    <w:lastRenderedPageBreak/>
                    <w:t>la Fiscalía.</w:t>
                  </w:r>
                  <w:r w:rsidRPr="00D3581E">
                    <w:rPr>
                      <w:rFonts w:ascii="Times New Roman" w:hAnsi="Times New Roman" w:cs="Times New Roman"/>
                      <w:bCs/>
                      <w:sz w:val="23"/>
                      <w:szCs w:val="23"/>
                      <w:lang w:eastAsia="es-ES"/>
                    </w:rPr>
                    <w:t>” (El subrayado es suplido)</w:t>
                  </w:r>
                </w:p>
                <w:p w14:paraId="6273FA01"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164AE5B0"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Se adjunta la respuesta recibida:</w:t>
                  </w:r>
                </w:p>
                <w:p w14:paraId="525A44F0"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6C138746"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val="es-ES" w:eastAsia="es-ES"/>
                    </w:rPr>
                    <w:object w:dxaOrig="1508" w:dyaOrig="983" w14:anchorId="3E06C9FE">
                      <v:shape id="_x0000_i1026" type="#_x0000_t75" style="width:64pt;height:40.5pt" o:ole="">
                        <v:imagedata r:id="rId10" o:title=""/>
                      </v:shape>
                      <o:OLEObject Type="Embed" ProgID="Package" ShapeID="_x0000_i1026" DrawAspect="Icon" ObjectID="_1689579148" r:id="rId11"/>
                    </w:object>
                  </w:r>
                </w:p>
                <w:p w14:paraId="44396B56"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tc>
            </w:tr>
            <w:tr w:rsidR="00D3581E" w:rsidRPr="00D3581E" w14:paraId="2A4B4378" w14:textId="77777777" w:rsidTr="00A20FB3">
              <w:trPr>
                <w:jc w:val="center"/>
              </w:trPr>
              <w:tc>
                <w:tcPr>
                  <w:tcW w:w="3742" w:type="dxa"/>
                </w:tcPr>
                <w:p w14:paraId="0E32B2D3"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lastRenderedPageBreak/>
                    <w:t>“</w:t>
                  </w:r>
                  <w:r w:rsidRPr="00D3581E">
                    <w:rPr>
                      <w:rFonts w:ascii="Times New Roman" w:hAnsi="Times New Roman" w:cs="Times New Roman"/>
                      <w:b/>
                      <w:i/>
                      <w:iCs/>
                      <w:sz w:val="23"/>
                      <w:szCs w:val="23"/>
                      <w:lang w:eastAsia="es-ES"/>
                    </w:rPr>
                    <w:t>5)</w:t>
                  </w:r>
                  <w:r w:rsidRPr="00D3581E">
                    <w:rPr>
                      <w:rFonts w:ascii="Times New Roman" w:hAnsi="Times New Roman" w:cs="Times New Roman"/>
                      <w:bCs/>
                      <w:i/>
                      <w:iCs/>
                      <w:sz w:val="23"/>
                      <w:szCs w:val="23"/>
                      <w:lang w:eastAsia="es-ES"/>
                    </w:rPr>
                    <w:t xml:space="preserve"> La Administración Regional del Segundo Circuito Judicial de la Zona Atlántica debe reforzar, aún más y en la medida de lo posible, la gestión del programa de mantenimiento vehicular que consiste en intensificar la gestión de relaciones con proveedores, dispuestos y habilitados para brindar el servicio de reparación de vehículos en el cantón de Siquirres; además, estrechar las relaciones de comunicación con el personal de la Proveeduría Judicial, con el propósito de minimizar el tiempo de suministro del repuesto requerido; y gestionar la sustitución temporal del vehículo averiado mientras permanece fuera de servicio por reparación. Lo anterior, con el objetivo de mantener funcionando la “flotilla” vehicular propia, y asignada a la Oficina de Comunicaciones Judiciales de Siquirres, más allá de la “vida útil” prevista, en tanto se generan las condiciones necesarias para reemplazarla o renovarla. Considerándose también que la necesidad de vehículos disponibles en la Oficina de Comunicaciones Judiciales de Siquirres encuentra su principal justificación en la elevada carga de trabajo por citas recibidas para diligenciar, cuyo promedio por día hábil y plaza técnica en comunicaciones judiciales superó el obtenido a nivel nacional, para el periodo enero- junio </w:t>
                  </w:r>
                  <w:r w:rsidRPr="00D3581E">
                    <w:rPr>
                      <w:rFonts w:ascii="Times New Roman" w:hAnsi="Times New Roman" w:cs="Times New Roman"/>
                      <w:bCs/>
                      <w:i/>
                      <w:iCs/>
                      <w:sz w:val="23"/>
                      <w:szCs w:val="23"/>
                      <w:lang w:eastAsia="es-ES"/>
                    </w:rPr>
                    <w:lastRenderedPageBreak/>
                    <w:t>de 2019.</w:t>
                  </w:r>
                  <w:r w:rsidRPr="00D3581E">
                    <w:rPr>
                      <w:rFonts w:ascii="Times New Roman" w:hAnsi="Times New Roman" w:cs="Times New Roman"/>
                      <w:bCs/>
                      <w:sz w:val="23"/>
                      <w:szCs w:val="23"/>
                      <w:lang w:eastAsia="es-ES"/>
                    </w:rPr>
                    <w:t>”</w:t>
                  </w:r>
                </w:p>
              </w:tc>
              <w:tc>
                <w:tcPr>
                  <w:tcW w:w="3742" w:type="dxa"/>
                </w:tcPr>
                <w:p w14:paraId="4A02F77B"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lastRenderedPageBreak/>
                    <w:t>Esta acción fue ejecutada con resultado positivo.</w:t>
                  </w:r>
                </w:p>
                <w:p w14:paraId="6EDD17AD"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32E23A90"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El máster Miguel Gutiérrez Fernández, Administrador Regional del Segundo Circuito Judicial de la Zona Atlántica, mediante correo enviado el 07 de diciembre de 2020, informó:</w:t>
                  </w:r>
                </w:p>
                <w:p w14:paraId="2BED83C0"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51E423A2" w14:textId="77777777" w:rsidR="00D3581E" w:rsidRPr="00D3581E" w:rsidRDefault="00D3581E" w:rsidP="00D3581E">
                  <w:pPr>
                    <w:widowControl w:val="0"/>
                    <w:suppressAutoHyphens w:val="0"/>
                    <w:autoSpaceDE w:val="0"/>
                    <w:autoSpaceDN w:val="0"/>
                    <w:adjustRightInd w:val="0"/>
                    <w:ind w:left="113" w:right="113"/>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w:t>
                  </w:r>
                  <w:r w:rsidRPr="00D3581E">
                    <w:rPr>
                      <w:rFonts w:ascii="Times New Roman" w:hAnsi="Times New Roman" w:cs="Times New Roman"/>
                      <w:bCs/>
                      <w:i/>
                      <w:iCs/>
                      <w:sz w:val="23"/>
                      <w:szCs w:val="23"/>
                      <w:lang w:eastAsia="es-ES"/>
                    </w:rPr>
                    <w:t xml:space="preserve">Respecto al punto 5 durante el año 2020 se ha dado un seguimiento a todas las unidades para realizar las reparaciones necesarias correctivas y mantener de manera preventiva todos los mantenimientos que requieren las motocicletas. Adicionalmente, para el presupuesto 2020 se dispuso un vehículo tipo </w:t>
                  </w:r>
                  <w:proofErr w:type="spellStart"/>
                  <w:r w:rsidRPr="00D3581E">
                    <w:rPr>
                      <w:rFonts w:ascii="Times New Roman" w:hAnsi="Times New Roman" w:cs="Times New Roman"/>
                      <w:bCs/>
                      <w:i/>
                      <w:iCs/>
                      <w:sz w:val="23"/>
                      <w:szCs w:val="23"/>
                      <w:lang w:eastAsia="es-ES"/>
                    </w:rPr>
                    <w:t>seddan</w:t>
                  </w:r>
                  <w:proofErr w:type="spellEnd"/>
                  <w:r w:rsidRPr="00D3581E">
                    <w:rPr>
                      <w:rFonts w:ascii="Times New Roman" w:hAnsi="Times New Roman" w:cs="Times New Roman"/>
                      <w:bCs/>
                      <w:i/>
                      <w:iCs/>
                      <w:sz w:val="23"/>
                      <w:szCs w:val="23"/>
                      <w:lang w:eastAsia="es-ES"/>
                    </w:rPr>
                    <w:t xml:space="preserve"> para la OCJ de Siquirres, no obstante, se solicitó un cambio al Departamento de Servicios Generales, quienes se dejaron el </w:t>
                  </w:r>
                  <w:proofErr w:type="spellStart"/>
                  <w:r w:rsidRPr="00D3581E">
                    <w:rPr>
                      <w:rFonts w:ascii="Times New Roman" w:hAnsi="Times New Roman" w:cs="Times New Roman"/>
                      <w:bCs/>
                      <w:i/>
                      <w:iCs/>
                      <w:sz w:val="23"/>
                      <w:szCs w:val="23"/>
                      <w:lang w:eastAsia="es-ES"/>
                    </w:rPr>
                    <w:t>seddan</w:t>
                  </w:r>
                  <w:proofErr w:type="spellEnd"/>
                  <w:r w:rsidRPr="00D3581E">
                    <w:rPr>
                      <w:rFonts w:ascii="Times New Roman" w:hAnsi="Times New Roman" w:cs="Times New Roman"/>
                      <w:bCs/>
                      <w:i/>
                      <w:iCs/>
                      <w:sz w:val="23"/>
                      <w:szCs w:val="23"/>
                      <w:lang w:eastAsia="es-ES"/>
                    </w:rPr>
                    <w:t xml:space="preserve"> nuevo y a cambio nos asignaron un pick up, el cual es el carro ideal para los caminos y distancias de la zona. Adjunto dos correos sobre información que se ha ido pidiendo sobre el estado de los vehículos, a hoy todos están en óptimo funcionamiento.</w:t>
                  </w:r>
                  <w:r w:rsidRPr="00D3581E">
                    <w:rPr>
                      <w:rFonts w:ascii="Times New Roman" w:hAnsi="Times New Roman" w:cs="Times New Roman"/>
                      <w:bCs/>
                      <w:sz w:val="23"/>
                      <w:szCs w:val="23"/>
                      <w:lang w:eastAsia="es-ES"/>
                    </w:rPr>
                    <w:t>”</w:t>
                  </w:r>
                </w:p>
                <w:p w14:paraId="3837D13F"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50633E18"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Se adjunta la respuesta recibida:</w:t>
                  </w:r>
                </w:p>
                <w:p w14:paraId="0A520141"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0706C8A0"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val="es-ES" w:eastAsia="es-ES"/>
                    </w:rPr>
                    <w:object w:dxaOrig="1508" w:dyaOrig="983" w14:anchorId="257FE107">
                      <v:shape id="_x0000_i1027" type="#_x0000_t75" style="width:64pt;height:40.5pt" o:ole="">
                        <v:imagedata r:id="rId12" o:title=""/>
                      </v:shape>
                      <o:OLEObject Type="Embed" ProgID="Package" ShapeID="_x0000_i1027" DrawAspect="Icon" ObjectID="_1689579149" r:id="rId13"/>
                    </w:object>
                  </w:r>
                </w:p>
              </w:tc>
            </w:tr>
            <w:tr w:rsidR="00D3581E" w:rsidRPr="00D3581E" w14:paraId="6B87F0ED" w14:textId="77777777" w:rsidTr="00A20FB3">
              <w:trPr>
                <w:jc w:val="center"/>
              </w:trPr>
              <w:tc>
                <w:tcPr>
                  <w:tcW w:w="3742" w:type="dxa"/>
                </w:tcPr>
                <w:p w14:paraId="246825EB"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w:t>
                  </w:r>
                  <w:r w:rsidRPr="00D3581E">
                    <w:rPr>
                      <w:rFonts w:ascii="Times New Roman" w:hAnsi="Times New Roman" w:cs="Times New Roman"/>
                      <w:b/>
                      <w:i/>
                      <w:iCs/>
                      <w:sz w:val="23"/>
                      <w:szCs w:val="23"/>
                      <w:lang w:eastAsia="es-ES"/>
                    </w:rPr>
                    <w:t>6)</w:t>
                  </w:r>
                  <w:r w:rsidRPr="00D3581E">
                    <w:rPr>
                      <w:rFonts w:ascii="Times New Roman" w:hAnsi="Times New Roman" w:cs="Times New Roman"/>
                      <w:bCs/>
                      <w:i/>
                      <w:iCs/>
                      <w:sz w:val="23"/>
                      <w:szCs w:val="23"/>
                      <w:lang w:eastAsia="es-ES"/>
                    </w:rPr>
                    <w:t xml:space="preserve"> La Oficina de Comunicaciones Judiciales de Siquirres deberá impartir las charlas programadas de 15 minutos de duración, al personal encargado de recibir las denuncias y demandas, en los despachos judiciales adscritos al Circuito Judicial de Siquirres, con el objetivo de sensibilizarlo a requerir correctamente la descripción de la dirección de las partes procesales y los testigos, a las personas usuarias judiciales; y posteriormente, a registrarla literalmente en los sistemas informáticos, y/o transcribirla de igual forma en las comunicaciones judiciales remitidas a diligenciar a la Oficina de Comunicaciones Judiciales de Siquirres. Las potenciales ventajas asociadas a esta estrategia de gestión del conocimiento justifican su utilización, tanto para la Oficina de Comunicaciones Judiciales como para el propio sistema judicial, principalmente cuando el diligenciamiento de la comunicación judicial requiere desplazamiento hasta </w:t>
                  </w:r>
                  <w:r w:rsidRPr="00D3581E">
                    <w:rPr>
                      <w:rFonts w:ascii="Times New Roman" w:hAnsi="Times New Roman" w:cs="Times New Roman"/>
                      <w:bCs/>
                      <w:i/>
                      <w:iCs/>
                      <w:sz w:val="23"/>
                      <w:szCs w:val="23"/>
                      <w:u w:val="single"/>
                      <w:lang w:eastAsia="es-ES"/>
                    </w:rPr>
                    <w:t>la dirección geográfica exacta</w:t>
                  </w:r>
                  <w:r w:rsidRPr="00D3581E">
                    <w:rPr>
                      <w:rFonts w:ascii="Times New Roman" w:hAnsi="Times New Roman" w:cs="Times New Roman"/>
                      <w:bCs/>
                      <w:i/>
                      <w:iCs/>
                      <w:sz w:val="23"/>
                      <w:szCs w:val="23"/>
                      <w:lang w:eastAsia="es-ES"/>
                    </w:rPr>
                    <w:t xml:space="preserve"> aportada por la persona usuaria judicial, en cuyo caso contribuiría a evitar por </w:t>
                  </w:r>
                  <w:proofErr w:type="spellStart"/>
                  <w:r w:rsidRPr="00D3581E">
                    <w:rPr>
                      <w:rFonts w:ascii="Times New Roman" w:hAnsi="Times New Roman" w:cs="Times New Roman"/>
                      <w:bCs/>
                      <w:i/>
                      <w:iCs/>
                      <w:sz w:val="23"/>
                      <w:szCs w:val="23"/>
                      <w:lang w:eastAsia="es-ES"/>
                    </w:rPr>
                    <w:t>rediligenciamiento</w:t>
                  </w:r>
                  <w:proofErr w:type="spellEnd"/>
                  <w:r w:rsidRPr="00D3581E">
                    <w:rPr>
                      <w:rFonts w:ascii="Times New Roman" w:hAnsi="Times New Roman" w:cs="Times New Roman"/>
                      <w:bCs/>
                      <w:i/>
                      <w:iCs/>
                      <w:sz w:val="23"/>
                      <w:szCs w:val="23"/>
                      <w:lang w:eastAsia="es-ES"/>
                    </w:rPr>
                    <w:t xml:space="preserve"> la reprogramación, el gasto, el consumo de la “vida útil” de los vehículos y la dilación del proceso jurisdiccional, así como evitar la pérdida del señalamiento jurisdiccional por diligenciamiento con resultado negativo o infructuoso. Por otra parte, deberá estimar la inscripción de la práctica de organizar charlas internas o encuentros, en el próximo concurso “Buenas prácticas en las oficinas del </w:t>
                  </w:r>
                  <w:r w:rsidRPr="00D3581E">
                    <w:rPr>
                      <w:rFonts w:ascii="Times New Roman" w:hAnsi="Times New Roman" w:cs="Times New Roman"/>
                      <w:bCs/>
                      <w:i/>
                      <w:iCs/>
                      <w:sz w:val="23"/>
                      <w:szCs w:val="23"/>
                      <w:lang w:eastAsia="es-ES"/>
                    </w:rPr>
                    <w:lastRenderedPageBreak/>
                    <w:t xml:space="preserve">Poder Judicial”, por ser </w:t>
                  </w:r>
                  <w:proofErr w:type="gramStart"/>
                  <w:r w:rsidRPr="00D3581E">
                    <w:rPr>
                      <w:rFonts w:ascii="Times New Roman" w:hAnsi="Times New Roman" w:cs="Times New Roman"/>
                      <w:bCs/>
                      <w:i/>
                      <w:iCs/>
                      <w:sz w:val="23"/>
                      <w:szCs w:val="23"/>
                      <w:lang w:eastAsia="es-ES"/>
                    </w:rPr>
                    <w:t>potencial generadora</w:t>
                  </w:r>
                  <w:proofErr w:type="gramEnd"/>
                  <w:r w:rsidRPr="00D3581E">
                    <w:rPr>
                      <w:rFonts w:ascii="Times New Roman" w:hAnsi="Times New Roman" w:cs="Times New Roman"/>
                      <w:bCs/>
                      <w:i/>
                      <w:iCs/>
                      <w:sz w:val="23"/>
                      <w:szCs w:val="23"/>
                      <w:lang w:eastAsia="es-ES"/>
                    </w:rPr>
                    <w:t xml:space="preserve"> de valor agregado en los procesos jurisdiccionales, específicamente cuando la descripción de la dirección requerida a la persona usuaria judicial contribuye a diligenciar con éxito el acto procesal de notificación o citación. Asimismo, saldar lo antes posible el remanente de 215 comunicaciones judiciales recibidas, 91 citas y 124 comisiones, sin registrar en los sistemas judiciales y sin diligenciar, existentes al 31 de octubre de 2019.</w:t>
                  </w:r>
                  <w:r w:rsidRPr="00D3581E">
                    <w:rPr>
                      <w:rFonts w:ascii="Times New Roman" w:hAnsi="Times New Roman" w:cs="Times New Roman"/>
                      <w:bCs/>
                      <w:sz w:val="23"/>
                      <w:szCs w:val="23"/>
                      <w:lang w:eastAsia="es-ES"/>
                    </w:rPr>
                    <w:t>”</w:t>
                  </w:r>
                </w:p>
              </w:tc>
              <w:tc>
                <w:tcPr>
                  <w:tcW w:w="3742" w:type="dxa"/>
                </w:tcPr>
                <w:p w14:paraId="4A835B3F"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lastRenderedPageBreak/>
                    <w:t xml:space="preserve">Esta acción comprende tres temas a citar: 1) Impartir las charlas programadas, 2) La invitación a inscribirlas en el concurso de </w:t>
                  </w:r>
                  <w:r w:rsidRPr="00D3581E">
                    <w:rPr>
                      <w:rFonts w:ascii="Times New Roman" w:hAnsi="Times New Roman" w:cs="Times New Roman"/>
                      <w:bCs/>
                      <w:i/>
                      <w:iCs/>
                      <w:sz w:val="23"/>
                      <w:szCs w:val="23"/>
                      <w:lang w:eastAsia="es-ES"/>
                    </w:rPr>
                    <w:t xml:space="preserve">“Buenas prácticas en las oficinas del Poder Judicial”, </w:t>
                  </w:r>
                  <w:r w:rsidRPr="00D3581E">
                    <w:rPr>
                      <w:rFonts w:ascii="Times New Roman" w:hAnsi="Times New Roman" w:cs="Times New Roman"/>
                      <w:bCs/>
                      <w:sz w:val="23"/>
                      <w:szCs w:val="23"/>
                      <w:lang w:eastAsia="es-ES"/>
                    </w:rPr>
                    <w:t>y 3) Saldar el remanente de comunicaciones pendientes de incluir en los sistemas y diligenciar.</w:t>
                  </w:r>
                </w:p>
                <w:p w14:paraId="2C50668A"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237A9021"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 xml:space="preserve">La acción de impartir charlas programadas de 15 minutos al personal a cargo de la recepción de denuncias y demandas se encuentra en ejecución de modo diferente al previsto, con el fin de cumplir los lineamientos emitidos tanto por la Corte Plena como por el Consejo Superior, dentro del marco nacional del </w:t>
                  </w:r>
                  <w:r w:rsidRPr="00D3581E">
                    <w:rPr>
                      <w:rFonts w:ascii="Times New Roman" w:hAnsi="Times New Roman" w:cs="Times New Roman"/>
                      <w:sz w:val="23"/>
                      <w:szCs w:val="23"/>
                      <w:lang w:eastAsia="es-ES"/>
                    </w:rPr>
                    <w:t xml:space="preserve">“… </w:t>
                  </w:r>
                  <w:r w:rsidRPr="00D3581E">
                    <w:rPr>
                      <w:rFonts w:ascii="Times New Roman" w:hAnsi="Times New Roman" w:cs="Times New Roman"/>
                      <w:i/>
                      <w:iCs/>
                      <w:sz w:val="23"/>
                      <w:szCs w:val="23"/>
                      <w:lang w:eastAsia="es-ES"/>
                    </w:rPr>
                    <w:t>estado de emergencia nacional en todo el territorio de la República de Costa Rica, debido a la situación de emergencia sanitaria provocada por la enfermedad COVID-19</w:t>
                  </w:r>
                  <w:proofErr w:type="gramStart"/>
                  <w:r w:rsidRPr="00D3581E">
                    <w:rPr>
                      <w:rFonts w:ascii="Times New Roman" w:hAnsi="Times New Roman" w:cs="Times New Roman"/>
                      <w:i/>
                      <w:iCs/>
                      <w:sz w:val="23"/>
                      <w:szCs w:val="23"/>
                      <w:lang w:eastAsia="es-ES"/>
                    </w:rPr>
                    <w:t>.</w:t>
                  </w:r>
                  <w:r w:rsidRPr="00D3581E">
                    <w:rPr>
                      <w:rFonts w:ascii="Times New Roman" w:hAnsi="Times New Roman" w:cs="Times New Roman"/>
                      <w:sz w:val="23"/>
                      <w:szCs w:val="23"/>
                      <w:lang w:eastAsia="es-ES"/>
                    </w:rPr>
                    <w:t>”</w:t>
                  </w:r>
                  <w:r w:rsidRPr="00D3581E">
                    <w:rPr>
                      <w:rFonts w:ascii="Times New Roman" w:hAnsi="Times New Roman" w:cs="Times New Roman"/>
                      <w:sz w:val="23"/>
                      <w:szCs w:val="23"/>
                      <w:vertAlign w:val="superscript"/>
                      <w:lang w:eastAsia="es-ES"/>
                    </w:rPr>
                    <w:t>(</w:t>
                  </w:r>
                  <w:proofErr w:type="gramEnd"/>
                  <w:r w:rsidRPr="00D3581E">
                    <w:rPr>
                      <w:rFonts w:ascii="Times New Roman" w:hAnsi="Times New Roman" w:cs="Times New Roman"/>
                      <w:b/>
                      <w:bCs/>
                      <w:sz w:val="23"/>
                      <w:szCs w:val="23"/>
                      <w:vertAlign w:val="superscript"/>
                      <w:lang w:eastAsia="es-ES"/>
                    </w:rPr>
                    <w:footnoteReference w:id="2"/>
                  </w:r>
                  <w:r w:rsidRPr="00D3581E">
                    <w:rPr>
                      <w:rFonts w:ascii="Times New Roman" w:hAnsi="Times New Roman" w:cs="Times New Roman"/>
                      <w:sz w:val="23"/>
                      <w:szCs w:val="23"/>
                      <w:vertAlign w:val="superscript"/>
                      <w:lang w:eastAsia="es-ES"/>
                    </w:rPr>
                    <w:t>)</w:t>
                  </w:r>
                  <w:r w:rsidRPr="00D3581E">
                    <w:rPr>
                      <w:rFonts w:ascii="Times New Roman" w:hAnsi="Times New Roman" w:cs="Times New Roman"/>
                      <w:sz w:val="23"/>
                      <w:szCs w:val="23"/>
                      <w:lang w:eastAsia="es-ES"/>
                    </w:rPr>
                    <w:t>.</w:t>
                  </w:r>
                </w:p>
                <w:p w14:paraId="2FF80D38"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5A1FDEE8"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Don Carlos Campos Centeno, Coordinador de la Oficina de Comunicaciones Judiciales de Siquirres, mediante correo enviado el 11 de enero de 2021, informó que las charlas no se han logrado impartir, siendo que se tenía agendadas para el año 2020 como recomendación en el informe anterior y al verse afectados por una pandemia se tuvieron que posponer.</w:t>
                  </w:r>
                </w:p>
                <w:p w14:paraId="13B741A7"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785E4F33"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 xml:space="preserve">Sin embargo, facilitaron la lista de lugares detallados a los despachos de Siquirres, así como una serie de características que pueden anotarse como referencia en la toma de una dirección. Con solo lo anterior se puede estimar que el promedio de diligencias en su mayoría </w:t>
                  </w:r>
                  <w:r w:rsidRPr="00D3581E">
                    <w:rPr>
                      <w:rFonts w:ascii="Times New Roman" w:hAnsi="Times New Roman" w:cs="Times New Roman"/>
                      <w:bCs/>
                      <w:sz w:val="23"/>
                      <w:szCs w:val="23"/>
                      <w:lang w:eastAsia="es-ES"/>
                    </w:rPr>
                    <w:lastRenderedPageBreak/>
                    <w:t>pensiones a subido positivamente. Además, constantemente la parte de Tecnología de la Información se encuentra actualizando los lugares a solicitud de la OCJ o Despacho. Se pretende gestionar con Artes Gráficas un cartel con lo requerido para la toma de una dirección y aportarlo a los manifestadores (atienden publico).</w:t>
                  </w:r>
                </w:p>
                <w:p w14:paraId="551145D2"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12B07184"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La invitación a inscribir la iniciativa de impartir charlas programadas de 15 minutos al personal encargado de la recepción de denuncias y demandas, que corresponde al segundo punto de esta acción, fue aceptada, por lo tanto, se sobreentiende que fue ejecutada con resultado positivo.</w:t>
                  </w:r>
                </w:p>
                <w:p w14:paraId="15FFA1D5"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0AF029CB"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Don Carlos Campos Centeno, Coordinador de la Oficina de Comunicaciones Judiciales de Siquirres, mediante correo enviado el 11 de enero de 2021, informó que la oficina se encuentra a disposición de participar, sin embargo, menciona que el concurso buenas prácticas se realiza cada dos años, por lo cual desde la observación en el informe anterior a la fecha no se ha dado la apertura de un nuevo concurso, han consultado y les han indicado que cuando se haga la apertura se anunciará por Prensa y Comunicación vía correo.</w:t>
                  </w:r>
                </w:p>
                <w:p w14:paraId="3A801A2D"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5F790A7C"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El tercer punto de esta acción, de saldar las 215 comunicaciones pendientes de registrar en los sistemas judiciales y diligenciar al 31/10/2019, fue ejecutada con resultado positivo.</w:t>
                  </w:r>
                </w:p>
                <w:p w14:paraId="41942498"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6B4CA41F"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 xml:space="preserve">Don Carlos Campos Centeno, Coordinador de la Oficina de Comunicaciones Judiciales de Siquirres, </w:t>
                  </w:r>
                  <w:r w:rsidRPr="00D3581E">
                    <w:rPr>
                      <w:rFonts w:ascii="Times New Roman" w:hAnsi="Times New Roman" w:cs="Times New Roman"/>
                      <w:bCs/>
                      <w:sz w:val="23"/>
                      <w:szCs w:val="23"/>
                      <w:lang w:eastAsia="es-ES"/>
                    </w:rPr>
                    <w:lastRenderedPageBreak/>
                    <w:t>mediante correo enviado el 11 de enero de 2021, informó que “</w:t>
                  </w:r>
                  <w:r w:rsidRPr="00D3581E">
                    <w:rPr>
                      <w:rFonts w:ascii="Times New Roman" w:hAnsi="Times New Roman" w:cs="Times New Roman"/>
                      <w:bCs/>
                      <w:i/>
                      <w:iCs/>
                      <w:sz w:val="23"/>
                      <w:szCs w:val="23"/>
                      <w:lang w:eastAsia="es-ES"/>
                    </w:rPr>
                    <w:t>Actualmente no existe remanente sin ingresar o diligenciar del año 2019.</w:t>
                  </w:r>
                  <w:r w:rsidRPr="00D3581E">
                    <w:rPr>
                      <w:rFonts w:ascii="Times New Roman" w:hAnsi="Times New Roman" w:cs="Times New Roman"/>
                      <w:bCs/>
                      <w:sz w:val="23"/>
                      <w:szCs w:val="23"/>
                      <w:lang w:eastAsia="es-ES"/>
                    </w:rPr>
                    <w:t>”</w:t>
                  </w:r>
                </w:p>
                <w:p w14:paraId="76412F59"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3DC24D5D"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Se adjuntan las respuestas recibidas, y también otras que apoyan lo informado por el máster Gutiérrez Fernández, Administrador Regional del Segundo Circuito Judicial de la Zona Atlántica:</w:t>
                  </w:r>
                </w:p>
                <w:p w14:paraId="621EAF24"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4E31E76C"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val="es-ES" w:eastAsia="es-ES"/>
                    </w:rPr>
                    <w:object w:dxaOrig="1508" w:dyaOrig="983" w14:anchorId="35E89585">
                      <v:shape id="_x0000_i1028" type="#_x0000_t75" style="width:62pt;height:40.5pt" o:ole="">
                        <v:imagedata r:id="rId14" o:title=""/>
                      </v:shape>
                      <o:OLEObject Type="Embed" ProgID="Package" ShapeID="_x0000_i1028" DrawAspect="Icon" ObjectID="_1689579150" r:id="rId15"/>
                    </w:object>
                  </w:r>
                </w:p>
              </w:tc>
            </w:tr>
            <w:tr w:rsidR="00D3581E" w:rsidRPr="00D3581E" w14:paraId="1899E487" w14:textId="77777777" w:rsidTr="00A20FB3">
              <w:trPr>
                <w:jc w:val="center"/>
              </w:trPr>
              <w:tc>
                <w:tcPr>
                  <w:tcW w:w="3742" w:type="dxa"/>
                  <w:vAlign w:val="center"/>
                </w:tcPr>
                <w:p w14:paraId="59329401"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lastRenderedPageBreak/>
                    <w:t>“</w:t>
                  </w:r>
                  <w:r w:rsidRPr="00D3581E">
                    <w:rPr>
                      <w:rFonts w:ascii="Times New Roman" w:hAnsi="Times New Roman" w:cs="Times New Roman"/>
                      <w:b/>
                      <w:i/>
                      <w:iCs/>
                      <w:sz w:val="23"/>
                      <w:szCs w:val="23"/>
                      <w:lang w:eastAsia="es-ES"/>
                    </w:rPr>
                    <w:t>8)</w:t>
                  </w:r>
                  <w:r w:rsidRPr="00D3581E">
                    <w:rPr>
                      <w:rFonts w:ascii="Times New Roman" w:hAnsi="Times New Roman" w:cs="Times New Roman"/>
                      <w:bCs/>
                      <w:i/>
                      <w:iCs/>
                      <w:sz w:val="23"/>
                      <w:szCs w:val="23"/>
                      <w:lang w:eastAsia="es-ES"/>
                    </w:rPr>
                    <w:t xml:space="preserve"> La Dirección de Planificación realizará el seguimiento correspondiente e informará oportunamente a este Consejo lo pertinente.</w:t>
                  </w:r>
                  <w:r w:rsidRPr="00D3581E">
                    <w:rPr>
                      <w:rFonts w:ascii="Times New Roman" w:hAnsi="Times New Roman" w:cs="Times New Roman"/>
                      <w:bCs/>
                      <w:sz w:val="23"/>
                      <w:szCs w:val="23"/>
                      <w:lang w:eastAsia="es-ES"/>
                    </w:rPr>
                    <w:t>”</w:t>
                  </w:r>
                </w:p>
              </w:tc>
              <w:tc>
                <w:tcPr>
                  <w:tcW w:w="3742" w:type="dxa"/>
                </w:tcPr>
                <w:p w14:paraId="0464D763"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La acción fue ejecutada con resultado positivo.</w:t>
                  </w:r>
                </w:p>
                <w:p w14:paraId="2BA7AF75"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p>
                <w:p w14:paraId="5B02E1B6" w14:textId="77777777" w:rsidR="00D3581E" w:rsidRPr="00D3581E" w:rsidRDefault="00D3581E" w:rsidP="00D3581E">
                  <w:pPr>
                    <w:widowControl w:val="0"/>
                    <w:suppressAutoHyphens w:val="0"/>
                    <w:autoSpaceDE w:val="0"/>
                    <w:autoSpaceDN w:val="0"/>
                    <w:adjustRightInd w:val="0"/>
                    <w:jc w:val="both"/>
                    <w:rPr>
                      <w:rFonts w:ascii="Times New Roman" w:hAnsi="Times New Roman" w:cs="Times New Roman"/>
                      <w:bCs/>
                      <w:sz w:val="23"/>
                      <w:szCs w:val="23"/>
                      <w:lang w:eastAsia="es-ES"/>
                    </w:rPr>
                  </w:pPr>
                  <w:r w:rsidRPr="00D3581E">
                    <w:rPr>
                      <w:rFonts w:ascii="Times New Roman" w:hAnsi="Times New Roman" w:cs="Times New Roman"/>
                      <w:bCs/>
                      <w:sz w:val="23"/>
                      <w:szCs w:val="23"/>
                      <w:lang w:eastAsia="es-ES"/>
                    </w:rPr>
                    <w:t>La elaboración y presentación del presente informe de seguimiento atiende lo solicitado por el Consejo Superior, en el punto ocho del acuerdo tomado en su sesión número 51-2020 celebrada el 21 de mayo de 2020, artículo LIV.</w:t>
                  </w:r>
                </w:p>
              </w:tc>
            </w:tr>
          </w:tbl>
          <w:p w14:paraId="62E0C79D"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r w:rsidRPr="00D3581E">
              <w:rPr>
                <w:bCs/>
                <w:sz w:val="23"/>
                <w:szCs w:val="23"/>
                <w:lang w:val="es-CR" w:eastAsia="es-ES"/>
              </w:rPr>
              <w:t xml:space="preserve"> </w:t>
            </w:r>
          </w:p>
        </w:tc>
      </w:tr>
      <w:tr w:rsidR="00D3581E" w:rsidRPr="00D3581E" w14:paraId="52111C16" w14:textId="77777777" w:rsidTr="00A20FB3">
        <w:trPr>
          <w:trHeight w:val="430"/>
          <w:jc w:val="center"/>
        </w:trPr>
        <w:tc>
          <w:tcPr>
            <w:tcW w:w="2122" w:type="dxa"/>
            <w:shd w:val="clear" w:color="auto" w:fill="B3B3B3"/>
            <w:vAlign w:val="center"/>
          </w:tcPr>
          <w:p w14:paraId="6CD898DD" w14:textId="77777777" w:rsidR="00D3581E" w:rsidRPr="00D3581E" w:rsidRDefault="00D3581E" w:rsidP="00D3581E">
            <w:pPr>
              <w:widowControl w:val="0"/>
              <w:suppressAutoHyphens w:val="0"/>
              <w:autoSpaceDE w:val="0"/>
              <w:autoSpaceDN w:val="0"/>
              <w:adjustRightInd w:val="0"/>
              <w:jc w:val="both"/>
              <w:rPr>
                <w:b/>
                <w:sz w:val="23"/>
                <w:szCs w:val="23"/>
                <w:lang w:val="es-CR" w:eastAsia="es-ES"/>
              </w:rPr>
            </w:pPr>
            <w:r w:rsidRPr="00D3581E">
              <w:rPr>
                <w:b/>
                <w:sz w:val="23"/>
                <w:szCs w:val="23"/>
                <w:lang w:val="es-CR" w:eastAsia="es-ES"/>
              </w:rPr>
              <w:lastRenderedPageBreak/>
              <w:t>Anexo B:</w:t>
            </w:r>
          </w:p>
        </w:tc>
        <w:tc>
          <w:tcPr>
            <w:tcW w:w="7796" w:type="dxa"/>
            <w:gridSpan w:val="3"/>
            <w:vAlign w:val="center"/>
          </w:tcPr>
          <w:p w14:paraId="4C6D3DFC"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r w:rsidRPr="00D3581E">
              <w:rPr>
                <w:bCs/>
                <w:sz w:val="23"/>
                <w:szCs w:val="23"/>
                <w:lang w:val="es-CR" w:eastAsia="es-ES"/>
              </w:rPr>
              <w:t>Respuesta recibida de la Dirección Ejecutiva, en atención al informe preliminar número 689-PLA-EV-2021 sometido a su conocimiento.</w:t>
            </w:r>
          </w:p>
          <w:p w14:paraId="15EFD560"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p>
          <w:p w14:paraId="2CD97BC6" w14:textId="77777777" w:rsidR="00D3581E" w:rsidRPr="00D3581E" w:rsidRDefault="00D3581E" w:rsidP="00D3581E">
            <w:pPr>
              <w:widowControl w:val="0"/>
              <w:suppressAutoHyphens w:val="0"/>
              <w:autoSpaceDE w:val="0"/>
              <w:autoSpaceDN w:val="0"/>
              <w:adjustRightInd w:val="0"/>
              <w:jc w:val="center"/>
              <w:rPr>
                <w:bCs/>
                <w:sz w:val="23"/>
                <w:szCs w:val="23"/>
                <w:lang w:val="es-CR" w:eastAsia="es-ES"/>
              </w:rPr>
            </w:pPr>
            <w:r w:rsidRPr="00D3581E">
              <w:rPr>
                <w:bCs/>
                <w:sz w:val="23"/>
                <w:szCs w:val="23"/>
                <w:lang w:val="es-CR" w:eastAsia="es-ES"/>
              </w:rPr>
              <w:object w:dxaOrig="1520" w:dyaOrig="987" w14:anchorId="36BCF033">
                <v:shape id="_x0000_i1029" type="#_x0000_t75" style="width:77pt;height:49pt" o:ole="">
                  <v:imagedata r:id="rId16" o:title=""/>
                </v:shape>
                <o:OLEObject Type="Embed" ProgID="Package" ShapeID="_x0000_i1029" DrawAspect="Icon" ObjectID="_1689579151" r:id="rId17"/>
              </w:object>
            </w:r>
          </w:p>
          <w:p w14:paraId="2E6E21BD"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p>
        </w:tc>
      </w:tr>
      <w:tr w:rsidR="00D3581E" w:rsidRPr="00D3581E" w14:paraId="3F12F6F5" w14:textId="77777777" w:rsidTr="00A20FB3">
        <w:trPr>
          <w:trHeight w:val="430"/>
          <w:jc w:val="center"/>
        </w:trPr>
        <w:tc>
          <w:tcPr>
            <w:tcW w:w="2122" w:type="dxa"/>
            <w:shd w:val="clear" w:color="auto" w:fill="B3B3B3"/>
            <w:vAlign w:val="center"/>
          </w:tcPr>
          <w:p w14:paraId="756F5C51" w14:textId="77777777" w:rsidR="00D3581E" w:rsidRPr="00D3581E" w:rsidRDefault="00D3581E" w:rsidP="00D3581E">
            <w:pPr>
              <w:widowControl w:val="0"/>
              <w:suppressAutoHyphens w:val="0"/>
              <w:autoSpaceDE w:val="0"/>
              <w:autoSpaceDN w:val="0"/>
              <w:adjustRightInd w:val="0"/>
              <w:jc w:val="both"/>
              <w:rPr>
                <w:b/>
                <w:sz w:val="23"/>
                <w:szCs w:val="23"/>
                <w:lang w:val="es-CR" w:eastAsia="es-ES"/>
              </w:rPr>
            </w:pPr>
            <w:r w:rsidRPr="00D3581E">
              <w:rPr>
                <w:b/>
                <w:sz w:val="23"/>
                <w:szCs w:val="23"/>
                <w:lang w:val="es-CR" w:eastAsia="es-ES"/>
              </w:rPr>
              <w:t>Realizado por:</w:t>
            </w:r>
          </w:p>
        </w:tc>
        <w:tc>
          <w:tcPr>
            <w:tcW w:w="7796" w:type="dxa"/>
            <w:gridSpan w:val="3"/>
            <w:vAlign w:val="center"/>
          </w:tcPr>
          <w:p w14:paraId="4C3597F2"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r w:rsidRPr="00D3581E">
              <w:rPr>
                <w:bCs/>
                <w:sz w:val="23"/>
                <w:szCs w:val="23"/>
                <w:lang w:val="es-CR" w:eastAsia="es-ES"/>
              </w:rPr>
              <w:t>Lic. Rodolfo González Fernández, Profesional 2, Unidad de Evaluación Operativa</w:t>
            </w:r>
          </w:p>
        </w:tc>
      </w:tr>
      <w:tr w:rsidR="00D3581E" w:rsidRPr="00D3581E" w14:paraId="3272DA69" w14:textId="77777777" w:rsidTr="00A20FB3">
        <w:trPr>
          <w:trHeight w:val="62"/>
          <w:jc w:val="center"/>
        </w:trPr>
        <w:tc>
          <w:tcPr>
            <w:tcW w:w="2122" w:type="dxa"/>
            <w:shd w:val="clear" w:color="auto" w:fill="B3B3B3"/>
            <w:vAlign w:val="center"/>
          </w:tcPr>
          <w:p w14:paraId="5598D8E3" w14:textId="77777777" w:rsidR="00D3581E" w:rsidRPr="00D3581E" w:rsidRDefault="00D3581E" w:rsidP="00D3581E">
            <w:pPr>
              <w:widowControl w:val="0"/>
              <w:suppressAutoHyphens w:val="0"/>
              <w:autoSpaceDE w:val="0"/>
              <w:autoSpaceDN w:val="0"/>
              <w:adjustRightInd w:val="0"/>
              <w:jc w:val="both"/>
              <w:rPr>
                <w:b/>
                <w:sz w:val="23"/>
                <w:szCs w:val="23"/>
                <w:lang w:val="es-CR" w:eastAsia="es-ES"/>
              </w:rPr>
            </w:pPr>
            <w:r w:rsidRPr="00D3581E">
              <w:rPr>
                <w:b/>
                <w:sz w:val="23"/>
                <w:szCs w:val="23"/>
                <w:lang w:val="es-CR" w:eastAsia="es-ES"/>
              </w:rPr>
              <w:t>Revisado por:</w:t>
            </w:r>
          </w:p>
        </w:tc>
        <w:tc>
          <w:tcPr>
            <w:tcW w:w="7796" w:type="dxa"/>
            <w:gridSpan w:val="3"/>
            <w:vAlign w:val="center"/>
          </w:tcPr>
          <w:p w14:paraId="63C56C08"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r w:rsidRPr="00D3581E">
              <w:rPr>
                <w:bCs/>
                <w:sz w:val="23"/>
                <w:szCs w:val="23"/>
                <w:lang w:val="es-CR" w:eastAsia="es-ES"/>
              </w:rPr>
              <w:t xml:space="preserve">Inga. Elena Gabriela Picado González, </w:t>
            </w:r>
            <w:proofErr w:type="gramStart"/>
            <w:r w:rsidRPr="00D3581E">
              <w:rPr>
                <w:bCs/>
                <w:sz w:val="23"/>
                <w:szCs w:val="23"/>
                <w:lang w:val="es-CR" w:eastAsia="es-ES"/>
              </w:rPr>
              <w:t>Jefa</w:t>
            </w:r>
            <w:proofErr w:type="gramEnd"/>
            <w:r w:rsidRPr="00D3581E">
              <w:rPr>
                <w:bCs/>
                <w:sz w:val="23"/>
                <w:szCs w:val="23"/>
                <w:lang w:val="es-CR" w:eastAsia="es-ES"/>
              </w:rPr>
              <w:t xml:space="preserve"> </w:t>
            </w:r>
            <w:proofErr w:type="spellStart"/>
            <w:r w:rsidRPr="00D3581E">
              <w:rPr>
                <w:bCs/>
                <w:sz w:val="23"/>
                <w:szCs w:val="23"/>
                <w:lang w:val="es-CR" w:eastAsia="es-ES"/>
              </w:rPr>
              <w:t>a.i.</w:t>
            </w:r>
            <w:proofErr w:type="spellEnd"/>
            <w:r w:rsidRPr="00D3581E">
              <w:rPr>
                <w:bCs/>
                <w:sz w:val="23"/>
                <w:szCs w:val="23"/>
                <w:lang w:val="es-CR" w:eastAsia="es-ES"/>
              </w:rPr>
              <w:t xml:space="preserve"> Subproceso Evaluación</w:t>
            </w:r>
          </w:p>
          <w:p w14:paraId="27CE5A81"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r w:rsidRPr="00D3581E">
              <w:rPr>
                <w:bCs/>
                <w:sz w:val="23"/>
                <w:szCs w:val="23"/>
                <w:lang w:val="es-CR" w:eastAsia="es-ES"/>
              </w:rPr>
              <w:t>Máster Rocío Picado Vargas, Coordinadora Unidad Operativa</w:t>
            </w:r>
          </w:p>
        </w:tc>
      </w:tr>
      <w:tr w:rsidR="00D3581E" w:rsidRPr="00D3581E" w14:paraId="2149EE29" w14:textId="77777777" w:rsidTr="00A20FB3">
        <w:trPr>
          <w:trHeight w:val="23"/>
          <w:jc w:val="center"/>
        </w:trPr>
        <w:tc>
          <w:tcPr>
            <w:tcW w:w="2122" w:type="dxa"/>
            <w:shd w:val="clear" w:color="auto" w:fill="B3B3B3"/>
            <w:vAlign w:val="center"/>
          </w:tcPr>
          <w:p w14:paraId="7B31B5EC" w14:textId="77777777" w:rsidR="00D3581E" w:rsidRPr="00D3581E" w:rsidRDefault="00D3581E" w:rsidP="00D3581E">
            <w:pPr>
              <w:widowControl w:val="0"/>
              <w:suppressAutoHyphens w:val="0"/>
              <w:autoSpaceDE w:val="0"/>
              <w:autoSpaceDN w:val="0"/>
              <w:adjustRightInd w:val="0"/>
              <w:jc w:val="both"/>
              <w:rPr>
                <w:b/>
                <w:sz w:val="23"/>
                <w:szCs w:val="23"/>
                <w:lang w:val="es-CR" w:eastAsia="es-ES"/>
              </w:rPr>
            </w:pPr>
            <w:r w:rsidRPr="00D3581E">
              <w:rPr>
                <w:b/>
                <w:sz w:val="23"/>
                <w:szCs w:val="23"/>
                <w:lang w:val="es-CR" w:eastAsia="es-ES"/>
              </w:rPr>
              <w:t>Aprobado por:</w:t>
            </w:r>
          </w:p>
        </w:tc>
        <w:tc>
          <w:tcPr>
            <w:tcW w:w="7796" w:type="dxa"/>
            <w:gridSpan w:val="3"/>
            <w:vAlign w:val="center"/>
          </w:tcPr>
          <w:p w14:paraId="3D1D1F63" w14:textId="77777777" w:rsidR="00D3581E" w:rsidRPr="00D3581E" w:rsidRDefault="00D3581E" w:rsidP="00D3581E">
            <w:pPr>
              <w:widowControl w:val="0"/>
              <w:suppressAutoHyphens w:val="0"/>
              <w:autoSpaceDE w:val="0"/>
              <w:autoSpaceDN w:val="0"/>
              <w:adjustRightInd w:val="0"/>
              <w:jc w:val="both"/>
              <w:rPr>
                <w:bCs/>
                <w:sz w:val="23"/>
                <w:szCs w:val="23"/>
                <w:lang w:val="es-CR" w:eastAsia="es-ES"/>
              </w:rPr>
            </w:pPr>
            <w:r w:rsidRPr="00D3581E">
              <w:rPr>
                <w:bCs/>
                <w:sz w:val="23"/>
                <w:szCs w:val="23"/>
                <w:lang w:val="es-CR" w:eastAsia="es-ES"/>
              </w:rPr>
              <w:t>Máster Erick Antonio Mora Leiva, Jefe Proceso Planeación y Evaluación</w:t>
            </w:r>
          </w:p>
        </w:tc>
      </w:tr>
    </w:tbl>
    <w:p w14:paraId="2C426287" w14:textId="77777777" w:rsidR="00D3581E" w:rsidRPr="00D3581E" w:rsidRDefault="00D3581E" w:rsidP="00D3581E">
      <w:pPr>
        <w:widowControl w:val="0"/>
        <w:suppressAutoHyphens w:val="0"/>
        <w:autoSpaceDE w:val="0"/>
        <w:autoSpaceDN w:val="0"/>
        <w:adjustRightInd w:val="0"/>
        <w:rPr>
          <w:b/>
          <w:bCs/>
          <w:sz w:val="23"/>
          <w:szCs w:val="23"/>
          <w:lang w:val="es-CR" w:eastAsia="es-ES"/>
        </w:rPr>
      </w:pPr>
    </w:p>
    <w:p w14:paraId="09CAA166" w14:textId="77777777" w:rsidR="00D3581E" w:rsidRPr="00D3581E" w:rsidRDefault="00D3581E" w:rsidP="00D3581E">
      <w:pPr>
        <w:widowControl w:val="0"/>
        <w:suppressAutoHyphens w:val="0"/>
        <w:autoSpaceDE w:val="0"/>
        <w:autoSpaceDN w:val="0"/>
        <w:adjustRightInd w:val="0"/>
        <w:rPr>
          <w:sz w:val="23"/>
          <w:szCs w:val="23"/>
          <w:lang w:val="es-CR" w:eastAsia="es-ES"/>
        </w:rPr>
      </w:pPr>
      <w:r w:rsidRPr="00D3581E">
        <w:rPr>
          <w:sz w:val="23"/>
          <w:szCs w:val="23"/>
          <w:lang w:val="es-CR" w:eastAsia="es-ES"/>
        </w:rPr>
        <w:t>(…)”.</w:t>
      </w:r>
    </w:p>
    <w:p w14:paraId="3D9E7D0D" w14:textId="77777777" w:rsidR="00D3581E" w:rsidRPr="00D3581E" w:rsidRDefault="00D3581E" w:rsidP="00D3581E">
      <w:pPr>
        <w:widowControl w:val="0"/>
        <w:suppressAutoHyphens w:val="0"/>
        <w:autoSpaceDE w:val="0"/>
        <w:autoSpaceDN w:val="0"/>
        <w:adjustRightInd w:val="0"/>
        <w:ind w:firstLine="708"/>
        <w:jc w:val="center"/>
        <w:rPr>
          <w:sz w:val="23"/>
          <w:szCs w:val="23"/>
          <w:lang w:val="es-CR" w:eastAsia="es-ES"/>
        </w:rPr>
      </w:pPr>
      <w:r w:rsidRPr="00D3581E">
        <w:rPr>
          <w:sz w:val="23"/>
          <w:szCs w:val="23"/>
          <w:lang w:val="es-CR" w:eastAsia="es-ES"/>
        </w:rPr>
        <w:t>-0-</w:t>
      </w:r>
    </w:p>
    <w:p w14:paraId="04304201" w14:textId="77777777" w:rsidR="00D3581E" w:rsidRPr="00D3581E" w:rsidRDefault="00D3581E" w:rsidP="00D3581E">
      <w:pPr>
        <w:widowControl w:val="0"/>
        <w:suppressAutoHyphens w:val="0"/>
        <w:autoSpaceDE w:val="0"/>
        <w:autoSpaceDN w:val="0"/>
        <w:adjustRightInd w:val="0"/>
        <w:rPr>
          <w:sz w:val="23"/>
          <w:szCs w:val="23"/>
          <w:lang w:val="es-CR" w:eastAsia="es-ES"/>
        </w:rPr>
      </w:pPr>
    </w:p>
    <w:p w14:paraId="4A60D184" w14:textId="574212F7" w:rsidR="00D3581E" w:rsidRPr="00D3581E" w:rsidRDefault="00D3581E" w:rsidP="00D3581E">
      <w:pPr>
        <w:widowControl w:val="0"/>
        <w:suppressAutoHyphens w:val="0"/>
        <w:autoSpaceDE w:val="0"/>
        <w:autoSpaceDN w:val="0"/>
        <w:adjustRightInd w:val="0"/>
        <w:ind w:firstLine="709"/>
        <w:jc w:val="both"/>
        <w:rPr>
          <w:sz w:val="23"/>
          <w:szCs w:val="23"/>
          <w:lang w:val="es-CR" w:eastAsia="es-ES"/>
        </w:rPr>
      </w:pPr>
      <w:r w:rsidRPr="00D3581E">
        <w:rPr>
          <w:sz w:val="23"/>
          <w:szCs w:val="23"/>
          <w:lang w:val="es-CR" w:eastAsia="es-ES"/>
        </w:rPr>
        <w:t xml:space="preserve">En sesión </w:t>
      </w:r>
      <w:proofErr w:type="spellStart"/>
      <w:r w:rsidRPr="00D3581E">
        <w:rPr>
          <w:sz w:val="23"/>
          <w:szCs w:val="23"/>
          <w:lang w:val="es-CR" w:eastAsia="es-ES"/>
        </w:rPr>
        <w:t>N°</w:t>
      </w:r>
      <w:proofErr w:type="spellEnd"/>
      <w:r w:rsidRPr="00D3581E">
        <w:rPr>
          <w:sz w:val="23"/>
          <w:szCs w:val="23"/>
          <w:lang w:val="es-CR" w:eastAsia="es-ES"/>
        </w:rPr>
        <w:t xml:space="preserve"> 51-2020 celebrada el 21 de mayo del 2020, artículo LIV, se rindió el oficio </w:t>
      </w:r>
      <w:proofErr w:type="spellStart"/>
      <w:r w:rsidRPr="00D3581E">
        <w:rPr>
          <w:sz w:val="23"/>
          <w:szCs w:val="23"/>
          <w:lang w:val="es-CR" w:eastAsia="es-ES"/>
        </w:rPr>
        <w:t>N°</w:t>
      </w:r>
      <w:proofErr w:type="spellEnd"/>
      <w:r w:rsidRPr="00D3581E">
        <w:rPr>
          <w:sz w:val="23"/>
          <w:szCs w:val="23"/>
          <w:lang w:val="es-CR" w:eastAsia="es-ES"/>
        </w:rPr>
        <w:t xml:space="preserve"> </w:t>
      </w:r>
      <w:r w:rsidRPr="00D3581E">
        <w:rPr>
          <w:sz w:val="23"/>
          <w:szCs w:val="23"/>
          <w:lang w:val="es-CR" w:eastAsia="en-US"/>
        </w:rPr>
        <w:t xml:space="preserve">634-PLA-EV-2020 </w:t>
      </w:r>
      <w:r w:rsidRPr="00D3581E">
        <w:rPr>
          <w:sz w:val="23"/>
          <w:szCs w:val="23"/>
          <w:lang w:val="es-CR" w:eastAsia="es-ES"/>
        </w:rPr>
        <w:t xml:space="preserve">de la Dirección de Planificación y avalaron las recomendaciones sugeridas en el </w:t>
      </w:r>
      <w:r w:rsidRPr="00D3581E">
        <w:rPr>
          <w:sz w:val="23"/>
          <w:szCs w:val="23"/>
          <w:lang w:val="es-CR" w:eastAsia="es-ES"/>
        </w:rPr>
        <w:lastRenderedPageBreak/>
        <w:t>informe relacionado con los resultados del seguimiento realizado al funcionamiento de la nueva Oficina de Comunicaciones Judiciales de Siquirres durante noviembre de 2019.</w:t>
      </w:r>
    </w:p>
    <w:p w14:paraId="1CDE73A3" w14:textId="77777777" w:rsidR="00D3581E" w:rsidRPr="00D3581E" w:rsidRDefault="00D3581E" w:rsidP="00D3581E">
      <w:pPr>
        <w:widowControl w:val="0"/>
        <w:suppressAutoHyphens w:val="0"/>
        <w:autoSpaceDE w:val="0"/>
        <w:autoSpaceDN w:val="0"/>
        <w:adjustRightInd w:val="0"/>
        <w:ind w:firstLine="709"/>
        <w:jc w:val="both"/>
        <w:rPr>
          <w:sz w:val="23"/>
          <w:szCs w:val="23"/>
          <w:lang w:val="es-CR" w:eastAsia="es-ES"/>
        </w:rPr>
      </w:pPr>
    </w:p>
    <w:p w14:paraId="7F5294C8" w14:textId="1D06E8E4" w:rsidR="00D3581E" w:rsidRPr="00D3581E" w:rsidRDefault="00D3581E" w:rsidP="00D3581E">
      <w:pPr>
        <w:widowControl w:val="0"/>
        <w:suppressAutoHyphens w:val="0"/>
        <w:autoSpaceDE w:val="0"/>
        <w:autoSpaceDN w:val="0"/>
        <w:adjustRightInd w:val="0"/>
        <w:ind w:firstLine="709"/>
        <w:jc w:val="both"/>
        <w:rPr>
          <w:sz w:val="23"/>
          <w:szCs w:val="23"/>
          <w:lang w:val="es-CR" w:eastAsia="es-ES"/>
        </w:rPr>
      </w:pPr>
      <w:r w:rsidRPr="00D3581E">
        <w:rPr>
          <w:color w:val="000000"/>
          <w:sz w:val="23"/>
          <w:szCs w:val="23"/>
          <w:lang w:val="es-CR" w:eastAsia="es-ES"/>
        </w:rPr>
        <w:t xml:space="preserve">Posteriormente, </w:t>
      </w:r>
      <w:r w:rsidRPr="00D3581E">
        <w:rPr>
          <w:sz w:val="23"/>
          <w:szCs w:val="23"/>
          <w:lang w:val="es-CR" w:eastAsia="es-ES"/>
        </w:rPr>
        <w:t xml:space="preserve">en sesión </w:t>
      </w:r>
      <w:proofErr w:type="spellStart"/>
      <w:r w:rsidRPr="00D3581E">
        <w:rPr>
          <w:sz w:val="23"/>
          <w:szCs w:val="23"/>
          <w:lang w:val="es-CR" w:eastAsia="es-ES"/>
        </w:rPr>
        <w:t>N°</w:t>
      </w:r>
      <w:proofErr w:type="spellEnd"/>
      <w:r w:rsidRPr="00D3581E">
        <w:rPr>
          <w:sz w:val="23"/>
          <w:szCs w:val="23"/>
          <w:lang w:val="es-CR" w:eastAsia="es-ES"/>
        </w:rPr>
        <w:t xml:space="preserve"> 100-2020 celebrada el 20 de octubre del 2020, artículo XLII, se tomó nota de lo comunicado por la Dirección de Planificación y estar a la espera del seguimiento del informe relacionado con los resultados del seguimiento realizado al funcionamiento de la nueva Oficina de Comunicaciones Judiciales de Siquirres durante noviembre de 2019, estar a la espera de lo solicitado en sesión </w:t>
      </w:r>
      <w:proofErr w:type="spellStart"/>
      <w:r w:rsidRPr="00D3581E">
        <w:rPr>
          <w:sz w:val="23"/>
          <w:szCs w:val="23"/>
          <w:lang w:val="es-CR" w:eastAsia="es-ES"/>
        </w:rPr>
        <w:t>N°</w:t>
      </w:r>
      <w:proofErr w:type="spellEnd"/>
      <w:r w:rsidRPr="00D3581E">
        <w:rPr>
          <w:sz w:val="23"/>
          <w:szCs w:val="23"/>
          <w:lang w:val="es-CR" w:eastAsia="es-ES"/>
        </w:rPr>
        <w:t xml:space="preserve"> 51-2020 celebrada el 21 de mayo de 2020, artículo LIV, el cual deberá ser remitirse durante el primer semestre del 2021.</w:t>
      </w:r>
    </w:p>
    <w:p w14:paraId="2D2140E8" w14:textId="77777777" w:rsidR="00D3581E" w:rsidRPr="00D3581E" w:rsidRDefault="00D3581E" w:rsidP="00D3581E">
      <w:pPr>
        <w:widowControl w:val="0"/>
        <w:suppressAutoHyphens w:val="0"/>
        <w:autoSpaceDE w:val="0"/>
        <w:autoSpaceDN w:val="0"/>
        <w:adjustRightInd w:val="0"/>
        <w:ind w:firstLine="709"/>
        <w:jc w:val="both"/>
        <w:rPr>
          <w:sz w:val="23"/>
          <w:szCs w:val="23"/>
          <w:lang w:val="es-CR" w:eastAsia="es-ES"/>
        </w:rPr>
      </w:pPr>
    </w:p>
    <w:p w14:paraId="1E22C913" w14:textId="40989E5F" w:rsidR="00D3581E" w:rsidRPr="00D3581E" w:rsidRDefault="00D3581E" w:rsidP="00D3581E">
      <w:pPr>
        <w:jc w:val="center"/>
        <w:rPr>
          <w:bCs/>
          <w:spacing w:val="2"/>
          <w:sz w:val="23"/>
          <w:szCs w:val="23"/>
          <w:lang w:val="es-CR"/>
        </w:rPr>
      </w:pPr>
      <w:r w:rsidRPr="00D3581E">
        <w:rPr>
          <w:bCs/>
          <w:spacing w:val="2"/>
          <w:sz w:val="23"/>
          <w:szCs w:val="23"/>
          <w:lang w:val="es-CR"/>
        </w:rPr>
        <w:t>- 0 –</w:t>
      </w:r>
    </w:p>
    <w:p w14:paraId="43FA0D4D" w14:textId="77777777" w:rsidR="00D3581E" w:rsidRPr="00D3581E" w:rsidRDefault="00D3581E" w:rsidP="00D3581E">
      <w:pPr>
        <w:jc w:val="both"/>
        <w:rPr>
          <w:bCs/>
          <w:sz w:val="23"/>
          <w:szCs w:val="23"/>
          <w:lang w:val="es-CR"/>
        </w:rPr>
      </w:pPr>
    </w:p>
    <w:p w14:paraId="3BF50834" w14:textId="41067FDA" w:rsidR="00294863" w:rsidRPr="00D3581E" w:rsidRDefault="00D3581E" w:rsidP="00D3581E">
      <w:pPr>
        <w:keepNext/>
        <w:tabs>
          <w:tab w:val="num" w:pos="0"/>
        </w:tabs>
        <w:jc w:val="both"/>
        <w:outlineLvl w:val="1"/>
        <w:rPr>
          <w:sz w:val="23"/>
          <w:szCs w:val="23"/>
        </w:rPr>
      </w:pPr>
      <w:r w:rsidRPr="00D3581E">
        <w:rPr>
          <w:b/>
          <w:bCs/>
          <w:sz w:val="23"/>
          <w:szCs w:val="23"/>
          <w:lang w:val="es-CR" w:eastAsia="es-ES"/>
        </w:rPr>
        <w:tab/>
        <w:t xml:space="preserve">Se acordó: 1) </w:t>
      </w:r>
      <w:r w:rsidRPr="00D3581E">
        <w:rPr>
          <w:sz w:val="23"/>
          <w:szCs w:val="23"/>
          <w:lang w:val="es-CR" w:eastAsia="es-ES"/>
        </w:rPr>
        <w:t xml:space="preserve">Tener por rendido el oficio </w:t>
      </w:r>
      <w:proofErr w:type="spellStart"/>
      <w:r w:rsidRPr="00D3581E">
        <w:rPr>
          <w:sz w:val="23"/>
          <w:szCs w:val="23"/>
          <w:lang w:val="es-CR" w:eastAsia="en-US"/>
        </w:rPr>
        <w:t>Nº</w:t>
      </w:r>
      <w:proofErr w:type="spellEnd"/>
      <w:r w:rsidRPr="00D3581E">
        <w:rPr>
          <w:sz w:val="23"/>
          <w:szCs w:val="23"/>
          <w:lang w:val="es-CR" w:eastAsia="en-US"/>
        </w:rPr>
        <w:t xml:space="preserve"> 752-PLA-EV-2021 </w:t>
      </w:r>
      <w:r w:rsidRPr="00D3581E">
        <w:rPr>
          <w:sz w:val="23"/>
          <w:szCs w:val="23"/>
          <w:lang w:val="es-CR" w:eastAsia="es-ES"/>
        </w:rPr>
        <w:t xml:space="preserve">de la Dirección de Planificación, mediante el cual se remite el informe relacionado con los resultados obtenidos del segundo seguimiento realizado a la Oficina de Comunicaciones Judiciales de Siquirres, a finales de 2020. </w:t>
      </w:r>
      <w:r w:rsidRPr="00D3581E">
        <w:rPr>
          <w:b/>
          <w:sz w:val="23"/>
          <w:szCs w:val="23"/>
          <w:lang w:val="es-CR" w:eastAsia="es-ES"/>
        </w:rPr>
        <w:t>2)</w:t>
      </w:r>
      <w:r w:rsidRPr="00D3581E">
        <w:rPr>
          <w:sz w:val="23"/>
          <w:szCs w:val="23"/>
          <w:lang w:val="es-CR" w:eastAsia="es-ES"/>
        </w:rPr>
        <w:t xml:space="preserve"> Acoger la recomendación </w:t>
      </w:r>
      <w:r w:rsidRPr="00D3581E">
        <w:rPr>
          <w:bCs/>
          <w:sz w:val="23"/>
          <w:szCs w:val="23"/>
          <w:lang w:val="es-CR" w:eastAsia="es-ES"/>
        </w:rPr>
        <w:t xml:space="preserve">5.1 de este informe, por lo que </w:t>
      </w:r>
      <w:r w:rsidRPr="00D3581E">
        <w:rPr>
          <w:sz w:val="23"/>
          <w:szCs w:val="23"/>
          <w:lang w:val="es-CR" w:eastAsia="es-ES"/>
        </w:rPr>
        <w:t xml:space="preserve">la Oficina de Comunicaciones Judiciales de Siquirres, deberá concluir la acción encomendada de </w:t>
      </w:r>
      <w:r w:rsidRPr="00D3581E">
        <w:rPr>
          <w:bCs/>
          <w:sz w:val="23"/>
          <w:szCs w:val="23"/>
          <w:lang w:val="es-CR" w:eastAsia="es-ES"/>
        </w:rPr>
        <w:t>impartir charlas programadas de 15 minutos al personal a cargo de la recepción de denuncias y demandas</w:t>
      </w:r>
      <w:r w:rsidRPr="00D3581E">
        <w:rPr>
          <w:sz w:val="23"/>
          <w:szCs w:val="23"/>
          <w:lang w:val="es-CR" w:eastAsia="es-ES"/>
        </w:rPr>
        <w:t>; para esos efectos podrá hacer uso de las plataformas de comunicaciones con las que se cuentan a nivel institucional. Además, deberá rendir ante la Dirección de Planificación un informe de avance en el plazo de tres meses contados a partir de la comunicación del presente acuerdo</w:t>
      </w:r>
      <w:r w:rsidRPr="00D3581E">
        <w:rPr>
          <w:bCs/>
          <w:sz w:val="23"/>
          <w:szCs w:val="23"/>
          <w:lang w:val="es-CR" w:eastAsia="es-ES"/>
        </w:rPr>
        <w:t xml:space="preserve">. </w:t>
      </w:r>
      <w:r w:rsidRPr="00D3581E">
        <w:rPr>
          <w:b/>
          <w:bCs/>
          <w:sz w:val="23"/>
          <w:szCs w:val="23"/>
          <w:lang w:val="es-CR" w:eastAsia="es-ES"/>
        </w:rPr>
        <w:t xml:space="preserve">3) </w:t>
      </w:r>
      <w:r w:rsidRPr="00D3581E">
        <w:rPr>
          <w:sz w:val="23"/>
          <w:szCs w:val="23"/>
          <w:lang w:val="es-CR" w:eastAsia="es-ES"/>
        </w:rPr>
        <w:t xml:space="preserve">Hacer este acuerdo de conocimiento de la Dirección de Planificación, la Oficina de Comunicaciones Judiciales de Siquirres, la Fiscalía Adjunta de Siquirres, la Dirección Ejecutiva, la Dirección de Gestión Humana y la Administración Regional del Segundo Circuito Judicial de la Zona Atlántica, para lo que a cada una corresponda. </w:t>
      </w:r>
      <w:r w:rsidRPr="00D3581E">
        <w:rPr>
          <w:rFonts w:eastAsia="Calibri"/>
          <w:b/>
          <w:sz w:val="23"/>
          <w:szCs w:val="23"/>
          <w:lang w:val="es-CR" w:eastAsia="en-US"/>
        </w:rPr>
        <w:t>Se declara acuerdo firme</w:t>
      </w:r>
      <w:r w:rsidR="009F45D2" w:rsidRPr="00D3581E">
        <w:rPr>
          <w:sz w:val="23"/>
          <w:szCs w:val="23"/>
        </w:rPr>
        <w:t>”</w:t>
      </w:r>
    </w:p>
    <w:p w14:paraId="42487581" w14:textId="77777777" w:rsidR="00294863" w:rsidRPr="00D3581E" w:rsidRDefault="00294863" w:rsidP="00D3581E">
      <w:pPr>
        <w:widowControl w:val="0"/>
        <w:autoSpaceDE w:val="0"/>
        <w:autoSpaceDN w:val="0"/>
        <w:adjustRightInd w:val="0"/>
        <w:ind w:left="851" w:right="851"/>
        <w:jc w:val="both"/>
        <w:rPr>
          <w:sz w:val="23"/>
          <w:szCs w:val="23"/>
        </w:rPr>
      </w:pPr>
    </w:p>
    <w:p w14:paraId="70D09BB2" w14:textId="77777777" w:rsidR="009033DA" w:rsidRPr="00D3581E" w:rsidRDefault="009033DA" w:rsidP="00D3581E">
      <w:pPr>
        <w:widowControl w:val="0"/>
        <w:autoSpaceDE w:val="0"/>
        <w:autoSpaceDN w:val="0"/>
        <w:adjustRightInd w:val="0"/>
        <w:ind w:left="851" w:right="851"/>
        <w:jc w:val="both"/>
        <w:rPr>
          <w:sz w:val="23"/>
          <w:szCs w:val="23"/>
        </w:rPr>
      </w:pPr>
    </w:p>
    <w:p w14:paraId="0DF1E099" w14:textId="77777777" w:rsidR="003D6337" w:rsidRPr="00D3581E" w:rsidRDefault="00561024" w:rsidP="00D3581E">
      <w:pPr>
        <w:tabs>
          <w:tab w:val="left" w:pos="4295"/>
        </w:tabs>
        <w:ind w:left="3969"/>
        <w:jc w:val="both"/>
        <w:rPr>
          <w:b/>
          <w:bCs/>
          <w:sz w:val="23"/>
          <w:szCs w:val="23"/>
        </w:rPr>
      </w:pPr>
      <w:r w:rsidRPr="00D3581E">
        <w:rPr>
          <w:b/>
          <w:bCs/>
          <w:sz w:val="23"/>
          <w:szCs w:val="23"/>
        </w:rPr>
        <w:t>A</w:t>
      </w:r>
      <w:r w:rsidR="003D6337" w:rsidRPr="00D3581E">
        <w:rPr>
          <w:b/>
          <w:bCs/>
          <w:sz w:val="23"/>
          <w:szCs w:val="23"/>
        </w:rPr>
        <w:t xml:space="preserve">tentamente, </w:t>
      </w:r>
    </w:p>
    <w:p w14:paraId="1341F479" w14:textId="77777777" w:rsidR="003D6337" w:rsidRPr="00D3581E" w:rsidRDefault="003D6337" w:rsidP="00D3581E">
      <w:pPr>
        <w:ind w:left="3969"/>
        <w:jc w:val="both"/>
        <w:rPr>
          <w:b/>
          <w:bCs/>
          <w:sz w:val="23"/>
          <w:szCs w:val="23"/>
        </w:rPr>
      </w:pPr>
    </w:p>
    <w:p w14:paraId="644C83D9" w14:textId="77777777" w:rsidR="003D6337" w:rsidRPr="00D3581E" w:rsidRDefault="003D6337" w:rsidP="00D3581E">
      <w:pPr>
        <w:ind w:left="3969"/>
        <w:jc w:val="both"/>
        <w:rPr>
          <w:b/>
          <w:bCs/>
          <w:sz w:val="23"/>
          <w:szCs w:val="23"/>
        </w:rPr>
      </w:pPr>
    </w:p>
    <w:p w14:paraId="666AF705" w14:textId="77777777" w:rsidR="003D6337" w:rsidRPr="00D3581E" w:rsidRDefault="003D6337" w:rsidP="00D3581E">
      <w:pPr>
        <w:ind w:left="3969"/>
        <w:jc w:val="both"/>
        <w:rPr>
          <w:b/>
          <w:bCs/>
          <w:sz w:val="23"/>
          <w:szCs w:val="23"/>
          <w:lang w:val="es-ES_tradnl"/>
        </w:rPr>
      </w:pPr>
    </w:p>
    <w:p w14:paraId="309356D4" w14:textId="77777777" w:rsidR="00910D0C" w:rsidRPr="00D3581E" w:rsidRDefault="00910D0C" w:rsidP="00D3581E">
      <w:pPr>
        <w:ind w:left="3969"/>
        <w:jc w:val="both"/>
        <w:rPr>
          <w:b/>
          <w:bCs/>
          <w:sz w:val="23"/>
          <w:szCs w:val="23"/>
          <w:lang w:val="es-ES_tradnl"/>
        </w:rPr>
      </w:pPr>
    </w:p>
    <w:p w14:paraId="060864A4" w14:textId="77777777" w:rsidR="00970370" w:rsidRPr="00D3581E" w:rsidRDefault="00970370" w:rsidP="00D3581E">
      <w:pPr>
        <w:ind w:left="3969"/>
        <w:jc w:val="both"/>
        <w:rPr>
          <w:b/>
          <w:bCs/>
          <w:sz w:val="23"/>
          <w:szCs w:val="23"/>
        </w:rPr>
      </w:pPr>
      <w:r w:rsidRPr="00D3581E">
        <w:rPr>
          <w:b/>
          <w:bCs/>
          <w:sz w:val="23"/>
          <w:szCs w:val="23"/>
        </w:rPr>
        <w:t>Lic. Eduardo Chacón Monge</w:t>
      </w:r>
    </w:p>
    <w:p w14:paraId="0A4B74CD" w14:textId="2E4CCFE2" w:rsidR="00F45B53" w:rsidRPr="00D3581E" w:rsidRDefault="00970370" w:rsidP="00D3581E">
      <w:pPr>
        <w:ind w:left="3969"/>
        <w:jc w:val="both"/>
        <w:rPr>
          <w:b/>
          <w:bCs/>
          <w:sz w:val="23"/>
          <w:szCs w:val="23"/>
        </w:rPr>
      </w:pPr>
      <w:r w:rsidRPr="00D3581E">
        <w:rPr>
          <w:b/>
          <w:bCs/>
          <w:sz w:val="23"/>
          <w:szCs w:val="23"/>
        </w:rPr>
        <w:t xml:space="preserve">Prosecretario General </w:t>
      </w:r>
    </w:p>
    <w:p w14:paraId="09EF6DE8" w14:textId="58F05A1B" w:rsidR="00186ADE" w:rsidRPr="00D3581E" w:rsidRDefault="00970370" w:rsidP="00D3581E">
      <w:pPr>
        <w:pStyle w:val="Ttulo53"/>
        <w:keepNext w:val="0"/>
        <w:tabs>
          <w:tab w:val="clear" w:pos="0"/>
          <w:tab w:val="left" w:pos="708"/>
        </w:tabs>
        <w:ind w:left="3969"/>
        <w:jc w:val="both"/>
        <w:rPr>
          <w:rFonts w:eastAsia="Times New Roman"/>
          <w:i w:val="0"/>
          <w:iCs w:val="0"/>
          <w:sz w:val="23"/>
          <w:szCs w:val="23"/>
          <w:u w:val="none"/>
          <w:lang w:val="es-CR"/>
        </w:rPr>
      </w:pPr>
      <w:r w:rsidRPr="00D3581E">
        <w:rPr>
          <w:i w:val="0"/>
          <w:iCs w:val="0"/>
          <w:sz w:val="23"/>
          <w:szCs w:val="23"/>
          <w:u w:val="none"/>
        </w:rPr>
        <w:t>Secretaría General de la Corte</w:t>
      </w:r>
    </w:p>
    <w:p w14:paraId="4158140E" w14:textId="77777777" w:rsidR="009033DA" w:rsidRPr="00D3581E" w:rsidRDefault="00477DCD" w:rsidP="00D3581E">
      <w:pPr>
        <w:pStyle w:val="Ttulo51"/>
        <w:keepNext w:val="0"/>
        <w:tabs>
          <w:tab w:val="clear" w:pos="0"/>
        </w:tabs>
        <w:ind w:left="4248"/>
        <w:jc w:val="both"/>
        <w:rPr>
          <w:rFonts w:eastAsia="Times New Roman"/>
          <w:i w:val="0"/>
          <w:iCs w:val="0"/>
          <w:sz w:val="23"/>
          <w:szCs w:val="23"/>
          <w:u w:val="none"/>
          <w:shd w:val="clear" w:color="auto" w:fill="auto"/>
          <w:lang w:val="es-CR"/>
        </w:rPr>
      </w:pPr>
      <w:r w:rsidRPr="00D3581E">
        <w:rPr>
          <w:rFonts w:eastAsia="Times New Roman"/>
          <w:i w:val="0"/>
          <w:iCs w:val="0"/>
          <w:sz w:val="23"/>
          <w:szCs w:val="23"/>
          <w:u w:val="none"/>
          <w:shd w:val="clear" w:color="auto" w:fill="auto"/>
          <w:lang w:val="es-CR"/>
        </w:rPr>
        <w:t xml:space="preserve"> </w:t>
      </w:r>
    </w:p>
    <w:p w14:paraId="718A6FED" w14:textId="2E7187FA" w:rsidR="00721AEE" w:rsidRPr="00D3581E" w:rsidRDefault="003F65EE" w:rsidP="00D3581E">
      <w:pPr>
        <w:jc w:val="both"/>
        <w:rPr>
          <w:sz w:val="23"/>
          <w:szCs w:val="23"/>
        </w:rPr>
      </w:pPr>
      <w:proofErr w:type="spellStart"/>
      <w:r w:rsidRPr="00D3581E">
        <w:rPr>
          <w:sz w:val="23"/>
          <w:szCs w:val="23"/>
        </w:rPr>
        <w:t>C</w:t>
      </w:r>
      <w:r w:rsidR="00B46B14" w:rsidRPr="00D3581E">
        <w:rPr>
          <w:sz w:val="23"/>
          <w:szCs w:val="23"/>
        </w:rPr>
        <w:t>c</w:t>
      </w:r>
      <w:proofErr w:type="spellEnd"/>
      <w:r w:rsidR="0029216A" w:rsidRPr="00D3581E">
        <w:rPr>
          <w:sz w:val="23"/>
          <w:szCs w:val="23"/>
        </w:rPr>
        <w:t>:</w:t>
      </w:r>
    </w:p>
    <w:p w14:paraId="4A81C9EC" w14:textId="77777777" w:rsidR="00D3581E" w:rsidRPr="00D3581E" w:rsidRDefault="00D3581E" w:rsidP="00D3581E">
      <w:pPr>
        <w:pStyle w:val="Textoindependiente"/>
        <w:spacing w:after="0"/>
        <w:ind w:firstLine="708"/>
        <w:rPr>
          <w:sz w:val="23"/>
          <w:szCs w:val="23"/>
          <w:lang w:val="es-CR" w:eastAsia="es-ES"/>
        </w:rPr>
      </w:pPr>
      <w:r w:rsidRPr="00D3581E">
        <w:rPr>
          <w:sz w:val="23"/>
          <w:szCs w:val="23"/>
          <w:lang w:val="es-CR" w:eastAsia="es-ES"/>
        </w:rPr>
        <w:t>Fiscalía Adjunta de Siquirres</w:t>
      </w:r>
    </w:p>
    <w:p w14:paraId="6A1A1C39" w14:textId="77777777" w:rsidR="00D3581E" w:rsidRPr="00D3581E" w:rsidRDefault="00D3581E" w:rsidP="00D3581E">
      <w:pPr>
        <w:pStyle w:val="Textoindependiente"/>
        <w:spacing w:after="0"/>
        <w:ind w:firstLine="708"/>
        <w:rPr>
          <w:sz w:val="23"/>
          <w:szCs w:val="23"/>
          <w:lang w:val="es-CR" w:eastAsia="es-ES"/>
        </w:rPr>
      </w:pPr>
      <w:r w:rsidRPr="00D3581E">
        <w:rPr>
          <w:sz w:val="23"/>
          <w:szCs w:val="23"/>
          <w:lang w:val="es-CR" w:eastAsia="es-ES"/>
        </w:rPr>
        <w:t xml:space="preserve">Dirección Ejecutiva </w:t>
      </w:r>
    </w:p>
    <w:p w14:paraId="192D0E0D" w14:textId="77777777" w:rsidR="00D3581E" w:rsidRPr="00D3581E" w:rsidRDefault="00D3581E" w:rsidP="00D3581E">
      <w:pPr>
        <w:pStyle w:val="Textoindependiente"/>
        <w:spacing w:after="0"/>
        <w:ind w:firstLine="708"/>
        <w:rPr>
          <w:sz w:val="23"/>
          <w:szCs w:val="23"/>
          <w:lang w:val="es-CR" w:eastAsia="es-ES"/>
        </w:rPr>
      </w:pPr>
      <w:r w:rsidRPr="00D3581E">
        <w:rPr>
          <w:sz w:val="23"/>
          <w:szCs w:val="23"/>
          <w:lang w:val="es-CR" w:eastAsia="es-ES"/>
        </w:rPr>
        <w:t xml:space="preserve">Dirección de Gestión Humana </w:t>
      </w:r>
    </w:p>
    <w:p w14:paraId="1581850C" w14:textId="77777777" w:rsidR="00D3581E" w:rsidRPr="00D3581E" w:rsidRDefault="00D3581E" w:rsidP="00D3581E">
      <w:pPr>
        <w:pStyle w:val="Textoindependiente"/>
        <w:spacing w:after="0"/>
        <w:ind w:firstLine="708"/>
        <w:rPr>
          <w:sz w:val="23"/>
          <w:szCs w:val="23"/>
          <w:lang w:val="es-CR"/>
        </w:rPr>
      </w:pPr>
      <w:r w:rsidRPr="00D3581E">
        <w:rPr>
          <w:sz w:val="23"/>
          <w:szCs w:val="23"/>
          <w:lang w:val="es-CR" w:eastAsia="es-ES"/>
        </w:rPr>
        <w:t>Oficina de Comunicaciones Judiciales de Siquirres</w:t>
      </w:r>
    </w:p>
    <w:p w14:paraId="5532DC22" w14:textId="77777777" w:rsidR="00D3581E" w:rsidRPr="00D3581E" w:rsidRDefault="00D3581E" w:rsidP="00D3581E">
      <w:pPr>
        <w:pStyle w:val="Textoindependiente"/>
        <w:spacing w:after="0"/>
        <w:ind w:firstLine="708"/>
        <w:rPr>
          <w:sz w:val="23"/>
          <w:szCs w:val="23"/>
          <w:lang w:val="es-CR"/>
        </w:rPr>
      </w:pPr>
      <w:r w:rsidRPr="00D3581E">
        <w:rPr>
          <w:sz w:val="23"/>
          <w:szCs w:val="23"/>
          <w:lang w:val="es-CR" w:eastAsia="es-ES"/>
        </w:rPr>
        <w:t>Administración Regional del Segundo Circuito Judicial de la Zona Atlántica</w:t>
      </w:r>
    </w:p>
    <w:p w14:paraId="67312262" w14:textId="51610918" w:rsidR="0029216A" w:rsidRPr="00D3581E" w:rsidRDefault="0029216A" w:rsidP="00D3581E">
      <w:pPr>
        <w:ind w:firstLine="708"/>
        <w:jc w:val="both"/>
        <w:rPr>
          <w:sz w:val="23"/>
          <w:szCs w:val="23"/>
        </w:rPr>
      </w:pPr>
      <w:r w:rsidRPr="00D3581E">
        <w:rPr>
          <w:sz w:val="23"/>
          <w:szCs w:val="23"/>
        </w:rPr>
        <w:t xml:space="preserve">Diligencias / </w:t>
      </w:r>
      <w:proofErr w:type="spellStart"/>
      <w:r w:rsidRPr="00D3581E">
        <w:rPr>
          <w:sz w:val="23"/>
          <w:szCs w:val="23"/>
        </w:rPr>
        <w:t>Refs</w:t>
      </w:r>
      <w:proofErr w:type="spellEnd"/>
      <w:r w:rsidRPr="00D3581E">
        <w:rPr>
          <w:sz w:val="23"/>
          <w:szCs w:val="23"/>
        </w:rPr>
        <w:t>: (</w:t>
      </w:r>
      <w:r w:rsidR="00D3581E" w:rsidRPr="00D3581E">
        <w:rPr>
          <w:b/>
          <w:bCs/>
          <w:sz w:val="23"/>
          <w:szCs w:val="23"/>
          <w:lang w:val="es-CR" w:eastAsia="es-ES"/>
        </w:rPr>
        <w:t>7776-2017 / 7070-2021</w:t>
      </w:r>
      <w:r w:rsidRPr="00D3581E">
        <w:rPr>
          <w:sz w:val="23"/>
          <w:szCs w:val="23"/>
        </w:rPr>
        <w:t xml:space="preserve">) </w:t>
      </w:r>
    </w:p>
    <w:p w14:paraId="34DFEF30" w14:textId="525DA09E" w:rsidR="009F45D2" w:rsidRPr="00D3581E" w:rsidRDefault="00FF0677" w:rsidP="00D3581E">
      <w:pPr>
        <w:ind w:firstLine="708"/>
        <w:jc w:val="both"/>
        <w:rPr>
          <w:b/>
          <w:sz w:val="23"/>
          <w:szCs w:val="23"/>
          <w:shd w:val="clear" w:color="auto" w:fill="FFFFFF"/>
          <w:lang w:val="es-ES_tradnl"/>
        </w:rPr>
      </w:pPr>
      <w:proofErr w:type="spellStart"/>
      <w:r w:rsidRPr="00D3581E">
        <w:rPr>
          <w:b/>
          <w:sz w:val="23"/>
          <w:szCs w:val="23"/>
          <w:shd w:val="clear" w:color="auto" w:fill="FFFFFF"/>
          <w:lang w:val="es-ES_tradnl"/>
        </w:rPr>
        <w:t>ediazo</w:t>
      </w:r>
      <w:proofErr w:type="spellEnd"/>
    </w:p>
    <w:sectPr w:rsidR="009F45D2" w:rsidRPr="00D3581E" w:rsidSect="007A440D">
      <w:headerReference w:type="even" r:id="rId18"/>
      <w:headerReference w:type="default" r:id="rId19"/>
      <w:footerReference w:type="even" r:id="rId20"/>
      <w:footerReference w:type="default" r:id="rId21"/>
      <w:headerReference w:type="first" r:id="rId22"/>
      <w:footerReference w:type="first" r:id="rId23"/>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AF574F" w14:textId="77777777" w:rsidR="00B80E17" w:rsidRDefault="00B80E17">
      <w:r>
        <w:separator/>
      </w:r>
    </w:p>
  </w:endnote>
  <w:endnote w:type="continuationSeparator" w:id="0">
    <w:p w14:paraId="78C64BCA" w14:textId="77777777" w:rsidR="00B80E17" w:rsidRDefault="00B80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charset w:val="00"/>
    <w:family w:val="roman"/>
    <w:pitch w:val="default"/>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22882" w14:textId="77777777" w:rsidR="00B80E17" w:rsidRDefault="00B80E17">
      <w:r>
        <w:separator/>
      </w:r>
    </w:p>
  </w:footnote>
  <w:footnote w:type="continuationSeparator" w:id="0">
    <w:p w14:paraId="45BEE3F2" w14:textId="77777777" w:rsidR="00B80E17" w:rsidRDefault="00B80E17">
      <w:r>
        <w:continuationSeparator/>
      </w:r>
    </w:p>
  </w:footnote>
  <w:footnote w:id="1">
    <w:p w14:paraId="1D2EC3DD" w14:textId="77777777" w:rsidR="00D3581E" w:rsidRPr="00361724" w:rsidRDefault="00D3581E" w:rsidP="00D3581E">
      <w:pPr>
        <w:pStyle w:val="Textonotapie"/>
        <w:rPr>
          <w:rFonts w:ascii="Book Antiqua" w:hAnsi="Book Antiqua"/>
        </w:rPr>
      </w:pPr>
      <w:r w:rsidRPr="00361724">
        <w:rPr>
          <w:rStyle w:val="Refdenotaalpie"/>
          <w:rFonts w:ascii="Book Antiqua" w:hAnsi="Book Antiqua"/>
          <w:b/>
          <w:bCs/>
        </w:rPr>
        <w:footnoteRef/>
      </w:r>
      <w:r w:rsidRPr="00361724">
        <w:rPr>
          <w:rFonts w:ascii="Book Antiqua" w:hAnsi="Book Antiqua"/>
        </w:rPr>
        <w:t xml:space="preserve"> Tomado del Decreto Ejecutivo 42227-MP-S del 16 de marzo de 2020.</w:t>
      </w:r>
    </w:p>
  </w:footnote>
  <w:footnote w:id="2">
    <w:p w14:paraId="261CA52B" w14:textId="77777777" w:rsidR="00D3581E" w:rsidRPr="00361724" w:rsidRDefault="00D3581E" w:rsidP="00D3581E">
      <w:pPr>
        <w:pStyle w:val="Textonotapie"/>
        <w:rPr>
          <w:rFonts w:ascii="Book Antiqua" w:hAnsi="Book Antiqua"/>
        </w:rPr>
      </w:pPr>
      <w:r w:rsidRPr="00361724">
        <w:rPr>
          <w:rStyle w:val="Refdenotaalpie"/>
          <w:rFonts w:ascii="Book Antiqua" w:hAnsi="Book Antiqua"/>
          <w:b/>
          <w:bCs/>
        </w:rPr>
        <w:footnoteRef/>
      </w:r>
      <w:r w:rsidRPr="00361724">
        <w:rPr>
          <w:rFonts w:ascii="Book Antiqua" w:hAnsi="Book Antiqua"/>
        </w:rPr>
        <w:t xml:space="preserve"> Tomado del Decreto Ejecutivo 42227-MP-S del 16 de marzo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6408339C" w:rsidR="00186ADE" w:rsidRDefault="00807085">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4125D925">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D745A52"/>
    <w:multiLevelType w:val="hybridMultilevel"/>
    <w:tmpl w:val="8B9C6D8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E6B43EF"/>
    <w:multiLevelType w:val="hybridMultilevel"/>
    <w:tmpl w:val="7A14D8DC"/>
    <w:lvl w:ilvl="0" w:tplc="25184B1C">
      <w:start w:val="1"/>
      <w:numFmt w:val="decimal"/>
      <w:lvlText w:val="%1."/>
      <w:lvlJc w:val="left"/>
      <w:pPr>
        <w:ind w:left="720" w:hanging="360"/>
      </w:pPr>
      <w:rPr>
        <w:rFonts w:ascii="Times New Roman" w:hAnsi="Times New Roman" w:cs="Times New Roman" w:hint="default"/>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2" w15:restartNumberingAfterBreak="0">
    <w:nsid w:val="1464070D"/>
    <w:multiLevelType w:val="hybridMultilevel"/>
    <w:tmpl w:val="95A66D2E"/>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7"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4"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9"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0"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1"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5"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94A2A40"/>
    <w:multiLevelType w:val="hybridMultilevel"/>
    <w:tmpl w:val="14FAFFCC"/>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7"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8"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1"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4"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8"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9"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2"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70"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6"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7"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1"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4"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5"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6"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1"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3"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5"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7"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1"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7"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8"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5"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7"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8"/>
  </w:num>
  <w:num w:numId="3">
    <w:abstractNumId w:val="15"/>
  </w:num>
  <w:num w:numId="4">
    <w:abstractNumId w:val="104"/>
  </w:num>
  <w:num w:numId="5">
    <w:abstractNumId w:val="1"/>
  </w:num>
  <w:num w:numId="6">
    <w:abstractNumId w:val="69"/>
  </w:num>
  <w:num w:numId="7">
    <w:abstractNumId w:val="0"/>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num>
  <w:num w:numId="10">
    <w:abstractNumId w:val="51"/>
  </w:num>
  <w:num w:numId="11">
    <w:abstractNumId w:val="50"/>
  </w:num>
  <w:num w:numId="12">
    <w:abstractNumId w:val="107"/>
  </w:num>
  <w:num w:numId="13">
    <w:abstractNumId w:val="112"/>
  </w:num>
  <w:num w:numId="14">
    <w:abstractNumId w:val="35"/>
  </w:num>
  <w:num w:numId="15">
    <w:abstractNumId w:val="125"/>
  </w:num>
  <w:num w:numId="16">
    <w:abstractNumId w:val="99"/>
  </w:num>
  <w:num w:numId="17">
    <w:abstractNumId w:val="88"/>
  </w:num>
  <w:num w:numId="18">
    <w:abstractNumId w:val="91"/>
  </w:num>
  <w:num w:numId="19">
    <w:abstractNumId w:val="26"/>
  </w:num>
  <w:num w:numId="20">
    <w:abstractNumId w:val="49"/>
  </w:num>
  <w:num w:numId="21">
    <w:abstractNumId w:val="65"/>
  </w:num>
  <w:num w:numId="22">
    <w:abstractNumId w:val="24"/>
  </w:num>
  <w:num w:numId="23">
    <w:abstractNumId w:val="123"/>
  </w:num>
  <w:num w:numId="24">
    <w:abstractNumId w:val="59"/>
  </w:num>
  <w:num w:numId="25">
    <w:abstractNumId w:val="48"/>
  </w:num>
  <w:num w:numId="26">
    <w:abstractNumId w:val="81"/>
  </w:num>
  <w:num w:numId="27">
    <w:abstractNumId w:val="12"/>
  </w:num>
  <w:num w:numId="28">
    <w:abstractNumId w:val="42"/>
  </w:num>
  <w:num w:numId="29">
    <w:abstractNumId w:val="78"/>
  </w:num>
  <w:num w:numId="30">
    <w:abstractNumId w:val="62"/>
  </w:num>
  <w:num w:numId="31">
    <w:abstractNumId w:val="52"/>
  </w:num>
  <w:num w:numId="32">
    <w:abstractNumId w:val="86"/>
  </w:num>
  <w:num w:numId="33">
    <w:abstractNumId w:val="9"/>
  </w:num>
  <w:num w:numId="34">
    <w:abstractNumId w:val="71"/>
  </w:num>
  <w:num w:numId="35">
    <w:abstractNumId w:val="41"/>
  </w:num>
  <w:num w:numId="36">
    <w:abstractNumId w:val="18"/>
  </w:num>
  <w:num w:numId="37">
    <w:abstractNumId w:val="44"/>
  </w:num>
  <w:num w:numId="38">
    <w:abstractNumId w:val="118"/>
  </w:num>
  <w:num w:numId="39">
    <w:abstractNumId w:val="36"/>
  </w:num>
  <w:num w:numId="40">
    <w:abstractNumId w:val="7"/>
  </w:num>
  <w:num w:numId="41">
    <w:abstractNumId w:val="120"/>
  </w:num>
  <w:num w:numId="42">
    <w:abstractNumId w:val="27"/>
  </w:num>
  <w:num w:numId="43">
    <w:abstractNumId w:val="8"/>
  </w:num>
  <w:num w:numId="44">
    <w:abstractNumId w:val="55"/>
  </w:num>
  <w:num w:numId="45">
    <w:abstractNumId w:val="97"/>
  </w:num>
  <w:num w:numId="46">
    <w:abstractNumId w:val="116"/>
  </w:num>
  <w:num w:numId="47">
    <w:abstractNumId w:val="117"/>
  </w:num>
  <w:num w:numId="48">
    <w:abstractNumId w:val="113"/>
  </w:num>
  <w:num w:numId="49">
    <w:abstractNumId w:val="39"/>
  </w:num>
  <w:num w:numId="50">
    <w:abstractNumId w:val="93"/>
  </w:num>
  <w:num w:numId="51">
    <w:abstractNumId w:val="23"/>
  </w:num>
  <w:num w:numId="52">
    <w:abstractNumId w:val="98"/>
  </w:num>
  <w:num w:numId="53">
    <w:abstractNumId w:val="111"/>
  </w:num>
  <w:num w:numId="54">
    <w:abstractNumId w:val="63"/>
  </w:num>
  <w:num w:numId="55">
    <w:abstractNumId w:val="77"/>
  </w:num>
  <w:num w:numId="56">
    <w:abstractNumId w:val="54"/>
  </w:num>
  <w:num w:numId="57">
    <w:abstractNumId w:val="16"/>
  </w:num>
  <w:num w:numId="58">
    <w:abstractNumId w:val="114"/>
  </w:num>
  <w:num w:numId="59">
    <w:abstractNumId w:val="13"/>
  </w:num>
  <w:num w:numId="60">
    <w:abstractNumId w:val="101"/>
  </w:num>
  <w:num w:numId="61">
    <w:abstractNumId w:val="67"/>
  </w:num>
  <w:num w:numId="62">
    <w:abstractNumId w:val="30"/>
  </w:num>
  <w:num w:numId="63">
    <w:abstractNumId w:val="34"/>
  </w:num>
  <w:num w:numId="64">
    <w:abstractNumId w:val="79"/>
  </w:num>
  <w:num w:numId="65">
    <w:abstractNumId w:val="130"/>
  </w:num>
  <w:num w:numId="66">
    <w:abstractNumId w:val="66"/>
  </w:num>
  <w:num w:numId="67">
    <w:abstractNumId w:val="95"/>
  </w:num>
  <w:num w:numId="68">
    <w:abstractNumId w:val="32"/>
  </w:num>
  <w:num w:numId="69">
    <w:abstractNumId w:val="31"/>
  </w:num>
  <w:num w:numId="70">
    <w:abstractNumId w:val="96"/>
  </w:num>
  <w:num w:numId="71">
    <w:abstractNumId w:val="128"/>
  </w:num>
  <w:num w:numId="72">
    <w:abstractNumId w:val="56"/>
  </w:num>
  <w:num w:numId="73">
    <w:abstractNumId w:val="126"/>
  </w:num>
  <w:num w:numId="74">
    <w:abstractNumId w:val="20"/>
  </w:num>
  <w:num w:numId="75">
    <w:abstractNumId w:val="28"/>
  </w:num>
  <w:num w:numId="76">
    <w:abstractNumId w:val="108"/>
  </w:num>
  <w:num w:numId="77">
    <w:abstractNumId w:val="119"/>
  </w:num>
  <w:num w:numId="78">
    <w:abstractNumId w:val="129"/>
  </w:num>
  <w:num w:numId="79">
    <w:abstractNumId w:val="105"/>
  </w:num>
  <w:num w:numId="80">
    <w:abstractNumId w:val="82"/>
  </w:num>
  <w:num w:numId="81">
    <w:abstractNumId w:val="102"/>
  </w:num>
  <w:num w:numId="82">
    <w:abstractNumId w:val="110"/>
  </w:num>
  <w:num w:numId="83">
    <w:abstractNumId w:val="131"/>
  </w:num>
  <w:num w:numId="84">
    <w:abstractNumId w:val="87"/>
  </w:num>
  <w:num w:numId="85">
    <w:abstractNumId w:val="37"/>
  </w:num>
  <w:num w:numId="86">
    <w:abstractNumId w:val="72"/>
  </w:num>
  <w:num w:numId="87">
    <w:abstractNumId w:val="103"/>
  </w:num>
  <w:num w:numId="88">
    <w:abstractNumId w:val="61"/>
  </w:num>
  <w:num w:numId="89">
    <w:abstractNumId w:val="127"/>
  </w:num>
  <w:num w:numId="90">
    <w:abstractNumId w:val="64"/>
  </w:num>
  <w:num w:numId="91">
    <w:abstractNumId w:val="40"/>
  </w:num>
  <w:num w:numId="92">
    <w:abstractNumId w:val="25"/>
  </w:num>
  <w:num w:numId="93">
    <w:abstractNumId w:val="38"/>
  </w:num>
  <w:num w:numId="94">
    <w:abstractNumId w:val="29"/>
  </w:num>
  <w:num w:numId="95">
    <w:abstractNumId w:val="14"/>
  </w:num>
  <w:num w:numId="96">
    <w:abstractNumId w:val="83"/>
  </w:num>
  <w:num w:numId="97">
    <w:abstractNumId w:val="76"/>
  </w:num>
  <w:num w:numId="98">
    <w:abstractNumId w:val="43"/>
  </w:num>
  <w:num w:numId="99">
    <w:abstractNumId w:val="92"/>
  </w:num>
  <w:num w:numId="100">
    <w:abstractNumId w:val="75"/>
  </w:num>
  <w:num w:numId="101">
    <w:abstractNumId w:val="90"/>
  </w:num>
  <w:num w:numId="102">
    <w:abstractNumId w:val="33"/>
  </w:num>
  <w:num w:numId="103">
    <w:abstractNumId w:val="21"/>
  </w:num>
  <w:num w:numId="104">
    <w:abstractNumId w:val="73"/>
  </w:num>
  <w:num w:numId="105">
    <w:abstractNumId w:val="10"/>
  </w:num>
  <w:num w:numId="106">
    <w:abstractNumId w:val="85"/>
  </w:num>
  <w:num w:numId="107">
    <w:abstractNumId w:val="58"/>
  </w:num>
  <w:num w:numId="108">
    <w:abstractNumId w:val="89"/>
  </w:num>
  <w:num w:numId="109">
    <w:abstractNumId w:val="121"/>
  </w:num>
  <w:num w:numId="110">
    <w:abstractNumId w:val="6"/>
  </w:num>
  <w:num w:numId="111">
    <w:abstractNumId w:val="74"/>
  </w:num>
  <w:num w:numId="112">
    <w:abstractNumId w:val="122"/>
  </w:num>
  <w:num w:numId="113">
    <w:abstractNumId w:val="5"/>
  </w:num>
  <w:num w:numId="114">
    <w:abstractNumId w:val="45"/>
  </w:num>
  <w:num w:numId="115">
    <w:abstractNumId w:val="80"/>
  </w:num>
  <w:num w:numId="116">
    <w:abstractNumId w:val="100"/>
  </w:num>
  <w:num w:numId="117">
    <w:abstractNumId w:val="53"/>
  </w:num>
  <w:num w:numId="118">
    <w:abstractNumId w:val="11"/>
  </w:num>
  <w:num w:numId="11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7"/>
  </w:num>
  <w:num w:numId="121">
    <w:abstractNumId w:val="115"/>
  </w:num>
  <w:num w:numId="122">
    <w:abstractNumId w:val="70"/>
  </w:num>
  <w:num w:numId="123">
    <w:abstractNumId w:val="132"/>
  </w:num>
  <w:num w:numId="124">
    <w:abstractNumId w:val="94"/>
  </w:num>
  <w:num w:numId="125">
    <w:abstractNumId w:val="109"/>
  </w:num>
  <w:num w:numId="126">
    <w:abstractNumId w:val="22"/>
  </w:num>
  <w:num w:numId="127">
    <w:abstractNumId w:val="46"/>
  </w:num>
  <w:num w:numId="1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591B"/>
    <w:rsid w:val="00107AEF"/>
    <w:rsid w:val="00110896"/>
    <w:rsid w:val="0011398B"/>
    <w:rsid w:val="0011737B"/>
    <w:rsid w:val="00117E2F"/>
    <w:rsid w:val="001211BA"/>
    <w:rsid w:val="0012123C"/>
    <w:rsid w:val="00121DE3"/>
    <w:rsid w:val="00122371"/>
    <w:rsid w:val="00127480"/>
    <w:rsid w:val="00130249"/>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5D45"/>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36A9B"/>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26774"/>
    <w:rsid w:val="005279AA"/>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B7EAE"/>
    <w:rsid w:val="005C2A23"/>
    <w:rsid w:val="005C2E66"/>
    <w:rsid w:val="005C7BBC"/>
    <w:rsid w:val="005D04F5"/>
    <w:rsid w:val="005D2042"/>
    <w:rsid w:val="005D34D0"/>
    <w:rsid w:val="005D4EB3"/>
    <w:rsid w:val="005D6F70"/>
    <w:rsid w:val="005E01F2"/>
    <w:rsid w:val="005E0CBA"/>
    <w:rsid w:val="005E1A9D"/>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22DC"/>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A2"/>
    <w:rsid w:val="006D7B38"/>
    <w:rsid w:val="006E3055"/>
    <w:rsid w:val="006E3AC8"/>
    <w:rsid w:val="006F1102"/>
    <w:rsid w:val="006F1C5C"/>
    <w:rsid w:val="006F5931"/>
    <w:rsid w:val="006F5DA1"/>
    <w:rsid w:val="006F65D3"/>
    <w:rsid w:val="00700A14"/>
    <w:rsid w:val="00700DF8"/>
    <w:rsid w:val="00701685"/>
    <w:rsid w:val="007127E5"/>
    <w:rsid w:val="00721AEE"/>
    <w:rsid w:val="00723545"/>
    <w:rsid w:val="00725E31"/>
    <w:rsid w:val="0072667E"/>
    <w:rsid w:val="00732F11"/>
    <w:rsid w:val="007331DC"/>
    <w:rsid w:val="00735606"/>
    <w:rsid w:val="00735891"/>
    <w:rsid w:val="007410C4"/>
    <w:rsid w:val="00741726"/>
    <w:rsid w:val="00743436"/>
    <w:rsid w:val="00746B73"/>
    <w:rsid w:val="00746FCB"/>
    <w:rsid w:val="00751CA6"/>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085"/>
    <w:rsid w:val="0080721A"/>
    <w:rsid w:val="0080759F"/>
    <w:rsid w:val="00812BB1"/>
    <w:rsid w:val="00813867"/>
    <w:rsid w:val="008143AB"/>
    <w:rsid w:val="00816AE2"/>
    <w:rsid w:val="008172AE"/>
    <w:rsid w:val="00824D7A"/>
    <w:rsid w:val="00826B64"/>
    <w:rsid w:val="0083189D"/>
    <w:rsid w:val="008331D5"/>
    <w:rsid w:val="008341B8"/>
    <w:rsid w:val="00837F69"/>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BAD"/>
    <w:rsid w:val="00901F61"/>
    <w:rsid w:val="009033DA"/>
    <w:rsid w:val="0091084F"/>
    <w:rsid w:val="00910D0C"/>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7422E"/>
    <w:rsid w:val="0098148C"/>
    <w:rsid w:val="00982A58"/>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0E17"/>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34BC"/>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581E"/>
    <w:rsid w:val="00D36F22"/>
    <w:rsid w:val="00D37C61"/>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284"/>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45B53"/>
    <w:rsid w:val="00F516A0"/>
    <w:rsid w:val="00F53F85"/>
    <w:rsid w:val="00F54016"/>
    <w:rsid w:val="00F555E7"/>
    <w:rsid w:val="00F5617D"/>
    <w:rsid w:val="00F565F9"/>
    <w:rsid w:val="00F57CCE"/>
    <w:rsid w:val="00F65165"/>
    <w:rsid w:val="00F65C61"/>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0677"/>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o"/>
    <w:basedOn w:val="Normal"/>
    <w:link w:val="TextonotapieCar"/>
    <w:uiPriority w:val="99"/>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uiPriority w:val="99"/>
    <w:qFormat/>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D3581E"/>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5280</Words>
  <Characters>29043</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34255</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2016-02-03T19:46:00Z</cp:lastPrinted>
  <dcterms:created xsi:type="dcterms:W3CDTF">2021-08-04T15:08:00Z</dcterms:created>
  <dcterms:modified xsi:type="dcterms:W3CDTF">2021-08-04T15:08:00Z</dcterms:modified>
</cp:coreProperties>
</file>