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AB" w:rsidRDefault="006713AB"/>
    <w:p w:rsidR="00D87383" w:rsidRPr="00056425" w:rsidRDefault="001E059F" w:rsidP="00D87383">
      <w:pPr>
        <w:jc w:val="right"/>
        <w:rPr>
          <w:rFonts w:ascii="Book Antiqua" w:hAnsi="Book Antiqua" w:cs="Book Antiqua"/>
          <w:lang w:val="pt-BR"/>
        </w:rPr>
      </w:pPr>
      <w:r>
        <w:rPr>
          <w:rFonts w:ascii="Book Antiqua" w:hAnsi="Book Antiqua" w:cs="Book Antiqua"/>
          <w:lang w:val="pt-BR"/>
        </w:rPr>
        <w:t>495</w:t>
      </w:r>
      <w:r w:rsidR="00D87383" w:rsidRPr="00056425">
        <w:rPr>
          <w:rFonts w:ascii="Book Antiqua" w:hAnsi="Book Antiqua" w:cs="Book Antiqua"/>
          <w:lang w:val="pt-BR"/>
        </w:rPr>
        <w:t>-PLA-201</w:t>
      </w:r>
      <w:r w:rsidR="00D87383">
        <w:rPr>
          <w:rFonts w:ascii="Book Antiqua" w:hAnsi="Book Antiqua" w:cs="Book Antiqua"/>
          <w:lang w:val="pt-BR"/>
        </w:rPr>
        <w:t>8</w:t>
      </w:r>
    </w:p>
    <w:p w:rsidR="00D87383" w:rsidRPr="00056425" w:rsidRDefault="00D87383" w:rsidP="00D87383">
      <w:pPr>
        <w:jc w:val="right"/>
        <w:rPr>
          <w:rFonts w:ascii="Book Antiqua" w:hAnsi="Book Antiqua" w:cs="Book Antiqua"/>
          <w:lang w:val="pt-BR"/>
        </w:rPr>
      </w:pPr>
      <w:r w:rsidRPr="00056425">
        <w:rPr>
          <w:rFonts w:ascii="Book Antiqua" w:hAnsi="Book Antiqua" w:cs="Book Antiqua"/>
          <w:lang w:val="es-CR"/>
        </w:rPr>
        <w:t xml:space="preserve">Ref. SICE: </w:t>
      </w:r>
      <w:r w:rsidR="00BA5764">
        <w:rPr>
          <w:rFonts w:ascii="Book Antiqua" w:hAnsi="Book Antiqua" w:cs="Book Antiqua"/>
          <w:lang w:val="es-CR"/>
        </w:rPr>
        <w:t>1384-2017</w:t>
      </w:r>
    </w:p>
    <w:p w:rsidR="00D87383" w:rsidRPr="00056425" w:rsidRDefault="00AF19CB" w:rsidP="00D87383">
      <w:pPr>
        <w:rPr>
          <w:rFonts w:ascii="Book Antiqua" w:hAnsi="Book Antiqua" w:cs="Book Antiqua"/>
          <w:lang w:val="pt-BR"/>
        </w:rPr>
      </w:pPr>
      <w:r>
        <w:rPr>
          <w:rFonts w:ascii="Book Antiqua" w:hAnsi="Book Antiqua" w:cs="Book Antiqua"/>
          <w:lang w:val="pt-BR"/>
        </w:rPr>
        <w:t xml:space="preserve">23 </w:t>
      </w:r>
      <w:r w:rsidR="00D87383" w:rsidRPr="00056425">
        <w:rPr>
          <w:rFonts w:ascii="Book Antiqua" w:hAnsi="Book Antiqua" w:cs="Book Antiqua"/>
          <w:lang w:val="pt-BR"/>
        </w:rPr>
        <w:t xml:space="preserve">de </w:t>
      </w:r>
      <w:r>
        <w:rPr>
          <w:rFonts w:ascii="Book Antiqua" w:hAnsi="Book Antiqua" w:cs="Book Antiqua"/>
          <w:lang w:val="pt-BR"/>
        </w:rPr>
        <w:t>mayo</w:t>
      </w:r>
      <w:r w:rsidR="00D87383" w:rsidRPr="00056425">
        <w:rPr>
          <w:rFonts w:ascii="Book Antiqua" w:hAnsi="Book Antiqua" w:cs="Book Antiqua"/>
          <w:lang w:val="pt-BR"/>
        </w:rPr>
        <w:t xml:space="preserve"> de 201</w:t>
      </w:r>
      <w:r w:rsidR="00D87383">
        <w:rPr>
          <w:rFonts w:ascii="Book Antiqua" w:hAnsi="Book Antiqua" w:cs="Book Antiqua"/>
          <w:lang w:val="pt-BR"/>
        </w:rPr>
        <w:t>8</w:t>
      </w:r>
    </w:p>
    <w:p w:rsidR="00D87383" w:rsidRPr="00056425" w:rsidRDefault="00D87383" w:rsidP="00D87383">
      <w:pPr>
        <w:rPr>
          <w:rFonts w:ascii="Book Antiqua" w:hAnsi="Book Antiqua" w:cs="Book Antiqua"/>
          <w:lang w:val="pt-BR"/>
        </w:rPr>
      </w:pPr>
    </w:p>
    <w:p w:rsidR="00D87383" w:rsidRPr="00056425" w:rsidRDefault="00D87383" w:rsidP="00D87383">
      <w:pPr>
        <w:rPr>
          <w:rFonts w:ascii="Book Antiqua" w:hAnsi="Book Antiqua" w:cs="Book Antiqua"/>
          <w:lang w:val="pt-BR"/>
        </w:rPr>
      </w:pPr>
    </w:p>
    <w:p w:rsidR="00D87383" w:rsidRPr="00056425" w:rsidRDefault="00D87383" w:rsidP="00D87383">
      <w:pPr>
        <w:rPr>
          <w:rFonts w:ascii="Book Antiqua" w:hAnsi="Book Antiqua" w:cs="Book Antiqua"/>
          <w:lang w:val="pt-BR"/>
        </w:rPr>
      </w:pPr>
    </w:p>
    <w:p w:rsidR="00D87383" w:rsidRPr="00056425" w:rsidRDefault="00D87383" w:rsidP="00D87383">
      <w:pPr>
        <w:rPr>
          <w:rFonts w:ascii="Book Antiqua" w:hAnsi="Book Antiqua" w:cs="Book Antiqua"/>
          <w:lang w:val="pt-BR"/>
        </w:rPr>
      </w:pPr>
      <w:r w:rsidRPr="00056425">
        <w:rPr>
          <w:rFonts w:ascii="Book Antiqua" w:hAnsi="Book Antiqua" w:cs="Book Antiqua"/>
          <w:lang w:val="pt-BR"/>
        </w:rPr>
        <w:t>Licenciada</w:t>
      </w:r>
    </w:p>
    <w:p w:rsidR="00D87383" w:rsidRPr="00056425" w:rsidRDefault="00D87383" w:rsidP="00D87383">
      <w:pPr>
        <w:rPr>
          <w:rFonts w:ascii="Book Antiqua" w:hAnsi="Book Antiqua" w:cs="Book Antiqua"/>
          <w:lang w:val="pt-BR"/>
        </w:rPr>
      </w:pPr>
      <w:smartTag w:uri="urn:schemas-microsoft-com:office:smarttags" w:element="PersonName">
        <w:r w:rsidRPr="00056425">
          <w:rPr>
            <w:rFonts w:ascii="Book Antiqua" w:hAnsi="Book Antiqua" w:cs="Book Antiqua"/>
            <w:lang w:val="pt-BR"/>
          </w:rPr>
          <w:t>Silvia Navarro Romanini</w:t>
        </w:r>
      </w:smartTag>
      <w:r w:rsidRPr="00056425">
        <w:rPr>
          <w:rFonts w:ascii="Book Antiqua" w:hAnsi="Book Antiqua" w:cs="Book Antiqua"/>
          <w:lang w:val="pt-BR"/>
        </w:rPr>
        <w:t xml:space="preserve"> </w:t>
      </w:r>
    </w:p>
    <w:p w:rsidR="00D87383" w:rsidRPr="00056425" w:rsidRDefault="00D87383" w:rsidP="00D87383">
      <w:pPr>
        <w:rPr>
          <w:rFonts w:ascii="Book Antiqua" w:hAnsi="Book Antiqua" w:cs="Book Antiqua"/>
          <w:lang w:val="es-CR"/>
        </w:rPr>
      </w:pPr>
      <w:r w:rsidRPr="00056425">
        <w:rPr>
          <w:rFonts w:ascii="Book Antiqua" w:hAnsi="Book Antiqua" w:cs="Book Antiqua"/>
          <w:lang w:val="es-CR"/>
        </w:rPr>
        <w:t xml:space="preserve">Secretaría General de </w:t>
      </w:r>
      <w:smartTag w:uri="urn:schemas-microsoft-com:office:smarttags" w:element="PersonName">
        <w:smartTagPr>
          <w:attr w:name="ProductID" w:val="la Corte"/>
        </w:smartTagPr>
        <w:r w:rsidRPr="00056425">
          <w:rPr>
            <w:rFonts w:ascii="Book Antiqua" w:hAnsi="Book Antiqua" w:cs="Book Antiqua"/>
            <w:lang w:val="es-CR"/>
          </w:rPr>
          <w:t>la Corte</w:t>
        </w:r>
      </w:smartTag>
    </w:p>
    <w:p w:rsidR="00D87383" w:rsidRPr="00056425" w:rsidRDefault="00D87383" w:rsidP="00D87383">
      <w:pPr>
        <w:rPr>
          <w:rFonts w:ascii="Book Antiqua" w:hAnsi="Book Antiqua" w:cs="Book Antiqua"/>
          <w:lang w:val="es-CR"/>
        </w:rPr>
      </w:pPr>
    </w:p>
    <w:p w:rsidR="00D87383" w:rsidRPr="00056425" w:rsidRDefault="00D87383" w:rsidP="00D87383">
      <w:pPr>
        <w:rPr>
          <w:rFonts w:ascii="Book Antiqua" w:hAnsi="Book Antiqua" w:cs="Book Antiqua"/>
          <w:lang w:val="es-CR"/>
        </w:rPr>
      </w:pPr>
    </w:p>
    <w:p w:rsidR="00D02C29" w:rsidRPr="00B5157C" w:rsidRDefault="00D02C29" w:rsidP="00D02C29">
      <w:pPr>
        <w:ind w:firstLine="708"/>
        <w:jc w:val="both"/>
        <w:rPr>
          <w:rFonts w:ascii="Book Antiqua" w:hAnsi="Book Antiqua" w:cs="Book Antiqua"/>
        </w:rPr>
      </w:pPr>
      <w:r w:rsidRPr="00B5157C">
        <w:rPr>
          <w:rFonts w:ascii="Book Antiqua" w:hAnsi="Book Antiqua" w:cs="Book Antiqua"/>
        </w:rPr>
        <w:t xml:space="preserve">En atención al oficio </w:t>
      </w:r>
      <w:r w:rsidR="00A92D72">
        <w:rPr>
          <w:rFonts w:ascii="Book Antiqua" w:hAnsi="Book Antiqua" w:cs="Book Antiqua"/>
        </w:rPr>
        <w:t>9901-2017</w:t>
      </w:r>
      <w:r w:rsidRPr="00B5157C">
        <w:rPr>
          <w:rFonts w:ascii="Book Antiqua" w:hAnsi="Book Antiqua" w:cs="Book Antiqua"/>
        </w:rPr>
        <w:t xml:space="preserve">, donde se transcribe el acuerdo tomado por el Consejo Superior en sesión celebrada el </w:t>
      </w:r>
      <w:r w:rsidR="00A92D72">
        <w:rPr>
          <w:rFonts w:ascii="Book Antiqua" w:hAnsi="Book Antiqua" w:cs="Book Antiqua"/>
        </w:rPr>
        <w:t>30 de agosto del 2017</w:t>
      </w:r>
      <w:r w:rsidRPr="00B5157C">
        <w:rPr>
          <w:rFonts w:ascii="Book Antiqua" w:hAnsi="Book Antiqua" w:cs="Book Antiqua"/>
        </w:rPr>
        <w:t xml:space="preserve">, artículo </w:t>
      </w:r>
      <w:r w:rsidR="00A92D72" w:rsidRPr="00A92D72">
        <w:rPr>
          <w:rFonts w:ascii="Book Antiqua" w:hAnsi="Book Antiqua" w:cs="Book Antiqua"/>
        </w:rPr>
        <w:t>XLIX</w:t>
      </w:r>
      <w:r w:rsidRPr="00B5157C">
        <w:rPr>
          <w:rFonts w:ascii="Book Antiqua" w:hAnsi="Book Antiqua" w:cs="Book Antiqua"/>
        </w:rPr>
        <w:t xml:space="preserve">, le remito el informe </w:t>
      </w:r>
      <w:r w:rsidR="00495AAC">
        <w:rPr>
          <w:rFonts w:ascii="Book Antiqua" w:hAnsi="Book Antiqua" w:cs="Book Antiqua"/>
        </w:rPr>
        <w:t>35</w:t>
      </w:r>
      <w:r w:rsidR="00A92D72">
        <w:rPr>
          <w:rFonts w:ascii="Book Antiqua" w:hAnsi="Book Antiqua" w:cs="Book Antiqua"/>
        </w:rPr>
        <w:t>-EV-2018</w:t>
      </w:r>
      <w:r w:rsidRPr="00B5157C">
        <w:rPr>
          <w:rFonts w:ascii="Book Antiqua" w:hAnsi="Book Antiqua" w:cs="Book Antiqua"/>
          <w:b/>
          <w:bCs/>
        </w:rPr>
        <w:t xml:space="preserve"> </w:t>
      </w:r>
      <w:r w:rsidRPr="00B5157C">
        <w:rPr>
          <w:rFonts w:ascii="Book Antiqua" w:hAnsi="Book Antiqua" w:cs="Book Antiqua"/>
        </w:rPr>
        <w:t xml:space="preserve">de hoy,  suscrito por el </w:t>
      </w:r>
      <w:r w:rsidR="00A92D72">
        <w:rPr>
          <w:rFonts w:ascii="Book Antiqua" w:hAnsi="Book Antiqua" w:cs="Book Antiqua"/>
        </w:rPr>
        <w:t>Lic</w:t>
      </w:r>
      <w:r w:rsidRPr="00B5157C">
        <w:rPr>
          <w:rFonts w:ascii="Book Antiqua" w:hAnsi="Book Antiqua" w:cs="Book Antiqua"/>
        </w:rPr>
        <w:t>.</w:t>
      </w:r>
      <w:r w:rsidR="00A92D72">
        <w:rPr>
          <w:rFonts w:ascii="Book Antiqua" w:hAnsi="Book Antiqua" w:cs="Book Antiqua"/>
        </w:rPr>
        <w:t xml:space="preserve"> Erick Monge Sandí</w:t>
      </w:r>
      <w:r w:rsidRPr="00B5157C">
        <w:rPr>
          <w:rFonts w:ascii="Book Antiqua" w:hAnsi="Book Antiqua" w:cs="Book Antiqua"/>
        </w:rPr>
        <w:t xml:space="preserve">, Jefe </w:t>
      </w:r>
      <w:r w:rsidR="00A92D72">
        <w:rPr>
          <w:rFonts w:ascii="Book Antiqua" w:hAnsi="Book Antiqua" w:cs="Book Antiqua"/>
        </w:rPr>
        <w:t xml:space="preserve">a.i. </w:t>
      </w:r>
      <w:r w:rsidRPr="00B5157C">
        <w:rPr>
          <w:rFonts w:ascii="Book Antiqua" w:hAnsi="Book Antiqua" w:cs="Book Antiqua"/>
        </w:rPr>
        <w:t>del S</w:t>
      </w:r>
      <w:r>
        <w:rPr>
          <w:rFonts w:ascii="Book Antiqua" w:hAnsi="Book Antiqua" w:cs="Book Antiqua"/>
        </w:rPr>
        <w:t>ubproceso</w:t>
      </w:r>
      <w:r w:rsidRPr="00B5157C">
        <w:rPr>
          <w:rFonts w:ascii="Book Antiqua" w:hAnsi="Book Antiqua" w:cs="Book Antiqua"/>
        </w:rPr>
        <w:t xml:space="preserve"> de </w:t>
      </w:r>
      <w:r w:rsidR="00A92D72">
        <w:rPr>
          <w:rFonts w:ascii="Book Antiqua" w:hAnsi="Book Antiqua" w:cs="Book Antiqua"/>
        </w:rPr>
        <w:t>Evaluación</w:t>
      </w:r>
      <w:r w:rsidRPr="00B5157C">
        <w:rPr>
          <w:rFonts w:ascii="Book Antiqua" w:hAnsi="Book Antiqua" w:cs="Book Antiqua"/>
        </w:rPr>
        <w:t xml:space="preserve">, relacionado con </w:t>
      </w:r>
      <w:r w:rsidR="00A92D72">
        <w:rPr>
          <w:rFonts w:ascii="Book Antiqua" w:hAnsi="Book Antiqua" w:cs="Book Antiqua"/>
        </w:rPr>
        <w:t>el seguimiento de los Manuales de Procedimientos de la Oficina Defensa Civil de las Víctimas del Delito del Ministerio Público</w:t>
      </w:r>
      <w:r w:rsidRPr="00B5157C">
        <w:rPr>
          <w:rFonts w:ascii="Book Antiqua" w:hAnsi="Book Antiqua" w:cs="Book Antiqua"/>
        </w:rPr>
        <w:t>.</w:t>
      </w:r>
    </w:p>
    <w:p w:rsidR="00D02C29" w:rsidRDefault="00D02C29" w:rsidP="00D02C29">
      <w:pPr>
        <w:widowControl w:val="0"/>
        <w:rPr>
          <w:rFonts w:ascii="Book Antiqua" w:hAnsi="Book Antiqua" w:cs="Book Antiqua"/>
          <w:snapToGrid w:val="0"/>
          <w:lang w:val="pt-BR"/>
        </w:rPr>
      </w:pPr>
    </w:p>
    <w:p w:rsidR="00D87383" w:rsidRPr="00056425" w:rsidRDefault="00D87383" w:rsidP="00D87383">
      <w:pPr>
        <w:jc w:val="both"/>
        <w:rPr>
          <w:rFonts w:ascii="Book Antiqua" w:hAnsi="Book Antiqua" w:cs="Book Antiqua"/>
          <w:lang w:val="es-CR"/>
        </w:rPr>
      </w:pPr>
    </w:p>
    <w:p w:rsidR="00D87383" w:rsidRPr="00056425" w:rsidRDefault="00D87383" w:rsidP="00D87383">
      <w:pPr>
        <w:jc w:val="both"/>
        <w:rPr>
          <w:rFonts w:ascii="Book Antiqua" w:hAnsi="Book Antiqua" w:cs="Book Antiqua"/>
          <w:lang w:val="es-CR"/>
        </w:rPr>
      </w:pPr>
      <w:r w:rsidRPr="00056425">
        <w:rPr>
          <w:rFonts w:ascii="Book Antiqua" w:hAnsi="Book Antiqua" w:cs="Book Antiqua"/>
          <w:lang w:val="es-CR"/>
        </w:rPr>
        <w:t>Atentamente,</w:t>
      </w:r>
    </w:p>
    <w:p w:rsidR="00D87383" w:rsidRPr="00056425" w:rsidRDefault="00D87383" w:rsidP="00D87383">
      <w:pPr>
        <w:jc w:val="both"/>
        <w:rPr>
          <w:rFonts w:ascii="Book Antiqua" w:hAnsi="Book Antiqua" w:cs="Book Antiqua"/>
          <w:lang w:val="es-CR"/>
        </w:rPr>
      </w:pPr>
    </w:p>
    <w:p w:rsidR="00D87383" w:rsidRDefault="00D87383" w:rsidP="00D87383">
      <w:pPr>
        <w:jc w:val="both"/>
        <w:rPr>
          <w:rFonts w:ascii="Book Antiqua" w:hAnsi="Book Antiqua" w:cs="Book Antiqua"/>
          <w:lang w:val="es-CR"/>
        </w:rPr>
      </w:pPr>
    </w:p>
    <w:p w:rsidR="00C87D94" w:rsidRPr="00056425" w:rsidRDefault="00C87D94" w:rsidP="00D87383">
      <w:pPr>
        <w:jc w:val="both"/>
        <w:rPr>
          <w:rFonts w:ascii="Book Antiqua" w:hAnsi="Book Antiqua" w:cs="Book Antiqua"/>
          <w:lang w:val="es-CR"/>
        </w:rPr>
      </w:pPr>
    </w:p>
    <w:p w:rsidR="00D87383" w:rsidRDefault="00D87383" w:rsidP="00D87383">
      <w:pPr>
        <w:rPr>
          <w:rFonts w:ascii="Book Antiqua" w:hAnsi="Book Antiqua" w:cs="Book Antiqua"/>
          <w:snapToGrid w:val="0"/>
          <w:lang w:val="pt-BR"/>
        </w:rPr>
      </w:pPr>
      <w:r>
        <w:rPr>
          <w:rFonts w:ascii="Book Antiqua" w:hAnsi="Book Antiqua" w:cs="Book Antiqua"/>
          <w:snapToGrid w:val="0"/>
          <w:lang w:val="pt-BR"/>
        </w:rPr>
        <w:t>Nacira Valverde Bermúdez</w:t>
      </w:r>
    </w:p>
    <w:p w:rsidR="00D87383" w:rsidRDefault="00D87383" w:rsidP="00D87383">
      <w:pPr>
        <w:rPr>
          <w:rFonts w:ascii="Book Antiqua" w:hAnsi="Book Antiqua" w:cs="Book Antiqua"/>
          <w:snapToGrid w:val="0"/>
          <w:lang w:val="pt-BR"/>
        </w:rPr>
      </w:pPr>
      <w:r>
        <w:rPr>
          <w:rFonts w:ascii="Book Antiqua" w:hAnsi="Book Antiqua" w:cs="Book Antiqua"/>
          <w:snapToGrid w:val="0"/>
          <w:lang w:val="pt-BR"/>
        </w:rPr>
        <w:t xml:space="preserve">Directora </w:t>
      </w:r>
      <w:r>
        <w:rPr>
          <w:rFonts w:ascii="Book Antiqua" w:hAnsi="Book Antiqua" w:cs="Book Antiqua"/>
          <w:snapToGrid w:val="0"/>
        </w:rPr>
        <w:t>a.i. de Planificación</w:t>
      </w:r>
    </w:p>
    <w:p w:rsidR="00D87383" w:rsidRDefault="00D87383" w:rsidP="00D87383">
      <w:pPr>
        <w:rPr>
          <w:rFonts w:ascii="Book Antiqua" w:hAnsi="Book Antiqua" w:cs="Book Antiqua"/>
          <w:snapToGrid w:val="0"/>
          <w:lang w:val="pt-BR"/>
        </w:rPr>
      </w:pPr>
    </w:p>
    <w:p w:rsidR="00D87383" w:rsidRPr="00056425" w:rsidRDefault="00D87383" w:rsidP="00D87383">
      <w:pPr>
        <w:rPr>
          <w:rFonts w:ascii="Book Antiqua" w:hAnsi="Book Antiqua" w:cs="Book Antiqua"/>
          <w:lang w:val="es-CR"/>
        </w:rPr>
      </w:pPr>
    </w:p>
    <w:p w:rsidR="00D87383" w:rsidRPr="00570534" w:rsidRDefault="00D87383" w:rsidP="00D87383">
      <w:pPr>
        <w:pStyle w:val="Encabezado"/>
        <w:tabs>
          <w:tab w:val="clear" w:pos="4252"/>
          <w:tab w:val="clear" w:pos="8504"/>
        </w:tabs>
        <w:rPr>
          <w:rFonts w:ascii="Book Antiqua" w:hAnsi="Book Antiqua" w:cs="Book Antiqua"/>
          <w:i/>
          <w:iCs/>
          <w:sz w:val="18"/>
          <w:szCs w:val="18"/>
          <w:lang w:val="es-CR"/>
        </w:rPr>
      </w:pPr>
    </w:p>
    <w:p w:rsidR="00D87383" w:rsidRPr="00570534" w:rsidRDefault="00D87383" w:rsidP="00D87383">
      <w:pPr>
        <w:pStyle w:val="Encabezado"/>
        <w:tabs>
          <w:tab w:val="clear" w:pos="4252"/>
          <w:tab w:val="clear" w:pos="8504"/>
        </w:tabs>
        <w:rPr>
          <w:rFonts w:ascii="Book Antiqua" w:hAnsi="Book Antiqua" w:cs="Book Antiqua"/>
          <w:lang w:val="es-CR"/>
        </w:rPr>
      </w:pPr>
      <w:r>
        <w:rPr>
          <w:rFonts w:ascii="Book Antiqua" w:hAnsi="Book Antiqua" w:cs="Book Antiqua"/>
          <w:lang w:val="es-CR"/>
        </w:rPr>
        <w:t>Copia</w:t>
      </w:r>
      <w:r w:rsidRPr="00570534">
        <w:rPr>
          <w:rFonts w:ascii="Book Antiqua" w:hAnsi="Book Antiqua" w:cs="Book Antiqua"/>
          <w:lang w:val="es-CR"/>
        </w:rPr>
        <w:t>:</w:t>
      </w:r>
    </w:p>
    <w:p w:rsidR="00D87383" w:rsidRPr="007C0BF9" w:rsidRDefault="00D87383" w:rsidP="00D87383">
      <w:pPr>
        <w:ind w:left="360" w:firstLine="360"/>
        <w:rPr>
          <w:rFonts w:ascii="Book Antiqua" w:hAnsi="Book Antiqua" w:cs="Book Antiqua"/>
          <w:sz w:val="20"/>
          <w:szCs w:val="20"/>
        </w:rPr>
      </w:pPr>
    </w:p>
    <w:p w:rsidR="00D87383" w:rsidRPr="00BA5764" w:rsidRDefault="00C87D94" w:rsidP="00D87383">
      <w:pPr>
        <w:widowControl w:val="0"/>
        <w:numPr>
          <w:ilvl w:val="0"/>
          <w:numId w:val="4"/>
        </w:numPr>
        <w:rPr>
          <w:rFonts w:ascii="Book Antiqua" w:hAnsi="Book Antiqua" w:cs="Book Antiqua"/>
          <w:snapToGrid w:val="0"/>
          <w:sz w:val="20"/>
          <w:szCs w:val="20"/>
        </w:rPr>
      </w:pPr>
      <w:r>
        <w:rPr>
          <w:rFonts w:ascii="Book Antiqua" w:hAnsi="Book Antiqua" w:cs="Book Antiqua"/>
          <w:snapToGrid w:val="0"/>
          <w:sz w:val="20"/>
          <w:szCs w:val="20"/>
        </w:rPr>
        <w:t xml:space="preserve">Oficina Defensa Civil de las </w:t>
      </w:r>
      <w:r w:rsidR="00D02C29" w:rsidRPr="00BA5764">
        <w:rPr>
          <w:rFonts w:ascii="Book Antiqua" w:hAnsi="Book Antiqua" w:cs="Book Antiqua"/>
          <w:snapToGrid w:val="0"/>
          <w:sz w:val="20"/>
          <w:szCs w:val="20"/>
        </w:rPr>
        <w:t xml:space="preserve">Víctimas de Delito del Ministerio Público </w:t>
      </w:r>
    </w:p>
    <w:p w:rsidR="00D87383" w:rsidRPr="007C0BF9" w:rsidRDefault="00D87383" w:rsidP="00D87383">
      <w:pPr>
        <w:widowControl w:val="0"/>
        <w:numPr>
          <w:ilvl w:val="0"/>
          <w:numId w:val="4"/>
        </w:numPr>
        <w:rPr>
          <w:rFonts w:ascii="Book Antiqua" w:hAnsi="Book Antiqua" w:cs="Book Antiqua"/>
          <w:snapToGrid w:val="0"/>
          <w:sz w:val="20"/>
          <w:szCs w:val="20"/>
        </w:rPr>
      </w:pPr>
      <w:r w:rsidRPr="007C0BF9">
        <w:rPr>
          <w:rFonts w:ascii="Book Antiqua" w:hAnsi="Book Antiqua" w:cs="Book Antiqua"/>
          <w:snapToGrid w:val="0"/>
          <w:sz w:val="20"/>
          <w:szCs w:val="20"/>
        </w:rPr>
        <w:t>Archivo</w:t>
      </w:r>
    </w:p>
    <w:p w:rsidR="00D87383" w:rsidRDefault="00D02C29" w:rsidP="00D87383">
      <w:pPr>
        <w:rPr>
          <w:rFonts w:ascii="Book Antiqua" w:hAnsi="Book Antiqua" w:cs="Book Antiqua"/>
          <w:snapToGrid w:val="0"/>
          <w:sz w:val="20"/>
          <w:szCs w:val="20"/>
        </w:rPr>
      </w:pPr>
      <w:r>
        <w:rPr>
          <w:rFonts w:ascii="Book Antiqua" w:hAnsi="Book Antiqua" w:cs="Book Antiqua"/>
          <w:snapToGrid w:val="0"/>
          <w:sz w:val="20"/>
          <w:szCs w:val="20"/>
        </w:rPr>
        <w:t>pvv</w:t>
      </w:r>
    </w:p>
    <w:p w:rsidR="006713AB" w:rsidRDefault="00D87383">
      <w:r>
        <w:rPr>
          <w:rFonts w:ascii="Book Antiqua" w:hAnsi="Book Antiqua" w:cs="Book Antiqua"/>
          <w:snapToGrid w:val="0"/>
          <w:sz w:val="20"/>
          <w:szCs w:val="20"/>
        </w:rPr>
        <w:t xml:space="preserve">REF. </w:t>
      </w:r>
      <w:r w:rsidR="00D02C29" w:rsidRPr="00D02C29">
        <w:rPr>
          <w:rFonts w:ascii="Calibri" w:hAnsi="Calibri"/>
        </w:rPr>
        <w:t>1384-17</w:t>
      </w:r>
    </w:p>
    <w:p w:rsidR="006713AB" w:rsidRDefault="006713AB"/>
    <w:p w:rsidR="006713AB" w:rsidRDefault="006713AB"/>
    <w:p w:rsidR="006713AB" w:rsidRDefault="006713AB"/>
    <w:p w:rsidR="001218D0" w:rsidRDefault="001218D0">
      <w:pPr>
        <w:sectPr w:rsidR="001218D0" w:rsidSect="006713AB">
          <w:headerReference w:type="default" r:id="rId7"/>
          <w:footerReference w:type="default" r:id="rId8"/>
          <w:pgSz w:w="12242" w:h="15842" w:code="1"/>
          <w:pgMar w:top="1134" w:right="1134" w:bottom="1134" w:left="1134" w:header="709" w:footer="709" w:gutter="0"/>
          <w:cols w:space="708"/>
          <w:docGrid w:linePitch="360"/>
        </w:sectPr>
      </w:pPr>
    </w:p>
    <w:p w:rsidR="006713AB" w:rsidRDefault="00E30C81">
      <w:r>
        <w:rPr>
          <w:noProof/>
        </w:rPr>
        <w:lastRenderedPageBreak/>
        <w:pict>
          <v:group id="Group 2" o:spid="_x0000_s1026" style="position:absolute;margin-left:-64.2pt;margin-top:-118.45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VdFR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U5V0&#10;VE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">
              <v:imagedata r:id="rId9"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0" o:title=""/>
            </v:shape>
          </v:group>
        </w:pict>
      </w:r>
    </w:p>
    <w:p w:rsidR="006713AB" w:rsidRDefault="00C32BE2">
      <w:r>
        <w:rPr>
          <w:noProof/>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1"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0D56AF" w:rsidRDefault="00C32BE2">
      <w:r>
        <w:rPr>
          <w:noProof/>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7" name="Imagen 7"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irplani"/>
                    <pic:cNvPicPr>
                      <a:picLocks noChangeAspect="1" noChangeArrowheads="1"/>
                    </pic:cNvPicPr>
                  </pic:nvPicPr>
                  <pic:blipFill>
                    <a:blip r:embed="rId12"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713AB" w:rsidRDefault="006713AB"/>
    <w:p w:rsidR="006713AB" w:rsidRDefault="006713AB"/>
    <w:p w:rsidR="006713AB" w:rsidRDefault="006713AB"/>
    <w:p w:rsidR="006713AB" w:rsidRDefault="006713AB"/>
    <w:p w:rsidR="006713AB" w:rsidRDefault="006713AB"/>
    <w:p w:rsidR="006713AB" w:rsidRDefault="006713AB" w:rsidP="006713AB">
      <w:pPr>
        <w:jc w:val="center"/>
        <w:rPr>
          <w:rFonts w:ascii="Calibri" w:hAnsi="Calibri"/>
          <w:sz w:val="40"/>
          <w:szCs w:val="40"/>
        </w:rPr>
      </w:pPr>
    </w:p>
    <w:p w:rsidR="006713AB" w:rsidRDefault="006713AB" w:rsidP="006713AB">
      <w:pPr>
        <w:jc w:val="center"/>
        <w:rPr>
          <w:rFonts w:ascii="Calibri" w:hAnsi="Calibri"/>
          <w:sz w:val="40"/>
          <w:szCs w:val="40"/>
        </w:rPr>
      </w:pPr>
    </w:p>
    <w:p w:rsidR="006713AB" w:rsidRPr="000F6AE1" w:rsidRDefault="00441E9F" w:rsidP="006713AB">
      <w:pPr>
        <w:jc w:val="center"/>
        <w:rPr>
          <w:rFonts w:ascii="Calibri" w:hAnsi="Calibri"/>
          <w:i/>
          <w:sz w:val="40"/>
          <w:szCs w:val="40"/>
        </w:rPr>
      </w:pPr>
      <w:r>
        <w:rPr>
          <w:rFonts w:ascii="Calibri" w:hAnsi="Calibri"/>
          <w:i/>
          <w:sz w:val="40"/>
          <w:szCs w:val="40"/>
        </w:rPr>
        <w:t>SUBPROCESO DE EVALUACIÓN</w:t>
      </w:r>
    </w:p>
    <w:p w:rsidR="006713AB" w:rsidRPr="006713AB" w:rsidRDefault="006713AB" w:rsidP="006713AB">
      <w:pPr>
        <w:jc w:val="center"/>
        <w:rPr>
          <w:rFonts w:ascii="Calibri" w:hAnsi="Calibri"/>
          <w:sz w:val="40"/>
          <w:szCs w:val="40"/>
        </w:rPr>
      </w:pPr>
    </w:p>
    <w:p w:rsidR="006713AB" w:rsidRDefault="006713AB" w:rsidP="006713AB">
      <w:pPr>
        <w:jc w:val="center"/>
        <w:rPr>
          <w:rFonts w:ascii="Calibri" w:hAnsi="Calibri"/>
          <w:sz w:val="40"/>
          <w:szCs w:val="40"/>
        </w:rPr>
      </w:pPr>
    </w:p>
    <w:p w:rsidR="006713AB" w:rsidRDefault="006713AB" w:rsidP="006713AB">
      <w:pPr>
        <w:jc w:val="center"/>
        <w:rPr>
          <w:rFonts w:ascii="Calibri" w:hAnsi="Calibri"/>
          <w:sz w:val="40"/>
          <w:szCs w:val="40"/>
        </w:rPr>
      </w:pPr>
    </w:p>
    <w:p w:rsidR="006713AB" w:rsidRPr="006713AB" w:rsidRDefault="00FC0F2E" w:rsidP="006713AB">
      <w:pPr>
        <w:jc w:val="center"/>
        <w:rPr>
          <w:rFonts w:ascii="Calibri" w:hAnsi="Calibri"/>
          <w:b/>
          <w:i/>
          <w:sz w:val="40"/>
          <w:szCs w:val="40"/>
        </w:rPr>
      </w:pPr>
      <w:r>
        <w:rPr>
          <w:rFonts w:ascii="Calibri" w:hAnsi="Calibri"/>
          <w:b/>
          <w:i/>
          <w:sz w:val="40"/>
          <w:szCs w:val="40"/>
        </w:rPr>
        <w:t>Seguimiento de lo</w:t>
      </w:r>
      <w:r w:rsidR="00441E9F">
        <w:rPr>
          <w:rFonts w:ascii="Calibri" w:hAnsi="Calibri"/>
          <w:b/>
          <w:i/>
          <w:sz w:val="40"/>
          <w:szCs w:val="40"/>
        </w:rPr>
        <w:t xml:space="preserve">s </w:t>
      </w:r>
      <w:r>
        <w:rPr>
          <w:rFonts w:ascii="Calibri" w:hAnsi="Calibri"/>
          <w:b/>
          <w:i/>
          <w:sz w:val="40"/>
          <w:szCs w:val="40"/>
        </w:rPr>
        <w:t>Manuales de Procedimientos de la Oficina Defensa Civil de las Víctimas del Delito del Ministerio Público</w:t>
      </w:r>
    </w:p>
    <w:p w:rsidR="006713AB" w:rsidRDefault="006713AB" w:rsidP="006713AB">
      <w:pPr>
        <w:jc w:val="center"/>
        <w:rPr>
          <w:rFonts w:ascii="Calibri" w:hAnsi="Calibri"/>
          <w:sz w:val="40"/>
          <w:szCs w:val="40"/>
        </w:rPr>
      </w:pPr>
    </w:p>
    <w:p w:rsidR="006713AB" w:rsidRDefault="006713AB" w:rsidP="006713AB">
      <w:pPr>
        <w:jc w:val="center"/>
        <w:rPr>
          <w:rFonts w:ascii="Calibri" w:hAnsi="Calibri"/>
          <w:sz w:val="40"/>
          <w:szCs w:val="40"/>
        </w:rPr>
      </w:pPr>
    </w:p>
    <w:p w:rsidR="006713AB" w:rsidRDefault="006713AB" w:rsidP="006713AB">
      <w:pPr>
        <w:jc w:val="center"/>
        <w:rPr>
          <w:rFonts w:ascii="Calibri" w:hAnsi="Calibri"/>
          <w:sz w:val="40"/>
          <w:szCs w:val="40"/>
        </w:rPr>
      </w:pPr>
    </w:p>
    <w:p w:rsidR="006713AB" w:rsidRDefault="006713AB" w:rsidP="006713AB">
      <w:pPr>
        <w:jc w:val="center"/>
        <w:rPr>
          <w:rFonts w:ascii="Calibri" w:hAnsi="Calibri"/>
          <w:sz w:val="40"/>
          <w:szCs w:val="40"/>
        </w:rPr>
      </w:pPr>
    </w:p>
    <w:p w:rsidR="00EB3EB3" w:rsidRDefault="00EB3EB3" w:rsidP="006713AB">
      <w:pPr>
        <w:jc w:val="center"/>
        <w:rPr>
          <w:rFonts w:ascii="Calibri" w:hAnsi="Calibri"/>
          <w:sz w:val="40"/>
          <w:szCs w:val="40"/>
        </w:rPr>
      </w:pPr>
    </w:p>
    <w:p w:rsidR="006713AB" w:rsidRDefault="006713AB" w:rsidP="006713AB">
      <w:pPr>
        <w:jc w:val="center"/>
        <w:rPr>
          <w:rFonts w:ascii="Calibri" w:hAnsi="Calibri"/>
          <w:sz w:val="40"/>
          <w:szCs w:val="40"/>
        </w:rPr>
      </w:pPr>
    </w:p>
    <w:p w:rsidR="006A5FC6" w:rsidRDefault="006A5FC6" w:rsidP="006713AB">
      <w:pPr>
        <w:jc w:val="center"/>
        <w:rPr>
          <w:rFonts w:ascii="Calibri" w:hAnsi="Calibri"/>
          <w:sz w:val="40"/>
          <w:szCs w:val="40"/>
        </w:rPr>
      </w:pPr>
    </w:p>
    <w:p w:rsidR="006A5FC6" w:rsidRDefault="006A5FC6" w:rsidP="006713AB">
      <w:pPr>
        <w:jc w:val="center"/>
        <w:rPr>
          <w:rFonts w:ascii="Calibri" w:hAnsi="Calibri"/>
          <w:sz w:val="40"/>
          <w:szCs w:val="40"/>
        </w:rPr>
      </w:pPr>
    </w:p>
    <w:p w:rsidR="00D02C29" w:rsidRDefault="00D02C29" w:rsidP="006713AB">
      <w:pPr>
        <w:jc w:val="center"/>
        <w:rPr>
          <w:rFonts w:ascii="Calibri" w:hAnsi="Calibri"/>
          <w:sz w:val="40"/>
          <w:szCs w:val="40"/>
        </w:rPr>
      </w:pPr>
    </w:p>
    <w:p w:rsidR="006713AB" w:rsidRDefault="006713AB" w:rsidP="006713AB">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997"/>
        <w:gridCol w:w="1260"/>
        <w:gridCol w:w="1982"/>
      </w:tblGrid>
      <w:tr w:rsidR="006713AB" w:rsidRPr="005D0F56">
        <w:trPr>
          <w:trHeight w:val="540"/>
        </w:trPr>
        <w:tc>
          <w:tcPr>
            <w:tcW w:w="6948" w:type="dxa"/>
            <w:gridSpan w:val="2"/>
            <w:shd w:val="clear" w:color="auto" w:fill="000000"/>
            <w:vAlign w:val="center"/>
          </w:tcPr>
          <w:p w:rsidR="006713AB" w:rsidRPr="005D0F56" w:rsidRDefault="006713AB" w:rsidP="005D0F56">
            <w:pPr>
              <w:jc w:val="center"/>
              <w:rPr>
                <w:rFonts w:ascii="Calibri" w:hAnsi="Calibri"/>
                <w:b/>
                <w:color w:val="FFFFFF"/>
                <w:sz w:val="32"/>
                <w:szCs w:val="32"/>
              </w:rPr>
            </w:pPr>
            <w:r w:rsidRPr="005D0F56">
              <w:rPr>
                <w:rFonts w:ascii="Calibri" w:hAnsi="Calibri"/>
                <w:b/>
                <w:color w:val="FFFFFF"/>
                <w:sz w:val="32"/>
                <w:szCs w:val="32"/>
              </w:rPr>
              <w:lastRenderedPageBreak/>
              <w:t>Dirección de Planificación</w:t>
            </w:r>
          </w:p>
        </w:tc>
        <w:tc>
          <w:tcPr>
            <w:tcW w:w="1260" w:type="dxa"/>
            <w:shd w:val="clear" w:color="auto" w:fill="B3B3B3"/>
            <w:vAlign w:val="center"/>
          </w:tcPr>
          <w:p w:rsidR="006713AB" w:rsidRPr="005D0F56" w:rsidRDefault="006713AB" w:rsidP="005D0F56">
            <w:pPr>
              <w:jc w:val="right"/>
              <w:rPr>
                <w:rFonts w:ascii="Calibri" w:hAnsi="Calibri"/>
                <w:b/>
              </w:rPr>
            </w:pPr>
            <w:r w:rsidRPr="005D0F56">
              <w:rPr>
                <w:rFonts w:ascii="Calibri" w:hAnsi="Calibri"/>
                <w:b/>
              </w:rPr>
              <w:t>Fecha:</w:t>
            </w:r>
          </w:p>
        </w:tc>
        <w:tc>
          <w:tcPr>
            <w:tcW w:w="1982" w:type="dxa"/>
            <w:vAlign w:val="center"/>
          </w:tcPr>
          <w:p w:rsidR="006713AB" w:rsidRPr="005D0F56" w:rsidRDefault="009668C7" w:rsidP="00FC0F2E">
            <w:pPr>
              <w:rPr>
                <w:rFonts w:ascii="Calibri" w:hAnsi="Calibri"/>
                <w:i/>
                <w:color w:val="0000FF"/>
              </w:rPr>
            </w:pPr>
            <w:r>
              <w:rPr>
                <w:rFonts w:ascii="Calibri" w:hAnsi="Calibri"/>
                <w:i/>
              </w:rPr>
              <w:t>23</w:t>
            </w:r>
            <w:r w:rsidR="00C94181" w:rsidRPr="00A93668">
              <w:rPr>
                <w:rFonts w:ascii="Calibri" w:hAnsi="Calibri"/>
                <w:i/>
              </w:rPr>
              <w:t>/</w:t>
            </w:r>
            <w:r w:rsidR="00FC0F2E">
              <w:rPr>
                <w:rFonts w:ascii="Calibri" w:hAnsi="Calibri"/>
                <w:i/>
              </w:rPr>
              <w:t>0</w:t>
            </w:r>
            <w:r>
              <w:rPr>
                <w:rFonts w:ascii="Calibri" w:hAnsi="Calibri"/>
                <w:i/>
              </w:rPr>
              <w:t>5</w:t>
            </w:r>
            <w:r w:rsidR="00C94181" w:rsidRPr="00A93668">
              <w:rPr>
                <w:rFonts w:ascii="Calibri" w:hAnsi="Calibri"/>
                <w:i/>
              </w:rPr>
              <w:t>/201</w:t>
            </w:r>
            <w:r w:rsidR="00FC0F2E">
              <w:rPr>
                <w:rFonts w:ascii="Calibri" w:hAnsi="Calibri"/>
                <w:i/>
              </w:rPr>
              <w:t>8</w:t>
            </w:r>
          </w:p>
        </w:tc>
      </w:tr>
      <w:tr w:rsidR="006713AB" w:rsidRPr="00A07737" w:rsidTr="00BA5764">
        <w:trPr>
          <w:trHeight w:val="494"/>
        </w:trPr>
        <w:tc>
          <w:tcPr>
            <w:tcW w:w="1951" w:type="dxa"/>
            <w:shd w:val="clear" w:color="auto" w:fill="B3B3B3"/>
            <w:vAlign w:val="center"/>
          </w:tcPr>
          <w:p w:rsidR="006713AB" w:rsidRPr="00A07737" w:rsidRDefault="006713AB" w:rsidP="005D0F56">
            <w:pPr>
              <w:jc w:val="right"/>
              <w:rPr>
                <w:rFonts w:ascii="Calibri" w:hAnsi="Calibri"/>
                <w:b/>
              </w:rPr>
            </w:pPr>
            <w:r w:rsidRPr="00A07737">
              <w:rPr>
                <w:rFonts w:ascii="Calibri" w:hAnsi="Calibri"/>
                <w:b/>
              </w:rPr>
              <w:t>Sección:</w:t>
            </w:r>
          </w:p>
        </w:tc>
        <w:tc>
          <w:tcPr>
            <w:tcW w:w="4997" w:type="dxa"/>
            <w:vAlign w:val="center"/>
          </w:tcPr>
          <w:p w:rsidR="006713AB" w:rsidRPr="00A07737" w:rsidRDefault="00FC0F2E" w:rsidP="00486775">
            <w:pPr>
              <w:rPr>
                <w:rFonts w:ascii="Calibri" w:hAnsi="Calibri"/>
                <w:i/>
              </w:rPr>
            </w:pPr>
            <w:r>
              <w:rPr>
                <w:rFonts w:ascii="Calibri" w:hAnsi="Calibri"/>
                <w:i/>
              </w:rPr>
              <w:t>Subproceso de Evaluación</w:t>
            </w:r>
          </w:p>
        </w:tc>
        <w:tc>
          <w:tcPr>
            <w:tcW w:w="1260" w:type="dxa"/>
            <w:shd w:val="clear" w:color="auto" w:fill="B3B3B3"/>
            <w:vAlign w:val="center"/>
          </w:tcPr>
          <w:p w:rsidR="006713AB" w:rsidRPr="00A07737" w:rsidRDefault="006713AB" w:rsidP="005D0F56">
            <w:pPr>
              <w:jc w:val="right"/>
              <w:rPr>
                <w:rFonts w:ascii="Calibri" w:hAnsi="Calibri"/>
                <w:b/>
              </w:rPr>
            </w:pPr>
            <w:r w:rsidRPr="00A07737">
              <w:rPr>
                <w:rFonts w:ascii="Calibri" w:hAnsi="Calibri"/>
                <w:b/>
              </w:rPr>
              <w:t># Informe:</w:t>
            </w:r>
          </w:p>
        </w:tc>
        <w:tc>
          <w:tcPr>
            <w:tcW w:w="1982" w:type="dxa"/>
            <w:vAlign w:val="center"/>
          </w:tcPr>
          <w:p w:rsidR="000F6AE1" w:rsidRPr="00A07737" w:rsidRDefault="00495AAC" w:rsidP="00FC0F2E">
            <w:pPr>
              <w:rPr>
                <w:rFonts w:ascii="Calibri" w:hAnsi="Calibri"/>
                <w:i/>
              </w:rPr>
            </w:pPr>
            <w:r>
              <w:rPr>
                <w:rFonts w:ascii="Calibri" w:hAnsi="Calibri"/>
                <w:i/>
              </w:rPr>
              <w:t>35</w:t>
            </w:r>
            <w:r w:rsidR="00C94181" w:rsidRPr="00A07737">
              <w:rPr>
                <w:rFonts w:ascii="Calibri" w:hAnsi="Calibri"/>
                <w:i/>
              </w:rPr>
              <w:t>-EV-</w:t>
            </w:r>
            <w:r w:rsidR="00A8114E" w:rsidRPr="00A07737">
              <w:rPr>
                <w:rFonts w:ascii="Calibri" w:hAnsi="Calibri"/>
                <w:i/>
              </w:rPr>
              <w:t>2</w:t>
            </w:r>
            <w:r w:rsidR="006713AB" w:rsidRPr="00A07737">
              <w:rPr>
                <w:rFonts w:ascii="Calibri" w:hAnsi="Calibri"/>
                <w:i/>
              </w:rPr>
              <w:t>0</w:t>
            </w:r>
            <w:r w:rsidR="004D750F" w:rsidRPr="00A07737">
              <w:rPr>
                <w:rFonts w:ascii="Calibri" w:hAnsi="Calibri"/>
                <w:i/>
              </w:rPr>
              <w:t>1</w:t>
            </w:r>
            <w:r w:rsidR="00FC0F2E">
              <w:rPr>
                <w:rFonts w:ascii="Calibri" w:hAnsi="Calibri"/>
                <w:i/>
              </w:rPr>
              <w:t>8</w:t>
            </w:r>
          </w:p>
        </w:tc>
      </w:tr>
      <w:tr w:rsidR="006713AB" w:rsidRPr="00A07737" w:rsidTr="00BA5764">
        <w:trPr>
          <w:trHeight w:val="494"/>
        </w:trPr>
        <w:tc>
          <w:tcPr>
            <w:tcW w:w="1951" w:type="dxa"/>
            <w:shd w:val="clear" w:color="auto" w:fill="B3B3B3"/>
            <w:vAlign w:val="center"/>
          </w:tcPr>
          <w:p w:rsidR="006713AB" w:rsidRPr="00A07737" w:rsidRDefault="006713AB" w:rsidP="005D0F56">
            <w:pPr>
              <w:jc w:val="right"/>
              <w:rPr>
                <w:rFonts w:ascii="Calibri" w:hAnsi="Calibri"/>
                <w:b/>
              </w:rPr>
            </w:pPr>
            <w:r w:rsidRPr="00A07737">
              <w:rPr>
                <w:rFonts w:ascii="Calibri" w:hAnsi="Calibri"/>
                <w:b/>
              </w:rPr>
              <w:t>Temática:</w:t>
            </w:r>
          </w:p>
        </w:tc>
        <w:tc>
          <w:tcPr>
            <w:tcW w:w="8239" w:type="dxa"/>
            <w:gridSpan w:val="3"/>
            <w:vAlign w:val="center"/>
          </w:tcPr>
          <w:p w:rsidR="006713AB" w:rsidRPr="00A07737" w:rsidRDefault="00C94181" w:rsidP="00A92D72">
            <w:pPr>
              <w:rPr>
                <w:rFonts w:ascii="Calibri" w:hAnsi="Calibri"/>
                <w:i/>
              </w:rPr>
            </w:pPr>
            <w:r w:rsidRPr="00A07737">
              <w:rPr>
                <w:rFonts w:ascii="Calibri" w:hAnsi="Calibri"/>
                <w:i/>
              </w:rPr>
              <w:t xml:space="preserve">Seguimiento al Informe </w:t>
            </w:r>
            <w:r w:rsidR="00FC0F2E">
              <w:rPr>
                <w:rFonts w:ascii="Calibri" w:hAnsi="Calibri"/>
                <w:i/>
              </w:rPr>
              <w:t>27-OI-2017 del Subproceso de Organización Institucional.</w:t>
            </w:r>
            <w:r w:rsidRPr="00A07737">
              <w:rPr>
                <w:rFonts w:ascii="Calibri" w:hAnsi="Calibri"/>
                <w:i/>
              </w:rPr>
              <w:t xml:space="preserve"> </w:t>
            </w:r>
          </w:p>
        </w:tc>
      </w:tr>
      <w:tr w:rsidR="006713AB" w:rsidRPr="00A07737" w:rsidTr="00BA5764">
        <w:trPr>
          <w:trHeight w:val="494"/>
        </w:trPr>
        <w:tc>
          <w:tcPr>
            <w:tcW w:w="1951" w:type="dxa"/>
            <w:shd w:val="clear" w:color="auto" w:fill="B3B3B3"/>
            <w:vAlign w:val="center"/>
          </w:tcPr>
          <w:p w:rsidR="006713AB" w:rsidRPr="00A07737" w:rsidRDefault="006713AB" w:rsidP="005D0F56">
            <w:pPr>
              <w:jc w:val="right"/>
              <w:rPr>
                <w:rFonts w:ascii="Calibri" w:hAnsi="Calibri"/>
                <w:b/>
              </w:rPr>
            </w:pPr>
            <w:r w:rsidRPr="00A07737">
              <w:rPr>
                <w:rFonts w:ascii="Calibri" w:hAnsi="Calibri"/>
                <w:b/>
              </w:rPr>
              <w:t>Para:</w:t>
            </w:r>
          </w:p>
        </w:tc>
        <w:tc>
          <w:tcPr>
            <w:tcW w:w="8239" w:type="dxa"/>
            <w:gridSpan w:val="3"/>
            <w:vAlign w:val="center"/>
          </w:tcPr>
          <w:p w:rsidR="006713AB" w:rsidRPr="00A07737" w:rsidRDefault="00FC0F2E" w:rsidP="00486775">
            <w:pPr>
              <w:rPr>
                <w:rFonts w:ascii="Calibri" w:hAnsi="Calibri"/>
                <w:i/>
              </w:rPr>
            </w:pPr>
            <w:r>
              <w:rPr>
                <w:rFonts w:ascii="Calibri" w:hAnsi="Calibri"/>
                <w:i/>
              </w:rPr>
              <w:t>Secretaría de la Corte, Oficina Defensa Civil de las Víctimas de Delito del Ministerio Público.</w:t>
            </w:r>
          </w:p>
        </w:tc>
      </w:tr>
      <w:tr w:rsidR="006713AB" w:rsidRPr="00A07737" w:rsidTr="00BA5764">
        <w:trPr>
          <w:trHeight w:val="494"/>
        </w:trPr>
        <w:tc>
          <w:tcPr>
            <w:tcW w:w="1951" w:type="dxa"/>
            <w:shd w:val="clear" w:color="auto" w:fill="B3B3B3"/>
            <w:vAlign w:val="center"/>
          </w:tcPr>
          <w:p w:rsidR="006713AB" w:rsidRPr="00A07737" w:rsidRDefault="006713AB" w:rsidP="005D0F56">
            <w:pPr>
              <w:jc w:val="right"/>
              <w:rPr>
                <w:rFonts w:ascii="Calibri" w:hAnsi="Calibri"/>
                <w:b/>
              </w:rPr>
            </w:pPr>
            <w:r w:rsidRPr="00A07737">
              <w:rPr>
                <w:rFonts w:ascii="Calibri" w:hAnsi="Calibri"/>
                <w:b/>
              </w:rPr>
              <w:t>Oficios y Referencias:</w:t>
            </w:r>
          </w:p>
        </w:tc>
        <w:tc>
          <w:tcPr>
            <w:tcW w:w="8239" w:type="dxa"/>
            <w:gridSpan w:val="3"/>
            <w:vAlign w:val="center"/>
          </w:tcPr>
          <w:p w:rsidR="006713AB" w:rsidRPr="00A07737" w:rsidRDefault="006713AB" w:rsidP="00A92D72">
            <w:pPr>
              <w:jc w:val="both"/>
              <w:rPr>
                <w:rFonts w:ascii="Calibri" w:hAnsi="Calibri"/>
                <w:i/>
              </w:rPr>
            </w:pPr>
            <w:r w:rsidRPr="00A07737">
              <w:rPr>
                <w:rFonts w:ascii="Calibri" w:hAnsi="Calibri"/>
                <w:i/>
              </w:rPr>
              <w:t xml:space="preserve">Con este informe se contestan </w:t>
            </w:r>
            <w:r w:rsidR="000F6AE1" w:rsidRPr="00A07737">
              <w:rPr>
                <w:rFonts w:ascii="Calibri" w:hAnsi="Calibri"/>
                <w:i/>
              </w:rPr>
              <w:t>el ofic</w:t>
            </w:r>
            <w:r w:rsidRPr="00A07737">
              <w:rPr>
                <w:rFonts w:ascii="Calibri" w:hAnsi="Calibri"/>
                <w:i/>
              </w:rPr>
              <w:t xml:space="preserve">io </w:t>
            </w:r>
            <w:r w:rsidR="00FC0F2E">
              <w:rPr>
                <w:rFonts w:ascii="Calibri" w:hAnsi="Calibri"/>
                <w:i/>
              </w:rPr>
              <w:t>9901-17</w:t>
            </w:r>
            <w:r w:rsidRPr="00A07737">
              <w:rPr>
                <w:rFonts w:ascii="Calibri" w:hAnsi="Calibri"/>
                <w:i/>
              </w:rPr>
              <w:t xml:space="preserve"> y la referencia interna de la Dirección de Planificación</w:t>
            </w:r>
            <w:r w:rsidR="000F6AE1" w:rsidRPr="00A07737">
              <w:rPr>
                <w:rFonts w:ascii="Calibri" w:hAnsi="Calibri"/>
                <w:i/>
              </w:rPr>
              <w:t xml:space="preserve"> </w:t>
            </w:r>
            <w:r w:rsidR="00FC0F2E">
              <w:rPr>
                <w:rFonts w:ascii="Calibri" w:hAnsi="Calibri"/>
                <w:i/>
              </w:rPr>
              <w:t>1384</w:t>
            </w:r>
            <w:r w:rsidR="006C62DF" w:rsidRPr="00A07737">
              <w:rPr>
                <w:rFonts w:ascii="Calibri" w:hAnsi="Calibri"/>
                <w:i/>
              </w:rPr>
              <w:t>-17</w:t>
            </w:r>
          </w:p>
        </w:tc>
      </w:tr>
    </w:tbl>
    <w:p w:rsidR="006713AB" w:rsidRPr="00A07737" w:rsidRDefault="006713AB" w:rsidP="006713AB">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239"/>
      </w:tblGrid>
      <w:tr w:rsidR="006713AB" w:rsidRPr="00A07737" w:rsidTr="00DB4626">
        <w:trPr>
          <w:trHeight w:val="1737"/>
        </w:trPr>
        <w:tc>
          <w:tcPr>
            <w:tcW w:w="1951" w:type="dxa"/>
            <w:shd w:val="clear" w:color="auto" w:fill="C0C0C0"/>
          </w:tcPr>
          <w:p w:rsidR="006713AB" w:rsidRPr="00A07737" w:rsidRDefault="006713AB" w:rsidP="005D0F56">
            <w:pPr>
              <w:jc w:val="right"/>
              <w:rPr>
                <w:rFonts w:ascii="Calibri" w:hAnsi="Calibri"/>
                <w:b/>
              </w:rPr>
            </w:pPr>
            <w:r w:rsidRPr="00A07737">
              <w:rPr>
                <w:rFonts w:ascii="Calibri" w:hAnsi="Calibri"/>
                <w:b/>
              </w:rPr>
              <w:t>I. Antecedentes</w:t>
            </w:r>
          </w:p>
        </w:tc>
        <w:tc>
          <w:tcPr>
            <w:tcW w:w="8239" w:type="dxa"/>
          </w:tcPr>
          <w:p w:rsidR="00C40797" w:rsidRPr="003A2C22" w:rsidRDefault="00C40797" w:rsidP="003A2C22">
            <w:pPr>
              <w:rPr>
                <w:rFonts w:ascii="Calibri" w:hAnsi="Calibri"/>
                <w:i/>
              </w:rPr>
            </w:pPr>
            <w:r w:rsidRPr="003A2C22">
              <w:rPr>
                <w:rFonts w:ascii="Calibri" w:hAnsi="Calibri"/>
                <w:b/>
                <w:i/>
              </w:rPr>
              <w:t>1.1</w:t>
            </w:r>
            <w:r w:rsidRPr="003A2C22">
              <w:rPr>
                <w:rFonts w:ascii="Calibri" w:hAnsi="Calibri"/>
                <w:i/>
              </w:rPr>
              <w:t xml:space="preserve"> </w:t>
            </w:r>
            <w:r w:rsidR="006C62DF" w:rsidRPr="003A2C22">
              <w:rPr>
                <w:rFonts w:ascii="Calibri" w:hAnsi="Calibri"/>
                <w:i/>
              </w:rPr>
              <w:t xml:space="preserve">En sesión </w:t>
            </w:r>
            <w:r w:rsidR="00104B69" w:rsidRPr="003A2C22">
              <w:rPr>
                <w:rFonts w:ascii="Calibri" w:hAnsi="Calibri"/>
                <w:i/>
              </w:rPr>
              <w:t>de Consejo Superior</w:t>
            </w:r>
            <w:r w:rsidR="006C62DF" w:rsidRPr="003A2C22">
              <w:rPr>
                <w:rFonts w:ascii="Calibri" w:hAnsi="Calibri"/>
                <w:i/>
              </w:rPr>
              <w:t xml:space="preserve"> </w:t>
            </w:r>
            <w:r w:rsidR="00104B69" w:rsidRPr="003A2C22">
              <w:rPr>
                <w:rFonts w:ascii="Calibri" w:hAnsi="Calibri"/>
                <w:i/>
              </w:rPr>
              <w:t>80</w:t>
            </w:r>
            <w:r w:rsidR="006C62DF" w:rsidRPr="003A2C22">
              <w:rPr>
                <w:rFonts w:ascii="Calibri" w:hAnsi="Calibri"/>
                <w:i/>
              </w:rPr>
              <w:t>-17</w:t>
            </w:r>
            <w:r w:rsidRPr="003A2C22">
              <w:rPr>
                <w:rFonts w:ascii="Calibri" w:hAnsi="Calibri"/>
                <w:i/>
              </w:rPr>
              <w:t xml:space="preserve"> celebrada el </w:t>
            </w:r>
            <w:r w:rsidR="00104B69" w:rsidRPr="003A2C22">
              <w:rPr>
                <w:rFonts w:ascii="Calibri" w:hAnsi="Calibri"/>
                <w:i/>
              </w:rPr>
              <w:t>30</w:t>
            </w:r>
            <w:r w:rsidRPr="003A2C22">
              <w:rPr>
                <w:rFonts w:ascii="Calibri" w:hAnsi="Calibri"/>
                <w:i/>
              </w:rPr>
              <w:t xml:space="preserve"> de a</w:t>
            </w:r>
            <w:r w:rsidR="00104B69" w:rsidRPr="003A2C22">
              <w:rPr>
                <w:rFonts w:ascii="Calibri" w:hAnsi="Calibri"/>
                <w:i/>
              </w:rPr>
              <w:t xml:space="preserve">gosto </w:t>
            </w:r>
            <w:r w:rsidRPr="003A2C22">
              <w:rPr>
                <w:rFonts w:ascii="Calibri" w:hAnsi="Calibri"/>
                <w:i/>
              </w:rPr>
              <w:t>del</w:t>
            </w:r>
            <w:r w:rsidR="00104B69" w:rsidRPr="003A2C22">
              <w:rPr>
                <w:rFonts w:ascii="Calibri" w:hAnsi="Calibri"/>
                <w:i/>
              </w:rPr>
              <w:t xml:space="preserve"> 2017</w:t>
            </w:r>
            <w:r w:rsidRPr="003A2C22">
              <w:rPr>
                <w:rFonts w:ascii="Calibri" w:hAnsi="Calibri"/>
                <w:i/>
              </w:rPr>
              <w:t xml:space="preserve">, en artículo </w:t>
            </w:r>
            <w:r w:rsidR="00104B69" w:rsidRPr="003A2C22">
              <w:rPr>
                <w:rFonts w:ascii="Calibri" w:hAnsi="Calibri"/>
                <w:i/>
              </w:rPr>
              <w:t>XLIX</w:t>
            </w:r>
            <w:r w:rsidRPr="003A2C22">
              <w:rPr>
                <w:rFonts w:ascii="Calibri" w:hAnsi="Calibri"/>
                <w:i/>
              </w:rPr>
              <w:t xml:space="preserve"> se conoce el</w:t>
            </w:r>
            <w:r w:rsidR="006C62DF" w:rsidRPr="003A2C22">
              <w:rPr>
                <w:rFonts w:ascii="Calibri" w:hAnsi="Calibri"/>
                <w:i/>
              </w:rPr>
              <w:t xml:space="preserve"> informe </w:t>
            </w:r>
            <w:r w:rsidR="00104B69" w:rsidRPr="003A2C22">
              <w:rPr>
                <w:rFonts w:ascii="Calibri" w:hAnsi="Calibri"/>
                <w:i/>
              </w:rPr>
              <w:t>1279-PLA-2017</w:t>
            </w:r>
            <w:r w:rsidR="006C62DF" w:rsidRPr="003A2C22">
              <w:rPr>
                <w:rFonts w:ascii="Calibri" w:hAnsi="Calibri"/>
                <w:i/>
              </w:rPr>
              <w:t xml:space="preserve"> del pasado </w:t>
            </w:r>
            <w:r w:rsidR="00104B69" w:rsidRPr="003A2C22">
              <w:rPr>
                <w:rFonts w:ascii="Calibri" w:hAnsi="Calibri"/>
                <w:i/>
              </w:rPr>
              <w:t>18</w:t>
            </w:r>
            <w:r w:rsidR="006C62DF" w:rsidRPr="003A2C22">
              <w:rPr>
                <w:rFonts w:ascii="Calibri" w:hAnsi="Calibri"/>
                <w:i/>
              </w:rPr>
              <w:t xml:space="preserve"> de a</w:t>
            </w:r>
            <w:r w:rsidR="00104B69" w:rsidRPr="003A2C22">
              <w:rPr>
                <w:rFonts w:ascii="Calibri" w:hAnsi="Calibri"/>
                <w:i/>
              </w:rPr>
              <w:t>gosto</w:t>
            </w:r>
            <w:r w:rsidRPr="003A2C22">
              <w:rPr>
                <w:rFonts w:ascii="Calibri" w:hAnsi="Calibri"/>
                <w:i/>
              </w:rPr>
              <w:t>, donde se acordó</w:t>
            </w:r>
            <w:r w:rsidR="00104B69" w:rsidRPr="003A2C22">
              <w:rPr>
                <w:rFonts w:ascii="Calibri" w:hAnsi="Calibri"/>
                <w:i/>
              </w:rPr>
              <w:t xml:space="preserve"> entre otras cosas lo siguiente</w:t>
            </w:r>
            <w:r w:rsidRPr="003A2C22">
              <w:rPr>
                <w:rFonts w:ascii="Calibri" w:hAnsi="Calibri"/>
                <w:i/>
              </w:rPr>
              <w:t>:</w:t>
            </w:r>
          </w:p>
          <w:p w:rsidR="00C40797" w:rsidRPr="003A2C22" w:rsidRDefault="00C40797" w:rsidP="003A2C22">
            <w:pPr>
              <w:rPr>
                <w:rFonts w:ascii="Calibri" w:hAnsi="Calibri"/>
                <w:i/>
              </w:rPr>
            </w:pPr>
          </w:p>
          <w:p w:rsidR="006713AB" w:rsidRPr="00DB4626" w:rsidRDefault="00C40797" w:rsidP="003A2C22">
            <w:pPr>
              <w:rPr>
                <w:rFonts w:ascii="Calibri" w:hAnsi="Calibri"/>
                <w:sz w:val="22"/>
                <w:szCs w:val="22"/>
              </w:rPr>
            </w:pPr>
            <w:r w:rsidRPr="003A2C22">
              <w:rPr>
                <w:rFonts w:ascii="Calibri" w:hAnsi="Calibri"/>
                <w:i/>
              </w:rPr>
              <w:t>“</w:t>
            </w:r>
            <w:r w:rsidR="00104B69" w:rsidRPr="003A2C22">
              <w:rPr>
                <w:rFonts w:ascii="Calibri" w:hAnsi="Calibri"/>
                <w:i/>
              </w:rPr>
              <w:t>4) La Dirección de Planificación realizará el seguimiento correspondiente e informará oportunamente a este Consejo lo pertinente.”</w:t>
            </w:r>
          </w:p>
        </w:tc>
      </w:tr>
      <w:tr w:rsidR="006713AB" w:rsidTr="00793F75">
        <w:trPr>
          <w:trHeight w:val="1234"/>
        </w:trPr>
        <w:tc>
          <w:tcPr>
            <w:tcW w:w="1951" w:type="dxa"/>
            <w:shd w:val="clear" w:color="auto" w:fill="C0C0C0"/>
          </w:tcPr>
          <w:p w:rsidR="006713AB" w:rsidRPr="005D0F56" w:rsidRDefault="006713AB" w:rsidP="005D0F56">
            <w:pPr>
              <w:jc w:val="right"/>
              <w:rPr>
                <w:rFonts w:ascii="Calibri" w:hAnsi="Calibri"/>
                <w:b/>
              </w:rPr>
            </w:pPr>
            <w:r w:rsidRPr="005D0F56">
              <w:rPr>
                <w:rFonts w:ascii="Calibri" w:hAnsi="Calibri"/>
                <w:b/>
              </w:rPr>
              <w:t>III. Información Relevante</w:t>
            </w:r>
          </w:p>
        </w:tc>
        <w:tc>
          <w:tcPr>
            <w:tcW w:w="8239" w:type="dxa"/>
          </w:tcPr>
          <w:p w:rsidR="00693C4E" w:rsidRPr="003A2C22" w:rsidRDefault="00693C4E" w:rsidP="00693C4E">
            <w:pPr>
              <w:jc w:val="both"/>
              <w:rPr>
                <w:rFonts w:asciiTheme="minorHAnsi" w:hAnsiTheme="minorHAnsi"/>
                <w:b/>
              </w:rPr>
            </w:pPr>
            <w:r w:rsidRPr="003A2C22">
              <w:rPr>
                <w:rFonts w:asciiTheme="minorHAnsi" w:hAnsiTheme="minorHAnsi"/>
                <w:b/>
              </w:rPr>
              <w:t>3.1- Ejecución de recomendaciones</w:t>
            </w:r>
          </w:p>
          <w:p w:rsidR="00693C4E" w:rsidRPr="003A2C22" w:rsidRDefault="00331121" w:rsidP="00693C4E">
            <w:pPr>
              <w:jc w:val="both"/>
              <w:rPr>
                <w:rFonts w:asciiTheme="minorHAnsi" w:hAnsiTheme="minorHAnsi"/>
              </w:rPr>
            </w:pPr>
            <w:r w:rsidRPr="003A2C22">
              <w:rPr>
                <w:rFonts w:asciiTheme="minorHAnsi" w:hAnsiTheme="minorHAnsi"/>
              </w:rPr>
              <w:t xml:space="preserve"> </w:t>
            </w:r>
          </w:p>
          <w:p w:rsidR="00693C4E" w:rsidRPr="003A2C22" w:rsidRDefault="00693C4E" w:rsidP="00693C4E">
            <w:pPr>
              <w:jc w:val="both"/>
              <w:rPr>
                <w:rFonts w:asciiTheme="minorHAnsi" w:hAnsiTheme="minorHAnsi"/>
              </w:rPr>
            </w:pPr>
            <w:r w:rsidRPr="003A2C22">
              <w:rPr>
                <w:rFonts w:asciiTheme="minorHAnsi" w:hAnsiTheme="minorHAnsi"/>
              </w:rPr>
              <w:t>El re</w:t>
            </w:r>
            <w:r w:rsidR="00920054" w:rsidRPr="003A2C22">
              <w:rPr>
                <w:rFonts w:asciiTheme="minorHAnsi" w:hAnsiTheme="minorHAnsi"/>
              </w:rPr>
              <w:t xml:space="preserve">lación con </w:t>
            </w:r>
            <w:r w:rsidRPr="003A2C22">
              <w:rPr>
                <w:rFonts w:asciiTheme="minorHAnsi" w:hAnsiTheme="minorHAnsi"/>
              </w:rPr>
              <w:t xml:space="preserve">el estado de ejecución de las recomendaciones indicadas en el informe </w:t>
            </w:r>
            <w:r w:rsidR="00331121" w:rsidRPr="003A2C22">
              <w:rPr>
                <w:rFonts w:asciiTheme="minorHAnsi" w:hAnsiTheme="minorHAnsi"/>
              </w:rPr>
              <w:t>27-OI-2017</w:t>
            </w:r>
            <w:r w:rsidRPr="003A2C22">
              <w:rPr>
                <w:rFonts w:asciiTheme="minorHAnsi" w:hAnsiTheme="minorHAnsi"/>
              </w:rPr>
              <w:t xml:space="preserve">, para ser implementadas en </w:t>
            </w:r>
            <w:r w:rsidR="00331121" w:rsidRPr="003A2C22">
              <w:rPr>
                <w:rFonts w:asciiTheme="minorHAnsi" w:hAnsiTheme="minorHAnsi"/>
              </w:rPr>
              <w:t>la Oficina Defensa Civil de las Víctimas del Delito del Ministerio Público</w:t>
            </w:r>
            <w:r w:rsidR="000821BC" w:rsidRPr="003A2C22">
              <w:rPr>
                <w:rFonts w:asciiTheme="minorHAnsi" w:hAnsiTheme="minorHAnsi"/>
              </w:rPr>
              <w:t xml:space="preserve">, se entrevistaron a la </w:t>
            </w:r>
            <w:r w:rsidR="000821BC" w:rsidRPr="003A2C22">
              <w:rPr>
                <w:rFonts w:asciiTheme="minorHAnsi" w:hAnsiTheme="minorHAnsi"/>
                <w:bCs/>
              </w:rPr>
              <w:t xml:space="preserve">Máster Ana Daisy Quirós Barrantes, Jefa y al Sr. Ricardo Vega Solano, Técnico Judicial </w:t>
            </w:r>
            <w:r w:rsidR="00F315A9" w:rsidRPr="003A2C22">
              <w:rPr>
                <w:rFonts w:asciiTheme="minorHAnsi" w:hAnsiTheme="minorHAnsi"/>
                <w:bCs/>
              </w:rPr>
              <w:t xml:space="preserve">ambos </w:t>
            </w:r>
            <w:r w:rsidR="000821BC" w:rsidRPr="003A2C22">
              <w:rPr>
                <w:rFonts w:asciiTheme="minorHAnsi" w:hAnsiTheme="minorHAnsi"/>
                <w:bCs/>
              </w:rPr>
              <w:t>de la Oficina de Defensa Civil de las Víctimas de Delito</w:t>
            </w:r>
            <w:r w:rsidR="00F315A9" w:rsidRPr="003A2C22">
              <w:rPr>
                <w:rFonts w:asciiTheme="minorHAnsi" w:hAnsiTheme="minorHAnsi"/>
                <w:bCs/>
              </w:rPr>
              <w:t xml:space="preserve"> y se recopiló lo</w:t>
            </w:r>
            <w:r w:rsidRPr="003A2C22">
              <w:rPr>
                <w:rFonts w:asciiTheme="minorHAnsi" w:hAnsiTheme="minorHAnsi"/>
              </w:rPr>
              <w:t xml:space="preserve"> siguiente:</w:t>
            </w:r>
          </w:p>
          <w:tbl>
            <w:tblPr>
              <w:tblW w:w="7805" w:type="dxa"/>
              <w:jc w:val="center"/>
              <w:tblLayout w:type="fixed"/>
              <w:tblCellMar>
                <w:left w:w="70" w:type="dxa"/>
                <w:right w:w="70" w:type="dxa"/>
              </w:tblCellMar>
              <w:tblLook w:val="04A0" w:firstRow="1" w:lastRow="0" w:firstColumn="1" w:lastColumn="0" w:noHBand="0" w:noVBand="1"/>
            </w:tblPr>
            <w:tblGrid>
              <w:gridCol w:w="627"/>
              <w:gridCol w:w="3737"/>
              <w:gridCol w:w="3441"/>
            </w:tblGrid>
            <w:tr w:rsidR="00693C4E" w:rsidRPr="00693C4E" w:rsidTr="00693C4E">
              <w:trPr>
                <w:trHeight w:val="315"/>
                <w:jc w:val="center"/>
              </w:trPr>
              <w:tc>
                <w:tcPr>
                  <w:tcW w:w="7805" w:type="dxa"/>
                  <w:gridSpan w:val="3"/>
                  <w:tcBorders>
                    <w:top w:val="nil"/>
                    <w:left w:val="nil"/>
                    <w:bottom w:val="nil"/>
                    <w:right w:val="nil"/>
                  </w:tcBorders>
                  <w:shd w:val="clear" w:color="auto" w:fill="auto"/>
                  <w:vAlign w:val="bottom"/>
                  <w:hideMark/>
                </w:tcPr>
                <w:p w:rsidR="00693C4E" w:rsidRPr="00693C4E" w:rsidRDefault="003A2C22" w:rsidP="00693C4E">
                  <w:pPr>
                    <w:jc w:val="center"/>
                    <w:rPr>
                      <w:rFonts w:asciiTheme="minorHAnsi" w:hAnsiTheme="minorHAnsi"/>
                      <w:b/>
                      <w:bCs/>
                      <w:color w:val="000000"/>
                      <w:sz w:val="20"/>
                      <w:szCs w:val="20"/>
                      <w:lang w:val="es-CR" w:eastAsia="es-CR"/>
                    </w:rPr>
                  </w:pPr>
                  <w:r>
                    <w:rPr>
                      <w:rFonts w:asciiTheme="minorHAnsi" w:hAnsiTheme="minorHAnsi"/>
                      <w:b/>
                      <w:bCs/>
                      <w:color w:val="000000"/>
                      <w:sz w:val="20"/>
                      <w:szCs w:val="20"/>
                      <w:lang w:val="es-CR" w:eastAsia="es-CR"/>
                    </w:rPr>
                    <w:t xml:space="preserve">Tabla </w:t>
                  </w:r>
                  <w:r w:rsidR="00693C4E" w:rsidRPr="00693C4E">
                    <w:rPr>
                      <w:rFonts w:asciiTheme="minorHAnsi" w:hAnsiTheme="minorHAnsi"/>
                      <w:b/>
                      <w:bCs/>
                      <w:color w:val="000000"/>
                      <w:sz w:val="20"/>
                      <w:szCs w:val="20"/>
                      <w:lang w:val="es-CR" w:eastAsia="es-CR"/>
                    </w:rPr>
                    <w:t>1</w:t>
                  </w:r>
                </w:p>
              </w:tc>
            </w:tr>
            <w:tr w:rsidR="00693C4E" w:rsidRPr="00693C4E" w:rsidTr="00693C4E">
              <w:trPr>
                <w:trHeight w:val="660"/>
                <w:jc w:val="center"/>
              </w:trPr>
              <w:tc>
                <w:tcPr>
                  <w:tcW w:w="7805" w:type="dxa"/>
                  <w:gridSpan w:val="3"/>
                  <w:tcBorders>
                    <w:top w:val="nil"/>
                    <w:left w:val="nil"/>
                    <w:bottom w:val="single" w:sz="8" w:space="0" w:color="auto"/>
                    <w:right w:val="nil"/>
                  </w:tcBorders>
                  <w:shd w:val="clear" w:color="auto" w:fill="auto"/>
                  <w:vAlign w:val="bottom"/>
                  <w:hideMark/>
                </w:tcPr>
                <w:p w:rsidR="00693C4E" w:rsidRPr="00693C4E" w:rsidRDefault="00693C4E" w:rsidP="00104B69">
                  <w:pPr>
                    <w:jc w:val="center"/>
                    <w:rPr>
                      <w:rFonts w:asciiTheme="minorHAnsi" w:hAnsiTheme="minorHAnsi"/>
                      <w:b/>
                      <w:bCs/>
                      <w:color w:val="000000"/>
                      <w:sz w:val="20"/>
                      <w:szCs w:val="20"/>
                      <w:lang w:val="es-CR" w:eastAsia="es-CR"/>
                    </w:rPr>
                  </w:pPr>
                  <w:r w:rsidRPr="00693C4E">
                    <w:rPr>
                      <w:rFonts w:asciiTheme="minorHAnsi" w:hAnsiTheme="minorHAnsi"/>
                      <w:b/>
                      <w:bCs/>
                      <w:color w:val="000000"/>
                      <w:sz w:val="20"/>
                      <w:szCs w:val="20"/>
                      <w:lang w:val="es-CR" w:eastAsia="es-CR"/>
                    </w:rPr>
                    <w:t xml:space="preserve">ESTADO DE EJECUCIÓN DE LAS RECOMENDACIONES APROBADAS POR EL CONSEJO SUPERIOR PARA SER IMPLEMENTADAS EN </w:t>
                  </w:r>
                  <w:r w:rsidR="00104B69">
                    <w:rPr>
                      <w:rFonts w:asciiTheme="minorHAnsi" w:hAnsiTheme="minorHAnsi"/>
                      <w:b/>
                      <w:bCs/>
                      <w:color w:val="000000"/>
                      <w:sz w:val="20"/>
                      <w:szCs w:val="20"/>
                      <w:lang w:val="es-CR" w:eastAsia="es-CR"/>
                    </w:rPr>
                    <w:t>LA OFICINA D</w:t>
                  </w:r>
                  <w:r w:rsidR="00F315A9">
                    <w:rPr>
                      <w:rFonts w:asciiTheme="minorHAnsi" w:hAnsiTheme="minorHAnsi"/>
                      <w:b/>
                      <w:bCs/>
                      <w:color w:val="000000"/>
                      <w:sz w:val="20"/>
                      <w:szCs w:val="20"/>
                      <w:lang w:val="es-CR" w:eastAsia="es-CR"/>
                    </w:rPr>
                    <w:t>EFENSA CIVIL DE LAS VÍCTIMAS DE</w:t>
                  </w:r>
                  <w:r w:rsidR="00104B69">
                    <w:rPr>
                      <w:rFonts w:asciiTheme="minorHAnsi" w:hAnsiTheme="minorHAnsi"/>
                      <w:b/>
                      <w:bCs/>
                      <w:color w:val="000000"/>
                      <w:sz w:val="20"/>
                      <w:szCs w:val="20"/>
                      <w:lang w:val="es-CR" w:eastAsia="es-CR"/>
                    </w:rPr>
                    <w:t xml:space="preserve"> DELITO DEL MINISTERIO PÚBLICO</w:t>
                  </w:r>
                </w:p>
              </w:tc>
            </w:tr>
            <w:tr w:rsidR="00693C4E" w:rsidRPr="00693C4E" w:rsidTr="00693C4E">
              <w:trPr>
                <w:trHeight w:val="465"/>
                <w:jc w:val="center"/>
              </w:trPr>
              <w:tc>
                <w:tcPr>
                  <w:tcW w:w="43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93C4E" w:rsidRPr="00693C4E" w:rsidRDefault="00693C4E" w:rsidP="00693C4E">
                  <w:pPr>
                    <w:jc w:val="center"/>
                    <w:rPr>
                      <w:rFonts w:asciiTheme="minorHAnsi" w:hAnsiTheme="minorHAnsi"/>
                      <w:b/>
                      <w:bCs/>
                      <w:color w:val="000000"/>
                      <w:sz w:val="20"/>
                      <w:szCs w:val="20"/>
                      <w:lang w:val="es-CR" w:eastAsia="es-CR"/>
                    </w:rPr>
                  </w:pPr>
                  <w:r w:rsidRPr="00693C4E">
                    <w:rPr>
                      <w:rFonts w:asciiTheme="minorHAnsi" w:hAnsiTheme="minorHAnsi"/>
                      <w:b/>
                      <w:bCs/>
                      <w:color w:val="000000"/>
                      <w:sz w:val="20"/>
                      <w:szCs w:val="20"/>
                      <w:lang w:val="es-CR" w:eastAsia="es-CR"/>
                    </w:rPr>
                    <w:t>Recomendación</w:t>
                  </w:r>
                </w:p>
              </w:tc>
              <w:tc>
                <w:tcPr>
                  <w:tcW w:w="3441" w:type="dxa"/>
                  <w:tcBorders>
                    <w:top w:val="nil"/>
                    <w:left w:val="nil"/>
                    <w:bottom w:val="single" w:sz="8" w:space="0" w:color="auto"/>
                    <w:right w:val="single" w:sz="8" w:space="0" w:color="auto"/>
                  </w:tcBorders>
                  <w:shd w:val="clear" w:color="auto" w:fill="auto"/>
                  <w:vAlign w:val="center"/>
                  <w:hideMark/>
                </w:tcPr>
                <w:p w:rsidR="00693C4E" w:rsidRPr="00693C4E" w:rsidRDefault="00693C4E" w:rsidP="00693C4E">
                  <w:pPr>
                    <w:jc w:val="center"/>
                    <w:rPr>
                      <w:rFonts w:asciiTheme="minorHAnsi" w:hAnsiTheme="minorHAnsi"/>
                      <w:b/>
                      <w:bCs/>
                      <w:color w:val="000000"/>
                      <w:sz w:val="20"/>
                      <w:szCs w:val="20"/>
                      <w:lang w:val="es-CR" w:eastAsia="es-CR"/>
                    </w:rPr>
                  </w:pPr>
                  <w:r w:rsidRPr="00693C4E">
                    <w:rPr>
                      <w:rFonts w:asciiTheme="minorHAnsi" w:hAnsiTheme="minorHAnsi"/>
                      <w:b/>
                      <w:bCs/>
                      <w:color w:val="000000"/>
                      <w:sz w:val="20"/>
                      <w:szCs w:val="20"/>
                      <w:lang w:val="es-CR" w:eastAsia="es-CR"/>
                    </w:rPr>
                    <w:t>Estado de Ejecución de la Recomendación ( * )</w:t>
                  </w:r>
                </w:p>
              </w:tc>
            </w:tr>
            <w:tr w:rsidR="00693C4E" w:rsidRPr="00693C4E" w:rsidTr="00A07737">
              <w:trPr>
                <w:trHeight w:val="1945"/>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C4E" w:rsidRPr="00693C4E" w:rsidRDefault="00104B69" w:rsidP="00104B69">
                  <w:pPr>
                    <w:jc w:val="center"/>
                    <w:rPr>
                      <w:rFonts w:asciiTheme="minorHAnsi" w:hAnsiTheme="minorHAnsi"/>
                      <w:b/>
                      <w:bCs/>
                      <w:color w:val="000000"/>
                      <w:sz w:val="20"/>
                      <w:szCs w:val="20"/>
                      <w:lang w:val="es-CR" w:eastAsia="es-CR"/>
                    </w:rPr>
                  </w:pPr>
                  <w:r>
                    <w:rPr>
                      <w:rFonts w:asciiTheme="minorHAnsi" w:hAnsiTheme="minorHAnsi"/>
                      <w:b/>
                      <w:bCs/>
                      <w:color w:val="000000"/>
                      <w:sz w:val="20"/>
                      <w:szCs w:val="20"/>
                      <w:lang w:val="es-CR" w:eastAsia="es-CR"/>
                    </w:rPr>
                    <w:t>4</w:t>
                  </w:r>
                  <w:r w:rsidR="00693C4E" w:rsidRPr="00693C4E">
                    <w:rPr>
                      <w:rFonts w:asciiTheme="minorHAnsi" w:hAnsiTheme="minorHAnsi"/>
                      <w:b/>
                      <w:bCs/>
                      <w:color w:val="000000"/>
                      <w:sz w:val="20"/>
                      <w:szCs w:val="20"/>
                      <w:lang w:val="es-CR" w:eastAsia="es-CR"/>
                    </w:rPr>
                    <w:t>.1</w:t>
                  </w:r>
                </w:p>
              </w:tc>
              <w:tc>
                <w:tcPr>
                  <w:tcW w:w="3737" w:type="dxa"/>
                  <w:tcBorders>
                    <w:top w:val="single" w:sz="4" w:space="0" w:color="auto"/>
                    <w:left w:val="nil"/>
                    <w:bottom w:val="single" w:sz="4" w:space="0" w:color="auto"/>
                    <w:right w:val="single" w:sz="4" w:space="0" w:color="auto"/>
                  </w:tcBorders>
                  <w:shd w:val="clear" w:color="auto" w:fill="auto"/>
                  <w:noWrap/>
                  <w:hideMark/>
                </w:tcPr>
                <w:p w:rsidR="00104B69" w:rsidRPr="00104B69" w:rsidRDefault="00104B69" w:rsidP="00104B69">
                  <w:pPr>
                    <w:jc w:val="both"/>
                    <w:rPr>
                      <w:rFonts w:asciiTheme="minorHAnsi" w:hAnsiTheme="minorHAnsi"/>
                      <w:bCs/>
                      <w:sz w:val="20"/>
                      <w:szCs w:val="20"/>
                    </w:rPr>
                  </w:pPr>
                  <w:r w:rsidRPr="00104B69">
                    <w:rPr>
                      <w:rFonts w:asciiTheme="minorHAnsi" w:hAnsiTheme="minorHAnsi"/>
                      <w:bCs/>
                      <w:sz w:val="20"/>
                      <w:szCs w:val="20"/>
                    </w:rPr>
                    <w:t>Se proponen dos procedimientos que se incluyen en el anexo 1 de este informe, con la recomendación de que se pongan en práctica como una herramienta de inducción para el personal de nuevo ingreso y como guía para las servidoras y servidores que regularmente participan en el trámite y pago de ayudas económicas, con el fin de estandarizar las labores y garantizar una eficiente ejecución del trabajo.</w:t>
                  </w:r>
                </w:p>
                <w:p w:rsidR="00693C4E" w:rsidRPr="00104B69" w:rsidRDefault="00693C4E" w:rsidP="00693C4E">
                  <w:pPr>
                    <w:jc w:val="both"/>
                    <w:rPr>
                      <w:rFonts w:asciiTheme="minorHAnsi" w:hAnsiTheme="minorHAnsi"/>
                      <w:color w:val="000000"/>
                      <w:sz w:val="20"/>
                      <w:szCs w:val="20"/>
                      <w:lang w:eastAsia="es-CR"/>
                    </w:rPr>
                  </w:pPr>
                </w:p>
              </w:tc>
              <w:tc>
                <w:tcPr>
                  <w:tcW w:w="3441" w:type="dxa"/>
                  <w:tcBorders>
                    <w:top w:val="single" w:sz="4" w:space="0" w:color="auto"/>
                    <w:left w:val="nil"/>
                    <w:bottom w:val="single" w:sz="4" w:space="0" w:color="auto"/>
                    <w:right w:val="single" w:sz="4" w:space="0" w:color="auto"/>
                  </w:tcBorders>
                  <w:shd w:val="clear" w:color="auto" w:fill="auto"/>
                  <w:hideMark/>
                </w:tcPr>
                <w:p w:rsidR="00977175" w:rsidRPr="00977175" w:rsidRDefault="00977175" w:rsidP="00693C4E">
                  <w:pPr>
                    <w:rPr>
                      <w:rFonts w:asciiTheme="minorHAnsi" w:hAnsiTheme="minorHAnsi"/>
                      <w:b/>
                      <w:bCs/>
                      <w:sz w:val="20"/>
                      <w:szCs w:val="20"/>
                    </w:rPr>
                  </w:pPr>
                  <w:r w:rsidRPr="00977175">
                    <w:rPr>
                      <w:rFonts w:asciiTheme="minorHAnsi" w:hAnsiTheme="minorHAnsi"/>
                      <w:b/>
                      <w:bCs/>
                      <w:sz w:val="20"/>
                      <w:szCs w:val="20"/>
                    </w:rPr>
                    <w:t>Completada</w:t>
                  </w:r>
                </w:p>
                <w:p w:rsidR="00D970F7" w:rsidRDefault="00C85B0A" w:rsidP="00794033">
                  <w:pPr>
                    <w:jc w:val="both"/>
                    <w:rPr>
                      <w:rFonts w:asciiTheme="minorHAnsi" w:hAnsiTheme="minorHAnsi"/>
                      <w:bCs/>
                      <w:sz w:val="20"/>
                      <w:szCs w:val="20"/>
                    </w:rPr>
                  </w:pPr>
                  <w:r>
                    <w:rPr>
                      <w:rFonts w:asciiTheme="minorHAnsi" w:hAnsiTheme="minorHAnsi"/>
                      <w:bCs/>
                      <w:sz w:val="20"/>
                      <w:szCs w:val="20"/>
                    </w:rPr>
                    <w:t>Se consultó a la Máster Ana Daisy Quirós Barrantes, Jefa de la Oficina de Defensa Civil de las Víctimas de Delito</w:t>
                  </w:r>
                  <w:r w:rsidR="00D970F7">
                    <w:rPr>
                      <w:rFonts w:asciiTheme="minorHAnsi" w:hAnsiTheme="minorHAnsi"/>
                      <w:bCs/>
                      <w:sz w:val="20"/>
                      <w:szCs w:val="20"/>
                    </w:rPr>
                    <w:t xml:space="preserve"> </w:t>
                  </w:r>
                  <w:r w:rsidR="005E5058">
                    <w:rPr>
                      <w:rFonts w:asciiTheme="minorHAnsi" w:hAnsiTheme="minorHAnsi"/>
                      <w:bCs/>
                      <w:sz w:val="20"/>
                      <w:szCs w:val="20"/>
                    </w:rPr>
                    <w:t>quien</w:t>
                  </w:r>
                  <w:r w:rsidR="00D970F7">
                    <w:rPr>
                      <w:rFonts w:asciiTheme="minorHAnsi" w:hAnsiTheme="minorHAnsi"/>
                      <w:bCs/>
                      <w:sz w:val="20"/>
                      <w:szCs w:val="20"/>
                    </w:rPr>
                    <w:t xml:space="preserve"> manifestó que dichos manuales de procedimientos se han utilizado como fuente de inducción y para el personal encargado de realizar las labores que se detallen en los manuales y de esa manera se logró que el cumplimiento del trabajo fuera más eficiente.</w:t>
                  </w:r>
                </w:p>
                <w:p w:rsidR="00D970F7" w:rsidRDefault="00D970F7" w:rsidP="00794033">
                  <w:pPr>
                    <w:jc w:val="both"/>
                    <w:rPr>
                      <w:rFonts w:asciiTheme="minorHAnsi" w:hAnsiTheme="minorHAnsi"/>
                      <w:bCs/>
                      <w:sz w:val="20"/>
                      <w:szCs w:val="20"/>
                    </w:rPr>
                  </w:pPr>
                </w:p>
                <w:p w:rsidR="00977175" w:rsidRPr="00C85B0A" w:rsidRDefault="00D970F7" w:rsidP="00794033">
                  <w:pPr>
                    <w:jc w:val="both"/>
                    <w:rPr>
                      <w:rFonts w:asciiTheme="minorHAnsi" w:hAnsiTheme="minorHAnsi"/>
                      <w:bCs/>
                      <w:sz w:val="20"/>
                      <w:szCs w:val="20"/>
                    </w:rPr>
                  </w:pPr>
                  <w:r>
                    <w:rPr>
                      <w:rFonts w:asciiTheme="minorHAnsi" w:hAnsiTheme="minorHAnsi"/>
                      <w:bCs/>
                      <w:sz w:val="20"/>
                      <w:szCs w:val="20"/>
                    </w:rPr>
                    <w:t xml:space="preserve">Además, se entrevistó al Sr. Ricardo Vega </w:t>
                  </w:r>
                  <w:r w:rsidR="00B5750D">
                    <w:rPr>
                      <w:rFonts w:asciiTheme="minorHAnsi" w:hAnsiTheme="minorHAnsi"/>
                      <w:bCs/>
                      <w:sz w:val="20"/>
                      <w:szCs w:val="20"/>
                    </w:rPr>
                    <w:t xml:space="preserve">Solano, Técnico Judicial de la </w:t>
                  </w:r>
                  <w:r w:rsidR="005E5058">
                    <w:rPr>
                      <w:rFonts w:asciiTheme="minorHAnsi" w:hAnsiTheme="minorHAnsi"/>
                      <w:bCs/>
                      <w:sz w:val="20"/>
                      <w:szCs w:val="20"/>
                    </w:rPr>
                    <w:t>misma Oficina e indicó que cuando inició con esta labor en el mes de octubre se gui</w:t>
                  </w:r>
                  <w:r w:rsidR="006A5FC6">
                    <w:rPr>
                      <w:rFonts w:asciiTheme="minorHAnsi" w:hAnsiTheme="minorHAnsi"/>
                      <w:bCs/>
                      <w:sz w:val="20"/>
                      <w:szCs w:val="20"/>
                    </w:rPr>
                    <w:t>o</w:t>
                  </w:r>
                  <w:r w:rsidR="005E5058">
                    <w:rPr>
                      <w:rFonts w:asciiTheme="minorHAnsi" w:hAnsiTheme="minorHAnsi"/>
                      <w:bCs/>
                      <w:sz w:val="20"/>
                      <w:szCs w:val="20"/>
                    </w:rPr>
                    <w:t xml:space="preserve"> con los manuales de procedimientos los cuales le ayudaron a ejecutar mejor su labor.</w:t>
                  </w:r>
                  <w:r>
                    <w:rPr>
                      <w:rFonts w:asciiTheme="minorHAnsi" w:hAnsiTheme="minorHAnsi"/>
                      <w:bCs/>
                      <w:sz w:val="20"/>
                      <w:szCs w:val="20"/>
                    </w:rPr>
                    <w:t xml:space="preserve"> </w:t>
                  </w:r>
                </w:p>
                <w:p w:rsidR="00977175" w:rsidRPr="00C85B0A" w:rsidRDefault="00977175" w:rsidP="00794033">
                  <w:pPr>
                    <w:jc w:val="both"/>
                    <w:rPr>
                      <w:rFonts w:asciiTheme="minorHAnsi" w:hAnsiTheme="minorHAnsi"/>
                      <w:bCs/>
                      <w:sz w:val="20"/>
                      <w:szCs w:val="20"/>
                    </w:rPr>
                  </w:pPr>
                </w:p>
                <w:p w:rsidR="00977175" w:rsidRPr="00C85B0A" w:rsidRDefault="00977175" w:rsidP="00693C4E">
                  <w:pPr>
                    <w:rPr>
                      <w:rFonts w:asciiTheme="minorHAnsi" w:hAnsiTheme="minorHAnsi"/>
                      <w:bCs/>
                      <w:sz w:val="20"/>
                      <w:szCs w:val="20"/>
                    </w:rPr>
                  </w:pPr>
                </w:p>
                <w:bookmarkStart w:id="0" w:name="_MON_1536748232"/>
                <w:bookmarkEnd w:id="0"/>
                <w:p w:rsidR="00693C4E" w:rsidRPr="00693C4E" w:rsidRDefault="0043480E" w:rsidP="00693C4E">
                  <w:pPr>
                    <w:rPr>
                      <w:rFonts w:asciiTheme="minorHAnsi" w:hAnsiTheme="minorHAnsi"/>
                      <w:color w:val="000000"/>
                      <w:sz w:val="20"/>
                      <w:szCs w:val="20"/>
                      <w:lang w:val="es-CR" w:eastAsia="es-CR"/>
                    </w:rPr>
                  </w:pPr>
                  <w:r w:rsidRPr="00C85B0A">
                    <w:rPr>
                      <w:rFonts w:asciiTheme="minorHAnsi" w:hAnsiTheme="minorHAnsi"/>
                      <w:bCs/>
                      <w:sz w:val="20"/>
                      <w:szCs w:val="20"/>
                    </w:rPr>
                    <w:object w:dxaOrig="2520" w:dyaOrig="1600">
                      <v:shape id="_x0000_i1026" type="#_x0000_t75" style="width:127.2pt;height:81pt" o:ole="">
                        <v:imagedata r:id="rId13" o:title=""/>
                      </v:shape>
                      <o:OLEObject Type="Embed" ProgID="Excel.Sheet.12" ShapeID="_x0000_i1026" DrawAspect="Icon" ObjectID="_1588655978" r:id="rId14"/>
                    </w:object>
                  </w:r>
                  <w:r w:rsidR="00977175" w:rsidRPr="00C85B0A">
                    <w:rPr>
                      <w:rFonts w:asciiTheme="minorHAnsi" w:hAnsiTheme="minorHAnsi"/>
                      <w:bCs/>
                      <w:sz w:val="20"/>
                      <w:szCs w:val="20"/>
                    </w:rPr>
                    <w:t xml:space="preserve">  </w:t>
                  </w:r>
                  <w:bookmarkStart w:id="1" w:name="_MON_1557581265"/>
                  <w:bookmarkEnd w:id="1"/>
                  <w:r w:rsidR="00977175" w:rsidRPr="00C85B0A">
                    <w:rPr>
                      <w:rFonts w:asciiTheme="minorHAnsi" w:hAnsiTheme="minorHAnsi"/>
                      <w:bCs/>
                      <w:sz w:val="20"/>
                      <w:szCs w:val="20"/>
                    </w:rPr>
                    <w:object w:dxaOrig="1891" w:dyaOrig="1200">
                      <v:shape id="_x0000_i1027" type="#_x0000_t75" style="width:94.8pt;height:61.2pt" o:ole="">
                        <v:imagedata r:id="rId15" o:title=""/>
                      </v:shape>
                      <o:OLEObject Type="Embed" ProgID="Excel.Sheet.12" ShapeID="_x0000_i1027" DrawAspect="Icon" ObjectID="_1588655979" r:id="rId16"/>
                    </w:object>
                  </w:r>
                </w:p>
              </w:tc>
            </w:tr>
            <w:tr w:rsidR="00693C4E" w:rsidRPr="00693C4E" w:rsidTr="00693C4E">
              <w:trPr>
                <w:trHeight w:val="3615"/>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93C4E" w:rsidRPr="00693C4E" w:rsidRDefault="00104B69" w:rsidP="00104B69">
                  <w:pPr>
                    <w:jc w:val="center"/>
                    <w:rPr>
                      <w:rFonts w:asciiTheme="minorHAnsi" w:hAnsiTheme="minorHAnsi"/>
                      <w:b/>
                      <w:bCs/>
                      <w:color w:val="000000"/>
                      <w:sz w:val="20"/>
                      <w:szCs w:val="20"/>
                      <w:lang w:val="es-CR" w:eastAsia="es-CR"/>
                    </w:rPr>
                  </w:pPr>
                  <w:r>
                    <w:rPr>
                      <w:rFonts w:asciiTheme="minorHAnsi" w:hAnsiTheme="minorHAnsi"/>
                      <w:b/>
                      <w:bCs/>
                      <w:color w:val="000000"/>
                      <w:sz w:val="20"/>
                      <w:szCs w:val="20"/>
                      <w:lang w:val="es-CR" w:eastAsia="es-CR"/>
                    </w:rPr>
                    <w:lastRenderedPageBreak/>
                    <w:t>4</w:t>
                  </w:r>
                  <w:r w:rsidR="00693C4E" w:rsidRPr="00693C4E">
                    <w:rPr>
                      <w:rFonts w:asciiTheme="minorHAnsi" w:hAnsiTheme="minorHAnsi"/>
                      <w:b/>
                      <w:bCs/>
                      <w:color w:val="000000"/>
                      <w:sz w:val="20"/>
                      <w:szCs w:val="20"/>
                      <w:lang w:val="es-CR" w:eastAsia="es-CR"/>
                    </w:rPr>
                    <w:t>.2</w:t>
                  </w:r>
                </w:p>
              </w:tc>
              <w:tc>
                <w:tcPr>
                  <w:tcW w:w="3737" w:type="dxa"/>
                  <w:tcBorders>
                    <w:top w:val="nil"/>
                    <w:left w:val="nil"/>
                    <w:bottom w:val="single" w:sz="4" w:space="0" w:color="auto"/>
                    <w:right w:val="single" w:sz="4" w:space="0" w:color="auto"/>
                  </w:tcBorders>
                  <w:shd w:val="clear" w:color="auto" w:fill="auto"/>
                  <w:hideMark/>
                </w:tcPr>
                <w:p w:rsidR="00104B69" w:rsidRPr="005E5058" w:rsidRDefault="00104B69" w:rsidP="00104B69">
                  <w:pPr>
                    <w:jc w:val="both"/>
                    <w:rPr>
                      <w:rFonts w:asciiTheme="minorHAnsi" w:hAnsiTheme="minorHAnsi"/>
                      <w:bCs/>
                      <w:sz w:val="20"/>
                      <w:szCs w:val="20"/>
                    </w:rPr>
                  </w:pPr>
                  <w:r w:rsidRPr="005E5058">
                    <w:rPr>
                      <w:rFonts w:asciiTheme="minorHAnsi" w:hAnsiTheme="minorHAnsi"/>
                      <w:bCs/>
                      <w:sz w:val="20"/>
                      <w:szCs w:val="20"/>
                    </w:rPr>
                    <w:t>La Dirección de Planificación considera que la Jefatura de la Oficina de Defensa Civil de las Víctimas de Delito, debe velar por la eficacia de los actuales Manuales de Procedimientos, e informar a esta Dirección cualquier cambio relevante que requiera una actualización.</w:t>
                  </w:r>
                </w:p>
                <w:p w:rsidR="00693C4E" w:rsidRPr="005E5058" w:rsidRDefault="00693C4E" w:rsidP="00693C4E">
                  <w:pPr>
                    <w:jc w:val="both"/>
                    <w:rPr>
                      <w:rFonts w:asciiTheme="minorHAnsi" w:hAnsiTheme="minorHAnsi"/>
                      <w:bCs/>
                      <w:sz w:val="20"/>
                      <w:szCs w:val="20"/>
                    </w:rPr>
                  </w:pPr>
                </w:p>
              </w:tc>
              <w:tc>
                <w:tcPr>
                  <w:tcW w:w="3441" w:type="dxa"/>
                  <w:tcBorders>
                    <w:top w:val="nil"/>
                    <w:left w:val="nil"/>
                    <w:bottom w:val="single" w:sz="4" w:space="0" w:color="auto"/>
                    <w:right w:val="single" w:sz="4" w:space="0" w:color="auto"/>
                  </w:tcBorders>
                  <w:shd w:val="clear" w:color="auto" w:fill="auto"/>
                  <w:hideMark/>
                </w:tcPr>
                <w:p w:rsidR="009B79D8" w:rsidRPr="00C4105F" w:rsidRDefault="005E5058" w:rsidP="00693C4E">
                  <w:pPr>
                    <w:rPr>
                      <w:rFonts w:asciiTheme="minorHAnsi" w:hAnsiTheme="minorHAnsi"/>
                      <w:b/>
                      <w:bCs/>
                      <w:sz w:val="20"/>
                      <w:szCs w:val="20"/>
                    </w:rPr>
                  </w:pPr>
                  <w:r w:rsidRPr="00C4105F">
                    <w:rPr>
                      <w:rFonts w:asciiTheme="minorHAnsi" w:hAnsiTheme="minorHAnsi"/>
                      <w:b/>
                      <w:bCs/>
                      <w:sz w:val="20"/>
                      <w:szCs w:val="20"/>
                    </w:rPr>
                    <w:t>Completada</w:t>
                  </w:r>
                </w:p>
                <w:p w:rsidR="005E5058" w:rsidRDefault="005E5058" w:rsidP="00693C4E">
                  <w:pPr>
                    <w:rPr>
                      <w:rFonts w:asciiTheme="minorHAnsi" w:hAnsiTheme="minorHAnsi"/>
                      <w:bCs/>
                      <w:sz w:val="20"/>
                      <w:szCs w:val="20"/>
                    </w:rPr>
                  </w:pPr>
                </w:p>
                <w:p w:rsidR="005E5058" w:rsidRPr="005E5058" w:rsidRDefault="00C4105F" w:rsidP="000821BC">
                  <w:pPr>
                    <w:jc w:val="both"/>
                    <w:rPr>
                      <w:rFonts w:asciiTheme="minorHAnsi" w:hAnsiTheme="minorHAnsi"/>
                      <w:bCs/>
                      <w:sz w:val="20"/>
                      <w:szCs w:val="20"/>
                    </w:rPr>
                  </w:pPr>
                  <w:r>
                    <w:rPr>
                      <w:rFonts w:asciiTheme="minorHAnsi" w:hAnsiTheme="minorHAnsi"/>
                      <w:bCs/>
                      <w:sz w:val="20"/>
                      <w:szCs w:val="20"/>
                    </w:rPr>
                    <w:t>En consulta realizada a la</w:t>
                  </w:r>
                  <w:r w:rsidR="005E5058">
                    <w:rPr>
                      <w:rFonts w:asciiTheme="minorHAnsi" w:hAnsiTheme="minorHAnsi"/>
                      <w:bCs/>
                      <w:sz w:val="20"/>
                      <w:szCs w:val="20"/>
                    </w:rPr>
                    <w:t xml:space="preserve"> Máster Ana Daisy Quirós Barrantes, Jefa de la Oficina de Defensa Civil de las Víctimas de Delito</w:t>
                  </w:r>
                  <w:r>
                    <w:rPr>
                      <w:rFonts w:asciiTheme="minorHAnsi" w:hAnsiTheme="minorHAnsi"/>
                      <w:bCs/>
                      <w:sz w:val="20"/>
                      <w:szCs w:val="20"/>
                    </w:rPr>
                    <w:t>, externó que los m</w:t>
                  </w:r>
                  <w:r w:rsidR="000821BC">
                    <w:rPr>
                      <w:rFonts w:asciiTheme="minorHAnsi" w:hAnsiTheme="minorHAnsi"/>
                      <w:bCs/>
                      <w:sz w:val="20"/>
                      <w:szCs w:val="20"/>
                    </w:rPr>
                    <w:t xml:space="preserve">anuales de procedimientos permiten que la labor en la oficina sea más ordenada y eficaz y que hasta el momento la información tal cual se consignó en los manuales de procedimientos se mantiene a la fecha y no se ha requerido de realizar ninguna modificación por lo que en el momento que se requiera se procederá a informar a la Dirección de Planificación. </w:t>
                  </w:r>
                </w:p>
              </w:tc>
            </w:tr>
            <w:tr w:rsidR="00693C4E" w:rsidRPr="00693C4E" w:rsidTr="00104B69">
              <w:trPr>
                <w:trHeight w:val="2256"/>
                <w:jc w:val="center"/>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693C4E" w:rsidRPr="00693C4E" w:rsidRDefault="00104B69" w:rsidP="00104B69">
                  <w:pPr>
                    <w:jc w:val="center"/>
                    <w:rPr>
                      <w:rFonts w:asciiTheme="minorHAnsi" w:hAnsiTheme="minorHAnsi"/>
                      <w:b/>
                      <w:bCs/>
                      <w:color w:val="000000"/>
                      <w:sz w:val="20"/>
                      <w:szCs w:val="20"/>
                      <w:lang w:val="es-CR" w:eastAsia="es-CR"/>
                    </w:rPr>
                  </w:pPr>
                  <w:r>
                    <w:rPr>
                      <w:rFonts w:asciiTheme="minorHAnsi" w:hAnsiTheme="minorHAnsi"/>
                      <w:b/>
                      <w:bCs/>
                      <w:color w:val="000000"/>
                      <w:sz w:val="20"/>
                      <w:szCs w:val="20"/>
                      <w:lang w:val="es-CR" w:eastAsia="es-CR"/>
                    </w:rPr>
                    <w:t>4</w:t>
                  </w:r>
                  <w:r w:rsidR="00693C4E" w:rsidRPr="00693C4E">
                    <w:rPr>
                      <w:rFonts w:asciiTheme="minorHAnsi" w:hAnsiTheme="minorHAnsi"/>
                      <w:b/>
                      <w:bCs/>
                      <w:color w:val="000000"/>
                      <w:sz w:val="20"/>
                      <w:szCs w:val="20"/>
                      <w:lang w:val="es-CR" w:eastAsia="es-CR"/>
                    </w:rPr>
                    <w:t>.3</w:t>
                  </w:r>
                </w:p>
              </w:tc>
              <w:tc>
                <w:tcPr>
                  <w:tcW w:w="3737" w:type="dxa"/>
                  <w:tcBorders>
                    <w:top w:val="nil"/>
                    <w:left w:val="nil"/>
                    <w:bottom w:val="single" w:sz="4" w:space="0" w:color="auto"/>
                    <w:right w:val="single" w:sz="4" w:space="0" w:color="auto"/>
                  </w:tcBorders>
                  <w:shd w:val="clear" w:color="auto" w:fill="auto"/>
                  <w:hideMark/>
                </w:tcPr>
                <w:p w:rsidR="00693C4E" w:rsidRPr="005E5058" w:rsidRDefault="00104B69" w:rsidP="00693C4E">
                  <w:pPr>
                    <w:jc w:val="both"/>
                    <w:rPr>
                      <w:rFonts w:asciiTheme="minorHAnsi" w:hAnsiTheme="minorHAnsi"/>
                      <w:bCs/>
                      <w:sz w:val="20"/>
                      <w:szCs w:val="20"/>
                    </w:rPr>
                  </w:pPr>
                  <w:r w:rsidRPr="005E5058">
                    <w:rPr>
                      <w:rFonts w:asciiTheme="minorHAnsi" w:hAnsiTheme="minorHAnsi"/>
                      <w:bCs/>
                      <w:sz w:val="20"/>
                      <w:szCs w:val="20"/>
                    </w:rPr>
                    <w:t>La Oficina de Defensa Civil de las Víctimas de Delito, deberá valorar los procedimientos elaborados y en caso de determinar la necesidad de documentar otros procesos lo deberá solicitar con el fin de que se incluya en la programación de trabajo de esta Dirección.</w:t>
                  </w:r>
                </w:p>
              </w:tc>
              <w:tc>
                <w:tcPr>
                  <w:tcW w:w="3441" w:type="dxa"/>
                  <w:tcBorders>
                    <w:top w:val="nil"/>
                    <w:left w:val="nil"/>
                    <w:bottom w:val="single" w:sz="4" w:space="0" w:color="auto"/>
                    <w:right w:val="single" w:sz="4" w:space="0" w:color="auto"/>
                  </w:tcBorders>
                  <w:shd w:val="clear" w:color="auto" w:fill="auto"/>
                  <w:hideMark/>
                </w:tcPr>
                <w:p w:rsidR="000821BC" w:rsidRPr="000821BC" w:rsidRDefault="000821BC" w:rsidP="000821BC">
                  <w:pPr>
                    <w:jc w:val="both"/>
                    <w:rPr>
                      <w:rFonts w:asciiTheme="minorHAnsi" w:hAnsiTheme="minorHAnsi"/>
                      <w:b/>
                      <w:bCs/>
                      <w:sz w:val="20"/>
                      <w:szCs w:val="20"/>
                    </w:rPr>
                  </w:pPr>
                  <w:r w:rsidRPr="000821BC">
                    <w:rPr>
                      <w:rFonts w:asciiTheme="minorHAnsi" w:hAnsiTheme="minorHAnsi"/>
                      <w:b/>
                      <w:bCs/>
                      <w:sz w:val="20"/>
                      <w:szCs w:val="20"/>
                    </w:rPr>
                    <w:t>Completada</w:t>
                  </w:r>
                </w:p>
                <w:p w:rsidR="000821BC" w:rsidRDefault="000821BC" w:rsidP="000821BC">
                  <w:pPr>
                    <w:jc w:val="both"/>
                    <w:rPr>
                      <w:rFonts w:asciiTheme="minorHAnsi" w:hAnsiTheme="minorHAnsi"/>
                      <w:bCs/>
                      <w:sz w:val="20"/>
                      <w:szCs w:val="20"/>
                    </w:rPr>
                  </w:pPr>
                </w:p>
                <w:p w:rsidR="00875423" w:rsidRPr="005E5058" w:rsidRDefault="000821BC" w:rsidP="000821BC">
                  <w:pPr>
                    <w:jc w:val="both"/>
                    <w:rPr>
                      <w:rFonts w:asciiTheme="minorHAnsi" w:hAnsiTheme="minorHAnsi"/>
                      <w:bCs/>
                      <w:sz w:val="20"/>
                      <w:szCs w:val="20"/>
                    </w:rPr>
                  </w:pPr>
                  <w:r>
                    <w:rPr>
                      <w:rFonts w:asciiTheme="minorHAnsi" w:hAnsiTheme="minorHAnsi"/>
                      <w:bCs/>
                      <w:sz w:val="20"/>
                      <w:szCs w:val="20"/>
                    </w:rPr>
                    <w:t>La Máster Ana Daisy Quirós Barrantes, Jefa de la Oficina de Defensa Civil de las Víctimas de Delito, tiene presente esta recomendación y en caso de requerir documentar algún otro procedimiento solicitaría a la Dirección de Planificación para que lo incluya en su programación de trabajo</w:t>
                  </w:r>
                  <w:r w:rsidR="0043480E">
                    <w:rPr>
                      <w:rFonts w:asciiTheme="minorHAnsi" w:hAnsiTheme="minorHAnsi"/>
                      <w:bCs/>
                      <w:sz w:val="20"/>
                      <w:szCs w:val="20"/>
                    </w:rPr>
                    <w:t xml:space="preserve">. De momento siguen siendo adecuados para el desarrollo de las </w:t>
                  </w:r>
                  <w:r w:rsidR="0043480E">
                    <w:rPr>
                      <w:rFonts w:asciiTheme="minorHAnsi" w:hAnsiTheme="minorHAnsi"/>
                      <w:bCs/>
                      <w:sz w:val="20"/>
                      <w:szCs w:val="20"/>
                    </w:rPr>
                    <w:lastRenderedPageBreak/>
                    <w:t>funciones de la oficina.</w:t>
                  </w:r>
                </w:p>
              </w:tc>
            </w:tr>
            <w:tr w:rsidR="00693C4E" w:rsidRPr="00693C4E" w:rsidTr="00DB4626">
              <w:trPr>
                <w:trHeight w:val="772"/>
                <w:jc w:val="center"/>
              </w:trPr>
              <w:tc>
                <w:tcPr>
                  <w:tcW w:w="7805" w:type="dxa"/>
                  <w:gridSpan w:val="3"/>
                  <w:tcBorders>
                    <w:top w:val="nil"/>
                    <w:left w:val="nil"/>
                    <w:bottom w:val="nil"/>
                    <w:right w:val="nil"/>
                  </w:tcBorders>
                  <w:shd w:val="clear" w:color="auto" w:fill="auto"/>
                  <w:hideMark/>
                </w:tcPr>
                <w:p w:rsidR="00693C4E" w:rsidRPr="000821BC" w:rsidRDefault="00693C4E" w:rsidP="00693C4E">
                  <w:pPr>
                    <w:jc w:val="both"/>
                    <w:rPr>
                      <w:rFonts w:asciiTheme="minorHAnsi" w:hAnsiTheme="minorHAnsi"/>
                      <w:b/>
                      <w:bCs/>
                      <w:color w:val="000000"/>
                      <w:sz w:val="18"/>
                      <w:szCs w:val="18"/>
                      <w:lang w:val="es-CR" w:eastAsia="es-CR"/>
                    </w:rPr>
                  </w:pPr>
                  <w:r w:rsidRPr="000821BC">
                    <w:rPr>
                      <w:rFonts w:asciiTheme="minorHAnsi" w:hAnsiTheme="minorHAnsi"/>
                      <w:b/>
                      <w:bCs/>
                      <w:color w:val="000000"/>
                      <w:sz w:val="18"/>
                      <w:szCs w:val="18"/>
                      <w:lang w:val="es-CR" w:eastAsia="es-CR"/>
                    </w:rPr>
                    <w:lastRenderedPageBreak/>
                    <w:t xml:space="preserve"> *: </w:t>
                  </w:r>
                  <w:r w:rsidRPr="000821BC">
                    <w:rPr>
                      <w:rFonts w:asciiTheme="minorHAnsi" w:hAnsiTheme="minorHAnsi"/>
                      <w:color w:val="000000"/>
                      <w:sz w:val="18"/>
                      <w:szCs w:val="18"/>
                      <w:lang w:val="es-CR" w:eastAsia="es-CR"/>
                    </w:rPr>
                    <w:t>El estado de ejecución de cada recomendación se calificó de acuerdo con los términos utilizados en la metodología de administración de proyectos, aprobada por el Consejo Superior en sesión N°84-2014, celebrada el 23 de setiembre de 2014, artículo XIV.</w:t>
                  </w:r>
                </w:p>
              </w:tc>
            </w:tr>
          </w:tbl>
          <w:p w:rsidR="006713AB" w:rsidRPr="00693C4E" w:rsidRDefault="006713AB" w:rsidP="005D0F56">
            <w:pPr>
              <w:jc w:val="both"/>
              <w:rPr>
                <w:rFonts w:ascii="Calibri" w:hAnsi="Calibri"/>
                <w:color w:val="0000FF"/>
                <w:lang w:val="es-CR"/>
              </w:rPr>
            </w:pPr>
          </w:p>
        </w:tc>
      </w:tr>
      <w:tr w:rsidR="006713AB" w:rsidRPr="003A2C22" w:rsidTr="00793F75">
        <w:trPr>
          <w:trHeight w:val="1070"/>
        </w:trPr>
        <w:tc>
          <w:tcPr>
            <w:tcW w:w="1951" w:type="dxa"/>
            <w:shd w:val="clear" w:color="auto" w:fill="C0C0C0"/>
          </w:tcPr>
          <w:p w:rsidR="006713AB" w:rsidRPr="003A2C22" w:rsidRDefault="006713AB" w:rsidP="005D0F56">
            <w:pPr>
              <w:jc w:val="right"/>
              <w:rPr>
                <w:rFonts w:ascii="Calibri" w:hAnsi="Calibri"/>
                <w:b/>
              </w:rPr>
            </w:pPr>
            <w:r w:rsidRPr="003A2C22">
              <w:rPr>
                <w:rFonts w:ascii="Calibri" w:hAnsi="Calibri"/>
                <w:b/>
              </w:rPr>
              <w:lastRenderedPageBreak/>
              <w:t>IV. Elementos Conclusivos</w:t>
            </w:r>
          </w:p>
        </w:tc>
        <w:tc>
          <w:tcPr>
            <w:tcW w:w="8239" w:type="dxa"/>
          </w:tcPr>
          <w:p w:rsidR="006713AB" w:rsidRPr="003A2C22" w:rsidRDefault="00BE1B99" w:rsidP="00DB4626">
            <w:pPr>
              <w:jc w:val="both"/>
              <w:rPr>
                <w:rFonts w:asciiTheme="minorHAnsi" w:hAnsiTheme="minorHAnsi"/>
                <w:color w:val="000000"/>
                <w:lang w:val="es-CR" w:eastAsia="es-CR"/>
              </w:rPr>
            </w:pPr>
            <w:r w:rsidRPr="003A2C22">
              <w:rPr>
                <w:rFonts w:asciiTheme="minorHAnsi" w:hAnsiTheme="minorHAnsi"/>
                <w:b/>
                <w:color w:val="000000"/>
                <w:lang w:val="es-CR" w:eastAsia="es-CR"/>
              </w:rPr>
              <w:t>4.1</w:t>
            </w:r>
            <w:r w:rsidRPr="003A2C22">
              <w:rPr>
                <w:rFonts w:asciiTheme="minorHAnsi" w:hAnsiTheme="minorHAnsi"/>
                <w:color w:val="000000"/>
                <w:lang w:val="es-CR" w:eastAsia="es-CR"/>
              </w:rPr>
              <w:t xml:space="preserve"> </w:t>
            </w:r>
            <w:r w:rsidR="002815A3" w:rsidRPr="003A2C22">
              <w:rPr>
                <w:rFonts w:asciiTheme="minorHAnsi" w:hAnsiTheme="minorHAnsi"/>
                <w:color w:val="000000"/>
                <w:lang w:val="es-CR" w:eastAsia="es-CR"/>
              </w:rPr>
              <w:t xml:space="preserve">Se logró determinar que del </w:t>
            </w:r>
            <w:r w:rsidR="000E353A" w:rsidRPr="003A2C22">
              <w:rPr>
                <w:rFonts w:asciiTheme="minorHAnsi" w:hAnsiTheme="minorHAnsi"/>
                <w:color w:val="000000"/>
                <w:lang w:val="es-CR" w:eastAsia="es-CR"/>
              </w:rPr>
              <w:t xml:space="preserve">estado de las </w:t>
            </w:r>
            <w:r w:rsidR="00DB4626" w:rsidRPr="003A2C22">
              <w:rPr>
                <w:rFonts w:asciiTheme="minorHAnsi" w:hAnsiTheme="minorHAnsi"/>
                <w:color w:val="000000"/>
                <w:lang w:val="es-CR" w:eastAsia="es-CR"/>
              </w:rPr>
              <w:t>tres</w:t>
            </w:r>
            <w:r w:rsidR="000E353A" w:rsidRPr="003A2C22">
              <w:rPr>
                <w:rFonts w:asciiTheme="minorHAnsi" w:hAnsiTheme="minorHAnsi"/>
                <w:color w:val="000000"/>
                <w:lang w:val="es-CR" w:eastAsia="es-CR"/>
              </w:rPr>
              <w:t xml:space="preserve"> recomendaciones indicadas en el informe 2</w:t>
            </w:r>
            <w:r w:rsidR="00DB4626" w:rsidRPr="003A2C22">
              <w:rPr>
                <w:rFonts w:asciiTheme="minorHAnsi" w:hAnsiTheme="minorHAnsi"/>
                <w:color w:val="000000"/>
                <w:lang w:val="es-CR" w:eastAsia="es-CR"/>
              </w:rPr>
              <w:t>7</w:t>
            </w:r>
            <w:r w:rsidR="000E353A" w:rsidRPr="003A2C22">
              <w:rPr>
                <w:rFonts w:asciiTheme="minorHAnsi" w:hAnsiTheme="minorHAnsi"/>
                <w:color w:val="000000"/>
                <w:lang w:val="es-CR" w:eastAsia="es-CR"/>
              </w:rPr>
              <w:t xml:space="preserve">-OI-2017, </w:t>
            </w:r>
            <w:r w:rsidR="00DB4626" w:rsidRPr="003A2C22">
              <w:rPr>
                <w:rFonts w:asciiTheme="minorHAnsi" w:hAnsiTheme="minorHAnsi"/>
                <w:color w:val="000000"/>
                <w:lang w:val="es-CR" w:eastAsia="es-CR"/>
              </w:rPr>
              <w:t>se están cumpliendo según lo acordado por el Consejo Superior. Además, de las entrevistas realizadas al personal encargado de los Manuales de Procedimientos estos son de uso diario de la Oficina en estudio y se han requerido para inducción para el personal que se encarga de dichas labores indicadas en los manuales. Por lo que ha permitido que la Oficina realice sus labores de manera más eficiente y ordenada.</w:t>
            </w:r>
          </w:p>
          <w:p w:rsidR="006A5FC6" w:rsidRPr="003A2C22" w:rsidRDefault="006A5FC6" w:rsidP="00DB4626">
            <w:pPr>
              <w:jc w:val="both"/>
              <w:rPr>
                <w:rFonts w:asciiTheme="minorHAnsi" w:hAnsiTheme="minorHAnsi"/>
                <w:color w:val="000000"/>
                <w:lang w:val="es-CR" w:eastAsia="es-CR"/>
              </w:rPr>
            </w:pPr>
          </w:p>
        </w:tc>
      </w:tr>
      <w:tr w:rsidR="006713AB" w:rsidRPr="003A2C22" w:rsidTr="00793F75">
        <w:trPr>
          <w:trHeight w:val="1264"/>
        </w:trPr>
        <w:tc>
          <w:tcPr>
            <w:tcW w:w="1951" w:type="dxa"/>
            <w:shd w:val="clear" w:color="auto" w:fill="C0C0C0"/>
          </w:tcPr>
          <w:p w:rsidR="006713AB" w:rsidRPr="003A2C22" w:rsidRDefault="006713AB" w:rsidP="005D0F56">
            <w:pPr>
              <w:jc w:val="right"/>
              <w:rPr>
                <w:rFonts w:ascii="Calibri" w:hAnsi="Calibri"/>
                <w:b/>
              </w:rPr>
            </w:pPr>
            <w:r w:rsidRPr="003A2C22">
              <w:rPr>
                <w:rFonts w:ascii="Calibri" w:hAnsi="Calibri"/>
                <w:b/>
              </w:rPr>
              <w:t>V. Recomendaciones</w:t>
            </w:r>
          </w:p>
        </w:tc>
        <w:tc>
          <w:tcPr>
            <w:tcW w:w="8239" w:type="dxa"/>
          </w:tcPr>
          <w:p w:rsidR="00A275A5" w:rsidRPr="003A2C22" w:rsidRDefault="00DB4626" w:rsidP="00A275A5">
            <w:pPr>
              <w:jc w:val="both"/>
              <w:rPr>
                <w:rFonts w:asciiTheme="minorHAnsi" w:hAnsiTheme="minorHAnsi"/>
                <w:color w:val="000000"/>
                <w:lang w:val="es-CR" w:eastAsia="es-CR"/>
              </w:rPr>
            </w:pPr>
            <w:r w:rsidRPr="003A2C22">
              <w:rPr>
                <w:rFonts w:asciiTheme="minorHAnsi" w:hAnsiTheme="minorHAnsi"/>
                <w:b/>
                <w:color w:val="000000"/>
                <w:lang w:val="es-CR" w:eastAsia="es-CR"/>
              </w:rPr>
              <w:t>5.1</w:t>
            </w:r>
            <w:r w:rsidRPr="003A2C22">
              <w:rPr>
                <w:rFonts w:asciiTheme="minorHAnsi" w:hAnsiTheme="minorHAnsi"/>
                <w:color w:val="000000"/>
                <w:lang w:val="es-CR" w:eastAsia="es-CR"/>
              </w:rPr>
              <w:t xml:space="preserve"> Se recomienda a la Oficina Defensa Civil de las Víctimas de Delito, continuar con la utilización de los manuales de procedimientos </w:t>
            </w:r>
            <w:r w:rsidR="00660900" w:rsidRPr="003A2C22">
              <w:rPr>
                <w:rFonts w:asciiTheme="minorHAnsi" w:hAnsiTheme="minorHAnsi"/>
                <w:color w:val="000000"/>
                <w:lang w:val="es-CR" w:eastAsia="es-CR"/>
              </w:rPr>
              <w:t>para el personal de nuevo ingreso como un instrumento de  inducción y guía</w:t>
            </w:r>
            <w:r w:rsidR="00A275A5" w:rsidRPr="003A2C22">
              <w:rPr>
                <w:rFonts w:asciiTheme="minorHAnsi" w:hAnsiTheme="minorHAnsi"/>
                <w:color w:val="000000"/>
                <w:lang w:val="es-CR" w:eastAsia="es-CR"/>
              </w:rPr>
              <w:t xml:space="preserve"> para </w:t>
            </w:r>
            <w:r w:rsidR="006A5FC6" w:rsidRPr="003A2C22">
              <w:rPr>
                <w:rFonts w:asciiTheme="minorHAnsi" w:hAnsiTheme="minorHAnsi"/>
                <w:color w:val="000000"/>
                <w:lang w:val="es-CR" w:eastAsia="es-CR"/>
              </w:rPr>
              <w:t xml:space="preserve">el </w:t>
            </w:r>
            <w:r w:rsidR="00A275A5" w:rsidRPr="003A2C22">
              <w:rPr>
                <w:rFonts w:asciiTheme="minorHAnsi" w:hAnsiTheme="minorHAnsi"/>
                <w:color w:val="000000"/>
                <w:lang w:val="es-CR" w:eastAsia="es-CR"/>
              </w:rPr>
              <w:t>personal</w:t>
            </w:r>
            <w:r w:rsidR="00660900" w:rsidRPr="003A2C22">
              <w:rPr>
                <w:rFonts w:asciiTheme="minorHAnsi" w:hAnsiTheme="minorHAnsi"/>
                <w:color w:val="000000"/>
                <w:lang w:val="es-CR" w:eastAsia="es-CR"/>
              </w:rPr>
              <w:t xml:space="preserve"> cuando se requiera</w:t>
            </w:r>
            <w:r w:rsidR="00A275A5" w:rsidRPr="003A2C22">
              <w:rPr>
                <w:rFonts w:asciiTheme="minorHAnsi" w:hAnsiTheme="minorHAnsi"/>
                <w:color w:val="000000"/>
                <w:lang w:val="es-CR" w:eastAsia="es-CR"/>
              </w:rPr>
              <w:t>.</w:t>
            </w:r>
          </w:p>
          <w:p w:rsidR="00A275A5" w:rsidRPr="003A2C22" w:rsidRDefault="00A275A5" w:rsidP="00A275A5">
            <w:pPr>
              <w:jc w:val="both"/>
              <w:rPr>
                <w:rFonts w:asciiTheme="minorHAnsi" w:hAnsiTheme="minorHAnsi"/>
                <w:color w:val="000000"/>
                <w:lang w:val="es-CR" w:eastAsia="es-CR"/>
              </w:rPr>
            </w:pPr>
          </w:p>
          <w:p w:rsidR="00660900" w:rsidRPr="003A2C22" w:rsidRDefault="00A275A5" w:rsidP="00A275A5">
            <w:pPr>
              <w:jc w:val="both"/>
              <w:rPr>
                <w:rFonts w:asciiTheme="minorHAnsi" w:hAnsiTheme="minorHAnsi"/>
                <w:color w:val="000000"/>
                <w:lang w:val="es-CR" w:eastAsia="es-CR"/>
              </w:rPr>
            </w:pPr>
            <w:r w:rsidRPr="003A2C22">
              <w:rPr>
                <w:rFonts w:asciiTheme="minorHAnsi" w:hAnsiTheme="minorHAnsi"/>
                <w:b/>
                <w:color w:val="000000"/>
                <w:lang w:val="es-CR" w:eastAsia="es-CR"/>
              </w:rPr>
              <w:t>5.2</w:t>
            </w:r>
            <w:r w:rsidRPr="003A2C22">
              <w:rPr>
                <w:rFonts w:asciiTheme="minorHAnsi" w:hAnsiTheme="minorHAnsi"/>
                <w:color w:val="000000"/>
                <w:lang w:val="es-CR" w:eastAsia="es-CR"/>
              </w:rPr>
              <w:t xml:space="preserve"> E</w:t>
            </w:r>
            <w:r w:rsidR="00660900" w:rsidRPr="003A2C22">
              <w:rPr>
                <w:rFonts w:asciiTheme="minorHAnsi" w:hAnsiTheme="minorHAnsi"/>
                <w:color w:val="000000"/>
                <w:lang w:val="es-CR" w:eastAsia="es-CR"/>
              </w:rPr>
              <w:t>n caso de requerir alguna modificación</w:t>
            </w:r>
            <w:r w:rsidRPr="003A2C22">
              <w:rPr>
                <w:rFonts w:asciiTheme="minorHAnsi" w:hAnsiTheme="minorHAnsi"/>
                <w:color w:val="000000"/>
                <w:lang w:val="es-CR" w:eastAsia="es-CR"/>
              </w:rPr>
              <w:t xml:space="preserve"> en los actuales Manuales de Procedimientos</w:t>
            </w:r>
            <w:r w:rsidR="00660900" w:rsidRPr="003A2C22">
              <w:rPr>
                <w:rFonts w:asciiTheme="minorHAnsi" w:hAnsiTheme="minorHAnsi"/>
                <w:color w:val="000000"/>
                <w:lang w:val="es-CR" w:eastAsia="es-CR"/>
              </w:rPr>
              <w:t xml:space="preserve"> informarlo a la Dirección de Planificación para</w:t>
            </w:r>
            <w:r w:rsidRPr="003A2C22">
              <w:rPr>
                <w:rFonts w:asciiTheme="minorHAnsi" w:hAnsiTheme="minorHAnsi"/>
                <w:color w:val="000000"/>
                <w:lang w:val="es-CR" w:eastAsia="es-CR"/>
              </w:rPr>
              <w:t xml:space="preserve"> realizar la actualización necesaria</w:t>
            </w:r>
            <w:r w:rsidR="0082708B" w:rsidRPr="003A2C22">
              <w:rPr>
                <w:rFonts w:asciiTheme="minorHAnsi" w:hAnsiTheme="minorHAnsi"/>
                <w:color w:val="000000"/>
                <w:lang w:val="es-CR" w:eastAsia="es-CR"/>
              </w:rPr>
              <w:t xml:space="preserve">, según los lineamientos existentes. </w:t>
            </w:r>
          </w:p>
          <w:p w:rsidR="006A5FC6" w:rsidRPr="003A2C22" w:rsidRDefault="006A5FC6" w:rsidP="00A275A5">
            <w:pPr>
              <w:jc w:val="both"/>
              <w:rPr>
                <w:rFonts w:asciiTheme="minorHAnsi" w:hAnsiTheme="minorHAnsi"/>
                <w:color w:val="000000"/>
                <w:lang w:val="es-CR" w:eastAsia="es-CR"/>
              </w:rPr>
            </w:pPr>
          </w:p>
        </w:tc>
      </w:tr>
    </w:tbl>
    <w:p w:rsidR="006713AB" w:rsidRPr="003A2C22" w:rsidRDefault="006713AB" w:rsidP="0041453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37"/>
      </w:tblGrid>
      <w:tr w:rsidR="006713AB" w:rsidRPr="003A2C22" w:rsidTr="00BA5764">
        <w:tc>
          <w:tcPr>
            <w:tcW w:w="1951" w:type="dxa"/>
            <w:shd w:val="clear" w:color="auto" w:fill="B3B3B3"/>
          </w:tcPr>
          <w:p w:rsidR="006713AB" w:rsidRPr="003A2C22" w:rsidRDefault="006713AB" w:rsidP="005D0F56">
            <w:pPr>
              <w:jc w:val="right"/>
              <w:rPr>
                <w:rFonts w:ascii="Calibri" w:hAnsi="Calibri"/>
                <w:b/>
              </w:rPr>
            </w:pPr>
            <w:r w:rsidRPr="003A2C22">
              <w:rPr>
                <w:rFonts w:ascii="Calibri" w:hAnsi="Calibri"/>
                <w:b/>
              </w:rPr>
              <w:t>Realizado por:</w:t>
            </w:r>
          </w:p>
        </w:tc>
        <w:tc>
          <w:tcPr>
            <w:tcW w:w="8237" w:type="dxa"/>
          </w:tcPr>
          <w:p w:rsidR="006713AB" w:rsidRPr="00B06D6D" w:rsidRDefault="006D58BF" w:rsidP="00486775">
            <w:pPr>
              <w:rPr>
                <w:rFonts w:ascii="Calibri" w:hAnsi="Calibri"/>
                <w:color w:val="000000"/>
                <w:lang w:val="es-CR" w:eastAsia="es-CR"/>
              </w:rPr>
            </w:pPr>
            <w:r w:rsidRPr="00B06D6D">
              <w:rPr>
                <w:rFonts w:ascii="Calibri" w:hAnsi="Calibri"/>
                <w:color w:val="000000"/>
                <w:lang w:val="es-CR" w:eastAsia="es-CR"/>
              </w:rPr>
              <w:t>Licda. Laura Sánchez Córdoba, Profesional 2</w:t>
            </w:r>
          </w:p>
        </w:tc>
      </w:tr>
      <w:tr w:rsidR="00BE1B99" w:rsidRPr="003A2C22" w:rsidTr="00BA5764">
        <w:tc>
          <w:tcPr>
            <w:tcW w:w="1951" w:type="dxa"/>
            <w:shd w:val="clear" w:color="auto" w:fill="B3B3B3"/>
          </w:tcPr>
          <w:p w:rsidR="00BE1B99" w:rsidRPr="003A2C22" w:rsidRDefault="006D58BF" w:rsidP="005D0F56">
            <w:pPr>
              <w:jc w:val="right"/>
              <w:rPr>
                <w:rFonts w:ascii="Calibri" w:hAnsi="Calibri"/>
                <w:b/>
              </w:rPr>
            </w:pPr>
            <w:r w:rsidRPr="003A2C22">
              <w:rPr>
                <w:rFonts w:ascii="Calibri" w:hAnsi="Calibri"/>
                <w:b/>
              </w:rPr>
              <w:t>Revisado por:</w:t>
            </w:r>
          </w:p>
        </w:tc>
        <w:tc>
          <w:tcPr>
            <w:tcW w:w="8237" w:type="dxa"/>
          </w:tcPr>
          <w:p w:rsidR="00BE1B99" w:rsidRPr="00B06D6D" w:rsidRDefault="006D58BF" w:rsidP="00486775">
            <w:pPr>
              <w:rPr>
                <w:rFonts w:ascii="Calibri" w:hAnsi="Calibri"/>
                <w:color w:val="000000"/>
                <w:lang w:val="es-CR" w:eastAsia="es-CR"/>
              </w:rPr>
            </w:pPr>
            <w:r w:rsidRPr="00B06D6D">
              <w:rPr>
                <w:rFonts w:ascii="Calibri" w:hAnsi="Calibri"/>
                <w:color w:val="000000"/>
                <w:lang w:val="es-CR" w:eastAsia="es-CR"/>
              </w:rPr>
              <w:t xml:space="preserve">Lic. Erick Monge Sandí, Jefe </w:t>
            </w:r>
            <w:r w:rsidR="00A92D72" w:rsidRPr="00B06D6D">
              <w:rPr>
                <w:rFonts w:ascii="Calibri" w:hAnsi="Calibri"/>
                <w:color w:val="000000"/>
                <w:lang w:val="es-CR" w:eastAsia="es-CR"/>
              </w:rPr>
              <w:t xml:space="preserve">a.i. </w:t>
            </w:r>
            <w:r w:rsidRPr="00B06D6D">
              <w:rPr>
                <w:rFonts w:ascii="Calibri" w:hAnsi="Calibri"/>
                <w:color w:val="000000"/>
                <w:lang w:val="es-CR" w:eastAsia="es-CR"/>
              </w:rPr>
              <w:t>del Subproceso de Evaluación</w:t>
            </w:r>
          </w:p>
        </w:tc>
      </w:tr>
      <w:tr w:rsidR="006713AB" w:rsidRPr="003A2C22" w:rsidTr="00BA5764">
        <w:tc>
          <w:tcPr>
            <w:tcW w:w="1951" w:type="dxa"/>
            <w:shd w:val="clear" w:color="auto" w:fill="B3B3B3"/>
          </w:tcPr>
          <w:p w:rsidR="006713AB" w:rsidRPr="003A2C22" w:rsidRDefault="006713AB" w:rsidP="005D0F56">
            <w:pPr>
              <w:jc w:val="right"/>
              <w:rPr>
                <w:rFonts w:ascii="Calibri" w:hAnsi="Calibri"/>
                <w:b/>
              </w:rPr>
            </w:pPr>
            <w:r w:rsidRPr="003A2C22">
              <w:rPr>
                <w:rFonts w:ascii="Calibri" w:hAnsi="Calibri"/>
                <w:b/>
              </w:rPr>
              <w:t>Aprobado por:</w:t>
            </w:r>
          </w:p>
        </w:tc>
        <w:tc>
          <w:tcPr>
            <w:tcW w:w="8237" w:type="dxa"/>
          </w:tcPr>
          <w:p w:rsidR="006713AB" w:rsidRPr="00B06D6D" w:rsidRDefault="006A5FC6" w:rsidP="00486775">
            <w:pPr>
              <w:rPr>
                <w:rFonts w:ascii="Calibri" w:hAnsi="Calibri"/>
                <w:color w:val="000000"/>
                <w:lang w:val="es-CR" w:eastAsia="es-CR"/>
              </w:rPr>
            </w:pPr>
            <w:r w:rsidRPr="00B06D6D">
              <w:rPr>
                <w:rFonts w:ascii="Calibri" w:hAnsi="Calibri"/>
                <w:color w:val="000000"/>
                <w:lang w:val="es-CR" w:eastAsia="es-CR"/>
              </w:rPr>
              <w:t>MSc</w:t>
            </w:r>
            <w:r w:rsidR="006D58BF" w:rsidRPr="00B06D6D">
              <w:rPr>
                <w:rFonts w:ascii="Calibri" w:hAnsi="Calibri"/>
                <w:color w:val="000000"/>
                <w:lang w:val="es-CR" w:eastAsia="es-CR"/>
              </w:rPr>
              <w:t xml:space="preserve">. Erick </w:t>
            </w:r>
            <w:r w:rsidRPr="00B06D6D">
              <w:rPr>
                <w:rFonts w:ascii="Calibri" w:hAnsi="Calibri"/>
                <w:color w:val="000000"/>
                <w:lang w:val="es-CR" w:eastAsia="es-CR"/>
              </w:rPr>
              <w:t xml:space="preserve">Antonio </w:t>
            </w:r>
            <w:r w:rsidR="006D58BF" w:rsidRPr="00B06D6D">
              <w:rPr>
                <w:rFonts w:ascii="Calibri" w:hAnsi="Calibri"/>
                <w:color w:val="000000"/>
                <w:lang w:val="es-CR" w:eastAsia="es-CR"/>
              </w:rPr>
              <w:t xml:space="preserve">Mora Leiva, Subdirector Proceso de </w:t>
            </w:r>
            <w:r w:rsidRPr="00B06D6D">
              <w:rPr>
                <w:rFonts w:ascii="Calibri" w:hAnsi="Calibri"/>
                <w:color w:val="000000"/>
                <w:lang w:val="es-CR" w:eastAsia="es-CR"/>
              </w:rPr>
              <w:t>Planeación y Evaluación</w:t>
            </w:r>
          </w:p>
        </w:tc>
      </w:tr>
    </w:tbl>
    <w:p w:rsidR="002857FE" w:rsidRDefault="002857FE" w:rsidP="006713AB">
      <w:pPr>
        <w:jc w:val="both"/>
        <w:rPr>
          <w:rFonts w:ascii="Calibri" w:hAnsi="Calibri"/>
        </w:rPr>
      </w:pPr>
    </w:p>
    <w:p w:rsidR="00BA5764" w:rsidRDefault="00BA5764" w:rsidP="006713AB">
      <w:pPr>
        <w:jc w:val="both"/>
        <w:rPr>
          <w:rFonts w:ascii="Calibri" w:hAnsi="Calibri"/>
        </w:rPr>
      </w:pPr>
      <w:r>
        <w:rPr>
          <w:rFonts w:ascii="Calibri" w:hAnsi="Calibri"/>
        </w:rPr>
        <w:t>pvv</w:t>
      </w:r>
      <w:bookmarkStart w:id="2" w:name="_GoBack"/>
      <w:bookmarkEnd w:id="2"/>
    </w:p>
    <w:sectPr w:rsidR="00BA5764" w:rsidSect="006713AB">
      <w:headerReference w:type="default" r:id="rId17"/>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C81" w:rsidRDefault="00E30C81" w:rsidP="00486775">
      <w:r>
        <w:separator/>
      </w:r>
    </w:p>
  </w:endnote>
  <w:endnote w:type="continuationSeparator" w:id="0">
    <w:p w:rsidR="00E30C81" w:rsidRDefault="00E30C81" w:rsidP="0048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9509"/>
      <w:docPartObj>
        <w:docPartGallery w:val="Page Numbers (Bottom of Page)"/>
        <w:docPartUnique/>
      </w:docPartObj>
    </w:sdtPr>
    <w:sdtEndPr/>
    <w:sdtContent>
      <w:p w:rsidR="00D87383" w:rsidRDefault="00E30C81">
        <w:pPr>
          <w:pStyle w:val="Piedepgina"/>
          <w:jc w:val="right"/>
        </w:pPr>
        <w:r>
          <w:fldChar w:fldCharType="begin"/>
        </w:r>
        <w:r>
          <w:instrText xml:space="preserve"> PAGE   \* MERGEFORMAT </w:instrText>
        </w:r>
        <w:r>
          <w:fldChar w:fldCharType="separate"/>
        </w:r>
        <w:r w:rsidR="00C87D94">
          <w:rPr>
            <w:noProof/>
          </w:rPr>
          <w:t>5</w:t>
        </w:r>
        <w:r>
          <w:rPr>
            <w:noProof/>
          </w:rPr>
          <w:fldChar w:fldCharType="end"/>
        </w:r>
      </w:p>
    </w:sdtContent>
  </w:sdt>
  <w:p w:rsidR="00D87383" w:rsidRDefault="00D87383" w:rsidP="00D87383">
    <w:pPr>
      <w:pBdr>
        <w:top w:val="single" w:sz="4" w:space="1" w:color="auto"/>
      </w:pBdr>
      <w:jc w:val="center"/>
      <w:rPr>
        <w:rFonts w:ascii="Book Antiqua" w:hAnsi="Book Antiqua"/>
        <w:b/>
        <w:bCs/>
        <w:color w:val="000000"/>
      </w:rPr>
    </w:pPr>
    <w:r w:rsidRPr="003F17C3">
      <w:rPr>
        <w:rFonts w:ascii="Book Antiqua" w:hAnsi="Book Antiqua"/>
        <w:b/>
        <w:bCs/>
        <w:color w:val="000000"/>
      </w:rPr>
      <w:t>Trabajamos por el desarrollo de la administración de justicia</w:t>
    </w:r>
    <w:r>
      <w:rPr>
        <w:rFonts w:ascii="Book Antiqua" w:hAnsi="Book Antiqua"/>
        <w:b/>
        <w:bCs/>
        <w:color w:val="000000"/>
      </w:rPr>
      <w:t xml:space="preserve">       </w:t>
    </w:r>
  </w:p>
  <w:p w:rsidR="00D87383" w:rsidRPr="003F17C3" w:rsidRDefault="00D87383" w:rsidP="00D87383">
    <w:pPr>
      <w:pBdr>
        <w:top w:val="single" w:sz="4" w:space="1" w:color="auto"/>
      </w:pBdr>
      <w:jc w:val="center"/>
      <w:rPr>
        <w:rFonts w:ascii="Book Antiqua" w:hAnsi="Book Antiqua"/>
        <w:b/>
        <w:bCs/>
        <w:color w:val="000000"/>
      </w:rPr>
    </w:pPr>
    <w:r w:rsidRPr="003F17C3">
      <w:rPr>
        <w:rFonts w:ascii="Book Antiqua" w:hAnsi="Book Antiqua"/>
        <w:b/>
        <w:bCs/>
        <w:color w:val="000000"/>
      </w:rPr>
      <w:t>con proyección e innovación</w:t>
    </w:r>
  </w:p>
  <w:p w:rsidR="00D87383" w:rsidRDefault="00D873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C81" w:rsidRDefault="00E30C81" w:rsidP="00486775">
      <w:r>
        <w:separator/>
      </w:r>
    </w:p>
  </w:footnote>
  <w:footnote w:type="continuationSeparator" w:id="0">
    <w:p w:rsidR="00E30C81" w:rsidRDefault="00E30C81" w:rsidP="0048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83" w:rsidRDefault="00D87383" w:rsidP="00D87383">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–Dirección </w:t>
    </w:r>
    <w:proofErr w:type="gramStart"/>
    <w:r>
      <w:rPr>
        <w:rFonts w:ascii="Book Antiqua" w:hAnsi="Book Antiqua" w:cs="Book Antiqua"/>
        <w:i/>
        <w:iCs/>
        <w:sz w:val="18"/>
        <w:szCs w:val="18"/>
      </w:rPr>
      <w:t>de  Planificación</w:t>
    </w:r>
    <w:proofErr w:type="gramEnd"/>
    <w: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2.4pt" o:ole="">
          <v:imagedata r:id="rId1" o:title=""/>
        </v:shape>
        <o:OLEObject Type="Embed" ProgID="PBrush" ShapeID="_x0000_i1025" DrawAspect="Content" ObjectID="_1588655980" r:id="rId2"/>
      </w:object>
    </w:r>
  </w:p>
  <w:p w:rsidR="00D87383" w:rsidRDefault="00D87383" w:rsidP="00D87383">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rsidR="00D87383" w:rsidRPr="00667361" w:rsidRDefault="00D87383" w:rsidP="00D87383">
    <w:pPr>
      <w:pStyle w:val="Encabezado"/>
      <w:jc w:val="center"/>
      <w:rPr>
        <w:lang w:val="en-US"/>
      </w:rPr>
    </w:pPr>
    <w:r w:rsidRPr="00DA5916">
      <w:rPr>
        <w:rFonts w:ascii="Book Antiqua" w:hAnsi="Book Antiqua" w:cs="Book Antiqua"/>
        <w:i/>
        <w:iCs/>
        <w:sz w:val="18"/>
        <w:szCs w:val="18"/>
      </w:rPr>
      <w:t xml:space="preserve">Telf.   </w:t>
    </w:r>
    <w:r w:rsidRPr="00667361">
      <w:rPr>
        <w:rFonts w:ascii="Book Antiqua" w:hAnsi="Book Antiqua" w:cs="Book Antiqua"/>
        <w:i/>
        <w:iCs/>
        <w:sz w:val="18"/>
        <w:szCs w:val="18"/>
        <w:lang w:val="en-US"/>
      </w:rPr>
      <w:t xml:space="preserve">2295-3600 / </w:t>
    </w:r>
    <w:proofErr w:type="gramStart"/>
    <w:r w:rsidRPr="00667361">
      <w:rPr>
        <w:rFonts w:ascii="Book Antiqua" w:hAnsi="Book Antiqua" w:cs="Book Antiqua"/>
        <w:i/>
        <w:iCs/>
        <w:sz w:val="18"/>
        <w:szCs w:val="18"/>
        <w:lang w:val="en-US"/>
      </w:rPr>
      <w:t>3599  Fax</w:t>
    </w:r>
    <w:proofErr w:type="gramEnd"/>
    <w:r w:rsidRPr="00667361">
      <w:rPr>
        <w:rFonts w:ascii="Book Antiqua" w:hAnsi="Book Antiqua" w:cs="Book Antiqua"/>
        <w:i/>
        <w:iCs/>
        <w:sz w:val="18"/>
        <w:szCs w:val="18"/>
        <w:lang w:val="en-US"/>
      </w:rPr>
      <w:t>. 2</w:t>
    </w:r>
    <w:r>
      <w:rPr>
        <w:rFonts w:ascii="Book Antiqua" w:hAnsi="Book Antiqua" w:cs="Book Antiqua"/>
        <w:i/>
        <w:iCs/>
        <w:sz w:val="18"/>
        <w:szCs w:val="18"/>
        <w:lang w:val="en-US"/>
      </w:rPr>
      <w:t>257-5633   / Apdo.  95-</w:t>
    </w:r>
    <w:proofErr w:type="gramStart"/>
    <w:r>
      <w:rPr>
        <w:rFonts w:ascii="Book Antiqua" w:hAnsi="Book Antiqua" w:cs="Book Antiqua"/>
        <w:i/>
        <w:iCs/>
        <w:sz w:val="18"/>
        <w:szCs w:val="18"/>
        <w:lang w:val="en-US"/>
      </w:rPr>
      <w:t>1003  /</w:t>
    </w:r>
    <w:proofErr w:type="gramEnd"/>
    <w:r>
      <w:rPr>
        <w:rFonts w:ascii="Book Antiqua" w:hAnsi="Book Antiqua" w:cs="Book Antiqua"/>
        <w:i/>
        <w:iCs/>
        <w:sz w:val="18"/>
        <w:szCs w:val="18"/>
        <w:lang w:val="en-US"/>
      </w:rPr>
      <w:t xml:space="preserve"> </w:t>
    </w:r>
    <w:r w:rsidRPr="00667361">
      <w:rPr>
        <w:rFonts w:ascii="Book Antiqua" w:hAnsi="Book Antiqua" w:cs="Book Antiqua"/>
        <w:i/>
        <w:iCs/>
        <w:sz w:val="18"/>
        <w:szCs w:val="18"/>
        <w:lang w:val="en-US"/>
      </w:rPr>
      <w:t>planificacion@poder-judicial.go.cr</w:t>
    </w:r>
  </w:p>
  <w:p w:rsidR="00D87383" w:rsidRPr="00667361" w:rsidRDefault="00D87383" w:rsidP="00D87383">
    <w:pPr>
      <w:pBdr>
        <w:bottom w:val="single" w:sz="6" w:space="0" w:color="auto"/>
      </w:pBdr>
      <w:spacing w:after="20"/>
      <w:rPr>
        <w:lang w:val="en-US"/>
      </w:rPr>
    </w:pPr>
  </w:p>
  <w:p w:rsidR="00D87383" w:rsidRPr="00E55DAB" w:rsidRDefault="00D87383" w:rsidP="00D87383">
    <w:pPr>
      <w:pStyle w:val="Encabezado"/>
      <w:rPr>
        <w:lang w:val="en-GB"/>
      </w:rPr>
    </w:pPr>
  </w:p>
  <w:p w:rsidR="006713AB" w:rsidRDefault="006713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0" w:rsidRDefault="001218D0">
    <w:pPr>
      <w:pStyle w:val="Encabezado"/>
    </w:pPr>
    <w:r>
      <w:rPr>
        <w:noProof/>
        <w:lang w:val="es-CR" w:eastAsia="es-CR"/>
      </w:rPr>
      <w:drawing>
        <wp:anchor distT="0" distB="0" distL="114300" distR="114300" simplePos="0" relativeHeight="251662848"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2" name="Imagen 6"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61824"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E30C81">
      <w:rPr>
        <w:noProof/>
      </w:rPr>
      <w:pict>
        <v:shapetype id="_x0000_t202" coordsize="21600,21600" o:spt="202" path="m,l,21600r21600,l21600,xe">
          <v:stroke joinstyle="miter"/>
          <v:path gradientshapeok="t" o:connecttype="rect"/>
        </v:shapetype>
        <v:shape id="Text Box 4" o:spid="_x0000_s2051" type="#_x0000_t202" style="position:absolute;margin-left:261pt;margin-top:5.95pt;width:238.95pt;height:4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nS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" stroked="f">
          <v:textbox inset="6.75pt,3.75pt,6.75pt,3.75pt">
            <w:txbxContent>
              <w:p w:rsidR="001218D0" w:rsidRPr="00BC690B" w:rsidRDefault="001218D0"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1218D0" w:rsidRPr="00BC690B" w:rsidRDefault="001218D0"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1218D0" w:rsidRPr="00BC690B" w:rsidRDefault="001218D0"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1218D0" w:rsidRPr="00BC690B" w:rsidRDefault="001218D0" w:rsidP="006713AB"/>
            </w:txbxContent>
          </v:textbox>
        </v:shape>
      </w:pict>
    </w:r>
  </w:p>
  <w:p w:rsidR="001218D0" w:rsidRDefault="001218D0">
    <w:pPr>
      <w:pStyle w:val="Encabezado"/>
    </w:pPr>
  </w:p>
  <w:p w:rsidR="001218D0" w:rsidRDefault="001218D0">
    <w:pPr>
      <w:pStyle w:val="Encabezado"/>
    </w:pPr>
  </w:p>
  <w:p w:rsidR="001218D0" w:rsidRDefault="001218D0">
    <w:pPr>
      <w:pStyle w:val="Encabezado"/>
      <w:pBdr>
        <w:bottom w:val="single" w:sz="12" w:space="1" w:color="auto"/>
      </w:pBdr>
    </w:pPr>
  </w:p>
  <w:p w:rsidR="001218D0" w:rsidRDefault="001218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B14E70"/>
    <w:multiLevelType w:val="hybridMultilevel"/>
    <w:tmpl w:val="859E62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56AF"/>
    <w:rsid w:val="00054FF5"/>
    <w:rsid w:val="000639A3"/>
    <w:rsid w:val="000821BC"/>
    <w:rsid w:val="000C739E"/>
    <w:rsid w:val="000D56AF"/>
    <w:rsid w:val="000E353A"/>
    <w:rsid w:val="000F6AE1"/>
    <w:rsid w:val="001017C5"/>
    <w:rsid w:val="00104B69"/>
    <w:rsid w:val="001218D0"/>
    <w:rsid w:val="00165789"/>
    <w:rsid w:val="001C174F"/>
    <w:rsid w:val="001C4354"/>
    <w:rsid w:val="001C7479"/>
    <w:rsid w:val="001E059F"/>
    <w:rsid w:val="0023342C"/>
    <w:rsid w:val="00261403"/>
    <w:rsid w:val="002815A3"/>
    <w:rsid w:val="002857FE"/>
    <w:rsid w:val="00286A01"/>
    <w:rsid w:val="002E0BE5"/>
    <w:rsid w:val="00331121"/>
    <w:rsid w:val="00342768"/>
    <w:rsid w:val="0038656B"/>
    <w:rsid w:val="003A2C22"/>
    <w:rsid w:val="003A709A"/>
    <w:rsid w:val="003D09AB"/>
    <w:rsid w:val="003D7197"/>
    <w:rsid w:val="00400E36"/>
    <w:rsid w:val="004035A6"/>
    <w:rsid w:val="00414534"/>
    <w:rsid w:val="00425A3E"/>
    <w:rsid w:val="0043480E"/>
    <w:rsid w:val="00441E9F"/>
    <w:rsid w:val="00444D1A"/>
    <w:rsid w:val="004652CC"/>
    <w:rsid w:val="00486775"/>
    <w:rsid w:val="00495AAC"/>
    <w:rsid w:val="004D750F"/>
    <w:rsid w:val="005028F7"/>
    <w:rsid w:val="00504937"/>
    <w:rsid w:val="00535CAF"/>
    <w:rsid w:val="00573E36"/>
    <w:rsid w:val="005D0F56"/>
    <w:rsid w:val="005D12C3"/>
    <w:rsid w:val="005E5058"/>
    <w:rsid w:val="006028AD"/>
    <w:rsid w:val="006056EA"/>
    <w:rsid w:val="00617726"/>
    <w:rsid w:val="006416F2"/>
    <w:rsid w:val="00660900"/>
    <w:rsid w:val="006713AB"/>
    <w:rsid w:val="00672DA5"/>
    <w:rsid w:val="00693C4E"/>
    <w:rsid w:val="006A5FC6"/>
    <w:rsid w:val="006C62DF"/>
    <w:rsid w:val="006D58BF"/>
    <w:rsid w:val="006D72B3"/>
    <w:rsid w:val="00793F75"/>
    <w:rsid w:val="00794033"/>
    <w:rsid w:val="007959C6"/>
    <w:rsid w:val="00811059"/>
    <w:rsid w:val="0082708B"/>
    <w:rsid w:val="00846503"/>
    <w:rsid w:val="00875423"/>
    <w:rsid w:val="00893A9C"/>
    <w:rsid w:val="008A3146"/>
    <w:rsid w:val="008C0EE7"/>
    <w:rsid w:val="008D40B8"/>
    <w:rsid w:val="008E1752"/>
    <w:rsid w:val="00904F64"/>
    <w:rsid w:val="00920054"/>
    <w:rsid w:val="00937E5F"/>
    <w:rsid w:val="00954C00"/>
    <w:rsid w:val="0096195B"/>
    <w:rsid w:val="009668C7"/>
    <w:rsid w:val="00977175"/>
    <w:rsid w:val="009859D3"/>
    <w:rsid w:val="00992E0B"/>
    <w:rsid w:val="009B79D8"/>
    <w:rsid w:val="00A07737"/>
    <w:rsid w:val="00A26A29"/>
    <w:rsid w:val="00A275A5"/>
    <w:rsid w:val="00A8114E"/>
    <w:rsid w:val="00A92D72"/>
    <w:rsid w:val="00A93668"/>
    <w:rsid w:val="00A945C4"/>
    <w:rsid w:val="00AB43BA"/>
    <w:rsid w:val="00AB63BD"/>
    <w:rsid w:val="00AF19CB"/>
    <w:rsid w:val="00B06D6D"/>
    <w:rsid w:val="00B5750D"/>
    <w:rsid w:val="00B73E68"/>
    <w:rsid w:val="00BA5764"/>
    <w:rsid w:val="00BE1B99"/>
    <w:rsid w:val="00BF1AA2"/>
    <w:rsid w:val="00C06585"/>
    <w:rsid w:val="00C32BE2"/>
    <w:rsid w:val="00C40797"/>
    <w:rsid w:val="00C4105F"/>
    <w:rsid w:val="00C55C1D"/>
    <w:rsid w:val="00C70E6D"/>
    <w:rsid w:val="00C85B0A"/>
    <w:rsid w:val="00C87D94"/>
    <w:rsid w:val="00C94181"/>
    <w:rsid w:val="00CD5225"/>
    <w:rsid w:val="00D02C29"/>
    <w:rsid w:val="00D651FB"/>
    <w:rsid w:val="00D87383"/>
    <w:rsid w:val="00D970F7"/>
    <w:rsid w:val="00D97E48"/>
    <w:rsid w:val="00DB4626"/>
    <w:rsid w:val="00DE3DDB"/>
    <w:rsid w:val="00E30C81"/>
    <w:rsid w:val="00EB3EB3"/>
    <w:rsid w:val="00EE4373"/>
    <w:rsid w:val="00F315A9"/>
    <w:rsid w:val="00F94651"/>
    <w:rsid w:val="00FC0F2E"/>
    <w:rsid w:val="00FC42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7698E05D"/>
  <w15:docId w15:val="{30F236B9-6CC2-4F3A-B7B7-6DC6E609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D72"/>
    <w:rPr>
      <w:sz w:val="24"/>
      <w:szCs w:val="24"/>
      <w:lang w:val="es-ES" w:eastAsia="es-ES"/>
    </w:rPr>
  </w:style>
  <w:style w:type="paragraph" w:styleId="Ttulo1">
    <w:name w:val="heading 1"/>
    <w:basedOn w:val="Normal"/>
    <w:next w:val="Normal"/>
    <w:autoRedefine/>
    <w:qFormat/>
    <w:rsid w:val="002857FE"/>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2857FE"/>
    <w:pPr>
      <w:keepNext/>
      <w:widowControl w:val="0"/>
      <w:numPr>
        <w:ilvl w:val="1"/>
        <w:numId w:val="1"/>
      </w:numPr>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rFonts w:ascii="Arial" w:hAnsi="Arial"/>
      <w:b/>
      <w:bCs/>
      <w:iCs/>
      <w:szCs w:val="28"/>
      <w:lang w:val="es-ES_tradnl" w:eastAsia="en-US"/>
    </w:rPr>
  </w:style>
  <w:style w:type="paragraph" w:styleId="Ttulo3">
    <w:name w:val="heading 3"/>
    <w:basedOn w:val="Normal"/>
    <w:next w:val="Normal"/>
    <w:qFormat/>
    <w:rsid w:val="002857FE"/>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2857FE"/>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2857FE"/>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2857FE"/>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2857FE"/>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2857FE"/>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2857FE"/>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713AB"/>
    <w:pPr>
      <w:tabs>
        <w:tab w:val="center" w:pos="4252"/>
        <w:tab w:val="right" w:pos="8504"/>
      </w:tabs>
    </w:pPr>
  </w:style>
  <w:style w:type="paragraph" w:styleId="Piedepgina">
    <w:name w:val="footer"/>
    <w:basedOn w:val="Normal"/>
    <w:link w:val="PiedepginaCar"/>
    <w:uiPriority w:val="99"/>
    <w:rsid w:val="006713AB"/>
    <w:pPr>
      <w:tabs>
        <w:tab w:val="center" w:pos="4252"/>
        <w:tab w:val="right" w:pos="8504"/>
      </w:tabs>
    </w:pPr>
  </w:style>
  <w:style w:type="paragraph" w:customStyle="1" w:styleId="Car">
    <w:name w:val="Car"/>
    <w:basedOn w:val="Normal"/>
    <w:semiHidden/>
    <w:rsid w:val="006713AB"/>
    <w:pPr>
      <w:spacing w:after="160" w:line="240" w:lineRule="exact"/>
    </w:pPr>
    <w:rPr>
      <w:rFonts w:ascii="Verdana" w:hAnsi="Verdana" w:cs="Verdana"/>
      <w:sz w:val="20"/>
      <w:szCs w:val="20"/>
      <w:lang w:val="en-AU" w:eastAsia="en-US"/>
    </w:rPr>
  </w:style>
  <w:style w:type="character" w:customStyle="1" w:styleId="EncabezadoCar">
    <w:name w:val="Encabezado Car"/>
    <w:aliases w:val="encabezado Car"/>
    <w:basedOn w:val="Fuentedeprrafopredeter"/>
    <w:link w:val="Encabezado"/>
    <w:rsid w:val="006713AB"/>
    <w:rPr>
      <w:sz w:val="24"/>
      <w:szCs w:val="24"/>
      <w:lang w:val="es-ES" w:eastAsia="es-ES" w:bidi="ar-SA"/>
    </w:rPr>
  </w:style>
  <w:style w:type="table" w:styleId="Tablaconcuadrcula">
    <w:name w:val="Table Grid"/>
    <w:basedOn w:val="Tablanormal"/>
    <w:rsid w:val="0067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857FE"/>
    <w:rPr>
      <w:rFonts w:ascii="Arial" w:hAnsi="Arial"/>
      <w:b/>
      <w:bCs/>
      <w:iCs/>
      <w:sz w:val="24"/>
      <w:szCs w:val="28"/>
      <w:lang w:val="es-ES_tradnl" w:eastAsia="en-US" w:bidi="ar-SA"/>
    </w:rPr>
  </w:style>
  <w:style w:type="paragraph" w:styleId="NormalWeb">
    <w:name w:val="Normal (Web)"/>
    <w:basedOn w:val="Normal"/>
    <w:link w:val="NormalWebCar"/>
    <w:qFormat/>
    <w:rsid w:val="00C40797"/>
    <w:pPr>
      <w:widowControl w:val="0"/>
      <w:autoSpaceDE w:val="0"/>
      <w:autoSpaceDN w:val="0"/>
      <w:adjustRightInd w:val="0"/>
    </w:pPr>
    <w:rPr>
      <w:rFonts w:ascii="Arial Unicode MS" w:eastAsia="Arial Unicode MS" w:hAnsi="Arial"/>
      <w:color w:val="000000"/>
      <w:u w:color="000000"/>
    </w:rPr>
  </w:style>
  <w:style w:type="character" w:customStyle="1" w:styleId="NormalWebCar">
    <w:name w:val="Normal (Web) Car"/>
    <w:link w:val="NormalWeb"/>
    <w:rsid w:val="00C40797"/>
    <w:rPr>
      <w:rFonts w:ascii="Arial Unicode MS" w:eastAsia="Arial Unicode MS" w:hAnsi="Arial"/>
      <w:color w:val="000000"/>
      <w:sz w:val="24"/>
      <w:szCs w:val="24"/>
      <w:u w:color="000000"/>
      <w:lang w:val="es-ES" w:eastAsia="es-ES"/>
    </w:rPr>
  </w:style>
  <w:style w:type="paragraph" w:styleId="Prrafodelista">
    <w:name w:val="List Paragraph"/>
    <w:basedOn w:val="Normal"/>
    <w:uiPriority w:val="34"/>
    <w:qFormat/>
    <w:rsid w:val="00D651FB"/>
    <w:pPr>
      <w:ind w:left="720"/>
      <w:contextualSpacing/>
    </w:pPr>
  </w:style>
  <w:style w:type="paragraph" w:styleId="Textodeglobo">
    <w:name w:val="Balloon Text"/>
    <w:basedOn w:val="Normal"/>
    <w:link w:val="TextodegloboCar"/>
    <w:rsid w:val="006A5FC6"/>
    <w:rPr>
      <w:rFonts w:ascii="Segoe UI" w:hAnsi="Segoe UI" w:cs="Segoe UI"/>
      <w:sz w:val="18"/>
      <w:szCs w:val="18"/>
    </w:rPr>
  </w:style>
  <w:style w:type="character" w:customStyle="1" w:styleId="TextodegloboCar">
    <w:name w:val="Texto de globo Car"/>
    <w:basedOn w:val="Fuentedeprrafopredeter"/>
    <w:link w:val="Textodeglobo"/>
    <w:rsid w:val="006A5FC6"/>
    <w:rPr>
      <w:rFonts w:ascii="Segoe UI" w:hAnsi="Segoe UI" w:cs="Segoe UI"/>
      <w:sz w:val="18"/>
      <w:szCs w:val="18"/>
      <w:lang w:val="es-ES" w:eastAsia="es-ES"/>
    </w:rPr>
  </w:style>
  <w:style w:type="paragraph" w:styleId="Textoindependiente2">
    <w:name w:val="Body Text 2"/>
    <w:basedOn w:val="Normal"/>
    <w:link w:val="Textoindependiente2Car"/>
    <w:rsid w:val="00D87383"/>
    <w:pPr>
      <w:widowControl w:val="0"/>
      <w:autoSpaceDE w:val="0"/>
      <w:autoSpaceDN w:val="0"/>
      <w:adjustRightInd w:val="0"/>
      <w:jc w:val="both"/>
    </w:pPr>
    <w:rPr>
      <w:rFonts w:ascii="Book Antiqua" w:hAnsi="Book Antiqua" w:cs="Book Antiqua"/>
    </w:rPr>
  </w:style>
  <w:style w:type="character" w:customStyle="1" w:styleId="Textoindependiente2Car">
    <w:name w:val="Texto independiente 2 Car"/>
    <w:basedOn w:val="Fuentedeprrafopredeter"/>
    <w:link w:val="Textoindependiente2"/>
    <w:rsid w:val="00D87383"/>
    <w:rPr>
      <w:rFonts w:ascii="Book Antiqua" w:hAnsi="Book Antiqua" w:cs="Book Antiqua"/>
      <w:sz w:val="24"/>
      <w:szCs w:val="24"/>
      <w:lang w:val="es-ES" w:eastAsia="es-ES"/>
    </w:rPr>
  </w:style>
  <w:style w:type="character" w:customStyle="1" w:styleId="PiedepginaCar">
    <w:name w:val="Pie de página Car"/>
    <w:basedOn w:val="Fuentedeprrafopredeter"/>
    <w:link w:val="Piedepgina"/>
    <w:uiPriority w:val="99"/>
    <w:rsid w:val="00D8738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package" Target="embeddings/Microsoft_Excel_Worksheet1.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cchinchillac</dc:creator>
  <cp:lastModifiedBy>Carolina Chacon Mejia</cp:lastModifiedBy>
  <cp:revision>47</cp:revision>
  <dcterms:created xsi:type="dcterms:W3CDTF">2018-05-07T16:26:00Z</dcterms:created>
  <dcterms:modified xsi:type="dcterms:W3CDTF">2018-05-24T14:33:00Z</dcterms:modified>
</cp:coreProperties>
</file>