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402F" w14:textId="0089B1F7" w:rsidR="00B2051A" w:rsidRPr="000A5B0A" w:rsidRDefault="00B2051A" w:rsidP="000A5B0A">
      <w:pPr>
        <w:jc w:val="center"/>
        <w:rPr>
          <w:b/>
          <w:bCs/>
          <w:color w:val="000000"/>
          <w:sz w:val="26"/>
          <w:szCs w:val="26"/>
          <w:u w:val="single"/>
        </w:rPr>
      </w:pPr>
      <w:r w:rsidRPr="000A5B0A">
        <w:rPr>
          <w:b/>
          <w:bCs/>
          <w:color w:val="000000"/>
          <w:sz w:val="26"/>
          <w:szCs w:val="26"/>
          <w:u w:val="single"/>
        </w:rPr>
        <w:t xml:space="preserve">CIRCULAR No. </w:t>
      </w:r>
      <w:r w:rsidR="004C4F95" w:rsidRPr="000A5B0A">
        <w:rPr>
          <w:b/>
          <w:bCs/>
          <w:color w:val="000000"/>
          <w:sz w:val="26"/>
          <w:szCs w:val="26"/>
          <w:u w:val="single"/>
        </w:rPr>
        <w:t>159</w:t>
      </w:r>
      <w:r w:rsidR="003107CD" w:rsidRPr="000A5B0A">
        <w:rPr>
          <w:b/>
          <w:bCs/>
          <w:color w:val="000000"/>
          <w:sz w:val="26"/>
          <w:szCs w:val="26"/>
          <w:u w:val="single"/>
        </w:rPr>
        <w:t>-</w:t>
      </w:r>
      <w:r w:rsidRPr="000A5B0A">
        <w:rPr>
          <w:b/>
          <w:bCs/>
          <w:color w:val="000000"/>
          <w:sz w:val="26"/>
          <w:szCs w:val="26"/>
          <w:u w:val="single"/>
        </w:rPr>
        <w:t>202</w:t>
      </w:r>
      <w:r w:rsidR="00B82445" w:rsidRPr="000A5B0A">
        <w:rPr>
          <w:b/>
          <w:bCs/>
          <w:color w:val="000000"/>
          <w:sz w:val="26"/>
          <w:szCs w:val="26"/>
          <w:u w:val="single"/>
        </w:rPr>
        <w:t>1</w:t>
      </w:r>
    </w:p>
    <w:p w14:paraId="0C0D13E8" w14:textId="77777777" w:rsidR="00B2051A" w:rsidRPr="000A5B0A" w:rsidRDefault="00B2051A" w:rsidP="00B2051A">
      <w:pPr>
        <w:jc w:val="both"/>
        <w:rPr>
          <w:b/>
          <w:bCs/>
          <w:color w:val="000000"/>
          <w:sz w:val="26"/>
          <w:szCs w:val="26"/>
          <w:u w:val="single"/>
          <w:lang w:eastAsia="es-CR"/>
        </w:rPr>
      </w:pPr>
    </w:p>
    <w:p w14:paraId="6CC17409" w14:textId="3D7D11C5" w:rsidR="00B2051A" w:rsidRPr="000A5B0A" w:rsidRDefault="00B2051A" w:rsidP="00B2051A">
      <w:pPr>
        <w:jc w:val="both"/>
        <w:rPr>
          <w:rFonts w:eastAsia="Calibri"/>
          <w:bCs/>
          <w:sz w:val="26"/>
          <w:szCs w:val="26"/>
          <w:lang w:val="es-CR" w:eastAsia="en-US"/>
        </w:rPr>
      </w:pPr>
      <w:r w:rsidRPr="000A5B0A">
        <w:rPr>
          <w:b/>
          <w:bCs/>
          <w:sz w:val="26"/>
          <w:szCs w:val="26"/>
          <w:u w:val="single"/>
        </w:rPr>
        <w:t>Asunto</w:t>
      </w:r>
      <w:r w:rsidRPr="000A5B0A">
        <w:rPr>
          <w:bCs/>
          <w:sz w:val="26"/>
          <w:szCs w:val="26"/>
        </w:rPr>
        <w:t>:</w:t>
      </w:r>
      <w:r w:rsidRPr="000A5B0A">
        <w:rPr>
          <w:sz w:val="26"/>
          <w:szCs w:val="26"/>
        </w:rPr>
        <w:t xml:space="preserve"> </w:t>
      </w:r>
      <w:r w:rsidR="004C4F95" w:rsidRPr="000A5B0A">
        <w:rPr>
          <w:rFonts w:eastAsia="Calibri"/>
          <w:bCs/>
          <w:sz w:val="26"/>
          <w:szCs w:val="26"/>
          <w:lang w:val="es-CR" w:eastAsia="en-US"/>
        </w:rPr>
        <w:t xml:space="preserve">Reiteración de la circular </w:t>
      </w:r>
      <w:proofErr w:type="spellStart"/>
      <w:r w:rsidR="004C4F95" w:rsidRPr="000A5B0A">
        <w:rPr>
          <w:rFonts w:eastAsia="Calibri"/>
          <w:bCs/>
          <w:sz w:val="26"/>
          <w:szCs w:val="26"/>
          <w:lang w:val="es-CR" w:eastAsia="en-US"/>
        </w:rPr>
        <w:t>N°</w:t>
      </w:r>
      <w:proofErr w:type="spellEnd"/>
      <w:r w:rsidR="004C4F95" w:rsidRPr="000A5B0A">
        <w:rPr>
          <w:rFonts w:eastAsia="SimSun"/>
          <w:sz w:val="26"/>
          <w:szCs w:val="26"/>
          <w:lang w:bidi="hi-IN"/>
        </w:rPr>
        <w:t>09-2018, relativa a la Utilización del “</w:t>
      </w:r>
      <w:r w:rsidR="004C4F95" w:rsidRPr="000A5B0A">
        <w:rPr>
          <w:rFonts w:eastAsia="SimSun"/>
          <w:i/>
          <w:iCs/>
          <w:sz w:val="26"/>
          <w:szCs w:val="26"/>
          <w:lang w:bidi="hi-IN"/>
        </w:rPr>
        <w:t>formulario de solicitud de estudio a la Dirección de Planificación</w:t>
      </w:r>
      <w:proofErr w:type="gramStart"/>
      <w:r w:rsidR="004C4F95" w:rsidRPr="000A5B0A">
        <w:rPr>
          <w:rFonts w:eastAsia="SimSun"/>
          <w:sz w:val="26"/>
          <w:szCs w:val="26"/>
          <w:lang w:bidi="hi-IN"/>
        </w:rPr>
        <w:t>”</w:t>
      </w:r>
      <w:r w:rsidR="00902D3C" w:rsidRPr="000A5B0A">
        <w:rPr>
          <w:rFonts w:eastAsia="Calibri"/>
          <w:sz w:val="26"/>
          <w:szCs w:val="26"/>
          <w:lang w:val="es-CR" w:eastAsia="en-US"/>
        </w:rPr>
        <w:t>.-</w:t>
      </w:r>
      <w:proofErr w:type="gramEnd"/>
    </w:p>
    <w:p w14:paraId="548D656B" w14:textId="77777777" w:rsidR="00B2051A" w:rsidRPr="000A5B0A" w:rsidRDefault="00B2051A" w:rsidP="00B2051A">
      <w:pPr>
        <w:jc w:val="both"/>
        <w:rPr>
          <w:bCs/>
          <w:sz w:val="26"/>
          <w:szCs w:val="26"/>
        </w:rPr>
      </w:pPr>
    </w:p>
    <w:p w14:paraId="18C36807" w14:textId="7B3A5DDA" w:rsidR="005A734A" w:rsidRPr="000A5B0A" w:rsidRDefault="004C4F95" w:rsidP="00883668">
      <w:pPr>
        <w:jc w:val="center"/>
        <w:rPr>
          <w:rFonts w:eastAsia="Calibri"/>
          <w:b/>
          <w:bCs/>
          <w:sz w:val="26"/>
          <w:szCs w:val="26"/>
          <w:u w:val="single"/>
          <w:lang w:val="es-ES_tradnl" w:eastAsia="en-US"/>
        </w:rPr>
      </w:pPr>
      <w:r w:rsidRPr="000A5B0A">
        <w:rPr>
          <w:rFonts w:eastAsia="Calibri"/>
          <w:b/>
          <w:bCs/>
          <w:sz w:val="26"/>
          <w:szCs w:val="26"/>
          <w:u w:val="single"/>
          <w:lang w:val="es-ES_tradnl" w:eastAsia="en-US"/>
        </w:rPr>
        <w:t>A LOS DESPACHOS Y OFICINAS JUDICIALES DEL PAIS</w:t>
      </w:r>
    </w:p>
    <w:p w14:paraId="092F79DF" w14:textId="77777777" w:rsidR="004C4F95" w:rsidRPr="000A5B0A" w:rsidRDefault="004C4F95" w:rsidP="00883668">
      <w:pPr>
        <w:jc w:val="center"/>
        <w:rPr>
          <w:b/>
          <w:bCs/>
          <w:sz w:val="26"/>
          <w:szCs w:val="26"/>
          <w:u w:val="single"/>
        </w:rPr>
      </w:pPr>
    </w:p>
    <w:p w14:paraId="578E79A8" w14:textId="77777777" w:rsidR="00B2051A" w:rsidRPr="000A5B0A" w:rsidRDefault="00B2051A" w:rsidP="00883668">
      <w:pPr>
        <w:jc w:val="center"/>
        <w:rPr>
          <w:b/>
          <w:bCs/>
          <w:sz w:val="26"/>
          <w:szCs w:val="26"/>
        </w:rPr>
      </w:pPr>
      <w:r w:rsidRPr="000A5B0A">
        <w:rPr>
          <w:b/>
          <w:bCs/>
          <w:sz w:val="26"/>
          <w:szCs w:val="26"/>
          <w:u w:val="single"/>
        </w:rPr>
        <w:t>SE LES HACE SABER QUE</w:t>
      </w:r>
      <w:r w:rsidRPr="000A5B0A">
        <w:rPr>
          <w:b/>
          <w:bCs/>
          <w:sz w:val="26"/>
          <w:szCs w:val="26"/>
        </w:rPr>
        <w:t>:</w:t>
      </w:r>
    </w:p>
    <w:p w14:paraId="0FDE0072" w14:textId="77777777" w:rsidR="00B2051A" w:rsidRPr="000A5B0A" w:rsidRDefault="00B2051A" w:rsidP="005A734A">
      <w:pPr>
        <w:pStyle w:val="Textodebloque2"/>
        <w:ind w:left="0" w:right="0" w:firstLine="0"/>
        <w:rPr>
          <w:sz w:val="26"/>
          <w:szCs w:val="26"/>
        </w:rPr>
      </w:pPr>
    </w:p>
    <w:p w14:paraId="197738DC" w14:textId="021F7F86" w:rsidR="003107CD" w:rsidRPr="000A5B0A" w:rsidRDefault="00AC04F7" w:rsidP="003107CD">
      <w:pPr>
        <w:suppressAutoHyphens w:val="0"/>
        <w:jc w:val="both"/>
        <w:rPr>
          <w:b/>
          <w:sz w:val="26"/>
          <w:szCs w:val="26"/>
          <w:lang w:val="es-CR"/>
        </w:rPr>
      </w:pPr>
      <w:r w:rsidRPr="000A5B0A">
        <w:rPr>
          <w:rFonts w:eastAsia="SimSun"/>
          <w:sz w:val="26"/>
          <w:szCs w:val="26"/>
          <w:lang w:bidi="hi-IN"/>
        </w:rPr>
        <w:t xml:space="preserve">El Consejo Superior del Poder Judicial en sesión No. </w:t>
      </w:r>
      <w:r w:rsidRPr="000A5B0A">
        <w:rPr>
          <w:rFonts w:eastAsia="SimSun"/>
          <w:sz w:val="26"/>
          <w:szCs w:val="26"/>
          <w:lang w:val="es-CR" w:bidi="hi-IN"/>
        </w:rPr>
        <w:t>44-2021 celebrada el 27 de mayo de 2021, artículo L,</w:t>
      </w:r>
      <w:r w:rsidRPr="000A5B0A">
        <w:rPr>
          <w:rFonts w:eastAsia="SimSun"/>
          <w:sz w:val="26"/>
          <w:szCs w:val="26"/>
          <w:lang w:bidi="hi-IN"/>
        </w:rPr>
        <w:t xml:space="preserve"> dispuso reiterar la Circular No. circular número 09-2018, relativa a la Utilización del “</w:t>
      </w:r>
      <w:r w:rsidRPr="000A5B0A">
        <w:rPr>
          <w:rFonts w:eastAsia="SimSun"/>
          <w:i/>
          <w:iCs/>
          <w:sz w:val="26"/>
          <w:szCs w:val="26"/>
          <w:lang w:bidi="hi-IN"/>
        </w:rPr>
        <w:t>formulario de solicitud de estudio a la Dirección de Planificación</w:t>
      </w:r>
      <w:r w:rsidRPr="000A5B0A">
        <w:rPr>
          <w:rFonts w:eastAsia="SimSun"/>
          <w:sz w:val="26"/>
          <w:szCs w:val="26"/>
          <w:lang w:bidi="hi-IN"/>
        </w:rPr>
        <w:t>”, la cual literalmente dice:</w:t>
      </w:r>
    </w:p>
    <w:p w14:paraId="39A4271A" w14:textId="41072E35" w:rsidR="00837746" w:rsidRPr="000A5B0A" w:rsidRDefault="00837746" w:rsidP="00837746">
      <w:pPr>
        <w:suppressAutoHyphens w:val="0"/>
        <w:jc w:val="both"/>
        <w:rPr>
          <w:sz w:val="26"/>
          <w:szCs w:val="26"/>
        </w:rPr>
      </w:pPr>
    </w:p>
    <w:p w14:paraId="4909B494" w14:textId="522A6C12" w:rsidR="00AC04F7" w:rsidRPr="000A5B0A" w:rsidRDefault="00CB4665" w:rsidP="004C4F95">
      <w:pPr>
        <w:suppressAutoHyphens w:val="0"/>
        <w:ind w:left="851" w:right="851" w:firstLine="709"/>
        <w:jc w:val="both"/>
        <w:rPr>
          <w:snapToGrid w:val="0"/>
          <w:color w:val="000000"/>
          <w:sz w:val="26"/>
          <w:szCs w:val="26"/>
        </w:rPr>
      </w:pPr>
      <w:r w:rsidRPr="000A5B0A">
        <w:rPr>
          <w:sz w:val="26"/>
          <w:szCs w:val="26"/>
        </w:rPr>
        <w:t>“</w:t>
      </w:r>
      <w:r w:rsidR="00AC04F7" w:rsidRPr="000A5B0A">
        <w:rPr>
          <w:sz w:val="26"/>
          <w:szCs w:val="26"/>
        </w:rPr>
        <w:t xml:space="preserve">En la sesión 95-16 del </w:t>
      </w:r>
      <w:r w:rsidR="00AC04F7" w:rsidRPr="000A5B0A">
        <w:rPr>
          <w:snapToGrid w:val="0"/>
          <w:color w:val="000000"/>
          <w:sz w:val="26"/>
          <w:szCs w:val="26"/>
        </w:rPr>
        <w:t>13 de octubre del 2016, artículo LXII, el Consejo Superior avaló el oficio N°1576-PLA-2016-B referente al informe que detalla las recomendaciones surgidas a partir de los procesos críticos, actividades improductivas, cuellos de botella y actividades que no agregan valor, documentadas en el informe N°974-PLA-2016, relacionado con el “</w:t>
      </w:r>
      <w:r w:rsidR="00AC04F7" w:rsidRPr="000A5B0A">
        <w:rPr>
          <w:i/>
          <w:snapToGrid w:val="0"/>
          <w:color w:val="000000"/>
          <w:sz w:val="26"/>
          <w:szCs w:val="26"/>
        </w:rPr>
        <w:t>Rediseño de la Dirección de Planificación, Fase II Diseño de Propuestas de Mejora</w:t>
      </w:r>
      <w:r w:rsidR="00AC04F7" w:rsidRPr="000A5B0A">
        <w:rPr>
          <w:snapToGrid w:val="0"/>
          <w:color w:val="000000"/>
          <w:sz w:val="26"/>
          <w:szCs w:val="26"/>
        </w:rPr>
        <w:t>”.</w:t>
      </w:r>
    </w:p>
    <w:p w14:paraId="146179EB" w14:textId="77777777" w:rsidR="00AC04F7" w:rsidRPr="000A5B0A" w:rsidRDefault="00AC04F7" w:rsidP="004C4F95">
      <w:pPr>
        <w:suppressAutoHyphens w:val="0"/>
        <w:ind w:left="851" w:right="851" w:firstLine="709"/>
        <w:jc w:val="both"/>
        <w:rPr>
          <w:snapToGrid w:val="0"/>
          <w:color w:val="000000"/>
          <w:sz w:val="26"/>
          <w:szCs w:val="26"/>
        </w:rPr>
      </w:pPr>
    </w:p>
    <w:p w14:paraId="7A8EF247" w14:textId="77777777" w:rsidR="00AC04F7" w:rsidRPr="000A5B0A" w:rsidRDefault="00AC04F7" w:rsidP="004C4F95">
      <w:pPr>
        <w:suppressAutoHyphens w:val="0"/>
        <w:ind w:left="851" w:right="851" w:firstLine="709"/>
        <w:jc w:val="both"/>
        <w:rPr>
          <w:sz w:val="26"/>
          <w:szCs w:val="26"/>
        </w:rPr>
      </w:pPr>
      <w:r w:rsidRPr="000A5B0A">
        <w:rPr>
          <w:sz w:val="26"/>
          <w:szCs w:val="26"/>
        </w:rPr>
        <w:t>Como parte de las propuestas de mejora, se aprobó un procedimiento para “filtrar” las solicitudes de estudio por parte de los Despachos Judiciales (denominado procedimiento de tamizaje), según el cual las gestiones de los despachos y oficinas judiciales del país deben someterse a diferentes etapas de revisión y valoración, de previo a ser puestas en conocimiento de la Dirección de Planificación, como última instancia de análisis. Ese procedimiento se ilustra en el siguiente procedimiento y esquema:</w:t>
      </w:r>
    </w:p>
    <w:p w14:paraId="58F179B0" w14:textId="77777777" w:rsidR="00AC04F7" w:rsidRPr="000A5B0A" w:rsidRDefault="00AC04F7" w:rsidP="00AC04F7">
      <w:pPr>
        <w:suppressAutoHyphens w:val="0"/>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4864"/>
      </w:tblGrid>
      <w:tr w:rsidR="00AC04F7" w:rsidRPr="000A5B0A" w14:paraId="10C6D7E3" w14:textId="77777777" w:rsidTr="005652A5">
        <w:trPr>
          <w:jc w:val="center"/>
        </w:trPr>
        <w:tc>
          <w:tcPr>
            <w:tcW w:w="1555" w:type="dxa"/>
            <w:shd w:val="clear" w:color="auto" w:fill="auto"/>
          </w:tcPr>
          <w:p w14:paraId="42D6445B" w14:textId="77777777" w:rsidR="00AC04F7" w:rsidRPr="000A5B0A" w:rsidRDefault="00AC04F7" w:rsidP="005652A5">
            <w:pPr>
              <w:suppressAutoHyphens w:val="0"/>
              <w:ind w:right="46"/>
              <w:jc w:val="center"/>
              <w:rPr>
                <w:b/>
                <w:snapToGrid w:val="0"/>
                <w:color w:val="000000"/>
                <w:sz w:val="26"/>
                <w:szCs w:val="26"/>
              </w:rPr>
            </w:pPr>
            <w:r w:rsidRPr="000A5B0A">
              <w:rPr>
                <w:b/>
                <w:snapToGrid w:val="0"/>
                <w:color w:val="000000"/>
                <w:sz w:val="26"/>
                <w:szCs w:val="26"/>
              </w:rPr>
              <w:t>Número de Paso</w:t>
            </w:r>
          </w:p>
        </w:tc>
        <w:tc>
          <w:tcPr>
            <w:tcW w:w="2409" w:type="dxa"/>
            <w:shd w:val="clear" w:color="auto" w:fill="auto"/>
          </w:tcPr>
          <w:p w14:paraId="310934B8" w14:textId="77777777" w:rsidR="00AC04F7" w:rsidRPr="000A5B0A" w:rsidRDefault="00AC04F7" w:rsidP="005652A5">
            <w:pPr>
              <w:suppressAutoHyphens w:val="0"/>
              <w:ind w:right="46"/>
              <w:jc w:val="center"/>
              <w:rPr>
                <w:b/>
                <w:snapToGrid w:val="0"/>
                <w:color w:val="000000"/>
                <w:sz w:val="26"/>
                <w:szCs w:val="26"/>
              </w:rPr>
            </w:pPr>
            <w:r w:rsidRPr="000A5B0A">
              <w:rPr>
                <w:b/>
                <w:snapToGrid w:val="0"/>
                <w:color w:val="000000"/>
                <w:sz w:val="26"/>
                <w:szCs w:val="26"/>
              </w:rPr>
              <w:t>Responsable</w:t>
            </w:r>
          </w:p>
        </w:tc>
        <w:tc>
          <w:tcPr>
            <w:tcW w:w="4864" w:type="dxa"/>
            <w:shd w:val="clear" w:color="auto" w:fill="auto"/>
          </w:tcPr>
          <w:p w14:paraId="493852A1" w14:textId="77777777" w:rsidR="00AC04F7" w:rsidRPr="000A5B0A" w:rsidRDefault="00AC04F7" w:rsidP="005652A5">
            <w:pPr>
              <w:suppressAutoHyphens w:val="0"/>
              <w:ind w:right="46"/>
              <w:jc w:val="center"/>
              <w:rPr>
                <w:b/>
                <w:snapToGrid w:val="0"/>
                <w:color w:val="000000"/>
                <w:sz w:val="26"/>
                <w:szCs w:val="26"/>
              </w:rPr>
            </w:pPr>
            <w:r w:rsidRPr="000A5B0A">
              <w:rPr>
                <w:b/>
                <w:snapToGrid w:val="0"/>
                <w:color w:val="000000"/>
                <w:sz w:val="26"/>
                <w:szCs w:val="26"/>
              </w:rPr>
              <w:t>Descripción</w:t>
            </w:r>
          </w:p>
        </w:tc>
      </w:tr>
      <w:tr w:rsidR="00AC04F7" w:rsidRPr="000A5B0A" w14:paraId="2213F696" w14:textId="77777777" w:rsidTr="005652A5">
        <w:trPr>
          <w:jc w:val="center"/>
        </w:trPr>
        <w:tc>
          <w:tcPr>
            <w:tcW w:w="1555" w:type="dxa"/>
            <w:shd w:val="clear" w:color="auto" w:fill="auto"/>
            <w:vAlign w:val="center"/>
          </w:tcPr>
          <w:p w14:paraId="3754DA6F" w14:textId="77777777" w:rsidR="00AC04F7" w:rsidRPr="000A5B0A" w:rsidRDefault="00AC04F7" w:rsidP="005652A5">
            <w:pPr>
              <w:suppressAutoHyphens w:val="0"/>
              <w:ind w:right="46"/>
              <w:jc w:val="center"/>
              <w:rPr>
                <w:sz w:val="26"/>
                <w:szCs w:val="26"/>
              </w:rPr>
            </w:pPr>
            <w:r w:rsidRPr="000A5B0A">
              <w:rPr>
                <w:sz w:val="26"/>
                <w:szCs w:val="26"/>
              </w:rPr>
              <w:t>1</w:t>
            </w:r>
          </w:p>
        </w:tc>
        <w:tc>
          <w:tcPr>
            <w:tcW w:w="2409" w:type="dxa"/>
            <w:shd w:val="clear" w:color="auto" w:fill="auto"/>
            <w:vAlign w:val="center"/>
          </w:tcPr>
          <w:p w14:paraId="4D4CAC4A" w14:textId="77777777" w:rsidR="00AC04F7" w:rsidRPr="000A5B0A" w:rsidRDefault="00AC04F7" w:rsidP="005652A5">
            <w:pPr>
              <w:suppressAutoHyphens w:val="0"/>
              <w:ind w:right="46"/>
              <w:jc w:val="center"/>
              <w:rPr>
                <w:sz w:val="26"/>
                <w:szCs w:val="26"/>
              </w:rPr>
            </w:pPr>
            <w:r w:rsidRPr="000A5B0A">
              <w:rPr>
                <w:sz w:val="26"/>
                <w:szCs w:val="26"/>
              </w:rPr>
              <w:t>Despacho u Oficina Judicial solicitante (D.O.J.)</w:t>
            </w:r>
          </w:p>
        </w:tc>
        <w:tc>
          <w:tcPr>
            <w:tcW w:w="4864" w:type="dxa"/>
            <w:shd w:val="clear" w:color="auto" w:fill="auto"/>
          </w:tcPr>
          <w:p w14:paraId="117A762A" w14:textId="77777777" w:rsidR="00AC04F7" w:rsidRPr="000A5B0A" w:rsidRDefault="00AC04F7" w:rsidP="005652A5">
            <w:pPr>
              <w:suppressAutoHyphens w:val="0"/>
              <w:ind w:right="46"/>
              <w:jc w:val="both"/>
              <w:rPr>
                <w:sz w:val="26"/>
                <w:szCs w:val="26"/>
              </w:rPr>
            </w:pPr>
            <w:r w:rsidRPr="000A5B0A">
              <w:rPr>
                <w:sz w:val="26"/>
                <w:szCs w:val="26"/>
              </w:rPr>
              <w:t>Determina que tiene una necesidad en su despacho u oficina, la cual requiere de un estudio de la Dirección de Planificación (estudio de necesidades de recurso humano, de organización del despacho, rediseño, formularios, procedimientos, etc.).</w:t>
            </w:r>
          </w:p>
        </w:tc>
      </w:tr>
      <w:tr w:rsidR="00AC04F7" w:rsidRPr="000A5B0A" w14:paraId="74A32639" w14:textId="77777777" w:rsidTr="005652A5">
        <w:trPr>
          <w:jc w:val="center"/>
        </w:trPr>
        <w:tc>
          <w:tcPr>
            <w:tcW w:w="1555" w:type="dxa"/>
            <w:shd w:val="clear" w:color="auto" w:fill="auto"/>
            <w:vAlign w:val="center"/>
          </w:tcPr>
          <w:p w14:paraId="72E79D59" w14:textId="77777777" w:rsidR="00AC04F7" w:rsidRPr="000A5B0A" w:rsidRDefault="00AC04F7" w:rsidP="005652A5">
            <w:pPr>
              <w:suppressAutoHyphens w:val="0"/>
              <w:ind w:right="46"/>
              <w:jc w:val="center"/>
              <w:rPr>
                <w:sz w:val="26"/>
                <w:szCs w:val="26"/>
              </w:rPr>
            </w:pPr>
            <w:r w:rsidRPr="000A5B0A">
              <w:rPr>
                <w:sz w:val="26"/>
                <w:szCs w:val="26"/>
              </w:rPr>
              <w:t>2</w:t>
            </w:r>
          </w:p>
        </w:tc>
        <w:tc>
          <w:tcPr>
            <w:tcW w:w="2409" w:type="dxa"/>
            <w:shd w:val="clear" w:color="auto" w:fill="auto"/>
            <w:vAlign w:val="center"/>
          </w:tcPr>
          <w:p w14:paraId="3A8C5CC3" w14:textId="77777777" w:rsidR="00AC04F7" w:rsidRPr="000A5B0A" w:rsidRDefault="00AC04F7" w:rsidP="005652A5">
            <w:pPr>
              <w:suppressAutoHyphens w:val="0"/>
              <w:ind w:right="46"/>
              <w:jc w:val="center"/>
              <w:rPr>
                <w:sz w:val="26"/>
                <w:szCs w:val="26"/>
              </w:rPr>
            </w:pPr>
            <w:r w:rsidRPr="000A5B0A">
              <w:rPr>
                <w:sz w:val="26"/>
                <w:szCs w:val="26"/>
              </w:rPr>
              <w:t>D.O.J.</w:t>
            </w:r>
          </w:p>
        </w:tc>
        <w:tc>
          <w:tcPr>
            <w:tcW w:w="4864" w:type="dxa"/>
            <w:shd w:val="clear" w:color="auto" w:fill="auto"/>
          </w:tcPr>
          <w:p w14:paraId="35CF8161" w14:textId="77777777" w:rsidR="00AC04F7" w:rsidRPr="000A5B0A" w:rsidRDefault="00AC04F7" w:rsidP="005652A5">
            <w:pPr>
              <w:suppressAutoHyphens w:val="0"/>
              <w:ind w:right="46"/>
              <w:jc w:val="both"/>
              <w:rPr>
                <w:sz w:val="26"/>
                <w:szCs w:val="26"/>
              </w:rPr>
            </w:pPr>
            <w:r w:rsidRPr="000A5B0A">
              <w:rPr>
                <w:sz w:val="26"/>
                <w:szCs w:val="26"/>
              </w:rPr>
              <w:t xml:space="preserve">Diseña inicialmente un plan de contingencia interno para atender la necesidad que se le plantea y que afecta al despacho </w:t>
            </w:r>
            <w:r w:rsidRPr="000A5B0A">
              <w:rPr>
                <w:sz w:val="26"/>
                <w:szCs w:val="26"/>
              </w:rPr>
              <w:lastRenderedPageBreak/>
              <w:t>(distribución de labores, cuotas de trabajo diario, etc.).</w:t>
            </w:r>
          </w:p>
        </w:tc>
      </w:tr>
      <w:tr w:rsidR="00AC04F7" w:rsidRPr="000A5B0A" w14:paraId="7467D69C" w14:textId="77777777" w:rsidTr="005652A5">
        <w:trPr>
          <w:jc w:val="center"/>
        </w:trPr>
        <w:tc>
          <w:tcPr>
            <w:tcW w:w="1555" w:type="dxa"/>
            <w:shd w:val="clear" w:color="auto" w:fill="auto"/>
            <w:vAlign w:val="center"/>
          </w:tcPr>
          <w:p w14:paraId="31FE5D8E" w14:textId="77777777" w:rsidR="00AC04F7" w:rsidRPr="000A5B0A" w:rsidRDefault="00AC04F7" w:rsidP="005652A5">
            <w:pPr>
              <w:suppressAutoHyphens w:val="0"/>
              <w:ind w:right="46"/>
              <w:jc w:val="center"/>
              <w:rPr>
                <w:sz w:val="26"/>
                <w:szCs w:val="26"/>
              </w:rPr>
            </w:pPr>
            <w:r w:rsidRPr="000A5B0A">
              <w:rPr>
                <w:sz w:val="26"/>
                <w:szCs w:val="26"/>
              </w:rPr>
              <w:lastRenderedPageBreak/>
              <w:t>3</w:t>
            </w:r>
          </w:p>
        </w:tc>
        <w:tc>
          <w:tcPr>
            <w:tcW w:w="2409" w:type="dxa"/>
            <w:shd w:val="clear" w:color="auto" w:fill="auto"/>
            <w:vAlign w:val="center"/>
          </w:tcPr>
          <w:p w14:paraId="0657EC60" w14:textId="77777777" w:rsidR="00AC04F7" w:rsidRPr="000A5B0A" w:rsidRDefault="00AC04F7" w:rsidP="005652A5">
            <w:pPr>
              <w:suppressAutoHyphens w:val="0"/>
              <w:ind w:right="46"/>
              <w:jc w:val="center"/>
              <w:rPr>
                <w:sz w:val="26"/>
                <w:szCs w:val="26"/>
              </w:rPr>
            </w:pPr>
            <w:r w:rsidRPr="000A5B0A">
              <w:rPr>
                <w:sz w:val="26"/>
                <w:szCs w:val="26"/>
              </w:rPr>
              <w:t>D.O.J.</w:t>
            </w:r>
          </w:p>
        </w:tc>
        <w:tc>
          <w:tcPr>
            <w:tcW w:w="4864" w:type="dxa"/>
            <w:shd w:val="clear" w:color="auto" w:fill="auto"/>
          </w:tcPr>
          <w:p w14:paraId="7613E5E7" w14:textId="77777777" w:rsidR="00AC04F7" w:rsidRPr="000A5B0A" w:rsidRDefault="00AC04F7" w:rsidP="005652A5">
            <w:pPr>
              <w:suppressAutoHyphens w:val="0"/>
              <w:ind w:right="46"/>
              <w:jc w:val="both"/>
              <w:rPr>
                <w:sz w:val="26"/>
                <w:szCs w:val="26"/>
              </w:rPr>
            </w:pPr>
            <w:r w:rsidRPr="000A5B0A">
              <w:rPr>
                <w:sz w:val="26"/>
                <w:szCs w:val="26"/>
              </w:rPr>
              <w:t>En el caso de que el plan de contingencia interno que diseña el Despacho u Oficina Judicial necesite de algún tipo de colaboración adicional, debe hacer la solicitud al Consejo de Administración de su Circuito Judicial.</w:t>
            </w:r>
          </w:p>
        </w:tc>
      </w:tr>
      <w:tr w:rsidR="00AC04F7" w:rsidRPr="000A5B0A" w14:paraId="5130BB00" w14:textId="77777777" w:rsidTr="005652A5">
        <w:trPr>
          <w:jc w:val="center"/>
        </w:trPr>
        <w:tc>
          <w:tcPr>
            <w:tcW w:w="1555" w:type="dxa"/>
            <w:shd w:val="clear" w:color="auto" w:fill="auto"/>
            <w:vAlign w:val="center"/>
          </w:tcPr>
          <w:p w14:paraId="4EA11D13" w14:textId="77777777" w:rsidR="00AC04F7" w:rsidRPr="000A5B0A" w:rsidRDefault="00AC04F7" w:rsidP="005652A5">
            <w:pPr>
              <w:suppressAutoHyphens w:val="0"/>
              <w:ind w:right="46"/>
              <w:jc w:val="center"/>
              <w:rPr>
                <w:sz w:val="26"/>
                <w:szCs w:val="26"/>
              </w:rPr>
            </w:pPr>
            <w:r w:rsidRPr="000A5B0A">
              <w:rPr>
                <w:sz w:val="26"/>
                <w:szCs w:val="26"/>
              </w:rPr>
              <w:t>4</w:t>
            </w:r>
          </w:p>
        </w:tc>
        <w:tc>
          <w:tcPr>
            <w:tcW w:w="2409" w:type="dxa"/>
            <w:shd w:val="clear" w:color="auto" w:fill="auto"/>
            <w:vAlign w:val="center"/>
          </w:tcPr>
          <w:p w14:paraId="15E54C3A" w14:textId="77777777" w:rsidR="00AC04F7" w:rsidRPr="000A5B0A" w:rsidRDefault="00AC04F7" w:rsidP="005652A5">
            <w:pPr>
              <w:suppressAutoHyphens w:val="0"/>
              <w:ind w:right="46"/>
              <w:jc w:val="center"/>
              <w:rPr>
                <w:sz w:val="26"/>
                <w:szCs w:val="26"/>
              </w:rPr>
            </w:pPr>
            <w:r w:rsidRPr="000A5B0A">
              <w:rPr>
                <w:sz w:val="26"/>
                <w:szCs w:val="26"/>
              </w:rPr>
              <w:t>Consejo de Administración (C.A.)</w:t>
            </w:r>
          </w:p>
        </w:tc>
        <w:tc>
          <w:tcPr>
            <w:tcW w:w="4864" w:type="dxa"/>
            <w:shd w:val="clear" w:color="auto" w:fill="auto"/>
          </w:tcPr>
          <w:p w14:paraId="18AA1D3F" w14:textId="77777777" w:rsidR="00AC04F7" w:rsidRPr="000A5B0A" w:rsidRDefault="00AC04F7" w:rsidP="005652A5">
            <w:pPr>
              <w:suppressAutoHyphens w:val="0"/>
              <w:ind w:right="46"/>
              <w:jc w:val="both"/>
              <w:rPr>
                <w:sz w:val="26"/>
                <w:szCs w:val="26"/>
              </w:rPr>
            </w:pPr>
            <w:r w:rsidRPr="000A5B0A">
              <w:rPr>
                <w:sz w:val="26"/>
                <w:szCs w:val="26"/>
              </w:rPr>
              <w:t>Recibe la solicitud del Despacho u Oficina Judicial, revisa la situación y determina con la recomendación de la Administración Regional si puede colaborar con el D.J. para que se diseñe un plan remedial.</w:t>
            </w:r>
          </w:p>
        </w:tc>
      </w:tr>
      <w:tr w:rsidR="00AC04F7" w:rsidRPr="000A5B0A" w14:paraId="474B5FC8" w14:textId="77777777" w:rsidTr="005652A5">
        <w:trPr>
          <w:jc w:val="center"/>
        </w:trPr>
        <w:tc>
          <w:tcPr>
            <w:tcW w:w="1555" w:type="dxa"/>
            <w:shd w:val="clear" w:color="auto" w:fill="auto"/>
            <w:vAlign w:val="center"/>
          </w:tcPr>
          <w:p w14:paraId="5582C2EB" w14:textId="77777777" w:rsidR="00AC04F7" w:rsidRPr="000A5B0A" w:rsidRDefault="00AC04F7" w:rsidP="005652A5">
            <w:pPr>
              <w:suppressAutoHyphens w:val="0"/>
              <w:ind w:right="46"/>
              <w:jc w:val="center"/>
              <w:rPr>
                <w:sz w:val="26"/>
                <w:szCs w:val="26"/>
              </w:rPr>
            </w:pPr>
            <w:r w:rsidRPr="000A5B0A">
              <w:rPr>
                <w:sz w:val="26"/>
                <w:szCs w:val="26"/>
              </w:rPr>
              <w:t>5</w:t>
            </w:r>
          </w:p>
        </w:tc>
        <w:tc>
          <w:tcPr>
            <w:tcW w:w="2409" w:type="dxa"/>
            <w:shd w:val="clear" w:color="auto" w:fill="auto"/>
            <w:vAlign w:val="center"/>
          </w:tcPr>
          <w:p w14:paraId="147C9BFF" w14:textId="77777777" w:rsidR="00AC04F7" w:rsidRPr="000A5B0A" w:rsidRDefault="00AC04F7" w:rsidP="005652A5">
            <w:pPr>
              <w:suppressAutoHyphens w:val="0"/>
              <w:ind w:right="46"/>
              <w:jc w:val="center"/>
              <w:rPr>
                <w:sz w:val="26"/>
                <w:szCs w:val="26"/>
              </w:rPr>
            </w:pPr>
            <w:r w:rsidRPr="000A5B0A">
              <w:rPr>
                <w:sz w:val="26"/>
                <w:szCs w:val="26"/>
              </w:rPr>
              <w:t>C.A.</w:t>
            </w:r>
          </w:p>
        </w:tc>
        <w:tc>
          <w:tcPr>
            <w:tcW w:w="4864" w:type="dxa"/>
            <w:shd w:val="clear" w:color="auto" w:fill="auto"/>
          </w:tcPr>
          <w:p w14:paraId="0B794B53" w14:textId="77777777" w:rsidR="00AC04F7" w:rsidRPr="000A5B0A" w:rsidRDefault="00AC04F7" w:rsidP="005652A5">
            <w:pPr>
              <w:suppressAutoHyphens w:val="0"/>
              <w:ind w:right="46"/>
              <w:jc w:val="both"/>
              <w:rPr>
                <w:sz w:val="26"/>
                <w:szCs w:val="26"/>
              </w:rPr>
            </w:pPr>
            <w:r w:rsidRPr="000A5B0A">
              <w:rPr>
                <w:sz w:val="26"/>
                <w:szCs w:val="26"/>
              </w:rPr>
              <w:t xml:space="preserve">En caso de que el Consejo de Administración no pueda solventar la situación particular del Despacho u Oficina Judicial, lo traslada al Centro de Apoyo, Coordinación y Mejoramiento de la Función Jurisdiccional; o a las administraciones del Ministerio Público, de la Defensa Pública o del Organismo de Investigación Judicial, según corresponda. </w:t>
            </w:r>
          </w:p>
        </w:tc>
      </w:tr>
      <w:tr w:rsidR="00AC04F7" w:rsidRPr="000A5B0A" w14:paraId="0E26D791" w14:textId="77777777" w:rsidTr="005652A5">
        <w:trPr>
          <w:jc w:val="center"/>
        </w:trPr>
        <w:tc>
          <w:tcPr>
            <w:tcW w:w="1555" w:type="dxa"/>
            <w:shd w:val="clear" w:color="auto" w:fill="auto"/>
            <w:vAlign w:val="center"/>
          </w:tcPr>
          <w:p w14:paraId="31A65113" w14:textId="77777777" w:rsidR="00AC04F7" w:rsidRPr="000A5B0A" w:rsidRDefault="00AC04F7" w:rsidP="005652A5">
            <w:pPr>
              <w:suppressAutoHyphens w:val="0"/>
              <w:ind w:right="46"/>
              <w:jc w:val="center"/>
              <w:rPr>
                <w:sz w:val="26"/>
                <w:szCs w:val="26"/>
              </w:rPr>
            </w:pPr>
            <w:r w:rsidRPr="000A5B0A">
              <w:rPr>
                <w:sz w:val="26"/>
                <w:szCs w:val="26"/>
              </w:rPr>
              <w:t>6</w:t>
            </w:r>
          </w:p>
        </w:tc>
        <w:tc>
          <w:tcPr>
            <w:tcW w:w="2409" w:type="dxa"/>
            <w:shd w:val="clear" w:color="auto" w:fill="auto"/>
            <w:vAlign w:val="center"/>
          </w:tcPr>
          <w:p w14:paraId="54812270" w14:textId="77777777" w:rsidR="00AC04F7" w:rsidRPr="000A5B0A" w:rsidRDefault="00AC04F7" w:rsidP="005652A5">
            <w:pPr>
              <w:suppressAutoHyphens w:val="0"/>
              <w:ind w:right="46"/>
              <w:jc w:val="center"/>
              <w:rPr>
                <w:sz w:val="26"/>
                <w:szCs w:val="26"/>
              </w:rPr>
            </w:pPr>
            <w:r w:rsidRPr="000A5B0A">
              <w:rPr>
                <w:sz w:val="26"/>
                <w:szCs w:val="26"/>
              </w:rPr>
              <w:t>Centro de Apoyo, Coordinación y Mejoramiento de la Función Jurisdiccional (C.A.C.M.F.J.),</w:t>
            </w:r>
          </w:p>
          <w:p w14:paraId="79130909" w14:textId="77777777" w:rsidR="00AC04F7" w:rsidRPr="000A5B0A" w:rsidRDefault="00AC04F7" w:rsidP="005652A5">
            <w:pPr>
              <w:suppressAutoHyphens w:val="0"/>
              <w:ind w:right="46"/>
              <w:jc w:val="center"/>
              <w:rPr>
                <w:sz w:val="26"/>
                <w:szCs w:val="26"/>
              </w:rPr>
            </w:pPr>
            <w:r w:rsidRPr="000A5B0A">
              <w:rPr>
                <w:sz w:val="26"/>
                <w:szCs w:val="26"/>
              </w:rPr>
              <w:t>Administración del Ministerio Público (A.M.P.),</w:t>
            </w:r>
          </w:p>
          <w:p w14:paraId="6A4EA31D" w14:textId="77777777" w:rsidR="00AC04F7" w:rsidRPr="000A5B0A" w:rsidRDefault="00AC04F7" w:rsidP="005652A5">
            <w:pPr>
              <w:suppressAutoHyphens w:val="0"/>
              <w:ind w:right="46"/>
              <w:jc w:val="center"/>
              <w:rPr>
                <w:sz w:val="26"/>
                <w:szCs w:val="26"/>
              </w:rPr>
            </w:pPr>
            <w:r w:rsidRPr="000A5B0A">
              <w:rPr>
                <w:sz w:val="26"/>
                <w:szCs w:val="26"/>
              </w:rPr>
              <w:t>Administración Defensa Pública (A.D.P.),</w:t>
            </w:r>
          </w:p>
          <w:p w14:paraId="65D491AF" w14:textId="77777777" w:rsidR="00AC04F7" w:rsidRPr="000A5B0A" w:rsidRDefault="00AC04F7" w:rsidP="005652A5">
            <w:pPr>
              <w:suppressAutoHyphens w:val="0"/>
              <w:ind w:right="46"/>
              <w:jc w:val="center"/>
              <w:rPr>
                <w:sz w:val="26"/>
                <w:szCs w:val="26"/>
              </w:rPr>
            </w:pPr>
            <w:r w:rsidRPr="000A5B0A">
              <w:rPr>
                <w:sz w:val="26"/>
                <w:szCs w:val="26"/>
              </w:rPr>
              <w:t xml:space="preserve">Administración del O.I.J. </w:t>
            </w:r>
          </w:p>
          <w:p w14:paraId="26E5D3F9" w14:textId="77777777" w:rsidR="00AC04F7" w:rsidRPr="000A5B0A" w:rsidRDefault="00AC04F7" w:rsidP="005652A5">
            <w:pPr>
              <w:suppressAutoHyphens w:val="0"/>
              <w:ind w:right="46"/>
              <w:jc w:val="center"/>
              <w:rPr>
                <w:sz w:val="26"/>
                <w:szCs w:val="26"/>
              </w:rPr>
            </w:pPr>
            <w:r w:rsidRPr="000A5B0A">
              <w:rPr>
                <w:sz w:val="26"/>
                <w:szCs w:val="26"/>
              </w:rPr>
              <w:t>(A.O.I.J.)</w:t>
            </w:r>
          </w:p>
        </w:tc>
        <w:tc>
          <w:tcPr>
            <w:tcW w:w="4864" w:type="dxa"/>
            <w:shd w:val="clear" w:color="auto" w:fill="auto"/>
          </w:tcPr>
          <w:p w14:paraId="5A01B26D" w14:textId="77777777" w:rsidR="00AC04F7" w:rsidRPr="000A5B0A" w:rsidRDefault="00AC04F7" w:rsidP="005652A5">
            <w:pPr>
              <w:suppressAutoHyphens w:val="0"/>
              <w:ind w:right="46"/>
              <w:jc w:val="both"/>
              <w:rPr>
                <w:sz w:val="26"/>
                <w:szCs w:val="26"/>
              </w:rPr>
            </w:pPr>
            <w:r w:rsidRPr="000A5B0A">
              <w:rPr>
                <w:sz w:val="26"/>
                <w:szCs w:val="26"/>
              </w:rPr>
              <w:t>Recibe la solicitud de apoyo para el Despacho u Oficina Judicial, por parte del Consejo de Administración. Analiza la problemática y determina si pueden dar soporte.</w:t>
            </w:r>
          </w:p>
        </w:tc>
      </w:tr>
      <w:tr w:rsidR="00AC04F7" w:rsidRPr="000A5B0A" w14:paraId="0FD2F1EB" w14:textId="77777777" w:rsidTr="005652A5">
        <w:trPr>
          <w:jc w:val="center"/>
        </w:trPr>
        <w:tc>
          <w:tcPr>
            <w:tcW w:w="1555" w:type="dxa"/>
            <w:shd w:val="clear" w:color="auto" w:fill="auto"/>
            <w:vAlign w:val="center"/>
          </w:tcPr>
          <w:p w14:paraId="03289299" w14:textId="77777777" w:rsidR="00AC04F7" w:rsidRPr="000A5B0A" w:rsidRDefault="00AC04F7" w:rsidP="005652A5">
            <w:pPr>
              <w:suppressAutoHyphens w:val="0"/>
              <w:ind w:right="46"/>
              <w:jc w:val="center"/>
              <w:rPr>
                <w:sz w:val="26"/>
                <w:szCs w:val="26"/>
              </w:rPr>
            </w:pPr>
            <w:r w:rsidRPr="000A5B0A">
              <w:rPr>
                <w:sz w:val="26"/>
                <w:szCs w:val="26"/>
              </w:rPr>
              <w:t>7</w:t>
            </w:r>
          </w:p>
        </w:tc>
        <w:tc>
          <w:tcPr>
            <w:tcW w:w="2409" w:type="dxa"/>
            <w:shd w:val="clear" w:color="auto" w:fill="auto"/>
            <w:vAlign w:val="center"/>
          </w:tcPr>
          <w:p w14:paraId="468C9E8B" w14:textId="77777777" w:rsidR="00AC04F7" w:rsidRPr="000A5B0A" w:rsidRDefault="00AC04F7" w:rsidP="005652A5">
            <w:pPr>
              <w:suppressAutoHyphens w:val="0"/>
              <w:ind w:right="46"/>
              <w:jc w:val="center"/>
              <w:rPr>
                <w:sz w:val="26"/>
                <w:szCs w:val="26"/>
              </w:rPr>
            </w:pPr>
            <w:r w:rsidRPr="000A5B0A">
              <w:rPr>
                <w:sz w:val="26"/>
                <w:szCs w:val="26"/>
              </w:rPr>
              <w:t>(C.A.C.M.F.J.) (A.M.P.), (A.D.P.), (A.O.I.J.)</w:t>
            </w:r>
          </w:p>
        </w:tc>
        <w:tc>
          <w:tcPr>
            <w:tcW w:w="4864" w:type="dxa"/>
            <w:shd w:val="clear" w:color="auto" w:fill="auto"/>
          </w:tcPr>
          <w:p w14:paraId="1BAB25B9" w14:textId="77777777" w:rsidR="00AC04F7" w:rsidRPr="000A5B0A" w:rsidRDefault="00AC04F7" w:rsidP="005652A5">
            <w:pPr>
              <w:suppressAutoHyphens w:val="0"/>
              <w:ind w:right="46"/>
              <w:jc w:val="both"/>
              <w:rPr>
                <w:sz w:val="26"/>
                <w:szCs w:val="26"/>
              </w:rPr>
            </w:pPr>
            <w:r w:rsidRPr="000A5B0A">
              <w:rPr>
                <w:sz w:val="26"/>
                <w:szCs w:val="26"/>
              </w:rPr>
              <w:t>Si no pueden solucionar el problema del Despacho u Oficina Judicial con sus propios recursos, entonces devuelven la solicitud.</w:t>
            </w:r>
          </w:p>
        </w:tc>
      </w:tr>
      <w:tr w:rsidR="00AC04F7" w:rsidRPr="000A5B0A" w14:paraId="702A080D" w14:textId="77777777" w:rsidTr="005652A5">
        <w:trPr>
          <w:jc w:val="center"/>
        </w:trPr>
        <w:tc>
          <w:tcPr>
            <w:tcW w:w="1555" w:type="dxa"/>
            <w:shd w:val="clear" w:color="auto" w:fill="auto"/>
            <w:vAlign w:val="center"/>
          </w:tcPr>
          <w:p w14:paraId="2A977154" w14:textId="77777777" w:rsidR="00AC04F7" w:rsidRPr="000A5B0A" w:rsidRDefault="00AC04F7" w:rsidP="005652A5">
            <w:pPr>
              <w:suppressAutoHyphens w:val="0"/>
              <w:ind w:right="46"/>
              <w:jc w:val="center"/>
              <w:rPr>
                <w:sz w:val="26"/>
                <w:szCs w:val="26"/>
              </w:rPr>
            </w:pPr>
            <w:r w:rsidRPr="000A5B0A">
              <w:rPr>
                <w:sz w:val="26"/>
                <w:szCs w:val="26"/>
              </w:rPr>
              <w:t>8</w:t>
            </w:r>
          </w:p>
        </w:tc>
        <w:tc>
          <w:tcPr>
            <w:tcW w:w="2409" w:type="dxa"/>
            <w:shd w:val="clear" w:color="auto" w:fill="auto"/>
            <w:vAlign w:val="center"/>
          </w:tcPr>
          <w:p w14:paraId="0EE37CC2" w14:textId="77777777" w:rsidR="00AC04F7" w:rsidRPr="000A5B0A" w:rsidRDefault="00AC04F7" w:rsidP="005652A5">
            <w:pPr>
              <w:suppressAutoHyphens w:val="0"/>
              <w:ind w:right="46"/>
              <w:jc w:val="center"/>
              <w:rPr>
                <w:sz w:val="26"/>
                <w:szCs w:val="26"/>
              </w:rPr>
            </w:pPr>
            <w:r w:rsidRPr="000A5B0A">
              <w:rPr>
                <w:sz w:val="26"/>
                <w:szCs w:val="26"/>
              </w:rPr>
              <w:t xml:space="preserve">Despacho u Oficina Judicial </w:t>
            </w:r>
          </w:p>
          <w:p w14:paraId="4835DEC4" w14:textId="77777777" w:rsidR="00AC04F7" w:rsidRPr="000A5B0A" w:rsidRDefault="00AC04F7" w:rsidP="005652A5">
            <w:pPr>
              <w:suppressAutoHyphens w:val="0"/>
              <w:ind w:right="46"/>
              <w:jc w:val="center"/>
              <w:rPr>
                <w:sz w:val="26"/>
                <w:szCs w:val="26"/>
              </w:rPr>
            </w:pPr>
            <w:r w:rsidRPr="000A5B0A">
              <w:rPr>
                <w:sz w:val="26"/>
                <w:szCs w:val="26"/>
              </w:rPr>
              <w:t>(D.O.J.)</w:t>
            </w:r>
          </w:p>
        </w:tc>
        <w:tc>
          <w:tcPr>
            <w:tcW w:w="4864" w:type="dxa"/>
            <w:shd w:val="clear" w:color="auto" w:fill="auto"/>
          </w:tcPr>
          <w:p w14:paraId="55AFD932"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r w:rsidRPr="000A5B0A">
              <w:rPr>
                <w:rFonts w:ascii="Times New Roman" w:hAnsi="Times New Roman" w:cs="Times New Roman"/>
                <w:kern w:val="1"/>
                <w:sz w:val="26"/>
                <w:szCs w:val="26"/>
                <w:lang w:eastAsia="ar-SA"/>
              </w:rPr>
              <w:t xml:space="preserve">Recibe la información del (C.A.C.M.F.J.) (A.M.P.), (A.D.P.), (A.O.I.J.), según corresponda, donde le indican que no podrán </w:t>
            </w:r>
            <w:r w:rsidRPr="000A5B0A">
              <w:rPr>
                <w:rFonts w:ascii="Times New Roman" w:hAnsi="Times New Roman" w:cs="Times New Roman"/>
                <w:kern w:val="1"/>
                <w:sz w:val="26"/>
                <w:szCs w:val="26"/>
                <w:lang w:eastAsia="ar-SA"/>
              </w:rPr>
              <w:lastRenderedPageBreak/>
              <w:t xml:space="preserve">atender su solicitud, por lo que procede a dirigir su nueva petición al Consejo Superior. </w:t>
            </w:r>
          </w:p>
          <w:p w14:paraId="562C44C1"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p>
          <w:p w14:paraId="7B568809"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r w:rsidRPr="000A5B0A">
              <w:rPr>
                <w:rFonts w:ascii="Times New Roman" w:hAnsi="Times New Roman" w:cs="Times New Roman"/>
                <w:kern w:val="1"/>
                <w:sz w:val="26"/>
                <w:szCs w:val="26"/>
                <w:lang w:eastAsia="ar-SA"/>
              </w:rPr>
              <w:t xml:space="preserve">Llena el formulario de análisis de solicitudes de planes remediales, y lo traslada por vía electrónica al Consejo Superior. </w:t>
            </w:r>
          </w:p>
          <w:p w14:paraId="41ADBF00"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p>
          <w:bookmarkStart w:id="0" w:name="_MON_1609922946"/>
          <w:bookmarkEnd w:id="0"/>
          <w:p w14:paraId="4185350C" w14:textId="77777777" w:rsidR="00AC04F7" w:rsidRPr="000A5B0A" w:rsidRDefault="00AC04F7" w:rsidP="005652A5">
            <w:pPr>
              <w:pStyle w:val="Prrafodelista1"/>
              <w:ind w:left="0"/>
              <w:jc w:val="center"/>
              <w:rPr>
                <w:rFonts w:ascii="Times New Roman" w:hAnsi="Times New Roman" w:cs="Times New Roman"/>
                <w:kern w:val="1"/>
                <w:sz w:val="26"/>
                <w:szCs w:val="26"/>
                <w:lang w:eastAsia="ar-SA"/>
              </w:rPr>
            </w:pPr>
            <w:r w:rsidRPr="000A5B0A">
              <w:rPr>
                <w:rFonts w:ascii="Times New Roman" w:hAnsi="Times New Roman" w:cs="Times New Roman"/>
                <w:kern w:val="1"/>
                <w:sz w:val="26"/>
                <w:szCs w:val="26"/>
                <w:lang w:eastAsia="ar-SA"/>
              </w:rPr>
              <w:object w:dxaOrig="1531" w:dyaOrig="990" w14:anchorId="4630F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65pt" o:ole="">
                  <v:imagedata r:id="rId5" o:title=""/>
                </v:shape>
                <o:OLEObject Type="Embed" ProgID="Word.Document.12" ShapeID="_x0000_i1025" DrawAspect="Content" ObjectID="_1688188766" r:id="rId6"/>
              </w:object>
            </w:r>
          </w:p>
          <w:p w14:paraId="2E50E33B"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p>
        </w:tc>
      </w:tr>
      <w:tr w:rsidR="00AC04F7" w:rsidRPr="000A5B0A" w14:paraId="4289992E" w14:textId="77777777" w:rsidTr="005652A5">
        <w:trPr>
          <w:jc w:val="center"/>
        </w:trPr>
        <w:tc>
          <w:tcPr>
            <w:tcW w:w="1555" w:type="dxa"/>
            <w:shd w:val="clear" w:color="auto" w:fill="auto"/>
          </w:tcPr>
          <w:p w14:paraId="1783CEB7" w14:textId="77777777" w:rsidR="00AC04F7" w:rsidRPr="000A5B0A" w:rsidRDefault="00AC04F7" w:rsidP="005652A5">
            <w:pPr>
              <w:suppressAutoHyphens w:val="0"/>
              <w:ind w:right="46"/>
              <w:jc w:val="center"/>
              <w:rPr>
                <w:sz w:val="26"/>
                <w:szCs w:val="26"/>
              </w:rPr>
            </w:pPr>
            <w:r w:rsidRPr="000A5B0A">
              <w:rPr>
                <w:sz w:val="26"/>
                <w:szCs w:val="26"/>
              </w:rPr>
              <w:lastRenderedPageBreak/>
              <w:t>9</w:t>
            </w:r>
          </w:p>
        </w:tc>
        <w:tc>
          <w:tcPr>
            <w:tcW w:w="2409" w:type="dxa"/>
            <w:shd w:val="clear" w:color="auto" w:fill="auto"/>
          </w:tcPr>
          <w:p w14:paraId="369DFCDA" w14:textId="77777777" w:rsidR="00AC04F7" w:rsidRPr="000A5B0A" w:rsidRDefault="00AC04F7" w:rsidP="005652A5">
            <w:pPr>
              <w:suppressAutoHyphens w:val="0"/>
              <w:ind w:right="46"/>
              <w:jc w:val="center"/>
              <w:rPr>
                <w:sz w:val="26"/>
                <w:szCs w:val="26"/>
              </w:rPr>
            </w:pPr>
            <w:r w:rsidRPr="000A5B0A">
              <w:rPr>
                <w:sz w:val="26"/>
                <w:szCs w:val="26"/>
              </w:rPr>
              <w:t>Consejo Superior (C.S.)</w:t>
            </w:r>
          </w:p>
        </w:tc>
        <w:tc>
          <w:tcPr>
            <w:tcW w:w="4864" w:type="dxa"/>
            <w:shd w:val="clear" w:color="auto" w:fill="auto"/>
          </w:tcPr>
          <w:p w14:paraId="65F9FDC7"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r w:rsidRPr="000A5B0A">
              <w:rPr>
                <w:rFonts w:ascii="Times New Roman" w:hAnsi="Times New Roman" w:cs="Times New Roman"/>
                <w:kern w:val="1"/>
                <w:sz w:val="26"/>
                <w:szCs w:val="26"/>
                <w:lang w:eastAsia="ar-SA"/>
              </w:rPr>
              <w:t xml:space="preserve">Recibe la solicitud del Despacho u Oficina Judicial y la conoce en sesión. En caso de aprobarla, la remite a la Dirección de Planificación.   </w:t>
            </w:r>
          </w:p>
        </w:tc>
      </w:tr>
      <w:tr w:rsidR="00AC04F7" w:rsidRPr="000A5B0A" w14:paraId="7D78C0E7" w14:textId="77777777" w:rsidTr="005652A5">
        <w:trPr>
          <w:jc w:val="center"/>
        </w:trPr>
        <w:tc>
          <w:tcPr>
            <w:tcW w:w="1555" w:type="dxa"/>
            <w:shd w:val="clear" w:color="auto" w:fill="auto"/>
          </w:tcPr>
          <w:p w14:paraId="33C6440A" w14:textId="77777777" w:rsidR="00AC04F7" w:rsidRPr="000A5B0A" w:rsidRDefault="00AC04F7" w:rsidP="005652A5">
            <w:pPr>
              <w:suppressAutoHyphens w:val="0"/>
              <w:ind w:right="46"/>
              <w:jc w:val="center"/>
              <w:rPr>
                <w:sz w:val="26"/>
                <w:szCs w:val="26"/>
              </w:rPr>
            </w:pPr>
            <w:r w:rsidRPr="000A5B0A">
              <w:rPr>
                <w:sz w:val="26"/>
                <w:szCs w:val="26"/>
              </w:rPr>
              <w:t>10</w:t>
            </w:r>
          </w:p>
        </w:tc>
        <w:tc>
          <w:tcPr>
            <w:tcW w:w="2409" w:type="dxa"/>
            <w:shd w:val="clear" w:color="auto" w:fill="auto"/>
          </w:tcPr>
          <w:p w14:paraId="582D14AA" w14:textId="77777777" w:rsidR="00AC04F7" w:rsidRPr="000A5B0A" w:rsidRDefault="00AC04F7" w:rsidP="005652A5">
            <w:pPr>
              <w:suppressAutoHyphens w:val="0"/>
              <w:ind w:right="46"/>
              <w:jc w:val="center"/>
              <w:rPr>
                <w:sz w:val="26"/>
                <w:szCs w:val="26"/>
              </w:rPr>
            </w:pPr>
            <w:r w:rsidRPr="000A5B0A">
              <w:rPr>
                <w:sz w:val="26"/>
                <w:szCs w:val="26"/>
              </w:rPr>
              <w:t xml:space="preserve">Dirección de Planificación  </w:t>
            </w:r>
          </w:p>
          <w:p w14:paraId="547EA036" w14:textId="77777777" w:rsidR="00AC04F7" w:rsidRPr="000A5B0A" w:rsidRDefault="00AC04F7" w:rsidP="005652A5">
            <w:pPr>
              <w:suppressAutoHyphens w:val="0"/>
              <w:ind w:right="46"/>
              <w:jc w:val="center"/>
              <w:rPr>
                <w:sz w:val="26"/>
                <w:szCs w:val="26"/>
              </w:rPr>
            </w:pPr>
            <w:r w:rsidRPr="000A5B0A">
              <w:rPr>
                <w:sz w:val="26"/>
                <w:szCs w:val="26"/>
              </w:rPr>
              <w:t>(D.P.)</w:t>
            </w:r>
          </w:p>
        </w:tc>
        <w:tc>
          <w:tcPr>
            <w:tcW w:w="4864" w:type="dxa"/>
            <w:shd w:val="clear" w:color="auto" w:fill="auto"/>
          </w:tcPr>
          <w:p w14:paraId="18D52B62"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r w:rsidRPr="000A5B0A">
              <w:rPr>
                <w:rFonts w:ascii="Times New Roman" w:hAnsi="Times New Roman" w:cs="Times New Roman"/>
                <w:kern w:val="1"/>
                <w:sz w:val="26"/>
                <w:szCs w:val="26"/>
                <w:lang w:eastAsia="ar-SA"/>
              </w:rPr>
              <w:t>Recibe el acuerdo del C.S. y verifica que el Despacho u Oficinal Judicial ha cumplido con cada una de las etapas previas a la solicitud. En caso de incumplimiento procede a devolverlo.</w:t>
            </w:r>
          </w:p>
          <w:p w14:paraId="44EE1A6E" w14:textId="77777777" w:rsidR="00AC04F7" w:rsidRPr="000A5B0A" w:rsidRDefault="00AC04F7" w:rsidP="005652A5">
            <w:pPr>
              <w:pStyle w:val="Prrafodelista1"/>
              <w:ind w:left="0"/>
              <w:jc w:val="both"/>
              <w:rPr>
                <w:rFonts w:ascii="Times New Roman" w:hAnsi="Times New Roman" w:cs="Times New Roman"/>
                <w:sz w:val="26"/>
                <w:szCs w:val="26"/>
              </w:rPr>
            </w:pPr>
          </w:p>
        </w:tc>
      </w:tr>
      <w:tr w:rsidR="00AC04F7" w:rsidRPr="000A5B0A" w14:paraId="151BCE8C" w14:textId="77777777" w:rsidTr="005652A5">
        <w:trPr>
          <w:jc w:val="center"/>
        </w:trPr>
        <w:tc>
          <w:tcPr>
            <w:tcW w:w="1555" w:type="dxa"/>
            <w:shd w:val="clear" w:color="auto" w:fill="auto"/>
          </w:tcPr>
          <w:p w14:paraId="1C8D610C" w14:textId="77777777" w:rsidR="00AC04F7" w:rsidRPr="000A5B0A" w:rsidRDefault="00AC04F7" w:rsidP="005652A5">
            <w:pPr>
              <w:suppressAutoHyphens w:val="0"/>
              <w:ind w:right="46"/>
              <w:jc w:val="center"/>
              <w:rPr>
                <w:sz w:val="26"/>
                <w:szCs w:val="26"/>
              </w:rPr>
            </w:pPr>
            <w:r w:rsidRPr="000A5B0A">
              <w:rPr>
                <w:sz w:val="26"/>
                <w:szCs w:val="26"/>
              </w:rPr>
              <w:t>11</w:t>
            </w:r>
          </w:p>
        </w:tc>
        <w:tc>
          <w:tcPr>
            <w:tcW w:w="2409" w:type="dxa"/>
            <w:shd w:val="clear" w:color="auto" w:fill="auto"/>
          </w:tcPr>
          <w:p w14:paraId="76D0B809" w14:textId="77777777" w:rsidR="00AC04F7" w:rsidRPr="000A5B0A" w:rsidRDefault="00AC04F7" w:rsidP="005652A5">
            <w:pPr>
              <w:suppressAutoHyphens w:val="0"/>
              <w:ind w:right="46"/>
              <w:jc w:val="center"/>
              <w:rPr>
                <w:sz w:val="26"/>
                <w:szCs w:val="26"/>
              </w:rPr>
            </w:pPr>
            <w:r w:rsidRPr="000A5B0A">
              <w:rPr>
                <w:sz w:val="26"/>
                <w:szCs w:val="26"/>
              </w:rPr>
              <w:t xml:space="preserve">Dirección de Planificación  </w:t>
            </w:r>
          </w:p>
          <w:p w14:paraId="403137B1" w14:textId="77777777" w:rsidR="00AC04F7" w:rsidRPr="000A5B0A" w:rsidRDefault="00AC04F7" w:rsidP="005652A5">
            <w:pPr>
              <w:suppressAutoHyphens w:val="0"/>
              <w:ind w:right="46"/>
              <w:jc w:val="center"/>
              <w:rPr>
                <w:sz w:val="26"/>
                <w:szCs w:val="26"/>
              </w:rPr>
            </w:pPr>
            <w:r w:rsidRPr="000A5B0A">
              <w:rPr>
                <w:sz w:val="26"/>
                <w:szCs w:val="26"/>
              </w:rPr>
              <w:t>(D.P.)</w:t>
            </w:r>
          </w:p>
        </w:tc>
        <w:tc>
          <w:tcPr>
            <w:tcW w:w="4864" w:type="dxa"/>
            <w:shd w:val="clear" w:color="auto" w:fill="auto"/>
          </w:tcPr>
          <w:p w14:paraId="3B32560C" w14:textId="77777777" w:rsidR="00AC04F7" w:rsidRPr="000A5B0A" w:rsidRDefault="00AC04F7" w:rsidP="005652A5">
            <w:pPr>
              <w:pStyle w:val="Prrafodelista1"/>
              <w:ind w:left="0"/>
              <w:jc w:val="both"/>
              <w:rPr>
                <w:rFonts w:ascii="Times New Roman" w:hAnsi="Times New Roman" w:cs="Times New Roman"/>
                <w:kern w:val="1"/>
                <w:sz w:val="26"/>
                <w:szCs w:val="26"/>
                <w:lang w:eastAsia="ar-SA"/>
              </w:rPr>
            </w:pPr>
            <w:r w:rsidRPr="000A5B0A">
              <w:rPr>
                <w:rFonts w:ascii="Times New Roman" w:hAnsi="Times New Roman" w:cs="Times New Roman"/>
                <w:kern w:val="1"/>
                <w:sz w:val="26"/>
                <w:szCs w:val="26"/>
                <w:lang w:eastAsia="ar-SA"/>
              </w:rPr>
              <w:t>En los casos en que se corrobora que cumplieron con todas las etapas previas, se realiza un diagnóstico y se diseña una propuesta de mejora, para el Despacho u Oficina Judicial.</w:t>
            </w:r>
          </w:p>
        </w:tc>
      </w:tr>
    </w:tbl>
    <w:p w14:paraId="66CF8F93" w14:textId="77777777" w:rsidR="00AC04F7" w:rsidRPr="000A5B0A" w:rsidRDefault="00AC04F7" w:rsidP="00AC04F7">
      <w:pPr>
        <w:suppressAutoHyphens w:val="0"/>
        <w:ind w:right="46"/>
        <w:jc w:val="both"/>
        <w:rPr>
          <w:snapToGrid w:val="0"/>
          <w:color w:val="000000"/>
          <w:sz w:val="26"/>
          <w:szCs w:val="26"/>
        </w:rPr>
      </w:pPr>
    </w:p>
    <w:p w14:paraId="43C3D584" w14:textId="77777777" w:rsidR="00AC04F7" w:rsidRPr="000A5B0A" w:rsidRDefault="00AC04F7" w:rsidP="00AC04F7">
      <w:pPr>
        <w:suppressAutoHyphens w:val="0"/>
        <w:ind w:right="46"/>
        <w:jc w:val="both"/>
        <w:rPr>
          <w:snapToGrid w:val="0"/>
          <w:color w:val="000000"/>
          <w:sz w:val="26"/>
          <w:szCs w:val="26"/>
        </w:rPr>
      </w:pPr>
    </w:p>
    <w:p w14:paraId="4AE2FDFF" w14:textId="77777777" w:rsidR="00AC04F7" w:rsidRPr="000A5B0A" w:rsidRDefault="00AC04F7" w:rsidP="00AC04F7">
      <w:pPr>
        <w:suppressAutoHyphens w:val="0"/>
        <w:ind w:right="851"/>
        <w:jc w:val="center"/>
        <w:rPr>
          <w:b/>
          <w:sz w:val="26"/>
          <w:szCs w:val="26"/>
        </w:rPr>
      </w:pPr>
      <w:r w:rsidRPr="000A5B0A">
        <w:rPr>
          <w:b/>
          <w:sz w:val="26"/>
          <w:szCs w:val="26"/>
        </w:rPr>
        <w:t xml:space="preserve">Figura 1 </w:t>
      </w:r>
    </w:p>
    <w:p w14:paraId="0136FFB3" w14:textId="77777777" w:rsidR="00AC04F7" w:rsidRPr="000A5B0A" w:rsidRDefault="00AC04F7" w:rsidP="00AC04F7">
      <w:pPr>
        <w:suppressAutoHyphens w:val="0"/>
        <w:ind w:right="851"/>
        <w:jc w:val="center"/>
        <w:rPr>
          <w:b/>
          <w:sz w:val="26"/>
          <w:szCs w:val="26"/>
        </w:rPr>
      </w:pPr>
      <w:r w:rsidRPr="000A5B0A">
        <w:rPr>
          <w:b/>
          <w:sz w:val="26"/>
          <w:szCs w:val="26"/>
        </w:rPr>
        <w:t xml:space="preserve">Procedimiento para solicitud de estudios por parte de los </w:t>
      </w:r>
    </w:p>
    <w:p w14:paraId="35FC2442" w14:textId="77777777" w:rsidR="00AC04F7" w:rsidRPr="000A5B0A" w:rsidRDefault="00AC04F7" w:rsidP="00AC04F7">
      <w:pPr>
        <w:suppressAutoHyphens w:val="0"/>
        <w:ind w:right="851"/>
        <w:jc w:val="center"/>
        <w:rPr>
          <w:b/>
          <w:sz w:val="26"/>
          <w:szCs w:val="26"/>
        </w:rPr>
      </w:pPr>
      <w:r w:rsidRPr="000A5B0A">
        <w:rPr>
          <w:b/>
          <w:sz w:val="26"/>
          <w:szCs w:val="26"/>
        </w:rPr>
        <w:t>despachos Judiciales</w:t>
      </w:r>
    </w:p>
    <w:p w14:paraId="2507D497" w14:textId="77777777" w:rsidR="00AC04F7" w:rsidRPr="000A5B0A" w:rsidRDefault="00AC04F7" w:rsidP="00AC04F7">
      <w:pPr>
        <w:suppressAutoHyphens w:val="0"/>
        <w:ind w:left="851" w:right="851"/>
        <w:jc w:val="both"/>
        <w:rPr>
          <w:sz w:val="26"/>
          <w:szCs w:val="26"/>
        </w:rPr>
      </w:pPr>
    </w:p>
    <w:p w14:paraId="38737747" w14:textId="77777777" w:rsidR="00AC04F7" w:rsidRPr="000A5B0A" w:rsidRDefault="00AC04F7" w:rsidP="00AC04F7">
      <w:pPr>
        <w:suppressAutoHyphens w:val="0"/>
        <w:ind w:left="851" w:right="851"/>
        <w:jc w:val="center"/>
        <w:rPr>
          <w:sz w:val="26"/>
          <w:szCs w:val="26"/>
        </w:rPr>
      </w:pPr>
      <w:r w:rsidRPr="000A5B0A">
        <w:rPr>
          <w:noProof/>
          <w:sz w:val="26"/>
          <w:szCs w:val="26"/>
          <w:lang w:val="es-CR" w:eastAsia="es-CR"/>
        </w:rPr>
        <w:drawing>
          <wp:inline distT="0" distB="0" distL="0" distR="0" wp14:anchorId="46F59490" wp14:editId="565122CA">
            <wp:extent cx="4124325" cy="1866900"/>
            <wp:effectExtent l="19050" t="0" r="9525" b="0"/>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7" cstate="print"/>
                    <a:srcRect/>
                    <a:stretch>
                      <a:fillRect/>
                    </a:stretch>
                  </pic:blipFill>
                  <pic:spPr bwMode="auto">
                    <a:xfrm>
                      <a:off x="0" y="0"/>
                      <a:ext cx="4124325" cy="1866900"/>
                    </a:xfrm>
                    <a:prstGeom prst="rect">
                      <a:avLst/>
                    </a:prstGeom>
                    <a:noFill/>
                    <a:ln w="9525">
                      <a:noFill/>
                      <a:miter lim="800000"/>
                      <a:headEnd/>
                      <a:tailEnd/>
                    </a:ln>
                  </pic:spPr>
                </pic:pic>
              </a:graphicData>
            </a:graphic>
          </wp:inline>
        </w:drawing>
      </w:r>
    </w:p>
    <w:p w14:paraId="40B3B124" w14:textId="77777777" w:rsidR="00AC04F7" w:rsidRPr="000A5B0A" w:rsidRDefault="00AC04F7" w:rsidP="00AC04F7">
      <w:pPr>
        <w:suppressAutoHyphens w:val="0"/>
        <w:jc w:val="both"/>
        <w:rPr>
          <w:sz w:val="26"/>
          <w:szCs w:val="26"/>
        </w:rPr>
      </w:pPr>
    </w:p>
    <w:p w14:paraId="489F7D75" w14:textId="77777777" w:rsidR="00AC04F7" w:rsidRPr="000A5B0A" w:rsidRDefault="00AC04F7" w:rsidP="00AC04F7">
      <w:pPr>
        <w:suppressAutoHyphens w:val="0"/>
        <w:ind w:firstLine="709"/>
        <w:jc w:val="both"/>
        <w:rPr>
          <w:sz w:val="26"/>
          <w:szCs w:val="26"/>
        </w:rPr>
      </w:pPr>
    </w:p>
    <w:p w14:paraId="299CC101" w14:textId="21AD43BE" w:rsidR="00AC04F7" w:rsidRPr="000A5B0A" w:rsidRDefault="00AC04F7" w:rsidP="004C4F95">
      <w:pPr>
        <w:suppressAutoHyphens w:val="0"/>
        <w:ind w:left="851" w:right="851" w:firstLine="709"/>
        <w:jc w:val="both"/>
        <w:rPr>
          <w:sz w:val="26"/>
          <w:szCs w:val="26"/>
        </w:rPr>
      </w:pPr>
      <w:r w:rsidRPr="000A5B0A">
        <w:rPr>
          <w:sz w:val="26"/>
          <w:szCs w:val="26"/>
        </w:rPr>
        <w:t>Con base en lo anterior, la Dirección de Planificación quedó autorizada para no atender aquellas solicitudes de las dependencias judiciales, ingresadas con posterioridad al acuerdo del Consejo Superior antes mencionado, que se aparten de la utilización del referido procedimiento y que prescindan del formulario descrito.</w:t>
      </w:r>
    </w:p>
    <w:p w14:paraId="0F0CA692" w14:textId="77777777" w:rsidR="00CB4665" w:rsidRPr="000A5B0A" w:rsidRDefault="00CB4665" w:rsidP="00AC04F7">
      <w:pPr>
        <w:suppressAutoHyphens w:val="0"/>
        <w:ind w:firstLine="709"/>
        <w:jc w:val="both"/>
        <w:rPr>
          <w:sz w:val="26"/>
          <w:szCs w:val="26"/>
        </w:rPr>
      </w:pPr>
    </w:p>
    <w:p w14:paraId="075D1F4A" w14:textId="77777777" w:rsidR="00AC04F7" w:rsidRPr="000A5B0A" w:rsidRDefault="00AC04F7" w:rsidP="00CB4665">
      <w:pPr>
        <w:jc w:val="center"/>
        <w:rPr>
          <w:sz w:val="26"/>
          <w:szCs w:val="26"/>
          <w:lang w:eastAsia="es-CR"/>
        </w:rPr>
      </w:pPr>
      <w:r w:rsidRPr="000A5B0A">
        <w:rPr>
          <w:noProof/>
          <w:sz w:val="26"/>
          <w:szCs w:val="26"/>
        </w:rPr>
        <w:drawing>
          <wp:inline distT="0" distB="0" distL="0" distR="0" wp14:anchorId="01B08E5B" wp14:editId="6D51ECE8">
            <wp:extent cx="5581015" cy="6280694"/>
            <wp:effectExtent l="0" t="0" r="0" b="0"/>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581015" cy="6280694"/>
                    </a:xfrm>
                    <a:prstGeom prst="rect">
                      <a:avLst/>
                    </a:prstGeom>
                    <a:noFill/>
                    <a:ln w="9525">
                      <a:noFill/>
                      <a:miter lim="800000"/>
                      <a:headEnd/>
                      <a:tailEnd/>
                    </a:ln>
                  </pic:spPr>
                </pic:pic>
              </a:graphicData>
            </a:graphic>
          </wp:inline>
        </w:drawing>
      </w:r>
    </w:p>
    <w:p w14:paraId="1F5620B1" w14:textId="4080C2C2" w:rsidR="00AC04F7" w:rsidRPr="000A5B0A" w:rsidRDefault="00AC04F7" w:rsidP="00837746">
      <w:pPr>
        <w:suppressAutoHyphens w:val="0"/>
        <w:jc w:val="both"/>
        <w:rPr>
          <w:rFonts w:eastAsia="Arial Unicode MS"/>
          <w:i/>
          <w:kern w:val="1"/>
          <w:sz w:val="26"/>
          <w:szCs w:val="26"/>
          <w:lang w:val="pt-BR" w:eastAsia="es-ES"/>
        </w:rPr>
      </w:pPr>
    </w:p>
    <w:p w14:paraId="26BC6C9D" w14:textId="3944AD9A" w:rsidR="00CB4665" w:rsidRPr="000A5B0A" w:rsidRDefault="00CB4665" w:rsidP="00CB4665">
      <w:pPr>
        <w:suppressAutoHyphens w:val="0"/>
        <w:ind w:firstLine="708"/>
        <w:jc w:val="both"/>
        <w:rPr>
          <w:rFonts w:eastAsia="Arial Unicode MS"/>
          <w:iCs/>
          <w:kern w:val="1"/>
          <w:sz w:val="26"/>
          <w:szCs w:val="26"/>
          <w:lang w:val="pt-BR" w:eastAsia="es-ES"/>
        </w:rPr>
      </w:pPr>
      <w:r w:rsidRPr="000A5B0A">
        <w:rPr>
          <w:rFonts w:eastAsia="Arial Unicode MS"/>
          <w:iCs/>
          <w:kern w:val="1"/>
          <w:sz w:val="26"/>
          <w:szCs w:val="26"/>
          <w:lang w:val="pt-BR" w:eastAsia="es-ES"/>
        </w:rPr>
        <w:t>(...)”</w:t>
      </w:r>
    </w:p>
    <w:p w14:paraId="1AC4BE52" w14:textId="77777777" w:rsidR="00CB4665" w:rsidRPr="000A5B0A" w:rsidRDefault="00CB4665" w:rsidP="00837746">
      <w:pPr>
        <w:suppressAutoHyphens w:val="0"/>
        <w:jc w:val="both"/>
        <w:rPr>
          <w:rFonts w:eastAsia="Arial Unicode MS"/>
          <w:iCs/>
          <w:kern w:val="1"/>
          <w:sz w:val="26"/>
          <w:szCs w:val="26"/>
          <w:lang w:val="pt-BR" w:eastAsia="es-ES"/>
        </w:rPr>
      </w:pPr>
    </w:p>
    <w:p w14:paraId="094D8F81" w14:textId="77777777" w:rsidR="00BA3899" w:rsidRPr="000A5B0A" w:rsidRDefault="00BA3899" w:rsidP="000A5B0A">
      <w:pPr>
        <w:pStyle w:val="Textodebloque2"/>
        <w:spacing w:before="120" w:after="120"/>
        <w:ind w:left="0" w:right="0" w:firstLine="708"/>
        <w:rPr>
          <w:b/>
          <w:bCs/>
          <w:color w:val="000000"/>
          <w:sz w:val="26"/>
          <w:szCs w:val="26"/>
        </w:rPr>
      </w:pPr>
      <w:r w:rsidRPr="000A5B0A">
        <w:rPr>
          <w:b/>
          <w:bCs/>
          <w:color w:val="000000"/>
          <w:sz w:val="26"/>
          <w:szCs w:val="26"/>
        </w:rPr>
        <w:lastRenderedPageBreak/>
        <w:t xml:space="preserve">De conformidad con la circular </w:t>
      </w:r>
      <w:proofErr w:type="spellStart"/>
      <w:r w:rsidRPr="000A5B0A">
        <w:rPr>
          <w:b/>
          <w:bCs/>
          <w:color w:val="000000"/>
          <w:sz w:val="26"/>
          <w:szCs w:val="26"/>
        </w:rPr>
        <w:t>N°</w:t>
      </w:r>
      <w:proofErr w:type="spellEnd"/>
      <w:r w:rsidRPr="000A5B0A">
        <w:rPr>
          <w:b/>
          <w:bCs/>
          <w:color w:val="000000"/>
          <w:sz w:val="26"/>
          <w:szCs w:val="26"/>
        </w:rPr>
        <w:t xml:space="preserve"> 67-09 emitida por la Secretaría de la Corte el 22 de junio de 2009, se le comunica que en virtud del principio de gratuidad que rige esta materia, la publicación está exenta de todo pago de derechos. </w:t>
      </w:r>
    </w:p>
    <w:p w14:paraId="36957DA0" w14:textId="77777777" w:rsidR="000A5B0A" w:rsidRDefault="000A5B0A" w:rsidP="000A5B0A">
      <w:pPr>
        <w:pStyle w:val="Textodebloque2"/>
        <w:spacing w:before="120" w:after="120"/>
        <w:ind w:left="0" w:right="0" w:firstLine="0"/>
        <w:rPr>
          <w:b/>
          <w:bCs/>
          <w:sz w:val="26"/>
          <w:szCs w:val="26"/>
          <w:lang w:val="es-ES_tradnl" w:eastAsia="ar-SA"/>
        </w:rPr>
      </w:pPr>
    </w:p>
    <w:p w14:paraId="7F86FBEF" w14:textId="3C76D9FC" w:rsidR="00BA3899" w:rsidRPr="000A5B0A" w:rsidRDefault="00BA3899" w:rsidP="000A5B0A">
      <w:pPr>
        <w:pStyle w:val="Textodebloque2"/>
        <w:spacing w:before="120" w:after="120"/>
        <w:ind w:left="0" w:right="0" w:firstLine="0"/>
        <w:rPr>
          <w:b/>
          <w:bCs/>
          <w:sz w:val="26"/>
          <w:szCs w:val="26"/>
          <w:lang w:val="es-ES_tradnl" w:eastAsia="ar-SA"/>
        </w:rPr>
      </w:pPr>
      <w:r w:rsidRPr="000A5B0A">
        <w:rPr>
          <w:b/>
          <w:bCs/>
          <w:sz w:val="26"/>
          <w:szCs w:val="26"/>
          <w:lang w:val="es-ES_tradnl" w:eastAsia="ar-SA"/>
        </w:rPr>
        <w:t>Publíquese una sola vez en el Boletín Judicial.</w:t>
      </w:r>
    </w:p>
    <w:p w14:paraId="2F85D631" w14:textId="77777777" w:rsidR="000A5B0A" w:rsidRDefault="000A5B0A" w:rsidP="000A5B0A">
      <w:pPr>
        <w:suppressAutoHyphens w:val="0"/>
        <w:autoSpaceDE w:val="0"/>
        <w:autoSpaceDN w:val="0"/>
        <w:adjustRightInd w:val="0"/>
        <w:jc w:val="both"/>
        <w:rPr>
          <w:b/>
          <w:bCs/>
          <w:sz w:val="26"/>
          <w:szCs w:val="26"/>
        </w:rPr>
      </w:pPr>
    </w:p>
    <w:p w14:paraId="036A398E" w14:textId="493FCC1A" w:rsidR="00B2051A" w:rsidRPr="000A5B0A" w:rsidRDefault="00B2051A" w:rsidP="000A5B0A">
      <w:pPr>
        <w:suppressAutoHyphens w:val="0"/>
        <w:autoSpaceDE w:val="0"/>
        <w:autoSpaceDN w:val="0"/>
        <w:adjustRightInd w:val="0"/>
        <w:jc w:val="both"/>
        <w:rPr>
          <w:b/>
          <w:bCs/>
          <w:sz w:val="26"/>
          <w:szCs w:val="26"/>
        </w:rPr>
      </w:pPr>
      <w:r w:rsidRPr="000A5B0A">
        <w:rPr>
          <w:b/>
          <w:bCs/>
          <w:sz w:val="26"/>
          <w:szCs w:val="26"/>
        </w:rPr>
        <w:t xml:space="preserve">San José, </w:t>
      </w:r>
      <w:r w:rsidR="004C4F95" w:rsidRPr="000A5B0A">
        <w:rPr>
          <w:b/>
          <w:bCs/>
          <w:sz w:val="26"/>
          <w:szCs w:val="26"/>
        </w:rPr>
        <w:t>12</w:t>
      </w:r>
      <w:r w:rsidR="005A734A" w:rsidRPr="000A5B0A">
        <w:rPr>
          <w:b/>
          <w:bCs/>
          <w:sz w:val="26"/>
          <w:szCs w:val="26"/>
        </w:rPr>
        <w:t xml:space="preserve"> </w:t>
      </w:r>
      <w:r w:rsidRPr="000A5B0A">
        <w:rPr>
          <w:b/>
          <w:bCs/>
          <w:sz w:val="26"/>
          <w:szCs w:val="26"/>
        </w:rPr>
        <w:t xml:space="preserve">de </w:t>
      </w:r>
      <w:r w:rsidR="004C4F95" w:rsidRPr="000A5B0A">
        <w:rPr>
          <w:b/>
          <w:bCs/>
          <w:sz w:val="26"/>
          <w:szCs w:val="26"/>
        </w:rPr>
        <w:t xml:space="preserve">julio </w:t>
      </w:r>
      <w:r w:rsidRPr="000A5B0A">
        <w:rPr>
          <w:b/>
          <w:bCs/>
          <w:sz w:val="26"/>
          <w:szCs w:val="26"/>
        </w:rPr>
        <w:t>de 202</w:t>
      </w:r>
      <w:r w:rsidR="00F03731" w:rsidRPr="000A5B0A">
        <w:rPr>
          <w:b/>
          <w:bCs/>
          <w:sz w:val="26"/>
          <w:szCs w:val="26"/>
        </w:rPr>
        <w:t>1</w:t>
      </w:r>
    </w:p>
    <w:p w14:paraId="7B701640" w14:textId="20013E3D" w:rsidR="00BA3899" w:rsidRDefault="00BA3899" w:rsidP="00B2051A">
      <w:pPr>
        <w:suppressAutoHyphens w:val="0"/>
        <w:autoSpaceDE w:val="0"/>
        <w:autoSpaceDN w:val="0"/>
        <w:adjustRightInd w:val="0"/>
        <w:jc w:val="both"/>
        <w:rPr>
          <w:b/>
          <w:bCs/>
          <w:sz w:val="26"/>
          <w:szCs w:val="26"/>
        </w:rPr>
      </w:pPr>
    </w:p>
    <w:p w14:paraId="6ABD7F34" w14:textId="02C5CDF4" w:rsidR="000A5B0A" w:rsidRDefault="000A5B0A" w:rsidP="00B2051A">
      <w:pPr>
        <w:suppressAutoHyphens w:val="0"/>
        <w:autoSpaceDE w:val="0"/>
        <w:autoSpaceDN w:val="0"/>
        <w:adjustRightInd w:val="0"/>
        <w:jc w:val="both"/>
        <w:rPr>
          <w:b/>
          <w:bCs/>
          <w:sz w:val="26"/>
          <w:szCs w:val="26"/>
        </w:rPr>
      </w:pPr>
    </w:p>
    <w:p w14:paraId="797AB7DE" w14:textId="77777777" w:rsidR="000A5B0A" w:rsidRPr="000A5B0A" w:rsidRDefault="000A5B0A" w:rsidP="00B2051A">
      <w:pPr>
        <w:suppressAutoHyphens w:val="0"/>
        <w:autoSpaceDE w:val="0"/>
        <w:autoSpaceDN w:val="0"/>
        <w:adjustRightInd w:val="0"/>
        <w:jc w:val="both"/>
        <w:rPr>
          <w:b/>
          <w:bCs/>
          <w:sz w:val="26"/>
          <w:szCs w:val="26"/>
        </w:rPr>
      </w:pPr>
    </w:p>
    <w:p w14:paraId="1D2EA7E6" w14:textId="77777777" w:rsidR="00B2051A" w:rsidRPr="000A5B0A" w:rsidRDefault="00B2051A" w:rsidP="00B2051A">
      <w:pPr>
        <w:pStyle w:val="Textodebloque2"/>
        <w:ind w:left="0" w:right="0" w:firstLine="0"/>
        <w:rPr>
          <w:b/>
          <w:bCs/>
          <w:sz w:val="26"/>
          <w:szCs w:val="26"/>
          <w:lang w:val="es-ES_tradnl" w:eastAsia="ar-SA"/>
        </w:rPr>
      </w:pPr>
    </w:p>
    <w:p w14:paraId="21EBD595" w14:textId="77777777" w:rsidR="00B2051A" w:rsidRPr="000A5B0A" w:rsidRDefault="00B2051A" w:rsidP="00B2051A">
      <w:pPr>
        <w:jc w:val="both"/>
        <w:rPr>
          <w:rFonts w:eastAsia="Arial Unicode MS"/>
          <w:b/>
          <w:bCs/>
          <w:kern w:val="2"/>
          <w:sz w:val="26"/>
          <w:szCs w:val="26"/>
          <w:lang w:eastAsia="es-CR"/>
        </w:rPr>
      </w:pPr>
    </w:p>
    <w:p w14:paraId="6F6D835A" w14:textId="77777777" w:rsidR="00B2051A" w:rsidRPr="000A5B0A" w:rsidRDefault="00B2051A" w:rsidP="000A5B0A">
      <w:pPr>
        <w:pStyle w:val="Ttulo51"/>
        <w:keepNext w:val="0"/>
        <w:tabs>
          <w:tab w:val="clear" w:pos="0"/>
          <w:tab w:val="left" w:pos="708"/>
        </w:tabs>
        <w:rPr>
          <w:rFonts w:eastAsia="Times New Roman"/>
          <w:i w:val="0"/>
          <w:iCs w:val="0"/>
          <w:u w:val="none"/>
        </w:rPr>
      </w:pPr>
      <w:r w:rsidRPr="000A5B0A">
        <w:rPr>
          <w:rFonts w:eastAsia="Times New Roman"/>
          <w:i w:val="0"/>
          <w:iCs w:val="0"/>
          <w:u w:val="none"/>
        </w:rPr>
        <w:t>Lic. Carlos Toscano Mora Rodríguez</w:t>
      </w:r>
    </w:p>
    <w:p w14:paraId="575505CF" w14:textId="77777777" w:rsidR="00B2051A" w:rsidRPr="000A5B0A" w:rsidRDefault="00B2051A" w:rsidP="000A5B0A">
      <w:pPr>
        <w:pStyle w:val="Ttulo51"/>
        <w:keepNext w:val="0"/>
        <w:tabs>
          <w:tab w:val="clear" w:pos="0"/>
          <w:tab w:val="left" w:pos="708"/>
        </w:tabs>
        <w:rPr>
          <w:rFonts w:eastAsia="Times New Roman"/>
          <w:i w:val="0"/>
          <w:iCs w:val="0"/>
          <w:u w:val="none"/>
        </w:rPr>
      </w:pPr>
      <w:r w:rsidRPr="000A5B0A">
        <w:rPr>
          <w:rFonts w:eastAsia="Times New Roman"/>
          <w:i w:val="0"/>
          <w:iCs w:val="0"/>
          <w:u w:val="none"/>
        </w:rPr>
        <w:t>Subsecretario General interino</w:t>
      </w:r>
    </w:p>
    <w:p w14:paraId="73CCC89D" w14:textId="77777777" w:rsidR="00B2051A" w:rsidRPr="000A5B0A" w:rsidRDefault="00B2051A" w:rsidP="000A5B0A">
      <w:pPr>
        <w:jc w:val="center"/>
        <w:rPr>
          <w:b/>
          <w:bCs/>
          <w:sz w:val="26"/>
          <w:szCs w:val="26"/>
        </w:rPr>
      </w:pPr>
      <w:r w:rsidRPr="000A5B0A">
        <w:rPr>
          <w:b/>
          <w:bCs/>
          <w:sz w:val="26"/>
          <w:szCs w:val="26"/>
        </w:rPr>
        <w:t>Corte Suprema de Justicia</w:t>
      </w:r>
    </w:p>
    <w:p w14:paraId="5CF35229" w14:textId="77777777" w:rsidR="000A5B0A" w:rsidRDefault="000A5B0A" w:rsidP="00BA3899">
      <w:pPr>
        <w:jc w:val="both"/>
        <w:rPr>
          <w:color w:val="000000" w:themeColor="text1"/>
          <w:sz w:val="26"/>
          <w:szCs w:val="26"/>
        </w:rPr>
      </w:pPr>
    </w:p>
    <w:p w14:paraId="382BC622" w14:textId="73ECC29F" w:rsidR="004209BF" w:rsidRPr="000A5B0A" w:rsidRDefault="004209BF" w:rsidP="00BA3899">
      <w:pPr>
        <w:jc w:val="both"/>
        <w:rPr>
          <w:color w:val="000000" w:themeColor="text1"/>
          <w:sz w:val="26"/>
          <w:szCs w:val="26"/>
        </w:rPr>
      </w:pPr>
      <w:proofErr w:type="spellStart"/>
      <w:r w:rsidRPr="000A5B0A">
        <w:rPr>
          <w:color w:val="000000" w:themeColor="text1"/>
          <w:sz w:val="26"/>
          <w:szCs w:val="26"/>
        </w:rPr>
        <w:t>Refs</w:t>
      </w:r>
      <w:proofErr w:type="spellEnd"/>
      <w:r w:rsidRPr="000A5B0A">
        <w:rPr>
          <w:color w:val="000000" w:themeColor="text1"/>
          <w:sz w:val="26"/>
          <w:szCs w:val="26"/>
        </w:rPr>
        <w:t>: (</w:t>
      </w:r>
      <w:r w:rsidR="00CB4665" w:rsidRPr="000A5B0A">
        <w:rPr>
          <w:b/>
          <w:bCs/>
          <w:color w:val="000000" w:themeColor="text1"/>
          <w:sz w:val="26"/>
          <w:szCs w:val="26"/>
        </w:rPr>
        <w:t>346-2021</w:t>
      </w:r>
      <w:r w:rsidRPr="000A5B0A">
        <w:rPr>
          <w:color w:val="000000" w:themeColor="text1"/>
          <w:sz w:val="26"/>
          <w:szCs w:val="26"/>
        </w:rPr>
        <w:t>)</w:t>
      </w:r>
    </w:p>
    <w:p w14:paraId="6E589669" w14:textId="4F0CC699" w:rsidR="00D656AA" w:rsidRPr="000A5B0A" w:rsidRDefault="00B2051A" w:rsidP="00BA3899">
      <w:pPr>
        <w:jc w:val="both"/>
        <w:rPr>
          <w:bCs/>
          <w:i/>
          <w:iCs/>
          <w:color w:val="BFBFBF" w:themeColor="background1" w:themeShade="BF"/>
          <w:sz w:val="26"/>
          <w:szCs w:val="26"/>
        </w:rPr>
      </w:pPr>
      <w:r w:rsidRPr="000A5B0A">
        <w:rPr>
          <w:bCs/>
          <w:i/>
          <w:iCs/>
          <w:color w:val="BFBFBF" w:themeColor="background1" w:themeShade="BF"/>
          <w:sz w:val="26"/>
          <w:szCs w:val="26"/>
        </w:rPr>
        <w:t xml:space="preserve">Nickole </w:t>
      </w:r>
    </w:p>
    <w:sectPr w:rsidR="00D656AA" w:rsidRPr="000A5B0A"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9136F"/>
    <w:multiLevelType w:val="hybridMultilevel"/>
    <w:tmpl w:val="727C90A4"/>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5E9E0E41"/>
    <w:multiLevelType w:val="hybridMultilevel"/>
    <w:tmpl w:val="0C58CBC2"/>
    <w:lvl w:ilvl="0" w:tplc="140A0001">
      <w:start w:val="1"/>
      <w:numFmt w:val="bullet"/>
      <w:lvlText w:val=""/>
      <w:lvlJc w:val="left"/>
      <w:pPr>
        <w:ind w:left="720" w:hanging="360"/>
      </w:pPr>
      <w:rPr>
        <w:rFonts w:ascii="Symbol" w:hAnsi="Symbol" w:hint="default"/>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1A"/>
    <w:rsid w:val="000531BC"/>
    <w:rsid w:val="000A5B0A"/>
    <w:rsid w:val="000E6D12"/>
    <w:rsid w:val="00222467"/>
    <w:rsid w:val="00305747"/>
    <w:rsid w:val="003107CD"/>
    <w:rsid w:val="004209BF"/>
    <w:rsid w:val="004C4F95"/>
    <w:rsid w:val="00584ABB"/>
    <w:rsid w:val="00592BCE"/>
    <w:rsid w:val="005A5AC0"/>
    <w:rsid w:val="005A734A"/>
    <w:rsid w:val="00645A63"/>
    <w:rsid w:val="006615BD"/>
    <w:rsid w:val="00690708"/>
    <w:rsid w:val="006A3BA8"/>
    <w:rsid w:val="007E2078"/>
    <w:rsid w:val="00837746"/>
    <w:rsid w:val="00883668"/>
    <w:rsid w:val="00902D3C"/>
    <w:rsid w:val="00A2664D"/>
    <w:rsid w:val="00AC04F7"/>
    <w:rsid w:val="00B2051A"/>
    <w:rsid w:val="00B53483"/>
    <w:rsid w:val="00B82445"/>
    <w:rsid w:val="00BA3899"/>
    <w:rsid w:val="00C26505"/>
    <w:rsid w:val="00CB4665"/>
    <w:rsid w:val="00D656AA"/>
    <w:rsid w:val="00DD450A"/>
    <w:rsid w:val="00EA6E79"/>
    <w:rsid w:val="00F037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6AD7"/>
  <w15:chartTrackingRefBased/>
  <w15:docId w15:val="{249B1931-9B0F-48DD-B790-172283E6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1A"/>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aliases w:val="Títulos de Hallazgo e Introducción,CAPITULO 2,H21,TÍTULO CORTE,Heading 2 Char2 Char,Heading 2 Char Char1 Char,Headin,3. Subtitulos,TITULO CORTE,CHICO"/>
    <w:basedOn w:val="Normal"/>
    <w:next w:val="Textoindependiente"/>
    <w:link w:val="Ttulo2Car"/>
    <w:qFormat/>
    <w:rsid w:val="00C26505"/>
    <w:pPr>
      <w:keepNext/>
      <w:tabs>
        <w:tab w:val="num" w:pos="0"/>
      </w:tabs>
      <w:spacing w:before="120" w:after="120" w:line="480" w:lineRule="auto"/>
      <w:jc w:val="center"/>
      <w:outlineLvl w:val="1"/>
    </w:pPr>
    <w:rPr>
      <w:b/>
      <w:bCs/>
      <w:sz w:val="32"/>
      <w:szCs w:val="28"/>
      <w:u w:val="single"/>
      <w:lang w:eastAsia="ar-SA"/>
    </w:rPr>
  </w:style>
  <w:style w:type="paragraph" w:styleId="Ttulo3">
    <w:name w:val="heading 3"/>
    <w:aliases w:val="Subtítulos de Hallazgo,Graficos,otros,SUBTÍTULO CORTE,SUBTITULO CORTE,MATÍAS"/>
    <w:basedOn w:val="Normal"/>
    <w:next w:val="Normal"/>
    <w:link w:val="Ttulo3Car"/>
    <w:uiPriority w:val="9"/>
    <w:qFormat/>
    <w:rsid w:val="00C26505"/>
    <w:pPr>
      <w:keepNext/>
      <w:ind w:firstLine="709"/>
      <w:jc w:val="both"/>
      <w:outlineLvl w:val="2"/>
    </w:pPr>
    <w:rPr>
      <w:rFonts w:cs="Arial"/>
      <w:bCs/>
      <w:color w:val="0000FF"/>
      <w:szCs w:val="26"/>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títulos de Hallazgo Car,Graficos Car,otros Car,SUBTÍTULO CORTE Car,SUBTITULO CORTE Car,MATÍAS Car"/>
    <w:link w:val="Ttulo3"/>
    <w:uiPriority w:val="9"/>
    <w:qFormat/>
    <w:rsid w:val="00C26505"/>
    <w:rPr>
      <w:rFonts w:cs="Arial"/>
      <w:bCs/>
      <w:color w:val="0000FF"/>
      <w:sz w:val="24"/>
      <w:szCs w:val="26"/>
      <w:lang w:val="es-ES_tradnl" w:eastAsia="ar-SA"/>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
    <w:link w:val="Ttulo2"/>
    <w:qFormat/>
    <w:rsid w:val="00C26505"/>
    <w:rPr>
      <w:b/>
      <w:bCs/>
      <w:sz w:val="32"/>
      <w:szCs w:val="28"/>
      <w:u w:val="single"/>
      <w:lang w:val="es-ES" w:eastAsia="ar-SA"/>
    </w:rPr>
  </w:style>
  <w:style w:type="paragraph" w:styleId="Textoindependiente">
    <w:name w:val="Body Text"/>
    <w:basedOn w:val="Normal"/>
    <w:link w:val="TextoindependienteCar"/>
    <w:uiPriority w:val="99"/>
    <w:semiHidden/>
    <w:unhideWhenUsed/>
    <w:rsid w:val="00C26505"/>
    <w:pPr>
      <w:spacing w:after="120"/>
    </w:pPr>
  </w:style>
  <w:style w:type="character" w:customStyle="1" w:styleId="TextoindependienteCar">
    <w:name w:val="Texto independiente Car"/>
    <w:basedOn w:val="Fuentedeprrafopredeter"/>
    <w:link w:val="Textoindependiente"/>
    <w:uiPriority w:val="99"/>
    <w:semiHidden/>
    <w:rsid w:val="00C26505"/>
  </w:style>
  <w:style w:type="paragraph" w:customStyle="1" w:styleId="Textodebloque2">
    <w:name w:val="Texto de bloque2"/>
    <w:basedOn w:val="Normal"/>
    <w:rsid w:val="00B2051A"/>
    <w:pPr>
      <w:widowControl w:val="0"/>
      <w:suppressAutoHyphens w:val="0"/>
      <w:ind w:left="851" w:right="851" w:firstLine="709"/>
      <w:jc w:val="both"/>
    </w:pPr>
  </w:style>
  <w:style w:type="paragraph" w:customStyle="1" w:styleId="Ttulo51">
    <w:name w:val="Título 51"/>
    <w:next w:val="Normal"/>
    <w:rsid w:val="00B2051A"/>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Prrafodelista">
    <w:name w:val="List Paragraph"/>
    <w:basedOn w:val="Normal"/>
    <w:uiPriority w:val="34"/>
    <w:qFormat/>
    <w:rsid w:val="00B2051A"/>
    <w:pPr>
      <w:ind w:left="720"/>
      <w:contextualSpacing/>
    </w:pPr>
  </w:style>
  <w:style w:type="character" w:styleId="Hipervnculo">
    <w:name w:val="Hyperlink"/>
    <w:basedOn w:val="Fuentedeprrafopredeter"/>
    <w:uiPriority w:val="99"/>
    <w:unhideWhenUsed/>
    <w:rsid w:val="00B2051A"/>
    <w:rPr>
      <w:color w:val="0000FF"/>
      <w:u w:val="single"/>
    </w:rPr>
  </w:style>
  <w:style w:type="character" w:customStyle="1" w:styleId="app-page-detaildocumentanyCharacter">
    <w:name w:val="app-page-detail_document_any Character"/>
    <w:rsid w:val="00902D3C"/>
    <w:rPr>
      <w:rFonts w:ascii="Arial" w:hAnsi="Arial" w:cs="Arial" w:hint="default"/>
      <w:color w:val="000000"/>
      <w:sz w:val="21"/>
      <w:szCs w:val="21"/>
    </w:rPr>
  </w:style>
  <w:style w:type="character" w:styleId="Mencinsinresolver">
    <w:name w:val="Unresolved Mention"/>
    <w:basedOn w:val="Fuentedeprrafopredeter"/>
    <w:uiPriority w:val="99"/>
    <w:semiHidden/>
    <w:unhideWhenUsed/>
    <w:rsid w:val="003107CD"/>
    <w:rPr>
      <w:color w:val="605E5C"/>
      <w:shd w:val="clear" w:color="auto" w:fill="E1DFDD"/>
    </w:rPr>
  </w:style>
  <w:style w:type="character" w:styleId="Hipervnculovisitado">
    <w:name w:val="FollowedHyperlink"/>
    <w:basedOn w:val="Fuentedeprrafopredeter"/>
    <w:uiPriority w:val="99"/>
    <w:semiHidden/>
    <w:unhideWhenUsed/>
    <w:rsid w:val="003107CD"/>
    <w:rPr>
      <w:color w:val="954F72" w:themeColor="followedHyperlink"/>
      <w:u w:val="single"/>
    </w:rPr>
  </w:style>
  <w:style w:type="paragraph" w:styleId="NormalWeb">
    <w:name w:val="Normal (Web)"/>
    <w:basedOn w:val="Normal"/>
    <w:rsid w:val="00AC04F7"/>
    <w:pPr>
      <w:widowControl w:val="0"/>
      <w:spacing w:before="100" w:after="100"/>
    </w:pPr>
    <w:rPr>
      <w:rFonts w:eastAsia="Arial Unicode MS"/>
      <w:kern w:val="1"/>
      <w:lang w:val="es-ES_tradnl" w:eastAsia="es-ES"/>
    </w:rPr>
  </w:style>
  <w:style w:type="paragraph" w:customStyle="1" w:styleId="Prrafodelista1">
    <w:name w:val="Párrafo de lista1"/>
    <w:basedOn w:val="Normal"/>
    <w:uiPriority w:val="34"/>
    <w:qFormat/>
    <w:rsid w:val="00AC04F7"/>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Sangra2detindependiente1">
    <w:name w:val="Sangría 2 de t. independiente1"/>
    <w:basedOn w:val="Normal"/>
    <w:rsid w:val="00AC04F7"/>
    <w:pPr>
      <w:tabs>
        <w:tab w:val="left" w:pos="2835"/>
      </w:tabs>
      <w:overflowPunct w:val="0"/>
      <w:autoSpaceDE w:val="0"/>
      <w:ind w:left="2835" w:hanging="2835"/>
      <w:jc w:val="both"/>
      <w:textAlignment w:val="baseline"/>
    </w:pPr>
    <w:rPr>
      <w:rFonts w:ascii="Georgia" w:hAnsi="Georgia" w:cs="Georgia"/>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170">
      <w:bodyDiv w:val="1"/>
      <w:marLeft w:val="0"/>
      <w:marRight w:val="0"/>
      <w:marTop w:val="0"/>
      <w:marBottom w:val="0"/>
      <w:divBdr>
        <w:top w:val="none" w:sz="0" w:space="0" w:color="auto"/>
        <w:left w:val="none" w:sz="0" w:space="0" w:color="auto"/>
        <w:bottom w:val="none" w:sz="0" w:space="0" w:color="auto"/>
        <w:right w:val="none" w:sz="0" w:space="0" w:color="auto"/>
      </w:divBdr>
    </w:div>
    <w:div w:id="113182468">
      <w:bodyDiv w:val="1"/>
      <w:marLeft w:val="0"/>
      <w:marRight w:val="0"/>
      <w:marTop w:val="0"/>
      <w:marBottom w:val="0"/>
      <w:divBdr>
        <w:top w:val="none" w:sz="0" w:space="0" w:color="auto"/>
        <w:left w:val="none" w:sz="0" w:space="0" w:color="auto"/>
        <w:bottom w:val="none" w:sz="0" w:space="0" w:color="auto"/>
        <w:right w:val="none" w:sz="0" w:space="0" w:color="auto"/>
      </w:divBdr>
    </w:div>
    <w:div w:id="183983415">
      <w:bodyDiv w:val="1"/>
      <w:marLeft w:val="0"/>
      <w:marRight w:val="0"/>
      <w:marTop w:val="0"/>
      <w:marBottom w:val="0"/>
      <w:divBdr>
        <w:top w:val="none" w:sz="0" w:space="0" w:color="auto"/>
        <w:left w:val="none" w:sz="0" w:space="0" w:color="auto"/>
        <w:bottom w:val="none" w:sz="0" w:space="0" w:color="auto"/>
        <w:right w:val="none" w:sz="0" w:space="0" w:color="auto"/>
      </w:divBdr>
    </w:div>
    <w:div w:id="218442858">
      <w:bodyDiv w:val="1"/>
      <w:marLeft w:val="0"/>
      <w:marRight w:val="0"/>
      <w:marTop w:val="0"/>
      <w:marBottom w:val="0"/>
      <w:divBdr>
        <w:top w:val="none" w:sz="0" w:space="0" w:color="auto"/>
        <w:left w:val="none" w:sz="0" w:space="0" w:color="auto"/>
        <w:bottom w:val="none" w:sz="0" w:space="0" w:color="auto"/>
        <w:right w:val="none" w:sz="0" w:space="0" w:color="auto"/>
      </w:divBdr>
    </w:div>
    <w:div w:id="258755046">
      <w:bodyDiv w:val="1"/>
      <w:marLeft w:val="0"/>
      <w:marRight w:val="0"/>
      <w:marTop w:val="0"/>
      <w:marBottom w:val="0"/>
      <w:divBdr>
        <w:top w:val="none" w:sz="0" w:space="0" w:color="auto"/>
        <w:left w:val="none" w:sz="0" w:space="0" w:color="auto"/>
        <w:bottom w:val="none" w:sz="0" w:space="0" w:color="auto"/>
        <w:right w:val="none" w:sz="0" w:space="0" w:color="auto"/>
      </w:divBdr>
    </w:div>
    <w:div w:id="433285459">
      <w:bodyDiv w:val="1"/>
      <w:marLeft w:val="0"/>
      <w:marRight w:val="0"/>
      <w:marTop w:val="0"/>
      <w:marBottom w:val="0"/>
      <w:divBdr>
        <w:top w:val="none" w:sz="0" w:space="0" w:color="auto"/>
        <w:left w:val="none" w:sz="0" w:space="0" w:color="auto"/>
        <w:bottom w:val="none" w:sz="0" w:space="0" w:color="auto"/>
        <w:right w:val="none" w:sz="0" w:space="0" w:color="auto"/>
      </w:divBdr>
    </w:div>
    <w:div w:id="486173025">
      <w:bodyDiv w:val="1"/>
      <w:marLeft w:val="0"/>
      <w:marRight w:val="0"/>
      <w:marTop w:val="0"/>
      <w:marBottom w:val="0"/>
      <w:divBdr>
        <w:top w:val="none" w:sz="0" w:space="0" w:color="auto"/>
        <w:left w:val="none" w:sz="0" w:space="0" w:color="auto"/>
        <w:bottom w:val="none" w:sz="0" w:space="0" w:color="auto"/>
        <w:right w:val="none" w:sz="0" w:space="0" w:color="auto"/>
      </w:divBdr>
    </w:div>
    <w:div w:id="624165045">
      <w:bodyDiv w:val="1"/>
      <w:marLeft w:val="0"/>
      <w:marRight w:val="0"/>
      <w:marTop w:val="0"/>
      <w:marBottom w:val="0"/>
      <w:divBdr>
        <w:top w:val="none" w:sz="0" w:space="0" w:color="auto"/>
        <w:left w:val="none" w:sz="0" w:space="0" w:color="auto"/>
        <w:bottom w:val="none" w:sz="0" w:space="0" w:color="auto"/>
        <w:right w:val="none" w:sz="0" w:space="0" w:color="auto"/>
      </w:divBdr>
      <w:divsChild>
        <w:div w:id="589042924">
          <w:marLeft w:val="0"/>
          <w:marRight w:val="0"/>
          <w:marTop w:val="0"/>
          <w:marBottom w:val="0"/>
          <w:divBdr>
            <w:top w:val="none" w:sz="0" w:space="0" w:color="auto"/>
            <w:left w:val="none" w:sz="0" w:space="0" w:color="auto"/>
            <w:bottom w:val="none" w:sz="0" w:space="0" w:color="auto"/>
            <w:right w:val="none" w:sz="0" w:space="0" w:color="auto"/>
          </w:divBdr>
        </w:div>
      </w:divsChild>
    </w:div>
    <w:div w:id="1111777584">
      <w:bodyDiv w:val="1"/>
      <w:marLeft w:val="0"/>
      <w:marRight w:val="0"/>
      <w:marTop w:val="0"/>
      <w:marBottom w:val="0"/>
      <w:divBdr>
        <w:top w:val="none" w:sz="0" w:space="0" w:color="auto"/>
        <w:left w:val="none" w:sz="0" w:space="0" w:color="auto"/>
        <w:bottom w:val="none" w:sz="0" w:space="0" w:color="auto"/>
        <w:right w:val="none" w:sz="0" w:space="0" w:color="auto"/>
      </w:divBdr>
    </w:div>
    <w:div w:id="1461530817">
      <w:bodyDiv w:val="1"/>
      <w:marLeft w:val="0"/>
      <w:marRight w:val="0"/>
      <w:marTop w:val="0"/>
      <w:marBottom w:val="0"/>
      <w:divBdr>
        <w:top w:val="none" w:sz="0" w:space="0" w:color="auto"/>
        <w:left w:val="none" w:sz="0" w:space="0" w:color="auto"/>
        <w:bottom w:val="none" w:sz="0" w:space="0" w:color="auto"/>
        <w:right w:val="none" w:sz="0" w:space="0" w:color="auto"/>
      </w:divBdr>
    </w:div>
    <w:div w:id="1504079276">
      <w:bodyDiv w:val="1"/>
      <w:marLeft w:val="0"/>
      <w:marRight w:val="0"/>
      <w:marTop w:val="0"/>
      <w:marBottom w:val="0"/>
      <w:divBdr>
        <w:top w:val="none" w:sz="0" w:space="0" w:color="auto"/>
        <w:left w:val="none" w:sz="0" w:space="0" w:color="auto"/>
        <w:bottom w:val="none" w:sz="0" w:space="0" w:color="auto"/>
        <w:right w:val="none" w:sz="0" w:space="0" w:color="auto"/>
      </w:divBdr>
    </w:div>
    <w:div w:id="1674213697">
      <w:bodyDiv w:val="1"/>
      <w:marLeft w:val="0"/>
      <w:marRight w:val="0"/>
      <w:marTop w:val="0"/>
      <w:marBottom w:val="0"/>
      <w:divBdr>
        <w:top w:val="none" w:sz="0" w:space="0" w:color="auto"/>
        <w:left w:val="none" w:sz="0" w:space="0" w:color="auto"/>
        <w:bottom w:val="none" w:sz="0" w:space="0" w:color="auto"/>
        <w:right w:val="none" w:sz="0" w:space="0" w:color="auto"/>
      </w:divBdr>
    </w:div>
    <w:div w:id="1774285144">
      <w:bodyDiv w:val="1"/>
      <w:marLeft w:val="0"/>
      <w:marRight w:val="0"/>
      <w:marTop w:val="0"/>
      <w:marBottom w:val="0"/>
      <w:divBdr>
        <w:top w:val="none" w:sz="0" w:space="0" w:color="auto"/>
        <w:left w:val="none" w:sz="0" w:space="0" w:color="auto"/>
        <w:bottom w:val="none" w:sz="0" w:space="0" w:color="auto"/>
        <w:right w:val="none" w:sz="0" w:space="0" w:color="auto"/>
      </w:divBdr>
    </w:div>
    <w:div w:id="1899901040">
      <w:bodyDiv w:val="1"/>
      <w:marLeft w:val="0"/>
      <w:marRight w:val="0"/>
      <w:marTop w:val="0"/>
      <w:marBottom w:val="0"/>
      <w:divBdr>
        <w:top w:val="none" w:sz="0" w:space="0" w:color="auto"/>
        <w:left w:val="none" w:sz="0" w:space="0" w:color="auto"/>
        <w:bottom w:val="none" w:sz="0" w:space="0" w:color="auto"/>
        <w:right w:val="none" w:sz="0" w:space="0" w:color="auto"/>
      </w:divBdr>
      <w:divsChild>
        <w:div w:id="1062681347">
          <w:marLeft w:val="0"/>
          <w:marRight w:val="0"/>
          <w:marTop w:val="0"/>
          <w:marBottom w:val="0"/>
          <w:divBdr>
            <w:top w:val="none" w:sz="0" w:space="0" w:color="auto"/>
            <w:left w:val="none" w:sz="0" w:space="0" w:color="auto"/>
            <w:bottom w:val="none" w:sz="0" w:space="0" w:color="auto"/>
            <w:right w:val="none" w:sz="0" w:space="0" w:color="auto"/>
          </w:divBdr>
        </w:div>
      </w:divsChild>
    </w:div>
    <w:div w:id="20714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Nickole Salas Soto.</dc:creator>
  <cp:keywords/>
  <dc:description/>
  <cp:lastModifiedBy>Rocío Picado Vargas</cp:lastModifiedBy>
  <cp:revision>2</cp:revision>
  <dcterms:created xsi:type="dcterms:W3CDTF">2021-07-19T14:33:00Z</dcterms:created>
  <dcterms:modified xsi:type="dcterms:W3CDTF">2021-07-19T14:33:00Z</dcterms:modified>
</cp:coreProperties>
</file>