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1677D6" w14:textId="610FC6AA" w:rsidR="008D52E2" w:rsidRPr="008D52E2" w:rsidRDefault="00F6713A" w:rsidP="008D52E2">
      <w:pPr>
        <w:shd w:val="clear" w:color="auto" w:fill="FFFFFF"/>
        <w:jc w:val="center"/>
        <w:rPr>
          <w:b/>
          <w:bCs/>
          <w:color w:val="000000"/>
          <w:u w:val="single"/>
          <w:shd w:val="clear" w:color="auto" w:fill="FFFFFF"/>
          <w:lang w:val="es-ES"/>
        </w:rPr>
      </w:pPr>
      <w:r w:rsidRPr="000B79D2">
        <w:rPr>
          <w:b/>
          <w:bCs/>
          <w:color w:val="000000"/>
          <w:u w:val="single"/>
          <w:shd w:val="clear" w:color="auto" w:fill="FFFFFF"/>
          <w:lang w:val="es-ES"/>
        </w:rPr>
        <w:t xml:space="preserve">CIRCULAR No. </w:t>
      </w:r>
      <w:r w:rsidR="00E310DF">
        <w:rPr>
          <w:b/>
          <w:bCs/>
          <w:color w:val="000000"/>
          <w:u w:val="single"/>
          <w:shd w:val="clear" w:color="auto" w:fill="FFFFFF"/>
          <w:lang w:val="es-ES"/>
        </w:rPr>
        <w:t>79</w:t>
      </w:r>
      <w:r w:rsidRPr="000B79D2">
        <w:rPr>
          <w:b/>
          <w:bCs/>
          <w:color w:val="000000"/>
          <w:u w:val="single"/>
          <w:shd w:val="clear" w:color="auto" w:fill="FFFFFF"/>
          <w:lang w:val="es-ES"/>
        </w:rPr>
        <w:t>-202</w:t>
      </w:r>
      <w:r w:rsidR="00E310DF">
        <w:rPr>
          <w:b/>
          <w:bCs/>
          <w:color w:val="000000"/>
          <w:u w:val="single"/>
          <w:shd w:val="clear" w:color="auto" w:fill="FFFFFF"/>
          <w:lang w:val="es-ES"/>
        </w:rPr>
        <w:t>1</w:t>
      </w:r>
    </w:p>
    <w:p w14:paraId="55E23293" w14:textId="77777777" w:rsidR="008A322E" w:rsidRPr="000B79D2" w:rsidRDefault="008A322E" w:rsidP="008D52E2">
      <w:pPr>
        <w:shd w:val="clear" w:color="auto" w:fill="FFFFFF"/>
        <w:jc w:val="center"/>
        <w:rPr>
          <w:rFonts w:eastAsiaTheme="minorHAnsi"/>
          <w:kern w:val="0"/>
          <w:lang w:val="es-ES"/>
        </w:rPr>
      </w:pPr>
    </w:p>
    <w:p w14:paraId="3F791DE0" w14:textId="2BC4C33C" w:rsidR="00E310DF" w:rsidRPr="00E310DF" w:rsidRDefault="00F6713A" w:rsidP="008D52E2">
      <w:pPr>
        <w:ind w:right="851"/>
        <w:jc w:val="both"/>
        <w:rPr>
          <w:rFonts w:eastAsiaTheme="minorHAnsi"/>
          <w:kern w:val="0"/>
          <w:lang w:val="es-ES"/>
        </w:rPr>
      </w:pPr>
      <w:r w:rsidRPr="000B79D2">
        <w:rPr>
          <w:b/>
          <w:bCs/>
          <w:color w:val="000000"/>
          <w:u w:val="single"/>
          <w:shd w:val="clear" w:color="auto" w:fill="FFFFFF"/>
          <w:lang w:val="es-ES"/>
        </w:rPr>
        <w:t>Asunto</w:t>
      </w:r>
      <w:r w:rsidRPr="000B79D2">
        <w:rPr>
          <w:color w:val="000000"/>
          <w:shd w:val="clear" w:color="auto" w:fill="FFFFFF"/>
          <w:lang w:val="es-ES"/>
        </w:rPr>
        <w:t xml:space="preserve">: </w:t>
      </w:r>
      <w:r w:rsidR="00E310DF" w:rsidRPr="00E310DF">
        <w:rPr>
          <w:lang w:val="es-ES"/>
        </w:rPr>
        <w:t xml:space="preserve">Explicativo </w:t>
      </w:r>
      <w:r w:rsidR="00777A3B">
        <w:rPr>
          <w:lang w:val="es-ES"/>
        </w:rPr>
        <w:t xml:space="preserve">grafico </w:t>
      </w:r>
      <w:r w:rsidR="00E310DF" w:rsidRPr="00E310DF">
        <w:rPr>
          <w:lang w:val="es-ES"/>
        </w:rPr>
        <w:t>para el uso de la mejora de pase a fallo en materia de Familia</w:t>
      </w:r>
    </w:p>
    <w:p w14:paraId="3CB8B130" w14:textId="247BDFE9" w:rsidR="00F6713A" w:rsidRPr="000B79D2" w:rsidRDefault="00F6713A" w:rsidP="000B79D2">
      <w:pPr>
        <w:shd w:val="clear" w:color="auto" w:fill="FFFFFF"/>
        <w:jc w:val="both"/>
        <w:rPr>
          <w:shd w:val="clear" w:color="auto" w:fill="FFFFFF"/>
          <w:lang w:val="es-ES"/>
        </w:rPr>
      </w:pPr>
    </w:p>
    <w:p w14:paraId="147243D3" w14:textId="77777777" w:rsidR="00F6713A" w:rsidRPr="000B79D2" w:rsidRDefault="00F6713A" w:rsidP="000B79D2">
      <w:pPr>
        <w:shd w:val="clear" w:color="auto" w:fill="FFFFFF"/>
        <w:jc w:val="both"/>
        <w:rPr>
          <w:lang w:val="es-ES"/>
        </w:rPr>
      </w:pPr>
    </w:p>
    <w:p w14:paraId="435A8C48" w14:textId="77777777" w:rsidR="00E310DF" w:rsidRPr="00E310DF" w:rsidRDefault="00E310DF" w:rsidP="008D52E2">
      <w:pPr>
        <w:jc w:val="center"/>
        <w:rPr>
          <w:rFonts w:eastAsiaTheme="minorHAnsi"/>
          <w:kern w:val="0"/>
          <w:lang w:val="es-ES"/>
        </w:rPr>
      </w:pPr>
      <w:r w:rsidRPr="00E310DF">
        <w:rPr>
          <w:b/>
          <w:bCs/>
          <w:lang w:val="es-ES"/>
        </w:rPr>
        <w:t>A TODOS LOS DESPACHOS JUDICIALES DEL PAÍS</w:t>
      </w:r>
      <w:r w:rsidRPr="00E310DF">
        <w:rPr>
          <w:lang w:val="es-ES"/>
        </w:rPr>
        <w:t xml:space="preserve"> </w:t>
      </w:r>
      <w:r w:rsidRPr="00E310DF">
        <w:rPr>
          <w:b/>
          <w:bCs/>
          <w:lang w:val="es-ES"/>
        </w:rPr>
        <w:t>QUE CONOCEN MATERIA DE FAMILIA</w:t>
      </w:r>
    </w:p>
    <w:p w14:paraId="1946E95C" w14:textId="77777777" w:rsidR="008A322E" w:rsidRPr="000B79D2" w:rsidRDefault="008A322E" w:rsidP="008D52E2">
      <w:pPr>
        <w:shd w:val="clear" w:color="auto" w:fill="FFFFFF"/>
        <w:jc w:val="center"/>
        <w:rPr>
          <w:lang w:val="es-ES"/>
        </w:rPr>
      </w:pPr>
    </w:p>
    <w:p w14:paraId="75AA5B77" w14:textId="73A29101" w:rsidR="00F6713A" w:rsidRPr="000B79D2" w:rsidRDefault="00F6713A" w:rsidP="008D52E2">
      <w:pPr>
        <w:shd w:val="clear" w:color="auto" w:fill="FFFFFF"/>
        <w:jc w:val="center"/>
        <w:rPr>
          <w:color w:val="000000"/>
          <w:lang w:val="es-ES"/>
        </w:rPr>
      </w:pPr>
      <w:r w:rsidRPr="000B79D2">
        <w:rPr>
          <w:b/>
          <w:bCs/>
          <w:color w:val="000000"/>
          <w:u w:val="single"/>
          <w:shd w:val="clear" w:color="auto" w:fill="FFFFFF"/>
          <w:lang w:val="es-ES"/>
        </w:rPr>
        <w:t>SE LES HACE SABER QUE:</w:t>
      </w:r>
    </w:p>
    <w:p w14:paraId="6B00D228" w14:textId="77777777" w:rsidR="008A322E" w:rsidRPr="000B79D2" w:rsidRDefault="008A322E" w:rsidP="000B79D2">
      <w:pPr>
        <w:shd w:val="clear" w:color="auto" w:fill="FFFFFF"/>
        <w:jc w:val="both"/>
        <w:rPr>
          <w:lang w:val="es-ES"/>
        </w:rPr>
      </w:pPr>
    </w:p>
    <w:p w14:paraId="5E52D085" w14:textId="3BDAFBC9" w:rsidR="00E310DF" w:rsidRDefault="00F6713A" w:rsidP="00E310DF">
      <w:pPr>
        <w:ind w:firstLine="709"/>
        <w:jc w:val="both"/>
        <w:rPr>
          <w:rFonts w:eastAsiaTheme="minorHAnsi"/>
          <w:kern w:val="0"/>
          <w:sz w:val="22"/>
          <w:szCs w:val="22"/>
          <w:lang w:val="es-ES"/>
        </w:rPr>
      </w:pPr>
      <w:r w:rsidRPr="000B79D2">
        <w:rPr>
          <w:color w:val="000000"/>
          <w:shd w:val="clear" w:color="auto" w:fill="FFFFFF"/>
          <w:lang w:val="es-ES"/>
        </w:rPr>
        <w:t xml:space="preserve">El Consejo Superior del Poder Judicial en sesión N° </w:t>
      </w:r>
      <w:r w:rsidR="00E310DF">
        <w:rPr>
          <w:color w:val="000000"/>
          <w:shd w:val="clear" w:color="auto" w:fill="FFFFFF"/>
          <w:lang w:val="es-ES"/>
        </w:rPr>
        <w:t>28</w:t>
      </w:r>
      <w:r w:rsidR="008A322E" w:rsidRPr="000B79D2">
        <w:rPr>
          <w:color w:val="000000"/>
          <w:shd w:val="clear" w:color="auto" w:fill="FFFFFF"/>
          <w:lang w:val="es-ES"/>
        </w:rPr>
        <w:t>-202</w:t>
      </w:r>
      <w:r w:rsidR="00E310DF">
        <w:rPr>
          <w:color w:val="000000"/>
          <w:shd w:val="clear" w:color="auto" w:fill="FFFFFF"/>
          <w:lang w:val="es-ES"/>
        </w:rPr>
        <w:t>1</w:t>
      </w:r>
      <w:r w:rsidRPr="000B79D2">
        <w:rPr>
          <w:color w:val="000000"/>
          <w:shd w:val="clear" w:color="auto" w:fill="FFFFFF"/>
          <w:lang w:val="es-ES"/>
        </w:rPr>
        <w:t xml:space="preserve">, celebrada el </w:t>
      </w:r>
      <w:r w:rsidR="008A322E" w:rsidRPr="000B79D2">
        <w:rPr>
          <w:color w:val="000000"/>
          <w:shd w:val="clear" w:color="auto" w:fill="FFFFFF"/>
          <w:lang w:val="es-ES"/>
        </w:rPr>
        <w:t>1</w:t>
      </w:r>
      <w:r w:rsidR="00E310DF">
        <w:rPr>
          <w:color w:val="000000"/>
          <w:shd w:val="clear" w:color="auto" w:fill="FFFFFF"/>
          <w:lang w:val="es-ES"/>
        </w:rPr>
        <w:t>3</w:t>
      </w:r>
      <w:r w:rsidR="008A322E" w:rsidRPr="000B79D2">
        <w:rPr>
          <w:color w:val="000000"/>
          <w:shd w:val="clear" w:color="auto" w:fill="FFFFFF"/>
          <w:lang w:val="es-ES"/>
        </w:rPr>
        <w:t xml:space="preserve"> de </w:t>
      </w:r>
      <w:r w:rsidR="00E310DF">
        <w:rPr>
          <w:color w:val="000000"/>
          <w:shd w:val="clear" w:color="auto" w:fill="FFFFFF"/>
          <w:lang w:val="es-ES"/>
        </w:rPr>
        <w:t>abril</w:t>
      </w:r>
      <w:r w:rsidR="008A322E" w:rsidRPr="000B79D2">
        <w:rPr>
          <w:color w:val="000000"/>
          <w:shd w:val="clear" w:color="auto" w:fill="FFFFFF"/>
          <w:lang w:val="es-ES"/>
        </w:rPr>
        <w:t xml:space="preserve"> de </w:t>
      </w:r>
      <w:r w:rsidRPr="000B79D2">
        <w:rPr>
          <w:color w:val="000000"/>
          <w:shd w:val="clear" w:color="auto" w:fill="FFFFFF"/>
          <w:lang w:val="es-ES"/>
        </w:rPr>
        <w:t>202</w:t>
      </w:r>
      <w:r w:rsidR="00E310DF">
        <w:rPr>
          <w:color w:val="000000"/>
          <w:shd w:val="clear" w:color="auto" w:fill="FFFFFF"/>
          <w:lang w:val="es-ES"/>
        </w:rPr>
        <w:t>1</w:t>
      </w:r>
      <w:r w:rsidRPr="000B79D2">
        <w:rPr>
          <w:color w:val="000000"/>
          <w:shd w:val="clear" w:color="auto" w:fill="FFFFFF"/>
          <w:lang w:val="es-ES"/>
        </w:rPr>
        <w:t xml:space="preserve">, artículo </w:t>
      </w:r>
      <w:r w:rsidR="008A322E" w:rsidRPr="000B79D2">
        <w:rPr>
          <w:color w:val="000000"/>
          <w:shd w:val="clear" w:color="auto" w:fill="FFFFFF"/>
          <w:lang w:val="es-ES"/>
        </w:rPr>
        <w:t>L</w:t>
      </w:r>
      <w:r w:rsidR="00E310DF">
        <w:rPr>
          <w:color w:val="000000"/>
          <w:shd w:val="clear" w:color="auto" w:fill="FFFFFF"/>
          <w:lang w:val="es-ES"/>
        </w:rPr>
        <w:t>X</w:t>
      </w:r>
      <w:r w:rsidR="008A322E" w:rsidRPr="000B79D2">
        <w:rPr>
          <w:color w:val="000000"/>
          <w:shd w:val="clear" w:color="auto" w:fill="FFFFFF"/>
          <w:lang w:val="es-ES"/>
        </w:rPr>
        <w:t>VI</w:t>
      </w:r>
      <w:r w:rsidR="00E310DF">
        <w:rPr>
          <w:color w:val="000000"/>
          <w:shd w:val="clear" w:color="auto" w:fill="FFFFFF"/>
          <w:lang w:val="es-ES"/>
        </w:rPr>
        <w:t>I</w:t>
      </w:r>
      <w:r w:rsidRPr="000B79D2">
        <w:rPr>
          <w:color w:val="000000"/>
          <w:shd w:val="clear" w:color="auto" w:fill="FFFFFF"/>
          <w:lang w:val="es-ES"/>
        </w:rPr>
        <w:t>, acordó comunicar</w:t>
      </w:r>
      <w:r w:rsidR="00E310DF">
        <w:rPr>
          <w:color w:val="000000"/>
          <w:shd w:val="clear" w:color="auto" w:fill="FFFFFF"/>
          <w:lang w:val="es-ES"/>
        </w:rPr>
        <w:t xml:space="preserve"> a los</w:t>
      </w:r>
      <w:r w:rsidRPr="000B79D2">
        <w:rPr>
          <w:color w:val="000000"/>
          <w:shd w:val="clear" w:color="auto" w:fill="FFFFFF"/>
          <w:lang w:val="es-ES"/>
        </w:rPr>
        <w:t xml:space="preserve"> </w:t>
      </w:r>
      <w:r w:rsidR="00E310DF">
        <w:rPr>
          <w:sz w:val="22"/>
          <w:szCs w:val="22"/>
          <w:lang w:val="es-ES"/>
        </w:rPr>
        <w:t xml:space="preserve">despachos competentes en materia de Familia el explicativo gráfico diseñado por la Dirección de Planificación respecto al uso del módulo de pase a fallo y mejora 128-29 (pase a fallo por tareas), módulo de uso obligatorio de conformidad con la circular 223-20 que comunica el acuerdo del Consejo Superior en sesión 84-2020 celebrada el 28 de agosto de 2020, artículo XXVI.  </w:t>
      </w:r>
    </w:p>
    <w:p w14:paraId="2A167262" w14:textId="77777777" w:rsidR="00E310DF" w:rsidRDefault="00E310DF" w:rsidP="00E310DF">
      <w:pPr>
        <w:ind w:firstLine="709"/>
        <w:jc w:val="both"/>
        <w:rPr>
          <w:sz w:val="22"/>
          <w:szCs w:val="22"/>
          <w:lang w:val="es-ES"/>
        </w:rPr>
      </w:pPr>
      <w:r>
        <w:rPr>
          <w:sz w:val="22"/>
          <w:szCs w:val="22"/>
          <w:lang w:val="es-ES"/>
        </w:rPr>
        <w:t> </w:t>
      </w:r>
    </w:p>
    <w:p w14:paraId="3A2EDAF1" w14:textId="77777777" w:rsidR="00E310DF" w:rsidRDefault="00E310DF" w:rsidP="00E310DF">
      <w:pPr>
        <w:ind w:firstLine="709"/>
        <w:jc w:val="both"/>
        <w:rPr>
          <w:sz w:val="22"/>
          <w:szCs w:val="22"/>
          <w:lang w:val="es-ES"/>
        </w:rPr>
      </w:pPr>
      <w:r>
        <w:rPr>
          <w:sz w:val="22"/>
          <w:szCs w:val="22"/>
          <w:lang w:val="es-ES"/>
        </w:rPr>
        <w:t xml:space="preserve">En la siguiente figura se detalla el procedimiento a utilizar por todos los Juzgados competentes en materia de Familia para utilizar el módulo de pase a fallo del Escritorio Virtual. </w:t>
      </w:r>
    </w:p>
    <w:p w14:paraId="32921203" w14:textId="77777777" w:rsidR="00E310DF" w:rsidRDefault="00E310DF" w:rsidP="00E310DF">
      <w:pPr>
        <w:ind w:left="851" w:right="851" w:firstLine="709"/>
        <w:rPr>
          <w:sz w:val="22"/>
          <w:szCs w:val="22"/>
          <w:lang w:val="es-ES"/>
        </w:rPr>
      </w:pPr>
    </w:p>
    <w:p w14:paraId="28C9DB5A" w14:textId="77777777" w:rsidR="00E310DF" w:rsidRDefault="00E310DF" w:rsidP="00E310DF">
      <w:pPr>
        <w:keepNext/>
        <w:jc w:val="center"/>
        <w:rPr>
          <w:b/>
          <w:bCs/>
          <w:i/>
          <w:iCs/>
          <w:sz w:val="22"/>
          <w:szCs w:val="22"/>
          <w:lang w:val="es-ES"/>
        </w:rPr>
      </w:pPr>
      <w:r>
        <w:rPr>
          <w:b/>
          <w:bCs/>
          <w:i/>
          <w:iCs/>
          <w:sz w:val="22"/>
          <w:szCs w:val="22"/>
          <w:lang w:val="es-ES"/>
        </w:rPr>
        <w:t>Figura 1</w:t>
      </w:r>
    </w:p>
    <w:p w14:paraId="62F0D280" w14:textId="77777777" w:rsidR="00E310DF" w:rsidRDefault="00E310DF" w:rsidP="00E310DF">
      <w:pPr>
        <w:keepNext/>
        <w:jc w:val="center"/>
        <w:rPr>
          <w:sz w:val="22"/>
          <w:szCs w:val="22"/>
          <w:lang w:val="es-ES"/>
        </w:rPr>
      </w:pPr>
    </w:p>
    <w:p w14:paraId="4BC86B4A" w14:textId="569A75DB" w:rsidR="00E310DF" w:rsidRDefault="00E310DF" w:rsidP="00E310DF">
      <w:pPr>
        <w:jc w:val="center"/>
        <w:rPr>
          <w:b/>
          <w:bCs/>
          <w:i/>
          <w:iCs/>
          <w:sz w:val="22"/>
          <w:szCs w:val="22"/>
          <w:lang w:val="es-ES"/>
        </w:rPr>
      </w:pPr>
      <w:r>
        <w:rPr>
          <w:b/>
          <w:bCs/>
          <w:i/>
          <w:iCs/>
          <w:sz w:val="22"/>
          <w:szCs w:val="22"/>
          <w:lang w:val="es-ES"/>
        </w:rPr>
        <w:t>Proceso de pase a fallo de los expedientes en Juzgados de Familia en el módulo de pase a fallo en Escritorio Virtual y archivo Excel</w:t>
      </w:r>
    </w:p>
    <w:p w14:paraId="7EA8445F" w14:textId="1853ED58" w:rsidR="002373D7" w:rsidRDefault="002373D7" w:rsidP="00E310DF">
      <w:pPr>
        <w:jc w:val="center"/>
        <w:rPr>
          <w:b/>
          <w:bCs/>
          <w:i/>
          <w:iCs/>
          <w:sz w:val="22"/>
          <w:szCs w:val="22"/>
          <w:lang w:val="es-ES"/>
        </w:rPr>
      </w:pPr>
    </w:p>
    <w:p w14:paraId="66C5141F" w14:textId="4BEAD6D3" w:rsidR="002373D7" w:rsidRDefault="002373D7" w:rsidP="00E310DF">
      <w:pPr>
        <w:jc w:val="center"/>
        <w:rPr>
          <w:b/>
          <w:bCs/>
          <w:i/>
          <w:iCs/>
          <w:sz w:val="22"/>
          <w:szCs w:val="22"/>
          <w:lang w:val="es-ES"/>
        </w:rPr>
      </w:pPr>
      <w:r>
        <w:rPr>
          <w:noProof/>
          <w:lang w:val="es-CR"/>
        </w:rPr>
        <w:drawing>
          <wp:inline distT="0" distB="0" distL="0" distR="0" wp14:anchorId="0B4038E5" wp14:editId="4A86FCFC">
            <wp:extent cx="4959350" cy="3365500"/>
            <wp:effectExtent l="0" t="0" r="0" b="6350"/>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7" cstate="print">
                      <a:extLst>
                        <a:ext uri="{28A0092B-C50C-407E-A947-70E740481C1C}">
                          <a14:useLocalDpi xmlns:a14="http://schemas.microsoft.com/office/drawing/2010/main" val="0"/>
                        </a:ext>
                      </a:extLst>
                    </a:blip>
                    <a:srcRect t="8861" r="-579" b="10546"/>
                    <a:stretch/>
                  </pic:blipFill>
                  <pic:spPr bwMode="auto">
                    <a:xfrm>
                      <a:off x="0" y="0"/>
                      <a:ext cx="4959350" cy="3365500"/>
                    </a:xfrm>
                    <a:prstGeom prst="rect">
                      <a:avLst/>
                    </a:prstGeom>
                    <a:noFill/>
                    <a:ln>
                      <a:noFill/>
                    </a:ln>
                    <a:extLst>
                      <a:ext uri="{53640926-AAD7-44D8-BBD7-CCE9431645EC}">
                        <a14:shadowObscured xmlns:a14="http://schemas.microsoft.com/office/drawing/2010/main"/>
                      </a:ext>
                    </a:extLst>
                  </pic:spPr>
                </pic:pic>
              </a:graphicData>
            </a:graphic>
          </wp:inline>
        </w:drawing>
      </w:r>
    </w:p>
    <w:p w14:paraId="62C8DA36" w14:textId="77777777" w:rsidR="00E310DF" w:rsidRDefault="00E310DF" w:rsidP="00E310DF">
      <w:pPr>
        <w:ind w:firstLine="709"/>
        <w:jc w:val="center"/>
        <w:rPr>
          <w:sz w:val="22"/>
          <w:szCs w:val="22"/>
          <w:lang w:val="es-ES"/>
        </w:rPr>
      </w:pPr>
    </w:p>
    <w:p w14:paraId="4E682BC6" w14:textId="77777777" w:rsidR="00E310DF" w:rsidRDefault="00E310DF" w:rsidP="00E310DF">
      <w:pPr>
        <w:ind w:firstLine="709"/>
        <w:jc w:val="both"/>
        <w:rPr>
          <w:sz w:val="22"/>
          <w:szCs w:val="22"/>
          <w:lang w:val="es-ES"/>
        </w:rPr>
      </w:pPr>
      <w:proofErr w:type="gramStart"/>
      <w:r>
        <w:rPr>
          <w:sz w:val="22"/>
          <w:szCs w:val="22"/>
          <w:lang w:val="es-ES"/>
        </w:rPr>
        <w:t>Nota :</w:t>
      </w:r>
      <w:proofErr w:type="gramEnd"/>
      <w:r>
        <w:rPr>
          <w:sz w:val="22"/>
          <w:szCs w:val="22"/>
          <w:lang w:val="es-ES"/>
        </w:rPr>
        <w:t xml:space="preserve">  En el caso de los Juzgados Mixtos de Familia, el expediente puede ser devuelto a la persona Coordinadora Judicial en la tarea </w:t>
      </w:r>
      <w:r>
        <w:rPr>
          <w:i/>
          <w:iCs/>
          <w:sz w:val="22"/>
          <w:szCs w:val="22"/>
          <w:lang w:val="es-ES"/>
        </w:rPr>
        <w:t xml:space="preserve">“Sentencia Dictada- Actualizar libro”, </w:t>
      </w:r>
      <w:r>
        <w:rPr>
          <w:sz w:val="22"/>
          <w:szCs w:val="22"/>
          <w:lang w:val="es-ES"/>
        </w:rPr>
        <w:t>que tienen habilitada para esos efectos</w:t>
      </w:r>
      <w:r>
        <w:rPr>
          <w:i/>
          <w:iCs/>
          <w:sz w:val="22"/>
          <w:szCs w:val="22"/>
          <w:lang w:val="es-ES"/>
        </w:rPr>
        <w:t>.</w:t>
      </w:r>
    </w:p>
    <w:p w14:paraId="0D6422D3" w14:textId="37A41BAD" w:rsidR="00E310DF" w:rsidRDefault="00E310DF" w:rsidP="00E310DF">
      <w:pPr>
        <w:ind w:firstLine="709"/>
        <w:rPr>
          <w:sz w:val="22"/>
          <w:szCs w:val="22"/>
          <w:lang w:val="es-ES"/>
        </w:rPr>
      </w:pPr>
    </w:p>
    <w:p w14:paraId="5598AE9A" w14:textId="77777777" w:rsidR="00E310DF" w:rsidRDefault="00E310DF" w:rsidP="00E310DF">
      <w:pPr>
        <w:widowControl/>
        <w:numPr>
          <w:ilvl w:val="0"/>
          <w:numId w:val="5"/>
        </w:numPr>
        <w:suppressAutoHyphens w:val="0"/>
        <w:ind w:left="0" w:firstLine="0"/>
        <w:jc w:val="both"/>
        <w:rPr>
          <w:sz w:val="22"/>
          <w:szCs w:val="22"/>
          <w:lang w:val="es-ES"/>
        </w:rPr>
      </w:pPr>
      <w:r>
        <w:rPr>
          <w:b/>
          <w:bCs/>
          <w:sz w:val="22"/>
          <w:szCs w:val="22"/>
          <w:lang w:val="es-ES"/>
        </w:rPr>
        <w:t>Ingreso en módulo de pase a fallo una vez celebrada una audiencia por la persona juzgadora:</w:t>
      </w:r>
    </w:p>
    <w:p w14:paraId="5D6F1B64" w14:textId="2DC6844E" w:rsidR="00E310DF" w:rsidRDefault="00E310DF" w:rsidP="00E310DF">
      <w:pPr>
        <w:ind w:firstLine="709"/>
        <w:jc w:val="both"/>
        <w:rPr>
          <w:sz w:val="22"/>
          <w:szCs w:val="22"/>
          <w:lang w:val="es-ES"/>
        </w:rPr>
      </w:pPr>
    </w:p>
    <w:p w14:paraId="0A7AB62E" w14:textId="77777777" w:rsidR="00E310DF" w:rsidRDefault="00E310DF" w:rsidP="00E310DF">
      <w:pPr>
        <w:ind w:firstLine="709"/>
        <w:jc w:val="both"/>
        <w:rPr>
          <w:sz w:val="22"/>
          <w:szCs w:val="22"/>
          <w:lang w:val="es-ES"/>
        </w:rPr>
      </w:pPr>
      <w:r>
        <w:rPr>
          <w:sz w:val="22"/>
          <w:szCs w:val="22"/>
          <w:lang w:val="es-ES"/>
        </w:rPr>
        <w:t>Cuando la persona juzgadora realiza una audiencia, previo a dictar la resolución que ponga termino a la causa, debe realizar un cambio de ubicación del expediente y pasarla a su misma ubicación, pero a la tarea “</w:t>
      </w:r>
      <w:r>
        <w:rPr>
          <w:i/>
          <w:iCs/>
          <w:sz w:val="22"/>
          <w:szCs w:val="22"/>
          <w:lang w:val="es-ES"/>
        </w:rPr>
        <w:t>“</w:t>
      </w:r>
      <w:proofErr w:type="spellStart"/>
      <w:r>
        <w:rPr>
          <w:i/>
          <w:iCs/>
          <w:sz w:val="22"/>
          <w:szCs w:val="22"/>
          <w:lang w:val="es-ES"/>
        </w:rPr>
        <w:t>Exp</w:t>
      </w:r>
      <w:proofErr w:type="spellEnd"/>
      <w:r>
        <w:rPr>
          <w:i/>
          <w:iCs/>
          <w:sz w:val="22"/>
          <w:szCs w:val="22"/>
          <w:lang w:val="es-ES"/>
        </w:rPr>
        <w:t>. Listo para fallar-</w:t>
      </w:r>
      <w:proofErr w:type="spellStart"/>
      <w:r>
        <w:rPr>
          <w:i/>
          <w:iCs/>
          <w:sz w:val="22"/>
          <w:szCs w:val="22"/>
          <w:lang w:val="es-ES"/>
        </w:rPr>
        <w:t>xxxxxxxx</w:t>
      </w:r>
      <w:proofErr w:type="spellEnd"/>
      <w:r>
        <w:rPr>
          <w:sz w:val="22"/>
          <w:szCs w:val="22"/>
          <w:lang w:val="es-ES"/>
        </w:rPr>
        <w:t xml:space="preserve">” que corresponda.   De esta forma se realiza el registro en el módulo de pase a fallo del Escritorio Virtual y se contabiliza para la persona juzgadora el expediente fallado.  </w:t>
      </w:r>
    </w:p>
    <w:p w14:paraId="20ABB6F0" w14:textId="33CE709D" w:rsidR="00E310DF" w:rsidRDefault="00E310DF" w:rsidP="00E310DF">
      <w:pPr>
        <w:ind w:firstLine="709"/>
        <w:jc w:val="both"/>
        <w:rPr>
          <w:sz w:val="22"/>
          <w:szCs w:val="22"/>
          <w:lang w:val="es-ES"/>
        </w:rPr>
      </w:pPr>
    </w:p>
    <w:p w14:paraId="7695DFD0" w14:textId="00E167E3" w:rsidR="00E310DF" w:rsidRDefault="00E310DF" w:rsidP="00E310DF">
      <w:pPr>
        <w:jc w:val="both"/>
        <w:rPr>
          <w:sz w:val="22"/>
          <w:szCs w:val="22"/>
          <w:lang w:val="es-ES"/>
        </w:rPr>
      </w:pPr>
      <w:r>
        <w:rPr>
          <w:b/>
          <w:bCs/>
          <w:sz w:val="22"/>
          <w:szCs w:val="22"/>
          <w:lang w:val="es-ES"/>
        </w:rPr>
        <w:t>Generalidades:</w:t>
      </w:r>
    </w:p>
    <w:p w14:paraId="6EB82B77" w14:textId="11C30D6E" w:rsidR="00E310DF" w:rsidRDefault="00E310DF" w:rsidP="00E310DF">
      <w:pPr>
        <w:ind w:firstLine="709"/>
        <w:jc w:val="both"/>
        <w:rPr>
          <w:sz w:val="22"/>
          <w:szCs w:val="22"/>
          <w:lang w:val="es-ES"/>
        </w:rPr>
      </w:pPr>
    </w:p>
    <w:p w14:paraId="2A686CA4" w14:textId="77777777" w:rsidR="00E310DF" w:rsidRDefault="00E310DF" w:rsidP="00E310DF">
      <w:pPr>
        <w:ind w:firstLine="709"/>
        <w:jc w:val="both"/>
        <w:rPr>
          <w:sz w:val="22"/>
          <w:szCs w:val="22"/>
          <w:lang w:val="es-ES"/>
        </w:rPr>
      </w:pPr>
      <w:r>
        <w:rPr>
          <w:sz w:val="22"/>
          <w:szCs w:val="22"/>
          <w:lang w:val="es-ES"/>
        </w:rPr>
        <w:t xml:space="preserve">La tarea </w:t>
      </w:r>
      <w:r>
        <w:rPr>
          <w:i/>
          <w:iCs/>
          <w:sz w:val="22"/>
          <w:szCs w:val="22"/>
          <w:lang w:val="es-ES"/>
        </w:rPr>
        <w:t>“</w:t>
      </w:r>
      <w:proofErr w:type="spellStart"/>
      <w:r>
        <w:rPr>
          <w:i/>
          <w:iCs/>
          <w:sz w:val="22"/>
          <w:szCs w:val="22"/>
          <w:lang w:val="es-ES"/>
        </w:rPr>
        <w:t>Exp</w:t>
      </w:r>
      <w:proofErr w:type="spellEnd"/>
      <w:r>
        <w:rPr>
          <w:i/>
          <w:iCs/>
          <w:sz w:val="22"/>
          <w:szCs w:val="22"/>
          <w:lang w:val="es-ES"/>
        </w:rPr>
        <w:t>. Listo para fallar e ingresar al libro fallo electrónico</w:t>
      </w:r>
      <w:r>
        <w:rPr>
          <w:sz w:val="22"/>
          <w:szCs w:val="22"/>
          <w:lang w:val="es-ES"/>
        </w:rPr>
        <w:t xml:space="preserve">” NO debe utilizarse a partir de la configuración de la mejora de pase a fallo por tareas.  </w:t>
      </w:r>
    </w:p>
    <w:p w14:paraId="031CA586" w14:textId="02E6F900" w:rsidR="00E310DF" w:rsidRDefault="00E310DF" w:rsidP="00E310DF">
      <w:pPr>
        <w:ind w:firstLine="709"/>
        <w:jc w:val="both"/>
        <w:rPr>
          <w:sz w:val="22"/>
          <w:szCs w:val="22"/>
          <w:lang w:val="es-ES"/>
        </w:rPr>
      </w:pPr>
    </w:p>
    <w:p w14:paraId="7D06C644" w14:textId="77777777" w:rsidR="00E310DF" w:rsidRDefault="00E310DF" w:rsidP="00E310DF">
      <w:pPr>
        <w:ind w:firstLine="709"/>
        <w:jc w:val="both"/>
        <w:rPr>
          <w:sz w:val="22"/>
          <w:szCs w:val="22"/>
          <w:lang w:val="es-ES"/>
        </w:rPr>
      </w:pPr>
      <w:r>
        <w:rPr>
          <w:sz w:val="22"/>
          <w:szCs w:val="22"/>
          <w:lang w:val="es-ES"/>
        </w:rPr>
        <w:t xml:space="preserve">Por lo tanto, las oficinas que mantengan expedientes en la tarea </w:t>
      </w:r>
      <w:r>
        <w:rPr>
          <w:i/>
          <w:iCs/>
          <w:sz w:val="22"/>
          <w:szCs w:val="22"/>
          <w:lang w:val="es-ES"/>
        </w:rPr>
        <w:t>“</w:t>
      </w:r>
      <w:proofErr w:type="spellStart"/>
      <w:r>
        <w:rPr>
          <w:i/>
          <w:iCs/>
          <w:sz w:val="22"/>
          <w:szCs w:val="22"/>
          <w:lang w:val="es-ES"/>
        </w:rPr>
        <w:t>Exp</w:t>
      </w:r>
      <w:proofErr w:type="spellEnd"/>
      <w:r>
        <w:rPr>
          <w:i/>
          <w:iCs/>
          <w:sz w:val="22"/>
          <w:szCs w:val="22"/>
          <w:lang w:val="es-ES"/>
        </w:rPr>
        <w:t>. Listo para fallar e ingresar al libro fallo electrónico”</w:t>
      </w:r>
      <w:r>
        <w:rPr>
          <w:sz w:val="22"/>
          <w:szCs w:val="22"/>
          <w:lang w:val="es-ES"/>
        </w:rPr>
        <w:t xml:space="preserve"> para evitar errores en los registros, deben trasladar los expedientes a la tarea </w:t>
      </w:r>
      <w:r>
        <w:rPr>
          <w:i/>
          <w:iCs/>
          <w:sz w:val="22"/>
          <w:szCs w:val="22"/>
          <w:lang w:val="es-ES"/>
        </w:rPr>
        <w:t>“Enviar a fallo”.</w:t>
      </w:r>
      <w:r>
        <w:rPr>
          <w:sz w:val="22"/>
          <w:szCs w:val="22"/>
          <w:lang w:val="es-ES"/>
        </w:rPr>
        <w:t xml:space="preserve"> </w:t>
      </w:r>
    </w:p>
    <w:p w14:paraId="07F10E94" w14:textId="71EB25C7" w:rsidR="00E310DF" w:rsidRDefault="00E310DF" w:rsidP="00E310DF">
      <w:pPr>
        <w:ind w:firstLine="709"/>
        <w:jc w:val="both"/>
        <w:rPr>
          <w:sz w:val="22"/>
          <w:szCs w:val="22"/>
          <w:lang w:val="es-ES"/>
        </w:rPr>
      </w:pPr>
    </w:p>
    <w:p w14:paraId="45C8EF26" w14:textId="77777777" w:rsidR="00E310DF" w:rsidRDefault="00E310DF" w:rsidP="00E310DF">
      <w:pPr>
        <w:ind w:firstLine="709"/>
        <w:jc w:val="both"/>
        <w:rPr>
          <w:sz w:val="22"/>
          <w:szCs w:val="22"/>
          <w:lang w:val="es-ES"/>
        </w:rPr>
      </w:pPr>
      <w:r>
        <w:rPr>
          <w:sz w:val="22"/>
          <w:szCs w:val="22"/>
          <w:lang w:val="es-ES"/>
        </w:rPr>
        <w:t xml:space="preserve">Una vez hecho lo anterior, deben desasociar del sistema la tarea </w:t>
      </w:r>
      <w:r>
        <w:rPr>
          <w:i/>
          <w:iCs/>
          <w:sz w:val="22"/>
          <w:szCs w:val="22"/>
          <w:lang w:val="es-ES"/>
        </w:rPr>
        <w:t>“</w:t>
      </w:r>
      <w:proofErr w:type="spellStart"/>
      <w:r>
        <w:rPr>
          <w:i/>
          <w:iCs/>
          <w:sz w:val="22"/>
          <w:szCs w:val="22"/>
          <w:lang w:val="es-ES"/>
        </w:rPr>
        <w:t>Exp</w:t>
      </w:r>
      <w:proofErr w:type="spellEnd"/>
      <w:r>
        <w:rPr>
          <w:i/>
          <w:iCs/>
          <w:sz w:val="22"/>
          <w:szCs w:val="22"/>
          <w:lang w:val="es-ES"/>
        </w:rPr>
        <w:t>. Listo para fallar e ingresar al libro fallo electrónico”</w:t>
      </w:r>
      <w:r>
        <w:rPr>
          <w:sz w:val="22"/>
          <w:szCs w:val="22"/>
          <w:lang w:val="es-ES"/>
        </w:rPr>
        <w:t xml:space="preserve"> (para que ya no pueda utilizarse) e informar a DTI Regional para que corrobore que se realizó correctamente.</w:t>
      </w:r>
    </w:p>
    <w:p w14:paraId="488B652A" w14:textId="651526A6" w:rsidR="00E310DF" w:rsidRDefault="00E310DF" w:rsidP="00E310DF">
      <w:pPr>
        <w:ind w:firstLine="709"/>
        <w:jc w:val="both"/>
        <w:rPr>
          <w:sz w:val="22"/>
          <w:szCs w:val="22"/>
          <w:lang w:val="es-ES"/>
        </w:rPr>
      </w:pPr>
    </w:p>
    <w:p w14:paraId="26B4C65D" w14:textId="77777777" w:rsidR="00E310DF" w:rsidRDefault="00E310DF" w:rsidP="00E310DF">
      <w:pPr>
        <w:ind w:firstLine="709"/>
        <w:jc w:val="both"/>
        <w:rPr>
          <w:sz w:val="22"/>
          <w:szCs w:val="22"/>
          <w:lang w:val="es-ES"/>
        </w:rPr>
      </w:pPr>
      <w:r>
        <w:rPr>
          <w:sz w:val="22"/>
          <w:szCs w:val="22"/>
          <w:lang w:val="es-ES"/>
        </w:rPr>
        <w:t>El registro de la información en el libro de pase a fallo y en el archivo de formato Excel se realizará de manera paralela, hasta tanto el Subproceso de Estadística de la Dirección de Planificación valide que la información registrada coindice con la realidad de la oficina (uso adecuado de la mejora de pase a fallo del Escritorio Virtual) y comunique oficialmente a las oficinas que pueden cesar el registro paralelo, lo anterior de conformidad con el acuerdo del Consejo Superior en sesión 97-2020 celebrada el 08 de octubre del 2020, artículo LI.</w:t>
      </w:r>
    </w:p>
    <w:p w14:paraId="002AA9EB" w14:textId="77777777" w:rsidR="00E310DF" w:rsidRDefault="00E310DF" w:rsidP="00E310DF">
      <w:pPr>
        <w:ind w:firstLine="709"/>
        <w:jc w:val="both"/>
        <w:rPr>
          <w:sz w:val="22"/>
          <w:szCs w:val="22"/>
          <w:lang w:val="es-ES"/>
        </w:rPr>
      </w:pPr>
    </w:p>
    <w:p w14:paraId="7FC53E76" w14:textId="77777777" w:rsidR="00E310DF" w:rsidRDefault="00E310DF" w:rsidP="00E310DF">
      <w:pPr>
        <w:widowControl/>
        <w:numPr>
          <w:ilvl w:val="0"/>
          <w:numId w:val="6"/>
        </w:numPr>
        <w:suppressAutoHyphens w:val="0"/>
        <w:ind w:left="0" w:firstLine="0"/>
        <w:jc w:val="both"/>
        <w:rPr>
          <w:sz w:val="22"/>
          <w:szCs w:val="22"/>
          <w:lang w:val="es-ES"/>
        </w:rPr>
      </w:pPr>
      <w:r>
        <w:rPr>
          <w:b/>
          <w:bCs/>
          <w:sz w:val="22"/>
          <w:szCs w:val="22"/>
          <w:lang w:val="es-ES"/>
        </w:rPr>
        <w:t xml:space="preserve">Registro de asuntos pendientes de dictar sentencia, pero ya pasados a fallo (módulo de Escritorio Virtual) en donde se requiera trasladar para ser atendidos por personas juzgadoras de apoyo (programa contra el retraso judicial del CAMCFJ, supernumerarios de la Administración Regional, entre otros). </w:t>
      </w:r>
    </w:p>
    <w:p w14:paraId="4CFA2782" w14:textId="77777777" w:rsidR="00E310DF" w:rsidRDefault="00E310DF" w:rsidP="00E310DF">
      <w:pPr>
        <w:jc w:val="both"/>
        <w:rPr>
          <w:sz w:val="22"/>
          <w:szCs w:val="22"/>
          <w:lang w:val="es-ES"/>
        </w:rPr>
      </w:pPr>
    </w:p>
    <w:p w14:paraId="33CA8B02" w14:textId="77777777" w:rsidR="00E310DF" w:rsidRDefault="00E310DF" w:rsidP="00E310DF">
      <w:pPr>
        <w:jc w:val="both"/>
        <w:rPr>
          <w:sz w:val="22"/>
          <w:szCs w:val="22"/>
          <w:lang w:val="es-ES"/>
        </w:rPr>
      </w:pPr>
      <w:r>
        <w:rPr>
          <w:sz w:val="22"/>
          <w:szCs w:val="22"/>
          <w:lang w:val="es-ES"/>
        </w:rPr>
        <w:t>El procedimiento por realizar es:</w:t>
      </w:r>
    </w:p>
    <w:p w14:paraId="7C438AF6" w14:textId="77777777" w:rsidR="00E310DF" w:rsidRDefault="00E310DF" w:rsidP="00E310DF">
      <w:pPr>
        <w:jc w:val="both"/>
        <w:rPr>
          <w:sz w:val="22"/>
          <w:szCs w:val="22"/>
          <w:lang w:val="es-ES"/>
        </w:rPr>
      </w:pPr>
    </w:p>
    <w:p w14:paraId="46370B42" w14:textId="77777777" w:rsidR="00E310DF" w:rsidRDefault="00E310DF" w:rsidP="00E310DF">
      <w:pPr>
        <w:widowControl/>
        <w:numPr>
          <w:ilvl w:val="0"/>
          <w:numId w:val="7"/>
        </w:numPr>
        <w:suppressAutoHyphens w:val="0"/>
        <w:ind w:left="0" w:firstLine="0"/>
        <w:jc w:val="both"/>
        <w:rPr>
          <w:sz w:val="22"/>
          <w:szCs w:val="22"/>
          <w:lang w:val="es-ES"/>
        </w:rPr>
      </w:pPr>
      <w:r>
        <w:rPr>
          <w:sz w:val="22"/>
          <w:szCs w:val="22"/>
          <w:lang w:val="es-ES"/>
        </w:rPr>
        <w:t>Se identifican los expedientes a pasar.</w:t>
      </w:r>
    </w:p>
    <w:p w14:paraId="48B7C19C" w14:textId="77777777" w:rsidR="00E310DF" w:rsidRDefault="00E310DF" w:rsidP="00E310DF">
      <w:pPr>
        <w:jc w:val="both"/>
        <w:rPr>
          <w:sz w:val="22"/>
          <w:szCs w:val="22"/>
          <w:lang w:val="es-ES"/>
        </w:rPr>
      </w:pPr>
    </w:p>
    <w:p w14:paraId="4C8B6752" w14:textId="68AC66D9" w:rsidR="00E310DF" w:rsidRDefault="00E310DF" w:rsidP="00E310DF">
      <w:pPr>
        <w:widowControl/>
        <w:numPr>
          <w:ilvl w:val="0"/>
          <w:numId w:val="7"/>
        </w:numPr>
        <w:suppressAutoHyphens w:val="0"/>
        <w:ind w:left="0" w:firstLine="0"/>
        <w:jc w:val="both"/>
        <w:rPr>
          <w:sz w:val="22"/>
          <w:szCs w:val="22"/>
          <w:lang w:val="es-ES"/>
        </w:rPr>
      </w:pPr>
      <w:r>
        <w:rPr>
          <w:sz w:val="22"/>
          <w:szCs w:val="22"/>
          <w:lang w:val="es-ES"/>
        </w:rPr>
        <w:t xml:space="preserve">Se le hace un cambio de ubicación y se le asigna a la persona juzgadora de apoyo, en la tarea </w:t>
      </w:r>
      <w:r>
        <w:rPr>
          <w:i/>
          <w:iCs/>
          <w:sz w:val="22"/>
          <w:szCs w:val="22"/>
          <w:lang w:val="es-ES"/>
        </w:rPr>
        <w:t>“</w:t>
      </w:r>
      <w:proofErr w:type="spellStart"/>
      <w:r>
        <w:rPr>
          <w:i/>
          <w:iCs/>
          <w:sz w:val="22"/>
          <w:szCs w:val="22"/>
          <w:lang w:val="es-ES"/>
        </w:rPr>
        <w:t>Exp</w:t>
      </w:r>
      <w:proofErr w:type="spellEnd"/>
      <w:r>
        <w:rPr>
          <w:i/>
          <w:iCs/>
          <w:sz w:val="22"/>
          <w:szCs w:val="22"/>
          <w:lang w:val="es-ES"/>
        </w:rPr>
        <w:t>. Listo para fallar-</w:t>
      </w:r>
      <w:proofErr w:type="spellStart"/>
      <w:r>
        <w:rPr>
          <w:i/>
          <w:iCs/>
          <w:sz w:val="22"/>
          <w:szCs w:val="22"/>
          <w:lang w:val="es-ES"/>
        </w:rPr>
        <w:t>xxxxxxxx</w:t>
      </w:r>
      <w:proofErr w:type="spellEnd"/>
      <w:r>
        <w:rPr>
          <w:sz w:val="22"/>
          <w:szCs w:val="22"/>
          <w:lang w:val="es-ES"/>
        </w:rPr>
        <w:t>” que corresponda.</w:t>
      </w:r>
    </w:p>
    <w:p w14:paraId="1B0792FA" w14:textId="77777777" w:rsidR="00E310DF" w:rsidRDefault="00E310DF" w:rsidP="00E310DF">
      <w:pPr>
        <w:ind w:firstLine="709"/>
        <w:jc w:val="both"/>
        <w:rPr>
          <w:sz w:val="22"/>
          <w:szCs w:val="22"/>
          <w:lang w:val="es-ES"/>
        </w:rPr>
      </w:pPr>
      <w:r>
        <w:rPr>
          <w:sz w:val="22"/>
          <w:szCs w:val="22"/>
          <w:lang w:val="es-ES"/>
        </w:rPr>
        <w:t> </w:t>
      </w:r>
    </w:p>
    <w:p w14:paraId="39301FEC" w14:textId="488796C2" w:rsidR="00F6713A" w:rsidRPr="000B79D2" w:rsidRDefault="00E310DF" w:rsidP="000B79D2">
      <w:pPr>
        <w:shd w:val="clear" w:color="auto" w:fill="FFFFFF"/>
        <w:jc w:val="both"/>
        <w:rPr>
          <w:rFonts w:eastAsiaTheme="minorHAnsi"/>
          <w:lang w:val="es-MX"/>
        </w:rPr>
      </w:pPr>
      <w:r>
        <w:rPr>
          <w:sz w:val="22"/>
          <w:szCs w:val="22"/>
          <w:lang w:val="es-ES"/>
        </w:rPr>
        <w:t>De esta forma se realiza el registro en el módulo de pase a fallo del cambio en la persona responsable y documenta la Jueza o Juez que redacta finalmente la sentencia</w:t>
      </w:r>
      <w:r w:rsidR="00F6713A" w:rsidRPr="000B79D2">
        <w:rPr>
          <w:color w:val="000000"/>
          <w:lang w:val="es-MX"/>
        </w:rPr>
        <w:t>”.</w:t>
      </w:r>
    </w:p>
    <w:p w14:paraId="11BDC938" w14:textId="7801A69D" w:rsidR="004B3975" w:rsidRPr="000B79D2" w:rsidRDefault="004B3975" w:rsidP="000B79D2">
      <w:pPr>
        <w:widowControl/>
        <w:suppressAutoHyphens w:val="0"/>
        <w:ind w:left="851" w:right="851" w:firstLine="709"/>
        <w:jc w:val="both"/>
        <w:rPr>
          <w:rFonts w:eastAsia="Times New Roman"/>
          <w:kern w:val="0"/>
          <w:lang w:val="es-CR"/>
        </w:rPr>
      </w:pPr>
    </w:p>
    <w:p w14:paraId="38DD21B1" w14:textId="77777777" w:rsidR="005B2A04" w:rsidRPr="000B79D2" w:rsidRDefault="005B2A04" w:rsidP="000B79D2">
      <w:pPr>
        <w:jc w:val="both"/>
        <w:rPr>
          <w:b/>
        </w:rPr>
      </w:pPr>
      <w:r w:rsidRPr="000B79D2">
        <w:rPr>
          <w:b/>
        </w:rPr>
        <w:t xml:space="preserve">De conformidad con la circular N° 67-09 emitida por la Secretaría de la Corte el 22 de junio de 2009, se le comunica que en virtud del principio de gratuidad que rige esta materia, la publicación está exenta de todo pago de derechos. </w:t>
      </w:r>
    </w:p>
    <w:p w14:paraId="1C305E1A" w14:textId="77777777" w:rsidR="008D52E2" w:rsidRDefault="008D52E2" w:rsidP="000B79D2">
      <w:pPr>
        <w:jc w:val="both"/>
        <w:rPr>
          <w:b/>
        </w:rPr>
      </w:pPr>
    </w:p>
    <w:p w14:paraId="16624D8F" w14:textId="3E1DE6E9" w:rsidR="005B2A04" w:rsidRPr="000B79D2" w:rsidRDefault="005B2A04" w:rsidP="000B79D2">
      <w:pPr>
        <w:jc w:val="both"/>
        <w:rPr>
          <w:b/>
          <w:lang w:val="es-ES" w:eastAsia="zh-CN"/>
        </w:rPr>
      </w:pPr>
      <w:r w:rsidRPr="000B79D2">
        <w:rPr>
          <w:b/>
        </w:rPr>
        <w:t>Publíquese una sola vez en el Boletín Judicial.</w:t>
      </w:r>
    </w:p>
    <w:p w14:paraId="3781A8EE" w14:textId="77777777" w:rsidR="008A322E" w:rsidRPr="000B79D2" w:rsidRDefault="008A322E" w:rsidP="000B79D2">
      <w:pPr>
        <w:widowControl/>
        <w:suppressAutoHyphens w:val="0"/>
        <w:autoSpaceDE w:val="0"/>
        <w:autoSpaceDN w:val="0"/>
        <w:adjustRightInd w:val="0"/>
        <w:jc w:val="both"/>
        <w:rPr>
          <w:b/>
          <w:bCs/>
        </w:rPr>
      </w:pPr>
    </w:p>
    <w:p w14:paraId="207938E2" w14:textId="7DB7C1F0" w:rsidR="00635892" w:rsidRPr="000B79D2" w:rsidRDefault="00635892" w:rsidP="000B79D2">
      <w:pPr>
        <w:widowControl/>
        <w:suppressAutoHyphens w:val="0"/>
        <w:autoSpaceDE w:val="0"/>
        <w:autoSpaceDN w:val="0"/>
        <w:adjustRightInd w:val="0"/>
        <w:jc w:val="both"/>
        <w:rPr>
          <w:rFonts w:eastAsia="Times New Roman"/>
          <w:kern w:val="0"/>
          <w:lang w:eastAsia="es-ES"/>
        </w:rPr>
      </w:pPr>
      <w:r w:rsidRPr="000B79D2">
        <w:rPr>
          <w:b/>
          <w:bCs/>
        </w:rPr>
        <w:t xml:space="preserve">San José, </w:t>
      </w:r>
      <w:r w:rsidR="00B70984">
        <w:rPr>
          <w:b/>
          <w:bCs/>
        </w:rPr>
        <w:t>2</w:t>
      </w:r>
      <w:r w:rsidR="00E310DF">
        <w:rPr>
          <w:b/>
          <w:bCs/>
        </w:rPr>
        <w:t xml:space="preserve"> de abril de 2021</w:t>
      </w:r>
      <w:r w:rsidRPr="000B79D2">
        <w:rPr>
          <w:b/>
          <w:bCs/>
        </w:rPr>
        <w:t>.</w:t>
      </w:r>
    </w:p>
    <w:p w14:paraId="35443D76" w14:textId="77777777" w:rsidR="008D52E2" w:rsidRPr="000B79D2" w:rsidRDefault="008D52E2" w:rsidP="000B79D2">
      <w:pPr>
        <w:spacing w:before="100" w:beforeAutospacing="1" w:after="100" w:afterAutospacing="1"/>
        <w:ind w:firstLine="567"/>
        <w:jc w:val="both"/>
        <w:rPr>
          <w:b/>
          <w:bCs/>
          <w:lang w:val="es-ES"/>
        </w:rPr>
      </w:pPr>
    </w:p>
    <w:p w14:paraId="723442CA" w14:textId="77777777" w:rsidR="00635892" w:rsidRPr="000B79D2" w:rsidRDefault="00635892" w:rsidP="008D52E2">
      <w:pPr>
        <w:ind w:firstLine="567"/>
        <w:jc w:val="center"/>
        <w:rPr>
          <w:b/>
          <w:bCs/>
          <w:lang w:val="pt-BR"/>
        </w:rPr>
      </w:pPr>
      <w:r w:rsidRPr="000B79D2">
        <w:rPr>
          <w:b/>
          <w:bCs/>
          <w:lang w:val="pt-BR"/>
        </w:rPr>
        <w:t xml:space="preserve">Lic. </w:t>
      </w:r>
      <w:r w:rsidR="008D5F5B" w:rsidRPr="000B79D2">
        <w:rPr>
          <w:b/>
          <w:bCs/>
          <w:lang w:val="pt-BR"/>
        </w:rPr>
        <w:t>Carlos T. Mora Rodríguez</w:t>
      </w:r>
    </w:p>
    <w:p w14:paraId="59F340A2" w14:textId="77777777" w:rsidR="00635892" w:rsidRPr="000B79D2" w:rsidRDefault="00635892" w:rsidP="008D52E2">
      <w:pPr>
        <w:ind w:firstLine="567"/>
        <w:jc w:val="center"/>
        <w:rPr>
          <w:b/>
          <w:bCs/>
          <w:lang w:val="pt-BR"/>
        </w:rPr>
      </w:pPr>
      <w:r w:rsidRPr="000B79D2">
        <w:rPr>
          <w:b/>
          <w:bCs/>
          <w:lang w:val="pt-BR"/>
        </w:rPr>
        <w:t>S</w:t>
      </w:r>
      <w:r w:rsidR="008D5F5B" w:rsidRPr="000B79D2">
        <w:rPr>
          <w:b/>
          <w:bCs/>
          <w:lang w:val="pt-BR"/>
        </w:rPr>
        <w:t>ubs</w:t>
      </w:r>
      <w:r w:rsidRPr="000B79D2">
        <w:rPr>
          <w:b/>
          <w:bCs/>
          <w:lang w:val="pt-BR"/>
        </w:rPr>
        <w:t>ecretari</w:t>
      </w:r>
      <w:r w:rsidR="008D5F5B" w:rsidRPr="000B79D2">
        <w:rPr>
          <w:b/>
          <w:bCs/>
          <w:lang w:val="pt-BR"/>
        </w:rPr>
        <w:t>o</w:t>
      </w:r>
      <w:r w:rsidRPr="000B79D2">
        <w:rPr>
          <w:b/>
          <w:bCs/>
          <w:lang w:val="pt-BR"/>
        </w:rPr>
        <w:t xml:space="preserve"> General</w:t>
      </w:r>
      <w:r w:rsidR="008D5F5B" w:rsidRPr="000B79D2">
        <w:rPr>
          <w:b/>
          <w:bCs/>
          <w:lang w:val="pt-BR"/>
        </w:rPr>
        <w:t xml:space="preserve"> interino</w:t>
      </w:r>
    </w:p>
    <w:p w14:paraId="64036D6D" w14:textId="77777777" w:rsidR="00635892" w:rsidRPr="000B79D2" w:rsidRDefault="00635892" w:rsidP="008D52E2">
      <w:pPr>
        <w:ind w:firstLine="567"/>
        <w:jc w:val="center"/>
        <w:rPr>
          <w:b/>
          <w:bCs/>
          <w:lang w:val="pt-BR"/>
        </w:rPr>
      </w:pPr>
      <w:r w:rsidRPr="000B79D2">
        <w:rPr>
          <w:b/>
          <w:bCs/>
          <w:lang w:val="pt-BR"/>
        </w:rPr>
        <w:t>Corte Suprema de Justicia</w:t>
      </w:r>
    </w:p>
    <w:p w14:paraId="7289E1FC" w14:textId="77777777" w:rsidR="00635892" w:rsidRPr="000B79D2" w:rsidRDefault="00635892" w:rsidP="000B79D2">
      <w:pPr>
        <w:ind w:left="142" w:right="141"/>
        <w:jc w:val="both"/>
        <w:rPr>
          <w:b/>
          <w:bCs/>
          <w:lang w:val="pt-BR"/>
        </w:rPr>
      </w:pPr>
    </w:p>
    <w:p w14:paraId="1C58A99B" w14:textId="4C0E9D87" w:rsidR="009C29C0" w:rsidRDefault="00635892" w:rsidP="000B79D2">
      <w:pPr>
        <w:pStyle w:val="NormalWeb"/>
        <w:spacing w:before="0" w:after="0"/>
        <w:ind w:left="142" w:right="141"/>
        <w:jc w:val="both"/>
        <w:rPr>
          <w:b/>
          <w:bCs/>
          <w:sz w:val="22"/>
          <w:szCs w:val="22"/>
          <w:lang w:val="es-ES"/>
        </w:rPr>
      </w:pPr>
      <w:r w:rsidRPr="000B79D2">
        <w:rPr>
          <w:i/>
          <w:lang w:val="pt-BR"/>
        </w:rPr>
        <w:t xml:space="preserve">Ref.: </w:t>
      </w:r>
      <w:r w:rsidR="00E310DF">
        <w:rPr>
          <w:b/>
          <w:bCs/>
          <w:sz w:val="22"/>
          <w:szCs w:val="22"/>
          <w:lang w:val="es-ES"/>
        </w:rPr>
        <w:t>5400-2020, 799, 1192-2021</w:t>
      </w:r>
    </w:p>
    <w:p w14:paraId="67BE2898" w14:textId="05284649" w:rsidR="00E310DF" w:rsidRDefault="00E310DF" w:rsidP="000B79D2">
      <w:pPr>
        <w:pStyle w:val="NormalWeb"/>
        <w:spacing w:before="0" w:after="0"/>
        <w:ind w:left="142" w:right="141"/>
        <w:jc w:val="both"/>
        <w:rPr>
          <w:lang w:val="pt-BR"/>
        </w:rPr>
      </w:pPr>
    </w:p>
    <w:p w14:paraId="751D03AE" w14:textId="450DDF29" w:rsidR="00E310DF" w:rsidRPr="00E310DF" w:rsidRDefault="00E310DF" w:rsidP="000B79D2">
      <w:pPr>
        <w:pStyle w:val="NormalWeb"/>
        <w:spacing w:before="0" w:after="0"/>
        <w:ind w:left="142" w:right="141"/>
        <w:jc w:val="both"/>
        <w:rPr>
          <w:b/>
          <w:bCs/>
          <w:i/>
          <w:iCs/>
          <w:lang w:val="pt-BR"/>
        </w:rPr>
      </w:pPr>
      <w:r w:rsidRPr="00E310DF">
        <w:rPr>
          <w:i/>
          <w:iCs/>
          <w:lang w:val="pt-BR"/>
        </w:rPr>
        <w:t xml:space="preserve">Andrea </w:t>
      </w:r>
    </w:p>
    <w:sectPr w:rsidR="00E310DF" w:rsidRPr="00E310DF" w:rsidSect="00B804DF">
      <w:headerReference w:type="default" r:id="rId8"/>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D2C8" w14:textId="77777777" w:rsidR="000440E2" w:rsidRDefault="000440E2">
      <w:r>
        <w:separator/>
      </w:r>
    </w:p>
  </w:endnote>
  <w:endnote w:type="continuationSeparator" w:id="0">
    <w:p w14:paraId="071E38CF" w14:textId="77777777" w:rsidR="000440E2" w:rsidRDefault="0004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EEE8" w14:textId="77777777" w:rsidR="000440E2" w:rsidRDefault="000440E2">
      <w:r>
        <w:separator/>
      </w:r>
    </w:p>
  </w:footnote>
  <w:footnote w:type="continuationSeparator" w:id="0">
    <w:p w14:paraId="1D9EE884" w14:textId="77777777" w:rsidR="000440E2" w:rsidRDefault="0004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7933" w14:textId="51FFC1B0" w:rsidR="00D44CFE" w:rsidRDefault="00F11405">
    <w:pPr>
      <w:pStyle w:val="Encabezado"/>
      <w:tabs>
        <w:tab w:val="clear" w:pos="4986"/>
        <w:tab w:val="clear" w:pos="9972"/>
        <w:tab w:val="left" w:pos="709"/>
        <w:tab w:val="center" w:pos="4419"/>
        <w:tab w:val="right" w:pos="8838"/>
      </w:tabs>
    </w:pPr>
    <w:r>
      <w:rPr>
        <w:noProof/>
        <w:lang w:val="es-CR"/>
      </w:rPr>
      <mc:AlternateContent>
        <mc:Choice Requires="wps">
          <w:drawing>
            <wp:anchor distT="0" distB="0" distL="114935" distR="114935" simplePos="0" relativeHeight="251657728" behindDoc="1" locked="0" layoutInCell="1" allowOverlap="1" wp14:anchorId="4E673FE9" wp14:editId="3F08DC7F">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FB9" w14:textId="3ADA60CB" w:rsidR="00D44CFE" w:rsidRDefault="00F11405">
                          <w:r>
                            <w:rPr>
                              <w:noProof/>
                              <w:lang w:val="es-CR"/>
                            </w:rPr>
                            <w:drawing>
                              <wp:inline distT="0" distB="0" distL="0" distR="0" wp14:anchorId="07639241" wp14:editId="6B411548">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E673FE9"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6A0BAFB9" w14:textId="3ADA60CB" w:rsidR="00D44CFE" w:rsidRDefault="00F11405">
                    <w:r>
                      <w:rPr>
                        <w:noProof/>
                      </w:rPr>
                      <w:drawing>
                        <wp:inline distT="0" distB="0" distL="0" distR="0" wp14:anchorId="07639241" wp14:editId="6B411548">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30E28FB1"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EAF54EF"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1079"/>
    <w:multiLevelType w:val="multilevel"/>
    <w:tmpl w:val="545A5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049F"/>
    <w:multiLevelType w:val="hybridMultilevel"/>
    <w:tmpl w:val="CC683F6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300444E1"/>
    <w:multiLevelType w:val="multilevel"/>
    <w:tmpl w:val="37644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82662"/>
    <w:multiLevelType w:val="multilevel"/>
    <w:tmpl w:val="811A6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F1"/>
    <w:rsid w:val="00005DBB"/>
    <w:rsid w:val="00010D3D"/>
    <w:rsid w:val="000405C8"/>
    <w:rsid w:val="000440E2"/>
    <w:rsid w:val="00045081"/>
    <w:rsid w:val="00047F88"/>
    <w:rsid w:val="00064E7C"/>
    <w:rsid w:val="000702C6"/>
    <w:rsid w:val="0007249A"/>
    <w:rsid w:val="00090BD7"/>
    <w:rsid w:val="000913E8"/>
    <w:rsid w:val="0009588A"/>
    <w:rsid w:val="000A240D"/>
    <w:rsid w:val="000B174C"/>
    <w:rsid w:val="000B628E"/>
    <w:rsid w:val="000B79D2"/>
    <w:rsid w:val="000C1E97"/>
    <w:rsid w:val="000C4BB9"/>
    <w:rsid w:val="000C7EEA"/>
    <w:rsid w:val="000D3CD0"/>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E76F2"/>
    <w:rsid w:val="001F1B22"/>
    <w:rsid w:val="00204912"/>
    <w:rsid w:val="002131FA"/>
    <w:rsid w:val="00214880"/>
    <w:rsid w:val="00224481"/>
    <w:rsid w:val="002359A4"/>
    <w:rsid w:val="002367C2"/>
    <w:rsid w:val="002373D7"/>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3768"/>
    <w:rsid w:val="002B4CE4"/>
    <w:rsid w:val="002C23C5"/>
    <w:rsid w:val="002C4203"/>
    <w:rsid w:val="002C7C70"/>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7067"/>
    <w:rsid w:val="003F24BA"/>
    <w:rsid w:val="003F725D"/>
    <w:rsid w:val="004000A6"/>
    <w:rsid w:val="00406BD2"/>
    <w:rsid w:val="00410E73"/>
    <w:rsid w:val="00411622"/>
    <w:rsid w:val="004157BB"/>
    <w:rsid w:val="0041588F"/>
    <w:rsid w:val="00416D48"/>
    <w:rsid w:val="00417FCE"/>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73A7"/>
    <w:rsid w:val="004F00CB"/>
    <w:rsid w:val="004F31AA"/>
    <w:rsid w:val="00500CE7"/>
    <w:rsid w:val="005034C4"/>
    <w:rsid w:val="0051662F"/>
    <w:rsid w:val="00517047"/>
    <w:rsid w:val="00523C17"/>
    <w:rsid w:val="0052701A"/>
    <w:rsid w:val="00537936"/>
    <w:rsid w:val="00543B67"/>
    <w:rsid w:val="00545EB9"/>
    <w:rsid w:val="00566F6F"/>
    <w:rsid w:val="005703F6"/>
    <w:rsid w:val="00573589"/>
    <w:rsid w:val="00575E27"/>
    <w:rsid w:val="00577ED0"/>
    <w:rsid w:val="005B2A04"/>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6138"/>
    <w:rsid w:val="00707F47"/>
    <w:rsid w:val="00713E76"/>
    <w:rsid w:val="00737B25"/>
    <w:rsid w:val="007410CF"/>
    <w:rsid w:val="00755E40"/>
    <w:rsid w:val="00770362"/>
    <w:rsid w:val="00770F38"/>
    <w:rsid w:val="00777A3B"/>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112CA"/>
    <w:rsid w:val="00817BB3"/>
    <w:rsid w:val="00822F53"/>
    <w:rsid w:val="008236FE"/>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322E"/>
    <w:rsid w:val="008A5E64"/>
    <w:rsid w:val="008A7FD2"/>
    <w:rsid w:val="008B114C"/>
    <w:rsid w:val="008B4517"/>
    <w:rsid w:val="008C0A78"/>
    <w:rsid w:val="008C0CBA"/>
    <w:rsid w:val="008C18FE"/>
    <w:rsid w:val="008C1985"/>
    <w:rsid w:val="008C7D91"/>
    <w:rsid w:val="008D3421"/>
    <w:rsid w:val="008D52E2"/>
    <w:rsid w:val="008D5F5B"/>
    <w:rsid w:val="008D71C8"/>
    <w:rsid w:val="008E26BC"/>
    <w:rsid w:val="008E6E46"/>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6815"/>
    <w:rsid w:val="00971DA1"/>
    <w:rsid w:val="00973CD9"/>
    <w:rsid w:val="00986931"/>
    <w:rsid w:val="00996707"/>
    <w:rsid w:val="009A2732"/>
    <w:rsid w:val="009A7D03"/>
    <w:rsid w:val="009B2055"/>
    <w:rsid w:val="009B341D"/>
    <w:rsid w:val="009C29C0"/>
    <w:rsid w:val="009C2A42"/>
    <w:rsid w:val="009C6D64"/>
    <w:rsid w:val="009E017C"/>
    <w:rsid w:val="009E413D"/>
    <w:rsid w:val="009F1689"/>
    <w:rsid w:val="009F1A66"/>
    <w:rsid w:val="00A02C38"/>
    <w:rsid w:val="00A0685D"/>
    <w:rsid w:val="00A13370"/>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24E"/>
    <w:rsid w:val="00AB66FF"/>
    <w:rsid w:val="00AD1340"/>
    <w:rsid w:val="00AD17FF"/>
    <w:rsid w:val="00AD54B7"/>
    <w:rsid w:val="00AE0411"/>
    <w:rsid w:val="00AE6A38"/>
    <w:rsid w:val="00AF1148"/>
    <w:rsid w:val="00AF3C2E"/>
    <w:rsid w:val="00B0260F"/>
    <w:rsid w:val="00B02A68"/>
    <w:rsid w:val="00B1647F"/>
    <w:rsid w:val="00B24B22"/>
    <w:rsid w:val="00B323B3"/>
    <w:rsid w:val="00B33076"/>
    <w:rsid w:val="00B56F9E"/>
    <w:rsid w:val="00B61A0B"/>
    <w:rsid w:val="00B70984"/>
    <w:rsid w:val="00B760FB"/>
    <w:rsid w:val="00B77009"/>
    <w:rsid w:val="00B804DF"/>
    <w:rsid w:val="00B86100"/>
    <w:rsid w:val="00B924F9"/>
    <w:rsid w:val="00B92DE4"/>
    <w:rsid w:val="00B9482C"/>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56B61"/>
    <w:rsid w:val="00C61DD9"/>
    <w:rsid w:val="00C62509"/>
    <w:rsid w:val="00C6690D"/>
    <w:rsid w:val="00C66C8B"/>
    <w:rsid w:val="00C706F4"/>
    <w:rsid w:val="00C72375"/>
    <w:rsid w:val="00C72EEF"/>
    <w:rsid w:val="00C76769"/>
    <w:rsid w:val="00C82F5E"/>
    <w:rsid w:val="00C87428"/>
    <w:rsid w:val="00C95ED3"/>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4586"/>
    <w:rsid w:val="00E26C37"/>
    <w:rsid w:val="00E310DF"/>
    <w:rsid w:val="00E405F2"/>
    <w:rsid w:val="00E51021"/>
    <w:rsid w:val="00E57928"/>
    <w:rsid w:val="00E638DA"/>
    <w:rsid w:val="00E76B03"/>
    <w:rsid w:val="00E90BC5"/>
    <w:rsid w:val="00EA48CB"/>
    <w:rsid w:val="00EA5E4A"/>
    <w:rsid w:val="00EB699C"/>
    <w:rsid w:val="00EC2982"/>
    <w:rsid w:val="00ED0EB6"/>
    <w:rsid w:val="00ED7692"/>
    <w:rsid w:val="00EE1747"/>
    <w:rsid w:val="00EE4937"/>
    <w:rsid w:val="00EF6272"/>
    <w:rsid w:val="00EF6953"/>
    <w:rsid w:val="00F01A7E"/>
    <w:rsid w:val="00F04EB6"/>
    <w:rsid w:val="00F05A62"/>
    <w:rsid w:val="00F11405"/>
    <w:rsid w:val="00F136A6"/>
    <w:rsid w:val="00F1380F"/>
    <w:rsid w:val="00F24300"/>
    <w:rsid w:val="00F250C3"/>
    <w:rsid w:val="00F25932"/>
    <w:rsid w:val="00F370C6"/>
    <w:rsid w:val="00F42F63"/>
    <w:rsid w:val="00F46E7C"/>
    <w:rsid w:val="00F60D84"/>
    <w:rsid w:val="00F6713A"/>
    <w:rsid w:val="00F67287"/>
    <w:rsid w:val="00F679AA"/>
    <w:rsid w:val="00F7626C"/>
    <w:rsid w:val="00F769CA"/>
    <w:rsid w:val="00F83E99"/>
    <w:rsid w:val="00F84D4F"/>
    <w:rsid w:val="00F84EB4"/>
    <w:rsid w:val="00F915D9"/>
    <w:rsid w:val="00F95382"/>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79AD"/>
  <w15:chartTrackingRefBased/>
  <w15:docId w15:val="{33EE87C7-5005-4613-9806-BF3D470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Textosinformato">
    <w:name w:val="Plain Text"/>
    <w:basedOn w:val="Normal"/>
    <w:link w:val="TextosinformatoCar"/>
    <w:uiPriority w:val="99"/>
    <w:unhideWhenUsed/>
    <w:rsid w:val="00F11405"/>
    <w:pPr>
      <w:widowControl/>
      <w:suppressAutoHyphens w:val="0"/>
      <w:spacing w:before="100" w:beforeAutospacing="1" w:after="100" w:afterAutospacing="1"/>
    </w:pPr>
    <w:rPr>
      <w:rFonts w:eastAsia="Times New Roman"/>
      <w:kern w:val="0"/>
      <w:lang w:val="es-CR"/>
    </w:rPr>
  </w:style>
  <w:style w:type="character" w:customStyle="1" w:styleId="TextosinformatoCar">
    <w:name w:val="Texto sin formato Car"/>
    <w:basedOn w:val="Fuentedeprrafopredeter"/>
    <w:link w:val="Textosinformato"/>
    <w:uiPriority w:val="99"/>
    <w:rsid w:val="00F11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6968798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808742304">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159807732">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346058252">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Secretaría General de la Corte - Comunicaciones - Elienai Díaz Obando</cp:lastModifiedBy>
  <cp:revision>2</cp:revision>
  <cp:lastPrinted>2013-02-08T15:17:00Z</cp:lastPrinted>
  <dcterms:created xsi:type="dcterms:W3CDTF">2021-04-23T17:13:00Z</dcterms:created>
  <dcterms:modified xsi:type="dcterms:W3CDTF">2021-04-23T17:13:00Z</dcterms:modified>
</cp:coreProperties>
</file>