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F9FB8" w14:textId="0BE5C9F7" w:rsidR="00921F72" w:rsidRPr="00324E91" w:rsidRDefault="00921F72" w:rsidP="00324E91">
      <w:pPr>
        <w:jc w:val="both"/>
        <w:rPr>
          <w:b/>
          <w:bCs/>
          <w:color w:val="000000"/>
          <w:u w:val="single"/>
        </w:rPr>
      </w:pPr>
      <w:r w:rsidRPr="00324E91">
        <w:rPr>
          <w:b/>
          <w:bCs/>
          <w:color w:val="000000"/>
          <w:u w:val="single"/>
        </w:rPr>
        <w:t>CIRCULAR No.</w:t>
      </w:r>
      <w:r w:rsidR="00615AD9" w:rsidRPr="00324E91">
        <w:rPr>
          <w:b/>
          <w:bCs/>
          <w:color w:val="000000"/>
          <w:u w:val="single"/>
        </w:rPr>
        <w:t xml:space="preserve"> </w:t>
      </w:r>
      <w:r w:rsidR="00324E91" w:rsidRPr="00324E91">
        <w:rPr>
          <w:b/>
          <w:bCs/>
          <w:color w:val="000000"/>
          <w:u w:val="single"/>
        </w:rPr>
        <w:t>239</w:t>
      </w:r>
      <w:r w:rsidRPr="00324E91">
        <w:rPr>
          <w:b/>
          <w:bCs/>
          <w:color w:val="000000"/>
          <w:u w:val="single"/>
        </w:rPr>
        <w:t>-20</w:t>
      </w:r>
      <w:r w:rsidR="00615AD9" w:rsidRPr="00324E91">
        <w:rPr>
          <w:b/>
          <w:bCs/>
          <w:color w:val="000000"/>
          <w:u w:val="single"/>
        </w:rPr>
        <w:t>20</w:t>
      </w:r>
    </w:p>
    <w:p w14:paraId="0ADF0188" w14:textId="77777777" w:rsidR="00921F72" w:rsidRPr="00324E91" w:rsidRDefault="00921F72" w:rsidP="00324E91">
      <w:pPr>
        <w:jc w:val="both"/>
        <w:rPr>
          <w:b/>
          <w:bCs/>
          <w:color w:val="000000"/>
          <w:u w:val="single"/>
          <w:lang w:eastAsia="es-CR"/>
        </w:rPr>
      </w:pPr>
    </w:p>
    <w:p w14:paraId="599E3DCE" w14:textId="727FE3CF" w:rsidR="00C23BFE" w:rsidRPr="00324E91" w:rsidRDefault="00921F72" w:rsidP="00324E91">
      <w:pPr>
        <w:jc w:val="both"/>
        <w:rPr>
          <w:bCs/>
        </w:rPr>
      </w:pPr>
      <w:r w:rsidRPr="00324E91">
        <w:rPr>
          <w:b/>
          <w:bCs/>
          <w:u w:val="single"/>
        </w:rPr>
        <w:t>Asunto</w:t>
      </w:r>
      <w:r w:rsidRPr="00324E91">
        <w:rPr>
          <w:bCs/>
        </w:rPr>
        <w:t>:</w:t>
      </w:r>
      <w:r w:rsidR="005C0329" w:rsidRPr="00324E91">
        <w:t xml:space="preserve"> </w:t>
      </w:r>
      <w:r w:rsidR="00D26CD6" w:rsidRPr="00324E91">
        <w:t>Obligación de las oficinas en las cuales se esté implementando el Modelo de Sostenibilidad y Seguimiento de los Proyectos de Rediseño, incluir en el Sistema de Proposición Electrónica de Nombramientos (PIN), como días no laborados solamente vacaciones, incapacidades, permisos con o sin goce de salario.</w:t>
      </w:r>
      <w:r w:rsidR="00D26CD6" w:rsidRPr="00324E91">
        <w:rPr>
          <w:bCs/>
          <w:lang w:val="es-CR"/>
        </w:rPr>
        <w:t xml:space="preserve"> </w:t>
      </w:r>
    </w:p>
    <w:p w14:paraId="4A6763A1" w14:textId="77777777" w:rsidR="00921F72" w:rsidRPr="00324E91" w:rsidRDefault="00921F72" w:rsidP="00324E91">
      <w:pPr>
        <w:jc w:val="both"/>
        <w:rPr>
          <w:bCs/>
        </w:rPr>
      </w:pPr>
    </w:p>
    <w:p w14:paraId="586B777C" w14:textId="5C288F08" w:rsidR="007B4F32" w:rsidRPr="00324E91" w:rsidRDefault="007B4F32" w:rsidP="00324E91">
      <w:pPr>
        <w:jc w:val="center"/>
        <w:rPr>
          <w:b/>
          <w:bCs/>
          <w:u w:val="single"/>
        </w:rPr>
      </w:pPr>
      <w:r w:rsidRPr="00324E91">
        <w:rPr>
          <w:b/>
          <w:bCs/>
          <w:u w:val="single"/>
        </w:rPr>
        <w:t xml:space="preserve">A </w:t>
      </w:r>
      <w:r w:rsidR="008D2571" w:rsidRPr="00324E91">
        <w:rPr>
          <w:b/>
          <w:bCs/>
          <w:u w:val="single"/>
        </w:rPr>
        <w:t>TODOS LOS DESPACHOS JUDICIALES DEL PAÍS</w:t>
      </w:r>
    </w:p>
    <w:p w14:paraId="5BB8F615" w14:textId="77777777" w:rsidR="007B4F32" w:rsidRPr="00324E91" w:rsidRDefault="007B4F32" w:rsidP="00324E91">
      <w:pPr>
        <w:jc w:val="both"/>
        <w:rPr>
          <w:b/>
          <w:bCs/>
          <w:u w:val="single"/>
        </w:rPr>
      </w:pPr>
    </w:p>
    <w:p w14:paraId="0F136A45" w14:textId="7BA3F347" w:rsidR="00921F72" w:rsidRPr="00324E91" w:rsidRDefault="00921F72" w:rsidP="00324E91">
      <w:pPr>
        <w:jc w:val="both"/>
        <w:rPr>
          <w:b/>
          <w:bCs/>
        </w:rPr>
      </w:pPr>
      <w:r w:rsidRPr="00324E91">
        <w:rPr>
          <w:b/>
          <w:bCs/>
          <w:u w:val="single"/>
        </w:rPr>
        <w:t>SE LES HACE SABER QUE</w:t>
      </w:r>
      <w:r w:rsidRPr="00324E91">
        <w:rPr>
          <w:b/>
          <w:bCs/>
        </w:rPr>
        <w:t>:</w:t>
      </w:r>
    </w:p>
    <w:p w14:paraId="76E09FB9" w14:textId="77777777" w:rsidR="00921F72" w:rsidRPr="00324E91" w:rsidRDefault="00921F72" w:rsidP="00324E91">
      <w:pPr>
        <w:pStyle w:val="Textodebloque2"/>
        <w:ind w:left="0" w:right="0" w:firstLine="0"/>
      </w:pPr>
    </w:p>
    <w:p w14:paraId="0A21DE59" w14:textId="3A2590E8" w:rsidR="00322363" w:rsidRPr="00324E91" w:rsidRDefault="0033597B" w:rsidP="00324E91">
      <w:pPr>
        <w:shd w:val="clear" w:color="auto" w:fill="FFFFFF"/>
        <w:jc w:val="both"/>
        <w:rPr>
          <w:color w:val="000000" w:themeColor="text1"/>
          <w:lang w:val="es-CR"/>
        </w:rPr>
      </w:pPr>
      <w:r w:rsidRPr="00324E91">
        <w:t>El Consejo Superior del Poder Judicial e</w:t>
      </w:r>
      <w:r w:rsidR="00C23BFE" w:rsidRPr="00324E91">
        <w:t>n sesión</w:t>
      </w:r>
      <w:r w:rsidR="00F63449" w:rsidRPr="00324E91">
        <w:t xml:space="preserve"> </w:t>
      </w:r>
      <w:proofErr w:type="spellStart"/>
      <w:r w:rsidR="00D26CD6" w:rsidRPr="00324E91">
        <w:t>N°</w:t>
      </w:r>
      <w:proofErr w:type="spellEnd"/>
      <w:r w:rsidR="00D26CD6" w:rsidRPr="00324E91">
        <w:t xml:space="preserve"> 91-2020 celebrada el 17 de setiembre del 2020, artículo </w:t>
      </w:r>
      <w:r w:rsidR="00D26CD6" w:rsidRPr="00D26CD6">
        <w:rPr>
          <w:lang w:val="es-CR"/>
        </w:rPr>
        <w:t>XLVI</w:t>
      </w:r>
      <w:r w:rsidR="00D26CD6" w:rsidRPr="00324E91">
        <w:rPr>
          <w:lang w:val="es-CR"/>
        </w:rPr>
        <w:t xml:space="preserve">, </w:t>
      </w:r>
      <w:r w:rsidR="00322363" w:rsidRPr="00324E91">
        <w:rPr>
          <w:bCs/>
          <w:color w:val="000000" w:themeColor="text1"/>
          <w:lang w:val="es-CR"/>
        </w:rPr>
        <w:t xml:space="preserve">conoció el informe No. 1395-PLA-MI-2020, relacionado con </w:t>
      </w:r>
      <w:r w:rsidR="00322363" w:rsidRPr="00324E91">
        <w:rPr>
          <w:color w:val="000000" w:themeColor="text1"/>
          <w:lang w:val="es-CR"/>
        </w:rPr>
        <w:t>la revisión de la Metodología de cálculo que utiliza cada oficina para obtener el rendimiento personal.</w:t>
      </w:r>
    </w:p>
    <w:p w14:paraId="4E34F6D0" w14:textId="60ED5DEE" w:rsidR="00322363" w:rsidRPr="00324E91" w:rsidRDefault="00322363" w:rsidP="00324E91">
      <w:pPr>
        <w:shd w:val="clear" w:color="auto" w:fill="FFFFFF"/>
        <w:jc w:val="both"/>
        <w:rPr>
          <w:color w:val="000000" w:themeColor="text1"/>
          <w:lang w:val="es-CR"/>
        </w:rPr>
      </w:pPr>
    </w:p>
    <w:p w14:paraId="6A011793" w14:textId="461A747C" w:rsidR="00D26CD6" w:rsidRPr="00324E91" w:rsidRDefault="00322363" w:rsidP="00324E91">
      <w:pPr>
        <w:shd w:val="clear" w:color="auto" w:fill="FFFFFF"/>
        <w:jc w:val="both"/>
        <w:rPr>
          <w:bCs/>
          <w:color w:val="000000" w:themeColor="text1"/>
          <w:lang w:val="es-CR"/>
        </w:rPr>
      </w:pPr>
      <w:r w:rsidRPr="00324E91">
        <w:rPr>
          <w:color w:val="000000" w:themeColor="text1"/>
          <w:lang w:val="es-CR"/>
        </w:rPr>
        <w:t xml:space="preserve">En esa oportunidad </w:t>
      </w:r>
      <w:r w:rsidR="00D26CD6" w:rsidRPr="00324E91">
        <w:rPr>
          <w:lang w:val="es-CR"/>
        </w:rPr>
        <w:t>dispuso hacer de conocimiento de</w:t>
      </w:r>
      <w:r w:rsidR="00D26CD6" w:rsidRPr="00324E91">
        <w:rPr>
          <w:bCs/>
          <w:color w:val="000000" w:themeColor="text1"/>
          <w:lang w:val="es-CR"/>
        </w:rPr>
        <w:t xml:space="preserve"> todos los despachos jurisdiccionales en donde se está implementando el Modelo de Sostenibilidad y Seguimiento de los Proyectos de Rediseño, y en general a todos los despachos donde se cuenta con matrices de indicadores diseñadas por la Dirección de Planificación,  que como días no laborados en las matrices solamente es posible incluir aquellos que igualmente implican un registro en el Sistema de Proposición Electrónica de Nombramientos (PIN), es decir, vacaciones, incapacidades, permisos con o sin goce de salario. </w:t>
      </w:r>
      <w:r w:rsidR="00D26CD6" w:rsidRPr="00324E91">
        <w:rPr>
          <w:lang w:val="es-CR"/>
        </w:rPr>
        <w:t xml:space="preserve"> Además,</w:t>
      </w:r>
      <w:r w:rsidR="00331950" w:rsidRPr="00324E91">
        <w:rPr>
          <w:lang w:val="es-CR"/>
        </w:rPr>
        <w:t xml:space="preserve"> se les indica</w:t>
      </w:r>
      <w:r w:rsidR="008B3086" w:rsidRPr="00324E91">
        <w:rPr>
          <w:bCs/>
          <w:color w:val="000000" w:themeColor="text1"/>
          <w:lang w:val="es-CR"/>
        </w:rPr>
        <w:t xml:space="preserve"> que el único ajuste en las cuotas que se puede realizar es </w:t>
      </w:r>
      <w:proofErr w:type="gramStart"/>
      <w:r w:rsidR="008B3086" w:rsidRPr="00324E91">
        <w:rPr>
          <w:bCs/>
          <w:color w:val="000000" w:themeColor="text1"/>
          <w:lang w:val="es-CR"/>
        </w:rPr>
        <w:t>en razón de</w:t>
      </w:r>
      <w:proofErr w:type="gramEnd"/>
      <w:r w:rsidR="008B3086" w:rsidRPr="00324E91">
        <w:rPr>
          <w:bCs/>
          <w:color w:val="000000" w:themeColor="text1"/>
          <w:lang w:val="es-CR"/>
        </w:rPr>
        <w:t xml:space="preserve"> la cantidad de días hábiles de cada mes. De ahí se calcula el rendimiento considerando la cantidad de días hábiles laborados</w:t>
      </w:r>
      <w:r w:rsidR="00331950" w:rsidRPr="00324E91">
        <w:rPr>
          <w:bCs/>
          <w:color w:val="000000" w:themeColor="text1"/>
          <w:lang w:val="es-CR"/>
        </w:rPr>
        <w:t>, el cual se aplicará</w:t>
      </w:r>
      <w:r w:rsidR="008B3086" w:rsidRPr="00324E91">
        <w:rPr>
          <w:bCs/>
          <w:color w:val="000000" w:themeColor="text1"/>
          <w:lang w:val="es-CR"/>
        </w:rPr>
        <w:t xml:space="preserve"> para planes de trabajo, ya que en las matrices la cuota se ajusta automáticamente.</w:t>
      </w:r>
    </w:p>
    <w:p w14:paraId="0ACEA1FA" w14:textId="3428BA67" w:rsidR="00322363" w:rsidRPr="00324E91" w:rsidRDefault="00322363" w:rsidP="00324E91">
      <w:pPr>
        <w:shd w:val="clear" w:color="auto" w:fill="FFFFFF"/>
        <w:jc w:val="both"/>
        <w:rPr>
          <w:bCs/>
          <w:color w:val="000000" w:themeColor="text1"/>
          <w:lang w:val="es-CR"/>
        </w:rPr>
      </w:pPr>
    </w:p>
    <w:p w14:paraId="1946AB54" w14:textId="2B77903F" w:rsidR="00500431" w:rsidRDefault="00322363" w:rsidP="00500431">
      <w:pPr>
        <w:shd w:val="clear" w:color="auto" w:fill="FFFFFF"/>
        <w:jc w:val="both"/>
      </w:pPr>
      <w:r w:rsidRPr="00324E91">
        <w:t>El informe</w:t>
      </w:r>
      <w:r w:rsidR="00331950" w:rsidRPr="00324E91">
        <w:rPr>
          <w:bCs/>
          <w:color w:val="000000" w:themeColor="text1"/>
          <w:lang w:val="es-CR"/>
        </w:rPr>
        <w:t xml:space="preserve"> No. 1395-PLA-MI-2020 de la Dirección de Planificación</w:t>
      </w:r>
      <w:r w:rsidRPr="00324E91">
        <w:t xml:space="preserve">, se encuentra disponible en el siguiente </w:t>
      </w:r>
      <w:r w:rsidR="00331950" w:rsidRPr="00324E91">
        <w:t>enlace</w:t>
      </w:r>
      <w:r w:rsidRPr="00324E91">
        <w:t xml:space="preserve">: </w:t>
      </w:r>
      <w:hyperlink r:id="rId7" w:tgtFrame="_blank" w:tooltip="https://secretariacorte.poder-judicial.go.cr/index.php/documentos?download=5059:1395-pla-mi-2020" w:history="1">
        <w:r w:rsidR="00500431" w:rsidRPr="00500431">
          <w:rPr>
            <w:rStyle w:val="Hipervnculo"/>
            <w:lang w:val="es-CR"/>
          </w:rPr>
          <w:t>https://secretariacorte.poder-judicial.go.cr/index.php/documentos?download=5059:1395-pla-mi-2020</w:t>
        </w:r>
      </w:hyperlink>
    </w:p>
    <w:p w14:paraId="1983DF4E" w14:textId="47278491" w:rsidR="00322363" w:rsidRDefault="00322363" w:rsidP="00324E91">
      <w:pPr>
        <w:shd w:val="clear" w:color="auto" w:fill="FFFFFF"/>
        <w:jc w:val="both"/>
      </w:pPr>
    </w:p>
    <w:p w14:paraId="0F9C4771" w14:textId="77777777" w:rsidR="008A12F4" w:rsidRPr="00D26CD6" w:rsidRDefault="008A12F4" w:rsidP="00324E91">
      <w:pPr>
        <w:shd w:val="clear" w:color="auto" w:fill="FFFFFF"/>
        <w:jc w:val="both"/>
      </w:pPr>
    </w:p>
    <w:p w14:paraId="491171B6" w14:textId="3BBF108C" w:rsidR="00C23BFE" w:rsidRPr="00324E91" w:rsidRDefault="00C23BFE" w:rsidP="00324E91">
      <w:pPr>
        <w:shd w:val="clear" w:color="auto" w:fill="FFFFFF"/>
        <w:jc w:val="both"/>
        <w:rPr>
          <w:color w:val="000000"/>
          <w:lang w:val="es-CR" w:eastAsia="es-CR"/>
        </w:rPr>
      </w:pPr>
    </w:p>
    <w:p w14:paraId="2BEA8C46" w14:textId="714BDB06" w:rsidR="00331950" w:rsidRPr="00324E91" w:rsidRDefault="00331950" w:rsidP="00324E91">
      <w:pPr>
        <w:shd w:val="clear" w:color="auto" w:fill="FFFFFF"/>
        <w:jc w:val="both"/>
        <w:rPr>
          <w:color w:val="000000"/>
          <w:lang w:val="es-CR" w:eastAsia="es-CR"/>
        </w:rPr>
      </w:pPr>
    </w:p>
    <w:p w14:paraId="42CA13D4" w14:textId="588D6C02" w:rsidR="005705F1" w:rsidRPr="00324E91" w:rsidRDefault="005705F1" w:rsidP="00324E91">
      <w:pPr>
        <w:pStyle w:val="Textodebloque2"/>
        <w:ind w:left="0" w:right="0" w:firstLine="0"/>
        <w:rPr>
          <w:b/>
          <w:bCs/>
          <w:lang w:val="es-ES_tradnl" w:eastAsia="ar-SA"/>
        </w:rPr>
      </w:pPr>
      <w:r w:rsidRPr="00324E91">
        <w:rPr>
          <w:b/>
          <w:bCs/>
          <w:color w:val="000000"/>
        </w:rPr>
        <w:t xml:space="preserve">De conformidad con la circular N° 67-09 emitida por la Secretaría de la Corte el 22 de junio de 2009, se le comunica que en virtud del principio de gratuidad que rige esta materia, la publicación está exenta de todo pago de derechos. </w:t>
      </w:r>
      <w:r w:rsidRPr="00324E91">
        <w:rPr>
          <w:b/>
          <w:bCs/>
          <w:lang w:val="es-ES_tradnl" w:eastAsia="ar-SA"/>
        </w:rPr>
        <w:t>Publíquese una sola vez en el Boletín Judicial.</w:t>
      </w:r>
    </w:p>
    <w:p w14:paraId="116486A0" w14:textId="77777777" w:rsidR="00324E91" w:rsidRPr="00324E91" w:rsidRDefault="00324E91" w:rsidP="00324E91">
      <w:pPr>
        <w:suppressAutoHyphens w:val="0"/>
        <w:autoSpaceDE w:val="0"/>
        <w:autoSpaceDN w:val="0"/>
        <w:adjustRightInd w:val="0"/>
        <w:jc w:val="both"/>
        <w:rPr>
          <w:b/>
          <w:bCs/>
        </w:rPr>
      </w:pPr>
      <w:r w:rsidRPr="00324E91">
        <w:rPr>
          <w:b/>
          <w:bCs/>
        </w:rPr>
        <w:t>San José, 20 de octubre de 2020</w:t>
      </w:r>
    </w:p>
    <w:p w14:paraId="6DCF4B33" w14:textId="77777777" w:rsidR="00322363" w:rsidRPr="00324E91" w:rsidRDefault="00322363" w:rsidP="00324E91">
      <w:pPr>
        <w:pStyle w:val="Textodebloque2"/>
        <w:ind w:left="0" w:right="0" w:firstLine="0"/>
        <w:rPr>
          <w:b/>
          <w:bCs/>
          <w:lang w:val="es-ES_tradnl" w:eastAsia="ar-SA"/>
        </w:rPr>
      </w:pPr>
    </w:p>
    <w:p w14:paraId="124CDF25" w14:textId="77777777" w:rsidR="00C928F6" w:rsidRPr="00324E91" w:rsidRDefault="00C928F6" w:rsidP="00324E91">
      <w:pPr>
        <w:jc w:val="both"/>
        <w:rPr>
          <w:rFonts w:eastAsia="Arial Unicode MS"/>
          <w:b/>
          <w:bCs/>
          <w:kern w:val="2"/>
          <w:lang w:eastAsia="es-CR"/>
        </w:rPr>
      </w:pPr>
    </w:p>
    <w:p w14:paraId="645A5019" w14:textId="77777777" w:rsidR="00921F72" w:rsidRPr="00324E91" w:rsidRDefault="00921F72" w:rsidP="00324E91">
      <w:pPr>
        <w:pStyle w:val="Ttulo51"/>
        <w:keepNext w:val="0"/>
        <w:tabs>
          <w:tab w:val="clear" w:pos="0"/>
          <w:tab w:val="left" w:pos="708"/>
        </w:tabs>
        <w:jc w:val="both"/>
        <w:rPr>
          <w:rFonts w:eastAsia="Times New Roman"/>
          <w:i w:val="0"/>
          <w:iCs w:val="0"/>
          <w:sz w:val="24"/>
          <w:szCs w:val="24"/>
          <w:u w:val="none"/>
        </w:rPr>
      </w:pPr>
      <w:r w:rsidRPr="00324E91">
        <w:rPr>
          <w:rFonts w:eastAsia="Times New Roman"/>
          <w:i w:val="0"/>
          <w:iCs w:val="0"/>
          <w:sz w:val="24"/>
          <w:szCs w:val="24"/>
          <w:u w:val="none"/>
        </w:rPr>
        <w:t>Lic. Carlos Toscano Mora Rodríguez</w:t>
      </w:r>
    </w:p>
    <w:p w14:paraId="77BFAE03" w14:textId="77777777" w:rsidR="00921F72" w:rsidRPr="00324E91" w:rsidRDefault="00921F72" w:rsidP="00324E91">
      <w:pPr>
        <w:pStyle w:val="Ttulo51"/>
        <w:keepNext w:val="0"/>
        <w:tabs>
          <w:tab w:val="clear" w:pos="0"/>
          <w:tab w:val="left" w:pos="708"/>
        </w:tabs>
        <w:jc w:val="both"/>
        <w:rPr>
          <w:rFonts w:eastAsia="Times New Roman"/>
          <w:i w:val="0"/>
          <w:iCs w:val="0"/>
          <w:sz w:val="24"/>
          <w:szCs w:val="24"/>
          <w:u w:val="none"/>
        </w:rPr>
      </w:pPr>
      <w:r w:rsidRPr="00324E91">
        <w:rPr>
          <w:rFonts w:eastAsia="Times New Roman"/>
          <w:i w:val="0"/>
          <w:iCs w:val="0"/>
          <w:sz w:val="24"/>
          <w:szCs w:val="24"/>
          <w:u w:val="none"/>
        </w:rPr>
        <w:t>Subsecretario General interino</w:t>
      </w:r>
    </w:p>
    <w:p w14:paraId="0F83AE9E" w14:textId="6F9658EB" w:rsidR="00921F72" w:rsidRPr="00324E91" w:rsidRDefault="00921F72" w:rsidP="00324E91">
      <w:pPr>
        <w:jc w:val="both"/>
        <w:rPr>
          <w:b/>
          <w:bCs/>
        </w:rPr>
      </w:pPr>
      <w:r w:rsidRPr="00324E91">
        <w:rPr>
          <w:b/>
          <w:bCs/>
        </w:rPr>
        <w:t>Corte Suprema de Justicia</w:t>
      </w:r>
    </w:p>
    <w:p w14:paraId="75DE21C9" w14:textId="65C303F1" w:rsidR="00322363" w:rsidRPr="00324E91" w:rsidRDefault="00322363" w:rsidP="00324E91">
      <w:pPr>
        <w:jc w:val="both"/>
        <w:rPr>
          <w:b/>
          <w:bCs/>
        </w:rPr>
      </w:pPr>
    </w:p>
    <w:p w14:paraId="03B2816F" w14:textId="7E9C8548" w:rsidR="00615AD9" w:rsidRPr="00324E91" w:rsidRDefault="00322363" w:rsidP="00324E91">
      <w:pPr>
        <w:jc w:val="both"/>
        <w:rPr>
          <w:bCs/>
        </w:rPr>
      </w:pPr>
      <w:proofErr w:type="spellStart"/>
      <w:r w:rsidRPr="00324E91">
        <w:t>Refs</w:t>
      </w:r>
      <w:proofErr w:type="spellEnd"/>
      <w:r w:rsidRPr="00324E91">
        <w:t>: (</w:t>
      </w:r>
      <w:r w:rsidRPr="00324E91">
        <w:rPr>
          <w:b/>
          <w:color w:val="000000" w:themeColor="text1"/>
        </w:rPr>
        <w:t>10350-2020</w:t>
      </w:r>
      <w:r w:rsidRPr="00324E91">
        <w:t>)</w:t>
      </w:r>
    </w:p>
    <w:p w14:paraId="282B0089" w14:textId="5DC1EB49" w:rsidR="00834F47" w:rsidRPr="00324E91" w:rsidRDefault="00322363" w:rsidP="00324E91">
      <w:pPr>
        <w:jc w:val="both"/>
        <w:rPr>
          <w:bCs/>
          <w:i/>
          <w:iCs/>
          <w:color w:val="BFBFBF" w:themeColor="background1" w:themeShade="BF"/>
        </w:rPr>
      </w:pPr>
      <w:r w:rsidRPr="00324E91">
        <w:rPr>
          <w:bCs/>
          <w:i/>
          <w:iCs/>
          <w:color w:val="BFBFBF" w:themeColor="background1" w:themeShade="BF"/>
        </w:rPr>
        <w:t xml:space="preserve">Nickole </w:t>
      </w:r>
    </w:p>
    <w:sectPr w:rsidR="00834F47" w:rsidRPr="00324E91" w:rsidSect="00F668F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649A" w14:textId="77777777" w:rsidR="003D539B" w:rsidRDefault="003D539B" w:rsidP="00B3519F">
      <w:r>
        <w:separator/>
      </w:r>
    </w:p>
  </w:endnote>
  <w:endnote w:type="continuationSeparator" w:id="0">
    <w:p w14:paraId="4A75D84C" w14:textId="77777777" w:rsidR="003D539B" w:rsidRDefault="003D539B" w:rsidP="00B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8730C" w14:textId="77777777" w:rsidR="003D539B" w:rsidRDefault="003D539B" w:rsidP="00B3519F">
      <w:r>
        <w:separator/>
      </w:r>
    </w:p>
  </w:footnote>
  <w:footnote w:type="continuationSeparator" w:id="0">
    <w:p w14:paraId="3768C5A1" w14:textId="77777777" w:rsidR="003D539B" w:rsidRDefault="003D539B" w:rsidP="00B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525C2"/>
    <w:multiLevelType w:val="multilevel"/>
    <w:tmpl w:val="F0F44C88"/>
    <w:lvl w:ilvl="0">
      <w:start w:val="1"/>
      <w:numFmt w:val="decimal"/>
      <w:lvlText w:val="%1."/>
      <w:lvlJc w:val="left"/>
      <w:pPr>
        <w:ind w:left="360" w:hanging="360"/>
      </w:pPr>
    </w:lvl>
    <w:lvl w:ilvl="1">
      <w:start w:val="1"/>
      <w:numFmt w:val="decimal"/>
      <w:lvlText w:val="%1.%2."/>
      <w:lvlJc w:val="left"/>
      <w:pPr>
        <w:ind w:left="567" w:hanging="454"/>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A7E69"/>
    <w:multiLevelType w:val="hybridMultilevel"/>
    <w:tmpl w:val="B9B4CB4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 w15:restartNumberingAfterBreak="0">
    <w:nsid w:val="1DD94183"/>
    <w:multiLevelType w:val="hybridMultilevel"/>
    <w:tmpl w:val="97FE77F0"/>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21DA72A3"/>
    <w:multiLevelType w:val="multilevel"/>
    <w:tmpl w:val="54B40372"/>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FE2D38"/>
    <w:multiLevelType w:val="multilevel"/>
    <w:tmpl w:val="2C16D48C"/>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D616B0C"/>
    <w:multiLevelType w:val="hybridMultilevel"/>
    <w:tmpl w:val="EF841E9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 w15:restartNumberingAfterBreak="0">
    <w:nsid w:val="57702AC9"/>
    <w:multiLevelType w:val="hybridMultilevel"/>
    <w:tmpl w:val="959C296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 w15:restartNumberingAfterBreak="0">
    <w:nsid w:val="5D95601D"/>
    <w:multiLevelType w:val="multilevel"/>
    <w:tmpl w:val="CDACFE14"/>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13E603D"/>
    <w:multiLevelType w:val="hybridMultilevel"/>
    <w:tmpl w:val="C4AC93C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 w15:restartNumberingAfterBreak="0">
    <w:nsid w:val="626E5304"/>
    <w:multiLevelType w:val="multilevel"/>
    <w:tmpl w:val="EF2E4E8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CB62F62"/>
    <w:multiLevelType w:val="hybridMultilevel"/>
    <w:tmpl w:val="F37C856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012CAB"/>
    <w:rsid w:val="000363C0"/>
    <w:rsid w:val="0007381B"/>
    <w:rsid w:val="00095124"/>
    <w:rsid w:val="000A2D20"/>
    <w:rsid w:val="000C63CA"/>
    <w:rsid w:val="001035E6"/>
    <w:rsid w:val="001C5D72"/>
    <w:rsid w:val="002F55D2"/>
    <w:rsid w:val="00322363"/>
    <w:rsid w:val="00324E91"/>
    <w:rsid w:val="00331950"/>
    <w:rsid w:val="0033597B"/>
    <w:rsid w:val="003D539B"/>
    <w:rsid w:val="004173F0"/>
    <w:rsid w:val="004963CB"/>
    <w:rsid w:val="004C1F31"/>
    <w:rsid w:val="004E6862"/>
    <w:rsid w:val="004F71EC"/>
    <w:rsid w:val="00500431"/>
    <w:rsid w:val="00533A4A"/>
    <w:rsid w:val="005705F1"/>
    <w:rsid w:val="00593142"/>
    <w:rsid w:val="005C0329"/>
    <w:rsid w:val="00611920"/>
    <w:rsid w:val="00615AD9"/>
    <w:rsid w:val="006531BE"/>
    <w:rsid w:val="00671363"/>
    <w:rsid w:val="00686CB3"/>
    <w:rsid w:val="00746B18"/>
    <w:rsid w:val="00777C18"/>
    <w:rsid w:val="007B4F32"/>
    <w:rsid w:val="0081222D"/>
    <w:rsid w:val="008A12F4"/>
    <w:rsid w:val="008B3086"/>
    <w:rsid w:val="008D2571"/>
    <w:rsid w:val="00921F72"/>
    <w:rsid w:val="00954549"/>
    <w:rsid w:val="00955D1C"/>
    <w:rsid w:val="00955EEF"/>
    <w:rsid w:val="009C0BAE"/>
    <w:rsid w:val="009C1FB0"/>
    <w:rsid w:val="00A42F3D"/>
    <w:rsid w:val="00A71976"/>
    <w:rsid w:val="00AE1ED0"/>
    <w:rsid w:val="00B209DD"/>
    <w:rsid w:val="00B3519F"/>
    <w:rsid w:val="00B3741E"/>
    <w:rsid w:val="00B803A6"/>
    <w:rsid w:val="00B92D5E"/>
    <w:rsid w:val="00BD421F"/>
    <w:rsid w:val="00C07105"/>
    <w:rsid w:val="00C23BFE"/>
    <w:rsid w:val="00C36E93"/>
    <w:rsid w:val="00C9085D"/>
    <w:rsid w:val="00C928F6"/>
    <w:rsid w:val="00CE3215"/>
    <w:rsid w:val="00D26CD6"/>
    <w:rsid w:val="00DE7F0C"/>
    <w:rsid w:val="00E00D1C"/>
    <w:rsid w:val="00EC04E7"/>
    <w:rsid w:val="00F2236D"/>
    <w:rsid w:val="00F63449"/>
    <w:rsid w:val="00FC4DA5"/>
    <w:rsid w:val="00FE1671"/>
    <w:rsid w:val="00FE71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8B48"/>
  <w15:docId w15:val="{C6D2058F-8381-4FB6-B821-44C529AA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Textoindependiente">
    <w:name w:val="Body Text"/>
    <w:basedOn w:val="Normal"/>
    <w:link w:val="TextoindependienteCar"/>
    <w:qFormat/>
    <w:rsid w:val="004173F0"/>
    <w:pPr>
      <w:spacing w:after="120"/>
    </w:pPr>
    <w:rPr>
      <w:lang w:eastAsia="ar-SA"/>
    </w:rPr>
  </w:style>
  <w:style w:type="character" w:customStyle="1" w:styleId="TextoindependienteCar">
    <w:name w:val="Texto independiente Car"/>
    <w:basedOn w:val="Fuentedeprrafopredeter"/>
    <w:link w:val="Textoindependiente"/>
    <w:rsid w:val="004173F0"/>
    <w:rPr>
      <w:rFonts w:ascii="Times New Roman" w:eastAsia="Times New Roman" w:hAnsi="Times New Roman" w:cs="Times New Roman"/>
      <w:sz w:val="24"/>
      <w:szCs w:val="24"/>
      <w:lang w:val="es-ES" w:eastAsia="ar-SA"/>
    </w:rPr>
  </w:style>
  <w:style w:type="paragraph" w:customStyle="1" w:styleId="Antecedente">
    <w:name w:val="Antecedente"/>
    <w:basedOn w:val="Normal"/>
    <w:link w:val="AntecedenteCar"/>
    <w:qFormat/>
    <w:rsid w:val="004173F0"/>
    <w:pPr>
      <w:spacing w:before="100" w:beforeAutospacing="1" w:after="100" w:afterAutospacing="1" w:line="480" w:lineRule="auto"/>
      <w:ind w:firstLine="708"/>
      <w:jc w:val="both"/>
    </w:pPr>
    <w:rPr>
      <w:bCs/>
      <w:sz w:val="28"/>
      <w:szCs w:val="28"/>
      <w:lang w:eastAsia="es-CR"/>
    </w:rPr>
  </w:style>
  <w:style w:type="character" w:customStyle="1" w:styleId="AntecedenteCar">
    <w:name w:val="Antecedente Car"/>
    <w:basedOn w:val="Fuentedeprrafopredeter"/>
    <w:link w:val="Antecedente"/>
    <w:rsid w:val="004173F0"/>
    <w:rPr>
      <w:rFonts w:ascii="Times New Roman" w:eastAsia="Times New Roman" w:hAnsi="Times New Roman" w:cs="Times New Roman"/>
      <w:bCs/>
      <w:sz w:val="28"/>
      <w:szCs w:val="28"/>
      <w:lang w:val="es-ES" w:eastAsia="es-CR"/>
    </w:rPr>
  </w:style>
  <w:style w:type="paragraph" w:styleId="Textonotapie">
    <w:name w:val="footnote text"/>
    <w:basedOn w:val="Normal"/>
    <w:link w:val="TextonotapieCar"/>
    <w:uiPriority w:val="99"/>
    <w:semiHidden/>
    <w:unhideWhenUsed/>
    <w:rsid w:val="00B3519F"/>
    <w:rPr>
      <w:sz w:val="20"/>
      <w:szCs w:val="20"/>
    </w:rPr>
  </w:style>
  <w:style w:type="character" w:customStyle="1" w:styleId="TextonotapieCar">
    <w:name w:val="Texto nota pie Car"/>
    <w:basedOn w:val="Fuentedeprrafopredeter"/>
    <w:link w:val="Textonotapie"/>
    <w:uiPriority w:val="99"/>
    <w:semiHidden/>
    <w:rsid w:val="00B3519F"/>
    <w:rPr>
      <w:rFonts w:ascii="Times New Roman" w:eastAsia="Times New Roman" w:hAnsi="Times New Roman" w:cs="Times New Roman"/>
      <w:sz w:val="20"/>
      <w:szCs w:val="20"/>
      <w:lang w:val="es-ES" w:eastAsia="zh-CN"/>
    </w:rPr>
  </w:style>
  <w:style w:type="character" w:styleId="Hipervnculo">
    <w:name w:val="Hyperlink"/>
    <w:uiPriority w:val="99"/>
    <w:rsid w:val="00B3519F"/>
    <w:rPr>
      <w:color w:val="0000FF"/>
      <w:u w:val="single"/>
    </w:rPr>
  </w:style>
  <w:style w:type="character" w:styleId="Refdenotaalpie">
    <w:name w:val="footnote reference"/>
    <w:aliases w:val="ƒ89,^ƒ89,Footnotes refss,Texto de nota al pie,Appel note de bas de page,Referencia nota al pie,Footnote number,referencia nota al pie,BVI fnr,f,Ref,de nota al pie,FC"/>
    <w:uiPriority w:val="99"/>
    <w:qFormat/>
    <w:rsid w:val="00B3519F"/>
    <w:rPr>
      <w:vertAlign w:val="superscript"/>
    </w:rPr>
  </w:style>
  <w:style w:type="paragraph" w:customStyle="1" w:styleId="Default">
    <w:name w:val="Default"/>
    <w:rsid w:val="00B3519F"/>
    <w:pPr>
      <w:widowControl w:val="0"/>
      <w:autoSpaceDE w:val="0"/>
      <w:autoSpaceDN w:val="0"/>
      <w:adjustRightInd w:val="0"/>
      <w:spacing w:before="0" w:beforeAutospacing="0" w:after="0" w:afterAutospacing="0"/>
      <w:ind w:left="0" w:right="0" w:firstLine="0"/>
      <w:jc w:val="left"/>
    </w:pPr>
    <w:rPr>
      <w:rFonts w:ascii="Verdana" w:eastAsia="Times New Roman" w:hAnsi="Verdana" w:cs="Verdana"/>
      <w:color w:val="000000"/>
      <w:sz w:val="24"/>
      <w:szCs w:val="24"/>
      <w:lang w:val="es-ES" w:eastAsia="es-ES"/>
    </w:rPr>
  </w:style>
  <w:style w:type="paragraph" w:customStyle="1" w:styleId="xmsonormal">
    <w:name w:val="x_msonormal"/>
    <w:basedOn w:val="Normal"/>
    <w:rsid w:val="0033597B"/>
    <w:pPr>
      <w:suppressAutoHyphens w:val="0"/>
      <w:spacing w:before="100" w:beforeAutospacing="1" w:after="100" w:afterAutospacing="1"/>
    </w:pPr>
    <w:rPr>
      <w:lang w:val="en-US" w:eastAsia="en-US"/>
    </w:rPr>
  </w:style>
  <w:style w:type="character" w:customStyle="1" w:styleId="Ttulo2Car">
    <w:name w:val="Título 2 Car"/>
    <w:aliases w:val="Títulos de Hallazgo e Introducción Car"/>
    <w:basedOn w:val="Fuentedeprrafopredeter"/>
    <w:link w:val="Ttulo21"/>
    <w:locked/>
    <w:rsid w:val="00F2236D"/>
    <w:rPr>
      <w:rFonts w:ascii="Arial" w:hAnsi="Arial" w:cs="Arial"/>
      <w:i/>
      <w:iCs/>
      <w:lang w:eastAsia="ar-SA"/>
    </w:rPr>
  </w:style>
  <w:style w:type="paragraph" w:customStyle="1" w:styleId="Ttulo21">
    <w:name w:val="Título 21"/>
    <w:aliases w:val="Títulos de Hallazgo e Introducción"/>
    <w:basedOn w:val="Normal"/>
    <w:link w:val="Ttulo2Car"/>
    <w:rsid w:val="00F2236D"/>
    <w:pPr>
      <w:keepNext/>
      <w:suppressAutoHyphens w:val="0"/>
      <w:spacing w:before="240" w:after="60"/>
    </w:pPr>
    <w:rPr>
      <w:rFonts w:ascii="Arial" w:eastAsiaTheme="minorHAnsi" w:hAnsi="Arial" w:cs="Arial"/>
      <w:i/>
      <w:iCs/>
      <w:sz w:val="22"/>
      <w:szCs w:val="22"/>
      <w:lang w:val="es-CR" w:eastAsia="ar-SA"/>
    </w:rPr>
  </w:style>
  <w:style w:type="character" w:customStyle="1" w:styleId="encabezadodelaCar">
    <w:name w:val="encabezado de la Car"/>
    <w:basedOn w:val="Fuentedeprrafopredeter"/>
    <w:link w:val="encabezadodela"/>
    <w:qFormat/>
    <w:locked/>
    <w:rsid w:val="007B4F32"/>
    <w:rPr>
      <w:color w:val="000099"/>
      <w:sz w:val="28"/>
      <w:szCs w:val="28"/>
      <w:lang w:val="es-ES_tradnl" w:eastAsia="ar-SA"/>
    </w:rPr>
  </w:style>
  <w:style w:type="paragraph" w:customStyle="1" w:styleId="encabezadodela">
    <w:name w:val="encabezado de la"/>
    <w:basedOn w:val="Normal"/>
    <w:link w:val="encabezadodelaCar"/>
    <w:qFormat/>
    <w:rsid w:val="007B4F32"/>
    <w:pPr>
      <w:spacing w:line="480" w:lineRule="auto"/>
      <w:ind w:firstLine="708"/>
      <w:jc w:val="both"/>
    </w:pPr>
    <w:rPr>
      <w:rFonts w:asciiTheme="minorHAnsi" w:eastAsiaTheme="minorHAnsi" w:hAnsiTheme="minorHAnsi" w:cstheme="minorBidi"/>
      <w:color w:val="000099"/>
      <w:sz w:val="28"/>
      <w:szCs w:val="28"/>
      <w:lang w:val="es-ES_tradnl" w:eastAsia="ar-SA"/>
    </w:rPr>
  </w:style>
  <w:style w:type="character" w:styleId="Mencinsinresolver">
    <w:name w:val="Unresolved Mention"/>
    <w:basedOn w:val="Fuentedeprrafopredeter"/>
    <w:uiPriority w:val="99"/>
    <w:semiHidden/>
    <w:unhideWhenUsed/>
    <w:rsid w:val="008A1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1479">
      <w:bodyDiv w:val="1"/>
      <w:marLeft w:val="0"/>
      <w:marRight w:val="0"/>
      <w:marTop w:val="0"/>
      <w:marBottom w:val="0"/>
      <w:divBdr>
        <w:top w:val="none" w:sz="0" w:space="0" w:color="auto"/>
        <w:left w:val="none" w:sz="0" w:space="0" w:color="auto"/>
        <w:bottom w:val="none" w:sz="0" w:space="0" w:color="auto"/>
        <w:right w:val="none" w:sz="0" w:space="0" w:color="auto"/>
      </w:divBdr>
    </w:div>
    <w:div w:id="499197997">
      <w:bodyDiv w:val="1"/>
      <w:marLeft w:val="0"/>
      <w:marRight w:val="0"/>
      <w:marTop w:val="0"/>
      <w:marBottom w:val="0"/>
      <w:divBdr>
        <w:top w:val="none" w:sz="0" w:space="0" w:color="auto"/>
        <w:left w:val="none" w:sz="0" w:space="0" w:color="auto"/>
        <w:bottom w:val="none" w:sz="0" w:space="0" w:color="auto"/>
        <w:right w:val="none" w:sz="0" w:space="0" w:color="auto"/>
      </w:divBdr>
    </w:div>
    <w:div w:id="565920673">
      <w:bodyDiv w:val="1"/>
      <w:marLeft w:val="0"/>
      <w:marRight w:val="0"/>
      <w:marTop w:val="0"/>
      <w:marBottom w:val="0"/>
      <w:divBdr>
        <w:top w:val="none" w:sz="0" w:space="0" w:color="auto"/>
        <w:left w:val="none" w:sz="0" w:space="0" w:color="auto"/>
        <w:bottom w:val="none" w:sz="0" w:space="0" w:color="auto"/>
        <w:right w:val="none" w:sz="0" w:space="0" w:color="auto"/>
      </w:divBdr>
    </w:div>
    <w:div w:id="580067921">
      <w:bodyDiv w:val="1"/>
      <w:marLeft w:val="0"/>
      <w:marRight w:val="0"/>
      <w:marTop w:val="0"/>
      <w:marBottom w:val="0"/>
      <w:divBdr>
        <w:top w:val="none" w:sz="0" w:space="0" w:color="auto"/>
        <w:left w:val="none" w:sz="0" w:space="0" w:color="auto"/>
        <w:bottom w:val="none" w:sz="0" w:space="0" w:color="auto"/>
        <w:right w:val="none" w:sz="0" w:space="0" w:color="auto"/>
      </w:divBdr>
    </w:div>
    <w:div w:id="600529075">
      <w:bodyDiv w:val="1"/>
      <w:marLeft w:val="0"/>
      <w:marRight w:val="0"/>
      <w:marTop w:val="0"/>
      <w:marBottom w:val="0"/>
      <w:divBdr>
        <w:top w:val="none" w:sz="0" w:space="0" w:color="auto"/>
        <w:left w:val="none" w:sz="0" w:space="0" w:color="auto"/>
        <w:bottom w:val="none" w:sz="0" w:space="0" w:color="auto"/>
        <w:right w:val="none" w:sz="0" w:space="0" w:color="auto"/>
      </w:divBdr>
    </w:div>
    <w:div w:id="1017003425">
      <w:bodyDiv w:val="1"/>
      <w:marLeft w:val="0"/>
      <w:marRight w:val="0"/>
      <w:marTop w:val="0"/>
      <w:marBottom w:val="0"/>
      <w:divBdr>
        <w:top w:val="none" w:sz="0" w:space="0" w:color="auto"/>
        <w:left w:val="none" w:sz="0" w:space="0" w:color="auto"/>
        <w:bottom w:val="none" w:sz="0" w:space="0" w:color="auto"/>
        <w:right w:val="none" w:sz="0" w:space="0" w:color="auto"/>
      </w:divBdr>
    </w:div>
    <w:div w:id="1217357978">
      <w:bodyDiv w:val="1"/>
      <w:marLeft w:val="0"/>
      <w:marRight w:val="0"/>
      <w:marTop w:val="0"/>
      <w:marBottom w:val="0"/>
      <w:divBdr>
        <w:top w:val="none" w:sz="0" w:space="0" w:color="auto"/>
        <w:left w:val="none" w:sz="0" w:space="0" w:color="auto"/>
        <w:bottom w:val="none" w:sz="0" w:space="0" w:color="auto"/>
        <w:right w:val="none" w:sz="0" w:space="0" w:color="auto"/>
      </w:divBdr>
    </w:div>
    <w:div w:id="1399593847">
      <w:bodyDiv w:val="1"/>
      <w:marLeft w:val="0"/>
      <w:marRight w:val="0"/>
      <w:marTop w:val="0"/>
      <w:marBottom w:val="0"/>
      <w:divBdr>
        <w:top w:val="none" w:sz="0" w:space="0" w:color="auto"/>
        <w:left w:val="none" w:sz="0" w:space="0" w:color="auto"/>
        <w:bottom w:val="none" w:sz="0" w:space="0" w:color="auto"/>
        <w:right w:val="none" w:sz="0" w:space="0" w:color="auto"/>
      </w:divBdr>
    </w:div>
    <w:div w:id="1400326954">
      <w:bodyDiv w:val="1"/>
      <w:marLeft w:val="0"/>
      <w:marRight w:val="0"/>
      <w:marTop w:val="0"/>
      <w:marBottom w:val="0"/>
      <w:divBdr>
        <w:top w:val="none" w:sz="0" w:space="0" w:color="auto"/>
        <w:left w:val="none" w:sz="0" w:space="0" w:color="auto"/>
        <w:bottom w:val="none" w:sz="0" w:space="0" w:color="auto"/>
        <w:right w:val="none" w:sz="0" w:space="0" w:color="auto"/>
      </w:divBdr>
    </w:div>
    <w:div w:id="1419331950">
      <w:bodyDiv w:val="1"/>
      <w:marLeft w:val="0"/>
      <w:marRight w:val="0"/>
      <w:marTop w:val="0"/>
      <w:marBottom w:val="0"/>
      <w:divBdr>
        <w:top w:val="none" w:sz="0" w:space="0" w:color="auto"/>
        <w:left w:val="none" w:sz="0" w:space="0" w:color="auto"/>
        <w:bottom w:val="none" w:sz="0" w:space="0" w:color="auto"/>
        <w:right w:val="none" w:sz="0" w:space="0" w:color="auto"/>
      </w:divBdr>
    </w:div>
    <w:div w:id="1422290150">
      <w:bodyDiv w:val="1"/>
      <w:marLeft w:val="0"/>
      <w:marRight w:val="0"/>
      <w:marTop w:val="0"/>
      <w:marBottom w:val="0"/>
      <w:divBdr>
        <w:top w:val="none" w:sz="0" w:space="0" w:color="auto"/>
        <w:left w:val="none" w:sz="0" w:space="0" w:color="auto"/>
        <w:bottom w:val="none" w:sz="0" w:space="0" w:color="auto"/>
        <w:right w:val="none" w:sz="0" w:space="0" w:color="auto"/>
      </w:divBdr>
    </w:div>
    <w:div w:id="1486775958">
      <w:bodyDiv w:val="1"/>
      <w:marLeft w:val="0"/>
      <w:marRight w:val="0"/>
      <w:marTop w:val="0"/>
      <w:marBottom w:val="0"/>
      <w:divBdr>
        <w:top w:val="none" w:sz="0" w:space="0" w:color="auto"/>
        <w:left w:val="none" w:sz="0" w:space="0" w:color="auto"/>
        <w:bottom w:val="none" w:sz="0" w:space="0" w:color="auto"/>
        <w:right w:val="none" w:sz="0" w:space="0" w:color="auto"/>
      </w:divBdr>
    </w:div>
    <w:div w:id="1552838269">
      <w:bodyDiv w:val="1"/>
      <w:marLeft w:val="0"/>
      <w:marRight w:val="0"/>
      <w:marTop w:val="0"/>
      <w:marBottom w:val="0"/>
      <w:divBdr>
        <w:top w:val="none" w:sz="0" w:space="0" w:color="auto"/>
        <w:left w:val="none" w:sz="0" w:space="0" w:color="auto"/>
        <w:bottom w:val="none" w:sz="0" w:space="0" w:color="auto"/>
        <w:right w:val="none" w:sz="0" w:space="0" w:color="auto"/>
      </w:divBdr>
    </w:div>
    <w:div w:id="161809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cretariacorte.poder-judicial.go.cr/index.php/documentos?download=5059:1395-pla-mi-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2078</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Rocío Picado Vargas (internet por Jones)</cp:lastModifiedBy>
  <cp:revision>2</cp:revision>
  <dcterms:created xsi:type="dcterms:W3CDTF">2020-11-05T20:30:00Z</dcterms:created>
  <dcterms:modified xsi:type="dcterms:W3CDTF">2020-11-05T20:30:00Z</dcterms:modified>
</cp:coreProperties>
</file>