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6AAD" w14:textId="1AB44495" w:rsidR="00921F72" w:rsidRPr="00115875" w:rsidRDefault="00921F72" w:rsidP="009C0BAE">
      <w:pPr>
        <w:ind w:firstLine="709"/>
        <w:jc w:val="both"/>
        <w:rPr>
          <w:b/>
          <w:bCs/>
          <w:u w:val="single"/>
        </w:rPr>
      </w:pPr>
      <w:r w:rsidRPr="00115875">
        <w:rPr>
          <w:b/>
          <w:bCs/>
          <w:u w:val="single"/>
        </w:rPr>
        <w:t>CIRCULAR No.</w:t>
      </w:r>
      <w:r w:rsidR="00A5085A">
        <w:rPr>
          <w:b/>
          <w:bCs/>
          <w:u w:val="single"/>
        </w:rPr>
        <w:t>260</w:t>
      </w:r>
      <w:r w:rsidRPr="00115875">
        <w:rPr>
          <w:b/>
          <w:bCs/>
          <w:u w:val="single"/>
        </w:rPr>
        <w:t>-20</w:t>
      </w:r>
      <w:r w:rsidR="000F39B7" w:rsidRPr="00115875">
        <w:rPr>
          <w:b/>
          <w:bCs/>
          <w:u w:val="single"/>
        </w:rPr>
        <w:t>20</w:t>
      </w:r>
    </w:p>
    <w:p w14:paraId="10136337" w14:textId="77777777" w:rsidR="00921F72" w:rsidRPr="00115875" w:rsidRDefault="00921F72" w:rsidP="009C0BAE">
      <w:pPr>
        <w:ind w:firstLine="709"/>
        <w:jc w:val="both"/>
        <w:rPr>
          <w:b/>
          <w:bCs/>
          <w:u w:val="single"/>
          <w:lang w:eastAsia="es-CR"/>
        </w:rPr>
      </w:pPr>
    </w:p>
    <w:p w14:paraId="38407F6C" w14:textId="15F1F990" w:rsidR="00986FDD" w:rsidRPr="00115875" w:rsidRDefault="00921F72" w:rsidP="00115875">
      <w:pPr>
        <w:ind w:left="708" w:right="851"/>
        <w:jc w:val="both"/>
        <w:rPr>
          <w:rFonts w:eastAsia="SimSun"/>
          <w:kern w:val="1"/>
          <w:lang w:bidi="hi-IN"/>
        </w:rPr>
      </w:pPr>
      <w:r w:rsidRPr="00115875">
        <w:rPr>
          <w:b/>
          <w:bCs/>
          <w:u w:val="single"/>
        </w:rPr>
        <w:t>Asunto</w:t>
      </w:r>
      <w:r w:rsidRPr="00115875">
        <w:rPr>
          <w:bCs/>
        </w:rPr>
        <w:t xml:space="preserve">: </w:t>
      </w:r>
      <w:r w:rsidR="00115875" w:rsidRPr="00115875">
        <w:rPr>
          <w:rFonts w:eastAsia="SimSun"/>
          <w:kern w:val="1"/>
          <w:lang w:bidi="hi-IN"/>
        </w:rPr>
        <w:t>Resoluciones dictadas en los juzgados que atienden materia familiar, que llevan número de resolución</w:t>
      </w:r>
      <w:r w:rsidR="00986FDD" w:rsidRPr="00115875">
        <w:rPr>
          <w:rFonts w:eastAsia="Calibri"/>
          <w:lang w:eastAsia="ar-SA"/>
        </w:rPr>
        <w:t>.”-</w:t>
      </w:r>
    </w:p>
    <w:p w14:paraId="0B588056" w14:textId="1CDBE822" w:rsidR="00986FDD" w:rsidRPr="00115875" w:rsidRDefault="00986FDD" w:rsidP="00041EB7">
      <w:pPr>
        <w:ind w:left="709"/>
        <w:jc w:val="both"/>
        <w:rPr>
          <w:lang w:eastAsia="es-CR"/>
        </w:rPr>
      </w:pPr>
    </w:p>
    <w:p w14:paraId="6FEE0ED0" w14:textId="31FA3560" w:rsidR="00921F72" w:rsidRPr="00115875" w:rsidRDefault="00986FDD" w:rsidP="00B43EEB">
      <w:pPr>
        <w:ind w:left="709"/>
        <w:rPr>
          <w:rFonts w:eastAsia="Calibri"/>
          <w:b/>
          <w:bCs/>
          <w:u w:val="single"/>
        </w:rPr>
      </w:pPr>
      <w:r w:rsidRPr="00115875">
        <w:rPr>
          <w:rFonts w:eastAsia="Calibri"/>
          <w:b/>
          <w:bCs/>
          <w:u w:val="single"/>
        </w:rPr>
        <w:t>A LOS DESPACHOS JUDICIALES DEL</w:t>
      </w:r>
      <w:r w:rsidR="00B43EEB" w:rsidRPr="00115875">
        <w:rPr>
          <w:rFonts w:eastAsia="Calibri"/>
          <w:b/>
          <w:bCs/>
          <w:u w:val="single"/>
        </w:rPr>
        <w:t xml:space="preserve"> PAÍS </w:t>
      </w:r>
      <w:r w:rsidR="00115875" w:rsidRPr="00115875">
        <w:rPr>
          <w:rFonts w:eastAsia="Calibri"/>
          <w:b/>
          <w:bCs/>
          <w:u w:val="single"/>
        </w:rPr>
        <w:t xml:space="preserve">QUE CONOCEN MATERIA DE FAMILIA Y PENSIONES ALIMENTARIAS </w:t>
      </w:r>
      <w:r w:rsidR="00B43EEB" w:rsidRPr="00115875">
        <w:rPr>
          <w:rFonts w:eastAsia="Calibri"/>
          <w:b/>
          <w:bCs/>
          <w:u w:val="single"/>
        </w:rPr>
        <w:t xml:space="preserve">SE LES HACE </w:t>
      </w:r>
      <w:r w:rsidR="00921F72" w:rsidRPr="00115875">
        <w:rPr>
          <w:rFonts w:eastAsia="Calibri"/>
          <w:b/>
          <w:bCs/>
          <w:u w:val="single"/>
        </w:rPr>
        <w:t>QUE:</w:t>
      </w:r>
    </w:p>
    <w:p w14:paraId="1ABB4703" w14:textId="77777777" w:rsidR="00921F72" w:rsidRPr="00115875" w:rsidRDefault="00921F72" w:rsidP="009C0BAE">
      <w:pPr>
        <w:pStyle w:val="Textodebloque2"/>
        <w:ind w:left="0" w:right="0"/>
      </w:pPr>
    </w:p>
    <w:p w14:paraId="727ABE91" w14:textId="69D87ED6" w:rsidR="00115875" w:rsidRPr="00115875" w:rsidRDefault="00E20A79" w:rsidP="00115875">
      <w:pPr>
        <w:ind w:left="851" w:right="851" w:firstLine="709"/>
        <w:jc w:val="both"/>
        <w:rPr>
          <w:lang w:eastAsia="es-CR"/>
        </w:rPr>
      </w:pPr>
      <w:r w:rsidRPr="00115875">
        <w:rPr>
          <w:lang w:eastAsia="es-ES"/>
        </w:rPr>
        <w:t xml:space="preserve">Que el Consejo Superior en sesión </w:t>
      </w:r>
      <w:proofErr w:type="spellStart"/>
      <w:r w:rsidRPr="00115875">
        <w:rPr>
          <w:lang w:eastAsia="es-ES"/>
        </w:rPr>
        <w:t>N°</w:t>
      </w:r>
      <w:proofErr w:type="spellEnd"/>
      <w:r w:rsidR="00115875" w:rsidRPr="00115875">
        <w:rPr>
          <w:lang w:eastAsia="es-ES"/>
        </w:rPr>
        <w:t xml:space="preserve"> </w:t>
      </w:r>
      <w:r w:rsidR="00115875" w:rsidRPr="00115875">
        <w:t>103-2020 celebrada el 27 de octubre de 2020</w:t>
      </w:r>
      <w:r w:rsidRPr="00115875">
        <w:rPr>
          <w:lang w:eastAsia="es-ES"/>
        </w:rPr>
        <w:t>, artículo X</w:t>
      </w:r>
      <w:r w:rsidR="00115875" w:rsidRPr="00115875">
        <w:rPr>
          <w:lang w:eastAsia="es-ES"/>
        </w:rPr>
        <w:t>LV</w:t>
      </w:r>
      <w:r w:rsidRPr="00115875">
        <w:rPr>
          <w:lang w:eastAsia="es-ES"/>
        </w:rPr>
        <w:t>, acogió la</w:t>
      </w:r>
      <w:r w:rsidR="00115875" w:rsidRPr="00115875">
        <w:rPr>
          <w:lang w:eastAsia="es-ES"/>
        </w:rPr>
        <w:t xml:space="preserve"> circular de la </w:t>
      </w:r>
      <w:r w:rsidR="00115875" w:rsidRPr="00115875">
        <w:t>Comisión de Familia, Niñez y Adolescencia;</w:t>
      </w:r>
      <w:r w:rsidR="00115875" w:rsidRPr="00115875">
        <w:rPr>
          <w:lang w:eastAsia="es-CR"/>
        </w:rPr>
        <w:t xml:space="preserve"> en cuanto a la oportunidad de la prestación del servicio público de administración de la justicia de los Juzgados de Familia, acordó informales cuales son las resoluciones que se consideran sentencia, llevan número de voto y se registran en el módulo de pase a fallo, siendo las siguientes:</w:t>
      </w:r>
    </w:p>
    <w:p w14:paraId="69EDB6E9" w14:textId="77777777" w:rsidR="00115875" w:rsidRPr="00115875" w:rsidRDefault="00115875" w:rsidP="00115875">
      <w:pPr>
        <w:ind w:left="851" w:right="851" w:firstLine="709"/>
        <w:jc w:val="both"/>
        <w:rPr>
          <w:lang w:eastAsia="es-CR"/>
        </w:rPr>
      </w:pPr>
    </w:p>
    <w:p w14:paraId="5F8EFAC2" w14:textId="77777777" w:rsidR="00115875" w:rsidRPr="00115875" w:rsidRDefault="00115875" w:rsidP="00115875">
      <w:pPr>
        <w:numPr>
          <w:ilvl w:val="0"/>
          <w:numId w:val="3"/>
        </w:numPr>
        <w:suppressAutoHyphens w:val="0"/>
        <w:ind w:left="851" w:right="851" w:firstLine="709"/>
        <w:jc w:val="both"/>
        <w:rPr>
          <w:lang w:eastAsia="es-CR"/>
        </w:rPr>
      </w:pPr>
      <w:r w:rsidRPr="00115875">
        <w:rPr>
          <w:lang w:eastAsia="es-CR"/>
        </w:rPr>
        <w:t>Sentencias dictadas en cualquier tipo de proceso familiar.</w:t>
      </w:r>
    </w:p>
    <w:p w14:paraId="0B36D6D2" w14:textId="77777777" w:rsidR="00115875" w:rsidRPr="00115875" w:rsidRDefault="00115875" w:rsidP="00115875">
      <w:pPr>
        <w:ind w:left="851" w:right="851" w:firstLine="709"/>
        <w:jc w:val="both"/>
        <w:rPr>
          <w:lang w:eastAsia="es-CR"/>
        </w:rPr>
      </w:pPr>
      <w:r w:rsidRPr="00115875">
        <w:rPr>
          <w:lang w:eastAsia="es-CR"/>
        </w:rPr>
        <w:t> </w:t>
      </w:r>
    </w:p>
    <w:p w14:paraId="51DBF0CF" w14:textId="77777777" w:rsidR="00115875" w:rsidRPr="00115875" w:rsidRDefault="00115875" w:rsidP="00115875">
      <w:pPr>
        <w:numPr>
          <w:ilvl w:val="0"/>
          <w:numId w:val="4"/>
        </w:numPr>
        <w:suppressAutoHyphens w:val="0"/>
        <w:ind w:left="851" w:right="851" w:firstLine="709"/>
        <w:jc w:val="both"/>
        <w:rPr>
          <w:lang w:eastAsia="es-CR"/>
        </w:rPr>
      </w:pPr>
      <w:r w:rsidRPr="00115875">
        <w:rPr>
          <w:lang w:eastAsia="es-CR"/>
        </w:rPr>
        <w:t>Sentencias de homologación de acuerdos conciliatorios judiciales o extrajudiciales.</w:t>
      </w:r>
    </w:p>
    <w:p w14:paraId="7DB209B7" w14:textId="77777777" w:rsidR="00115875" w:rsidRPr="00115875" w:rsidRDefault="00115875" w:rsidP="00115875">
      <w:pPr>
        <w:ind w:left="851" w:right="851" w:firstLine="709"/>
        <w:jc w:val="both"/>
        <w:rPr>
          <w:lang w:eastAsia="es-CR"/>
        </w:rPr>
      </w:pPr>
      <w:r w:rsidRPr="00115875">
        <w:rPr>
          <w:lang w:eastAsia="es-CR"/>
        </w:rPr>
        <w:t> </w:t>
      </w:r>
    </w:p>
    <w:p w14:paraId="322BAD7D" w14:textId="77777777" w:rsidR="00115875" w:rsidRPr="00115875" w:rsidRDefault="00115875" w:rsidP="00115875">
      <w:pPr>
        <w:numPr>
          <w:ilvl w:val="0"/>
          <w:numId w:val="5"/>
        </w:numPr>
        <w:suppressAutoHyphens w:val="0"/>
        <w:ind w:left="851" w:right="851" w:firstLine="709"/>
        <w:jc w:val="both"/>
        <w:rPr>
          <w:lang w:eastAsia="es-CR"/>
        </w:rPr>
      </w:pPr>
      <w:r w:rsidRPr="00115875">
        <w:rPr>
          <w:lang w:eastAsia="es-CR"/>
        </w:rPr>
        <w:t>Aprobación de convenios de divorcio por mutuo consentimiento.</w:t>
      </w:r>
    </w:p>
    <w:p w14:paraId="50AB5F90" w14:textId="77777777" w:rsidR="00115875" w:rsidRPr="00115875" w:rsidRDefault="00115875" w:rsidP="00115875">
      <w:pPr>
        <w:ind w:left="851" w:right="851" w:firstLine="709"/>
        <w:jc w:val="both"/>
        <w:rPr>
          <w:lang w:eastAsia="es-CR"/>
        </w:rPr>
      </w:pPr>
      <w:r w:rsidRPr="00115875">
        <w:rPr>
          <w:lang w:eastAsia="es-CR"/>
        </w:rPr>
        <w:t>  </w:t>
      </w:r>
    </w:p>
    <w:p w14:paraId="597DF845" w14:textId="77777777" w:rsidR="00115875" w:rsidRPr="00115875" w:rsidRDefault="00115875" w:rsidP="00115875">
      <w:pPr>
        <w:numPr>
          <w:ilvl w:val="0"/>
          <w:numId w:val="6"/>
        </w:numPr>
        <w:suppressAutoHyphens w:val="0"/>
        <w:ind w:left="851" w:right="851" w:firstLine="709"/>
        <w:jc w:val="both"/>
        <w:rPr>
          <w:lang w:eastAsia="es-CR"/>
        </w:rPr>
      </w:pPr>
      <w:r w:rsidRPr="00115875">
        <w:rPr>
          <w:lang w:eastAsia="es-CR"/>
        </w:rPr>
        <w:t>Sentencias en procesos incidentales. Se recomienda que en las incidencias de nulidad las mismas sean tramitadas de manera interlocutoria dentro del proceso principal.</w:t>
      </w:r>
    </w:p>
    <w:p w14:paraId="50AA4A8E" w14:textId="77777777" w:rsidR="00115875" w:rsidRPr="00115875" w:rsidRDefault="00115875" w:rsidP="00115875">
      <w:pPr>
        <w:ind w:left="851" w:right="851" w:firstLine="709"/>
        <w:jc w:val="both"/>
        <w:rPr>
          <w:lang w:eastAsia="es-CR"/>
        </w:rPr>
      </w:pPr>
      <w:r w:rsidRPr="00115875">
        <w:rPr>
          <w:lang w:eastAsia="es-CR"/>
        </w:rPr>
        <w:t> </w:t>
      </w:r>
    </w:p>
    <w:p w14:paraId="2FFAFB1C" w14:textId="77777777" w:rsidR="00115875" w:rsidRPr="00115875" w:rsidRDefault="00115875" w:rsidP="00115875">
      <w:pPr>
        <w:numPr>
          <w:ilvl w:val="0"/>
          <w:numId w:val="7"/>
        </w:numPr>
        <w:suppressAutoHyphens w:val="0"/>
        <w:ind w:left="851" w:right="851" w:firstLine="709"/>
        <w:jc w:val="both"/>
        <w:rPr>
          <w:lang w:eastAsia="es-CR"/>
        </w:rPr>
      </w:pPr>
      <w:r w:rsidRPr="00115875">
        <w:rPr>
          <w:lang w:eastAsia="es-CR"/>
        </w:rPr>
        <w:t>Sentencias en procesos de modificación de fallo.</w:t>
      </w:r>
    </w:p>
    <w:p w14:paraId="4A802CA0" w14:textId="77777777" w:rsidR="00115875" w:rsidRPr="00115875" w:rsidRDefault="00115875" w:rsidP="00115875">
      <w:pPr>
        <w:ind w:left="851" w:right="851" w:firstLine="709"/>
        <w:jc w:val="both"/>
        <w:rPr>
          <w:lang w:eastAsia="es-CR"/>
        </w:rPr>
      </w:pPr>
      <w:r w:rsidRPr="00115875">
        <w:rPr>
          <w:lang w:eastAsia="es-CR"/>
        </w:rPr>
        <w:t> </w:t>
      </w:r>
    </w:p>
    <w:p w14:paraId="323CCC98" w14:textId="77777777" w:rsidR="00115875" w:rsidRPr="00115875" w:rsidRDefault="00115875" w:rsidP="00115875">
      <w:pPr>
        <w:numPr>
          <w:ilvl w:val="0"/>
          <w:numId w:val="8"/>
        </w:numPr>
        <w:suppressAutoHyphens w:val="0"/>
        <w:ind w:left="851" w:right="851" w:firstLine="709"/>
        <w:jc w:val="both"/>
        <w:rPr>
          <w:lang w:eastAsia="es-CR"/>
        </w:rPr>
      </w:pPr>
      <w:r w:rsidRPr="00115875">
        <w:rPr>
          <w:lang w:eastAsia="es-CR"/>
        </w:rPr>
        <w:t>Resoluciones donde se declaran o se acogen deserciones del proceso.</w:t>
      </w:r>
    </w:p>
    <w:p w14:paraId="6181AE38" w14:textId="77777777" w:rsidR="00115875" w:rsidRPr="00115875" w:rsidRDefault="00115875" w:rsidP="00115875">
      <w:pPr>
        <w:ind w:left="851" w:right="851" w:firstLine="709"/>
        <w:jc w:val="both"/>
        <w:rPr>
          <w:lang w:eastAsia="es-CR"/>
        </w:rPr>
      </w:pPr>
      <w:r w:rsidRPr="00115875">
        <w:rPr>
          <w:lang w:eastAsia="es-CR"/>
        </w:rPr>
        <w:t> </w:t>
      </w:r>
    </w:p>
    <w:p w14:paraId="470593BA" w14:textId="77777777" w:rsidR="00115875" w:rsidRPr="00115875" w:rsidRDefault="00115875" w:rsidP="00115875">
      <w:pPr>
        <w:numPr>
          <w:ilvl w:val="0"/>
          <w:numId w:val="9"/>
        </w:numPr>
        <w:suppressAutoHyphens w:val="0"/>
        <w:ind w:left="851" w:right="851" w:firstLine="709"/>
        <w:jc w:val="both"/>
        <w:rPr>
          <w:lang w:eastAsia="es-CR"/>
        </w:rPr>
      </w:pPr>
      <w:r w:rsidRPr="00115875">
        <w:rPr>
          <w:lang w:eastAsia="es-CR"/>
        </w:rPr>
        <w:t>Resoluciones que acojan excepciones previas que pongan fin al proceso.</w:t>
      </w:r>
    </w:p>
    <w:p w14:paraId="3C012A4D" w14:textId="77777777" w:rsidR="00115875" w:rsidRPr="00115875" w:rsidRDefault="00115875" w:rsidP="00115875">
      <w:pPr>
        <w:ind w:left="851" w:right="851" w:firstLine="709"/>
        <w:jc w:val="both"/>
        <w:rPr>
          <w:lang w:eastAsia="es-CR"/>
        </w:rPr>
      </w:pPr>
      <w:r w:rsidRPr="00115875">
        <w:rPr>
          <w:lang w:eastAsia="es-CR"/>
        </w:rPr>
        <w:t> </w:t>
      </w:r>
    </w:p>
    <w:p w14:paraId="13C09CC0" w14:textId="77777777" w:rsidR="00115875" w:rsidRPr="00115875" w:rsidRDefault="00115875" w:rsidP="00115875">
      <w:pPr>
        <w:numPr>
          <w:ilvl w:val="0"/>
          <w:numId w:val="10"/>
        </w:numPr>
        <w:suppressAutoHyphens w:val="0"/>
        <w:ind w:left="851" w:right="851" w:firstLine="709"/>
        <w:jc w:val="both"/>
        <w:rPr>
          <w:lang w:eastAsia="es-CR"/>
        </w:rPr>
      </w:pPr>
      <w:r w:rsidRPr="00115875">
        <w:rPr>
          <w:lang w:eastAsia="es-CR"/>
        </w:rPr>
        <w:t>Resoluciones que acojan excepciones de falta de competencia internacional.</w:t>
      </w:r>
    </w:p>
    <w:p w14:paraId="5F4A1DE2" w14:textId="77777777" w:rsidR="00115875" w:rsidRPr="00115875" w:rsidRDefault="00115875" w:rsidP="00115875">
      <w:pPr>
        <w:ind w:left="851" w:right="851" w:firstLine="709"/>
        <w:jc w:val="both"/>
        <w:rPr>
          <w:lang w:eastAsia="es-CR"/>
        </w:rPr>
      </w:pPr>
      <w:r w:rsidRPr="00115875">
        <w:rPr>
          <w:lang w:eastAsia="es-CR"/>
        </w:rPr>
        <w:t>  </w:t>
      </w:r>
    </w:p>
    <w:p w14:paraId="3969406B" w14:textId="77777777" w:rsidR="00115875" w:rsidRPr="00115875" w:rsidRDefault="00115875" w:rsidP="00115875">
      <w:pPr>
        <w:numPr>
          <w:ilvl w:val="0"/>
          <w:numId w:val="11"/>
        </w:numPr>
        <w:suppressAutoHyphens w:val="0"/>
        <w:ind w:left="851" w:right="851" w:firstLine="709"/>
        <w:jc w:val="both"/>
        <w:rPr>
          <w:lang w:eastAsia="es-CR"/>
        </w:rPr>
      </w:pPr>
      <w:r w:rsidRPr="00115875">
        <w:rPr>
          <w:lang w:eastAsia="es-CR"/>
        </w:rPr>
        <w:t>Además, cualquier otra resolución que ponga fin al proceso.”</w:t>
      </w:r>
    </w:p>
    <w:p w14:paraId="0D704EB7" w14:textId="77777777" w:rsidR="00B43EEB" w:rsidRDefault="00B43EEB" w:rsidP="00EF7779">
      <w:pPr>
        <w:ind w:left="851" w:right="851" w:firstLine="709"/>
        <w:jc w:val="both"/>
        <w:rPr>
          <w:lang w:eastAsia="es-CR"/>
        </w:rPr>
      </w:pPr>
    </w:p>
    <w:p w14:paraId="36A5479E" w14:textId="2CF16ADD" w:rsidR="004F0F16" w:rsidRPr="004F0F16" w:rsidRDefault="00916CF5" w:rsidP="00F04704">
      <w:pPr>
        <w:spacing w:before="120" w:after="120"/>
        <w:ind w:left="851" w:right="851" w:firstLine="709"/>
        <w:jc w:val="both"/>
        <w:rPr>
          <w:b/>
          <w:bCs/>
          <w:iCs/>
          <w:color w:val="000000"/>
        </w:rPr>
      </w:pPr>
      <w:r w:rsidRPr="004F0F16">
        <w:rPr>
          <w:b/>
          <w:bCs/>
          <w:iCs/>
          <w:color w:val="000000"/>
        </w:rPr>
        <w:t xml:space="preserve">De conformidad con la circular </w:t>
      </w:r>
      <w:r w:rsidR="004F0F16" w:rsidRPr="004F0F16">
        <w:rPr>
          <w:b/>
        </w:rPr>
        <w:t>No.</w:t>
      </w:r>
      <w:r w:rsidR="004F0F16" w:rsidRPr="00A668FD">
        <w:t xml:space="preserve"> </w:t>
      </w:r>
      <w:r w:rsidRPr="004F0F16">
        <w:rPr>
          <w:b/>
          <w:bCs/>
          <w:iCs/>
          <w:color w:val="000000"/>
        </w:rPr>
        <w:t xml:space="preserve">67-09 emitida por la Secretaría de la Corte el 22 de junio de 2009, se le comunica que en virtud del principio de gratuidad que rige esta materia, la publicación está exenta de todo pago de derechos. </w:t>
      </w:r>
    </w:p>
    <w:p w14:paraId="7DB94C64" w14:textId="77777777" w:rsidR="00916CF5" w:rsidRPr="004F0F16" w:rsidRDefault="00916CF5" w:rsidP="00916CF5">
      <w:pPr>
        <w:pStyle w:val="Textodebloque2"/>
        <w:spacing w:before="120" w:after="120"/>
        <w:ind w:left="0" w:right="0"/>
        <w:rPr>
          <w:b/>
        </w:rPr>
      </w:pPr>
      <w:r w:rsidRPr="004F0F16">
        <w:rPr>
          <w:b/>
          <w:bCs/>
          <w:lang w:val="es-ES_tradnl" w:eastAsia="ar-SA"/>
        </w:rPr>
        <w:t>Publíquese una sola vez en el Boletín Judicial.</w:t>
      </w:r>
    </w:p>
    <w:p w14:paraId="48B489EB" w14:textId="77777777" w:rsidR="00921F72" w:rsidRDefault="00921F72" w:rsidP="00526700">
      <w:pPr>
        <w:ind w:left="851" w:right="851" w:firstLine="567"/>
        <w:jc w:val="both"/>
        <w:rPr>
          <w:rFonts w:eastAsia="Arial Unicode MS"/>
          <w:b/>
          <w:bCs/>
          <w:kern w:val="2"/>
          <w:lang w:eastAsia="es-CR"/>
        </w:rPr>
      </w:pPr>
    </w:p>
    <w:p w14:paraId="511BE44C" w14:textId="31ACF529"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254179">
        <w:rPr>
          <w:b/>
          <w:bCs/>
        </w:rPr>
        <w:t>1</w:t>
      </w:r>
      <w:r w:rsidR="00115875">
        <w:rPr>
          <w:b/>
          <w:bCs/>
        </w:rPr>
        <w:t>7</w:t>
      </w:r>
      <w:r w:rsidR="00DC5ABD">
        <w:rPr>
          <w:b/>
          <w:bCs/>
        </w:rPr>
        <w:t xml:space="preserve"> </w:t>
      </w:r>
      <w:r w:rsidRPr="00D27849">
        <w:rPr>
          <w:b/>
          <w:bCs/>
        </w:rPr>
        <w:t>de</w:t>
      </w:r>
      <w:r w:rsidR="00254179">
        <w:rPr>
          <w:b/>
          <w:bCs/>
        </w:rPr>
        <w:t xml:space="preserve"> </w:t>
      </w:r>
      <w:r w:rsidR="00115875">
        <w:rPr>
          <w:b/>
          <w:bCs/>
        </w:rPr>
        <w:t>noviembre</w:t>
      </w:r>
      <w:r w:rsidRPr="00D27849">
        <w:rPr>
          <w:b/>
          <w:bCs/>
        </w:rPr>
        <w:t xml:space="preserve"> de 20</w:t>
      </w:r>
      <w:r w:rsidR="000F39B7">
        <w:rPr>
          <w:b/>
          <w:bCs/>
        </w:rPr>
        <w:t>20</w:t>
      </w:r>
    </w:p>
    <w:p w14:paraId="36120EFA" w14:textId="77777777" w:rsidR="00921F72" w:rsidRPr="00526700" w:rsidRDefault="00921F72" w:rsidP="00115875">
      <w:pPr>
        <w:ind w:right="851"/>
        <w:jc w:val="both"/>
        <w:rPr>
          <w:rFonts w:eastAsia="Arial Unicode MS"/>
          <w:b/>
          <w:bCs/>
          <w:kern w:val="2"/>
          <w:lang w:eastAsia="es-CR"/>
        </w:rPr>
      </w:pPr>
    </w:p>
    <w:p w14:paraId="6DD55EB7" w14:textId="77777777" w:rsidR="00921F72" w:rsidRPr="00D27849" w:rsidRDefault="00921F72" w:rsidP="00526700">
      <w:pPr>
        <w:ind w:left="851" w:right="851" w:firstLine="567"/>
        <w:jc w:val="both"/>
        <w:rPr>
          <w:rFonts w:eastAsia="Arial Unicode MS"/>
          <w:b/>
          <w:bCs/>
          <w:kern w:val="2"/>
          <w:sz w:val="23"/>
          <w:szCs w:val="23"/>
          <w:lang w:eastAsia="es-CR"/>
        </w:rPr>
      </w:pPr>
    </w:p>
    <w:p w14:paraId="2B090971" w14:textId="77777777" w:rsidR="00115875" w:rsidRPr="00115875" w:rsidRDefault="00115875" w:rsidP="00115875">
      <w:pPr>
        <w:suppressAutoHyphens w:val="0"/>
        <w:autoSpaceDE w:val="0"/>
        <w:autoSpaceDN w:val="0"/>
        <w:adjustRightInd w:val="0"/>
        <w:ind w:left="851" w:right="851" w:firstLine="567"/>
        <w:jc w:val="both"/>
        <w:rPr>
          <w:b/>
          <w:bCs/>
        </w:rPr>
      </w:pPr>
      <w:proofErr w:type="spellStart"/>
      <w:r w:rsidRPr="00115875">
        <w:rPr>
          <w:b/>
          <w:bCs/>
          <w:sz w:val="22"/>
          <w:szCs w:val="22"/>
          <w:lang w:eastAsia="ar-SA"/>
        </w:rPr>
        <w:t>M</w:t>
      </w:r>
      <w:r w:rsidRPr="00115875">
        <w:rPr>
          <w:b/>
          <w:bCs/>
        </w:rPr>
        <w:t>.Sc</w:t>
      </w:r>
      <w:proofErr w:type="spellEnd"/>
      <w:r w:rsidRPr="00115875">
        <w:rPr>
          <w:b/>
          <w:bCs/>
        </w:rPr>
        <w:t>. Irving Vargas Rodríguez</w:t>
      </w:r>
    </w:p>
    <w:p w14:paraId="14BBFCF5" w14:textId="77777777" w:rsidR="00115875" w:rsidRPr="00115875" w:rsidRDefault="00115875" w:rsidP="00115875">
      <w:pPr>
        <w:suppressAutoHyphens w:val="0"/>
        <w:autoSpaceDE w:val="0"/>
        <w:autoSpaceDN w:val="0"/>
        <w:adjustRightInd w:val="0"/>
        <w:ind w:left="851" w:right="851" w:firstLine="567"/>
        <w:jc w:val="both"/>
        <w:rPr>
          <w:b/>
          <w:bCs/>
        </w:rPr>
      </w:pPr>
      <w:r w:rsidRPr="00115875">
        <w:rPr>
          <w:b/>
          <w:bCs/>
        </w:rPr>
        <w:t>Subsecretario General Interino</w:t>
      </w:r>
    </w:p>
    <w:p w14:paraId="0AE412BB" w14:textId="77777777" w:rsidR="00115875" w:rsidRPr="00115875" w:rsidRDefault="00115875" w:rsidP="00115875">
      <w:pPr>
        <w:suppressAutoHyphens w:val="0"/>
        <w:autoSpaceDE w:val="0"/>
        <w:autoSpaceDN w:val="0"/>
        <w:adjustRightInd w:val="0"/>
        <w:ind w:left="851" w:right="851" w:firstLine="567"/>
        <w:jc w:val="both"/>
        <w:rPr>
          <w:b/>
          <w:bCs/>
        </w:rPr>
      </w:pPr>
      <w:r w:rsidRPr="00115875">
        <w:rPr>
          <w:b/>
          <w:bCs/>
        </w:rPr>
        <w:t>Corte Suprema de Justicia</w:t>
      </w:r>
    </w:p>
    <w:p w14:paraId="6AE1F08E" w14:textId="77777777" w:rsidR="00526700" w:rsidRDefault="00526700" w:rsidP="00526700">
      <w:pPr>
        <w:ind w:left="851" w:right="851"/>
        <w:jc w:val="both"/>
        <w:rPr>
          <w:b/>
          <w:bCs/>
          <w:sz w:val="16"/>
          <w:szCs w:val="16"/>
        </w:rPr>
      </w:pPr>
    </w:p>
    <w:p w14:paraId="78D66760" w14:textId="77777777" w:rsidR="00526700" w:rsidRDefault="00526700" w:rsidP="00526700">
      <w:pPr>
        <w:ind w:left="851" w:right="851"/>
        <w:jc w:val="both"/>
        <w:rPr>
          <w:b/>
          <w:bCs/>
          <w:sz w:val="16"/>
          <w:szCs w:val="16"/>
        </w:rPr>
      </w:pPr>
    </w:p>
    <w:p w14:paraId="08222680" w14:textId="584E27A0" w:rsidR="0052587A" w:rsidRDefault="00EF7779" w:rsidP="0006424A">
      <w:pPr>
        <w:ind w:left="142" w:firstLine="709"/>
        <w:jc w:val="both"/>
        <w:rPr>
          <w:sz w:val="22"/>
          <w:szCs w:val="22"/>
        </w:rPr>
      </w:pPr>
      <w:proofErr w:type="spellStart"/>
      <w:r>
        <w:rPr>
          <w:sz w:val="22"/>
          <w:szCs w:val="22"/>
        </w:rPr>
        <w:t>Refs</w:t>
      </w:r>
      <w:proofErr w:type="spellEnd"/>
      <w:r>
        <w:rPr>
          <w:sz w:val="22"/>
          <w:szCs w:val="22"/>
        </w:rPr>
        <w:t>.: (</w:t>
      </w:r>
      <w:r w:rsidR="00115875" w:rsidRPr="00115875">
        <w:rPr>
          <w:sz w:val="22"/>
          <w:szCs w:val="22"/>
        </w:rPr>
        <w:t>11894-2020</w:t>
      </w:r>
      <w:r w:rsidR="00916CF5" w:rsidRPr="00EF7779">
        <w:rPr>
          <w:sz w:val="22"/>
          <w:szCs w:val="22"/>
        </w:rPr>
        <w:t>)</w:t>
      </w:r>
    </w:p>
    <w:p w14:paraId="212BA603" w14:textId="77777777" w:rsidR="00916CF5" w:rsidRPr="0052587A" w:rsidRDefault="00916CF5" w:rsidP="0006424A">
      <w:pPr>
        <w:ind w:left="142" w:firstLine="709"/>
        <w:jc w:val="both"/>
        <w:rPr>
          <w:b/>
          <w:bCs/>
          <w:color w:val="339933"/>
          <w:sz w:val="22"/>
          <w:szCs w:val="22"/>
        </w:rPr>
      </w:pPr>
      <w:r>
        <w:rPr>
          <w:rFonts w:ascii="Monotype Corsiva" w:hAnsi="Monotype Corsiva"/>
        </w:rPr>
        <w:t>Catalina Barquero Martínez</w:t>
      </w:r>
    </w:p>
    <w:sectPr w:rsidR="00916CF5" w:rsidRPr="0052587A" w:rsidSect="001158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706AE3"/>
    <w:multiLevelType w:val="multilevel"/>
    <w:tmpl w:val="CE2E7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245F8"/>
    <w:multiLevelType w:val="multilevel"/>
    <w:tmpl w:val="11E6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B6C88"/>
    <w:multiLevelType w:val="multilevel"/>
    <w:tmpl w:val="3F7E3FAA"/>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0447B04"/>
    <w:multiLevelType w:val="multilevel"/>
    <w:tmpl w:val="505AF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66A4D"/>
    <w:multiLevelType w:val="multilevel"/>
    <w:tmpl w:val="B33E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55163"/>
    <w:multiLevelType w:val="multilevel"/>
    <w:tmpl w:val="2168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3E228B"/>
    <w:multiLevelType w:val="multilevel"/>
    <w:tmpl w:val="ADCE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9F581C"/>
    <w:multiLevelType w:val="multilevel"/>
    <w:tmpl w:val="CD2A7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C0A16"/>
    <w:multiLevelType w:val="multilevel"/>
    <w:tmpl w:val="6456A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D4E92"/>
    <w:multiLevelType w:val="multilevel"/>
    <w:tmpl w:val="06183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5"/>
  </w:num>
  <w:num w:numId="6">
    <w:abstractNumId w:val="7"/>
  </w:num>
  <w:num w:numId="7">
    <w:abstractNumId w:val="4"/>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31537"/>
    <w:rsid w:val="00041EB7"/>
    <w:rsid w:val="0006424A"/>
    <w:rsid w:val="000918B7"/>
    <w:rsid w:val="000B47C0"/>
    <w:rsid w:val="000F39B7"/>
    <w:rsid w:val="00100A61"/>
    <w:rsid w:val="00115875"/>
    <w:rsid w:val="00137D60"/>
    <w:rsid w:val="00154DA4"/>
    <w:rsid w:val="00181AF3"/>
    <w:rsid w:val="001D7B50"/>
    <w:rsid w:val="00210FB3"/>
    <w:rsid w:val="00234866"/>
    <w:rsid w:val="00254179"/>
    <w:rsid w:val="002731B4"/>
    <w:rsid w:val="00283229"/>
    <w:rsid w:val="002C79E2"/>
    <w:rsid w:val="002D2209"/>
    <w:rsid w:val="003365F4"/>
    <w:rsid w:val="003447D5"/>
    <w:rsid w:val="003D0DCA"/>
    <w:rsid w:val="004173F0"/>
    <w:rsid w:val="004C1F31"/>
    <w:rsid w:val="004F0F16"/>
    <w:rsid w:val="0052587A"/>
    <w:rsid w:val="00526700"/>
    <w:rsid w:val="00615D39"/>
    <w:rsid w:val="00633846"/>
    <w:rsid w:val="00644264"/>
    <w:rsid w:val="006531BE"/>
    <w:rsid w:val="00671363"/>
    <w:rsid w:val="006A1F27"/>
    <w:rsid w:val="007005B4"/>
    <w:rsid w:val="00730906"/>
    <w:rsid w:val="007466DD"/>
    <w:rsid w:val="00773EDD"/>
    <w:rsid w:val="007A2B96"/>
    <w:rsid w:val="007D3646"/>
    <w:rsid w:val="007F363E"/>
    <w:rsid w:val="008B4DA0"/>
    <w:rsid w:val="008B56CF"/>
    <w:rsid w:val="008C5375"/>
    <w:rsid w:val="008E4AD5"/>
    <w:rsid w:val="00916CF5"/>
    <w:rsid w:val="00921F72"/>
    <w:rsid w:val="00955EEF"/>
    <w:rsid w:val="00986FDD"/>
    <w:rsid w:val="009B05E9"/>
    <w:rsid w:val="009C0BAE"/>
    <w:rsid w:val="009E562D"/>
    <w:rsid w:val="00A02CAE"/>
    <w:rsid w:val="00A224D9"/>
    <w:rsid w:val="00A42F3D"/>
    <w:rsid w:val="00A5085A"/>
    <w:rsid w:val="00A71976"/>
    <w:rsid w:val="00AC173E"/>
    <w:rsid w:val="00AC3F54"/>
    <w:rsid w:val="00B171AB"/>
    <w:rsid w:val="00B43EEB"/>
    <w:rsid w:val="00B540F1"/>
    <w:rsid w:val="00B658EC"/>
    <w:rsid w:val="00B975F0"/>
    <w:rsid w:val="00BB0F3F"/>
    <w:rsid w:val="00BC6B90"/>
    <w:rsid w:val="00C136C6"/>
    <w:rsid w:val="00C231C2"/>
    <w:rsid w:val="00C36E93"/>
    <w:rsid w:val="00CA2C41"/>
    <w:rsid w:val="00CB09DF"/>
    <w:rsid w:val="00CD0344"/>
    <w:rsid w:val="00CE3215"/>
    <w:rsid w:val="00D15181"/>
    <w:rsid w:val="00D27849"/>
    <w:rsid w:val="00D57D74"/>
    <w:rsid w:val="00DC5ABD"/>
    <w:rsid w:val="00E01438"/>
    <w:rsid w:val="00E01509"/>
    <w:rsid w:val="00E20A79"/>
    <w:rsid w:val="00E72143"/>
    <w:rsid w:val="00E815D8"/>
    <w:rsid w:val="00EC5744"/>
    <w:rsid w:val="00EF7779"/>
    <w:rsid w:val="00F02B7C"/>
    <w:rsid w:val="00F04704"/>
    <w:rsid w:val="00F33744"/>
    <w:rsid w:val="00F94374"/>
    <w:rsid w:val="00FB6754"/>
    <w:rsid w:val="00FF1A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084"/>
  <w15:docId w15:val="{9DF8620D-D834-4E36-841B-51FC43A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customStyle="1" w:styleId="Default">
    <w:name w:val="Default"/>
    <w:uiPriority w:val="99"/>
    <w:qFormat/>
    <w:rsid w:val="00CD0344"/>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character" w:styleId="Hipervnculo">
    <w:name w:val="Hyperlink"/>
    <w:basedOn w:val="Fuentedeprrafopredeter"/>
    <w:uiPriority w:val="99"/>
    <w:unhideWhenUsed/>
    <w:rsid w:val="00234866"/>
    <w:rPr>
      <w:color w:val="0000FF"/>
      <w:u w:val="single"/>
    </w:rPr>
  </w:style>
  <w:style w:type="paragraph" w:styleId="NormalWeb">
    <w:name w:val="Normal (Web)"/>
    <w:basedOn w:val="Normal"/>
    <w:link w:val="NormalWebCar"/>
    <w:uiPriority w:val="99"/>
    <w:qFormat/>
    <w:rsid w:val="007F363E"/>
    <w:pPr>
      <w:spacing w:before="100" w:after="100"/>
    </w:pPr>
    <w:rPr>
      <w:lang w:eastAsia="ar-SA"/>
    </w:rPr>
  </w:style>
  <w:style w:type="character" w:customStyle="1" w:styleId="NormalWebCar">
    <w:name w:val="Normal (Web) Car"/>
    <w:link w:val="NormalWeb"/>
    <w:uiPriority w:val="99"/>
    <w:qFormat/>
    <w:locked/>
    <w:rsid w:val="007F363E"/>
    <w:rPr>
      <w:rFonts w:ascii="Times New Roman" w:eastAsia="Times New Roman" w:hAnsi="Times New Roman" w:cs="Times New Roman"/>
      <w:sz w:val="24"/>
      <w:szCs w:val="24"/>
      <w:lang w:val="es-ES" w:eastAsia="ar-SA"/>
    </w:rPr>
  </w:style>
  <w:style w:type="paragraph" w:styleId="Prrafodelista">
    <w:name w:val="List Paragraph"/>
    <w:aliases w:val="Bullet 1,Use Case List Paragraph,Lista vistosa - Énfasis 11,Párrafo de lista Car Car Car,Informe,Párrafo de lista3,FooterText,numbered,Paragraphe de liste1,Bulletr List Paragraph,列出段落,列出段落1,lp1,lp11,List Paragraph 1,Bullets,Footnote"/>
    <w:basedOn w:val="Normal"/>
    <w:uiPriority w:val="34"/>
    <w:qFormat/>
    <w:rsid w:val="007F363E"/>
    <w:pPr>
      <w:ind w:left="708"/>
    </w:pPr>
    <w:rPr>
      <w:lang w:eastAsia="ar-SA"/>
    </w:rPr>
  </w:style>
  <w:style w:type="character" w:customStyle="1" w:styleId="Mencinsinresolver1">
    <w:name w:val="Mención sin resolver1"/>
    <w:basedOn w:val="Fuentedeprrafopredeter"/>
    <w:uiPriority w:val="99"/>
    <w:semiHidden/>
    <w:unhideWhenUsed/>
    <w:rsid w:val="00B5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6602">
      <w:bodyDiv w:val="1"/>
      <w:marLeft w:val="0"/>
      <w:marRight w:val="0"/>
      <w:marTop w:val="0"/>
      <w:marBottom w:val="0"/>
      <w:divBdr>
        <w:top w:val="none" w:sz="0" w:space="0" w:color="auto"/>
        <w:left w:val="none" w:sz="0" w:space="0" w:color="auto"/>
        <w:bottom w:val="none" w:sz="0" w:space="0" w:color="auto"/>
        <w:right w:val="none" w:sz="0" w:space="0" w:color="auto"/>
      </w:divBdr>
    </w:div>
    <w:div w:id="18196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Elienai Díaz Obando</cp:lastModifiedBy>
  <cp:revision>2</cp:revision>
  <dcterms:created xsi:type="dcterms:W3CDTF">2020-11-19T15:34:00Z</dcterms:created>
  <dcterms:modified xsi:type="dcterms:W3CDTF">2020-11-19T15:34:00Z</dcterms:modified>
</cp:coreProperties>
</file>