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9C2F" w14:textId="6C55329F" w:rsidR="00334FDF" w:rsidRDefault="00334FDF" w:rsidP="00066D2E">
      <w:pPr>
        <w:spacing w:line="240" w:lineRule="auto"/>
        <w:jc w:val="center"/>
        <w:rPr>
          <w:rFonts w:ascii="Book Antiqua" w:hAnsi="Book Antiqua" w:cs="Book Antiqua"/>
          <w:lang w:val="pt-BR"/>
        </w:rPr>
      </w:pPr>
      <w:r w:rsidRPr="00863CD9">
        <w:rPr>
          <w:rFonts w:ascii="Book Antiqua" w:hAnsi="Book Antiqua" w:cs="Book Antiqua"/>
          <w:highlight w:val="yellow"/>
          <w:lang w:val="pt-BR"/>
        </w:rPr>
        <w:t>APROBADO POR EL CONSEJO SUPERIOR E</w:t>
      </w:r>
      <w:r w:rsidR="00843396" w:rsidRPr="00863CD9">
        <w:rPr>
          <w:rFonts w:ascii="Book Antiqua" w:hAnsi="Book Antiqua" w:cs="Book Antiqua"/>
          <w:highlight w:val="yellow"/>
          <w:lang w:val="pt-BR"/>
        </w:rPr>
        <w:t>N</w:t>
      </w:r>
      <w:r w:rsidRPr="00863CD9">
        <w:rPr>
          <w:rFonts w:ascii="Book Antiqua" w:hAnsi="Book Antiqua" w:cs="Book Antiqua"/>
          <w:highlight w:val="yellow"/>
          <w:lang w:val="pt-BR"/>
        </w:rPr>
        <w:t xml:space="preserve"> SESIÓN </w:t>
      </w:r>
      <w:r w:rsidR="00D954A4" w:rsidRPr="00863CD9">
        <w:rPr>
          <w:rFonts w:ascii="Book Antiqua" w:hAnsi="Book Antiqua" w:cs="Book Antiqua"/>
          <w:highlight w:val="yellow"/>
          <w:lang w:val="pt-BR"/>
        </w:rPr>
        <w:t xml:space="preserve">94-2022 DEL 04-11-2022, ARTÍCULO </w:t>
      </w:r>
      <w:r w:rsidR="009B3F9F" w:rsidRPr="00863CD9">
        <w:rPr>
          <w:rFonts w:ascii="Book Antiqua" w:hAnsi="Book Antiqua" w:cs="Book Antiqua"/>
          <w:highlight w:val="yellow"/>
          <w:lang w:val="pt-BR"/>
        </w:rPr>
        <w:t>L</w:t>
      </w:r>
    </w:p>
    <w:p w14:paraId="72351A85" w14:textId="1E1E0975" w:rsidR="003C417C" w:rsidRPr="003C417C" w:rsidRDefault="00934A17" w:rsidP="003C417C">
      <w:pPr>
        <w:spacing w:line="240" w:lineRule="auto"/>
        <w:jc w:val="right"/>
        <w:rPr>
          <w:rFonts w:ascii="Book Antiqua" w:hAnsi="Book Antiqua" w:cs="Book Antiqua"/>
          <w:lang w:val="pt-BR"/>
        </w:rPr>
      </w:pPr>
      <w:r>
        <w:rPr>
          <w:rFonts w:ascii="Book Antiqua" w:hAnsi="Book Antiqua" w:cs="Book Antiqua"/>
          <w:lang w:val="pt-BR"/>
        </w:rPr>
        <w:t>1008</w:t>
      </w:r>
      <w:r w:rsidR="003C417C" w:rsidRPr="003C417C">
        <w:rPr>
          <w:rFonts w:ascii="Book Antiqua" w:hAnsi="Book Antiqua" w:cs="Book Antiqua"/>
          <w:lang w:val="pt-BR"/>
        </w:rPr>
        <w:t>-PLA-</w:t>
      </w:r>
      <w:r w:rsidR="00C54761">
        <w:rPr>
          <w:rFonts w:ascii="Book Antiqua" w:hAnsi="Book Antiqua" w:cs="Book Antiqua"/>
          <w:lang w:val="pt-BR"/>
        </w:rPr>
        <w:t>OI</w:t>
      </w:r>
      <w:r w:rsidR="003C417C" w:rsidRPr="003C417C">
        <w:rPr>
          <w:rFonts w:ascii="Book Antiqua" w:hAnsi="Book Antiqua" w:cs="Book Antiqua"/>
          <w:lang w:val="pt-BR"/>
        </w:rPr>
        <w:t>-2022</w:t>
      </w:r>
    </w:p>
    <w:p w14:paraId="7A4763BD" w14:textId="687AF97D" w:rsidR="003C417C" w:rsidRPr="003C417C" w:rsidRDefault="003C417C" w:rsidP="003C417C">
      <w:pPr>
        <w:spacing w:line="240" w:lineRule="auto"/>
        <w:jc w:val="right"/>
        <w:rPr>
          <w:rFonts w:ascii="Book Antiqua" w:hAnsi="Book Antiqua" w:cs="Book Antiqua"/>
          <w:lang w:val="es-CR"/>
        </w:rPr>
      </w:pPr>
      <w:r w:rsidRPr="003C417C">
        <w:rPr>
          <w:rFonts w:ascii="Book Antiqua" w:hAnsi="Book Antiqua" w:cs="Book Antiqua"/>
          <w:lang w:val="es-CR"/>
        </w:rPr>
        <w:t>Ref. SICE:</w:t>
      </w:r>
      <w:r w:rsidR="00C54761">
        <w:rPr>
          <w:rFonts w:ascii="Book Antiqua" w:hAnsi="Book Antiqua" w:cs="Book Antiqua"/>
          <w:lang w:val="es-CR"/>
        </w:rPr>
        <w:t xml:space="preserve"> 1698-22</w:t>
      </w:r>
      <w:r w:rsidRPr="003C417C">
        <w:rPr>
          <w:rFonts w:ascii="Book Antiqua" w:hAnsi="Book Antiqua" w:cs="Book Antiqua"/>
          <w:lang w:val="es-CR"/>
        </w:rPr>
        <w:t xml:space="preserve"> </w:t>
      </w:r>
    </w:p>
    <w:p w14:paraId="1FCA3A94" w14:textId="77777777" w:rsidR="003C417C" w:rsidRPr="003C417C" w:rsidRDefault="003C417C" w:rsidP="003C417C">
      <w:pPr>
        <w:spacing w:line="240" w:lineRule="auto"/>
        <w:jc w:val="right"/>
        <w:rPr>
          <w:rFonts w:ascii="Book Antiqua" w:hAnsi="Book Antiqua" w:cs="Book Antiqua"/>
          <w:lang w:val="pt-BR"/>
        </w:rPr>
      </w:pPr>
    </w:p>
    <w:p w14:paraId="2C360F6A" w14:textId="47C13603" w:rsidR="003C417C" w:rsidRPr="003C417C" w:rsidRDefault="003C417C" w:rsidP="003C417C">
      <w:pPr>
        <w:spacing w:line="240" w:lineRule="auto"/>
        <w:jc w:val="left"/>
        <w:rPr>
          <w:rFonts w:ascii="Book Antiqua" w:hAnsi="Book Antiqua" w:cs="Book Antiqua"/>
          <w:lang w:val="pt-BR"/>
        </w:rPr>
      </w:pPr>
      <w:r>
        <w:rPr>
          <w:rFonts w:ascii="Book Antiqua" w:hAnsi="Book Antiqua" w:cs="Book Antiqua"/>
          <w:lang w:val="pt-BR"/>
        </w:rPr>
        <w:t>21 de octubre</w:t>
      </w:r>
      <w:r w:rsidRPr="003C417C">
        <w:rPr>
          <w:rFonts w:ascii="Book Antiqua" w:hAnsi="Book Antiqua" w:cs="Book Antiqua"/>
          <w:lang w:val="pt-BR"/>
        </w:rPr>
        <w:t xml:space="preserve"> de 2022</w:t>
      </w:r>
    </w:p>
    <w:p w14:paraId="30FA3292" w14:textId="77777777" w:rsidR="003C417C" w:rsidRPr="003C417C" w:rsidRDefault="003C417C" w:rsidP="003C417C">
      <w:pPr>
        <w:spacing w:line="240" w:lineRule="auto"/>
        <w:jc w:val="left"/>
        <w:rPr>
          <w:rFonts w:ascii="Book Antiqua" w:hAnsi="Book Antiqua" w:cs="Book Antiqua"/>
          <w:lang w:val="pt-BR"/>
        </w:rPr>
      </w:pPr>
    </w:p>
    <w:p w14:paraId="0972D572" w14:textId="77777777" w:rsidR="003C417C" w:rsidRPr="003C417C" w:rsidRDefault="003C417C" w:rsidP="003C417C">
      <w:pPr>
        <w:spacing w:line="240" w:lineRule="auto"/>
        <w:jc w:val="left"/>
        <w:rPr>
          <w:rFonts w:ascii="Book Antiqua" w:hAnsi="Book Antiqua" w:cs="Book Antiqua"/>
          <w:lang w:val="pt-BR"/>
        </w:rPr>
      </w:pPr>
    </w:p>
    <w:p w14:paraId="1573380E" w14:textId="77777777" w:rsidR="003C417C" w:rsidRPr="003C417C" w:rsidRDefault="003C417C" w:rsidP="003C417C">
      <w:pPr>
        <w:spacing w:line="240" w:lineRule="auto"/>
        <w:jc w:val="left"/>
        <w:rPr>
          <w:rFonts w:ascii="Book Antiqua" w:hAnsi="Book Antiqua" w:cs="Book Antiqua"/>
          <w:lang w:val="pt-BR"/>
        </w:rPr>
      </w:pPr>
    </w:p>
    <w:p w14:paraId="003A2910" w14:textId="77777777" w:rsidR="003C417C" w:rsidRPr="003C417C" w:rsidRDefault="003C417C" w:rsidP="003C417C">
      <w:pPr>
        <w:spacing w:line="240" w:lineRule="auto"/>
        <w:jc w:val="left"/>
        <w:rPr>
          <w:rFonts w:ascii="Book Antiqua" w:hAnsi="Book Antiqua" w:cs="Book Antiqua"/>
          <w:lang w:val="pt-BR"/>
        </w:rPr>
      </w:pPr>
      <w:r w:rsidRPr="003C417C">
        <w:rPr>
          <w:rFonts w:ascii="Book Antiqua" w:hAnsi="Book Antiqua" w:cs="Book Antiqua"/>
          <w:lang w:val="pt-BR"/>
        </w:rPr>
        <w:t>Licenciada</w:t>
      </w:r>
    </w:p>
    <w:p w14:paraId="5245F239" w14:textId="77777777" w:rsidR="003C417C" w:rsidRPr="003C417C" w:rsidRDefault="003C417C" w:rsidP="003C417C">
      <w:pPr>
        <w:spacing w:line="240" w:lineRule="auto"/>
        <w:jc w:val="left"/>
        <w:rPr>
          <w:rFonts w:ascii="Book Antiqua" w:hAnsi="Book Antiqua" w:cs="Book Antiqua"/>
          <w:lang w:val="pt-BR"/>
        </w:rPr>
      </w:pPr>
      <w:smartTag w:uri="urn:schemas-microsoft-com:office:smarttags" w:element="PersonName">
        <w:r w:rsidRPr="003C417C">
          <w:rPr>
            <w:rFonts w:ascii="Book Antiqua" w:hAnsi="Book Antiqua" w:cs="Book Antiqua"/>
            <w:lang w:val="pt-BR"/>
          </w:rPr>
          <w:t>Silvia Navarro Romanini</w:t>
        </w:r>
      </w:smartTag>
      <w:r w:rsidRPr="003C417C">
        <w:rPr>
          <w:rFonts w:ascii="Book Antiqua" w:hAnsi="Book Antiqua" w:cs="Book Antiqua"/>
          <w:lang w:val="pt-BR"/>
        </w:rPr>
        <w:t xml:space="preserve"> </w:t>
      </w:r>
    </w:p>
    <w:p w14:paraId="606A6360" w14:textId="77777777" w:rsidR="003C417C" w:rsidRPr="003C417C" w:rsidRDefault="003C417C" w:rsidP="003C417C">
      <w:pPr>
        <w:spacing w:line="240" w:lineRule="auto"/>
        <w:jc w:val="left"/>
        <w:rPr>
          <w:rFonts w:ascii="Book Antiqua" w:hAnsi="Book Antiqua" w:cs="Book Antiqua"/>
          <w:lang w:val="es-CR"/>
        </w:rPr>
      </w:pPr>
      <w:r w:rsidRPr="003C417C">
        <w:rPr>
          <w:rFonts w:ascii="Book Antiqua" w:hAnsi="Book Antiqua" w:cs="Book Antiqua"/>
          <w:lang w:val="es-CR"/>
        </w:rPr>
        <w:t xml:space="preserve">Secretaría General de </w:t>
      </w:r>
      <w:smartTag w:uri="urn:schemas-microsoft-com:office:smarttags" w:element="PersonName">
        <w:smartTagPr>
          <w:attr w:name="ProductID" w:val="la Corte"/>
        </w:smartTagPr>
        <w:r w:rsidRPr="003C417C">
          <w:rPr>
            <w:rFonts w:ascii="Book Antiqua" w:hAnsi="Book Antiqua" w:cs="Book Antiqua"/>
            <w:lang w:val="es-CR"/>
          </w:rPr>
          <w:t>la Corte</w:t>
        </w:r>
      </w:smartTag>
    </w:p>
    <w:p w14:paraId="6C734CF6" w14:textId="77777777" w:rsidR="003C417C" w:rsidRPr="003C417C" w:rsidRDefault="003C417C" w:rsidP="003C417C">
      <w:pPr>
        <w:spacing w:line="240" w:lineRule="auto"/>
        <w:jc w:val="left"/>
        <w:rPr>
          <w:rFonts w:ascii="Book Antiqua" w:hAnsi="Book Antiqua" w:cs="Arial"/>
          <w:lang w:val="es-CR"/>
        </w:rPr>
      </w:pPr>
    </w:p>
    <w:p w14:paraId="1E5C7992" w14:textId="77777777" w:rsidR="003C417C" w:rsidRPr="003C417C" w:rsidRDefault="003C417C" w:rsidP="003C417C">
      <w:pPr>
        <w:spacing w:line="240" w:lineRule="auto"/>
        <w:jc w:val="left"/>
        <w:rPr>
          <w:rFonts w:ascii="Book Antiqua" w:hAnsi="Book Antiqua" w:cs="Book Antiqua"/>
          <w:snapToGrid w:val="0"/>
          <w:lang w:val="pt-BR"/>
        </w:rPr>
      </w:pPr>
    </w:p>
    <w:p w14:paraId="5CB0A7C9" w14:textId="77777777" w:rsidR="003C417C" w:rsidRPr="003C417C" w:rsidRDefault="003C417C" w:rsidP="003C417C">
      <w:pPr>
        <w:spacing w:line="240" w:lineRule="auto"/>
        <w:jc w:val="left"/>
        <w:rPr>
          <w:rFonts w:ascii="Book Antiqua" w:hAnsi="Book Antiqua" w:cs="Book Antiqua"/>
          <w:snapToGrid w:val="0"/>
          <w:lang w:val="pt-BR"/>
        </w:rPr>
      </w:pPr>
      <w:r w:rsidRPr="003C417C">
        <w:rPr>
          <w:rFonts w:ascii="Book Antiqua" w:hAnsi="Book Antiqua" w:cs="Book Antiqua"/>
          <w:snapToGrid w:val="0"/>
          <w:lang w:val="pt-BR"/>
        </w:rPr>
        <w:t>Estimada señora:</w:t>
      </w:r>
    </w:p>
    <w:p w14:paraId="0021AA62" w14:textId="77777777" w:rsidR="003C417C" w:rsidRPr="003C417C" w:rsidRDefault="003C417C" w:rsidP="003C417C">
      <w:pPr>
        <w:spacing w:line="240" w:lineRule="auto"/>
        <w:rPr>
          <w:rFonts w:ascii="Book Antiqua" w:hAnsi="Book Antiqua" w:cs="Book Antiqua"/>
          <w:snapToGrid w:val="0"/>
          <w:lang w:val="pt-BR"/>
        </w:rPr>
      </w:pPr>
    </w:p>
    <w:p w14:paraId="26921558" w14:textId="5FEAD71D" w:rsidR="003C417C" w:rsidRPr="003C417C" w:rsidRDefault="00BD74A8" w:rsidP="007C2126">
      <w:pPr>
        <w:spacing w:line="240" w:lineRule="auto"/>
        <w:ind w:firstLine="708"/>
        <w:rPr>
          <w:rFonts w:ascii="Book Antiqua" w:hAnsi="Book Antiqua" w:cs="Book Antiqua"/>
          <w:lang w:val="es-CR"/>
        </w:rPr>
      </w:pPr>
      <w:r>
        <w:rPr>
          <w:rFonts w:ascii="Book Antiqua" w:hAnsi="Book Antiqua" w:cs="Book Antiqua"/>
          <w:lang w:val="es-CR"/>
        </w:rPr>
        <w:t>L</w:t>
      </w:r>
      <w:r w:rsidR="003C417C" w:rsidRPr="003C417C">
        <w:rPr>
          <w:rFonts w:ascii="Book Antiqua" w:hAnsi="Book Antiqua" w:cs="Book Antiqua"/>
          <w:lang w:val="es-CR"/>
        </w:rPr>
        <w:t>e remito el informe suscrito por</w:t>
      </w:r>
      <w:r w:rsidR="003C417C" w:rsidRPr="007C2126">
        <w:rPr>
          <w:rFonts w:ascii="Book Antiqua" w:hAnsi="Book Antiqua" w:cs="Book Antiqua"/>
          <w:lang w:val="es-CR"/>
        </w:rPr>
        <w:t xml:space="preserve"> la Licda. Ginethe Retana Ureña</w:t>
      </w:r>
      <w:r w:rsidR="003C417C" w:rsidRPr="003C417C">
        <w:rPr>
          <w:rFonts w:ascii="Book Antiqua" w:hAnsi="Book Antiqua" w:cs="Book Antiqua"/>
          <w:lang w:val="es-CR"/>
        </w:rPr>
        <w:t>, Jef</w:t>
      </w:r>
      <w:r w:rsidR="003C417C" w:rsidRPr="007C2126">
        <w:rPr>
          <w:rFonts w:ascii="Book Antiqua" w:hAnsi="Book Antiqua" w:cs="Book Antiqua"/>
          <w:lang w:val="es-CR"/>
        </w:rPr>
        <w:t>a</w:t>
      </w:r>
      <w:r w:rsidR="003C417C" w:rsidRPr="003C417C">
        <w:rPr>
          <w:rFonts w:ascii="Book Antiqua" w:hAnsi="Book Antiqua" w:cs="Book Antiqua"/>
          <w:lang w:val="es-CR"/>
        </w:rPr>
        <w:t xml:space="preserve"> del Subproceso de</w:t>
      </w:r>
      <w:r w:rsidR="003C417C" w:rsidRPr="007C2126">
        <w:rPr>
          <w:rFonts w:ascii="Book Antiqua" w:hAnsi="Book Antiqua" w:cs="Book Antiqua"/>
          <w:lang w:val="es-CR"/>
        </w:rPr>
        <w:t xml:space="preserve"> Organización Institucional</w:t>
      </w:r>
      <w:r w:rsidR="003C417C" w:rsidRPr="003C417C">
        <w:rPr>
          <w:rFonts w:ascii="Book Antiqua" w:hAnsi="Book Antiqua" w:cs="Book Antiqua"/>
          <w:lang w:val="es-CR"/>
        </w:rPr>
        <w:t xml:space="preserve">, relacionado con </w:t>
      </w:r>
      <w:r w:rsidR="007C2126" w:rsidRPr="007C2126">
        <w:rPr>
          <w:rFonts w:ascii="Book Antiqua" w:hAnsi="Book Antiqua" w:cs="Book Antiqua"/>
          <w:lang w:val="es-CR"/>
        </w:rPr>
        <w:t xml:space="preserve">la </w:t>
      </w:r>
      <w:r>
        <w:rPr>
          <w:rFonts w:ascii="Book Antiqua" w:hAnsi="Book Antiqua" w:cs="Book Antiqua"/>
          <w:lang w:val="es-CR"/>
        </w:rPr>
        <w:t>A</w:t>
      </w:r>
      <w:r w:rsidR="007C2126" w:rsidRPr="007C2126">
        <w:rPr>
          <w:rFonts w:ascii="Book Antiqua" w:hAnsi="Book Antiqua"/>
        </w:rPr>
        <w:t xml:space="preserve">pertura </w:t>
      </w:r>
      <w:r>
        <w:rPr>
          <w:rFonts w:ascii="Book Antiqua" w:hAnsi="Book Antiqua"/>
        </w:rPr>
        <w:t>E</w:t>
      </w:r>
      <w:r w:rsidR="007C2126" w:rsidRPr="007C2126">
        <w:rPr>
          <w:rFonts w:ascii="Book Antiqua" w:hAnsi="Book Antiqua"/>
        </w:rPr>
        <w:t>fectiva para fin de 2022, principio de 2023 y Semana Santa 2023 (Oficinas que deberán abrir durante el cierre colectivo).</w:t>
      </w:r>
    </w:p>
    <w:p w14:paraId="4D499D19" w14:textId="77777777" w:rsidR="003C417C" w:rsidRPr="003C417C" w:rsidRDefault="003C417C" w:rsidP="003C417C">
      <w:pPr>
        <w:spacing w:line="240" w:lineRule="auto"/>
        <w:jc w:val="left"/>
        <w:rPr>
          <w:rFonts w:ascii="Book Antiqua" w:hAnsi="Book Antiqua" w:cs="Book Antiqua"/>
          <w:lang w:val="es-CR"/>
        </w:rPr>
      </w:pPr>
      <w:r w:rsidRPr="003C417C">
        <w:rPr>
          <w:rFonts w:ascii="Book Antiqua" w:hAnsi="Book Antiqua" w:cs="Book Antiqua"/>
          <w:color w:val="0000FF"/>
          <w:u w:val="single"/>
          <w:lang w:val="es-CR"/>
        </w:rPr>
        <w:t xml:space="preserve"> </w:t>
      </w:r>
    </w:p>
    <w:p w14:paraId="1C1C9EED" w14:textId="77777777" w:rsidR="003C417C" w:rsidRPr="003C417C" w:rsidRDefault="003C417C" w:rsidP="003C417C">
      <w:pPr>
        <w:widowControl w:val="0"/>
        <w:spacing w:line="240" w:lineRule="auto"/>
        <w:rPr>
          <w:rFonts w:ascii="Book Antiqua" w:hAnsi="Book Antiqua" w:cs="Book Antiqua"/>
          <w:lang w:val="es-CR"/>
        </w:rPr>
      </w:pPr>
    </w:p>
    <w:p w14:paraId="1109B195" w14:textId="77777777" w:rsidR="003C417C" w:rsidRPr="003C417C" w:rsidRDefault="003C417C" w:rsidP="003C417C">
      <w:pPr>
        <w:widowControl w:val="0"/>
        <w:spacing w:line="240" w:lineRule="auto"/>
        <w:jc w:val="left"/>
        <w:rPr>
          <w:rFonts w:ascii="Book Antiqua" w:hAnsi="Book Antiqua" w:cs="Book Antiqua"/>
          <w:snapToGrid w:val="0"/>
          <w:lang w:val="pt-BR"/>
        </w:rPr>
      </w:pPr>
      <w:r w:rsidRPr="003C417C">
        <w:rPr>
          <w:rFonts w:ascii="Book Antiqua" w:hAnsi="Book Antiqua" w:cs="Book Antiqua"/>
          <w:snapToGrid w:val="0"/>
          <w:lang w:val="pt-BR"/>
        </w:rPr>
        <w:t>Atentamente,</w:t>
      </w:r>
    </w:p>
    <w:p w14:paraId="3BEE5F8B" w14:textId="77777777" w:rsidR="003C417C" w:rsidRPr="003C417C" w:rsidRDefault="003C417C" w:rsidP="003C417C">
      <w:pPr>
        <w:widowControl w:val="0"/>
        <w:spacing w:line="240" w:lineRule="auto"/>
        <w:jc w:val="center"/>
        <w:rPr>
          <w:rFonts w:ascii="Book Antiqua" w:hAnsi="Book Antiqua" w:cs="Book Antiqua"/>
          <w:b/>
          <w:bCs/>
          <w:snapToGrid w:val="0"/>
          <w:lang w:val="pt-BR"/>
        </w:rPr>
      </w:pPr>
    </w:p>
    <w:p w14:paraId="42D43D19" w14:textId="77777777" w:rsidR="003C417C" w:rsidRPr="003C417C" w:rsidRDefault="003C417C" w:rsidP="003C417C">
      <w:pPr>
        <w:widowControl w:val="0"/>
        <w:spacing w:line="240" w:lineRule="auto"/>
        <w:jc w:val="left"/>
        <w:rPr>
          <w:rFonts w:ascii="Book Antiqua" w:hAnsi="Book Antiqua" w:cs="Book Antiqua"/>
          <w:snapToGrid w:val="0"/>
          <w:lang w:val="pt-BR"/>
        </w:rPr>
      </w:pPr>
    </w:p>
    <w:p w14:paraId="6338CD9C" w14:textId="77777777" w:rsidR="003C417C" w:rsidRPr="003C417C" w:rsidRDefault="003C417C" w:rsidP="003C417C">
      <w:pPr>
        <w:widowControl w:val="0"/>
        <w:spacing w:line="240" w:lineRule="auto"/>
        <w:jc w:val="left"/>
        <w:rPr>
          <w:rFonts w:ascii="Book Antiqua" w:hAnsi="Book Antiqua" w:cs="Book Antiqua"/>
          <w:snapToGrid w:val="0"/>
          <w:lang w:val="pt-BR"/>
        </w:rPr>
      </w:pPr>
    </w:p>
    <w:p w14:paraId="400991E5" w14:textId="77777777" w:rsidR="003C417C" w:rsidRPr="003C417C" w:rsidRDefault="003C417C" w:rsidP="003C417C">
      <w:pPr>
        <w:spacing w:line="240" w:lineRule="auto"/>
        <w:jc w:val="left"/>
        <w:rPr>
          <w:rFonts w:ascii="Book Antiqua" w:hAnsi="Book Antiqua" w:cs="Book Antiqua"/>
          <w:snapToGrid w:val="0"/>
          <w:lang w:val="pt-BR"/>
        </w:rPr>
      </w:pPr>
      <w:r w:rsidRPr="003C417C">
        <w:rPr>
          <w:rFonts w:ascii="Book Antiqua" w:hAnsi="Book Antiqua" w:cs="Book Antiqua"/>
          <w:snapToGrid w:val="0"/>
          <w:lang w:val="pt-BR"/>
        </w:rPr>
        <w:t xml:space="preserve">Dixon Li Morales, Jefe a.i. </w:t>
      </w:r>
    </w:p>
    <w:p w14:paraId="4A2ED063" w14:textId="143CC670" w:rsidR="003C417C" w:rsidRPr="003C417C" w:rsidRDefault="003C417C" w:rsidP="003C417C">
      <w:pPr>
        <w:spacing w:line="240" w:lineRule="auto"/>
        <w:jc w:val="left"/>
        <w:rPr>
          <w:rFonts w:ascii="Book Antiqua" w:hAnsi="Book Antiqua" w:cs="Book Antiqua"/>
          <w:snapToGrid w:val="0"/>
          <w:lang w:val="pt-BR"/>
        </w:rPr>
      </w:pPr>
      <w:r w:rsidRPr="003C417C">
        <w:rPr>
          <w:rFonts w:ascii="Book Antiqua" w:hAnsi="Book Antiqua" w:cs="Book Antiqua"/>
          <w:snapToGrid w:val="0"/>
          <w:lang w:val="pt-BR"/>
        </w:rPr>
        <w:t>Proceso Ejecución de las Operaciones</w:t>
      </w:r>
    </w:p>
    <w:p w14:paraId="77CA681A" w14:textId="77777777" w:rsidR="003C417C" w:rsidRPr="003C417C" w:rsidRDefault="003C417C" w:rsidP="003C417C">
      <w:pPr>
        <w:spacing w:line="240" w:lineRule="auto"/>
        <w:jc w:val="left"/>
        <w:rPr>
          <w:rFonts w:ascii="Book Antiqua" w:hAnsi="Book Antiqua" w:cs="Book Antiqua"/>
          <w:snapToGrid w:val="0"/>
          <w:lang w:val="pt-BR"/>
        </w:rPr>
      </w:pPr>
    </w:p>
    <w:p w14:paraId="2B089D21" w14:textId="530D9E57" w:rsidR="003C417C" w:rsidRPr="003C417C" w:rsidRDefault="003C417C" w:rsidP="003C417C">
      <w:pPr>
        <w:spacing w:line="240" w:lineRule="auto"/>
        <w:jc w:val="left"/>
        <w:rPr>
          <w:rFonts w:ascii="Book Antiqua" w:hAnsi="Book Antiqua" w:cs="Book Antiqua"/>
          <w:lang w:val="es-CR"/>
        </w:rPr>
      </w:pPr>
    </w:p>
    <w:p w14:paraId="6E7E150E" w14:textId="77777777" w:rsidR="00A24F72" w:rsidRDefault="003C417C" w:rsidP="003C417C">
      <w:pPr>
        <w:spacing w:line="240" w:lineRule="auto"/>
        <w:jc w:val="left"/>
        <w:rPr>
          <w:rFonts w:ascii="Book Antiqua" w:hAnsi="Book Antiqua" w:cs="Book Antiqua"/>
          <w:lang w:val="es-CR"/>
        </w:rPr>
      </w:pPr>
      <w:r w:rsidRPr="003C417C">
        <w:rPr>
          <w:rFonts w:ascii="Book Antiqua" w:hAnsi="Book Antiqua" w:cs="Book Antiqua"/>
          <w:lang w:val="es-CR"/>
        </w:rPr>
        <w:t xml:space="preserve">Copias: </w:t>
      </w:r>
    </w:p>
    <w:p w14:paraId="5B475B48" w14:textId="77777777" w:rsidR="00075F9E" w:rsidRDefault="00075F9E" w:rsidP="00075F9E">
      <w:pPr>
        <w:pStyle w:val="Prrafodelista"/>
        <w:numPr>
          <w:ilvl w:val="0"/>
          <w:numId w:val="27"/>
        </w:numPr>
        <w:spacing w:line="240" w:lineRule="auto"/>
        <w:jc w:val="left"/>
        <w:rPr>
          <w:rFonts w:ascii="Book Antiqua" w:hAnsi="Book Antiqua" w:cs="Arial"/>
          <w:bCs/>
        </w:rPr>
      </w:pPr>
      <w:r w:rsidRPr="00075F9E">
        <w:rPr>
          <w:rFonts w:ascii="Book Antiqua" w:hAnsi="Book Antiqua" w:cs="Arial"/>
          <w:bCs/>
        </w:rPr>
        <w:t xml:space="preserve">Comisión de la Jurisdicción Penal </w:t>
      </w:r>
    </w:p>
    <w:p w14:paraId="7051B244" w14:textId="213A792C" w:rsidR="00A24F72" w:rsidRPr="00075F9E" w:rsidRDefault="00A24F72" w:rsidP="00075F9E">
      <w:pPr>
        <w:pStyle w:val="Prrafodelista"/>
        <w:numPr>
          <w:ilvl w:val="0"/>
          <w:numId w:val="27"/>
        </w:numPr>
        <w:spacing w:line="240" w:lineRule="auto"/>
        <w:jc w:val="left"/>
        <w:rPr>
          <w:rFonts w:ascii="Book Antiqua" w:hAnsi="Book Antiqua" w:cs="Arial"/>
          <w:bCs/>
        </w:rPr>
      </w:pPr>
      <w:r w:rsidRPr="00075F9E">
        <w:rPr>
          <w:rFonts w:ascii="Book Antiqua" w:hAnsi="Book Antiqua" w:cs="Arial"/>
          <w:bCs/>
        </w:rPr>
        <w:t>Dirección Ejecutiva</w:t>
      </w:r>
    </w:p>
    <w:p w14:paraId="2FB29751" w14:textId="77777777" w:rsidR="00075F9E" w:rsidRPr="00075F9E" w:rsidRDefault="00075F9E" w:rsidP="00075F9E">
      <w:pPr>
        <w:pStyle w:val="Prrafodelista"/>
        <w:numPr>
          <w:ilvl w:val="0"/>
          <w:numId w:val="27"/>
        </w:numPr>
        <w:spacing w:line="240" w:lineRule="auto"/>
        <w:jc w:val="left"/>
        <w:rPr>
          <w:rFonts w:ascii="Book Antiqua" w:hAnsi="Book Antiqua" w:cs="Arial"/>
          <w:bCs/>
        </w:rPr>
      </w:pPr>
      <w:r w:rsidRPr="00075F9E">
        <w:rPr>
          <w:rFonts w:ascii="Book Antiqua" w:hAnsi="Book Antiqua" w:cs="Arial"/>
          <w:bCs/>
        </w:rPr>
        <w:t>Fiscalía General</w:t>
      </w:r>
    </w:p>
    <w:p w14:paraId="7163CF7F" w14:textId="5C712921" w:rsidR="00075F9E" w:rsidRPr="00075F9E" w:rsidRDefault="00075F9E" w:rsidP="00075F9E">
      <w:pPr>
        <w:pStyle w:val="Prrafodelista"/>
        <w:numPr>
          <w:ilvl w:val="0"/>
          <w:numId w:val="27"/>
        </w:numPr>
        <w:spacing w:line="240" w:lineRule="auto"/>
        <w:jc w:val="left"/>
        <w:rPr>
          <w:rFonts w:ascii="Book Antiqua" w:hAnsi="Book Antiqua" w:cs="Arial"/>
          <w:bCs/>
        </w:rPr>
      </w:pPr>
      <w:r w:rsidRPr="00075F9E">
        <w:rPr>
          <w:rFonts w:ascii="Book Antiqua" w:hAnsi="Book Antiqua" w:cs="Arial"/>
          <w:bCs/>
        </w:rPr>
        <w:t>Dirección General del O.I.J.</w:t>
      </w:r>
    </w:p>
    <w:p w14:paraId="1D1C2982" w14:textId="77777777" w:rsidR="00075F9E" w:rsidRPr="00075F9E" w:rsidRDefault="00075F9E" w:rsidP="00075F9E">
      <w:pPr>
        <w:pStyle w:val="Prrafodelista"/>
        <w:numPr>
          <w:ilvl w:val="0"/>
          <w:numId w:val="27"/>
        </w:numPr>
        <w:spacing w:line="240" w:lineRule="auto"/>
        <w:jc w:val="left"/>
        <w:rPr>
          <w:rFonts w:ascii="Book Antiqua" w:hAnsi="Book Antiqua" w:cs="Arial"/>
          <w:bCs/>
        </w:rPr>
      </w:pPr>
      <w:r w:rsidRPr="00075F9E">
        <w:rPr>
          <w:rFonts w:ascii="Book Antiqua" w:hAnsi="Book Antiqua" w:cs="Arial"/>
          <w:bCs/>
        </w:rPr>
        <w:t>Defensa Pública</w:t>
      </w:r>
    </w:p>
    <w:p w14:paraId="1AE5AC16" w14:textId="77777777" w:rsidR="00A24F72" w:rsidRPr="00075F9E" w:rsidRDefault="00A24F72" w:rsidP="00075F9E">
      <w:pPr>
        <w:pStyle w:val="Prrafodelista"/>
        <w:numPr>
          <w:ilvl w:val="0"/>
          <w:numId w:val="27"/>
        </w:numPr>
        <w:spacing w:line="240" w:lineRule="auto"/>
        <w:jc w:val="left"/>
        <w:rPr>
          <w:rFonts w:ascii="Book Antiqua" w:hAnsi="Book Antiqua" w:cs="Arial"/>
          <w:bCs/>
        </w:rPr>
      </w:pPr>
      <w:r w:rsidRPr="00075F9E">
        <w:rPr>
          <w:rFonts w:ascii="Book Antiqua" w:hAnsi="Book Antiqua" w:cs="Arial"/>
          <w:bCs/>
        </w:rPr>
        <w:t>Dirección de Tecnología de Información y Comunicaciones</w:t>
      </w:r>
    </w:p>
    <w:p w14:paraId="0FFE7843" w14:textId="77777777" w:rsidR="00A24F72" w:rsidRPr="00075F9E" w:rsidRDefault="00A24F72" w:rsidP="00075F9E">
      <w:pPr>
        <w:pStyle w:val="Prrafodelista"/>
        <w:numPr>
          <w:ilvl w:val="0"/>
          <w:numId w:val="27"/>
        </w:numPr>
        <w:spacing w:line="240" w:lineRule="auto"/>
        <w:jc w:val="left"/>
        <w:rPr>
          <w:rFonts w:ascii="Book Antiqua" w:hAnsi="Book Antiqua" w:cs="Arial"/>
          <w:bCs/>
        </w:rPr>
      </w:pPr>
      <w:r w:rsidRPr="00075F9E">
        <w:rPr>
          <w:rFonts w:ascii="Book Antiqua" w:hAnsi="Book Antiqua" w:cs="Arial"/>
          <w:bCs/>
        </w:rPr>
        <w:t>Dirección de Gestión Humana</w:t>
      </w:r>
    </w:p>
    <w:p w14:paraId="2D0ECE8C" w14:textId="570D200B" w:rsidR="00A24F72" w:rsidRPr="00075F9E" w:rsidRDefault="00A24F72" w:rsidP="00075F9E">
      <w:pPr>
        <w:pStyle w:val="Prrafodelista"/>
        <w:numPr>
          <w:ilvl w:val="0"/>
          <w:numId w:val="27"/>
        </w:numPr>
        <w:spacing w:line="240" w:lineRule="auto"/>
        <w:jc w:val="left"/>
        <w:rPr>
          <w:rFonts w:ascii="Book Antiqua" w:hAnsi="Book Antiqua" w:cs="Book Antiqua"/>
          <w:lang w:val="es-CR"/>
        </w:rPr>
      </w:pPr>
      <w:r w:rsidRPr="00075F9E">
        <w:rPr>
          <w:rFonts w:ascii="Book Antiqua" w:hAnsi="Book Antiqua" w:cs="Arial"/>
          <w:bCs/>
        </w:rPr>
        <w:t xml:space="preserve">Centro de Apoyo y Coordinación y Mejoramiento de la Función Jurisdiccional </w:t>
      </w:r>
    </w:p>
    <w:p w14:paraId="0480B79C" w14:textId="75FAAEBF" w:rsidR="003C417C" w:rsidRPr="00075F9E" w:rsidRDefault="003C417C" w:rsidP="00075F9E">
      <w:pPr>
        <w:pStyle w:val="Prrafodelista"/>
        <w:numPr>
          <w:ilvl w:val="0"/>
          <w:numId w:val="27"/>
        </w:numPr>
        <w:spacing w:line="240" w:lineRule="auto"/>
        <w:jc w:val="left"/>
        <w:rPr>
          <w:rFonts w:ascii="Book Antiqua" w:hAnsi="Book Antiqua" w:cs="Book Antiqua"/>
          <w:lang w:val="es-CR"/>
        </w:rPr>
      </w:pPr>
      <w:r w:rsidRPr="00075F9E">
        <w:rPr>
          <w:rFonts w:ascii="Book Antiqua" w:hAnsi="Book Antiqua" w:cs="Book Antiqua"/>
          <w:lang w:val="es-CR"/>
        </w:rPr>
        <w:t>Archivo</w:t>
      </w:r>
    </w:p>
    <w:p w14:paraId="59108D20" w14:textId="1814FD7C" w:rsidR="003C417C" w:rsidRPr="003C417C" w:rsidRDefault="003C417C" w:rsidP="003C417C">
      <w:pPr>
        <w:spacing w:line="240" w:lineRule="auto"/>
        <w:jc w:val="left"/>
        <w:rPr>
          <w:rFonts w:ascii="Book Antiqua" w:hAnsi="Book Antiqua" w:cs="Book Antiqua"/>
        </w:rPr>
      </w:pPr>
    </w:p>
    <w:p w14:paraId="56E2639F" w14:textId="1311801A" w:rsidR="00C54761" w:rsidRDefault="00C54761" w:rsidP="003C417C">
      <w:pPr>
        <w:spacing w:line="240" w:lineRule="auto"/>
        <w:jc w:val="left"/>
        <w:rPr>
          <w:rFonts w:ascii="Book Antiqua" w:hAnsi="Book Antiqua" w:cs="Book Antiqua"/>
        </w:rPr>
      </w:pPr>
      <w:r>
        <w:rPr>
          <w:rFonts w:ascii="Book Antiqua" w:hAnsi="Book Antiqua" w:cs="Book Antiqua"/>
        </w:rPr>
        <w:t>xba</w:t>
      </w:r>
    </w:p>
    <w:p w14:paraId="6770D4A9" w14:textId="357BB6B1" w:rsidR="003C417C" w:rsidRPr="003C417C" w:rsidRDefault="00C54761" w:rsidP="003C417C">
      <w:pPr>
        <w:spacing w:line="240" w:lineRule="auto"/>
        <w:jc w:val="left"/>
        <w:rPr>
          <w:rFonts w:ascii="Book Antiqua" w:hAnsi="Book Antiqua" w:cs="Book Antiqua"/>
          <w:lang w:val="es-ES_tradnl"/>
        </w:rPr>
      </w:pPr>
      <w:r>
        <w:rPr>
          <w:rFonts w:ascii="Book Antiqua" w:hAnsi="Book Antiqua" w:cs="Book Antiqua"/>
          <w:lang w:val="es-ES_tradnl"/>
        </w:rPr>
        <w:lastRenderedPageBreak/>
        <w:t>Ref. 1698-22</w:t>
      </w:r>
    </w:p>
    <w:p w14:paraId="5A3453ED" w14:textId="05604E0D" w:rsidR="003C417C" w:rsidRDefault="003C417C">
      <w:pPr>
        <w:spacing w:after="160" w:line="259" w:lineRule="auto"/>
        <w:jc w:val="left"/>
        <w:rPr>
          <w:rFonts w:ascii="Arial" w:hAnsi="Arial" w:cs="Arial"/>
        </w:rPr>
      </w:pPr>
    </w:p>
    <w:p w14:paraId="41D18D5A" w14:textId="3B83F693" w:rsidR="003C417C" w:rsidRDefault="00075F9E">
      <w:pPr>
        <w:spacing w:after="160" w:line="259" w:lineRule="auto"/>
        <w:jc w:val="left"/>
        <w:rPr>
          <w:rFonts w:ascii="Arial" w:hAnsi="Arial" w:cs="Arial"/>
        </w:rPr>
      </w:pPr>
      <w:r w:rsidRPr="00ED38A7">
        <w:rPr>
          <w:rFonts w:ascii="Arial" w:hAnsi="Arial" w:cs="Arial"/>
          <w:noProof/>
        </w:rPr>
        <w:drawing>
          <wp:anchor distT="0" distB="0" distL="114300" distR="114300" simplePos="0" relativeHeight="251668992" behindDoc="0" locked="0" layoutInCell="1" allowOverlap="1" wp14:anchorId="65F3938D" wp14:editId="50972803">
            <wp:simplePos x="0" y="0"/>
            <wp:positionH relativeFrom="page">
              <wp:align>right</wp:align>
            </wp:positionH>
            <wp:positionV relativeFrom="paragraph">
              <wp:posOffset>-1521460</wp:posOffset>
            </wp:positionV>
            <wp:extent cx="7554036" cy="2097919"/>
            <wp:effectExtent l="0" t="0" r="0" b="0"/>
            <wp:wrapNone/>
            <wp:docPr id="5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0 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4036" cy="2097919"/>
                    </a:xfrm>
                    <a:prstGeom prst="rect">
                      <a:avLst/>
                    </a:prstGeom>
                    <a:noFill/>
                  </pic:spPr>
                </pic:pic>
              </a:graphicData>
            </a:graphic>
            <wp14:sizeRelH relativeFrom="margin">
              <wp14:pctWidth>0</wp14:pctWidth>
            </wp14:sizeRelH>
            <wp14:sizeRelV relativeFrom="margin">
              <wp14:pctHeight>0</wp14:pctHeight>
            </wp14:sizeRelV>
          </wp:anchor>
        </w:drawing>
      </w:r>
    </w:p>
    <w:p w14:paraId="531E0ECF" w14:textId="6D85A7D1" w:rsidR="00DD1185" w:rsidRPr="00ED38A7" w:rsidRDefault="00DD1185">
      <w:pPr>
        <w:spacing w:after="160" w:line="259" w:lineRule="auto"/>
        <w:jc w:val="left"/>
        <w:rPr>
          <w:rFonts w:ascii="Arial" w:hAnsi="Arial" w:cs="Arial"/>
        </w:rPr>
      </w:pPr>
    </w:p>
    <w:p w14:paraId="37E78BC4" w14:textId="2F87BC1D" w:rsidR="005E2F7E" w:rsidRPr="00ED38A7" w:rsidRDefault="00ED5FD4">
      <w:pPr>
        <w:spacing w:after="160" w:line="259" w:lineRule="auto"/>
        <w:jc w:val="left"/>
        <w:rPr>
          <w:rFonts w:ascii="Arial" w:hAnsi="Arial" w:cs="Arial"/>
        </w:rPr>
      </w:pPr>
      <w:r w:rsidRPr="00ED38A7">
        <w:rPr>
          <w:rFonts w:ascii="Arial" w:hAnsi="Arial" w:cs="Arial"/>
        </w:rPr>
        <w:t xml:space="preserve"> </w:t>
      </w:r>
    </w:p>
    <w:p w14:paraId="09AB589F" w14:textId="22F35DE8" w:rsidR="004F771E" w:rsidRPr="00ED38A7" w:rsidRDefault="004F771E" w:rsidP="00AA3767">
      <w:pPr>
        <w:spacing w:line="240" w:lineRule="auto"/>
        <w:ind w:left="708" w:hanging="708"/>
        <w:rPr>
          <w:rFonts w:ascii="Arial" w:hAnsi="Arial" w:cs="Arial"/>
        </w:rPr>
      </w:pPr>
    </w:p>
    <w:p w14:paraId="0D73920C" w14:textId="05487430" w:rsidR="004F771E" w:rsidRPr="00ED38A7" w:rsidRDefault="00C54761" w:rsidP="00AA3767">
      <w:pPr>
        <w:spacing w:line="240" w:lineRule="auto"/>
        <w:rPr>
          <w:rFonts w:ascii="Arial" w:hAnsi="Arial" w:cs="Arial"/>
        </w:rPr>
      </w:pPr>
      <w:r w:rsidRPr="00ED38A7">
        <w:rPr>
          <w:rFonts w:ascii="Arial" w:hAnsi="Arial" w:cs="Arial"/>
          <w:noProof/>
        </w:rPr>
        <w:drawing>
          <wp:anchor distT="0" distB="0" distL="114300" distR="114300" simplePos="0" relativeHeight="251658752" behindDoc="0" locked="0" layoutInCell="1" allowOverlap="1" wp14:anchorId="71C4C210" wp14:editId="355F9978">
            <wp:simplePos x="0" y="0"/>
            <wp:positionH relativeFrom="column">
              <wp:posOffset>3859530</wp:posOffset>
            </wp:positionH>
            <wp:positionV relativeFrom="paragraph">
              <wp:posOffset>175260</wp:posOffset>
            </wp:positionV>
            <wp:extent cx="1659890" cy="875665"/>
            <wp:effectExtent l="19050" t="0" r="0" b="0"/>
            <wp:wrapNone/>
            <wp:docPr id="8" name="Imagen 8"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dirplani"/>
                    <pic:cNvPicPr>
                      <a:picLocks noChangeAspect="1" noChangeArrowheads="1"/>
                    </pic:cNvPicPr>
                  </pic:nvPicPr>
                  <pic:blipFill>
                    <a:blip r:embed="rId12" cstate="print"/>
                    <a:srcRect/>
                    <a:stretch>
                      <a:fillRect/>
                    </a:stretch>
                  </pic:blipFill>
                  <pic:spPr bwMode="auto">
                    <a:xfrm>
                      <a:off x="0" y="0"/>
                      <a:ext cx="1659890" cy="875665"/>
                    </a:xfrm>
                    <a:prstGeom prst="rect">
                      <a:avLst/>
                    </a:prstGeom>
                    <a:noFill/>
                    <a:ln w="9525">
                      <a:noFill/>
                      <a:miter lim="800000"/>
                      <a:headEnd/>
                      <a:tailEnd/>
                    </a:ln>
                  </pic:spPr>
                </pic:pic>
              </a:graphicData>
            </a:graphic>
          </wp:anchor>
        </w:drawing>
      </w:r>
    </w:p>
    <w:p w14:paraId="25B69860" w14:textId="0EDC7184" w:rsidR="004F771E" w:rsidRPr="00ED38A7" w:rsidRDefault="00C54761" w:rsidP="00AA3767">
      <w:pPr>
        <w:spacing w:line="240" w:lineRule="auto"/>
        <w:rPr>
          <w:rFonts w:ascii="Arial" w:hAnsi="Arial" w:cs="Arial"/>
        </w:rPr>
      </w:pPr>
      <w:r w:rsidRPr="00ED38A7">
        <w:rPr>
          <w:rFonts w:ascii="Arial" w:hAnsi="Arial" w:cs="Arial"/>
          <w:noProof/>
        </w:rPr>
        <w:drawing>
          <wp:anchor distT="0" distB="0" distL="114300" distR="114300" simplePos="0" relativeHeight="251666944" behindDoc="0" locked="0" layoutInCell="1" allowOverlap="1" wp14:anchorId="3E544F6C" wp14:editId="5D0DB82A">
            <wp:simplePos x="0" y="0"/>
            <wp:positionH relativeFrom="column">
              <wp:posOffset>-222885</wp:posOffset>
            </wp:positionH>
            <wp:positionV relativeFrom="paragraph">
              <wp:posOffset>138430</wp:posOffset>
            </wp:positionV>
            <wp:extent cx="1847850" cy="809625"/>
            <wp:effectExtent l="19050" t="0" r="0" b="0"/>
            <wp:wrapNone/>
            <wp:docPr id="6"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13" cstate="print"/>
                    <a:srcRect/>
                    <a:stretch>
                      <a:fillRect/>
                    </a:stretch>
                  </pic:blipFill>
                  <pic:spPr bwMode="auto">
                    <a:xfrm>
                      <a:off x="0" y="0"/>
                      <a:ext cx="1847850" cy="809625"/>
                    </a:xfrm>
                    <a:prstGeom prst="rect">
                      <a:avLst/>
                    </a:prstGeom>
                    <a:noFill/>
                    <a:ln w="9525">
                      <a:noFill/>
                      <a:miter lim="800000"/>
                      <a:headEnd/>
                      <a:tailEnd/>
                    </a:ln>
                  </pic:spPr>
                </pic:pic>
              </a:graphicData>
            </a:graphic>
          </wp:anchor>
        </w:drawing>
      </w:r>
    </w:p>
    <w:p w14:paraId="177325FF" w14:textId="1894B2D3" w:rsidR="004F771E" w:rsidRPr="00ED38A7" w:rsidRDefault="004F771E" w:rsidP="00AA3767">
      <w:pPr>
        <w:spacing w:line="240" w:lineRule="auto"/>
        <w:rPr>
          <w:rFonts w:ascii="Arial" w:hAnsi="Arial" w:cs="Arial"/>
        </w:rPr>
      </w:pPr>
    </w:p>
    <w:p w14:paraId="0FFFF4DC" w14:textId="16AF4192" w:rsidR="001B7A3C" w:rsidRPr="00C54761" w:rsidRDefault="001B7A3C" w:rsidP="00AA3767">
      <w:pPr>
        <w:spacing w:line="240" w:lineRule="auto"/>
        <w:jc w:val="center"/>
        <w:rPr>
          <w:rFonts w:ascii="Arial" w:hAnsi="Arial" w:cs="Arial"/>
          <w:sz w:val="40"/>
          <w:szCs w:val="40"/>
        </w:rPr>
      </w:pPr>
    </w:p>
    <w:p w14:paraId="6A528139" w14:textId="7A3469A1" w:rsidR="0088053A" w:rsidRPr="00C54761" w:rsidRDefault="0088053A" w:rsidP="00AA3767">
      <w:pPr>
        <w:spacing w:line="240" w:lineRule="auto"/>
        <w:jc w:val="center"/>
        <w:rPr>
          <w:rFonts w:ascii="Arial" w:hAnsi="Arial" w:cs="Arial"/>
          <w:sz w:val="40"/>
          <w:szCs w:val="40"/>
        </w:rPr>
      </w:pPr>
    </w:p>
    <w:p w14:paraId="47C54457" w14:textId="77777777" w:rsidR="0088053A" w:rsidRPr="00C54761" w:rsidRDefault="0088053A" w:rsidP="00AA3767">
      <w:pPr>
        <w:spacing w:line="240" w:lineRule="auto"/>
        <w:jc w:val="center"/>
        <w:rPr>
          <w:rFonts w:ascii="Arial" w:hAnsi="Arial" w:cs="Arial"/>
          <w:sz w:val="40"/>
          <w:szCs w:val="40"/>
        </w:rPr>
      </w:pPr>
    </w:p>
    <w:p w14:paraId="1F5168CE" w14:textId="06591238" w:rsidR="004F771E" w:rsidRPr="00C54761" w:rsidRDefault="004F771E" w:rsidP="00AA3767">
      <w:pPr>
        <w:spacing w:line="240" w:lineRule="auto"/>
        <w:jc w:val="center"/>
        <w:rPr>
          <w:rFonts w:ascii="Arial" w:hAnsi="Arial" w:cs="Arial"/>
          <w:sz w:val="40"/>
          <w:szCs w:val="40"/>
        </w:rPr>
      </w:pPr>
      <w:r w:rsidRPr="00C54761">
        <w:rPr>
          <w:rFonts w:ascii="Arial" w:hAnsi="Arial" w:cs="Arial"/>
          <w:sz w:val="40"/>
          <w:szCs w:val="40"/>
        </w:rPr>
        <w:t>Dirección de Planificación</w:t>
      </w:r>
    </w:p>
    <w:p w14:paraId="112E60D5" w14:textId="0225A1CC" w:rsidR="004F771E" w:rsidRPr="00C54761" w:rsidRDefault="004F771E" w:rsidP="00AA3767">
      <w:pPr>
        <w:spacing w:line="240" w:lineRule="auto"/>
        <w:jc w:val="center"/>
        <w:rPr>
          <w:rFonts w:ascii="Arial" w:hAnsi="Arial" w:cs="Arial"/>
          <w:sz w:val="40"/>
          <w:szCs w:val="40"/>
        </w:rPr>
      </w:pPr>
      <w:r w:rsidRPr="00C54761">
        <w:rPr>
          <w:rFonts w:ascii="Arial" w:hAnsi="Arial" w:cs="Arial"/>
          <w:sz w:val="40"/>
          <w:szCs w:val="40"/>
        </w:rPr>
        <w:t xml:space="preserve">Proceso de Ejecución de </w:t>
      </w:r>
      <w:r w:rsidR="00E20ABE" w:rsidRPr="00C54761">
        <w:rPr>
          <w:rFonts w:ascii="Arial" w:hAnsi="Arial" w:cs="Arial"/>
          <w:sz w:val="40"/>
          <w:szCs w:val="40"/>
        </w:rPr>
        <w:t xml:space="preserve">las </w:t>
      </w:r>
      <w:r w:rsidRPr="00C54761">
        <w:rPr>
          <w:rFonts w:ascii="Arial" w:hAnsi="Arial" w:cs="Arial"/>
          <w:sz w:val="40"/>
          <w:szCs w:val="40"/>
        </w:rPr>
        <w:t>Operaciones</w:t>
      </w:r>
    </w:p>
    <w:p w14:paraId="3B45957C" w14:textId="77777777" w:rsidR="004F771E" w:rsidRPr="00C54761" w:rsidRDefault="004F771E" w:rsidP="00AA3767">
      <w:pPr>
        <w:spacing w:line="240" w:lineRule="auto"/>
        <w:jc w:val="center"/>
        <w:rPr>
          <w:rFonts w:ascii="Arial" w:hAnsi="Arial" w:cs="Arial"/>
          <w:sz w:val="40"/>
          <w:szCs w:val="40"/>
        </w:rPr>
      </w:pPr>
      <w:r w:rsidRPr="00C54761">
        <w:rPr>
          <w:rFonts w:ascii="Arial" w:hAnsi="Arial" w:cs="Arial"/>
          <w:sz w:val="40"/>
          <w:szCs w:val="40"/>
        </w:rPr>
        <w:t>Subproceso de Organización Institucional</w:t>
      </w:r>
    </w:p>
    <w:p w14:paraId="7784822C" w14:textId="77777777" w:rsidR="004F771E" w:rsidRPr="00C54761" w:rsidRDefault="004F771E" w:rsidP="00AA3767">
      <w:pPr>
        <w:spacing w:line="240" w:lineRule="auto"/>
        <w:jc w:val="center"/>
        <w:rPr>
          <w:rFonts w:ascii="Arial" w:hAnsi="Arial" w:cs="Arial"/>
          <w:sz w:val="40"/>
          <w:szCs w:val="40"/>
        </w:rPr>
      </w:pPr>
    </w:p>
    <w:p w14:paraId="002B6B31" w14:textId="77777777" w:rsidR="004F771E" w:rsidRPr="00C54761" w:rsidRDefault="004F771E" w:rsidP="00AA3767">
      <w:pPr>
        <w:spacing w:line="240" w:lineRule="auto"/>
        <w:jc w:val="center"/>
        <w:rPr>
          <w:rFonts w:ascii="Arial" w:hAnsi="Arial" w:cs="Arial"/>
          <w:sz w:val="40"/>
          <w:szCs w:val="40"/>
        </w:rPr>
      </w:pPr>
    </w:p>
    <w:p w14:paraId="29E72D83" w14:textId="3E336091" w:rsidR="000977AB" w:rsidRPr="00C54761" w:rsidRDefault="000977AB" w:rsidP="00AA3767">
      <w:pPr>
        <w:spacing w:line="240" w:lineRule="auto"/>
        <w:jc w:val="center"/>
        <w:rPr>
          <w:b/>
          <w:bCs/>
          <w:sz w:val="40"/>
          <w:szCs w:val="40"/>
        </w:rPr>
      </w:pPr>
      <w:bookmarkStart w:id="0" w:name="_Hlk86334438"/>
      <w:r w:rsidRPr="00C54761">
        <w:rPr>
          <w:b/>
          <w:sz w:val="40"/>
          <w:szCs w:val="40"/>
        </w:rPr>
        <w:t xml:space="preserve">Apertura </w:t>
      </w:r>
      <w:r w:rsidRPr="00C54761">
        <w:rPr>
          <w:b/>
          <w:bCs/>
          <w:sz w:val="40"/>
          <w:szCs w:val="40"/>
        </w:rPr>
        <w:t>Efectiva para fin de 202</w:t>
      </w:r>
      <w:r w:rsidR="00A63A25" w:rsidRPr="00C54761">
        <w:rPr>
          <w:b/>
          <w:bCs/>
          <w:sz w:val="40"/>
          <w:szCs w:val="40"/>
        </w:rPr>
        <w:t>2</w:t>
      </w:r>
      <w:r w:rsidRPr="00C54761">
        <w:rPr>
          <w:b/>
          <w:bCs/>
          <w:sz w:val="40"/>
          <w:szCs w:val="40"/>
        </w:rPr>
        <w:t xml:space="preserve">, principio de </w:t>
      </w:r>
      <w:r w:rsidR="00A63A25" w:rsidRPr="00C54761">
        <w:rPr>
          <w:b/>
          <w:bCs/>
          <w:sz w:val="40"/>
          <w:szCs w:val="40"/>
        </w:rPr>
        <w:t>2023</w:t>
      </w:r>
      <w:r w:rsidRPr="00C54761">
        <w:rPr>
          <w:b/>
          <w:bCs/>
          <w:sz w:val="40"/>
          <w:szCs w:val="40"/>
        </w:rPr>
        <w:t xml:space="preserve"> </w:t>
      </w:r>
    </w:p>
    <w:p w14:paraId="6A3B5BEC" w14:textId="7A9737E0" w:rsidR="000977AB" w:rsidRPr="00C54761" w:rsidRDefault="000977AB" w:rsidP="00AA3767">
      <w:pPr>
        <w:spacing w:line="240" w:lineRule="auto"/>
        <w:jc w:val="center"/>
        <w:rPr>
          <w:bCs/>
          <w:sz w:val="40"/>
          <w:szCs w:val="40"/>
        </w:rPr>
      </w:pPr>
      <w:r w:rsidRPr="00C54761">
        <w:rPr>
          <w:b/>
          <w:bCs/>
          <w:sz w:val="40"/>
          <w:szCs w:val="40"/>
        </w:rPr>
        <w:t>y Semana Santa 202</w:t>
      </w:r>
      <w:r w:rsidR="00A63A25" w:rsidRPr="00C54761">
        <w:rPr>
          <w:b/>
          <w:bCs/>
          <w:sz w:val="40"/>
          <w:szCs w:val="40"/>
        </w:rPr>
        <w:t>3</w:t>
      </w:r>
      <w:bookmarkEnd w:id="0"/>
      <w:r w:rsidRPr="00C54761">
        <w:rPr>
          <w:bCs/>
          <w:sz w:val="40"/>
          <w:szCs w:val="40"/>
        </w:rPr>
        <w:t xml:space="preserve"> (Oficinas que deberán abrir</w:t>
      </w:r>
    </w:p>
    <w:p w14:paraId="1CBBEDCD" w14:textId="24C9BBEE" w:rsidR="004F771E" w:rsidRPr="00C54761" w:rsidRDefault="000977AB" w:rsidP="00AA3767">
      <w:pPr>
        <w:spacing w:line="240" w:lineRule="auto"/>
        <w:jc w:val="center"/>
        <w:rPr>
          <w:rFonts w:ascii="Arial" w:hAnsi="Arial" w:cs="Arial"/>
          <w:b/>
          <w:i/>
          <w:sz w:val="40"/>
          <w:szCs w:val="40"/>
        </w:rPr>
      </w:pPr>
      <w:r w:rsidRPr="00C54761">
        <w:rPr>
          <w:bCs/>
          <w:sz w:val="40"/>
          <w:szCs w:val="40"/>
        </w:rPr>
        <w:t xml:space="preserve"> durante el cierre colectivo).</w:t>
      </w:r>
    </w:p>
    <w:p w14:paraId="709E9163" w14:textId="670638B0" w:rsidR="004F771E" w:rsidRPr="00C54761" w:rsidRDefault="004F771E" w:rsidP="00AA3767">
      <w:pPr>
        <w:spacing w:line="240" w:lineRule="auto"/>
        <w:jc w:val="center"/>
        <w:rPr>
          <w:rFonts w:ascii="Arial" w:hAnsi="Arial" w:cs="Arial"/>
          <w:sz w:val="40"/>
          <w:szCs w:val="40"/>
        </w:rPr>
      </w:pPr>
    </w:p>
    <w:p w14:paraId="0E3C68DF" w14:textId="022D7CB0" w:rsidR="006E381F" w:rsidRPr="00C54761" w:rsidRDefault="006E381F" w:rsidP="00AA3767">
      <w:pPr>
        <w:spacing w:line="240" w:lineRule="auto"/>
        <w:jc w:val="center"/>
        <w:rPr>
          <w:rFonts w:ascii="Arial" w:hAnsi="Arial" w:cs="Arial"/>
          <w:sz w:val="40"/>
          <w:szCs w:val="40"/>
        </w:rPr>
      </w:pPr>
    </w:p>
    <w:p w14:paraId="7CDE34BB" w14:textId="0759F2CE" w:rsidR="006605DF" w:rsidRPr="00C54761" w:rsidRDefault="006605DF" w:rsidP="00AA3767">
      <w:pPr>
        <w:spacing w:line="240" w:lineRule="auto"/>
        <w:jc w:val="center"/>
        <w:rPr>
          <w:rFonts w:ascii="Arial" w:hAnsi="Arial" w:cs="Arial"/>
          <w:sz w:val="40"/>
          <w:szCs w:val="40"/>
        </w:rPr>
      </w:pPr>
    </w:p>
    <w:p w14:paraId="3E8FE7B0" w14:textId="6ECD5280" w:rsidR="004F771E" w:rsidRPr="00C54761" w:rsidRDefault="001F0DEB" w:rsidP="00AA3767">
      <w:pPr>
        <w:spacing w:line="240" w:lineRule="auto"/>
        <w:jc w:val="center"/>
        <w:rPr>
          <w:rFonts w:ascii="Arial" w:hAnsi="Arial" w:cs="Arial"/>
          <w:sz w:val="40"/>
          <w:szCs w:val="40"/>
        </w:rPr>
      </w:pPr>
      <w:r w:rsidRPr="00C54761">
        <w:rPr>
          <w:rFonts w:ascii="Arial" w:hAnsi="Arial" w:cs="Arial"/>
          <w:sz w:val="40"/>
          <w:szCs w:val="40"/>
        </w:rPr>
        <w:t>OCTUBRE</w:t>
      </w:r>
      <w:r w:rsidR="009C09DB" w:rsidRPr="00C54761">
        <w:rPr>
          <w:rFonts w:ascii="Arial" w:hAnsi="Arial" w:cs="Arial"/>
          <w:sz w:val="40"/>
          <w:szCs w:val="40"/>
        </w:rPr>
        <w:t xml:space="preserve"> 202</w:t>
      </w:r>
      <w:r w:rsidR="00A63A25" w:rsidRPr="00C54761">
        <w:rPr>
          <w:rFonts w:ascii="Arial" w:hAnsi="Arial" w:cs="Arial"/>
          <w:sz w:val="40"/>
          <w:szCs w:val="40"/>
        </w:rPr>
        <w:t>2</w:t>
      </w:r>
    </w:p>
    <w:p w14:paraId="6E41FC3E" w14:textId="7A735DA6" w:rsidR="00A3036D" w:rsidRPr="00C54761" w:rsidRDefault="00A3036D" w:rsidP="00AA3767">
      <w:pPr>
        <w:spacing w:line="240" w:lineRule="auto"/>
        <w:jc w:val="center"/>
        <w:rPr>
          <w:rFonts w:ascii="Arial" w:hAnsi="Arial" w:cs="Arial"/>
          <w:sz w:val="40"/>
          <w:szCs w:val="40"/>
        </w:rPr>
      </w:pPr>
    </w:p>
    <w:p w14:paraId="62C92DDD" w14:textId="1FCDC4D6" w:rsidR="00C11538" w:rsidRPr="00C54761" w:rsidRDefault="00C11538" w:rsidP="00AA3767">
      <w:pPr>
        <w:spacing w:line="240" w:lineRule="auto"/>
        <w:jc w:val="center"/>
        <w:rPr>
          <w:rFonts w:ascii="Arial" w:hAnsi="Arial" w:cs="Arial"/>
          <w:sz w:val="40"/>
          <w:szCs w:val="40"/>
        </w:rPr>
      </w:pPr>
    </w:p>
    <w:p w14:paraId="7AEF5A2F" w14:textId="283896DF" w:rsidR="00C11538" w:rsidRPr="00C54761" w:rsidRDefault="00C11538" w:rsidP="00AA3767">
      <w:pPr>
        <w:spacing w:line="240" w:lineRule="auto"/>
        <w:jc w:val="center"/>
        <w:rPr>
          <w:rFonts w:ascii="Arial" w:hAnsi="Arial" w:cs="Arial"/>
          <w:sz w:val="40"/>
          <w:szCs w:val="40"/>
        </w:rPr>
      </w:pPr>
    </w:p>
    <w:p w14:paraId="1CA8B484" w14:textId="77777777" w:rsidR="009C09DB" w:rsidRPr="00ED38A7" w:rsidRDefault="009C09DB" w:rsidP="00AA3767">
      <w:pPr>
        <w:spacing w:line="240" w:lineRule="auto"/>
        <w:jc w:val="center"/>
        <w:rPr>
          <w:rFonts w:ascii="Arial" w:hAnsi="Arial" w:cs="Arial"/>
          <w:sz w:val="40"/>
          <w:szCs w:val="40"/>
        </w:rPr>
      </w:pPr>
    </w:p>
    <w:p w14:paraId="266D781F" w14:textId="77777777" w:rsidR="009C09DB" w:rsidRPr="00ED38A7" w:rsidRDefault="009C09DB" w:rsidP="00AA3767">
      <w:pPr>
        <w:spacing w:line="240" w:lineRule="auto"/>
        <w:jc w:val="center"/>
        <w:rPr>
          <w:rFonts w:ascii="Arial" w:hAnsi="Arial" w:cs="Arial"/>
          <w:sz w:val="40"/>
          <w:szCs w:val="40"/>
        </w:rPr>
      </w:pPr>
    </w:p>
    <w:p w14:paraId="1544651F" w14:textId="75733A48" w:rsidR="009C09DB" w:rsidRPr="00C54761" w:rsidRDefault="00C54761" w:rsidP="00C54761">
      <w:pPr>
        <w:spacing w:after="160" w:line="259" w:lineRule="auto"/>
        <w:jc w:val="left"/>
        <w:rPr>
          <w:rFonts w:ascii="Arial" w:hAnsi="Arial" w:cs="Arial"/>
          <w:sz w:val="40"/>
          <w:szCs w:val="40"/>
        </w:rPr>
      </w:pPr>
      <w:r>
        <w:rPr>
          <w:rFonts w:ascii="Arial" w:hAnsi="Arial" w:cs="Arial"/>
          <w:sz w:val="40"/>
          <w:szCs w:val="40"/>
        </w:rPr>
        <w:br w:type="page"/>
      </w:r>
    </w:p>
    <w:tbl>
      <w:tblPr>
        <w:tblpPr w:leftFromText="141" w:rightFromText="141" w:vertAnchor="text" w:horzAnchor="margin" w:tblpY="219"/>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3483"/>
        <w:gridCol w:w="990"/>
        <w:gridCol w:w="2485"/>
      </w:tblGrid>
      <w:tr w:rsidR="00AB064C" w:rsidRPr="00ED38A7" w14:paraId="2352BD18" w14:textId="77777777" w:rsidTr="00BF702E">
        <w:trPr>
          <w:trHeight w:val="540"/>
        </w:trPr>
        <w:tc>
          <w:tcPr>
            <w:tcW w:w="2989" w:type="pct"/>
            <w:gridSpan w:val="2"/>
            <w:shd w:val="clear" w:color="auto" w:fill="000000"/>
            <w:vAlign w:val="center"/>
          </w:tcPr>
          <w:p w14:paraId="1ABFEF35" w14:textId="77777777" w:rsidR="00AB064C" w:rsidRPr="00ED38A7" w:rsidRDefault="00AB064C" w:rsidP="00AB064C">
            <w:pPr>
              <w:tabs>
                <w:tab w:val="left" w:pos="9923"/>
              </w:tabs>
              <w:spacing w:line="240" w:lineRule="auto"/>
              <w:jc w:val="center"/>
              <w:rPr>
                <w:rFonts w:ascii="Arial" w:hAnsi="Arial" w:cs="Arial"/>
                <w:b/>
                <w:sz w:val="32"/>
                <w:szCs w:val="32"/>
              </w:rPr>
            </w:pPr>
            <w:bookmarkStart w:id="1" w:name="_Hlk15453833"/>
            <w:r w:rsidRPr="00ED38A7">
              <w:rPr>
                <w:rFonts w:ascii="Arial" w:hAnsi="Arial" w:cs="Arial"/>
                <w:b/>
                <w:sz w:val="32"/>
                <w:szCs w:val="32"/>
              </w:rPr>
              <w:t>Dirección de Planificación</w:t>
            </w:r>
          </w:p>
        </w:tc>
        <w:tc>
          <w:tcPr>
            <w:tcW w:w="573" w:type="pct"/>
            <w:shd w:val="clear" w:color="auto" w:fill="B3B3B3"/>
            <w:vAlign w:val="center"/>
          </w:tcPr>
          <w:p w14:paraId="50487EFF" w14:textId="77777777" w:rsidR="00AB064C" w:rsidRPr="00ED38A7" w:rsidRDefault="00AB064C" w:rsidP="00AB064C">
            <w:pPr>
              <w:tabs>
                <w:tab w:val="left" w:pos="9923"/>
              </w:tabs>
              <w:spacing w:line="240" w:lineRule="auto"/>
              <w:jc w:val="right"/>
              <w:rPr>
                <w:rFonts w:ascii="Arial" w:hAnsi="Arial" w:cs="Arial"/>
                <w:b/>
              </w:rPr>
            </w:pPr>
            <w:r w:rsidRPr="00ED38A7">
              <w:rPr>
                <w:rFonts w:ascii="Arial" w:hAnsi="Arial" w:cs="Arial"/>
                <w:b/>
              </w:rPr>
              <w:t>Fecha:</w:t>
            </w:r>
          </w:p>
        </w:tc>
        <w:tc>
          <w:tcPr>
            <w:tcW w:w="1438" w:type="pct"/>
            <w:vAlign w:val="center"/>
          </w:tcPr>
          <w:p w14:paraId="083CE611" w14:textId="60123001" w:rsidR="00AB064C" w:rsidRPr="00ED38A7" w:rsidRDefault="00C54761" w:rsidP="00AB064C">
            <w:pPr>
              <w:tabs>
                <w:tab w:val="left" w:pos="9923"/>
              </w:tabs>
              <w:spacing w:line="240" w:lineRule="auto"/>
              <w:jc w:val="center"/>
              <w:rPr>
                <w:rFonts w:cs="Arial"/>
              </w:rPr>
            </w:pPr>
            <w:r>
              <w:rPr>
                <w:rFonts w:cs="Arial"/>
              </w:rPr>
              <w:t>21 de octubre de 2022</w:t>
            </w:r>
          </w:p>
        </w:tc>
      </w:tr>
      <w:tr w:rsidR="00AB064C" w:rsidRPr="00ED38A7" w14:paraId="33397B0D" w14:textId="77777777" w:rsidTr="00BF702E">
        <w:trPr>
          <w:trHeight w:val="434"/>
        </w:trPr>
        <w:tc>
          <w:tcPr>
            <w:tcW w:w="974" w:type="pct"/>
            <w:shd w:val="clear" w:color="auto" w:fill="B3B3B3"/>
            <w:vAlign w:val="center"/>
          </w:tcPr>
          <w:p w14:paraId="382D0DEC" w14:textId="77777777" w:rsidR="00AB064C" w:rsidRPr="00ED38A7" w:rsidRDefault="00AB064C" w:rsidP="00AB064C">
            <w:pPr>
              <w:tabs>
                <w:tab w:val="left" w:pos="9923"/>
              </w:tabs>
              <w:spacing w:line="240" w:lineRule="auto"/>
              <w:jc w:val="right"/>
              <w:rPr>
                <w:rFonts w:ascii="Arial" w:hAnsi="Arial" w:cs="Arial"/>
                <w:b/>
              </w:rPr>
            </w:pPr>
            <w:r w:rsidRPr="00ED38A7">
              <w:rPr>
                <w:rFonts w:ascii="Arial" w:hAnsi="Arial" w:cs="Arial"/>
                <w:b/>
              </w:rPr>
              <w:t>Subproceso:</w:t>
            </w:r>
          </w:p>
        </w:tc>
        <w:tc>
          <w:tcPr>
            <w:tcW w:w="4026" w:type="pct"/>
            <w:gridSpan w:val="3"/>
            <w:vAlign w:val="center"/>
          </w:tcPr>
          <w:p w14:paraId="337BE629" w14:textId="77777777" w:rsidR="00AB064C" w:rsidRPr="00ED38A7" w:rsidRDefault="00AB064C" w:rsidP="00AB064C">
            <w:pPr>
              <w:tabs>
                <w:tab w:val="left" w:pos="9923"/>
              </w:tabs>
              <w:spacing w:line="240" w:lineRule="auto"/>
              <w:rPr>
                <w:rFonts w:ascii="Arial" w:hAnsi="Arial" w:cs="Arial"/>
                <w:bCs/>
              </w:rPr>
            </w:pPr>
            <w:r w:rsidRPr="00ED38A7">
              <w:rPr>
                <w:rFonts w:ascii="Arial" w:hAnsi="Arial" w:cs="Arial"/>
                <w:bCs/>
              </w:rPr>
              <w:t>Organización Institucional</w:t>
            </w:r>
          </w:p>
        </w:tc>
      </w:tr>
      <w:tr w:rsidR="00AB064C" w:rsidRPr="00ED38A7" w14:paraId="10D9EB6C" w14:textId="77777777" w:rsidTr="00BF702E">
        <w:trPr>
          <w:trHeight w:val="494"/>
        </w:trPr>
        <w:tc>
          <w:tcPr>
            <w:tcW w:w="974" w:type="pct"/>
            <w:shd w:val="clear" w:color="auto" w:fill="B3B3B3"/>
          </w:tcPr>
          <w:p w14:paraId="3F32787D" w14:textId="77777777" w:rsidR="00AB064C" w:rsidRPr="00ED38A7" w:rsidRDefault="00AB064C" w:rsidP="00AB064C">
            <w:pPr>
              <w:tabs>
                <w:tab w:val="left" w:pos="9923"/>
              </w:tabs>
              <w:spacing w:line="240" w:lineRule="auto"/>
              <w:rPr>
                <w:rFonts w:ascii="Arial" w:hAnsi="Arial" w:cs="Arial"/>
                <w:bCs/>
                <w:i/>
              </w:rPr>
            </w:pPr>
            <w:r w:rsidRPr="00ED38A7">
              <w:rPr>
                <w:rFonts w:ascii="Arial" w:hAnsi="Arial" w:cs="Arial"/>
                <w:bCs/>
                <w:i/>
              </w:rPr>
              <w:t>Para:</w:t>
            </w:r>
          </w:p>
        </w:tc>
        <w:tc>
          <w:tcPr>
            <w:tcW w:w="4026" w:type="pct"/>
            <w:gridSpan w:val="3"/>
            <w:vAlign w:val="center"/>
          </w:tcPr>
          <w:p w14:paraId="0E453A4A" w14:textId="77777777" w:rsidR="00AB064C" w:rsidRPr="00ED38A7" w:rsidRDefault="00AB064C" w:rsidP="00AB064C">
            <w:pPr>
              <w:widowControl w:val="0"/>
              <w:autoSpaceDE w:val="0"/>
              <w:autoSpaceDN w:val="0"/>
              <w:adjustRightInd w:val="0"/>
              <w:spacing w:line="240" w:lineRule="auto"/>
              <w:ind w:left="720" w:right="901" w:hanging="687"/>
              <w:rPr>
                <w:rFonts w:ascii="Arial" w:hAnsi="Arial" w:cs="Arial"/>
                <w:bCs/>
              </w:rPr>
            </w:pPr>
            <w:r w:rsidRPr="00ED38A7">
              <w:rPr>
                <w:rFonts w:ascii="Arial" w:hAnsi="Arial" w:cs="Arial"/>
                <w:bCs/>
              </w:rPr>
              <w:t>Secretaría General de la Corte</w:t>
            </w:r>
          </w:p>
        </w:tc>
      </w:tr>
      <w:tr w:rsidR="00AB064C" w:rsidRPr="00ED38A7" w14:paraId="17A352FA" w14:textId="77777777" w:rsidTr="00BF702E">
        <w:trPr>
          <w:trHeight w:val="537"/>
        </w:trPr>
        <w:tc>
          <w:tcPr>
            <w:tcW w:w="974" w:type="pct"/>
            <w:shd w:val="clear" w:color="auto" w:fill="B3B3B3"/>
          </w:tcPr>
          <w:p w14:paraId="13294D1A" w14:textId="77777777" w:rsidR="00AB064C" w:rsidRPr="00ED38A7" w:rsidRDefault="00AB064C" w:rsidP="00AB064C">
            <w:pPr>
              <w:tabs>
                <w:tab w:val="left" w:pos="9923"/>
              </w:tabs>
              <w:spacing w:line="240" w:lineRule="auto"/>
              <w:rPr>
                <w:rFonts w:ascii="Arial" w:hAnsi="Arial" w:cs="Arial"/>
                <w:bCs/>
                <w:i/>
              </w:rPr>
            </w:pPr>
            <w:r w:rsidRPr="00ED38A7">
              <w:rPr>
                <w:rFonts w:ascii="Arial" w:hAnsi="Arial" w:cs="Arial"/>
                <w:bCs/>
                <w:i/>
              </w:rPr>
              <w:t>Copia(s):</w:t>
            </w:r>
          </w:p>
        </w:tc>
        <w:tc>
          <w:tcPr>
            <w:tcW w:w="4026" w:type="pct"/>
            <w:gridSpan w:val="3"/>
            <w:vAlign w:val="center"/>
          </w:tcPr>
          <w:p w14:paraId="0C404460" w14:textId="678EC3E1" w:rsidR="00116373" w:rsidRPr="00ED38A7" w:rsidRDefault="00116373" w:rsidP="00116373">
            <w:pPr>
              <w:spacing w:line="240" w:lineRule="auto"/>
              <w:rPr>
                <w:rFonts w:ascii="Arial" w:hAnsi="Arial" w:cs="Arial"/>
                <w:bCs/>
              </w:rPr>
            </w:pPr>
            <w:bookmarkStart w:id="2" w:name="_Hlk56590809"/>
            <w:r w:rsidRPr="00ED38A7">
              <w:rPr>
                <w:rFonts w:ascii="Arial" w:hAnsi="Arial" w:cs="Arial"/>
                <w:bCs/>
              </w:rPr>
              <w:t>Dirección Ejecutiva; Dirección de Tecnología de Información; Dirección de Gestión Humana; Fiscalía General; Dirección General del O.I.J.; Defensa Pública; Centro de Apoyo y Coordinación y Mejoramiento de la Función Jurisdiccional</w:t>
            </w:r>
            <w:r>
              <w:rPr>
                <w:rFonts w:ascii="Arial" w:hAnsi="Arial" w:cs="Arial"/>
                <w:bCs/>
              </w:rPr>
              <w:t>; Comisión de la Jurisdicción Penal</w:t>
            </w:r>
            <w:r w:rsidRPr="00ED38A7">
              <w:rPr>
                <w:rFonts w:ascii="Arial" w:hAnsi="Arial" w:cs="Arial"/>
                <w:bCs/>
              </w:rPr>
              <w:t>.</w:t>
            </w:r>
          </w:p>
          <w:bookmarkEnd w:id="2"/>
          <w:p w14:paraId="65556227" w14:textId="7285A60D" w:rsidR="00AB064C" w:rsidRPr="00ED38A7" w:rsidRDefault="00AB064C" w:rsidP="00AB064C">
            <w:pPr>
              <w:widowControl w:val="0"/>
              <w:autoSpaceDE w:val="0"/>
              <w:autoSpaceDN w:val="0"/>
              <w:adjustRightInd w:val="0"/>
              <w:spacing w:line="240" w:lineRule="auto"/>
              <w:ind w:right="-9" w:firstLine="33"/>
              <w:rPr>
                <w:rFonts w:ascii="Arial" w:hAnsi="Arial" w:cs="Arial"/>
                <w:bCs/>
              </w:rPr>
            </w:pPr>
          </w:p>
        </w:tc>
      </w:tr>
      <w:tr w:rsidR="00A56796" w:rsidRPr="00ED38A7" w14:paraId="51670CE4" w14:textId="77777777" w:rsidTr="00BF702E">
        <w:trPr>
          <w:trHeight w:val="537"/>
        </w:trPr>
        <w:tc>
          <w:tcPr>
            <w:tcW w:w="974" w:type="pct"/>
            <w:shd w:val="clear" w:color="auto" w:fill="B3B3B3"/>
          </w:tcPr>
          <w:p w14:paraId="2B62F4C0" w14:textId="40BDE019" w:rsidR="00A56796" w:rsidRPr="00ED38A7" w:rsidRDefault="00A56796" w:rsidP="00AB064C">
            <w:pPr>
              <w:tabs>
                <w:tab w:val="left" w:pos="9923"/>
              </w:tabs>
              <w:spacing w:line="240" w:lineRule="auto"/>
              <w:rPr>
                <w:rFonts w:ascii="Arial" w:hAnsi="Arial" w:cs="Arial"/>
                <w:bCs/>
                <w:i/>
              </w:rPr>
            </w:pPr>
            <w:r>
              <w:rPr>
                <w:rFonts w:ascii="Arial" w:hAnsi="Arial" w:cs="Arial"/>
                <w:bCs/>
                <w:i/>
              </w:rPr>
              <w:t xml:space="preserve">Referencia </w:t>
            </w:r>
          </w:p>
        </w:tc>
        <w:tc>
          <w:tcPr>
            <w:tcW w:w="4026" w:type="pct"/>
            <w:gridSpan w:val="3"/>
            <w:vAlign w:val="center"/>
          </w:tcPr>
          <w:p w14:paraId="0E5441A5" w14:textId="6F23D5BB" w:rsidR="00A56796" w:rsidRPr="00ED38A7" w:rsidRDefault="00A56796" w:rsidP="00AB064C">
            <w:pPr>
              <w:spacing w:line="240" w:lineRule="auto"/>
              <w:rPr>
                <w:rFonts w:ascii="Arial" w:hAnsi="Arial" w:cs="Arial"/>
                <w:bCs/>
              </w:rPr>
            </w:pPr>
            <w:r w:rsidRPr="00A56796">
              <w:rPr>
                <w:rFonts w:ascii="Arial" w:hAnsi="Arial" w:cs="Arial"/>
                <w:bCs/>
              </w:rPr>
              <w:t>1698-2022</w:t>
            </w:r>
          </w:p>
        </w:tc>
      </w:tr>
      <w:tr w:rsidR="00AB064C" w:rsidRPr="00ED38A7" w14:paraId="546B14F9" w14:textId="77777777" w:rsidTr="00BF702E">
        <w:trPr>
          <w:trHeight w:val="494"/>
        </w:trPr>
        <w:tc>
          <w:tcPr>
            <w:tcW w:w="974" w:type="pct"/>
            <w:shd w:val="clear" w:color="auto" w:fill="B3B3B3"/>
            <w:vAlign w:val="center"/>
          </w:tcPr>
          <w:p w14:paraId="6FB30E5E" w14:textId="77777777" w:rsidR="00AB064C" w:rsidRPr="00ED38A7" w:rsidRDefault="00AB064C" w:rsidP="00AB064C">
            <w:pPr>
              <w:tabs>
                <w:tab w:val="left" w:pos="9923"/>
              </w:tabs>
              <w:spacing w:line="240" w:lineRule="auto"/>
              <w:rPr>
                <w:rFonts w:ascii="Arial" w:hAnsi="Arial" w:cs="Arial"/>
                <w:bCs/>
                <w:i/>
              </w:rPr>
            </w:pPr>
            <w:r w:rsidRPr="00ED38A7">
              <w:rPr>
                <w:rFonts w:ascii="Arial" w:hAnsi="Arial" w:cs="Arial"/>
                <w:bCs/>
                <w:i/>
              </w:rPr>
              <w:t>Oficios y Referencias:</w:t>
            </w:r>
          </w:p>
        </w:tc>
        <w:tc>
          <w:tcPr>
            <w:tcW w:w="4026" w:type="pct"/>
            <w:gridSpan w:val="3"/>
            <w:vAlign w:val="center"/>
          </w:tcPr>
          <w:p w14:paraId="64BF3136" w14:textId="7284E714" w:rsidR="00AB064C" w:rsidRPr="00ED38A7" w:rsidRDefault="00AB064C" w:rsidP="00AB064C">
            <w:pPr>
              <w:pStyle w:val="Prrafodelista"/>
              <w:widowControl w:val="0"/>
              <w:numPr>
                <w:ilvl w:val="0"/>
                <w:numId w:val="19"/>
              </w:numPr>
              <w:autoSpaceDE w:val="0"/>
              <w:autoSpaceDN w:val="0"/>
              <w:adjustRightInd w:val="0"/>
              <w:spacing w:line="240" w:lineRule="auto"/>
              <w:ind w:left="277" w:right="-9" w:hanging="142"/>
              <w:rPr>
                <w:rFonts w:ascii="Arial" w:hAnsi="Arial" w:cs="Arial"/>
                <w:bCs/>
              </w:rPr>
            </w:pPr>
            <w:r w:rsidRPr="00ED38A7">
              <w:rPr>
                <w:rFonts w:ascii="Arial" w:hAnsi="Arial" w:cs="Arial"/>
                <w:bCs/>
              </w:rPr>
              <w:t>Oficio 10615-20 del 12 de noviembre de 2020, suscrito por el Lic. Eduardo Chacón Monge, Prosecretario General a.í. de la Secretaría General de la Corte, en que se transcribe el acuerdo del Consejo Superior en la sesión 105-20 del 3 de noviembre de 2020, artículo LVII</w:t>
            </w:r>
            <w:r w:rsidR="00C54761">
              <w:rPr>
                <w:rFonts w:ascii="Arial" w:hAnsi="Arial" w:cs="Arial"/>
                <w:bCs/>
              </w:rPr>
              <w:t>,</w:t>
            </w:r>
            <w:r w:rsidRPr="00ED38A7">
              <w:rPr>
                <w:rFonts w:ascii="Arial" w:hAnsi="Arial" w:cs="Arial"/>
                <w:bCs/>
              </w:rPr>
              <w:t xml:space="preserve"> en que se acordó acoger el informe PJ-DGH-AP-3850-2020 del 13 de octubre de 2020 referente a la propuesta de escenarios de fechas de cierre colectivo de fin y principio de año y Semana Santa, elaborado por la Dirección de Gestión Humana.</w:t>
            </w:r>
          </w:p>
          <w:p w14:paraId="15CFE1FA" w14:textId="77777777" w:rsidR="00AB064C" w:rsidRPr="00ED38A7" w:rsidRDefault="00AB064C" w:rsidP="00AB064C">
            <w:pPr>
              <w:pStyle w:val="Prrafodelista"/>
              <w:rPr>
                <w:rFonts w:ascii="Arial" w:hAnsi="Arial" w:cs="Arial"/>
                <w:bCs/>
              </w:rPr>
            </w:pPr>
          </w:p>
          <w:p w14:paraId="631CE2E0" w14:textId="77777777" w:rsidR="00AB064C" w:rsidRPr="00ED38A7" w:rsidRDefault="00AB064C" w:rsidP="00AB064C">
            <w:pPr>
              <w:pStyle w:val="Prrafodelista"/>
              <w:numPr>
                <w:ilvl w:val="0"/>
                <w:numId w:val="19"/>
              </w:numPr>
              <w:spacing w:line="240" w:lineRule="auto"/>
              <w:ind w:left="277" w:firstLine="0"/>
              <w:rPr>
                <w:rFonts w:ascii="Arial" w:hAnsi="Arial" w:cs="Arial"/>
                <w:bCs/>
              </w:rPr>
            </w:pPr>
            <w:r w:rsidRPr="00ED38A7">
              <w:rPr>
                <w:rFonts w:ascii="Arial" w:hAnsi="Arial" w:cs="Arial"/>
                <w:bCs/>
              </w:rPr>
              <w:t>Correo electrónico del Lic. Carlos Mora Rodríguez, del 13 de noviembre de 2020, dirigido a la Licda. Nacira Valverde Bermudez, Directora de Planificación, a fin de que se remitan los “Lineamientos para la atención de asuntos y detalle de las oficinas que permanecerán abiertas durante los períodos de vacaciones colectivas”.</w:t>
            </w:r>
          </w:p>
          <w:p w14:paraId="663887E9" w14:textId="77777777" w:rsidR="00AB064C" w:rsidRPr="00ED38A7" w:rsidRDefault="00AB064C" w:rsidP="00AB064C">
            <w:pPr>
              <w:pStyle w:val="Prrafodelista"/>
              <w:rPr>
                <w:rFonts w:ascii="Arial" w:hAnsi="Arial" w:cs="Arial"/>
                <w:bCs/>
              </w:rPr>
            </w:pPr>
          </w:p>
          <w:p w14:paraId="21C2DC00" w14:textId="6FA1E119" w:rsidR="00AB064C" w:rsidRDefault="00AB064C" w:rsidP="00AB064C">
            <w:pPr>
              <w:pStyle w:val="Prrafodelista"/>
              <w:numPr>
                <w:ilvl w:val="0"/>
                <w:numId w:val="19"/>
              </w:numPr>
              <w:spacing w:line="240" w:lineRule="auto"/>
              <w:ind w:left="277" w:firstLine="0"/>
              <w:rPr>
                <w:rFonts w:ascii="Arial" w:hAnsi="Arial" w:cs="Arial"/>
                <w:bCs/>
              </w:rPr>
            </w:pPr>
            <w:r w:rsidRPr="00ED38A7">
              <w:rPr>
                <w:rFonts w:ascii="Arial" w:hAnsi="Arial" w:cs="Arial"/>
                <w:bCs/>
              </w:rPr>
              <w:t>Oficio PJ-DGH-AP-3947-2021 del 15 de septiembre de 2021, suscrito por la máster Roxana Arrieta Meléndez y la licenciada. Olga Guerrero Córdoba, por su orden directora Sub Directora interina de Gestión Humana, así como por los licenciados Carlos Lizano Alfaro Jefe interino de Subproceso Administración de Personal y Juan José Carvajal Siles Coordinador de la Unidad de Prestaciones Legales,</w:t>
            </w:r>
            <w:r w:rsidRPr="00ED38A7">
              <w:t xml:space="preserve"> </w:t>
            </w:r>
            <w:r w:rsidRPr="00ED38A7">
              <w:rPr>
                <w:rFonts w:ascii="Arial" w:hAnsi="Arial" w:cs="Arial"/>
                <w:bCs/>
              </w:rPr>
              <w:t>referente a la propuesta de cierre colectivo de fin y principio de año, así como de Semana Santa del período 2021/2022. Referencia interna 1987-2021</w:t>
            </w:r>
            <w:r w:rsidR="00C54761">
              <w:rPr>
                <w:rFonts w:ascii="Arial" w:hAnsi="Arial" w:cs="Arial"/>
                <w:bCs/>
              </w:rPr>
              <w:t>.</w:t>
            </w:r>
          </w:p>
          <w:p w14:paraId="2B1705B3" w14:textId="77777777" w:rsidR="00FF106A" w:rsidRPr="00FF106A" w:rsidRDefault="00FF106A" w:rsidP="00FF106A">
            <w:pPr>
              <w:pStyle w:val="Prrafodelista"/>
              <w:rPr>
                <w:rFonts w:ascii="Arial" w:hAnsi="Arial" w:cs="Arial"/>
                <w:bCs/>
              </w:rPr>
            </w:pPr>
          </w:p>
          <w:p w14:paraId="71F8726A" w14:textId="0E4426FC" w:rsidR="00AB064C" w:rsidRPr="00116373" w:rsidRDefault="00FF106A" w:rsidP="00362EE7">
            <w:pPr>
              <w:pStyle w:val="Prrafodelista"/>
              <w:widowControl w:val="0"/>
              <w:numPr>
                <w:ilvl w:val="0"/>
                <w:numId w:val="19"/>
              </w:numPr>
              <w:autoSpaceDE w:val="0"/>
              <w:autoSpaceDN w:val="0"/>
              <w:adjustRightInd w:val="0"/>
              <w:spacing w:line="240" w:lineRule="auto"/>
              <w:ind w:left="277" w:right="-9" w:firstLine="0"/>
              <w:rPr>
                <w:rFonts w:ascii="Arial" w:hAnsi="Arial" w:cs="Arial"/>
                <w:b/>
                <w:i/>
                <w:iCs/>
              </w:rPr>
            </w:pPr>
            <w:r w:rsidRPr="00116373">
              <w:rPr>
                <w:rFonts w:ascii="Arial" w:hAnsi="Arial" w:cs="Arial"/>
                <w:bCs/>
              </w:rPr>
              <w:t>Oficio FGR-248-2022 de 28 de marzo de 2022, suscrito por el máster Warner Molina Ruiz, Fiscal General interino de la República, en que informa sobre la atención en la toma de denuncias en las fiscalías del país, durante los cierres colectivos de fin y principio de año, así como, en la Semana Santa.</w:t>
            </w:r>
            <w:r w:rsidR="00A51969" w:rsidRPr="00116373">
              <w:rPr>
                <w:rFonts w:ascii="Arial" w:hAnsi="Arial" w:cs="Arial"/>
                <w:bCs/>
              </w:rPr>
              <w:t xml:space="preserve"> Referencia interna </w:t>
            </w:r>
            <w:r w:rsidR="00A51969">
              <w:t xml:space="preserve"> </w:t>
            </w:r>
            <w:r w:rsidR="00A51969" w:rsidRPr="00116373">
              <w:rPr>
                <w:rFonts w:ascii="Arial" w:hAnsi="Arial" w:cs="Arial"/>
                <w:bCs/>
              </w:rPr>
              <w:t>667-2022.</w:t>
            </w:r>
          </w:p>
          <w:p w14:paraId="4B7EA41F" w14:textId="69155205" w:rsidR="00FF106A" w:rsidRPr="00ED38A7" w:rsidRDefault="00FF106A" w:rsidP="00AB064C">
            <w:pPr>
              <w:widowControl w:val="0"/>
              <w:autoSpaceDE w:val="0"/>
              <w:autoSpaceDN w:val="0"/>
              <w:adjustRightInd w:val="0"/>
              <w:spacing w:line="240" w:lineRule="auto"/>
              <w:ind w:right="-9"/>
              <w:rPr>
                <w:rFonts w:ascii="Arial" w:hAnsi="Arial" w:cs="Arial"/>
                <w:b/>
                <w:i/>
                <w:iCs/>
              </w:rPr>
            </w:pPr>
          </w:p>
        </w:tc>
      </w:tr>
      <w:bookmarkEnd w:id="1"/>
    </w:tbl>
    <w:p w14:paraId="2120CBF5" w14:textId="01CC5ACF" w:rsidR="009C09DB" w:rsidRPr="00ED38A7" w:rsidRDefault="009C09DB" w:rsidP="00AA3767">
      <w:pPr>
        <w:spacing w:line="240" w:lineRule="auto"/>
        <w:jc w:val="center"/>
        <w:rPr>
          <w:rFonts w:ascii="Arial" w:hAnsi="Arial" w:cs="Arial"/>
          <w:sz w:val="40"/>
          <w:szCs w:val="40"/>
        </w:rPr>
      </w:pPr>
    </w:p>
    <w:p w14:paraId="208F285F" w14:textId="306A06F5" w:rsidR="004F771E" w:rsidRPr="00D01DE8" w:rsidRDefault="004F771E" w:rsidP="00D01DE8">
      <w:pPr>
        <w:pStyle w:val="Ttulo2"/>
      </w:pPr>
      <w:bookmarkStart w:id="3" w:name="_Toc293406873"/>
      <w:bookmarkStart w:id="4" w:name="_Toc293407061"/>
      <w:bookmarkStart w:id="5" w:name="_Toc376937153"/>
      <w:bookmarkStart w:id="6" w:name="_Toc376938111"/>
      <w:bookmarkStart w:id="7" w:name="_Toc376938426"/>
      <w:bookmarkStart w:id="8" w:name="_Toc376939198"/>
      <w:bookmarkStart w:id="9" w:name="_Toc433889455"/>
      <w:r w:rsidRPr="00D01DE8">
        <w:t>I</w:t>
      </w:r>
      <w:r w:rsidR="00B04B0B" w:rsidRPr="00D01DE8">
        <w:t>.-</w:t>
      </w:r>
      <w:r w:rsidRPr="00D01DE8">
        <w:t xml:space="preserve"> A</w:t>
      </w:r>
      <w:bookmarkEnd w:id="3"/>
      <w:bookmarkEnd w:id="4"/>
      <w:bookmarkEnd w:id="5"/>
      <w:bookmarkEnd w:id="6"/>
      <w:bookmarkEnd w:id="7"/>
      <w:bookmarkEnd w:id="8"/>
      <w:bookmarkEnd w:id="9"/>
      <w:r w:rsidRPr="00D01DE8">
        <w:t>ntecedentes</w:t>
      </w:r>
    </w:p>
    <w:p w14:paraId="31E7AA19" w14:textId="4193A15D" w:rsidR="00A3036D" w:rsidRPr="002114A8" w:rsidRDefault="00A3036D" w:rsidP="005A2EF9">
      <w:pPr>
        <w:spacing w:line="240" w:lineRule="auto"/>
        <w:rPr>
          <w:rFonts w:ascii="Arial" w:hAnsi="Arial" w:cs="Arial"/>
          <w:b/>
          <w:color w:val="0070C0"/>
        </w:rPr>
      </w:pPr>
    </w:p>
    <w:p w14:paraId="73FEBE02" w14:textId="6FD21271" w:rsidR="00FF61D0" w:rsidRPr="00C54761" w:rsidRDefault="00035FD7" w:rsidP="008E3587">
      <w:pPr>
        <w:pStyle w:val="Prrafodelista"/>
        <w:numPr>
          <w:ilvl w:val="1"/>
          <w:numId w:val="26"/>
        </w:numPr>
        <w:spacing w:line="240" w:lineRule="auto"/>
        <w:rPr>
          <w:rFonts w:ascii="Arial" w:hAnsi="Arial" w:cs="Arial"/>
        </w:rPr>
      </w:pPr>
      <w:r w:rsidRPr="00C54761">
        <w:rPr>
          <w:rFonts w:ascii="Arial" w:hAnsi="Arial" w:cs="Arial"/>
        </w:rPr>
        <w:t xml:space="preserve">El </w:t>
      </w:r>
      <w:r w:rsidR="00FF61D0" w:rsidRPr="00C54761">
        <w:rPr>
          <w:rFonts w:ascii="Arial" w:hAnsi="Arial" w:cs="Arial"/>
        </w:rPr>
        <w:t xml:space="preserve">Consejo Superior, </w:t>
      </w:r>
      <w:bookmarkStart w:id="10" w:name="_Hlk111121822"/>
      <w:r w:rsidR="00FF61D0" w:rsidRPr="00C54761">
        <w:rPr>
          <w:rFonts w:ascii="Arial" w:hAnsi="Arial" w:cs="Arial"/>
        </w:rPr>
        <w:t>en sesión N° 72-2022</w:t>
      </w:r>
      <w:r w:rsidR="00FF61D0" w:rsidRPr="00C54761">
        <w:rPr>
          <w:rFonts w:ascii="Arial" w:hAnsi="Arial" w:cs="Arial"/>
          <w:b/>
          <w:bCs/>
        </w:rPr>
        <w:t xml:space="preserve"> </w:t>
      </w:r>
      <w:r w:rsidR="00FF61D0" w:rsidRPr="00C54761">
        <w:rPr>
          <w:rFonts w:ascii="Arial" w:hAnsi="Arial" w:cs="Arial"/>
          <w:bCs/>
        </w:rPr>
        <w:t>c</w:t>
      </w:r>
      <w:r w:rsidR="00FF61D0" w:rsidRPr="00C54761">
        <w:rPr>
          <w:rFonts w:ascii="Arial" w:hAnsi="Arial" w:cs="Arial"/>
        </w:rPr>
        <w:t xml:space="preserve">elebrada el </w:t>
      </w:r>
      <w:r w:rsidR="00FF61D0" w:rsidRPr="00C54761">
        <w:rPr>
          <w:rFonts w:ascii="Arial" w:hAnsi="Arial" w:cs="Arial"/>
          <w:bCs/>
        </w:rPr>
        <w:t>25 de agosto del 2022</w:t>
      </w:r>
      <w:bookmarkEnd w:id="10"/>
      <w:r w:rsidR="00FF61D0" w:rsidRPr="00C54761">
        <w:rPr>
          <w:rFonts w:ascii="Arial" w:hAnsi="Arial" w:cs="Arial"/>
          <w:b/>
          <w:bCs/>
        </w:rPr>
        <w:t>,</w:t>
      </w:r>
      <w:r w:rsidR="00FF61D0" w:rsidRPr="00C54761">
        <w:rPr>
          <w:rFonts w:ascii="Arial" w:hAnsi="Arial" w:cs="Arial"/>
        </w:rPr>
        <w:t xml:space="preserve"> artículo XXXVI,  acordó:</w:t>
      </w:r>
      <w:r w:rsidR="00FF61D0" w:rsidRPr="00C54761">
        <w:rPr>
          <w:rFonts w:ascii="Arial" w:hAnsi="Arial" w:cs="Arial"/>
          <w:b/>
          <w:bCs/>
        </w:rPr>
        <w:t xml:space="preserve"> 1.) </w:t>
      </w:r>
      <w:r w:rsidR="00FF61D0" w:rsidRPr="00C54761">
        <w:rPr>
          <w:rFonts w:ascii="Arial" w:hAnsi="Arial" w:cs="Arial"/>
        </w:rPr>
        <w:t xml:space="preserve">Acoger el escenario propuesto por la máster </w:t>
      </w:r>
      <w:r w:rsidR="00FF61D0" w:rsidRPr="00C54761">
        <w:rPr>
          <w:rFonts w:ascii="Arial" w:hAnsi="Arial" w:cs="Arial"/>
          <w:iCs/>
        </w:rPr>
        <w:t>Roxana Arrieta Meléndez, Directora interina, la licenciada Olga Guerrero Córdoba, Subdirectora interina, el licenciado Carlos Lizano Alfaro, Jefe interino del Subproceso de Administración de Personal y la licenciada Dalia Blandino Estrada, Coordinadora interina de la Unidad de Prestaciones Legales y otros, todos de la Dirección de Gestión Humana, en oficio N° PJ-DGH-AP-3228-2022 de 12 de agosto de 2022</w:t>
      </w:r>
      <w:r w:rsidR="00FF61D0" w:rsidRPr="00C54761">
        <w:rPr>
          <w:rFonts w:ascii="Arial" w:hAnsi="Arial" w:cs="Arial"/>
        </w:rPr>
        <w:t>, referente al de cierre colectivo de fin y principio de año, así como de Semana Santa del período 2022/2023, en el sentido que las fechas de cierre colectivo de fin y principio de año iniciarán el lunes 26 de diciembre de 2022 y finalizarán el viernes 6 enero 2023, regresando a laborar el lunes 9 de enero de 2023. Asimismo, como cierre colectivo adicional, correspondiente a Semana Santa de 2023, entre las fechas del 3 al 5 de abril 2023.</w:t>
      </w:r>
      <w:r w:rsidR="00A56796" w:rsidRPr="00C54761">
        <w:rPr>
          <w:rFonts w:ascii="Arial" w:hAnsi="Arial" w:cs="Arial"/>
        </w:rPr>
        <w:t xml:space="preserve"> Ref: 1698-2022</w:t>
      </w:r>
      <w:r w:rsidR="0082734C">
        <w:rPr>
          <w:rFonts w:ascii="Arial" w:hAnsi="Arial" w:cs="Arial"/>
        </w:rPr>
        <w:t>.</w:t>
      </w:r>
    </w:p>
    <w:p w14:paraId="1053A572" w14:textId="77777777" w:rsidR="00FF61D0" w:rsidRPr="00C54761" w:rsidRDefault="00FF61D0" w:rsidP="005A2EF9">
      <w:pPr>
        <w:spacing w:line="240" w:lineRule="auto"/>
        <w:rPr>
          <w:rFonts w:ascii="Arial" w:hAnsi="Arial" w:cs="Arial"/>
          <w:b/>
        </w:rPr>
      </w:pPr>
    </w:p>
    <w:p w14:paraId="69481C47" w14:textId="0C527F67" w:rsidR="00AA1BD6" w:rsidRPr="00C54761" w:rsidRDefault="00AA1BD6" w:rsidP="00385441">
      <w:pPr>
        <w:pStyle w:val="Prrafodelista"/>
        <w:numPr>
          <w:ilvl w:val="1"/>
          <w:numId w:val="26"/>
        </w:numPr>
        <w:suppressAutoHyphens/>
        <w:spacing w:line="240" w:lineRule="auto"/>
        <w:rPr>
          <w:rFonts w:ascii="Arial" w:hAnsi="Arial" w:cs="Arial"/>
          <w:lang w:eastAsia="zh-CN"/>
        </w:rPr>
      </w:pPr>
      <w:r w:rsidRPr="00C54761">
        <w:rPr>
          <w:rFonts w:ascii="Arial" w:hAnsi="Arial" w:cs="Arial"/>
        </w:rPr>
        <w:t>El Consejo Superior en sesión No. 95-2021 celebrada el 4 de noviembre de 2021, artículo XL, aprobó los lineamientos para la prestación del servicio en la modalidad de apertura efectiva para el cierre colectivo de fin 2021, principio 2022 y Semana Santa 2022, asimismo en sesión No. 101-2021 celebrada el día 25 de noviembre de 2021, artículo LII, aprobó el Plan de Vacaciones para el período 2021-2022.</w:t>
      </w:r>
    </w:p>
    <w:p w14:paraId="6EF44F69" w14:textId="10CD2B19" w:rsidR="00206A22" w:rsidRDefault="00206A22" w:rsidP="00206A22">
      <w:pPr>
        <w:suppressAutoHyphens/>
        <w:spacing w:line="240" w:lineRule="auto"/>
        <w:rPr>
          <w:rFonts w:ascii="Arial" w:hAnsi="Arial" w:cs="Arial"/>
          <w:color w:val="0070C0"/>
          <w:lang w:eastAsia="zh-CN"/>
        </w:rPr>
      </w:pPr>
    </w:p>
    <w:p w14:paraId="2622F7EC" w14:textId="691A725C" w:rsidR="00E5339C" w:rsidRPr="00385441" w:rsidRDefault="00E5339C" w:rsidP="00385441">
      <w:pPr>
        <w:pStyle w:val="Prrafodelista"/>
        <w:numPr>
          <w:ilvl w:val="1"/>
          <w:numId w:val="26"/>
        </w:numPr>
        <w:spacing w:line="240" w:lineRule="auto"/>
        <w:rPr>
          <w:rFonts w:ascii="Arial" w:hAnsi="Arial" w:cs="Arial"/>
        </w:rPr>
      </w:pPr>
      <w:r w:rsidRPr="00385441">
        <w:rPr>
          <w:rFonts w:ascii="Arial" w:hAnsi="Arial" w:cs="Arial"/>
          <w:lang w:val="es-MX" w:eastAsia="es-MX"/>
        </w:rPr>
        <w:t>El Consejo Superior del Poder Judicial en sesión N°</w:t>
      </w:r>
      <w:r w:rsidR="007346BE" w:rsidRPr="00385441">
        <w:rPr>
          <w:rFonts w:ascii="Arial" w:hAnsi="Arial" w:cs="Arial"/>
          <w:lang w:val="es-MX" w:eastAsia="es-MX"/>
        </w:rPr>
        <w:t xml:space="preserve"> </w:t>
      </w:r>
      <w:r w:rsidRPr="00385441">
        <w:rPr>
          <w:rFonts w:ascii="Arial" w:hAnsi="Arial" w:cs="Arial"/>
          <w:lang w:val="es-MX" w:eastAsia="es-MX"/>
        </w:rPr>
        <w:t>81-</w:t>
      </w:r>
      <w:r w:rsidR="007346BE" w:rsidRPr="00385441">
        <w:rPr>
          <w:rFonts w:ascii="Arial" w:hAnsi="Arial" w:cs="Arial"/>
          <w:lang w:val="es-MX" w:eastAsia="es-MX"/>
        </w:rPr>
        <w:t>20</w:t>
      </w:r>
      <w:r w:rsidRPr="00385441">
        <w:rPr>
          <w:rFonts w:ascii="Arial" w:hAnsi="Arial" w:cs="Arial"/>
          <w:lang w:val="es-MX" w:eastAsia="es-MX"/>
        </w:rPr>
        <w:t>21 celebrada el 16 de setiembre de 2021, artículo LXI</w:t>
      </w:r>
      <w:r w:rsidR="0082734C">
        <w:rPr>
          <w:rFonts w:ascii="Arial" w:hAnsi="Arial" w:cs="Arial"/>
          <w:lang w:val="es-MX" w:eastAsia="es-MX"/>
        </w:rPr>
        <w:t>,</w:t>
      </w:r>
      <w:r w:rsidR="00CD515F" w:rsidRPr="00385441">
        <w:rPr>
          <w:rFonts w:ascii="Arial" w:hAnsi="Arial" w:cs="Arial"/>
          <w:lang w:val="es-MX" w:eastAsia="es-MX"/>
        </w:rPr>
        <w:t xml:space="preserve"> dispuso que m</w:t>
      </w:r>
      <w:r w:rsidRPr="00385441">
        <w:rPr>
          <w:rFonts w:ascii="Arial" w:hAnsi="Arial" w:cs="Arial"/>
        </w:rPr>
        <w:t xml:space="preserve">ediante oficio PJ-DGH-AP-3947-2021 del 15 de septiembre de 2021, suscrito por la máster Roxana Arrieta Meléndez y la licenciada. Olga Guerrero Córdoba, por su orden </w:t>
      </w:r>
      <w:r w:rsidR="00035FD7">
        <w:rPr>
          <w:rFonts w:ascii="Arial" w:hAnsi="Arial" w:cs="Arial"/>
        </w:rPr>
        <w:t>D</w:t>
      </w:r>
      <w:r w:rsidRPr="00385441">
        <w:rPr>
          <w:rFonts w:ascii="Arial" w:hAnsi="Arial" w:cs="Arial"/>
        </w:rPr>
        <w:t xml:space="preserve">irectora </w:t>
      </w:r>
      <w:r w:rsidR="00035FD7">
        <w:rPr>
          <w:rFonts w:ascii="Arial" w:hAnsi="Arial" w:cs="Arial"/>
        </w:rPr>
        <w:t xml:space="preserve">y </w:t>
      </w:r>
      <w:r w:rsidRPr="00385441">
        <w:rPr>
          <w:rFonts w:ascii="Arial" w:hAnsi="Arial" w:cs="Arial"/>
        </w:rPr>
        <w:t>Sub Directora interina de Gestión Humana, así como por los licenciados Carlos Lizano Alfaro Jefe interino de Subproceso Administración de Personal y Juan José Carvajal Siles Coordinador de la Unidad de Prestaciones Legale</w:t>
      </w:r>
      <w:bookmarkStart w:id="11" w:name="Listadesplegable2"/>
      <w:r w:rsidRPr="00385441">
        <w:rPr>
          <w:rFonts w:ascii="Arial" w:hAnsi="Arial" w:cs="Arial"/>
        </w:rPr>
        <w:t>s, comunicaron lo siguiente:</w:t>
      </w:r>
    </w:p>
    <w:p w14:paraId="268DDF52" w14:textId="77777777" w:rsidR="00E5339C" w:rsidRPr="00ED38A7" w:rsidRDefault="00E5339C" w:rsidP="00E5339C">
      <w:pPr>
        <w:pStyle w:val="AENCABEZADO"/>
        <w:spacing w:before="0" w:after="0" w:line="240" w:lineRule="auto"/>
        <w:rPr>
          <w:rFonts w:ascii="Arial" w:hAnsi="Arial" w:cs="Arial"/>
          <w:color w:val="auto"/>
          <w:sz w:val="24"/>
          <w:szCs w:val="24"/>
        </w:rPr>
      </w:pPr>
    </w:p>
    <w:bookmarkEnd w:id="11"/>
    <w:p w14:paraId="2BBD0450" w14:textId="77777777" w:rsidR="00E5339C" w:rsidRPr="00ED38A7" w:rsidRDefault="00E5339C" w:rsidP="00CD515F">
      <w:pPr>
        <w:pStyle w:val="AAgestin"/>
        <w:spacing w:before="0" w:after="0"/>
        <w:ind w:left="1134" w:right="397"/>
        <w:rPr>
          <w:i/>
          <w:iCs/>
          <w:color w:val="auto"/>
          <w:sz w:val="24"/>
          <w:szCs w:val="24"/>
        </w:rPr>
      </w:pPr>
      <w:r w:rsidRPr="00ED38A7">
        <w:rPr>
          <w:i/>
          <w:iCs/>
          <w:color w:val="auto"/>
          <w:sz w:val="24"/>
          <w:szCs w:val="24"/>
        </w:rPr>
        <w:t>“El Consejo Superior, en sesión N° 76-2021, celebrada el 02 de septiembre del 2021, en el artículo XLI, conoció la propuesta de cierre colectivo de fin y principio de año que le presentara la Dirección de Gestión Humana y con relación a esta dispuso:</w:t>
      </w:r>
    </w:p>
    <w:p w14:paraId="0D5B3B65" w14:textId="77777777" w:rsidR="00E5339C" w:rsidRPr="00ED38A7" w:rsidRDefault="00E5339C" w:rsidP="00CD515F">
      <w:pPr>
        <w:pStyle w:val="AAgestin"/>
        <w:spacing w:before="0" w:after="0"/>
        <w:ind w:left="1134" w:right="397"/>
        <w:rPr>
          <w:i/>
          <w:iCs/>
          <w:color w:val="auto"/>
          <w:sz w:val="24"/>
          <w:szCs w:val="24"/>
        </w:rPr>
      </w:pPr>
    </w:p>
    <w:p w14:paraId="00024C5D" w14:textId="3AA5D663" w:rsidR="00E5339C" w:rsidRPr="00ED38A7" w:rsidRDefault="00E5339C" w:rsidP="00CD515F">
      <w:pPr>
        <w:pStyle w:val="AAgestin"/>
        <w:spacing w:before="0" w:after="0"/>
        <w:ind w:left="1134" w:right="397"/>
        <w:rPr>
          <w:i/>
          <w:iCs/>
          <w:color w:val="auto"/>
          <w:sz w:val="24"/>
          <w:szCs w:val="24"/>
        </w:rPr>
      </w:pPr>
      <w:r w:rsidRPr="00ED38A7">
        <w:rPr>
          <w:i/>
          <w:iCs/>
          <w:color w:val="auto"/>
          <w:sz w:val="24"/>
          <w:szCs w:val="24"/>
        </w:rPr>
        <w:t xml:space="preserve">“Previamente a resolver lo planteado en el oficio N° PJ-DGH-AP-3241-2021 recibido el 26 de agosto de 2021, </w:t>
      </w:r>
      <w:r w:rsidRPr="00ED38A7">
        <w:rPr>
          <w:b/>
          <w:bCs/>
          <w:i/>
          <w:iCs/>
          <w:color w:val="auto"/>
          <w:sz w:val="24"/>
          <w:szCs w:val="24"/>
        </w:rPr>
        <w:t>referente a la propuesta de cierre colectivo de fin y principio de año, así como de Semana Santa del período 2021/2022</w:t>
      </w:r>
      <w:r w:rsidRPr="00ED38A7">
        <w:rPr>
          <w:i/>
          <w:iCs/>
          <w:color w:val="auto"/>
          <w:sz w:val="24"/>
          <w:szCs w:val="24"/>
        </w:rPr>
        <w:t>, deberá la Dirección de Gestión Humana valorar los puntos indicados en el presente acuerdo por el integrante Carlos Montero Zúñiga e informar a este Consejo Superior lo que estime pertinente, lo anterior en el plazo de 5 días hábiles a partir de comunicado el presente acuerdo.”</w:t>
      </w:r>
      <w:r w:rsidR="00116373">
        <w:rPr>
          <w:i/>
          <w:iCs/>
          <w:color w:val="auto"/>
          <w:sz w:val="24"/>
          <w:szCs w:val="24"/>
        </w:rPr>
        <w:t>.</w:t>
      </w:r>
    </w:p>
    <w:p w14:paraId="733847E0" w14:textId="77777777" w:rsidR="00E5339C" w:rsidRPr="00ED38A7" w:rsidRDefault="00E5339C" w:rsidP="00E5339C">
      <w:pPr>
        <w:pStyle w:val="AAgestin"/>
        <w:spacing w:before="0" w:after="0"/>
        <w:rPr>
          <w:rFonts w:ascii="Arial" w:hAnsi="Arial" w:cs="Arial"/>
          <w:color w:val="auto"/>
          <w:sz w:val="24"/>
          <w:szCs w:val="24"/>
        </w:rPr>
      </w:pPr>
    </w:p>
    <w:p w14:paraId="23975BCB" w14:textId="77777777" w:rsidR="00CD515F" w:rsidRPr="00ED38A7" w:rsidRDefault="00E5339C" w:rsidP="00CD515F">
      <w:pPr>
        <w:pStyle w:val="AAgestin"/>
        <w:spacing w:before="0" w:after="0"/>
        <w:ind w:left="0" w:right="-1"/>
        <w:rPr>
          <w:rFonts w:ascii="Arial" w:hAnsi="Arial" w:cs="Arial"/>
          <w:color w:val="auto"/>
          <w:lang w:eastAsia="es-CR"/>
        </w:rPr>
      </w:pPr>
      <w:r w:rsidRPr="00ED38A7">
        <w:rPr>
          <w:rFonts w:ascii="Arial" w:hAnsi="Arial" w:cs="Arial"/>
          <w:color w:val="auto"/>
          <w:sz w:val="24"/>
          <w:szCs w:val="24"/>
        </w:rPr>
        <w:t>En atención al acuerdo transcrito, procede esa Dirección a la ampliación del oficio PJ-DGH-AP-3241-2021, enfocados en los puntos de interés señalados por el integrante del órgano superior, licenciado Carlos Montero Zúñiga.</w:t>
      </w:r>
      <w:r w:rsidR="00CD515F" w:rsidRPr="00ED38A7">
        <w:rPr>
          <w:rFonts w:ascii="Arial" w:hAnsi="Arial" w:cs="Arial"/>
          <w:color w:val="auto"/>
          <w:sz w:val="24"/>
          <w:szCs w:val="24"/>
        </w:rPr>
        <w:t xml:space="preserve"> </w:t>
      </w:r>
      <w:r w:rsidR="000B5730" w:rsidRPr="00ED38A7">
        <w:rPr>
          <w:rFonts w:ascii="Arial" w:hAnsi="Arial" w:cs="Arial"/>
          <w:color w:val="auto"/>
          <w:lang w:eastAsia="es-CR"/>
        </w:rPr>
        <w:t>Por mayoría, se acordó</w:t>
      </w:r>
      <w:r w:rsidR="000B5730" w:rsidRPr="00ED38A7">
        <w:rPr>
          <w:rFonts w:ascii="Arial" w:hAnsi="Arial" w:cs="Arial"/>
          <w:b/>
          <w:color w:val="auto"/>
          <w:lang w:eastAsia="es-CR"/>
        </w:rPr>
        <w:t>:</w:t>
      </w:r>
      <w:r w:rsidR="000B5730" w:rsidRPr="00ED38A7">
        <w:rPr>
          <w:rFonts w:ascii="Arial" w:hAnsi="Arial" w:cs="Arial"/>
          <w:color w:val="auto"/>
          <w:lang w:eastAsia="es-CR"/>
        </w:rPr>
        <w:t xml:space="preserve"> </w:t>
      </w:r>
    </w:p>
    <w:p w14:paraId="7844B102" w14:textId="77777777" w:rsidR="00CD515F" w:rsidRPr="00ED38A7" w:rsidRDefault="00CD515F" w:rsidP="00CD515F">
      <w:pPr>
        <w:pStyle w:val="AAgestin"/>
        <w:spacing w:before="0" w:after="0"/>
        <w:ind w:left="0" w:right="-1"/>
        <w:rPr>
          <w:rFonts w:ascii="Arial" w:hAnsi="Arial" w:cs="Arial"/>
          <w:color w:val="auto"/>
          <w:lang w:eastAsia="es-CR"/>
        </w:rPr>
      </w:pPr>
    </w:p>
    <w:p w14:paraId="14591203" w14:textId="27829377" w:rsidR="000B5730" w:rsidRPr="00ED38A7" w:rsidRDefault="00CD515F" w:rsidP="00CD515F">
      <w:pPr>
        <w:pStyle w:val="AAgestin"/>
        <w:spacing w:before="0" w:after="0"/>
        <w:ind w:left="510" w:right="510"/>
        <w:rPr>
          <w:i/>
          <w:iCs/>
          <w:color w:val="auto"/>
          <w:sz w:val="24"/>
          <w:szCs w:val="24"/>
        </w:rPr>
      </w:pPr>
      <w:r w:rsidRPr="00ED38A7">
        <w:rPr>
          <w:i/>
          <w:iCs/>
          <w:color w:val="auto"/>
          <w:sz w:val="24"/>
          <w:szCs w:val="24"/>
        </w:rPr>
        <w:t>“</w:t>
      </w:r>
      <w:r w:rsidR="000B5730" w:rsidRPr="00ED38A7">
        <w:rPr>
          <w:i/>
          <w:iCs/>
          <w:color w:val="auto"/>
          <w:sz w:val="24"/>
          <w:szCs w:val="24"/>
        </w:rPr>
        <w:t>Acoger el informe de la Dirección de Gestión Humana, mediante oficio N° PJ-DGH-AP-3947-2021 del 15 de septiembre de 2021, sobre mantener el criterio técnico de aplicar el cierre colectivo del lunes 20 al viernes 31 de diciembre de 2021, reingresando a laborar a partir del lunes 3 de enero 2022.</w:t>
      </w:r>
    </w:p>
    <w:p w14:paraId="3814A94C" w14:textId="77777777" w:rsidR="000B5730" w:rsidRPr="00ED38A7" w:rsidRDefault="000B5730" w:rsidP="00CD515F">
      <w:pPr>
        <w:spacing w:line="240" w:lineRule="auto"/>
        <w:ind w:left="510" w:right="510" w:firstLine="708"/>
        <w:rPr>
          <w:rFonts w:ascii="Times New Roman" w:hAnsi="Times New Roman"/>
          <w:i/>
          <w:iCs/>
          <w:lang w:val="es-ES_tradnl" w:eastAsia="ar-SA"/>
        </w:rPr>
      </w:pPr>
    </w:p>
    <w:p w14:paraId="0BAFA8E5" w14:textId="071E6A23" w:rsidR="000B5730" w:rsidRDefault="000B5730" w:rsidP="00CD515F">
      <w:pPr>
        <w:spacing w:line="240" w:lineRule="auto"/>
        <w:ind w:left="510" w:right="510" w:firstLine="708"/>
        <w:rPr>
          <w:rFonts w:ascii="Times New Roman" w:hAnsi="Times New Roman"/>
          <w:i/>
          <w:iCs/>
          <w:lang w:val="es-ES_tradnl" w:eastAsia="ar-SA"/>
        </w:rPr>
      </w:pPr>
      <w:r w:rsidRPr="00ED38A7">
        <w:rPr>
          <w:rFonts w:ascii="Times New Roman" w:hAnsi="Times New Roman"/>
          <w:i/>
          <w:iCs/>
          <w:lang w:val="es-ES_tradnl" w:eastAsia="ar-SA"/>
        </w:rPr>
        <w:t>Por su parte el integrante máster Montero Zúñiga, salva el voto por no estar de acuerdo con la propuesta por las razones expuestas en la sesión N° 76-2021 celebrada el 02 de setiembre de 2021, artículo XLI. Se declara acuerdo firme.”</w:t>
      </w:r>
      <w:r w:rsidR="00116373">
        <w:rPr>
          <w:rFonts w:ascii="Times New Roman" w:hAnsi="Times New Roman"/>
          <w:i/>
          <w:iCs/>
          <w:lang w:val="es-ES_tradnl" w:eastAsia="ar-SA"/>
        </w:rPr>
        <w:t>.</w:t>
      </w:r>
    </w:p>
    <w:p w14:paraId="42BFFAD1" w14:textId="77777777" w:rsidR="00385441" w:rsidRPr="00ED38A7" w:rsidRDefault="00385441" w:rsidP="00CD515F">
      <w:pPr>
        <w:spacing w:line="240" w:lineRule="auto"/>
        <w:ind w:left="510" w:right="510" w:firstLine="708"/>
        <w:rPr>
          <w:rFonts w:ascii="Times New Roman" w:hAnsi="Times New Roman"/>
          <w:i/>
          <w:iCs/>
          <w:lang w:val="es-ES_tradnl" w:eastAsia="ar-SA"/>
        </w:rPr>
      </w:pPr>
    </w:p>
    <w:p w14:paraId="701C6D60" w14:textId="77777777" w:rsidR="003E35E8" w:rsidRPr="00ED38A7" w:rsidRDefault="003E35E8" w:rsidP="00C86C07">
      <w:pPr>
        <w:spacing w:line="240" w:lineRule="auto"/>
        <w:ind w:left="567" w:right="567"/>
        <w:rPr>
          <w:rFonts w:ascii="Arial" w:hAnsi="Arial" w:cs="Arial"/>
          <w:i/>
          <w:iCs/>
          <w:lang w:val="es-CR"/>
        </w:rPr>
      </w:pPr>
    </w:p>
    <w:p w14:paraId="23936DF9" w14:textId="34DA6FD9" w:rsidR="00A762D8" w:rsidRPr="002114A8" w:rsidRDefault="00A762D8" w:rsidP="00385441">
      <w:pPr>
        <w:pStyle w:val="Prrafodelista"/>
        <w:numPr>
          <w:ilvl w:val="1"/>
          <w:numId w:val="26"/>
        </w:numPr>
        <w:spacing w:line="240" w:lineRule="auto"/>
        <w:rPr>
          <w:rFonts w:ascii="Arial" w:hAnsi="Arial" w:cs="Arial"/>
          <w:bCs/>
        </w:rPr>
      </w:pPr>
      <w:r w:rsidRPr="002114A8">
        <w:rPr>
          <w:rFonts w:ascii="Arial" w:hAnsi="Arial" w:cs="Arial"/>
          <w:bCs/>
        </w:rPr>
        <w:t xml:space="preserve">Acuerdo del Consejo Superior en la sesión </w:t>
      </w:r>
      <w:r w:rsidR="008A4B32" w:rsidRPr="002114A8">
        <w:rPr>
          <w:rFonts w:ascii="Arial" w:hAnsi="Arial" w:cs="Arial"/>
          <w:bCs/>
        </w:rPr>
        <w:t>105-20, celebrada el 3 de noviembre de 2020, artículo LVII</w:t>
      </w:r>
      <w:r w:rsidR="00116373">
        <w:rPr>
          <w:rFonts w:ascii="Arial" w:hAnsi="Arial" w:cs="Arial"/>
          <w:bCs/>
        </w:rPr>
        <w:t>,</w:t>
      </w:r>
      <w:r w:rsidR="008A4B32" w:rsidRPr="002114A8">
        <w:rPr>
          <w:rFonts w:ascii="Arial" w:hAnsi="Arial" w:cs="Arial"/>
          <w:bCs/>
        </w:rPr>
        <w:t xml:space="preserve"> </w:t>
      </w:r>
      <w:r w:rsidRPr="002114A8">
        <w:rPr>
          <w:rFonts w:ascii="Arial" w:hAnsi="Arial" w:cs="Arial"/>
          <w:bCs/>
        </w:rPr>
        <w:t xml:space="preserve">que solicita a esta Dirección presentar </w:t>
      </w:r>
      <w:r w:rsidR="008A4B32" w:rsidRPr="002114A8">
        <w:rPr>
          <w:rFonts w:ascii="Arial" w:hAnsi="Arial" w:cs="Arial"/>
          <w:bCs/>
        </w:rPr>
        <w:t xml:space="preserve">a la brevedad </w:t>
      </w:r>
      <w:r w:rsidRPr="002114A8">
        <w:rPr>
          <w:rFonts w:ascii="Arial" w:hAnsi="Arial" w:cs="Arial"/>
          <w:bCs/>
        </w:rPr>
        <w:t xml:space="preserve">la propuesta </w:t>
      </w:r>
      <w:r w:rsidR="008A4B32" w:rsidRPr="002114A8">
        <w:rPr>
          <w:rFonts w:ascii="Arial" w:hAnsi="Arial" w:cs="Arial"/>
          <w:bCs/>
        </w:rPr>
        <w:t xml:space="preserve">sobre los despachos y </w:t>
      </w:r>
      <w:r w:rsidRPr="002114A8">
        <w:rPr>
          <w:rFonts w:ascii="Arial" w:hAnsi="Arial" w:cs="Arial"/>
          <w:bCs/>
        </w:rPr>
        <w:t xml:space="preserve">oficinas </w:t>
      </w:r>
      <w:r w:rsidR="008A4B32" w:rsidRPr="002114A8">
        <w:rPr>
          <w:rFonts w:ascii="Arial" w:hAnsi="Arial" w:cs="Arial"/>
          <w:bCs/>
        </w:rPr>
        <w:t xml:space="preserve">judiciales que laborarán bajo la modalidad de apertura efectiva, durante el cierre colectivo. De manera adicional, se detalla en el presente informe las </w:t>
      </w:r>
      <w:r w:rsidR="00435F67" w:rsidRPr="002114A8">
        <w:rPr>
          <w:rFonts w:ascii="Arial" w:hAnsi="Arial" w:cs="Arial"/>
          <w:bCs/>
        </w:rPr>
        <w:t xml:space="preserve">oficinas </w:t>
      </w:r>
      <w:r w:rsidR="008A4B32" w:rsidRPr="002114A8">
        <w:rPr>
          <w:rFonts w:ascii="Arial" w:hAnsi="Arial" w:cs="Arial"/>
          <w:bCs/>
        </w:rPr>
        <w:t xml:space="preserve">que también permanecerán abiertas </w:t>
      </w:r>
      <w:r w:rsidRPr="002114A8">
        <w:rPr>
          <w:rFonts w:ascii="Arial" w:hAnsi="Arial" w:cs="Arial"/>
          <w:bCs/>
        </w:rPr>
        <w:t>para Semana Santa</w:t>
      </w:r>
      <w:r w:rsidR="00435F67" w:rsidRPr="002114A8">
        <w:rPr>
          <w:rFonts w:ascii="Arial" w:hAnsi="Arial" w:cs="Arial"/>
          <w:bCs/>
        </w:rPr>
        <w:t xml:space="preserve"> 2021</w:t>
      </w:r>
      <w:r w:rsidRPr="002114A8">
        <w:rPr>
          <w:rFonts w:ascii="Arial" w:hAnsi="Arial" w:cs="Arial"/>
          <w:bCs/>
        </w:rPr>
        <w:t>,</w:t>
      </w:r>
      <w:r w:rsidR="008A4B32" w:rsidRPr="002114A8">
        <w:rPr>
          <w:rFonts w:ascii="Arial" w:hAnsi="Arial" w:cs="Arial"/>
          <w:bCs/>
        </w:rPr>
        <w:t xml:space="preserve"> </w:t>
      </w:r>
      <w:r w:rsidRPr="002114A8">
        <w:rPr>
          <w:rFonts w:ascii="Arial" w:hAnsi="Arial" w:cs="Arial"/>
          <w:bCs/>
        </w:rPr>
        <w:t>presenta</w:t>
      </w:r>
      <w:r w:rsidR="008A4B32" w:rsidRPr="002114A8">
        <w:rPr>
          <w:rFonts w:ascii="Arial" w:hAnsi="Arial" w:cs="Arial"/>
          <w:bCs/>
        </w:rPr>
        <w:t>ndo</w:t>
      </w:r>
      <w:r w:rsidRPr="002114A8">
        <w:rPr>
          <w:rFonts w:ascii="Arial" w:hAnsi="Arial" w:cs="Arial"/>
          <w:bCs/>
        </w:rPr>
        <w:t xml:space="preserve"> un único informe que incorpora la modalidad de apertura efectiva dentro de los periodos de cierre colectivo (fin y principio de año, así como Semana Santa)</w:t>
      </w:r>
      <w:r w:rsidR="008A4B32" w:rsidRPr="002114A8">
        <w:rPr>
          <w:rFonts w:ascii="Arial" w:hAnsi="Arial" w:cs="Arial"/>
          <w:bCs/>
        </w:rPr>
        <w:t>, de conformidad con lo solicitado el año anterior</w:t>
      </w:r>
      <w:r w:rsidR="00BD7852" w:rsidRPr="00ED38A7">
        <w:rPr>
          <w:rStyle w:val="Refdenotaalpie"/>
          <w:rFonts w:ascii="Arial" w:hAnsi="Arial" w:cs="Arial"/>
          <w:bCs/>
        </w:rPr>
        <w:footnoteReference w:id="2"/>
      </w:r>
      <w:r w:rsidRPr="002114A8">
        <w:rPr>
          <w:rFonts w:ascii="Arial" w:hAnsi="Arial" w:cs="Arial"/>
          <w:bCs/>
        </w:rPr>
        <w:t xml:space="preserve">.  </w:t>
      </w:r>
    </w:p>
    <w:p w14:paraId="722E3106" w14:textId="3B0662A1" w:rsidR="00A762D8" w:rsidRPr="00ED38A7" w:rsidRDefault="00A762D8" w:rsidP="005A2EF9">
      <w:pPr>
        <w:spacing w:line="240" w:lineRule="auto"/>
        <w:rPr>
          <w:rFonts w:ascii="Arial" w:hAnsi="Arial" w:cs="Arial"/>
          <w:bCs/>
        </w:rPr>
      </w:pPr>
    </w:p>
    <w:p w14:paraId="19E87CFC" w14:textId="38EB1B00" w:rsidR="00CD515F" w:rsidRPr="002114A8" w:rsidRDefault="00C86C07" w:rsidP="00385441">
      <w:pPr>
        <w:pStyle w:val="Prrafodelista"/>
        <w:numPr>
          <w:ilvl w:val="1"/>
          <w:numId w:val="26"/>
        </w:numPr>
        <w:spacing w:line="240" w:lineRule="auto"/>
        <w:rPr>
          <w:rFonts w:ascii="Arial" w:hAnsi="Arial" w:cs="Arial"/>
          <w:bCs/>
        </w:rPr>
      </w:pPr>
      <w:r w:rsidRPr="002114A8">
        <w:rPr>
          <w:rFonts w:ascii="Arial" w:hAnsi="Arial" w:cs="Arial"/>
          <w:bCs/>
        </w:rPr>
        <w:t xml:space="preserve">Acuerdo de Corte Plena en las sesiones 37-12 artículo VIII y 15-16 artículo XVII, respectivamente, en que aprobó los estudios de la Auditoría Judicial 958-107-AUO-2012 sobre la estructura de Control Interno de los Juzgados Penales a nivel gerencial y su contribución </w:t>
      </w:r>
      <w:r w:rsidR="007D2C81" w:rsidRPr="002114A8">
        <w:rPr>
          <w:rFonts w:ascii="Arial" w:hAnsi="Arial" w:cs="Arial"/>
          <w:bCs/>
        </w:rPr>
        <w:t>en</w:t>
      </w:r>
      <w:r w:rsidRPr="002114A8">
        <w:rPr>
          <w:rFonts w:ascii="Arial" w:hAnsi="Arial" w:cs="Arial"/>
          <w:bCs/>
        </w:rPr>
        <w:t xml:space="preserve"> la etapa de investigación del proceso penal y el estudio 259-66-SAO-2016 sobre el estudio operativo de los Tribunales Penales. </w:t>
      </w:r>
    </w:p>
    <w:p w14:paraId="7A6CDFFA" w14:textId="77777777" w:rsidR="00CD515F" w:rsidRPr="00ED38A7" w:rsidRDefault="00CD515F" w:rsidP="00C86C07">
      <w:pPr>
        <w:spacing w:line="240" w:lineRule="auto"/>
        <w:rPr>
          <w:rFonts w:ascii="Arial" w:hAnsi="Arial" w:cs="Arial"/>
          <w:bCs/>
        </w:rPr>
      </w:pPr>
    </w:p>
    <w:p w14:paraId="23A4858D" w14:textId="070F8BA5" w:rsidR="00C86C07" w:rsidRPr="00ED38A7" w:rsidRDefault="00C86C07" w:rsidP="00133939">
      <w:pPr>
        <w:spacing w:line="240" w:lineRule="auto"/>
        <w:ind w:left="709"/>
        <w:rPr>
          <w:rFonts w:ascii="Arial" w:hAnsi="Arial" w:cs="Arial"/>
          <w:bCs/>
          <w:lang w:val="es-CR" w:eastAsia="es-CR"/>
        </w:rPr>
      </w:pPr>
      <w:r w:rsidRPr="00ED38A7">
        <w:rPr>
          <w:rFonts w:ascii="Arial" w:hAnsi="Arial" w:cs="Arial"/>
          <w:bCs/>
        </w:rPr>
        <w:t>A partir de lo anterior, la Dirección de Planificación con el liderazgo del Despacho de la Presidencia diseñó el proyecto de mejora integral del proceso penal, conocido por el Consejo Superior en la sesión 71-17, del 1 de agosto del 2017, artículo CXI, donde se aprobó el abordaje a los despachos de la materia penal</w:t>
      </w:r>
      <w:r w:rsidR="001A7893" w:rsidRPr="00ED38A7">
        <w:rPr>
          <w:rFonts w:ascii="Arial" w:hAnsi="Arial" w:cs="Arial"/>
          <w:bCs/>
        </w:rPr>
        <w:t xml:space="preserve">, </w:t>
      </w:r>
      <w:r w:rsidRPr="00ED38A7">
        <w:rPr>
          <w:rFonts w:ascii="Arial" w:hAnsi="Arial" w:cs="Arial"/>
          <w:bCs/>
        </w:rPr>
        <w:t xml:space="preserve">razón </w:t>
      </w:r>
      <w:r w:rsidR="001A7893" w:rsidRPr="00ED38A7">
        <w:rPr>
          <w:rFonts w:ascii="Arial" w:hAnsi="Arial" w:cs="Arial"/>
          <w:bCs/>
        </w:rPr>
        <w:t xml:space="preserve">por la cual </w:t>
      </w:r>
      <w:r w:rsidRPr="00ED38A7">
        <w:rPr>
          <w:rFonts w:ascii="Arial" w:hAnsi="Arial" w:cs="Arial"/>
          <w:bCs/>
        </w:rPr>
        <w:t>la Dirección de Planificación ha realizado y se encuentra</w:t>
      </w:r>
      <w:r w:rsidR="001A7893" w:rsidRPr="00ED38A7">
        <w:rPr>
          <w:rFonts w:ascii="Arial" w:hAnsi="Arial" w:cs="Arial"/>
          <w:bCs/>
        </w:rPr>
        <w:t xml:space="preserve"> elaborando</w:t>
      </w:r>
      <w:r w:rsidRPr="00ED38A7">
        <w:rPr>
          <w:rFonts w:ascii="Arial" w:hAnsi="Arial" w:cs="Arial"/>
          <w:bCs/>
        </w:rPr>
        <w:t xml:space="preserve"> los estudios denominados </w:t>
      </w:r>
      <w:r w:rsidRPr="00ED38A7">
        <w:rPr>
          <w:rFonts w:ascii="Arial" w:hAnsi="Arial" w:cs="Arial"/>
          <w:bCs/>
          <w:i/>
          <w:iCs/>
        </w:rPr>
        <w:t>“Rediseño de</w:t>
      </w:r>
      <w:r w:rsidRPr="00ED38A7">
        <w:rPr>
          <w:rFonts w:ascii="Arial" w:hAnsi="Arial" w:cs="Arial"/>
          <w:bCs/>
          <w:i/>
          <w:iCs/>
          <w:lang w:val="es-CR" w:eastAsia="es-CR"/>
        </w:rPr>
        <w:t xml:space="preserve"> Procesos del modelo Penal por medio de nuevas tecnologías de información</w:t>
      </w:r>
      <w:r w:rsidRPr="00ED38A7">
        <w:rPr>
          <w:rFonts w:ascii="Arial" w:hAnsi="Arial" w:cs="Arial"/>
          <w:bCs/>
          <w:lang w:val="es-CR" w:eastAsia="es-CR"/>
        </w:rPr>
        <w:t>” que podrían presentar modificaciones a nivel de las estructuras, los procesos y los procedimientos internos de las oficinas jurisdiccionales competentes en la materia penal, lo que podría generar que de ser aprobados los informes por los instancias superiores (Corte Plena, Consejo Superior, Comisión de la Jurisdicción Penal) se generen ajustes en lo planteado en este informe, las cuales se harán del conocimiento de los despachos oportunamente.</w:t>
      </w:r>
    </w:p>
    <w:p w14:paraId="78F1EA09" w14:textId="5CB20A79" w:rsidR="00C86C07" w:rsidRDefault="00C86C07" w:rsidP="005A2EF9">
      <w:pPr>
        <w:spacing w:line="240" w:lineRule="auto"/>
        <w:rPr>
          <w:rFonts w:ascii="Arial" w:hAnsi="Arial" w:cs="Arial"/>
          <w:bCs/>
        </w:rPr>
      </w:pPr>
    </w:p>
    <w:p w14:paraId="654F9ECD" w14:textId="6E99B6F9" w:rsidR="004F771E" w:rsidRPr="00ED38A7" w:rsidRDefault="004F771E" w:rsidP="00D01DE8">
      <w:pPr>
        <w:pStyle w:val="Ttulo2"/>
      </w:pPr>
      <w:r w:rsidRPr="00ED38A7">
        <w:t>II</w:t>
      </w:r>
      <w:r w:rsidR="00B04B0B" w:rsidRPr="00ED38A7">
        <w:t>.</w:t>
      </w:r>
      <w:r w:rsidRPr="00ED38A7">
        <w:t xml:space="preserve"> Justificación</w:t>
      </w:r>
    </w:p>
    <w:p w14:paraId="5B83B2AC" w14:textId="77777777" w:rsidR="00882F59" w:rsidRPr="00ED38A7" w:rsidRDefault="00882F59" w:rsidP="00882F59">
      <w:pPr>
        <w:spacing w:line="240" w:lineRule="auto"/>
        <w:rPr>
          <w:rFonts w:ascii="Arial" w:hAnsi="Arial" w:cs="Arial"/>
          <w:bCs/>
        </w:rPr>
      </w:pPr>
      <w:bookmarkStart w:id="12" w:name="_Hlk501445212"/>
    </w:p>
    <w:p w14:paraId="5DAD1116" w14:textId="179BC8EC" w:rsidR="00882F59" w:rsidRDefault="00882F59" w:rsidP="00882F59">
      <w:pPr>
        <w:spacing w:line="240" w:lineRule="auto"/>
        <w:rPr>
          <w:rFonts w:ascii="Arial" w:hAnsi="Arial" w:cs="Arial"/>
          <w:bCs/>
        </w:rPr>
      </w:pPr>
      <w:r w:rsidRPr="00ED38A7">
        <w:rPr>
          <w:rFonts w:ascii="Arial" w:hAnsi="Arial" w:cs="Arial"/>
          <w:bCs/>
        </w:rPr>
        <w:t>Determinar aquellos despachos y oficinas judiciales que deberán mantener la prestación del servicio a las personas usuarias, tomando en consideración el propósito de la apertura efectiva, el carácter urgente e impostergable de los asuntos que deben ser atendidos y que por su naturaleza y seguridad jurídica no admiten suspensiones o demoras en su trámite.</w:t>
      </w:r>
    </w:p>
    <w:p w14:paraId="4E77B217" w14:textId="77777777" w:rsidR="001E6D35" w:rsidRDefault="001E6D35" w:rsidP="00882F59">
      <w:pPr>
        <w:spacing w:line="240" w:lineRule="auto"/>
        <w:rPr>
          <w:rFonts w:ascii="Arial" w:hAnsi="Arial" w:cs="Arial"/>
          <w:bCs/>
        </w:rPr>
      </w:pPr>
    </w:p>
    <w:p w14:paraId="2107B9DC" w14:textId="77777777" w:rsidR="00026A39" w:rsidRPr="00ED38A7" w:rsidRDefault="00026A39" w:rsidP="00882F59">
      <w:pPr>
        <w:spacing w:line="240" w:lineRule="auto"/>
        <w:rPr>
          <w:rFonts w:ascii="Arial" w:hAnsi="Arial" w:cs="Arial"/>
          <w:bCs/>
        </w:rPr>
      </w:pPr>
    </w:p>
    <w:bookmarkEnd w:id="12"/>
    <w:p w14:paraId="0B296BC4" w14:textId="3A6A6FDF" w:rsidR="006D1B14" w:rsidRPr="00ED38A7" w:rsidRDefault="004F771E" w:rsidP="00D01DE8">
      <w:pPr>
        <w:pStyle w:val="Ttulo2"/>
      </w:pPr>
      <w:r w:rsidRPr="00ED38A7">
        <w:t>III</w:t>
      </w:r>
      <w:r w:rsidR="00B04B0B" w:rsidRPr="00ED38A7">
        <w:t>.</w:t>
      </w:r>
      <w:r w:rsidRPr="00ED38A7">
        <w:t xml:space="preserve"> Información Relevante</w:t>
      </w:r>
    </w:p>
    <w:p w14:paraId="2052A38B" w14:textId="1D58C3B2" w:rsidR="005A2EF9" w:rsidRPr="00ED38A7" w:rsidRDefault="005A2EF9" w:rsidP="005A2EF9">
      <w:pPr>
        <w:rPr>
          <w:rFonts w:ascii="Arial" w:hAnsi="Arial" w:cs="Arial"/>
          <w:lang w:val="es-ES_tradnl" w:eastAsia="en-US"/>
        </w:rPr>
      </w:pPr>
    </w:p>
    <w:p w14:paraId="4E6A8449" w14:textId="6B9DA80E" w:rsidR="005A2EF9" w:rsidRPr="00ED38A7" w:rsidRDefault="00FC175F" w:rsidP="005A2EF9">
      <w:pPr>
        <w:spacing w:line="240" w:lineRule="auto"/>
        <w:rPr>
          <w:rFonts w:ascii="Arial" w:hAnsi="Arial" w:cs="Arial"/>
          <w:b/>
        </w:rPr>
      </w:pPr>
      <w:r w:rsidRPr="00ED38A7">
        <w:rPr>
          <w:rFonts w:ascii="Arial" w:hAnsi="Arial" w:cs="Arial"/>
          <w:b/>
        </w:rPr>
        <w:t>3</w:t>
      </w:r>
      <w:r w:rsidR="005A2EF9" w:rsidRPr="00ED38A7">
        <w:rPr>
          <w:rFonts w:ascii="Arial" w:hAnsi="Arial" w:cs="Arial"/>
          <w:b/>
        </w:rPr>
        <w:t>.1.- Introducción</w:t>
      </w:r>
    </w:p>
    <w:p w14:paraId="6761BE5B" w14:textId="77777777" w:rsidR="005A2EF9" w:rsidRPr="00ED38A7" w:rsidRDefault="005A2EF9" w:rsidP="005A2EF9">
      <w:pPr>
        <w:spacing w:line="240" w:lineRule="auto"/>
        <w:rPr>
          <w:rFonts w:ascii="Arial" w:hAnsi="Arial" w:cs="Arial"/>
          <w:bCs/>
        </w:rPr>
      </w:pPr>
    </w:p>
    <w:p w14:paraId="2BD0A118" w14:textId="28E77A00" w:rsidR="005A2EF9" w:rsidRPr="00ED38A7" w:rsidRDefault="005A2EF9" w:rsidP="005A2EF9">
      <w:pPr>
        <w:spacing w:line="240" w:lineRule="auto"/>
        <w:rPr>
          <w:rFonts w:ascii="Arial" w:hAnsi="Arial" w:cs="Arial"/>
          <w:bCs/>
        </w:rPr>
      </w:pPr>
      <w:r w:rsidRPr="00ED38A7">
        <w:rPr>
          <w:rFonts w:ascii="Arial" w:hAnsi="Arial" w:cs="Arial"/>
          <w:bCs/>
        </w:rPr>
        <w:t>El presente informe define los despachos y oficinas judiciales que deberán prestar servicio bajo la modalidad de apertura efectiva, así como las labores que deben realizar. Además, se adiciona información que clarifica las condiciones sobre las que debe brindarse el servicio y que responde a consultas que reiteradamente realizan los despachos sobre este tema.</w:t>
      </w:r>
    </w:p>
    <w:p w14:paraId="534026AB" w14:textId="5F1851B3" w:rsidR="003C0C15" w:rsidRPr="00ED38A7" w:rsidRDefault="003C0C15" w:rsidP="005A2EF9">
      <w:pPr>
        <w:spacing w:line="240" w:lineRule="auto"/>
        <w:rPr>
          <w:rFonts w:ascii="Arial" w:hAnsi="Arial" w:cs="Arial"/>
          <w:bCs/>
        </w:rPr>
      </w:pPr>
    </w:p>
    <w:p w14:paraId="4303293A" w14:textId="77777777" w:rsidR="003C0C15" w:rsidRPr="00ED38A7" w:rsidRDefault="003C0C15" w:rsidP="005A2EF9">
      <w:pPr>
        <w:spacing w:line="240" w:lineRule="auto"/>
        <w:rPr>
          <w:rFonts w:ascii="Arial" w:hAnsi="Arial" w:cs="Arial"/>
          <w:bCs/>
        </w:rPr>
      </w:pPr>
    </w:p>
    <w:p w14:paraId="6DA1D365" w14:textId="64387DCF" w:rsidR="005A2EF9" w:rsidRPr="00ED38A7" w:rsidRDefault="00FC175F" w:rsidP="005A2EF9">
      <w:pPr>
        <w:spacing w:line="240" w:lineRule="auto"/>
        <w:rPr>
          <w:rFonts w:ascii="Arial" w:hAnsi="Arial" w:cs="Arial"/>
          <w:b/>
        </w:rPr>
      </w:pPr>
      <w:r w:rsidRPr="00ED38A7">
        <w:rPr>
          <w:rFonts w:ascii="Arial" w:hAnsi="Arial" w:cs="Arial"/>
          <w:b/>
        </w:rPr>
        <w:t>3</w:t>
      </w:r>
      <w:r w:rsidR="005A2EF9" w:rsidRPr="00ED38A7">
        <w:rPr>
          <w:rFonts w:ascii="Arial" w:hAnsi="Arial" w:cs="Arial"/>
          <w:b/>
        </w:rPr>
        <w:t>.</w:t>
      </w:r>
      <w:bookmarkStart w:id="13" w:name="_Hlk526335457"/>
      <w:r w:rsidR="005A2EF9" w:rsidRPr="00ED38A7">
        <w:rPr>
          <w:rFonts w:ascii="Arial" w:hAnsi="Arial" w:cs="Arial"/>
          <w:b/>
        </w:rPr>
        <w:t>2.- Aspectos generales</w:t>
      </w:r>
    </w:p>
    <w:p w14:paraId="7437BBCE" w14:textId="77777777" w:rsidR="005A2EF9" w:rsidRPr="00ED38A7" w:rsidRDefault="005A2EF9" w:rsidP="005A2EF9">
      <w:pPr>
        <w:spacing w:line="240" w:lineRule="auto"/>
        <w:rPr>
          <w:rFonts w:ascii="Arial" w:hAnsi="Arial" w:cs="Arial"/>
          <w:bCs/>
        </w:rPr>
      </w:pPr>
    </w:p>
    <w:p w14:paraId="192CC041" w14:textId="28DA69D8" w:rsidR="005A2EF9" w:rsidRPr="00ED38A7" w:rsidRDefault="00FC175F" w:rsidP="005A2EF9">
      <w:pPr>
        <w:spacing w:line="240" w:lineRule="auto"/>
        <w:rPr>
          <w:rFonts w:ascii="Arial" w:hAnsi="Arial" w:cs="Arial"/>
          <w:bCs/>
        </w:rPr>
      </w:pPr>
      <w:r w:rsidRPr="00ED38A7">
        <w:rPr>
          <w:rFonts w:ascii="Arial" w:hAnsi="Arial" w:cs="Arial"/>
          <w:b/>
        </w:rPr>
        <w:t>3</w:t>
      </w:r>
      <w:r w:rsidR="005A2EF9" w:rsidRPr="00ED38A7">
        <w:rPr>
          <w:rFonts w:ascii="Arial" w:hAnsi="Arial" w:cs="Arial"/>
          <w:b/>
        </w:rPr>
        <w:t>.2.1.</w:t>
      </w:r>
      <w:r w:rsidR="005A2EF9" w:rsidRPr="00ED38A7">
        <w:rPr>
          <w:rFonts w:ascii="Arial" w:hAnsi="Arial" w:cs="Arial"/>
          <w:bCs/>
        </w:rPr>
        <w:tab/>
        <w:t>Se reitera lo dispuesto por el Consejo Superior en sesión 80-12, artículo XLIV, en el cual dispuso:</w:t>
      </w:r>
    </w:p>
    <w:p w14:paraId="64D83F2C" w14:textId="77777777" w:rsidR="005A2EF9" w:rsidRPr="00ED38A7" w:rsidRDefault="005A2EF9" w:rsidP="005A2EF9">
      <w:pPr>
        <w:spacing w:line="240" w:lineRule="auto"/>
        <w:rPr>
          <w:rFonts w:ascii="Arial" w:hAnsi="Arial" w:cs="Arial"/>
          <w:bCs/>
        </w:rPr>
      </w:pPr>
    </w:p>
    <w:p w14:paraId="56FC78B7" w14:textId="330A1F79" w:rsidR="005A2EF9" w:rsidRPr="00ED38A7" w:rsidRDefault="005A2EF9" w:rsidP="00996747">
      <w:pPr>
        <w:spacing w:line="240" w:lineRule="auto"/>
        <w:ind w:left="993" w:right="1241"/>
        <w:rPr>
          <w:rFonts w:ascii="Arial" w:hAnsi="Arial" w:cs="Arial"/>
          <w:bCs/>
          <w:i/>
          <w:iCs/>
        </w:rPr>
      </w:pPr>
      <w:r w:rsidRPr="00ED38A7">
        <w:rPr>
          <w:rFonts w:ascii="Arial" w:hAnsi="Arial" w:cs="Arial"/>
          <w:bCs/>
          <w:i/>
          <w:iCs/>
        </w:rPr>
        <w:t>“…laborarán los servidores y servidoras que no tienen derecho al disfrute a este beneficio durante esas fechas, a aquellas personas que han ingresado con el nuevo régimen y que por tanto tienen menos días de vacaciones a su favor</w:t>
      </w:r>
      <w:r w:rsidR="003E35E8" w:rsidRPr="00ED38A7">
        <w:rPr>
          <w:rFonts w:ascii="Arial" w:hAnsi="Arial" w:cs="Arial"/>
          <w:bCs/>
          <w:i/>
          <w:iCs/>
        </w:rPr>
        <w:t>.</w:t>
      </w:r>
      <w:r w:rsidRPr="00ED38A7">
        <w:rPr>
          <w:rFonts w:ascii="Arial" w:hAnsi="Arial" w:cs="Arial"/>
          <w:bCs/>
          <w:i/>
          <w:iCs/>
        </w:rPr>
        <w:t>”</w:t>
      </w:r>
      <w:r w:rsidR="003E35E8" w:rsidRPr="00ED38A7">
        <w:rPr>
          <w:rFonts w:ascii="Arial" w:hAnsi="Arial" w:cs="Arial"/>
          <w:bCs/>
          <w:i/>
          <w:iCs/>
        </w:rPr>
        <w:t>.</w:t>
      </w:r>
    </w:p>
    <w:p w14:paraId="2EAFD661" w14:textId="77777777" w:rsidR="005A2EF9" w:rsidRPr="00ED38A7" w:rsidRDefault="005A2EF9" w:rsidP="005A2EF9">
      <w:pPr>
        <w:spacing w:line="240" w:lineRule="auto"/>
        <w:rPr>
          <w:rFonts w:ascii="Arial" w:hAnsi="Arial" w:cs="Arial"/>
          <w:bCs/>
        </w:rPr>
      </w:pPr>
    </w:p>
    <w:p w14:paraId="2AC00F2C" w14:textId="7A3B90AB" w:rsidR="005A2EF9" w:rsidRPr="00ED38A7" w:rsidRDefault="005A2EF9" w:rsidP="005A2EF9">
      <w:pPr>
        <w:spacing w:line="240" w:lineRule="auto"/>
        <w:rPr>
          <w:rFonts w:ascii="Arial" w:hAnsi="Arial" w:cs="Arial"/>
          <w:bCs/>
        </w:rPr>
      </w:pPr>
      <w:r w:rsidRPr="00ED38A7">
        <w:rPr>
          <w:rFonts w:ascii="Arial" w:hAnsi="Arial" w:cs="Arial"/>
          <w:bCs/>
        </w:rPr>
        <w:t>Por lo anterior, en las oficinas y despachos judiciales que necesariamente deben realizar la apertura efectiva, se debe dar prioridad para laborar bajo esa modalidad a las servidoras y los servidores que han ingresado con el nuevo régimen de vacaciones y no tienen saldo de vacaciones a favor.</w:t>
      </w:r>
    </w:p>
    <w:p w14:paraId="5A29ED53" w14:textId="77777777" w:rsidR="00A1260D" w:rsidRPr="00ED38A7" w:rsidRDefault="00A1260D" w:rsidP="005A2EF9">
      <w:pPr>
        <w:spacing w:line="240" w:lineRule="auto"/>
        <w:rPr>
          <w:rFonts w:ascii="Arial" w:hAnsi="Arial" w:cs="Arial"/>
          <w:bCs/>
        </w:rPr>
      </w:pPr>
    </w:p>
    <w:p w14:paraId="5D496DB5" w14:textId="58566E36" w:rsidR="005A2EF9" w:rsidRPr="00ED38A7" w:rsidRDefault="00FC175F" w:rsidP="005A2EF9">
      <w:pPr>
        <w:spacing w:line="240" w:lineRule="auto"/>
        <w:rPr>
          <w:rFonts w:ascii="Arial" w:hAnsi="Arial" w:cs="Arial"/>
          <w:bCs/>
        </w:rPr>
      </w:pPr>
      <w:r w:rsidRPr="00ED38A7">
        <w:rPr>
          <w:rFonts w:ascii="Arial" w:hAnsi="Arial" w:cs="Arial"/>
          <w:b/>
        </w:rPr>
        <w:t>3</w:t>
      </w:r>
      <w:r w:rsidR="005A2EF9" w:rsidRPr="00ED38A7">
        <w:rPr>
          <w:rFonts w:ascii="Arial" w:hAnsi="Arial" w:cs="Arial"/>
          <w:b/>
        </w:rPr>
        <w:t>.2.2.</w:t>
      </w:r>
      <w:r w:rsidR="005A2EF9" w:rsidRPr="00ED38A7">
        <w:rPr>
          <w:rFonts w:ascii="Arial" w:hAnsi="Arial" w:cs="Arial"/>
          <w:bCs/>
        </w:rPr>
        <w:tab/>
        <w:t>Tal y como se aprobó en la sesión de Consejo Superior 79-15 del 3 de setiembre de 2015, artículo LXXIII, es importante que se tomen en cuenta las siguientes consideraciones para evitar la acumulación de saldos negativos de vacaciones:</w:t>
      </w:r>
    </w:p>
    <w:p w14:paraId="6502A087" w14:textId="77777777" w:rsidR="005A2EF9" w:rsidRPr="00ED38A7" w:rsidRDefault="005A2EF9" w:rsidP="005A2EF9">
      <w:pPr>
        <w:spacing w:line="240" w:lineRule="auto"/>
        <w:rPr>
          <w:rFonts w:ascii="Arial" w:hAnsi="Arial" w:cs="Arial"/>
          <w:bCs/>
        </w:rPr>
      </w:pPr>
    </w:p>
    <w:p w14:paraId="30D54AD6" w14:textId="77777777" w:rsidR="005A2EF9" w:rsidRPr="00ED38A7" w:rsidRDefault="005A2EF9" w:rsidP="005A2EF9">
      <w:pPr>
        <w:numPr>
          <w:ilvl w:val="0"/>
          <w:numId w:val="17"/>
        </w:numPr>
        <w:suppressAutoHyphens/>
        <w:spacing w:line="240" w:lineRule="auto"/>
        <w:rPr>
          <w:rFonts w:ascii="Arial" w:hAnsi="Arial" w:cs="Arial"/>
          <w:bCs/>
          <w:i/>
          <w:iCs/>
        </w:rPr>
      </w:pPr>
      <w:r w:rsidRPr="00ED38A7">
        <w:rPr>
          <w:rFonts w:ascii="Arial" w:hAnsi="Arial" w:cs="Arial"/>
          <w:bCs/>
          <w:i/>
          <w:iCs/>
        </w:rPr>
        <w:t>Las jefaturas que cuenten en sus despachos con servidores y servidoras a quienes alcanza la reforma del artículo 39 de la Ley Orgánica del Poder Judicial, están en la obligación de promover a lo interno de la misma un plan que le permita al servidor o servidora disfrutar del derecho al descanso durante los cierres colectivos, pero sin que dicho disfrute ocasione que las personas acumulen saldos negativos.</w:t>
      </w:r>
    </w:p>
    <w:p w14:paraId="01A4CDE3" w14:textId="77777777" w:rsidR="005A2EF9" w:rsidRPr="00ED38A7" w:rsidRDefault="005A2EF9" w:rsidP="005A2EF9">
      <w:pPr>
        <w:spacing w:line="240" w:lineRule="auto"/>
        <w:rPr>
          <w:rFonts w:ascii="Arial" w:hAnsi="Arial" w:cs="Arial"/>
          <w:bCs/>
        </w:rPr>
      </w:pPr>
    </w:p>
    <w:p w14:paraId="2A7B1E49" w14:textId="77777777" w:rsidR="005A2EF9" w:rsidRPr="00ED38A7" w:rsidRDefault="005A2EF9" w:rsidP="005A2EF9">
      <w:pPr>
        <w:spacing w:line="240" w:lineRule="auto"/>
        <w:rPr>
          <w:rFonts w:ascii="Arial" w:hAnsi="Arial" w:cs="Arial"/>
          <w:bCs/>
        </w:rPr>
      </w:pPr>
      <w:r w:rsidRPr="00ED38A7">
        <w:rPr>
          <w:rFonts w:ascii="Arial" w:hAnsi="Arial" w:cs="Arial"/>
          <w:bCs/>
        </w:rPr>
        <w:t>Lo anterior de conformidad con lo dispuesto por el Órgano Superior en sesión 09-12 celebrada el 19 de octubre de 2012, artículo XLII.</w:t>
      </w:r>
    </w:p>
    <w:p w14:paraId="50459F6D" w14:textId="77777777" w:rsidR="005A2EF9" w:rsidRPr="00ED38A7" w:rsidRDefault="005A2EF9" w:rsidP="005A2EF9">
      <w:pPr>
        <w:spacing w:line="240" w:lineRule="auto"/>
        <w:rPr>
          <w:rFonts w:ascii="Arial" w:hAnsi="Arial" w:cs="Arial"/>
          <w:bCs/>
        </w:rPr>
      </w:pPr>
    </w:p>
    <w:p w14:paraId="1A01F3D3" w14:textId="7289BC48" w:rsidR="005A2EF9" w:rsidRPr="00ED38A7" w:rsidRDefault="005A2EF9" w:rsidP="005A2EF9">
      <w:pPr>
        <w:numPr>
          <w:ilvl w:val="0"/>
          <w:numId w:val="17"/>
        </w:numPr>
        <w:suppressAutoHyphens/>
        <w:spacing w:line="240" w:lineRule="auto"/>
        <w:rPr>
          <w:rFonts w:ascii="Arial" w:hAnsi="Arial" w:cs="Arial"/>
          <w:bCs/>
        </w:rPr>
      </w:pPr>
      <w:r w:rsidRPr="00ED38A7">
        <w:rPr>
          <w:rFonts w:ascii="Arial" w:hAnsi="Arial" w:cs="Arial"/>
          <w:bCs/>
        </w:rPr>
        <w:t>El plan debe realizarse, en la medida de lo posible, de común acuerdo con los servidores y servidoras. Caso contrario, las jefaturas están en la obligación de elaborar el citado plan; además, debe llevar un registro de su efectivo cumplimiento.</w:t>
      </w:r>
    </w:p>
    <w:p w14:paraId="2908FA0A" w14:textId="77777777" w:rsidR="00491320" w:rsidRPr="00ED38A7" w:rsidRDefault="00491320" w:rsidP="00491320">
      <w:pPr>
        <w:suppressAutoHyphens/>
        <w:spacing w:line="240" w:lineRule="auto"/>
        <w:ind w:left="720"/>
        <w:rPr>
          <w:rFonts w:ascii="Arial" w:hAnsi="Arial" w:cs="Arial"/>
          <w:bCs/>
        </w:rPr>
      </w:pPr>
    </w:p>
    <w:p w14:paraId="3AFDCDDB" w14:textId="59189350" w:rsidR="005A2EF9" w:rsidRPr="00ED38A7" w:rsidRDefault="005A2EF9" w:rsidP="005A2EF9">
      <w:pPr>
        <w:numPr>
          <w:ilvl w:val="0"/>
          <w:numId w:val="17"/>
        </w:numPr>
        <w:suppressAutoHyphens/>
        <w:spacing w:line="240" w:lineRule="auto"/>
        <w:rPr>
          <w:rFonts w:ascii="Arial" w:hAnsi="Arial" w:cs="Arial"/>
          <w:bCs/>
        </w:rPr>
      </w:pPr>
      <w:r w:rsidRPr="00ED38A7">
        <w:rPr>
          <w:rFonts w:ascii="Arial" w:hAnsi="Arial" w:cs="Arial"/>
          <w:bCs/>
        </w:rPr>
        <w:t xml:space="preserve">Asimismo, las jefaturas deben tomar en consideración </w:t>
      </w:r>
      <w:r w:rsidR="008731BD" w:rsidRPr="00ED38A7">
        <w:rPr>
          <w:rFonts w:ascii="Arial" w:hAnsi="Arial" w:cs="Arial"/>
          <w:bCs/>
        </w:rPr>
        <w:t>que,</w:t>
      </w:r>
      <w:r w:rsidRPr="00ED38A7">
        <w:rPr>
          <w:rFonts w:ascii="Arial" w:hAnsi="Arial" w:cs="Arial"/>
          <w:bCs/>
        </w:rPr>
        <w:t xml:space="preserve"> durante los cierres colectivos</w:t>
      </w:r>
      <w:r w:rsidR="00882F59" w:rsidRPr="00ED38A7">
        <w:rPr>
          <w:rFonts w:ascii="Arial" w:hAnsi="Arial" w:cs="Arial"/>
          <w:bCs/>
        </w:rPr>
        <w:t>,</w:t>
      </w:r>
      <w:r w:rsidRPr="00ED38A7">
        <w:rPr>
          <w:rFonts w:ascii="Arial" w:hAnsi="Arial" w:cs="Arial"/>
          <w:bCs/>
        </w:rPr>
        <w:t xml:space="preserve"> las servidoras interinas y los servidores interinos que tengan derecho a disfrutar vacaciones deberán hacer uso de ellas y no se les limitará el nombramiento, siempre y cuando su saldo de vacaciones sea suficiente para cubrir los días del cierre colectivo, de lo contrario podrán disfrutar de los días de vacaciones proporcionales que legalmente les corresponde.</w:t>
      </w:r>
    </w:p>
    <w:p w14:paraId="35CF0E98" w14:textId="77777777" w:rsidR="005A2EF9" w:rsidRPr="00ED38A7" w:rsidRDefault="005A2EF9" w:rsidP="005A2EF9">
      <w:pPr>
        <w:spacing w:line="240" w:lineRule="auto"/>
        <w:rPr>
          <w:rFonts w:ascii="Arial" w:hAnsi="Arial" w:cs="Arial"/>
          <w:bCs/>
        </w:rPr>
      </w:pPr>
    </w:p>
    <w:p w14:paraId="636FB45C" w14:textId="77777777" w:rsidR="005A2EF9" w:rsidRPr="00ED38A7" w:rsidRDefault="005A2EF9" w:rsidP="005A2EF9">
      <w:pPr>
        <w:numPr>
          <w:ilvl w:val="0"/>
          <w:numId w:val="17"/>
        </w:numPr>
        <w:suppressAutoHyphens/>
        <w:spacing w:line="240" w:lineRule="auto"/>
        <w:rPr>
          <w:rFonts w:ascii="Arial" w:hAnsi="Arial" w:cs="Arial"/>
          <w:bCs/>
        </w:rPr>
      </w:pPr>
      <w:r w:rsidRPr="00ED38A7">
        <w:rPr>
          <w:rFonts w:ascii="Arial" w:hAnsi="Arial" w:cs="Arial"/>
          <w:bCs/>
        </w:rPr>
        <w:t>En aquellos despachos que permanezcan abiertos deberá darse prioridad para el disfrute de vacaciones, a las servidoras y servidores propietarios e interinos que tengan saldo de vacaciones y que les cubra la cantidad de días del cierre colectivo y mantenerse laborando con el personal que no tenga derecho a ese disfrute.</w:t>
      </w:r>
    </w:p>
    <w:p w14:paraId="4F6710C7" w14:textId="77777777" w:rsidR="005A2EF9" w:rsidRPr="00ED38A7" w:rsidRDefault="005A2EF9" w:rsidP="005A2EF9">
      <w:pPr>
        <w:spacing w:line="240" w:lineRule="auto"/>
        <w:rPr>
          <w:rFonts w:ascii="Arial" w:hAnsi="Arial" w:cs="Arial"/>
          <w:bCs/>
        </w:rPr>
      </w:pPr>
    </w:p>
    <w:bookmarkEnd w:id="13"/>
    <w:p w14:paraId="3FFB7696" w14:textId="77777777" w:rsidR="005A2EF9" w:rsidRPr="00ED38A7" w:rsidRDefault="005A2EF9" w:rsidP="005A2EF9">
      <w:pPr>
        <w:numPr>
          <w:ilvl w:val="0"/>
          <w:numId w:val="17"/>
        </w:numPr>
        <w:suppressAutoHyphens/>
        <w:spacing w:line="240" w:lineRule="auto"/>
        <w:rPr>
          <w:rFonts w:ascii="Arial" w:hAnsi="Arial" w:cs="Arial"/>
          <w:bCs/>
        </w:rPr>
      </w:pPr>
      <w:r w:rsidRPr="00ED38A7">
        <w:rPr>
          <w:rFonts w:ascii="Arial" w:hAnsi="Arial" w:cs="Arial"/>
          <w:bCs/>
        </w:rPr>
        <w:t>Aunado a lo anterior, no se limitará el nombramiento de las personas servidoras interinas que pertenezcan a despachos que por la naturaleza de sus funciones deban laborar durante los cierres colectivos, sino que serán ellos quienes trabajarán en el periodo de la apertura efectiva del despacho; tanto para fin, principio de año y periodo de Semana Santa.</w:t>
      </w:r>
    </w:p>
    <w:p w14:paraId="2D013F98" w14:textId="77777777" w:rsidR="005A2EF9" w:rsidRPr="00ED38A7" w:rsidRDefault="005A2EF9" w:rsidP="005A2EF9">
      <w:pPr>
        <w:spacing w:line="240" w:lineRule="auto"/>
        <w:rPr>
          <w:rFonts w:ascii="Arial" w:hAnsi="Arial" w:cs="Arial"/>
          <w:bCs/>
        </w:rPr>
      </w:pPr>
    </w:p>
    <w:p w14:paraId="23F181A9" w14:textId="77777777" w:rsidR="005A2EF9" w:rsidRPr="00ED38A7" w:rsidRDefault="005A2EF9" w:rsidP="005A2EF9">
      <w:pPr>
        <w:numPr>
          <w:ilvl w:val="0"/>
          <w:numId w:val="17"/>
        </w:numPr>
        <w:suppressAutoHyphens/>
        <w:spacing w:line="240" w:lineRule="auto"/>
        <w:rPr>
          <w:rFonts w:ascii="Arial" w:hAnsi="Arial" w:cs="Arial"/>
          <w:bCs/>
        </w:rPr>
      </w:pPr>
      <w:r w:rsidRPr="00ED38A7">
        <w:rPr>
          <w:rFonts w:ascii="Arial" w:hAnsi="Arial" w:cs="Arial"/>
          <w:bCs/>
        </w:rPr>
        <w:t xml:space="preserve">La jefatura deberá valorar la realización de trabajos pendientes, proyectos de la oficina que no hayan podido ejecutarse en tiempo ordinario, labores de archivo de documentos y mejoras en las condiciones de salud ocupacional en las que el servicio se presta (orden y ornato del despacho). </w:t>
      </w:r>
    </w:p>
    <w:p w14:paraId="03080943" w14:textId="6B5170CE" w:rsidR="005A2EF9" w:rsidRPr="00ED38A7" w:rsidRDefault="005A2EF9" w:rsidP="005A2EF9">
      <w:pPr>
        <w:pStyle w:val="Prrafodelista"/>
        <w:spacing w:line="240" w:lineRule="auto"/>
        <w:rPr>
          <w:rFonts w:ascii="Arial" w:hAnsi="Arial" w:cs="Arial"/>
          <w:bCs/>
        </w:rPr>
      </w:pPr>
    </w:p>
    <w:p w14:paraId="2E618DC4" w14:textId="77777777" w:rsidR="003C0C15" w:rsidRPr="00ED38A7" w:rsidRDefault="003C0C15" w:rsidP="005A2EF9">
      <w:pPr>
        <w:pStyle w:val="Prrafodelista"/>
        <w:spacing w:line="240" w:lineRule="auto"/>
        <w:rPr>
          <w:rFonts w:ascii="Arial" w:hAnsi="Arial" w:cs="Arial"/>
          <w:bCs/>
        </w:rPr>
      </w:pPr>
    </w:p>
    <w:p w14:paraId="66581326" w14:textId="4A3EE8ED" w:rsidR="005A2EF9" w:rsidRPr="00ED38A7" w:rsidRDefault="00FC175F" w:rsidP="005A2EF9">
      <w:pPr>
        <w:spacing w:line="240" w:lineRule="auto"/>
        <w:rPr>
          <w:rFonts w:ascii="Arial" w:hAnsi="Arial" w:cs="Arial"/>
          <w:bCs/>
        </w:rPr>
      </w:pPr>
      <w:r w:rsidRPr="00ED38A7">
        <w:rPr>
          <w:rFonts w:ascii="Arial" w:hAnsi="Arial" w:cs="Arial"/>
          <w:b/>
        </w:rPr>
        <w:t>3</w:t>
      </w:r>
      <w:r w:rsidR="005A2EF9" w:rsidRPr="00ED38A7">
        <w:rPr>
          <w:rFonts w:ascii="Arial" w:hAnsi="Arial" w:cs="Arial"/>
          <w:b/>
        </w:rPr>
        <w:t>.2.3.</w:t>
      </w:r>
      <w:r w:rsidR="005A2EF9" w:rsidRPr="00ED38A7">
        <w:rPr>
          <w:rFonts w:ascii="Arial" w:hAnsi="Arial" w:cs="Arial"/>
          <w:bCs/>
        </w:rPr>
        <w:tab/>
        <w:t>Por otra parte, en acatamiento al acuerdo del Consejo Superior, tomado en la sesión del 28 de junio del 2012, artículo LVI, comunicado mediante oficio 6712-12 de la Secretaría General de la Corte del 23 de julio de 2012, en que se solicitó a la Dirección de Planificación, que:</w:t>
      </w:r>
    </w:p>
    <w:p w14:paraId="5BE38168" w14:textId="77777777" w:rsidR="005A2EF9" w:rsidRPr="00ED38A7" w:rsidRDefault="005A2EF9" w:rsidP="005A2EF9">
      <w:pPr>
        <w:spacing w:line="240" w:lineRule="auto"/>
        <w:rPr>
          <w:rFonts w:ascii="Arial" w:hAnsi="Arial" w:cs="Arial"/>
          <w:bCs/>
        </w:rPr>
      </w:pPr>
    </w:p>
    <w:p w14:paraId="41E85324" w14:textId="5291FAE6" w:rsidR="005A2EF9" w:rsidRPr="00ED38A7" w:rsidRDefault="005A2EF9" w:rsidP="00996747">
      <w:pPr>
        <w:spacing w:line="240" w:lineRule="auto"/>
        <w:ind w:left="1276" w:right="1666"/>
        <w:rPr>
          <w:rFonts w:ascii="Arial" w:hAnsi="Arial" w:cs="Arial"/>
          <w:bCs/>
          <w:i/>
          <w:iCs/>
        </w:rPr>
      </w:pPr>
      <w:r w:rsidRPr="00ED38A7">
        <w:rPr>
          <w:rFonts w:ascii="Arial" w:hAnsi="Arial" w:cs="Arial"/>
          <w:bCs/>
          <w:i/>
          <w:iCs/>
        </w:rPr>
        <w:t>“… para los próximos planes colectivos valoren en qué oficinas, según la materia, técnicamente se pueda recomendar ubicar en ellas a las personas que no tienen derecho a salir a vacaciones.”</w:t>
      </w:r>
      <w:r w:rsidR="00217C0C" w:rsidRPr="00ED38A7">
        <w:rPr>
          <w:rFonts w:ascii="Arial" w:hAnsi="Arial" w:cs="Arial"/>
          <w:bCs/>
          <w:i/>
          <w:iCs/>
        </w:rPr>
        <w:t>.</w:t>
      </w:r>
    </w:p>
    <w:p w14:paraId="08CA5630" w14:textId="45531B14" w:rsidR="005A2EF9" w:rsidRPr="00ED38A7" w:rsidRDefault="005A2EF9" w:rsidP="005A2EF9">
      <w:pPr>
        <w:spacing w:line="240" w:lineRule="auto"/>
        <w:rPr>
          <w:rFonts w:ascii="Arial" w:hAnsi="Arial" w:cs="Arial"/>
          <w:bCs/>
        </w:rPr>
      </w:pPr>
    </w:p>
    <w:p w14:paraId="55591533" w14:textId="77777777" w:rsidR="005A2EF9" w:rsidRPr="00ED38A7" w:rsidRDefault="005A2EF9" w:rsidP="005A2EF9">
      <w:pPr>
        <w:spacing w:line="240" w:lineRule="auto"/>
        <w:rPr>
          <w:rFonts w:ascii="Arial" w:hAnsi="Arial" w:cs="Arial"/>
          <w:bCs/>
        </w:rPr>
      </w:pPr>
      <w:r w:rsidRPr="00ED38A7">
        <w:rPr>
          <w:rFonts w:ascii="Arial" w:hAnsi="Arial" w:cs="Arial"/>
          <w:bCs/>
        </w:rPr>
        <w:t>En este sentido, lo pertinente es que las personas que se encuentran en esa condición laboren en los despachos que harán apertura efectiva que sean competentes en materias afines a su oficina de origen y que estén ubicados en lugares cercanos, para lo cual se puede contar con la colaboración de la Administración Regional de cada Circuito Judicial.</w:t>
      </w:r>
    </w:p>
    <w:p w14:paraId="558F3458" w14:textId="77777777" w:rsidR="005A2EF9" w:rsidRPr="00ED38A7" w:rsidRDefault="005A2EF9" w:rsidP="005A2EF9">
      <w:pPr>
        <w:spacing w:line="240" w:lineRule="auto"/>
        <w:rPr>
          <w:rFonts w:ascii="Arial" w:hAnsi="Arial" w:cs="Arial"/>
          <w:bCs/>
        </w:rPr>
      </w:pPr>
    </w:p>
    <w:p w14:paraId="71D8069B" w14:textId="77777777" w:rsidR="005A2EF9" w:rsidRPr="00ED38A7" w:rsidRDefault="005A2EF9" w:rsidP="005A2EF9">
      <w:pPr>
        <w:spacing w:line="240" w:lineRule="auto"/>
        <w:rPr>
          <w:rFonts w:ascii="Arial" w:hAnsi="Arial" w:cs="Arial"/>
          <w:bCs/>
        </w:rPr>
      </w:pPr>
      <w:r w:rsidRPr="00ED38A7">
        <w:rPr>
          <w:rFonts w:ascii="Arial" w:hAnsi="Arial" w:cs="Arial"/>
          <w:bCs/>
        </w:rPr>
        <w:t>Se debe indicar que, para estos efectos las Juezas y los Jueces Coordinadores de los despachos que corresponda, deberán establecer la coordinación respectiva entre ellos; así como, velar porque se lleven los registros respectivos, en cuanto al personal que labore en ese período y comunicar lo que proceda a la Dirección de Gestión Humana, para efectos del cómputo de los días laborados por esas servidoras y servidores.</w:t>
      </w:r>
    </w:p>
    <w:p w14:paraId="07826511" w14:textId="77777777" w:rsidR="005A2EF9" w:rsidRPr="00ED38A7" w:rsidRDefault="005A2EF9" w:rsidP="005A2EF9">
      <w:pPr>
        <w:spacing w:line="240" w:lineRule="auto"/>
        <w:rPr>
          <w:rFonts w:ascii="Arial" w:hAnsi="Arial" w:cs="Arial"/>
          <w:bCs/>
        </w:rPr>
      </w:pPr>
    </w:p>
    <w:p w14:paraId="1DF3FC33" w14:textId="563DC4D3" w:rsidR="00DF5225" w:rsidRPr="008E3587" w:rsidRDefault="00FC175F" w:rsidP="00DF5225">
      <w:pPr>
        <w:spacing w:line="240" w:lineRule="auto"/>
        <w:rPr>
          <w:rFonts w:ascii="Arial" w:hAnsi="Arial" w:cs="Arial"/>
          <w:color w:val="0070C0"/>
        </w:rPr>
      </w:pPr>
      <w:r w:rsidRPr="00ED38A7">
        <w:rPr>
          <w:rFonts w:ascii="Arial" w:hAnsi="Arial" w:cs="Arial"/>
          <w:b/>
        </w:rPr>
        <w:t>3</w:t>
      </w:r>
      <w:r w:rsidR="005A2EF9" w:rsidRPr="00ED38A7">
        <w:rPr>
          <w:rFonts w:ascii="Arial" w:hAnsi="Arial" w:cs="Arial"/>
          <w:b/>
        </w:rPr>
        <w:t>.2.4.</w:t>
      </w:r>
      <w:r w:rsidR="005A2EF9" w:rsidRPr="00ED38A7">
        <w:rPr>
          <w:rFonts w:ascii="Arial" w:hAnsi="Arial" w:cs="Arial"/>
          <w:bCs/>
        </w:rPr>
        <w:tab/>
        <w:t xml:space="preserve"> En cuanto al horario de apertura y otros lineamientos de atención, los </w:t>
      </w:r>
      <w:r w:rsidR="005A2EF9" w:rsidRPr="001A303D">
        <w:rPr>
          <w:rFonts w:ascii="Arial" w:hAnsi="Arial" w:cs="Arial"/>
          <w:bCs/>
        </w:rPr>
        <w:t xml:space="preserve">despachos y oficinas judiciales deberán atender lo resuelto por el Consejo Superior </w:t>
      </w:r>
      <w:r w:rsidR="00DF5225" w:rsidRPr="001A303D">
        <w:rPr>
          <w:rFonts w:ascii="Arial" w:hAnsi="Arial" w:cs="Arial"/>
        </w:rPr>
        <w:t>del Poder Judicial, en sesión N° 72-2022</w:t>
      </w:r>
      <w:r w:rsidR="00DF5225" w:rsidRPr="001A303D">
        <w:rPr>
          <w:rFonts w:ascii="Arial" w:hAnsi="Arial" w:cs="Arial"/>
          <w:b/>
          <w:bCs/>
        </w:rPr>
        <w:t xml:space="preserve"> </w:t>
      </w:r>
      <w:r w:rsidR="00DF5225" w:rsidRPr="001A303D">
        <w:rPr>
          <w:rFonts w:ascii="Arial" w:hAnsi="Arial" w:cs="Arial"/>
          <w:bCs/>
        </w:rPr>
        <w:t>c</w:t>
      </w:r>
      <w:r w:rsidR="00DF5225" w:rsidRPr="001A303D">
        <w:rPr>
          <w:rFonts w:ascii="Arial" w:hAnsi="Arial" w:cs="Arial"/>
        </w:rPr>
        <w:t xml:space="preserve">elebrada el </w:t>
      </w:r>
      <w:r w:rsidR="00DF5225" w:rsidRPr="001A303D">
        <w:rPr>
          <w:rFonts w:ascii="Arial" w:hAnsi="Arial" w:cs="Arial"/>
          <w:bCs/>
        </w:rPr>
        <w:t>25 de agosto del 2022</w:t>
      </w:r>
      <w:r w:rsidR="00DF5225" w:rsidRPr="001A303D">
        <w:rPr>
          <w:rFonts w:ascii="Arial" w:hAnsi="Arial" w:cs="Arial"/>
          <w:b/>
          <w:bCs/>
        </w:rPr>
        <w:t>,</w:t>
      </w:r>
      <w:r w:rsidR="00DF5225" w:rsidRPr="001A303D">
        <w:rPr>
          <w:rFonts w:ascii="Arial" w:hAnsi="Arial" w:cs="Arial"/>
        </w:rPr>
        <w:t xml:space="preserve"> artículo XXXVI, </w:t>
      </w:r>
      <w:r w:rsidR="00533B0D" w:rsidRPr="001A303D">
        <w:rPr>
          <w:rFonts w:ascii="Arial" w:hAnsi="Arial" w:cs="Arial"/>
          <w:bCs/>
        </w:rPr>
        <w:t xml:space="preserve">al aprobar </w:t>
      </w:r>
      <w:r w:rsidR="005A2EF9" w:rsidRPr="001A303D">
        <w:rPr>
          <w:rFonts w:ascii="Arial" w:hAnsi="Arial" w:cs="Arial"/>
          <w:bCs/>
        </w:rPr>
        <w:t xml:space="preserve">el </w:t>
      </w:r>
      <w:bookmarkStart w:id="14" w:name="_Hlk56015454"/>
      <w:r w:rsidR="00533B0D" w:rsidRPr="001A303D">
        <w:rPr>
          <w:rFonts w:ascii="Arial" w:hAnsi="Arial" w:cs="Arial"/>
          <w:bCs/>
        </w:rPr>
        <w:t xml:space="preserve">informe </w:t>
      </w:r>
      <w:r w:rsidR="005A2EF9" w:rsidRPr="001A303D">
        <w:rPr>
          <w:rFonts w:ascii="Arial" w:hAnsi="Arial" w:cs="Arial"/>
          <w:bCs/>
        </w:rPr>
        <w:t xml:space="preserve">presentado por la Dirección Gestión Humana </w:t>
      </w:r>
      <w:bookmarkEnd w:id="14"/>
      <w:r w:rsidR="00DF5225" w:rsidRPr="001A303D">
        <w:rPr>
          <w:rFonts w:ascii="Arial" w:hAnsi="Arial" w:cs="Arial"/>
          <w:iCs/>
        </w:rPr>
        <w:t>en oficio N° PJ-DGH-AP-3228-2022 de 12 de agosto de 2022</w:t>
      </w:r>
      <w:r w:rsidR="00DF5225" w:rsidRPr="001A303D">
        <w:rPr>
          <w:rFonts w:ascii="Arial" w:hAnsi="Arial" w:cs="Arial"/>
        </w:rPr>
        <w:t>, referente al cierre colectivo de fin y principio de año, así como de Semana Santa del período 2022/2023, en el sentido que las fechas de cierre colectivo de cierre de fin y principio de año iniciarán el lunes 26 de diciembre de 2022 y finalizarán el viernes 6 enero 2023, regresando a laborar el lunes 9 de enero de 2023. Asimismo, como cierre colectivo adicional, correspondiente a Semana Santa de 2023, entre las fechas del 3 al 5 de abril 2023</w:t>
      </w:r>
      <w:r w:rsidR="00DF5225" w:rsidRPr="008E3587">
        <w:rPr>
          <w:rFonts w:ascii="Arial" w:hAnsi="Arial" w:cs="Arial"/>
          <w:color w:val="0070C0"/>
        </w:rPr>
        <w:t>.</w:t>
      </w:r>
    </w:p>
    <w:p w14:paraId="21AA510C" w14:textId="77777777" w:rsidR="00DF5225" w:rsidRPr="00ED38A7" w:rsidRDefault="00DF5225" w:rsidP="005A2EF9">
      <w:pPr>
        <w:spacing w:line="240" w:lineRule="auto"/>
        <w:rPr>
          <w:rFonts w:ascii="Arial" w:hAnsi="Arial" w:cs="Arial"/>
          <w:bCs/>
        </w:rPr>
      </w:pPr>
    </w:p>
    <w:p w14:paraId="7BE89EB8" w14:textId="080DC1D5" w:rsidR="005A2EF9" w:rsidRPr="00ED38A7" w:rsidRDefault="00FC175F" w:rsidP="005A2EF9">
      <w:pPr>
        <w:spacing w:line="240" w:lineRule="auto"/>
        <w:rPr>
          <w:rFonts w:ascii="Arial" w:hAnsi="Arial" w:cs="Arial"/>
          <w:bCs/>
        </w:rPr>
      </w:pPr>
      <w:r w:rsidRPr="00ED38A7">
        <w:rPr>
          <w:rFonts w:ascii="Arial" w:hAnsi="Arial" w:cs="Arial"/>
          <w:b/>
        </w:rPr>
        <w:t>3</w:t>
      </w:r>
      <w:r w:rsidR="005A2EF9" w:rsidRPr="00ED38A7">
        <w:rPr>
          <w:rFonts w:ascii="Arial" w:hAnsi="Arial" w:cs="Arial"/>
          <w:b/>
        </w:rPr>
        <w:t>.2.5.</w:t>
      </w:r>
      <w:r w:rsidR="005A2EF9" w:rsidRPr="00ED38A7">
        <w:rPr>
          <w:rFonts w:ascii="Arial" w:hAnsi="Arial" w:cs="Arial"/>
          <w:bCs/>
        </w:rPr>
        <w:t xml:space="preserve"> Al personal de las oficinas judiciales del país que laboran durante este período, así como los que atienden disponibilidad, deberán </w:t>
      </w:r>
      <w:r w:rsidR="00055531" w:rsidRPr="00ED38A7">
        <w:rPr>
          <w:rFonts w:ascii="Arial" w:hAnsi="Arial" w:cs="Arial"/>
          <w:bCs/>
        </w:rPr>
        <w:t xml:space="preserve">realizar </w:t>
      </w:r>
      <w:r w:rsidR="005A2EF9" w:rsidRPr="00ED38A7">
        <w:rPr>
          <w:rFonts w:ascii="Arial" w:hAnsi="Arial" w:cs="Arial"/>
          <w:bCs/>
        </w:rPr>
        <w:t>el reporte a la Dirección de Gestión Humana para tramitar el pago correspondiente.</w:t>
      </w:r>
    </w:p>
    <w:p w14:paraId="261DF3E1" w14:textId="43589C9C" w:rsidR="005A2EF9" w:rsidRDefault="005A2EF9" w:rsidP="005A2EF9">
      <w:pPr>
        <w:spacing w:line="240" w:lineRule="auto"/>
        <w:rPr>
          <w:rFonts w:ascii="Arial" w:hAnsi="Arial" w:cs="Arial"/>
          <w:bCs/>
        </w:rPr>
      </w:pPr>
    </w:p>
    <w:p w14:paraId="124D90E8" w14:textId="50EA417B" w:rsidR="00A1260D" w:rsidRDefault="00A1260D" w:rsidP="005A2EF9">
      <w:pPr>
        <w:spacing w:line="240" w:lineRule="auto"/>
        <w:rPr>
          <w:rFonts w:ascii="Arial" w:hAnsi="Arial" w:cs="Arial"/>
          <w:bCs/>
        </w:rPr>
      </w:pPr>
    </w:p>
    <w:p w14:paraId="45DEE8AB" w14:textId="1390D1EC" w:rsidR="001A303D" w:rsidRDefault="001A303D" w:rsidP="005A2EF9">
      <w:pPr>
        <w:spacing w:line="240" w:lineRule="auto"/>
        <w:rPr>
          <w:rFonts w:ascii="Arial" w:hAnsi="Arial" w:cs="Arial"/>
          <w:bCs/>
        </w:rPr>
      </w:pPr>
    </w:p>
    <w:p w14:paraId="35D2107E" w14:textId="77777777" w:rsidR="001A303D" w:rsidRPr="00ED38A7" w:rsidRDefault="001A303D" w:rsidP="005A2EF9">
      <w:pPr>
        <w:spacing w:line="240" w:lineRule="auto"/>
        <w:rPr>
          <w:rFonts w:ascii="Arial" w:hAnsi="Arial" w:cs="Arial"/>
          <w:bCs/>
        </w:rPr>
      </w:pPr>
    </w:p>
    <w:p w14:paraId="6621BC1A" w14:textId="12D1CA3E" w:rsidR="005A2EF9" w:rsidRPr="00ED38A7" w:rsidRDefault="00FC175F" w:rsidP="005A2EF9">
      <w:pPr>
        <w:spacing w:line="240" w:lineRule="auto"/>
        <w:rPr>
          <w:rFonts w:ascii="Arial" w:hAnsi="Arial" w:cs="Arial"/>
          <w:bCs/>
        </w:rPr>
      </w:pPr>
      <w:r w:rsidRPr="00ED38A7">
        <w:rPr>
          <w:rFonts w:ascii="Arial" w:hAnsi="Arial" w:cs="Arial"/>
          <w:b/>
        </w:rPr>
        <w:t>3</w:t>
      </w:r>
      <w:r w:rsidR="005A2EF9" w:rsidRPr="00ED38A7">
        <w:rPr>
          <w:rFonts w:ascii="Arial" w:hAnsi="Arial" w:cs="Arial"/>
          <w:b/>
        </w:rPr>
        <w:t>.3.-</w:t>
      </w:r>
      <w:r w:rsidR="005A2EF9" w:rsidRPr="00ED38A7">
        <w:rPr>
          <w:rFonts w:ascii="Arial" w:hAnsi="Arial" w:cs="Arial"/>
          <w:bCs/>
        </w:rPr>
        <w:t xml:space="preserve"> </w:t>
      </w:r>
      <w:r w:rsidR="005A2EF9" w:rsidRPr="00ED38A7">
        <w:rPr>
          <w:rFonts w:ascii="Arial" w:hAnsi="Arial" w:cs="Arial"/>
          <w:b/>
        </w:rPr>
        <w:t>Detalle de los despachos y oficinas judiciales que prestarán el servicio de administración de justicia</w:t>
      </w:r>
      <w:r w:rsidR="00055531" w:rsidRPr="00ED38A7">
        <w:rPr>
          <w:rFonts w:ascii="Arial" w:hAnsi="Arial" w:cs="Arial"/>
          <w:b/>
        </w:rPr>
        <w:t xml:space="preserve"> en los períodos de cierre colectivo</w:t>
      </w:r>
    </w:p>
    <w:p w14:paraId="7710AF4F" w14:textId="77777777" w:rsidR="00FC175F" w:rsidRPr="00ED38A7" w:rsidRDefault="00FC175F" w:rsidP="005A2EF9">
      <w:pPr>
        <w:spacing w:line="240" w:lineRule="auto"/>
        <w:rPr>
          <w:rFonts w:ascii="Arial" w:hAnsi="Arial" w:cs="Arial"/>
          <w:bCs/>
        </w:rPr>
      </w:pPr>
    </w:p>
    <w:p w14:paraId="46CF47D7" w14:textId="15487967" w:rsidR="00522BDA" w:rsidRPr="00ED38A7" w:rsidRDefault="005A2EF9" w:rsidP="00996747">
      <w:pPr>
        <w:spacing w:line="240" w:lineRule="auto"/>
        <w:rPr>
          <w:rFonts w:ascii="Arial" w:hAnsi="Arial" w:cs="Arial"/>
          <w:b/>
        </w:rPr>
      </w:pPr>
      <w:r w:rsidRPr="00ED38A7">
        <w:rPr>
          <w:rFonts w:ascii="Arial" w:hAnsi="Arial" w:cs="Arial"/>
          <w:bCs/>
        </w:rPr>
        <w:t>A continuación, se indican las oficinas o despachos judiciales que laborarán bajo la modalidad de apertura efectiva:</w:t>
      </w:r>
    </w:p>
    <w:p w14:paraId="1028B0A1" w14:textId="52FCD1AF" w:rsidR="00634DD7" w:rsidRPr="00ED38A7" w:rsidRDefault="00634DD7" w:rsidP="00FC175F">
      <w:pPr>
        <w:jc w:val="center"/>
        <w:rPr>
          <w:rFonts w:ascii="Arial" w:hAnsi="Arial" w:cs="Arial"/>
          <w:b/>
        </w:rPr>
      </w:pPr>
    </w:p>
    <w:p w14:paraId="0CA7C40F" w14:textId="4F6FD419" w:rsidR="00FC175F" w:rsidRPr="00ED38A7" w:rsidRDefault="00FC175F" w:rsidP="00FC175F">
      <w:pPr>
        <w:jc w:val="center"/>
        <w:rPr>
          <w:rFonts w:ascii="Arial" w:hAnsi="Arial" w:cs="Arial"/>
          <w:b/>
        </w:rPr>
      </w:pPr>
      <w:r w:rsidRPr="00ED38A7">
        <w:rPr>
          <w:rFonts w:ascii="Arial" w:hAnsi="Arial" w:cs="Arial"/>
          <w:b/>
        </w:rPr>
        <w:t>Cuadro 1</w:t>
      </w:r>
    </w:p>
    <w:p w14:paraId="2D2578B9" w14:textId="45F74157" w:rsidR="00FC175F" w:rsidRPr="00ED38A7" w:rsidRDefault="00FC175F" w:rsidP="00FC175F">
      <w:pPr>
        <w:spacing w:line="240" w:lineRule="auto"/>
        <w:rPr>
          <w:rFonts w:ascii="Arial" w:hAnsi="Arial" w:cs="Arial"/>
          <w:bCs/>
        </w:rPr>
      </w:pPr>
      <w:r w:rsidRPr="00ED38A7">
        <w:rPr>
          <w:rFonts w:ascii="Arial" w:hAnsi="Arial" w:cs="Arial"/>
          <w:bCs/>
        </w:rPr>
        <w:t xml:space="preserve">Detalle de los Despachos y Oficinas Judiciales que deberán abrir durante el </w:t>
      </w:r>
      <w:r w:rsidRPr="00C52E43">
        <w:rPr>
          <w:rFonts w:ascii="Arial" w:hAnsi="Arial" w:cs="Arial"/>
          <w:bCs/>
        </w:rPr>
        <w:t>periodo de cierre colectivo</w:t>
      </w:r>
      <w:r w:rsidR="008C1251" w:rsidRPr="00C52E43">
        <w:rPr>
          <w:rFonts w:ascii="Arial" w:hAnsi="Arial" w:cs="Arial"/>
          <w:bCs/>
        </w:rPr>
        <w:t xml:space="preserve"> de</w:t>
      </w:r>
      <w:r w:rsidRPr="00C52E43">
        <w:rPr>
          <w:rFonts w:ascii="Arial" w:hAnsi="Arial" w:cs="Arial"/>
          <w:bCs/>
        </w:rPr>
        <w:t xml:space="preserve"> fin</w:t>
      </w:r>
      <w:r w:rsidR="00055531" w:rsidRPr="00C52E43">
        <w:rPr>
          <w:rFonts w:ascii="Arial" w:hAnsi="Arial" w:cs="Arial"/>
          <w:bCs/>
        </w:rPr>
        <w:t xml:space="preserve"> del</w:t>
      </w:r>
      <w:r w:rsidRPr="00C52E43">
        <w:rPr>
          <w:rFonts w:ascii="Arial" w:hAnsi="Arial" w:cs="Arial"/>
          <w:bCs/>
        </w:rPr>
        <w:t xml:space="preserve"> 202</w:t>
      </w:r>
      <w:r w:rsidR="002114A8" w:rsidRPr="00C52E43">
        <w:rPr>
          <w:rFonts w:ascii="Arial" w:hAnsi="Arial" w:cs="Arial"/>
          <w:bCs/>
        </w:rPr>
        <w:t>2</w:t>
      </w:r>
      <w:r w:rsidRPr="00C52E43">
        <w:rPr>
          <w:rFonts w:ascii="Arial" w:hAnsi="Arial" w:cs="Arial"/>
          <w:bCs/>
        </w:rPr>
        <w:t xml:space="preserve">, principio </w:t>
      </w:r>
      <w:r w:rsidR="00055531" w:rsidRPr="00C52E43">
        <w:rPr>
          <w:rFonts w:ascii="Arial" w:hAnsi="Arial" w:cs="Arial"/>
          <w:bCs/>
        </w:rPr>
        <w:t xml:space="preserve">del </w:t>
      </w:r>
      <w:r w:rsidRPr="00C52E43">
        <w:rPr>
          <w:rFonts w:ascii="Arial" w:hAnsi="Arial" w:cs="Arial"/>
          <w:bCs/>
        </w:rPr>
        <w:t>202</w:t>
      </w:r>
      <w:r w:rsidR="002114A8" w:rsidRPr="00C52E43">
        <w:rPr>
          <w:rFonts w:ascii="Arial" w:hAnsi="Arial" w:cs="Arial"/>
          <w:bCs/>
        </w:rPr>
        <w:t>3</w:t>
      </w:r>
      <w:r w:rsidRPr="00C52E43">
        <w:rPr>
          <w:rFonts w:ascii="Arial" w:hAnsi="Arial" w:cs="Arial"/>
          <w:bCs/>
        </w:rPr>
        <w:t xml:space="preserve"> y Semana Santa </w:t>
      </w:r>
      <w:r w:rsidR="00055531" w:rsidRPr="00C52E43">
        <w:rPr>
          <w:rFonts w:ascii="Arial" w:hAnsi="Arial" w:cs="Arial"/>
          <w:bCs/>
        </w:rPr>
        <w:t xml:space="preserve">del </w:t>
      </w:r>
      <w:r w:rsidRPr="00C52E43">
        <w:rPr>
          <w:rFonts w:ascii="Arial" w:hAnsi="Arial" w:cs="Arial"/>
          <w:bCs/>
        </w:rPr>
        <w:t>202</w:t>
      </w:r>
      <w:r w:rsidR="002114A8" w:rsidRPr="00C52E43">
        <w:rPr>
          <w:rFonts w:ascii="Arial" w:hAnsi="Arial" w:cs="Arial"/>
          <w:bCs/>
        </w:rPr>
        <w:t>3</w:t>
      </w:r>
      <w:r w:rsidRPr="00C52E43">
        <w:rPr>
          <w:rFonts w:ascii="Arial" w:hAnsi="Arial" w:cs="Arial"/>
          <w:bCs/>
        </w:rPr>
        <w:t>.</w:t>
      </w:r>
    </w:p>
    <w:p w14:paraId="119513AC" w14:textId="77777777" w:rsidR="00FC175F" w:rsidRPr="00ED38A7" w:rsidRDefault="00FC175F" w:rsidP="00FC175F">
      <w:pPr>
        <w:spacing w:line="240" w:lineRule="auto"/>
        <w:rPr>
          <w:rFonts w:ascii="Arial" w:hAnsi="Arial" w:cs="Arial"/>
          <w:bCs/>
        </w:rPr>
      </w:pPr>
    </w:p>
    <w:tbl>
      <w:tblPr>
        <w:tblW w:w="7167" w:type="dxa"/>
        <w:jc w:val="center"/>
        <w:tblCellMar>
          <w:left w:w="70" w:type="dxa"/>
          <w:right w:w="70" w:type="dxa"/>
        </w:tblCellMar>
        <w:tblLook w:val="04A0" w:firstRow="1" w:lastRow="0" w:firstColumn="1" w:lastColumn="0" w:noHBand="0" w:noVBand="1"/>
      </w:tblPr>
      <w:tblGrid>
        <w:gridCol w:w="3583"/>
        <w:gridCol w:w="3584"/>
      </w:tblGrid>
      <w:tr w:rsidR="00ED38A7" w:rsidRPr="00ED38A7" w14:paraId="3D9AB392" w14:textId="77777777" w:rsidTr="00CD2C95">
        <w:trPr>
          <w:trHeight w:val="768"/>
          <w:jc w:val="center"/>
        </w:trPr>
        <w:tc>
          <w:tcPr>
            <w:tcW w:w="3583"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1F206562" w14:textId="77777777" w:rsidR="00FC175F" w:rsidRPr="00ED38A7" w:rsidRDefault="00FC175F" w:rsidP="00FC175F">
            <w:pPr>
              <w:spacing w:line="240" w:lineRule="auto"/>
              <w:ind w:left="316"/>
              <w:jc w:val="center"/>
            </w:pPr>
            <w:r w:rsidRPr="00ED38A7">
              <w:t>ÁMBITO JURISDICCIONAL</w:t>
            </w:r>
          </w:p>
        </w:tc>
        <w:tc>
          <w:tcPr>
            <w:tcW w:w="3584" w:type="dxa"/>
            <w:tcBorders>
              <w:top w:val="single" w:sz="4" w:space="0" w:color="000000"/>
              <w:left w:val="nil"/>
              <w:bottom w:val="single" w:sz="4" w:space="0" w:color="000000"/>
              <w:right w:val="single" w:sz="4" w:space="0" w:color="000000"/>
            </w:tcBorders>
            <w:shd w:val="clear" w:color="auto" w:fill="00B0F0"/>
            <w:vAlign w:val="center"/>
            <w:hideMark/>
          </w:tcPr>
          <w:p w14:paraId="38DE2769" w14:textId="77777777" w:rsidR="00FC175F" w:rsidRPr="00ED38A7" w:rsidRDefault="00FC175F" w:rsidP="00FC175F">
            <w:pPr>
              <w:spacing w:line="240" w:lineRule="auto"/>
              <w:ind w:left="316"/>
              <w:jc w:val="center"/>
            </w:pPr>
            <w:r w:rsidRPr="00ED38A7">
              <w:t>ÁMBITO AUXILIAR DE JUSTICIA</w:t>
            </w:r>
          </w:p>
        </w:tc>
      </w:tr>
      <w:bookmarkStart w:id="15" w:name="_MON_1696399846"/>
      <w:bookmarkEnd w:id="15"/>
      <w:tr w:rsidR="00ED38A7" w:rsidRPr="00ED38A7" w14:paraId="024FCC61" w14:textId="77777777" w:rsidTr="00781824">
        <w:trPr>
          <w:trHeight w:val="1829"/>
          <w:jc w:val="center"/>
        </w:trPr>
        <w:tc>
          <w:tcPr>
            <w:tcW w:w="3583" w:type="dxa"/>
            <w:tcBorders>
              <w:top w:val="nil"/>
              <w:left w:val="single" w:sz="4" w:space="0" w:color="000000"/>
              <w:bottom w:val="single" w:sz="4" w:space="0" w:color="000000"/>
              <w:right w:val="single" w:sz="4" w:space="0" w:color="000000"/>
            </w:tcBorders>
            <w:vAlign w:val="center"/>
            <w:hideMark/>
          </w:tcPr>
          <w:p w14:paraId="72E7CC5E" w14:textId="25FFFDE0" w:rsidR="00FC175F" w:rsidRPr="00ED38A7" w:rsidRDefault="00C75676" w:rsidP="00FC175F">
            <w:pPr>
              <w:spacing w:line="240" w:lineRule="auto"/>
              <w:ind w:left="316"/>
              <w:jc w:val="center"/>
            </w:pPr>
            <w:r w:rsidRPr="00ED38A7">
              <w:object w:dxaOrig="1376" w:dyaOrig="893" w14:anchorId="1FDCD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14" o:title=""/>
                </v:shape>
                <o:OLEObject Type="Embed" ProgID="Word.Document.12" ShapeID="_x0000_i1025" DrawAspect="Icon" ObjectID="_1732598034" r:id="rId15">
                  <o:FieldCodes>\s</o:FieldCodes>
                </o:OLEObject>
              </w:object>
            </w:r>
          </w:p>
        </w:tc>
        <w:bookmarkStart w:id="16" w:name="_MON_1696399938"/>
        <w:bookmarkEnd w:id="16"/>
        <w:tc>
          <w:tcPr>
            <w:tcW w:w="3584" w:type="dxa"/>
            <w:tcBorders>
              <w:top w:val="nil"/>
              <w:left w:val="nil"/>
              <w:bottom w:val="single" w:sz="4" w:space="0" w:color="000000"/>
              <w:right w:val="single" w:sz="4" w:space="0" w:color="000000"/>
            </w:tcBorders>
            <w:vAlign w:val="center"/>
            <w:hideMark/>
          </w:tcPr>
          <w:p w14:paraId="4198144E" w14:textId="2F3C01BD" w:rsidR="00FC175F" w:rsidRPr="00ED38A7" w:rsidRDefault="00C75676" w:rsidP="00FC175F">
            <w:pPr>
              <w:spacing w:line="240" w:lineRule="auto"/>
              <w:ind w:left="316"/>
              <w:jc w:val="center"/>
            </w:pPr>
            <w:r w:rsidRPr="00ED38A7">
              <w:object w:dxaOrig="1376" w:dyaOrig="893" w14:anchorId="2815A187">
                <v:shape id="_x0000_i1026" type="#_x0000_t75" style="width:69pt;height:45pt" o:ole="">
                  <v:imagedata r:id="rId16" o:title=""/>
                </v:shape>
                <o:OLEObject Type="Embed" ProgID="Word.Document.12" ShapeID="_x0000_i1026" DrawAspect="Icon" ObjectID="_1732598035" r:id="rId17">
                  <o:FieldCodes>\s</o:FieldCodes>
                </o:OLEObject>
              </w:object>
            </w:r>
          </w:p>
        </w:tc>
      </w:tr>
    </w:tbl>
    <w:p w14:paraId="4A60691F" w14:textId="7CDFF783" w:rsidR="00FC175F" w:rsidRPr="00ED38A7" w:rsidRDefault="00FC175F" w:rsidP="00FC175F">
      <w:pPr>
        <w:spacing w:line="240" w:lineRule="auto"/>
        <w:rPr>
          <w:bCs/>
          <w:sz w:val="20"/>
          <w:szCs w:val="20"/>
        </w:rPr>
      </w:pPr>
      <w:r w:rsidRPr="00ED38A7">
        <w:rPr>
          <w:bCs/>
        </w:rPr>
        <w:t xml:space="preserve">                       </w:t>
      </w:r>
      <w:r w:rsidRPr="00ED38A7">
        <w:rPr>
          <w:bCs/>
          <w:sz w:val="20"/>
          <w:szCs w:val="20"/>
        </w:rPr>
        <w:t xml:space="preserve">FUENTE: Subproceso Organización Institucional </w:t>
      </w:r>
      <w:r w:rsidR="00931F8A">
        <w:rPr>
          <w:bCs/>
          <w:sz w:val="20"/>
          <w:szCs w:val="20"/>
        </w:rPr>
        <w:t>octubre</w:t>
      </w:r>
      <w:r w:rsidR="00011921" w:rsidRPr="00ED38A7">
        <w:rPr>
          <w:bCs/>
          <w:sz w:val="20"/>
          <w:szCs w:val="20"/>
        </w:rPr>
        <w:t xml:space="preserve"> 202</w:t>
      </w:r>
      <w:r w:rsidR="00F209DB">
        <w:rPr>
          <w:bCs/>
          <w:sz w:val="20"/>
          <w:szCs w:val="20"/>
        </w:rPr>
        <w:t>2</w:t>
      </w:r>
      <w:r w:rsidRPr="00ED38A7">
        <w:rPr>
          <w:bCs/>
          <w:sz w:val="20"/>
          <w:szCs w:val="20"/>
        </w:rPr>
        <w:t>.</w:t>
      </w:r>
    </w:p>
    <w:p w14:paraId="48F2FD31" w14:textId="77777777" w:rsidR="00C52E43" w:rsidRDefault="00C52E43" w:rsidP="00FC175F">
      <w:pPr>
        <w:spacing w:line="240" w:lineRule="auto"/>
        <w:rPr>
          <w:rFonts w:ascii="Arial" w:hAnsi="Arial" w:cs="Arial"/>
          <w:b/>
        </w:rPr>
      </w:pPr>
    </w:p>
    <w:p w14:paraId="5EB1DE7E" w14:textId="77777777" w:rsidR="00C52E43" w:rsidRDefault="00C52E43" w:rsidP="00FC175F">
      <w:pPr>
        <w:spacing w:line="240" w:lineRule="auto"/>
        <w:rPr>
          <w:rFonts w:ascii="Arial" w:hAnsi="Arial" w:cs="Arial"/>
          <w:b/>
        </w:rPr>
      </w:pPr>
    </w:p>
    <w:p w14:paraId="17EE03F4" w14:textId="2CE81672" w:rsidR="00FC175F" w:rsidRPr="00ED38A7" w:rsidRDefault="00DF0CD6" w:rsidP="00FC175F">
      <w:pPr>
        <w:spacing w:line="240" w:lineRule="auto"/>
        <w:rPr>
          <w:rFonts w:ascii="Arial" w:hAnsi="Arial" w:cs="Arial"/>
          <w:b/>
        </w:rPr>
      </w:pPr>
      <w:r w:rsidRPr="00ED38A7">
        <w:rPr>
          <w:rFonts w:ascii="Arial" w:hAnsi="Arial" w:cs="Arial"/>
          <w:b/>
        </w:rPr>
        <w:t>3</w:t>
      </w:r>
      <w:r w:rsidR="00FC175F" w:rsidRPr="00ED38A7">
        <w:rPr>
          <w:rFonts w:ascii="Arial" w:hAnsi="Arial" w:cs="Arial"/>
          <w:b/>
        </w:rPr>
        <w:t>.4.- Otras consideraciones</w:t>
      </w:r>
    </w:p>
    <w:p w14:paraId="211A774B" w14:textId="77777777" w:rsidR="00FC175F" w:rsidRPr="00ED38A7" w:rsidRDefault="00FC175F" w:rsidP="00FC175F">
      <w:pPr>
        <w:spacing w:line="240" w:lineRule="auto"/>
        <w:rPr>
          <w:rFonts w:ascii="Arial" w:hAnsi="Arial" w:cs="Arial"/>
          <w:bCs/>
        </w:rPr>
      </w:pPr>
    </w:p>
    <w:p w14:paraId="0F5F2EF2" w14:textId="0506D155" w:rsidR="00FC175F" w:rsidRPr="00ED38A7" w:rsidRDefault="00DF0CD6" w:rsidP="00FC175F">
      <w:pPr>
        <w:spacing w:line="240" w:lineRule="auto"/>
        <w:rPr>
          <w:rFonts w:ascii="Arial" w:hAnsi="Arial" w:cs="Arial"/>
          <w:bCs/>
        </w:rPr>
      </w:pPr>
      <w:r w:rsidRPr="00ED38A7">
        <w:rPr>
          <w:rFonts w:ascii="Arial" w:hAnsi="Arial" w:cs="Arial"/>
          <w:b/>
        </w:rPr>
        <w:t>3</w:t>
      </w:r>
      <w:r w:rsidR="00FC175F" w:rsidRPr="00ED38A7">
        <w:rPr>
          <w:rFonts w:ascii="Arial" w:hAnsi="Arial" w:cs="Arial"/>
          <w:b/>
        </w:rPr>
        <w:t>.4.1.</w:t>
      </w:r>
      <w:r w:rsidR="00FC175F" w:rsidRPr="00ED38A7">
        <w:rPr>
          <w:rFonts w:ascii="Arial" w:hAnsi="Arial" w:cs="Arial"/>
          <w:bCs/>
        </w:rPr>
        <w:tab/>
        <w:t xml:space="preserve"> </w:t>
      </w:r>
      <w:r w:rsidR="00FC175F" w:rsidRPr="00ED38A7">
        <w:rPr>
          <w:rFonts w:ascii="Arial" w:hAnsi="Arial" w:cs="Arial"/>
          <w:b/>
        </w:rPr>
        <w:t>Materia de Familia:</w:t>
      </w:r>
      <w:r w:rsidR="00FC175F" w:rsidRPr="00ED38A7">
        <w:rPr>
          <w:rFonts w:ascii="Arial" w:hAnsi="Arial" w:cs="Arial"/>
          <w:bCs/>
        </w:rPr>
        <w:t xml:space="preserve"> Ante consultas realizadas a esta Dirección, es importante mencionar lo consignado en el informe 2126-PLA-2015 del 16 de diciembre de 2015, donde se indicó que, durante el periodo de apertura efectiva los Juzgados de Familia no deben laborar. </w:t>
      </w:r>
    </w:p>
    <w:p w14:paraId="5198C451" w14:textId="77777777" w:rsidR="00FC175F" w:rsidRPr="00ED38A7" w:rsidRDefault="00FC175F" w:rsidP="00FC175F">
      <w:pPr>
        <w:spacing w:line="240" w:lineRule="auto"/>
        <w:rPr>
          <w:rFonts w:ascii="Arial" w:hAnsi="Arial" w:cs="Arial"/>
          <w:bCs/>
        </w:rPr>
      </w:pPr>
    </w:p>
    <w:p w14:paraId="6CB03F6D" w14:textId="21C625D0" w:rsidR="00FC175F" w:rsidRPr="00ED38A7" w:rsidRDefault="00FC175F" w:rsidP="00FC175F">
      <w:pPr>
        <w:spacing w:line="240" w:lineRule="auto"/>
        <w:rPr>
          <w:rFonts w:ascii="Arial" w:hAnsi="Arial" w:cs="Arial"/>
          <w:bCs/>
        </w:rPr>
      </w:pPr>
      <w:r w:rsidRPr="00ED38A7">
        <w:rPr>
          <w:rFonts w:ascii="Arial" w:hAnsi="Arial" w:cs="Arial"/>
          <w:bCs/>
        </w:rPr>
        <w:t xml:space="preserve">Aunado a lo anterior, se informó mediante oficio 1224-PLA-2016, que los Juzgados de Pensiones Alimentarias, en el periodo de cierre colectivo recibirá los siguientes asuntos, competentes a los Juzgados de Familia con el fin de actuar como </w:t>
      </w:r>
      <w:r w:rsidR="006D1F23" w:rsidRPr="00ED38A7">
        <w:rPr>
          <w:rFonts w:ascii="Arial" w:hAnsi="Arial" w:cs="Arial"/>
          <w:bCs/>
        </w:rPr>
        <w:t>m</w:t>
      </w:r>
      <w:r w:rsidRPr="00ED38A7">
        <w:rPr>
          <w:rFonts w:ascii="Arial" w:hAnsi="Arial" w:cs="Arial"/>
          <w:bCs/>
        </w:rPr>
        <w:t xml:space="preserve">inisterio de </w:t>
      </w:r>
      <w:r w:rsidR="006D1F23" w:rsidRPr="00ED38A7">
        <w:rPr>
          <w:rFonts w:ascii="Arial" w:hAnsi="Arial" w:cs="Arial"/>
          <w:bCs/>
        </w:rPr>
        <w:t>l</w:t>
      </w:r>
      <w:r w:rsidRPr="00ED38A7">
        <w:rPr>
          <w:rFonts w:ascii="Arial" w:hAnsi="Arial" w:cs="Arial"/>
          <w:bCs/>
        </w:rPr>
        <w:t>ey:</w:t>
      </w:r>
    </w:p>
    <w:p w14:paraId="407E16EF" w14:textId="77777777" w:rsidR="00FC175F" w:rsidRPr="00ED38A7" w:rsidRDefault="00FC175F" w:rsidP="00FC175F">
      <w:pPr>
        <w:spacing w:line="240" w:lineRule="auto"/>
        <w:rPr>
          <w:rFonts w:ascii="Arial" w:hAnsi="Arial" w:cs="Arial"/>
          <w:bCs/>
        </w:rPr>
      </w:pPr>
    </w:p>
    <w:p w14:paraId="40429CAD" w14:textId="77777777" w:rsidR="00FC175F" w:rsidRPr="00ED38A7" w:rsidRDefault="00FC175F" w:rsidP="00FC175F">
      <w:pPr>
        <w:widowControl w:val="0"/>
        <w:numPr>
          <w:ilvl w:val="0"/>
          <w:numId w:val="18"/>
        </w:numPr>
        <w:autoSpaceDE w:val="0"/>
        <w:autoSpaceDN w:val="0"/>
        <w:adjustRightInd w:val="0"/>
        <w:spacing w:line="240" w:lineRule="auto"/>
        <w:ind w:right="191"/>
        <w:rPr>
          <w:rFonts w:ascii="Arial" w:hAnsi="Arial" w:cs="Arial"/>
          <w:bCs/>
        </w:rPr>
      </w:pPr>
      <w:bookmarkStart w:id="17" w:name="_Toc527995419"/>
      <w:r w:rsidRPr="00ED38A7">
        <w:rPr>
          <w:rFonts w:ascii="Arial" w:hAnsi="Arial" w:cs="Arial"/>
          <w:bCs/>
        </w:rPr>
        <w:t>Solicitud de apremios corporales.</w:t>
      </w:r>
      <w:bookmarkEnd w:id="17"/>
    </w:p>
    <w:p w14:paraId="5681681F" w14:textId="77777777" w:rsidR="00FC175F" w:rsidRPr="00ED38A7" w:rsidRDefault="00FC175F" w:rsidP="00FC175F">
      <w:pPr>
        <w:widowControl w:val="0"/>
        <w:numPr>
          <w:ilvl w:val="0"/>
          <w:numId w:val="18"/>
        </w:numPr>
        <w:autoSpaceDE w:val="0"/>
        <w:autoSpaceDN w:val="0"/>
        <w:adjustRightInd w:val="0"/>
        <w:spacing w:line="240" w:lineRule="auto"/>
        <w:ind w:right="191"/>
        <w:rPr>
          <w:rFonts w:ascii="Arial" w:hAnsi="Arial" w:cs="Arial"/>
          <w:bCs/>
        </w:rPr>
      </w:pPr>
      <w:bookmarkStart w:id="18" w:name="_Toc527995420"/>
      <w:r w:rsidRPr="00ED38A7">
        <w:rPr>
          <w:rFonts w:ascii="Arial" w:hAnsi="Arial" w:cs="Arial"/>
          <w:bCs/>
        </w:rPr>
        <w:t>Levantamiento de órdenes de apremio.</w:t>
      </w:r>
      <w:bookmarkEnd w:id="18"/>
    </w:p>
    <w:p w14:paraId="3D844DD8" w14:textId="77777777" w:rsidR="00FC175F" w:rsidRPr="00ED38A7" w:rsidRDefault="00FC175F" w:rsidP="00FC175F">
      <w:pPr>
        <w:widowControl w:val="0"/>
        <w:numPr>
          <w:ilvl w:val="0"/>
          <w:numId w:val="18"/>
        </w:numPr>
        <w:autoSpaceDE w:val="0"/>
        <w:autoSpaceDN w:val="0"/>
        <w:adjustRightInd w:val="0"/>
        <w:spacing w:line="240" w:lineRule="auto"/>
        <w:ind w:right="191"/>
        <w:rPr>
          <w:rFonts w:ascii="Arial" w:hAnsi="Arial" w:cs="Arial"/>
          <w:bCs/>
        </w:rPr>
      </w:pPr>
      <w:bookmarkStart w:id="19" w:name="_Toc527995421"/>
      <w:r w:rsidRPr="00ED38A7">
        <w:rPr>
          <w:rFonts w:ascii="Arial" w:hAnsi="Arial" w:cs="Arial"/>
          <w:bCs/>
        </w:rPr>
        <w:t>Entrega de cheques.</w:t>
      </w:r>
      <w:bookmarkEnd w:id="19"/>
    </w:p>
    <w:p w14:paraId="17AB367B" w14:textId="77777777" w:rsidR="00FC175F" w:rsidRPr="00ED38A7" w:rsidRDefault="00FC175F" w:rsidP="00FC175F">
      <w:pPr>
        <w:widowControl w:val="0"/>
        <w:numPr>
          <w:ilvl w:val="0"/>
          <w:numId w:val="18"/>
        </w:numPr>
        <w:autoSpaceDE w:val="0"/>
        <w:autoSpaceDN w:val="0"/>
        <w:adjustRightInd w:val="0"/>
        <w:spacing w:line="240" w:lineRule="auto"/>
        <w:ind w:right="191"/>
        <w:rPr>
          <w:rFonts w:ascii="Arial" w:hAnsi="Arial" w:cs="Arial"/>
          <w:bCs/>
        </w:rPr>
      </w:pPr>
      <w:bookmarkStart w:id="20" w:name="_Toc527995422"/>
      <w:r w:rsidRPr="00ED38A7">
        <w:rPr>
          <w:rFonts w:ascii="Arial" w:hAnsi="Arial" w:cs="Arial"/>
          <w:bCs/>
        </w:rPr>
        <w:t>Órdenes de giro o autorizaciones.</w:t>
      </w:r>
      <w:bookmarkEnd w:id="20"/>
    </w:p>
    <w:p w14:paraId="1E55CC73" w14:textId="77777777" w:rsidR="00FC175F" w:rsidRPr="00ED38A7" w:rsidRDefault="00FC175F" w:rsidP="00FC175F">
      <w:pPr>
        <w:widowControl w:val="0"/>
        <w:numPr>
          <w:ilvl w:val="0"/>
          <w:numId w:val="18"/>
        </w:numPr>
        <w:autoSpaceDE w:val="0"/>
        <w:autoSpaceDN w:val="0"/>
        <w:adjustRightInd w:val="0"/>
        <w:spacing w:line="240" w:lineRule="auto"/>
        <w:ind w:right="191"/>
        <w:rPr>
          <w:rFonts w:ascii="Arial" w:hAnsi="Arial" w:cs="Arial"/>
          <w:bCs/>
        </w:rPr>
      </w:pPr>
      <w:bookmarkStart w:id="21" w:name="_Toc527995423"/>
      <w:r w:rsidRPr="00ED38A7">
        <w:rPr>
          <w:rFonts w:ascii="Arial" w:hAnsi="Arial" w:cs="Arial"/>
          <w:bCs/>
        </w:rPr>
        <w:t>Permiso de salida del país.</w:t>
      </w:r>
      <w:bookmarkEnd w:id="21"/>
    </w:p>
    <w:p w14:paraId="5C91215B" w14:textId="77777777" w:rsidR="00FC175F" w:rsidRPr="00ED38A7" w:rsidRDefault="00FC175F" w:rsidP="00FC175F">
      <w:pPr>
        <w:numPr>
          <w:ilvl w:val="0"/>
          <w:numId w:val="18"/>
        </w:numPr>
        <w:spacing w:line="240" w:lineRule="auto"/>
        <w:rPr>
          <w:rFonts w:ascii="Arial" w:hAnsi="Arial" w:cs="Arial"/>
          <w:bCs/>
        </w:rPr>
      </w:pPr>
      <w:r w:rsidRPr="00ED38A7">
        <w:rPr>
          <w:rFonts w:ascii="Arial" w:hAnsi="Arial" w:cs="Arial"/>
          <w:bCs/>
        </w:rPr>
        <w:t>Cualquier otro asunto que sea puesto a su conocimiento.</w:t>
      </w:r>
    </w:p>
    <w:p w14:paraId="46B98822" w14:textId="77777777" w:rsidR="00FC175F" w:rsidRPr="00ED38A7" w:rsidRDefault="00FC175F" w:rsidP="00FC175F">
      <w:pPr>
        <w:spacing w:line="240" w:lineRule="auto"/>
        <w:rPr>
          <w:rFonts w:ascii="Arial" w:hAnsi="Arial" w:cs="Arial"/>
          <w:bCs/>
        </w:rPr>
      </w:pPr>
    </w:p>
    <w:p w14:paraId="56A865A7" w14:textId="07573A4F" w:rsidR="00FC175F" w:rsidRPr="00ED38A7" w:rsidRDefault="00FC175F" w:rsidP="00FC175F">
      <w:pPr>
        <w:spacing w:line="240" w:lineRule="auto"/>
        <w:rPr>
          <w:rFonts w:ascii="Arial" w:hAnsi="Arial" w:cs="Arial"/>
          <w:bCs/>
        </w:rPr>
      </w:pPr>
      <w:r w:rsidRPr="00ED38A7">
        <w:rPr>
          <w:rFonts w:ascii="Arial" w:hAnsi="Arial" w:cs="Arial"/>
          <w:bCs/>
        </w:rPr>
        <w:t xml:space="preserve">Ante otros asuntos, la funcionaria o el funcionario del </w:t>
      </w:r>
      <w:r w:rsidR="006C3C02">
        <w:rPr>
          <w:rFonts w:ascii="Arial" w:hAnsi="Arial" w:cs="Arial"/>
          <w:bCs/>
        </w:rPr>
        <w:t>J</w:t>
      </w:r>
      <w:r w:rsidRPr="00ED38A7">
        <w:rPr>
          <w:rFonts w:ascii="Arial" w:hAnsi="Arial" w:cs="Arial"/>
          <w:bCs/>
        </w:rPr>
        <w:t>uzgado de Pensiones</w:t>
      </w:r>
      <w:r w:rsidR="006C3C02">
        <w:rPr>
          <w:rFonts w:ascii="Arial" w:hAnsi="Arial" w:cs="Arial"/>
          <w:bCs/>
        </w:rPr>
        <w:t xml:space="preserve"> Alimentarias</w:t>
      </w:r>
      <w:r w:rsidRPr="00ED38A7">
        <w:rPr>
          <w:rFonts w:ascii="Arial" w:hAnsi="Arial" w:cs="Arial"/>
          <w:bCs/>
        </w:rPr>
        <w:t xml:space="preserve">, estimara sí el tema debe o no ser resuelto en este período. (modalidad de apertura efectiva) de no ser atendido en este periodo, será trasladado al Juzgados de Familia que corresponda para su debido trámite en la vía ordinaria.  </w:t>
      </w:r>
    </w:p>
    <w:p w14:paraId="1550A7B0" w14:textId="77777777" w:rsidR="00FC175F" w:rsidRPr="00ED38A7" w:rsidRDefault="00FC175F" w:rsidP="00FC175F">
      <w:pPr>
        <w:spacing w:line="240" w:lineRule="auto"/>
        <w:rPr>
          <w:rFonts w:ascii="Arial" w:hAnsi="Arial" w:cs="Arial"/>
          <w:bCs/>
        </w:rPr>
      </w:pPr>
    </w:p>
    <w:p w14:paraId="523DD39E" w14:textId="49A55056" w:rsidR="00FC175F" w:rsidRPr="00ED38A7" w:rsidRDefault="00FC175F" w:rsidP="00FC175F">
      <w:pPr>
        <w:spacing w:line="240" w:lineRule="auto"/>
        <w:rPr>
          <w:rFonts w:ascii="Arial" w:hAnsi="Arial" w:cs="Arial"/>
          <w:bCs/>
        </w:rPr>
      </w:pPr>
      <w:r w:rsidRPr="00ED38A7">
        <w:rPr>
          <w:rFonts w:ascii="Arial" w:hAnsi="Arial" w:cs="Arial"/>
          <w:bCs/>
        </w:rPr>
        <w:t xml:space="preserve">Cabe agregar, que los Juzgados de Familia especializados, no laboran ni en los periodos de apertura efectiva, ni atienden </w:t>
      </w:r>
      <w:r w:rsidR="008C1251" w:rsidRPr="00ED38A7">
        <w:rPr>
          <w:rFonts w:ascii="Arial" w:hAnsi="Arial" w:cs="Arial"/>
          <w:bCs/>
        </w:rPr>
        <w:t xml:space="preserve">la modalidad de </w:t>
      </w:r>
      <w:r w:rsidRPr="00ED38A7">
        <w:rPr>
          <w:rFonts w:ascii="Arial" w:hAnsi="Arial" w:cs="Arial"/>
          <w:bCs/>
        </w:rPr>
        <w:t>disponibilidad.</w:t>
      </w:r>
    </w:p>
    <w:p w14:paraId="28EC3595" w14:textId="6E33884C" w:rsidR="00FC175F" w:rsidRPr="00ED38A7" w:rsidRDefault="00FC175F" w:rsidP="00FC175F">
      <w:pPr>
        <w:spacing w:line="240" w:lineRule="auto"/>
        <w:rPr>
          <w:rFonts w:ascii="Arial" w:hAnsi="Arial" w:cs="Arial"/>
          <w:bCs/>
        </w:rPr>
      </w:pPr>
    </w:p>
    <w:p w14:paraId="08D05F29" w14:textId="28353C38" w:rsidR="00FC175F" w:rsidRPr="00ED38A7" w:rsidRDefault="00DF0CD6" w:rsidP="00FC175F">
      <w:pPr>
        <w:spacing w:line="240" w:lineRule="auto"/>
        <w:rPr>
          <w:rFonts w:ascii="Arial" w:hAnsi="Arial" w:cs="Arial"/>
          <w:bCs/>
        </w:rPr>
      </w:pPr>
      <w:r w:rsidRPr="00ED38A7">
        <w:rPr>
          <w:rFonts w:ascii="Arial" w:hAnsi="Arial" w:cs="Arial"/>
          <w:b/>
        </w:rPr>
        <w:t>3</w:t>
      </w:r>
      <w:r w:rsidR="00FC175F" w:rsidRPr="00ED38A7">
        <w:rPr>
          <w:rFonts w:ascii="Arial" w:hAnsi="Arial" w:cs="Arial"/>
          <w:b/>
        </w:rPr>
        <w:t>.4.2.</w:t>
      </w:r>
      <w:r w:rsidR="00FC175F" w:rsidRPr="00ED38A7">
        <w:rPr>
          <w:rFonts w:ascii="Arial" w:hAnsi="Arial" w:cs="Arial"/>
          <w:bCs/>
        </w:rPr>
        <w:tab/>
      </w:r>
      <w:r w:rsidR="00FC175F" w:rsidRPr="00ED38A7">
        <w:rPr>
          <w:rFonts w:ascii="Arial" w:hAnsi="Arial" w:cs="Arial"/>
          <w:b/>
        </w:rPr>
        <w:t>Organismo de Investigación Judicial (OIJ)</w:t>
      </w:r>
      <w:r w:rsidR="00FC175F" w:rsidRPr="00ED38A7">
        <w:rPr>
          <w:rFonts w:ascii="Arial" w:hAnsi="Arial" w:cs="Arial"/>
          <w:bCs/>
        </w:rPr>
        <w:t xml:space="preserve">:  En cuanto al personal del OIJ, que prestará atención durante los cierres por vacaciones colectivas, será definido por la Dirección General del OIJ, para cada una de sus instancias y secciones; en el entendido de que mantendrá la atención correspondiente durante ese período. Lo anterior, incluida la Oficina Receptora de Denuncias, que deberá mantener servicio las 24 horas. </w:t>
      </w:r>
    </w:p>
    <w:p w14:paraId="3CDF6D0E" w14:textId="77777777" w:rsidR="00FC175F" w:rsidRPr="00ED38A7" w:rsidRDefault="00FC175F" w:rsidP="00FC175F">
      <w:pPr>
        <w:spacing w:line="240" w:lineRule="auto"/>
        <w:rPr>
          <w:rFonts w:ascii="Arial" w:hAnsi="Arial" w:cs="Arial"/>
          <w:bCs/>
        </w:rPr>
      </w:pPr>
    </w:p>
    <w:p w14:paraId="62677EA9" w14:textId="22F07EF8" w:rsidR="00FC175F" w:rsidRPr="00ED38A7" w:rsidRDefault="00DF0CD6" w:rsidP="00FC175F">
      <w:pPr>
        <w:spacing w:line="240" w:lineRule="auto"/>
        <w:rPr>
          <w:rFonts w:ascii="Arial" w:hAnsi="Arial" w:cs="Arial"/>
          <w:bCs/>
        </w:rPr>
      </w:pPr>
      <w:r w:rsidRPr="00ED38A7">
        <w:rPr>
          <w:rFonts w:ascii="Arial" w:hAnsi="Arial" w:cs="Arial"/>
          <w:b/>
        </w:rPr>
        <w:t>3</w:t>
      </w:r>
      <w:r w:rsidR="00FC175F" w:rsidRPr="00ED38A7">
        <w:rPr>
          <w:rFonts w:ascii="Arial" w:hAnsi="Arial" w:cs="Arial"/>
          <w:b/>
        </w:rPr>
        <w:t>.4.3.</w:t>
      </w:r>
      <w:r w:rsidR="00FC175F" w:rsidRPr="00ED38A7">
        <w:rPr>
          <w:rFonts w:ascii="Arial" w:hAnsi="Arial" w:cs="Arial"/>
          <w:bCs/>
        </w:rPr>
        <w:tab/>
      </w:r>
      <w:r w:rsidR="00FC175F" w:rsidRPr="00ED38A7">
        <w:rPr>
          <w:rFonts w:ascii="Arial" w:hAnsi="Arial" w:cs="Arial"/>
          <w:b/>
        </w:rPr>
        <w:t>Personal Administrativo:</w:t>
      </w:r>
      <w:r w:rsidR="00FC175F" w:rsidRPr="00ED38A7">
        <w:rPr>
          <w:rFonts w:ascii="Arial" w:hAnsi="Arial" w:cs="Arial"/>
          <w:bCs/>
        </w:rPr>
        <w:t xml:space="preserve">  En relación con el personal administrativo que debe atender durante los períodos de cierre colectivo, corresponderá a la Dirección Ejecutiva tomar las previsiones del caso, tanto a nivel de Administraciones Regionales, los Departamentos de Servicios Generales, Financiero Contable, así como el Registro Judicial. Quedará a criterio de la Directora Ejecutiva incorporar la cantidad de servidoras y servidores que deben participar en la apertura efectiva; así como la inclusión en esta modalidad de atención, de otro tipo de oficinas diferentes a las indicadas.</w:t>
      </w:r>
    </w:p>
    <w:p w14:paraId="37730BA9" w14:textId="77777777" w:rsidR="00FC175F" w:rsidRPr="00ED38A7" w:rsidRDefault="00FC175F" w:rsidP="00FC175F">
      <w:pPr>
        <w:spacing w:line="240" w:lineRule="auto"/>
        <w:rPr>
          <w:rFonts w:ascii="Arial" w:hAnsi="Arial" w:cs="Arial"/>
          <w:bCs/>
        </w:rPr>
      </w:pPr>
    </w:p>
    <w:p w14:paraId="7694B828" w14:textId="3A35E659" w:rsidR="008C1251" w:rsidRPr="00ED38A7" w:rsidRDefault="00FC175F" w:rsidP="00FC175F">
      <w:pPr>
        <w:spacing w:line="240" w:lineRule="auto"/>
        <w:rPr>
          <w:rFonts w:ascii="Arial" w:hAnsi="Arial" w:cs="Arial"/>
          <w:bCs/>
        </w:rPr>
      </w:pPr>
      <w:r w:rsidRPr="00ED38A7">
        <w:rPr>
          <w:rFonts w:ascii="Arial" w:hAnsi="Arial" w:cs="Arial"/>
          <w:bCs/>
        </w:rPr>
        <w:t xml:space="preserve">Tratándose del </w:t>
      </w:r>
      <w:r w:rsidRPr="00ED38A7">
        <w:rPr>
          <w:rFonts w:ascii="Arial" w:hAnsi="Arial" w:cs="Arial"/>
          <w:b/>
        </w:rPr>
        <w:t>Registro Judicial</w:t>
      </w:r>
      <w:r w:rsidRPr="00ED38A7">
        <w:rPr>
          <w:rFonts w:ascii="Arial" w:hAnsi="Arial" w:cs="Arial"/>
          <w:bCs/>
        </w:rPr>
        <w:t xml:space="preserve">, el Consejo Superior dispuso en la sesión 4-18 del 18 de enero del 2018, artículo XXXV, que deberá </w:t>
      </w:r>
      <w:r w:rsidRPr="00ED38A7">
        <w:rPr>
          <w:rFonts w:ascii="Arial" w:hAnsi="Arial" w:cs="Arial"/>
          <w:bCs/>
          <w:i/>
          <w:iCs/>
        </w:rPr>
        <w:t xml:space="preserve">“…la Dirección de Planificación en lo sucesivo, incluir al Registro Judicial en el Plan de Vacaciones </w:t>
      </w:r>
      <w:r w:rsidR="003B3A4B" w:rsidRPr="00ED38A7">
        <w:rPr>
          <w:rFonts w:ascii="Arial" w:hAnsi="Arial" w:cs="Arial"/>
          <w:bCs/>
          <w:i/>
          <w:iCs/>
        </w:rPr>
        <w:t>I</w:t>
      </w:r>
      <w:r w:rsidRPr="00ED38A7">
        <w:rPr>
          <w:rFonts w:ascii="Arial" w:hAnsi="Arial" w:cs="Arial"/>
          <w:bCs/>
          <w:i/>
          <w:iCs/>
        </w:rPr>
        <w:t>nstitucional, para que durante la segunda semana del período de cierre colectivo del Poder Judicial, de fin y principio de año, se brinden los servicios de certificaciones de antecedentes penales, para lo cual la jefatura valorará los servidores que trabajaran durante ese período para que se brinde el servicio</w:t>
      </w:r>
      <w:r w:rsidR="009D21E4" w:rsidRPr="00ED38A7">
        <w:rPr>
          <w:rFonts w:ascii="Arial" w:hAnsi="Arial" w:cs="Arial"/>
          <w:bCs/>
          <w:i/>
          <w:iCs/>
        </w:rPr>
        <w:t>.</w:t>
      </w:r>
      <w:r w:rsidRPr="00ED38A7">
        <w:rPr>
          <w:rFonts w:ascii="Arial" w:hAnsi="Arial" w:cs="Arial"/>
          <w:bCs/>
          <w:i/>
          <w:iCs/>
        </w:rPr>
        <w:t>”.</w:t>
      </w:r>
      <w:r w:rsidRPr="00ED38A7">
        <w:rPr>
          <w:rFonts w:ascii="Arial" w:hAnsi="Arial" w:cs="Arial"/>
          <w:bCs/>
        </w:rPr>
        <w:t xml:space="preserve"> </w:t>
      </w:r>
    </w:p>
    <w:p w14:paraId="66BEFBE2" w14:textId="77777777" w:rsidR="007C24D4" w:rsidRDefault="007C24D4" w:rsidP="00FC175F">
      <w:pPr>
        <w:spacing w:line="240" w:lineRule="auto"/>
        <w:rPr>
          <w:rFonts w:ascii="Arial" w:hAnsi="Arial" w:cs="Arial"/>
          <w:bCs/>
        </w:rPr>
      </w:pPr>
    </w:p>
    <w:p w14:paraId="53932C4F" w14:textId="0DF7A519" w:rsidR="00FC175F" w:rsidRPr="00ED38A7" w:rsidRDefault="00FC175F" w:rsidP="00FC175F">
      <w:pPr>
        <w:spacing w:line="240" w:lineRule="auto"/>
        <w:rPr>
          <w:rFonts w:ascii="Arial" w:hAnsi="Arial" w:cs="Arial"/>
          <w:bCs/>
        </w:rPr>
      </w:pPr>
      <w:r w:rsidRPr="00ED38A7">
        <w:rPr>
          <w:rFonts w:ascii="Arial" w:hAnsi="Arial" w:cs="Arial"/>
          <w:bCs/>
        </w:rPr>
        <w:t xml:space="preserve">Por tanto, en el presente informe se incorpora al Registro Judicial dentro de las oficinas que realizarán la apertura efectiva la segunda semana de cierre colectivo </w:t>
      </w:r>
      <w:r w:rsidRPr="003141B7">
        <w:rPr>
          <w:rFonts w:ascii="Arial" w:hAnsi="Arial" w:cs="Arial"/>
          <w:bCs/>
        </w:rPr>
        <w:t>de fin 202</w:t>
      </w:r>
      <w:r w:rsidR="002114A8" w:rsidRPr="003141B7">
        <w:rPr>
          <w:rFonts w:ascii="Arial" w:hAnsi="Arial" w:cs="Arial"/>
          <w:bCs/>
        </w:rPr>
        <w:t>2</w:t>
      </w:r>
      <w:r w:rsidRPr="003141B7">
        <w:rPr>
          <w:rFonts w:ascii="Arial" w:hAnsi="Arial" w:cs="Arial"/>
          <w:bCs/>
        </w:rPr>
        <w:t xml:space="preserve"> y principio 202</w:t>
      </w:r>
      <w:r w:rsidR="002114A8" w:rsidRPr="003141B7">
        <w:rPr>
          <w:rFonts w:ascii="Arial" w:hAnsi="Arial" w:cs="Arial"/>
          <w:bCs/>
        </w:rPr>
        <w:t>3</w:t>
      </w:r>
      <w:r w:rsidRPr="003141B7">
        <w:rPr>
          <w:rFonts w:ascii="Arial" w:hAnsi="Arial" w:cs="Arial"/>
          <w:bCs/>
        </w:rPr>
        <w:t xml:space="preserve">, al contrario, no se incorpora dentro de las oficinas que realizarán </w:t>
      </w:r>
      <w:r w:rsidR="006C3C02" w:rsidRPr="003141B7">
        <w:rPr>
          <w:rFonts w:ascii="Arial" w:hAnsi="Arial" w:cs="Arial"/>
          <w:bCs/>
        </w:rPr>
        <w:t>ap</w:t>
      </w:r>
      <w:r w:rsidRPr="003141B7">
        <w:rPr>
          <w:rFonts w:ascii="Arial" w:hAnsi="Arial" w:cs="Arial"/>
          <w:bCs/>
        </w:rPr>
        <w:t xml:space="preserve">ertura </w:t>
      </w:r>
      <w:r w:rsidR="006C3C02" w:rsidRPr="003141B7">
        <w:rPr>
          <w:rFonts w:ascii="Arial" w:hAnsi="Arial" w:cs="Arial"/>
          <w:bCs/>
        </w:rPr>
        <w:t>e</w:t>
      </w:r>
      <w:r w:rsidRPr="003141B7">
        <w:rPr>
          <w:rFonts w:ascii="Arial" w:hAnsi="Arial" w:cs="Arial"/>
          <w:bCs/>
        </w:rPr>
        <w:t>fectiva para el cierre colectivo de Semana Santa 202</w:t>
      </w:r>
      <w:r w:rsidR="002114A8" w:rsidRPr="003141B7">
        <w:rPr>
          <w:rFonts w:ascii="Arial" w:hAnsi="Arial" w:cs="Arial"/>
          <w:bCs/>
        </w:rPr>
        <w:t>3</w:t>
      </w:r>
      <w:r w:rsidRPr="003141B7">
        <w:rPr>
          <w:rFonts w:ascii="Arial" w:hAnsi="Arial" w:cs="Arial"/>
          <w:bCs/>
        </w:rPr>
        <w:t xml:space="preserve">, salvo que la Dirección Ejecutiva disponga una medida diferente para </w:t>
      </w:r>
      <w:r w:rsidR="007C24D4" w:rsidRPr="003141B7">
        <w:rPr>
          <w:rFonts w:ascii="Arial" w:hAnsi="Arial" w:cs="Arial"/>
          <w:bCs/>
        </w:rPr>
        <w:t>la primera semana</w:t>
      </w:r>
      <w:r w:rsidR="007C24D4" w:rsidRPr="003141B7">
        <w:rPr>
          <w:rStyle w:val="Refdenotaalpie"/>
          <w:rFonts w:ascii="Arial" w:hAnsi="Arial" w:cs="Arial"/>
          <w:bCs/>
        </w:rPr>
        <w:footnoteReference w:id="3"/>
      </w:r>
      <w:r w:rsidR="007C24D4" w:rsidRPr="003141B7">
        <w:rPr>
          <w:rFonts w:ascii="Arial" w:hAnsi="Arial" w:cs="Arial"/>
          <w:bCs/>
        </w:rPr>
        <w:t xml:space="preserve"> y </w:t>
      </w:r>
      <w:r w:rsidRPr="003141B7">
        <w:rPr>
          <w:rFonts w:ascii="Arial" w:hAnsi="Arial" w:cs="Arial"/>
          <w:bCs/>
        </w:rPr>
        <w:t xml:space="preserve">el cierre colectivo de Semana Santa. </w:t>
      </w:r>
    </w:p>
    <w:p w14:paraId="45B805EA" w14:textId="77777777" w:rsidR="008C1251" w:rsidRPr="00ED38A7" w:rsidRDefault="008C1251" w:rsidP="00FC175F">
      <w:pPr>
        <w:spacing w:line="240" w:lineRule="auto"/>
        <w:rPr>
          <w:rFonts w:ascii="Arial" w:hAnsi="Arial" w:cs="Arial"/>
          <w:bCs/>
        </w:rPr>
      </w:pPr>
    </w:p>
    <w:p w14:paraId="3714FDE0" w14:textId="09C09536" w:rsidR="00FC175F" w:rsidRPr="00ED38A7" w:rsidRDefault="00FC175F" w:rsidP="00FC175F">
      <w:pPr>
        <w:spacing w:line="240" w:lineRule="auto"/>
        <w:rPr>
          <w:rFonts w:ascii="Arial" w:hAnsi="Arial" w:cs="Arial"/>
          <w:bCs/>
        </w:rPr>
      </w:pPr>
      <w:r w:rsidRPr="00ED38A7">
        <w:rPr>
          <w:rFonts w:ascii="Arial" w:hAnsi="Arial" w:cs="Arial"/>
          <w:bCs/>
        </w:rPr>
        <w:t xml:space="preserve">Por su parte, la </w:t>
      </w:r>
      <w:r w:rsidRPr="00ED38A7">
        <w:rPr>
          <w:rFonts w:ascii="Arial" w:hAnsi="Arial" w:cs="Arial"/>
          <w:b/>
        </w:rPr>
        <w:t>Dirección de Tecnología de Información</w:t>
      </w:r>
      <w:r w:rsidR="0042098F">
        <w:rPr>
          <w:rFonts w:ascii="Arial" w:hAnsi="Arial" w:cs="Arial"/>
          <w:b/>
        </w:rPr>
        <w:t xml:space="preserve"> y Comunicaciones</w:t>
      </w:r>
      <w:r w:rsidRPr="00ED38A7">
        <w:rPr>
          <w:rFonts w:ascii="Arial" w:hAnsi="Arial" w:cs="Arial"/>
          <w:bCs/>
        </w:rPr>
        <w:t>, también deberá coordinar la cantidad de personal que atenderá los requerimientos de los despachos y oficinas judiciales en lo que respecta al adecuado funcionamiento de los sistemas de información durante el periodo de apertura efectiva.</w:t>
      </w:r>
    </w:p>
    <w:p w14:paraId="3B5C48FA" w14:textId="77777777" w:rsidR="00FC175F" w:rsidRPr="00ED38A7" w:rsidRDefault="00FC175F" w:rsidP="00FC175F">
      <w:pPr>
        <w:spacing w:line="240" w:lineRule="auto"/>
        <w:rPr>
          <w:rFonts w:ascii="Arial" w:hAnsi="Arial" w:cs="Arial"/>
          <w:bCs/>
        </w:rPr>
      </w:pPr>
    </w:p>
    <w:p w14:paraId="5E68670D" w14:textId="77777777" w:rsidR="00FC175F" w:rsidRPr="00ED38A7" w:rsidRDefault="00FC175F" w:rsidP="00FC175F">
      <w:pPr>
        <w:spacing w:line="240" w:lineRule="auto"/>
        <w:rPr>
          <w:rFonts w:ascii="Arial" w:hAnsi="Arial" w:cs="Arial"/>
          <w:bCs/>
        </w:rPr>
      </w:pPr>
      <w:r w:rsidRPr="00ED38A7">
        <w:rPr>
          <w:rFonts w:ascii="Arial" w:hAnsi="Arial" w:cs="Arial"/>
          <w:bCs/>
        </w:rPr>
        <w:t xml:space="preserve">La </w:t>
      </w:r>
      <w:r w:rsidRPr="00ED38A7">
        <w:rPr>
          <w:rFonts w:ascii="Arial" w:hAnsi="Arial" w:cs="Arial"/>
          <w:b/>
        </w:rPr>
        <w:t>Dirección de Gestión Humana</w:t>
      </w:r>
      <w:r w:rsidRPr="00ED38A7">
        <w:rPr>
          <w:rFonts w:ascii="Arial" w:hAnsi="Arial" w:cs="Arial"/>
          <w:bCs/>
        </w:rPr>
        <w:t>, deberá coordinar la cantidad de personal que atenderá los procesos impostergables que no puedan esperar para ser ejecutados posterior al cierre colectivo.</w:t>
      </w:r>
    </w:p>
    <w:p w14:paraId="66463B75" w14:textId="77777777" w:rsidR="00FC175F" w:rsidRPr="00ED38A7" w:rsidRDefault="00FC175F" w:rsidP="00FC175F">
      <w:pPr>
        <w:spacing w:line="240" w:lineRule="auto"/>
        <w:rPr>
          <w:rFonts w:ascii="Arial" w:hAnsi="Arial" w:cs="Arial"/>
          <w:bCs/>
        </w:rPr>
      </w:pPr>
    </w:p>
    <w:p w14:paraId="2F63DA43" w14:textId="6AFAA806" w:rsidR="00FC175F" w:rsidRPr="003141B7" w:rsidRDefault="00FC175F" w:rsidP="00FC175F">
      <w:pPr>
        <w:spacing w:line="240" w:lineRule="auto"/>
        <w:rPr>
          <w:rFonts w:ascii="Arial" w:hAnsi="Arial" w:cs="Arial"/>
          <w:bCs/>
        </w:rPr>
      </w:pPr>
      <w:r w:rsidRPr="00ED38A7">
        <w:rPr>
          <w:rFonts w:ascii="Arial" w:hAnsi="Arial" w:cs="Arial"/>
          <w:bCs/>
        </w:rPr>
        <w:t xml:space="preserve">No obstante, en consideración al acuerdo tomado por el Consejo Superior en sesión 28-09, artículo LXI, en cuanto al personal administrativo, lo que se sugiere es disminuir la cantidad de servidoras y servidores que anteriormente han atendido la apertura efectiva, según la necesidad de mantener </w:t>
      </w:r>
      <w:r w:rsidR="008C1251" w:rsidRPr="00ED38A7">
        <w:rPr>
          <w:rFonts w:ascii="Arial" w:hAnsi="Arial" w:cs="Arial"/>
          <w:bCs/>
        </w:rPr>
        <w:t xml:space="preserve">el </w:t>
      </w:r>
      <w:r w:rsidRPr="00ED38A7">
        <w:rPr>
          <w:rFonts w:ascii="Arial" w:hAnsi="Arial" w:cs="Arial"/>
          <w:bCs/>
        </w:rPr>
        <w:t>servicio básico en esas áreas.</w:t>
      </w:r>
    </w:p>
    <w:p w14:paraId="4F3F3384" w14:textId="77777777" w:rsidR="00AA3EF5" w:rsidRPr="003141B7" w:rsidRDefault="00AA3EF5" w:rsidP="00FC175F">
      <w:pPr>
        <w:spacing w:line="240" w:lineRule="auto"/>
        <w:rPr>
          <w:rFonts w:ascii="Arial" w:hAnsi="Arial" w:cs="Arial"/>
          <w:bCs/>
        </w:rPr>
      </w:pPr>
    </w:p>
    <w:p w14:paraId="24B8FF41" w14:textId="3239BC2D" w:rsidR="00FC175F" w:rsidRPr="00ED38A7" w:rsidRDefault="00DF0CD6" w:rsidP="00FC175F">
      <w:pPr>
        <w:spacing w:line="240" w:lineRule="auto"/>
        <w:rPr>
          <w:rFonts w:ascii="Arial" w:hAnsi="Arial" w:cs="Arial"/>
          <w:bCs/>
        </w:rPr>
      </w:pPr>
      <w:r w:rsidRPr="003141B7">
        <w:rPr>
          <w:rFonts w:ascii="Arial" w:hAnsi="Arial" w:cs="Arial"/>
          <w:b/>
        </w:rPr>
        <w:t>3</w:t>
      </w:r>
      <w:r w:rsidR="00FC175F" w:rsidRPr="003141B7">
        <w:rPr>
          <w:rFonts w:ascii="Arial" w:hAnsi="Arial" w:cs="Arial"/>
          <w:b/>
        </w:rPr>
        <w:t>.4.4.</w:t>
      </w:r>
      <w:r w:rsidR="00FC175F" w:rsidRPr="003141B7">
        <w:rPr>
          <w:rFonts w:ascii="Arial" w:hAnsi="Arial" w:cs="Arial"/>
          <w:bCs/>
        </w:rPr>
        <w:t xml:space="preserve"> </w:t>
      </w:r>
      <w:r w:rsidR="00FC175F" w:rsidRPr="003141B7">
        <w:rPr>
          <w:rFonts w:ascii="Arial" w:hAnsi="Arial" w:cs="Arial"/>
          <w:b/>
        </w:rPr>
        <w:t>Plataforma Integrada de Servicios de Atención a la Víctima (PISAV):</w:t>
      </w:r>
      <w:r w:rsidR="00FC175F" w:rsidRPr="003141B7">
        <w:rPr>
          <w:rFonts w:ascii="Arial" w:hAnsi="Arial" w:cs="Arial"/>
          <w:bCs/>
        </w:rPr>
        <w:t xml:space="preserve">  Durante el período de cierre colectivo de fin y principio de año (202</w:t>
      </w:r>
      <w:r w:rsidR="002114A8" w:rsidRPr="003141B7">
        <w:rPr>
          <w:rFonts w:ascii="Arial" w:hAnsi="Arial" w:cs="Arial"/>
          <w:bCs/>
        </w:rPr>
        <w:t>2</w:t>
      </w:r>
      <w:r w:rsidR="00FC175F" w:rsidRPr="003141B7">
        <w:rPr>
          <w:rFonts w:ascii="Arial" w:hAnsi="Arial" w:cs="Arial"/>
          <w:bCs/>
        </w:rPr>
        <w:t>-202</w:t>
      </w:r>
      <w:r w:rsidR="002114A8" w:rsidRPr="003141B7">
        <w:rPr>
          <w:rFonts w:ascii="Arial" w:hAnsi="Arial" w:cs="Arial"/>
          <w:bCs/>
        </w:rPr>
        <w:t>3</w:t>
      </w:r>
      <w:r w:rsidR="00FC175F" w:rsidRPr="003141B7">
        <w:rPr>
          <w:rFonts w:ascii="Arial" w:hAnsi="Arial" w:cs="Arial"/>
          <w:bCs/>
        </w:rPr>
        <w:t xml:space="preserve">) y </w:t>
      </w:r>
      <w:r w:rsidR="008C1251" w:rsidRPr="003141B7">
        <w:rPr>
          <w:rFonts w:ascii="Arial" w:hAnsi="Arial" w:cs="Arial"/>
          <w:bCs/>
        </w:rPr>
        <w:t>S</w:t>
      </w:r>
      <w:r w:rsidR="00FC175F" w:rsidRPr="003141B7">
        <w:rPr>
          <w:rFonts w:ascii="Arial" w:hAnsi="Arial" w:cs="Arial"/>
          <w:bCs/>
        </w:rPr>
        <w:t xml:space="preserve">emana </w:t>
      </w:r>
      <w:r w:rsidR="008C1251" w:rsidRPr="003141B7">
        <w:rPr>
          <w:rFonts w:ascii="Arial" w:hAnsi="Arial" w:cs="Arial"/>
          <w:bCs/>
        </w:rPr>
        <w:t>S</w:t>
      </w:r>
      <w:r w:rsidR="00FC175F" w:rsidRPr="003141B7">
        <w:rPr>
          <w:rFonts w:ascii="Arial" w:hAnsi="Arial" w:cs="Arial"/>
          <w:bCs/>
        </w:rPr>
        <w:t>anta 202</w:t>
      </w:r>
      <w:r w:rsidR="002114A8" w:rsidRPr="003141B7">
        <w:rPr>
          <w:rFonts w:ascii="Arial" w:hAnsi="Arial" w:cs="Arial"/>
          <w:bCs/>
        </w:rPr>
        <w:t>3</w:t>
      </w:r>
      <w:r w:rsidR="00FC175F" w:rsidRPr="003141B7">
        <w:rPr>
          <w:rFonts w:ascii="Arial" w:hAnsi="Arial" w:cs="Arial"/>
          <w:bCs/>
        </w:rPr>
        <w:t>, las Plataformas Integradas de Servicios de Atención a la Víctima (PISAV), de Pavas, La Unión, San Joaquí</w:t>
      </w:r>
      <w:r w:rsidR="00FC175F" w:rsidRPr="00ED38A7">
        <w:rPr>
          <w:rFonts w:ascii="Arial" w:hAnsi="Arial" w:cs="Arial"/>
          <w:bCs/>
        </w:rPr>
        <w:t xml:space="preserve">n de Flores y Siquirres, continuarán atendiendo asuntos en las materias de Violencia Doméstica y de Pensiones Alimentarias. </w:t>
      </w:r>
    </w:p>
    <w:p w14:paraId="5184B66E" w14:textId="77777777" w:rsidR="00EA0DA2" w:rsidRPr="00ED38A7" w:rsidRDefault="00EA0DA2" w:rsidP="00FC175F">
      <w:pPr>
        <w:spacing w:line="240" w:lineRule="auto"/>
        <w:rPr>
          <w:rFonts w:ascii="Arial" w:hAnsi="Arial" w:cs="Arial"/>
          <w:bCs/>
        </w:rPr>
      </w:pPr>
    </w:p>
    <w:p w14:paraId="710D9046" w14:textId="256A5C90" w:rsidR="00712954" w:rsidRPr="00ED38A7" w:rsidRDefault="00DF0CD6" w:rsidP="00FC175F">
      <w:pPr>
        <w:spacing w:line="240" w:lineRule="auto"/>
        <w:rPr>
          <w:rFonts w:ascii="Arial" w:hAnsi="Arial" w:cs="Arial"/>
          <w:bCs/>
        </w:rPr>
      </w:pPr>
      <w:r w:rsidRPr="00ED38A7">
        <w:rPr>
          <w:rFonts w:ascii="Arial" w:hAnsi="Arial" w:cs="Arial"/>
          <w:b/>
        </w:rPr>
        <w:t>3</w:t>
      </w:r>
      <w:r w:rsidR="00FC175F" w:rsidRPr="00ED38A7">
        <w:rPr>
          <w:rFonts w:ascii="Arial" w:hAnsi="Arial" w:cs="Arial"/>
          <w:b/>
        </w:rPr>
        <w:t>.4.5.</w:t>
      </w:r>
      <w:r w:rsidR="00FC175F" w:rsidRPr="00ED38A7">
        <w:rPr>
          <w:rFonts w:ascii="Arial" w:hAnsi="Arial" w:cs="Arial"/>
          <w:bCs/>
        </w:rPr>
        <w:tab/>
      </w:r>
      <w:r w:rsidR="00FC175F" w:rsidRPr="00ED38A7">
        <w:rPr>
          <w:rFonts w:ascii="Arial" w:hAnsi="Arial" w:cs="Arial"/>
          <w:b/>
        </w:rPr>
        <w:t>Tribunal Contencioso Administrativo:</w:t>
      </w:r>
      <w:r w:rsidR="00FC175F" w:rsidRPr="00ED38A7">
        <w:rPr>
          <w:rFonts w:ascii="Arial" w:hAnsi="Arial" w:cs="Arial"/>
          <w:bCs/>
        </w:rPr>
        <w:t xml:space="preserve">  No laborará durante los días de cierre colectivo bajo la modalidad de apertura efectiva, sino bajo la modalidad de disponibilidad (ya existente), para lo cual internamente se deberán organizar estableciendo los roles que garanticen la continuidad del servicio público, por lo que permanecer</w:t>
      </w:r>
      <w:r w:rsidR="00712954" w:rsidRPr="00ED38A7">
        <w:rPr>
          <w:rFonts w:ascii="Arial" w:hAnsi="Arial" w:cs="Arial"/>
          <w:bCs/>
        </w:rPr>
        <w:t>á</w:t>
      </w:r>
      <w:r w:rsidR="00FC175F" w:rsidRPr="00ED38A7">
        <w:rPr>
          <w:rFonts w:ascii="Arial" w:hAnsi="Arial" w:cs="Arial"/>
          <w:bCs/>
        </w:rPr>
        <w:t xml:space="preserve"> cerrado durante el período de cierre colectivo.</w:t>
      </w:r>
    </w:p>
    <w:p w14:paraId="24FB1F91" w14:textId="77777777" w:rsidR="00712954" w:rsidRPr="00ED38A7" w:rsidRDefault="00712954" w:rsidP="00FC175F">
      <w:pPr>
        <w:spacing w:line="240" w:lineRule="auto"/>
        <w:rPr>
          <w:rFonts w:ascii="Arial" w:hAnsi="Arial" w:cs="Arial"/>
          <w:bCs/>
        </w:rPr>
      </w:pPr>
    </w:p>
    <w:p w14:paraId="2EA2C8FD" w14:textId="474C1870" w:rsidR="00712954" w:rsidRPr="00ED38A7" w:rsidRDefault="00712954" w:rsidP="00712954">
      <w:pPr>
        <w:spacing w:line="240" w:lineRule="auto"/>
        <w:ind w:left="454" w:right="454"/>
        <w:rPr>
          <w:rFonts w:ascii="Arial" w:hAnsi="Arial" w:cs="Arial"/>
          <w:bCs/>
          <w:i/>
          <w:iCs/>
        </w:rPr>
      </w:pPr>
      <w:r w:rsidRPr="00ED38A7">
        <w:rPr>
          <w:rFonts w:ascii="Arial" w:hAnsi="Arial" w:cs="Arial"/>
          <w:bCs/>
        </w:rPr>
        <w:t xml:space="preserve">En </w:t>
      </w:r>
      <w:r w:rsidR="00FC175F" w:rsidRPr="00ED38A7">
        <w:rPr>
          <w:rFonts w:ascii="Arial" w:hAnsi="Arial" w:cs="Arial"/>
          <w:bCs/>
        </w:rPr>
        <w:t xml:space="preserve">sesión de Corte Plena 02-08, artículo IX, </w:t>
      </w:r>
      <w:r w:rsidRPr="00ED38A7">
        <w:rPr>
          <w:rFonts w:ascii="Arial" w:hAnsi="Arial" w:cs="Arial"/>
          <w:b/>
          <w:bCs/>
        </w:rPr>
        <w:t xml:space="preserve">Se acordó: </w:t>
      </w:r>
      <w:r w:rsidRPr="00ED38A7">
        <w:rPr>
          <w:rFonts w:ascii="Arial" w:hAnsi="Arial" w:cs="Arial"/>
          <w:bCs/>
          <w:i/>
          <w:iCs/>
        </w:rPr>
        <w:t>Aprobar la nueva redacción del “Reglamento Autónomo de Organización y Servicio de la Jurisdicción Contenciosa Administrativa y Civil de Hacienda”.</w:t>
      </w:r>
    </w:p>
    <w:p w14:paraId="000D0BF7" w14:textId="77777777" w:rsidR="00FC175F" w:rsidRPr="00ED38A7" w:rsidRDefault="00FC175F" w:rsidP="00FC175F">
      <w:pPr>
        <w:spacing w:line="240" w:lineRule="auto"/>
        <w:rPr>
          <w:rFonts w:ascii="Arial" w:hAnsi="Arial" w:cs="Arial"/>
          <w:bCs/>
        </w:rPr>
      </w:pPr>
    </w:p>
    <w:p w14:paraId="0F90B742" w14:textId="5F7D3608" w:rsidR="00FC175F" w:rsidRPr="00ED38A7" w:rsidRDefault="00FC175F" w:rsidP="00FC175F">
      <w:pPr>
        <w:spacing w:line="240" w:lineRule="auto"/>
        <w:rPr>
          <w:rFonts w:ascii="Arial" w:hAnsi="Arial" w:cs="Arial"/>
          <w:bCs/>
        </w:rPr>
      </w:pPr>
      <w:r w:rsidRPr="00ED38A7">
        <w:rPr>
          <w:rFonts w:ascii="Arial" w:hAnsi="Arial" w:cs="Arial"/>
          <w:bCs/>
        </w:rPr>
        <w:t>En el citado reglamento, en su artículo 22, se detallan las condiciones de la disponibilidad de los Jueces y del personal auxiliar</w:t>
      </w:r>
      <w:r w:rsidR="00336E98" w:rsidRPr="00ED38A7">
        <w:rPr>
          <w:rFonts w:ascii="Arial" w:hAnsi="Arial" w:cs="Arial"/>
          <w:bCs/>
        </w:rPr>
        <w:t>, a saber:</w:t>
      </w:r>
    </w:p>
    <w:p w14:paraId="0C13779A" w14:textId="77777777" w:rsidR="00336E98" w:rsidRPr="00ED38A7" w:rsidRDefault="00336E98" w:rsidP="00336E98">
      <w:pPr>
        <w:pStyle w:val="Ttulo1"/>
        <w:numPr>
          <w:ilvl w:val="0"/>
          <w:numId w:val="0"/>
        </w:numPr>
        <w:spacing w:line="240" w:lineRule="auto"/>
        <w:ind w:left="431" w:hanging="431"/>
        <w:jc w:val="both"/>
        <w:rPr>
          <w:rFonts w:ascii="Arial" w:hAnsi="Arial"/>
          <w:sz w:val="24"/>
          <w:szCs w:val="24"/>
        </w:rPr>
      </w:pPr>
    </w:p>
    <w:p w14:paraId="648E4FA6" w14:textId="448A6362" w:rsidR="00336E98" w:rsidRPr="00ED38A7" w:rsidRDefault="00336E98" w:rsidP="00336E98">
      <w:pPr>
        <w:pStyle w:val="Ttulo1"/>
        <w:numPr>
          <w:ilvl w:val="0"/>
          <w:numId w:val="0"/>
        </w:numPr>
        <w:spacing w:line="240" w:lineRule="auto"/>
        <w:ind w:left="431" w:hanging="431"/>
        <w:jc w:val="both"/>
        <w:rPr>
          <w:rFonts w:ascii="Arial" w:hAnsi="Arial"/>
          <w:sz w:val="24"/>
          <w:szCs w:val="24"/>
        </w:rPr>
      </w:pPr>
      <w:r w:rsidRPr="00ED38A7">
        <w:rPr>
          <w:rFonts w:ascii="Arial" w:hAnsi="Arial"/>
          <w:sz w:val="24"/>
          <w:szCs w:val="24"/>
        </w:rPr>
        <w:t>ARTÍCULO 22.- De la disponibilidad de los Jueces y del personal auxiliar</w:t>
      </w:r>
    </w:p>
    <w:p w14:paraId="4C9328A0" w14:textId="77777777" w:rsidR="00336E98" w:rsidRPr="00ED38A7" w:rsidRDefault="00336E98" w:rsidP="00336E98">
      <w:pPr>
        <w:rPr>
          <w:lang w:val="es-ES_tradnl" w:eastAsia="en-US"/>
        </w:rPr>
      </w:pPr>
    </w:p>
    <w:p w14:paraId="429279B2" w14:textId="6BD2037F" w:rsidR="00336E98" w:rsidRPr="00ED38A7" w:rsidRDefault="00336E98" w:rsidP="00336E98">
      <w:pPr>
        <w:spacing w:after="150" w:line="240" w:lineRule="auto"/>
        <w:rPr>
          <w:rFonts w:ascii="Arial" w:hAnsi="Arial" w:cs="Arial"/>
        </w:rPr>
      </w:pPr>
      <w:r w:rsidRPr="00ED38A7">
        <w:rPr>
          <w:rFonts w:ascii="Arial" w:hAnsi="Arial" w:cs="Arial"/>
          <w:b/>
          <w:bCs/>
        </w:rPr>
        <w:t>1)</w:t>
      </w:r>
      <w:r w:rsidRPr="00ED38A7">
        <w:rPr>
          <w:rFonts w:ascii="Arial" w:hAnsi="Arial" w:cs="Arial"/>
        </w:rPr>
        <w:t xml:space="preserve"> Para el cabal cumplimiento de las atribuciones que dispone el CPCA, los Jueces de la Jurisdicción Contencioso-Administrativa, estarán sujetos, según corresponda, a un régimen de disponibilidad, cuyo porcentaje, cálculo y forma de pago, se regirá por las normas legales y reglamentarias vigentes al respecto. </w:t>
      </w:r>
    </w:p>
    <w:p w14:paraId="0853707E" w14:textId="77777777" w:rsidR="00336E98" w:rsidRPr="00ED38A7" w:rsidRDefault="00336E98" w:rsidP="00336E98">
      <w:pPr>
        <w:spacing w:after="150" w:line="240" w:lineRule="auto"/>
        <w:rPr>
          <w:rFonts w:ascii="Arial" w:hAnsi="Arial" w:cs="Arial"/>
        </w:rPr>
      </w:pPr>
      <w:r w:rsidRPr="00ED38A7">
        <w:rPr>
          <w:rFonts w:ascii="Arial" w:hAnsi="Arial" w:cs="Arial"/>
          <w:b/>
          <w:bCs/>
        </w:rPr>
        <w:t>2</w:t>
      </w:r>
      <w:r w:rsidRPr="00ED38A7">
        <w:rPr>
          <w:rFonts w:ascii="Arial" w:hAnsi="Arial" w:cs="Arial"/>
          <w:b/>
          <w:bCs/>
          <w:i/>
          <w:iCs/>
        </w:rPr>
        <w:t xml:space="preserve">) </w:t>
      </w:r>
      <w:r w:rsidRPr="00ED38A7">
        <w:rPr>
          <w:rFonts w:ascii="Arial" w:hAnsi="Arial" w:cs="Arial"/>
        </w:rPr>
        <w:t xml:space="preserve">Los Juzgadores en ejercicio de la disponibilidad, contarán con el personal auxiliar que sea necesario para el cumplimiento de su función, el cual también estará sujeto al régimen de disponibilidad que prevé este artículo. </w:t>
      </w:r>
    </w:p>
    <w:p w14:paraId="59F86DF1" w14:textId="77777777" w:rsidR="00B00010" w:rsidRPr="00ED38A7" w:rsidRDefault="00B00010" w:rsidP="00FC175F">
      <w:pPr>
        <w:spacing w:line="240" w:lineRule="auto"/>
        <w:rPr>
          <w:rFonts w:ascii="Arial" w:hAnsi="Arial" w:cs="Arial"/>
          <w:b/>
        </w:rPr>
      </w:pPr>
    </w:p>
    <w:p w14:paraId="7733DEFA" w14:textId="3CFD3C20" w:rsidR="00712954" w:rsidRPr="00ED38A7" w:rsidRDefault="00712954" w:rsidP="00FC175F">
      <w:pPr>
        <w:spacing w:line="240" w:lineRule="auto"/>
        <w:rPr>
          <w:rFonts w:ascii="Arial" w:hAnsi="Arial" w:cs="Arial"/>
          <w:b/>
        </w:rPr>
      </w:pPr>
      <w:r w:rsidRPr="00ED38A7">
        <w:rPr>
          <w:rFonts w:ascii="Arial" w:hAnsi="Arial" w:cs="Arial"/>
          <w:b/>
        </w:rPr>
        <w:t>3.4.6. Tribunal</w:t>
      </w:r>
      <w:r w:rsidR="007B7F9A" w:rsidRPr="00ED38A7">
        <w:rPr>
          <w:rFonts w:ascii="Arial" w:hAnsi="Arial" w:cs="Arial"/>
          <w:b/>
        </w:rPr>
        <w:t>es</w:t>
      </w:r>
      <w:r w:rsidRPr="00ED38A7">
        <w:rPr>
          <w:rFonts w:ascii="Arial" w:hAnsi="Arial" w:cs="Arial"/>
          <w:b/>
        </w:rPr>
        <w:t xml:space="preserve"> de Apelaciones de Sentencia Penal</w:t>
      </w:r>
      <w:r w:rsidR="00CE206F" w:rsidRPr="00ED38A7">
        <w:rPr>
          <w:rFonts w:ascii="Arial" w:hAnsi="Arial" w:cs="Arial"/>
          <w:b/>
        </w:rPr>
        <w:t xml:space="preserve"> </w:t>
      </w:r>
    </w:p>
    <w:p w14:paraId="12D6B43A" w14:textId="14BF7EC0" w:rsidR="001D7B1A" w:rsidRPr="00ED38A7" w:rsidRDefault="001D7B1A" w:rsidP="00FC175F">
      <w:pPr>
        <w:spacing w:line="240" w:lineRule="auto"/>
        <w:rPr>
          <w:rFonts w:ascii="Arial" w:hAnsi="Arial" w:cs="Arial"/>
          <w:bCs/>
        </w:rPr>
      </w:pPr>
    </w:p>
    <w:p w14:paraId="2CA147C6" w14:textId="220C4641" w:rsidR="007B7F9A" w:rsidRPr="00ED38A7" w:rsidRDefault="007B7F9A" w:rsidP="007B7F9A">
      <w:pPr>
        <w:spacing w:line="240" w:lineRule="auto"/>
        <w:rPr>
          <w:rFonts w:ascii="Arial" w:hAnsi="Arial" w:cs="Arial"/>
          <w:bCs/>
        </w:rPr>
      </w:pPr>
      <w:r w:rsidRPr="00ED38A7">
        <w:rPr>
          <w:rFonts w:ascii="Arial" w:hAnsi="Arial" w:cs="Arial"/>
          <w:bCs/>
        </w:rPr>
        <w:t>Se mantiene lo dispuesto en el sentido que no laborarán durante los días de cierre colectivo bajo la modalidad de apertura efectiva, sino bajo la modalidad de disponibilidad (ya existente), para lo cual internamente se deberán organizar estableciendo los roles que garanticen la continuidad del servicio público, por lo que permanecerá cerrado durante el período de cierre colectivo.</w:t>
      </w:r>
    </w:p>
    <w:p w14:paraId="116E4B11" w14:textId="4F42914F" w:rsidR="007B7F9A" w:rsidRPr="00ED38A7" w:rsidRDefault="007B7F9A" w:rsidP="00FC175F">
      <w:pPr>
        <w:spacing w:line="240" w:lineRule="auto"/>
        <w:rPr>
          <w:rFonts w:ascii="Arial" w:hAnsi="Arial" w:cs="Arial"/>
          <w:bCs/>
        </w:rPr>
      </w:pPr>
    </w:p>
    <w:p w14:paraId="37AAECDD" w14:textId="355B44E9" w:rsidR="006F0493" w:rsidRPr="00ED38A7" w:rsidRDefault="00422BE0" w:rsidP="00FC175F">
      <w:pPr>
        <w:spacing w:line="240" w:lineRule="auto"/>
        <w:rPr>
          <w:rFonts w:ascii="Arial" w:hAnsi="Arial" w:cs="Arial"/>
          <w:bCs/>
        </w:rPr>
      </w:pPr>
      <w:r w:rsidRPr="00E16E39">
        <w:rPr>
          <w:rFonts w:ascii="Arial" w:hAnsi="Arial" w:cs="Arial"/>
          <w:bCs/>
        </w:rPr>
        <w:t>No obstante</w:t>
      </w:r>
      <w:r w:rsidR="00491320" w:rsidRPr="00E16E39">
        <w:rPr>
          <w:rFonts w:ascii="Arial" w:hAnsi="Arial" w:cs="Arial"/>
          <w:bCs/>
        </w:rPr>
        <w:t>,</w:t>
      </w:r>
      <w:r w:rsidRPr="00E16E39">
        <w:rPr>
          <w:rFonts w:ascii="Arial" w:hAnsi="Arial" w:cs="Arial"/>
          <w:bCs/>
        </w:rPr>
        <w:t xml:space="preserve"> para el </w:t>
      </w:r>
      <w:r w:rsidR="006F0493" w:rsidRPr="00E16E39">
        <w:rPr>
          <w:rFonts w:ascii="Arial" w:hAnsi="Arial" w:cs="Arial"/>
          <w:lang w:eastAsia="en-US"/>
        </w:rPr>
        <w:t>cierre colectivo de fin y principio de año 202</w:t>
      </w:r>
      <w:r w:rsidRPr="00E16E39">
        <w:rPr>
          <w:rFonts w:ascii="Arial" w:hAnsi="Arial" w:cs="Arial"/>
          <w:lang w:eastAsia="en-US"/>
        </w:rPr>
        <w:t>0-</w:t>
      </w:r>
      <w:r w:rsidR="006F0493" w:rsidRPr="00E16E39">
        <w:rPr>
          <w:rFonts w:ascii="Arial" w:hAnsi="Arial" w:cs="Arial"/>
          <w:lang w:eastAsia="en-US"/>
        </w:rPr>
        <w:t>202</w:t>
      </w:r>
      <w:r w:rsidRPr="00E16E39">
        <w:rPr>
          <w:rFonts w:ascii="Arial" w:hAnsi="Arial" w:cs="Arial"/>
          <w:lang w:eastAsia="en-US"/>
        </w:rPr>
        <w:t>1</w:t>
      </w:r>
      <w:r w:rsidR="006F0493" w:rsidRPr="00E16E39">
        <w:rPr>
          <w:rFonts w:ascii="Arial" w:hAnsi="Arial" w:cs="Arial"/>
          <w:lang w:eastAsia="en-US"/>
        </w:rPr>
        <w:t xml:space="preserve">, así como de </w:t>
      </w:r>
      <w:r w:rsidR="00491320" w:rsidRPr="00E16E39">
        <w:rPr>
          <w:rFonts w:ascii="Arial" w:hAnsi="Arial" w:cs="Arial"/>
          <w:lang w:eastAsia="en-US"/>
        </w:rPr>
        <w:t>S</w:t>
      </w:r>
      <w:r w:rsidR="006F0493" w:rsidRPr="00E16E39">
        <w:rPr>
          <w:rFonts w:ascii="Arial" w:hAnsi="Arial" w:cs="Arial"/>
          <w:lang w:eastAsia="en-US"/>
        </w:rPr>
        <w:t xml:space="preserve">emana </w:t>
      </w:r>
      <w:r w:rsidR="00491320" w:rsidRPr="00E16E39">
        <w:rPr>
          <w:rFonts w:ascii="Arial" w:hAnsi="Arial" w:cs="Arial"/>
          <w:lang w:eastAsia="en-US"/>
        </w:rPr>
        <w:t>S</w:t>
      </w:r>
      <w:r w:rsidR="006F0493" w:rsidRPr="00E16E39">
        <w:rPr>
          <w:rFonts w:ascii="Arial" w:hAnsi="Arial" w:cs="Arial"/>
          <w:lang w:eastAsia="en-US"/>
        </w:rPr>
        <w:t>anta de 202</w:t>
      </w:r>
      <w:r w:rsidRPr="00E16E39">
        <w:rPr>
          <w:rFonts w:ascii="Arial" w:hAnsi="Arial" w:cs="Arial"/>
          <w:lang w:eastAsia="en-US"/>
        </w:rPr>
        <w:t>1</w:t>
      </w:r>
      <w:r w:rsidR="006F0493" w:rsidRPr="00E16E39">
        <w:rPr>
          <w:rFonts w:ascii="Arial" w:hAnsi="Arial" w:cs="Arial"/>
          <w:lang w:eastAsia="en-US"/>
        </w:rPr>
        <w:t xml:space="preserve">, </w:t>
      </w:r>
      <w:r w:rsidRPr="00E16E39">
        <w:rPr>
          <w:rFonts w:ascii="Arial" w:hAnsi="Arial" w:cs="Arial"/>
          <w:lang w:eastAsia="en-US"/>
        </w:rPr>
        <w:t xml:space="preserve">se presentó una excepción para el Tribunal de Apelación de Sentencia Penal del II Circuito Judicial de San José, </w:t>
      </w:r>
      <w:r w:rsidR="00CF6157" w:rsidRPr="00E16E39">
        <w:rPr>
          <w:rFonts w:ascii="Arial" w:hAnsi="Arial" w:cs="Arial"/>
          <w:lang w:eastAsia="en-US"/>
        </w:rPr>
        <w:t xml:space="preserve">a raíz de una solicitud presentada por la licenciada Rosa María Acón Ng, jueza Coordinadora, </w:t>
      </w:r>
      <w:r w:rsidRPr="00E16E39">
        <w:rPr>
          <w:rFonts w:ascii="Arial" w:hAnsi="Arial" w:cs="Arial"/>
          <w:lang w:eastAsia="en-US"/>
        </w:rPr>
        <w:t xml:space="preserve">donde se dispuso que </w:t>
      </w:r>
      <w:r w:rsidR="006F0493" w:rsidRPr="00E16E39">
        <w:rPr>
          <w:rFonts w:ascii="Arial" w:hAnsi="Arial" w:cs="Arial"/>
          <w:lang w:eastAsia="en-US"/>
        </w:rPr>
        <w:t>este Tribunal deberá de destacar tres jueces, así como un técnico judicial del Despacho, para que apoye en las labores administrativas y de coordinación que dichas actividades requieren, personal que deberán de presentarse a laborar al despacho, en</w:t>
      </w:r>
      <w:r w:rsidR="002211CE" w:rsidRPr="00E16E39">
        <w:rPr>
          <w:rFonts w:ascii="Arial" w:hAnsi="Arial" w:cs="Arial"/>
          <w:lang w:eastAsia="en-US"/>
        </w:rPr>
        <w:t xml:space="preserve"> el </w:t>
      </w:r>
      <w:r w:rsidR="006F0493" w:rsidRPr="00E16E39">
        <w:rPr>
          <w:rFonts w:ascii="Arial" w:hAnsi="Arial" w:cs="Arial"/>
          <w:lang w:eastAsia="en-US"/>
        </w:rPr>
        <w:t>horario ya establecido durante los cierres colectivos.</w:t>
      </w:r>
      <w:r w:rsidR="006F0493" w:rsidRPr="00ED38A7">
        <w:rPr>
          <w:rFonts w:ascii="Arial" w:hAnsi="Arial" w:cs="Arial"/>
          <w:lang w:eastAsia="en-US"/>
        </w:rPr>
        <w:t> </w:t>
      </w:r>
    </w:p>
    <w:p w14:paraId="496356F7" w14:textId="709E190B" w:rsidR="00CE206F" w:rsidRPr="00ED38A7" w:rsidRDefault="00CE206F" w:rsidP="00FC175F">
      <w:pPr>
        <w:spacing w:line="240" w:lineRule="auto"/>
        <w:rPr>
          <w:rFonts w:ascii="Arial" w:hAnsi="Arial" w:cs="Arial"/>
          <w:bCs/>
        </w:rPr>
      </w:pPr>
    </w:p>
    <w:p w14:paraId="526CFCEB" w14:textId="12179DE6" w:rsidR="00CE206F" w:rsidRPr="00ED38A7" w:rsidRDefault="002211CE" w:rsidP="00CE206F">
      <w:pPr>
        <w:spacing w:line="240" w:lineRule="auto"/>
        <w:rPr>
          <w:b/>
          <w:bCs/>
          <w:u w:val="single"/>
          <w:lang w:val="es-CR"/>
        </w:rPr>
      </w:pPr>
      <w:r w:rsidRPr="00ED38A7">
        <w:rPr>
          <w:rFonts w:ascii="Arial" w:hAnsi="Arial" w:cs="Arial"/>
          <w:bCs/>
        </w:rPr>
        <w:t xml:space="preserve">Lo anterior según lo dispuesto por el </w:t>
      </w:r>
      <w:r w:rsidR="00CE206F" w:rsidRPr="00ED38A7">
        <w:rPr>
          <w:rFonts w:ascii="Arial" w:hAnsi="Arial" w:cs="Arial"/>
        </w:rPr>
        <w:t xml:space="preserve">Consejo Superior del Poder Judicial, en sesión </w:t>
      </w:r>
      <w:r w:rsidR="00CE206F" w:rsidRPr="00ED38A7">
        <w:rPr>
          <w:rFonts w:ascii="Arial" w:hAnsi="Arial" w:cs="Arial"/>
          <w:b/>
          <w:bCs/>
        </w:rPr>
        <w:t xml:space="preserve">N° 108-2020 </w:t>
      </w:r>
      <w:r w:rsidR="00CE206F" w:rsidRPr="00ED38A7">
        <w:rPr>
          <w:rFonts w:ascii="Arial" w:hAnsi="Arial" w:cs="Arial"/>
          <w:bCs/>
        </w:rPr>
        <w:t>c</w:t>
      </w:r>
      <w:r w:rsidR="00CE206F" w:rsidRPr="00ED38A7">
        <w:rPr>
          <w:rFonts w:ascii="Arial" w:hAnsi="Arial" w:cs="Arial"/>
        </w:rPr>
        <w:t xml:space="preserve">elebrada el </w:t>
      </w:r>
      <w:r w:rsidR="00CE206F" w:rsidRPr="00ED38A7">
        <w:rPr>
          <w:rFonts w:ascii="Arial" w:hAnsi="Arial" w:cs="Arial"/>
          <w:b/>
        </w:rPr>
        <w:t>10 de noviembre</w:t>
      </w:r>
      <w:r w:rsidR="00CE206F" w:rsidRPr="00ED38A7">
        <w:rPr>
          <w:rFonts w:ascii="Arial" w:hAnsi="Arial" w:cs="Arial"/>
          <w:b/>
          <w:bCs/>
        </w:rPr>
        <w:t xml:space="preserve"> del 2020,</w:t>
      </w:r>
      <w:r w:rsidR="00CE206F" w:rsidRPr="00ED38A7">
        <w:rPr>
          <w:rFonts w:ascii="Arial" w:hAnsi="Arial" w:cs="Arial"/>
        </w:rPr>
        <w:t xml:space="preserve"> artículo XXXIII</w:t>
      </w:r>
      <w:r w:rsidR="00CF6157" w:rsidRPr="00ED38A7">
        <w:rPr>
          <w:rFonts w:ascii="Arial" w:hAnsi="Arial" w:cs="Arial"/>
        </w:rPr>
        <w:t>, que establece</w:t>
      </w:r>
      <w:r w:rsidR="00CE206F" w:rsidRPr="00ED38A7">
        <w:rPr>
          <w:rFonts w:ascii="Arial" w:hAnsi="Arial" w:cs="Arial"/>
        </w:rPr>
        <w:t>.</w:t>
      </w:r>
    </w:p>
    <w:p w14:paraId="3AFD1AC5" w14:textId="1AF8C9C4" w:rsidR="00CE206F" w:rsidRPr="00ED38A7" w:rsidRDefault="00CE206F" w:rsidP="00FC175F">
      <w:pPr>
        <w:spacing w:line="240" w:lineRule="auto"/>
        <w:rPr>
          <w:rFonts w:ascii="Arial" w:hAnsi="Arial" w:cs="Arial"/>
          <w:bCs/>
        </w:rPr>
      </w:pPr>
    </w:p>
    <w:p w14:paraId="0A548EB0" w14:textId="23308E42" w:rsidR="00CE206F" w:rsidRPr="00ED38A7" w:rsidRDefault="00CE206F" w:rsidP="00CE206F">
      <w:pPr>
        <w:shd w:val="clear" w:color="auto" w:fill="FFFFFF"/>
        <w:spacing w:line="240" w:lineRule="auto"/>
        <w:ind w:firstLine="709"/>
        <w:rPr>
          <w:rFonts w:ascii="Arial" w:hAnsi="Arial" w:cs="Arial"/>
          <w:i/>
          <w:iCs/>
          <w:lang w:eastAsia="en-US"/>
        </w:rPr>
      </w:pPr>
      <w:r w:rsidRPr="00ED38A7">
        <w:rPr>
          <w:rFonts w:ascii="Arial" w:hAnsi="Arial" w:cs="Arial"/>
          <w:lang w:eastAsia="en-US"/>
        </w:rPr>
        <w:t>De conformidad con el voto Nº 2019-3237 de las 09:45 horas del 22 de febrero de 2019, de la Sala Constitucional, cuya jurisprudencia es vinculante, </w:t>
      </w:r>
      <w:r w:rsidRPr="00ED38A7">
        <w:rPr>
          <w:rFonts w:ascii="Arial" w:hAnsi="Arial" w:cs="Arial"/>
          <w:b/>
          <w:bCs/>
          <w:lang w:eastAsia="en-US"/>
        </w:rPr>
        <w:t>se acordó: “</w:t>
      </w:r>
      <w:r w:rsidRPr="00ED38A7">
        <w:rPr>
          <w:rFonts w:ascii="Arial" w:hAnsi="Arial" w:cs="Arial"/>
          <w:b/>
          <w:bCs/>
          <w:i/>
          <w:iCs/>
          <w:lang w:eastAsia="en-US"/>
        </w:rPr>
        <w:t>1.) </w:t>
      </w:r>
      <w:r w:rsidRPr="00ED38A7">
        <w:rPr>
          <w:rFonts w:ascii="Arial" w:hAnsi="Arial" w:cs="Arial"/>
          <w:i/>
          <w:iCs/>
          <w:lang w:eastAsia="en-US"/>
        </w:rPr>
        <w:t>Tomar nota de la manifestación presentada por la licenciada Rosa María Acón Ng, Jueza Coordinadora del Tribunal de Apelación de Sentencia Penal de San José. </w:t>
      </w:r>
      <w:r w:rsidRPr="00ED38A7">
        <w:rPr>
          <w:rFonts w:ascii="Arial" w:hAnsi="Arial" w:cs="Arial"/>
          <w:b/>
          <w:bCs/>
          <w:i/>
          <w:iCs/>
          <w:lang w:eastAsia="en-US"/>
        </w:rPr>
        <w:t>2.)</w:t>
      </w:r>
      <w:r w:rsidRPr="00ED38A7">
        <w:rPr>
          <w:rFonts w:ascii="Arial" w:hAnsi="Arial" w:cs="Arial"/>
          <w:i/>
          <w:iCs/>
          <w:lang w:eastAsia="en-US"/>
        </w:rPr>
        <w:t> Comunicar al Tribunal de Apelación de Sentencia del Segundo Circuito Judicial de San José, para que durante el cierre colectivo de fin y principio de año 2020/2021, así como de semana santa de 2021, deberán de destacar tres jueces, así como un técnico judicial del Despacho, para que apoye en las labores administrativas y de coordinación que dichas actividades requieren. Lo anterior en el entendido que el personal que labore en los roles que se establezcan, deberán de presentarse a laborar al despacho, en los horarios ya establecidos durante los cierres colectivos. </w:t>
      </w:r>
      <w:r w:rsidRPr="00ED38A7">
        <w:rPr>
          <w:rFonts w:ascii="Arial" w:hAnsi="Arial" w:cs="Arial"/>
          <w:b/>
          <w:bCs/>
          <w:i/>
          <w:iCs/>
          <w:lang w:eastAsia="en-US"/>
        </w:rPr>
        <w:t>3.)</w:t>
      </w:r>
      <w:r w:rsidRPr="00ED38A7">
        <w:rPr>
          <w:rFonts w:ascii="Arial" w:hAnsi="Arial" w:cs="Arial"/>
          <w:i/>
          <w:iCs/>
          <w:lang w:eastAsia="en-US"/>
        </w:rPr>
        <w:t> Comunicar a la jueza coordinadora que deberá de velar por el cumplimiento en las funciones que lleven a cabo el personal que labore durante esas fechas. </w:t>
      </w:r>
      <w:r w:rsidRPr="00ED38A7">
        <w:rPr>
          <w:rFonts w:ascii="Arial" w:hAnsi="Arial" w:cs="Arial"/>
          <w:b/>
          <w:bCs/>
          <w:i/>
          <w:iCs/>
          <w:lang w:eastAsia="en-US"/>
        </w:rPr>
        <w:t>4.)</w:t>
      </w:r>
      <w:r w:rsidRPr="00ED38A7">
        <w:rPr>
          <w:rFonts w:ascii="Arial" w:hAnsi="Arial" w:cs="Arial"/>
          <w:i/>
          <w:iCs/>
          <w:lang w:eastAsia="en-US"/>
        </w:rPr>
        <w:t> La Dirección de Gestión Humana y de Planificación, tomarán nota para que en lo sucesivo se tome en consideración estos despachos, en los planes de los cierres colectivos de este Poder de la República.</w:t>
      </w:r>
    </w:p>
    <w:p w14:paraId="18CE48BB" w14:textId="7CD4C8AB" w:rsidR="006F0493" w:rsidRPr="00ED38A7" w:rsidRDefault="006F0493" w:rsidP="00CE206F">
      <w:pPr>
        <w:shd w:val="clear" w:color="auto" w:fill="FFFFFF"/>
        <w:spacing w:line="240" w:lineRule="auto"/>
        <w:ind w:firstLine="709"/>
        <w:rPr>
          <w:rFonts w:ascii="Arial" w:hAnsi="Arial" w:cs="Arial"/>
          <w:i/>
          <w:iCs/>
          <w:lang w:eastAsia="en-US"/>
        </w:rPr>
      </w:pPr>
    </w:p>
    <w:p w14:paraId="0A2350B8" w14:textId="574E1778" w:rsidR="006F0493" w:rsidRPr="00ED38A7" w:rsidRDefault="006F0493" w:rsidP="00CE206F">
      <w:pPr>
        <w:shd w:val="clear" w:color="auto" w:fill="FFFFFF"/>
        <w:spacing w:line="240" w:lineRule="auto"/>
        <w:ind w:firstLine="709"/>
        <w:rPr>
          <w:rFonts w:ascii="Arial" w:hAnsi="Arial" w:cs="Arial"/>
          <w:i/>
          <w:iCs/>
          <w:lang w:eastAsia="en-US"/>
        </w:rPr>
      </w:pPr>
      <w:r w:rsidRPr="00ED38A7">
        <w:rPr>
          <w:rFonts w:ascii="Arial" w:hAnsi="Arial" w:cs="Arial"/>
          <w:i/>
          <w:iCs/>
          <w:lang w:eastAsia="en-US"/>
        </w:rPr>
        <w:t>El Centro de Apoyo, Coordinación y Mejoramiento de la Función Jurisdiccional, tomará nota para lo que corresponda.”</w:t>
      </w:r>
      <w:r w:rsidR="003141B7">
        <w:rPr>
          <w:rFonts w:ascii="Arial" w:hAnsi="Arial" w:cs="Arial"/>
          <w:i/>
          <w:iCs/>
          <w:lang w:eastAsia="en-US"/>
        </w:rPr>
        <w:t>.</w:t>
      </w:r>
    </w:p>
    <w:p w14:paraId="5AAB2D82" w14:textId="77777777" w:rsidR="00093D95" w:rsidRDefault="00093D95" w:rsidP="00CF6157">
      <w:pPr>
        <w:shd w:val="clear" w:color="auto" w:fill="FFFFFF"/>
        <w:spacing w:line="240" w:lineRule="auto"/>
        <w:rPr>
          <w:rFonts w:ascii="Arial" w:hAnsi="Arial" w:cs="Arial"/>
          <w:lang w:eastAsia="en-US"/>
        </w:rPr>
      </w:pPr>
    </w:p>
    <w:p w14:paraId="5EFE1C4C" w14:textId="26B0AB51" w:rsidR="00CB50A7" w:rsidRPr="003141B7" w:rsidRDefault="000D7E5D" w:rsidP="00CF6157">
      <w:pPr>
        <w:shd w:val="clear" w:color="auto" w:fill="FFFFFF"/>
        <w:spacing w:line="240" w:lineRule="auto"/>
        <w:rPr>
          <w:rFonts w:ascii="Arial" w:hAnsi="Arial" w:cs="Arial"/>
          <w:lang w:eastAsia="en-US"/>
        </w:rPr>
      </w:pPr>
      <w:r w:rsidRPr="003141B7">
        <w:rPr>
          <w:rFonts w:ascii="Arial" w:hAnsi="Arial" w:cs="Arial"/>
          <w:lang w:eastAsia="en-US"/>
        </w:rPr>
        <w:t xml:space="preserve">Conforme con lo anterior, </w:t>
      </w:r>
      <w:r w:rsidR="00CF6157" w:rsidRPr="003141B7">
        <w:rPr>
          <w:rFonts w:ascii="Arial" w:hAnsi="Arial" w:cs="Arial"/>
          <w:lang w:eastAsia="en-US"/>
        </w:rPr>
        <w:t>la licenciada</w:t>
      </w:r>
      <w:r w:rsidR="00BF4D3E" w:rsidRPr="003141B7">
        <w:rPr>
          <w:rFonts w:ascii="Arial" w:hAnsi="Arial" w:cs="Arial"/>
          <w:lang w:eastAsia="en-US"/>
        </w:rPr>
        <w:t xml:space="preserve"> Rosa María Acón Ng, Jueza Coordinadora del Tribunal de Apelación de Sentencia Penal del II Circuito Judicial de San José, </w:t>
      </w:r>
      <w:r w:rsidR="006345E3" w:rsidRPr="003141B7">
        <w:rPr>
          <w:rFonts w:ascii="Arial" w:hAnsi="Arial" w:cs="Arial"/>
          <w:lang w:eastAsia="en-US"/>
        </w:rPr>
        <w:t>indic</w:t>
      </w:r>
      <w:r w:rsidRPr="003141B7">
        <w:rPr>
          <w:rFonts w:ascii="Arial" w:hAnsi="Arial" w:cs="Arial"/>
          <w:lang w:eastAsia="en-US"/>
        </w:rPr>
        <w:t xml:space="preserve">ó que para cierre colectivo de año anterior, </w:t>
      </w:r>
      <w:r w:rsidR="00DE1EE8" w:rsidRPr="003141B7">
        <w:rPr>
          <w:rFonts w:ascii="Arial" w:hAnsi="Arial" w:cs="Arial"/>
          <w:lang w:eastAsia="en-US"/>
        </w:rPr>
        <w:t>en</w:t>
      </w:r>
      <w:r w:rsidRPr="003141B7">
        <w:rPr>
          <w:rFonts w:ascii="Arial" w:hAnsi="Arial" w:cs="Arial"/>
          <w:lang w:eastAsia="en-US"/>
        </w:rPr>
        <w:t xml:space="preserve"> su despacho se mantuvo la modalidad de trabajo</w:t>
      </w:r>
      <w:r w:rsidR="001A5D6F" w:rsidRPr="003141B7">
        <w:rPr>
          <w:rFonts w:ascii="Arial" w:hAnsi="Arial" w:cs="Arial"/>
          <w:lang w:eastAsia="en-US"/>
        </w:rPr>
        <w:t xml:space="preserve"> </w:t>
      </w:r>
      <w:r w:rsidR="008F67AC" w:rsidRPr="003141B7">
        <w:rPr>
          <w:rFonts w:ascii="Arial" w:hAnsi="Arial" w:cs="Arial"/>
          <w:lang w:eastAsia="en-US"/>
        </w:rPr>
        <w:t xml:space="preserve">que fuera acogida por </w:t>
      </w:r>
      <w:r w:rsidR="008F67AC" w:rsidRPr="003141B7">
        <w:rPr>
          <w:rFonts w:ascii="Arial" w:hAnsi="Arial" w:cs="Arial"/>
        </w:rPr>
        <w:t>Consejo Superior del Poder Judicial, en sesión N° 108-2020</w:t>
      </w:r>
      <w:r w:rsidR="008F67AC" w:rsidRPr="003141B7">
        <w:rPr>
          <w:rFonts w:ascii="Arial" w:hAnsi="Arial" w:cs="Arial"/>
          <w:b/>
          <w:bCs/>
        </w:rPr>
        <w:t xml:space="preserve"> </w:t>
      </w:r>
      <w:r w:rsidR="008F67AC" w:rsidRPr="003141B7">
        <w:rPr>
          <w:rFonts w:ascii="Arial" w:hAnsi="Arial" w:cs="Arial"/>
          <w:bCs/>
        </w:rPr>
        <w:t>c</w:t>
      </w:r>
      <w:r w:rsidR="008F67AC" w:rsidRPr="003141B7">
        <w:rPr>
          <w:rFonts w:ascii="Arial" w:hAnsi="Arial" w:cs="Arial"/>
        </w:rPr>
        <w:t xml:space="preserve">elebrada el </w:t>
      </w:r>
      <w:r w:rsidR="008F67AC" w:rsidRPr="003141B7">
        <w:rPr>
          <w:rFonts w:ascii="Arial" w:hAnsi="Arial" w:cs="Arial"/>
          <w:bCs/>
        </w:rPr>
        <w:t>10 de noviembre del 2020</w:t>
      </w:r>
      <w:r w:rsidR="008F67AC" w:rsidRPr="003141B7">
        <w:rPr>
          <w:rFonts w:ascii="Arial" w:hAnsi="Arial" w:cs="Arial"/>
          <w:b/>
          <w:bCs/>
        </w:rPr>
        <w:t>,</w:t>
      </w:r>
      <w:r w:rsidR="008F67AC" w:rsidRPr="003141B7">
        <w:rPr>
          <w:rFonts w:ascii="Arial" w:hAnsi="Arial" w:cs="Arial"/>
        </w:rPr>
        <w:t xml:space="preserve"> artículo XXXIII</w:t>
      </w:r>
      <w:r w:rsidR="008F67AC" w:rsidRPr="003141B7">
        <w:rPr>
          <w:rFonts w:ascii="Arial" w:hAnsi="Arial" w:cs="Arial"/>
          <w:lang w:eastAsia="en-US"/>
        </w:rPr>
        <w:t xml:space="preserve"> </w:t>
      </w:r>
      <w:r w:rsidR="001A5D6F" w:rsidRPr="003141B7">
        <w:rPr>
          <w:rFonts w:ascii="Arial" w:hAnsi="Arial" w:cs="Arial"/>
          <w:lang w:eastAsia="en-US"/>
        </w:rPr>
        <w:t xml:space="preserve">y cita </w:t>
      </w:r>
      <w:r w:rsidR="008F67AC" w:rsidRPr="003141B7">
        <w:rPr>
          <w:rFonts w:ascii="Arial" w:hAnsi="Arial" w:cs="Arial"/>
          <w:lang w:eastAsia="en-US"/>
        </w:rPr>
        <w:t xml:space="preserve">que </w:t>
      </w:r>
      <w:r w:rsidR="00623551" w:rsidRPr="003141B7">
        <w:rPr>
          <w:rFonts w:ascii="Arial" w:hAnsi="Arial" w:cs="Arial"/>
          <w:lang w:eastAsia="en-US"/>
        </w:rPr>
        <w:t xml:space="preserve">para este nuevo periodo </w:t>
      </w:r>
      <w:r w:rsidR="001A5D6F" w:rsidRPr="003141B7">
        <w:rPr>
          <w:rFonts w:ascii="Arial" w:hAnsi="Arial" w:cs="Arial"/>
          <w:lang w:eastAsia="en-US"/>
        </w:rPr>
        <w:t xml:space="preserve">de cierre colectivo </w:t>
      </w:r>
      <w:r w:rsidR="008F67AC" w:rsidRPr="003141B7">
        <w:rPr>
          <w:rFonts w:ascii="Arial" w:hAnsi="Arial" w:cs="Arial"/>
          <w:lang w:eastAsia="en-US"/>
        </w:rPr>
        <w:t xml:space="preserve">de </w:t>
      </w:r>
      <w:r w:rsidR="001A5D6F" w:rsidRPr="003141B7">
        <w:rPr>
          <w:rFonts w:ascii="Arial" w:hAnsi="Arial" w:cs="Arial"/>
          <w:lang w:eastAsia="en-US"/>
        </w:rPr>
        <w:t xml:space="preserve">fin y principio 2022- 2023 y </w:t>
      </w:r>
      <w:r w:rsidR="0042098F" w:rsidRPr="003141B7">
        <w:rPr>
          <w:rFonts w:ascii="Arial" w:hAnsi="Arial" w:cs="Arial"/>
          <w:lang w:eastAsia="en-US"/>
        </w:rPr>
        <w:t>S</w:t>
      </w:r>
      <w:r w:rsidR="001A5D6F" w:rsidRPr="003141B7">
        <w:rPr>
          <w:rFonts w:ascii="Arial" w:hAnsi="Arial" w:cs="Arial"/>
          <w:lang w:eastAsia="en-US"/>
        </w:rPr>
        <w:t xml:space="preserve">emana </w:t>
      </w:r>
      <w:r w:rsidR="0042098F" w:rsidRPr="003141B7">
        <w:rPr>
          <w:rFonts w:ascii="Arial" w:hAnsi="Arial" w:cs="Arial"/>
          <w:lang w:eastAsia="en-US"/>
        </w:rPr>
        <w:t>S</w:t>
      </w:r>
      <w:r w:rsidR="001A5D6F" w:rsidRPr="003141B7">
        <w:rPr>
          <w:rFonts w:ascii="Arial" w:hAnsi="Arial" w:cs="Arial"/>
          <w:lang w:eastAsia="en-US"/>
        </w:rPr>
        <w:t>anta 2023 próximamente estará solicitando al Consejo Superior, se le prorrogue el  procedimiento que han venido aplicando hasta la fecha</w:t>
      </w:r>
      <w:r w:rsidR="00F10499" w:rsidRPr="003141B7">
        <w:rPr>
          <w:rFonts w:ascii="Arial" w:hAnsi="Arial" w:cs="Arial"/>
          <w:lang w:eastAsia="en-US"/>
        </w:rPr>
        <w:t xml:space="preserve">, </w:t>
      </w:r>
      <w:r w:rsidR="00807F03" w:rsidRPr="003141B7">
        <w:rPr>
          <w:rFonts w:ascii="Arial" w:hAnsi="Arial" w:cs="Arial"/>
          <w:lang w:eastAsia="en-US"/>
        </w:rPr>
        <w:t xml:space="preserve">por lo que </w:t>
      </w:r>
      <w:r w:rsidR="00BF4D3E" w:rsidRPr="003141B7">
        <w:rPr>
          <w:rFonts w:ascii="Arial" w:hAnsi="Arial" w:cs="Arial"/>
          <w:lang w:eastAsia="en-US"/>
        </w:rPr>
        <w:t>queda</w:t>
      </w:r>
      <w:r w:rsidR="001C497A" w:rsidRPr="003141B7">
        <w:rPr>
          <w:rFonts w:ascii="Arial" w:hAnsi="Arial" w:cs="Arial"/>
          <w:lang w:eastAsia="en-US"/>
        </w:rPr>
        <w:t>rá</w:t>
      </w:r>
      <w:r w:rsidR="00BF4D3E" w:rsidRPr="003141B7">
        <w:rPr>
          <w:rFonts w:ascii="Arial" w:hAnsi="Arial" w:cs="Arial"/>
          <w:lang w:eastAsia="en-US"/>
        </w:rPr>
        <w:t xml:space="preserve"> sujet</w:t>
      </w:r>
      <w:r w:rsidR="001C497A" w:rsidRPr="003141B7">
        <w:rPr>
          <w:rFonts w:ascii="Arial" w:hAnsi="Arial" w:cs="Arial"/>
          <w:lang w:eastAsia="en-US"/>
        </w:rPr>
        <w:t>a</w:t>
      </w:r>
      <w:r w:rsidR="00BF4D3E" w:rsidRPr="003141B7">
        <w:rPr>
          <w:rFonts w:ascii="Arial" w:hAnsi="Arial" w:cs="Arial"/>
          <w:lang w:eastAsia="en-US"/>
        </w:rPr>
        <w:t xml:space="preserve"> a </w:t>
      </w:r>
      <w:r w:rsidR="008F67AC" w:rsidRPr="003141B7">
        <w:rPr>
          <w:rFonts w:ascii="Arial" w:hAnsi="Arial" w:cs="Arial"/>
          <w:lang w:eastAsia="en-US"/>
        </w:rPr>
        <w:t xml:space="preserve">que dicha </w:t>
      </w:r>
      <w:r w:rsidR="00BF4D3E" w:rsidRPr="003141B7">
        <w:rPr>
          <w:rFonts w:ascii="Arial" w:hAnsi="Arial" w:cs="Arial"/>
          <w:lang w:eastAsia="en-US"/>
        </w:rPr>
        <w:t xml:space="preserve">solicitud </w:t>
      </w:r>
      <w:r w:rsidR="008F67AC" w:rsidRPr="003141B7">
        <w:rPr>
          <w:rFonts w:ascii="Arial" w:hAnsi="Arial" w:cs="Arial"/>
          <w:lang w:eastAsia="en-US"/>
        </w:rPr>
        <w:t>sea acogida</w:t>
      </w:r>
      <w:r w:rsidR="00491320" w:rsidRPr="003141B7">
        <w:rPr>
          <w:rFonts w:ascii="Arial" w:hAnsi="Arial" w:cs="Arial"/>
          <w:lang w:eastAsia="en-US"/>
        </w:rPr>
        <w:t>,</w:t>
      </w:r>
      <w:r w:rsidR="00BF4D3E" w:rsidRPr="003141B7">
        <w:rPr>
          <w:rFonts w:ascii="Arial" w:hAnsi="Arial" w:cs="Arial"/>
          <w:lang w:eastAsia="en-US"/>
        </w:rPr>
        <w:t xml:space="preserve"> para la atención de los asuntos que la Sala Constitucional les autorice</w:t>
      </w:r>
      <w:r w:rsidR="00F10499" w:rsidRPr="003141B7">
        <w:rPr>
          <w:rFonts w:ascii="Arial" w:hAnsi="Arial" w:cs="Arial"/>
          <w:lang w:eastAsia="en-US"/>
        </w:rPr>
        <w:t xml:space="preserve"> y </w:t>
      </w:r>
      <w:r w:rsidR="008F67AC" w:rsidRPr="003141B7">
        <w:rPr>
          <w:rFonts w:ascii="Arial" w:hAnsi="Arial" w:cs="Arial"/>
          <w:lang w:eastAsia="en-US"/>
        </w:rPr>
        <w:t xml:space="preserve">para la atención de los recursos  de apelación de prisión preventiva dictada por los Tribunales de Flagrancia de San José; </w:t>
      </w:r>
      <w:r w:rsidR="00F10499" w:rsidRPr="003141B7">
        <w:rPr>
          <w:rFonts w:ascii="Arial" w:hAnsi="Arial" w:cs="Arial"/>
          <w:lang w:eastAsia="en-US"/>
        </w:rPr>
        <w:t xml:space="preserve">por tanto, </w:t>
      </w:r>
      <w:r w:rsidR="00CB50A7" w:rsidRPr="003141B7">
        <w:rPr>
          <w:rFonts w:ascii="Arial" w:hAnsi="Arial" w:cs="Arial"/>
          <w:lang w:eastAsia="en-US"/>
        </w:rPr>
        <w:t xml:space="preserve">se lleve a cabo lo que el ente superior </w:t>
      </w:r>
      <w:r w:rsidR="00BF4D3E" w:rsidRPr="003141B7">
        <w:rPr>
          <w:rFonts w:ascii="Arial" w:hAnsi="Arial" w:cs="Arial"/>
          <w:lang w:eastAsia="en-US"/>
        </w:rPr>
        <w:t>disponga</w:t>
      </w:r>
      <w:r w:rsidR="00CB50A7" w:rsidRPr="003141B7">
        <w:rPr>
          <w:rFonts w:ascii="Arial" w:hAnsi="Arial" w:cs="Arial"/>
          <w:lang w:eastAsia="en-US"/>
        </w:rPr>
        <w:t>, caso contrario</w:t>
      </w:r>
      <w:r w:rsidR="008644BF" w:rsidRPr="003141B7">
        <w:rPr>
          <w:rFonts w:ascii="Arial" w:hAnsi="Arial" w:cs="Arial"/>
          <w:lang w:eastAsia="en-US"/>
        </w:rPr>
        <w:t>,</w:t>
      </w:r>
      <w:r w:rsidR="00CB50A7" w:rsidRPr="003141B7">
        <w:rPr>
          <w:rFonts w:ascii="Arial" w:hAnsi="Arial" w:cs="Arial"/>
          <w:lang w:eastAsia="en-US"/>
        </w:rPr>
        <w:t xml:space="preserve"> </w:t>
      </w:r>
      <w:r w:rsidR="0050353A" w:rsidRPr="003141B7">
        <w:rPr>
          <w:rFonts w:ascii="Arial" w:hAnsi="Arial" w:cs="Arial"/>
          <w:b/>
          <w:bCs/>
        </w:rPr>
        <w:t xml:space="preserve">no laborarán durante los días de cierre colectivo bajo la modalidad de apertura efectiva, sino </w:t>
      </w:r>
      <w:r w:rsidR="00491320" w:rsidRPr="003141B7">
        <w:rPr>
          <w:rFonts w:ascii="Arial" w:hAnsi="Arial" w:cs="Arial"/>
          <w:b/>
          <w:bCs/>
        </w:rPr>
        <w:t>por</w:t>
      </w:r>
      <w:r w:rsidR="0050353A" w:rsidRPr="003141B7">
        <w:rPr>
          <w:rFonts w:ascii="Arial" w:hAnsi="Arial" w:cs="Arial"/>
          <w:b/>
          <w:bCs/>
        </w:rPr>
        <w:t xml:space="preserve"> disponibilidad</w:t>
      </w:r>
      <w:r w:rsidR="00EC19B2" w:rsidRPr="003141B7">
        <w:rPr>
          <w:rFonts w:ascii="Arial" w:hAnsi="Arial" w:cs="Arial"/>
          <w:bCs/>
        </w:rPr>
        <w:t xml:space="preserve">, </w:t>
      </w:r>
      <w:r w:rsidR="00EC19B2" w:rsidRPr="003141B7">
        <w:rPr>
          <w:rFonts w:ascii="Arial" w:hAnsi="Arial" w:cs="Arial"/>
          <w:lang w:eastAsia="en-US"/>
        </w:rPr>
        <w:t>para el cierre colectivo de fin y principio de año 202</w:t>
      </w:r>
      <w:r w:rsidR="002801CB" w:rsidRPr="003141B7">
        <w:rPr>
          <w:rFonts w:ascii="Arial" w:hAnsi="Arial" w:cs="Arial"/>
          <w:lang w:eastAsia="en-US"/>
        </w:rPr>
        <w:t>2</w:t>
      </w:r>
      <w:r w:rsidR="00EC19B2" w:rsidRPr="003141B7">
        <w:rPr>
          <w:rFonts w:ascii="Arial" w:hAnsi="Arial" w:cs="Arial"/>
          <w:lang w:eastAsia="en-US"/>
        </w:rPr>
        <w:t>-202</w:t>
      </w:r>
      <w:r w:rsidR="002801CB" w:rsidRPr="003141B7">
        <w:rPr>
          <w:rFonts w:ascii="Arial" w:hAnsi="Arial" w:cs="Arial"/>
          <w:lang w:eastAsia="en-US"/>
        </w:rPr>
        <w:t>3</w:t>
      </w:r>
      <w:r w:rsidR="00EC19B2" w:rsidRPr="003141B7">
        <w:rPr>
          <w:rFonts w:ascii="Arial" w:hAnsi="Arial" w:cs="Arial"/>
          <w:lang w:eastAsia="en-US"/>
        </w:rPr>
        <w:t>, así como de Semana Santa de 202</w:t>
      </w:r>
      <w:r w:rsidR="002801CB" w:rsidRPr="003141B7">
        <w:rPr>
          <w:rFonts w:ascii="Arial" w:hAnsi="Arial" w:cs="Arial"/>
          <w:lang w:eastAsia="en-US"/>
        </w:rPr>
        <w:t>3</w:t>
      </w:r>
      <w:r w:rsidR="006345E3" w:rsidRPr="003141B7">
        <w:rPr>
          <w:rFonts w:ascii="Arial" w:hAnsi="Arial" w:cs="Arial"/>
          <w:lang w:eastAsia="en-US"/>
        </w:rPr>
        <w:t>.</w:t>
      </w:r>
    </w:p>
    <w:p w14:paraId="22C51473" w14:textId="77777777" w:rsidR="00CB50A7" w:rsidRPr="00ED38A7" w:rsidRDefault="00CB50A7" w:rsidP="00CF6157">
      <w:pPr>
        <w:shd w:val="clear" w:color="auto" w:fill="FFFFFF"/>
        <w:spacing w:line="240" w:lineRule="auto"/>
        <w:rPr>
          <w:rFonts w:ascii="Arial" w:hAnsi="Arial" w:cs="Arial"/>
          <w:lang w:eastAsia="en-US"/>
        </w:rPr>
      </w:pPr>
    </w:p>
    <w:p w14:paraId="675D959C" w14:textId="4510454D" w:rsidR="00FC175F" w:rsidRPr="00ED38A7" w:rsidRDefault="00DF0CD6" w:rsidP="00FC175F">
      <w:pPr>
        <w:spacing w:line="240" w:lineRule="auto"/>
        <w:rPr>
          <w:rFonts w:ascii="Arial" w:hAnsi="Arial" w:cs="Arial"/>
          <w:bCs/>
        </w:rPr>
      </w:pPr>
      <w:r w:rsidRPr="00ED38A7">
        <w:rPr>
          <w:rFonts w:ascii="Arial" w:hAnsi="Arial" w:cs="Arial"/>
          <w:b/>
        </w:rPr>
        <w:t>3.</w:t>
      </w:r>
      <w:r w:rsidR="00FC175F" w:rsidRPr="00ED38A7">
        <w:rPr>
          <w:rFonts w:ascii="Arial" w:hAnsi="Arial" w:cs="Arial"/>
          <w:b/>
        </w:rPr>
        <w:t>4.</w:t>
      </w:r>
      <w:r w:rsidR="00712954" w:rsidRPr="00ED38A7">
        <w:rPr>
          <w:rFonts w:ascii="Arial" w:hAnsi="Arial" w:cs="Arial"/>
          <w:b/>
        </w:rPr>
        <w:t>7</w:t>
      </w:r>
      <w:r w:rsidR="00FC175F" w:rsidRPr="00ED38A7">
        <w:rPr>
          <w:rFonts w:ascii="Arial" w:hAnsi="Arial" w:cs="Arial"/>
          <w:b/>
        </w:rPr>
        <w:t>.</w:t>
      </w:r>
      <w:r w:rsidR="00FC175F" w:rsidRPr="00ED38A7">
        <w:rPr>
          <w:rFonts w:ascii="Arial" w:hAnsi="Arial" w:cs="Arial"/>
          <w:bCs/>
        </w:rPr>
        <w:tab/>
      </w:r>
      <w:r w:rsidR="00FC175F" w:rsidRPr="00ED38A7">
        <w:rPr>
          <w:rFonts w:ascii="Arial" w:hAnsi="Arial" w:cs="Arial"/>
          <w:b/>
        </w:rPr>
        <w:t>Sala Constitucional:</w:t>
      </w:r>
      <w:r w:rsidR="00FC175F" w:rsidRPr="00ED38A7">
        <w:rPr>
          <w:rFonts w:ascii="Arial" w:hAnsi="Arial" w:cs="Arial"/>
          <w:bCs/>
        </w:rPr>
        <w:t xml:space="preserve"> Al igual que en años anteriores, deberá tomar las previsiones del caso para la atención durante el cierre colectivo, según lo dispuesto por el Consejo Superior en el punto 8 del acuerdo tomado en sesión 83-05, artículo XXXVI, así como el acuerdo del Consejo Superior en sesión 80-12, artículo XLIV.</w:t>
      </w:r>
    </w:p>
    <w:p w14:paraId="0C4175E4" w14:textId="77777777" w:rsidR="00FC175F" w:rsidRPr="00ED38A7" w:rsidRDefault="00FC175F" w:rsidP="00FC175F">
      <w:pPr>
        <w:spacing w:line="240" w:lineRule="auto"/>
        <w:rPr>
          <w:rFonts w:ascii="Arial" w:hAnsi="Arial" w:cs="Arial"/>
          <w:bCs/>
        </w:rPr>
      </w:pPr>
    </w:p>
    <w:p w14:paraId="465454BD" w14:textId="7429579E" w:rsidR="00FC175F" w:rsidRPr="00ED38A7" w:rsidRDefault="00DF0CD6" w:rsidP="00FC175F">
      <w:pPr>
        <w:spacing w:line="240" w:lineRule="auto"/>
        <w:rPr>
          <w:rFonts w:ascii="Arial" w:hAnsi="Arial" w:cs="Arial"/>
          <w:bCs/>
        </w:rPr>
      </w:pPr>
      <w:r w:rsidRPr="00ED38A7">
        <w:rPr>
          <w:rFonts w:ascii="Arial" w:hAnsi="Arial" w:cs="Arial"/>
          <w:b/>
        </w:rPr>
        <w:t>3</w:t>
      </w:r>
      <w:r w:rsidR="00FC175F" w:rsidRPr="00ED38A7">
        <w:rPr>
          <w:rFonts w:ascii="Arial" w:hAnsi="Arial" w:cs="Arial"/>
          <w:b/>
        </w:rPr>
        <w:t>.4.</w:t>
      </w:r>
      <w:r w:rsidR="00511844" w:rsidRPr="00ED38A7">
        <w:rPr>
          <w:rFonts w:ascii="Arial" w:hAnsi="Arial" w:cs="Arial"/>
          <w:b/>
        </w:rPr>
        <w:t>8</w:t>
      </w:r>
      <w:r w:rsidR="00FC175F" w:rsidRPr="00ED38A7">
        <w:rPr>
          <w:rFonts w:ascii="Arial" w:hAnsi="Arial" w:cs="Arial"/>
          <w:b/>
        </w:rPr>
        <w:t>.</w:t>
      </w:r>
      <w:r w:rsidR="00FC175F" w:rsidRPr="00ED38A7">
        <w:rPr>
          <w:rFonts w:ascii="Arial" w:hAnsi="Arial" w:cs="Arial"/>
          <w:bCs/>
        </w:rPr>
        <w:tab/>
      </w:r>
      <w:r w:rsidR="00FC175F" w:rsidRPr="00ED38A7">
        <w:rPr>
          <w:rFonts w:ascii="Arial" w:hAnsi="Arial" w:cs="Arial"/>
          <w:b/>
        </w:rPr>
        <w:t>Contraloría de Servicios de San José:</w:t>
      </w:r>
      <w:r w:rsidR="00FC175F" w:rsidRPr="00ED38A7">
        <w:rPr>
          <w:rFonts w:ascii="Arial" w:hAnsi="Arial" w:cs="Arial"/>
          <w:bCs/>
        </w:rPr>
        <w:t xml:space="preserve">  Deberá mantener la atención de la línea 800-800-3000, con el fin de evacuar consultas de las personas usuarias judiciales, según el período y horario de la apertura efectiva establecidos por el Consejo Superior.</w:t>
      </w:r>
    </w:p>
    <w:p w14:paraId="2C43B73F" w14:textId="77777777" w:rsidR="00FC175F" w:rsidRPr="00ED38A7" w:rsidRDefault="00FC175F" w:rsidP="00FC175F">
      <w:pPr>
        <w:spacing w:line="240" w:lineRule="auto"/>
        <w:rPr>
          <w:rFonts w:ascii="Arial" w:hAnsi="Arial" w:cs="Arial"/>
          <w:bCs/>
        </w:rPr>
      </w:pPr>
    </w:p>
    <w:p w14:paraId="66E2AE07" w14:textId="5AB6A12C" w:rsidR="00511844" w:rsidRPr="00ED38A7" w:rsidRDefault="00DF0CD6" w:rsidP="00FF2447">
      <w:pPr>
        <w:spacing w:line="240" w:lineRule="auto"/>
        <w:rPr>
          <w:rFonts w:ascii="Arial" w:hAnsi="Arial" w:cs="Arial"/>
          <w:bCs/>
        </w:rPr>
      </w:pPr>
      <w:r w:rsidRPr="00ED38A7">
        <w:rPr>
          <w:rFonts w:ascii="Arial" w:hAnsi="Arial" w:cs="Arial"/>
          <w:b/>
        </w:rPr>
        <w:t>3</w:t>
      </w:r>
      <w:r w:rsidR="00FC175F" w:rsidRPr="00ED38A7">
        <w:rPr>
          <w:rFonts w:ascii="Arial" w:hAnsi="Arial" w:cs="Arial"/>
          <w:b/>
        </w:rPr>
        <w:t>.4.</w:t>
      </w:r>
      <w:r w:rsidR="00511844" w:rsidRPr="00ED38A7">
        <w:rPr>
          <w:rFonts w:ascii="Arial" w:hAnsi="Arial" w:cs="Arial"/>
          <w:b/>
        </w:rPr>
        <w:t>9</w:t>
      </w:r>
      <w:r w:rsidR="00FC175F" w:rsidRPr="00ED38A7">
        <w:rPr>
          <w:rFonts w:ascii="Arial" w:hAnsi="Arial" w:cs="Arial"/>
          <w:b/>
        </w:rPr>
        <w:t>.</w:t>
      </w:r>
      <w:r w:rsidR="00FC175F" w:rsidRPr="00ED38A7">
        <w:rPr>
          <w:rFonts w:ascii="Arial" w:hAnsi="Arial" w:cs="Arial"/>
          <w:bCs/>
        </w:rPr>
        <w:tab/>
      </w:r>
      <w:r w:rsidR="00FC175F" w:rsidRPr="00ED38A7">
        <w:rPr>
          <w:rFonts w:ascii="Arial" w:hAnsi="Arial" w:cs="Arial"/>
          <w:b/>
        </w:rPr>
        <w:t>Despachos de Turno Extraordinario:</w:t>
      </w:r>
      <w:r w:rsidR="00FC175F" w:rsidRPr="00ED38A7">
        <w:rPr>
          <w:rFonts w:ascii="Arial" w:hAnsi="Arial" w:cs="Arial"/>
          <w:bCs/>
        </w:rPr>
        <w:t xml:space="preserve">  Con respecto a la atención de las materias Penal y Contravenciones de los Circuitos Judiciales Primero, Segundo y Tercero de San José y la Periferia, debe indicarse que tanto el Juzgado Penal, como la Fiscalía y la Defensa Pública, todos de Turno Extraordinario, ubicados en el Primer y Segundo Circuito Judicial de San José</w:t>
      </w:r>
      <w:r w:rsidR="00FF2447" w:rsidRPr="00ED38A7">
        <w:rPr>
          <w:rFonts w:ascii="Arial" w:hAnsi="Arial" w:cs="Arial"/>
          <w:bCs/>
        </w:rPr>
        <w:t xml:space="preserve"> </w:t>
      </w:r>
      <w:r w:rsidR="00FC175F" w:rsidRPr="00ED38A7">
        <w:rPr>
          <w:rFonts w:ascii="Arial" w:hAnsi="Arial" w:cs="Arial"/>
          <w:bCs/>
        </w:rPr>
        <w:t xml:space="preserve">mantendrán su atención normal, conforme los horarios y los lineamientos establecidos para los diferentes grupos que prestan servicio en este tipo de despachos, para la atención en horas y días inhábiles entre semana, fines de semana, días feriados, de asueto, períodos largos y garantizar la atención rápida y oportuna de los casos que se presenten, de forma que se cumpla con el plazo constitucional para dirimir la situación de las personas que se presenten en esos períodos. </w:t>
      </w:r>
    </w:p>
    <w:p w14:paraId="2B51EEC0" w14:textId="01410675" w:rsidR="00491320" w:rsidRPr="00ED38A7" w:rsidRDefault="00491320" w:rsidP="00FF2447">
      <w:pPr>
        <w:spacing w:line="240" w:lineRule="auto"/>
        <w:rPr>
          <w:rFonts w:ascii="Arial" w:hAnsi="Arial" w:cs="Arial"/>
          <w:bCs/>
        </w:rPr>
      </w:pPr>
    </w:p>
    <w:p w14:paraId="36A16DA7" w14:textId="118EF4EA" w:rsidR="00491320" w:rsidRPr="00ED38A7" w:rsidRDefault="00491320" w:rsidP="00FF2447">
      <w:pPr>
        <w:spacing w:line="240" w:lineRule="auto"/>
        <w:rPr>
          <w:rFonts w:ascii="Arial" w:hAnsi="Arial" w:cs="Arial"/>
          <w:lang w:eastAsia="en-US"/>
        </w:rPr>
      </w:pPr>
      <w:r w:rsidRPr="00ED38A7">
        <w:rPr>
          <w:rFonts w:ascii="Arial" w:hAnsi="Arial" w:cs="Arial"/>
          <w:lang w:eastAsia="en-US"/>
        </w:rPr>
        <w:t xml:space="preserve">No obstante, de existir alguna nueva disposición que vaya a contravenir lo establecido en el párrafo anterior, </w:t>
      </w:r>
      <w:r w:rsidR="00AD4E1E" w:rsidRPr="00ED38A7">
        <w:rPr>
          <w:rFonts w:ascii="Arial" w:hAnsi="Arial" w:cs="Arial"/>
          <w:lang w:eastAsia="en-US"/>
        </w:rPr>
        <w:t xml:space="preserve">deberá atenderse conforme con </w:t>
      </w:r>
      <w:r w:rsidRPr="00ED38A7">
        <w:rPr>
          <w:rFonts w:ascii="Arial" w:hAnsi="Arial" w:cs="Arial"/>
          <w:lang w:eastAsia="en-US"/>
        </w:rPr>
        <w:t>lo dispuesto por el Consejo Superior</w:t>
      </w:r>
      <w:r w:rsidR="00AD4E1E" w:rsidRPr="00ED38A7">
        <w:rPr>
          <w:rFonts w:ascii="Arial" w:hAnsi="Arial" w:cs="Arial"/>
          <w:lang w:eastAsia="en-US"/>
        </w:rPr>
        <w:t xml:space="preserve">, </w:t>
      </w:r>
      <w:r w:rsidRPr="00ED38A7">
        <w:rPr>
          <w:rFonts w:ascii="Arial" w:hAnsi="Arial" w:cs="Arial"/>
          <w:lang w:eastAsia="en-US"/>
        </w:rPr>
        <w:t>la Comisión de la Jurisdicción Penal, la Dirección de Planificación</w:t>
      </w:r>
      <w:r w:rsidR="00AD4E1E" w:rsidRPr="00ED38A7">
        <w:rPr>
          <w:rFonts w:ascii="Arial" w:hAnsi="Arial" w:cs="Arial"/>
          <w:lang w:eastAsia="en-US"/>
        </w:rPr>
        <w:t>, entre otros, producto</w:t>
      </w:r>
      <w:r w:rsidRPr="00ED38A7">
        <w:rPr>
          <w:rFonts w:ascii="Arial" w:hAnsi="Arial" w:cs="Arial"/>
          <w:lang w:eastAsia="en-US"/>
        </w:rPr>
        <w:t xml:space="preserve"> de los estudios competentes al “Rediseño de Procesos del modelo Penal por medio de nuevas tecnologías de información”, o por las disposiciones que se estimen oportunas por parte de los órganos decisores.</w:t>
      </w:r>
    </w:p>
    <w:p w14:paraId="3C0D9061" w14:textId="77777777" w:rsidR="00813AD7" w:rsidRPr="00ED38A7" w:rsidRDefault="00813AD7" w:rsidP="00FF2447">
      <w:pPr>
        <w:spacing w:line="240" w:lineRule="auto"/>
        <w:rPr>
          <w:rFonts w:ascii="Arial" w:hAnsi="Arial" w:cs="Arial"/>
          <w:bCs/>
        </w:rPr>
      </w:pPr>
    </w:p>
    <w:p w14:paraId="723A586C" w14:textId="3E80B1CF" w:rsidR="00BD5AC5" w:rsidRDefault="0079533B" w:rsidP="00FF2447">
      <w:pPr>
        <w:spacing w:line="240" w:lineRule="auto"/>
        <w:rPr>
          <w:rFonts w:ascii="Arial" w:hAnsi="Arial" w:cs="Arial"/>
          <w:bCs/>
        </w:rPr>
      </w:pPr>
      <w:r w:rsidRPr="00ED38A7">
        <w:rPr>
          <w:rFonts w:ascii="Arial" w:hAnsi="Arial" w:cs="Arial"/>
          <w:b/>
        </w:rPr>
        <w:t>3.4.</w:t>
      </w:r>
      <w:r w:rsidR="00511844" w:rsidRPr="00ED38A7">
        <w:rPr>
          <w:rFonts w:ascii="Arial" w:hAnsi="Arial" w:cs="Arial"/>
          <w:b/>
        </w:rPr>
        <w:t>10</w:t>
      </w:r>
      <w:r w:rsidRPr="00ED38A7">
        <w:rPr>
          <w:rFonts w:ascii="Arial" w:hAnsi="Arial" w:cs="Arial"/>
          <w:b/>
        </w:rPr>
        <w:t>.</w:t>
      </w:r>
      <w:r w:rsidR="00C168ED" w:rsidRPr="00ED38A7">
        <w:rPr>
          <w:rFonts w:ascii="Arial" w:hAnsi="Arial" w:cs="Arial"/>
          <w:b/>
        </w:rPr>
        <w:t xml:space="preserve"> </w:t>
      </w:r>
      <w:bookmarkStart w:id="22" w:name="_Hlk56035051"/>
      <w:r w:rsidR="00B05BB0" w:rsidRPr="00ED38A7">
        <w:rPr>
          <w:rFonts w:ascii="Arial" w:hAnsi="Arial" w:cs="Arial"/>
          <w:b/>
          <w:i/>
          <w:iCs/>
        </w:rPr>
        <w:t>“Rediseño de Procesos del modelo Penal</w:t>
      </w:r>
      <w:r w:rsidR="00AA3EF5" w:rsidRPr="00ED38A7">
        <w:rPr>
          <w:rFonts w:ascii="Arial" w:hAnsi="Arial" w:cs="Arial"/>
          <w:b/>
          <w:i/>
          <w:iCs/>
        </w:rPr>
        <w:t>”</w:t>
      </w:r>
      <w:r w:rsidR="00B05BB0" w:rsidRPr="00ED38A7">
        <w:rPr>
          <w:rFonts w:ascii="Arial" w:hAnsi="Arial" w:cs="Arial"/>
          <w:b/>
        </w:rPr>
        <w:t xml:space="preserve">: </w:t>
      </w:r>
      <w:r w:rsidR="00C168ED" w:rsidRPr="00ED38A7">
        <w:rPr>
          <w:rFonts w:ascii="Arial" w:hAnsi="Arial" w:cs="Arial"/>
          <w:bCs/>
        </w:rPr>
        <w:t>En razón d</w:t>
      </w:r>
      <w:r w:rsidRPr="00ED38A7">
        <w:rPr>
          <w:rFonts w:ascii="Arial" w:hAnsi="Arial" w:cs="Arial"/>
          <w:bCs/>
        </w:rPr>
        <w:t>e</w:t>
      </w:r>
      <w:r w:rsidR="00C168ED" w:rsidRPr="00ED38A7">
        <w:rPr>
          <w:rFonts w:ascii="Arial" w:hAnsi="Arial" w:cs="Arial"/>
          <w:bCs/>
        </w:rPr>
        <w:t xml:space="preserve"> </w:t>
      </w:r>
      <w:r w:rsidRPr="00ED38A7">
        <w:rPr>
          <w:rFonts w:ascii="Arial" w:hAnsi="Arial" w:cs="Arial"/>
          <w:bCs/>
        </w:rPr>
        <w:t>l</w:t>
      </w:r>
      <w:r w:rsidR="00C168ED" w:rsidRPr="00ED38A7">
        <w:rPr>
          <w:rFonts w:ascii="Arial" w:hAnsi="Arial" w:cs="Arial"/>
          <w:bCs/>
        </w:rPr>
        <w:t xml:space="preserve">os estudios que se encuentra realizando la Dirección de Planificación </w:t>
      </w:r>
      <w:r w:rsidRPr="00ED38A7">
        <w:rPr>
          <w:rFonts w:ascii="Arial" w:hAnsi="Arial" w:cs="Arial"/>
          <w:bCs/>
        </w:rPr>
        <w:t xml:space="preserve"> </w:t>
      </w:r>
      <w:r w:rsidR="00C168ED" w:rsidRPr="00ED38A7">
        <w:rPr>
          <w:rFonts w:ascii="Arial" w:hAnsi="Arial" w:cs="Arial"/>
          <w:bCs/>
        </w:rPr>
        <w:t>denominados “</w:t>
      </w:r>
      <w:r w:rsidRPr="00ED38A7">
        <w:rPr>
          <w:rFonts w:ascii="Arial" w:hAnsi="Arial" w:cs="Arial"/>
          <w:bCs/>
        </w:rPr>
        <w:t>Rediseño de Procesos del modelo Penal por medio de nuevas tecnologías de información</w:t>
      </w:r>
      <w:r w:rsidR="00C168ED" w:rsidRPr="00ED38A7">
        <w:rPr>
          <w:rFonts w:ascii="Arial" w:hAnsi="Arial" w:cs="Arial"/>
          <w:bCs/>
        </w:rPr>
        <w:t>”</w:t>
      </w:r>
      <w:r w:rsidRPr="00ED38A7">
        <w:rPr>
          <w:rFonts w:ascii="Arial" w:hAnsi="Arial" w:cs="Arial"/>
          <w:bCs/>
        </w:rPr>
        <w:t xml:space="preserve"> </w:t>
      </w:r>
      <w:r w:rsidR="00BD5AC5" w:rsidRPr="00ED38A7">
        <w:rPr>
          <w:rFonts w:ascii="Arial" w:hAnsi="Arial" w:cs="Arial"/>
          <w:bCs/>
        </w:rPr>
        <w:t xml:space="preserve">se podrían presentar </w:t>
      </w:r>
      <w:r w:rsidR="00C168ED" w:rsidRPr="00ED38A7">
        <w:rPr>
          <w:rFonts w:ascii="Arial" w:hAnsi="Arial" w:cs="Arial"/>
          <w:bCs/>
        </w:rPr>
        <w:t>modifica</w:t>
      </w:r>
      <w:r w:rsidR="00BD5AC5" w:rsidRPr="00ED38A7">
        <w:rPr>
          <w:rFonts w:ascii="Arial" w:hAnsi="Arial" w:cs="Arial"/>
          <w:bCs/>
        </w:rPr>
        <w:t>ciones a nivel de</w:t>
      </w:r>
      <w:r w:rsidR="00C168ED" w:rsidRPr="00ED38A7">
        <w:rPr>
          <w:rFonts w:ascii="Arial" w:hAnsi="Arial" w:cs="Arial"/>
          <w:bCs/>
        </w:rPr>
        <w:t xml:space="preserve"> las estructuras, los procesos y l</w:t>
      </w:r>
      <w:r w:rsidR="00BD5AC5" w:rsidRPr="00ED38A7">
        <w:rPr>
          <w:rFonts w:ascii="Arial" w:hAnsi="Arial" w:cs="Arial"/>
          <w:bCs/>
        </w:rPr>
        <w:t>os procedimientos internos de las oficinas jurisdiccionales competentes en la materia, lo que podría generar que de ser aprobadas por los instancias superiores (Corte Plena, Consejo Superior, Comisión de la Jurisdicción Penal</w:t>
      </w:r>
      <w:r w:rsidR="00B05BB0" w:rsidRPr="00ED38A7">
        <w:rPr>
          <w:rFonts w:ascii="Arial" w:hAnsi="Arial" w:cs="Arial"/>
          <w:bCs/>
        </w:rPr>
        <w:t xml:space="preserve">) </w:t>
      </w:r>
      <w:r w:rsidR="00BD5AC5" w:rsidRPr="00ED38A7">
        <w:rPr>
          <w:rFonts w:ascii="Arial" w:hAnsi="Arial" w:cs="Arial"/>
          <w:bCs/>
        </w:rPr>
        <w:t>se generen ajustes en lo planteado en</w:t>
      </w:r>
      <w:r w:rsidR="00B05BB0" w:rsidRPr="00ED38A7">
        <w:rPr>
          <w:rFonts w:ascii="Arial" w:hAnsi="Arial" w:cs="Arial"/>
          <w:bCs/>
        </w:rPr>
        <w:t xml:space="preserve"> este informe</w:t>
      </w:r>
      <w:r w:rsidR="00BC6097" w:rsidRPr="00ED38A7">
        <w:rPr>
          <w:rFonts w:ascii="Arial" w:hAnsi="Arial" w:cs="Arial"/>
          <w:bCs/>
        </w:rPr>
        <w:t xml:space="preserve">, lo cual </w:t>
      </w:r>
      <w:r w:rsidR="00B05BB0" w:rsidRPr="00ED38A7">
        <w:rPr>
          <w:rFonts w:ascii="Arial" w:hAnsi="Arial" w:cs="Arial"/>
          <w:bCs/>
        </w:rPr>
        <w:t>se comunicará oportunamente.</w:t>
      </w:r>
    </w:p>
    <w:p w14:paraId="5550B506" w14:textId="77777777" w:rsidR="0042098F" w:rsidRPr="00ED38A7" w:rsidRDefault="0042098F" w:rsidP="00FF2447">
      <w:pPr>
        <w:spacing w:line="240" w:lineRule="auto"/>
        <w:rPr>
          <w:rFonts w:ascii="Arial" w:hAnsi="Arial" w:cs="Arial"/>
          <w:bCs/>
        </w:rPr>
      </w:pPr>
    </w:p>
    <w:bookmarkEnd w:id="22"/>
    <w:p w14:paraId="3EF32641" w14:textId="77777777" w:rsidR="008644BF" w:rsidRPr="00ED38A7" w:rsidRDefault="008644BF" w:rsidP="00FC175F">
      <w:pPr>
        <w:spacing w:line="240" w:lineRule="auto"/>
        <w:rPr>
          <w:rFonts w:ascii="Arial" w:hAnsi="Arial" w:cs="Arial"/>
          <w:bCs/>
        </w:rPr>
      </w:pPr>
    </w:p>
    <w:p w14:paraId="05B285DB" w14:textId="0C4BCBE4" w:rsidR="00257BF0" w:rsidRPr="0093260A" w:rsidRDefault="00BA1134" w:rsidP="00FC175F">
      <w:pPr>
        <w:spacing w:line="240" w:lineRule="auto"/>
        <w:rPr>
          <w:rFonts w:ascii="Arial" w:hAnsi="Arial" w:cs="Arial"/>
          <w:bCs/>
        </w:rPr>
      </w:pPr>
      <w:r w:rsidRPr="0093260A">
        <w:rPr>
          <w:rFonts w:ascii="Arial" w:hAnsi="Arial" w:cs="Arial"/>
          <w:b/>
        </w:rPr>
        <w:t>3.</w:t>
      </w:r>
      <w:r w:rsidR="00C9425C" w:rsidRPr="0093260A">
        <w:rPr>
          <w:rFonts w:ascii="Arial" w:hAnsi="Arial" w:cs="Arial"/>
          <w:b/>
        </w:rPr>
        <w:t>4.1</w:t>
      </w:r>
      <w:r w:rsidR="00511844" w:rsidRPr="0093260A">
        <w:rPr>
          <w:rFonts w:ascii="Arial" w:hAnsi="Arial" w:cs="Arial"/>
          <w:b/>
        </w:rPr>
        <w:t>1</w:t>
      </w:r>
      <w:r w:rsidRPr="0093260A">
        <w:rPr>
          <w:rFonts w:ascii="Arial" w:hAnsi="Arial" w:cs="Arial"/>
          <w:b/>
        </w:rPr>
        <w:t xml:space="preserve">. </w:t>
      </w:r>
      <w:r w:rsidR="006F279F" w:rsidRPr="0093260A">
        <w:rPr>
          <w:rFonts w:ascii="Arial" w:hAnsi="Arial" w:cs="Arial"/>
          <w:b/>
        </w:rPr>
        <w:t xml:space="preserve">Materia de Flagrancias: </w:t>
      </w:r>
      <w:r w:rsidR="00257BF0" w:rsidRPr="0093260A">
        <w:rPr>
          <w:rFonts w:ascii="Arial" w:hAnsi="Arial" w:cs="Arial"/>
          <w:bCs/>
        </w:rPr>
        <w:t>En próximos días, la Comisión Nacional de Flagrancia emitirá la recomendación ante el Consejo Superior sobre cuáles serían las oficinas que se recomendaría mantener con apertura durante el cierre colectivo del año 2022 e inicios del 2023, a fin de que cada despacho proceda con la organización del cierre colectivo.</w:t>
      </w:r>
    </w:p>
    <w:p w14:paraId="3E9F52B3" w14:textId="77777777" w:rsidR="00257BF0" w:rsidRDefault="00257BF0" w:rsidP="00FC175F">
      <w:pPr>
        <w:spacing w:line="240" w:lineRule="auto"/>
        <w:rPr>
          <w:rFonts w:ascii="Arial" w:hAnsi="Arial" w:cs="Arial"/>
          <w:b/>
        </w:rPr>
      </w:pPr>
    </w:p>
    <w:p w14:paraId="55000017" w14:textId="2CC5E2EC" w:rsidR="00D7722B" w:rsidRPr="00D7722B" w:rsidRDefault="00D7722B" w:rsidP="00FC175F">
      <w:pPr>
        <w:spacing w:line="240" w:lineRule="auto"/>
        <w:rPr>
          <w:rFonts w:ascii="Arial" w:hAnsi="Arial" w:cs="Arial"/>
          <w:bCs/>
        </w:rPr>
      </w:pPr>
      <w:r w:rsidRPr="00D7722B">
        <w:rPr>
          <w:rFonts w:ascii="Arial" w:hAnsi="Arial" w:cs="Arial"/>
          <w:bCs/>
        </w:rPr>
        <w:t>Según lo dispuesto por el Consejo Superior, la Comisión de la Jurisdicción Penal y la Comisión Nacional de Flagrancias, se deberá acoger las disposiciones y directrices que se establezcan en la materia de Flagrancias producto de los estudios competentes al “Rediseño de Procesos del modelo Penal por medio de nuevas tecnologías de información” que elabore la Dirección de Planificación, o por las disposiciones que se estimen oportunas por parte de los órganos decisores de la materia penal.</w:t>
      </w:r>
    </w:p>
    <w:p w14:paraId="19C91A82" w14:textId="77777777" w:rsidR="00D7722B" w:rsidRDefault="00D7722B" w:rsidP="00FC175F">
      <w:pPr>
        <w:spacing w:line="240" w:lineRule="auto"/>
        <w:rPr>
          <w:rFonts w:ascii="Arial" w:hAnsi="Arial" w:cs="Arial"/>
          <w:b/>
        </w:rPr>
      </w:pPr>
    </w:p>
    <w:p w14:paraId="11EA3CC3" w14:textId="77777777" w:rsidR="00D7722B" w:rsidRDefault="00D7722B" w:rsidP="00FC175F">
      <w:pPr>
        <w:spacing w:line="240" w:lineRule="auto"/>
        <w:rPr>
          <w:rFonts w:ascii="Arial" w:hAnsi="Arial" w:cs="Arial"/>
          <w:b/>
        </w:rPr>
      </w:pPr>
    </w:p>
    <w:p w14:paraId="4AA204B8" w14:textId="388BB017" w:rsidR="008B1535" w:rsidRPr="00ED38A7" w:rsidRDefault="00D7722B" w:rsidP="00FC175F">
      <w:pPr>
        <w:spacing w:line="240" w:lineRule="auto"/>
        <w:rPr>
          <w:rFonts w:ascii="Arial" w:hAnsi="Arial" w:cs="Arial"/>
          <w:b/>
        </w:rPr>
      </w:pPr>
      <w:r>
        <w:rPr>
          <w:rFonts w:ascii="Arial" w:hAnsi="Arial" w:cs="Arial"/>
          <w:b/>
        </w:rPr>
        <w:t xml:space="preserve">3.5. </w:t>
      </w:r>
      <w:r w:rsidR="00BA1134" w:rsidRPr="00ED38A7">
        <w:rPr>
          <w:rFonts w:ascii="Arial" w:hAnsi="Arial" w:cs="Arial"/>
          <w:b/>
        </w:rPr>
        <w:t xml:space="preserve">Lineamientos de acatamiento general respecto a la pandemia COVID-19 </w:t>
      </w:r>
    </w:p>
    <w:p w14:paraId="15F9630C" w14:textId="1B598B4B" w:rsidR="00BA1134" w:rsidRPr="00ED38A7" w:rsidRDefault="00BA1134" w:rsidP="00FC175F">
      <w:pPr>
        <w:spacing w:line="240" w:lineRule="auto"/>
        <w:rPr>
          <w:rFonts w:ascii="Arial" w:hAnsi="Arial" w:cs="Arial"/>
          <w:bCs/>
        </w:rPr>
      </w:pPr>
    </w:p>
    <w:p w14:paraId="55417E1B" w14:textId="5C09BB13" w:rsidR="00BA1134" w:rsidRPr="00ED38A7" w:rsidRDefault="00BA1134" w:rsidP="00FC175F">
      <w:pPr>
        <w:spacing w:line="240" w:lineRule="auto"/>
        <w:rPr>
          <w:rFonts w:ascii="Arial" w:hAnsi="Arial" w:cs="Arial"/>
          <w:bCs/>
        </w:rPr>
      </w:pPr>
      <w:r w:rsidRPr="00ED38A7">
        <w:rPr>
          <w:rFonts w:ascii="Arial" w:hAnsi="Arial" w:cs="Arial"/>
          <w:bCs/>
        </w:rPr>
        <w:t>Las oficinas y despachos judiciales que deban atender apertura efectiva deberán velar por el cumplimiento de los lineamientos establecidos en la Circular 35-2020</w:t>
      </w:r>
      <w:r w:rsidR="00656001" w:rsidRPr="00ED38A7">
        <w:rPr>
          <w:rFonts w:ascii="Arial" w:hAnsi="Arial" w:cs="Arial"/>
          <w:bCs/>
        </w:rPr>
        <w:t xml:space="preserve"> </w:t>
      </w:r>
      <w:r w:rsidR="00656001" w:rsidRPr="00ED38A7">
        <w:rPr>
          <w:rFonts w:ascii="Arial" w:hAnsi="Arial" w:cs="Arial"/>
          <w:bCs/>
          <w:i/>
          <w:iCs/>
        </w:rPr>
        <w:t xml:space="preserve">“Lineamientos institucionales que deben ser aplicados ante la llegada del CORONAVIRUS (COVID-19) </w:t>
      </w:r>
      <w:r w:rsidR="00656001" w:rsidRPr="00ED38A7">
        <w:rPr>
          <w:i/>
          <w:iCs/>
        </w:rPr>
        <w:t>al país”</w:t>
      </w:r>
      <w:r w:rsidRPr="00ED38A7">
        <w:rPr>
          <w:rFonts w:ascii="Arial" w:hAnsi="Arial" w:cs="Arial"/>
          <w:bCs/>
        </w:rPr>
        <w:t xml:space="preserve"> de la Secretaría General de la Corte, así como cualquier otra directriz institucional emitida con posterioridad por las instancias superiores</w:t>
      </w:r>
      <w:r w:rsidR="004919A4" w:rsidRPr="00ED38A7">
        <w:rPr>
          <w:rFonts w:ascii="Arial" w:hAnsi="Arial" w:cs="Arial"/>
          <w:bCs/>
        </w:rPr>
        <w:t>,</w:t>
      </w:r>
      <w:r w:rsidRPr="00ED38A7">
        <w:rPr>
          <w:rFonts w:ascii="Arial" w:hAnsi="Arial" w:cs="Arial"/>
          <w:bCs/>
        </w:rPr>
        <w:t xml:space="preserve"> relacionada con el tema, sea general o específica de la materia que se atienda, con la finalidad de resguardar la seguridad del personal del Poder Judicial y de las personas usuarias que requieren de los servicios institucionales.</w:t>
      </w:r>
    </w:p>
    <w:bookmarkStart w:id="23" w:name="_MON_1666592019"/>
    <w:bookmarkEnd w:id="23"/>
    <w:p w14:paraId="4C21D432" w14:textId="1299F70B" w:rsidR="00656001" w:rsidRPr="00ED38A7" w:rsidRDefault="00656001" w:rsidP="00996747">
      <w:pPr>
        <w:spacing w:line="240" w:lineRule="auto"/>
        <w:jc w:val="center"/>
        <w:rPr>
          <w:rFonts w:ascii="Arial" w:hAnsi="Arial" w:cs="Arial"/>
          <w:bCs/>
        </w:rPr>
      </w:pPr>
      <w:r w:rsidRPr="00ED38A7">
        <w:rPr>
          <w:rFonts w:ascii="Arial" w:hAnsi="Arial" w:cs="Arial"/>
          <w:bCs/>
        </w:rPr>
        <w:object w:dxaOrig="1508" w:dyaOrig="983" w14:anchorId="37A70EDA">
          <v:shape id="_x0000_i1027" type="#_x0000_t75" style="width:75.8pt;height:48.85pt" o:ole="">
            <v:imagedata r:id="rId18" o:title=""/>
          </v:shape>
          <o:OLEObject Type="Embed" ProgID="Word.Document.12" ShapeID="_x0000_i1027" DrawAspect="Icon" ObjectID="_1732598036" r:id="rId19">
            <o:FieldCodes>\s</o:FieldCodes>
          </o:OLEObject>
        </w:object>
      </w:r>
    </w:p>
    <w:p w14:paraId="31A14971" w14:textId="26D042C4" w:rsidR="00511844" w:rsidRDefault="00511844" w:rsidP="00FC175F">
      <w:pPr>
        <w:spacing w:line="240" w:lineRule="auto"/>
        <w:rPr>
          <w:rFonts w:ascii="Arial" w:hAnsi="Arial" w:cs="Arial"/>
          <w:bCs/>
        </w:rPr>
      </w:pPr>
    </w:p>
    <w:p w14:paraId="1E9E1D77" w14:textId="77777777" w:rsidR="0093260A" w:rsidRPr="00ED38A7" w:rsidRDefault="0093260A" w:rsidP="00FC175F">
      <w:pPr>
        <w:spacing w:line="240" w:lineRule="auto"/>
        <w:rPr>
          <w:rFonts w:ascii="Arial" w:hAnsi="Arial" w:cs="Arial"/>
          <w:bCs/>
        </w:rPr>
      </w:pPr>
    </w:p>
    <w:p w14:paraId="0D89DEA8" w14:textId="02C18ECE" w:rsidR="00D02E3D" w:rsidRPr="00ED38A7" w:rsidRDefault="00D02E3D" w:rsidP="00D01DE8">
      <w:pPr>
        <w:pStyle w:val="Ttulo2"/>
      </w:pPr>
      <w:bookmarkStart w:id="24" w:name="_Hlk53489706"/>
      <w:bookmarkStart w:id="25" w:name="_Hlk530519279"/>
      <w:bookmarkStart w:id="26" w:name="_Hlk500920825"/>
      <w:r w:rsidRPr="00ED38A7">
        <w:t>IV. Elementos Conclusivos</w:t>
      </w:r>
    </w:p>
    <w:bookmarkEnd w:id="24"/>
    <w:bookmarkEnd w:id="25"/>
    <w:p w14:paraId="60FCC3DE" w14:textId="7D0C57D2" w:rsidR="00D02E3D" w:rsidRPr="00ED38A7" w:rsidRDefault="00D02E3D" w:rsidP="00D02E3D">
      <w:pPr>
        <w:autoSpaceDE w:val="0"/>
        <w:autoSpaceDN w:val="0"/>
        <w:adjustRightInd w:val="0"/>
        <w:spacing w:line="240" w:lineRule="auto"/>
        <w:rPr>
          <w:rFonts w:ascii="Arial" w:hAnsi="Arial" w:cs="Arial"/>
          <w:b/>
          <w:bCs/>
          <w:lang w:val="es-CR" w:eastAsia="es-CR"/>
        </w:rPr>
      </w:pPr>
    </w:p>
    <w:p w14:paraId="3572F8B2" w14:textId="7069F258" w:rsidR="00FC175F" w:rsidRPr="00ED38A7" w:rsidRDefault="00DF0CD6" w:rsidP="00FC175F">
      <w:pPr>
        <w:spacing w:line="240" w:lineRule="auto"/>
        <w:rPr>
          <w:rFonts w:ascii="Arial" w:hAnsi="Arial" w:cs="Arial"/>
          <w:bCs/>
        </w:rPr>
      </w:pPr>
      <w:r w:rsidRPr="00ED38A7">
        <w:rPr>
          <w:rFonts w:ascii="Arial" w:hAnsi="Arial" w:cs="Arial"/>
          <w:b/>
        </w:rPr>
        <w:t>4</w:t>
      </w:r>
      <w:r w:rsidR="00FC175F" w:rsidRPr="00ED38A7">
        <w:rPr>
          <w:rFonts w:ascii="Arial" w:hAnsi="Arial" w:cs="Arial"/>
          <w:b/>
        </w:rPr>
        <w:t>.1.</w:t>
      </w:r>
      <w:r w:rsidR="00FC175F" w:rsidRPr="00ED38A7">
        <w:rPr>
          <w:rFonts w:ascii="Arial" w:hAnsi="Arial" w:cs="Arial"/>
          <w:bCs/>
        </w:rPr>
        <w:t xml:space="preserve">  La naturaleza de la apertura efectiva considera el propósito de la directriz para los despachos que deben abrir, el cual se avoca al carácter urgente e impostergable de los asuntos que deben ser atendidos y que, por su naturaleza y seguridad jurídica, no admiten demoras en su trámite.</w:t>
      </w:r>
    </w:p>
    <w:p w14:paraId="16BB94B1" w14:textId="77777777" w:rsidR="00FC175F" w:rsidRPr="00ED38A7" w:rsidRDefault="00FC175F" w:rsidP="00FC175F">
      <w:pPr>
        <w:spacing w:line="240" w:lineRule="auto"/>
        <w:rPr>
          <w:rFonts w:ascii="Arial" w:hAnsi="Arial" w:cs="Arial"/>
          <w:bCs/>
        </w:rPr>
      </w:pPr>
    </w:p>
    <w:p w14:paraId="3543FD7A" w14:textId="4D3545EC" w:rsidR="00FC175F" w:rsidRPr="00ED38A7" w:rsidRDefault="00DF0CD6" w:rsidP="00FC175F">
      <w:pPr>
        <w:spacing w:line="240" w:lineRule="auto"/>
        <w:rPr>
          <w:rFonts w:ascii="Arial" w:hAnsi="Arial" w:cs="Arial"/>
          <w:bCs/>
        </w:rPr>
      </w:pPr>
      <w:r w:rsidRPr="00ED38A7">
        <w:rPr>
          <w:rFonts w:ascii="Arial" w:hAnsi="Arial" w:cs="Arial"/>
          <w:b/>
        </w:rPr>
        <w:t>4.</w:t>
      </w:r>
      <w:r w:rsidR="00FC175F" w:rsidRPr="00ED38A7">
        <w:rPr>
          <w:rFonts w:ascii="Arial" w:hAnsi="Arial" w:cs="Arial"/>
          <w:b/>
        </w:rPr>
        <w:t>2.</w:t>
      </w:r>
      <w:r w:rsidR="00FC175F" w:rsidRPr="00ED38A7">
        <w:rPr>
          <w:rFonts w:ascii="Arial" w:hAnsi="Arial" w:cs="Arial"/>
          <w:bCs/>
        </w:rPr>
        <w:t xml:space="preserve">  El presente informe compila los despachos y oficinas judiciales que deberán prestar servicio bajo la modalidad de apertura efectiva, así como las labores que deben realizar. Esta información fue debidamente actualizada con los últimos cambios aprobados, en cuanto a especialización de materias, principalmente.</w:t>
      </w:r>
    </w:p>
    <w:p w14:paraId="0C600D7C" w14:textId="77777777" w:rsidR="00FC175F" w:rsidRPr="00ED38A7" w:rsidRDefault="00FC175F" w:rsidP="00FC175F">
      <w:pPr>
        <w:spacing w:line="240" w:lineRule="auto"/>
        <w:rPr>
          <w:rFonts w:ascii="Arial" w:hAnsi="Arial" w:cs="Arial"/>
          <w:bCs/>
        </w:rPr>
      </w:pPr>
    </w:p>
    <w:p w14:paraId="5BF2118E" w14:textId="2D661FD6" w:rsidR="00FC175F" w:rsidRPr="00ED38A7" w:rsidRDefault="00DF0CD6" w:rsidP="00FC175F">
      <w:pPr>
        <w:spacing w:line="240" w:lineRule="auto"/>
        <w:rPr>
          <w:rFonts w:ascii="Arial" w:hAnsi="Arial" w:cs="Arial"/>
          <w:bCs/>
        </w:rPr>
      </w:pPr>
      <w:r w:rsidRPr="00ED38A7">
        <w:rPr>
          <w:rFonts w:ascii="Arial" w:hAnsi="Arial" w:cs="Arial"/>
          <w:b/>
        </w:rPr>
        <w:t>4</w:t>
      </w:r>
      <w:r w:rsidR="00FC175F" w:rsidRPr="00ED38A7">
        <w:rPr>
          <w:rFonts w:ascii="Arial" w:hAnsi="Arial" w:cs="Arial"/>
          <w:b/>
        </w:rPr>
        <w:t>.3.</w:t>
      </w:r>
      <w:r w:rsidR="00FC175F" w:rsidRPr="00ED38A7">
        <w:rPr>
          <w:rFonts w:ascii="Arial" w:hAnsi="Arial" w:cs="Arial"/>
          <w:bCs/>
        </w:rPr>
        <w:t xml:space="preserve">  Asimismo, se aportan una serie de aspectos generales a considerar por los despachos y oficinas judiciales participantes, junto con otras consideraciones relevantes sobre las condiciones particulares de algunas dependencias involucradas.</w:t>
      </w:r>
    </w:p>
    <w:p w14:paraId="41E02BBC" w14:textId="77777777" w:rsidR="00214B60" w:rsidRPr="00ED38A7" w:rsidRDefault="00214B60" w:rsidP="00FC175F">
      <w:pPr>
        <w:spacing w:line="240" w:lineRule="auto"/>
        <w:rPr>
          <w:rFonts w:ascii="Arial" w:hAnsi="Arial" w:cs="Arial"/>
          <w:bCs/>
        </w:rPr>
      </w:pPr>
    </w:p>
    <w:p w14:paraId="21CE31B0" w14:textId="08CCB8DF" w:rsidR="00FC175F" w:rsidRPr="00ED38A7" w:rsidRDefault="00DF0CD6" w:rsidP="00FC175F">
      <w:pPr>
        <w:spacing w:line="240" w:lineRule="auto"/>
        <w:rPr>
          <w:rFonts w:ascii="Arial" w:hAnsi="Arial" w:cs="Arial"/>
          <w:bCs/>
        </w:rPr>
      </w:pPr>
      <w:r w:rsidRPr="00ED38A7">
        <w:rPr>
          <w:rFonts w:ascii="Arial" w:hAnsi="Arial" w:cs="Arial"/>
          <w:b/>
        </w:rPr>
        <w:t>4</w:t>
      </w:r>
      <w:r w:rsidR="00FC175F" w:rsidRPr="00ED38A7">
        <w:rPr>
          <w:rFonts w:ascii="Arial" w:hAnsi="Arial" w:cs="Arial"/>
          <w:b/>
        </w:rPr>
        <w:t>.4.</w:t>
      </w:r>
      <w:r w:rsidR="00FC175F" w:rsidRPr="00ED38A7">
        <w:rPr>
          <w:rFonts w:ascii="Arial" w:hAnsi="Arial" w:cs="Arial"/>
          <w:bCs/>
        </w:rPr>
        <w:t xml:space="preserve"> Es de importancia aclarar que la modalidad de apertura efectiva es diferente al concepto de disponibilidad en las materias y despachos que aplica, siendo que en el periodo de cierre colectivo de fin y principio de año y Semana Santa intervienen ambas modalidades de atención, de forma complementaria. En ese sentido, la apertura efectiva se aplica durante la jornada ordinaria, mientras que la disponibilidad cubre días y horas inhábiles.</w:t>
      </w:r>
    </w:p>
    <w:p w14:paraId="7E54FEAE" w14:textId="77777777" w:rsidR="00FC175F" w:rsidRPr="00ED38A7" w:rsidRDefault="00FC175F" w:rsidP="00FC175F">
      <w:pPr>
        <w:spacing w:line="240" w:lineRule="auto"/>
        <w:rPr>
          <w:rFonts w:ascii="Arial" w:hAnsi="Arial" w:cs="Arial"/>
          <w:bCs/>
        </w:rPr>
      </w:pPr>
    </w:p>
    <w:p w14:paraId="1DBB5FEF" w14:textId="1C04C36F" w:rsidR="00FC175F" w:rsidRPr="00ED38A7" w:rsidRDefault="00DF0CD6" w:rsidP="00FC175F">
      <w:pPr>
        <w:spacing w:line="240" w:lineRule="auto"/>
        <w:rPr>
          <w:rFonts w:ascii="Arial" w:hAnsi="Arial" w:cs="Arial"/>
          <w:bCs/>
        </w:rPr>
      </w:pPr>
      <w:r w:rsidRPr="00ED38A7">
        <w:rPr>
          <w:rFonts w:ascii="Arial" w:hAnsi="Arial" w:cs="Arial"/>
          <w:b/>
        </w:rPr>
        <w:t>4</w:t>
      </w:r>
      <w:r w:rsidR="00FC175F" w:rsidRPr="00ED38A7">
        <w:rPr>
          <w:rFonts w:ascii="Arial" w:hAnsi="Arial" w:cs="Arial"/>
          <w:b/>
        </w:rPr>
        <w:t xml:space="preserve">.5. </w:t>
      </w:r>
      <w:r w:rsidR="00FC175F" w:rsidRPr="00ED38A7">
        <w:rPr>
          <w:rFonts w:ascii="Arial" w:hAnsi="Arial" w:cs="Arial"/>
          <w:bCs/>
        </w:rPr>
        <w:t xml:space="preserve"> Los días que no corresponda al cierre efectivo, se atenderán con los lineamientos generales aprobado</w:t>
      </w:r>
      <w:r w:rsidR="0079533B" w:rsidRPr="00ED38A7">
        <w:rPr>
          <w:rFonts w:ascii="Arial" w:hAnsi="Arial" w:cs="Arial"/>
          <w:bCs/>
        </w:rPr>
        <w:t>s</w:t>
      </w:r>
      <w:r w:rsidR="00FC175F" w:rsidRPr="00ED38A7">
        <w:rPr>
          <w:rFonts w:ascii="Arial" w:hAnsi="Arial" w:cs="Arial"/>
          <w:bCs/>
        </w:rPr>
        <w:t xml:space="preserve"> por </w:t>
      </w:r>
      <w:r w:rsidR="0079533B" w:rsidRPr="00ED38A7">
        <w:rPr>
          <w:rFonts w:ascii="Arial" w:hAnsi="Arial" w:cs="Arial"/>
          <w:bCs/>
        </w:rPr>
        <w:t xml:space="preserve">el </w:t>
      </w:r>
      <w:r w:rsidR="00FC175F" w:rsidRPr="00ED38A7">
        <w:rPr>
          <w:rFonts w:ascii="Arial" w:hAnsi="Arial" w:cs="Arial"/>
          <w:bCs/>
        </w:rPr>
        <w:t xml:space="preserve">Consejo Superior </w:t>
      </w:r>
      <w:r w:rsidR="0079533B" w:rsidRPr="00ED38A7">
        <w:rPr>
          <w:rFonts w:ascii="Arial" w:hAnsi="Arial" w:cs="Arial"/>
          <w:bCs/>
        </w:rPr>
        <w:t>en</w:t>
      </w:r>
      <w:r w:rsidR="00FC175F" w:rsidRPr="00ED38A7">
        <w:rPr>
          <w:rFonts w:ascii="Arial" w:hAnsi="Arial" w:cs="Arial"/>
          <w:bCs/>
        </w:rPr>
        <w:t xml:space="preserve"> disponibilidad</w:t>
      </w:r>
      <w:r w:rsidR="0064679C">
        <w:rPr>
          <w:rFonts w:ascii="Arial" w:hAnsi="Arial" w:cs="Arial"/>
          <w:bCs/>
        </w:rPr>
        <w:t>.</w:t>
      </w:r>
    </w:p>
    <w:p w14:paraId="385C1E14" w14:textId="77777777" w:rsidR="00FC175F" w:rsidRPr="00ED38A7" w:rsidRDefault="00FC175F" w:rsidP="00FC175F">
      <w:pPr>
        <w:spacing w:line="240" w:lineRule="auto"/>
        <w:rPr>
          <w:rFonts w:ascii="Arial" w:hAnsi="Arial" w:cs="Arial"/>
          <w:bCs/>
        </w:rPr>
      </w:pPr>
    </w:p>
    <w:p w14:paraId="40FABF54" w14:textId="447EDF95" w:rsidR="00FC175F" w:rsidRPr="005C1FB7" w:rsidRDefault="00DF0CD6" w:rsidP="00FC175F">
      <w:pPr>
        <w:spacing w:line="240" w:lineRule="auto"/>
        <w:rPr>
          <w:rFonts w:ascii="Arial" w:hAnsi="Arial" w:cs="Arial"/>
          <w:bCs/>
        </w:rPr>
      </w:pPr>
      <w:r w:rsidRPr="00ED38A7">
        <w:rPr>
          <w:rFonts w:ascii="Arial" w:hAnsi="Arial" w:cs="Arial"/>
          <w:b/>
        </w:rPr>
        <w:t>4</w:t>
      </w:r>
      <w:r w:rsidR="00FC175F" w:rsidRPr="00ED38A7">
        <w:rPr>
          <w:rFonts w:ascii="Arial" w:hAnsi="Arial" w:cs="Arial"/>
          <w:b/>
        </w:rPr>
        <w:t>.6.</w:t>
      </w:r>
      <w:r w:rsidR="00FC175F" w:rsidRPr="00ED38A7">
        <w:rPr>
          <w:rFonts w:ascii="Arial" w:hAnsi="Arial" w:cs="Arial"/>
          <w:bCs/>
        </w:rPr>
        <w:t xml:space="preserve">  Las jefaturas de cada oficina o despacho, en los que se realice la apertura efectiva en el periodo </w:t>
      </w:r>
      <w:r w:rsidR="00FC175F" w:rsidRPr="005C1FB7">
        <w:rPr>
          <w:rFonts w:ascii="Arial" w:hAnsi="Arial" w:cs="Arial"/>
          <w:bCs/>
        </w:rPr>
        <w:t xml:space="preserve">de cierre colectivo, deberá comunicar lo que proceda a la Dirección de Gestión Humana, para efectos del cómputo de los días laborados </w:t>
      </w:r>
      <w:r w:rsidR="0064679C" w:rsidRPr="005C1FB7">
        <w:rPr>
          <w:rFonts w:ascii="Arial" w:hAnsi="Arial" w:cs="Arial"/>
          <w:bCs/>
        </w:rPr>
        <w:t xml:space="preserve">del personal correspondiente. </w:t>
      </w:r>
    </w:p>
    <w:p w14:paraId="6E8AE017" w14:textId="678CA919" w:rsidR="00FC175F" w:rsidRPr="005C1FB7" w:rsidRDefault="00FC175F" w:rsidP="00FC175F">
      <w:pPr>
        <w:spacing w:line="240" w:lineRule="auto"/>
        <w:rPr>
          <w:rFonts w:ascii="Arial" w:hAnsi="Arial" w:cs="Arial"/>
          <w:bCs/>
        </w:rPr>
      </w:pPr>
    </w:p>
    <w:p w14:paraId="76A43049" w14:textId="337187EB" w:rsidR="00FC175F" w:rsidRPr="005C1FB7" w:rsidRDefault="00656001">
      <w:pPr>
        <w:spacing w:line="240" w:lineRule="auto"/>
        <w:rPr>
          <w:rFonts w:ascii="Arial" w:hAnsi="Arial" w:cs="Arial"/>
          <w:bCs/>
          <w:lang w:val="es-CR" w:eastAsia="es-CR"/>
        </w:rPr>
      </w:pPr>
      <w:r w:rsidRPr="005C1FB7">
        <w:rPr>
          <w:rFonts w:ascii="Arial" w:hAnsi="Arial" w:cs="Arial"/>
          <w:b/>
        </w:rPr>
        <w:t xml:space="preserve">4.7. </w:t>
      </w:r>
      <w:r w:rsidRPr="005C1FB7">
        <w:rPr>
          <w:rFonts w:ascii="Arial" w:hAnsi="Arial" w:cs="Arial"/>
          <w:bCs/>
        </w:rPr>
        <w:t>Todas las oficinas o despachos judiciales que realicen la apertura efectiva de fin y principio de año, así como de Semana Santa, deberán tomar en consideración todas las generalidades en cuanto a la modalidad de atenc</w:t>
      </w:r>
      <w:r w:rsidRPr="005C1FB7">
        <w:rPr>
          <w:rFonts w:ascii="Arial" w:hAnsi="Arial" w:cs="Arial"/>
          <w:bCs/>
          <w:lang w:val="es-CR" w:eastAsia="es-CR"/>
        </w:rPr>
        <w:t>ión incorporadas en el presente informe, así como los lineamientos de seguridad respecto al COVID-19.</w:t>
      </w:r>
    </w:p>
    <w:p w14:paraId="6C4250E7" w14:textId="47269D43" w:rsidR="0079533B" w:rsidRPr="005C1FB7" w:rsidRDefault="0079533B">
      <w:pPr>
        <w:spacing w:line="240" w:lineRule="auto"/>
        <w:rPr>
          <w:rFonts w:ascii="Arial" w:hAnsi="Arial" w:cs="Arial"/>
          <w:bCs/>
          <w:lang w:val="es-CR" w:eastAsia="es-CR"/>
        </w:rPr>
      </w:pPr>
    </w:p>
    <w:p w14:paraId="493081B1" w14:textId="7E1F0D16" w:rsidR="003A09A7" w:rsidRPr="005C1FB7" w:rsidRDefault="0079533B">
      <w:pPr>
        <w:spacing w:line="240" w:lineRule="auto"/>
        <w:rPr>
          <w:rFonts w:ascii="Arial" w:hAnsi="Arial" w:cs="Arial"/>
          <w:bCs/>
          <w:lang w:val="es-CR" w:eastAsia="es-CR"/>
        </w:rPr>
      </w:pPr>
      <w:r w:rsidRPr="005C1FB7">
        <w:rPr>
          <w:rFonts w:ascii="Arial" w:hAnsi="Arial" w:cs="Arial"/>
          <w:b/>
          <w:lang w:val="es-CR" w:eastAsia="es-CR"/>
        </w:rPr>
        <w:t>4.8.</w:t>
      </w:r>
      <w:r w:rsidRPr="005C1FB7">
        <w:t xml:space="preserve"> </w:t>
      </w:r>
      <w:bookmarkStart w:id="27" w:name="_Hlk56031855"/>
      <w:r w:rsidRPr="005C1FB7">
        <w:rPr>
          <w:rFonts w:ascii="Arial" w:hAnsi="Arial" w:cs="Arial"/>
          <w:bCs/>
          <w:lang w:val="es-CR" w:eastAsia="es-CR"/>
        </w:rPr>
        <w:t xml:space="preserve">Los asuntos que serán atendidos en </w:t>
      </w:r>
      <w:r w:rsidR="00B05BB0" w:rsidRPr="005C1FB7">
        <w:rPr>
          <w:rFonts w:ascii="Arial" w:hAnsi="Arial" w:cs="Arial"/>
          <w:bCs/>
          <w:lang w:val="es-CR" w:eastAsia="es-CR"/>
        </w:rPr>
        <w:t>la materia de</w:t>
      </w:r>
      <w:r w:rsidRPr="005C1FB7">
        <w:rPr>
          <w:rFonts w:ascii="Arial" w:hAnsi="Arial" w:cs="Arial"/>
          <w:bCs/>
          <w:lang w:val="es-CR" w:eastAsia="es-CR"/>
        </w:rPr>
        <w:t xml:space="preserve"> </w:t>
      </w:r>
      <w:r w:rsidR="007F60FF" w:rsidRPr="005C1FB7">
        <w:rPr>
          <w:rFonts w:ascii="Arial" w:hAnsi="Arial" w:cs="Arial"/>
          <w:bCs/>
          <w:lang w:val="es-CR" w:eastAsia="es-CR"/>
        </w:rPr>
        <w:t>Flagrancias</w:t>
      </w:r>
      <w:r w:rsidRPr="005C1FB7">
        <w:rPr>
          <w:rFonts w:ascii="Arial" w:hAnsi="Arial" w:cs="Arial"/>
          <w:bCs/>
          <w:lang w:val="es-CR" w:eastAsia="es-CR"/>
        </w:rPr>
        <w:t xml:space="preserve"> estarán sujetos a lo dispuesto por el Consejo Superior al conocer los informes </w:t>
      </w:r>
      <w:r w:rsidR="00C64685" w:rsidRPr="005C1FB7">
        <w:rPr>
          <w:rFonts w:ascii="Arial" w:hAnsi="Arial" w:cs="Arial"/>
          <w:bCs/>
          <w:lang w:val="es-CR" w:eastAsia="es-CR"/>
        </w:rPr>
        <w:t xml:space="preserve">y recomendaciones </w:t>
      </w:r>
      <w:r w:rsidRPr="005C1FB7">
        <w:rPr>
          <w:rFonts w:ascii="Arial" w:hAnsi="Arial" w:cs="Arial"/>
          <w:bCs/>
          <w:lang w:val="es-CR" w:eastAsia="es-CR"/>
        </w:rPr>
        <w:t xml:space="preserve">que se </w:t>
      </w:r>
      <w:r w:rsidR="00C64685" w:rsidRPr="005C1FB7">
        <w:rPr>
          <w:rFonts w:ascii="Arial" w:hAnsi="Arial" w:cs="Arial"/>
          <w:bCs/>
          <w:lang w:val="es-CR" w:eastAsia="es-CR"/>
        </w:rPr>
        <w:t xml:space="preserve">emitan </w:t>
      </w:r>
      <w:r w:rsidRPr="005C1FB7">
        <w:rPr>
          <w:rFonts w:ascii="Arial" w:hAnsi="Arial" w:cs="Arial"/>
          <w:bCs/>
          <w:lang w:val="es-CR" w:eastAsia="es-CR"/>
        </w:rPr>
        <w:t>por parte de la Comisión de la Jurisdicción Pena</w:t>
      </w:r>
      <w:r w:rsidR="00C64685" w:rsidRPr="005C1FB7">
        <w:rPr>
          <w:rFonts w:ascii="Arial" w:hAnsi="Arial" w:cs="Arial"/>
          <w:bCs/>
          <w:lang w:val="es-CR" w:eastAsia="es-CR"/>
        </w:rPr>
        <w:t>l</w:t>
      </w:r>
      <w:r w:rsidR="008B765E" w:rsidRPr="005C1FB7">
        <w:rPr>
          <w:rFonts w:ascii="Arial" w:hAnsi="Arial" w:cs="Arial"/>
          <w:bCs/>
          <w:lang w:val="es-CR" w:eastAsia="es-CR"/>
        </w:rPr>
        <w:t>, la Comisión Nacional de Flagrancias</w:t>
      </w:r>
      <w:r w:rsidR="00C64685" w:rsidRPr="005C1FB7">
        <w:rPr>
          <w:rFonts w:ascii="Arial" w:hAnsi="Arial" w:cs="Arial"/>
          <w:bCs/>
          <w:lang w:val="es-CR" w:eastAsia="es-CR"/>
        </w:rPr>
        <w:t xml:space="preserve"> y la Dirección de Planificación</w:t>
      </w:r>
      <w:r w:rsidR="009C60AD" w:rsidRPr="005C1FB7">
        <w:rPr>
          <w:rFonts w:ascii="Arial" w:hAnsi="Arial" w:cs="Arial"/>
          <w:bCs/>
          <w:lang w:val="es-CR" w:eastAsia="es-CR"/>
        </w:rPr>
        <w:t>, así también</w:t>
      </w:r>
      <w:r w:rsidR="00C64685" w:rsidRPr="005C1FB7">
        <w:rPr>
          <w:rFonts w:ascii="Arial" w:hAnsi="Arial" w:cs="Arial"/>
          <w:bCs/>
          <w:lang w:val="es-CR" w:eastAsia="es-CR"/>
        </w:rPr>
        <w:t xml:space="preserve"> </w:t>
      </w:r>
      <w:r w:rsidR="003A09A7" w:rsidRPr="005C1FB7">
        <w:rPr>
          <w:rFonts w:ascii="Arial" w:hAnsi="Arial" w:cs="Arial"/>
          <w:bCs/>
          <w:lang w:val="es-CR" w:eastAsia="es-CR"/>
        </w:rPr>
        <w:t xml:space="preserve">producto de </w:t>
      </w:r>
      <w:r w:rsidR="00C64685" w:rsidRPr="005C1FB7">
        <w:rPr>
          <w:rFonts w:ascii="Arial" w:hAnsi="Arial" w:cs="Arial"/>
          <w:bCs/>
          <w:lang w:val="es-CR" w:eastAsia="es-CR"/>
        </w:rPr>
        <w:t xml:space="preserve">los estudios competentes al </w:t>
      </w:r>
      <w:r w:rsidR="003A09A7" w:rsidRPr="005C1FB7">
        <w:rPr>
          <w:rFonts w:ascii="Arial" w:hAnsi="Arial" w:cs="Arial"/>
          <w:bCs/>
          <w:lang w:val="es-CR" w:eastAsia="es-CR"/>
        </w:rPr>
        <w:t>“</w:t>
      </w:r>
      <w:r w:rsidR="00C64685" w:rsidRPr="005C1FB7">
        <w:rPr>
          <w:rFonts w:ascii="Arial" w:hAnsi="Arial" w:cs="Arial"/>
          <w:bCs/>
          <w:lang w:val="es-CR" w:eastAsia="es-CR"/>
        </w:rPr>
        <w:t xml:space="preserve">Rediseño de Procesos </w:t>
      </w:r>
      <w:r w:rsidR="003A09A7" w:rsidRPr="005C1FB7">
        <w:rPr>
          <w:rFonts w:ascii="Arial" w:hAnsi="Arial" w:cs="Arial"/>
          <w:bCs/>
          <w:lang w:val="es-CR" w:eastAsia="es-CR"/>
        </w:rPr>
        <w:t xml:space="preserve">del modelo Penal por medio de nuevas tecnologías de información”, o por las disposiciones que se estimen oportunas por parte </w:t>
      </w:r>
      <w:r w:rsidR="007F60FF" w:rsidRPr="005C1FB7">
        <w:rPr>
          <w:rFonts w:ascii="Arial" w:hAnsi="Arial" w:cs="Arial"/>
          <w:bCs/>
          <w:lang w:val="es-CR" w:eastAsia="es-CR"/>
        </w:rPr>
        <w:t>de los órganos decisores.</w:t>
      </w:r>
      <w:bookmarkEnd w:id="27"/>
    </w:p>
    <w:p w14:paraId="568D98C4" w14:textId="5EF96A81" w:rsidR="003A09A7" w:rsidRPr="00ED38A7" w:rsidRDefault="003A09A7" w:rsidP="008B765E">
      <w:pPr>
        <w:spacing w:line="240" w:lineRule="auto"/>
        <w:rPr>
          <w:rFonts w:ascii="Arial" w:hAnsi="Arial" w:cs="Arial"/>
          <w:bCs/>
          <w:lang w:val="es-CR" w:eastAsia="es-CR"/>
        </w:rPr>
      </w:pPr>
    </w:p>
    <w:p w14:paraId="1ECBEECE" w14:textId="2F0F8A8E" w:rsidR="0079533B" w:rsidRPr="00ED38A7" w:rsidRDefault="008B765E">
      <w:pPr>
        <w:spacing w:line="240" w:lineRule="auto"/>
        <w:rPr>
          <w:rFonts w:ascii="Arial" w:hAnsi="Arial" w:cs="Arial"/>
          <w:bCs/>
          <w:lang w:val="es-CR" w:eastAsia="es-CR"/>
        </w:rPr>
      </w:pPr>
      <w:r w:rsidRPr="00ED38A7">
        <w:rPr>
          <w:rFonts w:ascii="Arial" w:hAnsi="Arial" w:cs="Arial"/>
          <w:b/>
          <w:lang w:val="es-CR" w:eastAsia="es-CR"/>
        </w:rPr>
        <w:t>4.9.</w:t>
      </w:r>
      <w:r w:rsidRPr="00ED38A7">
        <w:rPr>
          <w:rFonts w:ascii="Arial" w:hAnsi="Arial" w:cs="Arial"/>
          <w:bCs/>
          <w:lang w:val="es-CR" w:eastAsia="es-CR"/>
        </w:rPr>
        <w:t xml:space="preserve"> En razón de los estudios que se encuentra realizando la Dirección de Planificación  denominados “Rediseño de Procesos del modelo Penal por medio de nuevas tecnologías de información” se podrían presentar modificaciones a nivel de las estructuras, los procesos y los procedimientos internos de las oficinas jurisdiccionales competentes en la materia, lo que podría generar que de ser aprobadas por los instancias superiores (Corte Plena, Consejo Superior, Comisión de la Jurisdicción Penal) se generen ajustes en lo planteado en este informe, lo cual se comunicará oportunamente.</w:t>
      </w:r>
    </w:p>
    <w:p w14:paraId="024347C6" w14:textId="6A2536C4" w:rsidR="00AD4E1E" w:rsidRPr="00ED38A7" w:rsidRDefault="00AD4E1E">
      <w:pPr>
        <w:spacing w:line="240" w:lineRule="auto"/>
        <w:rPr>
          <w:rFonts w:ascii="Arial" w:hAnsi="Arial" w:cs="Arial"/>
          <w:bCs/>
          <w:lang w:val="es-CR" w:eastAsia="es-CR"/>
        </w:rPr>
      </w:pPr>
    </w:p>
    <w:p w14:paraId="40305973" w14:textId="2B295C58" w:rsidR="0079533B" w:rsidRPr="00ED38A7" w:rsidRDefault="00AD4E1E" w:rsidP="00996747">
      <w:pPr>
        <w:spacing w:line="240" w:lineRule="auto"/>
        <w:rPr>
          <w:rFonts w:ascii="Arial" w:hAnsi="Arial" w:cs="Arial"/>
          <w:bCs/>
          <w:lang w:val="es-CR" w:eastAsia="es-CR"/>
        </w:rPr>
      </w:pPr>
      <w:r w:rsidRPr="00ED38A7">
        <w:rPr>
          <w:rFonts w:ascii="Arial" w:hAnsi="Arial" w:cs="Arial"/>
          <w:b/>
          <w:lang w:val="es-CR" w:eastAsia="es-CR"/>
        </w:rPr>
        <w:t>4.</w:t>
      </w:r>
      <w:r w:rsidRPr="005C1FB7">
        <w:rPr>
          <w:rFonts w:ascii="Arial" w:hAnsi="Arial" w:cs="Arial"/>
          <w:b/>
          <w:lang w:val="es-CR" w:eastAsia="es-CR"/>
        </w:rPr>
        <w:t>10.</w:t>
      </w:r>
      <w:r w:rsidR="00C53582" w:rsidRPr="005C1FB7">
        <w:t xml:space="preserve"> </w:t>
      </w:r>
      <w:r w:rsidRPr="005C1FB7">
        <w:rPr>
          <w:rFonts w:ascii="Arial" w:hAnsi="Arial" w:cs="Arial"/>
          <w:bCs/>
          <w:lang w:val="es-CR" w:eastAsia="es-CR"/>
        </w:rPr>
        <w:t>Para el cierre colectivo de fin y principio de año 202</w:t>
      </w:r>
      <w:r w:rsidR="00BE7FAC" w:rsidRPr="005C1FB7">
        <w:rPr>
          <w:rFonts w:ascii="Arial" w:hAnsi="Arial" w:cs="Arial"/>
          <w:bCs/>
          <w:lang w:val="es-CR" w:eastAsia="es-CR"/>
        </w:rPr>
        <w:t>2</w:t>
      </w:r>
      <w:r w:rsidRPr="005C1FB7">
        <w:rPr>
          <w:rFonts w:ascii="Arial" w:hAnsi="Arial" w:cs="Arial"/>
          <w:bCs/>
          <w:lang w:val="es-CR" w:eastAsia="es-CR"/>
        </w:rPr>
        <w:t>-202</w:t>
      </w:r>
      <w:r w:rsidR="00BE7FAC" w:rsidRPr="005C1FB7">
        <w:rPr>
          <w:rFonts w:ascii="Arial" w:hAnsi="Arial" w:cs="Arial"/>
          <w:bCs/>
          <w:lang w:val="es-CR" w:eastAsia="es-CR"/>
        </w:rPr>
        <w:t>3</w:t>
      </w:r>
      <w:r w:rsidRPr="005C1FB7">
        <w:rPr>
          <w:rFonts w:ascii="Arial" w:hAnsi="Arial" w:cs="Arial"/>
          <w:bCs/>
          <w:lang w:val="es-CR" w:eastAsia="es-CR"/>
        </w:rPr>
        <w:t>, así como de Semana Santa de 202</w:t>
      </w:r>
      <w:r w:rsidR="00BE7FAC" w:rsidRPr="005C1FB7">
        <w:rPr>
          <w:rFonts w:ascii="Arial" w:hAnsi="Arial" w:cs="Arial"/>
          <w:bCs/>
          <w:lang w:val="es-CR" w:eastAsia="es-CR"/>
        </w:rPr>
        <w:t>3</w:t>
      </w:r>
      <w:r w:rsidRPr="005C1FB7">
        <w:rPr>
          <w:rFonts w:ascii="Arial" w:hAnsi="Arial" w:cs="Arial"/>
          <w:bCs/>
          <w:lang w:val="es-CR" w:eastAsia="es-CR"/>
        </w:rPr>
        <w:t xml:space="preserve">, quedará sujeto la apertura efectiva para el Tribunal de Apelación de Sentencia Penal del II Circuito Judicial de San José, </w:t>
      </w:r>
      <w:r w:rsidR="00C53582" w:rsidRPr="005C1FB7">
        <w:rPr>
          <w:rFonts w:ascii="Arial" w:hAnsi="Arial" w:cs="Arial"/>
          <w:bCs/>
          <w:lang w:val="es-CR" w:eastAsia="es-CR"/>
        </w:rPr>
        <w:t>de la gestión que realice la Jueza Coordinadora del referido Tribunal, a</w:t>
      </w:r>
      <w:r w:rsidRPr="005C1FB7">
        <w:rPr>
          <w:rFonts w:ascii="Arial" w:hAnsi="Arial" w:cs="Arial"/>
          <w:bCs/>
          <w:lang w:val="es-CR" w:eastAsia="es-CR"/>
        </w:rPr>
        <w:t>l ente superior</w:t>
      </w:r>
      <w:r w:rsidR="00C53582" w:rsidRPr="005C1FB7">
        <w:rPr>
          <w:rFonts w:ascii="Arial" w:hAnsi="Arial" w:cs="Arial"/>
          <w:bCs/>
          <w:lang w:val="es-CR" w:eastAsia="es-CR"/>
        </w:rPr>
        <w:t>. C</w:t>
      </w:r>
      <w:r w:rsidRPr="005C1FB7">
        <w:rPr>
          <w:rFonts w:ascii="Arial" w:hAnsi="Arial" w:cs="Arial"/>
          <w:bCs/>
          <w:lang w:val="es-CR" w:eastAsia="es-CR"/>
        </w:rPr>
        <w:t>aso contrario, no laborarán durante los días de cierre colectivo bajo la modalidad de apertura efectiva, sino por disponibilidad.</w:t>
      </w:r>
    </w:p>
    <w:p w14:paraId="0CAE5758" w14:textId="031DC40F" w:rsidR="00AD4E1E" w:rsidRPr="00ED38A7" w:rsidRDefault="00AD4E1E" w:rsidP="00996747">
      <w:pPr>
        <w:spacing w:line="240" w:lineRule="auto"/>
        <w:rPr>
          <w:rFonts w:ascii="Arial" w:hAnsi="Arial" w:cs="Arial"/>
          <w:bCs/>
          <w:lang w:val="es-CR" w:eastAsia="es-CR"/>
        </w:rPr>
      </w:pPr>
    </w:p>
    <w:p w14:paraId="27F7201C" w14:textId="448ADF3A" w:rsidR="00C53582" w:rsidRPr="00ED38A7" w:rsidRDefault="00C53582" w:rsidP="00996747">
      <w:pPr>
        <w:spacing w:line="240" w:lineRule="auto"/>
        <w:rPr>
          <w:rFonts w:ascii="Arial" w:hAnsi="Arial" w:cs="Arial"/>
          <w:bCs/>
          <w:lang w:val="es-CR" w:eastAsia="es-CR"/>
        </w:rPr>
      </w:pPr>
      <w:r w:rsidRPr="00ED38A7">
        <w:rPr>
          <w:rFonts w:ascii="Arial" w:hAnsi="Arial" w:cs="Arial"/>
          <w:b/>
          <w:lang w:val="es-CR" w:eastAsia="es-CR"/>
        </w:rPr>
        <w:t>4.11.</w:t>
      </w:r>
      <w:r w:rsidRPr="00ED38A7">
        <w:rPr>
          <w:rFonts w:ascii="Arial" w:hAnsi="Arial" w:cs="Arial"/>
          <w:bCs/>
          <w:lang w:val="es-CR" w:eastAsia="es-CR"/>
        </w:rPr>
        <w:t xml:space="preserve"> De existir alguna nueva disposición que vaya a contravenir lo establecido para los despachos de Turno Extraordinario, deberá atenderse conforme con lo dispuesto por el Consejo Superior, la Comisión de la Jurisdicción Penal, la Dirección de Planificación, entre otros, producto de los estudios competentes al “Rediseño de Procesos del modelo Penal por medio de nuevas tecnologías de información”, o por las disposiciones que se estimen oportunas por parte de los órganos decisores, caso contrario se mantendrá lo establecido en el punto 3.4.9.</w:t>
      </w:r>
    </w:p>
    <w:p w14:paraId="7BA2BC93" w14:textId="77777777" w:rsidR="00AD4E1E" w:rsidRPr="00ED38A7" w:rsidRDefault="00AD4E1E" w:rsidP="00996747">
      <w:pPr>
        <w:spacing w:line="240" w:lineRule="auto"/>
        <w:rPr>
          <w:rFonts w:ascii="Arial" w:hAnsi="Arial" w:cs="Arial"/>
          <w:bCs/>
          <w:lang w:val="es-CR" w:eastAsia="es-CR"/>
        </w:rPr>
      </w:pPr>
    </w:p>
    <w:p w14:paraId="328620D8" w14:textId="77777777" w:rsidR="006403CE" w:rsidRPr="00ED38A7" w:rsidRDefault="006403CE" w:rsidP="00996747">
      <w:pPr>
        <w:spacing w:line="240" w:lineRule="auto"/>
        <w:rPr>
          <w:rFonts w:ascii="Arial" w:hAnsi="Arial" w:cs="Arial"/>
          <w:bCs/>
          <w:lang w:val="es-CR" w:eastAsia="es-CR"/>
        </w:rPr>
      </w:pPr>
    </w:p>
    <w:p w14:paraId="5BF30033" w14:textId="5C4AEB84" w:rsidR="00D02E3D" w:rsidRPr="00ED38A7" w:rsidRDefault="00D02E3D" w:rsidP="00D01DE8">
      <w:pPr>
        <w:pStyle w:val="Ttulo2"/>
      </w:pPr>
      <w:r w:rsidRPr="00ED38A7">
        <w:t>V. Recomendaciones</w:t>
      </w:r>
    </w:p>
    <w:p w14:paraId="3F33386D" w14:textId="77777777" w:rsidR="00FC175F" w:rsidRPr="00ED38A7" w:rsidRDefault="00FC175F" w:rsidP="00FC175F">
      <w:pPr>
        <w:spacing w:line="240" w:lineRule="auto"/>
        <w:rPr>
          <w:rFonts w:ascii="Arial" w:hAnsi="Arial" w:cs="Arial"/>
          <w:b/>
        </w:rPr>
      </w:pPr>
    </w:p>
    <w:p w14:paraId="2B087EBF" w14:textId="6CD8155E" w:rsidR="00FC175F" w:rsidRPr="00ED38A7" w:rsidRDefault="00DF0CD6" w:rsidP="00FC175F">
      <w:pPr>
        <w:spacing w:line="240" w:lineRule="auto"/>
        <w:rPr>
          <w:rFonts w:ascii="Arial" w:hAnsi="Arial" w:cs="Arial"/>
          <w:b/>
        </w:rPr>
      </w:pPr>
      <w:r w:rsidRPr="00ED38A7">
        <w:rPr>
          <w:rFonts w:ascii="Arial" w:hAnsi="Arial" w:cs="Arial"/>
          <w:b/>
        </w:rPr>
        <w:t>5</w:t>
      </w:r>
      <w:r w:rsidR="00FC175F" w:rsidRPr="00ED38A7">
        <w:rPr>
          <w:rFonts w:ascii="Arial" w:hAnsi="Arial" w:cs="Arial"/>
          <w:b/>
        </w:rPr>
        <w:t>.1. Al Consejo Superior</w:t>
      </w:r>
    </w:p>
    <w:p w14:paraId="7FF3345C" w14:textId="77777777" w:rsidR="00FC175F" w:rsidRPr="00ED38A7" w:rsidRDefault="00FC175F" w:rsidP="00FC175F">
      <w:pPr>
        <w:spacing w:line="240" w:lineRule="auto"/>
        <w:rPr>
          <w:rFonts w:ascii="Arial" w:hAnsi="Arial" w:cs="Arial"/>
          <w:bCs/>
        </w:rPr>
      </w:pPr>
    </w:p>
    <w:p w14:paraId="302C987F" w14:textId="3BBFBBE6" w:rsidR="00FC175F" w:rsidRPr="005C1FB7" w:rsidRDefault="00FC175F" w:rsidP="00FC175F">
      <w:pPr>
        <w:spacing w:line="240" w:lineRule="auto"/>
        <w:rPr>
          <w:rFonts w:ascii="Arial" w:hAnsi="Arial" w:cs="Arial"/>
          <w:bCs/>
        </w:rPr>
      </w:pPr>
      <w:r w:rsidRPr="00ED38A7">
        <w:rPr>
          <w:rFonts w:ascii="Arial" w:hAnsi="Arial" w:cs="Arial"/>
          <w:bCs/>
        </w:rPr>
        <w:t xml:space="preserve">En consideración de las políticas y lineamientos emitidos por los entes superiores para la </w:t>
      </w:r>
      <w:r w:rsidRPr="005C1FB7">
        <w:rPr>
          <w:rFonts w:ascii="Arial" w:hAnsi="Arial" w:cs="Arial"/>
          <w:bCs/>
        </w:rPr>
        <w:t xml:space="preserve">atención en la modalidad de apertura efectiva, durante los cierres colectivos por vacaciones, se recomienda aprobar el presente informe para el servicio que se deberá brindar durante </w:t>
      </w:r>
      <w:r w:rsidR="001E6C2B" w:rsidRPr="005C1FB7">
        <w:rPr>
          <w:rFonts w:ascii="Arial" w:hAnsi="Arial" w:cs="Arial"/>
          <w:bCs/>
        </w:rPr>
        <w:t xml:space="preserve">el periodo de </w:t>
      </w:r>
      <w:r w:rsidRPr="005C1FB7">
        <w:rPr>
          <w:rFonts w:ascii="Arial" w:hAnsi="Arial" w:cs="Arial"/>
          <w:bCs/>
        </w:rPr>
        <w:t>fin</w:t>
      </w:r>
      <w:r w:rsidR="001E6C2B" w:rsidRPr="005C1FB7">
        <w:rPr>
          <w:rFonts w:ascii="Arial" w:hAnsi="Arial" w:cs="Arial"/>
          <w:bCs/>
        </w:rPr>
        <w:t>ales del</w:t>
      </w:r>
      <w:r w:rsidRPr="005C1FB7">
        <w:rPr>
          <w:rFonts w:ascii="Arial" w:hAnsi="Arial" w:cs="Arial"/>
          <w:bCs/>
        </w:rPr>
        <w:t xml:space="preserve"> 202</w:t>
      </w:r>
      <w:r w:rsidR="0064679C" w:rsidRPr="005C1FB7">
        <w:rPr>
          <w:rFonts w:ascii="Arial" w:hAnsi="Arial" w:cs="Arial"/>
          <w:bCs/>
        </w:rPr>
        <w:t>2</w:t>
      </w:r>
      <w:r w:rsidRPr="005C1FB7">
        <w:rPr>
          <w:rFonts w:ascii="Arial" w:hAnsi="Arial" w:cs="Arial"/>
          <w:bCs/>
        </w:rPr>
        <w:t>, principio 202</w:t>
      </w:r>
      <w:r w:rsidR="00C136F7" w:rsidRPr="005C1FB7">
        <w:rPr>
          <w:rFonts w:ascii="Arial" w:hAnsi="Arial" w:cs="Arial"/>
          <w:bCs/>
        </w:rPr>
        <w:t>3</w:t>
      </w:r>
      <w:r w:rsidRPr="005C1FB7">
        <w:rPr>
          <w:rFonts w:ascii="Arial" w:hAnsi="Arial" w:cs="Arial"/>
          <w:bCs/>
        </w:rPr>
        <w:t xml:space="preserve"> y Semana Santa 202</w:t>
      </w:r>
      <w:r w:rsidR="00C136F7" w:rsidRPr="005C1FB7">
        <w:rPr>
          <w:rFonts w:ascii="Arial" w:hAnsi="Arial" w:cs="Arial"/>
          <w:bCs/>
        </w:rPr>
        <w:t>3</w:t>
      </w:r>
      <w:r w:rsidRPr="005C1FB7">
        <w:rPr>
          <w:rFonts w:ascii="Arial" w:hAnsi="Arial" w:cs="Arial"/>
          <w:bCs/>
        </w:rPr>
        <w:t>, por parte de los despachos y oficinas judiciales participantes y en las materias descritas</w:t>
      </w:r>
      <w:r w:rsidR="00931F8A" w:rsidRPr="005C1FB7">
        <w:rPr>
          <w:rFonts w:ascii="Arial" w:hAnsi="Arial" w:cs="Arial"/>
          <w:bCs/>
        </w:rPr>
        <w:t xml:space="preserve"> en el siguiente detalle</w:t>
      </w:r>
      <w:r w:rsidRPr="005C1FB7">
        <w:rPr>
          <w:rFonts w:ascii="Arial" w:hAnsi="Arial" w:cs="Arial"/>
          <w:bCs/>
        </w:rPr>
        <w:t>.</w:t>
      </w:r>
      <w:r w:rsidR="006403CE" w:rsidRPr="005C1FB7">
        <w:rPr>
          <w:rFonts w:ascii="Arial" w:hAnsi="Arial" w:cs="Arial"/>
          <w:bCs/>
        </w:rPr>
        <w:t xml:space="preserve"> </w:t>
      </w:r>
    </w:p>
    <w:p w14:paraId="45983BF9" w14:textId="0C2285FD" w:rsidR="00026A39" w:rsidRDefault="00026A39" w:rsidP="00FC175F">
      <w:pPr>
        <w:spacing w:line="240" w:lineRule="auto"/>
        <w:rPr>
          <w:rFonts w:ascii="Arial" w:hAnsi="Arial" w:cs="Arial"/>
          <w:bCs/>
        </w:rPr>
      </w:pPr>
    </w:p>
    <w:p w14:paraId="237AFA9A" w14:textId="77777777" w:rsidR="00EC7262" w:rsidRDefault="00EC7262" w:rsidP="00FC175F">
      <w:pPr>
        <w:spacing w:line="240" w:lineRule="auto"/>
        <w:rPr>
          <w:rFonts w:ascii="Arial" w:hAnsi="Arial" w:cs="Arial"/>
          <w:bCs/>
        </w:rPr>
      </w:pPr>
    </w:p>
    <w:p w14:paraId="7C0A459F" w14:textId="77777777" w:rsidR="00026A39" w:rsidRPr="00ED38A7" w:rsidRDefault="00026A39" w:rsidP="00FC175F">
      <w:pPr>
        <w:spacing w:line="240" w:lineRule="auto"/>
        <w:rPr>
          <w:rFonts w:ascii="Arial" w:hAnsi="Arial" w:cs="Arial"/>
          <w:bCs/>
        </w:rPr>
      </w:pPr>
    </w:p>
    <w:tbl>
      <w:tblPr>
        <w:tblW w:w="7167" w:type="dxa"/>
        <w:jc w:val="center"/>
        <w:tblCellMar>
          <w:left w:w="70" w:type="dxa"/>
          <w:right w:w="70" w:type="dxa"/>
        </w:tblCellMar>
        <w:tblLook w:val="04A0" w:firstRow="1" w:lastRow="0" w:firstColumn="1" w:lastColumn="0" w:noHBand="0" w:noVBand="1"/>
      </w:tblPr>
      <w:tblGrid>
        <w:gridCol w:w="3583"/>
        <w:gridCol w:w="3584"/>
      </w:tblGrid>
      <w:tr w:rsidR="00EC7262" w:rsidRPr="00ED38A7" w14:paraId="34342526" w14:textId="77777777" w:rsidTr="00494709">
        <w:trPr>
          <w:trHeight w:val="768"/>
          <w:jc w:val="center"/>
        </w:trPr>
        <w:tc>
          <w:tcPr>
            <w:tcW w:w="3583" w:type="dxa"/>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3AF2B08A" w14:textId="77777777" w:rsidR="00EC7262" w:rsidRPr="00ED38A7" w:rsidRDefault="00EC7262" w:rsidP="00494709">
            <w:pPr>
              <w:spacing w:line="240" w:lineRule="auto"/>
              <w:ind w:left="316"/>
              <w:jc w:val="center"/>
            </w:pPr>
            <w:r w:rsidRPr="00ED38A7">
              <w:t>ÁMBITO JURISDICCIONAL</w:t>
            </w:r>
          </w:p>
        </w:tc>
        <w:tc>
          <w:tcPr>
            <w:tcW w:w="3584" w:type="dxa"/>
            <w:tcBorders>
              <w:top w:val="single" w:sz="4" w:space="0" w:color="000000"/>
              <w:left w:val="nil"/>
              <w:bottom w:val="single" w:sz="4" w:space="0" w:color="000000"/>
              <w:right w:val="single" w:sz="4" w:space="0" w:color="000000"/>
            </w:tcBorders>
            <w:shd w:val="clear" w:color="auto" w:fill="00B0F0"/>
            <w:vAlign w:val="center"/>
            <w:hideMark/>
          </w:tcPr>
          <w:p w14:paraId="0B6B7354" w14:textId="77777777" w:rsidR="00EC7262" w:rsidRPr="00ED38A7" w:rsidRDefault="00EC7262" w:rsidP="00494709">
            <w:pPr>
              <w:spacing w:line="240" w:lineRule="auto"/>
              <w:ind w:left="316"/>
              <w:jc w:val="center"/>
            </w:pPr>
            <w:r w:rsidRPr="00ED38A7">
              <w:t>ÁMBITO AUXILIAR DE JUSTICIA</w:t>
            </w:r>
          </w:p>
        </w:tc>
      </w:tr>
      <w:bookmarkStart w:id="28" w:name="_MON_1727811253"/>
      <w:bookmarkEnd w:id="28"/>
      <w:tr w:rsidR="00EC7262" w:rsidRPr="00ED38A7" w14:paraId="6902471A" w14:textId="77777777" w:rsidTr="00494709">
        <w:trPr>
          <w:trHeight w:val="1829"/>
          <w:jc w:val="center"/>
        </w:trPr>
        <w:tc>
          <w:tcPr>
            <w:tcW w:w="3583" w:type="dxa"/>
            <w:tcBorders>
              <w:top w:val="nil"/>
              <w:left w:val="single" w:sz="4" w:space="0" w:color="000000"/>
              <w:bottom w:val="single" w:sz="4" w:space="0" w:color="000000"/>
              <w:right w:val="single" w:sz="4" w:space="0" w:color="000000"/>
            </w:tcBorders>
            <w:vAlign w:val="center"/>
            <w:hideMark/>
          </w:tcPr>
          <w:p w14:paraId="4F81EF28" w14:textId="4F99B008" w:rsidR="00EC7262" w:rsidRPr="00ED38A7" w:rsidRDefault="00164F5D" w:rsidP="00494709">
            <w:pPr>
              <w:spacing w:line="240" w:lineRule="auto"/>
              <w:ind w:left="316"/>
              <w:jc w:val="center"/>
            </w:pPr>
            <w:r w:rsidRPr="00ED38A7">
              <w:object w:dxaOrig="1376" w:dyaOrig="893" w14:anchorId="1D2A69D8">
                <v:shape id="_x0000_i1028" type="#_x0000_t75" style="width:68.85pt;height:45.1pt" o:ole="">
                  <v:imagedata r:id="rId14" o:title=""/>
                </v:shape>
                <o:OLEObject Type="Embed" ProgID="Word.Document.12" ShapeID="_x0000_i1028" DrawAspect="Icon" ObjectID="_1732598037" r:id="rId20">
                  <o:FieldCodes>\s</o:FieldCodes>
                </o:OLEObject>
              </w:object>
            </w:r>
          </w:p>
        </w:tc>
        <w:bookmarkStart w:id="29" w:name="_MON_1727811878"/>
        <w:bookmarkEnd w:id="29"/>
        <w:tc>
          <w:tcPr>
            <w:tcW w:w="3584" w:type="dxa"/>
            <w:tcBorders>
              <w:top w:val="nil"/>
              <w:left w:val="nil"/>
              <w:bottom w:val="single" w:sz="4" w:space="0" w:color="000000"/>
              <w:right w:val="single" w:sz="4" w:space="0" w:color="000000"/>
            </w:tcBorders>
            <w:vAlign w:val="center"/>
            <w:hideMark/>
          </w:tcPr>
          <w:p w14:paraId="46C0AEE4" w14:textId="523BC5F7" w:rsidR="00EC7262" w:rsidRPr="00ED38A7" w:rsidRDefault="00164F5D" w:rsidP="00494709">
            <w:pPr>
              <w:spacing w:line="240" w:lineRule="auto"/>
              <w:ind w:left="316"/>
              <w:jc w:val="center"/>
            </w:pPr>
            <w:r w:rsidRPr="00ED38A7">
              <w:object w:dxaOrig="1376" w:dyaOrig="893" w14:anchorId="7F2B4B3F">
                <v:shape id="_x0000_i1029" type="#_x0000_t75" style="width:68.85pt;height:45.1pt" o:ole="">
                  <v:imagedata r:id="rId16" o:title=""/>
                </v:shape>
                <o:OLEObject Type="Embed" ProgID="Word.Document.12" ShapeID="_x0000_i1029" DrawAspect="Icon" ObjectID="_1732598038" r:id="rId21">
                  <o:FieldCodes>\s</o:FieldCodes>
                </o:OLEObject>
              </w:object>
            </w:r>
          </w:p>
        </w:tc>
      </w:tr>
    </w:tbl>
    <w:p w14:paraId="176EAE54" w14:textId="77777777" w:rsidR="00EC7262" w:rsidRPr="00ED38A7" w:rsidRDefault="00EC7262" w:rsidP="00EC7262">
      <w:pPr>
        <w:spacing w:line="240" w:lineRule="auto"/>
        <w:rPr>
          <w:bCs/>
          <w:sz w:val="20"/>
          <w:szCs w:val="20"/>
        </w:rPr>
      </w:pPr>
      <w:r w:rsidRPr="00ED38A7">
        <w:rPr>
          <w:bCs/>
        </w:rPr>
        <w:t xml:space="preserve">                       </w:t>
      </w:r>
      <w:r w:rsidRPr="00ED38A7">
        <w:rPr>
          <w:bCs/>
          <w:sz w:val="20"/>
          <w:szCs w:val="20"/>
        </w:rPr>
        <w:t xml:space="preserve">FUENTE: Subproceso Organización Institucional </w:t>
      </w:r>
      <w:r>
        <w:rPr>
          <w:bCs/>
          <w:sz w:val="20"/>
          <w:szCs w:val="20"/>
        </w:rPr>
        <w:t>octubre</w:t>
      </w:r>
      <w:r w:rsidRPr="00ED38A7">
        <w:rPr>
          <w:bCs/>
          <w:sz w:val="20"/>
          <w:szCs w:val="20"/>
        </w:rPr>
        <w:t xml:space="preserve"> 202</w:t>
      </w:r>
      <w:r>
        <w:rPr>
          <w:bCs/>
          <w:sz w:val="20"/>
          <w:szCs w:val="20"/>
        </w:rPr>
        <w:t>2</w:t>
      </w:r>
      <w:r w:rsidRPr="00ED38A7">
        <w:rPr>
          <w:bCs/>
          <w:sz w:val="20"/>
          <w:szCs w:val="20"/>
        </w:rPr>
        <w:t>.</w:t>
      </w:r>
    </w:p>
    <w:p w14:paraId="6EFB036E" w14:textId="77777777" w:rsidR="00931F8A" w:rsidRPr="00ED38A7" w:rsidRDefault="00931F8A" w:rsidP="00931F8A">
      <w:pPr>
        <w:spacing w:line="240" w:lineRule="auto"/>
        <w:rPr>
          <w:rFonts w:ascii="Arial" w:hAnsi="Arial" w:cs="Arial"/>
          <w:bCs/>
        </w:rPr>
      </w:pPr>
    </w:p>
    <w:p w14:paraId="6F9E0AE3" w14:textId="77777777" w:rsidR="00931F8A" w:rsidRPr="00ED38A7" w:rsidRDefault="00931F8A" w:rsidP="00FC175F">
      <w:pPr>
        <w:spacing w:line="240" w:lineRule="auto"/>
        <w:rPr>
          <w:rFonts w:ascii="Arial" w:hAnsi="Arial" w:cs="Arial"/>
          <w:bCs/>
        </w:rPr>
      </w:pPr>
    </w:p>
    <w:p w14:paraId="28C88078" w14:textId="77777777" w:rsidR="00FC175F" w:rsidRPr="00ED38A7" w:rsidRDefault="00FC175F" w:rsidP="00FC175F">
      <w:pPr>
        <w:spacing w:line="240" w:lineRule="auto"/>
        <w:rPr>
          <w:rFonts w:ascii="Arial" w:hAnsi="Arial" w:cs="Arial"/>
          <w:bCs/>
        </w:rPr>
      </w:pPr>
    </w:p>
    <w:p w14:paraId="2EF555E2" w14:textId="21C0850C" w:rsidR="00FC175F" w:rsidRPr="00ED38A7" w:rsidRDefault="00DF0CD6" w:rsidP="00FC175F">
      <w:pPr>
        <w:spacing w:line="240" w:lineRule="auto"/>
        <w:rPr>
          <w:rFonts w:ascii="Arial" w:hAnsi="Arial" w:cs="Arial"/>
          <w:b/>
        </w:rPr>
      </w:pPr>
      <w:r w:rsidRPr="00ED38A7">
        <w:rPr>
          <w:rFonts w:ascii="Arial" w:hAnsi="Arial" w:cs="Arial"/>
          <w:b/>
        </w:rPr>
        <w:t>5</w:t>
      </w:r>
      <w:r w:rsidR="00FC175F" w:rsidRPr="00ED38A7">
        <w:rPr>
          <w:rFonts w:ascii="Arial" w:hAnsi="Arial" w:cs="Arial"/>
          <w:b/>
        </w:rPr>
        <w:t>.2. A la Secretaría General de la Corte</w:t>
      </w:r>
    </w:p>
    <w:p w14:paraId="14EC9439" w14:textId="77777777" w:rsidR="00FC175F" w:rsidRPr="00ED38A7" w:rsidRDefault="00FC175F" w:rsidP="00FC175F">
      <w:pPr>
        <w:spacing w:line="240" w:lineRule="auto"/>
        <w:rPr>
          <w:rFonts w:ascii="Arial" w:hAnsi="Arial" w:cs="Arial"/>
          <w:bCs/>
        </w:rPr>
      </w:pPr>
    </w:p>
    <w:p w14:paraId="52FF0F5F" w14:textId="733FB368" w:rsidR="00FC175F" w:rsidRPr="00BD4EBB" w:rsidRDefault="00DF0CD6" w:rsidP="00FC175F">
      <w:pPr>
        <w:spacing w:line="240" w:lineRule="auto"/>
        <w:rPr>
          <w:rFonts w:ascii="Arial" w:hAnsi="Arial" w:cs="Arial"/>
          <w:bCs/>
        </w:rPr>
      </w:pPr>
      <w:r w:rsidRPr="00ED38A7">
        <w:rPr>
          <w:rFonts w:ascii="Arial" w:hAnsi="Arial" w:cs="Arial"/>
          <w:b/>
        </w:rPr>
        <w:t>5</w:t>
      </w:r>
      <w:r w:rsidR="00FC175F" w:rsidRPr="00ED38A7">
        <w:rPr>
          <w:rFonts w:ascii="Arial" w:hAnsi="Arial" w:cs="Arial"/>
          <w:b/>
        </w:rPr>
        <w:t>.2.1.</w:t>
      </w:r>
      <w:r w:rsidR="00FC175F" w:rsidRPr="00ED38A7">
        <w:rPr>
          <w:rFonts w:ascii="Arial" w:hAnsi="Arial" w:cs="Arial"/>
          <w:bCs/>
        </w:rPr>
        <w:t xml:space="preserve"> Una vez aprobado el presente informe, se recomienda emitir una circular dirigida a todos los despachos y oficinas judiciales del país, para informar sobre los </w:t>
      </w:r>
      <w:r w:rsidR="00FC175F" w:rsidRPr="00BD4EBB">
        <w:rPr>
          <w:rFonts w:ascii="Arial" w:hAnsi="Arial" w:cs="Arial"/>
          <w:bCs/>
        </w:rPr>
        <w:t xml:space="preserve">despachos y oficinas judiciales que laborarán bajo la modalidad de apertura efectiva, </w:t>
      </w:r>
      <w:bookmarkStart w:id="30" w:name="_Hlk19622725"/>
      <w:r w:rsidR="00FC175F" w:rsidRPr="00BD4EBB">
        <w:rPr>
          <w:rFonts w:ascii="Arial" w:hAnsi="Arial" w:cs="Arial"/>
          <w:bCs/>
        </w:rPr>
        <w:t xml:space="preserve">durante el </w:t>
      </w:r>
      <w:r w:rsidR="001E6C2B" w:rsidRPr="00BD4EBB">
        <w:rPr>
          <w:rFonts w:ascii="Arial" w:hAnsi="Arial" w:cs="Arial"/>
          <w:bCs/>
        </w:rPr>
        <w:t>periodo de finales del 202</w:t>
      </w:r>
      <w:r w:rsidR="00C136F7" w:rsidRPr="00BD4EBB">
        <w:rPr>
          <w:rFonts w:ascii="Arial" w:hAnsi="Arial" w:cs="Arial"/>
          <w:bCs/>
        </w:rPr>
        <w:t>2</w:t>
      </w:r>
      <w:r w:rsidR="00FC175F" w:rsidRPr="00BD4EBB">
        <w:rPr>
          <w:rFonts w:ascii="Arial" w:hAnsi="Arial" w:cs="Arial"/>
          <w:bCs/>
        </w:rPr>
        <w:t>, principio 202</w:t>
      </w:r>
      <w:r w:rsidR="00C136F7" w:rsidRPr="00BD4EBB">
        <w:rPr>
          <w:rFonts w:ascii="Arial" w:hAnsi="Arial" w:cs="Arial"/>
          <w:bCs/>
        </w:rPr>
        <w:t>3</w:t>
      </w:r>
      <w:r w:rsidR="00FC175F" w:rsidRPr="00BD4EBB">
        <w:rPr>
          <w:rFonts w:ascii="Arial" w:hAnsi="Arial" w:cs="Arial"/>
          <w:bCs/>
        </w:rPr>
        <w:t xml:space="preserve"> y Semana Santa 202</w:t>
      </w:r>
      <w:r w:rsidR="00C136F7" w:rsidRPr="00BD4EBB">
        <w:rPr>
          <w:rFonts w:ascii="Arial" w:hAnsi="Arial" w:cs="Arial"/>
          <w:bCs/>
        </w:rPr>
        <w:t>3</w:t>
      </w:r>
      <w:r w:rsidR="00FC175F" w:rsidRPr="00BD4EBB">
        <w:rPr>
          <w:rFonts w:ascii="Arial" w:hAnsi="Arial" w:cs="Arial"/>
          <w:bCs/>
        </w:rPr>
        <w:t xml:space="preserve">. </w:t>
      </w:r>
      <w:bookmarkEnd w:id="30"/>
    </w:p>
    <w:p w14:paraId="1DFD7FFD" w14:textId="77777777" w:rsidR="00FC175F" w:rsidRPr="00BD4EBB" w:rsidRDefault="00FC175F" w:rsidP="00FC175F">
      <w:pPr>
        <w:spacing w:line="240" w:lineRule="auto"/>
        <w:rPr>
          <w:rFonts w:ascii="Arial" w:hAnsi="Arial" w:cs="Arial"/>
          <w:bCs/>
        </w:rPr>
      </w:pPr>
    </w:p>
    <w:p w14:paraId="2123C389" w14:textId="51E4C22A" w:rsidR="00FC175F" w:rsidRPr="00BD4EBB" w:rsidRDefault="00FC175F" w:rsidP="00FC175F">
      <w:pPr>
        <w:spacing w:line="240" w:lineRule="auto"/>
        <w:rPr>
          <w:rFonts w:ascii="Arial" w:hAnsi="Arial" w:cs="Arial"/>
          <w:bCs/>
        </w:rPr>
      </w:pPr>
      <w:r w:rsidRPr="00BD4EBB">
        <w:rPr>
          <w:rFonts w:ascii="Arial" w:hAnsi="Arial" w:cs="Arial"/>
          <w:bCs/>
        </w:rPr>
        <w:t>Se adjunta la propuesta de la circular requerida, para la Apertura Efectiva durante el cierre colectivo de fin de 202</w:t>
      </w:r>
      <w:r w:rsidR="00C136F7" w:rsidRPr="00BD4EBB">
        <w:rPr>
          <w:rFonts w:ascii="Arial" w:hAnsi="Arial" w:cs="Arial"/>
          <w:bCs/>
        </w:rPr>
        <w:t>2</w:t>
      </w:r>
      <w:r w:rsidRPr="00BD4EBB">
        <w:rPr>
          <w:rFonts w:ascii="Arial" w:hAnsi="Arial" w:cs="Arial"/>
          <w:bCs/>
        </w:rPr>
        <w:t>, principio de 202</w:t>
      </w:r>
      <w:r w:rsidR="00C136F7" w:rsidRPr="00BD4EBB">
        <w:rPr>
          <w:rFonts w:ascii="Arial" w:hAnsi="Arial" w:cs="Arial"/>
          <w:bCs/>
        </w:rPr>
        <w:t>3</w:t>
      </w:r>
      <w:r w:rsidRPr="00BD4EBB">
        <w:rPr>
          <w:rFonts w:ascii="Arial" w:hAnsi="Arial" w:cs="Arial"/>
          <w:bCs/>
        </w:rPr>
        <w:t xml:space="preserve"> y Semana Santa 202</w:t>
      </w:r>
      <w:r w:rsidR="00C136F7" w:rsidRPr="00BD4EBB">
        <w:rPr>
          <w:rFonts w:ascii="Arial" w:hAnsi="Arial" w:cs="Arial"/>
          <w:bCs/>
        </w:rPr>
        <w:t>3</w:t>
      </w:r>
      <w:r w:rsidRPr="00BD4EBB">
        <w:rPr>
          <w:rFonts w:ascii="Arial" w:hAnsi="Arial" w:cs="Arial"/>
          <w:bCs/>
        </w:rPr>
        <w:t>:</w:t>
      </w:r>
    </w:p>
    <w:p w14:paraId="67309832" w14:textId="77777777" w:rsidR="00AE34A0" w:rsidRPr="00ED38A7" w:rsidRDefault="00AE34A0" w:rsidP="00FC175F">
      <w:pPr>
        <w:spacing w:line="240" w:lineRule="auto"/>
        <w:rPr>
          <w:rFonts w:ascii="Arial" w:hAnsi="Arial" w:cs="Arial"/>
          <w:bCs/>
        </w:rPr>
      </w:pPr>
    </w:p>
    <w:bookmarkStart w:id="31" w:name="_MON_1696406318"/>
    <w:bookmarkStart w:id="32" w:name="_MON_1727798812"/>
    <w:bookmarkEnd w:id="31"/>
    <w:bookmarkEnd w:id="32"/>
    <w:bookmarkStart w:id="33" w:name="_MON_1667070121"/>
    <w:bookmarkEnd w:id="33"/>
    <w:p w14:paraId="505A1103" w14:textId="22344EE3" w:rsidR="00FC175F" w:rsidRPr="00ED38A7" w:rsidRDefault="00BD74A8" w:rsidP="00964540">
      <w:pPr>
        <w:spacing w:line="240" w:lineRule="auto"/>
        <w:jc w:val="center"/>
        <w:rPr>
          <w:rFonts w:ascii="Arial" w:hAnsi="Arial" w:cs="Arial"/>
          <w:bCs/>
        </w:rPr>
      </w:pPr>
      <w:r>
        <w:rPr>
          <w:rFonts w:ascii="Arial" w:hAnsi="Arial" w:cs="Arial"/>
          <w:bCs/>
        </w:rPr>
        <w:object w:dxaOrig="1376" w:dyaOrig="899" w14:anchorId="59AFEA0B">
          <v:shape id="_x0000_i1030" type="#_x0000_t75" style="width:68.85pt;height:45.1pt" o:ole="">
            <v:imagedata r:id="rId22" o:title=""/>
          </v:shape>
          <o:OLEObject Type="Embed" ProgID="Word.Document.12" ShapeID="_x0000_i1030" DrawAspect="Icon" ObjectID="_1732598039" r:id="rId23">
            <o:FieldCodes>\s</o:FieldCodes>
          </o:OLEObject>
        </w:object>
      </w:r>
    </w:p>
    <w:p w14:paraId="2A4B7E20" w14:textId="399CF91D" w:rsidR="00FC175F" w:rsidRDefault="00FC175F" w:rsidP="00FC175F">
      <w:pPr>
        <w:spacing w:line="240" w:lineRule="auto"/>
        <w:rPr>
          <w:rFonts w:ascii="Arial" w:hAnsi="Arial" w:cs="Arial"/>
          <w:bCs/>
        </w:rPr>
      </w:pPr>
    </w:p>
    <w:p w14:paraId="560D8EB9" w14:textId="61292A18" w:rsidR="00D930CF" w:rsidRDefault="00D930CF" w:rsidP="00FC175F">
      <w:pPr>
        <w:spacing w:line="240" w:lineRule="auto"/>
        <w:rPr>
          <w:rFonts w:ascii="Arial" w:hAnsi="Arial" w:cs="Arial"/>
          <w:bCs/>
        </w:rPr>
      </w:pPr>
    </w:p>
    <w:p w14:paraId="10E4995C" w14:textId="50D71CDB" w:rsidR="00D930CF" w:rsidRPr="00BD4EBB" w:rsidRDefault="00D930CF" w:rsidP="00D930CF">
      <w:pPr>
        <w:tabs>
          <w:tab w:val="left" w:pos="4952"/>
        </w:tabs>
        <w:spacing w:line="240" w:lineRule="auto"/>
        <w:ind w:right="71"/>
        <w:rPr>
          <w:rFonts w:ascii="Arial" w:hAnsi="Arial" w:cs="Arial"/>
          <w:bCs/>
          <w:u w:color="000000"/>
          <w:lang w:eastAsia="es-CR"/>
        </w:rPr>
      </w:pPr>
      <w:r w:rsidRPr="00BD4EBB">
        <w:rPr>
          <w:rFonts w:ascii="Arial" w:hAnsi="Arial" w:cs="Arial"/>
          <w:b/>
          <w:u w:color="000000"/>
          <w:lang w:eastAsia="es-CR"/>
        </w:rPr>
        <w:t>5.2.2.</w:t>
      </w:r>
      <w:r w:rsidRPr="00BD4EBB">
        <w:rPr>
          <w:rFonts w:ascii="Arial" w:hAnsi="Arial" w:cs="Arial"/>
          <w:bCs/>
          <w:u w:color="000000"/>
          <w:lang w:eastAsia="es-CR"/>
        </w:rPr>
        <w:t xml:space="preserve"> Comisionar a la Secretaría General de la Corte para que informe a la población judicial, que las Fiscalías atenderán en apertura efectiva parcial durante el cierre colectivo, a las personas usuarias que se presenten a las fiscalías a denunciar, a personas identificadas, así como la recepción de denuncias de violencia de género y, o carácter sexual. Las demás denuncias contra ignorado, serán recibidas en el Organismo de Investigación Judicial.</w:t>
      </w:r>
    </w:p>
    <w:p w14:paraId="2CDC2395" w14:textId="77777777" w:rsidR="00D930CF" w:rsidRPr="00BD4EBB" w:rsidRDefault="00D930CF" w:rsidP="00D930CF">
      <w:pPr>
        <w:tabs>
          <w:tab w:val="left" w:pos="4952"/>
        </w:tabs>
        <w:spacing w:line="240" w:lineRule="auto"/>
        <w:ind w:right="71"/>
        <w:rPr>
          <w:rFonts w:ascii="Arial" w:hAnsi="Arial" w:cs="Arial"/>
          <w:bCs/>
          <w:u w:color="000000"/>
          <w:lang w:eastAsia="es-CR"/>
        </w:rPr>
      </w:pPr>
    </w:p>
    <w:p w14:paraId="144DD7B5" w14:textId="36362241" w:rsidR="00D930CF" w:rsidRPr="00BD4EBB" w:rsidRDefault="00D930CF" w:rsidP="00D930CF">
      <w:pPr>
        <w:tabs>
          <w:tab w:val="left" w:pos="4952"/>
        </w:tabs>
        <w:spacing w:line="240" w:lineRule="auto"/>
        <w:ind w:right="71"/>
        <w:rPr>
          <w:rFonts w:ascii="Arial" w:hAnsi="Arial" w:cs="Arial"/>
          <w:b/>
          <w:lang w:val="es-CR"/>
        </w:rPr>
      </w:pPr>
      <w:r w:rsidRPr="00BD4EBB">
        <w:rPr>
          <w:rFonts w:ascii="Arial" w:hAnsi="Arial" w:cs="Arial"/>
          <w:b/>
          <w:u w:color="000000"/>
          <w:lang w:eastAsia="es-CR"/>
        </w:rPr>
        <w:t>5.2.3.</w:t>
      </w:r>
      <w:r w:rsidRPr="00BD4EBB">
        <w:rPr>
          <w:rFonts w:ascii="Arial" w:hAnsi="Arial" w:cs="Arial"/>
          <w:bCs/>
          <w:u w:color="000000"/>
          <w:lang w:eastAsia="es-CR"/>
        </w:rPr>
        <w:t xml:space="preserve"> Autorizar la jornada laboral del personal fiscal y técnico judicial, durante el cierre colectivo, bajo la modalidad de apertura efectiva parcial, en los términos indicados en el acuerdo del Consejo Superior,  en sesión N° 28-2022 celebrada el 31 de marzo de 2022, artículo LXVI.</w:t>
      </w:r>
    </w:p>
    <w:p w14:paraId="0340C13A" w14:textId="66416DC3" w:rsidR="00D930CF" w:rsidRDefault="00D930CF" w:rsidP="00FC175F">
      <w:pPr>
        <w:spacing w:line="240" w:lineRule="auto"/>
        <w:rPr>
          <w:rFonts w:ascii="Arial" w:hAnsi="Arial" w:cs="Arial"/>
          <w:bCs/>
        </w:rPr>
      </w:pPr>
    </w:p>
    <w:p w14:paraId="771CCBAC" w14:textId="26BE83AA" w:rsidR="00D930CF" w:rsidRDefault="00D930CF" w:rsidP="00FC175F">
      <w:pPr>
        <w:spacing w:line="240" w:lineRule="auto"/>
        <w:rPr>
          <w:rFonts w:ascii="Arial" w:hAnsi="Arial" w:cs="Arial"/>
          <w:bCs/>
        </w:rPr>
      </w:pPr>
    </w:p>
    <w:p w14:paraId="0A58EF65" w14:textId="77777777" w:rsidR="00D930CF" w:rsidRDefault="00D930CF" w:rsidP="00FC175F">
      <w:pPr>
        <w:spacing w:line="240" w:lineRule="auto"/>
        <w:rPr>
          <w:rFonts w:ascii="Arial" w:hAnsi="Arial" w:cs="Arial"/>
          <w:bCs/>
        </w:rPr>
      </w:pPr>
    </w:p>
    <w:p w14:paraId="00C4189C" w14:textId="7D686F6B" w:rsidR="00FC175F" w:rsidRPr="00ED38A7" w:rsidRDefault="00DF0CD6" w:rsidP="00FC175F">
      <w:pPr>
        <w:spacing w:line="240" w:lineRule="auto"/>
        <w:rPr>
          <w:rFonts w:ascii="Arial" w:hAnsi="Arial" w:cs="Arial"/>
          <w:bCs/>
        </w:rPr>
      </w:pPr>
      <w:r w:rsidRPr="00ED38A7">
        <w:rPr>
          <w:rFonts w:ascii="Arial" w:hAnsi="Arial" w:cs="Arial"/>
          <w:b/>
        </w:rPr>
        <w:t>5</w:t>
      </w:r>
      <w:r w:rsidR="00FC175F" w:rsidRPr="00ED38A7">
        <w:rPr>
          <w:rFonts w:ascii="Arial" w:hAnsi="Arial" w:cs="Arial"/>
          <w:b/>
        </w:rPr>
        <w:t>.3.</w:t>
      </w:r>
      <w:r w:rsidR="00FC175F" w:rsidRPr="00ED38A7">
        <w:rPr>
          <w:rFonts w:ascii="Arial" w:hAnsi="Arial" w:cs="Arial"/>
          <w:bCs/>
        </w:rPr>
        <w:t xml:space="preserve"> </w:t>
      </w:r>
      <w:r w:rsidR="00FC175F" w:rsidRPr="00ED38A7">
        <w:rPr>
          <w:rFonts w:ascii="Arial" w:hAnsi="Arial" w:cs="Arial"/>
          <w:b/>
        </w:rPr>
        <w:t>Jefaturas de Oficinas o Despachos</w:t>
      </w:r>
      <w:r w:rsidR="00FC175F" w:rsidRPr="00ED38A7">
        <w:rPr>
          <w:rFonts w:ascii="Arial" w:hAnsi="Arial" w:cs="Arial"/>
          <w:bCs/>
        </w:rPr>
        <w:t xml:space="preserve"> </w:t>
      </w:r>
    </w:p>
    <w:p w14:paraId="7DF0B8AA" w14:textId="77777777" w:rsidR="00FC175F" w:rsidRPr="00ED38A7" w:rsidRDefault="00FC175F" w:rsidP="00FC175F">
      <w:pPr>
        <w:spacing w:line="240" w:lineRule="auto"/>
        <w:rPr>
          <w:rFonts w:ascii="Arial" w:hAnsi="Arial" w:cs="Arial"/>
          <w:bCs/>
        </w:rPr>
      </w:pPr>
    </w:p>
    <w:p w14:paraId="16E9581A" w14:textId="0D0DE2D2" w:rsidR="00FC175F" w:rsidRPr="00ED38A7" w:rsidRDefault="001E6C2B" w:rsidP="00FC175F">
      <w:pPr>
        <w:spacing w:line="240" w:lineRule="auto"/>
        <w:rPr>
          <w:rFonts w:ascii="Arial" w:hAnsi="Arial" w:cs="Arial"/>
          <w:bCs/>
        </w:rPr>
      </w:pPr>
      <w:r w:rsidRPr="00ED38A7">
        <w:rPr>
          <w:rFonts w:ascii="Arial" w:hAnsi="Arial" w:cs="Arial"/>
          <w:b/>
        </w:rPr>
        <w:t>5.3.1</w:t>
      </w:r>
      <w:r w:rsidRPr="00ED38A7">
        <w:rPr>
          <w:rFonts w:ascii="Arial" w:hAnsi="Arial" w:cs="Arial"/>
          <w:bCs/>
        </w:rPr>
        <w:t xml:space="preserve">. </w:t>
      </w:r>
      <w:r w:rsidR="00FC175F" w:rsidRPr="00ED38A7">
        <w:rPr>
          <w:rFonts w:ascii="Arial" w:hAnsi="Arial" w:cs="Arial"/>
          <w:bCs/>
        </w:rPr>
        <w:t xml:space="preserve">Llevar el control estricto de las servidoras y servidores judiciales que laboran durante el periodo de cierre colectivo, para que posteriormente cuando la Dirección de Gestión Humana habilite el Sistema de Proposición Electrónica de Nombramientos, para tal fin, se actualicen los saldos de vacaciones, según corresponda a cada servidora o servidor. </w:t>
      </w:r>
    </w:p>
    <w:p w14:paraId="3D42A5E3" w14:textId="40E2CCFB" w:rsidR="001E6C2B" w:rsidRPr="00ED38A7" w:rsidRDefault="001E6C2B" w:rsidP="00FC175F">
      <w:pPr>
        <w:spacing w:line="240" w:lineRule="auto"/>
        <w:rPr>
          <w:rFonts w:ascii="Arial" w:hAnsi="Arial" w:cs="Arial"/>
          <w:bCs/>
        </w:rPr>
      </w:pPr>
    </w:p>
    <w:p w14:paraId="500F4C2C" w14:textId="295F06E4" w:rsidR="001E6C2B" w:rsidRPr="00ED38A7" w:rsidRDefault="001E6C2B" w:rsidP="00996747">
      <w:pPr>
        <w:spacing w:line="240" w:lineRule="auto"/>
        <w:rPr>
          <w:rFonts w:ascii="Arial" w:hAnsi="Arial" w:cs="Arial"/>
          <w:bCs/>
        </w:rPr>
      </w:pPr>
      <w:r w:rsidRPr="00ED38A7">
        <w:rPr>
          <w:rFonts w:ascii="Arial" w:hAnsi="Arial" w:cs="Arial"/>
          <w:b/>
        </w:rPr>
        <w:t>5.3.2.</w:t>
      </w:r>
      <w:r w:rsidRPr="00ED38A7">
        <w:rPr>
          <w:rFonts w:ascii="Arial" w:hAnsi="Arial" w:cs="Arial"/>
          <w:bCs/>
        </w:rPr>
        <w:t xml:space="preserve"> Tomar en consideración todas las generalidades en cuanto a la modalidad de atención incorporadas en el presente informe, así como los lineamientos de seguridad respecto al COVID-19, emitidas por el Consejo Superior y establecidas por las autoridades de salud al realizar la apertura efectiva de fin y principio de año, así como en la Semana Santa. </w:t>
      </w:r>
    </w:p>
    <w:p w14:paraId="3024A9C2" w14:textId="75EA1816" w:rsidR="001E6C2B" w:rsidRPr="00BD4EBB" w:rsidRDefault="001E6C2B" w:rsidP="00996747">
      <w:pPr>
        <w:spacing w:line="240" w:lineRule="auto"/>
        <w:rPr>
          <w:rFonts w:ascii="Arial" w:hAnsi="Arial" w:cs="Arial"/>
          <w:bCs/>
        </w:rPr>
      </w:pPr>
    </w:p>
    <w:p w14:paraId="3F424996" w14:textId="28655D17" w:rsidR="00634DD7" w:rsidRPr="00BD4EBB" w:rsidRDefault="00B039FC" w:rsidP="00FC175F">
      <w:pPr>
        <w:tabs>
          <w:tab w:val="left" w:pos="4952"/>
        </w:tabs>
        <w:spacing w:line="240" w:lineRule="auto"/>
        <w:ind w:right="71"/>
        <w:rPr>
          <w:rFonts w:ascii="Arial" w:hAnsi="Arial" w:cs="Arial"/>
          <w:bCs/>
          <w:u w:color="000000"/>
          <w:lang w:eastAsia="es-CR"/>
        </w:rPr>
      </w:pPr>
      <w:r w:rsidRPr="00BD4EBB">
        <w:rPr>
          <w:rFonts w:ascii="Arial" w:hAnsi="Arial" w:cs="Arial"/>
          <w:b/>
          <w:u w:color="000000"/>
          <w:lang w:eastAsia="es-CR"/>
        </w:rPr>
        <w:t>5.3.</w:t>
      </w:r>
      <w:r w:rsidR="0041660B" w:rsidRPr="00BD4EBB">
        <w:rPr>
          <w:rFonts w:ascii="Arial" w:hAnsi="Arial" w:cs="Arial"/>
          <w:b/>
          <w:u w:color="000000"/>
          <w:lang w:eastAsia="es-CR"/>
        </w:rPr>
        <w:t>3</w:t>
      </w:r>
      <w:r w:rsidRPr="00BD4EBB">
        <w:rPr>
          <w:rFonts w:ascii="Arial" w:hAnsi="Arial" w:cs="Arial"/>
          <w:b/>
          <w:u w:color="000000"/>
          <w:lang w:eastAsia="es-CR"/>
        </w:rPr>
        <w:t>.</w:t>
      </w:r>
      <w:r w:rsidRPr="00BD4EBB">
        <w:rPr>
          <w:rFonts w:ascii="Arial" w:hAnsi="Arial" w:cs="Arial"/>
          <w:bCs/>
          <w:u w:color="000000"/>
          <w:lang w:eastAsia="es-CR"/>
        </w:rPr>
        <w:t xml:space="preserve"> Acoger las disposiciones y directrices que se establezcan en la materia de Flagrancias según lo dispuesto por el Consejo Superior, la Comisión de la Jurisdicción Penal y la Comisión Nacional de Flagrancias, producto de </w:t>
      </w:r>
      <w:r w:rsidR="0041660B" w:rsidRPr="00BD4EBB">
        <w:rPr>
          <w:rFonts w:ascii="Arial" w:hAnsi="Arial" w:cs="Arial"/>
          <w:bCs/>
          <w:u w:color="000000"/>
          <w:lang w:eastAsia="es-CR"/>
        </w:rPr>
        <w:t xml:space="preserve">las disposiciones que se estimen oportunas por parte de los órganos decisores de la materia penal, o por </w:t>
      </w:r>
      <w:r w:rsidRPr="00BD4EBB">
        <w:rPr>
          <w:rFonts w:ascii="Arial" w:hAnsi="Arial" w:cs="Arial"/>
          <w:bCs/>
          <w:u w:color="000000"/>
          <w:lang w:eastAsia="es-CR"/>
        </w:rPr>
        <w:t xml:space="preserve">los estudios competentes al </w:t>
      </w:r>
      <w:r w:rsidRPr="00BD4EBB">
        <w:rPr>
          <w:rFonts w:ascii="Arial" w:hAnsi="Arial" w:cs="Arial"/>
          <w:bCs/>
          <w:i/>
          <w:iCs/>
          <w:u w:color="000000"/>
          <w:lang w:eastAsia="es-CR"/>
        </w:rPr>
        <w:t>“Rediseño de Procesos del modelo Penal por medio de nuevas tecnologías de información”</w:t>
      </w:r>
      <w:r w:rsidR="00AF6744" w:rsidRPr="00BD4EBB">
        <w:rPr>
          <w:rFonts w:ascii="Arial" w:hAnsi="Arial" w:cs="Arial"/>
          <w:bCs/>
          <w:u w:color="000000"/>
          <w:lang w:eastAsia="es-CR"/>
        </w:rPr>
        <w:t xml:space="preserve"> que elabore la Dirección de Planificación.</w:t>
      </w:r>
      <w:r w:rsidR="0041660B" w:rsidRPr="00BD4EBB">
        <w:rPr>
          <w:rFonts w:ascii="Arial" w:hAnsi="Arial" w:cs="Arial"/>
          <w:bCs/>
          <w:u w:color="000000"/>
          <w:lang w:eastAsia="es-CR"/>
        </w:rPr>
        <w:t xml:space="preserve"> Así como a los demás despachos competentes que correspondan, según se mencionan en el presente informe.</w:t>
      </w:r>
    </w:p>
    <w:p w14:paraId="53B1029D" w14:textId="36DD1702" w:rsidR="0042098F" w:rsidRPr="00BD4EBB" w:rsidRDefault="0042098F" w:rsidP="00FC175F">
      <w:pPr>
        <w:tabs>
          <w:tab w:val="left" w:pos="4952"/>
        </w:tabs>
        <w:spacing w:line="240" w:lineRule="auto"/>
        <w:ind w:right="71"/>
        <w:rPr>
          <w:rFonts w:ascii="Arial" w:hAnsi="Arial" w:cs="Arial"/>
          <w:bCs/>
          <w:u w:color="000000"/>
          <w:lang w:eastAsia="es-CR"/>
        </w:rPr>
      </w:pPr>
    </w:p>
    <w:bookmarkEnd w:id="26"/>
    <w:p w14:paraId="77CB1B4B" w14:textId="77777777" w:rsidR="00BE7FAC" w:rsidRPr="00ED38A7" w:rsidRDefault="00BE7FAC" w:rsidP="00AA3767">
      <w:pPr>
        <w:spacing w:line="240" w:lineRule="auto"/>
        <w:jc w:val="center"/>
        <w:outlineLvl w:val="0"/>
        <w:rPr>
          <w:rFonts w:ascii="Arial" w:hAnsi="Arial" w:cs="Arial"/>
          <w:b/>
          <w:lang w:val="es-CR"/>
        </w:rPr>
      </w:pPr>
    </w:p>
    <w:p w14:paraId="2D527834" w14:textId="77777777" w:rsidR="00F10499" w:rsidRPr="00ED38A7" w:rsidRDefault="00F10499" w:rsidP="00AA3767">
      <w:pPr>
        <w:spacing w:line="240" w:lineRule="auto"/>
        <w:jc w:val="center"/>
        <w:outlineLvl w:val="0"/>
        <w:rPr>
          <w:rFonts w:ascii="Arial" w:hAnsi="Arial" w:cs="Arial"/>
          <w:b/>
          <w:lang w:val="es-CR"/>
        </w:rPr>
      </w:pPr>
    </w:p>
    <w:p w14:paraId="54F03E6B" w14:textId="7CF2CFF0" w:rsidR="0043708D" w:rsidRDefault="00233BA9" w:rsidP="00AA3767">
      <w:pPr>
        <w:spacing w:line="240" w:lineRule="auto"/>
        <w:jc w:val="center"/>
        <w:outlineLvl w:val="0"/>
        <w:rPr>
          <w:rFonts w:ascii="Arial" w:hAnsi="Arial" w:cs="Arial"/>
          <w:b/>
          <w:lang w:val="es-CR"/>
        </w:rPr>
      </w:pPr>
      <w:r w:rsidRPr="00ED38A7">
        <w:rPr>
          <w:rFonts w:ascii="Arial" w:hAnsi="Arial" w:cs="Arial"/>
          <w:b/>
          <w:lang w:val="es-CR"/>
        </w:rPr>
        <w:t>Anexo:</w:t>
      </w:r>
    </w:p>
    <w:p w14:paraId="0A202B35" w14:textId="0F2652B8" w:rsidR="00BD7477" w:rsidRDefault="00BD7477" w:rsidP="00AA3767">
      <w:pPr>
        <w:spacing w:line="240" w:lineRule="auto"/>
        <w:jc w:val="center"/>
        <w:outlineLvl w:val="0"/>
        <w:rPr>
          <w:rFonts w:ascii="Arial" w:hAnsi="Arial" w:cs="Arial"/>
          <w:b/>
          <w:lang w:val="es-CR"/>
        </w:rPr>
      </w:pPr>
    </w:p>
    <w:p w14:paraId="516883D4" w14:textId="4D622A2C" w:rsidR="00BD7477" w:rsidRPr="00BD4EBB" w:rsidRDefault="006F7684" w:rsidP="00BD7477">
      <w:pPr>
        <w:spacing w:line="240" w:lineRule="auto"/>
        <w:rPr>
          <w:rFonts w:ascii="Arial" w:hAnsi="Arial" w:cs="Arial"/>
        </w:rPr>
      </w:pPr>
      <w:r w:rsidRPr="00BD4EBB">
        <w:rPr>
          <w:rFonts w:ascii="Arial" w:hAnsi="Arial" w:cs="Arial"/>
          <w:bCs/>
        </w:rPr>
        <w:t xml:space="preserve">Acuerdo del </w:t>
      </w:r>
      <w:r w:rsidR="00BD7477" w:rsidRPr="00BD4EBB">
        <w:rPr>
          <w:rFonts w:ascii="Arial" w:hAnsi="Arial" w:cs="Arial"/>
          <w:bCs/>
        </w:rPr>
        <w:t xml:space="preserve">Consejo Superior </w:t>
      </w:r>
      <w:r w:rsidR="00BD7477" w:rsidRPr="00BD4EBB">
        <w:rPr>
          <w:rFonts w:ascii="Arial" w:hAnsi="Arial" w:cs="Arial"/>
        </w:rPr>
        <w:t>del Poder Judicial, en sesión N° 72-2022</w:t>
      </w:r>
      <w:r w:rsidR="00BD7477" w:rsidRPr="00BD4EBB">
        <w:rPr>
          <w:rFonts w:ascii="Arial" w:hAnsi="Arial" w:cs="Arial"/>
          <w:b/>
          <w:bCs/>
        </w:rPr>
        <w:t xml:space="preserve"> </w:t>
      </w:r>
      <w:r w:rsidR="00BD7477" w:rsidRPr="00BD4EBB">
        <w:rPr>
          <w:rFonts w:ascii="Arial" w:hAnsi="Arial" w:cs="Arial"/>
          <w:bCs/>
        </w:rPr>
        <w:t>c</w:t>
      </w:r>
      <w:r w:rsidR="00BD7477" w:rsidRPr="00BD4EBB">
        <w:rPr>
          <w:rFonts w:ascii="Arial" w:hAnsi="Arial" w:cs="Arial"/>
        </w:rPr>
        <w:t xml:space="preserve">elebrada el </w:t>
      </w:r>
      <w:r w:rsidR="00BD7477" w:rsidRPr="00BD4EBB">
        <w:rPr>
          <w:rFonts w:ascii="Arial" w:hAnsi="Arial" w:cs="Arial"/>
          <w:bCs/>
        </w:rPr>
        <w:t>25 de agosto del 2022</w:t>
      </w:r>
      <w:r w:rsidR="00BD7477" w:rsidRPr="00BD4EBB">
        <w:rPr>
          <w:rFonts w:ascii="Arial" w:hAnsi="Arial" w:cs="Arial"/>
          <w:b/>
          <w:bCs/>
        </w:rPr>
        <w:t>,</w:t>
      </w:r>
      <w:r w:rsidR="00BD7477" w:rsidRPr="00BD4EBB">
        <w:rPr>
          <w:rFonts w:ascii="Arial" w:hAnsi="Arial" w:cs="Arial"/>
        </w:rPr>
        <w:t xml:space="preserve"> artículo XXXVI, </w:t>
      </w:r>
      <w:r w:rsidR="00BD7477" w:rsidRPr="00BD4EBB">
        <w:rPr>
          <w:rFonts w:ascii="Arial" w:hAnsi="Arial" w:cs="Arial"/>
          <w:bCs/>
        </w:rPr>
        <w:t xml:space="preserve">al aprobar el informe presentado por la Dirección Gestión Humana </w:t>
      </w:r>
      <w:r w:rsidR="00BD7477" w:rsidRPr="00BD4EBB">
        <w:rPr>
          <w:rFonts w:ascii="Arial" w:hAnsi="Arial" w:cs="Arial"/>
          <w:iCs/>
        </w:rPr>
        <w:t>en oficio N° PJ-DGH-AP-3228-2022 de 12 de agosto de 2022</w:t>
      </w:r>
      <w:r w:rsidR="00BD4EBB">
        <w:rPr>
          <w:rFonts w:ascii="Arial" w:hAnsi="Arial" w:cs="Arial"/>
        </w:rPr>
        <w:t>.</w:t>
      </w:r>
    </w:p>
    <w:p w14:paraId="63E0BC08" w14:textId="3F9A7BF6" w:rsidR="006F7684" w:rsidRDefault="006F7684" w:rsidP="00BD7477">
      <w:pPr>
        <w:spacing w:line="240" w:lineRule="auto"/>
        <w:rPr>
          <w:rFonts w:ascii="Arial" w:hAnsi="Arial" w:cs="Arial"/>
          <w:color w:val="0070C0"/>
        </w:rPr>
      </w:pPr>
    </w:p>
    <w:bookmarkStart w:id="34" w:name="_MON_1725450020"/>
    <w:bookmarkEnd w:id="34"/>
    <w:p w14:paraId="24926C47" w14:textId="516E8184" w:rsidR="006F7684" w:rsidRPr="008E3587" w:rsidRDefault="000A79CC" w:rsidP="006F7684">
      <w:pPr>
        <w:spacing w:line="240" w:lineRule="auto"/>
        <w:jc w:val="center"/>
        <w:rPr>
          <w:rFonts w:ascii="Arial" w:hAnsi="Arial" w:cs="Arial"/>
          <w:color w:val="0070C0"/>
        </w:rPr>
      </w:pPr>
      <w:r>
        <w:rPr>
          <w:rFonts w:ascii="Arial" w:hAnsi="Arial" w:cs="Arial"/>
          <w:color w:val="0070C0"/>
        </w:rPr>
        <w:object w:dxaOrig="1508" w:dyaOrig="983" w14:anchorId="3AB57C2D">
          <v:shape id="_x0000_i1031" type="#_x0000_t75" style="width:75.8pt;height:48.85pt" o:ole="">
            <v:imagedata r:id="rId24" o:title=""/>
          </v:shape>
          <o:OLEObject Type="Embed" ProgID="Word.Document.12" ShapeID="_x0000_i1031" DrawAspect="Icon" ObjectID="_1732598040" r:id="rId25">
            <o:FieldCodes>\s</o:FieldCodes>
          </o:OLEObject>
        </w:object>
      </w:r>
    </w:p>
    <w:p w14:paraId="4C4014BD" w14:textId="77777777" w:rsidR="00BD7477" w:rsidRPr="00ED38A7" w:rsidRDefault="00BD7477" w:rsidP="00AA3767">
      <w:pPr>
        <w:spacing w:line="240" w:lineRule="auto"/>
        <w:jc w:val="center"/>
        <w:outlineLvl w:val="0"/>
        <w:rPr>
          <w:rFonts w:ascii="Arial" w:hAnsi="Arial" w:cs="Arial"/>
          <w:b/>
          <w:lang w:val="es-CR"/>
        </w:rPr>
      </w:pPr>
    </w:p>
    <w:p w14:paraId="54EFBD29" w14:textId="4FD5B792" w:rsidR="00233BA9" w:rsidRPr="00ED38A7" w:rsidRDefault="00233BA9" w:rsidP="00AA3767">
      <w:pPr>
        <w:spacing w:line="240" w:lineRule="auto"/>
        <w:jc w:val="center"/>
        <w:outlineLvl w:val="0"/>
        <w:rPr>
          <w:rFonts w:ascii="Arial" w:hAnsi="Arial" w:cs="Arial"/>
          <w:b/>
          <w:lang w:val="es-CR"/>
        </w:rPr>
      </w:pPr>
      <w:r w:rsidRPr="00ED38A7">
        <w:rPr>
          <w:rFonts w:ascii="Arial" w:hAnsi="Arial" w:cs="Arial"/>
          <w:b/>
          <w:lang w:val="es-CR"/>
        </w:rPr>
        <w:t xml:space="preserve"> </w:t>
      </w:r>
    </w:p>
    <w:p w14:paraId="67A8C750" w14:textId="22AC72AB" w:rsidR="006F7684" w:rsidRDefault="006F7684" w:rsidP="0088053A">
      <w:pPr>
        <w:spacing w:line="240" w:lineRule="auto"/>
        <w:jc w:val="center"/>
        <w:outlineLvl w:val="0"/>
        <w:rPr>
          <w:rFonts w:ascii="Arial" w:hAnsi="Arial" w:cs="Arial"/>
          <w:b/>
          <w:sz w:val="28"/>
          <w:szCs w:val="28"/>
        </w:rPr>
      </w:pPr>
    </w:p>
    <w:p w14:paraId="4C875941" w14:textId="77777777" w:rsidR="00BD4EBB" w:rsidRPr="00BD4EBB" w:rsidRDefault="00BD4EBB" w:rsidP="00BD4EBB">
      <w:pPr>
        <w:suppressAutoHyphens/>
        <w:spacing w:line="240" w:lineRule="auto"/>
        <w:rPr>
          <w:rFonts w:ascii="Book Antiqua" w:hAnsi="Book Antiqua" w:cs="Book Antiqua"/>
          <w:sz w:val="22"/>
          <w:szCs w:val="22"/>
          <w:lang w:eastAsia="ar-SA"/>
        </w:rPr>
      </w:pPr>
      <w:r w:rsidRPr="00BD4EBB">
        <w:rPr>
          <w:rFonts w:ascii="Book Antiqua" w:hAnsi="Book Antiqua" w:cs="Book Antiqua"/>
          <w:i/>
          <w:iCs/>
          <w:sz w:val="22"/>
          <w:szCs w:val="22"/>
          <w:lang w:eastAsia="ar-SA"/>
        </w:rPr>
        <w:t>Este informe cuenta con las revisiones y ajustes correspondientes de las jefaturas indicadas</w:t>
      </w:r>
      <w:r w:rsidRPr="00BD4EBB">
        <w:rPr>
          <w:rFonts w:ascii="Book Antiqua" w:hAnsi="Book Antiqua" w:cs="Book Antiqua"/>
          <w:sz w:val="22"/>
          <w:szCs w:val="22"/>
          <w:lang w:eastAsia="ar-SA"/>
        </w:rPr>
        <w:t>.</w:t>
      </w:r>
    </w:p>
    <w:p w14:paraId="7F77ED6C" w14:textId="77777777" w:rsidR="00BD4EBB" w:rsidRPr="00BD4EBB" w:rsidRDefault="00BD4EBB" w:rsidP="00BD4EBB">
      <w:pPr>
        <w:suppressAutoHyphens/>
        <w:spacing w:line="240" w:lineRule="auto"/>
        <w:rPr>
          <w:rFonts w:ascii="Book Antiqua" w:hAnsi="Book Antiqua" w:cs="Book Antiqua"/>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403"/>
        <w:gridCol w:w="3253"/>
      </w:tblGrid>
      <w:tr w:rsidR="0088053A" w:rsidRPr="007070DE" w14:paraId="6775625C" w14:textId="77777777" w:rsidTr="00BD74A8">
        <w:trPr>
          <w:trHeight w:val="332"/>
          <w:jc w:val="center"/>
        </w:trPr>
        <w:tc>
          <w:tcPr>
            <w:tcW w:w="1082" w:type="pct"/>
            <w:shd w:val="clear" w:color="auto" w:fill="002060"/>
          </w:tcPr>
          <w:p w14:paraId="7D9C848D" w14:textId="284F2949" w:rsidR="0088053A" w:rsidRPr="007070DE" w:rsidRDefault="003C417C" w:rsidP="00FE1C07">
            <w:pPr>
              <w:rPr>
                <w:rFonts w:ascii="Bookman Old Style" w:hAnsi="Bookman Old Style"/>
                <w:b/>
                <w:sz w:val="20"/>
                <w:szCs w:val="20"/>
              </w:rPr>
            </w:pPr>
            <w:r>
              <w:rPr>
                <w:rFonts w:ascii="Bookman Old Style" w:hAnsi="Bookman Old Style"/>
                <w:b/>
                <w:color w:val="FFFFFF" w:themeColor="background1"/>
                <w:sz w:val="20"/>
                <w:szCs w:val="20"/>
              </w:rPr>
              <w:t xml:space="preserve">      </w:t>
            </w:r>
            <w:r w:rsidRPr="003C417C">
              <w:rPr>
                <w:rFonts w:ascii="Bookman Old Style" w:hAnsi="Bookman Old Style"/>
                <w:b/>
                <w:color w:val="FFFFFF" w:themeColor="background1"/>
                <w:sz w:val="20"/>
                <w:szCs w:val="20"/>
              </w:rPr>
              <w:t>INFORME</w:t>
            </w:r>
          </w:p>
        </w:tc>
        <w:tc>
          <w:tcPr>
            <w:tcW w:w="2003" w:type="pct"/>
            <w:shd w:val="clear" w:color="auto" w:fill="002060"/>
            <w:vAlign w:val="center"/>
            <w:hideMark/>
          </w:tcPr>
          <w:p w14:paraId="789600E4" w14:textId="77777777" w:rsidR="0088053A" w:rsidRPr="007070DE" w:rsidRDefault="0088053A" w:rsidP="003C417C">
            <w:pPr>
              <w:jc w:val="center"/>
              <w:rPr>
                <w:rFonts w:ascii="Bookman Old Style" w:hAnsi="Bookman Old Style"/>
                <w:b/>
                <w:color w:val="FFFFFF"/>
                <w:sz w:val="20"/>
                <w:szCs w:val="20"/>
              </w:rPr>
            </w:pPr>
            <w:r w:rsidRPr="007070DE">
              <w:rPr>
                <w:rFonts w:ascii="Bookman Old Style" w:hAnsi="Bookman Old Style"/>
                <w:b/>
                <w:color w:val="FFFFFF"/>
                <w:sz w:val="20"/>
                <w:szCs w:val="20"/>
              </w:rPr>
              <w:t>NOMBRE</w:t>
            </w:r>
          </w:p>
        </w:tc>
        <w:tc>
          <w:tcPr>
            <w:tcW w:w="1915" w:type="pct"/>
            <w:shd w:val="clear" w:color="auto" w:fill="002060"/>
            <w:vAlign w:val="center"/>
            <w:hideMark/>
          </w:tcPr>
          <w:p w14:paraId="2DAD2BC8" w14:textId="48873D5F" w:rsidR="0088053A" w:rsidRPr="007070DE" w:rsidRDefault="0088053A" w:rsidP="003C417C">
            <w:pPr>
              <w:jc w:val="center"/>
              <w:rPr>
                <w:rFonts w:ascii="Bookman Old Style" w:hAnsi="Bookman Old Style"/>
                <w:b/>
                <w:color w:val="FFFFFF"/>
                <w:sz w:val="20"/>
                <w:szCs w:val="20"/>
              </w:rPr>
            </w:pPr>
            <w:r w:rsidRPr="007070DE">
              <w:rPr>
                <w:rFonts w:ascii="Bookman Old Style" w:hAnsi="Bookman Old Style"/>
                <w:b/>
                <w:color w:val="FFFFFF"/>
                <w:sz w:val="20"/>
                <w:szCs w:val="20"/>
              </w:rPr>
              <w:t>P</w:t>
            </w:r>
            <w:r w:rsidR="003C417C">
              <w:rPr>
                <w:rFonts w:ascii="Bookman Old Style" w:hAnsi="Bookman Old Style"/>
                <w:b/>
                <w:color w:val="FFFFFF"/>
                <w:sz w:val="20"/>
                <w:szCs w:val="20"/>
              </w:rPr>
              <w:t>UESTO</w:t>
            </w:r>
          </w:p>
        </w:tc>
      </w:tr>
      <w:tr w:rsidR="0088053A" w:rsidRPr="007070DE" w14:paraId="74561FFE" w14:textId="77777777" w:rsidTr="00BD74A8">
        <w:trPr>
          <w:trHeight w:val="632"/>
          <w:jc w:val="center"/>
        </w:trPr>
        <w:tc>
          <w:tcPr>
            <w:tcW w:w="1082" w:type="pct"/>
            <w:shd w:val="clear" w:color="auto" w:fill="F2F2F2"/>
            <w:vAlign w:val="center"/>
            <w:hideMark/>
          </w:tcPr>
          <w:p w14:paraId="1D4B40EF" w14:textId="77777777" w:rsidR="0088053A" w:rsidRPr="007070DE" w:rsidRDefault="0088053A" w:rsidP="00FE1C07">
            <w:pPr>
              <w:rPr>
                <w:rFonts w:ascii="Bookman Old Style" w:hAnsi="Bookman Old Style"/>
                <w:b/>
                <w:color w:val="000000"/>
                <w:sz w:val="20"/>
                <w:szCs w:val="20"/>
                <w:lang w:eastAsia="es-CR"/>
              </w:rPr>
            </w:pPr>
            <w:r w:rsidRPr="007070DE">
              <w:rPr>
                <w:rFonts w:ascii="Bookman Old Style" w:hAnsi="Bookman Old Style"/>
                <w:b/>
                <w:color w:val="000000"/>
                <w:sz w:val="20"/>
                <w:szCs w:val="20"/>
                <w:lang w:eastAsia="es-CR"/>
              </w:rPr>
              <w:t>Elaborado por:</w:t>
            </w:r>
          </w:p>
        </w:tc>
        <w:tc>
          <w:tcPr>
            <w:tcW w:w="2003" w:type="pct"/>
            <w:vAlign w:val="center"/>
            <w:hideMark/>
          </w:tcPr>
          <w:p w14:paraId="6B06DEAC" w14:textId="726F68D3" w:rsidR="0088053A" w:rsidRPr="007070DE" w:rsidRDefault="0088053A" w:rsidP="00FE1C07">
            <w:pPr>
              <w:rPr>
                <w:rFonts w:ascii="Bookman Old Style" w:hAnsi="Bookman Old Style"/>
                <w:sz w:val="20"/>
                <w:szCs w:val="20"/>
                <w:lang w:eastAsia="en-US"/>
              </w:rPr>
            </w:pPr>
            <w:r>
              <w:rPr>
                <w:rFonts w:ascii="Bookman Old Style" w:hAnsi="Bookman Old Style"/>
                <w:sz w:val="20"/>
                <w:szCs w:val="20"/>
              </w:rPr>
              <w:t>Lic</w:t>
            </w:r>
            <w:r w:rsidRPr="007070DE">
              <w:rPr>
                <w:rFonts w:ascii="Bookman Old Style" w:hAnsi="Bookman Old Style"/>
                <w:sz w:val="20"/>
                <w:szCs w:val="20"/>
              </w:rPr>
              <w:t xml:space="preserve">. </w:t>
            </w:r>
            <w:r>
              <w:rPr>
                <w:rFonts w:ascii="Bookman Old Style" w:hAnsi="Bookman Old Style"/>
                <w:sz w:val="20"/>
                <w:szCs w:val="20"/>
              </w:rPr>
              <w:t xml:space="preserve">Alexander Tenorio Campos  </w:t>
            </w:r>
          </w:p>
        </w:tc>
        <w:tc>
          <w:tcPr>
            <w:tcW w:w="1915" w:type="pct"/>
            <w:vAlign w:val="center"/>
            <w:hideMark/>
          </w:tcPr>
          <w:p w14:paraId="01996220" w14:textId="77777777" w:rsidR="0088053A" w:rsidRPr="007070DE" w:rsidRDefault="0088053A" w:rsidP="00FE1C07">
            <w:pPr>
              <w:rPr>
                <w:rFonts w:ascii="Bookman Old Style" w:hAnsi="Bookman Old Style"/>
                <w:sz w:val="20"/>
                <w:szCs w:val="20"/>
              </w:rPr>
            </w:pPr>
            <w:r w:rsidRPr="007070DE">
              <w:rPr>
                <w:rFonts w:ascii="Bookman Old Style" w:hAnsi="Bookman Old Style"/>
                <w:sz w:val="20"/>
                <w:szCs w:val="20"/>
              </w:rPr>
              <w:t>Profesional 2</w:t>
            </w:r>
          </w:p>
        </w:tc>
      </w:tr>
      <w:tr w:rsidR="0088053A" w:rsidRPr="007070DE" w14:paraId="17215C09" w14:textId="77777777" w:rsidTr="00BD74A8">
        <w:trPr>
          <w:trHeight w:val="632"/>
          <w:jc w:val="center"/>
        </w:trPr>
        <w:tc>
          <w:tcPr>
            <w:tcW w:w="1082" w:type="pct"/>
            <w:shd w:val="clear" w:color="auto" w:fill="F2F2F2"/>
            <w:vAlign w:val="center"/>
          </w:tcPr>
          <w:p w14:paraId="27164039" w14:textId="0D40B57D" w:rsidR="0088053A" w:rsidRPr="007070DE" w:rsidRDefault="0088053A" w:rsidP="00FE1C07">
            <w:pPr>
              <w:rPr>
                <w:rFonts w:ascii="Bookman Old Style" w:hAnsi="Bookman Old Style"/>
                <w:b/>
                <w:color w:val="000000"/>
                <w:sz w:val="20"/>
                <w:szCs w:val="20"/>
                <w:lang w:eastAsia="es-CR"/>
              </w:rPr>
            </w:pPr>
            <w:r>
              <w:rPr>
                <w:rFonts w:ascii="Bookman Old Style" w:hAnsi="Bookman Old Style"/>
                <w:b/>
                <w:color w:val="000000"/>
                <w:sz w:val="20"/>
                <w:szCs w:val="20"/>
                <w:lang w:eastAsia="es-CR"/>
              </w:rPr>
              <w:t>Revisado por</w:t>
            </w:r>
            <w:r w:rsidR="003C417C">
              <w:rPr>
                <w:rFonts w:ascii="Bookman Old Style" w:hAnsi="Bookman Old Style"/>
                <w:b/>
                <w:color w:val="000000"/>
                <w:sz w:val="20"/>
                <w:szCs w:val="20"/>
                <w:lang w:eastAsia="es-CR"/>
              </w:rPr>
              <w:t>:</w:t>
            </w:r>
          </w:p>
        </w:tc>
        <w:tc>
          <w:tcPr>
            <w:tcW w:w="2003" w:type="pct"/>
            <w:vAlign w:val="center"/>
          </w:tcPr>
          <w:p w14:paraId="1BAA8DC5" w14:textId="2A28ED4D" w:rsidR="0088053A" w:rsidRDefault="0088053A" w:rsidP="00FE1C07">
            <w:pPr>
              <w:rPr>
                <w:rFonts w:ascii="Bookman Old Style" w:hAnsi="Bookman Old Style"/>
                <w:sz w:val="20"/>
                <w:szCs w:val="20"/>
              </w:rPr>
            </w:pPr>
            <w:r>
              <w:rPr>
                <w:rFonts w:ascii="Bookman Old Style" w:hAnsi="Bookman Old Style"/>
                <w:sz w:val="20"/>
                <w:szCs w:val="20"/>
              </w:rPr>
              <w:t>Lic. Christian Quir</w:t>
            </w:r>
            <w:r w:rsidR="003C417C">
              <w:rPr>
                <w:rFonts w:ascii="Bookman Old Style" w:hAnsi="Bookman Old Style"/>
                <w:sz w:val="20"/>
                <w:szCs w:val="20"/>
              </w:rPr>
              <w:t>ó</w:t>
            </w:r>
            <w:r>
              <w:rPr>
                <w:rFonts w:ascii="Bookman Old Style" w:hAnsi="Bookman Old Style"/>
                <w:sz w:val="20"/>
                <w:szCs w:val="20"/>
              </w:rPr>
              <w:t>s Vargas</w:t>
            </w:r>
          </w:p>
        </w:tc>
        <w:tc>
          <w:tcPr>
            <w:tcW w:w="1915" w:type="pct"/>
            <w:vAlign w:val="center"/>
          </w:tcPr>
          <w:p w14:paraId="790D87D8" w14:textId="2BB2E02C" w:rsidR="0088053A" w:rsidRPr="007070DE" w:rsidRDefault="0088053A" w:rsidP="00FE1C07">
            <w:pPr>
              <w:rPr>
                <w:rFonts w:ascii="Bookman Old Style" w:hAnsi="Bookman Old Style"/>
                <w:sz w:val="20"/>
                <w:szCs w:val="20"/>
              </w:rPr>
            </w:pPr>
            <w:r>
              <w:rPr>
                <w:rFonts w:ascii="Bookman Old Style" w:hAnsi="Bookman Old Style"/>
                <w:sz w:val="20"/>
                <w:szCs w:val="20"/>
              </w:rPr>
              <w:t>Coordinador</w:t>
            </w:r>
            <w:r w:rsidR="000F1140">
              <w:rPr>
                <w:rFonts w:ascii="Bookman Old Style" w:hAnsi="Bookman Old Style"/>
                <w:sz w:val="20"/>
                <w:szCs w:val="20"/>
              </w:rPr>
              <w:t xml:space="preserve"> </w:t>
            </w:r>
            <w:r>
              <w:rPr>
                <w:rFonts w:ascii="Bookman Old Style" w:hAnsi="Bookman Old Style"/>
                <w:sz w:val="20"/>
                <w:szCs w:val="20"/>
              </w:rPr>
              <w:t>de Unidad</w:t>
            </w:r>
            <w:r w:rsidR="000F1140">
              <w:rPr>
                <w:rFonts w:ascii="Bookman Old Style" w:hAnsi="Bookman Old Style"/>
                <w:sz w:val="20"/>
                <w:szCs w:val="20"/>
              </w:rPr>
              <w:t xml:space="preserve"> a.i</w:t>
            </w:r>
          </w:p>
        </w:tc>
      </w:tr>
      <w:tr w:rsidR="0088053A" w:rsidRPr="007070DE" w14:paraId="6C92FB3D" w14:textId="77777777" w:rsidTr="00BD74A8">
        <w:trPr>
          <w:trHeight w:val="632"/>
          <w:jc w:val="center"/>
        </w:trPr>
        <w:tc>
          <w:tcPr>
            <w:tcW w:w="1082" w:type="pct"/>
            <w:shd w:val="clear" w:color="auto" w:fill="F2F2F2"/>
            <w:vAlign w:val="center"/>
            <w:hideMark/>
          </w:tcPr>
          <w:p w14:paraId="75D494C4" w14:textId="77777777" w:rsidR="0088053A" w:rsidRPr="007070DE" w:rsidRDefault="0088053A" w:rsidP="00FE1C07">
            <w:pPr>
              <w:rPr>
                <w:rFonts w:ascii="Bookman Old Style" w:hAnsi="Bookman Old Style"/>
                <w:b/>
                <w:color w:val="000000"/>
                <w:sz w:val="20"/>
                <w:szCs w:val="20"/>
                <w:lang w:eastAsia="es-CR"/>
              </w:rPr>
            </w:pPr>
            <w:r w:rsidRPr="007070DE">
              <w:rPr>
                <w:rFonts w:ascii="Bookman Old Style" w:hAnsi="Bookman Old Style"/>
                <w:b/>
                <w:color w:val="000000"/>
                <w:sz w:val="20"/>
                <w:szCs w:val="20"/>
                <w:lang w:eastAsia="es-CR"/>
              </w:rPr>
              <w:t>Aprobado por:</w:t>
            </w:r>
          </w:p>
        </w:tc>
        <w:tc>
          <w:tcPr>
            <w:tcW w:w="2003" w:type="pct"/>
            <w:vAlign w:val="center"/>
            <w:hideMark/>
          </w:tcPr>
          <w:p w14:paraId="65410551" w14:textId="77777777" w:rsidR="0088053A" w:rsidRDefault="0088053A" w:rsidP="00FE1C07">
            <w:pPr>
              <w:rPr>
                <w:rFonts w:ascii="Bookman Old Style" w:hAnsi="Bookman Old Style"/>
                <w:color w:val="000000"/>
                <w:sz w:val="20"/>
                <w:szCs w:val="20"/>
                <w:lang w:eastAsia="es-CR"/>
              </w:rPr>
            </w:pPr>
            <w:r>
              <w:rPr>
                <w:rFonts w:ascii="Bookman Old Style" w:hAnsi="Bookman Old Style"/>
                <w:color w:val="000000"/>
                <w:sz w:val="20"/>
                <w:szCs w:val="20"/>
                <w:lang w:eastAsia="es-CR"/>
              </w:rPr>
              <w:t>Licda</w:t>
            </w:r>
            <w:r w:rsidRPr="007070DE">
              <w:rPr>
                <w:rFonts w:ascii="Bookman Old Style" w:hAnsi="Bookman Old Style"/>
                <w:color w:val="000000"/>
                <w:sz w:val="20"/>
                <w:szCs w:val="20"/>
                <w:lang w:eastAsia="es-CR"/>
              </w:rPr>
              <w:t xml:space="preserve">. </w:t>
            </w:r>
            <w:r>
              <w:rPr>
                <w:rFonts w:ascii="Bookman Old Style" w:hAnsi="Bookman Old Style"/>
                <w:color w:val="000000"/>
                <w:sz w:val="20"/>
                <w:szCs w:val="20"/>
                <w:lang w:eastAsia="es-CR"/>
              </w:rPr>
              <w:t>Ginethe Retana Ureña</w:t>
            </w:r>
          </w:p>
          <w:p w14:paraId="775C18B0" w14:textId="2121F5EB" w:rsidR="003C417C" w:rsidRPr="007070DE" w:rsidRDefault="003C417C" w:rsidP="00FE1C07">
            <w:pPr>
              <w:rPr>
                <w:rFonts w:ascii="Bookman Old Style" w:hAnsi="Bookman Old Style"/>
                <w:color w:val="000000"/>
                <w:sz w:val="20"/>
                <w:szCs w:val="20"/>
                <w:lang w:eastAsia="es-CR"/>
              </w:rPr>
            </w:pPr>
          </w:p>
        </w:tc>
        <w:tc>
          <w:tcPr>
            <w:tcW w:w="1915" w:type="pct"/>
            <w:vAlign w:val="center"/>
            <w:hideMark/>
          </w:tcPr>
          <w:p w14:paraId="232C10F3" w14:textId="2EE3F896" w:rsidR="003C417C" w:rsidRPr="007070DE" w:rsidRDefault="0088053A" w:rsidP="00BD74A8">
            <w:pPr>
              <w:rPr>
                <w:rFonts w:ascii="Bookman Old Style" w:hAnsi="Bookman Old Style"/>
                <w:color w:val="000000"/>
                <w:sz w:val="20"/>
                <w:szCs w:val="20"/>
                <w:highlight w:val="lightGray"/>
                <w:lang w:eastAsia="es-CR"/>
              </w:rPr>
            </w:pPr>
            <w:r w:rsidRPr="007070DE">
              <w:rPr>
                <w:rFonts w:ascii="Bookman Old Style" w:hAnsi="Bookman Old Style"/>
                <w:color w:val="000000"/>
                <w:sz w:val="20"/>
                <w:szCs w:val="20"/>
                <w:lang w:eastAsia="es-CR"/>
              </w:rPr>
              <w:t>Jef</w:t>
            </w:r>
            <w:r>
              <w:rPr>
                <w:rFonts w:ascii="Bookman Old Style" w:hAnsi="Bookman Old Style"/>
                <w:color w:val="000000"/>
                <w:sz w:val="20"/>
                <w:szCs w:val="20"/>
                <w:lang w:eastAsia="es-CR"/>
              </w:rPr>
              <w:t>a</w:t>
            </w:r>
            <w:r w:rsidRPr="007070DE">
              <w:rPr>
                <w:rFonts w:ascii="Bookman Old Style" w:hAnsi="Bookman Old Style"/>
                <w:color w:val="000000"/>
                <w:sz w:val="20"/>
                <w:szCs w:val="20"/>
                <w:lang w:eastAsia="es-CR"/>
              </w:rPr>
              <w:t xml:space="preserve"> Subproceso </w:t>
            </w:r>
            <w:r>
              <w:rPr>
                <w:rFonts w:ascii="Bookman Old Style" w:hAnsi="Bookman Old Style"/>
                <w:color w:val="000000"/>
                <w:sz w:val="20"/>
                <w:szCs w:val="20"/>
                <w:lang w:eastAsia="es-CR"/>
              </w:rPr>
              <w:t>Organización Institucional</w:t>
            </w:r>
          </w:p>
        </w:tc>
      </w:tr>
      <w:tr w:rsidR="0088053A" w:rsidRPr="007070DE" w14:paraId="50A9783F" w14:textId="77777777" w:rsidTr="00BD74A8">
        <w:trPr>
          <w:trHeight w:val="510"/>
          <w:jc w:val="center"/>
        </w:trPr>
        <w:tc>
          <w:tcPr>
            <w:tcW w:w="1082" w:type="pct"/>
            <w:shd w:val="clear" w:color="auto" w:fill="F2F2F2"/>
            <w:vAlign w:val="center"/>
            <w:hideMark/>
          </w:tcPr>
          <w:p w14:paraId="5DBD3F81" w14:textId="36C3FA7F" w:rsidR="0088053A" w:rsidRPr="007070DE" w:rsidRDefault="0088053A" w:rsidP="00FE1C07">
            <w:pPr>
              <w:rPr>
                <w:rFonts w:ascii="Bookman Old Style" w:hAnsi="Bookman Old Style"/>
                <w:b/>
                <w:color w:val="000000"/>
                <w:sz w:val="20"/>
                <w:szCs w:val="20"/>
                <w:lang w:eastAsia="es-CR"/>
              </w:rPr>
            </w:pPr>
            <w:r w:rsidRPr="007070DE">
              <w:rPr>
                <w:rFonts w:ascii="Bookman Old Style" w:hAnsi="Bookman Old Style"/>
                <w:b/>
                <w:color w:val="000000"/>
                <w:sz w:val="20"/>
                <w:szCs w:val="20"/>
                <w:lang w:eastAsia="es-CR"/>
              </w:rPr>
              <w:t>Visto Bueno</w:t>
            </w:r>
            <w:r w:rsidR="00D661D3">
              <w:rPr>
                <w:rFonts w:ascii="Bookman Old Style" w:hAnsi="Bookman Old Style"/>
                <w:b/>
                <w:color w:val="000000"/>
                <w:sz w:val="20"/>
                <w:szCs w:val="20"/>
                <w:lang w:eastAsia="es-CR"/>
              </w:rPr>
              <w:t>:</w:t>
            </w:r>
          </w:p>
        </w:tc>
        <w:tc>
          <w:tcPr>
            <w:tcW w:w="2003" w:type="pct"/>
            <w:vAlign w:val="center"/>
            <w:hideMark/>
          </w:tcPr>
          <w:p w14:paraId="403A2AE1" w14:textId="3A66D3BC" w:rsidR="0088053A" w:rsidRPr="007070DE" w:rsidRDefault="0088053A" w:rsidP="00FE1C07">
            <w:pPr>
              <w:rPr>
                <w:rFonts w:ascii="Bookman Old Style" w:hAnsi="Bookman Old Style"/>
                <w:sz w:val="20"/>
                <w:szCs w:val="20"/>
                <w:lang w:eastAsia="es-CR"/>
              </w:rPr>
            </w:pPr>
            <w:r>
              <w:rPr>
                <w:rFonts w:ascii="Bookman Old Style" w:hAnsi="Bookman Old Style"/>
                <w:sz w:val="20"/>
                <w:szCs w:val="20"/>
                <w:lang w:eastAsia="es-CR"/>
              </w:rPr>
              <w:t>Ing.</w:t>
            </w:r>
            <w:r w:rsidRPr="007070DE">
              <w:rPr>
                <w:rFonts w:ascii="Bookman Old Style" w:hAnsi="Bookman Old Style"/>
                <w:sz w:val="20"/>
                <w:szCs w:val="20"/>
                <w:lang w:eastAsia="es-CR"/>
              </w:rPr>
              <w:t xml:space="preserve"> </w:t>
            </w:r>
            <w:r>
              <w:rPr>
                <w:rFonts w:ascii="Bookman Old Style" w:hAnsi="Bookman Old Style"/>
                <w:sz w:val="20"/>
                <w:szCs w:val="20"/>
                <w:lang w:eastAsia="es-CR"/>
              </w:rPr>
              <w:t>Dixon Li Morales</w:t>
            </w:r>
          </w:p>
        </w:tc>
        <w:tc>
          <w:tcPr>
            <w:tcW w:w="1915" w:type="pct"/>
            <w:vAlign w:val="center"/>
            <w:hideMark/>
          </w:tcPr>
          <w:p w14:paraId="128BCC9D" w14:textId="0E510852" w:rsidR="0088053A" w:rsidRPr="007070DE" w:rsidRDefault="0088053A" w:rsidP="00FE1C07">
            <w:pPr>
              <w:spacing w:line="276" w:lineRule="auto"/>
              <w:rPr>
                <w:rFonts w:ascii="Bookman Old Style" w:hAnsi="Bookman Old Style" w:cs="Book Antiqua"/>
                <w:sz w:val="20"/>
                <w:szCs w:val="20"/>
                <w:lang w:val="pt-BR"/>
              </w:rPr>
            </w:pPr>
            <w:r w:rsidRPr="007070DE">
              <w:rPr>
                <w:rFonts w:ascii="Bookman Old Style" w:hAnsi="Bookman Old Style" w:cs="Book Antiqua"/>
                <w:sz w:val="20"/>
                <w:szCs w:val="20"/>
                <w:lang w:val="pt-BR"/>
              </w:rPr>
              <w:t xml:space="preserve">Jefe </w:t>
            </w:r>
            <w:r w:rsidR="003C417C">
              <w:rPr>
                <w:rFonts w:ascii="Bookman Old Style" w:hAnsi="Bookman Old Style" w:cs="Book Antiqua"/>
                <w:sz w:val="20"/>
                <w:szCs w:val="20"/>
                <w:lang w:val="pt-BR"/>
              </w:rPr>
              <w:t xml:space="preserve">a.i. </w:t>
            </w:r>
            <w:r w:rsidRPr="007070DE">
              <w:rPr>
                <w:rFonts w:ascii="Bookman Old Style" w:hAnsi="Bookman Old Style" w:cs="Book Antiqua"/>
                <w:sz w:val="20"/>
                <w:szCs w:val="20"/>
                <w:lang w:val="pt-BR"/>
              </w:rPr>
              <w:t xml:space="preserve">Proceso de </w:t>
            </w:r>
            <w:r>
              <w:rPr>
                <w:rFonts w:ascii="Bookman Old Style" w:hAnsi="Bookman Old Style" w:cs="Book Antiqua"/>
                <w:sz w:val="20"/>
                <w:szCs w:val="20"/>
                <w:lang w:val="pt-BR"/>
              </w:rPr>
              <w:t>Ejecución de las Operaciones</w:t>
            </w:r>
          </w:p>
          <w:p w14:paraId="18355278" w14:textId="77777777" w:rsidR="0088053A" w:rsidRPr="007070DE" w:rsidRDefault="0088053A" w:rsidP="00FE1C07">
            <w:pPr>
              <w:rPr>
                <w:rFonts w:ascii="Bookman Old Style" w:hAnsi="Bookman Old Style"/>
                <w:color w:val="000000"/>
                <w:sz w:val="20"/>
                <w:szCs w:val="20"/>
                <w:highlight w:val="lightGray"/>
                <w:lang w:eastAsia="es-CR"/>
              </w:rPr>
            </w:pPr>
          </w:p>
        </w:tc>
      </w:tr>
    </w:tbl>
    <w:p w14:paraId="414D8806" w14:textId="5D8058EC" w:rsidR="0088053A" w:rsidRDefault="0088053A" w:rsidP="0088053A">
      <w:pPr>
        <w:spacing w:line="240" w:lineRule="auto"/>
        <w:outlineLvl w:val="0"/>
        <w:rPr>
          <w:b/>
          <w:sz w:val="28"/>
          <w:szCs w:val="28"/>
        </w:rPr>
      </w:pPr>
    </w:p>
    <w:p w14:paraId="1FE03D36" w14:textId="78991489" w:rsidR="00BD74A8" w:rsidRDefault="00BD74A8" w:rsidP="0088053A">
      <w:pPr>
        <w:spacing w:line="240" w:lineRule="auto"/>
        <w:outlineLvl w:val="0"/>
        <w:rPr>
          <w:b/>
          <w:sz w:val="28"/>
          <w:szCs w:val="28"/>
        </w:rPr>
      </w:pPr>
    </w:p>
    <w:p w14:paraId="23B5B665" w14:textId="13BB47BE" w:rsidR="00BD74A8" w:rsidRPr="00ED38A7" w:rsidRDefault="00BD74A8" w:rsidP="0088053A">
      <w:pPr>
        <w:spacing w:line="240" w:lineRule="auto"/>
        <w:outlineLvl w:val="0"/>
        <w:rPr>
          <w:rFonts w:ascii="Arial" w:hAnsi="Arial" w:cs="Arial"/>
          <w:b/>
          <w:sz w:val="28"/>
          <w:szCs w:val="28"/>
        </w:rPr>
      </w:pPr>
    </w:p>
    <w:sectPr w:rsidR="00BD74A8" w:rsidRPr="00ED38A7" w:rsidSect="00B9325D">
      <w:headerReference w:type="default" r:id="rId26"/>
      <w:footerReference w:type="default" r:id="rId27"/>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9658" w14:textId="77777777" w:rsidR="00C53E68" w:rsidRDefault="00C53E68" w:rsidP="004F771E">
      <w:r>
        <w:separator/>
      </w:r>
    </w:p>
  </w:endnote>
  <w:endnote w:type="continuationSeparator" w:id="0">
    <w:p w14:paraId="545F5F57" w14:textId="77777777" w:rsidR="00C53E68" w:rsidRDefault="00C53E68" w:rsidP="004F771E">
      <w:r>
        <w:continuationSeparator/>
      </w:r>
    </w:p>
  </w:endnote>
  <w:endnote w:type="continuationNotice" w:id="1">
    <w:p w14:paraId="560220A7" w14:textId="77777777" w:rsidR="00C53E68" w:rsidRDefault="00C53E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74473"/>
      <w:docPartObj>
        <w:docPartGallery w:val="Page Numbers (Bottom of Page)"/>
        <w:docPartUnique/>
      </w:docPartObj>
    </w:sdtPr>
    <w:sdtEndPr/>
    <w:sdtContent>
      <w:p w14:paraId="39470D60" w14:textId="77777777" w:rsidR="003E35E8" w:rsidRDefault="003E35E8" w:rsidP="003E35E8">
        <w:pPr>
          <w:pBdr>
            <w:top w:val="single" w:sz="4" w:space="1" w:color="auto"/>
          </w:pBdr>
          <w:spacing w:line="240" w:lineRule="auto"/>
          <w:jc w:val="center"/>
          <w:rPr>
            <w:rFonts w:ascii="Book Antiqua" w:hAnsi="Book Antiqua"/>
            <w:b/>
            <w:bCs/>
            <w:color w:val="000000"/>
            <w:lang w:val="es-CR"/>
          </w:rPr>
        </w:pPr>
        <w:r w:rsidRPr="005E2F7E">
          <w:rPr>
            <w:rFonts w:ascii="Book Antiqua" w:hAnsi="Book Antiqua"/>
            <w:b/>
            <w:bCs/>
            <w:color w:val="000000"/>
            <w:lang w:val="es-CR"/>
          </w:rPr>
          <w:t>Trabajamos por el desarrollo de la administración de justicia</w:t>
        </w:r>
      </w:p>
      <w:p w14:paraId="75D8FA6F" w14:textId="77777777" w:rsidR="003E35E8" w:rsidRPr="005E2F7E" w:rsidRDefault="003E35E8" w:rsidP="003E35E8">
        <w:pPr>
          <w:pBdr>
            <w:top w:val="single" w:sz="4" w:space="1" w:color="auto"/>
          </w:pBdr>
          <w:spacing w:line="240" w:lineRule="auto"/>
          <w:jc w:val="center"/>
          <w:rPr>
            <w:rFonts w:ascii="Book Antiqua" w:hAnsi="Book Antiqua"/>
            <w:b/>
            <w:bCs/>
            <w:color w:val="000000"/>
            <w:lang w:val="es-CR"/>
          </w:rPr>
        </w:pPr>
        <w:r w:rsidRPr="005E2F7E">
          <w:rPr>
            <w:rFonts w:ascii="Book Antiqua" w:hAnsi="Book Antiqua"/>
            <w:b/>
            <w:bCs/>
            <w:color w:val="000000"/>
            <w:lang w:val="es-CR"/>
          </w:rPr>
          <w:t>con proyección e innovación</w:t>
        </w:r>
      </w:p>
      <w:p w14:paraId="1B2D21B2" w14:textId="200C6E03" w:rsidR="003E35E8" w:rsidRDefault="003E35E8">
        <w:pPr>
          <w:pStyle w:val="Piedepgina"/>
          <w:jc w:val="right"/>
        </w:pPr>
        <w:r>
          <w:fldChar w:fldCharType="begin"/>
        </w:r>
        <w:r>
          <w:instrText>PAGE   \* MERGEFORMAT</w:instrText>
        </w:r>
        <w:r>
          <w:fldChar w:fldCharType="separate"/>
        </w:r>
        <w:r>
          <w:t>2</w:t>
        </w:r>
        <w:r>
          <w:fldChar w:fldCharType="end"/>
        </w:r>
      </w:p>
    </w:sdtContent>
  </w:sdt>
  <w:p w14:paraId="0541232C" w14:textId="77777777" w:rsidR="001F5783" w:rsidRPr="005E2F7E" w:rsidRDefault="001F5783" w:rsidP="005E2F7E">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7987" w14:textId="77777777" w:rsidR="00C53E68" w:rsidRDefault="00C53E68" w:rsidP="004F771E">
      <w:r>
        <w:separator/>
      </w:r>
    </w:p>
  </w:footnote>
  <w:footnote w:type="continuationSeparator" w:id="0">
    <w:p w14:paraId="2919977E" w14:textId="77777777" w:rsidR="00C53E68" w:rsidRDefault="00C53E68" w:rsidP="004F771E">
      <w:r>
        <w:continuationSeparator/>
      </w:r>
    </w:p>
  </w:footnote>
  <w:footnote w:type="continuationNotice" w:id="1">
    <w:p w14:paraId="79A768C1" w14:textId="77777777" w:rsidR="00C53E68" w:rsidRDefault="00C53E68">
      <w:pPr>
        <w:spacing w:line="240" w:lineRule="auto"/>
      </w:pPr>
    </w:p>
  </w:footnote>
  <w:footnote w:id="2">
    <w:p w14:paraId="64AB135D" w14:textId="17DA24B4" w:rsidR="00BD7852" w:rsidRPr="00BD7852" w:rsidRDefault="00BD7852" w:rsidP="00BD7852">
      <w:pPr>
        <w:pStyle w:val="Textonotapie"/>
        <w:rPr>
          <w:lang w:val="es-CR"/>
        </w:rPr>
      </w:pPr>
      <w:r>
        <w:rPr>
          <w:rStyle w:val="Refdenotaalpie"/>
        </w:rPr>
        <w:footnoteRef/>
      </w:r>
      <w:r>
        <w:t xml:space="preserve"> Acuerdo del Consejo Superior del Poder Judicial, en sesión 11-19 celebrada el 12 de febrero del 2019, </w:t>
      </w:r>
      <w:r w:rsidR="00435F67">
        <w:t>artículo</w:t>
      </w:r>
      <w:r>
        <w:t xml:space="preserve"> XLVI</w:t>
      </w:r>
      <w:r w:rsidR="00435F67">
        <w:t>.</w:t>
      </w:r>
    </w:p>
  </w:footnote>
  <w:footnote w:id="3">
    <w:p w14:paraId="5C5BA8CA" w14:textId="6FC8C4F9" w:rsidR="007C24D4" w:rsidRPr="001F6C02" w:rsidRDefault="007C24D4" w:rsidP="002F0FC9">
      <w:pPr>
        <w:pStyle w:val="Textonotapie"/>
        <w:spacing w:line="240" w:lineRule="auto"/>
        <w:rPr>
          <w:color w:val="0070C0"/>
        </w:rPr>
      </w:pPr>
      <w:r w:rsidRPr="003141B7">
        <w:rPr>
          <w:rStyle w:val="Refdenotaalpie"/>
        </w:rPr>
        <w:footnoteRef/>
      </w:r>
      <w:r w:rsidRPr="003141B7">
        <w:t xml:space="preserve"> </w:t>
      </w:r>
      <w:r w:rsidR="000D7E5D" w:rsidRPr="003141B7">
        <w:t>Tal y como dispuso l</w:t>
      </w:r>
      <w:r w:rsidR="002F0FC9" w:rsidRPr="003141B7">
        <w:t>a Dirección Ejecutiva para la Apertura Efectiva de fin y principio 2021 – 2022</w:t>
      </w:r>
      <w:r w:rsidR="000D7E5D" w:rsidRPr="003141B7">
        <w:t>,</w:t>
      </w:r>
      <w:r w:rsidR="002F0FC9" w:rsidRPr="003141B7">
        <w:t xml:space="preserve"> </w:t>
      </w:r>
      <w:r w:rsidR="002F0FC9" w:rsidRPr="003141B7">
        <w:rPr>
          <w:rFonts w:cs="Arial"/>
        </w:rPr>
        <w:t>laborar durante los días hábiles del período comprendido del 20 al 31 de diciembre de 2021</w:t>
      </w:r>
      <w:r w:rsidR="001F6C02" w:rsidRPr="003141B7">
        <w:rPr>
          <w:rFonts w:cs="Arial"/>
        </w:rPr>
        <w:t>; es decir, las dos semanas</w:t>
      </w:r>
      <w:r w:rsidR="002F0FC9" w:rsidRPr="003141B7">
        <w:rPr>
          <w:rFonts w:cs="Arial"/>
        </w:rPr>
        <w:t xml:space="preserve"> </w:t>
      </w:r>
      <w:r w:rsidR="001F6C02" w:rsidRPr="003141B7">
        <w:rPr>
          <w:rFonts w:cs="Arial"/>
        </w:rPr>
        <w:t>de ese período, comunicado mediante circular N° 150-2021, copia al Registro Judicial del 08 de diciembre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81DB" w14:textId="2EA0945A" w:rsidR="001F5783" w:rsidRPr="005E2F7E" w:rsidRDefault="001F5783" w:rsidP="005E2F7E">
    <w:pPr>
      <w:tabs>
        <w:tab w:val="center" w:pos="8804"/>
        <w:tab w:val="right" w:pos="8875"/>
      </w:tabs>
      <w:spacing w:line="240" w:lineRule="auto"/>
      <w:jc w:val="center"/>
      <w:rPr>
        <w:rFonts w:ascii="Book Antiqua" w:hAnsi="Book Antiqua" w:cs="Book Antiqua"/>
        <w:i/>
        <w:iCs/>
        <w:sz w:val="18"/>
        <w:szCs w:val="18"/>
        <w:lang w:val="es-CR"/>
      </w:rPr>
    </w:pPr>
    <w:r w:rsidRPr="005E2F7E">
      <w:rPr>
        <w:rFonts w:ascii="Book Antiqua" w:hAnsi="Book Antiqua" w:cs="Book Antiqua"/>
        <w:i/>
        <w:iCs/>
        <w:sz w:val="18"/>
        <w:szCs w:val="18"/>
        <w:lang w:val="es-CR"/>
      </w:rPr>
      <w:t>Poder Judicial – Dirección de Planificación</w:t>
    </w:r>
    <w:r w:rsidR="000F19B0">
      <w:rPr>
        <w:rFonts w:ascii="Times New Roman" w:hAnsi="Times New Roman"/>
        <w:noProof/>
        <w:lang w:val="es-CR"/>
      </w:rPr>
      <w:drawing>
        <wp:inline distT="0" distB="0" distL="0" distR="0" wp14:anchorId="7578AADB" wp14:editId="4F0C86EA">
          <wp:extent cx="320040" cy="411480"/>
          <wp:effectExtent l="0" t="0" r="381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 cy="411480"/>
                  </a:xfrm>
                  <a:prstGeom prst="rect">
                    <a:avLst/>
                  </a:prstGeom>
                  <a:noFill/>
                  <a:ln>
                    <a:noFill/>
                  </a:ln>
                </pic:spPr>
              </pic:pic>
            </a:graphicData>
          </a:graphic>
        </wp:inline>
      </w:drawing>
    </w:r>
  </w:p>
  <w:p w14:paraId="6C65706B" w14:textId="4A3C8F44" w:rsidR="001F5783" w:rsidRPr="005E2F7E" w:rsidRDefault="001F5783" w:rsidP="005E2F7E">
    <w:pPr>
      <w:tabs>
        <w:tab w:val="center" w:pos="4252"/>
        <w:tab w:val="right" w:pos="8875"/>
      </w:tabs>
      <w:spacing w:line="240" w:lineRule="auto"/>
      <w:jc w:val="center"/>
      <w:rPr>
        <w:rFonts w:ascii="Book Antiqua" w:hAnsi="Book Antiqua" w:cs="Book Antiqua"/>
        <w:i/>
        <w:iCs/>
        <w:sz w:val="18"/>
        <w:szCs w:val="18"/>
        <w:lang w:val="es-CR"/>
      </w:rPr>
    </w:pPr>
    <w:r w:rsidRPr="005E2F7E">
      <w:rPr>
        <w:rFonts w:ascii="Book Antiqua" w:hAnsi="Book Antiqua" w:cs="Book Antiqua"/>
        <w:i/>
        <w:iCs/>
        <w:sz w:val="18"/>
        <w:szCs w:val="18"/>
        <w:lang w:val="es-CR"/>
      </w:rPr>
      <w:t xml:space="preserve">San José </w:t>
    </w:r>
    <w:r w:rsidR="008731BD" w:rsidRPr="005E2F7E">
      <w:rPr>
        <w:rFonts w:ascii="Book Antiqua" w:hAnsi="Book Antiqua" w:cs="Book Antiqua"/>
        <w:i/>
        <w:iCs/>
        <w:sz w:val="18"/>
        <w:szCs w:val="18"/>
        <w:lang w:val="es-CR"/>
      </w:rPr>
      <w:t>- Costa</w:t>
    </w:r>
    <w:r w:rsidRPr="005E2F7E">
      <w:rPr>
        <w:rFonts w:ascii="Book Antiqua" w:hAnsi="Book Antiqua" w:cs="Book Antiqua"/>
        <w:i/>
        <w:iCs/>
        <w:sz w:val="18"/>
        <w:szCs w:val="18"/>
        <w:lang w:val="es-CR"/>
      </w:rPr>
      <w:t xml:space="preserve"> Rica</w:t>
    </w:r>
  </w:p>
  <w:p w14:paraId="0A96AC1D" w14:textId="052A1108" w:rsidR="001F5783" w:rsidRPr="005E2F7E" w:rsidRDefault="001F5783" w:rsidP="005E2F7E">
    <w:pPr>
      <w:tabs>
        <w:tab w:val="center" w:pos="4252"/>
        <w:tab w:val="right" w:pos="8504"/>
      </w:tabs>
      <w:spacing w:line="240" w:lineRule="auto"/>
      <w:jc w:val="center"/>
      <w:rPr>
        <w:rFonts w:ascii="Times New Roman" w:hAnsi="Times New Roman"/>
        <w:sz w:val="20"/>
        <w:szCs w:val="20"/>
        <w:lang w:val="es-CR"/>
      </w:rPr>
    </w:pPr>
    <w:r w:rsidRPr="005E2F7E">
      <w:rPr>
        <w:rFonts w:ascii="Book Antiqua" w:hAnsi="Book Antiqua" w:cs="Book Antiqua"/>
        <w:i/>
        <w:iCs/>
        <w:sz w:val="18"/>
        <w:szCs w:val="18"/>
      </w:rPr>
      <w:t xml:space="preserve">Telf.   </w:t>
    </w:r>
    <w:r w:rsidRPr="005E2F7E">
      <w:rPr>
        <w:rFonts w:ascii="Book Antiqua" w:hAnsi="Book Antiqua" w:cs="Book Antiqua"/>
        <w:i/>
        <w:iCs/>
        <w:sz w:val="18"/>
        <w:szCs w:val="18"/>
        <w:lang w:val="es-CR"/>
      </w:rPr>
      <w:t xml:space="preserve">2295-3600 / </w:t>
    </w:r>
    <w:r w:rsidR="008731BD" w:rsidRPr="005E2F7E">
      <w:rPr>
        <w:rFonts w:ascii="Book Antiqua" w:hAnsi="Book Antiqua" w:cs="Book Antiqua"/>
        <w:i/>
        <w:iCs/>
        <w:sz w:val="18"/>
        <w:szCs w:val="18"/>
        <w:lang w:val="es-CR"/>
      </w:rPr>
      <w:t>3599 /</w:t>
    </w:r>
    <w:r w:rsidRPr="005E2F7E">
      <w:rPr>
        <w:rFonts w:ascii="Book Antiqua" w:hAnsi="Book Antiqua" w:cs="Book Antiqua"/>
        <w:i/>
        <w:iCs/>
        <w:sz w:val="18"/>
        <w:szCs w:val="18"/>
        <w:lang w:val="es-CR"/>
      </w:rPr>
      <w:t xml:space="preserve"> Apdo.  95-</w:t>
    </w:r>
    <w:r w:rsidR="008731BD" w:rsidRPr="005E2F7E">
      <w:rPr>
        <w:rFonts w:ascii="Book Antiqua" w:hAnsi="Book Antiqua" w:cs="Book Antiqua"/>
        <w:i/>
        <w:iCs/>
        <w:sz w:val="18"/>
        <w:szCs w:val="18"/>
        <w:lang w:val="es-CR"/>
      </w:rPr>
      <w:t>1003 /</w:t>
    </w:r>
    <w:r w:rsidRPr="005E2F7E">
      <w:rPr>
        <w:rFonts w:ascii="Book Antiqua" w:hAnsi="Book Antiqua" w:cs="Book Antiqua"/>
        <w:i/>
        <w:iCs/>
        <w:sz w:val="18"/>
        <w:szCs w:val="18"/>
        <w:lang w:val="es-CR"/>
      </w:rPr>
      <w:t xml:space="preserve"> planificacion@poder-judicial.go.cr</w:t>
    </w:r>
  </w:p>
  <w:p w14:paraId="51559619" w14:textId="77777777" w:rsidR="001F5783" w:rsidRPr="005E2F7E" w:rsidRDefault="001F5783" w:rsidP="005E2F7E">
    <w:pPr>
      <w:pBdr>
        <w:bottom w:val="single" w:sz="6" w:space="0" w:color="auto"/>
      </w:pBdr>
      <w:spacing w:after="20" w:line="240" w:lineRule="auto"/>
      <w:jc w:val="center"/>
      <w:rPr>
        <w:rFonts w:ascii="Times New Roman" w:hAnsi="Times New Roman"/>
        <w:sz w:val="20"/>
        <w:szCs w:val="20"/>
        <w:lang w:val="es-CR"/>
      </w:rPr>
    </w:pPr>
  </w:p>
  <w:p w14:paraId="383C3C6E" w14:textId="77777777" w:rsidR="001F5783" w:rsidRDefault="001F5783" w:rsidP="005E2F7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464FD5E"/>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4131"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5082C5E"/>
    <w:multiLevelType w:val="hybridMultilevel"/>
    <w:tmpl w:val="100295F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071677BA"/>
    <w:multiLevelType w:val="multilevel"/>
    <w:tmpl w:val="C716215E"/>
    <w:lvl w:ilvl="0">
      <w:start w:val="1"/>
      <w:numFmt w:val="decimal"/>
      <w:lvlText w:val="%1."/>
      <w:lvlJc w:val="left"/>
      <w:pPr>
        <w:ind w:left="400" w:hanging="400"/>
      </w:pPr>
      <w:rPr>
        <w:rFonts w:hint="default"/>
        <w:color w:val="0070C0"/>
      </w:rPr>
    </w:lvl>
    <w:lvl w:ilvl="1">
      <w:start w:val="1"/>
      <w:numFmt w:val="decimal"/>
      <w:lvlText w:val="%1.%2."/>
      <w:lvlJc w:val="left"/>
      <w:pPr>
        <w:ind w:left="720" w:hanging="720"/>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800" w:hanging="1800"/>
      </w:pPr>
      <w:rPr>
        <w:rFonts w:hint="default"/>
        <w:color w:val="0070C0"/>
      </w:rPr>
    </w:lvl>
    <w:lvl w:ilvl="8">
      <w:start w:val="1"/>
      <w:numFmt w:val="decimal"/>
      <w:lvlText w:val="%1.%2.%3.%4.%5.%6.%7.%8.%9."/>
      <w:lvlJc w:val="left"/>
      <w:pPr>
        <w:ind w:left="2160" w:hanging="2160"/>
      </w:pPr>
      <w:rPr>
        <w:rFonts w:hint="default"/>
        <w:color w:val="0070C0"/>
      </w:rPr>
    </w:lvl>
  </w:abstractNum>
  <w:abstractNum w:abstractNumId="3" w15:restartNumberingAfterBreak="0">
    <w:nsid w:val="09F823E1"/>
    <w:multiLevelType w:val="hybridMultilevel"/>
    <w:tmpl w:val="DDF0ED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41A70A6"/>
    <w:multiLevelType w:val="hybridMultilevel"/>
    <w:tmpl w:val="10D4F5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E380414"/>
    <w:multiLevelType w:val="hybridMultilevel"/>
    <w:tmpl w:val="316C5E98"/>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6" w15:restartNumberingAfterBreak="0">
    <w:nsid w:val="21D179D5"/>
    <w:multiLevelType w:val="hybridMultilevel"/>
    <w:tmpl w:val="6BB2EB88"/>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49E7744"/>
    <w:multiLevelType w:val="hybridMultilevel"/>
    <w:tmpl w:val="0A20DD14"/>
    <w:lvl w:ilvl="0" w:tplc="B0425A7E">
      <w:start w:val="3"/>
      <w:numFmt w:val="bullet"/>
      <w:lvlText w:val="-"/>
      <w:lvlJc w:val="left"/>
      <w:pPr>
        <w:ind w:left="720" w:hanging="360"/>
      </w:pPr>
      <w:rPr>
        <w:rFonts w:ascii="Arial Narrow" w:eastAsia="Times New Roman" w:hAnsi="Arial Narrow"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27747"/>
    <w:multiLevelType w:val="hybridMultilevel"/>
    <w:tmpl w:val="1B9C9C48"/>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EAD588E"/>
    <w:multiLevelType w:val="hybridMultilevel"/>
    <w:tmpl w:val="1B000F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986105"/>
    <w:multiLevelType w:val="hybridMultilevel"/>
    <w:tmpl w:val="C32603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F4F0708"/>
    <w:multiLevelType w:val="hybridMultilevel"/>
    <w:tmpl w:val="AF46A6C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03E46D6"/>
    <w:multiLevelType w:val="multilevel"/>
    <w:tmpl w:val="87E8519C"/>
    <w:lvl w:ilvl="0">
      <w:start w:val="1"/>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405A0E23"/>
    <w:multiLevelType w:val="hybridMultilevel"/>
    <w:tmpl w:val="3ABCBF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5F6438E"/>
    <w:multiLevelType w:val="multilevel"/>
    <w:tmpl w:val="8000DC9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CA105D1"/>
    <w:multiLevelType w:val="hybridMultilevel"/>
    <w:tmpl w:val="A5AE78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4921D2F"/>
    <w:multiLevelType w:val="hybridMultilevel"/>
    <w:tmpl w:val="24C869A8"/>
    <w:lvl w:ilvl="0" w:tplc="D820E98C">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50E09"/>
    <w:multiLevelType w:val="hybridMultilevel"/>
    <w:tmpl w:val="22DCA0F6"/>
    <w:lvl w:ilvl="0" w:tplc="00000003">
      <w:start w:val="1"/>
      <w:numFmt w:val="lowerLetter"/>
      <w:lvlText w:val="%1."/>
      <w:lvlJc w:val="left"/>
      <w:pPr>
        <w:ind w:left="720" w:hanging="360"/>
      </w:pPr>
      <w:rPr>
        <w:rFonts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7813D8D"/>
    <w:multiLevelType w:val="hybridMultilevel"/>
    <w:tmpl w:val="1C902B6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A4D7C56"/>
    <w:multiLevelType w:val="multilevel"/>
    <w:tmpl w:val="A62C560C"/>
    <w:lvl w:ilvl="0">
      <w:start w:val="1"/>
      <w:numFmt w:val="decimal"/>
      <w:lvlText w:val="%1."/>
      <w:lvlJc w:val="left"/>
      <w:pPr>
        <w:ind w:left="400" w:hanging="400"/>
      </w:pPr>
      <w:rPr>
        <w:rFonts w:hint="default"/>
        <w:color w:val="0070C0"/>
      </w:rPr>
    </w:lvl>
    <w:lvl w:ilvl="1">
      <w:start w:val="1"/>
      <w:numFmt w:val="decimal"/>
      <w:lvlText w:val="%1.%2."/>
      <w:lvlJc w:val="left"/>
      <w:pPr>
        <w:ind w:left="1428" w:hanging="720"/>
      </w:pPr>
      <w:rPr>
        <w:rFonts w:hint="default"/>
        <w:color w:val="0070C0"/>
      </w:rPr>
    </w:lvl>
    <w:lvl w:ilvl="2">
      <w:start w:val="1"/>
      <w:numFmt w:val="decimal"/>
      <w:lvlText w:val="%1.%2.%3."/>
      <w:lvlJc w:val="left"/>
      <w:pPr>
        <w:ind w:left="2136" w:hanging="720"/>
      </w:pPr>
      <w:rPr>
        <w:rFonts w:hint="default"/>
        <w:color w:val="0070C0"/>
      </w:rPr>
    </w:lvl>
    <w:lvl w:ilvl="3">
      <w:start w:val="1"/>
      <w:numFmt w:val="decimal"/>
      <w:lvlText w:val="%1.%2.%3.%4."/>
      <w:lvlJc w:val="left"/>
      <w:pPr>
        <w:ind w:left="3204" w:hanging="1080"/>
      </w:pPr>
      <w:rPr>
        <w:rFonts w:hint="default"/>
        <w:color w:val="0070C0"/>
      </w:rPr>
    </w:lvl>
    <w:lvl w:ilvl="4">
      <w:start w:val="1"/>
      <w:numFmt w:val="decimal"/>
      <w:lvlText w:val="%1.%2.%3.%4.%5."/>
      <w:lvlJc w:val="left"/>
      <w:pPr>
        <w:ind w:left="3912" w:hanging="1080"/>
      </w:pPr>
      <w:rPr>
        <w:rFonts w:hint="default"/>
        <w:color w:val="0070C0"/>
      </w:rPr>
    </w:lvl>
    <w:lvl w:ilvl="5">
      <w:start w:val="1"/>
      <w:numFmt w:val="decimal"/>
      <w:lvlText w:val="%1.%2.%3.%4.%5.%6."/>
      <w:lvlJc w:val="left"/>
      <w:pPr>
        <w:ind w:left="4980" w:hanging="1440"/>
      </w:pPr>
      <w:rPr>
        <w:rFonts w:hint="default"/>
        <w:color w:val="0070C0"/>
      </w:rPr>
    </w:lvl>
    <w:lvl w:ilvl="6">
      <w:start w:val="1"/>
      <w:numFmt w:val="decimal"/>
      <w:lvlText w:val="%1.%2.%3.%4.%5.%6.%7."/>
      <w:lvlJc w:val="left"/>
      <w:pPr>
        <w:ind w:left="5688" w:hanging="1440"/>
      </w:pPr>
      <w:rPr>
        <w:rFonts w:hint="default"/>
        <w:color w:val="0070C0"/>
      </w:rPr>
    </w:lvl>
    <w:lvl w:ilvl="7">
      <w:start w:val="1"/>
      <w:numFmt w:val="decimal"/>
      <w:lvlText w:val="%1.%2.%3.%4.%5.%6.%7.%8."/>
      <w:lvlJc w:val="left"/>
      <w:pPr>
        <w:ind w:left="6756" w:hanging="1800"/>
      </w:pPr>
      <w:rPr>
        <w:rFonts w:hint="default"/>
        <w:color w:val="0070C0"/>
      </w:rPr>
    </w:lvl>
    <w:lvl w:ilvl="8">
      <w:start w:val="1"/>
      <w:numFmt w:val="decimal"/>
      <w:lvlText w:val="%1.%2.%3.%4.%5.%6.%7.%8.%9."/>
      <w:lvlJc w:val="left"/>
      <w:pPr>
        <w:ind w:left="7824" w:hanging="2160"/>
      </w:pPr>
      <w:rPr>
        <w:rFonts w:hint="default"/>
        <w:color w:val="0070C0"/>
      </w:rPr>
    </w:lvl>
  </w:abstractNum>
  <w:abstractNum w:abstractNumId="20" w15:restartNumberingAfterBreak="0">
    <w:nsid w:val="61A55276"/>
    <w:multiLevelType w:val="multilevel"/>
    <w:tmpl w:val="A9A6D356"/>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213307E"/>
    <w:multiLevelType w:val="hybridMultilevel"/>
    <w:tmpl w:val="4C8E3828"/>
    <w:lvl w:ilvl="0" w:tplc="E620D6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7E73E7"/>
    <w:multiLevelType w:val="hybridMultilevel"/>
    <w:tmpl w:val="7C5E83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ED418ED"/>
    <w:multiLevelType w:val="hybridMultilevel"/>
    <w:tmpl w:val="348892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9F91801"/>
    <w:multiLevelType w:val="hybridMultilevel"/>
    <w:tmpl w:val="0D7EFA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C42501E"/>
    <w:multiLevelType w:val="hybridMultilevel"/>
    <w:tmpl w:val="B0C85F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525826915">
    <w:abstractNumId w:val="0"/>
  </w:num>
  <w:num w:numId="2" w16cid:durableId="487676654">
    <w:abstractNumId w:val="8"/>
  </w:num>
  <w:num w:numId="3" w16cid:durableId="16154456">
    <w:abstractNumId w:val="7"/>
  </w:num>
  <w:num w:numId="4" w16cid:durableId="1002859167">
    <w:abstractNumId w:val="21"/>
  </w:num>
  <w:num w:numId="5" w16cid:durableId="406614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2299177">
    <w:abstractNumId w:val="1"/>
  </w:num>
  <w:num w:numId="7" w16cid:durableId="935016119">
    <w:abstractNumId w:val="15"/>
  </w:num>
  <w:num w:numId="8" w16cid:durableId="1215042519">
    <w:abstractNumId w:val="4"/>
  </w:num>
  <w:num w:numId="9" w16cid:durableId="707488050">
    <w:abstractNumId w:val="13"/>
  </w:num>
  <w:num w:numId="10" w16cid:durableId="1641809269">
    <w:abstractNumId w:val="3"/>
  </w:num>
  <w:num w:numId="11" w16cid:durableId="1626814876">
    <w:abstractNumId w:val="10"/>
  </w:num>
  <w:num w:numId="12" w16cid:durableId="869798005">
    <w:abstractNumId w:val="22"/>
  </w:num>
  <w:num w:numId="13" w16cid:durableId="1797944677">
    <w:abstractNumId w:val="23"/>
  </w:num>
  <w:num w:numId="14" w16cid:durableId="1298493123">
    <w:abstractNumId w:val="11"/>
  </w:num>
  <w:num w:numId="15" w16cid:durableId="1186402066">
    <w:abstractNumId w:val="16"/>
  </w:num>
  <w:num w:numId="16" w16cid:durableId="1328554651">
    <w:abstractNumId w:val="5"/>
  </w:num>
  <w:num w:numId="17" w16cid:durableId="12554306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5197551">
    <w:abstractNumId w:val="6"/>
  </w:num>
  <w:num w:numId="19" w16cid:durableId="365374070">
    <w:abstractNumId w:val="18"/>
  </w:num>
  <w:num w:numId="20" w16cid:durableId="728842730">
    <w:abstractNumId w:val="14"/>
  </w:num>
  <w:num w:numId="21" w16cid:durableId="1204438145">
    <w:abstractNumId w:val="24"/>
  </w:num>
  <w:num w:numId="22" w16cid:durableId="1812214636">
    <w:abstractNumId w:val="19"/>
  </w:num>
  <w:num w:numId="23" w16cid:durableId="944077349">
    <w:abstractNumId w:val="2"/>
  </w:num>
  <w:num w:numId="24" w16cid:durableId="101610034">
    <w:abstractNumId w:val="9"/>
  </w:num>
  <w:num w:numId="25" w16cid:durableId="1435903672">
    <w:abstractNumId w:val="20"/>
  </w:num>
  <w:num w:numId="26" w16cid:durableId="1051658930">
    <w:abstractNumId w:val="12"/>
  </w:num>
  <w:num w:numId="27" w16cid:durableId="7989607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1E"/>
    <w:rsid w:val="000046FE"/>
    <w:rsid w:val="000073E7"/>
    <w:rsid w:val="00007E3D"/>
    <w:rsid w:val="00010204"/>
    <w:rsid w:val="00011921"/>
    <w:rsid w:val="0001571F"/>
    <w:rsid w:val="00016AA6"/>
    <w:rsid w:val="000171D9"/>
    <w:rsid w:val="00021055"/>
    <w:rsid w:val="00021129"/>
    <w:rsid w:val="00021D64"/>
    <w:rsid w:val="000220E1"/>
    <w:rsid w:val="000244FD"/>
    <w:rsid w:val="00024892"/>
    <w:rsid w:val="00025192"/>
    <w:rsid w:val="00025D14"/>
    <w:rsid w:val="00026A39"/>
    <w:rsid w:val="00027337"/>
    <w:rsid w:val="0003015C"/>
    <w:rsid w:val="00035D7D"/>
    <w:rsid w:val="00035FD7"/>
    <w:rsid w:val="00037F74"/>
    <w:rsid w:val="00040387"/>
    <w:rsid w:val="0004079A"/>
    <w:rsid w:val="00040C84"/>
    <w:rsid w:val="00041305"/>
    <w:rsid w:val="0004246D"/>
    <w:rsid w:val="0004340B"/>
    <w:rsid w:val="000470C3"/>
    <w:rsid w:val="00050AC8"/>
    <w:rsid w:val="00052978"/>
    <w:rsid w:val="00054331"/>
    <w:rsid w:val="0005522F"/>
    <w:rsid w:val="00055531"/>
    <w:rsid w:val="00056547"/>
    <w:rsid w:val="00060C6E"/>
    <w:rsid w:val="00061F73"/>
    <w:rsid w:val="00062E9F"/>
    <w:rsid w:val="0006547C"/>
    <w:rsid w:val="0006556A"/>
    <w:rsid w:val="00065ACA"/>
    <w:rsid w:val="00066D2E"/>
    <w:rsid w:val="000678DC"/>
    <w:rsid w:val="00067E15"/>
    <w:rsid w:val="00070304"/>
    <w:rsid w:val="000711EE"/>
    <w:rsid w:val="00071327"/>
    <w:rsid w:val="000723D6"/>
    <w:rsid w:val="000725A0"/>
    <w:rsid w:val="00072609"/>
    <w:rsid w:val="00075F67"/>
    <w:rsid w:val="00075F9E"/>
    <w:rsid w:val="00076565"/>
    <w:rsid w:val="000779B1"/>
    <w:rsid w:val="00085D89"/>
    <w:rsid w:val="00086AFB"/>
    <w:rsid w:val="00090DF0"/>
    <w:rsid w:val="00091153"/>
    <w:rsid w:val="00091739"/>
    <w:rsid w:val="0009381C"/>
    <w:rsid w:val="00093D6B"/>
    <w:rsid w:val="00093D95"/>
    <w:rsid w:val="0009503A"/>
    <w:rsid w:val="0009516D"/>
    <w:rsid w:val="0009577C"/>
    <w:rsid w:val="000963D5"/>
    <w:rsid w:val="000977AB"/>
    <w:rsid w:val="000A0BE0"/>
    <w:rsid w:val="000A3042"/>
    <w:rsid w:val="000A5503"/>
    <w:rsid w:val="000A55A2"/>
    <w:rsid w:val="000A6847"/>
    <w:rsid w:val="000A79CC"/>
    <w:rsid w:val="000A7C65"/>
    <w:rsid w:val="000B1B63"/>
    <w:rsid w:val="000B21AF"/>
    <w:rsid w:val="000B34D6"/>
    <w:rsid w:val="000B5730"/>
    <w:rsid w:val="000C08E0"/>
    <w:rsid w:val="000C4AC3"/>
    <w:rsid w:val="000C687A"/>
    <w:rsid w:val="000D363E"/>
    <w:rsid w:val="000D3CB3"/>
    <w:rsid w:val="000D47A3"/>
    <w:rsid w:val="000D6E80"/>
    <w:rsid w:val="000D7E5D"/>
    <w:rsid w:val="000E0668"/>
    <w:rsid w:val="000E06A8"/>
    <w:rsid w:val="000E12F4"/>
    <w:rsid w:val="000E4259"/>
    <w:rsid w:val="000E51E4"/>
    <w:rsid w:val="000E6AD0"/>
    <w:rsid w:val="000E7BDA"/>
    <w:rsid w:val="000F1140"/>
    <w:rsid w:val="000F1417"/>
    <w:rsid w:val="000F19B0"/>
    <w:rsid w:val="000F3A63"/>
    <w:rsid w:val="000F522B"/>
    <w:rsid w:val="000F64A9"/>
    <w:rsid w:val="000F6717"/>
    <w:rsid w:val="0010030A"/>
    <w:rsid w:val="0010080C"/>
    <w:rsid w:val="0010621B"/>
    <w:rsid w:val="00111513"/>
    <w:rsid w:val="0011289D"/>
    <w:rsid w:val="00112CDC"/>
    <w:rsid w:val="001135E8"/>
    <w:rsid w:val="00114172"/>
    <w:rsid w:val="00114F96"/>
    <w:rsid w:val="00116373"/>
    <w:rsid w:val="00116C05"/>
    <w:rsid w:val="001204ED"/>
    <w:rsid w:val="00123C9C"/>
    <w:rsid w:val="00124349"/>
    <w:rsid w:val="00124654"/>
    <w:rsid w:val="0012566C"/>
    <w:rsid w:val="00126D69"/>
    <w:rsid w:val="00130C92"/>
    <w:rsid w:val="00130FE3"/>
    <w:rsid w:val="0013173D"/>
    <w:rsid w:val="001323E6"/>
    <w:rsid w:val="00133939"/>
    <w:rsid w:val="00134BA4"/>
    <w:rsid w:val="001355F5"/>
    <w:rsid w:val="00136499"/>
    <w:rsid w:val="001402C4"/>
    <w:rsid w:val="0014054E"/>
    <w:rsid w:val="0014222E"/>
    <w:rsid w:val="00143771"/>
    <w:rsid w:val="00143F9B"/>
    <w:rsid w:val="0014432E"/>
    <w:rsid w:val="00144717"/>
    <w:rsid w:val="001453AD"/>
    <w:rsid w:val="0014796A"/>
    <w:rsid w:val="00154195"/>
    <w:rsid w:val="00154A38"/>
    <w:rsid w:val="00155C1C"/>
    <w:rsid w:val="00160084"/>
    <w:rsid w:val="00162179"/>
    <w:rsid w:val="00162618"/>
    <w:rsid w:val="001630B3"/>
    <w:rsid w:val="001637EA"/>
    <w:rsid w:val="00164F5D"/>
    <w:rsid w:val="00165D55"/>
    <w:rsid w:val="00165DD4"/>
    <w:rsid w:val="0017285B"/>
    <w:rsid w:val="001736FF"/>
    <w:rsid w:val="00175969"/>
    <w:rsid w:val="00175E79"/>
    <w:rsid w:val="001767DA"/>
    <w:rsid w:val="0017739C"/>
    <w:rsid w:val="00177CE4"/>
    <w:rsid w:val="00180BE2"/>
    <w:rsid w:val="00180F0D"/>
    <w:rsid w:val="00180F5D"/>
    <w:rsid w:val="001818A4"/>
    <w:rsid w:val="0018324D"/>
    <w:rsid w:val="00183DED"/>
    <w:rsid w:val="001845A3"/>
    <w:rsid w:val="001855DE"/>
    <w:rsid w:val="00185E02"/>
    <w:rsid w:val="001909B1"/>
    <w:rsid w:val="0019154B"/>
    <w:rsid w:val="00191FD9"/>
    <w:rsid w:val="00193249"/>
    <w:rsid w:val="00194CF1"/>
    <w:rsid w:val="001951D3"/>
    <w:rsid w:val="00195E3D"/>
    <w:rsid w:val="00195F88"/>
    <w:rsid w:val="00196668"/>
    <w:rsid w:val="001968E8"/>
    <w:rsid w:val="001969BA"/>
    <w:rsid w:val="00197971"/>
    <w:rsid w:val="001A08C0"/>
    <w:rsid w:val="001A0F6B"/>
    <w:rsid w:val="001A1CAD"/>
    <w:rsid w:val="001A25B5"/>
    <w:rsid w:val="001A28C1"/>
    <w:rsid w:val="001A2A83"/>
    <w:rsid w:val="001A303D"/>
    <w:rsid w:val="001A339C"/>
    <w:rsid w:val="001A38D3"/>
    <w:rsid w:val="001A3BDF"/>
    <w:rsid w:val="001A57E9"/>
    <w:rsid w:val="001A59DD"/>
    <w:rsid w:val="001A5D6F"/>
    <w:rsid w:val="001A61A3"/>
    <w:rsid w:val="001A76F8"/>
    <w:rsid w:val="001A7893"/>
    <w:rsid w:val="001A794F"/>
    <w:rsid w:val="001B56CC"/>
    <w:rsid w:val="001B652D"/>
    <w:rsid w:val="001B6F7B"/>
    <w:rsid w:val="001B7A3C"/>
    <w:rsid w:val="001C2772"/>
    <w:rsid w:val="001C2D85"/>
    <w:rsid w:val="001C2EAC"/>
    <w:rsid w:val="001C347E"/>
    <w:rsid w:val="001C497A"/>
    <w:rsid w:val="001C4CC9"/>
    <w:rsid w:val="001C6289"/>
    <w:rsid w:val="001D0AC8"/>
    <w:rsid w:val="001D0D1F"/>
    <w:rsid w:val="001D1DBF"/>
    <w:rsid w:val="001D4398"/>
    <w:rsid w:val="001D67CC"/>
    <w:rsid w:val="001D701A"/>
    <w:rsid w:val="001D75FC"/>
    <w:rsid w:val="001D7B1A"/>
    <w:rsid w:val="001E0D24"/>
    <w:rsid w:val="001E2F1B"/>
    <w:rsid w:val="001E3086"/>
    <w:rsid w:val="001E387D"/>
    <w:rsid w:val="001E6A67"/>
    <w:rsid w:val="001E6C2B"/>
    <w:rsid w:val="001E6D35"/>
    <w:rsid w:val="001E726B"/>
    <w:rsid w:val="001E7D74"/>
    <w:rsid w:val="001F089B"/>
    <w:rsid w:val="001F0DEB"/>
    <w:rsid w:val="001F1CB0"/>
    <w:rsid w:val="001F4211"/>
    <w:rsid w:val="001F4A83"/>
    <w:rsid w:val="001F5783"/>
    <w:rsid w:val="001F6C02"/>
    <w:rsid w:val="001F77E0"/>
    <w:rsid w:val="00200B8E"/>
    <w:rsid w:val="002012AA"/>
    <w:rsid w:val="0020364C"/>
    <w:rsid w:val="002037DA"/>
    <w:rsid w:val="0020399B"/>
    <w:rsid w:val="002041B5"/>
    <w:rsid w:val="002045B6"/>
    <w:rsid w:val="0020552D"/>
    <w:rsid w:val="00206A22"/>
    <w:rsid w:val="00207143"/>
    <w:rsid w:val="002105D0"/>
    <w:rsid w:val="002107ED"/>
    <w:rsid w:val="00211265"/>
    <w:rsid w:val="00211309"/>
    <w:rsid w:val="002114A8"/>
    <w:rsid w:val="0021260F"/>
    <w:rsid w:val="002136AD"/>
    <w:rsid w:val="002137B9"/>
    <w:rsid w:val="00214B60"/>
    <w:rsid w:val="00214E18"/>
    <w:rsid w:val="00217C0C"/>
    <w:rsid w:val="0022028D"/>
    <w:rsid w:val="002211CE"/>
    <w:rsid w:val="002214C2"/>
    <w:rsid w:val="002223F1"/>
    <w:rsid w:val="00222889"/>
    <w:rsid w:val="00227E6B"/>
    <w:rsid w:val="00231444"/>
    <w:rsid w:val="0023372A"/>
    <w:rsid w:val="00233BA9"/>
    <w:rsid w:val="002342C5"/>
    <w:rsid w:val="002378A0"/>
    <w:rsid w:val="002402C0"/>
    <w:rsid w:val="002402E5"/>
    <w:rsid w:val="0024084A"/>
    <w:rsid w:val="00240FFF"/>
    <w:rsid w:val="0024521C"/>
    <w:rsid w:val="002455B6"/>
    <w:rsid w:val="00246AC1"/>
    <w:rsid w:val="00247FC1"/>
    <w:rsid w:val="00254934"/>
    <w:rsid w:val="002559D8"/>
    <w:rsid w:val="00255F57"/>
    <w:rsid w:val="00256E64"/>
    <w:rsid w:val="00257BF0"/>
    <w:rsid w:val="0026125B"/>
    <w:rsid w:val="0026160A"/>
    <w:rsid w:val="00262AFC"/>
    <w:rsid w:val="0026398F"/>
    <w:rsid w:val="002641D4"/>
    <w:rsid w:val="00265DA6"/>
    <w:rsid w:val="002664C7"/>
    <w:rsid w:val="00266FE9"/>
    <w:rsid w:val="00267307"/>
    <w:rsid w:val="00267948"/>
    <w:rsid w:val="00271462"/>
    <w:rsid w:val="00272430"/>
    <w:rsid w:val="0027324E"/>
    <w:rsid w:val="00273676"/>
    <w:rsid w:val="00273CD5"/>
    <w:rsid w:val="002750F6"/>
    <w:rsid w:val="00276114"/>
    <w:rsid w:val="00276FE9"/>
    <w:rsid w:val="002801CB"/>
    <w:rsid w:val="00280A89"/>
    <w:rsid w:val="00281A3B"/>
    <w:rsid w:val="00281BE7"/>
    <w:rsid w:val="00284494"/>
    <w:rsid w:val="002857E6"/>
    <w:rsid w:val="002858EB"/>
    <w:rsid w:val="002860F3"/>
    <w:rsid w:val="00286232"/>
    <w:rsid w:val="00286E49"/>
    <w:rsid w:val="00287571"/>
    <w:rsid w:val="00290E88"/>
    <w:rsid w:val="00293E70"/>
    <w:rsid w:val="002942A2"/>
    <w:rsid w:val="002951AB"/>
    <w:rsid w:val="00296353"/>
    <w:rsid w:val="002970C1"/>
    <w:rsid w:val="002A01B0"/>
    <w:rsid w:val="002A1281"/>
    <w:rsid w:val="002A2BA5"/>
    <w:rsid w:val="002A38D7"/>
    <w:rsid w:val="002A59D3"/>
    <w:rsid w:val="002A5A4F"/>
    <w:rsid w:val="002A5DF7"/>
    <w:rsid w:val="002A639C"/>
    <w:rsid w:val="002A6D94"/>
    <w:rsid w:val="002A708D"/>
    <w:rsid w:val="002B1687"/>
    <w:rsid w:val="002B1FFF"/>
    <w:rsid w:val="002B4D3B"/>
    <w:rsid w:val="002B6B81"/>
    <w:rsid w:val="002B6DB5"/>
    <w:rsid w:val="002B6DDD"/>
    <w:rsid w:val="002B758F"/>
    <w:rsid w:val="002C22AE"/>
    <w:rsid w:val="002C4B94"/>
    <w:rsid w:val="002C53F4"/>
    <w:rsid w:val="002D0BCF"/>
    <w:rsid w:val="002D0E75"/>
    <w:rsid w:val="002D2D8E"/>
    <w:rsid w:val="002D4744"/>
    <w:rsid w:val="002D4F35"/>
    <w:rsid w:val="002D5DE1"/>
    <w:rsid w:val="002D61D3"/>
    <w:rsid w:val="002D6FF1"/>
    <w:rsid w:val="002E08E9"/>
    <w:rsid w:val="002E0F41"/>
    <w:rsid w:val="002E17F4"/>
    <w:rsid w:val="002E1B04"/>
    <w:rsid w:val="002E3622"/>
    <w:rsid w:val="002E45AC"/>
    <w:rsid w:val="002E78DA"/>
    <w:rsid w:val="002F0E1C"/>
    <w:rsid w:val="002F0F33"/>
    <w:rsid w:val="002F0FC9"/>
    <w:rsid w:val="002F158D"/>
    <w:rsid w:val="002F1764"/>
    <w:rsid w:val="002F1AAF"/>
    <w:rsid w:val="002F1F85"/>
    <w:rsid w:val="002F6EBF"/>
    <w:rsid w:val="002F737A"/>
    <w:rsid w:val="00302F70"/>
    <w:rsid w:val="003031A7"/>
    <w:rsid w:val="0030418C"/>
    <w:rsid w:val="00306391"/>
    <w:rsid w:val="003074ED"/>
    <w:rsid w:val="003115FC"/>
    <w:rsid w:val="003141B7"/>
    <w:rsid w:val="00315A14"/>
    <w:rsid w:val="00315A58"/>
    <w:rsid w:val="003162A3"/>
    <w:rsid w:val="00320CDE"/>
    <w:rsid w:val="00322911"/>
    <w:rsid w:val="00323D0B"/>
    <w:rsid w:val="00326F06"/>
    <w:rsid w:val="003272D5"/>
    <w:rsid w:val="0032770C"/>
    <w:rsid w:val="00331E51"/>
    <w:rsid w:val="00334FDF"/>
    <w:rsid w:val="003363FF"/>
    <w:rsid w:val="00336E98"/>
    <w:rsid w:val="00337F19"/>
    <w:rsid w:val="00341D4C"/>
    <w:rsid w:val="00343377"/>
    <w:rsid w:val="003461A0"/>
    <w:rsid w:val="00346806"/>
    <w:rsid w:val="003474F4"/>
    <w:rsid w:val="00347C0D"/>
    <w:rsid w:val="00351E45"/>
    <w:rsid w:val="00352FE2"/>
    <w:rsid w:val="00355335"/>
    <w:rsid w:val="00356B7E"/>
    <w:rsid w:val="00356D3F"/>
    <w:rsid w:val="003628D5"/>
    <w:rsid w:val="003633A5"/>
    <w:rsid w:val="00365A53"/>
    <w:rsid w:val="00367176"/>
    <w:rsid w:val="003679B0"/>
    <w:rsid w:val="00367BCA"/>
    <w:rsid w:val="00370D6B"/>
    <w:rsid w:val="00370EED"/>
    <w:rsid w:val="00371207"/>
    <w:rsid w:val="00371467"/>
    <w:rsid w:val="00371A53"/>
    <w:rsid w:val="00373579"/>
    <w:rsid w:val="00375BF8"/>
    <w:rsid w:val="00376246"/>
    <w:rsid w:val="003774D1"/>
    <w:rsid w:val="003801E7"/>
    <w:rsid w:val="00381438"/>
    <w:rsid w:val="00381C30"/>
    <w:rsid w:val="00381E50"/>
    <w:rsid w:val="00382431"/>
    <w:rsid w:val="00383508"/>
    <w:rsid w:val="003837D3"/>
    <w:rsid w:val="0038399C"/>
    <w:rsid w:val="00385441"/>
    <w:rsid w:val="00386400"/>
    <w:rsid w:val="0038672B"/>
    <w:rsid w:val="00387B3A"/>
    <w:rsid w:val="003930F5"/>
    <w:rsid w:val="0039377A"/>
    <w:rsid w:val="003974DE"/>
    <w:rsid w:val="00397A7D"/>
    <w:rsid w:val="003A09A7"/>
    <w:rsid w:val="003A58EF"/>
    <w:rsid w:val="003A6918"/>
    <w:rsid w:val="003B1C9E"/>
    <w:rsid w:val="003B3A4B"/>
    <w:rsid w:val="003B5BF0"/>
    <w:rsid w:val="003B6659"/>
    <w:rsid w:val="003C05A0"/>
    <w:rsid w:val="003C0696"/>
    <w:rsid w:val="003C0C15"/>
    <w:rsid w:val="003C175A"/>
    <w:rsid w:val="003C39AA"/>
    <w:rsid w:val="003C417C"/>
    <w:rsid w:val="003C41DE"/>
    <w:rsid w:val="003C4A82"/>
    <w:rsid w:val="003C5AFF"/>
    <w:rsid w:val="003C7FBF"/>
    <w:rsid w:val="003D1761"/>
    <w:rsid w:val="003D2616"/>
    <w:rsid w:val="003D29B7"/>
    <w:rsid w:val="003D4231"/>
    <w:rsid w:val="003D46D0"/>
    <w:rsid w:val="003D48A3"/>
    <w:rsid w:val="003D56DB"/>
    <w:rsid w:val="003D60F0"/>
    <w:rsid w:val="003D72D9"/>
    <w:rsid w:val="003D7B0F"/>
    <w:rsid w:val="003E0986"/>
    <w:rsid w:val="003E25CE"/>
    <w:rsid w:val="003E27E4"/>
    <w:rsid w:val="003E35E8"/>
    <w:rsid w:val="003E36BF"/>
    <w:rsid w:val="003E3ABD"/>
    <w:rsid w:val="003E405E"/>
    <w:rsid w:val="003E4EE5"/>
    <w:rsid w:val="003F072A"/>
    <w:rsid w:val="003F10AA"/>
    <w:rsid w:val="004005B7"/>
    <w:rsid w:val="00400F25"/>
    <w:rsid w:val="00401E9A"/>
    <w:rsid w:val="00401EF3"/>
    <w:rsid w:val="0040554A"/>
    <w:rsid w:val="00405B1C"/>
    <w:rsid w:val="00405D5A"/>
    <w:rsid w:val="00406E7C"/>
    <w:rsid w:val="004117A2"/>
    <w:rsid w:val="00413F44"/>
    <w:rsid w:val="0041456A"/>
    <w:rsid w:val="0041660B"/>
    <w:rsid w:val="00417DA3"/>
    <w:rsid w:val="0042098F"/>
    <w:rsid w:val="00422BE0"/>
    <w:rsid w:val="00423459"/>
    <w:rsid w:val="00423529"/>
    <w:rsid w:val="00424DF8"/>
    <w:rsid w:val="0042725D"/>
    <w:rsid w:val="004304AD"/>
    <w:rsid w:val="00430E74"/>
    <w:rsid w:val="004314D9"/>
    <w:rsid w:val="004343E9"/>
    <w:rsid w:val="00435F67"/>
    <w:rsid w:val="00436BB1"/>
    <w:rsid w:val="0043708D"/>
    <w:rsid w:val="004379F9"/>
    <w:rsid w:val="00441C68"/>
    <w:rsid w:val="00444676"/>
    <w:rsid w:val="004456C8"/>
    <w:rsid w:val="0045036F"/>
    <w:rsid w:val="00450F10"/>
    <w:rsid w:val="004510CA"/>
    <w:rsid w:val="004515EE"/>
    <w:rsid w:val="00452B07"/>
    <w:rsid w:val="00453C07"/>
    <w:rsid w:val="0045417F"/>
    <w:rsid w:val="00454C30"/>
    <w:rsid w:val="00454C7B"/>
    <w:rsid w:val="00455E3B"/>
    <w:rsid w:val="00460B6A"/>
    <w:rsid w:val="00463444"/>
    <w:rsid w:val="00466581"/>
    <w:rsid w:val="004677DD"/>
    <w:rsid w:val="00467E2C"/>
    <w:rsid w:val="004703B2"/>
    <w:rsid w:val="00470934"/>
    <w:rsid w:val="00473434"/>
    <w:rsid w:val="00474045"/>
    <w:rsid w:val="00474A67"/>
    <w:rsid w:val="00475838"/>
    <w:rsid w:val="00482194"/>
    <w:rsid w:val="004825F8"/>
    <w:rsid w:val="00484D66"/>
    <w:rsid w:val="00485F21"/>
    <w:rsid w:val="0048620A"/>
    <w:rsid w:val="00487A14"/>
    <w:rsid w:val="004903E3"/>
    <w:rsid w:val="00490F1C"/>
    <w:rsid w:val="00491320"/>
    <w:rsid w:val="004919A4"/>
    <w:rsid w:val="00492AA6"/>
    <w:rsid w:val="00492C80"/>
    <w:rsid w:val="004933D7"/>
    <w:rsid w:val="0049512B"/>
    <w:rsid w:val="00495A6E"/>
    <w:rsid w:val="0049680B"/>
    <w:rsid w:val="004A0028"/>
    <w:rsid w:val="004A01AF"/>
    <w:rsid w:val="004A131F"/>
    <w:rsid w:val="004A285F"/>
    <w:rsid w:val="004A4CBF"/>
    <w:rsid w:val="004A6CF3"/>
    <w:rsid w:val="004A6F12"/>
    <w:rsid w:val="004B0657"/>
    <w:rsid w:val="004B191C"/>
    <w:rsid w:val="004B2BF3"/>
    <w:rsid w:val="004B33BF"/>
    <w:rsid w:val="004B3B9E"/>
    <w:rsid w:val="004B6EA8"/>
    <w:rsid w:val="004B7E3B"/>
    <w:rsid w:val="004C1DA3"/>
    <w:rsid w:val="004C3B55"/>
    <w:rsid w:val="004C62C8"/>
    <w:rsid w:val="004C727A"/>
    <w:rsid w:val="004D09DA"/>
    <w:rsid w:val="004D3326"/>
    <w:rsid w:val="004D354F"/>
    <w:rsid w:val="004D3D9F"/>
    <w:rsid w:val="004D4700"/>
    <w:rsid w:val="004D4D94"/>
    <w:rsid w:val="004D68BE"/>
    <w:rsid w:val="004D709E"/>
    <w:rsid w:val="004E077E"/>
    <w:rsid w:val="004E49EA"/>
    <w:rsid w:val="004E5110"/>
    <w:rsid w:val="004F0760"/>
    <w:rsid w:val="004F3523"/>
    <w:rsid w:val="004F5709"/>
    <w:rsid w:val="004F594E"/>
    <w:rsid w:val="004F5E42"/>
    <w:rsid w:val="004F771E"/>
    <w:rsid w:val="00500CA3"/>
    <w:rsid w:val="0050353A"/>
    <w:rsid w:val="005037C4"/>
    <w:rsid w:val="00505BD9"/>
    <w:rsid w:val="00505F91"/>
    <w:rsid w:val="0050696C"/>
    <w:rsid w:val="00506B16"/>
    <w:rsid w:val="005075D2"/>
    <w:rsid w:val="0050772D"/>
    <w:rsid w:val="00510336"/>
    <w:rsid w:val="00511844"/>
    <w:rsid w:val="00520807"/>
    <w:rsid w:val="00522608"/>
    <w:rsid w:val="00522BDA"/>
    <w:rsid w:val="00530835"/>
    <w:rsid w:val="00533B0D"/>
    <w:rsid w:val="00534D6E"/>
    <w:rsid w:val="00535784"/>
    <w:rsid w:val="00537757"/>
    <w:rsid w:val="005438BE"/>
    <w:rsid w:val="005440CF"/>
    <w:rsid w:val="005444BF"/>
    <w:rsid w:val="0054541B"/>
    <w:rsid w:val="005508DE"/>
    <w:rsid w:val="00552ABE"/>
    <w:rsid w:val="005543EE"/>
    <w:rsid w:val="00560B3A"/>
    <w:rsid w:val="00562E25"/>
    <w:rsid w:val="00562FB3"/>
    <w:rsid w:val="00564297"/>
    <w:rsid w:val="00564481"/>
    <w:rsid w:val="00565509"/>
    <w:rsid w:val="00566566"/>
    <w:rsid w:val="00570192"/>
    <w:rsid w:val="005709D3"/>
    <w:rsid w:val="00570D86"/>
    <w:rsid w:val="005716A2"/>
    <w:rsid w:val="005720D3"/>
    <w:rsid w:val="00572D1A"/>
    <w:rsid w:val="00573911"/>
    <w:rsid w:val="0058095B"/>
    <w:rsid w:val="00581E29"/>
    <w:rsid w:val="00582AA6"/>
    <w:rsid w:val="00583502"/>
    <w:rsid w:val="0058367F"/>
    <w:rsid w:val="00585B0B"/>
    <w:rsid w:val="00585BDF"/>
    <w:rsid w:val="00587336"/>
    <w:rsid w:val="0058769A"/>
    <w:rsid w:val="00592559"/>
    <w:rsid w:val="005929EC"/>
    <w:rsid w:val="00592C65"/>
    <w:rsid w:val="00592EB0"/>
    <w:rsid w:val="00594A7B"/>
    <w:rsid w:val="00594BF3"/>
    <w:rsid w:val="00594E1B"/>
    <w:rsid w:val="00595469"/>
    <w:rsid w:val="00596F94"/>
    <w:rsid w:val="005A1644"/>
    <w:rsid w:val="005A1825"/>
    <w:rsid w:val="005A1F18"/>
    <w:rsid w:val="005A2728"/>
    <w:rsid w:val="005A2EF9"/>
    <w:rsid w:val="005A3186"/>
    <w:rsid w:val="005A33DA"/>
    <w:rsid w:val="005A3557"/>
    <w:rsid w:val="005A40D5"/>
    <w:rsid w:val="005A5A6B"/>
    <w:rsid w:val="005A5E01"/>
    <w:rsid w:val="005A791C"/>
    <w:rsid w:val="005B1976"/>
    <w:rsid w:val="005B1CBC"/>
    <w:rsid w:val="005B534C"/>
    <w:rsid w:val="005B59CC"/>
    <w:rsid w:val="005C01DB"/>
    <w:rsid w:val="005C031E"/>
    <w:rsid w:val="005C1FB7"/>
    <w:rsid w:val="005C5654"/>
    <w:rsid w:val="005C5DB7"/>
    <w:rsid w:val="005D10CC"/>
    <w:rsid w:val="005D2507"/>
    <w:rsid w:val="005D3CDA"/>
    <w:rsid w:val="005D7124"/>
    <w:rsid w:val="005E0A3A"/>
    <w:rsid w:val="005E0B19"/>
    <w:rsid w:val="005E0FCF"/>
    <w:rsid w:val="005E1A90"/>
    <w:rsid w:val="005E2293"/>
    <w:rsid w:val="005E2F7E"/>
    <w:rsid w:val="005E363C"/>
    <w:rsid w:val="005E4B13"/>
    <w:rsid w:val="005F007C"/>
    <w:rsid w:val="005F058E"/>
    <w:rsid w:val="005F1EF1"/>
    <w:rsid w:val="005F35F1"/>
    <w:rsid w:val="005F5B05"/>
    <w:rsid w:val="005F6610"/>
    <w:rsid w:val="005F6BC1"/>
    <w:rsid w:val="006023DD"/>
    <w:rsid w:val="00602C92"/>
    <w:rsid w:val="006031D1"/>
    <w:rsid w:val="00604BA7"/>
    <w:rsid w:val="00607BA2"/>
    <w:rsid w:val="00607DD5"/>
    <w:rsid w:val="00612E19"/>
    <w:rsid w:val="006144FB"/>
    <w:rsid w:val="006166E2"/>
    <w:rsid w:val="00616E25"/>
    <w:rsid w:val="006175DC"/>
    <w:rsid w:val="00621B09"/>
    <w:rsid w:val="00623551"/>
    <w:rsid w:val="0062589C"/>
    <w:rsid w:val="0062670B"/>
    <w:rsid w:val="00627D74"/>
    <w:rsid w:val="006334F6"/>
    <w:rsid w:val="00633A4D"/>
    <w:rsid w:val="006345E3"/>
    <w:rsid w:val="00634DD7"/>
    <w:rsid w:val="006358DE"/>
    <w:rsid w:val="00635FBC"/>
    <w:rsid w:val="006403CE"/>
    <w:rsid w:val="00640C23"/>
    <w:rsid w:val="00641DCB"/>
    <w:rsid w:val="00641EE2"/>
    <w:rsid w:val="00642B3E"/>
    <w:rsid w:val="0064332F"/>
    <w:rsid w:val="006433AE"/>
    <w:rsid w:val="0064341E"/>
    <w:rsid w:val="0064679C"/>
    <w:rsid w:val="006524AD"/>
    <w:rsid w:val="00653D4E"/>
    <w:rsid w:val="00654C54"/>
    <w:rsid w:val="00655160"/>
    <w:rsid w:val="00656001"/>
    <w:rsid w:val="00660209"/>
    <w:rsid w:val="006605DF"/>
    <w:rsid w:val="006608BE"/>
    <w:rsid w:val="00661B01"/>
    <w:rsid w:val="00662246"/>
    <w:rsid w:val="006625EB"/>
    <w:rsid w:val="00663D67"/>
    <w:rsid w:val="00663DE3"/>
    <w:rsid w:val="00665198"/>
    <w:rsid w:val="0066558E"/>
    <w:rsid w:val="00665C87"/>
    <w:rsid w:val="006713F5"/>
    <w:rsid w:val="00673795"/>
    <w:rsid w:val="0067440E"/>
    <w:rsid w:val="006758C0"/>
    <w:rsid w:val="00677A7D"/>
    <w:rsid w:val="00681FA3"/>
    <w:rsid w:val="00683261"/>
    <w:rsid w:val="00684499"/>
    <w:rsid w:val="0068555C"/>
    <w:rsid w:val="00686BA2"/>
    <w:rsid w:val="00686F2E"/>
    <w:rsid w:val="00687421"/>
    <w:rsid w:val="006918C0"/>
    <w:rsid w:val="00693992"/>
    <w:rsid w:val="0069560B"/>
    <w:rsid w:val="00696C4A"/>
    <w:rsid w:val="006A0006"/>
    <w:rsid w:val="006A0FC7"/>
    <w:rsid w:val="006A2748"/>
    <w:rsid w:val="006A3AE9"/>
    <w:rsid w:val="006A42C2"/>
    <w:rsid w:val="006A4D80"/>
    <w:rsid w:val="006A4E78"/>
    <w:rsid w:val="006A69F5"/>
    <w:rsid w:val="006A7582"/>
    <w:rsid w:val="006A767C"/>
    <w:rsid w:val="006B01E8"/>
    <w:rsid w:val="006B096B"/>
    <w:rsid w:val="006B261E"/>
    <w:rsid w:val="006B4D0F"/>
    <w:rsid w:val="006B64A2"/>
    <w:rsid w:val="006B7A6D"/>
    <w:rsid w:val="006B7BCF"/>
    <w:rsid w:val="006C0A7B"/>
    <w:rsid w:val="006C1A04"/>
    <w:rsid w:val="006C349F"/>
    <w:rsid w:val="006C3C02"/>
    <w:rsid w:val="006C45F0"/>
    <w:rsid w:val="006C461D"/>
    <w:rsid w:val="006C61CA"/>
    <w:rsid w:val="006D1B14"/>
    <w:rsid w:val="006D1F11"/>
    <w:rsid w:val="006D1F23"/>
    <w:rsid w:val="006D1FF0"/>
    <w:rsid w:val="006D3457"/>
    <w:rsid w:val="006D36A9"/>
    <w:rsid w:val="006E0736"/>
    <w:rsid w:val="006E0863"/>
    <w:rsid w:val="006E0FB6"/>
    <w:rsid w:val="006E2183"/>
    <w:rsid w:val="006E2EEA"/>
    <w:rsid w:val="006E3515"/>
    <w:rsid w:val="006E3676"/>
    <w:rsid w:val="006E381F"/>
    <w:rsid w:val="006E4C5A"/>
    <w:rsid w:val="006E74CA"/>
    <w:rsid w:val="006E7D1A"/>
    <w:rsid w:val="006F0493"/>
    <w:rsid w:val="006F279F"/>
    <w:rsid w:val="006F36C5"/>
    <w:rsid w:val="006F3AA0"/>
    <w:rsid w:val="006F54A2"/>
    <w:rsid w:val="006F578B"/>
    <w:rsid w:val="006F7684"/>
    <w:rsid w:val="00700BE2"/>
    <w:rsid w:val="007022D7"/>
    <w:rsid w:val="00702321"/>
    <w:rsid w:val="00702341"/>
    <w:rsid w:val="007034C7"/>
    <w:rsid w:val="00705465"/>
    <w:rsid w:val="00705AF3"/>
    <w:rsid w:val="00706B33"/>
    <w:rsid w:val="007122DC"/>
    <w:rsid w:val="00712362"/>
    <w:rsid w:val="00712954"/>
    <w:rsid w:val="00713159"/>
    <w:rsid w:val="00717B0E"/>
    <w:rsid w:val="00717CD9"/>
    <w:rsid w:val="00717E5E"/>
    <w:rsid w:val="00721A85"/>
    <w:rsid w:val="00721E79"/>
    <w:rsid w:val="007270CA"/>
    <w:rsid w:val="00731359"/>
    <w:rsid w:val="00733504"/>
    <w:rsid w:val="007346BE"/>
    <w:rsid w:val="007367CB"/>
    <w:rsid w:val="00736A5E"/>
    <w:rsid w:val="00742C37"/>
    <w:rsid w:val="00743F41"/>
    <w:rsid w:val="007454C2"/>
    <w:rsid w:val="00747041"/>
    <w:rsid w:val="00754555"/>
    <w:rsid w:val="00754E01"/>
    <w:rsid w:val="00755271"/>
    <w:rsid w:val="00755FBA"/>
    <w:rsid w:val="0075744C"/>
    <w:rsid w:val="007623FF"/>
    <w:rsid w:val="007638F3"/>
    <w:rsid w:val="00764121"/>
    <w:rsid w:val="00764280"/>
    <w:rsid w:val="00765B6C"/>
    <w:rsid w:val="00771153"/>
    <w:rsid w:val="00773C8C"/>
    <w:rsid w:val="00773E7C"/>
    <w:rsid w:val="007748A6"/>
    <w:rsid w:val="00775D55"/>
    <w:rsid w:val="00776847"/>
    <w:rsid w:val="00781052"/>
    <w:rsid w:val="00781824"/>
    <w:rsid w:val="0078608B"/>
    <w:rsid w:val="00786254"/>
    <w:rsid w:val="0078636B"/>
    <w:rsid w:val="00787F76"/>
    <w:rsid w:val="00790846"/>
    <w:rsid w:val="00791342"/>
    <w:rsid w:val="0079473E"/>
    <w:rsid w:val="0079533B"/>
    <w:rsid w:val="00795FA6"/>
    <w:rsid w:val="0079608E"/>
    <w:rsid w:val="007A1AD9"/>
    <w:rsid w:val="007A4663"/>
    <w:rsid w:val="007A510A"/>
    <w:rsid w:val="007A53D5"/>
    <w:rsid w:val="007A679E"/>
    <w:rsid w:val="007B0768"/>
    <w:rsid w:val="007B4AC3"/>
    <w:rsid w:val="007B71BE"/>
    <w:rsid w:val="007B7517"/>
    <w:rsid w:val="007B7F9A"/>
    <w:rsid w:val="007C0C0E"/>
    <w:rsid w:val="007C13A0"/>
    <w:rsid w:val="007C2126"/>
    <w:rsid w:val="007C24D4"/>
    <w:rsid w:val="007C48F7"/>
    <w:rsid w:val="007C4AD6"/>
    <w:rsid w:val="007C4C3E"/>
    <w:rsid w:val="007C521C"/>
    <w:rsid w:val="007C6423"/>
    <w:rsid w:val="007D07E0"/>
    <w:rsid w:val="007D0E6F"/>
    <w:rsid w:val="007D1FF8"/>
    <w:rsid w:val="007D2168"/>
    <w:rsid w:val="007D2C81"/>
    <w:rsid w:val="007D48F6"/>
    <w:rsid w:val="007D4CBA"/>
    <w:rsid w:val="007D5A83"/>
    <w:rsid w:val="007E0BAE"/>
    <w:rsid w:val="007E1C65"/>
    <w:rsid w:val="007E4ED2"/>
    <w:rsid w:val="007E5775"/>
    <w:rsid w:val="007E5C36"/>
    <w:rsid w:val="007E5E05"/>
    <w:rsid w:val="007E7EDA"/>
    <w:rsid w:val="007F0A48"/>
    <w:rsid w:val="007F0C55"/>
    <w:rsid w:val="007F110D"/>
    <w:rsid w:val="007F1937"/>
    <w:rsid w:val="007F221C"/>
    <w:rsid w:val="007F4178"/>
    <w:rsid w:val="007F5B21"/>
    <w:rsid w:val="007F5D8B"/>
    <w:rsid w:val="007F60FF"/>
    <w:rsid w:val="007F6478"/>
    <w:rsid w:val="007F7A97"/>
    <w:rsid w:val="00801F1A"/>
    <w:rsid w:val="00806DCC"/>
    <w:rsid w:val="0080729E"/>
    <w:rsid w:val="00807CCE"/>
    <w:rsid w:val="00807F03"/>
    <w:rsid w:val="00813AD7"/>
    <w:rsid w:val="0081610C"/>
    <w:rsid w:val="008169B8"/>
    <w:rsid w:val="00820110"/>
    <w:rsid w:val="008202BD"/>
    <w:rsid w:val="00821D32"/>
    <w:rsid w:val="008224F4"/>
    <w:rsid w:val="00823659"/>
    <w:rsid w:val="0082734C"/>
    <w:rsid w:val="00831835"/>
    <w:rsid w:val="00831C0F"/>
    <w:rsid w:val="00832A38"/>
    <w:rsid w:val="0083499B"/>
    <w:rsid w:val="0083697B"/>
    <w:rsid w:val="00843396"/>
    <w:rsid w:val="00843A38"/>
    <w:rsid w:val="00843B21"/>
    <w:rsid w:val="0084490F"/>
    <w:rsid w:val="008475A2"/>
    <w:rsid w:val="008478E1"/>
    <w:rsid w:val="00851247"/>
    <w:rsid w:val="00851274"/>
    <w:rsid w:val="00851A6E"/>
    <w:rsid w:val="00852757"/>
    <w:rsid w:val="00852CF2"/>
    <w:rsid w:val="00853230"/>
    <w:rsid w:val="00856532"/>
    <w:rsid w:val="008575D7"/>
    <w:rsid w:val="00857B4E"/>
    <w:rsid w:val="00857C48"/>
    <w:rsid w:val="00860110"/>
    <w:rsid w:val="0086050C"/>
    <w:rsid w:val="008606D3"/>
    <w:rsid w:val="00860EBE"/>
    <w:rsid w:val="00863CD9"/>
    <w:rsid w:val="008644BF"/>
    <w:rsid w:val="0086475B"/>
    <w:rsid w:val="00867B5E"/>
    <w:rsid w:val="0087010C"/>
    <w:rsid w:val="00872686"/>
    <w:rsid w:val="00872CB0"/>
    <w:rsid w:val="008731BD"/>
    <w:rsid w:val="00873758"/>
    <w:rsid w:val="00877084"/>
    <w:rsid w:val="0088053A"/>
    <w:rsid w:val="00881894"/>
    <w:rsid w:val="00882F59"/>
    <w:rsid w:val="0088333F"/>
    <w:rsid w:val="008834A3"/>
    <w:rsid w:val="008841C2"/>
    <w:rsid w:val="008853BC"/>
    <w:rsid w:val="00885B39"/>
    <w:rsid w:val="008906B5"/>
    <w:rsid w:val="0089267E"/>
    <w:rsid w:val="00896069"/>
    <w:rsid w:val="00896D7F"/>
    <w:rsid w:val="008A0137"/>
    <w:rsid w:val="008A151F"/>
    <w:rsid w:val="008A1875"/>
    <w:rsid w:val="008A2236"/>
    <w:rsid w:val="008A4321"/>
    <w:rsid w:val="008A4B32"/>
    <w:rsid w:val="008A6376"/>
    <w:rsid w:val="008A63CD"/>
    <w:rsid w:val="008A7A84"/>
    <w:rsid w:val="008B1535"/>
    <w:rsid w:val="008B1F3D"/>
    <w:rsid w:val="008B2AC9"/>
    <w:rsid w:val="008B3AB8"/>
    <w:rsid w:val="008B65D7"/>
    <w:rsid w:val="008B765E"/>
    <w:rsid w:val="008C1251"/>
    <w:rsid w:val="008C20EA"/>
    <w:rsid w:val="008C7B49"/>
    <w:rsid w:val="008D1124"/>
    <w:rsid w:val="008D2AB6"/>
    <w:rsid w:val="008D384B"/>
    <w:rsid w:val="008D3AEC"/>
    <w:rsid w:val="008D5A1C"/>
    <w:rsid w:val="008E28FD"/>
    <w:rsid w:val="008E3587"/>
    <w:rsid w:val="008E3C26"/>
    <w:rsid w:val="008E49B2"/>
    <w:rsid w:val="008F29C6"/>
    <w:rsid w:val="008F3A84"/>
    <w:rsid w:val="008F3FF6"/>
    <w:rsid w:val="008F5ECD"/>
    <w:rsid w:val="008F67AC"/>
    <w:rsid w:val="008F6A21"/>
    <w:rsid w:val="00900C5B"/>
    <w:rsid w:val="00901229"/>
    <w:rsid w:val="00901351"/>
    <w:rsid w:val="00901966"/>
    <w:rsid w:val="00903955"/>
    <w:rsid w:val="00906EC6"/>
    <w:rsid w:val="00910B44"/>
    <w:rsid w:val="0091435F"/>
    <w:rsid w:val="009143E9"/>
    <w:rsid w:val="00915098"/>
    <w:rsid w:val="00915D44"/>
    <w:rsid w:val="00916A25"/>
    <w:rsid w:val="00920A27"/>
    <w:rsid w:val="00920D10"/>
    <w:rsid w:val="00920F6F"/>
    <w:rsid w:val="0092460F"/>
    <w:rsid w:val="009307FA"/>
    <w:rsid w:val="00931D85"/>
    <w:rsid w:val="00931F8A"/>
    <w:rsid w:val="0093260A"/>
    <w:rsid w:val="00932CE0"/>
    <w:rsid w:val="009339B7"/>
    <w:rsid w:val="00933FB6"/>
    <w:rsid w:val="00934A17"/>
    <w:rsid w:val="00936FCF"/>
    <w:rsid w:val="00937EF9"/>
    <w:rsid w:val="009407F1"/>
    <w:rsid w:val="00943AA0"/>
    <w:rsid w:val="00943BAA"/>
    <w:rsid w:val="0094424F"/>
    <w:rsid w:val="009467B9"/>
    <w:rsid w:val="00947E5A"/>
    <w:rsid w:val="00952F65"/>
    <w:rsid w:val="00953A86"/>
    <w:rsid w:val="00953ED4"/>
    <w:rsid w:val="009554A3"/>
    <w:rsid w:val="00956818"/>
    <w:rsid w:val="00961375"/>
    <w:rsid w:val="0096157E"/>
    <w:rsid w:val="0096168D"/>
    <w:rsid w:val="00961E3B"/>
    <w:rsid w:val="0096409E"/>
    <w:rsid w:val="00964540"/>
    <w:rsid w:val="00965128"/>
    <w:rsid w:val="0096618D"/>
    <w:rsid w:val="00966A8A"/>
    <w:rsid w:val="0096722F"/>
    <w:rsid w:val="00967EDD"/>
    <w:rsid w:val="00970255"/>
    <w:rsid w:val="00970E2F"/>
    <w:rsid w:val="00973C5E"/>
    <w:rsid w:val="00974B1F"/>
    <w:rsid w:val="00975C2B"/>
    <w:rsid w:val="009766F1"/>
    <w:rsid w:val="00983B89"/>
    <w:rsid w:val="009861CF"/>
    <w:rsid w:val="00990AAA"/>
    <w:rsid w:val="0099157F"/>
    <w:rsid w:val="00991A4B"/>
    <w:rsid w:val="009930E3"/>
    <w:rsid w:val="00993EDD"/>
    <w:rsid w:val="00996747"/>
    <w:rsid w:val="009976C0"/>
    <w:rsid w:val="009976C7"/>
    <w:rsid w:val="009976F3"/>
    <w:rsid w:val="00997A66"/>
    <w:rsid w:val="009A03CA"/>
    <w:rsid w:val="009A12F5"/>
    <w:rsid w:val="009A133A"/>
    <w:rsid w:val="009A1825"/>
    <w:rsid w:val="009A1BA8"/>
    <w:rsid w:val="009A2ED9"/>
    <w:rsid w:val="009A374D"/>
    <w:rsid w:val="009A464A"/>
    <w:rsid w:val="009A472E"/>
    <w:rsid w:val="009A4753"/>
    <w:rsid w:val="009A5C50"/>
    <w:rsid w:val="009B1396"/>
    <w:rsid w:val="009B22AB"/>
    <w:rsid w:val="009B379D"/>
    <w:rsid w:val="009B3EB5"/>
    <w:rsid w:val="009B3F9F"/>
    <w:rsid w:val="009B48BD"/>
    <w:rsid w:val="009B5164"/>
    <w:rsid w:val="009B5F89"/>
    <w:rsid w:val="009B7764"/>
    <w:rsid w:val="009B78D4"/>
    <w:rsid w:val="009B7A79"/>
    <w:rsid w:val="009C08BC"/>
    <w:rsid w:val="009C09DB"/>
    <w:rsid w:val="009C14F7"/>
    <w:rsid w:val="009C1B09"/>
    <w:rsid w:val="009C316D"/>
    <w:rsid w:val="009C50C1"/>
    <w:rsid w:val="009C60AD"/>
    <w:rsid w:val="009D21E4"/>
    <w:rsid w:val="009D3657"/>
    <w:rsid w:val="009D6AEA"/>
    <w:rsid w:val="009D72AB"/>
    <w:rsid w:val="009D75C4"/>
    <w:rsid w:val="009D7D20"/>
    <w:rsid w:val="009E10BC"/>
    <w:rsid w:val="009E15C5"/>
    <w:rsid w:val="009E3DB0"/>
    <w:rsid w:val="009E616A"/>
    <w:rsid w:val="009E6C23"/>
    <w:rsid w:val="009E721A"/>
    <w:rsid w:val="009E724C"/>
    <w:rsid w:val="009F0DA4"/>
    <w:rsid w:val="009F5983"/>
    <w:rsid w:val="009F5D40"/>
    <w:rsid w:val="009F6B0E"/>
    <w:rsid w:val="009F76AA"/>
    <w:rsid w:val="00A00EEA"/>
    <w:rsid w:val="00A01187"/>
    <w:rsid w:val="00A02720"/>
    <w:rsid w:val="00A05B56"/>
    <w:rsid w:val="00A074E4"/>
    <w:rsid w:val="00A10EC5"/>
    <w:rsid w:val="00A12224"/>
    <w:rsid w:val="00A1260D"/>
    <w:rsid w:val="00A12651"/>
    <w:rsid w:val="00A13F91"/>
    <w:rsid w:val="00A15A5A"/>
    <w:rsid w:val="00A16F79"/>
    <w:rsid w:val="00A20ADC"/>
    <w:rsid w:val="00A21114"/>
    <w:rsid w:val="00A21359"/>
    <w:rsid w:val="00A238C6"/>
    <w:rsid w:val="00A24F72"/>
    <w:rsid w:val="00A25BE8"/>
    <w:rsid w:val="00A2628B"/>
    <w:rsid w:val="00A26364"/>
    <w:rsid w:val="00A26E09"/>
    <w:rsid w:val="00A3036D"/>
    <w:rsid w:val="00A31873"/>
    <w:rsid w:val="00A3199F"/>
    <w:rsid w:val="00A33407"/>
    <w:rsid w:val="00A34308"/>
    <w:rsid w:val="00A36175"/>
    <w:rsid w:val="00A36AC8"/>
    <w:rsid w:val="00A41AAA"/>
    <w:rsid w:val="00A43390"/>
    <w:rsid w:val="00A44303"/>
    <w:rsid w:val="00A47EBC"/>
    <w:rsid w:val="00A5169A"/>
    <w:rsid w:val="00A51969"/>
    <w:rsid w:val="00A52699"/>
    <w:rsid w:val="00A53E0D"/>
    <w:rsid w:val="00A5461D"/>
    <w:rsid w:val="00A56796"/>
    <w:rsid w:val="00A57847"/>
    <w:rsid w:val="00A6108E"/>
    <w:rsid w:val="00A61418"/>
    <w:rsid w:val="00A62ECB"/>
    <w:rsid w:val="00A63A25"/>
    <w:rsid w:val="00A63C45"/>
    <w:rsid w:val="00A647F8"/>
    <w:rsid w:val="00A6610C"/>
    <w:rsid w:val="00A661D8"/>
    <w:rsid w:val="00A66E8F"/>
    <w:rsid w:val="00A675F3"/>
    <w:rsid w:val="00A71048"/>
    <w:rsid w:val="00A75114"/>
    <w:rsid w:val="00A762D8"/>
    <w:rsid w:val="00A76FA7"/>
    <w:rsid w:val="00A80075"/>
    <w:rsid w:val="00A85A0D"/>
    <w:rsid w:val="00A85AB5"/>
    <w:rsid w:val="00A86AB3"/>
    <w:rsid w:val="00A87034"/>
    <w:rsid w:val="00A919AD"/>
    <w:rsid w:val="00A9296A"/>
    <w:rsid w:val="00A93200"/>
    <w:rsid w:val="00A93759"/>
    <w:rsid w:val="00A96314"/>
    <w:rsid w:val="00A96A3E"/>
    <w:rsid w:val="00A97224"/>
    <w:rsid w:val="00AA050C"/>
    <w:rsid w:val="00AA062E"/>
    <w:rsid w:val="00AA1BD6"/>
    <w:rsid w:val="00AA2B83"/>
    <w:rsid w:val="00AA3767"/>
    <w:rsid w:val="00AA3C81"/>
    <w:rsid w:val="00AA3E3A"/>
    <w:rsid w:val="00AA3EF5"/>
    <w:rsid w:val="00AA4968"/>
    <w:rsid w:val="00AB064C"/>
    <w:rsid w:val="00AB4586"/>
    <w:rsid w:val="00AB5CBB"/>
    <w:rsid w:val="00AB6E23"/>
    <w:rsid w:val="00AB7038"/>
    <w:rsid w:val="00AC1D9B"/>
    <w:rsid w:val="00AC28F3"/>
    <w:rsid w:val="00AC3B19"/>
    <w:rsid w:val="00AC7394"/>
    <w:rsid w:val="00AC7622"/>
    <w:rsid w:val="00AD0FCA"/>
    <w:rsid w:val="00AD1620"/>
    <w:rsid w:val="00AD1813"/>
    <w:rsid w:val="00AD28BC"/>
    <w:rsid w:val="00AD4E1E"/>
    <w:rsid w:val="00AD6A00"/>
    <w:rsid w:val="00AD7BB5"/>
    <w:rsid w:val="00AE23B2"/>
    <w:rsid w:val="00AE34A0"/>
    <w:rsid w:val="00AE5606"/>
    <w:rsid w:val="00AE59FC"/>
    <w:rsid w:val="00AE72EE"/>
    <w:rsid w:val="00AE7682"/>
    <w:rsid w:val="00AF4229"/>
    <w:rsid w:val="00AF4C73"/>
    <w:rsid w:val="00AF596A"/>
    <w:rsid w:val="00AF6572"/>
    <w:rsid w:val="00AF6744"/>
    <w:rsid w:val="00B00010"/>
    <w:rsid w:val="00B01D4B"/>
    <w:rsid w:val="00B021AD"/>
    <w:rsid w:val="00B039FC"/>
    <w:rsid w:val="00B04B0B"/>
    <w:rsid w:val="00B05BB0"/>
    <w:rsid w:val="00B07230"/>
    <w:rsid w:val="00B11B45"/>
    <w:rsid w:val="00B11D52"/>
    <w:rsid w:val="00B17B4A"/>
    <w:rsid w:val="00B22EF9"/>
    <w:rsid w:val="00B22F81"/>
    <w:rsid w:val="00B251CB"/>
    <w:rsid w:val="00B256D1"/>
    <w:rsid w:val="00B265BC"/>
    <w:rsid w:val="00B27391"/>
    <w:rsid w:val="00B27CDE"/>
    <w:rsid w:val="00B302CC"/>
    <w:rsid w:val="00B3051A"/>
    <w:rsid w:val="00B3070D"/>
    <w:rsid w:val="00B329FF"/>
    <w:rsid w:val="00B333D8"/>
    <w:rsid w:val="00B339F6"/>
    <w:rsid w:val="00B33A5C"/>
    <w:rsid w:val="00B33B43"/>
    <w:rsid w:val="00B33C9C"/>
    <w:rsid w:val="00B34135"/>
    <w:rsid w:val="00B3484A"/>
    <w:rsid w:val="00B367A9"/>
    <w:rsid w:val="00B41875"/>
    <w:rsid w:val="00B41E53"/>
    <w:rsid w:val="00B41FBD"/>
    <w:rsid w:val="00B4281F"/>
    <w:rsid w:val="00B42A37"/>
    <w:rsid w:val="00B43098"/>
    <w:rsid w:val="00B441BD"/>
    <w:rsid w:val="00B4515C"/>
    <w:rsid w:val="00B46B7D"/>
    <w:rsid w:val="00B47DEE"/>
    <w:rsid w:val="00B51BB0"/>
    <w:rsid w:val="00B541BF"/>
    <w:rsid w:val="00B5518D"/>
    <w:rsid w:val="00B5658A"/>
    <w:rsid w:val="00B575AE"/>
    <w:rsid w:val="00B5768F"/>
    <w:rsid w:val="00B61529"/>
    <w:rsid w:val="00B64193"/>
    <w:rsid w:val="00B64759"/>
    <w:rsid w:val="00B64EF4"/>
    <w:rsid w:val="00B6588B"/>
    <w:rsid w:val="00B67990"/>
    <w:rsid w:val="00B7052A"/>
    <w:rsid w:val="00B70F28"/>
    <w:rsid w:val="00B72AEC"/>
    <w:rsid w:val="00B74AB0"/>
    <w:rsid w:val="00B776EB"/>
    <w:rsid w:val="00B77912"/>
    <w:rsid w:val="00B83AD9"/>
    <w:rsid w:val="00B83DA9"/>
    <w:rsid w:val="00B8683F"/>
    <w:rsid w:val="00B87A2B"/>
    <w:rsid w:val="00B91D42"/>
    <w:rsid w:val="00B929F5"/>
    <w:rsid w:val="00B9325D"/>
    <w:rsid w:val="00B932AD"/>
    <w:rsid w:val="00B93592"/>
    <w:rsid w:val="00B94B17"/>
    <w:rsid w:val="00B9510D"/>
    <w:rsid w:val="00B96050"/>
    <w:rsid w:val="00B968DF"/>
    <w:rsid w:val="00B972EA"/>
    <w:rsid w:val="00B97F5D"/>
    <w:rsid w:val="00BA041B"/>
    <w:rsid w:val="00BA0DBE"/>
    <w:rsid w:val="00BA1134"/>
    <w:rsid w:val="00BA38C5"/>
    <w:rsid w:val="00BA4BBF"/>
    <w:rsid w:val="00BA6933"/>
    <w:rsid w:val="00BB2403"/>
    <w:rsid w:val="00BB241B"/>
    <w:rsid w:val="00BB24B8"/>
    <w:rsid w:val="00BB2955"/>
    <w:rsid w:val="00BB45B2"/>
    <w:rsid w:val="00BB6DF4"/>
    <w:rsid w:val="00BB6F8D"/>
    <w:rsid w:val="00BB733A"/>
    <w:rsid w:val="00BC038D"/>
    <w:rsid w:val="00BC03E1"/>
    <w:rsid w:val="00BC187C"/>
    <w:rsid w:val="00BC5710"/>
    <w:rsid w:val="00BC5D95"/>
    <w:rsid w:val="00BC6097"/>
    <w:rsid w:val="00BC61CD"/>
    <w:rsid w:val="00BC6E5A"/>
    <w:rsid w:val="00BD0641"/>
    <w:rsid w:val="00BD0AAF"/>
    <w:rsid w:val="00BD12A3"/>
    <w:rsid w:val="00BD1FD0"/>
    <w:rsid w:val="00BD310F"/>
    <w:rsid w:val="00BD3B9E"/>
    <w:rsid w:val="00BD4EBB"/>
    <w:rsid w:val="00BD524D"/>
    <w:rsid w:val="00BD5AC5"/>
    <w:rsid w:val="00BD6214"/>
    <w:rsid w:val="00BD6E77"/>
    <w:rsid w:val="00BD6F37"/>
    <w:rsid w:val="00BD6FA5"/>
    <w:rsid w:val="00BD7477"/>
    <w:rsid w:val="00BD74A8"/>
    <w:rsid w:val="00BD7838"/>
    <w:rsid w:val="00BD7852"/>
    <w:rsid w:val="00BE149D"/>
    <w:rsid w:val="00BE1785"/>
    <w:rsid w:val="00BE4644"/>
    <w:rsid w:val="00BE5F50"/>
    <w:rsid w:val="00BE635B"/>
    <w:rsid w:val="00BE7214"/>
    <w:rsid w:val="00BE7FAC"/>
    <w:rsid w:val="00BF0947"/>
    <w:rsid w:val="00BF1C3F"/>
    <w:rsid w:val="00BF2930"/>
    <w:rsid w:val="00BF383F"/>
    <w:rsid w:val="00BF464C"/>
    <w:rsid w:val="00BF4D3E"/>
    <w:rsid w:val="00BF702E"/>
    <w:rsid w:val="00C00718"/>
    <w:rsid w:val="00C01E84"/>
    <w:rsid w:val="00C01EBB"/>
    <w:rsid w:val="00C02343"/>
    <w:rsid w:val="00C023E7"/>
    <w:rsid w:val="00C03553"/>
    <w:rsid w:val="00C03B1D"/>
    <w:rsid w:val="00C03BD9"/>
    <w:rsid w:val="00C03FE1"/>
    <w:rsid w:val="00C073B2"/>
    <w:rsid w:val="00C11538"/>
    <w:rsid w:val="00C135C1"/>
    <w:rsid w:val="00C136F7"/>
    <w:rsid w:val="00C13EE9"/>
    <w:rsid w:val="00C147E8"/>
    <w:rsid w:val="00C157B5"/>
    <w:rsid w:val="00C15839"/>
    <w:rsid w:val="00C168ED"/>
    <w:rsid w:val="00C16F12"/>
    <w:rsid w:val="00C20D80"/>
    <w:rsid w:val="00C210FE"/>
    <w:rsid w:val="00C22300"/>
    <w:rsid w:val="00C22D01"/>
    <w:rsid w:val="00C23F1C"/>
    <w:rsid w:val="00C24009"/>
    <w:rsid w:val="00C257BE"/>
    <w:rsid w:val="00C26CDB"/>
    <w:rsid w:val="00C3031D"/>
    <w:rsid w:val="00C307E9"/>
    <w:rsid w:val="00C3143A"/>
    <w:rsid w:val="00C33F37"/>
    <w:rsid w:val="00C37D5E"/>
    <w:rsid w:val="00C416FD"/>
    <w:rsid w:val="00C42D05"/>
    <w:rsid w:val="00C43F62"/>
    <w:rsid w:val="00C468CC"/>
    <w:rsid w:val="00C51AD6"/>
    <w:rsid w:val="00C51B6C"/>
    <w:rsid w:val="00C527F3"/>
    <w:rsid w:val="00C52AC7"/>
    <w:rsid w:val="00C52E43"/>
    <w:rsid w:val="00C52F3F"/>
    <w:rsid w:val="00C5338B"/>
    <w:rsid w:val="00C53582"/>
    <w:rsid w:val="00C53E68"/>
    <w:rsid w:val="00C54761"/>
    <w:rsid w:val="00C55BD8"/>
    <w:rsid w:val="00C60E70"/>
    <w:rsid w:val="00C61D18"/>
    <w:rsid w:val="00C61DCD"/>
    <w:rsid w:val="00C64685"/>
    <w:rsid w:val="00C6496C"/>
    <w:rsid w:val="00C66892"/>
    <w:rsid w:val="00C66975"/>
    <w:rsid w:val="00C701CB"/>
    <w:rsid w:val="00C721C7"/>
    <w:rsid w:val="00C72776"/>
    <w:rsid w:val="00C74B7D"/>
    <w:rsid w:val="00C75676"/>
    <w:rsid w:val="00C84F9D"/>
    <w:rsid w:val="00C864B5"/>
    <w:rsid w:val="00C86BB4"/>
    <w:rsid w:val="00C86C07"/>
    <w:rsid w:val="00C86FB8"/>
    <w:rsid w:val="00C875DC"/>
    <w:rsid w:val="00C90849"/>
    <w:rsid w:val="00C91CBF"/>
    <w:rsid w:val="00C933A3"/>
    <w:rsid w:val="00C93D1F"/>
    <w:rsid w:val="00C93EF1"/>
    <w:rsid w:val="00C9425C"/>
    <w:rsid w:val="00C950C9"/>
    <w:rsid w:val="00C96100"/>
    <w:rsid w:val="00C9613B"/>
    <w:rsid w:val="00C97091"/>
    <w:rsid w:val="00C978B6"/>
    <w:rsid w:val="00CA0DD6"/>
    <w:rsid w:val="00CA1ED1"/>
    <w:rsid w:val="00CA23D5"/>
    <w:rsid w:val="00CA3FD1"/>
    <w:rsid w:val="00CA41A2"/>
    <w:rsid w:val="00CA536F"/>
    <w:rsid w:val="00CA53E7"/>
    <w:rsid w:val="00CB15FE"/>
    <w:rsid w:val="00CB2E9A"/>
    <w:rsid w:val="00CB30B8"/>
    <w:rsid w:val="00CB454C"/>
    <w:rsid w:val="00CB454E"/>
    <w:rsid w:val="00CB4D9C"/>
    <w:rsid w:val="00CB50A7"/>
    <w:rsid w:val="00CB7680"/>
    <w:rsid w:val="00CC1383"/>
    <w:rsid w:val="00CC3701"/>
    <w:rsid w:val="00CC5FE0"/>
    <w:rsid w:val="00CC63ED"/>
    <w:rsid w:val="00CC6E39"/>
    <w:rsid w:val="00CD0D0B"/>
    <w:rsid w:val="00CD2775"/>
    <w:rsid w:val="00CD2C95"/>
    <w:rsid w:val="00CD31D3"/>
    <w:rsid w:val="00CD4CDE"/>
    <w:rsid w:val="00CD515F"/>
    <w:rsid w:val="00CD6C09"/>
    <w:rsid w:val="00CE05DB"/>
    <w:rsid w:val="00CE1D8D"/>
    <w:rsid w:val="00CE206F"/>
    <w:rsid w:val="00CE262B"/>
    <w:rsid w:val="00CE35C4"/>
    <w:rsid w:val="00CE46F0"/>
    <w:rsid w:val="00CE5E27"/>
    <w:rsid w:val="00CF2EFA"/>
    <w:rsid w:val="00CF372E"/>
    <w:rsid w:val="00CF3803"/>
    <w:rsid w:val="00CF3A4F"/>
    <w:rsid w:val="00CF5118"/>
    <w:rsid w:val="00CF5383"/>
    <w:rsid w:val="00CF54B1"/>
    <w:rsid w:val="00CF57F7"/>
    <w:rsid w:val="00CF6157"/>
    <w:rsid w:val="00CF623B"/>
    <w:rsid w:val="00CF7331"/>
    <w:rsid w:val="00CF7783"/>
    <w:rsid w:val="00CF7A35"/>
    <w:rsid w:val="00D0011D"/>
    <w:rsid w:val="00D0035E"/>
    <w:rsid w:val="00D01DE8"/>
    <w:rsid w:val="00D024AA"/>
    <w:rsid w:val="00D02E3D"/>
    <w:rsid w:val="00D05072"/>
    <w:rsid w:val="00D06569"/>
    <w:rsid w:val="00D06DC3"/>
    <w:rsid w:val="00D104EB"/>
    <w:rsid w:val="00D108A8"/>
    <w:rsid w:val="00D1186C"/>
    <w:rsid w:val="00D137CE"/>
    <w:rsid w:val="00D148A0"/>
    <w:rsid w:val="00D16981"/>
    <w:rsid w:val="00D16C8B"/>
    <w:rsid w:val="00D17C4D"/>
    <w:rsid w:val="00D20843"/>
    <w:rsid w:val="00D21A3F"/>
    <w:rsid w:val="00D239C7"/>
    <w:rsid w:val="00D24613"/>
    <w:rsid w:val="00D2504C"/>
    <w:rsid w:val="00D26BC5"/>
    <w:rsid w:val="00D27247"/>
    <w:rsid w:val="00D316CC"/>
    <w:rsid w:val="00D3627F"/>
    <w:rsid w:val="00D40123"/>
    <w:rsid w:val="00D44F4D"/>
    <w:rsid w:val="00D458A9"/>
    <w:rsid w:val="00D460FB"/>
    <w:rsid w:val="00D5146F"/>
    <w:rsid w:val="00D51558"/>
    <w:rsid w:val="00D5288A"/>
    <w:rsid w:val="00D54B7D"/>
    <w:rsid w:val="00D61D86"/>
    <w:rsid w:val="00D61E16"/>
    <w:rsid w:val="00D6252D"/>
    <w:rsid w:val="00D63ED9"/>
    <w:rsid w:val="00D661D3"/>
    <w:rsid w:val="00D672E9"/>
    <w:rsid w:val="00D71A11"/>
    <w:rsid w:val="00D73A3A"/>
    <w:rsid w:val="00D7722B"/>
    <w:rsid w:val="00D77316"/>
    <w:rsid w:val="00D81339"/>
    <w:rsid w:val="00D82B7E"/>
    <w:rsid w:val="00D83071"/>
    <w:rsid w:val="00D8467B"/>
    <w:rsid w:val="00D863E1"/>
    <w:rsid w:val="00D90AEF"/>
    <w:rsid w:val="00D90C7B"/>
    <w:rsid w:val="00D930CF"/>
    <w:rsid w:val="00D930FF"/>
    <w:rsid w:val="00D94568"/>
    <w:rsid w:val="00D945B6"/>
    <w:rsid w:val="00D954A4"/>
    <w:rsid w:val="00D954E8"/>
    <w:rsid w:val="00D959FB"/>
    <w:rsid w:val="00D95E3C"/>
    <w:rsid w:val="00D973F9"/>
    <w:rsid w:val="00DA236D"/>
    <w:rsid w:val="00DA4DCF"/>
    <w:rsid w:val="00DA501B"/>
    <w:rsid w:val="00DA6EE4"/>
    <w:rsid w:val="00DB10A2"/>
    <w:rsid w:val="00DB2A3A"/>
    <w:rsid w:val="00DB4BEE"/>
    <w:rsid w:val="00DB6749"/>
    <w:rsid w:val="00DB6BCE"/>
    <w:rsid w:val="00DB70E8"/>
    <w:rsid w:val="00DC0627"/>
    <w:rsid w:val="00DC259A"/>
    <w:rsid w:val="00DC3612"/>
    <w:rsid w:val="00DC5C5B"/>
    <w:rsid w:val="00DD0C1E"/>
    <w:rsid w:val="00DD1185"/>
    <w:rsid w:val="00DD1607"/>
    <w:rsid w:val="00DD1B84"/>
    <w:rsid w:val="00DD35C8"/>
    <w:rsid w:val="00DD4104"/>
    <w:rsid w:val="00DD416E"/>
    <w:rsid w:val="00DD524D"/>
    <w:rsid w:val="00DD5D1A"/>
    <w:rsid w:val="00DD7479"/>
    <w:rsid w:val="00DE1EE8"/>
    <w:rsid w:val="00DE264A"/>
    <w:rsid w:val="00DE4DBB"/>
    <w:rsid w:val="00DE530C"/>
    <w:rsid w:val="00DE7B3A"/>
    <w:rsid w:val="00DE7DFB"/>
    <w:rsid w:val="00DF0CD6"/>
    <w:rsid w:val="00DF153C"/>
    <w:rsid w:val="00DF3437"/>
    <w:rsid w:val="00DF3B5E"/>
    <w:rsid w:val="00DF460A"/>
    <w:rsid w:val="00DF5225"/>
    <w:rsid w:val="00DF523F"/>
    <w:rsid w:val="00DF533D"/>
    <w:rsid w:val="00DF6148"/>
    <w:rsid w:val="00DF7D03"/>
    <w:rsid w:val="00E008B4"/>
    <w:rsid w:val="00E071E7"/>
    <w:rsid w:val="00E07B79"/>
    <w:rsid w:val="00E10062"/>
    <w:rsid w:val="00E10228"/>
    <w:rsid w:val="00E10E39"/>
    <w:rsid w:val="00E12ED5"/>
    <w:rsid w:val="00E13034"/>
    <w:rsid w:val="00E16E39"/>
    <w:rsid w:val="00E20ABE"/>
    <w:rsid w:val="00E2177D"/>
    <w:rsid w:val="00E24AC4"/>
    <w:rsid w:val="00E26BD5"/>
    <w:rsid w:val="00E34BA4"/>
    <w:rsid w:val="00E3559F"/>
    <w:rsid w:val="00E362B5"/>
    <w:rsid w:val="00E36CB3"/>
    <w:rsid w:val="00E36D08"/>
    <w:rsid w:val="00E40A0E"/>
    <w:rsid w:val="00E426EE"/>
    <w:rsid w:val="00E42846"/>
    <w:rsid w:val="00E43D48"/>
    <w:rsid w:val="00E473CD"/>
    <w:rsid w:val="00E51737"/>
    <w:rsid w:val="00E517AE"/>
    <w:rsid w:val="00E51B19"/>
    <w:rsid w:val="00E5226C"/>
    <w:rsid w:val="00E5339C"/>
    <w:rsid w:val="00E53C34"/>
    <w:rsid w:val="00E53F48"/>
    <w:rsid w:val="00E56957"/>
    <w:rsid w:val="00E57425"/>
    <w:rsid w:val="00E601DD"/>
    <w:rsid w:val="00E60285"/>
    <w:rsid w:val="00E60458"/>
    <w:rsid w:val="00E61CD4"/>
    <w:rsid w:val="00E62758"/>
    <w:rsid w:val="00E65C5B"/>
    <w:rsid w:val="00E66FED"/>
    <w:rsid w:val="00E67476"/>
    <w:rsid w:val="00E71888"/>
    <w:rsid w:val="00E7214E"/>
    <w:rsid w:val="00E72C06"/>
    <w:rsid w:val="00E72EB0"/>
    <w:rsid w:val="00E72FFE"/>
    <w:rsid w:val="00E7371B"/>
    <w:rsid w:val="00E73C7B"/>
    <w:rsid w:val="00E747F8"/>
    <w:rsid w:val="00E8207F"/>
    <w:rsid w:val="00E82559"/>
    <w:rsid w:val="00E847BB"/>
    <w:rsid w:val="00E84E89"/>
    <w:rsid w:val="00E85E8C"/>
    <w:rsid w:val="00E8751E"/>
    <w:rsid w:val="00E877B8"/>
    <w:rsid w:val="00E87C82"/>
    <w:rsid w:val="00E906F3"/>
    <w:rsid w:val="00E90C05"/>
    <w:rsid w:val="00E917E5"/>
    <w:rsid w:val="00E96516"/>
    <w:rsid w:val="00E96820"/>
    <w:rsid w:val="00E97CF0"/>
    <w:rsid w:val="00EA0D28"/>
    <w:rsid w:val="00EA0DA2"/>
    <w:rsid w:val="00EA35A4"/>
    <w:rsid w:val="00EA4A3D"/>
    <w:rsid w:val="00EA6143"/>
    <w:rsid w:val="00EB0624"/>
    <w:rsid w:val="00EB0985"/>
    <w:rsid w:val="00EB0D1C"/>
    <w:rsid w:val="00EB601B"/>
    <w:rsid w:val="00EB6205"/>
    <w:rsid w:val="00EC01CE"/>
    <w:rsid w:val="00EC04F5"/>
    <w:rsid w:val="00EC19B2"/>
    <w:rsid w:val="00EC6360"/>
    <w:rsid w:val="00EC7262"/>
    <w:rsid w:val="00ED0929"/>
    <w:rsid w:val="00ED21F1"/>
    <w:rsid w:val="00ED38A7"/>
    <w:rsid w:val="00ED5CF1"/>
    <w:rsid w:val="00ED5FD4"/>
    <w:rsid w:val="00ED7FD4"/>
    <w:rsid w:val="00EE1A47"/>
    <w:rsid w:val="00EE49C6"/>
    <w:rsid w:val="00EF0F3B"/>
    <w:rsid w:val="00EF1C1E"/>
    <w:rsid w:val="00EF3D9D"/>
    <w:rsid w:val="00EF573C"/>
    <w:rsid w:val="00EF6EFD"/>
    <w:rsid w:val="00F01032"/>
    <w:rsid w:val="00F02C8B"/>
    <w:rsid w:val="00F032AD"/>
    <w:rsid w:val="00F0458D"/>
    <w:rsid w:val="00F04B77"/>
    <w:rsid w:val="00F0546D"/>
    <w:rsid w:val="00F056B3"/>
    <w:rsid w:val="00F060C1"/>
    <w:rsid w:val="00F07210"/>
    <w:rsid w:val="00F072DD"/>
    <w:rsid w:val="00F07321"/>
    <w:rsid w:val="00F10499"/>
    <w:rsid w:val="00F113A4"/>
    <w:rsid w:val="00F11F4B"/>
    <w:rsid w:val="00F12526"/>
    <w:rsid w:val="00F12E1D"/>
    <w:rsid w:val="00F1420F"/>
    <w:rsid w:val="00F146E3"/>
    <w:rsid w:val="00F14B56"/>
    <w:rsid w:val="00F14E9C"/>
    <w:rsid w:val="00F15DDD"/>
    <w:rsid w:val="00F17AEE"/>
    <w:rsid w:val="00F17C72"/>
    <w:rsid w:val="00F20405"/>
    <w:rsid w:val="00F209DB"/>
    <w:rsid w:val="00F20ED3"/>
    <w:rsid w:val="00F260A5"/>
    <w:rsid w:val="00F260AF"/>
    <w:rsid w:val="00F26944"/>
    <w:rsid w:val="00F26C24"/>
    <w:rsid w:val="00F26C55"/>
    <w:rsid w:val="00F27A97"/>
    <w:rsid w:val="00F33B3B"/>
    <w:rsid w:val="00F33B54"/>
    <w:rsid w:val="00F35891"/>
    <w:rsid w:val="00F35D10"/>
    <w:rsid w:val="00F3639C"/>
    <w:rsid w:val="00F377C6"/>
    <w:rsid w:val="00F4028B"/>
    <w:rsid w:val="00F410AB"/>
    <w:rsid w:val="00F4261C"/>
    <w:rsid w:val="00F43084"/>
    <w:rsid w:val="00F4423F"/>
    <w:rsid w:val="00F444CD"/>
    <w:rsid w:val="00F470F4"/>
    <w:rsid w:val="00F50871"/>
    <w:rsid w:val="00F50B70"/>
    <w:rsid w:val="00F52F7E"/>
    <w:rsid w:val="00F53F5B"/>
    <w:rsid w:val="00F57D19"/>
    <w:rsid w:val="00F57EF0"/>
    <w:rsid w:val="00F612C2"/>
    <w:rsid w:val="00F63DFA"/>
    <w:rsid w:val="00F64475"/>
    <w:rsid w:val="00F64E9B"/>
    <w:rsid w:val="00F6580A"/>
    <w:rsid w:val="00F71507"/>
    <w:rsid w:val="00F809E8"/>
    <w:rsid w:val="00F80DC1"/>
    <w:rsid w:val="00F81A02"/>
    <w:rsid w:val="00F83204"/>
    <w:rsid w:val="00F83DCE"/>
    <w:rsid w:val="00F851ED"/>
    <w:rsid w:val="00F8683C"/>
    <w:rsid w:val="00F873A8"/>
    <w:rsid w:val="00F966AE"/>
    <w:rsid w:val="00FA4AB3"/>
    <w:rsid w:val="00FA5A74"/>
    <w:rsid w:val="00FB0635"/>
    <w:rsid w:val="00FB1737"/>
    <w:rsid w:val="00FB1C30"/>
    <w:rsid w:val="00FC00E2"/>
    <w:rsid w:val="00FC0954"/>
    <w:rsid w:val="00FC0D62"/>
    <w:rsid w:val="00FC140F"/>
    <w:rsid w:val="00FC175F"/>
    <w:rsid w:val="00FC1D30"/>
    <w:rsid w:val="00FC2292"/>
    <w:rsid w:val="00FC6733"/>
    <w:rsid w:val="00FC71D8"/>
    <w:rsid w:val="00FD0B7A"/>
    <w:rsid w:val="00FD1544"/>
    <w:rsid w:val="00FD3562"/>
    <w:rsid w:val="00FD55F7"/>
    <w:rsid w:val="00FD7267"/>
    <w:rsid w:val="00FD75C9"/>
    <w:rsid w:val="00FE0FC6"/>
    <w:rsid w:val="00FE20DE"/>
    <w:rsid w:val="00FE3438"/>
    <w:rsid w:val="00FE4ADA"/>
    <w:rsid w:val="00FE6ED7"/>
    <w:rsid w:val="00FE7063"/>
    <w:rsid w:val="00FF012D"/>
    <w:rsid w:val="00FF0472"/>
    <w:rsid w:val="00FF106A"/>
    <w:rsid w:val="00FF1D48"/>
    <w:rsid w:val="00FF2447"/>
    <w:rsid w:val="00FF2CF9"/>
    <w:rsid w:val="00FF482C"/>
    <w:rsid w:val="00FF61D0"/>
    <w:rsid w:val="00FF64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7"/>
    <o:shapelayout v:ext="edit">
      <o:idmap v:ext="edit" data="2"/>
    </o:shapelayout>
  </w:shapeDefaults>
  <w:decimalSymbol w:val=","/>
  <w:listSeparator w:val=";"/>
  <w14:docId w14:val="0964591C"/>
  <w15:chartTrackingRefBased/>
  <w15:docId w15:val="{6F0C0BA4-F11B-4F38-A15F-1151E5F4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1C2"/>
    <w:pPr>
      <w:spacing w:after="0" w:line="360" w:lineRule="auto"/>
      <w:jc w:val="both"/>
    </w:pPr>
    <w:rPr>
      <w:rFonts w:ascii="Arial Narrow" w:eastAsia="Times New Roman" w:hAnsi="Arial Narrow" w:cs="Times New Roman"/>
      <w:sz w:val="24"/>
      <w:szCs w:val="24"/>
      <w:lang w:eastAsia="es-ES"/>
    </w:rPr>
  </w:style>
  <w:style w:type="paragraph" w:styleId="Ttulo1">
    <w:name w:val="heading 1"/>
    <w:basedOn w:val="Normal"/>
    <w:next w:val="Normal"/>
    <w:link w:val="Ttulo1Car"/>
    <w:autoRedefine/>
    <w:qFormat/>
    <w:rsid w:val="00373579"/>
    <w:pPr>
      <w:keepNext/>
      <w:widowControl w:val="0"/>
      <w:numPr>
        <w:numId w:val="1"/>
      </w:numPr>
      <w:autoSpaceDN w:val="0"/>
      <w:adjustRightInd w:val="0"/>
      <w:ind w:left="431" w:hanging="431"/>
      <w:jc w:val="center"/>
      <w:outlineLvl w:val="0"/>
    </w:pPr>
    <w:rPr>
      <w:rFonts w:ascii="Calibri" w:hAnsi="Calibri" w:cs="Arial"/>
      <w:b/>
      <w:bCs/>
      <w:kern w:val="32"/>
      <w:sz w:val="40"/>
      <w:szCs w:val="23"/>
      <w:lang w:val="es-ES_tradnl" w:eastAsia="en-US"/>
    </w:rPr>
  </w:style>
  <w:style w:type="paragraph" w:styleId="Ttulo2">
    <w:name w:val="heading 2"/>
    <w:basedOn w:val="Normal"/>
    <w:next w:val="Normal"/>
    <w:link w:val="Ttulo2Car"/>
    <w:autoRedefine/>
    <w:qFormat/>
    <w:rsid w:val="00D01DE8"/>
    <w:pPr>
      <w:keepNext/>
      <w:widowControl w:val="0"/>
      <w:pBdr>
        <w:top w:val="single" w:sz="4" w:space="1" w:color="8DB3E2"/>
        <w:left w:val="single" w:sz="4" w:space="4" w:color="8DB3E2"/>
        <w:bottom w:val="single" w:sz="4" w:space="1" w:color="8DB3E2"/>
        <w:right w:val="single" w:sz="4" w:space="4" w:color="8DB3E2"/>
      </w:pBdr>
      <w:shd w:val="clear" w:color="auto" w:fill="00B0F0"/>
      <w:autoSpaceDN w:val="0"/>
      <w:adjustRightInd w:val="0"/>
      <w:spacing w:line="240" w:lineRule="auto"/>
      <w:ind w:firstLine="709"/>
      <w:outlineLvl w:val="1"/>
    </w:pPr>
    <w:rPr>
      <w:b/>
      <w:bCs/>
      <w:iCs/>
      <w:sz w:val="28"/>
      <w:szCs w:val="28"/>
      <w:lang w:val="es-ES_tradnl" w:eastAsia="en-US"/>
    </w:rPr>
  </w:style>
  <w:style w:type="paragraph" w:styleId="Ttulo3">
    <w:name w:val="heading 3"/>
    <w:basedOn w:val="Normal"/>
    <w:next w:val="Normal"/>
    <w:link w:val="Ttulo3Car"/>
    <w:autoRedefine/>
    <w:qFormat/>
    <w:rsid w:val="0009503A"/>
    <w:pPr>
      <w:keepNext/>
      <w:widowControl w:val="0"/>
      <w:spacing w:before="240" w:after="60"/>
      <w:outlineLvl w:val="2"/>
    </w:pPr>
    <w:rPr>
      <w:rFonts w:cs="Arial"/>
      <w:b/>
      <w:bCs/>
      <w:szCs w:val="26"/>
      <w:lang w:val="es-CR" w:eastAsia="en-US"/>
    </w:rPr>
  </w:style>
  <w:style w:type="paragraph" w:styleId="Ttulo4">
    <w:name w:val="heading 4"/>
    <w:basedOn w:val="Normal"/>
    <w:next w:val="Normal"/>
    <w:link w:val="Ttulo4Car"/>
    <w:autoRedefine/>
    <w:qFormat/>
    <w:rsid w:val="008E49B2"/>
    <w:pPr>
      <w:keepNext/>
      <w:widowControl w:val="0"/>
      <w:spacing w:before="240" w:after="60"/>
      <w:ind w:left="864" w:hanging="864"/>
      <w:outlineLvl w:val="3"/>
    </w:pPr>
    <w:rPr>
      <w:b/>
      <w:bCs/>
      <w:szCs w:val="28"/>
      <w:u w:color="000000"/>
      <w:lang w:val="es-CR" w:eastAsia="en-US"/>
    </w:rPr>
  </w:style>
  <w:style w:type="paragraph" w:styleId="Ttulo5">
    <w:name w:val="heading 5"/>
    <w:basedOn w:val="Normal"/>
    <w:next w:val="Normal"/>
    <w:link w:val="Ttulo5Car"/>
    <w:qFormat/>
    <w:rsid w:val="004F771E"/>
    <w:pPr>
      <w:widowControl w:val="0"/>
      <w:numPr>
        <w:ilvl w:val="4"/>
        <w:numId w:val="1"/>
      </w:numPr>
      <w:spacing w:before="240" w:after="60"/>
      <w:outlineLvl w:val="4"/>
    </w:pPr>
    <w:rPr>
      <w:rFonts w:ascii="Arial" w:hAnsi="Arial"/>
      <w:b/>
      <w:bCs/>
      <w:i/>
      <w:iCs/>
      <w:szCs w:val="26"/>
      <w:lang w:val="en-US" w:eastAsia="en-US"/>
    </w:rPr>
  </w:style>
  <w:style w:type="paragraph" w:styleId="Ttulo6">
    <w:name w:val="heading 6"/>
    <w:basedOn w:val="Normal"/>
    <w:next w:val="Normal"/>
    <w:link w:val="Ttulo6Car"/>
    <w:qFormat/>
    <w:rsid w:val="004F771E"/>
    <w:pPr>
      <w:widowControl w:val="0"/>
      <w:numPr>
        <w:ilvl w:val="5"/>
        <w:numId w:val="1"/>
      </w:numPr>
      <w:spacing w:before="240" w:after="60"/>
      <w:outlineLvl w:val="5"/>
    </w:pPr>
    <w:rPr>
      <w:rFonts w:ascii="Arial" w:hAnsi="Arial"/>
      <w:b/>
      <w:bCs/>
      <w:sz w:val="22"/>
      <w:szCs w:val="22"/>
      <w:lang w:val="en-US" w:eastAsia="en-US"/>
    </w:rPr>
  </w:style>
  <w:style w:type="paragraph" w:styleId="Ttulo7">
    <w:name w:val="heading 7"/>
    <w:basedOn w:val="Normal"/>
    <w:next w:val="Normal"/>
    <w:link w:val="Ttulo7Car"/>
    <w:uiPriority w:val="99"/>
    <w:qFormat/>
    <w:rsid w:val="004F771E"/>
    <w:pPr>
      <w:widowControl w:val="0"/>
      <w:numPr>
        <w:ilvl w:val="6"/>
        <w:numId w:val="1"/>
      </w:numPr>
      <w:spacing w:before="240" w:after="60"/>
      <w:ind w:left="1296"/>
      <w:outlineLvl w:val="6"/>
    </w:pPr>
    <w:rPr>
      <w:rFonts w:ascii="Arial" w:hAnsi="Arial"/>
      <w:sz w:val="22"/>
      <w:szCs w:val="20"/>
      <w:lang w:val="en-US" w:eastAsia="en-US"/>
    </w:rPr>
  </w:style>
  <w:style w:type="paragraph" w:styleId="Ttulo8">
    <w:name w:val="heading 8"/>
    <w:basedOn w:val="Normal"/>
    <w:next w:val="Normal"/>
    <w:link w:val="Ttulo8Car"/>
    <w:uiPriority w:val="99"/>
    <w:qFormat/>
    <w:rsid w:val="004F771E"/>
    <w:pPr>
      <w:widowControl w:val="0"/>
      <w:numPr>
        <w:ilvl w:val="7"/>
        <w:numId w:val="1"/>
      </w:numPr>
      <w:spacing w:before="240" w:after="60"/>
      <w:outlineLvl w:val="7"/>
    </w:pPr>
    <w:rPr>
      <w:rFonts w:ascii="Arial" w:hAnsi="Arial"/>
      <w:i/>
      <w:iCs/>
      <w:sz w:val="22"/>
      <w:szCs w:val="20"/>
      <w:lang w:val="en-US" w:eastAsia="en-US"/>
    </w:rPr>
  </w:style>
  <w:style w:type="paragraph" w:styleId="Ttulo9">
    <w:name w:val="heading 9"/>
    <w:basedOn w:val="Normal"/>
    <w:next w:val="Normal"/>
    <w:link w:val="Ttulo9Car"/>
    <w:uiPriority w:val="99"/>
    <w:qFormat/>
    <w:rsid w:val="004F771E"/>
    <w:pPr>
      <w:widowControl w:val="0"/>
      <w:numPr>
        <w:ilvl w:val="8"/>
        <w:numId w:val="1"/>
      </w:numPr>
      <w:spacing w:before="240" w:after="60"/>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3579"/>
    <w:rPr>
      <w:rFonts w:ascii="Calibri" w:eastAsia="Times New Roman" w:hAnsi="Calibri" w:cs="Arial"/>
      <w:b/>
      <w:bCs/>
      <w:kern w:val="32"/>
      <w:sz w:val="40"/>
      <w:szCs w:val="23"/>
      <w:lang w:val="es-ES_tradnl"/>
    </w:rPr>
  </w:style>
  <w:style w:type="character" w:customStyle="1" w:styleId="Ttulo2Car">
    <w:name w:val="Título 2 Car"/>
    <w:basedOn w:val="Fuentedeprrafopredeter"/>
    <w:link w:val="Ttulo2"/>
    <w:rsid w:val="00D01DE8"/>
    <w:rPr>
      <w:rFonts w:ascii="Arial Narrow" w:eastAsia="Times New Roman" w:hAnsi="Arial Narrow" w:cs="Times New Roman"/>
      <w:b/>
      <w:bCs/>
      <w:iCs/>
      <w:sz w:val="28"/>
      <w:szCs w:val="28"/>
      <w:shd w:val="clear" w:color="auto" w:fill="00B0F0"/>
      <w:lang w:val="es-ES_tradnl"/>
    </w:rPr>
  </w:style>
  <w:style w:type="character" w:customStyle="1" w:styleId="Ttulo3Car">
    <w:name w:val="Título 3 Car"/>
    <w:basedOn w:val="Fuentedeprrafopredeter"/>
    <w:link w:val="Ttulo3"/>
    <w:rsid w:val="0009503A"/>
    <w:rPr>
      <w:rFonts w:ascii="Arial Narrow" w:eastAsia="Times New Roman" w:hAnsi="Arial Narrow" w:cs="Arial"/>
      <w:b/>
      <w:bCs/>
      <w:sz w:val="24"/>
      <w:szCs w:val="26"/>
      <w:lang w:val="es-CR"/>
    </w:rPr>
  </w:style>
  <w:style w:type="character" w:customStyle="1" w:styleId="Ttulo4Car">
    <w:name w:val="Título 4 Car"/>
    <w:basedOn w:val="Fuentedeprrafopredeter"/>
    <w:link w:val="Ttulo4"/>
    <w:rsid w:val="008E49B2"/>
    <w:rPr>
      <w:rFonts w:ascii="Arial Narrow" w:eastAsia="Times New Roman" w:hAnsi="Arial Narrow" w:cs="Times New Roman"/>
      <w:b/>
      <w:bCs/>
      <w:sz w:val="24"/>
      <w:szCs w:val="28"/>
      <w:u w:color="000000"/>
      <w:lang w:val="es-CR"/>
    </w:rPr>
  </w:style>
  <w:style w:type="character" w:customStyle="1" w:styleId="Ttulo5Car">
    <w:name w:val="Título 5 Car"/>
    <w:basedOn w:val="Fuentedeprrafopredeter"/>
    <w:link w:val="Ttulo5"/>
    <w:rsid w:val="004F771E"/>
    <w:rPr>
      <w:rFonts w:ascii="Arial" w:eastAsia="Times New Roman" w:hAnsi="Arial" w:cs="Times New Roman"/>
      <w:b/>
      <w:bCs/>
      <w:i/>
      <w:iCs/>
      <w:sz w:val="24"/>
      <w:szCs w:val="26"/>
      <w:lang w:val="en-US"/>
    </w:rPr>
  </w:style>
  <w:style w:type="character" w:customStyle="1" w:styleId="Ttulo6Car">
    <w:name w:val="Título 6 Car"/>
    <w:basedOn w:val="Fuentedeprrafopredeter"/>
    <w:link w:val="Ttulo6"/>
    <w:rsid w:val="004F771E"/>
    <w:rPr>
      <w:rFonts w:ascii="Arial" w:eastAsia="Times New Roman" w:hAnsi="Arial" w:cs="Times New Roman"/>
      <w:b/>
      <w:bCs/>
      <w:lang w:val="en-US"/>
    </w:rPr>
  </w:style>
  <w:style w:type="character" w:customStyle="1" w:styleId="Ttulo7Car">
    <w:name w:val="Título 7 Car"/>
    <w:basedOn w:val="Fuentedeprrafopredeter"/>
    <w:link w:val="Ttulo7"/>
    <w:uiPriority w:val="99"/>
    <w:rsid w:val="004F771E"/>
    <w:rPr>
      <w:rFonts w:ascii="Arial" w:eastAsia="Times New Roman" w:hAnsi="Arial" w:cs="Times New Roman"/>
      <w:szCs w:val="20"/>
      <w:lang w:val="en-US"/>
    </w:rPr>
  </w:style>
  <w:style w:type="character" w:customStyle="1" w:styleId="Ttulo8Car">
    <w:name w:val="Título 8 Car"/>
    <w:basedOn w:val="Fuentedeprrafopredeter"/>
    <w:link w:val="Ttulo8"/>
    <w:uiPriority w:val="99"/>
    <w:rsid w:val="004F771E"/>
    <w:rPr>
      <w:rFonts w:ascii="Arial" w:eastAsia="Times New Roman" w:hAnsi="Arial" w:cs="Times New Roman"/>
      <w:i/>
      <w:iCs/>
      <w:szCs w:val="20"/>
      <w:lang w:val="en-US"/>
    </w:rPr>
  </w:style>
  <w:style w:type="character" w:customStyle="1" w:styleId="Ttulo9Car">
    <w:name w:val="Título 9 Car"/>
    <w:basedOn w:val="Fuentedeprrafopredeter"/>
    <w:link w:val="Ttulo9"/>
    <w:uiPriority w:val="99"/>
    <w:rsid w:val="004F771E"/>
    <w:rPr>
      <w:rFonts w:ascii="Arial" w:eastAsia="Times New Roman" w:hAnsi="Arial" w:cs="Arial"/>
      <w:lang w:val="en-US"/>
    </w:rPr>
  </w:style>
  <w:style w:type="paragraph" w:styleId="Textonotapie">
    <w:name w:val="footnote text"/>
    <w:basedOn w:val="Normal"/>
    <w:link w:val="TextonotapieCar"/>
    <w:uiPriority w:val="99"/>
    <w:rsid w:val="004F771E"/>
    <w:rPr>
      <w:sz w:val="20"/>
      <w:szCs w:val="20"/>
    </w:rPr>
  </w:style>
  <w:style w:type="character" w:customStyle="1" w:styleId="TextonotapieCar">
    <w:name w:val="Texto nota pie Car"/>
    <w:basedOn w:val="Fuentedeprrafopredeter"/>
    <w:link w:val="Textonotapie"/>
    <w:uiPriority w:val="99"/>
    <w:rsid w:val="004F771E"/>
    <w:rPr>
      <w:rFonts w:ascii="Book Antiqua" w:eastAsia="Times New Roman" w:hAnsi="Book Antiqua" w:cs="Times New Roman"/>
      <w:sz w:val="20"/>
      <w:szCs w:val="20"/>
      <w:lang w:eastAsia="es-ES"/>
    </w:rPr>
  </w:style>
  <w:style w:type="character" w:styleId="Refdenotaalpie">
    <w:name w:val="footnote reference"/>
    <w:aliases w:val="ƒ89,^ƒ89,Footnotes refss,Texto de nota al pie,Appel note de bas de page,Referencia nota al pie,Footnote number,referencia nota al pie,BVI fnr,f"/>
    <w:basedOn w:val="Fuentedeprrafopredeter"/>
    <w:uiPriority w:val="99"/>
    <w:qFormat/>
    <w:rsid w:val="004F771E"/>
    <w:rPr>
      <w:vertAlign w:val="superscript"/>
    </w:rPr>
  </w:style>
  <w:style w:type="paragraph" w:styleId="Textoindependiente">
    <w:name w:val="Body Text"/>
    <w:basedOn w:val="Normal"/>
    <w:link w:val="TextoindependienteCar"/>
    <w:rsid w:val="004F771E"/>
    <w:rPr>
      <w:rFonts w:ascii="Arial" w:hAnsi="Arial" w:cs="Arial"/>
      <w:sz w:val="32"/>
    </w:rPr>
  </w:style>
  <w:style w:type="character" w:customStyle="1" w:styleId="TextoindependienteCar">
    <w:name w:val="Texto independiente Car"/>
    <w:basedOn w:val="Fuentedeprrafopredeter"/>
    <w:link w:val="Textoindependiente"/>
    <w:rsid w:val="004F771E"/>
    <w:rPr>
      <w:rFonts w:ascii="Arial" w:eastAsia="Times New Roman" w:hAnsi="Arial" w:cs="Arial"/>
      <w:sz w:val="32"/>
      <w:szCs w:val="24"/>
      <w:lang w:eastAsia="es-ES"/>
    </w:rPr>
  </w:style>
  <w:style w:type="paragraph" w:styleId="NormalWeb">
    <w:name w:val="Normal (Web)"/>
    <w:basedOn w:val="Normal"/>
    <w:link w:val="NormalWebCar"/>
    <w:uiPriority w:val="99"/>
    <w:rsid w:val="004F771E"/>
    <w:pPr>
      <w:spacing w:before="100" w:beforeAutospacing="1" w:after="100" w:afterAutospacing="1"/>
    </w:pPr>
  </w:style>
  <w:style w:type="paragraph" w:styleId="Sangradetextonormal">
    <w:name w:val="Body Text Indent"/>
    <w:basedOn w:val="Normal"/>
    <w:link w:val="SangradetextonormalCar"/>
    <w:rsid w:val="004F771E"/>
    <w:pPr>
      <w:widowControl w:val="0"/>
      <w:autoSpaceDE w:val="0"/>
      <w:autoSpaceDN w:val="0"/>
      <w:adjustRightInd w:val="0"/>
      <w:spacing w:after="120"/>
      <w:ind w:left="283"/>
    </w:pPr>
    <w:rPr>
      <w:rFonts w:ascii="Arial" w:hAnsi="Arial" w:cs="Arial"/>
      <w:shd w:val="clear" w:color="auto" w:fill="FFFFFF"/>
    </w:rPr>
  </w:style>
  <w:style w:type="character" w:customStyle="1" w:styleId="SangradetextonormalCar">
    <w:name w:val="Sangría de texto normal Car"/>
    <w:basedOn w:val="Fuentedeprrafopredeter"/>
    <w:link w:val="Sangradetextonormal"/>
    <w:rsid w:val="004F771E"/>
    <w:rPr>
      <w:rFonts w:ascii="Arial" w:eastAsia="Times New Roman" w:hAnsi="Arial" w:cs="Arial"/>
      <w:sz w:val="24"/>
      <w:szCs w:val="24"/>
      <w:lang w:eastAsia="es-ES"/>
    </w:rPr>
  </w:style>
  <w:style w:type="paragraph" w:customStyle="1" w:styleId="western">
    <w:name w:val="western"/>
    <w:basedOn w:val="Normal"/>
    <w:rsid w:val="004F771E"/>
    <w:pPr>
      <w:spacing w:before="100" w:beforeAutospacing="1"/>
    </w:pPr>
    <w:rPr>
      <w:rFonts w:eastAsiaTheme="minorHAnsi"/>
      <w:sz w:val="18"/>
      <w:szCs w:val="18"/>
      <w:lang w:val="es-CR" w:eastAsia="es-CR"/>
    </w:rPr>
  </w:style>
  <w:style w:type="paragraph" w:styleId="Prrafodelista">
    <w:name w:val="List Paragraph"/>
    <w:aliases w:val="Bullet 1,Use Case List Paragraph,Lista vistosa - Énfasis 11,Párrafo de lista Car Car Car,Informe,Lista vistosa -,List Paragraph 1,Numbered List Paragraph,Main numbered paragraph,Bullets,List Paragraph (numbered (a)),Akapit z listą BS"/>
    <w:basedOn w:val="Normal"/>
    <w:uiPriority w:val="34"/>
    <w:qFormat/>
    <w:rsid w:val="004F771E"/>
    <w:pPr>
      <w:ind w:left="720"/>
      <w:contextualSpacing/>
    </w:pPr>
  </w:style>
  <w:style w:type="character" w:styleId="Hipervnculo">
    <w:name w:val="Hyperlink"/>
    <w:basedOn w:val="Fuentedeprrafopredeter"/>
    <w:uiPriority w:val="99"/>
    <w:unhideWhenUsed/>
    <w:rsid w:val="004F771E"/>
    <w:rPr>
      <w:color w:val="0000FF"/>
      <w:u w:val="single"/>
    </w:rPr>
  </w:style>
  <w:style w:type="paragraph" w:customStyle="1" w:styleId="prrafodelista0">
    <w:name w:val="prrafodelista"/>
    <w:basedOn w:val="Normal"/>
    <w:rsid w:val="004F771E"/>
    <w:pPr>
      <w:ind w:left="708"/>
    </w:pPr>
    <w:rPr>
      <w:rFonts w:eastAsiaTheme="minorHAnsi"/>
      <w:lang w:val="es-CR" w:eastAsia="es-CR"/>
    </w:rPr>
  </w:style>
  <w:style w:type="paragraph" w:customStyle="1" w:styleId="Normalprueba">
    <w:name w:val="Normal.prueba"/>
    <w:uiPriority w:val="99"/>
    <w:rsid w:val="004F771E"/>
    <w:pPr>
      <w:widowControl w:val="0"/>
      <w:autoSpaceDE w:val="0"/>
      <w:autoSpaceDN w:val="0"/>
      <w:adjustRightInd w:val="0"/>
      <w:spacing w:after="0" w:line="240" w:lineRule="auto"/>
    </w:pPr>
    <w:rPr>
      <w:rFonts w:ascii="Arial" w:eastAsia="Times New Roman" w:hAnsi="Arial" w:cs="Arial"/>
      <w:color w:val="000000"/>
      <w:sz w:val="24"/>
      <w:szCs w:val="24"/>
      <w:u w:color="000000"/>
      <w:shd w:val="clear" w:color="auto" w:fill="FFFFFF"/>
      <w:lang w:eastAsia="es-ES"/>
    </w:rPr>
  </w:style>
  <w:style w:type="character" w:styleId="Hipervnculovisitado">
    <w:name w:val="FollowedHyperlink"/>
    <w:basedOn w:val="Fuentedeprrafopredeter"/>
    <w:uiPriority w:val="99"/>
    <w:semiHidden/>
    <w:unhideWhenUsed/>
    <w:rsid w:val="00376246"/>
    <w:rPr>
      <w:color w:val="954F72" w:themeColor="followedHyperlink"/>
      <w:u w:val="single"/>
    </w:rPr>
  </w:style>
  <w:style w:type="character" w:customStyle="1" w:styleId="html">
    <w:name w:val="html"/>
    <w:basedOn w:val="Fuentedeprrafopredeter"/>
    <w:rsid w:val="00F17AEE"/>
  </w:style>
  <w:style w:type="character" w:styleId="Mencinsinresolver">
    <w:name w:val="Unresolved Mention"/>
    <w:basedOn w:val="Fuentedeprrafopredeter"/>
    <w:uiPriority w:val="99"/>
    <w:semiHidden/>
    <w:unhideWhenUsed/>
    <w:rsid w:val="001D75FC"/>
    <w:rPr>
      <w:color w:val="605E5C"/>
      <w:shd w:val="clear" w:color="auto" w:fill="E1DFDD"/>
    </w:rPr>
  </w:style>
  <w:style w:type="paragraph" w:customStyle="1" w:styleId="FIGURA">
    <w:name w:val="FIGURA"/>
    <w:basedOn w:val="Normal"/>
    <w:link w:val="FIGURACar"/>
    <w:autoRedefine/>
    <w:qFormat/>
    <w:rsid w:val="00315A58"/>
    <w:pPr>
      <w:spacing w:line="276" w:lineRule="auto"/>
      <w:jc w:val="left"/>
    </w:pPr>
    <w:rPr>
      <w:rFonts w:cs="Calibri,Bold"/>
      <w:b/>
      <w:bCs/>
      <w:lang w:val="es-CR" w:eastAsia="es-CR"/>
    </w:rPr>
  </w:style>
  <w:style w:type="paragraph" w:customStyle="1" w:styleId="FuenteoNotas">
    <w:name w:val="Fuente o Notas"/>
    <w:basedOn w:val="Normal"/>
    <w:link w:val="FuenteoNotasCar"/>
    <w:qFormat/>
    <w:rsid w:val="004F5709"/>
    <w:rPr>
      <w:rFonts w:cs="Calibri,Bold"/>
      <w:b/>
      <w:bCs/>
      <w:sz w:val="18"/>
      <w:szCs w:val="20"/>
      <w:lang w:val="es-CR" w:eastAsia="es-CR"/>
    </w:rPr>
  </w:style>
  <w:style w:type="character" w:customStyle="1" w:styleId="FIGURACar">
    <w:name w:val="FIGURA Car"/>
    <w:basedOn w:val="Fuentedeprrafopredeter"/>
    <w:link w:val="FIGURA"/>
    <w:rsid w:val="00315A58"/>
    <w:rPr>
      <w:rFonts w:ascii="Arial Narrow" w:eastAsia="Times New Roman" w:hAnsi="Arial Narrow" w:cs="Calibri,Bold"/>
      <w:b/>
      <w:bCs/>
      <w:sz w:val="24"/>
      <w:szCs w:val="24"/>
      <w:lang w:val="es-CR" w:eastAsia="es-CR"/>
    </w:rPr>
  </w:style>
  <w:style w:type="character" w:customStyle="1" w:styleId="FuenteoNotasCar">
    <w:name w:val="Fuente o Notas Car"/>
    <w:basedOn w:val="Fuentedeprrafopredeter"/>
    <w:link w:val="FuenteoNotas"/>
    <w:rsid w:val="004F5709"/>
    <w:rPr>
      <w:rFonts w:ascii="Arial Narrow" w:eastAsia="Times New Roman" w:hAnsi="Arial Narrow" w:cs="Calibri,Bold"/>
      <w:b/>
      <w:bCs/>
      <w:sz w:val="18"/>
      <w:szCs w:val="20"/>
      <w:lang w:val="es-CR" w:eastAsia="es-CR"/>
    </w:rPr>
  </w:style>
  <w:style w:type="paragraph" w:customStyle="1" w:styleId="Tabla1">
    <w:name w:val="Tabla 1"/>
    <w:basedOn w:val="NormalWeb"/>
    <w:link w:val="Tabla1Car"/>
    <w:autoRedefine/>
    <w:qFormat/>
    <w:rsid w:val="00A15A5A"/>
    <w:pPr>
      <w:spacing w:before="0" w:beforeAutospacing="0" w:after="0" w:afterAutospacing="0" w:line="240" w:lineRule="auto"/>
      <w:ind w:left="1560" w:right="1666"/>
      <w:jc w:val="center"/>
    </w:pPr>
    <w:rPr>
      <w:rFonts w:cs="Book Antiqua"/>
      <w:b/>
      <w:lang w:val="es-CR"/>
    </w:rPr>
  </w:style>
  <w:style w:type="character" w:customStyle="1" w:styleId="NormalWebCar">
    <w:name w:val="Normal (Web) Car"/>
    <w:basedOn w:val="Fuentedeprrafopredeter"/>
    <w:link w:val="NormalWeb"/>
    <w:uiPriority w:val="99"/>
    <w:rsid w:val="00DB2A3A"/>
    <w:rPr>
      <w:rFonts w:ascii="Book Antiqua" w:eastAsia="Times New Roman" w:hAnsi="Book Antiqua" w:cs="Times New Roman"/>
      <w:sz w:val="24"/>
      <w:szCs w:val="24"/>
      <w:lang w:eastAsia="es-ES"/>
    </w:rPr>
  </w:style>
  <w:style w:type="character" w:customStyle="1" w:styleId="Tabla1Car">
    <w:name w:val="Tabla 1 Car"/>
    <w:basedOn w:val="NormalWebCar"/>
    <w:link w:val="Tabla1"/>
    <w:rsid w:val="00A15A5A"/>
    <w:rPr>
      <w:rFonts w:ascii="Arial Narrow" w:eastAsia="Times New Roman" w:hAnsi="Arial Narrow" w:cs="Book Antiqua"/>
      <w:b/>
      <w:sz w:val="24"/>
      <w:szCs w:val="24"/>
      <w:lang w:val="es-CR" w:eastAsia="es-ES"/>
    </w:rPr>
  </w:style>
  <w:style w:type="paragraph" w:styleId="Encabezado">
    <w:name w:val="header"/>
    <w:basedOn w:val="Normal"/>
    <w:link w:val="EncabezadoCar"/>
    <w:uiPriority w:val="99"/>
    <w:unhideWhenUsed/>
    <w:rsid w:val="004703B2"/>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4703B2"/>
    <w:rPr>
      <w:rFonts w:ascii="Arial Narrow" w:eastAsia="Times New Roman" w:hAnsi="Arial Narrow" w:cs="Times New Roman"/>
      <w:sz w:val="24"/>
      <w:szCs w:val="24"/>
      <w:lang w:eastAsia="es-ES"/>
    </w:rPr>
  </w:style>
  <w:style w:type="paragraph" w:styleId="Piedepgina">
    <w:name w:val="footer"/>
    <w:basedOn w:val="Normal"/>
    <w:link w:val="PiedepginaCar"/>
    <w:uiPriority w:val="99"/>
    <w:unhideWhenUsed/>
    <w:rsid w:val="004703B2"/>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4703B2"/>
    <w:rPr>
      <w:rFonts w:ascii="Arial Narrow" w:eastAsia="Times New Roman" w:hAnsi="Arial Narrow" w:cs="Times New Roman"/>
      <w:sz w:val="24"/>
      <w:szCs w:val="24"/>
      <w:lang w:eastAsia="es-ES"/>
    </w:rPr>
  </w:style>
  <w:style w:type="table" w:styleId="Tablaconcuadrcula">
    <w:name w:val="Table Grid"/>
    <w:basedOn w:val="Tablanormal"/>
    <w:uiPriority w:val="39"/>
    <w:rsid w:val="0098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01EB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EBB"/>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1D0AC8"/>
    <w:rPr>
      <w:sz w:val="16"/>
      <w:szCs w:val="16"/>
    </w:rPr>
  </w:style>
  <w:style w:type="paragraph" w:styleId="Textocomentario">
    <w:name w:val="annotation text"/>
    <w:basedOn w:val="Normal"/>
    <w:link w:val="TextocomentarioCar"/>
    <w:uiPriority w:val="99"/>
    <w:semiHidden/>
    <w:unhideWhenUsed/>
    <w:rsid w:val="001D0A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0AC8"/>
    <w:rPr>
      <w:rFonts w:ascii="Arial Narrow" w:eastAsia="Times New Roman" w:hAnsi="Arial Narro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D0AC8"/>
    <w:rPr>
      <w:b/>
      <w:bCs/>
    </w:rPr>
  </w:style>
  <w:style w:type="character" w:customStyle="1" w:styleId="AsuntodelcomentarioCar">
    <w:name w:val="Asunto del comentario Car"/>
    <w:basedOn w:val="TextocomentarioCar"/>
    <w:link w:val="Asuntodelcomentario"/>
    <w:uiPriority w:val="99"/>
    <w:semiHidden/>
    <w:rsid w:val="001D0AC8"/>
    <w:rPr>
      <w:rFonts w:ascii="Arial Narrow" w:eastAsia="Times New Roman" w:hAnsi="Arial Narrow" w:cs="Times New Roman"/>
      <w:b/>
      <w:bCs/>
      <w:sz w:val="20"/>
      <w:szCs w:val="20"/>
      <w:lang w:eastAsia="es-ES"/>
    </w:rPr>
  </w:style>
  <w:style w:type="paragraph" w:styleId="Textoindependiente2">
    <w:name w:val="Body Text 2"/>
    <w:basedOn w:val="Normal"/>
    <w:link w:val="Textoindependiente2Car"/>
    <w:uiPriority w:val="99"/>
    <w:semiHidden/>
    <w:unhideWhenUsed/>
    <w:rsid w:val="005E2F7E"/>
    <w:pPr>
      <w:spacing w:after="120" w:line="480" w:lineRule="auto"/>
    </w:pPr>
  </w:style>
  <w:style w:type="character" w:customStyle="1" w:styleId="Textoindependiente2Car">
    <w:name w:val="Texto independiente 2 Car"/>
    <w:basedOn w:val="Fuentedeprrafopredeter"/>
    <w:link w:val="Textoindependiente2"/>
    <w:uiPriority w:val="99"/>
    <w:semiHidden/>
    <w:rsid w:val="005E2F7E"/>
    <w:rPr>
      <w:rFonts w:ascii="Arial Narrow" w:eastAsia="Times New Roman" w:hAnsi="Arial Narrow" w:cs="Times New Roman"/>
      <w:sz w:val="24"/>
      <w:szCs w:val="24"/>
      <w:lang w:eastAsia="es-ES"/>
    </w:rPr>
  </w:style>
  <w:style w:type="paragraph" w:styleId="Revisin">
    <w:name w:val="Revision"/>
    <w:hidden/>
    <w:uiPriority w:val="99"/>
    <w:semiHidden/>
    <w:rsid w:val="00882F59"/>
    <w:pPr>
      <w:spacing w:after="0" w:line="240" w:lineRule="auto"/>
    </w:pPr>
    <w:rPr>
      <w:rFonts w:ascii="Arial Narrow" w:eastAsia="Times New Roman" w:hAnsi="Arial Narrow" w:cs="Times New Roman"/>
      <w:sz w:val="24"/>
      <w:szCs w:val="24"/>
      <w:lang w:eastAsia="es-ES"/>
    </w:rPr>
  </w:style>
  <w:style w:type="paragraph" w:customStyle="1" w:styleId="AENCABEZADO">
    <w:name w:val="A ENCABEZADO"/>
    <w:basedOn w:val="Normal"/>
    <w:link w:val="AENCABEZADOCar"/>
    <w:qFormat/>
    <w:rsid w:val="00E5339C"/>
    <w:pPr>
      <w:suppressAutoHyphens/>
      <w:spacing w:before="120" w:after="120" w:line="480" w:lineRule="auto"/>
      <w:ind w:firstLine="709"/>
    </w:pPr>
    <w:rPr>
      <w:rFonts w:ascii="Times New Roman" w:hAnsi="Times New Roman"/>
      <w:color w:val="000099"/>
      <w:sz w:val="28"/>
      <w:szCs w:val="28"/>
      <w:lang w:val="es-CR" w:eastAsia="ar-SA"/>
    </w:rPr>
  </w:style>
  <w:style w:type="character" w:customStyle="1" w:styleId="AENCABEZADOCar">
    <w:name w:val="A ENCABEZADO Car"/>
    <w:link w:val="AENCABEZADO"/>
    <w:rsid w:val="00E5339C"/>
    <w:rPr>
      <w:rFonts w:ascii="Times New Roman" w:eastAsia="Times New Roman" w:hAnsi="Times New Roman" w:cs="Times New Roman"/>
      <w:color w:val="000099"/>
      <w:sz w:val="28"/>
      <w:szCs w:val="28"/>
      <w:lang w:val="es-CR" w:eastAsia="ar-SA"/>
    </w:rPr>
  </w:style>
  <w:style w:type="paragraph" w:customStyle="1" w:styleId="AAgestin">
    <w:name w:val="A A gestión"/>
    <w:basedOn w:val="Normal"/>
    <w:link w:val="AAgestinCar"/>
    <w:qFormat/>
    <w:rsid w:val="00E5339C"/>
    <w:pPr>
      <w:suppressAutoHyphens/>
      <w:spacing w:before="120" w:after="120" w:line="240" w:lineRule="auto"/>
      <w:ind w:left="851" w:right="851" w:firstLine="709"/>
    </w:pPr>
    <w:rPr>
      <w:rFonts w:ascii="Times New Roman" w:hAnsi="Times New Roman"/>
      <w:color w:val="000099"/>
      <w:sz w:val="26"/>
      <w:szCs w:val="26"/>
      <w:lang w:val="es-ES_tradnl" w:eastAsia="ar-SA"/>
    </w:rPr>
  </w:style>
  <w:style w:type="character" w:customStyle="1" w:styleId="AAgestinCar">
    <w:name w:val="A A gestión Car"/>
    <w:link w:val="AAgestin"/>
    <w:rsid w:val="00E5339C"/>
    <w:rPr>
      <w:rFonts w:ascii="Times New Roman" w:eastAsia="Times New Roman" w:hAnsi="Times New Roman" w:cs="Times New Roman"/>
      <w:color w:val="000099"/>
      <w:sz w:val="26"/>
      <w:szCs w:val="26"/>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842">
      <w:bodyDiv w:val="1"/>
      <w:marLeft w:val="0"/>
      <w:marRight w:val="0"/>
      <w:marTop w:val="0"/>
      <w:marBottom w:val="0"/>
      <w:divBdr>
        <w:top w:val="none" w:sz="0" w:space="0" w:color="auto"/>
        <w:left w:val="none" w:sz="0" w:space="0" w:color="auto"/>
        <w:bottom w:val="none" w:sz="0" w:space="0" w:color="auto"/>
        <w:right w:val="none" w:sz="0" w:space="0" w:color="auto"/>
      </w:divBdr>
    </w:div>
    <w:div w:id="42675399">
      <w:bodyDiv w:val="1"/>
      <w:marLeft w:val="0"/>
      <w:marRight w:val="0"/>
      <w:marTop w:val="0"/>
      <w:marBottom w:val="0"/>
      <w:divBdr>
        <w:top w:val="none" w:sz="0" w:space="0" w:color="auto"/>
        <w:left w:val="none" w:sz="0" w:space="0" w:color="auto"/>
        <w:bottom w:val="none" w:sz="0" w:space="0" w:color="auto"/>
        <w:right w:val="none" w:sz="0" w:space="0" w:color="auto"/>
      </w:divBdr>
    </w:div>
    <w:div w:id="107436818">
      <w:bodyDiv w:val="1"/>
      <w:marLeft w:val="0"/>
      <w:marRight w:val="0"/>
      <w:marTop w:val="0"/>
      <w:marBottom w:val="0"/>
      <w:divBdr>
        <w:top w:val="none" w:sz="0" w:space="0" w:color="auto"/>
        <w:left w:val="none" w:sz="0" w:space="0" w:color="auto"/>
        <w:bottom w:val="none" w:sz="0" w:space="0" w:color="auto"/>
        <w:right w:val="none" w:sz="0" w:space="0" w:color="auto"/>
      </w:divBdr>
    </w:div>
    <w:div w:id="120807643">
      <w:bodyDiv w:val="1"/>
      <w:marLeft w:val="0"/>
      <w:marRight w:val="0"/>
      <w:marTop w:val="0"/>
      <w:marBottom w:val="0"/>
      <w:divBdr>
        <w:top w:val="none" w:sz="0" w:space="0" w:color="auto"/>
        <w:left w:val="none" w:sz="0" w:space="0" w:color="auto"/>
        <w:bottom w:val="none" w:sz="0" w:space="0" w:color="auto"/>
        <w:right w:val="none" w:sz="0" w:space="0" w:color="auto"/>
      </w:divBdr>
    </w:div>
    <w:div w:id="132602674">
      <w:bodyDiv w:val="1"/>
      <w:marLeft w:val="0"/>
      <w:marRight w:val="0"/>
      <w:marTop w:val="0"/>
      <w:marBottom w:val="0"/>
      <w:divBdr>
        <w:top w:val="none" w:sz="0" w:space="0" w:color="auto"/>
        <w:left w:val="none" w:sz="0" w:space="0" w:color="auto"/>
        <w:bottom w:val="none" w:sz="0" w:space="0" w:color="auto"/>
        <w:right w:val="none" w:sz="0" w:space="0" w:color="auto"/>
      </w:divBdr>
      <w:divsChild>
        <w:div w:id="1569152000">
          <w:marLeft w:val="0"/>
          <w:marRight w:val="0"/>
          <w:marTop w:val="0"/>
          <w:marBottom w:val="0"/>
          <w:divBdr>
            <w:top w:val="none" w:sz="0" w:space="0" w:color="auto"/>
            <w:left w:val="none" w:sz="0" w:space="0" w:color="auto"/>
            <w:bottom w:val="none" w:sz="0" w:space="0" w:color="auto"/>
            <w:right w:val="none" w:sz="0" w:space="0" w:color="auto"/>
          </w:divBdr>
        </w:div>
      </w:divsChild>
    </w:div>
    <w:div w:id="160590386">
      <w:bodyDiv w:val="1"/>
      <w:marLeft w:val="0"/>
      <w:marRight w:val="0"/>
      <w:marTop w:val="0"/>
      <w:marBottom w:val="0"/>
      <w:divBdr>
        <w:top w:val="none" w:sz="0" w:space="0" w:color="auto"/>
        <w:left w:val="none" w:sz="0" w:space="0" w:color="auto"/>
        <w:bottom w:val="none" w:sz="0" w:space="0" w:color="auto"/>
        <w:right w:val="none" w:sz="0" w:space="0" w:color="auto"/>
      </w:divBdr>
    </w:div>
    <w:div w:id="225651300">
      <w:bodyDiv w:val="1"/>
      <w:marLeft w:val="0"/>
      <w:marRight w:val="0"/>
      <w:marTop w:val="0"/>
      <w:marBottom w:val="0"/>
      <w:divBdr>
        <w:top w:val="none" w:sz="0" w:space="0" w:color="auto"/>
        <w:left w:val="none" w:sz="0" w:space="0" w:color="auto"/>
        <w:bottom w:val="none" w:sz="0" w:space="0" w:color="auto"/>
        <w:right w:val="none" w:sz="0" w:space="0" w:color="auto"/>
      </w:divBdr>
    </w:div>
    <w:div w:id="293367180">
      <w:bodyDiv w:val="1"/>
      <w:marLeft w:val="0"/>
      <w:marRight w:val="0"/>
      <w:marTop w:val="0"/>
      <w:marBottom w:val="0"/>
      <w:divBdr>
        <w:top w:val="none" w:sz="0" w:space="0" w:color="auto"/>
        <w:left w:val="none" w:sz="0" w:space="0" w:color="auto"/>
        <w:bottom w:val="none" w:sz="0" w:space="0" w:color="auto"/>
        <w:right w:val="none" w:sz="0" w:space="0" w:color="auto"/>
      </w:divBdr>
    </w:div>
    <w:div w:id="323819170">
      <w:bodyDiv w:val="1"/>
      <w:marLeft w:val="0"/>
      <w:marRight w:val="0"/>
      <w:marTop w:val="0"/>
      <w:marBottom w:val="0"/>
      <w:divBdr>
        <w:top w:val="none" w:sz="0" w:space="0" w:color="auto"/>
        <w:left w:val="none" w:sz="0" w:space="0" w:color="auto"/>
        <w:bottom w:val="none" w:sz="0" w:space="0" w:color="auto"/>
        <w:right w:val="none" w:sz="0" w:space="0" w:color="auto"/>
      </w:divBdr>
    </w:div>
    <w:div w:id="465779527">
      <w:bodyDiv w:val="1"/>
      <w:marLeft w:val="0"/>
      <w:marRight w:val="0"/>
      <w:marTop w:val="0"/>
      <w:marBottom w:val="0"/>
      <w:divBdr>
        <w:top w:val="none" w:sz="0" w:space="0" w:color="auto"/>
        <w:left w:val="none" w:sz="0" w:space="0" w:color="auto"/>
        <w:bottom w:val="none" w:sz="0" w:space="0" w:color="auto"/>
        <w:right w:val="none" w:sz="0" w:space="0" w:color="auto"/>
      </w:divBdr>
    </w:div>
    <w:div w:id="522285076">
      <w:bodyDiv w:val="1"/>
      <w:marLeft w:val="0"/>
      <w:marRight w:val="0"/>
      <w:marTop w:val="0"/>
      <w:marBottom w:val="0"/>
      <w:divBdr>
        <w:top w:val="none" w:sz="0" w:space="0" w:color="auto"/>
        <w:left w:val="none" w:sz="0" w:space="0" w:color="auto"/>
        <w:bottom w:val="none" w:sz="0" w:space="0" w:color="auto"/>
        <w:right w:val="none" w:sz="0" w:space="0" w:color="auto"/>
      </w:divBdr>
    </w:div>
    <w:div w:id="590747789">
      <w:bodyDiv w:val="1"/>
      <w:marLeft w:val="0"/>
      <w:marRight w:val="0"/>
      <w:marTop w:val="0"/>
      <w:marBottom w:val="0"/>
      <w:divBdr>
        <w:top w:val="none" w:sz="0" w:space="0" w:color="auto"/>
        <w:left w:val="none" w:sz="0" w:space="0" w:color="auto"/>
        <w:bottom w:val="none" w:sz="0" w:space="0" w:color="auto"/>
        <w:right w:val="none" w:sz="0" w:space="0" w:color="auto"/>
      </w:divBdr>
    </w:div>
    <w:div w:id="600142914">
      <w:bodyDiv w:val="1"/>
      <w:marLeft w:val="0"/>
      <w:marRight w:val="0"/>
      <w:marTop w:val="0"/>
      <w:marBottom w:val="0"/>
      <w:divBdr>
        <w:top w:val="none" w:sz="0" w:space="0" w:color="auto"/>
        <w:left w:val="none" w:sz="0" w:space="0" w:color="auto"/>
        <w:bottom w:val="none" w:sz="0" w:space="0" w:color="auto"/>
        <w:right w:val="none" w:sz="0" w:space="0" w:color="auto"/>
      </w:divBdr>
    </w:div>
    <w:div w:id="620264143">
      <w:bodyDiv w:val="1"/>
      <w:marLeft w:val="0"/>
      <w:marRight w:val="0"/>
      <w:marTop w:val="0"/>
      <w:marBottom w:val="0"/>
      <w:divBdr>
        <w:top w:val="none" w:sz="0" w:space="0" w:color="auto"/>
        <w:left w:val="none" w:sz="0" w:space="0" w:color="auto"/>
        <w:bottom w:val="none" w:sz="0" w:space="0" w:color="auto"/>
        <w:right w:val="none" w:sz="0" w:space="0" w:color="auto"/>
      </w:divBdr>
    </w:div>
    <w:div w:id="687220900">
      <w:bodyDiv w:val="1"/>
      <w:marLeft w:val="0"/>
      <w:marRight w:val="0"/>
      <w:marTop w:val="0"/>
      <w:marBottom w:val="0"/>
      <w:divBdr>
        <w:top w:val="none" w:sz="0" w:space="0" w:color="auto"/>
        <w:left w:val="none" w:sz="0" w:space="0" w:color="auto"/>
        <w:bottom w:val="none" w:sz="0" w:space="0" w:color="auto"/>
        <w:right w:val="none" w:sz="0" w:space="0" w:color="auto"/>
      </w:divBdr>
    </w:div>
    <w:div w:id="726956951">
      <w:bodyDiv w:val="1"/>
      <w:marLeft w:val="0"/>
      <w:marRight w:val="0"/>
      <w:marTop w:val="0"/>
      <w:marBottom w:val="0"/>
      <w:divBdr>
        <w:top w:val="none" w:sz="0" w:space="0" w:color="auto"/>
        <w:left w:val="none" w:sz="0" w:space="0" w:color="auto"/>
        <w:bottom w:val="none" w:sz="0" w:space="0" w:color="auto"/>
        <w:right w:val="none" w:sz="0" w:space="0" w:color="auto"/>
      </w:divBdr>
      <w:divsChild>
        <w:div w:id="879896687">
          <w:marLeft w:val="0"/>
          <w:marRight w:val="0"/>
          <w:marTop w:val="0"/>
          <w:marBottom w:val="0"/>
          <w:divBdr>
            <w:top w:val="none" w:sz="0" w:space="0" w:color="auto"/>
            <w:left w:val="none" w:sz="0" w:space="0" w:color="auto"/>
            <w:bottom w:val="none" w:sz="0" w:space="0" w:color="auto"/>
            <w:right w:val="none" w:sz="0" w:space="0" w:color="auto"/>
          </w:divBdr>
          <w:divsChild>
            <w:div w:id="1958488785">
              <w:marLeft w:val="0"/>
              <w:marRight w:val="0"/>
              <w:marTop w:val="0"/>
              <w:marBottom w:val="0"/>
              <w:divBdr>
                <w:top w:val="none" w:sz="0" w:space="0" w:color="auto"/>
                <w:left w:val="none" w:sz="0" w:space="0" w:color="auto"/>
                <w:bottom w:val="none" w:sz="0" w:space="0" w:color="auto"/>
                <w:right w:val="none" w:sz="0" w:space="0" w:color="auto"/>
              </w:divBdr>
              <w:divsChild>
                <w:div w:id="1995063640">
                  <w:marLeft w:val="0"/>
                  <w:marRight w:val="0"/>
                  <w:marTop w:val="0"/>
                  <w:marBottom w:val="0"/>
                  <w:divBdr>
                    <w:top w:val="none" w:sz="0" w:space="0" w:color="auto"/>
                    <w:left w:val="none" w:sz="0" w:space="0" w:color="auto"/>
                    <w:bottom w:val="none" w:sz="0" w:space="0" w:color="auto"/>
                    <w:right w:val="none" w:sz="0" w:space="0" w:color="auto"/>
                  </w:divBdr>
                  <w:divsChild>
                    <w:div w:id="2129202637">
                      <w:marLeft w:val="0"/>
                      <w:marRight w:val="0"/>
                      <w:marTop w:val="630"/>
                      <w:marBottom w:val="0"/>
                      <w:divBdr>
                        <w:top w:val="none" w:sz="0" w:space="0" w:color="auto"/>
                        <w:left w:val="none" w:sz="0" w:space="0" w:color="auto"/>
                        <w:bottom w:val="none" w:sz="0" w:space="0" w:color="auto"/>
                        <w:right w:val="none" w:sz="0" w:space="0" w:color="auto"/>
                      </w:divBdr>
                      <w:divsChild>
                        <w:div w:id="1303120379">
                          <w:marLeft w:val="0"/>
                          <w:marRight w:val="0"/>
                          <w:marTop w:val="0"/>
                          <w:marBottom w:val="0"/>
                          <w:divBdr>
                            <w:top w:val="none" w:sz="0" w:space="0" w:color="auto"/>
                            <w:left w:val="none" w:sz="0" w:space="0" w:color="auto"/>
                            <w:bottom w:val="none" w:sz="0" w:space="0" w:color="auto"/>
                            <w:right w:val="none" w:sz="0" w:space="0" w:color="auto"/>
                          </w:divBdr>
                          <w:divsChild>
                            <w:div w:id="692729622">
                              <w:marLeft w:val="0"/>
                              <w:marRight w:val="0"/>
                              <w:marTop w:val="0"/>
                              <w:marBottom w:val="0"/>
                              <w:divBdr>
                                <w:top w:val="none" w:sz="0" w:space="0" w:color="auto"/>
                                <w:left w:val="none" w:sz="0" w:space="0" w:color="auto"/>
                                <w:bottom w:val="none" w:sz="0" w:space="0" w:color="auto"/>
                                <w:right w:val="none" w:sz="0" w:space="0" w:color="auto"/>
                              </w:divBdr>
                              <w:divsChild>
                                <w:div w:id="2102993987">
                                  <w:marLeft w:val="0"/>
                                  <w:marRight w:val="0"/>
                                  <w:marTop w:val="0"/>
                                  <w:marBottom w:val="0"/>
                                  <w:divBdr>
                                    <w:top w:val="none" w:sz="0" w:space="0" w:color="auto"/>
                                    <w:left w:val="none" w:sz="0" w:space="0" w:color="auto"/>
                                    <w:bottom w:val="none" w:sz="0" w:space="0" w:color="auto"/>
                                    <w:right w:val="none" w:sz="0" w:space="0" w:color="auto"/>
                                  </w:divBdr>
                                  <w:divsChild>
                                    <w:div w:id="494029325">
                                      <w:marLeft w:val="0"/>
                                      <w:marRight w:val="0"/>
                                      <w:marTop w:val="0"/>
                                      <w:marBottom w:val="0"/>
                                      <w:divBdr>
                                        <w:top w:val="none" w:sz="0" w:space="0" w:color="auto"/>
                                        <w:left w:val="none" w:sz="0" w:space="0" w:color="auto"/>
                                        <w:bottom w:val="none" w:sz="0" w:space="0" w:color="auto"/>
                                        <w:right w:val="none" w:sz="0" w:space="0" w:color="auto"/>
                                      </w:divBdr>
                                      <w:divsChild>
                                        <w:div w:id="383413933">
                                          <w:marLeft w:val="-225"/>
                                          <w:marRight w:val="-225"/>
                                          <w:marTop w:val="0"/>
                                          <w:marBottom w:val="0"/>
                                          <w:divBdr>
                                            <w:top w:val="none" w:sz="0" w:space="0" w:color="auto"/>
                                            <w:left w:val="none" w:sz="0" w:space="0" w:color="auto"/>
                                            <w:bottom w:val="none" w:sz="0" w:space="0" w:color="auto"/>
                                            <w:right w:val="none" w:sz="0" w:space="0" w:color="auto"/>
                                          </w:divBdr>
                                          <w:divsChild>
                                            <w:div w:id="14569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441022">
      <w:bodyDiv w:val="1"/>
      <w:marLeft w:val="0"/>
      <w:marRight w:val="0"/>
      <w:marTop w:val="0"/>
      <w:marBottom w:val="0"/>
      <w:divBdr>
        <w:top w:val="none" w:sz="0" w:space="0" w:color="auto"/>
        <w:left w:val="none" w:sz="0" w:space="0" w:color="auto"/>
        <w:bottom w:val="none" w:sz="0" w:space="0" w:color="auto"/>
        <w:right w:val="none" w:sz="0" w:space="0" w:color="auto"/>
      </w:divBdr>
    </w:div>
    <w:div w:id="837496552">
      <w:bodyDiv w:val="1"/>
      <w:marLeft w:val="0"/>
      <w:marRight w:val="0"/>
      <w:marTop w:val="0"/>
      <w:marBottom w:val="0"/>
      <w:divBdr>
        <w:top w:val="none" w:sz="0" w:space="0" w:color="auto"/>
        <w:left w:val="none" w:sz="0" w:space="0" w:color="auto"/>
        <w:bottom w:val="none" w:sz="0" w:space="0" w:color="auto"/>
        <w:right w:val="none" w:sz="0" w:space="0" w:color="auto"/>
      </w:divBdr>
    </w:div>
    <w:div w:id="861671114">
      <w:bodyDiv w:val="1"/>
      <w:marLeft w:val="0"/>
      <w:marRight w:val="0"/>
      <w:marTop w:val="0"/>
      <w:marBottom w:val="0"/>
      <w:divBdr>
        <w:top w:val="none" w:sz="0" w:space="0" w:color="auto"/>
        <w:left w:val="none" w:sz="0" w:space="0" w:color="auto"/>
        <w:bottom w:val="none" w:sz="0" w:space="0" w:color="auto"/>
        <w:right w:val="none" w:sz="0" w:space="0" w:color="auto"/>
      </w:divBdr>
    </w:div>
    <w:div w:id="1044599955">
      <w:bodyDiv w:val="1"/>
      <w:marLeft w:val="0"/>
      <w:marRight w:val="0"/>
      <w:marTop w:val="0"/>
      <w:marBottom w:val="0"/>
      <w:divBdr>
        <w:top w:val="none" w:sz="0" w:space="0" w:color="auto"/>
        <w:left w:val="none" w:sz="0" w:space="0" w:color="auto"/>
        <w:bottom w:val="none" w:sz="0" w:space="0" w:color="auto"/>
        <w:right w:val="none" w:sz="0" w:space="0" w:color="auto"/>
      </w:divBdr>
    </w:div>
    <w:div w:id="1102645328">
      <w:bodyDiv w:val="1"/>
      <w:marLeft w:val="0"/>
      <w:marRight w:val="0"/>
      <w:marTop w:val="0"/>
      <w:marBottom w:val="0"/>
      <w:divBdr>
        <w:top w:val="none" w:sz="0" w:space="0" w:color="auto"/>
        <w:left w:val="none" w:sz="0" w:space="0" w:color="auto"/>
        <w:bottom w:val="none" w:sz="0" w:space="0" w:color="auto"/>
        <w:right w:val="none" w:sz="0" w:space="0" w:color="auto"/>
      </w:divBdr>
    </w:div>
    <w:div w:id="1109013632">
      <w:bodyDiv w:val="1"/>
      <w:marLeft w:val="0"/>
      <w:marRight w:val="0"/>
      <w:marTop w:val="0"/>
      <w:marBottom w:val="0"/>
      <w:divBdr>
        <w:top w:val="none" w:sz="0" w:space="0" w:color="auto"/>
        <w:left w:val="none" w:sz="0" w:space="0" w:color="auto"/>
        <w:bottom w:val="none" w:sz="0" w:space="0" w:color="auto"/>
        <w:right w:val="none" w:sz="0" w:space="0" w:color="auto"/>
      </w:divBdr>
    </w:div>
    <w:div w:id="1246912714">
      <w:bodyDiv w:val="1"/>
      <w:marLeft w:val="0"/>
      <w:marRight w:val="0"/>
      <w:marTop w:val="0"/>
      <w:marBottom w:val="0"/>
      <w:divBdr>
        <w:top w:val="none" w:sz="0" w:space="0" w:color="auto"/>
        <w:left w:val="none" w:sz="0" w:space="0" w:color="auto"/>
        <w:bottom w:val="none" w:sz="0" w:space="0" w:color="auto"/>
        <w:right w:val="none" w:sz="0" w:space="0" w:color="auto"/>
      </w:divBdr>
      <w:divsChild>
        <w:div w:id="1646662482">
          <w:marLeft w:val="0"/>
          <w:marRight w:val="0"/>
          <w:marTop w:val="0"/>
          <w:marBottom w:val="0"/>
          <w:divBdr>
            <w:top w:val="none" w:sz="0" w:space="0" w:color="auto"/>
            <w:left w:val="none" w:sz="0" w:space="0" w:color="auto"/>
            <w:bottom w:val="none" w:sz="0" w:space="0" w:color="auto"/>
            <w:right w:val="none" w:sz="0" w:space="0" w:color="auto"/>
          </w:divBdr>
        </w:div>
      </w:divsChild>
    </w:div>
    <w:div w:id="1268777924">
      <w:bodyDiv w:val="1"/>
      <w:marLeft w:val="0"/>
      <w:marRight w:val="0"/>
      <w:marTop w:val="0"/>
      <w:marBottom w:val="0"/>
      <w:divBdr>
        <w:top w:val="none" w:sz="0" w:space="0" w:color="auto"/>
        <w:left w:val="none" w:sz="0" w:space="0" w:color="auto"/>
        <w:bottom w:val="none" w:sz="0" w:space="0" w:color="auto"/>
        <w:right w:val="none" w:sz="0" w:space="0" w:color="auto"/>
      </w:divBdr>
    </w:div>
    <w:div w:id="1272786717">
      <w:bodyDiv w:val="1"/>
      <w:marLeft w:val="0"/>
      <w:marRight w:val="0"/>
      <w:marTop w:val="0"/>
      <w:marBottom w:val="0"/>
      <w:divBdr>
        <w:top w:val="none" w:sz="0" w:space="0" w:color="auto"/>
        <w:left w:val="none" w:sz="0" w:space="0" w:color="auto"/>
        <w:bottom w:val="none" w:sz="0" w:space="0" w:color="auto"/>
        <w:right w:val="none" w:sz="0" w:space="0" w:color="auto"/>
      </w:divBdr>
    </w:div>
    <w:div w:id="1311904725">
      <w:bodyDiv w:val="1"/>
      <w:marLeft w:val="0"/>
      <w:marRight w:val="0"/>
      <w:marTop w:val="0"/>
      <w:marBottom w:val="0"/>
      <w:divBdr>
        <w:top w:val="none" w:sz="0" w:space="0" w:color="auto"/>
        <w:left w:val="none" w:sz="0" w:space="0" w:color="auto"/>
        <w:bottom w:val="none" w:sz="0" w:space="0" w:color="auto"/>
        <w:right w:val="none" w:sz="0" w:space="0" w:color="auto"/>
      </w:divBdr>
    </w:div>
    <w:div w:id="1355424266">
      <w:bodyDiv w:val="1"/>
      <w:marLeft w:val="0"/>
      <w:marRight w:val="0"/>
      <w:marTop w:val="0"/>
      <w:marBottom w:val="0"/>
      <w:divBdr>
        <w:top w:val="none" w:sz="0" w:space="0" w:color="auto"/>
        <w:left w:val="none" w:sz="0" w:space="0" w:color="auto"/>
        <w:bottom w:val="none" w:sz="0" w:space="0" w:color="auto"/>
        <w:right w:val="none" w:sz="0" w:space="0" w:color="auto"/>
      </w:divBdr>
    </w:div>
    <w:div w:id="1412771400">
      <w:bodyDiv w:val="1"/>
      <w:marLeft w:val="0"/>
      <w:marRight w:val="0"/>
      <w:marTop w:val="0"/>
      <w:marBottom w:val="0"/>
      <w:divBdr>
        <w:top w:val="none" w:sz="0" w:space="0" w:color="auto"/>
        <w:left w:val="none" w:sz="0" w:space="0" w:color="auto"/>
        <w:bottom w:val="none" w:sz="0" w:space="0" w:color="auto"/>
        <w:right w:val="none" w:sz="0" w:space="0" w:color="auto"/>
      </w:divBdr>
      <w:divsChild>
        <w:div w:id="601229855">
          <w:marLeft w:val="0"/>
          <w:marRight w:val="0"/>
          <w:marTop w:val="0"/>
          <w:marBottom w:val="0"/>
          <w:divBdr>
            <w:top w:val="none" w:sz="0" w:space="0" w:color="auto"/>
            <w:left w:val="none" w:sz="0" w:space="0" w:color="auto"/>
            <w:bottom w:val="none" w:sz="0" w:space="0" w:color="auto"/>
            <w:right w:val="none" w:sz="0" w:space="0" w:color="auto"/>
          </w:divBdr>
          <w:divsChild>
            <w:div w:id="165246275">
              <w:marLeft w:val="0"/>
              <w:marRight w:val="0"/>
              <w:marTop w:val="0"/>
              <w:marBottom w:val="0"/>
              <w:divBdr>
                <w:top w:val="none" w:sz="0" w:space="0" w:color="auto"/>
                <w:left w:val="none" w:sz="0" w:space="0" w:color="auto"/>
                <w:bottom w:val="none" w:sz="0" w:space="0" w:color="auto"/>
                <w:right w:val="none" w:sz="0" w:space="0" w:color="auto"/>
              </w:divBdr>
            </w:div>
            <w:div w:id="764498649">
              <w:marLeft w:val="0"/>
              <w:marRight w:val="0"/>
              <w:marTop w:val="0"/>
              <w:marBottom w:val="0"/>
              <w:divBdr>
                <w:top w:val="none" w:sz="0" w:space="0" w:color="auto"/>
                <w:left w:val="none" w:sz="0" w:space="0" w:color="auto"/>
                <w:bottom w:val="none" w:sz="0" w:space="0" w:color="auto"/>
                <w:right w:val="none" w:sz="0" w:space="0" w:color="auto"/>
              </w:divBdr>
            </w:div>
            <w:div w:id="15893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3775">
      <w:bodyDiv w:val="1"/>
      <w:marLeft w:val="0"/>
      <w:marRight w:val="0"/>
      <w:marTop w:val="0"/>
      <w:marBottom w:val="0"/>
      <w:divBdr>
        <w:top w:val="none" w:sz="0" w:space="0" w:color="auto"/>
        <w:left w:val="none" w:sz="0" w:space="0" w:color="auto"/>
        <w:bottom w:val="none" w:sz="0" w:space="0" w:color="auto"/>
        <w:right w:val="none" w:sz="0" w:space="0" w:color="auto"/>
      </w:divBdr>
    </w:div>
    <w:div w:id="1480265749">
      <w:bodyDiv w:val="1"/>
      <w:marLeft w:val="0"/>
      <w:marRight w:val="0"/>
      <w:marTop w:val="0"/>
      <w:marBottom w:val="0"/>
      <w:divBdr>
        <w:top w:val="none" w:sz="0" w:space="0" w:color="auto"/>
        <w:left w:val="none" w:sz="0" w:space="0" w:color="auto"/>
        <w:bottom w:val="none" w:sz="0" w:space="0" w:color="auto"/>
        <w:right w:val="none" w:sz="0" w:space="0" w:color="auto"/>
      </w:divBdr>
    </w:div>
    <w:div w:id="1482697754">
      <w:bodyDiv w:val="1"/>
      <w:marLeft w:val="0"/>
      <w:marRight w:val="0"/>
      <w:marTop w:val="0"/>
      <w:marBottom w:val="0"/>
      <w:divBdr>
        <w:top w:val="none" w:sz="0" w:space="0" w:color="auto"/>
        <w:left w:val="none" w:sz="0" w:space="0" w:color="auto"/>
        <w:bottom w:val="none" w:sz="0" w:space="0" w:color="auto"/>
        <w:right w:val="none" w:sz="0" w:space="0" w:color="auto"/>
      </w:divBdr>
    </w:div>
    <w:div w:id="1723482044">
      <w:bodyDiv w:val="1"/>
      <w:marLeft w:val="0"/>
      <w:marRight w:val="0"/>
      <w:marTop w:val="0"/>
      <w:marBottom w:val="0"/>
      <w:divBdr>
        <w:top w:val="none" w:sz="0" w:space="0" w:color="auto"/>
        <w:left w:val="none" w:sz="0" w:space="0" w:color="auto"/>
        <w:bottom w:val="none" w:sz="0" w:space="0" w:color="auto"/>
        <w:right w:val="none" w:sz="0" w:space="0" w:color="auto"/>
      </w:divBdr>
      <w:divsChild>
        <w:div w:id="1768578234">
          <w:marLeft w:val="0"/>
          <w:marRight w:val="0"/>
          <w:marTop w:val="0"/>
          <w:marBottom w:val="0"/>
          <w:divBdr>
            <w:top w:val="none" w:sz="0" w:space="0" w:color="auto"/>
            <w:left w:val="none" w:sz="0" w:space="0" w:color="auto"/>
            <w:bottom w:val="none" w:sz="0" w:space="0" w:color="auto"/>
            <w:right w:val="none" w:sz="0" w:space="0" w:color="auto"/>
          </w:divBdr>
        </w:div>
      </w:divsChild>
    </w:div>
    <w:div w:id="1763181211">
      <w:bodyDiv w:val="1"/>
      <w:marLeft w:val="0"/>
      <w:marRight w:val="0"/>
      <w:marTop w:val="0"/>
      <w:marBottom w:val="0"/>
      <w:divBdr>
        <w:top w:val="none" w:sz="0" w:space="0" w:color="auto"/>
        <w:left w:val="none" w:sz="0" w:space="0" w:color="auto"/>
        <w:bottom w:val="none" w:sz="0" w:space="0" w:color="auto"/>
        <w:right w:val="none" w:sz="0" w:space="0" w:color="auto"/>
      </w:divBdr>
    </w:div>
    <w:div w:id="1842161823">
      <w:bodyDiv w:val="1"/>
      <w:marLeft w:val="0"/>
      <w:marRight w:val="0"/>
      <w:marTop w:val="0"/>
      <w:marBottom w:val="0"/>
      <w:divBdr>
        <w:top w:val="none" w:sz="0" w:space="0" w:color="auto"/>
        <w:left w:val="none" w:sz="0" w:space="0" w:color="auto"/>
        <w:bottom w:val="none" w:sz="0" w:space="0" w:color="auto"/>
        <w:right w:val="none" w:sz="0" w:space="0" w:color="auto"/>
      </w:divBdr>
    </w:div>
    <w:div w:id="1843886676">
      <w:bodyDiv w:val="1"/>
      <w:marLeft w:val="0"/>
      <w:marRight w:val="0"/>
      <w:marTop w:val="0"/>
      <w:marBottom w:val="0"/>
      <w:divBdr>
        <w:top w:val="none" w:sz="0" w:space="0" w:color="auto"/>
        <w:left w:val="none" w:sz="0" w:space="0" w:color="auto"/>
        <w:bottom w:val="none" w:sz="0" w:space="0" w:color="auto"/>
        <w:right w:val="none" w:sz="0" w:space="0" w:color="auto"/>
      </w:divBdr>
    </w:div>
    <w:div w:id="1874029958">
      <w:bodyDiv w:val="1"/>
      <w:marLeft w:val="0"/>
      <w:marRight w:val="0"/>
      <w:marTop w:val="0"/>
      <w:marBottom w:val="0"/>
      <w:divBdr>
        <w:top w:val="none" w:sz="0" w:space="0" w:color="auto"/>
        <w:left w:val="none" w:sz="0" w:space="0" w:color="auto"/>
        <w:bottom w:val="none" w:sz="0" w:space="0" w:color="auto"/>
        <w:right w:val="none" w:sz="0" w:space="0" w:color="auto"/>
      </w:divBdr>
    </w:div>
    <w:div w:id="2007200042">
      <w:bodyDiv w:val="1"/>
      <w:marLeft w:val="0"/>
      <w:marRight w:val="0"/>
      <w:marTop w:val="0"/>
      <w:marBottom w:val="0"/>
      <w:divBdr>
        <w:top w:val="none" w:sz="0" w:space="0" w:color="auto"/>
        <w:left w:val="none" w:sz="0" w:space="0" w:color="auto"/>
        <w:bottom w:val="none" w:sz="0" w:space="0" w:color="auto"/>
        <w:right w:val="none" w:sz="0" w:space="0" w:color="auto"/>
      </w:divBdr>
    </w:div>
    <w:div w:id="2052225307">
      <w:bodyDiv w:val="1"/>
      <w:marLeft w:val="0"/>
      <w:marRight w:val="0"/>
      <w:marTop w:val="0"/>
      <w:marBottom w:val="0"/>
      <w:divBdr>
        <w:top w:val="none" w:sz="0" w:space="0" w:color="auto"/>
        <w:left w:val="none" w:sz="0" w:space="0" w:color="auto"/>
        <w:bottom w:val="none" w:sz="0" w:space="0" w:color="auto"/>
        <w:right w:val="none" w:sz="0" w:space="0" w:color="auto"/>
      </w:divBdr>
      <w:divsChild>
        <w:div w:id="1787045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Word_Document4.docx"/><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Word_Document1.docx"/><Relationship Id="rId25" Type="http://schemas.openxmlformats.org/officeDocument/2006/relationships/package" Target="embeddings/Microsoft_Word_Document6.doc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Word_Document3.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package" Target="embeddings/Microsoft_Word_Document5.docx"/><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Word_Document2.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7.emf"/><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DFAB6284B56E4284A736E4DD0A3218" ma:contentTypeVersion="10" ma:contentTypeDescription="Crear nuevo documento." ma:contentTypeScope="" ma:versionID="e9639fa12dbe94b730fe3116ff4b1d6f">
  <xsd:schema xmlns:xsd="http://www.w3.org/2001/XMLSchema" xmlns:xs="http://www.w3.org/2001/XMLSchema" xmlns:p="http://schemas.microsoft.com/office/2006/metadata/properties" xmlns:ns3="bb9d7093-fe57-472e-a7d6-857bb72ce703" xmlns:ns4="146c1ff2-488e-4ec9-8d0e-abb41c65d4e7" targetNamespace="http://schemas.microsoft.com/office/2006/metadata/properties" ma:root="true" ma:fieldsID="b61d5f8d81dad82ab05f4edb342a6cf4" ns3:_="" ns4:_="">
    <xsd:import namespace="bb9d7093-fe57-472e-a7d6-857bb72ce703"/>
    <xsd:import namespace="146c1ff2-488e-4ec9-8d0e-abb41c65d4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d7093-fe57-472e-a7d6-857bb72ce70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c1ff2-488e-4ec9-8d0e-abb41c65d4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321EA-882C-4002-8B79-94F04953C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d7093-fe57-472e-a7d6-857bb72ce703"/>
    <ds:schemaRef ds:uri="146c1ff2-488e-4ec9-8d0e-abb41c65d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88D6B-90DE-4DDA-ABCC-E901283CF303}">
  <ds:schemaRefs>
    <ds:schemaRef ds:uri="http://schemas.microsoft.com/sharepoint/v3/contenttype/forms"/>
  </ds:schemaRefs>
</ds:datastoreItem>
</file>

<file path=customXml/itemProps3.xml><?xml version="1.0" encoding="utf-8"?>
<ds:datastoreItem xmlns:ds="http://schemas.openxmlformats.org/officeDocument/2006/customXml" ds:itemID="{BF249E37-5308-4CE6-B419-8A9E1FCDAAA4}">
  <ds:schemaRefs>
    <ds:schemaRef ds:uri="http://schemas.openxmlformats.org/officeDocument/2006/bibliography"/>
  </ds:schemaRefs>
</ds:datastoreItem>
</file>

<file path=customXml/itemProps4.xml><?xml version="1.0" encoding="utf-8"?>
<ds:datastoreItem xmlns:ds="http://schemas.openxmlformats.org/officeDocument/2006/customXml" ds:itemID="{9798BA46-12A6-4F20-82EF-29E77ECBE8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5819</Words>
  <Characters>32008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37752</CharactersWithSpaces>
  <SharedDoc>false</SharedDoc>
  <HLinks>
    <vt:vector size="24" baseType="variant">
      <vt:variant>
        <vt:i4>6488183</vt:i4>
      </vt:variant>
      <vt:variant>
        <vt:i4>12</vt:i4>
      </vt:variant>
      <vt:variant>
        <vt:i4>0</vt:i4>
      </vt:variant>
      <vt:variant>
        <vt:i4>5</vt:i4>
      </vt:variant>
      <vt:variant>
        <vt:lpwstr/>
      </vt:variant>
      <vt:variant>
        <vt:lpwstr>TablaN5</vt:lpwstr>
      </vt:variant>
      <vt:variant>
        <vt:i4>6488183</vt:i4>
      </vt:variant>
      <vt:variant>
        <vt:i4>9</vt:i4>
      </vt:variant>
      <vt:variant>
        <vt:i4>0</vt:i4>
      </vt:variant>
      <vt:variant>
        <vt:i4>5</vt:i4>
      </vt:variant>
      <vt:variant>
        <vt:lpwstr/>
      </vt:variant>
      <vt:variant>
        <vt:lpwstr>TablaN4</vt:lpwstr>
      </vt:variant>
      <vt:variant>
        <vt:i4>3670072</vt:i4>
      </vt:variant>
      <vt:variant>
        <vt:i4>6</vt:i4>
      </vt:variant>
      <vt:variant>
        <vt:i4>0</vt:i4>
      </vt:variant>
      <vt:variant>
        <vt:i4>5</vt:i4>
      </vt:variant>
      <vt:variant>
        <vt:lpwstr>https://www.supen.fi.cr/web/supen/estudios-actuariales</vt:lpwstr>
      </vt:variant>
      <vt:variant>
        <vt:lpwstr/>
      </vt:variant>
      <vt:variant>
        <vt:i4>5374022</vt:i4>
      </vt:variant>
      <vt:variant>
        <vt:i4>0</vt:i4>
      </vt:variant>
      <vt:variant>
        <vt:i4>0</vt:i4>
      </vt:variant>
      <vt:variant>
        <vt:i4>5</vt:i4>
      </vt:variant>
      <vt:variant>
        <vt:lpwstr>https://gestionhumana.poder-judicial.go.cr/index.php/ornanigrama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Manuel Sanchez Duarte</dc:creator>
  <cp:keywords/>
  <dc:description/>
  <cp:lastModifiedBy>Christian Quirós Vargas</cp:lastModifiedBy>
  <cp:revision>15</cp:revision>
  <dcterms:created xsi:type="dcterms:W3CDTF">2022-10-21T21:18:00Z</dcterms:created>
  <dcterms:modified xsi:type="dcterms:W3CDTF">2022-12-15T14:24:00Z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0x0101000BDFAB6284B56E4284A736E4DD0A3218</vt:lpwstr>
  </property>
</Properties>
</file>