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150E1" w14:textId="10448E9E" w:rsidR="00921F72" w:rsidRPr="00FB2784" w:rsidRDefault="00921F72" w:rsidP="009C0BAE">
      <w:pPr>
        <w:ind w:firstLine="709"/>
        <w:jc w:val="both"/>
        <w:rPr>
          <w:b/>
          <w:bCs/>
          <w:color w:val="000000"/>
          <w:u w:val="single"/>
        </w:rPr>
      </w:pPr>
      <w:r w:rsidRPr="00FB2784">
        <w:rPr>
          <w:b/>
          <w:bCs/>
          <w:color w:val="000000"/>
          <w:u w:val="single"/>
        </w:rPr>
        <w:t xml:space="preserve">CIRCULAR No. </w:t>
      </w:r>
      <w:r w:rsidR="00BF04C1">
        <w:rPr>
          <w:b/>
          <w:bCs/>
          <w:color w:val="000000"/>
          <w:u w:val="single"/>
        </w:rPr>
        <w:t>55</w:t>
      </w:r>
      <w:r w:rsidRPr="00FB2784">
        <w:rPr>
          <w:b/>
          <w:bCs/>
          <w:color w:val="000000"/>
          <w:u w:val="single"/>
        </w:rPr>
        <w:t>-20</w:t>
      </w:r>
      <w:r w:rsidR="009B11A5">
        <w:rPr>
          <w:b/>
          <w:bCs/>
          <w:color w:val="000000"/>
          <w:u w:val="single"/>
        </w:rPr>
        <w:t>2</w:t>
      </w:r>
      <w:r w:rsidR="000F2DA8">
        <w:rPr>
          <w:b/>
          <w:bCs/>
          <w:color w:val="000000"/>
          <w:u w:val="single"/>
        </w:rPr>
        <w:t>2</w:t>
      </w:r>
    </w:p>
    <w:p w14:paraId="0D68845C" w14:textId="77777777" w:rsidR="00921F72" w:rsidRPr="00FB2784" w:rsidRDefault="00921F72" w:rsidP="009C0BAE">
      <w:pPr>
        <w:ind w:firstLine="709"/>
        <w:jc w:val="both"/>
        <w:rPr>
          <w:b/>
          <w:bCs/>
          <w:color w:val="000000"/>
          <w:u w:val="single"/>
          <w:lang w:eastAsia="es-CR"/>
        </w:rPr>
      </w:pPr>
    </w:p>
    <w:p w14:paraId="0E6C6839" w14:textId="4622A2C3" w:rsidR="00921F72" w:rsidRPr="000F2DA8" w:rsidRDefault="006154EE" w:rsidP="000F2DA8">
      <w:pPr>
        <w:widowControl w:val="0"/>
        <w:suppressAutoHyphens w:val="0"/>
        <w:ind w:left="851" w:right="851" w:firstLine="709"/>
        <w:jc w:val="both"/>
        <w:rPr>
          <w:bCs/>
          <w:lang w:val="es-CR"/>
        </w:rPr>
      </w:pPr>
      <w:r w:rsidRPr="000F2DA8">
        <w:rPr>
          <w:rFonts w:eastAsia="Arial Unicode MS"/>
          <w:b/>
          <w:bCs/>
          <w:kern w:val="2"/>
          <w:u w:val="single"/>
          <w:lang w:val="es-CR"/>
        </w:rPr>
        <w:t>Asunto</w:t>
      </w:r>
      <w:r w:rsidRPr="000F2DA8">
        <w:rPr>
          <w:rFonts w:eastAsia="Arial Unicode MS"/>
          <w:bCs/>
          <w:kern w:val="2"/>
          <w:lang w:val="es-CR"/>
        </w:rPr>
        <w:t xml:space="preserve">: </w:t>
      </w:r>
      <w:r w:rsidR="000F2DA8" w:rsidRPr="000F2DA8">
        <w:t>Lineamientos generales a cumplir por los jueces y juezas supernumerarios cuando deban atender materia laboral</w:t>
      </w:r>
      <w:r w:rsidR="000F2DA8">
        <w:t>.</w:t>
      </w:r>
    </w:p>
    <w:p w14:paraId="72090A53" w14:textId="77777777" w:rsidR="000F2DA8" w:rsidRPr="006154EE" w:rsidRDefault="000F2DA8" w:rsidP="009C0BAE">
      <w:pPr>
        <w:ind w:firstLine="709"/>
        <w:jc w:val="both"/>
        <w:rPr>
          <w:bCs/>
          <w:lang w:val="es-CR"/>
        </w:rPr>
      </w:pPr>
    </w:p>
    <w:p w14:paraId="6FE710AC" w14:textId="77777777" w:rsidR="00921F72" w:rsidRPr="00FB2784" w:rsidRDefault="00921F72" w:rsidP="009C0BAE">
      <w:pPr>
        <w:ind w:firstLine="709"/>
        <w:jc w:val="both"/>
        <w:rPr>
          <w:b/>
          <w:bCs/>
          <w:u w:val="single"/>
        </w:rPr>
      </w:pPr>
      <w:r w:rsidRPr="00FB2784">
        <w:rPr>
          <w:b/>
          <w:bCs/>
          <w:u w:val="single"/>
        </w:rPr>
        <w:t xml:space="preserve">A LOS DESPACHOS JUDICIALES DEL PAÍS </w:t>
      </w:r>
    </w:p>
    <w:p w14:paraId="0E7778A5" w14:textId="77777777" w:rsidR="00921F72" w:rsidRPr="00FB2784" w:rsidRDefault="00921F72" w:rsidP="009C0BAE">
      <w:pPr>
        <w:ind w:firstLine="709"/>
        <w:jc w:val="both"/>
        <w:rPr>
          <w:b/>
          <w:bCs/>
        </w:rPr>
      </w:pPr>
      <w:r w:rsidRPr="00FB2784">
        <w:rPr>
          <w:b/>
          <w:bCs/>
          <w:u w:val="single"/>
        </w:rPr>
        <w:t>SE LES HACE SABER QUE</w:t>
      </w:r>
      <w:r w:rsidRPr="00FB2784">
        <w:rPr>
          <w:b/>
          <w:bCs/>
        </w:rPr>
        <w:t>:</w:t>
      </w:r>
    </w:p>
    <w:p w14:paraId="185C039F" w14:textId="77777777" w:rsidR="00921F72" w:rsidRPr="00FB2784" w:rsidRDefault="00921F72" w:rsidP="009C0BAE">
      <w:pPr>
        <w:pStyle w:val="Textodebloque2"/>
        <w:ind w:left="0" w:right="0"/>
      </w:pPr>
    </w:p>
    <w:p w14:paraId="55A8E14D" w14:textId="4188ABB7" w:rsidR="00FB2784" w:rsidRPr="000F2DA8" w:rsidRDefault="00921F72" w:rsidP="000F2DA8">
      <w:pPr>
        <w:pStyle w:val="Textodebloque2"/>
        <w:ind w:left="0" w:right="0"/>
        <w:rPr>
          <w:lang w:val="es-CR"/>
        </w:rPr>
      </w:pPr>
      <w:r w:rsidRPr="000F2DA8">
        <w:t xml:space="preserve">El Consejo Superior del Poder Judicial en sesión No. </w:t>
      </w:r>
      <w:r w:rsidR="000F2DA8" w:rsidRPr="000F2DA8">
        <w:t>18</w:t>
      </w:r>
      <w:r w:rsidRPr="000F2DA8">
        <w:t>-</w:t>
      </w:r>
      <w:r w:rsidR="006154EE" w:rsidRPr="000F2DA8">
        <w:t>202</w:t>
      </w:r>
      <w:r w:rsidR="000F2DA8" w:rsidRPr="000F2DA8">
        <w:t>2</w:t>
      </w:r>
      <w:r w:rsidRPr="000F2DA8">
        <w:t xml:space="preserve"> celebrada el </w:t>
      </w:r>
      <w:r w:rsidR="000F2DA8" w:rsidRPr="000F2DA8">
        <w:t>03</w:t>
      </w:r>
      <w:r w:rsidR="009C0BAE" w:rsidRPr="000F2DA8">
        <w:t xml:space="preserve"> </w:t>
      </w:r>
      <w:r w:rsidRPr="000F2DA8">
        <w:t xml:space="preserve">de </w:t>
      </w:r>
      <w:r w:rsidR="000F2DA8" w:rsidRPr="000F2DA8">
        <w:t>marzo</w:t>
      </w:r>
      <w:r w:rsidRPr="000F2DA8">
        <w:t xml:space="preserve"> de 20</w:t>
      </w:r>
      <w:r w:rsidR="006154EE" w:rsidRPr="000F2DA8">
        <w:t>2</w:t>
      </w:r>
      <w:r w:rsidR="000F2DA8" w:rsidRPr="000F2DA8">
        <w:t>2</w:t>
      </w:r>
      <w:r w:rsidRPr="000F2DA8">
        <w:t xml:space="preserve">, artículo </w:t>
      </w:r>
      <w:r w:rsidR="000F2DA8" w:rsidRPr="000F2DA8">
        <w:t>XLVIII</w:t>
      </w:r>
      <w:r w:rsidRPr="000F2DA8">
        <w:t>,</w:t>
      </w:r>
      <w:r w:rsidR="000F2DA8" w:rsidRPr="000F2DA8">
        <w:t xml:space="preserve"> dispuso comunicar las indicaciones generales para tomar en cuenta, respecto del servicio de Juezas y</w:t>
      </w:r>
      <w:r w:rsidR="000F2DA8">
        <w:t xml:space="preserve"> </w:t>
      </w:r>
      <w:r w:rsidR="000F2DA8" w:rsidRPr="000F2DA8">
        <w:t>Jueces</w:t>
      </w:r>
      <w:r w:rsidR="000F2DA8">
        <w:t xml:space="preserve"> </w:t>
      </w:r>
      <w:r w:rsidR="000F2DA8" w:rsidRPr="000F2DA8">
        <w:t>Supernumerario que deban atender materia laboral.</w:t>
      </w:r>
    </w:p>
    <w:p w14:paraId="4139AD47" w14:textId="55644A9B" w:rsidR="000F2DA8" w:rsidRDefault="000F2DA8" w:rsidP="000F2DA8">
      <w:pPr>
        <w:shd w:val="clear" w:color="auto" w:fill="FFFFFF"/>
        <w:ind w:left="851" w:right="851" w:firstLine="709"/>
        <w:rPr>
          <w:b/>
          <w:bCs/>
          <w:lang w:eastAsia="ar-SA"/>
        </w:rPr>
      </w:pPr>
      <w:r w:rsidRPr="000F2DA8">
        <w:rPr>
          <w:b/>
          <w:bCs/>
          <w:lang w:eastAsia="ar-SA"/>
        </w:rPr>
        <w:t>A.- Designación en sustitución de una persona juzgadora.</w:t>
      </w:r>
    </w:p>
    <w:p w14:paraId="038EF6E7" w14:textId="77777777" w:rsidR="000F2DA8" w:rsidRPr="000F2DA8" w:rsidRDefault="000F2DA8" w:rsidP="000F2DA8">
      <w:pPr>
        <w:shd w:val="clear" w:color="auto" w:fill="FFFFFF"/>
        <w:ind w:left="851" w:right="851" w:firstLine="709"/>
        <w:rPr>
          <w:b/>
          <w:bCs/>
          <w:lang w:eastAsia="ar-SA"/>
        </w:rPr>
      </w:pPr>
    </w:p>
    <w:p w14:paraId="5CB95D13" w14:textId="77777777" w:rsidR="000F2DA8" w:rsidRPr="000F2DA8" w:rsidRDefault="000F2DA8" w:rsidP="000F2DA8">
      <w:pPr>
        <w:shd w:val="clear" w:color="auto" w:fill="FFFFFF"/>
        <w:ind w:left="851" w:right="851" w:firstLine="709"/>
        <w:rPr>
          <w:lang w:val="es-419" w:eastAsia="ar-SA"/>
        </w:rPr>
      </w:pPr>
      <w:r w:rsidRPr="000F2DA8">
        <w:rPr>
          <w:lang w:eastAsia="ar-SA"/>
        </w:rPr>
        <w:t xml:space="preserve">a.1. En ausencia del titular, lo hará por el tiempo exacto requerido para la atención del evento que lo originó y asumirá todas las funciones, cuotas, expedientes y responsabilidades propias del personal juzgador del despacho (firma, fallo, realización de audiencias). </w:t>
      </w:r>
    </w:p>
    <w:p w14:paraId="4E348B67" w14:textId="77777777" w:rsidR="000F2DA8" w:rsidRPr="000F2DA8" w:rsidRDefault="000F2DA8" w:rsidP="000F2DA8">
      <w:pPr>
        <w:ind w:left="851" w:right="851" w:firstLine="709"/>
        <w:rPr>
          <w:lang w:eastAsia="ar-SA"/>
        </w:rPr>
      </w:pPr>
      <w:r w:rsidRPr="000F2DA8">
        <w:rPr>
          <w:lang w:eastAsia="ar-SA"/>
        </w:rPr>
        <w:t>b.2.- Una vez finalizada la sustitución deberá presentar el informe de labores por el período de la designación y consignar el estado en que deja el escritorio.</w:t>
      </w:r>
    </w:p>
    <w:p w14:paraId="50D4BEAA" w14:textId="77777777" w:rsidR="000F2DA8" w:rsidRPr="000F2DA8" w:rsidRDefault="000F2DA8" w:rsidP="000F2DA8">
      <w:pPr>
        <w:ind w:left="851" w:right="851" w:firstLine="709"/>
        <w:rPr>
          <w:lang w:eastAsia="ar-SA"/>
        </w:rPr>
      </w:pPr>
      <w:r w:rsidRPr="000F2DA8">
        <w:rPr>
          <w:lang w:eastAsia="ar-SA"/>
        </w:rPr>
        <w:t>b.3.- En caso de que una audiencia no se lleve a cabo y sea reprogramada, podrá sustituirse por el fallo de un asunto de puro derecho.</w:t>
      </w:r>
    </w:p>
    <w:p w14:paraId="0CA36E35" w14:textId="77777777" w:rsidR="000F2DA8" w:rsidRPr="000F2DA8" w:rsidRDefault="000F2DA8" w:rsidP="000F2DA8">
      <w:pPr>
        <w:ind w:left="851" w:right="851" w:firstLine="709"/>
        <w:rPr>
          <w:lang w:eastAsia="ar-SA"/>
        </w:rPr>
      </w:pPr>
    </w:p>
    <w:p w14:paraId="74C790B0" w14:textId="28013E98" w:rsidR="000F2DA8" w:rsidRDefault="000F2DA8" w:rsidP="000F2DA8">
      <w:pPr>
        <w:ind w:left="851" w:right="851" w:firstLine="709"/>
        <w:rPr>
          <w:b/>
          <w:bCs/>
          <w:lang w:eastAsia="ar-SA"/>
        </w:rPr>
      </w:pPr>
      <w:r w:rsidRPr="000F2DA8">
        <w:rPr>
          <w:b/>
          <w:bCs/>
          <w:lang w:eastAsia="ar-SA"/>
        </w:rPr>
        <w:t>B.- En el caso de que la designación sea para disminuir el retraso judicial.</w:t>
      </w:r>
    </w:p>
    <w:p w14:paraId="52CB1EAA" w14:textId="77777777" w:rsidR="000F2DA8" w:rsidRPr="000F2DA8" w:rsidRDefault="000F2DA8" w:rsidP="000F2DA8">
      <w:pPr>
        <w:ind w:left="851" w:right="851" w:firstLine="709"/>
        <w:rPr>
          <w:lang w:eastAsia="ar-SA"/>
        </w:rPr>
      </w:pPr>
    </w:p>
    <w:p w14:paraId="27069AF0" w14:textId="77777777" w:rsidR="000F2DA8" w:rsidRPr="000F2DA8" w:rsidRDefault="000F2DA8" w:rsidP="000F2DA8">
      <w:pPr>
        <w:ind w:left="851" w:right="851" w:firstLine="709"/>
        <w:rPr>
          <w:lang w:eastAsia="ar-SA"/>
        </w:rPr>
      </w:pPr>
      <w:r w:rsidRPr="000F2DA8">
        <w:rPr>
          <w:lang w:eastAsia="ar-SA"/>
        </w:rPr>
        <w:t>b.1. El plan de trabajo puede ser elaborado por:</w:t>
      </w:r>
    </w:p>
    <w:p w14:paraId="4372AB59" w14:textId="77777777" w:rsidR="000F2DA8" w:rsidRPr="000F2DA8" w:rsidRDefault="000F2DA8" w:rsidP="000F2DA8">
      <w:pPr>
        <w:numPr>
          <w:ilvl w:val="0"/>
          <w:numId w:val="1"/>
        </w:numPr>
        <w:suppressAutoHyphens w:val="0"/>
        <w:ind w:left="851" w:right="851" w:firstLine="709"/>
        <w:rPr>
          <w:lang w:eastAsia="es-ES"/>
        </w:rPr>
      </w:pPr>
      <w:r w:rsidRPr="000F2DA8">
        <w:rPr>
          <w:lang w:eastAsia="es-ES"/>
        </w:rPr>
        <w:t>Centro de Apoyo, Coordinación y Mejoramiento de la Función Jurisdiccional</w:t>
      </w:r>
    </w:p>
    <w:p w14:paraId="21245E16" w14:textId="77777777" w:rsidR="000F2DA8" w:rsidRPr="000F2DA8" w:rsidRDefault="000F2DA8" w:rsidP="000F2DA8">
      <w:pPr>
        <w:numPr>
          <w:ilvl w:val="0"/>
          <w:numId w:val="1"/>
        </w:numPr>
        <w:suppressAutoHyphens w:val="0"/>
        <w:ind w:left="851" w:right="851" w:firstLine="709"/>
        <w:rPr>
          <w:lang w:eastAsia="es-ES"/>
        </w:rPr>
      </w:pPr>
      <w:r w:rsidRPr="000F2DA8">
        <w:rPr>
          <w:lang w:eastAsia="es-ES"/>
        </w:rPr>
        <w:t>Profesional en Administración del “Modelo de Seguimiento y Sostenibilidad”</w:t>
      </w:r>
    </w:p>
    <w:p w14:paraId="0B3A22ED" w14:textId="77777777" w:rsidR="000F2DA8" w:rsidRPr="000F2DA8" w:rsidRDefault="000F2DA8" w:rsidP="000F2DA8">
      <w:pPr>
        <w:numPr>
          <w:ilvl w:val="0"/>
          <w:numId w:val="1"/>
        </w:numPr>
        <w:suppressAutoHyphens w:val="0"/>
        <w:ind w:left="851" w:right="851" w:firstLine="709"/>
        <w:rPr>
          <w:lang w:eastAsia="es-ES"/>
        </w:rPr>
      </w:pPr>
      <w:r w:rsidRPr="000F2DA8">
        <w:rPr>
          <w:lang w:eastAsia="es-ES"/>
        </w:rPr>
        <w:t>Administracion Regional.</w:t>
      </w:r>
    </w:p>
    <w:p w14:paraId="505A82A9" w14:textId="77777777" w:rsidR="000F2DA8" w:rsidRPr="000F2DA8" w:rsidRDefault="000F2DA8" w:rsidP="000F2DA8">
      <w:pPr>
        <w:ind w:left="851" w:right="851" w:firstLine="709"/>
        <w:rPr>
          <w:rFonts w:eastAsia="Calibri"/>
          <w:lang w:eastAsia="en-US"/>
        </w:rPr>
      </w:pPr>
      <w:r w:rsidRPr="000F2DA8">
        <w:rPr>
          <w:lang w:eastAsia="ar-SA"/>
        </w:rPr>
        <w:t>b.1. El juez o jueza supernumeraria atenderá el objetivo del plan sin ningún tipo de excepción, inclusive si se trata de ejecuciones y asuntos en los que se discuta el pago de horas extra.</w:t>
      </w:r>
    </w:p>
    <w:p w14:paraId="3B537FD0" w14:textId="77777777" w:rsidR="000F2DA8" w:rsidRPr="000F2DA8" w:rsidRDefault="000F2DA8" w:rsidP="000F2DA8">
      <w:pPr>
        <w:ind w:left="851" w:right="851" w:firstLine="709"/>
        <w:rPr>
          <w:lang w:eastAsia="ar-SA"/>
        </w:rPr>
      </w:pPr>
      <w:r w:rsidRPr="000F2DA8">
        <w:rPr>
          <w:lang w:eastAsia="ar-SA"/>
        </w:rPr>
        <w:t>b.2. En caso de que el plan contemple la celebración de audiencias</w:t>
      </w:r>
      <w:r w:rsidRPr="000F2DA8">
        <w:rPr>
          <w:shd w:val="clear" w:color="auto" w:fill="FFFFFF"/>
          <w:lang w:eastAsia="ar-SA"/>
        </w:rPr>
        <w:t xml:space="preserve"> (preliminares y complementarias o de juicio) y alguna no se realice, </w:t>
      </w:r>
      <w:r w:rsidRPr="000F2DA8">
        <w:rPr>
          <w:lang w:eastAsia="ar-SA"/>
        </w:rPr>
        <w:t>se sustituirá por el fallo de un asunto de puro derecho.</w:t>
      </w:r>
    </w:p>
    <w:p w14:paraId="0D5B100E" w14:textId="77777777" w:rsidR="000F2DA8" w:rsidRPr="000F2DA8" w:rsidRDefault="000F2DA8" w:rsidP="000F2DA8">
      <w:pPr>
        <w:ind w:left="851" w:right="851" w:firstLine="709"/>
        <w:rPr>
          <w:lang w:eastAsia="ar-SA"/>
        </w:rPr>
      </w:pPr>
      <w:r w:rsidRPr="000F2DA8">
        <w:rPr>
          <w:lang w:eastAsia="ar-SA"/>
        </w:rPr>
        <w:t>b.5. El teletrabajo podrá ser aplicado siempre y cuando el plan de trabajo trazado lo permita, previa aprobación de la jefatura.</w:t>
      </w:r>
    </w:p>
    <w:p w14:paraId="7983931E" w14:textId="77777777" w:rsidR="000F2DA8" w:rsidRPr="000F2DA8" w:rsidRDefault="000F2DA8" w:rsidP="000F2DA8">
      <w:pPr>
        <w:ind w:left="851" w:right="851" w:firstLine="709"/>
        <w:rPr>
          <w:lang w:eastAsia="ar-SA"/>
        </w:rPr>
      </w:pPr>
    </w:p>
    <w:p w14:paraId="314FDF83" w14:textId="385E62D4" w:rsidR="00921F72" w:rsidRPr="000F2DA8" w:rsidRDefault="000F2DA8" w:rsidP="000F2DA8">
      <w:pPr>
        <w:ind w:left="851" w:right="851" w:firstLine="709"/>
        <w:rPr>
          <w:lang w:eastAsia="ar-SA"/>
        </w:rPr>
      </w:pPr>
      <w:r w:rsidRPr="000F2DA8">
        <w:rPr>
          <w:lang w:eastAsia="ar-SA"/>
        </w:rPr>
        <w:t>Esta circular deja sin efecto aquellas directrices dirigidas a jueces y juezas supernumerarios anteriormente emitidas por el Consejo Superior, sobre procesos que deban resolver en materia laboral.</w:t>
      </w:r>
    </w:p>
    <w:p w14:paraId="180236E9" w14:textId="77777777" w:rsidR="000F2DA8" w:rsidRPr="000F2DA8" w:rsidRDefault="000F2DA8" w:rsidP="000F2DA8">
      <w:pPr>
        <w:ind w:left="851" w:right="851" w:firstLine="709"/>
        <w:rPr>
          <w:lang w:eastAsia="ar-SA"/>
        </w:rPr>
      </w:pPr>
    </w:p>
    <w:p w14:paraId="42E23F2A" w14:textId="77777777" w:rsidR="00FB2784" w:rsidRPr="00FB2784" w:rsidRDefault="00FB2784" w:rsidP="00FB2784">
      <w:pPr>
        <w:ind w:firstLine="709"/>
        <w:jc w:val="both"/>
        <w:rPr>
          <w:b/>
          <w:bCs/>
          <w:lang w:val="es-CR" w:eastAsia="es-ES"/>
        </w:rPr>
      </w:pPr>
      <w:r w:rsidRPr="00FB2784">
        <w:rPr>
          <w:b/>
          <w:bCs/>
          <w:lang w:val="es-CR" w:eastAsia="es-ES"/>
        </w:rPr>
        <w:lastRenderedPageBreak/>
        <w:t>De conformidad con la circular No. 67-09 emitida por la Secretaría de la Corte el 22 de junio de 2009, se le comunica que en virtud del principio de gratuidad que rige esta materia, la publicación está exenta de todo pago de derechos.</w:t>
      </w:r>
    </w:p>
    <w:p w14:paraId="7C9DFECD" w14:textId="77777777" w:rsidR="00FB2784" w:rsidRPr="00FB2784" w:rsidRDefault="00FB2784" w:rsidP="00FB2784">
      <w:pPr>
        <w:pStyle w:val="Textodebloque2"/>
        <w:ind w:left="0" w:right="0"/>
        <w:rPr>
          <w:spacing w:val="2"/>
          <w:lang w:val="es-CR"/>
        </w:rPr>
      </w:pPr>
    </w:p>
    <w:p w14:paraId="544508CA" w14:textId="77777777" w:rsidR="00FB2784" w:rsidRPr="00FB2784" w:rsidRDefault="00FB2784" w:rsidP="00FB2784">
      <w:pPr>
        <w:ind w:firstLine="709"/>
        <w:jc w:val="both"/>
        <w:rPr>
          <w:b/>
          <w:bCs/>
          <w:lang w:val="es-CR" w:eastAsia="es-ES"/>
        </w:rPr>
      </w:pPr>
      <w:r w:rsidRPr="00FB2784">
        <w:rPr>
          <w:b/>
          <w:bCs/>
          <w:lang w:val="es-CR" w:eastAsia="es-ES"/>
        </w:rPr>
        <w:t>Publíquese por una única vez en el Boletín Judicial.</w:t>
      </w:r>
    </w:p>
    <w:p w14:paraId="776F1335" w14:textId="77777777" w:rsidR="00FB2784" w:rsidRPr="00FB2784" w:rsidRDefault="00FB2784" w:rsidP="00FB2784">
      <w:pPr>
        <w:pStyle w:val="Textodebloque2"/>
        <w:ind w:left="0" w:right="0"/>
        <w:rPr>
          <w:lang w:val="es-CR"/>
        </w:rPr>
      </w:pPr>
    </w:p>
    <w:p w14:paraId="603E69D2" w14:textId="77777777" w:rsidR="00921F72" w:rsidRPr="00FB2784" w:rsidRDefault="00921F72" w:rsidP="009C0BAE">
      <w:pPr>
        <w:suppressAutoHyphens w:val="0"/>
        <w:autoSpaceDE w:val="0"/>
        <w:autoSpaceDN w:val="0"/>
        <w:adjustRightInd w:val="0"/>
        <w:ind w:right="851" w:firstLine="709"/>
        <w:jc w:val="both"/>
      </w:pPr>
    </w:p>
    <w:p w14:paraId="0EAB4750" w14:textId="374A5F7D" w:rsidR="00921F72" w:rsidRPr="00FB2784" w:rsidRDefault="00921F72" w:rsidP="00FB2784">
      <w:pPr>
        <w:suppressAutoHyphens w:val="0"/>
        <w:autoSpaceDE w:val="0"/>
        <w:autoSpaceDN w:val="0"/>
        <w:adjustRightInd w:val="0"/>
        <w:ind w:right="851" w:firstLine="709"/>
        <w:jc w:val="both"/>
        <w:rPr>
          <w:lang w:eastAsia="es-ES"/>
        </w:rPr>
      </w:pPr>
      <w:r w:rsidRPr="00FB2784">
        <w:rPr>
          <w:b/>
          <w:bCs/>
        </w:rPr>
        <w:t xml:space="preserve">San José, </w:t>
      </w:r>
      <w:r w:rsidR="000F2DA8">
        <w:rPr>
          <w:b/>
          <w:bCs/>
        </w:rPr>
        <w:t>24</w:t>
      </w:r>
      <w:r w:rsidRPr="00FB2784">
        <w:rPr>
          <w:b/>
          <w:bCs/>
        </w:rPr>
        <w:t xml:space="preserve"> de </w:t>
      </w:r>
      <w:r w:rsidR="000F2DA8">
        <w:rPr>
          <w:b/>
          <w:bCs/>
        </w:rPr>
        <w:t>marzo</w:t>
      </w:r>
      <w:r w:rsidRPr="00FB2784">
        <w:rPr>
          <w:b/>
          <w:bCs/>
        </w:rPr>
        <w:t xml:space="preserve"> de 20</w:t>
      </w:r>
      <w:r w:rsidR="000F2DA8">
        <w:rPr>
          <w:b/>
          <w:bCs/>
        </w:rPr>
        <w:t>22</w:t>
      </w:r>
    </w:p>
    <w:p w14:paraId="5BDB7BFD" w14:textId="77777777" w:rsidR="00921F72" w:rsidRPr="00FB2784" w:rsidRDefault="00921F72" w:rsidP="009C0BAE">
      <w:pPr>
        <w:ind w:right="851" w:firstLine="709"/>
        <w:jc w:val="both"/>
        <w:rPr>
          <w:rFonts w:eastAsia="Arial Unicode MS"/>
          <w:b/>
          <w:bCs/>
          <w:kern w:val="2"/>
          <w:lang w:eastAsia="es-CR"/>
        </w:rPr>
      </w:pPr>
    </w:p>
    <w:p w14:paraId="0E306E08" w14:textId="77777777" w:rsidR="00921F72" w:rsidRPr="00FB2784" w:rsidRDefault="00921F72" w:rsidP="009C0BAE">
      <w:pPr>
        <w:ind w:right="851" w:firstLine="709"/>
        <w:jc w:val="both"/>
        <w:rPr>
          <w:rFonts w:eastAsia="Arial Unicode MS"/>
          <w:b/>
          <w:bCs/>
          <w:kern w:val="2"/>
          <w:lang w:eastAsia="es-CR"/>
        </w:rPr>
      </w:pPr>
    </w:p>
    <w:p w14:paraId="72F9E991" w14:textId="77777777" w:rsidR="00921F72" w:rsidRPr="00FB2784" w:rsidRDefault="00921F72" w:rsidP="009C0BAE">
      <w:pPr>
        <w:ind w:right="851" w:firstLine="709"/>
        <w:jc w:val="both"/>
        <w:rPr>
          <w:rFonts w:eastAsia="Arial Unicode MS"/>
          <w:b/>
          <w:bCs/>
          <w:kern w:val="2"/>
          <w:lang w:eastAsia="es-CR"/>
        </w:rPr>
      </w:pPr>
    </w:p>
    <w:p w14:paraId="78825682" w14:textId="77777777" w:rsidR="00921F72" w:rsidRPr="00FB2784" w:rsidRDefault="00921F72" w:rsidP="009C0BAE">
      <w:pPr>
        <w:pStyle w:val="Ttulo51"/>
        <w:keepNext w:val="0"/>
        <w:tabs>
          <w:tab w:val="clear" w:pos="0"/>
          <w:tab w:val="left" w:pos="708"/>
        </w:tabs>
        <w:ind w:right="851" w:firstLine="709"/>
        <w:jc w:val="both"/>
        <w:rPr>
          <w:rFonts w:eastAsia="Times New Roman"/>
          <w:i w:val="0"/>
          <w:iCs w:val="0"/>
          <w:sz w:val="24"/>
          <w:szCs w:val="24"/>
          <w:u w:val="none"/>
        </w:rPr>
      </w:pPr>
      <w:r w:rsidRPr="00FB2784">
        <w:rPr>
          <w:rFonts w:eastAsia="Times New Roman"/>
          <w:i w:val="0"/>
          <w:iCs w:val="0"/>
          <w:sz w:val="24"/>
          <w:szCs w:val="24"/>
          <w:u w:val="none"/>
        </w:rPr>
        <w:t>Lic. Carlos Toscano Mora Rodríguez</w:t>
      </w:r>
    </w:p>
    <w:p w14:paraId="3B3DBCBA" w14:textId="586DB6D2" w:rsidR="00921F72" w:rsidRPr="00FB2784" w:rsidRDefault="00921F72" w:rsidP="009C0BAE">
      <w:pPr>
        <w:pStyle w:val="Ttulo51"/>
        <w:keepNext w:val="0"/>
        <w:tabs>
          <w:tab w:val="clear" w:pos="0"/>
          <w:tab w:val="left" w:pos="708"/>
        </w:tabs>
        <w:ind w:right="851" w:firstLine="709"/>
        <w:jc w:val="both"/>
        <w:rPr>
          <w:rFonts w:eastAsia="Times New Roman"/>
          <w:i w:val="0"/>
          <w:iCs w:val="0"/>
          <w:sz w:val="24"/>
          <w:szCs w:val="24"/>
          <w:u w:val="none"/>
        </w:rPr>
      </w:pPr>
      <w:r w:rsidRPr="00FB2784">
        <w:rPr>
          <w:rFonts w:eastAsia="Times New Roman"/>
          <w:i w:val="0"/>
          <w:iCs w:val="0"/>
          <w:sz w:val="24"/>
          <w:szCs w:val="24"/>
          <w:u w:val="none"/>
        </w:rPr>
        <w:t>Subsecretario General</w:t>
      </w:r>
    </w:p>
    <w:p w14:paraId="4A7DFD04" w14:textId="77777777" w:rsidR="00921F72" w:rsidRPr="00FB2784" w:rsidRDefault="00921F72" w:rsidP="009C0BAE">
      <w:pPr>
        <w:ind w:right="851" w:firstLine="709"/>
        <w:jc w:val="both"/>
        <w:rPr>
          <w:b/>
          <w:bCs/>
        </w:rPr>
      </w:pPr>
      <w:r w:rsidRPr="00FB2784">
        <w:rPr>
          <w:b/>
          <w:bCs/>
        </w:rPr>
        <w:t>Corte Suprema de Justicia</w:t>
      </w:r>
    </w:p>
    <w:p w14:paraId="5E606D4D" w14:textId="77777777" w:rsidR="00921F72" w:rsidRPr="009C0BAE" w:rsidRDefault="00921F72" w:rsidP="009C0BAE">
      <w:pPr>
        <w:jc w:val="both"/>
      </w:pPr>
    </w:p>
    <w:p w14:paraId="344DFD90" w14:textId="77777777" w:rsidR="00921F72" w:rsidRPr="009C0BAE" w:rsidRDefault="00921F72" w:rsidP="009C0BAE">
      <w:pPr>
        <w:jc w:val="both"/>
      </w:pPr>
    </w:p>
    <w:p w14:paraId="2F0547F1" w14:textId="36AD80BE" w:rsidR="00921F72" w:rsidRPr="009C0BAE" w:rsidRDefault="00921F72" w:rsidP="009C0BAE">
      <w:pPr>
        <w:jc w:val="both"/>
        <w:rPr>
          <w:bCs/>
        </w:rPr>
      </w:pPr>
      <w:proofErr w:type="spellStart"/>
      <w:r w:rsidRPr="009C0BAE">
        <w:t>Refs</w:t>
      </w:r>
      <w:proofErr w:type="spellEnd"/>
      <w:r w:rsidR="00955EEF" w:rsidRPr="009C0BAE">
        <w:t>.</w:t>
      </w:r>
      <w:r w:rsidRPr="009C0BAE">
        <w:t xml:space="preserve">: </w:t>
      </w:r>
      <w:r w:rsidR="000F2DA8">
        <w:rPr>
          <w:bCs/>
        </w:rPr>
        <w:t>2039</w:t>
      </w:r>
      <w:r w:rsidR="00A71976">
        <w:rPr>
          <w:bCs/>
        </w:rPr>
        <w:t>-</w:t>
      </w:r>
      <w:r w:rsidR="000F2DA8">
        <w:rPr>
          <w:bCs/>
        </w:rPr>
        <w:t>2022</w:t>
      </w:r>
    </w:p>
    <w:p w14:paraId="78A5BF17" w14:textId="3BFE0672" w:rsidR="00921F72" w:rsidRPr="000F2DA8" w:rsidRDefault="000F2DA8" w:rsidP="009C0BAE">
      <w:pPr>
        <w:jc w:val="both"/>
        <w:rPr>
          <w:i/>
          <w:iCs/>
        </w:rPr>
      </w:pPr>
      <w:proofErr w:type="spellStart"/>
      <w:r w:rsidRPr="000F2DA8">
        <w:rPr>
          <w:bCs/>
          <w:i/>
          <w:iCs/>
        </w:rPr>
        <w:t>Cpq</w:t>
      </w:r>
      <w:proofErr w:type="spellEnd"/>
    </w:p>
    <w:p w14:paraId="09A0CDB2" w14:textId="77777777" w:rsidR="00834F47" w:rsidRPr="009C0BAE" w:rsidRDefault="00766432" w:rsidP="009C0BAE">
      <w:pPr>
        <w:jc w:val="both"/>
      </w:pPr>
    </w:p>
    <w:sectPr w:rsidR="00834F47" w:rsidRPr="009C0BAE"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A655E"/>
    <w:multiLevelType w:val="hybridMultilevel"/>
    <w:tmpl w:val="4A7E212E"/>
    <w:lvl w:ilvl="0" w:tplc="140A000D">
      <w:start w:val="1"/>
      <w:numFmt w:val="bullet"/>
      <w:lvlText w:val=""/>
      <w:lvlJc w:val="left"/>
      <w:pPr>
        <w:ind w:left="720" w:hanging="360"/>
      </w:pPr>
      <w:rPr>
        <w:rFonts w:ascii="Wingdings" w:hAnsi="Wingdings" w:hint="default"/>
      </w:rPr>
    </w:lvl>
    <w:lvl w:ilvl="1" w:tplc="59C44BDE">
      <w:numFmt w:val="bullet"/>
      <w:lvlText w:val=""/>
      <w:lvlJc w:val="left"/>
      <w:pPr>
        <w:ind w:left="1440" w:hanging="360"/>
      </w:pPr>
      <w:rPr>
        <w:rFonts w:ascii="Symbol" w:eastAsia="Calibri" w:hAnsi="Symbol"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0F2DA8"/>
    <w:rsid w:val="004C1F31"/>
    <w:rsid w:val="004F0832"/>
    <w:rsid w:val="006154EE"/>
    <w:rsid w:val="00671363"/>
    <w:rsid w:val="00766432"/>
    <w:rsid w:val="00921F72"/>
    <w:rsid w:val="00955EEF"/>
    <w:rsid w:val="009B11A5"/>
    <w:rsid w:val="009C0BAE"/>
    <w:rsid w:val="00A42F3D"/>
    <w:rsid w:val="00A71976"/>
    <w:rsid w:val="00BF04C1"/>
    <w:rsid w:val="00C36E93"/>
    <w:rsid w:val="00CE3215"/>
    <w:rsid w:val="00DB6D3A"/>
    <w:rsid w:val="00DD6EE5"/>
    <w:rsid w:val="00F11CCA"/>
    <w:rsid w:val="00F44A45"/>
    <w:rsid w:val="00FB278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1E60"/>
  <w15:docId w15:val="{15CB7EE0-D91D-4E2A-B3D6-EE400041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Bryan Chacón Gamboa . Aut.</cp:lastModifiedBy>
  <cp:revision>2</cp:revision>
  <dcterms:created xsi:type="dcterms:W3CDTF">2022-03-25T20:34:00Z</dcterms:created>
  <dcterms:modified xsi:type="dcterms:W3CDTF">2022-03-25T20:34:00Z</dcterms:modified>
</cp:coreProperties>
</file>