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31302BE" w14:textId="77777777" w:rsidR="00C07FD6" w:rsidRDefault="00C07FD6" w:rsidP="00C07FD6">
      <w:pPr>
        <w:suppressAutoHyphens w:val="0"/>
        <w:jc w:val="center"/>
        <w:textAlignment w:val="baseline"/>
        <w:rPr>
          <w:rFonts w:eastAsia="SimSun"/>
          <w:b/>
          <w:bCs/>
          <w:kern w:val="0"/>
          <w:u w:val="single"/>
          <w:lang w:val="es-CR" w:eastAsia="zh-CN" w:bidi="hi-IN"/>
        </w:rPr>
      </w:pPr>
    </w:p>
    <w:p w14:paraId="2E722F3F" w14:textId="77777777" w:rsidR="00C07FD6" w:rsidRDefault="00C07FD6" w:rsidP="00C07FD6">
      <w:pPr>
        <w:suppressAutoHyphens w:val="0"/>
        <w:jc w:val="center"/>
        <w:textAlignment w:val="baseline"/>
        <w:rPr>
          <w:rFonts w:eastAsia="SimSun"/>
          <w:b/>
          <w:bCs/>
          <w:kern w:val="0"/>
          <w:u w:val="single"/>
          <w:lang w:val="es-CR" w:eastAsia="zh-CN" w:bidi="hi-IN"/>
        </w:rPr>
      </w:pPr>
    </w:p>
    <w:p w14:paraId="7B072BB9" w14:textId="6F51C151" w:rsidR="008E6220" w:rsidRPr="00947600" w:rsidRDefault="008E6220" w:rsidP="00C07FD6">
      <w:pPr>
        <w:suppressAutoHyphens w:val="0"/>
        <w:jc w:val="center"/>
        <w:textAlignment w:val="baseline"/>
        <w:rPr>
          <w:rFonts w:eastAsia="SimSun"/>
          <w:b/>
          <w:bCs/>
          <w:color w:val="FF0000"/>
          <w:kern w:val="0"/>
          <w:u w:val="single"/>
          <w:lang w:val="es-CR" w:eastAsia="zh-CN" w:bidi="hi-IN"/>
        </w:rPr>
      </w:pPr>
      <w:r w:rsidRPr="00ED7A7D">
        <w:rPr>
          <w:rFonts w:eastAsia="SimSun"/>
          <w:b/>
          <w:bCs/>
          <w:kern w:val="0"/>
          <w:u w:val="single"/>
          <w:lang w:val="es-CR" w:eastAsia="zh-CN" w:bidi="hi-IN"/>
        </w:rPr>
        <w:t xml:space="preserve">CIRCULAR </w:t>
      </w:r>
      <w:r w:rsidRPr="00C326A2">
        <w:rPr>
          <w:rFonts w:eastAsia="SimSun"/>
          <w:b/>
          <w:bCs/>
          <w:kern w:val="0"/>
          <w:u w:val="single"/>
          <w:lang w:val="es-CR" w:eastAsia="zh-CN" w:bidi="hi-IN"/>
        </w:rPr>
        <w:t>No.</w:t>
      </w:r>
      <w:r w:rsidR="0059028E">
        <w:rPr>
          <w:rFonts w:eastAsia="SimSun"/>
          <w:b/>
          <w:bCs/>
          <w:kern w:val="0"/>
          <w:u w:val="single"/>
          <w:lang w:val="es-CR" w:eastAsia="zh-CN" w:bidi="hi-IN"/>
        </w:rPr>
        <w:t>63</w:t>
      </w:r>
      <w:r w:rsidR="0086351B" w:rsidRPr="00C326A2">
        <w:rPr>
          <w:rFonts w:eastAsia="SimSun"/>
          <w:b/>
          <w:bCs/>
          <w:kern w:val="0"/>
          <w:u w:val="single"/>
          <w:lang w:val="es-CR" w:eastAsia="zh-CN" w:bidi="hi-IN"/>
        </w:rPr>
        <w:t>-202</w:t>
      </w:r>
      <w:r w:rsidR="002476AD" w:rsidRPr="00C326A2">
        <w:rPr>
          <w:rFonts w:eastAsia="SimSun"/>
          <w:b/>
          <w:bCs/>
          <w:kern w:val="0"/>
          <w:u w:val="single"/>
          <w:lang w:val="es-CR" w:eastAsia="zh-CN" w:bidi="hi-IN"/>
        </w:rPr>
        <w:t>2</w:t>
      </w:r>
    </w:p>
    <w:p w14:paraId="60F32560" w14:textId="38ACE978" w:rsidR="004F3186" w:rsidRDefault="004F3186" w:rsidP="00C07FD6">
      <w:pPr>
        <w:suppressAutoHyphens w:val="0"/>
        <w:ind w:firstLine="709"/>
        <w:jc w:val="center"/>
        <w:textAlignment w:val="baseline"/>
        <w:rPr>
          <w:rFonts w:eastAsia="SimSun"/>
          <w:b/>
          <w:bCs/>
          <w:kern w:val="0"/>
          <w:lang w:val="es-CR" w:eastAsia="zh-CN" w:bidi="hi-IN"/>
        </w:rPr>
      </w:pPr>
    </w:p>
    <w:p w14:paraId="5C85630E" w14:textId="6D8B503C" w:rsidR="00966610" w:rsidRDefault="00966610" w:rsidP="00876032">
      <w:pPr>
        <w:suppressAutoHyphens w:val="0"/>
        <w:ind w:firstLine="709"/>
        <w:jc w:val="both"/>
        <w:textAlignment w:val="baseline"/>
        <w:rPr>
          <w:rFonts w:eastAsia="SimSun"/>
          <w:b/>
          <w:bCs/>
          <w:kern w:val="0"/>
          <w:lang w:val="es-CR" w:eastAsia="zh-CN" w:bidi="hi-IN"/>
        </w:rPr>
      </w:pPr>
    </w:p>
    <w:p w14:paraId="14921186" w14:textId="77777777" w:rsidR="00C07FD6" w:rsidRPr="00876032" w:rsidRDefault="00C07FD6" w:rsidP="00876032">
      <w:pPr>
        <w:suppressAutoHyphens w:val="0"/>
        <w:ind w:firstLine="709"/>
        <w:jc w:val="both"/>
        <w:textAlignment w:val="baseline"/>
        <w:rPr>
          <w:rFonts w:eastAsia="SimSun"/>
          <w:b/>
          <w:bCs/>
          <w:kern w:val="0"/>
          <w:lang w:val="es-CR" w:eastAsia="zh-CN" w:bidi="hi-IN"/>
        </w:rPr>
      </w:pPr>
    </w:p>
    <w:p w14:paraId="0E2C2F98" w14:textId="14EBE495" w:rsidR="00F17172" w:rsidRDefault="003C0AEA" w:rsidP="00966610">
      <w:pPr>
        <w:ind w:right="851"/>
        <w:jc w:val="both"/>
        <w:rPr>
          <w:rFonts w:eastAsia="Calibri"/>
          <w:lang w:val="es-CR" w:eastAsia="en-US"/>
        </w:rPr>
      </w:pPr>
      <w:r w:rsidRPr="00966610">
        <w:rPr>
          <w:b/>
          <w:bCs/>
          <w:color w:val="000000" w:themeColor="text1"/>
          <w:u w:val="single"/>
        </w:rPr>
        <w:t>Asunto</w:t>
      </w:r>
      <w:r w:rsidRPr="00966610">
        <w:rPr>
          <w:bCs/>
          <w:color w:val="000000" w:themeColor="text1"/>
        </w:rPr>
        <w:t>:</w:t>
      </w:r>
      <w:r w:rsidR="000F679F" w:rsidRPr="00966610">
        <w:rPr>
          <w:bCs/>
          <w:color w:val="000000" w:themeColor="text1"/>
        </w:rPr>
        <w:t xml:space="preserve"> </w:t>
      </w:r>
      <w:r w:rsidR="00966610" w:rsidRPr="00966610">
        <w:rPr>
          <w:lang w:val="es-CR"/>
        </w:rPr>
        <w:t>Obligatoriedad de mantener las fases de los expedientes actualizadas</w:t>
      </w:r>
      <w:r w:rsidR="005D2CA9" w:rsidRPr="00966610">
        <w:rPr>
          <w:rFonts w:eastAsia="Calibri"/>
          <w:lang w:val="es-CR" w:eastAsia="en-US"/>
        </w:rPr>
        <w:t xml:space="preserve">. </w:t>
      </w:r>
      <w:r w:rsidR="00966610">
        <w:rPr>
          <w:rFonts w:eastAsia="Calibri"/>
          <w:lang w:val="es-CR" w:eastAsia="en-US"/>
        </w:rPr>
        <w:t>–</w:t>
      </w:r>
    </w:p>
    <w:p w14:paraId="6C38542D" w14:textId="77777777" w:rsidR="00966610" w:rsidRPr="00966610" w:rsidRDefault="00966610" w:rsidP="00966610">
      <w:pPr>
        <w:ind w:right="851"/>
        <w:jc w:val="both"/>
        <w:rPr>
          <w:lang w:val="es-CR"/>
        </w:rPr>
      </w:pPr>
    </w:p>
    <w:p w14:paraId="305B4C26" w14:textId="42B701BE" w:rsidR="00EF4D78" w:rsidRDefault="00EF4D78" w:rsidP="00EF4D78">
      <w:pPr>
        <w:ind w:right="851"/>
        <w:rPr>
          <w:i/>
          <w:iCs/>
        </w:rPr>
      </w:pPr>
    </w:p>
    <w:p w14:paraId="01CABB7B" w14:textId="77777777" w:rsidR="00C07FD6" w:rsidRPr="00632E57" w:rsidRDefault="00C07FD6" w:rsidP="00EF4D78">
      <w:pPr>
        <w:ind w:right="851"/>
        <w:rPr>
          <w:i/>
          <w:iCs/>
        </w:rPr>
      </w:pPr>
    </w:p>
    <w:p w14:paraId="31BCD182" w14:textId="02915040" w:rsidR="003C0AEA" w:rsidRPr="00966610" w:rsidRDefault="00966610" w:rsidP="00C07FD6">
      <w:pPr>
        <w:ind w:right="851"/>
        <w:jc w:val="center"/>
        <w:rPr>
          <w:b/>
          <w:bCs/>
          <w:color w:val="000000" w:themeColor="text1"/>
          <w:u w:val="single"/>
        </w:rPr>
      </w:pPr>
      <w:r w:rsidRPr="00966610">
        <w:rPr>
          <w:b/>
          <w:bCs/>
          <w:color w:val="000000" w:themeColor="text1"/>
          <w:u w:val="single"/>
        </w:rPr>
        <w:t>A TODOS LOS DESPACHOS JUDICIALES DEL PAÍS QUE CONOCEN MATERIA DE VIOLENCIA DOMÉSTICA</w:t>
      </w:r>
      <w:r w:rsidR="00535D8D">
        <w:rPr>
          <w:b/>
          <w:bCs/>
          <w:color w:val="000000" w:themeColor="text1"/>
          <w:u w:val="single"/>
        </w:rPr>
        <w:t>, SE LES</w:t>
      </w:r>
      <w:r w:rsidR="002B2DEC">
        <w:rPr>
          <w:b/>
          <w:bCs/>
          <w:color w:val="000000" w:themeColor="text1"/>
          <w:u w:val="single"/>
        </w:rPr>
        <w:t xml:space="preserve"> HACE</w:t>
      </w:r>
      <w:r w:rsidR="006B2531">
        <w:rPr>
          <w:b/>
          <w:bCs/>
          <w:color w:val="000000" w:themeColor="text1"/>
          <w:u w:val="single"/>
        </w:rPr>
        <w:t xml:space="preserve"> </w:t>
      </w:r>
      <w:r w:rsidR="003C0AEA" w:rsidRPr="00ED7A7D">
        <w:rPr>
          <w:b/>
          <w:bCs/>
          <w:color w:val="000000" w:themeColor="text1"/>
          <w:u w:val="single"/>
        </w:rPr>
        <w:t>SABER QUE:</w:t>
      </w:r>
    </w:p>
    <w:p w14:paraId="33BE4271" w14:textId="77777777" w:rsidR="003C0AEA" w:rsidRPr="004F64F7" w:rsidRDefault="003C0AEA" w:rsidP="00C07FD6">
      <w:pPr>
        <w:ind w:left="851" w:right="851" w:firstLine="709"/>
        <w:jc w:val="center"/>
        <w:rPr>
          <w:b/>
          <w:bCs/>
          <w:color w:val="000000" w:themeColor="text1"/>
        </w:rPr>
      </w:pPr>
    </w:p>
    <w:p w14:paraId="3577139C" w14:textId="72635CA8" w:rsidR="00966610" w:rsidRPr="00966610" w:rsidRDefault="00EF4D78" w:rsidP="00966610">
      <w:pPr>
        <w:pStyle w:val="Dispositiva"/>
        <w:spacing w:before="0" w:after="0" w:line="240" w:lineRule="auto"/>
        <w:rPr>
          <w:sz w:val="24"/>
          <w:szCs w:val="24"/>
        </w:rPr>
      </w:pPr>
      <w:r w:rsidRPr="00966610">
        <w:rPr>
          <w:sz w:val="24"/>
          <w:szCs w:val="24"/>
        </w:rPr>
        <w:t xml:space="preserve">El Consejo Superior del Poder Judicial en </w:t>
      </w:r>
      <w:proofErr w:type="spellStart"/>
      <w:r w:rsidRPr="00966610">
        <w:rPr>
          <w:sz w:val="24"/>
          <w:szCs w:val="24"/>
        </w:rPr>
        <w:t>sesión</w:t>
      </w:r>
      <w:proofErr w:type="spellEnd"/>
      <w:r w:rsidRPr="00966610">
        <w:rPr>
          <w:sz w:val="24"/>
          <w:szCs w:val="24"/>
        </w:rPr>
        <w:t xml:space="preserve"> N°</w:t>
      </w:r>
      <w:r w:rsidR="00947600" w:rsidRPr="00966610">
        <w:rPr>
          <w:sz w:val="24"/>
          <w:szCs w:val="24"/>
        </w:rPr>
        <w:t xml:space="preserve"> </w:t>
      </w:r>
      <w:r w:rsidR="00966610" w:rsidRPr="00966610">
        <w:rPr>
          <w:sz w:val="24"/>
          <w:szCs w:val="24"/>
        </w:rPr>
        <w:t xml:space="preserve">24-2022 celebrada el 17 de </w:t>
      </w:r>
      <w:proofErr w:type="spellStart"/>
      <w:r w:rsidR="00966610" w:rsidRPr="00966610">
        <w:rPr>
          <w:sz w:val="24"/>
          <w:szCs w:val="24"/>
        </w:rPr>
        <w:t>marzo</w:t>
      </w:r>
      <w:proofErr w:type="spellEnd"/>
      <w:r w:rsidR="00966610" w:rsidRPr="00966610">
        <w:rPr>
          <w:sz w:val="24"/>
          <w:szCs w:val="24"/>
        </w:rPr>
        <w:t xml:space="preserve"> de 2022</w:t>
      </w:r>
      <w:r w:rsidRPr="00966610">
        <w:rPr>
          <w:sz w:val="24"/>
          <w:szCs w:val="24"/>
        </w:rPr>
        <w:t xml:space="preserve">, artículo </w:t>
      </w:r>
      <w:r w:rsidR="00966610" w:rsidRPr="00966610">
        <w:rPr>
          <w:sz w:val="24"/>
          <w:szCs w:val="24"/>
        </w:rPr>
        <w:t>XLVIII</w:t>
      </w:r>
      <w:r w:rsidRPr="00966610">
        <w:rPr>
          <w:sz w:val="24"/>
          <w:szCs w:val="24"/>
        </w:rPr>
        <w:t xml:space="preserve">, </w:t>
      </w:r>
      <w:proofErr w:type="spellStart"/>
      <w:r w:rsidRPr="00966610">
        <w:rPr>
          <w:sz w:val="24"/>
          <w:szCs w:val="24"/>
        </w:rPr>
        <w:t>dispuso</w:t>
      </w:r>
      <w:proofErr w:type="spellEnd"/>
      <w:r w:rsidR="006A4D81" w:rsidRPr="00966610">
        <w:rPr>
          <w:sz w:val="24"/>
          <w:szCs w:val="24"/>
        </w:rPr>
        <w:t xml:space="preserve"> </w:t>
      </w:r>
      <w:r w:rsidR="00966610" w:rsidRPr="00966610">
        <w:rPr>
          <w:sz w:val="24"/>
          <w:szCs w:val="24"/>
        </w:rPr>
        <w:t xml:space="preserve">a </w:t>
      </w:r>
      <w:proofErr w:type="spellStart"/>
      <w:r w:rsidR="00966610" w:rsidRPr="00966610">
        <w:rPr>
          <w:sz w:val="24"/>
          <w:szCs w:val="24"/>
        </w:rPr>
        <w:t>solicitud</w:t>
      </w:r>
      <w:proofErr w:type="spellEnd"/>
      <w:r w:rsidR="00966610" w:rsidRPr="00966610">
        <w:rPr>
          <w:sz w:val="24"/>
          <w:szCs w:val="24"/>
        </w:rPr>
        <w:t xml:space="preserve"> de la </w:t>
      </w:r>
      <w:r w:rsidR="00966610" w:rsidRPr="00966610">
        <w:rPr>
          <w:sz w:val="24"/>
          <w:szCs w:val="24"/>
          <w:lang w:val="es-CR"/>
        </w:rPr>
        <w:t>Comisión Permanente para el Seguimiento de la Atención y Prevención de la Violencia Intrafamiliar, hacer de conocimiento el</w:t>
      </w:r>
      <w:r w:rsidR="00966610">
        <w:rPr>
          <w:sz w:val="24"/>
          <w:szCs w:val="24"/>
          <w:lang w:val="es-CR"/>
        </w:rPr>
        <w:t xml:space="preserve"> oficio </w:t>
      </w:r>
      <w:proofErr w:type="spellStart"/>
      <w:r w:rsidR="00966610">
        <w:rPr>
          <w:sz w:val="24"/>
          <w:szCs w:val="24"/>
          <w:lang w:val="es-CR"/>
        </w:rPr>
        <w:t>N°</w:t>
      </w:r>
      <w:proofErr w:type="spellEnd"/>
      <w:r w:rsidR="00966610" w:rsidRPr="00966610">
        <w:rPr>
          <w:sz w:val="24"/>
          <w:szCs w:val="24"/>
          <w:lang w:val="es-CR"/>
        </w:rPr>
        <w:t xml:space="preserve"> 06-CVI-2022 del 7 de marzo de 2022 de la citada Comisión, el cual hace referencia a fases de los expedientes en la materia, las cuales se resumen a continuación</w:t>
      </w:r>
      <w:r w:rsidR="00966610">
        <w:rPr>
          <w:sz w:val="24"/>
          <w:szCs w:val="24"/>
          <w:lang w:val="es-CR"/>
        </w:rPr>
        <w:t>,</w:t>
      </w:r>
      <w:r w:rsidR="00966610" w:rsidRPr="00966610">
        <w:rPr>
          <w:sz w:val="24"/>
          <w:szCs w:val="24"/>
          <w:lang w:val="es-CR"/>
        </w:rPr>
        <w:t xml:space="preserve"> a fin de que se mejore la recolección de información y se estandarice a nivel nacional los datos que se registran, facilitando el análisis y mejorando los controles que debe llevar las oficinas.</w:t>
      </w:r>
    </w:p>
    <w:p w14:paraId="34382961" w14:textId="77777777" w:rsidR="00966610" w:rsidRPr="00946F58" w:rsidRDefault="00966610" w:rsidP="00966610">
      <w:pPr>
        <w:ind w:left="851" w:right="851" w:firstLine="709"/>
        <w:jc w:val="both"/>
        <w:rPr>
          <w:sz w:val="23"/>
          <w:szCs w:val="23"/>
          <w:lang w:val="es-CR"/>
        </w:rPr>
      </w:pPr>
    </w:p>
    <w:p w14:paraId="699842AE" w14:textId="77777777" w:rsidR="00966610" w:rsidRPr="00966610" w:rsidRDefault="00966610" w:rsidP="00966610">
      <w:pPr>
        <w:widowControl/>
        <w:numPr>
          <w:ilvl w:val="0"/>
          <w:numId w:val="20"/>
        </w:numPr>
        <w:suppressAutoHyphens w:val="0"/>
        <w:autoSpaceDE w:val="0"/>
        <w:autoSpaceDN w:val="0"/>
        <w:adjustRightInd w:val="0"/>
        <w:ind w:left="851" w:right="851" w:firstLine="709"/>
        <w:jc w:val="both"/>
        <w:rPr>
          <w:lang w:val="es-CR"/>
        </w:rPr>
      </w:pPr>
      <w:r w:rsidRPr="00966610">
        <w:rPr>
          <w:lang w:val="es-CR"/>
        </w:rPr>
        <w:t xml:space="preserve">Informar a los Juzgados de Violencia Doméstica que es su obligación mantener los expedientes actualizados en los sistemas, incluyendo las cuatro fases que existen en materia de Violencia Doméstica a saber: </w:t>
      </w:r>
    </w:p>
    <w:p w14:paraId="11430241" w14:textId="77777777" w:rsidR="00966610" w:rsidRPr="00966610" w:rsidRDefault="00966610" w:rsidP="00966610">
      <w:pPr>
        <w:ind w:left="851" w:right="851" w:firstLine="709"/>
        <w:jc w:val="both"/>
        <w:rPr>
          <w:lang w:val="es-CR"/>
        </w:rPr>
      </w:pPr>
    </w:p>
    <w:p w14:paraId="52BA2073" w14:textId="77777777" w:rsidR="00966610" w:rsidRPr="00966610" w:rsidRDefault="00966610" w:rsidP="00966610">
      <w:pPr>
        <w:widowControl/>
        <w:numPr>
          <w:ilvl w:val="0"/>
          <w:numId w:val="19"/>
        </w:numPr>
        <w:tabs>
          <w:tab w:val="clear" w:pos="720"/>
          <w:tab w:val="left" w:pos="708"/>
        </w:tabs>
        <w:autoSpaceDN w:val="0"/>
        <w:ind w:left="851" w:right="851" w:firstLine="709"/>
        <w:jc w:val="both"/>
        <w:rPr>
          <w:lang w:val="es-CR"/>
        </w:rPr>
      </w:pPr>
      <w:r w:rsidRPr="00966610">
        <w:rPr>
          <w:b/>
          <w:lang w:val="es-CR"/>
        </w:rPr>
        <w:t xml:space="preserve">Inicial o demanda: </w:t>
      </w:r>
      <w:r w:rsidRPr="00966610">
        <w:rPr>
          <w:lang w:val="es-CR"/>
        </w:rPr>
        <w:t xml:space="preserve">Inicio del proceso judicial, el sistema la asigna automáticamente. Se llevan a cabo las alegaciones de las partes y se resuelven las cuestiones interlocutorias previas a la prueba. </w:t>
      </w:r>
    </w:p>
    <w:p w14:paraId="497BB564" w14:textId="77777777" w:rsidR="00966610" w:rsidRPr="00966610" w:rsidRDefault="00966610" w:rsidP="00966610">
      <w:pPr>
        <w:ind w:left="851" w:right="851" w:firstLine="709"/>
        <w:jc w:val="both"/>
        <w:rPr>
          <w:lang w:val="es-CR"/>
        </w:rPr>
      </w:pPr>
    </w:p>
    <w:p w14:paraId="29EAA076" w14:textId="77777777" w:rsidR="00966610" w:rsidRPr="00966610" w:rsidRDefault="00966610" w:rsidP="00966610">
      <w:pPr>
        <w:ind w:left="851" w:right="851" w:firstLine="709"/>
        <w:jc w:val="both"/>
        <w:rPr>
          <w:lang w:val="es-CR"/>
        </w:rPr>
      </w:pPr>
      <w:r w:rsidRPr="00966610">
        <w:rPr>
          <w:lang w:val="es-CR"/>
        </w:rPr>
        <w:t xml:space="preserve">Se utiliza desde que se creó la carpeta hasta la redacción del señalamiento a audiencia.  </w:t>
      </w:r>
    </w:p>
    <w:p w14:paraId="291A8E42" w14:textId="77777777" w:rsidR="00966610" w:rsidRPr="00966610" w:rsidRDefault="00966610" w:rsidP="00966610">
      <w:pPr>
        <w:ind w:left="851" w:right="851" w:firstLine="709"/>
        <w:jc w:val="both"/>
        <w:rPr>
          <w:lang w:val="es-CR"/>
        </w:rPr>
      </w:pPr>
    </w:p>
    <w:p w14:paraId="7AD04713" w14:textId="77777777" w:rsidR="00966610" w:rsidRPr="00966610" w:rsidRDefault="00966610" w:rsidP="00966610">
      <w:pPr>
        <w:ind w:left="851" w:right="851" w:firstLine="709"/>
        <w:jc w:val="both"/>
        <w:rPr>
          <w:lang w:val="es-CR"/>
        </w:rPr>
      </w:pPr>
      <w:r w:rsidRPr="00966610">
        <w:rPr>
          <w:lang w:val="es-CR"/>
        </w:rPr>
        <w:t>Aquí también se ubican los expedientes cuando están a la espera de notificar a la parte la realización de la audiencia o algún trámite en donde la notificación ha sido infructuosa y ya se agotaron las posibilidades (estado archivo provisional hasta por un año). Sino aparece el prevenido se cierra por el motivo de término “</w:t>
      </w:r>
      <w:r w:rsidRPr="00966610">
        <w:rPr>
          <w:i/>
          <w:lang w:val="es-CR"/>
        </w:rPr>
        <w:t>levantamiento de medida por transcurso del tiempo sin notificar</w:t>
      </w:r>
      <w:r w:rsidRPr="00966610">
        <w:rPr>
          <w:lang w:val="es-CR"/>
        </w:rPr>
        <w:t xml:space="preserve">”.  </w:t>
      </w:r>
    </w:p>
    <w:p w14:paraId="2343A096" w14:textId="77777777" w:rsidR="00966610" w:rsidRPr="00966610" w:rsidRDefault="00966610" w:rsidP="00966610">
      <w:pPr>
        <w:ind w:left="851" w:right="851" w:firstLine="709"/>
        <w:jc w:val="both"/>
        <w:rPr>
          <w:lang w:val="es-CR"/>
        </w:rPr>
      </w:pPr>
    </w:p>
    <w:p w14:paraId="7474578E" w14:textId="1E58E89D" w:rsidR="00966610" w:rsidRDefault="00966610" w:rsidP="00966610">
      <w:pPr>
        <w:widowControl/>
        <w:numPr>
          <w:ilvl w:val="0"/>
          <w:numId w:val="19"/>
        </w:numPr>
        <w:tabs>
          <w:tab w:val="clear" w:pos="720"/>
          <w:tab w:val="left" w:pos="708"/>
        </w:tabs>
        <w:autoSpaceDN w:val="0"/>
        <w:ind w:left="851" w:right="851" w:firstLine="709"/>
        <w:jc w:val="both"/>
        <w:rPr>
          <w:lang w:val="es-CR"/>
        </w:rPr>
      </w:pPr>
      <w:r w:rsidRPr="00966610">
        <w:rPr>
          <w:b/>
          <w:lang w:val="es-CR"/>
        </w:rPr>
        <w:t xml:space="preserve">Demostrativa: </w:t>
      </w:r>
      <w:r w:rsidRPr="00966610">
        <w:rPr>
          <w:lang w:val="es-CR"/>
        </w:rPr>
        <w:t xml:space="preserve">Corresponde a la fase en la cual se llevan a cabo todos los actos procesales relativos a la prueba ordinaria. Desde el </w:t>
      </w:r>
      <w:r w:rsidRPr="00966610">
        <w:rPr>
          <w:lang w:val="es-CR"/>
        </w:rPr>
        <w:lastRenderedPageBreak/>
        <w:t>señalamiento a la audiencia hasta el momento que el expediente se ubica en “</w:t>
      </w:r>
      <w:proofErr w:type="spellStart"/>
      <w:r w:rsidRPr="00966610">
        <w:rPr>
          <w:lang w:val="es-CR"/>
        </w:rPr>
        <w:t>Exp</w:t>
      </w:r>
      <w:proofErr w:type="spellEnd"/>
      <w:r w:rsidRPr="00966610">
        <w:rPr>
          <w:lang w:val="es-CR"/>
        </w:rPr>
        <w:t xml:space="preserve"> listo para fallar-Sentencia </w:t>
      </w:r>
      <w:proofErr w:type="spellStart"/>
      <w:r w:rsidRPr="00966610">
        <w:rPr>
          <w:lang w:val="es-CR"/>
        </w:rPr>
        <w:t>Vd</w:t>
      </w:r>
      <w:proofErr w:type="spellEnd"/>
      <w:r w:rsidRPr="00966610">
        <w:rPr>
          <w:lang w:val="es-CR"/>
        </w:rPr>
        <w:t>”</w:t>
      </w:r>
    </w:p>
    <w:p w14:paraId="53E089B4" w14:textId="77777777" w:rsidR="00C07FD6" w:rsidRPr="00966610" w:rsidRDefault="00C07FD6" w:rsidP="00C07FD6">
      <w:pPr>
        <w:widowControl/>
        <w:autoSpaceDN w:val="0"/>
        <w:ind w:left="1560" w:right="851"/>
        <w:jc w:val="both"/>
        <w:rPr>
          <w:lang w:val="es-CR"/>
        </w:rPr>
      </w:pPr>
    </w:p>
    <w:p w14:paraId="2E4FE437" w14:textId="77777777" w:rsidR="00966610" w:rsidRPr="00966610" w:rsidRDefault="00966610" w:rsidP="00966610">
      <w:pPr>
        <w:ind w:left="851" w:right="851" w:firstLine="709"/>
        <w:jc w:val="both"/>
        <w:rPr>
          <w:lang w:val="es-CR"/>
        </w:rPr>
      </w:pPr>
    </w:p>
    <w:p w14:paraId="49F2CEBF" w14:textId="680FA0D8" w:rsidR="00966610" w:rsidRDefault="00966610" w:rsidP="00966610">
      <w:pPr>
        <w:widowControl/>
        <w:numPr>
          <w:ilvl w:val="0"/>
          <w:numId w:val="19"/>
        </w:numPr>
        <w:tabs>
          <w:tab w:val="clear" w:pos="720"/>
          <w:tab w:val="left" w:pos="708"/>
        </w:tabs>
        <w:autoSpaceDN w:val="0"/>
        <w:ind w:left="851" w:right="851" w:firstLine="709"/>
        <w:jc w:val="both"/>
        <w:rPr>
          <w:lang w:val="es-CR"/>
        </w:rPr>
      </w:pPr>
      <w:r w:rsidRPr="00966610">
        <w:rPr>
          <w:b/>
          <w:lang w:val="es-CR"/>
        </w:rPr>
        <w:t xml:space="preserve">Conclusiva: </w:t>
      </w:r>
      <w:r w:rsidRPr="00966610">
        <w:rPr>
          <w:lang w:val="es-CR"/>
        </w:rPr>
        <w:t>Etapa procesal que se inicia a partir del momento que el expediente se encuentra listo para dictar sentencia, incorporado en la tarea "</w:t>
      </w:r>
      <w:proofErr w:type="spellStart"/>
      <w:r w:rsidRPr="00966610">
        <w:rPr>
          <w:b/>
          <w:i/>
          <w:u w:val="single"/>
          <w:lang w:val="es-CR"/>
        </w:rPr>
        <w:t>Exp</w:t>
      </w:r>
      <w:proofErr w:type="spellEnd"/>
      <w:r w:rsidRPr="00966610">
        <w:rPr>
          <w:b/>
          <w:i/>
          <w:u w:val="single"/>
          <w:lang w:val="es-CR"/>
        </w:rPr>
        <w:t>. Listo para dictar fallar-Sentencia VD"</w:t>
      </w:r>
      <w:r w:rsidRPr="00966610">
        <w:rPr>
          <w:lang w:val="es-CR"/>
        </w:rPr>
        <w:t xml:space="preserve">   siguiendo con el dictado de la sentencia de primera instancia. Durante el período que el expediente se pasa a fallo, se dicta sentencia y esta adquiere firmeza (3 días). </w:t>
      </w:r>
    </w:p>
    <w:p w14:paraId="3A9A723C" w14:textId="77777777" w:rsidR="00C07FD6" w:rsidRPr="00966610" w:rsidRDefault="00C07FD6" w:rsidP="00C07FD6">
      <w:pPr>
        <w:widowControl/>
        <w:autoSpaceDN w:val="0"/>
        <w:ind w:left="1560" w:right="851"/>
        <w:jc w:val="both"/>
        <w:rPr>
          <w:lang w:val="es-CR"/>
        </w:rPr>
      </w:pPr>
    </w:p>
    <w:p w14:paraId="02F25B25" w14:textId="77777777" w:rsidR="00966610" w:rsidRPr="00966610" w:rsidRDefault="00966610" w:rsidP="00966610">
      <w:pPr>
        <w:ind w:left="851" w:right="851" w:firstLine="709"/>
        <w:jc w:val="both"/>
        <w:rPr>
          <w:lang w:val="es-CR"/>
        </w:rPr>
      </w:pPr>
      <w:r w:rsidRPr="00966610">
        <w:rPr>
          <w:lang w:val="es-CR"/>
        </w:rPr>
        <w:t>Aquí se mantienen las carpetas cuando cesan las medidas (tipo de resolución: levantamiento de medida de protección) que no pasa a fase de seguimiento porque se cierra la carpeta por el motivo de término “</w:t>
      </w:r>
      <w:r w:rsidRPr="00966610">
        <w:rPr>
          <w:i/>
          <w:lang w:val="es-CR"/>
        </w:rPr>
        <w:t xml:space="preserve">Levanta medida (no constituye violencia intrafamiliar)”. </w:t>
      </w:r>
    </w:p>
    <w:p w14:paraId="269F412E" w14:textId="77777777" w:rsidR="00966610" w:rsidRPr="00966610" w:rsidRDefault="00966610" w:rsidP="00966610">
      <w:pPr>
        <w:ind w:left="851" w:right="851" w:firstLine="709"/>
        <w:jc w:val="both"/>
        <w:rPr>
          <w:lang w:val="es-CR"/>
        </w:rPr>
      </w:pPr>
    </w:p>
    <w:p w14:paraId="46945808" w14:textId="77777777" w:rsidR="00966610" w:rsidRPr="00966610" w:rsidRDefault="00966610" w:rsidP="00966610">
      <w:pPr>
        <w:ind w:left="851" w:right="851" w:firstLine="709"/>
        <w:jc w:val="both"/>
        <w:rPr>
          <w:i/>
          <w:lang w:val="es-CR"/>
        </w:rPr>
      </w:pPr>
      <w:r w:rsidRPr="00966610">
        <w:rPr>
          <w:lang w:val="es-CR"/>
        </w:rPr>
        <w:t>Los procesos de rechazo de medidas pasan de fase inicial a conclusiva y se cierra por el motivo de término “</w:t>
      </w:r>
      <w:r w:rsidRPr="00966610">
        <w:rPr>
          <w:i/>
          <w:lang w:val="es-CR"/>
        </w:rPr>
        <w:t xml:space="preserve">Rechazo </w:t>
      </w:r>
      <w:proofErr w:type="spellStart"/>
      <w:r w:rsidRPr="00966610">
        <w:rPr>
          <w:i/>
          <w:lang w:val="es-CR"/>
        </w:rPr>
        <w:t>adportas</w:t>
      </w:r>
      <w:proofErr w:type="spellEnd"/>
      <w:r w:rsidRPr="00966610">
        <w:rPr>
          <w:i/>
          <w:lang w:val="es-CR"/>
        </w:rPr>
        <w:t xml:space="preserve"> (Orden de Archivo)”. </w:t>
      </w:r>
    </w:p>
    <w:p w14:paraId="4401FEFA" w14:textId="77777777" w:rsidR="00966610" w:rsidRPr="00966610" w:rsidRDefault="00966610" w:rsidP="00966610">
      <w:pPr>
        <w:ind w:left="851" w:right="851" w:firstLine="709"/>
        <w:jc w:val="both"/>
        <w:rPr>
          <w:lang w:val="es-CR"/>
        </w:rPr>
      </w:pPr>
    </w:p>
    <w:p w14:paraId="1B9F8F05" w14:textId="77777777" w:rsidR="00966610" w:rsidRPr="00966610" w:rsidRDefault="00966610" w:rsidP="00966610">
      <w:pPr>
        <w:widowControl/>
        <w:numPr>
          <w:ilvl w:val="0"/>
          <w:numId w:val="19"/>
        </w:numPr>
        <w:tabs>
          <w:tab w:val="clear" w:pos="720"/>
          <w:tab w:val="left" w:pos="708"/>
        </w:tabs>
        <w:autoSpaceDN w:val="0"/>
        <w:ind w:left="851" w:right="851" w:firstLine="709"/>
        <w:jc w:val="both"/>
        <w:rPr>
          <w:lang w:val="es-CR"/>
        </w:rPr>
      </w:pPr>
      <w:r w:rsidRPr="00966610">
        <w:rPr>
          <w:b/>
          <w:lang w:val="es-CR"/>
        </w:rPr>
        <w:t xml:space="preserve">Seguimiento: </w:t>
      </w:r>
      <w:r w:rsidRPr="00966610">
        <w:rPr>
          <w:lang w:val="es-CR"/>
        </w:rPr>
        <w:t xml:space="preserve">Dar seguimiento al cumplimiento de las medidas en firme. Los procesos con sentencia que ordena seguimiento y se encuentren en alzada, también se ubican en esta fase.  Luego el expediente se termina con motivo de término </w:t>
      </w:r>
      <w:r w:rsidRPr="00966610">
        <w:rPr>
          <w:i/>
          <w:lang w:val="es-CR"/>
        </w:rPr>
        <w:t>“Levanta medida por vencimiento de un año plazo”.</w:t>
      </w:r>
    </w:p>
    <w:p w14:paraId="45525412" w14:textId="77777777" w:rsidR="00C07FD6" w:rsidRDefault="00C07FD6" w:rsidP="00966610">
      <w:pPr>
        <w:ind w:left="851" w:right="851" w:firstLine="709"/>
        <w:jc w:val="both"/>
        <w:rPr>
          <w:lang w:val="es-CR"/>
        </w:rPr>
      </w:pPr>
    </w:p>
    <w:p w14:paraId="533E7042" w14:textId="20A145DE" w:rsidR="00966610" w:rsidRPr="00966610" w:rsidRDefault="00966610" w:rsidP="00966610">
      <w:pPr>
        <w:ind w:left="851" w:right="851" w:firstLine="709"/>
        <w:jc w:val="both"/>
        <w:rPr>
          <w:lang w:val="es-CR"/>
        </w:rPr>
      </w:pPr>
      <w:r w:rsidRPr="00966610">
        <w:rPr>
          <w:lang w:val="es-CR"/>
        </w:rPr>
        <w:t xml:space="preserve">Los expedientes en donde no hay oposición a la medida de protección pasa directamente de la fase inicial a seguimiento. </w:t>
      </w:r>
    </w:p>
    <w:p w14:paraId="1D656BB8" w14:textId="77777777" w:rsidR="00966610" w:rsidRPr="00966610" w:rsidRDefault="00966610" w:rsidP="00966610">
      <w:pPr>
        <w:ind w:left="851" w:right="851" w:firstLine="709"/>
        <w:jc w:val="both"/>
        <w:rPr>
          <w:lang w:val="es-CR"/>
        </w:rPr>
      </w:pPr>
    </w:p>
    <w:p w14:paraId="56E24038" w14:textId="77777777" w:rsidR="00966610" w:rsidRPr="00966610" w:rsidRDefault="00966610" w:rsidP="00966610">
      <w:pPr>
        <w:tabs>
          <w:tab w:val="left" w:pos="284"/>
        </w:tabs>
        <w:ind w:left="851" w:right="851" w:firstLine="709"/>
        <w:jc w:val="both"/>
        <w:rPr>
          <w:lang w:val="es-CR"/>
        </w:rPr>
      </w:pPr>
    </w:p>
    <w:p w14:paraId="705A7EFE" w14:textId="34A846F5" w:rsidR="00966610" w:rsidRPr="00966610" w:rsidRDefault="00966610" w:rsidP="00966610">
      <w:pPr>
        <w:numPr>
          <w:ilvl w:val="0"/>
          <w:numId w:val="20"/>
        </w:numPr>
        <w:tabs>
          <w:tab w:val="left" w:pos="284"/>
        </w:tabs>
        <w:autoSpaceDN w:val="0"/>
        <w:ind w:left="851" w:right="851" w:firstLine="709"/>
        <w:jc w:val="both"/>
        <w:rPr>
          <w:lang w:val="es-CR"/>
        </w:rPr>
      </w:pPr>
      <w:r w:rsidRPr="00966610">
        <w:rPr>
          <w:lang w:val="es-CR"/>
        </w:rPr>
        <w:t>Informar a los Juzgados que conocen la materia de Violencia Doméstica y las Jueces y Jueces Coordinadores que deben asegurarse de que los expedientes se actualicen correctamente y cualquier corrección necesaria se realice en los primeros 5 días del mes junto con la revisión del informe de inconsistencias.</w:t>
      </w:r>
      <w:r w:rsidRPr="00966610">
        <w:rPr>
          <w:bCs/>
          <w:lang w:val="es-CR" w:eastAsia="en-US"/>
        </w:rPr>
        <w:t>”</w:t>
      </w:r>
    </w:p>
    <w:p w14:paraId="5EE52AD5" w14:textId="77777777" w:rsidR="00966610" w:rsidRPr="00966610" w:rsidRDefault="00966610" w:rsidP="00966610">
      <w:pPr>
        <w:tabs>
          <w:tab w:val="left" w:pos="284"/>
        </w:tabs>
        <w:autoSpaceDN w:val="0"/>
        <w:ind w:left="1560" w:right="851"/>
        <w:jc w:val="both"/>
        <w:rPr>
          <w:lang w:val="es-CR"/>
        </w:rPr>
      </w:pPr>
    </w:p>
    <w:p w14:paraId="534522E7" w14:textId="77777777" w:rsidR="00C07FD6" w:rsidRDefault="00C07FD6" w:rsidP="00980071">
      <w:pPr>
        <w:ind w:right="851"/>
        <w:jc w:val="center"/>
        <w:rPr>
          <w:sz w:val="28"/>
          <w:szCs w:val="28"/>
        </w:rPr>
      </w:pPr>
    </w:p>
    <w:p w14:paraId="6E4C9C39" w14:textId="29D45ECA" w:rsidR="00F17172" w:rsidRPr="00980071" w:rsidRDefault="00F17172" w:rsidP="00980071">
      <w:pPr>
        <w:ind w:right="851"/>
        <w:jc w:val="center"/>
        <w:rPr>
          <w:sz w:val="28"/>
          <w:szCs w:val="28"/>
        </w:rPr>
      </w:pPr>
      <w:r w:rsidRPr="00980071">
        <w:rPr>
          <w:sz w:val="28"/>
          <w:szCs w:val="28"/>
        </w:rPr>
        <w:t>-0-</w:t>
      </w:r>
    </w:p>
    <w:p w14:paraId="708E8735" w14:textId="77777777" w:rsidR="00966610" w:rsidRDefault="00966610" w:rsidP="00CC421E">
      <w:pPr>
        <w:suppressAutoHyphens w:val="0"/>
        <w:ind w:firstLine="709"/>
        <w:jc w:val="both"/>
        <w:textAlignment w:val="baseline"/>
        <w:rPr>
          <w:rFonts w:eastAsia="SimSun"/>
          <w:b/>
          <w:bCs/>
          <w:kern w:val="0"/>
          <w:lang w:val="es-CR" w:eastAsia="zh-CN" w:bidi="hi-IN"/>
        </w:rPr>
      </w:pPr>
    </w:p>
    <w:p w14:paraId="2D53E773" w14:textId="77777777" w:rsidR="00C07FD6" w:rsidRDefault="00C07FD6" w:rsidP="00CC421E">
      <w:pPr>
        <w:suppressAutoHyphens w:val="0"/>
        <w:ind w:firstLine="709"/>
        <w:jc w:val="both"/>
        <w:textAlignment w:val="baseline"/>
        <w:rPr>
          <w:rFonts w:eastAsia="SimSun"/>
          <w:b/>
          <w:bCs/>
          <w:kern w:val="0"/>
          <w:lang w:val="es-CR" w:eastAsia="zh-CN" w:bidi="hi-IN"/>
        </w:rPr>
      </w:pPr>
    </w:p>
    <w:p w14:paraId="4C84AB9D" w14:textId="77777777" w:rsidR="00C07FD6" w:rsidRDefault="00C07FD6" w:rsidP="00CC421E">
      <w:pPr>
        <w:suppressAutoHyphens w:val="0"/>
        <w:ind w:firstLine="709"/>
        <w:jc w:val="both"/>
        <w:textAlignment w:val="baseline"/>
        <w:rPr>
          <w:rFonts w:eastAsia="SimSun"/>
          <w:b/>
          <w:bCs/>
          <w:kern w:val="0"/>
          <w:lang w:val="es-CR" w:eastAsia="zh-CN" w:bidi="hi-IN"/>
        </w:rPr>
      </w:pPr>
    </w:p>
    <w:p w14:paraId="7B674B04" w14:textId="77777777" w:rsidR="00C07FD6" w:rsidRDefault="00C07FD6" w:rsidP="00CC421E">
      <w:pPr>
        <w:suppressAutoHyphens w:val="0"/>
        <w:ind w:firstLine="709"/>
        <w:jc w:val="both"/>
        <w:textAlignment w:val="baseline"/>
        <w:rPr>
          <w:rFonts w:eastAsia="SimSun"/>
          <w:b/>
          <w:bCs/>
          <w:kern w:val="0"/>
          <w:lang w:val="es-CR" w:eastAsia="zh-CN" w:bidi="hi-IN"/>
        </w:rPr>
      </w:pPr>
    </w:p>
    <w:p w14:paraId="0C9C3582" w14:textId="77777777" w:rsidR="00C07FD6" w:rsidRDefault="00C07FD6" w:rsidP="00CC421E">
      <w:pPr>
        <w:suppressAutoHyphens w:val="0"/>
        <w:ind w:firstLine="709"/>
        <w:jc w:val="both"/>
        <w:textAlignment w:val="baseline"/>
        <w:rPr>
          <w:rFonts w:eastAsia="SimSun"/>
          <w:b/>
          <w:bCs/>
          <w:kern w:val="0"/>
          <w:lang w:val="es-CR" w:eastAsia="zh-CN" w:bidi="hi-IN"/>
        </w:rPr>
      </w:pPr>
    </w:p>
    <w:p w14:paraId="005C4A9C" w14:textId="77777777" w:rsidR="00C07FD6" w:rsidRDefault="00C07FD6" w:rsidP="00CC421E">
      <w:pPr>
        <w:suppressAutoHyphens w:val="0"/>
        <w:ind w:firstLine="709"/>
        <w:jc w:val="both"/>
        <w:textAlignment w:val="baseline"/>
        <w:rPr>
          <w:rFonts w:eastAsia="SimSun"/>
          <w:b/>
          <w:bCs/>
          <w:kern w:val="0"/>
          <w:lang w:val="es-CR" w:eastAsia="zh-CN" w:bidi="hi-IN"/>
        </w:rPr>
      </w:pPr>
    </w:p>
    <w:p w14:paraId="7596A672" w14:textId="77777777" w:rsidR="00C07FD6" w:rsidRDefault="00C07FD6" w:rsidP="00CC421E">
      <w:pPr>
        <w:suppressAutoHyphens w:val="0"/>
        <w:ind w:firstLine="709"/>
        <w:jc w:val="both"/>
        <w:textAlignment w:val="baseline"/>
        <w:rPr>
          <w:rFonts w:eastAsia="SimSun"/>
          <w:b/>
          <w:bCs/>
          <w:kern w:val="0"/>
          <w:lang w:val="es-CR" w:eastAsia="zh-CN" w:bidi="hi-IN"/>
        </w:rPr>
      </w:pPr>
    </w:p>
    <w:p w14:paraId="5187FBD6" w14:textId="77777777" w:rsidR="00C07FD6" w:rsidRDefault="00C07FD6" w:rsidP="00CC421E">
      <w:pPr>
        <w:suppressAutoHyphens w:val="0"/>
        <w:ind w:firstLine="709"/>
        <w:jc w:val="both"/>
        <w:textAlignment w:val="baseline"/>
        <w:rPr>
          <w:rFonts w:eastAsia="SimSun"/>
          <w:b/>
          <w:bCs/>
          <w:kern w:val="0"/>
          <w:lang w:val="es-CR" w:eastAsia="zh-CN" w:bidi="hi-IN"/>
        </w:rPr>
      </w:pPr>
    </w:p>
    <w:p w14:paraId="51D13EA7" w14:textId="77777777" w:rsidR="00C07FD6" w:rsidRDefault="00C07FD6" w:rsidP="00CC421E">
      <w:pPr>
        <w:suppressAutoHyphens w:val="0"/>
        <w:ind w:firstLine="709"/>
        <w:jc w:val="both"/>
        <w:textAlignment w:val="baseline"/>
        <w:rPr>
          <w:rFonts w:eastAsia="SimSun"/>
          <w:b/>
          <w:bCs/>
          <w:kern w:val="0"/>
          <w:lang w:val="es-CR" w:eastAsia="zh-CN" w:bidi="hi-IN"/>
        </w:rPr>
      </w:pPr>
    </w:p>
    <w:p w14:paraId="151D8DC4" w14:textId="77777777" w:rsidR="00C07FD6" w:rsidRDefault="00C07FD6" w:rsidP="00CC421E">
      <w:pPr>
        <w:suppressAutoHyphens w:val="0"/>
        <w:ind w:firstLine="709"/>
        <w:jc w:val="both"/>
        <w:textAlignment w:val="baseline"/>
        <w:rPr>
          <w:rFonts w:eastAsia="SimSun"/>
          <w:b/>
          <w:bCs/>
          <w:kern w:val="0"/>
          <w:lang w:val="es-CR" w:eastAsia="zh-CN" w:bidi="hi-IN"/>
        </w:rPr>
      </w:pPr>
    </w:p>
    <w:p w14:paraId="49760503" w14:textId="635D80A8" w:rsidR="008E6220" w:rsidRPr="002D2A97" w:rsidRDefault="008E6220" w:rsidP="00CC421E">
      <w:pPr>
        <w:suppressAutoHyphens w:val="0"/>
        <w:ind w:firstLine="709"/>
        <w:jc w:val="both"/>
        <w:textAlignment w:val="baseline"/>
        <w:rPr>
          <w:rFonts w:eastAsia="SimSun"/>
          <w:kern w:val="0"/>
          <w:lang w:val="es-CR" w:eastAsia="zh-CN" w:bidi="hi-IN"/>
        </w:rPr>
      </w:pPr>
      <w:r w:rsidRPr="002D2A97">
        <w:rPr>
          <w:rFonts w:eastAsia="SimSun"/>
          <w:b/>
          <w:bCs/>
          <w:kern w:val="0"/>
          <w:lang w:val="es-CR" w:eastAsia="zh-CN" w:bidi="hi-IN"/>
        </w:rPr>
        <w:t xml:space="preserve">De conformidad con la circular </w:t>
      </w:r>
      <w:proofErr w:type="spellStart"/>
      <w:r w:rsidRPr="002D2A97">
        <w:rPr>
          <w:rFonts w:eastAsia="SimSun"/>
          <w:b/>
          <w:bCs/>
          <w:kern w:val="0"/>
          <w:lang w:val="es-CR" w:eastAsia="zh-CN" w:bidi="hi-IN"/>
        </w:rPr>
        <w:t>N°</w:t>
      </w:r>
      <w:proofErr w:type="spellEnd"/>
      <w:r w:rsidRPr="002D2A97">
        <w:rPr>
          <w:rFonts w:eastAsia="SimSun"/>
          <w:b/>
          <w:bCs/>
          <w:kern w:val="0"/>
          <w:lang w:val="es-CR" w:eastAsia="zh-CN" w:bidi="hi-IN"/>
        </w:rPr>
        <w:t xml:space="preserve"> 67-09 emitida por la Secretaría de la Corte el 22 de junio de 2009, se le comunica que en virtud del principio de gratuidad que rige esta materia, la publicación está exenta de todo pago de derechos. </w:t>
      </w:r>
    </w:p>
    <w:p w14:paraId="4FAB16BC" w14:textId="0435EE5A" w:rsidR="008E6220" w:rsidRDefault="008E6220" w:rsidP="00CC421E">
      <w:pPr>
        <w:suppressAutoHyphens w:val="0"/>
        <w:ind w:firstLine="709"/>
        <w:jc w:val="both"/>
        <w:textAlignment w:val="baseline"/>
        <w:rPr>
          <w:rFonts w:eastAsia="SimSun"/>
          <w:b/>
          <w:bCs/>
          <w:kern w:val="0"/>
          <w:lang w:eastAsia="en-US" w:bidi="hi-IN"/>
        </w:rPr>
      </w:pPr>
    </w:p>
    <w:p w14:paraId="24059324" w14:textId="04EA9882" w:rsidR="00966610" w:rsidRDefault="00966610" w:rsidP="00CC421E">
      <w:pPr>
        <w:suppressAutoHyphens w:val="0"/>
        <w:ind w:firstLine="709"/>
        <w:jc w:val="both"/>
        <w:textAlignment w:val="baseline"/>
        <w:rPr>
          <w:rFonts w:eastAsia="SimSun"/>
          <w:b/>
          <w:bCs/>
          <w:kern w:val="0"/>
          <w:lang w:eastAsia="en-US" w:bidi="hi-IN"/>
        </w:rPr>
      </w:pPr>
    </w:p>
    <w:p w14:paraId="36E97131" w14:textId="77777777" w:rsidR="00966610" w:rsidRPr="002D2A97" w:rsidRDefault="00966610" w:rsidP="00CC421E">
      <w:pPr>
        <w:suppressAutoHyphens w:val="0"/>
        <w:ind w:firstLine="709"/>
        <w:jc w:val="both"/>
        <w:textAlignment w:val="baseline"/>
        <w:rPr>
          <w:rFonts w:eastAsia="SimSun"/>
          <w:b/>
          <w:bCs/>
          <w:kern w:val="0"/>
          <w:lang w:eastAsia="en-US" w:bidi="hi-IN"/>
        </w:rPr>
      </w:pPr>
    </w:p>
    <w:p w14:paraId="7194118C" w14:textId="77777777" w:rsidR="008E6220" w:rsidRPr="002D2A97" w:rsidRDefault="008E6220" w:rsidP="00EA383F">
      <w:pPr>
        <w:suppressAutoHyphens w:val="0"/>
        <w:ind w:firstLine="709"/>
        <w:jc w:val="both"/>
        <w:textAlignment w:val="baseline"/>
        <w:rPr>
          <w:rFonts w:eastAsia="SimSun"/>
          <w:kern w:val="0"/>
          <w:lang w:val="es-CR" w:eastAsia="zh-CN" w:bidi="hi-IN"/>
        </w:rPr>
      </w:pPr>
      <w:r w:rsidRPr="002D2A97">
        <w:rPr>
          <w:rFonts w:eastAsia="SimSun"/>
          <w:b/>
          <w:bCs/>
          <w:kern w:val="0"/>
          <w:lang w:eastAsia="en-US" w:bidi="hi-IN"/>
        </w:rPr>
        <w:t>Publíquese una sola vez en el Boletín Judicial.</w:t>
      </w:r>
      <w:r w:rsidRPr="002D2A97">
        <w:rPr>
          <w:rFonts w:eastAsia="Batang"/>
          <w:kern w:val="0"/>
          <w:lang w:val="es-CR" w:eastAsia="ko-KR"/>
        </w:rPr>
        <w:t>”</w:t>
      </w:r>
    </w:p>
    <w:p w14:paraId="00DC20C6" w14:textId="0351FA97" w:rsidR="007C7402" w:rsidRPr="002D2A97" w:rsidRDefault="007C7402" w:rsidP="00EA383F">
      <w:pPr>
        <w:widowControl/>
        <w:ind w:firstLine="709"/>
        <w:jc w:val="both"/>
        <w:rPr>
          <w:rFonts w:eastAsia="Times New Roman"/>
          <w:b/>
          <w:bCs/>
          <w:kern w:val="0"/>
          <w:lang w:val="es-CR" w:eastAsia="es-ES"/>
        </w:rPr>
      </w:pPr>
    </w:p>
    <w:p w14:paraId="7DD1972D" w14:textId="77777777" w:rsidR="001861E2" w:rsidRPr="002D2A97" w:rsidRDefault="001861E2" w:rsidP="00EA383F">
      <w:pPr>
        <w:ind w:firstLine="709"/>
        <w:jc w:val="both"/>
        <w:rPr>
          <w:bCs/>
        </w:rPr>
      </w:pPr>
    </w:p>
    <w:p w14:paraId="65D0BA79" w14:textId="740032C8" w:rsidR="00635892" w:rsidRPr="002D2A97" w:rsidRDefault="00635892" w:rsidP="00EA383F">
      <w:pPr>
        <w:widowControl/>
        <w:suppressAutoHyphens w:val="0"/>
        <w:autoSpaceDE w:val="0"/>
        <w:autoSpaceDN w:val="0"/>
        <w:adjustRightInd w:val="0"/>
        <w:ind w:firstLine="709"/>
        <w:jc w:val="both"/>
        <w:rPr>
          <w:rFonts w:eastAsia="Times New Roman"/>
          <w:kern w:val="0"/>
          <w:lang w:eastAsia="es-ES"/>
        </w:rPr>
      </w:pPr>
      <w:r w:rsidRPr="002D2A97">
        <w:rPr>
          <w:b/>
          <w:bCs/>
        </w:rPr>
        <w:t>San José,</w:t>
      </w:r>
      <w:r w:rsidR="00307884" w:rsidRPr="002D2A97">
        <w:rPr>
          <w:b/>
          <w:bCs/>
        </w:rPr>
        <w:t xml:space="preserve"> </w:t>
      </w:r>
      <w:r w:rsidR="0059028E">
        <w:rPr>
          <w:b/>
          <w:bCs/>
        </w:rPr>
        <w:t xml:space="preserve">18 de abril de </w:t>
      </w:r>
      <w:r w:rsidRPr="002D2A97">
        <w:rPr>
          <w:b/>
          <w:bCs/>
        </w:rPr>
        <w:t>20</w:t>
      </w:r>
      <w:r w:rsidR="001861E2" w:rsidRPr="002D2A97">
        <w:rPr>
          <w:b/>
          <w:bCs/>
        </w:rPr>
        <w:t>2</w:t>
      </w:r>
      <w:r w:rsidR="008A06A0">
        <w:rPr>
          <w:b/>
          <w:bCs/>
        </w:rPr>
        <w:t>2</w:t>
      </w:r>
      <w:r w:rsidRPr="002D2A97">
        <w:rPr>
          <w:b/>
          <w:bCs/>
        </w:rPr>
        <w:t>.</w:t>
      </w:r>
    </w:p>
    <w:p w14:paraId="138E9AB0" w14:textId="660227C5" w:rsidR="00635892" w:rsidRDefault="00635892" w:rsidP="00EA383F">
      <w:pPr>
        <w:spacing w:before="100" w:beforeAutospacing="1" w:after="100" w:afterAutospacing="1"/>
        <w:ind w:firstLine="709"/>
        <w:jc w:val="both"/>
        <w:rPr>
          <w:b/>
          <w:bCs/>
        </w:rPr>
      </w:pPr>
    </w:p>
    <w:p w14:paraId="7BBCA467" w14:textId="0EFBFC95" w:rsidR="00C07FD6" w:rsidRDefault="00C07FD6" w:rsidP="00EA383F">
      <w:pPr>
        <w:spacing w:before="100" w:beforeAutospacing="1" w:after="100" w:afterAutospacing="1"/>
        <w:ind w:firstLine="709"/>
        <w:jc w:val="both"/>
        <w:rPr>
          <w:b/>
          <w:bCs/>
        </w:rPr>
      </w:pPr>
    </w:p>
    <w:p w14:paraId="741588AA" w14:textId="77777777" w:rsidR="00C07FD6" w:rsidRPr="002D2A97" w:rsidRDefault="00C07FD6" w:rsidP="00EA383F">
      <w:pPr>
        <w:spacing w:before="100" w:beforeAutospacing="1" w:after="100" w:afterAutospacing="1"/>
        <w:ind w:firstLine="709"/>
        <w:jc w:val="both"/>
        <w:rPr>
          <w:b/>
          <w:bCs/>
        </w:rPr>
      </w:pPr>
    </w:p>
    <w:p w14:paraId="2289AA47" w14:textId="77777777" w:rsidR="003C0AEA" w:rsidRDefault="003C0AEA" w:rsidP="00EA383F">
      <w:pPr>
        <w:ind w:firstLine="709"/>
        <w:jc w:val="both"/>
        <w:rPr>
          <w:b/>
          <w:bCs/>
          <w:lang w:val="pt-BR"/>
        </w:rPr>
      </w:pPr>
    </w:p>
    <w:p w14:paraId="5A178FAE" w14:textId="77777777" w:rsidR="00EF4D78" w:rsidRPr="0059028E" w:rsidRDefault="00EF4D78" w:rsidP="00EF4D78">
      <w:pPr>
        <w:ind w:firstLine="709"/>
        <w:jc w:val="both"/>
        <w:rPr>
          <w:b/>
          <w:bCs/>
          <w:lang w:val="pt-BR"/>
        </w:rPr>
      </w:pPr>
      <w:r w:rsidRPr="0059028E">
        <w:rPr>
          <w:b/>
          <w:bCs/>
          <w:lang w:val="pt-BR"/>
        </w:rPr>
        <w:t>Lic. Carlos T. Mora Rodríguez</w:t>
      </w:r>
    </w:p>
    <w:p w14:paraId="54EFF6FA" w14:textId="77777777" w:rsidR="00EF4D78" w:rsidRPr="002D2A97" w:rsidRDefault="00EF4D78" w:rsidP="00EF4D78">
      <w:pPr>
        <w:ind w:firstLine="709"/>
        <w:jc w:val="both"/>
        <w:rPr>
          <w:b/>
          <w:bCs/>
          <w:lang w:val="pt-BR"/>
        </w:rPr>
      </w:pPr>
      <w:r w:rsidRPr="002D2A97">
        <w:rPr>
          <w:b/>
          <w:bCs/>
          <w:lang w:val="pt-BR"/>
        </w:rPr>
        <w:t>Subsecretario General interino</w:t>
      </w:r>
    </w:p>
    <w:p w14:paraId="14E2BCD3" w14:textId="77777777" w:rsidR="00EF4D78" w:rsidRPr="002D2A97" w:rsidRDefault="00EF4D78" w:rsidP="00EF4D78">
      <w:pPr>
        <w:ind w:firstLine="709"/>
        <w:jc w:val="both"/>
        <w:rPr>
          <w:b/>
          <w:bCs/>
          <w:lang w:val="pt-BR"/>
        </w:rPr>
      </w:pPr>
      <w:r w:rsidRPr="002D2A97">
        <w:rPr>
          <w:b/>
          <w:bCs/>
          <w:lang w:val="pt-BR"/>
        </w:rPr>
        <w:t>Corte Suprema de Justicia</w:t>
      </w:r>
    </w:p>
    <w:p w14:paraId="596DCE00" w14:textId="7905443B" w:rsidR="00552A8C" w:rsidRPr="002D2A97" w:rsidRDefault="00552A8C" w:rsidP="00552A8C">
      <w:pPr>
        <w:ind w:firstLine="709"/>
        <w:jc w:val="both"/>
        <w:rPr>
          <w:b/>
          <w:bCs/>
          <w:lang w:val="pt-BR"/>
        </w:rPr>
      </w:pPr>
    </w:p>
    <w:p w14:paraId="79D3FEC5" w14:textId="77777777" w:rsidR="00635892" w:rsidRPr="004F3186" w:rsidRDefault="00635892" w:rsidP="007C7402">
      <w:pPr>
        <w:ind w:left="142" w:right="141"/>
        <w:jc w:val="both"/>
        <w:rPr>
          <w:b/>
          <w:bCs/>
          <w:lang w:val="pt-BR"/>
        </w:rPr>
      </w:pPr>
    </w:p>
    <w:p w14:paraId="60AF56D1" w14:textId="77777777" w:rsidR="00CD70A7" w:rsidRPr="004F3186" w:rsidRDefault="00CD70A7" w:rsidP="007C7402">
      <w:pPr>
        <w:pStyle w:val="NormalWeb"/>
        <w:spacing w:before="0" w:after="0"/>
        <w:ind w:left="142" w:right="141"/>
        <w:jc w:val="both"/>
        <w:rPr>
          <w:i/>
          <w:lang w:val="pt-BR"/>
        </w:rPr>
      </w:pPr>
    </w:p>
    <w:p w14:paraId="41A27CF2" w14:textId="26F3FC4D" w:rsidR="00635892" w:rsidRPr="0086351B" w:rsidRDefault="00635892" w:rsidP="0086351B">
      <w:pPr>
        <w:widowControl/>
        <w:ind w:left="142" w:firstLine="709"/>
        <w:jc w:val="both"/>
        <w:rPr>
          <w:rFonts w:eastAsia="Times New Roman"/>
          <w:kern w:val="0"/>
          <w:lang w:val="es-ES" w:eastAsia="zh-CN"/>
        </w:rPr>
      </w:pPr>
      <w:r w:rsidRPr="0086351B">
        <w:rPr>
          <w:rFonts w:eastAsia="Times New Roman"/>
          <w:kern w:val="0"/>
          <w:lang w:val="es-ES" w:eastAsia="zh-CN"/>
        </w:rPr>
        <w:t>Ref.:</w:t>
      </w:r>
      <w:r w:rsidR="0086351B">
        <w:rPr>
          <w:rFonts w:eastAsia="Times New Roman"/>
          <w:kern w:val="0"/>
          <w:lang w:val="es-ES" w:eastAsia="zh-CN"/>
        </w:rPr>
        <w:t>(</w:t>
      </w:r>
      <w:r w:rsidR="00966610" w:rsidRPr="00966610">
        <w:rPr>
          <w:rFonts w:eastAsia="Times New Roman"/>
          <w:kern w:val="0"/>
          <w:lang w:val="es-ES" w:eastAsia="zh-CN"/>
        </w:rPr>
        <w:t>2685-2022</w:t>
      </w:r>
      <w:r w:rsidR="00F17172">
        <w:rPr>
          <w:rFonts w:eastAsia="Times New Roman"/>
          <w:kern w:val="0"/>
          <w:lang w:val="es-ES" w:eastAsia="zh-CN"/>
        </w:rPr>
        <w:t>)</w:t>
      </w:r>
    </w:p>
    <w:p w14:paraId="11A034C5" w14:textId="03DD7E60" w:rsidR="009C29C0" w:rsidRPr="0086351B" w:rsidRDefault="003E1117" w:rsidP="0086351B">
      <w:pPr>
        <w:widowControl/>
        <w:ind w:left="142" w:firstLine="709"/>
        <w:jc w:val="both"/>
        <w:rPr>
          <w:rFonts w:ascii="Monotype Corsiva" w:eastAsia="Times New Roman" w:hAnsi="Monotype Corsiva"/>
          <w:kern w:val="0"/>
          <w:lang w:val="es-ES" w:eastAsia="zh-CN"/>
        </w:rPr>
      </w:pPr>
      <w:r w:rsidRPr="0086351B">
        <w:rPr>
          <w:rFonts w:ascii="Monotype Corsiva" w:eastAsia="Times New Roman" w:hAnsi="Monotype Corsiva"/>
          <w:kern w:val="0"/>
          <w:lang w:val="es-ES" w:eastAsia="zh-CN"/>
        </w:rPr>
        <w:t>Catalina Barquero Martínez</w:t>
      </w:r>
      <w:r w:rsidR="00635892" w:rsidRPr="0086351B">
        <w:rPr>
          <w:rFonts w:ascii="Monotype Corsiva" w:eastAsia="Times New Roman" w:hAnsi="Monotype Corsiva"/>
          <w:kern w:val="0"/>
          <w:lang w:val="es-ES" w:eastAsia="zh-CN"/>
        </w:rPr>
        <w:t>.</w:t>
      </w:r>
    </w:p>
    <w:sectPr w:rsidR="009C29C0" w:rsidRPr="0086351B" w:rsidSect="00B804DF">
      <w:headerReference w:type="default" r:id="rId8"/>
      <w:footnotePr>
        <w:pos w:val="beneathText"/>
      </w:footnotePr>
      <w:pgSz w:w="12240" w:h="15840"/>
      <w:pgMar w:top="2268" w:right="1750" w:bottom="1276" w:left="1701"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59D6F" w14:textId="77777777" w:rsidR="001A4849" w:rsidRDefault="001A4849">
      <w:r>
        <w:separator/>
      </w:r>
    </w:p>
  </w:endnote>
  <w:endnote w:type="continuationSeparator" w:id="0">
    <w:p w14:paraId="7B8CAE2F" w14:textId="77777777" w:rsidR="001A4849" w:rsidRDefault="001A4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A3D81" w14:textId="77777777" w:rsidR="001A4849" w:rsidRDefault="001A4849">
      <w:r>
        <w:separator/>
      </w:r>
    </w:p>
  </w:footnote>
  <w:footnote w:type="continuationSeparator" w:id="0">
    <w:p w14:paraId="648A3340" w14:textId="77777777" w:rsidR="001A4849" w:rsidRDefault="001A4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B0A01" w14:textId="7499AED9" w:rsidR="00EA61F4" w:rsidRDefault="00EA61F4">
    <w:pPr>
      <w:pStyle w:val="Encabezado"/>
      <w:tabs>
        <w:tab w:val="clear" w:pos="4986"/>
        <w:tab w:val="clear" w:pos="9972"/>
        <w:tab w:val="left" w:pos="709"/>
        <w:tab w:val="center" w:pos="4419"/>
        <w:tab w:val="right" w:pos="8838"/>
      </w:tabs>
    </w:pPr>
    <w:r>
      <w:rPr>
        <w:noProof/>
      </w:rPr>
      <mc:AlternateContent>
        <mc:Choice Requires="wps">
          <w:drawing>
            <wp:anchor distT="0" distB="0" distL="114935" distR="114935" simplePos="0" relativeHeight="251657728" behindDoc="1" locked="0" layoutInCell="1" allowOverlap="1" wp14:anchorId="677D145D" wp14:editId="7C8E27CC">
              <wp:simplePos x="0" y="0"/>
              <wp:positionH relativeFrom="column">
                <wp:posOffset>0</wp:posOffset>
              </wp:positionH>
              <wp:positionV relativeFrom="paragraph">
                <wp:posOffset>-6985</wp:posOffset>
              </wp:positionV>
              <wp:extent cx="662940" cy="745490"/>
              <wp:effectExtent l="0" t="2540"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745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832DFE" w14:textId="2E8C8611" w:rsidR="00EA61F4" w:rsidRDefault="00EA61F4">
                          <w:r>
                            <w:rPr>
                              <w:noProof/>
                            </w:rPr>
                            <w:drawing>
                              <wp:inline distT="0" distB="0" distL="0" distR="0" wp14:anchorId="5B08D765" wp14:editId="749FB916">
                                <wp:extent cx="673100" cy="75755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757555"/>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77D145D" id="_x0000_t202" coordsize="21600,21600" o:spt="202" path="m,l,21600r21600,l21600,xe">
              <v:stroke joinstyle="miter"/>
              <v:path gradientshapeok="t" o:connecttype="rect"/>
            </v:shapetype>
            <v:shape id="Text Box 1" o:spid="_x0000_s1026" type="#_x0000_t202" style="position:absolute;margin-left:0;margin-top:-.55pt;width:52.2pt;height:58.7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" stroked="f">
              <v:textbox inset="0,0,0,0">
                <w:txbxContent>
                  <w:p w14:paraId="44832DFE" w14:textId="2E8C8611" w:rsidR="00EA61F4" w:rsidRDefault="00EA61F4">
                    <w:r>
                      <w:rPr>
                        <w:noProof/>
                      </w:rPr>
                      <w:drawing>
                        <wp:inline distT="0" distB="0" distL="0" distR="0" wp14:anchorId="5B08D765" wp14:editId="749FB916">
                          <wp:extent cx="673100" cy="75755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100" cy="757555"/>
                                  </a:xfrm>
                                  <a:prstGeom prst="rect">
                                    <a:avLst/>
                                  </a:prstGeom>
                                  <a:solidFill>
                                    <a:srgbClr val="FFFFFF"/>
                                  </a:solidFill>
                                  <a:ln>
                                    <a:noFill/>
                                  </a:ln>
                                </pic:spPr>
                              </pic:pic>
                            </a:graphicData>
                          </a:graphic>
                        </wp:inline>
                      </w:drawing>
                    </w:r>
                  </w:p>
                </w:txbxContent>
              </v:textbox>
            </v:shape>
          </w:pict>
        </mc:Fallback>
      </mc:AlternateContent>
    </w:r>
  </w:p>
  <w:p w14:paraId="69AB916B" w14:textId="77777777" w:rsidR="00EA61F4" w:rsidRDefault="00EA61F4">
    <w:pPr>
      <w:pStyle w:val="Encabezado"/>
      <w:tabs>
        <w:tab w:val="clear" w:pos="4986"/>
        <w:tab w:val="clear" w:pos="9972"/>
        <w:tab w:val="left" w:pos="709"/>
        <w:tab w:val="center" w:pos="4419"/>
        <w:tab w:val="right" w:pos="8838"/>
      </w:tabs>
      <w:rPr>
        <w:b/>
        <w:i/>
        <w:lang w:val="es-CR"/>
      </w:rPr>
    </w:pPr>
    <w:r>
      <w:t xml:space="preserve">                      </w:t>
    </w:r>
    <w:r>
      <w:rPr>
        <w:b/>
        <w:i/>
        <w:lang w:val="es-CR"/>
      </w:rPr>
      <w:t>Corte Suprema de Justicia</w:t>
    </w:r>
  </w:p>
  <w:p w14:paraId="75F69387" w14:textId="77777777" w:rsidR="00EA61F4" w:rsidRDefault="00EA61F4">
    <w:pPr>
      <w:rPr>
        <w:b/>
        <w:bCs/>
        <w:i/>
        <w:iCs/>
      </w:rPr>
    </w:pPr>
    <w:r>
      <w:rPr>
        <w:b/>
        <w:bCs/>
        <w:i/>
        <w:iCs/>
      </w:rPr>
      <w:t xml:space="preserve">                           Secretaría General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0"/>
        </w:tabs>
        <w:ind w:left="107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2DC2322"/>
    <w:multiLevelType w:val="hybridMultilevel"/>
    <w:tmpl w:val="F38AAE22"/>
    <w:lvl w:ilvl="0" w:tplc="DB2C9F1E">
      <w:start w:val="1"/>
      <w:numFmt w:val="decimal"/>
      <w:lvlText w:val="%1."/>
      <w:lvlJc w:val="left"/>
      <w:pPr>
        <w:ind w:left="2345" w:hanging="360"/>
      </w:pPr>
      <w:rPr>
        <w:rFonts w:hint="default"/>
        <w:b/>
        <w:bCs/>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7FB28AD"/>
    <w:multiLevelType w:val="hybridMultilevel"/>
    <w:tmpl w:val="5BE2746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24CF60B8"/>
    <w:multiLevelType w:val="hybridMultilevel"/>
    <w:tmpl w:val="1570DE72"/>
    <w:lvl w:ilvl="0" w:tplc="5C163982">
      <w:start w:val="1"/>
      <w:numFmt w:val="upperLetter"/>
      <w:lvlText w:val="%1."/>
      <w:lvlJc w:val="left"/>
      <w:pPr>
        <w:ind w:left="1068" w:hanging="360"/>
      </w:pPr>
      <w:rPr>
        <w:rFonts w:hint="default"/>
        <w:b/>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5" w15:restartNumberingAfterBreak="0">
    <w:nsid w:val="2541724E"/>
    <w:multiLevelType w:val="hybridMultilevel"/>
    <w:tmpl w:val="D0422C76"/>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2C3C2994"/>
    <w:multiLevelType w:val="hybridMultilevel"/>
    <w:tmpl w:val="2F2E5052"/>
    <w:lvl w:ilvl="0" w:tplc="7F1CE78A">
      <w:start w:val="1"/>
      <w:numFmt w:val="lowerLetter"/>
      <w:lvlText w:val="%1)"/>
      <w:lvlJc w:val="left"/>
      <w:pPr>
        <w:ind w:left="1920" w:hanging="360"/>
      </w:pPr>
      <w:rPr>
        <w:rFonts w:hint="default"/>
        <w:b/>
        <w:color w:val="000000"/>
      </w:rPr>
    </w:lvl>
    <w:lvl w:ilvl="1" w:tplc="140A0019" w:tentative="1">
      <w:start w:val="1"/>
      <w:numFmt w:val="lowerLetter"/>
      <w:lvlText w:val="%2."/>
      <w:lvlJc w:val="left"/>
      <w:pPr>
        <w:ind w:left="2640" w:hanging="360"/>
      </w:pPr>
    </w:lvl>
    <w:lvl w:ilvl="2" w:tplc="140A001B" w:tentative="1">
      <w:start w:val="1"/>
      <w:numFmt w:val="lowerRoman"/>
      <w:lvlText w:val="%3."/>
      <w:lvlJc w:val="right"/>
      <w:pPr>
        <w:ind w:left="3360" w:hanging="180"/>
      </w:pPr>
    </w:lvl>
    <w:lvl w:ilvl="3" w:tplc="140A000F" w:tentative="1">
      <w:start w:val="1"/>
      <w:numFmt w:val="decimal"/>
      <w:lvlText w:val="%4."/>
      <w:lvlJc w:val="left"/>
      <w:pPr>
        <w:ind w:left="4080" w:hanging="360"/>
      </w:pPr>
    </w:lvl>
    <w:lvl w:ilvl="4" w:tplc="140A0019" w:tentative="1">
      <w:start w:val="1"/>
      <w:numFmt w:val="lowerLetter"/>
      <w:lvlText w:val="%5."/>
      <w:lvlJc w:val="left"/>
      <w:pPr>
        <w:ind w:left="4800" w:hanging="360"/>
      </w:pPr>
    </w:lvl>
    <w:lvl w:ilvl="5" w:tplc="140A001B" w:tentative="1">
      <w:start w:val="1"/>
      <w:numFmt w:val="lowerRoman"/>
      <w:lvlText w:val="%6."/>
      <w:lvlJc w:val="right"/>
      <w:pPr>
        <w:ind w:left="5520" w:hanging="180"/>
      </w:pPr>
    </w:lvl>
    <w:lvl w:ilvl="6" w:tplc="140A000F" w:tentative="1">
      <w:start w:val="1"/>
      <w:numFmt w:val="decimal"/>
      <w:lvlText w:val="%7."/>
      <w:lvlJc w:val="left"/>
      <w:pPr>
        <w:ind w:left="6240" w:hanging="360"/>
      </w:pPr>
    </w:lvl>
    <w:lvl w:ilvl="7" w:tplc="140A0019" w:tentative="1">
      <w:start w:val="1"/>
      <w:numFmt w:val="lowerLetter"/>
      <w:lvlText w:val="%8."/>
      <w:lvlJc w:val="left"/>
      <w:pPr>
        <w:ind w:left="6960" w:hanging="360"/>
      </w:pPr>
    </w:lvl>
    <w:lvl w:ilvl="8" w:tplc="140A001B" w:tentative="1">
      <w:start w:val="1"/>
      <w:numFmt w:val="lowerRoman"/>
      <w:lvlText w:val="%9."/>
      <w:lvlJc w:val="right"/>
      <w:pPr>
        <w:ind w:left="7680" w:hanging="180"/>
      </w:pPr>
    </w:lvl>
  </w:abstractNum>
  <w:abstractNum w:abstractNumId="7" w15:restartNumberingAfterBreak="0">
    <w:nsid w:val="2CF32B58"/>
    <w:multiLevelType w:val="hybridMultilevel"/>
    <w:tmpl w:val="0B2C0BC2"/>
    <w:lvl w:ilvl="0" w:tplc="140A0001">
      <w:start w:val="1"/>
      <w:numFmt w:val="bullet"/>
      <w:lvlText w:val=""/>
      <w:lvlJc w:val="left"/>
      <w:pPr>
        <w:ind w:left="2280" w:hanging="360"/>
      </w:pPr>
      <w:rPr>
        <w:rFonts w:ascii="Symbol" w:hAnsi="Symbol" w:hint="default"/>
      </w:rPr>
    </w:lvl>
    <w:lvl w:ilvl="1" w:tplc="140A0003" w:tentative="1">
      <w:start w:val="1"/>
      <w:numFmt w:val="bullet"/>
      <w:lvlText w:val="o"/>
      <w:lvlJc w:val="left"/>
      <w:pPr>
        <w:ind w:left="3000" w:hanging="360"/>
      </w:pPr>
      <w:rPr>
        <w:rFonts w:ascii="Courier New" w:hAnsi="Courier New" w:cs="Courier New" w:hint="default"/>
      </w:rPr>
    </w:lvl>
    <w:lvl w:ilvl="2" w:tplc="140A0005" w:tentative="1">
      <w:start w:val="1"/>
      <w:numFmt w:val="bullet"/>
      <w:lvlText w:val=""/>
      <w:lvlJc w:val="left"/>
      <w:pPr>
        <w:ind w:left="3720" w:hanging="360"/>
      </w:pPr>
      <w:rPr>
        <w:rFonts w:ascii="Wingdings" w:hAnsi="Wingdings" w:hint="default"/>
      </w:rPr>
    </w:lvl>
    <w:lvl w:ilvl="3" w:tplc="140A0001" w:tentative="1">
      <w:start w:val="1"/>
      <w:numFmt w:val="bullet"/>
      <w:lvlText w:val=""/>
      <w:lvlJc w:val="left"/>
      <w:pPr>
        <w:ind w:left="4440" w:hanging="360"/>
      </w:pPr>
      <w:rPr>
        <w:rFonts w:ascii="Symbol" w:hAnsi="Symbol" w:hint="default"/>
      </w:rPr>
    </w:lvl>
    <w:lvl w:ilvl="4" w:tplc="140A0003" w:tentative="1">
      <w:start w:val="1"/>
      <w:numFmt w:val="bullet"/>
      <w:lvlText w:val="o"/>
      <w:lvlJc w:val="left"/>
      <w:pPr>
        <w:ind w:left="5160" w:hanging="360"/>
      </w:pPr>
      <w:rPr>
        <w:rFonts w:ascii="Courier New" w:hAnsi="Courier New" w:cs="Courier New" w:hint="default"/>
      </w:rPr>
    </w:lvl>
    <w:lvl w:ilvl="5" w:tplc="140A0005" w:tentative="1">
      <w:start w:val="1"/>
      <w:numFmt w:val="bullet"/>
      <w:lvlText w:val=""/>
      <w:lvlJc w:val="left"/>
      <w:pPr>
        <w:ind w:left="5880" w:hanging="360"/>
      </w:pPr>
      <w:rPr>
        <w:rFonts w:ascii="Wingdings" w:hAnsi="Wingdings" w:hint="default"/>
      </w:rPr>
    </w:lvl>
    <w:lvl w:ilvl="6" w:tplc="140A0001" w:tentative="1">
      <w:start w:val="1"/>
      <w:numFmt w:val="bullet"/>
      <w:lvlText w:val=""/>
      <w:lvlJc w:val="left"/>
      <w:pPr>
        <w:ind w:left="6600" w:hanging="360"/>
      </w:pPr>
      <w:rPr>
        <w:rFonts w:ascii="Symbol" w:hAnsi="Symbol" w:hint="default"/>
      </w:rPr>
    </w:lvl>
    <w:lvl w:ilvl="7" w:tplc="140A0003" w:tentative="1">
      <w:start w:val="1"/>
      <w:numFmt w:val="bullet"/>
      <w:lvlText w:val="o"/>
      <w:lvlJc w:val="left"/>
      <w:pPr>
        <w:ind w:left="7320" w:hanging="360"/>
      </w:pPr>
      <w:rPr>
        <w:rFonts w:ascii="Courier New" w:hAnsi="Courier New" w:cs="Courier New" w:hint="default"/>
      </w:rPr>
    </w:lvl>
    <w:lvl w:ilvl="8" w:tplc="140A0005" w:tentative="1">
      <w:start w:val="1"/>
      <w:numFmt w:val="bullet"/>
      <w:lvlText w:val=""/>
      <w:lvlJc w:val="left"/>
      <w:pPr>
        <w:ind w:left="8040" w:hanging="360"/>
      </w:pPr>
      <w:rPr>
        <w:rFonts w:ascii="Wingdings" w:hAnsi="Wingdings" w:hint="default"/>
      </w:rPr>
    </w:lvl>
  </w:abstractNum>
  <w:abstractNum w:abstractNumId="8" w15:restartNumberingAfterBreak="0">
    <w:nsid w:val="2E3F7358"/>
    <w:multiLevelType w:val="hybridMultilevel"/>
    <w:tmpl w:val="8C9A728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2F51007C"/>
    <w:multiLevelType w:val="hybridMultilevel"/>
    <w:tmpl w:val="9718DAA0"/>
    <w:lvl w:ilvl="0" w:tplc="00AE72FE">
      <w:start w:val="1"/>
      <w:numFmt w:val="decimal"/>
      <w:lvlText w:val="%1)"/>
      <w:lvlJc w:val="left"/>
      <w:pPr>
        <w:ind w:left="8015" w:hanging="360"/>
      </w:pPr>
      <w:rPr>
        <w:rFonts w:hint="default"/>
      </w:rPr>
    </w:lvl>
    <w:lvl w:ilvl="1" w:tplc="0C0A0019" w:tentative="1">
      <w:start w:val="1"/>
      <w:numFmt w:val="lowerLetter"/>
      <w:lvlText w:val="%2."/>
      <w:lvlJc w:val="left"/>
      <w:pPr>
        <w:ind w:left="8735" w:hanging="360"/>
      </w:pPr>
    </w:lvl>
    <w:lvl w:ilvl="2" w:tplc="0C0A001B" w:tentative="1">
      <w:start w:val="1"/>
      <w:numFmt w:val="lowerRoman"/>
      <w:lvlText w:val="%3."/>
      <w:lvlJc w:val="right"/>
      <w:pPr>
        <w:ind w:left="9455" w:hanging="180"/>
      </w:pPr>
    </w:lvl>
    <w:lvl w:ilvl="3" w:tplc="0C0A000F" w:tentative="1">
      <w:start w:val="1"/>
      <w:numFmt w:val="decimal"/>
      <w:lvlText w:val="%4."/>
      <w:lvlJc w:val="left"/>
      <w:pPr>
        <w:ind w:left="10175" w:hanging="360"/>
      </w:pPr>
    </w:lvl>
    <w:lvl w:ilvl="4" w:tplc="0C0A0019" w:tentative="1">
      <w:start w:val="1"/>
      <w:numFmt w:val="lowerLetter"/>
      <w:lvlText w:val="%5."/>
      <w:lvlJc w:val="left"/>
      <w:pPr>
        <w:ind w:left="10895" w:hanging="360"/>
      </w:pPr>
    </w:lvl>
    <w:lvl w:ilvl="5" w:tplc="0C0A001B" w:tentative="1">
      <w:start w:val="1"/>
      <w:numFmt w:val="lowerRoman"/>
      <w:lvlText w:val="%6."/>
      <w:lvlJc w:val="right"/>
      <w:pPr>
        <w:ind w:left="11615" w:hanging="180"/>
      </w:pPr>
    </w:lvl>
    <w:lvl w:ilvl="6" w:tplc="0C0A000F" w:tentative="1">
      <w:start w:val="1"/>
      <w:numFmt w:val="decimal"/>
      <w:lvlText w:val="%7."/>
      <w:lvlJc w:val="left"/>
      <w:pPr>
        <w:ind w:left="12335" w:hanging="360"/>
      </w:pPr>
    </w:lvl>
    <w:lvl w:ilvl="7" w:tplc="0C0A0019" w:tentative="1">
      <w:start w:val="1"/>
      <w:numFmt w:val="lowerLetter"/>
      <w:lvlText w:val="%8."/>
      <w:lvlJc w:val="left"/>
      <w:pPr>
        <w:ind w:left="13055" w:hanging="360"/>
      </w:pPr>
    </w:lvl>
    <w:lvl w:ilvl="8" w:tplc="0C0A001B" w:tentative="1">
      <w:start w:val="1"/>
      <w:numFmt w:val="lowerRoman"/>
      <w:lvlText w:val="%9."/>
      <w:lvlJc w:val="right"/>
      <w:pPr>
        <w:ind w:left="13775" w:hanging="180"/>
      </w:pPr>
    </w:lvl>
  </w:abstractNum>
  <w:abstractNum w:abstractNumId="10" w15:restartNumberingAfterBreak="0">
    <w:nsid w:val="3B7113BF"/>
    <w:multiLevelType w:val="hybridMultilevel"/>
    <w:tmpl w:val="83002DD6"/>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1" w15:restartNumberingAfterBreak="0">
    <w:nsid w:val="4E1709D6"/>
    <w:multiLevelType w:val="hybridMultilevel"/>
    <w:tmpl w:val="18303970"/>
    <w:lvl w:ilvl="0" w:tplc="C5FCEAA0">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59FC6470"/>
    <w:multiLevelType w:val="hybridMultilevel"/>
    <w:tmpl w:val="61BCF38A"/>
    <w:lvl w:ilvl="0" w:tplc="65469ED2">
      <w:start w:val="1"/>
      <w:numFmt w:val="upp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3" w15:restartNumberingAfterBreak="0">
    <w:nsid w:val="5C0336A1"/>
    <w:multiLevelType w:val="hybridMultilevel"/>
    <w:tmpl w:val="0ED0C89A"/>
    <w:lvl w:ilvl="0" w:tplc="31D2D47A">
      <w:start w:val="1"/>
      <w:numFmt w:val="bullet"/>
      <w:lvlText w:val="*"/>
      <w:lvlJc w:val="left"/>
      <w:pPr>
        <w:ind w:left="720" w:hanging="360"/>
      </w:pPr>
      <w:rPr>
        <w:rFonts w:ascii="Liberation Serif" w:eastAsia="SimSun" w:hAnsi="Liberation Serif" w:cs="Liberation Serif"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4" w15:restartNumberingAfterBreak="0">
    <w:nsid w:val="5E3F61C7"/>
    <w:multiLevelType w:val="hybridMultilevel"/>
    <w:tmpl w:val="B65A0C5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15:restartNumberingAfterBreak="0">
    <w:nsid w:val="610F39E4"/>
    <w:multiLevelType w:val="hybridMultilevel"/>
    <w:tmpl w:val="FD3CA2EC"/>
    <w:lvl w:ilvl="0" w:tplc="140A0011">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6" w15:restartNumberingAfterBreak="0">
    <w:nsid w:val="71CC66FD"/>
    <w:multiLevelType w:val="hybridMultilevel"/>
    <w:tmpl w:val="3250B66A"/>
    <w:lvl w:ilvl="0" w:tplc="CED2D1B8">
      <w:start w:val="1"/>
      <w:numFmt w:val="lowerLetter"/>
      <w:lvlText w:val="%1)"/>
      <w:lvlJc w:val="left"/>
      <w:pPr>
        <w:ind w:left="1920" w:hanging="360"/>
      </w:pPr>
      <w:rPr>
        <w:rFonts w:hint="default"/>
        <w:b/>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7" w15:restartNumberingAfterBreak="0">
    <w:nsid w:val="7B281168"/>
    <w:multiLevelType w:val="hybridMultilevel"/>
    <w:tmpl w:val="F33E3B3A"/>
    <w:lvl w:ilvl="0" w:tplc="080A0001">
      <w:start w:val="1"/>
      <w:numFmt w:val="bullet"/>
      <w:lvlText w:val=""/>
      <w:lvlJc w:val="left"/>
      <w:pPr>
        <w:ind w:left="2280" w:hanging="360"/>
      </w:pPr>
      <w:rPr>
        <w:rFonts w:ascii="Symbol" w:hAnsi="Symbol" w:hint="default"/>
      </w:rPr>
    </w:lvl>
    <w:lvl w:ilvl="1" w:tplc="080A0003" w:tentative="1">
      <w:start w:val="1"/>
      <w:numFmt w:val="bullet"/>
      <w:lvlText w:val="o"/>
      <w:lvlJc w:val="left"/>
      <w:pPr>
        <w:ind w:left="3000" w:hanging="360"/>
      </w:pPr>
      <w:rPr>
        <w:rFonts w:ascii="Courier New" w:hAnsi="Courier New" w:cs="Courier New" w:hint="default"/>
      </w:rPr>
    </w:lvl>
    <w:lvl w:ilvl="2" w:tplc="080A0005" w:tentative="1">
      <w:start w:val="1"/>
      <w:numFmt w:val="bullet"/>
      <w:lvlText w:val=""/>
      <w:lvlJc w:val="left"/>
      <w:pPr>
        <w:ind w:left="3720" w:hanging="360"/>
      </w:pPr>
      <w:rPr>
        <w:rFonts w:ascii="Wingdings" w:hAnsi="Wingdings" w:hint="default"/>
      </w:rPr>
    </w:lvl>
    <w:lvl w:ilvl="3" w:tplc="080A0001" w:tentative="1">
      <w:start w:val="1"/>
      <w:numFmt w:val="bullet"/>
      <w:lvlText w:val=""/>
      <w:lvlJc w:val="left"/>
      <w:pPr>
        <w:ind w:left="4440" w:hanging="360"/>
      </w:pPr>
      <w:rPr>
        <w:rFonts w:ascii="Symbol" w:hAnsi="Symbol" w:hint="default"/>
      </w:rPr>
    </w:lvl>
    <w:lvl w:ilvl="4" w:tplc="080A0003" w:tentative="1">
      <w:start w:val="1"/>
      <w:numFmt w:val="bullet"/>
      <w:lvlText w:val="o"/>
      <w:lvlJc w:val="left"/>
      <w:pPr>
        <w:ind w:left="5160" w:hanging="360"/>
      </w:pPr>
      <w:rPr>
        <w:rFonts w:ascii="Courier New" w:hAnsi="Courier New" w:cs="Courier New" w:hint="default"/>
      </w:rPr>
    </w:lvl>
    <w:lvl w:ilvl="5" w:tplc="080A0005" w:tentative="1">
      <w:start w:val="1"/>
      <w:numFmt w:val="bullet"/>
      <w:lvlText w:val=""/>
      <w:lvlJc w:val="left"/>
      <w:pPr>
        <w:ind w:left="5880" w:hanging="360"/>
      </w:pPr>
      <w:rPr>
        <w:rFonts w:ascii="Wingdings" w:hAnsi="Wingdings" w:hint="default"/>
      </w:rPr>
    </w:lvl>
    <w:lvl w:ilvl="6" w:tplc="080A0001" w:tentative="1">
      <w:start w:val="1"/>
      <w:numFmt w:val="bullet"/>
      <w:lvlText w:val=""/>
      <w:lvlJc w:val="left"/>
      <w:pPr>
        <w:ind w:left="6600" w:hanging="360"/>
      </w:pPr>
      <w:rPr>
        <w:rFonts w:ascii="Symbol" w:hAnsi="Symbol" w:hint="default"/>
      </w:rPr>
    </w:lvl>
    <w:lvl w:ilvl="7" w:tplc="080A0003" w:tentative="1">
      <w:start w:val="1"/>
      <w:numFmt w:val="bullet"/>
      <w:lvlText w:val="o"/>
      <w:lvlJc w:val="left"/>
      <w:pPr>
        <w:ind w:left="7320" w:hanging="360"/>
      </w:pPr>
      <w:rPr>
        <w:rFonts w:ascii="Courier New" w:hAnsi="Courier New" w:cs="Courier New" w:hint="default"/>
      </w:rPr>
    </w:lvl>
    <w:lvl w:ilvl="8" w:tplc="080A0005" w:tentative="1">
      <w:start w:val="1"/>
      <w:numFmt w:val="bullet"/>
      <w:lvlText w:val=""/>
      <w:lvlJc w:val="left"/>
      <w:pPr>
        <w:ind w:left="804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3"/>
  </w:num>
  <w:num w:numId="5">
    <w:abstractNumId w:val="1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num>
  <w:num w:numId="9">
    <w:abstractNumId w:val="16"/>
  </w:num>
  <w:num w:numId="10">
    <w:abstractNumId w:val="10"/>
  </w:num>
  <w:num w:numId="11">
    <w:abstractNumId w:val="7"/>
  </w:num>
  <w:num w:numId="12">
    <w:abstractNumId w:val="3"/>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9"/>
  </w:num>
  <w:num w:numId="17">
    <w:abstractNumId w:val="14"/>
  </w:num>
  <w:num w:numId="18">
    <w:abstractNumId w:val="4"/>
  </w:num>
  <w:num w:numId="19">
    <w:abstractNumId w:val="1"/>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9F1"/>
    <w:rsid w:val="00005DBB"/>
    <w:rsid w:val="00010D3D"/>
    <w:rsid w:val="00013815"/>
    <w:rsid w:val="000138BF"/>
    <w:rsid w:val="00033E05"/>
    <w:rsid w:val="00034515"/>
    <w:rsid w:val="000405C8"/>
    <w:rsid w:val="00045081"/>
    <w:rsid w:val="00047CEC"/>
    <w:rsid w:val="00047F88"/>
    <w:rsid w:val="00056077"/>
    <w:rsid w:val="00064E7C"/>
    <w:rsid w:val="000702C6"/>
    <w:rsid w:val="0007249A"/>
    <w:rsid w:val="00081BBC"/>
    <w:rsid w:val="000913E8"/>
    <w:rsid w:val="00093EA2"/>
    <w:rsid w:val="00094C25"/>
    <w:rsid w:val="0009588A"/>
    <w:rsid w:val="000A240D"/>
    <w:rsid w:val="000B174C"/>
    <w:rsid w:val="000B5B0A"/>
    <w:rsid w:val="000B628E"/>
    <w:rsid w:val="000C1E97"/>
    <w:rsid w:val="000C4BB9"/>
    <w:rsid w:val="000C7EEA"/>
    <w:rsid w:val="000D7130"/>
    <w:rsid w:val="000E11E3"/>
    <w:rsid w:val="000E2D68"/>
    <w:rsid w:val="000E70A7"/>
    <w:rsid w:val="000E785A"/>
    <w:rsid w:val="000E7920"/>
    <w:rsid w:val="000F0FB0"/>
    <w:rsid w:val="000F1BD9"/>
    <w:rsid w:val="000F55FD"/>
    <w:rsid w:val="000F679F"/>
    <w:rsid w:val="00105962"/>
    <w:rsid w:val="001107F5"/>
    <w:rsid w:val="0013147D"/>
    <w:rsid w:val="00136BD6"/>
    <w:rsid w:val="00144540"/>
    <w:rsid w:val="00146DF3"/>
    <w:rsid w:val="001479B9"/>
    <w:rsid w:val="00153443"/>
    <w:rsid w:val="00157B3C"/>
    <w:rsid w:val="001611C7"/>
    <w:rsid w:val="00162DE0"/>
    <w:rsid w:val="001635B9"/>
    <w:rsid w:val="00163A41"/>
    <w:rsid w:val="0016722E"/>
    <w:rsid w:val="00167459"/>
    <w:rsid w:val="00167DC6"/>
    <w:rsid w:val="00171176"/>
    <w:rsid w:val="0018089D"/>
    <w:rsid w:val="001839FC"/>
    <w:rsid w:val="001861E2"/>
    <w:rsid w:val="0018797B"/>
    <w:rsid w:val="00190C63"/>
    <w:rsid w:val="001928EA"/>
    <w:rsid w:val="001A03B3"/>
    <w:rsid w:val="001A4849"/>
    <w:rsid w:val="001A52C9"/>
    <w:rsid w:val="001A6ADC"/>
    <w:rsid w:val="001B1476"/>
    <w:rsid w:val="001B64B8"/>
    <w:rsid w:val="001B77CE"/>
    <w:rsid w:val="001C044B"/>
    <w:rsid w:val="001D2DC4"/>
    <w:rsid w:val="001D66D8"/>
    <w:rsid w:val="001D7814"/>
    <w:rsid w:val="001E18E8"/>
    <w:rsid w:val="001E26DA"/>
    <w:rsid w:val="001E4215"/>
    <w:rsid w:val="001E5EE8"/>
    <w:rsid w:val="001E657B"/>
    <w:rsid w:val="001F1B22"/>
    <w:rsid w:val="001F1B43"/>
    <w:rsid w:val="001F7B08"/>
    <w:rsid w:val="00202785"/>
    <w:rsid w:val="00204183"/>
    <w:rsid w:val="00204912"/>
    <w:rsid w:val="002131FA"/>
    <w:rsid w:val="00214880"/>
    <w:rsid w:val="00224346"/>
    <w:rsid w:val="00224481"/>
    <w:rsid w:val="00233DE7"/>
    <w:rsid w:val="002359A4"/>
    <w:rsid w:val="002404AE"/>
    <w:rsid w:val="0024558D"/>
    <w:rsid w:val="00246CE0"/>
    <w:rsid w:val="002476AD"/>
    <w:rsid w:val="002538FF"/>
    <w:rsid w:val="00254792"/>
    <w:rsid w:val="00254CF0"/>
    <w:rsid w:val="0025527E"/>
    <w:rsid w:val="002634A2"/>
    <w:rsid w:val="00263914"/>
    <w:rsid w:val="00273859"/>
    <w:rsid w:val="00277268"/>
    <w:rsid w:val="00281F04"/>
    <w:rsid w:val="002825D7"/>
    <w:rsid w:val="002853F4"/>
    <w:rsid w:val="002857DD"/>
    <w:rsid w:val="00287534"/>
    <w:rsid w:val="0029023D"/>
    <w:rsid w:val="00291194"/>
    <w:rsid w:val="00291407"/>
    <w:rsid w:val="00291A66"/>
    <w:rsid w:val="0029304A"/>
    <w:rsid w:val="002930C2"/>
    <w:rsid w:val="002A3B0D"/>
    <w:rsid w:val="002A5B52"/>
    <w:rsid w:val="002B0955"/>
    <w:rsid w:val="002B2838"/>
    <w:rsid w:val="002B2DEC"/>
    <w:rsid w:val="002B4CE4"/>
    <w:rsid w:val="002C0C73"/>
    <w:rsid w:val="002C23C5"/>
    <w:rsid w:val="002C291D"/>
    <w:rsid w:val="002C4203"/>
    <w:rsid w:val="002C7C70"/>
    <w:rsid w:val="002D2A97"/>
    <w:rsid w:val="002D55FE"/>
    <w:rsid w:val="002E2530"/>
    <w:rsid w:val="002F288C"/>
    <w:rsid w:val="002F4114"/>
    <w:rsid w:val="002F63B8"/>
    <w:rsid w:val="002F7A6A"/>
    <w:rsid w:val="00301ADF"/>
    <w:rsid w:val="00302877"/>
    <w:rsid w:val="0030423A"/>
    <w:rsid w:val="00304E07"/>
    <w:rsid w:val="00307884"/>
    <w:rsid w:val="003079AF"/>
    <w:rsid w:val="00311386"/>
    <w:rsid w:val="00315EC7"/>
    <w:rsid w:val="0032088B"/>
    <w:rsid w:val="00322B4B"/>
    <w:rsid w:val="00332054"/>
    <w:rsid w:val="00334B72"/>
    <w:rsid w:val="00341C02"/>
    <w:rsid w:val="0034244E"/>
    <w:rsid w:val="0034333A"/>
    <w:rsid w:val="00343803"/>
    <w:rsid w:val="0034790C"/>
    <w:rsid w:val="003559C4"/>
    <w:rsid w:val="003644B6"/>
    <w:rsid w:val="003678B3"/>
    <w:rsid w:val="00372F0E"/>
    <w:rsid w:val="0037610C"/>
    <w:rsid w:val="003769AA"/>
    <w:rsid w:val="003817E2"/>
    <w:rsid w:val="00392B19"/>
    <w:rsid w:val="003964FD"/>
    <w:rsid w:val="003A1DC8"/>
    <w:rsid w:val="003A4EA7"/>
    <w:rsid w:val="003A6ABE"/>
    <w:rsid w:val="003B2D98"/>
    <w:rsid w:val="003B60FC"/>
    <w:rsid w:val="003C0AEA"/>
    <w:rsid w:val="003C0FB2"/>
    <w:rsid w:val="003C11EF"/>
    <w:rsid w:val="003C6AC0"/>
    <w:rsid w:val="003C7AD1"/>
    <w:rsid w:val="003D1FC1"/>
    <w:rsid w:val="003D730E"/>
    <w:rsid w:val="003E1117"/>
    <w:rsid w:val="003E7067"/>
    <w:rsid w:val="003F073F"/>
    <w:rsid w:val="003F24BA"/>
    <w:rsid w:val="003F2CC6"/>
    <w:rsid w:val="003F725D"/>
    <w:rsid w:val="004000A6"/>
    <w:rsid w:val="00406BD2"/>
    <w:rsid w:val="00410E73"/>
    <w:rsid w:val="00410EFC"/>
    <w:rsid w:val="00411622"/>
    <w:rsid w:val="004157BB"/>
    <w:rsid w:val="0041588F"/>
    <w:rsid w:val="00416D48"/>
    <w:rsid w:val="00417870"/>
    <w:rsid w:val="00422531"/>
    <w:rsid w:val="004254D3"/>
    <w:rsid w:val="00427CBC"/>
    <w:rsid w:val="004354E5"/>
    <w:rsid w:val="00440FC5"/>
    <w:rsid w:val="00446CE8"/>
    <w:rsid w:val="00454E25"/>
    <w:rsid w:val="004605BC"/>
    <w:rsid w:val="0046689F"/>
    <w:rsid w:val="00471CC6"/>
    <w:rsid w:val="00475AD4"/>
    <w:rsid w:val="004808D5"/>
    <w:rsid w:val="00484772"/>
    <w:rsid w:val="00487330"/>
    <w:rsid w:val="00490AAE"/>
    <w:rsid w:val="00493DA0"/>
    <w:rsid w:val="00497DB8"/>
    <w:rsid w:val="004A512C"/>
    <w:rsid w:val="004B1C50"/>
    <w:rsid w:val="004B2A9B"/>
    <w:rsid w:val="004B6DC3"/>
    <w:rsid w:val="004B703E"/>
    <w:rsid w:val="004C0F6D"/>
    <w:rsid w:val="004C3481"/>
    <w:rsid w:val="004C416D"/>
    <w:rsid w:val="004C6AEB"/>
    <w:rsid w:val="004D2E3D"/>
    <w:rsid w:val="004D41FE"/>
    <w:rsid w:val="004E5DA5"/>
    <w:rsid w:val="004E73A7"/>
    <w:rsid w:val="004F00CB"/>
    <w:rsid w:val="004F0AB2"/>
    <w:rsid w:val="004F1A20"/>
    <w:rsid w:val="004F3186"/>
    <w:rsid w:val="004F31AA"/>
    <w:rsid w:val="00500CE7"/>
    <w:rsid w:val="0050133A"/>
    <w:rsid w:val="005029A4"/>
    <w:rsid w:val="005034C4"/>
    <w:rsid w:val="0051662F"/>
    <w:rsid w:val="00517047"/>
    <w:rsid w:val="00523C17"/>
    <w:rsid w:val="00525089"/>
    <w:rsid w:val="0052701A"/>
    <w:rsid w:val="00535D8D"/>
    <w:rsid w:val="00537936"/>
    <w:rsid w:val="00540E6C"/>
    <w:rsid w:val="00543B67"/>
    <w:rsid w:val="005478CD"/>
    <w:rsid w:val="00552A8C"/>
    <w:rsid w:val="00565D38"/>
    <w:rsid w:val="00566F6F"/>
    <w:rsid w:val="00567B77"/>
    <w:rsid w:val="005703F6"/>
    <w:rsid w:val="00575B40"/>
    <w:rsid w:val="00575E27"/>
    <w:rsid w:val="00577ED0"/>
    <w:rsid w:val="0058373E"/>
    <w:rsid w:val="00585DDA"/>
    <w:rsid w:val="0059028E"/>
    <w:rsid w:val="005978F9"/>
    <w:rsid w:val="005B14CC"/>
    <w:rsid w:val="005B1C6E"/>
    <w:rsid w:val="005C1252"/>
    <w:rsid w:val="005C21C7"/>
    <w:rsid w:val="005C48B3"/>
    <w:rsid w:val="005D18BA"/>
    <w:rsid w:val="005D2CA9"/>
    <w:rsid w:val="005E4728"/>
    <w:rsid w:val="005F1F07"/>
    <w:rsid w:val="006029C0"/>
    <w:rsid w:val="00606B75"/>
    <w:rsid w:val="00612DFC"/>
    <w:rsid w:val="00615084"/>
    <w:rsid w:val="00615FA3"/>
    <w:rsid w:val="006268D1"/>
    <w:rsid w:val="00630712"/>
    <w:rsid w:val="00635892"/>
    <w:rsid w:val="00635A1D"/>
    <w:rsid w:val="006411F3"/>
    <w:rsid w:val="006424E9"/>
    <w:rsid w:val="0064477F"/>
    <w:rsid w:val="00645BBE"/>
    <w:rsid w:val="0065178F"/>
    <w:rsid w:val="00654AAF"/>
    <w:rsid w:val="006576FF"/>
    <w:rsid w:val="00657CBC"/>
    <w:rsid w:val="00661104"/>
    <w:rsid w:val="0066360A"/>
    <w:rsid w:val="00664025"/>
    <w:rsid w:val="0067075F"/>
    <w:rsid w:val="006716E5"/>
    <w:rsid w:val="00672C36"/>
    <w:rsid w:val="006750EE"/>
    <w:rsid w:val="00686172"/>
    <w:rsid w:val="006870DD"/>
    <w:rsid w:val="0069455D"/>
    <w:rsid w:val="00695EA1"/>
    <w:rsid w:val="00696028"/>
    <w:rsid w:val="00697398"/>
    <w:rsid w:val="006A1B90"/>
    <w:rsid w:val="006A36AE"/>
    <w:rsid w:val="006A4D81"/>
    <w:rsid w:val="006A6CE9"/>
    <w:rsid w:val="006B01ED"/>
    <w:rsid w:val="006B14D4"/>
    <w:rsid w:val="006B2531"/>
    <w:rsid w:val="006B7178"/>
    <w:rsid w:val="006C641F"/>
    <w:rsid w:val="006D0A32"/>
    <w:rsid w:val="006D1356"/>
    <w:rsid w:val="006D6575"/>
    <w:rsid w:val="006D74C0"/>
    <w:rsid w:val="006E2656"/>
    <w:rsid w:val="006E2EEB"/>
    <w:rsid w:val="006E301F"/>
    <w:rsid w:val="006E4124"/>
    <w:rsid w:val="006E6873"/>
    <w:rsid w:val="006F0D7A"/>
    <w:rsid w:val="006F5497"/>
    <w:rsid w:val="00707F47"/>
    <w:rsid w:val="00713E76"/>
    <w:rsid w:val="0072449B"/>
    <w:rsid w:val="00737B25"/>
    <w:rsid w:val="007410CF"/>
    <w:rsid w:val="007438AC"/>
    <w:rsid w:val="00744A7B"/>
    <w:rsid w:val="00755E40"/>
    <w:rsid w:val="00757C5B"/>
    <w:rsid w:val="00763DE6"/>
    <w:rsid w:val="00770362"/>
    <w:rsid w:val="00770F38"/>
    <w:rsid w:val="00780DBB"/>
    <w:rsid w:val="00781F01"/>
    <w:rsid w:val="007862C8"/>
    <w:rsid w:val="0079188F"/>
    <w:rsid w:val="007926AA"/>
    <w:rsid w:val="00795536"/>
    <w:rsid w:val="00796182"/>
    <w:rsid w:val="00796D94"/>
    <w:rsid w:val="007A32F0"/>
    <w:rsid w:val="007A5005"/>
    <w:rsid w:val="007B0465"/>
    <w:rsid w:val="007C0446"/>
    <w:rsid w:val="007C13A5"/>
    <w:rsid w:val="007C170A"/>
    <w:rsid w:val="007C3034"/>
    <w:rsid w:val="007C7402"/>
    <w:rsid w:val="007E7A1B"/>
    <w:rsid w:val="007F1B42"/>
    <w:rsid w:val="007F3661"/>
    <w:rsid w:val="007F3A1D"/>
    <w:rsid w:val="007F3FC6"/>
    <w:rsid w:val="007F57FB"/>
    <w:rsid w:val="007F79C4"/>
    <w:rsid w:val="007F7FDE"/>
    <w:rsid w:val="00800C0A"/>
    <w:rsid w:val="00801122"/>
    <w:rsid w:val="0080274D"/>
    <w:rsid w:val="008043AE"/>
    <w:rsid w:val="008055DA"/>
    <w:rsid w:val="008112CA"/>
    <w:rsid w:val="0081246F"/>
    <w:rsid w:val="00814A18"/>
    <w:rsid w:val="00817BB3"/>
    <w:rsid w:val="00822F53"/>
    <w:rsid w:val="008252C1"/>
    <w:rsid w:val="00826B77"/>
    <w:rsid w:val="00830831"/>
    <w:rsid w:val="0083109E"/>
    <w:rsid w:val="008314B3"/>
    <w:rsid w:val="00831EF9"/>
    <w:rsid w:val="008328D2"/>
    <w:rsid w:val="00833EA6"/>
    <w:rsid w:val="00850BDA"/>
    <w:rsid w:val="0085577A"/>
    <w:rsid w:val="008606F3"/>
    <w:rsid w:val="008622D2"/>
    <w:rsid w:val="0086351B"/>
    <w:rsid w:val="008641DA"/>
    <w:rsid w:val="0086607B"/>
    <w:rsid w:val="008709BC"/>
    <w:rsid w:val="008728C6"/>
    <w:rsid w:val="00876032"/>
    <w:rsid w:val="0087675D"/>
    <w:rsid w:val="00881E6E"/>
    <w:rsid w:val="00884220"/>
    <w:rsid w:val="0088656E"/>
    <w:rsid w:val="008932BA"/>
    <w:rsid w:val="00895FE6"/>
    <w:rsid w:val="008A040C"/>
    <w:rsid w:val="008A06A0"/>
    <w:rsid w:val="008A5E64"/>
    <w:rsid w:val="008A7FD2"/>
    <w:rsid w:val="008B114C"/>
    <w:rsid w:val="008B4517"/>
    <w:rsid w:val="008C0A78"/>
    <w:rsid w:val="008C0CBA"/>
    <w:rsid w:val="008C18FE"/>
    <w:rsid w:val="008C1985"/>
    <w:rsid w:val="008C3B5A"/>
    <w:rsid w:val="008C4036"/>
    <w:rsid w:val="008C7D91"/>
    <w:rsid w:val="008D0A75"/>
    <w:rsid w:val="008D19EA"/>
    <w:rsid w:val="008D3421"/>
    <w:rsid w:val="008D71C8"/>
    <w:rsid w:val="008D7456"/>
    <w:rsid w:val="008E26BC"/>
    <w:rsid w:val="008E6220"/>
    <w:rsid w:val="009009F1"/>
    <w:rsid w:val="00902078"/>
    <w:rsid w:val="009023B3"/>
    <w:rsid w:val="00903D06"/>
    <w:rsid w:val="00906619"/>
    <w:rsid w:val="009111F0"/>
    <w:rsid w:val="00911857"/>
    <w:rsid w:val="0091607B"/>
    <w:rsid w:val="00927558"/>
    <w:rsid w:val="0093089F"/>
    <w:rsid w:val="009366A3"/>
    <w:rsid w:val="0094130E"/>
    <w:rsid w:val="00944030"/>
    <w:rsid w:val="0094541C"/>
    <w:rsid w:val="00945F8B"/>
    <w:rsid w:val="00946D6C"/>
    <w:rsid w:val="009473F8"/>
    <w:rsid w:val="00947600"/>
    <w:rsid w:val="00950A29"/>
    <w:rsid w:val="00951B80"/>
    <w:rsid w:val="00954017"/>
    <w:rsid w:val="00954DD5"/>
    <w:rsid w:val="0095524D"/>
    <w:rsid w:val="00956815"/>
    <w:rsid w:val="00956FAF"/>
    <w:rsid w:val="00966610"/>
    <w:rsid w:val="00971DA1"/>
    <w:rsid w:val="00973CD9"/>
    <w:rsid w:val="00975686"/>
    <w:rsid w:val="00977F66"/>
    <w:rsid w:val="00980DD0"/>
    <w:rsid w:val="00986931"/>
    <w:rsid w:val="0099305D"/>
    <w:rsid w:val="00996707"/>
    <w:rsid w:val="009A2732"/>
    <w:rsid w:val="009A7D03"/>
    <w:rsid w:val="009B062A"/>
    <w:rsid w:val="009B16C1"/>
    <w:rsid w:val="009B2055"/>
    <w:rsid w:val="009B341D"/>
    <w:rsid w:val="009B59F0"/>
    <w:rsid w:val="009C29C0"/>
    <w:rsid w:val="009C2A42"/>
    <w:rsid w:val="009C6D64"/>
    <w:rsid w:val="009E017C"/>
    <w:rsid w:val="009E3802"/>
    <w:rsid w:val="009E413D"/>
    <w:rsid w:val="009E437B"/>
    <w:rsid w:val="009F1689"/>
    <w:rsid w:val="009F1A66"/>
    <w:rsid w:val="009F4BA5"/>
    <w:rsid w:val="009F613F"/>
    <w:rsid w:val="00A0188A"/>
    <w:rsid w:val="00A0685D"/>
    <w:rsid w:val="00A13436"/>
    <w:rsid w:val="00A22DAD"/>
    <w:rsid w:val="00A25900"/>
    <w:rsid w:val="00A2675A"/>
    <w:rsid w:val="00A31149"/>
    <w:rsid w:val="00A36F22"/>
    <w:rsid w:val="00A37989"/>
    <w:rsid w:val="00A37C7E"/>
    <w:rsid w:val="00A37CA8"/>
    <w:rsid w:val="00A41CDD"/>
    <w:rsid w:val="00A42198"/>
    <w:rsid w:val="00A518F6"/>
    <w:rsid w:val="00A5270C"/>
    <w:rsid w:val="00A56782"/>
    <w:rsid w:val="00A662E0"/>
    <w:rsid w:val="00A718C3"/>
    <w:rsid w:val="00A74E71"/>
    <w:rsid w:val="00A82DB4"/>
    <w:rsid w:val="00A82F3A"/>
    <w:rsid w:val="00A85DA2"/>
    <w:rsid w:val="00A92502"/>
    <w:rsid w:val="00A92BAD"/>
    <w:rsid w:val="00A9321A"/>
    <w:rsid w:val="00A963C3"/>
    <w:rsid w:val="00AA1947"/>
    <w:rsid w:val="00AA2F43"/>
    <w:rsid w:val="00AA3C6B"/>
    <w:rsid w:val="00AA42E2"/>
    <w:rsid w:val="00AA6E6D"/>
    <w:rsid w:val="00AB0593"/>
    <w:rsid w:val="00AB66FF"/>
    <w:rsid w:val="00AC1615"/>
    <w:rsid w:val="00AD1340"/>
    <w:rsid w:val="00AD17FF"/>
    <w:rsid w:val="00AD2B37"/>
    <w:rsid w:val="00AD3746"/>
    <w:rsid w:val="00AD54B7"/>
    <w:rsid w:val="00AE03B6"/>
    <w:rsid w:val="00AE0411"/>
    <w:rsid w:val="00AE0443"/>
    <w:rsid w:val="00AE3A11"/>
    <w:rsid w:val="00AE6A38"/>
    <w:rsid w:val="00AF1148"/>
    <w:rsid w:val="00AF1E3F"/>
    <w:rsid w:val="00AF3C2E"/>
    <w:rsid w:val="00AF7DEE"/>
    <w:rsid w:val="00B0260F"/>
    <w:rsid w:val="00B13352"/>
    <w:rsid w:val="00B1647F"/>
    <w:rsid w:val="00B24B22"/>
    <w:rsid w:val="00B323B3"/>
    <w:rsid w:val="00B33076"/>
    <w:rsid w:val="00B43D61"/>
    <w:rsid w:val="00B50821"/>
    <w:rsid w:val="00B56713"/>
    <w:rsid w:val="00B56F9E"/>
    <w:rsid w:val="00B57B04"/>
    <w:rsid w:val="00B61A0B"/>
    <w:rsid w:val="00B711EA"/>
    <w:rsid w:val="00B760FB"/>
    <w:rsid w:val="00B77009"/>
    <w:rsid w:val="00B804DF"/>
    <w:rsid w:val="00B8167A"/>
    <w:rsid w:val="00B86100"/>
    <w:rsid w:val="00B90A0F"/>
    <w:rsid w:val="00B924F9"/>
    <w:rsid w:val="00B92DE4"/>
    <w:rsid w:val="00B96AE2"/>
    <w:rsid w:val="00BA6EF1"/>
    <w:rsid w:val="00BA7FAF"/>
    <w:rsid w:val="00BB045C"/>
    <w:rsid w:val="00BB6EEA"/>
    <w:rsid w:val="00BC10FB"/>
    <w:rsid w:val="00BC1D92"/>
    <w:rsid w:val="00BC2CE7"/>
    <w:rsid w:val="00BC5BC2"/>
    <w:rsid w:val="00BD04A4"/>
    <w:rsid w:val="00BD0CCD"/>
    <w:rsid w:val="00BD0DB2"/>
    <w:rsid w:val="00BD1EC1"/>
    <w:rsid w:val="00BD603F"/>
    <w:rsid w:val="00BD6846"/>
    <w:rsid w:val="00BE2726"/>
    <w:rsid w:val="00BE3A9C"/>
    <w:rsid w:val="00BE4438"/>
    <w:rsid w:val="00BE446C"/>
    <w:rsid w:val="00BE4C47"/>
    <w:rsid w:val="00BE4F86"/>
    <w:rsid w:val="00BE6241"/>
    <w:rsid w:val="00BE718A"/>
    <w:rsid w:val="00BF1B43"/>
    <w:rsid w:val="00BF37D6"/>
    <w:rsid w:val="00BF38B0"/>
    <w:rsid w:val="00BF4713"/>
    <w:rsid w:val="00BF4A12"/>
    <w:rsid w:val="00C01842"/>
    <w:rsid w:val="00C03DBA"/>
    <w:rsid w:val="00C072BF"/>
    <w:rsid w:val="00C07FD6"/>
    <w:rsid w:val="00C102BF"/>
    <w:rsid w:val="00C10890"/>
    <w:rsid w:val="00C10914"/>
    <w:rsid w:val="00C11CF4"/>
    <w:rsid w:val="00C24492"/>
    <w:rsid w:val="00C30FCB"/>
    <w:rsid w:val="00C326A2"/>
    <w:rsid w:val="00C33748"/>
    <w:rsid w:val="00C34914"/>
    <w:rsid w:val="00C43097"/>
    <w:rsid w:val="00C4674C"/>
    <w:rsid w:val="00C51A93"/>
    <w:rsid w:val="00C53585"/>
    <w:rsid w:val="00C549D6"/>
    <w:rsid w:val="00C61DD9"/>
    <w:rsid w:val="00C62509"/>
    <w:rsid w:val="00C6690D"/>
    <w:rsid w:val="00C66C8B"/>
    <w:rsid w:val="00C672F1"/>
    <w:rsid w:val="00C706F4"/>
    <w:rsid w:val="00C72375"/>
    <w:rsid w:val="00C76769"/>
    <w:rsid w:val="00C80E09"/>
    <w:rsid w:val="00C82F5E"/>
    <w:rsid w:val="00C87428"/>
    <w:rsid w:val="00C95ED3"/>
    <w:rsid w:val="00CA6548"/>
    <w:rsid w:val="00CB0724"/>
    <w:rsid w:val="00CB2E85"/>
    <w:rsid w:val="00CC069C"/>
    <w:rsid w:val="00CC421E"/>
    <w:rsid w:val="00CD70A7"/>
    <w:rsid w:val="00CE2E60"/>
    <w:rsid w:val="00CE564D"/>
    <w:rsid w:val="00CF5C21"/>
    <w:rsid w:val="00D00380"/>
    <w:rsid w:val="00D0229A"/>
    <w:rsid w:val="00D03F35"/>
    <w:rsid w:val="00D112B6"/>
    <w:rsid w:val="00D21239"/>
    <w:rsid w:val="00D22DBE"/>
    <w:rsid w:val="00D23AAB"/>
    <w:rsid w:val="00D26196"/>
    <w:rsid w:val="00D266E5"/>
    <w:rsid w:val="00D31DF7"/>
    <w:rsid w:val="00D36003"/>
    <w:rsid w:val="00D36B56"/>
    <w:rsid w:val="00D36D90"/>
    <w:rsid w:val="00D37622"/>
    <w:rsid w:val="00D41C75"/>
    <w:rsid w:val="00D42C08"/>
    <w:rsid w:val="00D44CFE"/>
    <w:rsid w:val="00D54B78"/>
    <w:rsid w:val="00D55542"/>
    <w:rsid w:val="00D57316"/>
    <w:rsid w:val="00D6066D"/>
    <w:rsid w:val="00D62D5E"/>
    <w:rsid w:val="00D63D2B"/>
    <w:rsid w:val="00D659E4"/>
    <w:rsid w:val="00D76CBB"/>
    <w:rsid w:val="00D802F6"/>
    <w:rsid w:val="00D80966"/>
    <w:rsid w:val="00D81564"/>
    <w:rsid w:val="00D82870"/>
    <w:rsid w:val="00D82BD1"/>
    <w:rsid w:val="00D87B00"/>
    <w:rsid w:val="00D94569"/>
    <w:rsid w:val="00D94E2D"/>
    <w:rsid w:val="00DA07D3"/>
    <w:rsid w:val="00DA0E39"/>
    <w:rsid w:val="00DA1418"/>
    <w:rsid w:val="00DA4AF7"/>
    <w:rsid w:val="00DA5344"/>
    <w:rsid w:val="00DC4328"/>
    <w:rsid w:val="00DC5AF6"/>
    <w:rsid w:val="00DD2501"/>
    <w:rsid w:val="00DD5EC6"/>
    <w:rsid w:val="00DE20C0"/>
    <w:rsid w:val="00DF2C8F"/>
    <w:rsid w:val="00E0020F"/>
    <w:rsid w:val="00E044F9"/>
    <w:rsid w:val="00E05E44"/>
    <w:rsid w:val="00E17BED"/>
    <w:rsid w:val="00E26C37"/>
    <w:rsid w:val="00E31B4C"/>
    <w:rsid w:val="00E344A3"/>
    <w:rsid w:val="00E405F2"/>
    <w:rsid w:val="00E51021"/>
    <w:rsid w:val="00E57928"/>
    <w:rsid w:val="00E60982"/>
    <w:rsid w:val="00E638DA"/>
    <w:rsid w:val="00E76B03"/>
    <w:rsid w:val="00E86963"/>
    <w:rsid w:val="00E90BC5"/>
    <w:rsid w:val="00E970F8"/>
    <w:rsid w:val="00EA0D85"/>
    <w:rsid w:val="00EA383F"/>
    <w:rsid w:val="00EA48CB"/>
    <w:rsid w:val="00EA5E4A"/>
    <w:rsid w:val="00EA61F4"/>
    <w:rsid w:val="00EA6858"/>
    <w:rsid w:val="00EA7213"/>
    <w:rsid w:val="00EB106A"/>
    <w:rsid w:val="00EB4A16"/>
    <w:rsid w:val="00EC1A30"/>
    <w:rsid w:val="00EC1C59"/>
    <w:rsid w:val="00EC2982"/>
    <w:rsid w:val="00EC3F8E"/>
    <w:rsid w:val="00ED0630"/>
    <w:rsid w:val="00ED0EB6"/>
    <w:rsid w:val="00ED5562"/>
    <w:rsid w:val="00ED7692"/>
    <w:rsid w:val="00ED7A7D"/>
    <w:rsid w:val="00EE1747"/>
    <w:rsid w:val="00EE465E"/>
    <w:rsid w:val="00EE4937"/>
    <w:rsid w:val="00EE5363"/>
    <w:rsid w:val="00EF189E"/>
    <w:rsid w:val="00EF4D78"/>
    <w:rsid w:val="00EF6272"/>
    <w:rsid w:val="00F01A7E"/>
    <w:rsid w:val="00F04EB6"/>
    <w:rsid w:val="00F05A62"/>
    <w:rsid w:val="00F136A6"/>
    <w:rsid w:val="00F1380F"/>
    <w:rsid w:val="00F17172"/>
    <w:rsid w:val="00F24300"/>
    <w:rsid w:val="00F250C3"/>
    <w:rsid w:val="00F254AF"/>
    <w:rsid w:val="00F25932"/>
    <w:rsid w:val="00F32848"/>
    <w:rsid w:val="00F370C6"/>
    <w:rsid w:val="00F41EBF"/>
    <w:rsid w:val="00F42F63"/>
    <w:rsid w:val="00F46E7C"/>
    <w:rsid w:val="00F50E7D"/>
    <w:rsid w:val="00F53FED"/>
    <w:rsid w:val="00F60D84"/>
    <w:rsid w:val="00F657D9"/>
    <w:rsid w:val="00F67287"/>
    <w:rsid w:val="00F679AA"/>
    <w:rsid w:val="00F72B61"/>
    <w:rsid w:val="00F7626C"/>
    <w:rsid w:val="00F769CA"/>
    <w:rsid w:val="00F83E99"/>
    <w:rsid w:val="00F84EB4"/>
    <w:rsid w:val="00F915D9"/>
    <w:rsid w:val="00F95382"/>
    <w:rsid w:val="00FA2A17"/>
    <w:rsid w:val="00FA2E40"/>
    <w:rsid w:val="00FB0B26"/>
    <w:rsid w:val="00FC1143"/>
    <w:rsid w:val="00FD6425"/>
    <w:rsid w:val="00FD643B"/>
    <w:rsid w:val="00FF239E"/>
    <w:rsid w:val="00FF49D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48639B"/>
  <w15:chartTrackingRefBased/>
  <w15:docId w15:val="{AE322098-AF1F-4C2F-8512-8186C418F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Arial Unicode MS"/>
      <w:kern w:val="1"/>
      <w:sz w:val="24"/>
      <w:szCs w:val="24"/>
      <w:lang w:val="es-ES_tradnl"/>
    </w:rPr>
  </w:style>
  <w:style w:type="paragraph" w:styleId="Ttulo1">
    <w:name w:val="heading 1"/>
    <w:basedOn w:val="Normal"/>
    <w:next w:val="Normal"/>
    <w:qFormat/>
    <w:rsid w:val="007A32F0"/>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7A32F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AB0593"/>
    <w:pPr>
      <w:widowControl/>
      <w:suppressAutoHyphens w:val="0"/>
      <w:autoSpaceDE w:val="0"/>
      <w:autoSpaceDN w:val="0"/>
      <w:adjustRightInd w:val="0"/>
      <w:outlineLvl w:val="2"/>
    </w:pPr>
    <w:rPr>
      <w:rFonts w:eastAsia="Times New Roman"/>
      <w:kern w:val="0"/>
      <w:lang w:val="es-ES" w:eastAsia="es-ES"/>
    </w:rPr>
  </w:style>
  <w:style w:type="paragraph" w:styleId="Ttulo4">
    <w:name w:val="heading 4"/>
    <w:basedOn w:val="Normal"/>
    <w:next w:val="Normal"/>
    <w:qFormat/>
    <w:rsid w:val="007A32F0"/>
    <w:pPr>
      <w:keepNext/>
      <w:spacing w:before="240" w:after="60"/>
      <w:outlineLvl w:val="3"/>
    </w:pPr>
    <w:rPr>
      <w:b/>
      <w:bCs/>
      <w:sz w:val="28"/>
      <w:szCs w:val="28"/>
    </w:rPr>
  </w:style>
  <w:style w:type="paragraph" w:styleId="Ttulo5">
    <w:name w:val="heading 5"/>
    <w:basedOn w:val="Normal"/>
    <w:next w:val="Normal"/>
    <w:qFormat/>
    <w:rsid w:val="007A32F0"/>
    <w:pPr>
      <w:spacing w:before="240" w:after="60"/>
      <w:outlineLvl w:val="4"/>
    </w:pPr>
    <w:rPr>
      <w:b/>
      <w:bCs/>
      <w:i/>
      <w:iCs/>
      <w:sz w:val="26"/>
      <w:szCs w:val="26"/>
    </w:rPr>
  </w:style>
  <w:style w:type="paragraph" w:styleId="Ttulo7">
    <w:name w:val="heading 7"/>
    <w:basedOn w:val="Normal"/>
    <w:next w:val="Normal"/>
    <w:qFormat/>
    <w:rsid w:val="00796D94"/>
    <w:pPr>
      <w:spacing w:before="240" w:after="60"/>
      <w:outlineLvl w:val="6"/>
    </w:pPr>
  </w:style>
  <w:style w:type="paragraph" w:styleId="Ttulo8">
    <w:name w:val="heading 8"/>
    <w:basedOn w:val="Normal"/>
    <w:next w:val="Normal"/>
    <w:qFormat/>
    <w:rsid w:val="007A32F0"/>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uentedeprrafopredeter2">
    <w:name w:val="Fuente de párrafo predeter.2"/>
  </w:style>
  <w:style w:type="character" w:customStyle="1" w:styleId="WW-Absatz-Standardschriftart11">
    <w:name w:val="WW-Absatz-Standardschriftart11"/>
  </w:style>
  <w:style w:type="character" w:customStyle="1" w:styleId="Fuentedeprrafopredeter1">
    <w:name w:val="Fuente de párrafo predeter.1"/>
  </w:style>
  <w:style w:type="character" w:styleId="Hipervnculo">
    <w:name w:val="Hyperlink"/>
    <w:basedOn w:val="Fuentedeprrafopredeter1"/>
    <w:rPr>
      <w:color w:val="0000FF"/>
      <w:u w:val="single"/>
    </w:rPr>
  </w:style>
  <w:style w:type="paragraph" w:customStyle="1" w:styleId="Encabezado2">
    <w:name w:val="Encabezado2"/>
    <w:basedOn w:val="Normal"/>
    <w:next w:val="Textoindependiente"/>
    <w:pPr>
      <w:keepNext/>
      <w:spacing w:before="240" w:after="120"/>
    </w:pPr>
    <w:rPr>
      <w:rFonts w:ascii="Arial"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hAnsi="Arial" w:cs="Tahoma"/>
      <w:sz w:val="28"/>
      <w:szCs w:val="28"/>
    </w:rPr>
  </w:style>
  <w:style w:type="paragraph" w:styleId="NormalWeb">
    <w:name w:val="Normal (Web)"/>
    <w:basedOn w:val="Normal"/>
    <w:uiPriority w:val="99"/>
    <w:pPr>
      <w:spacing w:before="100" w:after="100"/>
    </w:pPr>
  </w:style>
  <w:style w:type="paragraph" w:styleId="Ttulo">
    <w:name w:val="Title"/>
    <w:basedOn w:val="Normal"/>
    <w:next w:val="Subttulo"/>
    <w:qFormat/>
    <w:pPr>
      <w:tabs>
        <w:tab w:val="center" w:pos="4680"/>
      </w:tabs>
      <w:jc w:val="center"/>
    </w:pPr>
    <w:rPr>
      <w:b/>
      <w:spacing w:val="-3"/>
      <w:u w:val="single"/>
    </w:rPr>
  </w:style>
  <w:style w:type="paragraph" w:styleId="Subttulo">
    <w:name w:val="Subtitle"/>
    <w:basedOn w:val="Encabezado1"/>
    <w:next w:val="Textoindependiente"/>
    <w:qFormat/>
    <w:pPr>
      <w:jc w:val="center"/>
    </w:pPr>
    <w:rPr>
      <w:i/>
      <w:iCs/>
    </w:rPr>
  </w:style>
  <w:style w:type="paragraph" w:styleId="Encabezado">
    <w:name w:val="header"/>
    <w:basedOn w:val="Normal"/>
    <w:pPr>
      <w:suppressLineNumbers/>
      <w:tabs>
        <w:tab w:val="center" w:pos="4986"/>
        <w:tab w:val="right" w:pos="9972"/>
      </w:tabs>
    </w:pPr>
  </w:style>
  <w:style w:type="paragraph" w:customStyle="1" w:styleId="Contenidodelmarco">
    <w:name w:val="Contenido del marco"/>
    <w:basedOn w:val="Textoindependiente"/>
  </w:style>
  <w:style w:type="paragraph" w:customStyle="1" w:styleId="Car">
    <w:name w:val="Car"/>
    <w:basedOn w:val="Normal"/>
    <w:pPr>
      <w:widowControl/>
      <w:suppressAutoHyphens w:val="0"/>
      <w:spacing w:after="160" w:line="240" w:lineRule="exact"/>
    </w:pPr>
    <w:rPr>
      <w:rFonts w:ascii="Verdana" w:eastAsia="Times New Roman" w:hAnsi="Verdana"/>
      <w:sz w:val="20"/>
      <w:szCs w:val="21"/>
      <w:lang w:val="en-AU"/>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Textodeglobo">
    <w:name w:val="Balloon Text"/>
    <w:basedOn w:val="Normal"/>
    <w:semiHidden/>
    <w:rsid w:val="00850BDA"/>
    <w:rPr>
      <w:rFonts w:ascii="Tahoma" w:hAnsi="Tahoma" w:cs="Tahoma"/>
      <w:sz w:val="16"/>
      <w:szCs w:val="16"/>
    </w:rPr>
  </w:style>
  <w:style w:type="paragraph" w:customStyle="1" w:styleId="bodytext2">
    <w:name w:val="bodytext2"/>
    <w:basedOn w:val="Normal"/>
    <w:rsid w:val="00796D94"/>
    <w:pPr>
      <w:widowControl/>
      <w:suppressAutoHyphens w:val="0"/>
      <w:jc w:val="both"/>
    </w:pPr>
    <w:rPr>
      <w:rFonts w:ascii="Arial" w:eastAsia="Times New Roman" w:hAnsi="Arial" w:cs="Arial"/>
      <w:b/>
      <w:bCs/>
      <w:kern w:val="0"/>
      <w:u w:val="single"/>
      <w:lang w:val="es-ES" w:eastAsia="es-ES"/>
    </w:rPr>
  </w:style>
  <w:style w:type="paragraph" w:customStyle="1" w:styleId="CharChar">
    <w:name w:val="Char Char"/>
    <w:basedOn w:val="Normal"/>
    <w:semiHidden/>
    <w:rsid w:val="00796D94"/>
    <w:pPr>
      <w:widowControl/>
      <w:suppressAutoHyphens w:val="0"/>
      <w:spacing w:after="160" w:line="240" w:lineRule="exact"/>
    </w:pPr>
    <w:rPr>
      <w:rFonts w:ascii="Verdana" w:eastAsia="Times New Roman" w:hAnsi="Verdana" w:cs="Verdana"/>
      <w:kern w:val="0"/>
      <w:sz w:val="20"/>
      <w:szCs w:val="20"/>
      <w:lang w:val="en-AU" w:eastAsia="en-US"/>
    </w:rPr>
  </w:style>
  <w:style w:type="paragraph" w:styleId="Piedepgina">
    <w:name w:val="footer"/>
    <w:basedOn w:val="Normal"/>
    <w:rsid w:val="0007249A"/>
    <w:pPr>
      <w:tabs>
        <w:tab w:val="center" w:pos="4252"/>
        <w:tab w:val="right" w:pos="8504"/>
      </w:tabs>
    </w:pPr>
  </w:style>
  <w:style w:type="paragraph" w:customStyle="1" w:styleId="3">
    <w:name w:val="3"/>
    <w:basedOn w:val="Normal"/>
    <w:semiHidden/>
    <w:rsid w:val="00005DBB"/>
    <w:pPr>
      <w:widowControl/>
      <w:suppressAutoHyphens w:val="0"/>
      <w:spacing w:after="160" w:line="240" w:lineRule="exact"/>
    </w:pPr>
    <w:rPr>
      <w:rFonts w:ascii="Verdana" w:eastAsia="Times New Roman" w:hAnsi="Verdana"/>
      <w:kern w:val="0"/>
      <w:sz w:val="20"/>
      <w:szCs w:val="21"/>
      <w:lang w:val="en-AU" w:eastAsia="en-US"/>
    </w:rPr>
  </w:style>
  <w:style w:type="paragraph" w:customStyle="1" w:styleId="style3">
    <w:name w:val="style3"/>
    <w:basedOn w:val="Normal"/>
    <w:rsid w:val="009E413D"/>
    <w:pPr>
      <w:widowControl/>
      <w:suppressAutoHyphens w:val="0"/>
      <w:spacing w:before="280" w:after="280"/>
    </w:pPr>
    <w:rPr>
      <w:rFonts w:eastAsia="Times New Roman"/>
      <w:b/>
      <w:bCs/>
      <w:color w:val="000000"/>
      <w:kern w:val="0"/>
      <w:lang w:val="es-ES" w:eastAsia="es-ES"/>
    </w:rPr>
  </w:style>
  <w:style w:type="paragraph" w:customStyle="1" w:styleId="Car0">
    <w:name w:val="Car"/>
    <w:basedOn w:val="Normal"/>
    <w:semiHidden/>
    <w:rsid w:val="00372F0E"/>
    <w:pPr>
      <w:widowControl/>
      <w:suppressAutoHyphens w:val="0"/>
      <w:spacing w:after="160" w:line="240" w:lineRule="exact"/>
    </w:pPr>
    <w:rPr>
      <w:rFonts w:ascii="Verdana" w:eastAsia="Times New Roman" w:hAnsi="Verdana"/>
      <w:kern w:val="0"/>
      <w:sz w:val="20"/>
      <w:szCs w:val="21"/>
      <w:lang w:val="en-AU" w:eastAsia="en-US"/>
    </w:rPr>
  </w:style>
  <w:style w:type="paragraph" w:styleId="Sangradetextonormal">
    <w:name w:val="Body Text Indent"/>
    <w:basedOn w:val="Normal"/>
    <w:rsid w:val="007A32F0"/>
    <w:pPr>
      <w:spacing w:after="120"/>
      <w:ind w:left="283"/>
    </w:pPr>
  </w:style>
  <w:style w:type="paragraph" w:styleId="Textoindependiente2">
    <w:name w:val="Body Text 2"/>
    <w:basedOn w:val="Normal"/>
    <w:rsid w:val="007A32F0"/>
    <w:pPr>
      <w:spacing w:after="120" w:line="480" w:lineRule="auto"/>
    </w:pPr>
  </w:style>
  <w:style w:type="paragraph" w:customStyle="1" w:styleId="Textoindependiente21">
    <w:name w:val="Texto independiente 21"/>
    <w:basedOn w:val="Normal"/>
    <w:rsid w:val="007A32F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Pr>
      <w:rFonts w:eastAsia="Times New Roman"/>
      <w:spacing w:val="-3"/>
      <w:kern w:val="0"/>
      <w:szCs w:val="20"/>
      <w:lang w:eastAsia="es-ES"/>
    </w:rPr>
  </w:style>
  <w:style w:type="paragraph" w:styleId="Textonotapie">
    <w:name w:val="footnote text"/>
    <w:basedOn w:val="Normal"/>
    <w:rsid w:val="007A32F0"/>
    <w:pPr>
      <w:widowControl/>
      <w:suppressAutoHyphens w:val="0"/>
    </w:pPr>
    <w:rPr>
      <w:rFonts w:eastAsia="Times New Roman"/>
      <w:kern w:val="0"/>
      <w:sz w:val="20"/>
      <w:szCs w:val="20"/>
      <w:lang w:val="es-ES" w:eastAsia="es-ES"/>
    </w:rPr>
  </w:style>
  <w:style w:type="paragraph" w:customStyle="1" w:styleId="framecontents">
    <w:name w:val="framecontents"/>
    <w:basedOn w:val="Normal"/>
    <w:rsid w:val="007A32F0"/>
    <w:pPr>
      <w:widowControl/>
      <w:suppressAutoHyphens w:val="0"/>
      <w:overflowPunct w:val="0"/>
      <w:autoSpaceDE w:val="0"/>
      <w:autoSpaceDN w:val="0"/>
      <w:jc w:val="both"/>
    </w:pPr>
    <w:rPr>
      <w:rFonts w:ascii="Century Gothic" w:eastAsia="Times New Roman" w:hAnsi="Century Gothic"/>
      <w:kern w:val="0"/>
      <w:lang w:val="es-ES" w:eastAsia="es-ES"/>
    </w:rPr>
  </w:style>
  <w:style w:type="paragraph" w:customStyle="1" w:styleId="CharChar0">
    <w:name w:val="Char Char"/>
    <w:basedOn w:val="Normal"/>
    <w:semiHidden/>
    <w:rsid w:val="00654AAF"/>
    <w:pPr>
      <w:widowControl/>
      <w:suppressAutoHyphens w:val="0"/>
      <w:spacing w:after="160" w:line="240" w:lineRule="exact"/>
    </w:pPr>
    <w:rPr>
      <w:rFonts w:ascii="Verdana" w:eastAsia="Times New Roman" w:hAnsi="Verdana"/>
      <w:kern w:val="0"/>
      <w:sz w:val="20"/>
      <w:szCs w:val="21"/>
      <w:lang w:val="en-AU" w:eastAsia="en-US"/>
    </w:rPr>
  </w:style>
  <w:style w:type="paragraph" w:customStyle="1" w:styleId="xmsonormal">
    <w:name w:val="x_msonormal"/>
    <w:basedOn w:val="Normal"/>
    <w:rsid w:val="00ED7A7D"/>
    <w:pPr>
      <w:widowControl/>
      <w:suppressAutoHyphens w:val="0"/>
    </w:pPr>
    <w:rPr>
      <w:rFonts w:ascii="Calibri" w:eastAsia="Calibri" w:hAnsi="Calibri" w:cs="Calibri"/>
      <w:kern w:val="0"/>
      <w:sz w:val="22"/>
      <w:szCs w:val="22"/>
      <w:lang w:val="es-CR"/>
    </w:rPr>
  </w:style>
  <w:style w:type="paragraph" w:styleId="Prrafodelista">
    <w:name w:val="List Paragraph"/>
    <w:basedOn w:val="Normal"/>
    <w:uiPriority w:val="34"/>
    <w:qFormat/>
    <w:rsid w:val="00ED7A7D"/>
    <w:pPr>
      <w:ind w:left="720"/>
      <w:contextualSpacing/>
    </w:pPr>
  </w:style>
  <w:style w:type="character" w:styleId="Hipervnculovisitado">
    <w:name w:val="FollowedHyperlink"/>
    <w:basedOn w:val="Fuentedeprrafopredeter"/>
    <w:rsid w:val="00FA2A17"/>
    <w:rPr>
      <w:color w:val="954F72" w:themeColor="followedHyperlink"/>
      <w:u w:val="single"/>
    </w:rPr>
  </w:style>
  <w:style w:type="character" w:styleId="Mencinsinresolver">
    <w:name w:val="Unresolved Mention"/>
    <w:basedOn w:val="Fuentedeprrafopredeter"/>
    <w:uiPriority w:val="99"/>
    <w:semiHidden/>
    <w:unhideWhenUsed/>
    <w:rsid w:val="00ED0630"/>
    <w:rPr>
      <w:color w:val="605E5C"/>
      <w:shd w:val="clear" w:color="auto" w:fill="E1DFDD"/>
    </w:rPr>
  </w:style>
  <w:style w:type="paragraph" w:customStyle="1" w:styleId="Dispositiva">
    <w:name w:val="Dispositiva"/>
    <w:basedOn w:val="Normal"/>
    <w:link w:val="DispositivaCar"/>
    <w:qFormat/>
    <w:rsid w:val="00F17172"/>
    <w:pPr>
      <w:widowControl/>
      <w:spacing w:before="120" w:after="120" w:line="480" w:lineRule="auto"/>
      <w:ind w:firstLine="709"/>
      <w:jc w:val="both"/>
    </w:pPr>
    <w:rPr>
      <w:rFonts w:eastAsia="Times New Roman"/>
      <w:bCs/>
      <w:color w:val="000000"/>
      <w:kern w:val="0"/>
      <w:sz w:val="28"/>
      <w:szCs w:val="28"/>
      <w:lang w:val="pt-BR" w:eastAsia="ar-SA"/>
    </w:rPr>
  </w:style>
  <w:style w:type="character" w:customStyle="1" w:styleId="DispositivaCar">
    <w:name w:val="Dispositiva Car"/>
    <w:link w:val="Dispositiva"/>
    <w:rsid w:val="00F17172"/>
    <w:rPr>
      <w:bCs/>
      <w:color w:val="000000"/>
      <w:sz w:val="28"/>
      <w:szCs w:val="28"/>
      <w:lang w:val="pt-B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46664">
      <w:bodyDiv w:val="1"/>
      <w:marLeft w:val="0"/>
      <w:marRight w:val="0"/>
      <w:marTop w:val="0"/>
      <w:marBottom w:val="0"/>
      <w:divBdr>
        <w:top w:val="none" w:sz="0" w:space="0" w:color="auto"/>
        <w:left w:val="none" w:sz="0" w:space="0" w:color="auto"/>
        <w:bottom w:val="none" w:sz="0" w:space="0" w:color="auto"/>
        <w:right w:val="none" w:sz="0" w:space="0" w:color="auto"/>
      </w:divBdr>
    </w:div>
    <w:div w:id="197861836">
      <w:bodyDiv w:val="1"/>
      <w:marLeft w:val="0"/>
      <w:marRight w:val="0"/>
      <w:marTop w:val="0"/>
      <w:marBottom w:val="0"/>
      <w:divBdr>
        <w:top w:val="none" w:sz="0" w:space="0" w:color="auto"/>
        <w:left w:val="none" w:sz="0" w:space="0" w:color="auto"/>
        <w:bottom w:val="none" w:sz="0" w:space="0" w:color="auto"/>
        <w:right w:val="none" w:sz="0" w:space="0" w:color="auto"/>
      </w:divBdr>
    </w:div>
    <w:div w:id="384646688">
      <w:bodyDiv w:val="1"/>
      <w:marLeft w:val="0"/>
      <w:marRight w:val="0"/>
      <w:marTop w:val="0"/>
      <w:marBottom w:val="0"/>
      <w:divBdr>
        <w:top w:val="none" w:sz="0" w:space="0" w:color="auto"/>
        <w:left w:val="none" w:sz="0" w:space="0" w:color="auto"/>
        <w:bottom w:val="none" w:sz="0" w:space="0" w:color="auto"/>
        <w:right w:val="none" w:sz="0" w:space="0" w:color="auto"/>
      </w:divBdr>
    </w:div>
    <w:div w:id="429398842">
      <w:bodyDiv w:val="1"/>
      <w:marLeft w:val="0"/>
      <w:marRight w:val="0"/>
      <w:marTop w:val="0"/>
      <w:marBottom w:val="0"/>
      <w:divBdr>
        <w:top w:val="none" w:sz="0" w:space="0" w:color="auto"/>
        <w:left w:val="none" w:sz="0" w:space="0" w:color="auto"/>
        <w:bottom w:val="none" w:sz="0" w:space="0" w:color="auto"/>
        <w:right w:val="none" w:sz="0" w:space="0" w:color="auto"/>
      </w:divBdr>
    </w:div>
    <w:div w:id="445201185">
      <w:bodyDiv w:val="1"/>
      <w:marLeft w:val="0"/>
      <w:marRight w:val="0"/>
      <w:marTop w:val="0"/>
      <w:marBottom w:val="0"/>
      <w:divBdr>
        <w:top w:val="none" w:sz="0" w:space="0" w:color="auto"/>
        <w:left w:val="none" w:sz="0" w:space="0" w:color="auto"/>
        <w:bottom w:val="none" w:sz="0" w:space="0" w:color="auto"/>
        <w:right w:val="none" w:sz="0" w:space="0" w:color="auto"/>
      </w:divBdr>
    </w:div>
    <w:div w:id="611130625">
      <w:bodyDiv w:val="1"/>
      <w:marLeft w:val="0"/>
      <w:marRight w:val="0"/>
      <w:marTop w:val="0"/>
      <w:marBottom w:val="0"/>
      <w:divBdr>
        <w:top w:val="none" w:sz="0" w:space="0" w:color="auto"/>
        <w:left w:val="none" w:sz="0" w:space="0" w:color="auto"/>
        <w:bottom w:val="none" w:sz="0" w:space="0" w:color="auto"/>
        <w:right w:val="none" w:sz="0" w:space="0" w:color="auto"/>
      </w:divBdr>
    </w:div>
    <w:div w:id="689767469">
      <w:bodyDiv w:val="1"/>
      <w:marLeft w:val="0"/>
      <w:marRight w:val="0"/>
      <w:marTop w:val="0"/>
      <w:marBottom w:val="0"/>
      <w:divBdr>
        <w:top w:val="none" w:sz="0" w:space="0" w:color="auto"/>
        <w:left w:val="none" w:sz="0" w:space="0" w:color="auto"/>
        <w:bottom w:val="none" w:sz="0" w:space="0" w:color="auto"/>
        <w:right w:val="none" w:sz="0" w:space="0" w:color="auto"/>
      </w:divBdr>
    </w:div>
    <w:div w:id="737090628">
      <w:bodyDiv w:val="1"/>
      <w:marLeft w:val="0"/>
      <w:marRight w:val="0"/>
      <w:marTop w:val="0"/>
      <w:marBottom w:val="0"/>
      <w:divBdr>
        <w:top w:val="none" w:sz="0" w:space="0" w:color="auto"/>
        <w:left w:val="none" w:sz="0" w:space="0" w:color="auto"/>
        <w:bottom w:val="none" w:sz="0" w:space="0" w:color="auto"/>
        <w:right w:val="none" w:sz="0" w:space="0" w:color="auto"/>
      </w:divBdr>
    </w:div>
    <w:div w:id="876429669">
      <w:bodyDiv w:val="1"/>
      <w:marLeft w:val="0"/>
      <w:marRight w:val="0"/>
      <w:marTop w:val="0"/>
      <w:marBottom w:val="0"/>
      <w:divBdr>
        <w:top w:val="none" w:sz="0" w:space="0" w:color="auto"/>
        <w:left w:val="none" w:sz="0" w:space="0" w:color="auto"/>
        <w:bottom w:val="none" w:sz="0" w:space="0" w:color="auto"/>
        <w:right w:val="none" w:sz="0" w:space="0" w:color="auto"/>
      </w:divBdr>
    </w:div>
    <w:div w:id="1004013009">
      <w:bodyDiv w:val="1"/>
      <w:marLeft w:val="0"/>
      <w:marRight w:val="0"/>
      <w:marTop w:val="0"/>
      <w:marBottom w:val="0"/>
      <w:divBdr>
        <w:top w:val="none" w:sz="0" w:space="0" w:color="auto"/>
        <w:left w:val="none" w:sz="0" w:space="0" w:color="auto"/>
        <w:bottom w:val="none" w:sz="0" w:space="0" w:color="auto"/>
        <w:right w:val="none" w:sz="0" w:space="0" w:color="auto"/>
      </w:divBdr>
    </w:div>
    <w:div w:id="1142381523">
      <w:bodyDiv w:val="1"/>
      <w:marLeft w:val="0"/>
      <w:marRight w:val="0"/>
      <w:marTop w:val="0"/>
      <w:marBottom w:val="0"/>
      <w:divBdr>
        <w:top w:val="none" w:sz="0" w:space="0" w:color="auto"/>
        <w:left w:val="none" w:sz="0" w:space="0" w:color="auto"/>
        <w:bottom w:val="none" w:sz="0" w:space="0" w:color="auto"/>
        <w:right w:val="none" w:sz="0" w:space="0" w:color="auto"/>
      </w:divBdr>
    </w:div>
    <w:div w:id="1230535516">
      <w:bodyDiv w:val="1"/>
      <w:marLeft w:val="0"/>
      <w:marRight w:val="0"/>
      <w:marTop w:val="0"/>
      <w:marBottom w:val="0"/>
      <w:divBdr>
        <w:top w:val="none" w:sz="0" w:space="0" w:color="auto"/>
        <w:left w:val="none" w:sz="0" w:space="0" w:color="auto"/>
        <w:bottom w:val="none" w:sz="0" w:space="0" w:color="auto"/>
        <w:right w:val="none" w:sz="0" w:space="0" w:color="auto"/>
      </w:divBdr>
    </w:div>
    <w:div w:id="1271476744">
      <w:bodyDiv w:val="1"/>
      <w:marLeft w:val="0"/>
      <w:marRight w:val="0"/>
      <w:marTop w:val="0"/>
      <w:marBottom w:val="0"/>
      <w:divBdr>
        <w:top w:val="none" w:sz="0" w:space="0" w:color="auto"/>
        <w:left w:val="none" w:sz="0" w:space="0" w:color="auto"/>
        <w:bottom w:val="none" w:sz="0" w:space="0" w:color="auto"/>
        <w:right w:val="none" w:sz="0" w:space="0" w:color="auto"/>
      </w:divBdr>
    </w:div>
    <w:div w:id="1304000967">
      <w:bodyDiv w:val="1"/>
      <w:marLeft w:val="0"/>
      <w:marRight w:val="0"/>
      <w:marTop w:val="0"/>
      <w:marBottom w:val="0"/>
      <w:divBdr>
        <w:top w:val="none" w:sz="0" w:space="0" w:color="auto"/>
        <w:left w:val="none" w:sz="0" w:space="0" w:color="auto"/>
        <w:bottom w:val="none" w:sz="0" w:space="0" w:color="auto"/>
        <w:right w:val="none" w:sz="0" w:space="0" w:color="auto"/>
      </w:divBdr>
    </w:div>
    <w:div w:id="1317299520">
      <w:bodyDiv w:val="1"/>
      <w:marLeft w:val="0"/>
      <w:marRight w:val="0"/>
      <w:marTop w:val="0"/>
      <w:marBottom w:val="0"/>
      <w:divBdr>
        <w:top w:val="none" w:sz="0" w:space="0" w:color="auto"/>
        <w:left w:val="none" w:sz="0" w:space="0" w:color="auto"/>
        <w:bottom w:val="none" w:sz="0" w:space="0" w:color="auto"/>
        <w:right w:val="none" w:sz="0" w:space="0" w:color="auto"/>
      </w:divBdr>
    </w:div>
    <w:div w:id="1500535389">
      <w:bodyDiv w:val="1"/>
      <w:marLeft w:val="0"/>
      <w:marRight w:val="0"/>
      <w:marTop w:val="0"/>
      <w:marBottom w:val="0"/>
      <w:divBdr>
        <w:top w:val="none" w:sz="0" w:space="0" w:color="auto"/>
        <w:left w:val="none" w:sz="0" w:space="0" w:color="auto"/>
        <w:bottom w:val="none" w:sz="0" w:space="0" w:color="auto"/>
        <w:right w:val="none" w:sz="0" w:space="0" w:color="auto"/>
      </w:divBdr>
    </w:div>
    <w:div w:id="1535536797">
      <w:bodyDiv w:val="1"/>
      <w:marLeft w:val="0"/>
      <w:marRight w:val="0"/>
      <w:marTop w:val="0"/>
      <w:marBottom w:val="0"/>
      <w:divBdr>
        <w:top w:val="none" w:sz="0" w:space="0" w:color="auto"/>
        <w:left w:val="none" w:sz="0" w:space="0" w:color="auto"/>
        <w:bottom w:val="none" w:sz="0" w:space="0" w:color="auto"/>
        <w:right w:val="none" w:sz="0" w:space="0" w:color="auto"/>
      </w:divBdr>
    </w:div>
    <w:div w:id="1619146918">
      <w:bodyDiv w:val="1"/>
      <w:marLeft w:val="0"/>
      <w:marRight w:val="0"/>
      <w:marTop w:val="0"/>
      <w:marBottom w:val="0"/>
      <w:divBdr>
        <w:top w:val="none" w:sz="0" w:space="0" w:color="auto"/>
        <w:left w:val="none" w:sz="0" w:space="0" w:color="auto"/>
        <w:bottom w:val="none" w:sz="0" w:space="0" w:color="auto"/>
        <w:right w:val="none" w:sz="0" w:space="0" w:color="auto"/>
      </w:divBdr>
    </w:div>
    <w:div w:id="1625424769">
      <w:bodyDiv w:val="1"/>
      <w:marLeft w:val="0"/>
      <w:marRight w:val="0"/>
      <w:marTop w:val="0"/>
      <w:marBottom w:val="0"/>
      <w:divBdr>
        <w:top w:val="none" w:sz="0" w:space="0" w:color="auto"/>
        <w:left w:val="none" w:sz="0" w:space="0" w:color="auto"/>
        <w:bottom w:val="none" w:sz="0" w:space="0" w:color="auto"/>
        <w:right w:val="none" w:sz="0" w:space="0" w:color="auto"/>
      </w:divBdr>
    </w:div>
    <w:div w:id="1736389250">
      <w:bodyDiv w:val="1"/>
      <w:marLeft w:val="0"/>
      <w:marRight w:val="0"/>
      <w:marTop w:val="0"/>
      <w:marBottom w:val="0"/>
      <w:divBdr>
        <w:top w:val="none" w:sz="0" w:space="0" w:color="auto"/>
        <w:left w:val="none" w:sz="0" w:space="0" w:color="auto"/>
        <w:bottom w:val="none" w:sz="0" w:space="0" w:color="auto"/>
        <w:right w:val="none" w:sz="0" w:space="0" w:color="auto"/>
      </w:divBdr>
    </w:div>
    <w:div w:id="1756583474">
      <w:bodyDiv w:val="1"/>
      <w:marLeft w:val="0"/>
      <w:marRight w:val="0"/>
      <w:marTop w:val="0"/>
      <w:marBottom w:val="0"/>
      <w:divBdr>
        <w:top w:val="none" w:sz="0" w:space="0" w:color="auto"/>
        <w:left w:val="none" w:sz="0" w:space="0" w:color="auto"/>
        <w:bottom w:val="none" w:sz="0" w:space="0" w:color="auto"/>
        <w:right w:val="none" w:sz="0" w:space="0" w:color="auto"/>
      </w:divBdr>
    </w:div>
    <w:div w:id="1986083064">
      <w:bodyDiv w:val="1"/>
      <w:marLeft w:val="0"/>
      <w:marRight w:val="0"/>
      <w:marTop w:val="0"/>
      <w:marBottom w:val="0"/>
      <w:divBdr>
        <w:top w:val="none" w:sz="0" w:space="0" w:color="auto"/>
        <w:left w:val="none" w:sz="0" w:space="0" w:color="auto"/>
        <w:bottom w:val="none" w:sz="0" w:space="0" w:color="auto"/>
        <w:right w:val="none" w:sz="0" w:space="0" w:color="auto"/>
      </w:divBdr>
    </w:div>
    <w:div w:id="2060857312">
      <w:bodyDiv w:val="1"/>
      <w:marLeft w:val="0"/>
      <w:marRight w:val="0"/>
      <w:marTop w:val="0"/>
      <w:marBottom w:val="0"/>
      <w:divBdr>
        <w:top w:val="none" w:sz="0" w:space="0" w:color="auto"/>
        <w:left w:val="none" w:sz="0" w:space="0" w:color="auto"/>
        <w:bottom w:val="none" w:sz="0" w:space="0" w:color="auto"/>
        <w:right w:val="none" w:sz="0" w:space="0" w:color="auto"/>
      </w:divBdr>
    </w:div>
    <w:div w:id="2104261707">
      <w:bodyDiv w:val="1"/>
      <w:marLeft w:val="0"/>
      <w:marRight w:val="0"/>
      <w:marTop w:val="0"/>
      <w:marBottom w:val="0"/>
      <w:divBdr>
        <w:top w:val="none" w:sz="0" w:space="0" w:color="auto"/>
        <w:left w:val="none" w:sz="0" w:space="0" w:color="auto"/>
        <w:bottom w:val="none" w:sz="0" w:space="0" w:color="auto"/>
        <w:right w:val="none" w:sz="0" w:space="0" w:color="auto"/>
      </w:divBdr>
    </w:div>
    <w:div w:id="212769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7791D-1AE0-4E4D-88B3-875821138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608</Words>
  <Characters>3347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AVISO N° 27-2009</vt:lpstr>
    </vt:vector>
  </TitlesOfParts>
  <Company>Poder Judicial</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N° 27-2009</dc:title>
  <dc:subject/>
  <dc:creator>usuario1</dc:creator>
  <cp:keywords/>
  <cp:lastModifiedBy>Secretaría General de la Corte - Comunicaciones - Laura Bonilla</cp:lastModifiedBy>
  <cp:revision>3</cp:revision>
  <cp:lastPrinted>2022-04-18T17:46:00Z</cp:lastPrinted>
  <dcterms:created xsi:type="dcterms:W3CDTF">2022-04-18T17:45:00Z</dcterms:created>
  <dcterms:modified xsi:type="dcterms:W3CDTF">2022-04-18T17:47:00Z</dcterms:modified>
</cp:coreProperties>
</file>