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E99FF6" w14:textId="493DEF77" w:rsidR="0029216A" w:rsidRPr="00393432" w:rsidRDefault="006312AE" w:rsidP="00F50033">
      <w:pPr>
        <w:pStyle w:val="Ttulo7"/>
        <w:tabs>
          <w:tab w:val="clear" w:pos="0"/>
          <w:tab w:val="left" w:pos="4280"/>
        </w:tabs>
        <w:ind w:left="4248"/>
        <w:jc w:val="both"/>
        <w:rPr>
          <w:rFonts w:ascii="Times New Roman" w:hAnsi="Times New Roman"/>
          <w:bCs w:val="0"/>
          <w:sz w:val="27"/>
          <w:szCs w:val="27"/>
          <w:u w:val="none"/>
          <w:lang w:val="es-ES_tradnl"/>
        </w:rPr>
      </w:pPr>
      <w:r w:rsidRPr="00393432">
        <w:rPr>
          <w:rFonts w:ascii="Times New Roman" w:hAnsi="Times New Roman"/>
          <w:bCs w:val="0"/>
          <w:sz w:val="27"/>
          <w:szCs w:val="27"/>
          <w:u w:val="none"/>
          <w:lang w:val="es-ES_tradnl"/>
        </w:rPr>
        <w:t>San José,</w:t>
      </w:r>
      <w:r w:rsidR="00D93E61" w:rsidRPr="00393432">
        <w:rPr>
          <w:rFonts w:ascii="Times New Roman" w:hAnsi="Times New Roman"/>
          <w:bCs w:val="0"/>
          <w:sz w:val="27"/>
          <w:szCs w:val="27"/>
          <w:u w:val="none"/>
          <w:lang w:val="es-ES_tradnl"/>
        </w:rPr>
        <w:t xml:space="preserve"> </w:t>
      </w:r>
      <w:r w:rsidR="003979F1" w:rsidRPr="00393432">
        <w:rPr>
          <w:rFonts w:ascii="Times New Roman" w:hAnsi="Times New Roman"/>
          <w:bCs w:val="0"/>
          <w:sz w:val="27"/>
          <w:szCs w:val="27"/>
          <w:u w:val="none"/>
          <w:lang w:val="es-ES_tradnl"/>
        </w:rPr>
        <w:t>09 de setiembre</w:t>
      </w:r>
      <w:r w:rsidR="00830D64" w:rsidRPr="00393432">
        <w:rPr>
          <w:rFonts w:ascii="Times New Roman" w:hAnsi="Times New Roman"/>
          <w:bCs w:val="0"/>
          <w:sz w:val="27"/>
          <w:szCs w:val="27"/>
          <w:u w:val="none"/>
          <w:lang w:val="es-ES_tradnl"/>
        </w:rPr>
        <w:t xml:space="preserve"> </w:t>
      </w:r>
      <w:r w:rsidR="00860FA5" w:rsidRPr="00393432">
        <w:rPr>
          <w:rFonts w:ascii="Times New Roman" w:hAnsi="Times New Roman"/>
          <w:bCs w:val="0"/>
          <w:sz w:val="27"/>
          <w:szCs w:val="27"/>
          <w:u w:val="none"/>
          <w:lang w:val="es-ES_tradnl"/>
        </w:rPr>
        <w:t>de 20</w:t>
      </w:r>
      <w:r w:rsidR="00701685" w:rsidRPr="00393432">
        <w:rPr>
          <w:rFonts w:ascii="Times New Roman" w:hAnsi="Times New Roman"/>
          <w:bCs w:val="0"/>
          <w:sz w:val="27"/>
          <w:szCs w:val="27"/>
          <w:u w:val="none"/>
          <w:lang w:val="es-ES_tradnl"/>
        </w:rPr>
        <w:t>2</w:t>
      </w:r>
      <w:r w:rsidR="00202F02" w:rsidRPr="00393432">
        <w:rPr>
          <w:rFonts w:ascii="Times New Roman" w:hAnsi="Times New Roman"/>
          <w:bCs w:val="0"/>
          <w:sz w:val="27"/>
          <w:szCs w:val="27"/>
          <w:u w:val="none"/>
          <w:lang w:val="es-ES_tradnl"/>
        </w:rPr>
        <w:t>2</w:t>
      </w:r>
    </w:p>
    <w:p w14:paraId="47AA7D0E" w14:textId="31210276" w:rsidR="0029216A" w:rsidRPr="00393432" w:rsidRDefault="00860FA5" w:rsidP="00F50033">
      <w:pPr>
        <w:pStyle w:val="Ttulo7"/>
        <w:tabs>
          <w:tab w:val="clear" w:pos="0"/>
          <w:tab w:val="left" w:pos="4280"/>
        </w:tabs>
        <w:ind w:left="4248"/>
        <w:jc w:val="both"/>
        <w:rPr>
          <w:rFonts w:ascii="Times New Roman" w:hAnsi="Times New Roman"/>
          <w:sz w:val="27"/>
          <w:szCs w:val="27"/>
          <w:u w:val="none"/>
          <w:lang w:val="es-ES_tradnl"/>
        </w:rPr>
      </w:pPr>
      <w:proofErr w:type="spellStart"/>
      <w:r w:rsidRPr="00393432">
        <w:rPr>
          <w:rFonts w:ascii="Times New Roman" w:hAnsi="Times New Roman"/>
          <w:sz w:val="27"/>
          <w:szCs w:val="27"/>
          <w:u w:val="none"/>
          <w:lang w:val="es-ES_tradnl"/>
        </w:rPr>
        <w:t>N°</w:t>
      </w:r>
      <w:proofErr w:type="spellEnd"/>
      <w:r w:rsidRPr="00393432">
        <w:rPr>
          <w:rFonts w:ascii="Times New Roman" w:hAnsi="Times New Roman"/>
          <w:sz w:val="27"/>
          <w:szCs w:val="27"/>
          <w:u w:val="none"/>
          <w:lang w:val="es-ES_tradnl"/>
        </w:rPr>
        <w:t xml:space="preserve"> </w:t>
      </w:r>
      <w:r w:rsidR="005B2B6C" w:rsidRPr="00393432">
        <w:rPr>
          <w:rFonts w:ascii="Times New Roman" w:hAnsi="Times New Roman"/>
          <w:sz w:val="27"/>
          <w:szCs w:val="27"/>
          <w:u w:val="none"/>
          <w:lang w:val="es-ES_tradnl"/>
        </w:rPr>
        <w:t>9043</w:t>
      </w:r>
      <w:r w:rsidR="00186ADE" w:rsidRPr="00393432">
        <w:rPr>
          <w:rFonts w:ascii="Times New Roman" w:hAnsi="Times New Roman"/>
          <w:sz w:val="27"/>
          <w:szCs w:val="27"/>
          <w:u w:val="none"/>
          <w:lang w:val="es-ES_tradnl"/>
        </w:rPr>
        <w:t>-</w:t>
      </w:r>
      <w:r w:rsidR="007A440D" w:rsidRPr="00393432">
        <w:rPr>
          <w:rFonts w:ascii="Times New Roman" w:hAnsi="Times New Roman"/>
          <w:sz w:val="27"/>
          <w:szCs w:val="27"/>
          <w:u w:val="none"/>
          <w:lang w:val="es-ES_tradnl"/>
        </w:rPr>
        <w:t>202</w:t>
      </w:r>
      <w:r w:rsidR="00202F02" w:rsidRPr="00393432">
        <w:rPr>
          <w:rFonts w:ascii="Times New Roman" w:hAnsi="Times New Roman"/>
          <w:sz w:val="27"/>
          <w:szCs w:val="27"/>
          <w:u w:val="none"/>
          <w:lang w:val="es-ES_tradnl"/>
        </w:rPr>
        <w:t>2</w:t>
      </w:r>
    </w:p>
    <w:p w14:paraId="0EB03EDD" w14:textId="52D59235" w:rsidR="00484095" w:rsidRPr="00393432" w:rsidRDefault="0029216A" w:rsidP="00F50033">
      <w:pPr>
        <w:pStyle w:val="Ttulo7"/>
        <w:tabs>
          <w:tab w:val="clear" w:pos="0"/>
          <w:tab w:val="left" w:pos="4280"/>
        </w:tabs>
        <w:ind w:left="4248"/>
        <w:jc w:val="both"/>
        <w:rPr>
          <w:rFonts w:ascii="Times New Roman" w:hAnsi="Times New Roman"/>
          <w:sz w:val="27"/>
          <w:szCs w:val="27"/>
          <w:u w:val="none"/>
          <w:lang w:val="es-CR"/>
        </w:rPr>
      </w:pPr>
      <w:r w:rsidRPr="00393432">
        <w:rPr>
          <w:rFonts w:ascii="Times New Roman" w:hAnsi="Times New Roman"/>
          <w:sz w:val="27"/>
          <w:szCs w:val="27"/>
          <w:u w:val="none"/>
          <w:lang w:val="es-CR"/>
        </w:rPr>
        <w:t>Al contestar refiérase a este # de oficio</w:t>
      </w:r>
    </w:p>
    <w:p w14:paraId="619C93F9" w14:textId="77777777" w:rsidR="00F50033" w:rsidRPr="00393432" w:rsidRDefault="00F50033" w:rsidP="00F50033">
      <w:pPr>
        <w:autoSpaceDE w:val="0"/>
        <w:snapToGrid w:val="0"/>
        <w:rPr>
          <w:b/>
          <w:bCs/>
          <w:sz w:val="27"/>
          <w:szCs w:val="27"/>
        </w:rPr>
      </w:pPr>
    </w:p>
    <w:p w14:paraId="3F660D52" w14:textId="7551E3C9" w:rsidR="005B2B6C" w:rsidRPr="00393432" w:rsidRDefault="005B2B6C" w:rsidP="00F50033">
      <w:pPr>
        <w:autoSpaceDE w:val="0"/>
        <w:snapToGrid w:val="0"/>
        <w:rPr>
          <w:bCs/>
          <w:sz w:val="27"/>
          <w:szCs w:val="27"/>
          <w:lang w:eastAsia="hi-IN"/>
        </w:rPr>
      </w:pPr>
      <w:r w:rsidRPr="00393432">
        <w:rPr>
          <w:b/>
          <w:bCs/>
          <w:sz w:val="27"/>
          <w:szCs w:val="27"/>
        </w:rPr>
        <w:t>Señora</w:t>
      </w:r>
    </w:p>
    <w:p w14:paraId="4919E8EB" w14:textId="77777777" w:rsidR="005B2B6C" w:rsidRPr="00393432" w:rsidRDefault="005B2B6C" w:rsidP="00F50033">
      <w:pPr>
        <w:autoSpaceDE w:val="0"/>
        <w:snapToGrid w:val="0"/>
        <w:rPr>
          <w:b/>
          <w:bCs/>
          <w:sz w:val="27"/>
          <w:szCs w:val="27"/>
        </w:rPr>
      </w:pPr>
      <w:r w:rsidRPr="00393432">
        <w:rPr>
          <w:b/>
          <w:bCs/>
          <w:sz w:val="27"/>
          <w:szCs w:val="27"/>
        </w:rPr>
        <w:t>Licda. Nacira Valverde Bermúdez</w:t>
      </w:r>
    </w:p>
    <w:p w14:paraId="020948F4" w14:textId="77777777" w:rsidR="005B2B6C" w:rsidRPr="00393432" w:rsidRDefault="005B2B6C" w:rsidP="00F50033">
      <w:pPr>
        <w:autoSpaceDE w:val="0"/>
        <w:snapToGrid w:val="0"/>
        <w:rPr>
          <w:b/>
          <w:bCs/>
          <w:sz w:val="27"/>
          <w:szCs w:val="27"/>
        </w:rPr>
      </w:pPr>
      <w:r w:rsidRPr="00393432">
        <w:rPr>
          <w:b/>
          <w:bCs/>
          <w:sz w:val="27"/>
          <w:szCs w:val="27"/>
        </w:rPr>
        <w:t>Directora de Planificación</w:t>
      </w:r>
    </w:p>
    <w:p w14:paraId="39407A5A" w14:textId="77777777" w:rsidR="005B2B6C" w:rsidRPr="00393432" w:rsidRDefault="005B2B6C" w:rsidP="00F50033">
      <w:pPr>
        <w:rPr>
          <w:rFonts w:eastAsia="Arial Unicode MS"/>
          <w:b/>
          <w:bCs/>
          <w:sz w:val="27"/>
          <w:szCs w:val="27"/>
        </w:rPr>
      </w:pPr>
    </w:p>
    <w:p w14:paraId="79A2B3FF" w14:textId="77777777" w:rsidR="005B2B6C" w:rsidRPr="00393432" w:rsidRDefault="005B2B6C" w:rsidP="00F50033">
      <w:pPr>
        <w:autoSpaceDE w:val="0"/>
        <w:snapToGrid w:val="0"/>
        <w:rPr>
          <w:b/>
          <w:bCs/>
          <w:sz w:val="27"/>
          <w:szCs w:val="27"/>
        </w:rPr>
      </w:pPr>
      <w:r w:rsidRPr="00393432">
        <w:rPr>
          <w:b/>
          <w:bCs/>
          <w:sz w:val="27"/>
          <w:szCs w:val="27"/>
        </w:rPr>
        <w:t>Estimada señora:</w:t>
      </w:r>
    </w:p>
    <w:p w14:paraId="01E06EA3" w14:textId="77777777" w:rsidR="00082CBA" w:rsidRPr="00393432" w:rsidRDefault="00082CBA" w:rsidP="00F50033">
      <w:pPr>
        <w:jc w:val="both"/>
        <w:rPr>
          <w:b/>
          <w:bCs/>
          <w:sz w:val="27"/>
          <w:szCs w:val="27"/>
          <w:lang w:val="es-CR"/>
        </w:rPr>
      </w:pPr>
    </w:p>
    <w:p w14:paraId="1A012587" w14:textId="2E5CD13C" w:rsidR="0029216A" w:rsidRPr="00393432" w:rsidRDefault="0029216A" w:rsidP="00F50033">
      <w:pPr>
        <w:ind w:firstLine="708"/>
        <w:jc w:val="both"/>
        <w:rPr>
          <w:sz w:val="27"/>
          <w:szCs w:val="27"/>
        </w:rPr>
      </w:pPr>
      <w:r w:rsidRPr="00393432">
        <w:rPr>
          <w:sz w:val="27"/>
          <w:szCs w:val="27"/>
        </w:rPr>
        <w:t xml:space="preserve">Para su estimable conocimiento y fines consiguientes, le transcribo el acuerdo tomado por el Consejo Superior del Poder Judicial, en sesión </w:t>
      </w:r>
      <w:proofErr w:type="spellStart"/>
      <w:r w:rsidR="0087670A" w:rsidRPr="00393432">
        <w:rPr>
          <w:b/>
          <w:bCs/>
          <w:sz w:val="27"/>
          <w:szCs w:val="27"/>
        </w:rPr>
        <w:t>N°</w:t>
      </w:r>
      <w:proofErr w:type="spellEnd"/>
      <w:r w:rsidR="009F45D2" w:rsidRPr="00393432">
        <w:rPr>
          <w:b/>
          <w:bCs/>
          <w:sz w:val="27"/>
          <w:szCs w:val="27"/>
        </w:rPr>
        <w:t xml:space="preserve"> </w:t>
      </w:r>
      <w:r w:rsidR="00830D64" w:rsidRPr="00393432">
        <w:rPr>
          <w:b/>
          <w:bCs/>
          <w:sz w:val="27"/>
          <w:szCs w:val="27"/>
        </w:rPr>
        <w:t>72</w:t>
      </w:r>
      <w:r w:rsidR="003011FF" w:rsidRPr="00393432">
        <w:rPr>
          <w:b/>
          <w:bCs/>
          <w:sz w:val="27"/>
          <w:szCs w:val="27"/>
        </w:rPr>
        <w:t>-</w:t>
      </w:r>
      <w:r w:rsidR="005B7EAE" w:rsidRPr="00393432">
        <w:rPr>
          <w:b/>
          <w:bCs/>
          <w:sz w:val="27"/>
          <w:szCs w:val="27"/>
        </w:rPr>
        <w:t>202</w:t>
      </w:r>
      <w:r w:rsidR="00202F02" w:rsidRPr="00393432">
        <w:rPr>
          <w:b/>
          <w:bCs/>
          <w:sz w:val="27"/>
          <w:szCs w:val="27"/>
        </w:rPr>
        <w:t>2</w:t>
      </w:r>
      <w:r w:rsidR="00D930B6" w:rsidRPr="00393432">
        <w:rPr>
          <w:b/>
          <w:bCs/>
          <w:sz w:val="27"/>
          <w:szCs w:val="27"/>
        </w:rPr>
        <w:t xml:space="preserve"> </w:t>
      </w:r>
      <w:r w:rsidR="00D930B6" w:rsidRPr="00393432">
        <w:rPr>
          <w:bCs/>
          <w:sz w:val="27"/>
          <w:szCs w:val="27"/>
        </w:rPr>
        <w:t>c</w:t>
      </w:r>
      <w:r w:rsidRPr="00393432">
        <w:rPr>
          <w:sz w:val="27"/>
          <w:szCs w:val="27"/>
        </w:rPr>
        <w:t>elebrada el</w:t>
      </w:r>
      <w:r w:rsidR="004C65F3" w:rsidRPr="00393432">
        <w:rPr>
          <w:sz w:val="27"/>
          <w:szCs w:val="27"/>
        </w:rPr>
        <w:t xml:space="preserve"> </w:t>
      </w:r>
      <w:r w:rsidR="00830D64" w:rsidRPr="00393432">
        <w:rPr>
          <w:b/>
          <w:sz w:val="27"/>
          <w:szCs w:val="27"/>
        </w:rPr>
        <w:t>25</w:t>
      </w:r>
      <w:r w:rsidR="007A440D" w:rsidRPr="00393432">
        <w:rPr>
          <w:b/>
          <w:sz w:val="27"/>
          <w:szCs w:val="27"/>
        </w:rPr>
        <w:t xml:space="preserve"> de </w:t>
      </w:r>
      <w:r w:rsidR="00830D64" w:rsidRPr="00393432">
        <w:rPr>
          <w:b/>
          <w:sz w:val="27"/>
          <w:szCs w:val="27"/>
        </w:rPr>
        <w:t>agosto</w:t>
      </w:r>
      <w:r w:rsidR="006F5DA1" w:rsidRPr="00393432">
        <w:rPr>
          <w:b/>
          <w:bCs/>
          <w:sz w:val="27"/>
          <w:szCs w:val="27"/>
        </w:rPr>
        <w:t xml:space="preserve"> </w:t>
      </w:r>
      <w:r w:rsidR="003011FF" w:rsidRPr="00393432">
        <w:rPr>
          <w:b/>
          <w:bCs/>
          <w:sz w:val="27"/>
          <w:szCs w:val="27"/>
        </w:rPr>
        <w:t xml:space="preserve">del </w:t>
      </w:r>
      <w:r w:rsidR="007A440D" w:rsidRPr="00393432">
        <w:rPr>
          <w:b/>
          <w:bCs/>
          <w:sz w:val="27"/>
          <w:szCs w:val="27"/>
        </w:rPr>
        <w:t>202</w:t>
      </w:r>
      <w:r w:rsidR="00202F02" w:rsidRPr="00393432">
        <w:rPr>
          <w:b/>
          <w:bCs/>
          <w:sz w:val="27"/>
          <w:szCs w:val="27"/>
        </w:rPr>
        <w:t>2</w:t>
      </w:r>
      <w:r w:rsidR="00B43F30" w:rsidRPr="00393432">
        <w:rPr>
          <w:b/>
          <w:bCs/>
          <w:sz w:val="27"/>
          <w:szCs w:val="27"/>
        </w:rPr>
        <w:t>,</w:t>
      </w:r>
      <w:r w:rsidRPr="00393432">
        <w:rPr>
          <w:sz w:val="27"/>
          <w:szCs w:val="27"/>
        </w:rPr>
        <w:t xml:space="preserve"> que literalmente dice:</w:t>
      </w:r>
    </w:p>
    <w:p w14:paraId="39097C5F" w14:textId="77777777" w:rsidR="0029216A" w:rsidRPr="00393432" w:rsidRDefault="0029216A" w:rsidP="00F50033">
      <w:pPr>
        <w:ind w:firstLine="15"/>
        <w:jc w:val="both"/>
        <w:rPr>
          <w:sz w:val="27"/>
          <w:szCs w:val="27"/>
        </w:rPr>
      </w:pPr>
    </w:p>
    <w:p w14:paraId="5B618F9E" w14:textId="715AEDB1" w:rsidR="005B2B6C" w:rsidRPr="00393432" w:rsidRDefault="00294863" w:rsidP="00F50033">
      <w:pPr>
        <w:pStyle w:val="Ttulo2"/>
        <w:spacing w:before="0" w:after="0"/>
        <w:jc w:val="center"/>
        <w:rPr>
          <w:rFonts w:ascii="Times New Roman" w:hAnsi="Times New Roman" w:cs="Times New Roman"/>
          <w:sz w:val="27"/>
          <w:szCs w:val="27"/>
        </w:rPr>
      </w:pPr>
      <w:r w:rsidRPr="00393432">
        <w:rPr>
          <w:rFonts w:ascii="Times New Roman" w:hAnsi="Times New Roman" w:cs="Times New Roman"/>
          <w:sz w:val="27"/>
          <w:szCs w:val="27"/>
        </w:rPr>
        <w:t>“</w:t>
      </w:r>
      <w:bookmarkStart w:id="0" w:name="_Toc112071083"/>
      <w:r w:rsidR="005B2B6C" w:rsidRPr="00393432">
        <w:rPr>
          <w:rFonts w:ascii="Times New Roman" w:hAnsi="Times New Roman" w:cs="Times New Roman"/>
          <w:i w:val="0"/>
          <w:iCs w:val="0"/>
          <w:sz w:val="27"/>
          <w:szCs w:val="27"/>
          <w:u w:val="single"/>
        </w:rPr>
        <w:t>ARTÍCULO XXXVIII</w:t>
      </w:r>
      <w:bookmarkEnd w:id="0"/>
    </w:p>
    <w:p w14:paraId="48CF8327" w14:textId="77777777" w:rsidR="005B2B6C" w:rsidRPr="00393432" w:rsidRDefault="005B2B6C" w:rsidP="00F50033">
      <w:pPr>
        <w:pStyle w:val="Textoindependiente"/>
        <w:spacing w:after="0"/>
        <w:rPr>
          <w:sz w:val="27"/>
          <w:szCs w:val="27"/>
        </w:rPr>
      </w:pPr>
    </w:p>
    <w:p w14:paraId="5BE75871" w14:textId="4EE59E55" w:rsidR="005B2B6C" w:rsidRPr="00393432" w:rsidRDefault="005B2B6C" w:rsidP="00F50033">
      <w:pPr>
        <w:autoSpaceDE w:val="0"/>
        <w:autoSpaceDN w:val="0"/>
        <w:adjustRightInd w:val="0"/>
        <w:jc w:val="both"/>
        <w:rPr>
          <w:b/>
          <w:bCs/>
          <w:sz w:val="27"/>
          <w:szCs w:val="27"/>
        </w:rPr>
      </w:pPr>
      <w:r w:rsidRPr="00393432">
        <w:rPr>
          <w:b/>
          <w:bCs/>
          <w:sz w:val="27"/>
          <w:szCs w:val="27"/>
        </w:rPr>
        <w:t xml:space="preserve">Documento </w:t>
      </w:r>
      <w:proofErr w:type="spellStart"/>
      <w:r w:rsidRPr="00393432">
        <w:rPr>
          <w:b/>
          <w:bCs/>
          <w:sz w:val="27"/>
          <w:szCs w:val="27"/>
        </w:rPr>
        <w:t>N°</w:t>
      </w:r>
      <w:proofErr w:type="spellEnd"/>
      <w:r w:rsidRPr="00393432">
        <w:rPr>
          <w:b/>
          <w:bCs/>
          <w:sz w:val="27"/>
          <w:szCs w:val="27"/>
        </w:rPr>
        <w:t xml:space="preserve"> 11859-2021 / 8225-2022 </w:t>
      </w:r>
    </w:p>
    <w:p w14:paraId="59F80BC7" w14:textId="77777777" w:rsidR="00F50033" w:rsidRPr="00393432" w:rsidRDefault="00F50033" w:rsidP="00F50033">
      <w:pPr>
        <w:autoSpaceDE w:val="0"/>
        <w:autoSpaceDN w:val="0"/>
        <w:adjustRightInd w:val="0"/>
        <w:jc w:val="both"/>
        <w:rPr>
          <w:b/>
          <w:bCs/>
          <w:sz w:val="27"/>
          <w:szCs w:val="27"/>
        </w:rPr>
      </w:pPr>
    </w:p>
    <w:p w14:paraId="5538C8C2" w14:textId="1BE8B686" w:rsidR="005B2B6C" w:rsidRPr="00393432" w:rsidRDefault="005B2B6C" w:rsidP="00F50033">
      <w:pPr>
        <w:widowControl w:val="0"/>
        <w:suppressAutoHyphens w:val="0"/>
        <w:autoSpaceDE w:val="0"/>
        <w:autoSpaceDN w:val="0"/>
        <w:adjustRightInd w:val="0"/>
        <w:ind w:firstLine="709"/>
        <w:jc w:val="both"/>
        <w:rPr>
          <w:sz w:val="27"/>
          <w:szCs w:val="27"/>
          <w:lang w:eastAsia="es-ES"/>
        </w:rPr>
      </w:pPr>
      <w:r w:rsidRPr="00393432">
        <w:rPr>
          <w:sz w:val="27"/>
          <w:szCs w:val="27"/>
          <w:lang w:eastAsia="es-ES_tradnl"/>
        </w:rPr>
        <w:t xml:space="preserve">En sesión 104-2021 celebrada el 2 de diciembre del 2021, en el artículo XXXIII, en lo conducente se aprobó por el </w:t>
      </w:r>
      <w:r w:rsidRPr="00393432">
        <w:rPr>
          <w:sz w:val="27"/>
          <w:szCs w:val="27"/>
          <w:lang w:eastAsia="es-ES"/>
        </w:rPr>
        <w:t>plazo de seis meses, una vez comunicado este acuerdo el plan del Juzgado Civil del Segundo Circuito Judicial de Alajuela; de manera que, del total de cuatro plazas técnicas judiciales se asigne a dos personas técnicas judiciales al 100% de trámite en materia Civil</w:t>
      </w:r>
      <w:r w:rsidRPr="00393432">
        <w:rPr>
          <w:sz w:val="27"/>
          <w:szCs w:val="27"/>
          <w:lang w:eastAsia="es-ES_tradnl"/>
        </w:rPr>
        <w:t>, adicionalmente se indicó que</w:t>
      </w:r>
      <w:r w:rsidRPr="00393432">
        <w:rPr>
          <w:sz w:val="27"/>
          <w:szCs w:val="27"/>
          <w:lang w:eastAsia="es-ES"/>
        </w:rPr>
        <w:t xml:space="preserve"> ante eventuales planes remediales de contingencia (atención de escritos, inventarios estadísticos entre otros) requeridos a lo interno del Juzgado Civil del Segundo Circuito Judicial de Alajuela el Equipo de Mejora de Procesos del Despacho podrá apoyarse en el trámite de asuntos con la plaza de Técnico Judicial 2 asignado a tiempo completo en el Área de Manifestación que según se indica en el informe 1230-PLA-2018 el mismo podría “apoyar en la tramitación de expedientes de requerirse por carga de trabajo”. En tanto, la cuarta plaza de persona técnica judicial del Juzgado </w:t>
      </w:r>
      <w:proofErr w:type="gramStart"/>
      <w:r w:rsidRPr="00393432">
        <w:rPr>
          <w:sz w:val="27"/>
          <w:szCs w:val="27"/>
          <w:lang w:eastAsia="es-ES"/>
        </w:rPr>
        <w:t>Civil,</w:t>
      </w:r>
      <w:proofErr w:type="gramEnd"/>
      <w:r w:rsidRPr="00393432">
        <w:rPr>
          <w:sz w:val="27"/>
          <w:szCs w:val="27"/>
          <w:lang w:eastAsia="es-ES"/>
        </w:rPr>
        <w:t xml:space="preserve"> se aboque 100% al trámite de materia de Cobro con una cuota de 27 asuntos diarios del Juzgado de Cobro del Segundo Circuito Judicial de Alajuela.</w:t>
      </w:r>
    </w:p>
    <w:p w14:paraId="49AEF55E" w14:textId="77777777" w:rsidR="00F50033" w:rsidRPr="00393432" w:rsidRDefault="00F50033" w:rsidP="00F50033">
      <w:pPr>
        <w:widowControl w:val="0"/>
        <w:suppressAutoHyphens w:val="0"/>
        <w:autoSpaceDE w:val="0"/>
        <w:autoSpaceDN w:val="0"/>
        <w:adjustRightInd w:val="0"/>
        <w:ind w:firstLine="709"/>
        <w:jc w:val="both"/>
        <w:rPr>
          <w:sz w:val="27"/>
          <w:szCs w:val="27"/>
          <w:lang w:eastAsia="es-ES_tradnl"/>
        </w:rPr>
      </w:pPr>
    </w:p>
    <w:p w14:paraId="7E7A8EEB" w14:textId="5807E3F3" w:rsidR="005B2B6C" w:rsidRPr="00393432" w:rsidRDefault="005B2B6C" w:rsidP="00F50033">
      <w:pPr>
        <w:ind w:firstLine="709"/>
        <w:jc w:val="both"/>
        <w:rPr>
          <w:sz w:val="27"/>
          <w:szCs w:val="27"/>
        </w:rPr>
      </w:pPr>
      <w:r w:rsidRPr="00393432">
        <w:rPr>
          <w:sz w:val="27"/>
          <w:szCs w:val="27"/>
        </w:rPr>
        <w:t>La máster Nacira Valverde Bermúdez</w:t>
      </w:r>
      <w:r w:rsidRPr="00393432">
        <w:rPr>
          <w:snapToGrid w:val="0"/>
          <w:sz w:val="27"/>
          <w:szCs w:val="27"/>
          <w:lang w:val="pt-BR"/>
        </w:rPr>
        <w:t xml:space="preserve">, </w:t>
      </w:r>
      <w:proofErr w:type="spellStart"/>
      <w:r w:rsidRPr="00393432">
        <w:rPr>
          <w:snapToGrid w:val="0"/>
          <w:sz w:val="27"/>
          <w:szCs w:val="27"/>
          <w:lang w:val="pt-BR"/>
        </w:rPr>
        <w:t>Directora</w:t>
      </w:r>
      <w:proofErr w:type="spellEnd"/>
      <w:r w:rsidRPr="00393432">
        <w:rPr>
          <w:snapToGrid w:val="0"/>
          <w:sz w:val="27"/>
          <w:szCs w:val="27"/>
          <w:lang w:val="pt-BR"/>
        </w:rPr>
        <w:t xml:space="preserve"> </w:t>
      </w:r>
      <w:proofErr w:type="spellStart"/>
      <w:r w:rsidRPr="00393432">
        <w:rPr>
          <w:snapToGrid w:val="0"/>
          <w:sz w:val="27"/>
          <w:szCs w:val="27"/>
          <w:lang w:val="pt-BR"/>
        </w:rPr>
        <w:t>a.i</w:t>
      </w:r>
      <w:proofErr w:type="spellEnd"/>
      <w:r w:rsidRPr="00393432">
        <w:rPr>
          <w:snapToGrid w:val="0"/>
          <w:sz w:val="27"/>
          <w:szCs w:val="27"/>
          <w:lang w:val="pt-BR"/>
        </w:rPr>
        <w:t>. de la Dirección de Planificación</w:t>
      </w:r>
      <w:r w:rsidRPr="00393432">
        <w:rPr>
          <w:sz w:val="27"/>
          <w:szCs w:val="27"/>
        </w:rPr>
        <w:t>,</w:t>
      </w:r>
      <w:r w:rsidRPr="00393432">
        <w:rPr>
          <w:snapToGrid w:val="0"/>
          <w:sz w:val="27"/>
          <w:szCs w:val="27"/>
          <w:lang w:val="pt-BR"/>
        </w:rPr>
        <w:t xml:space="preserve"> </w:t>
      </w:r>
      <w:r w:rsidRPr="00393432">
        <w:rPr>
          <w:sz w:val="27"/>
          <w:szCs w:val="27"/>
        </w:rPr>
        <w:t xml:space="preserve">mediante oficio </w:t>
      </w:r>
      <w:r w:rsidRPr="00393432">
        <w:rPr>
          <w:snapToGrid w:val="0"/>
          <w:sz w:val="27"/>
          <w:szCs w:val="27"/>
        </w:rPr>
        <w:t>616-PLA-EV-2022</w:t>
      </w:r>
      <w:r w:rsidRPr="00393432">
        <w:rPr>
          <w:sz w:val="27"/>
          <w:szCs w:val="27"/>
        </w:rPr>
        <w:t xml:space="preserve">, remite informe suscrito por la Ingeniera Elena Gabriela Picado González, Jefa </w:t>
      </w:r>
      <w:proofErr w:type="spellStart"/>
      <w:r w:rsidRPr="00393432">
        <w:rPr>
          <w:sz w:val="27"/>
          <w:szCs w:val="27"/>
        </w:rPr>
        <w:t>a.i</w:t>
      </w:r>
      <w:proofErr w:type="spellEnd"/>
      <w:r w:rsidRPr="00393432">
        <w:rPr>
          <w:sz w:val="27"/>
          <w:szCs w:val="27"/>
        </w:rPr>
        <w:t xml:space="preserve"> del Subproceso de Evaluación, relacionado con el seguimiento del Plan de Trabajo 1219-PLA-EV-2021 de la </w:t>
      </w:r>
      <w:r w:rsidRPr="00393432">
        <w:rPr>
          <w:sz w:val="27"/>
          <w:szCs w:val="27"/>
        </w:rPr>
        <w:lastRenderedPageBreak/>
        <w:t xml:space="preserve">Dirección de Planificación, sobre </w:t>
      </w:r>
      <w:r w:rsidRPr="00393432">
        <w:rPr>
          <w:i/>
          <w:iCs/>
          <w:sz w:val="27"/>
          <w:szCs w:val="27"/>
        </w:rPr>
        <w:t>“el seguimiento del Plan de Trabajo 2047-PLA-EV-2020 de los Juzgados Civiles y ajuste de estructuras (temporales) de los Juzgados de Cobro y Civil del Primer y Segundo Circuito Judicial de Alajuela”</w:t>
      </w:r>
      <w:r w:rsidRPr="00393432">
        <w:rPr>
          <w:sz w:val="27"/>
          <w:szCs w:val="27"/>
        </w:rPr>
        <w:t>.</w:t>
      </w:r>
    </w:p>
    <w:p w14:paraId="41C0C216" w14:textId="77777777" w:rsidR="00F50033" w:rsidRPr="00393432" w:rsidRDefault="00F50033" w:rsidP="00F50033">
      <w:pPr>
        <w:ind w:firstLine="709"/>
        <w:jc w:val="both"/>
        <w:rPr>
          <w:sz w:val="27"/>
          <w:szCs w:val="27"/>
        </w:rPr>
      </w:pPr>
    </w:p>
    <w:p w14:paraId="3EC9C269" w14:textId="77777777" w:rsidR="005B2B6C" w:rsidRPr="00393432" w:rsidRDefault="005B2B6C" w:rsidP="00F50033">
      <w:pPr>
        <w:ind w:firstLine="709"/>
        <w:jc w:val="both"/>
        <w:rPr>
          <w:snapToGrid w:val="0"/>
          <w:sz w:val="27"/>
          <w:szCs w:val="27"/>
        </w:rPr>
      </w:pPr>
      <w:r w:rsidRPr="00393432">
        <w:rPr>
          <w:sz w:val="27"/>
          <w:szCs w:val="27"/>
        </w:rPr>
        <w:t>Seguidamente se transcribe el informe citado, que dice:</w:t>
      </w:r>
    </w:p>
    <w:p w14:paraId="5D34057E" w14:textId="77777777" w:rsidR="005B2B6C" w:rsidRPr="00393432" w:rsidRDefault="005B2B6C" w:rsidP="00F50033">
      <w:pPr>
        <w:ind w:left="851" w:right="851" w:firstLine="709"/>
        <w:jc w:val="both"/>
        <w:rPr>
          <w:sz w:val="27"/>
          <w:szCs w:val="27"/>
          <w:lang w:val="pt-BR"/>
        </w:rPr>
      </w:pPr>
      <w:r w:rsidRPr="00393432">
        <w:rPr>
          <w:snapToGrid w:val="0"/>
          <w:sz w:val="27"/>
          <w:szCs w:val="27"/>
        </w:rPr>
        <w:t>“(…)</w:t>
      </w:r>
    </w:p>
    <w:p w14:paraId="2FC39A53" w14:textId="77777777" w:rsidR="005B2B6C" w:rsidRPr="00393432" w:rsidRDefault="005B2B6C" w:rsidP="00F50033">
      <w:pPr>
        <w:ind w:left="851" w:right="851" w:firstLine="709"/>
        <w:jc w:val="both"/>
        <w:rPr>
          <w:sz w:val="27"/>
          <w:szCs w:val="27"/>
          <w:lang w:val="pt-BR"/>
        </w:rPr>
      </w:pPr>
    </w:p>
    <w:p w14:paraId="7E043D09" w14:textId="77777777" w:rsidR="005B2B6C" w:rsidRPr="00393432" w:rsidRDefault="005B2B6C" w:rsidP="00F50033">
      <w:pPr>
        <w:shd w:val="clear" w:color="auto" w:fill="FFFFFF"/>
        <w:ind w:left="851" w:right="851" w:firstLine="709"/>
        <w:jc w:val="both"/>
        <w:rPr>
          <w:sz w:val="27"/>
          <w:szCs w:val="27"/>
        </w:rPr>
      </w:pPr>
      <w:r w:rsidRPr="00393432">
        <w:rPr>
          <w:sz w:val="27"/>
          <w:szCs w:val="27"/>
        </w:rPr>
        <w:t xml:space="preserve">En atención del acuerdo del Consejo Superior en sesión 104-2021, art. XXXIII en el cual se aprobó el informe 1219-PLA-EV-2021 de la Dirección de Planificación, relacionado con </w:t>
      </w:r>
      <w:r w:rsidRPr="00393432">
        <w:rPr>
          <w:i/>
          <w:iCs/>
          <w:sz w:val="27"/>
          <w:szCs w:val="27"/>
        </w:rPr>
        <w:t xml:space="preserve">“el seguimiento del Plan de Trabajo 2047-PLA-EV-2020 de los Juzgados Civiles y ajuste de estructuras (temporales) de los Juzgados de Cobro y Civil del Primer y Segundo Circuito Judicial de Alajuela”, </w:t>
      </w:r>
      <w:r w:rsidRPr="00393432">
        <w:rPr>
          <w:sz w:val="27"/>
          <w:szCs w:val="27"/>
        </w:rPr>
        <w:t>en el cual se destaca a nivel de</w:t>
      </w:r>
      <w:r w:rsidRPr="00393432">
        <w:rPr>
          <w:i/>
          <w:iCs/>
          <w:sz w:val="27"/>
          <w:szCs w:val="27"/>
        </w:rPr>
        <w:t xml:space="preserve"> </w:t>
      </w:r>
      <w:r w:rsidRPr="00393432">
        <w:rPr>
          <w:sz w:val="27"/>
          <w:szCs w:val="27"/>
        </w:rPr>
        <w:t>Segundo Circuito Judicial de Alajuela, de manera textual lo siguiente:</w:t>
      </w:r>
    </w:p>
    <w:p w14:paraId="03A68F24" w14:textId="77777777" w:rsidR="005B2B6C" w:rsidRPr="00393432" w:rsidRDefault="005B2B6C" w:rsidP="00F50033">
      <w:pPr>
        <w:shd w:val="clear" w:color="auto" w:fill="FFFFFF"/>
        <w:ind w:left="851" w:right="851" w:firstLine="709"/>
        <w:jc w:val="both"/>
        <w:rPr>
          <w:sz w:val="27"/>
          <w:szCs w:val="27"/>
        </w:rPr>
      </w:pPr>
    </w:p>
    <w:p w14:paraId="27CDF7C6" w14:textId="77777777" w:rsidR="005B2B6C" w:rsidRPr="00393432" w:rsidRDefault="005B2B6C" w:rsidP="00F50033">
      <w:pPr>
        <w:ind w:left="851" w:right="851" w:firstLine="709"/>
        <w:jc w:val="both"/>
        <w:rPr>
          <w:i/>
          <w:iCs/>
          <w:noProof/>
          <w:sz w:val="27"/>
          <w:szCs w:val="27"/>
        </w:rPr>
      </w:pPr>
      <w:r w:rsidRPr="00393432">
        <w:rPr>
          <w:i/>
          <w:iCs/>
          <w:sz w:val="27"/>
          <w:szCs w:val="27"/>
        </w:rPr>
        <w:t xml:space="preserve">“(…) </w:t>
      </w:r>
      <w:bookmarkStart w:id="1" w:name="_Hlk79409392"/>
      <w:r w:rsidRPr="00393432">
        <w:rPr>
          <w:i/>
          <w:iCs/>
          <w:sz w:val="27"/>
          <w:szCs w:val="27"/>
        </w:rPr>
        <w:t>e) Aprobar por el plazo de seis meses, una vez comunicado este acuerdo el plan del Juzgado Civil del Segundo Circuito Judicial de Alajuela; de manera que, del total de cuatro plazas técnicas judiciales se asigne a dos personas técnicas judiciales al 100% de trámite en materia Civil</w:t>
      </w:r>
      <w:r w:rsidRPr="00393432">
        <w:rPr>
          <w:i/>
          <w:iCs/>
          <w:noProof/>
          <w:sz w:val="27"/>
          <w:szCs w:val="27"/>
        </w:rPr>
        <w:t xml:space="preserve"> (…)”</w:t>
      </w:r>
    </w:p>
    <w:p w14:paraId="23A73A67" w14:textId="77777777" w:rsidR="005B2B6C" w:rsidRPr="00393432" w:rsidRDefault="005B2B6C" w:rsidP="00F50033">
      <w:pPr>
        <w:ind w:left="851" w:right="851" w:firstLine="709"/>
        <w:jc w:val="both"/>
        <w:rPr>
          <w:i/>
          <w:iCs/>
          <w:noProof/>
          <w:sz w:val="27"/>
          <w:szCs w:val="27"/>
        </w:rPr>
      </w:pPr>
    </w:p>
    <w:p w14:paraId="6178423B" w14:textId="77777777" w:rsidR="005B2B6C" w:rsidRPr="00393432" w:rsidRDefault="005B2B6C" w:rsidP="00F50033">
      <w:pPr>
        <w:ind w:left="851" w:right="851" w:firstLine="709"/>
        <w:jc w:val="both"/>
        <w:rPr>
          <w:noProof/>
          <w:sz w:val="27"/>
          <w:szCs w:val="27"/>
          <w:u w:val="single"/>
        </w:rPr>
      </w:pPr>
      <w:r w:rsidRPr="00393432">
        <w:rPr>
          <w:noProof/>
          <w:sz w:val="27"/>
          <w:szCs w:val="27"/>
          <w:u w:val="single"/>
        </w:rPr>
        <w:t xml:space="preserve">Además se indica: </w:t>
      </w:r>
    </w:p>
    <w:p w14:paraId="5D91AFD7" w14:textId="77777777" w:rsidR="005B2B6C" w:rsidRPr="00393432" w:rsidRDefault="005B2B6C" w:rsidP="00F50033">
      <w:pPr>
        <w:ind w:left="851" w:right="851" w:firstLine="709"/>
        <w:jc w:val="both"/>
        <w:rPr>
          <w:i/>
          <w:iCs/>
          <w:noProof/>
          <w:sz w:val="27"/>
          <w:szCs w:val="27"/>
        </w:rPr>
      </w:pPr>
    </w:p>
    <w:p w14:paraId="3913C637" w14:textId="77777777" w:rsidR="005B2B6C" w:rsidRPr="00393432" w:rsidRDefault="005B2B6C" w:rsidP="00F50033">
      <w:pPr>
        <w:ind w:left="851" w:right="851" w:firstLine="709"/>
        <w:jc w:val="both"/>
        <w:rPr>
          <w:i/>
          <w:iCs/>
          <w:sz w:val="27"/>
          <w:szCs w:val="27"/>
        </w:rPr>
      </w:pPr>
      <w:r w:rsidRPr="00393432">
        <w:rPr>
          <w:i/>
          <w:iCs/>
          <w:noProof/>
          <w:sz w:val="27"/>
          <w:szCs w:val="27"/>
        </w:rPr>
        <w:t xml:space="preserve">“(…) </w:t>
      </w:r>
      <w:bookmarkEnd w:id="1"/>
      <w:r w:rsidRPr="00393432">
        <w:rPr>
          <w:i/>
          <w:iCs/>
          <w:noProof/>
          <w:sz w:val="27"/>
          <w:szCs w:val="27"/>
        </w:rPr>
        <w:t xml:space="preserve">ante eventuales planes remediales de contingencia (atención de escritos, inventarios estadísticos entre otros) requeridos a lo interno del Juzgado Civil del Segundo Circuito Judicial de Alajuela el Equipo de Mejora de Procesos del Despacho podrá apoyarse en el trámite de asuntos con la plaza de Técnico Judicial 2 asignado a tiempo completo en el Área de Manifestación que según se indica en el informe 1230-PLA-2018 el mismo podría “apoyar en la tramitación de expedientes de requerirse por carga de trabajo”. En tanto, la cuarta plaza de persona técnica judicial del Juzgado Civil, se aboque 100% al trámite de materia de Cobro con una cuota de 27 asuntos diarios del Juzgado de Cobro del Segundo Circuito Judicial de Alajuela </w:t>
      </w:r>
      <w:r w:rsidRPr="00393432">
        <w:rPr>
          <w:i/>
          <w:iCs/>
          <w:sz w:val="27"/>
          <w:szCs w:val="27"/>
        </w:rPr>
        <w:t>(…)”</w:t>
      </w:r>
    </w:p>
    <w:p w14:paraId="46A7F02A" w14:textId="77777777" w:rsidR="005B2B6C" w:rsidRPr="00393432" w:rsidRDefault="005B2B6C" w:rsidP="00F50033">
      <w:pPr>
        <w:ind w:left="851" w:right="851" w:firstLine="709"/>
        <w:jc w:val="both"/>
        <w:rPr>
          <w:sz w:val="27"/>
          <w:szCs w:val="27"/>
        </w:rPr>
      </w:pPr>
    </w:p>
    <w:p w14:paraId="33B56056" w14:textId="77777777" w:rsidR="005B2B6C" w:rsidRPr="00393432" w:rsidRDefault="005B2B6C" w:rsidP="00F50033">
      <w:pPr>
        <w:ind w:left="851" w:right="851" w:firstLine="709"/>
        <w:jc w:val="both"/>
        <w:rPr>
          <w:sz w:val="27"/>
          <w:szCs w:val="27"/>
        </w:rPr>
      </w:pPr>
      <w:r w:rsidRPr="00393432">
        <w:rPr>
          <w:sz w:val="27"/>
          <w:szCs w:val="27"/>
        </w:rPr>
        <w:lastRenderedPageBreak/>
        <w:t xml:space="preserve">El presente informe fue remitido en consulta mediante oficio 551-PLA-MI-2022 </w:t>
      </w:r>
      <w:r w:rsidRPr="00393432">
        <w:rPr>
          <w:sz w:val="27"/>
          <w:szCs w:val="27"/>
        </w:rPr>
        <w:tab/>
        <w:t>Comisión de la Jurisdicción Civil, Centro de Apoyo, Coordinación y Mejoramiento de la Función Jurisdiccional, Dirección de Gestión Humana, Contraloría de Servicios del Segundo Circuito Judicial de Alajuela, Administración Regional del Segundo Circuito Judicial de Alajuela, Consejo de Administración del Segundo Circuito Judicial de Alajuela, Juzgado Civil del Segundo Circuito Judicial de Alajuela y Juzgado de Cobro del Segundo Circuito Judicial de Alajuela.</w:t>
      </w:r>
    </w:p>
    <w:p w14:paraId="503D9E5B" w14:textId="77777777" w:rsidR="005B2B6C" w:rsidRPr="00393432" w:rsidRDefault="005B2B6C" w:rsidP="00F50033">
      <w:pPr>
        <w:ind w:left="851" w:right="851" w:firstLine="709"/>
        <w:jc w:val="both"/>
        <w:rPr>
          <w:sz w:val="27"/>
          <w:szCs w:val="27"/>
        </w:rPr>
      </w:pPr>
    </w:p>
    <w:p w14:paraId="66F0DE1A" w14:textId="77777777" w:rsidR="005B2B6C" w:rsidRPr="00393432" w:rsidRDefault="005B2B6C" w:rsidP="00F50033">
      <w:pPr>
        <w:ind w:left="851" w:right="851" w:firstLine="709"/>
        <w:jc w:val="both"/>
        <w:rPr>
          <w:sz w:val="27"/>
          <w:szCs w:val="27"/>
          <w:lang w:val="pt-BR"/>
        </w:rPr>
      </w:pPr>
      <w:r w:rsidRPr="00393432">
        <w:rPr>
          <w:sz w:val="27"/>
          <w:szCs w:val="27"/>
        </w:rPr>
        <w:t xml:space="preserve">Al respecto, en tiempo, solamente se recibió respuesta del Juzgado de Cobro del Segundo Circuito Judicial de Alajuela y de la Contraloría de Servicios del Segundo Circuito Judicial de Alajuela, y </w:t>
      </w:r>
    </w:p>
    <w:p w14:paraId="41856B81" w14:textId="77777777" w:rsidR="005B2B6C" w:rsidRPr="00393432" w:rsidRDefault="005B2B6C" w:rsidP="00F50033">
      <w:pPr>
        <w:ind w:left="851" w:right="851" w:firstLine="709"/>
        <w:jc w:val="both"/>
        <w:rPr>
          <w:sz w:val="27"/>
          <w:szCs w:val="27"/>
        </w:rPr>
      </w:pPr>
    </w:p>
    <w:p w14:paraId="367A0875" w14:textId="1AE2938C" w:rsidR="005B2B6C" w:rsidRPr="00393432" w:rsidRDefault="005B2B6C" w:rsidP="00F50033">
      <w:pPr>
        <w:ind w:left="851" w:right="851" w:firstLine="709"/>
        <w:jc w:val="both"/>
        <w:rPr>
          <w:i/>
          <w:iCs/>
          <w:sz w:val="27"/>
          <w:szCs w:val="27"/>
        </w:rPr>
      </w:pPr>
      <w:r w:rsidRPr="00393432">
        <w:rPr>
          <w:sz w:val="27"/>
          <w:szCs w:val="27"/>
        </w:rPr>
        <w:t xml:space="preserve">Se incluye el detalle de las observaciones recibidas y el criterio de la Dirección de Planificación en el apartado del informe </w:t>
      </w:r>
      <w:r w:rsidRPr="00393432">
        <w:rPr>
          <w:i/>
          <w:iCs/>
          <w:sz w:val="27"/>
          <w:szCs w:val="27"/>
        </w:rPr>
        <w:t xml:space="preserve">6. Observaciones emitidas al informe preliminar (oficio </w:t>
      </w:r>
      <w:r w:rsidRPr="00393432">
        <w:rPr>
          <w:i/>
          <w:iCs/>
          <w:sz w:val="27"/>
          <w:szCs w:val="27"/>
          <w:lang w:val="pt-BR"/>
        </w:rPr>
        <w:t>551-PLA-MI-2022</w:t>
      </w:r>
      <w:r w:rsidRPr="00393432">
        <w:rPr>
          <w:i/>
          <w:iCs/>
          <w:sz w:val="27"/>
          <w:szCs w:val="27"/>
        </w:rPr>
        <w:t>).</w:t>
      </w:r>
    </w:p>
    <w:p w14:paraId="01431544" w14:textId="77777777" w:rsidR="00F50033" w:rsidRPr="00393432" w:rsidRDefault="00F50033" w:rsidP="00F50033">
      <w:pPr>
        <w:ind w:left="851" w:right="851" w:firstLine="709"/>
        <w:jc w:val="both"/>
        <w:rPr>
          <w:i/>
          <w:iCs/>
          <w:sz w:val="27"/>
          <w:szCs w:val="27"/>
        </w:rPr>
      </w:pPr>
    </w:p>
    <w:p w14:paraId="02A34D1F" w14:textId="77777777" w:rsidR="005B2B6C" w:rsidRPr="00393432" w:rsidRDefault="005B2B6C" w:rsidP="00F50033">
      <w:pPr>
        <w:ind w:left="851" w:right="851" w:firstLine="709"/>
        <w:jc w:val="center"/>
        <w:rPr>
          <w:sz w:val="27"/>
          <w:szCs w:val="27"/>
        </w:rPr>
      </w:pPr>
      <w:r w:rsidRPr="00393432">
        <w:rPr>
          <w:sz w:val="27"/>
          <w:szCs w:val="27"/>
        </w:rPr>
        <w:t>-0-</w:t>
      </w:r>
    </w:p>
    <w:p w14:paraId="4DD23EDB" w14:textId="77777777" w:rsidR="005B2B6C" w:rsidRPr="00393432" w:rsidRDefault="005B2B6C" w:rsidP="00F50033">
      <w:pPr>
        <w:widowControl w:val="0"/>
        <w:ind w:left="851" w:right="851" w:firstLine="709"/>
        <w:jc w:val="both"/>
        <w:rPr>
          <w:snapToGrid w:val="0"/>
          <w:sz w:val="27"/>
          <w:szCs w:val="27"/>
          <w:lang w:val="pt-BR"/>
        </w:rPr>
      </w:pPr>
    </w:p>
    <w:p w14:paraId="15C231ED" w14:textId="77777777" w:rsidR="005B2B6C" w:rsidRPr="00393432" w:rsidRDefault="005B2B6C" w:rsidP="006B0961">
      <w:pPr>
        <w:keepNext/>
        <w:widowControl w:val="0"/>
        <w:numPr>
          <w:ilvl w:val="0"/>
          <w:numId w:val="10"/>
        </w:numPr>
        <w:tabs>
          <w:tab w:val="num" w:pos="720"/>
        </w:tabs>
        <w:suppressAutoHyphens w:val="0"/>
        <w:autoSpaceDE w:val="0"/>
        <w:autoSpaceDN w:val="0"/>
        <w:adjustRightInd w:val="0"/>
        <w:ind w:left="851" w:right="851" w:firstLine="709"/>
        <w:jc w:val="both"/>
        <w:rPr>
          <w:b/>
          <w:bCs/>
          <w:kern w:val="1"/>
          <w:sz w:val="27"/>
          <w:szCs w:val="27"/>
          <w:u w:val="single"/>
        </w:rPr>
      </w:pPr>
      <w:bookmarkStart w:id="2" w:name="_Toc112071085"/>
      <w:bookmarkStart w:id="3" w:name="_Hlk79414471"/>
      <w:r w:rsidRPr="00393432">
        <w:rPr>
          <w:b/>
          <w:bCs/>
          <w:kern w:val="1"/>
          <w:sz w:val="27"/>
          <w:szCs w:val="27"/>
          <w:u w:val="single"/>
        </w:rPr>
        <w:t>Cuotas alcanzadas en materia de Cobro por parte del personal técnico judicial del Juzgado Civil del Segundo Circuito Judicial de Alajuela (enero a abril de 2022)</w:t>
      </w:r>
      <w:bookmarkEnd w:id="2"/>
    </w:p>
    <w:p w14:paraId="56021DD3" w14:textId="77777777" w:rsidR="005B2B6C" w:rsidRPr="00393432" w:rsidRDefault="005B2B6C" w:rsidP="00F50033">
      <w:pPr>
        <w:jc w:val="both"/>
        <w:rPr>
          <w:sz w:val="27"/>
          <w:szCs w:val="27"/>
        </w:rPr>
      </w:pPr>
    </w:p>
    <w:p w14:paraId="2A3F017E" w14:textId="77777777" w:rsidR="005B2B6C" w:rsidRPr="00393432" w:rsidRDefault="005B2B6C" w:rsidP="00F50033">
      <w:pPr>
        <w:ind w:left="851" w:right="851" w:firstLine="709"/>
        <w:jc w:val="both"/>
        <w:rPr>
          <w:sz w:val="27"/>
          <w:szCs w:val="27"/>
        </w:rPr>
      </w:pPr>
      <w:r w:rsidRPr="00393432">
        <w:rPr>
          <w:sz w:val="27"/>
          <w:szCs w:val="27"/>
        </w:rPr>
        <w:t xml:space="preserve">Debido a lo dispuesto, el Plan de Trabajo 1219-PLA-EV-2021 aprobado en sesión 104-2021, art. XXXIII del Consejo Superior entra en ejecución en enero de 2022, donde resultante del primer cuatrimestre en ejecución </w:t>
      </w:r>
      <w:r w:rsidRPr="00393432">
        <w:rPr>
          <w:i/>
          <w:iCs/>
          <w:sz w:val="27"/>
          <w:szCs w:val="27"/>
        </w:rPr>
        <w:t>(enero a abril de 2022)</w:t>
      </w:r>
      <w:r w:rsidRPr="00393432">
        <w:rPr>
          <w:sz w:val="27"/>
          <w:szCs w:val="27"/>
        </w:rPr>
        <w:t xml:space="preserve"> se identifica que en el caso del Juzgado Civil del Segundo Circuito Judicial de Alajuela se ha tramitado por la persona técnica judicial (trámite) un total de 1334 entre demandas nuevas y escritos del Juzgado de Cobro del Segundo Circuito Judicial de Alajuela. </w:t>
      </w:r>
      <w:bookmarkEnd w:id="3"/>
    </w:p>
    <w:p w14:paraId="4E291072" w14:textId="77777777" w:rsidR="005B2B6C" w:rsidRPr="00393432" w:rsidRDefault="005B2B6C" w:rsidP="00F50033">
      <w:pPr>
        <w:ind w:left="851" w:right="851" w:firstLine="709"/>
        <w:jc w:val="both"/>
        <w:rPr>
          <w:sz w:val="27"/>
          <w:szCs w:val="27"/>
        </w:rPr>
      </w:pPr>
    </w:p>
    <w:p w14:paraId="1868BECE" w14:textId="77777777" w:rsidR="005B2B6C" w:rsidRPr="00393432" w:rsidRDefault="005B2B6C" w:rsidP="00F50033">
      <w:pPr>
        <w:ind w:left="851" w:right="851" w:firstLine="709"/>
        <w:jc w:val="both"/>
        <w:rPr>
          <w:sz w:val="27"/>
          <w:szCs w:val="27"/>
        </w:rPr>
      </w:pPr>
      <w:r w:rsidRPr="00393432">
        <w:rPr>
          <w:sz w:val="27"/>
          <w:szCs w:val="27"/>
        </w:rPr>
        <w:t xml:space="preserve">A continuación, se muestra el detalle de las cuotas alcanzadas en materia de Cobro por parte del personal técnico </w:t>
      </w:r>
      <w:r w:rsidRPr="00393432">
        <w:rPr>
          <w:sz w:val="27"/>
          <w:szCs w:val="27"/>
        </w:rPr>
        <w:lastRenderedPageBreak/>
        <w:t xml:space="preserve">judicial del Juzgado Civil del Segundo Circuito Judicial de Alajuela. </w:t>
      </w:r>
    </w:p>
    <w:p w14:paraId="056CB311" w14:textId="77777777" w:rsidR="005B2B6C" w:rsidRPr="00393432" w:rsidRDefault="005B2B6C" w:rsidP="00F50033">
      <w:pPr>
        <w:ind w:left="851" w:right="851" w:firstLine="709"/>
        <w:jc w:val="both"/>
        <w:rPr>
          <w:sz w:val="27"/>
          <w:szCs w:val="27"/>
        </w:rPr>
      </w:pPr>
    </w:p>
    <w:p w14:paraId="361E3891" w14:textId="77777777" w:rsidR="005B2B6C" w:rsidRPr="00393432" w:rsidRDefault="005B2B6C" w:rsidP="00F50033">
      <w:pPr>
        <w:keepNext/>
        <w:widowControl w:val="0"/>
        <w:suppressAutoHyphens w:val="0"/>
        <w:autoSpaceDE w:val="0"/>
        <w:autoSpaceDN w:val="0"/>
        <w:adjustRightInd w:val="0"/>
        <w:ind w:left="851" w:right="851"/>
        <w:jc w:val="center"/>
        <w:rPr>
          <w:b/>
          <w:bCs/>
          <w:sz w:val="27"/>
          <w:szCs w:val="27"/>
          <w:lang w:eastAsia="es-ES"/>
        </w:rPr>
      </w:pPr>
      <w:r w:rsidRPr="00393432">
        <w:rPr>
          <w:b/>
          <w:bCs/>
          <w:sz w:val="27"/>
          <w:szCs w:val="27"/>
          <w:lang w:eastAsia="es-ES"/>
        </w:rPr>
        <w:t xml:space="preserve">Cuadro </w:t>
      </w:r>
      <w:r w:rsidRPr="00393432">
        <w:rPr>
          <w:b/>
          <w:bCs/>
          <w:sz w:val="27"/>
          <w:szCs w:val="27"/>
          <w:lang w:eastAsia="es-ES"/>
        </w:rPr>
        <w:fldChar w:fldCharType="begin"/>
      </w:r>
      <w:r w:rsidRPr="00393432">
        <w:rPr>
          <w:b/>
          <w:bCs/>
          <w:sz w:val="27"/>
          <w:szCs w:val="27"/>
          <w:lang w:eastAsia="es-ES"/>
        </w:rPr>
        <w:instrText xml:space="preserve"> SEQ Cuadro \* ARABIC </w:instrText>
      </w:r>
      <w:r w:rsidRPr="00393432">
        <w:rPr>
          <w:b/>
          <w:bCs/>
          <w:sz w:val="27"/>
          <w:szCs w:val="27"/>
          <w:lang w:eastAsia="es-ES"/>
        </w:rPr>
        <w:fldChar w:fldCharType="separate"/>
      </w:r>
      <w:r w:rsidRPr="00393432">
        <w:rPr>
          <w:b/>
          <w:bCs/>
          <w:noProof/>
          <w:sz w:val="27"/>
          <w:szCs w:val="27"/>
          <w:lang w:eastAsia="es-ES"/>
        </w:rPr>
        <w:t>1</w:t>
      </w:r>
      <w:r w:rsidRPr="00393432">
        <w:rPr>
          <w:b/>
          <w:bCs/>
          <w:sz w:val="27"/>
          <w:szCs w:val="27"/>
          <w:lang w:eastAsia="es-ES"/>
        </w:rPr>
        <w:fldChar w:fldCharType="end"/>
      </w:r>
    </w:p>
    <w:p w14:paraId="406CDEA7" w14:textId="77777777" w:rsidR="005B2B6C" w:rsidRPr="00393432" w:rsidRDefault="005B2B6C" w:rsidP="00F50033">
      <w:pPr>
        <w:keepNext/>
        <w:widowControl w:val="0"/>
        <w:suppressAutoHyphens w:val="0"/>
        <w:autoSpaceDE w:val="0"/>
        <w:autoSpaceDN w:val="0"/>
        <w:adjustRightInd w:val="0"/>
        <w:ind w:left="851" w:right="851"/>
        <w:jc w:val="center"/>
        <w:rPr>
          <w:b/>
          <w:bCs/>
          <w:sz w:val="27"/>
          <w:szCs w:val="27"/>
          <w:lang w:eastAsia="es-ES"/>
        </w:rPr>
      </w:pPr>
      <w:r w:rsidRPr="00393432">
        <w:rPr>
          <w:b/>
          <w:bCs/>
          <w:sz w:val="27"/>
          <w:szCs w:val="27"/>
          <w:lang w:eastAsia="es-ES"/>
        </w:rPr>
        <w:t>Plan de trabajo 1219-PLA-EV-2021. Global de cuotas alcanzadas en materia de Cobro por parte del personal técnico de judicial del Juzgado Civil del Segundo Circuito Judicial de Alajuela, de enero a abril de 2022</w:t>
      </w:r>
    </w:p>
    <w:p w14:paraId="2BA68D8D" w14:textId="77777777" w:rsidR="005B2B6C" w:rsidRPr="00393432" w:rsidRDefault="005B2B6C" w:rsidP="00F50033">
      <w:pPr>
        <w:jc w:val="center"/>
        <w:rPr>
          <w:sz w:val="27"/>
          <w:szCs w:val="27"/>
        </w:rPr>
      </w:pPr>
    </w:p>
    <w:tbl>
      <w:tblPr>
        <w:tblW w:w="500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14"/>
        <w:gridCol w:w="1553"/>
        <w:gridCol w:w="1553"/>
        <w:gridCol w:w="1553"/>
        <w:gridCol w:w="1551"/>
      </w:tblGrid>
      <w:tr w:rsidR="00F50033" w:rsidRPr="00393432" w14:paraId="44180D30" w14:textId="77777777" w:rsidTr="00B909C8">
        <w:trPr>
          <w:trHeight w:val="422"/>
          <w:jc w:val="center"/>
        </w:trPr>
        <w:tc>
          <w:tcPr>
            <w:tcW w:w="1481" w:type="pct"/>
            <w:tcBorders>
              <w:right w:val="single" w:sz="4" w:space="0" w:color="1F3864"/>
            </w:tcBorders>
            <w:shd w:val="solid" w:color="000080" w:fill="FFFFFF"/>
            <w:noWrap/>
            <w:vAlign w:val="center"/>
            <w:hideMark/>
          </w:tcPr>
          <w:p w14:paraId="2F912EBE" w14:textId="77777777" w:rsidR="005B2B6C" w:rsidRPr="00393432" w:rsidRDefault="005B2B6C" w:rsidP="00F50033">
            <w:pPr>
              <w:jc w:val="center"/>
              <w:rPr>
                <w:b/>
                <w:bCs/>
                <w:sz w:val="27"/>
                <w:szCs w:val="27"/>
                <w:lang w:eastAsia="es-CR"/>
              </w:rPr>
            </w:pPr>
            <w:r w:rsidRPr="00393432">
              <w:rPr>
                <w:b/>
                <w:bCs/>
                <w:sz w:val="27"/>
                <w:szCs w:val="27"/>
                <w:lang w:eastAsia="es-CR"/>
              </w:rPr>
              <w:t>Técnico Judicial 6</w:t>
            </w:r>
          </w:p>
        </w:tc>
        <w:tc>
          <w:tcPr>
            <w:tcW w:w="880" w:type="pct"/>
            <w:tcBorders>
              <w:left w:val="single" w:sz="4" w:space="0" w:color="1F3864"/>
              <w:right w:val="single" w:sz="4" w:space="0" w:color="1F3864"/>
            </w:tcBorders>
            <w:shd w:val="solid" w:color="000080" w:fill="FFFFFF"/>
            <w:noWrap/>
            <w:vAlign w:val="center"/>
            <w:hideMark/>
          </w:tcPr>
          <w:p w14:paraId="6FBB04AA" w14:textId="77777777" w:rsidR="005B2B6C" w:rsidRPr="00393432" w:rsidRDefault="005B2B6C" w:rsidP="00F50033">
            <w:pPr>
              <w:jc w:val="center"/>
              <w:rPr>
                <w:b/>
                <w:bCs/>
                <w:sz w:val="27"/>
                <w:szCs w:val="27"/>
                <w:lang w:eastAsia="es-CR"/>
              </w:rPr>
            </w:pPr>
            <w:r w:rsidRPr="00393432">
              <w:rPr>
                <w:b/>
                <w:bCs/>
                <w:sz w:val="27"/>
                <w:szCs w:val="27"/>
                <w:lang w:eastAsia="es-CR"/>
              </w:rPr>
              <w:t>ene-22</w:t>
            </w:r>
          </w:p>
        </w:tc>
        <w:tc>
          <w:tcPr>
            <w:tcW w:w="880" w:type="pct"/>
            <w:tcBorders>
              <w:left w:val="single" w:sz="4" w:space="0" w:color="1F3864"/>
              <w:right w:val="single" w:sz="4" w:space="0" w:color="1F3864"/>
            </w:tcBorders>
            <w:shd w:val="solid" w:color="000080" w:fill="FFFFFF"/>
            <w:noWrap/>
            <w:vAlign w:val="center"/>
            <w:hideMark/>
          </w:tcPr>
          <w:p w14:paraId="74AEDF32" w14:textId="77777777" w:rsidR="005B2B6C" w:rsidRPr="00393432" w:rsidRDefault="005B2B6C" w:rsidP="00F50033">
            <w:pPr>
              <w:jc w:val="center"/>
              <w:rPr>
                <w:b/>
                <w:bCs/>
                <w:sz w:val="27"/>
                <w:szCs w:val="27"/>
                <w:lang w:eastAsia="es-CR"/>
              </w:rPr>
            </w:pPr>
            <w:r w:rsidRPr="00393432">
              <w:rPr>
                <w:b/>
                <w:bCs/>
                <w:sz w:val="27"/>
                <w:szCs w:val="27"/>
                <w:lang w:eastAsia="es-CR"/>
              </w:rPr>
              <w:t>feb-22</w:t>
            </w:r>
          </w:p>
        </w:tc>
        <w:tc>
          <w:tcPr>
            <w:tcW w:w="880" w:type="pct"/>
            <w:tcBorders>
              <w:left w:val="single" w:sz="4" w:space="0" w:color="1F3864"/>
              <w:right w:val="single" w:sz="4" w:space="0" w:color="1F3864"/>
            </w:tcBorders>
            <w:shd w:val="solid" w:color="000080" w:fill="FFFFFF"/>
            <w:noWrap/>
            <w:vAlign w:val="center"/>
            <w:hideMark/>
          </w:tcPr>
          <w:p w14:paraId="73B581AA" w14:textId="77777777" w:rsidR="005B2B6C" w:rsidRPr="00393432" w:rsidRDefault="005B2B6C" w:rsidP="00F50033">
            <w:pPr>
              <w:jc w:val="center"/>
              <w:rPr>
                <w:b/>
                <w:bCs/>
                <w:sz w:val="27"/>
                <w:szCs w:val="27"/>
                <w:lang w:eastAsia="es-CR"/>
              </w:rPr>
            </w:pPr>
            <w:r w:rsidRPr="00393432">
              <w:rPr>
                <w:b/>
                <w:bCs/>
                <w:sz w:val="27"/>
                <w:szCs w:val="27"/>
                <w:lang w:eastAsia="es-CR"/>
              </w:rPr>
              <w:t>mar-22</w:t>
            </w:r>
          </w:p>
        </w:tc>
        <w:tc>
          <w:tcPr>
            <w:tcW w:w="880" w:type="pct"/>
            <w:tcBorders>
              <w:left w:val="single" w:sz="4" w:space="0" w:color="1F3864"/>
            </w:tcBorders>
            <w:shd w:val="solid" w:color="000080" w:fill="FFFFFF"/>
            <w:noWrap/>
            <w:vAlign w:val="center"/>
            <w:hideMark/>
          </w:tcPr>
          <w:p w14:paraId="153C4461" w14:textId="77777777" w:rsidR="005B2B6C" w:rsidRPr="00393432" w:rsidRDefault="005B2B6C" w:rsidP="00F50033">
            <w:pPr>
              <w:jc w:val="center"/>
              <w:rPr>
                <w:b/>
                <w:bCs/>
                <w:sz w:val="27"/>
                <w:szCs w:val="27"/>
                <w:lang w:eastAsia="es-CR"/>
              </w:rPr>
            </w:pPr>
            <w:r w:rsidRPr="00393432">
              <w:rPr>
                <w:b/>
                <w:bCs/>
                <w:sz w:val="27"/>
                <w:szCs w:val="27"/>
                <w:lang w:eastAsia="es-CR"/>
              </w:rPr>
              <w:t>abr-22</w:t>
            </w:r>
          </w:p>
        </w:tc>
      </w:tr>
      <w:tr w:rsidR="00F50033" w:rsidRPr="00393432" w14:paraId="5B9E74CF" w14:textId="77777777" w:rsidTr="00B909C8">
        <w:trPr>
          <w:trHeight w:val="422"/>
          <w:jc w:val="center"/>
        </w:trPr>
        <w:tc>
          <w:tcPr>
            <w:tcW w:w="1481" w:type="pct"/>
            <w:shd w:val="clear" w:color="auto" w:fill="auto"/>
            <w:noWrap/>
            <w:vAlign w:val="center"/>
            <w:hideMark/>
          </w:tcPr>
          <w:p w14:paraId="69BEBD02" w14:textId="77777777" w:rsidR="005B2B6C" w:rsidRPr="00393432" w:rsidRDefault="005B2B6C" w:rsidP="00F50033">
            <w:pPr>
              <w:jc w:val="center"/>
              <w:rPr>
                <w:sz w:val="27"/>
                <w:szCs w:val="27"/>
                <w:lang w:eastAsia="es-CR"/>
              </w:rPr>
            </w:pPr>
            <w:r w:rsidRPr="00393432">
              <w:rPr>
                <w:sz w:val="27"/>
                <w:szCs w:val="27"/>
                <w:lang w:eastAsia="es-CR"/>
              </w:rPr>
              <w:t>Cuota teórica</w:t>
            </w:r>
          </w:p>
        </w:tc>
        <w:tc>
          <w:tcPr>
            <w:tcW w:w="880" w:type="pct"/>
            <w:shd w:val="clear" w:color="auto" w:fill="auto"/>
            <w:noWrap/>
            <w:vAlign w:val="center"/>
            <w:hideMark/>
          </w:tcPr>
          <w:p w14:paraId="5565D602" w14:textId="77777777" w:rsidR="005B2B6C" w:rsidRPr="00393432" w:rsidRDefault="005B2B6C" w:rsidP="00F50033">
            <w:pPr>
              <w:jc w:val="center"/>
              <w:rPr>
                <w:sz w:val="27"/>
                <w:szCs w:val="27"/>
                <w:lang w:eastAsia="es-CR"/>
              </w:rPr>
            </w:pPr>
            <w:r w:rsidRPr="00393432">
              <w:rPr>
                <w:sz w:val="27"/>
                <w:szCs w:val="27"/>
                <w:lang w:eastAsia="es-CR"/>
              </w:rPr>
              <w:t>483</w:t>
            </w:r>
          </w:p>
        </w:tc>
        <w:tc>
          <w:tcPr>
            <w:tcW w:w="880" w:type="pct"/>
            <w:shd w:val="clear" w:color="auto" w:fill="auto"/>
            <w:noWrap/>
            <w:vAlign w:val="center"/>
            <w:hideMark/>
          </w:tcPr>
          <w:p w14:paraId="3ECFF43A" w14:textId="77777777" w:rsidR="005B2B6C" w:rsidRPr="00393432" w:rsidRDefault="005B2B6C" w:rsidP="00F50033">
            <w:pPr>
              <w:jc w:val="center"/>
              <w:rPr>
                <w:sz w:val="27"/>
                <w:szCs w:val="27"/>
                <w:lang w:eastAsia="es-CR"/>
              </w:rPr>
            </w:pPr>
            <w:r w:rsidRPr="00393432">
              <w:rPr>
                <w:sz w:val="27"/>
                <w:szCs w:val="27"/>
                <w:lang w:eastAsia="es-CR"/>
              </w:rPr>
              <w:t>500</w:t>
            </w:r>
          </w:p>
        </w:tc>
        <w:tc>
          <w:tcPr>
            <w:tcW w:w="880" w:type="pct"/>
            <w:shd w:val="clear" w:color="auto" w:fill="auto"/>
            <w:noWrap/>
            <w:vAlign w:val="center"/>
            <w:hideMark/>
          </w:tcPr>
          <w:p w14:paraId="4AD92551" w14:textId="77777777" w:rsidR="005B2B6C" w:rsidRPr="00393432" w:rsidRDefault="005B2B6C" w:rsidP="00F50033">
            <w:pPr>
              <w:jc w:val="center"/>
              <w:rPr>
                <w:sz w:val="27"/>
                <w:szCs w:val="27"/>
                <w:lang w:eastAsia="es-CR"/>
              </w:rPr>
            </w:pPr>
            <w:r w:rsidRPr="00393432">
              <w:rPr>
                <w:sz w:val="27"/>
                <w:szCs w:val="27"/>
                <w:lang w:eastAsia="es-CR"/>
              </w:rPr>
              <w:t>575</w:t>
            </w:r>
          </w:p>
        </w:tc>
        <w:tc>
          <w:tcPr>
            <w:tcW w:w="880" w:type="pct"/>
            <w:shd w:val="clear" w:color="auto" w:fill="auto"/>
            <w:noWrap/>
            <w:vAlign w:val="center"/>
            <w:hideMark/>
          </w:tcPr>
          <w:p w14:paraId="077982E0" w14:textId="77777777" w:rsidR="005B2B6C" w:rsidRPr="00393432" w:rsidRDefault="005B2B6C" w:rsidP="00F50033">
            <w:pPr>
              <w:jc w:val="center"/>
              <w:rPr>
                <w:sz w:val="27"/>
                <w:szCs w:val="27"/>
                <w:lang w:eastAsia="es-CR"/>
              </w:rPr>
            </w:pPr>
            <w:r w:rsidRPr="00393432">
              <w:rPr>
                <w:sz w:val="27"/>
                <w:szCs w:val="27"/>
                <w:lang w:eastAsia="es-CR"/>
              </w:rPr>
              <w:t>368</w:t>
            </w:r>
          </w:p>
        </w:tc>
      </w:tr>
      <w:tr w:rsidR="00F50033" w:rsidRPr="00393432" w14:paraId="7453AA90" w14:textId="77777777" w:rsidTr="00B909C8">
        <w:trPr>
          <w:trHeight w:val="422"/>
          <w:jc w:val="center"/>
        </w:trPr>
        <w:tc>
          <w:tcPr>
            <w:tcW w:w="1481" w:type="pct"/>
            <w:shd w:val="clear" w:color="auto" w:fill="auto"/>
            <w:noWrap/>
            <w:vAlign w:val="center"/>
            <w:hideMark/>
          </w:tcPr>
          <w:p w14:paraId="68F41432" w14:textId="77777777" w:rsidR="005B2B6C" w:rsidRPr="00393432" w:rsidRDefault="005B2B6C" w:rsidP="00F50033">
            <w:pPr>
              <w:jc w:val="center"/>
              <w:rPr>
                <w:sz w:val="27"/>
                <w:szCs w:val="27"/>
                <w:lang w:eastAsia="es-CR"/>
              </w:rPr>
            </w:pPr>
            <w:r w:rsidRPr="00393432">
              <w:rPr>
                <w:sz w:val="27"/>
                <w:szCs w:val="27"/>
                <w:lang w:eastAsia="es-CR"/>
              </w:rPr>
              <w:t>Cuota ajustada</w:t>
            </w:r>
          </w:p>
        </w:tc>
        <w:tc>
          <w:tcPr>
            <w:tcW w:w="880" w:type="pct"/>
            <w:shd w:val="clear" w:color="auto" w:fill="auto"/>
            <w:noWrap/>
            <w:vAlign w:val="center"/>
            <w:hideMark/>
          </w:tcPr>
          <w:p w14:paraId="76B7AAB0" w14:textId="77777777" w:rsidR="005B2B6C" w:rsidRPr="00393432" w:rsidRDefault="005B2B6C" w:rsidP="00F50033">
            <w:pPr>
              <w:jc w:val="center"/>
              <w:rPr>
                <w:sz w:val="27"/>
                <w:szCs w:val="27"/>
                <w:lang w:eastAsia="es-CR"/>
              </w:rPr>
            </w:pPr>
            <w:r w:rsidRPr="00393432">
              <w:rPr>
                <w:sz w:val="27"/>
                <w:szCs w:val="27"/>
                <w:lang w:eastAsia="es-CR"/>
              </w:rPr>
              <w:t>463</w:t>
            </w:r>
          </w:p>
        </w:tc>
        <w:tc>
          <w:tcPr>
            <w:tcW w:w="880" w:type="pct"/>
            <w:shd w:val="clear" w:color="auto" w:fill="auto"/>
            <w:noWrap/>
            <w:vAlign w:val="center"/>
            <w:hideMark/>
          </w:tcPr>
          <w:p w14:paraId="7F1C0AAF" w14:textId="77777777" w:rsidR="005B2B6C" w:rsidRPr="00393432" w:rsidRDefault="005B2B6C" w:rsidP="00F50033">
            <w:pPr>
              <w:jc w:val="center"/>
              <w:rPr>
                <w:sz w:val="27"/>
                <w:szCs w:val="27"/>
                <w:lang w:eastAsia="es-CR"/>
              </w:rPr>
            </w:pPr>
            <w:r w:rsidRPr="00393432">
              <w:rPr>
                <w:sz w:val="27"/>
                <w:szCs w:val="27"/>
                <w:lang w:eastAsia="es-CR"/>
              </w:rPr>
              <w:t>328</w:t>
            </w:r>
          </w:p>
        </w:tc>
        <w:tc>
          <w:tcPr>
            <w:tcW w:w="880" w:type="pct"/>
            <w:shd w:val="clear" w:color="auto" w:fill="auto"/>
            <w:noWrap/>
            <w:vAlign w:val="center"/>
            <w:hideMark/>
          </w:tcPr>
          <w:p w14:paraId="71D2D960" w14:textId="77777777" w:rsidR="005B2B6C" w:rsidRPr="00393432" w:rsidRDefault="005B2B6C" w:rsidP="00F50033">
            <w:pPr>
              <w:jc w:val="center"/>
              <w:rPr>
                <w:sz w:val="27"/>
                <w:szCs w:val="27"/>
                <w:lang w:eastAsia="es-CR"/>
              </w:rPr>
            </w:pPr>
            <w:r w:rsidRPr="00393432">
              <w:rPr>
                <w:sz w:val="27"/>
                <w:szCs w:val="27"/>
                <w:lang w:eastAsia="es-CR"/>
              </w:rPr>
              <w:t>390</w:t>
            </w:r>
          </w:p>
        </w:tc>
        <w:tc>
          <w:tcPr>
            <w:tcW w:w="880" w:type="pct"/>
            <w:shd w:val="clear" w:color="auto" w:fill="auto"/>
            <w:noWrap/>
            <w:vAlign w:val="center"/>
            <w:hideMark/>
          </w:tcPr>
          <w:p w14:paraId="40EA372E" w14:textId="77777777" w:rsidR="005B2B6C" w:rsidRPr="00393432" w:rsidRDefault="005B2B6C" w:rsidP="00F50033">
            <w:pPr>
              <w:jc w:val="center"/>
              <w:rPr>
                <w:sz w:val="27"/>
                <w:szCs w:val="27"/>
                <w:lang w:eastAsia="es-CR"/>
              </w:rPr>
            </w:pPr>
            <w:r w:rsidRPr="00393432">
              <w:rPr>
                <w:sz w:val="27"/>
                <w:szCs w:val="27"/>
                <w:lang w:eastAsia="es-CR"/>
              </w:rPr>
              <w:t>313</w:t>
            </w:r>
          </w:p>
        </w:tc>
      </w:tr>
      <w:tr w:rsidR="00F50033" w:rsidRPr="00393432" w14:paraId="361226BC" w14:textId="77777777" w:rsidTr="00B909C8">
        <w:trPr>
          <w:trHeight w:val="422"/>
          <w:jc w:val="center"/>
        </w:trPr>
        <w:tc>
          <w:tcPr>
            <w:tcW w:w="1481" w:type="pct"/>
            <w:shd w:val="clear" w:color="auto" w:fill="DEEAF6"/>
            <w:noWrap/>
            <w:vAlign w:val="center"/>
            <w:hideMark/>
          </w:tcPr>
          <w:p w14:paraId="48C341C2" w14:textId="77777777" w:rsidR="005B2B6C" w:rsidRPr="00393432" w:rsidRDefault="005B2B6C" w:rsidP="00F50033">
            <w:pPr>
              <w:jc w:val="center"/>
              <w:rPr>
                <w:sz w:val="27"/>
                <w:szCs w:val="27"/>
                <w:lang w:eastAsia="es-CR"/>
              </w:rPr>
            </w:pPr>
            <w:r w:rsidRPr="00393432">
              <w:rPr>
                <w:sz w:val="27"/>
                <w:szCs w:val="27"/>
                <w:lang w:eastAsia="es-CR"/>
              </w:rPr>
              <w:t>Cuota real alcanzada</w:t>
            </w:r>
          </w:p>
        </w:tc>
        <w:tc>
          <w:tcPr>
            <w:tcW w:w="880" w:type="pct"/>
            <w:shd w:val="clear" w:color="auto" w:fill="DEEAF6"/>
            <w:noWrap/>
            <w:vAlign w:val="center"/>
            <w:hideMark/>
          </w:tcPr>
          <w:p w14:paraId="05BE9B9A" w14:textId="77777777" w:rsidR="005B2B6C" w:rsidRPr="00393432" w:rsidRDefault="005B2B6C" w:rsidP="00F50033">
            <w:pPr>
              <w:jc w:val="center"/>
              <w:rPr>
                <w:b/>
                <w:bCs/>
                <w:sz w:val="27"/>
                <w:szCs w:val="27"/>
                <w:lang w:eastAsia="es-CR"/>
              </w:rPr>
            </w:pPr>
            <w:r w:rsidRPr="00393432">
              <w:rPr>
                <w:b/>
                <w:bCs/>
                <w:sz w:val="27"/>
                <w:szCs w:val="27"/>
                <w:lang w:eastAsia="es-CR"/>
              </w:rPr>
              <w:t>476</w:t>
            </w:r>
          </w:p>
        </w:tc>
        <w:tc>
          <w:tcPr>
            <w:tcW w:w="880" w:type="pct"/>
            <w:shd w:val="clear" w:color="auto" w:fill="DEEAF6"/>
            <w:noWrap/>
            <w:vAlign w:val="center"/>
            <w:hideMark/>
          </w:tcPr>
          <w:p w14:paraId="7C641A8A" w14:textId="77777777" w:rsidR="005B2B6C" w:rsidRPr="00393432" w:rsidRDefault="005B2B6C" w:rsidP="00F50033">
            <w:pPr>
              <w:jc w:val="center"/>
              <w:rPr>
                <w:b/>
                <w:bCs/>
                <w:sz w:val="27"/>
                <w:szCs w:val="27"/>
                <w:lang w:eastAsia="es-CR"/>
              </w:rPr>
            </w:pPr>
            <w:r w:rsidRPr="00393432">
              <w:rPr>
                <w:b/>
                <w:bCs/>
                <w:sz w:val="27"/>
                <w:szCs w:val="27"/>
                <w:lang w:eastAsia="es-CR"/>
              </w:rPr>
              <w:t>266</w:t>
            </w:r>
          </w:p>
        </w:tc>
        <w:tc>
          <w:tcPr>
            <w:tcW w:w="880" w:type="pct"/>
            <w:shd w:val="clear" w:color="auto" w:fill="DEEAF6"/>
            <w:noWrap/>
            <w:vAlign w:val="center"/>
            <w:hideMark/>
          </w:tcPr>
          <w:p w14:paraId="275B17CC" w14:textId="77777777" w:rsidR="005B2B6C" w:rsidRPr="00393432" w:rsidRDefault="005B2B6C" w:rsidP="00F50033">
            <w:pPr>
              <w:jc w:val="center"/>
              <w:rPr>
                <w:b/>
                <w:bCs/>
                <w:sz w:val="27"/>
                <w:szCs w:val="27"/>
                <w:lang w:eastAsia="es-CR"/>
              </w:rPr>
            </w:pPr>
            <w:r w:rsidRPr="00393432">
              <w:rPr>
                <w:b/>
                <w:bCs/>
                <w:sz w:val="27"/>
                <w:szCs w:val="27"/>
                <w:lang w:eastAsia="es-CR"/>
              </w:rPr>
              <w:t>348</w:t>
            </w:r>
          </w:p>
        </w:tc>
        <w:tc>
          <w:tcPr>
            <w:tcW w:w="880" w:type="pct"/>
            <w:shd w:val="clear" w:color="auto" w:fill="DEEAF6"/>
            <w:noWrap/>
            <w:vAlign w:val="center"/>
            <w:hideMark/>
          </w:tcPr>
          <w:p w14:paraId="6CACA3BB" w14:textId="77777777" w:rsidR="005B2B6C" w:rsidRPr="00393432" w:rsidRDefault="005B2B6C" w:rsidP="00F50033">
            <w:pPr>
              <w:jc w:val="center"/>
              <w:rPr>
                <w:b/>
                <w:bCs/>
                <w:sz w:val="27"/>
                <w:szCs w:val="27"/>
                <w:lang w:eastAsia="es-CR"/>
              </w:rPr>
            </w:pPr>
            <w:r w:rsidRPr="00393432">
              <w:rPr>
                <w:b/>
                <w:bCs/>
                <w:sz w:val="27"/>
                <w:szCs w:val="27"/>
                <w:lang w:eastAsia="es-CR"/>
              </w:rPr>
              <w:t>244</w:t>
            </w:r>
          </w:p>
        </w:tc>
      </w:tr>
      <w:tr w:rsidR="00F50033" w:rsidRPr="00393432" w14:paraId="78BFB501" w14:textId="77777777" w:rsidTr="00B909C8">
        <w:trPr>
          <w:trHeight w:val="494"/>
          <w:jc w:val="center"/>
        </w:trPr>
        <w:tc>
          <w:tcPr>
            <w:tcW w:w="1481" w:type="pct"/>
            <w:shd w:val="clear" w:color="auto" w:fill="auto"/>
            <w:vAlign w:val="center"/>
            <w:hideMark/>
          </w:tcPr>
          <w:p w14:paraId="7164C00D" w14:textId="77777777" w:rsidR="005B2B6C" w:rsidRPr="00393432" w:rsidRDefault="005B2B6C" w:rsidP="00F50033">
            <w:pPr>
              <w:jc w:val="center"/>
              <w:rPr>
                <w:sz w:val="27"/>
                <w:szCs w:val="27"/>
                <w:lang w:eastAsia="es-CR"/>
              </w:rPr>
            </w:pPr>
            <w:r w:rsidRPr="00393432">
              <w:rPr>
                <w:sz w:val="27"/>
                <w:szCs w:val="27"/>
                <w:lang w:eastAsia="es-CR"/>
              </w:rPr>
              <w:t>Porcentaje de rendimiento</w:t>
            </w:r>
          </w:p>
          <w:p w14:paraId="4128B70C" w14:textId="77777777" w:rsidR="005B2B6C" w:rsidRPr="00393432" w:rsidRDefault="005B2B6C" w:rsidP="00F50033">
            <w:pPr>
              <w:jc w:val="center"/>
              <w:rPr>
                <w:sz w:val="27"/>
                <w:szCs w:val="27"/>
                <w:lang w:eastAsia="es-CR"/>
              </w:rPr>
            </w:pPr>
            <w:r w:rsidRPr="00393432">
              <w:rPr>
                <w:sz w:val="27"/>
                <w:szCs w:val="27"/>
                <w:lang w:eastAsia="es-CR"/>
              </w:rPr>
              <w:t>(90% - 100%)</w:t>
            </w:r>
          </w:p>
        </w:tc>
        <w:tc>
          <w:tcPr>
            <w:tcW w:w="880" w:type="pct"/>
            <w:shd w:val="clear" w:color="auto" w:fill="00B050"/>
            <w:noWrap/>
            <w:vAlign w:val="center"/>
            <w:hideMark/>
          </w:tcPr>
          <w:p w14:paraId="520318CE" w14:textId="77777777" w:rsidR="005B2B6C" w:rsidRPr="00393432" w:rsidRDefault="005B2B6C" w:rsidP="00F50033">
            <w:pPr>
              <w:jc w:val="center"/>
              <w:rPr>
                <w:sz w:val="27"/>
                <w:szCs w:val="27"/>
                <w:lang w:eastAsia="es-CR"/>
              </w:rPr>
            </w:pPr>
            <w:r w:rsidRPr="00393432">
              <w:rPr>
                <w:sz w:val="27"/>
                <w:szCs w:val="27"/>
                <w:lang w:eastAsia="es-CR"/>
              </w:rPr>
              <w:t>103%</w:t>
            </w:r>
          </w:p>
        </w:tc>
        <w:tc>
          <w:tcPr>
            <w:tcW w:w="880" w:type="pct"/>
            <w:shd w:val="clear" w:color="auto" w:fill="FF0000"/>
            <w:noWrap/>
            <w:vAlign w:val="center"/>
            <w:hideMark/>
          </w:tcPr>
          <w:p w14:paraId="5BDB81AF" w14:textId="77777777" w:rsidR="005B2B6C" w:rsidRPr="00393432" w:rsidRDefault="005B2B6C" w:rsidP="00F50033">
            <w:pPr>
              <w:jc w:val="center"/>
              <w:rPr>
                <w:sz w:val="27"/>
                <w:szCs w:val="27"/>
                <w:lang w:eastAsia="es-CR"/>
              </w:rPr>
            </w:pPr>
            <w:r w:rsidRPr="00393432">
              <w:rPr>
                <w:sz w:val="27"/>
                <w:szCs w:val="27"/>
                <w:lang w:eastAsia="es-CR"/>
              </w:rPr>
              <w:t>82%</w:t>
            </w:r>
          </w:p>
        </w:tc>
        <w:tc>
          <w:tcPr>
            <w:tcW w:w="880" w:type="pct"/>
            <w:shd w:val="clear" w:color="auto" w:fill="FF0000"/>
            <w:noWrap/>
            <w:vAlign w:val="center"/>
            <w:hideMark/>
          </w:tcPr>
          <w:p w14:paraId="0F0AF12A" w14:textId="77777777" w:rsidR="005B2B6C" w:rsidRPr="00393432" w:rsidRDefault="005B2B6C" w:rsidP="00F50033">
            <w:pPr>
              <w:jc w:val="center"/>
              <w:rPr>
                <w:sz w:val="27"/>
                <w:szCs w:val="27"/>
                <w:lang w:eastAsia="es-CR"/>
              </w:rPr>
            </w:pPr>
            <w:r w:rsidRPr="00393432">
              <w:rPr>
                <w:sz w:val="27"/>
                <w:szCs w:val="27"/>
                <w:lang w:eastAsia="es-CR"/>
              </w:rPr>
              <w:t>89%</w:t>
            </w:r>
          </w:p>
        </w:tc>
        <w:tc>
          <w:tcPr>
            <w:tcW w:w="880" w:type="pct"/>
            <w:shd w:val="clear" w:color="auto" w:fill="FF0000"/>
            <w:noWrap/>
            <w:vAlign w:val="center"/>
            <w:hideMark/>
          </w:tcPr>
          <w:p w14:paraId="31D2A2E3" w14:textId="77777777" w:rsidR="005B2B6C" w:rsidRPr="00393432" w:rsidRDefault="005B2B6C" w:rsidP="00F50033">
            <w:pPr>
              <w:jc w:val="center"/>
              <w:rPr>
                <w:sz w:val="27"/>
                <w:szCs w:val="27"/>
                <w:lang w:eastAsia="es-CR"/>
              </w:rPr>
            </w:pPr>
            <w:r w:rsidRPr="00393432">
              <w:rPr>
                <w:sz w:val="27"/>
                <w:szCs w:val="27"/>
                <w:lang w:eastAsia="es-CR"/>
              </w:rPr>
              <w:t>78%</w:t>
            </w:r>
          </w:p>
        </w:tc>
      </w:tr>
    </w:tbl>
    <w:p w14:paraId="6D8FDFB2" w14:textId="77777777" w:rsidR="005B2B6C" w:rsidRPr="00393432" w:rsidRDefault="005B2B6C" w:rsidP="00F50033">
      <w:pPr>
        <w:tabs>
          <w:tab w:val="left" w:pos="7797"/>
        </w:tabs>
        <w:ind w:left="993" w:right="1043"/>
        <w:jc w:val="both"/>
        <w:rPr>
          <w:b/>
          <w:bCs/>
          <w:sz w:val="27"/>
          <w:szCs w:val="27"/>
        </w:rPr>
      </w:pPr>
      <w:r w:rsidRPr="00393432">
        <w:rPr>
          <w:b/>
          <w:bCs/>
          <w:sz w:val="27"/>
          <w:szCs w:val="27"/>
        </w:rPr>
        <w:t>Fuente:</w:t>
      </w:r>
      <w:r w:rsidRPr="00393432">
        <w:rPr>
          <w:sz w:val="27"/>
          <w:szCs w:val="27"/>
        </w:rPr>
        <w:t xml:space="preserve"> Subproceso de Evaluación Institucional de la Dirección de Planificación con datos recopilados del seguimiento mensual del Plan de Trabajo 1219-PLA-EV-2021.</w:t>
      </w:r>
    </w:p>
    <w:p w14:paraId="4385A514" w14:textId="77777777" w:rsidR="005B2B6C" w:rsidRPr="00393432" w:rsidRDefault="005B2B6C" w:rsidP="00F50033">
      <w:pPr>
        <w:ind w:left="851" w:right="851" w:firstLine="709"/>
        <w:jc w:val="both"/>
        <w:rPr>
          <w:sz w:val="27"/>
          <w:szCs w:val="27"/>
        </w:rPr>
      </w:pPr>
    </w:p>
    <w:p w14:paraId="791ABC04" w14:textId="77777777" w:rsidR="005B2B6C" w:rsidRPr="00393432" w:rsidRDefault="005B2B6C" w:rsidP="00F50033">
      <w:pPr>
        <w:ind w:left="851" w:right="851" w:firstLine="709"/>
        <w:jc w:val="both"/>
        <w:rPr>
          <w:sz w:val="27"/>
          <w:szCs w:val="27"/>
        </w:rPr>
      </w:pPr>
      <w:r w:rsidRPr="00393432">
        <w:rPr>
          <w:sz w:val="27"/>
          <w:szCs w:val="27"/>
        </w:rPr>
        <w:t>En relación con el rendimiento de la persona funcionaria judicial del Juzgado Civil del Segundo Circuito Judicial de Alajuela asignada al Plan de Trabajo 1219-PLA-EV-2021 no alcanzó a ubicarse entre el rango establecido del 95% a 100% del cumplimiento de la cuota ajustada; con excepción, del mes de enero que registró un rendimiento del 103%, para este mes se debe tomar en cuenta que la cuota reportada fue realizada por la técnica del Juzgado de Cobro, ya que se presentaron diferentes problemas a nivel de sistemas que impidió que la persona técnica del Juzgado Civil realizara el trámite correspondiente.</w:t>
      </w:r>
    </w:p>
    <w:p w14:paraId="11ABD7CC" w14:textId="77777777" w:rsidR="005B2B6C" w:rsidRPr="00393432" w:rsidRDefault="005B2B6C" w:rsidP="00F50033">
      <w:pPr>
        <w:ind w:left="851" w:right="851" w:firstLine="709"/>
        <w:jc w:val="both"/>
        <w:rPr>
          <w:sz w:val="27"/>
          <w:szCs w:val="27"/>
        </w:rPr>
      </w:pPr>
    </w:p>
    <w:p w14:paraId="088267C8" w14:textId="77777777" w:rsidR="005B2B6C" w:rsidRPr="00393432" w:rsidRDefault="005B2B6C" w:rsidP="00F50033">
      <w:pPr>
        <w:ind w:left="851" w:right="851" w:firstLine="709"/>
        <w:jc w:val="both"/>
        <w:rPr>
          <w:sz w:val="27"/>
          <w:szCs w:val="27"/>
        </w:rPr>
      </w:pPr>
      <w:r w:rsidRPr="00393432">
        <w:rPr>
          <w:sz w:val="27"/>
          <w:szCs w:val="27"/>
        </w:rPr>
        <w:t>Durante el primer cuatrimestre 2022 se tramitó únicamente un total de</w:t>
      </w:r>
      <w:r w:rsidRPr="00393432">
        <w:rPr>
          <w:b/>
          <w:bCs/>
          <w:sz w:val="27"/>
          <w:szCs w:val="27"/>
        </w:rPr>
        <w:t xml:space="preserve"> 1334 (75%) asuntos</w:t>
      </w:r>
      <w:r w:rsidRPr="00393432">
        <w:rPr>
          <w:sz w:val="27"/>
          <w:szCs w:val="27"/>
        </w:rPr>
        <w:t xml:space="preserve"> de materia Cobratoria del total de </w:t>
      </w:r>
      <w:r w:rsidRPr="00393432">
        <w:rPr>
          <w:b/>
          <w:bCs/>
          <w:sz w:val="27"/>
          <w:szCs w:val="27"/>
        </w:rPr>
        <w:t>1840 asuntos</w:t>
      </w:r>
      <w:r w:rsidRPr="00393432">
        <w:rPr>
          <w:sz w:val="27"/>
          <w:szCs w:val="27"/>
        </w:rPr>
        <w:t xml:space="preserve"> que se proyectaban se tramitaran por parte del personal técnico judicial del Juzgado Civil del Segundo Circuito Judicial de Alajuela.</w:t>
      </w:r>
    </w:p>
    <w:p w14:paraId="0DD41FC1" w14:textId="77777777" w:rsidR="005B2B6C" w:rsidRPr="00393432" w:rsidRDefault="005B2B6C" w:rsidP="00F50033">
      <w:pPr>
        <w:ind w:left="851" w:right="851" w:firstLine="709"/>
        <w:jc w:val="both"/>
        <w:rPr>
          <w:sz w:val="27"/>
          <w:szCs w:val="27"/>
        </w:rPr>
      </w:pPr>
    </w:p>
    <w:p w14:paraId="1DD2D627" w14:textId="77777777" w:rsidR="005B2B6C" w:rsidRPr="00393432" w:rsidRDefault="005B2B6C" w:rsidP="006B0961">
      <w:pPr>
        <w:keepNext/>
        <w:widowControl w:val="0"/>
        <w:numPr>
          <w:ilvl w:val="0"/>
          <w:numId w:val="10"/>
        </w:numPr>
        <w:tabs>
          <w:tab w:val="num" w:pos="720"/>
        </w:tabs>
        <w:suppressAutoHyphens w:val="0"/>
        <w:autoSpaceDE w:val="0"/>
        <w:autoSpaceDN w:val="0"/>
        <w:adjustRightInd w:val="0"/>
        <w:ind w:left="851" w:right="851" w:firstLine="709"/>
        <w:jc w:val="both"/>
        <w:rPr>
          <w:b/>
          <w:bCs/>
          <w:i/>
          <w:iCs/>
          <w:kern w:val="1"/>
          <w:sz w:val="27"/>
          <w:szCs w:val="27"/>
          <w:u w:val="single"/>
        </w:rPr>
      </w:pPr>
      <w:bookmarkStart w:id="4" w:name="_Toc112071086"/>
      <w:r w:rsidRPr="00393432">
        <w:rPr>
          <w:b/>
          <w:bCs/>
          <w:kern w:val="1"/>
          <w:sz w:val="27"/>
          <w:szCs w:val="27"/>
          <w:u w:val="single"/>
        </w:rPr>
        <w:lastRenderedPageBreak/>
        <w:t>Impacto del Plan de Trabajo 1219-PLA-EV-2021 en el Juzgado de Cobro del Segundo Circuito Judicial de Alajuela (enero a abril de 2022)</w:t>
      </w:r>
      <w:bookmarkEnd w:id="4"/>
    </w:p>
    <w:p w14:paraId="3C6E61FF" w14:textId="77777777" w:rsidR="005B2B6C" w:rsidRPr="00393432" w:rsidRDefault="005B2B6C" w:rsidP="00F50033">
      <w:pPr>
        <w:rPr>
          <w:sz w:val="27"/>
          <w:szCs w:val="27"/>
        </w:rPr>
      </w:pPr>
    </w:p>
    <w:p w14:paraId="71B24694" w14:textId="77777777" w:rsidR="005B2B6C" w:rsidRPr="00393432" w:rsidRDefault="005B2B6C" w:rsidP="00F50033">
      <w:pPr>
        <w:ind w:left="851" w:right="851" w:firstLine="709"/>
        <w:jc w:val="both"/>
        <w:rPr>
          <w:sz w:val="27"/>
          <w:szCs w:val="27"/>
        </w:rPr>
      </w:pPr>
      <w:r w:rsidRPr="00393432">
        <w:rPr>
          <w:sz w:val="27"/>
          <w:szCs w:val="27"/>
        </w:rPr>
        <w:t xml:space="preserve">Con el trámite 1334 asuntos de materia Cobratoria por parte del personal técnico judicial del Juzgado Civil del Segundo Circuito Judicial de Alajuela y los planes remediales establecidos a lo interno del Juzgado de Cobro no se logró a abril de 2022 reducir el plazo para resolver demandas nuevas, el cual se mantenía en 4 meses desde enero de 2022 y para abril se reporta a 4.5 meses. En tanto a nivel de escritos, no se redujo el plazo, caso contrario se incrementó en 1.5 meses (13 meses a 14.5 meses).  </w:t>
      </w:r>
    </w:p>
    <w:p w14:paraId="5F4A9EE3" w14:textId="77777777" w:rsidR="005B2B6C" w:rsidRPr="00393432" w:rsidRDefault="005B2B6C" w:rsidP="00F50033">
      <w:pPr>
        <w:ind w:left="851" w:right="851" w:firstLine="709"/>
        <w:jc w:val="both"/>
        <w:rPr>
          <w:sz w:val="27"/>
          <w:szCs w:val="27"/>
        </w:rPr>
      </w:pPr>
    </w:p>
    <w:p w14:paraId="4CBE65DF" w14:textId="77777777" w:rsidR="005B2B6C" w:rsidRPr="00393432" w:rsidRDefault="005B2B6C" w:rsidP="00F50033">
      <w:pPr>
        <w:ind w:left="851" w:right="851" w:firstLine="709"/>
        <w:jc w:val="both"/>
        <w:rPr>
          <w:sz w:val="27"/>
          <w:szCs w:val="27"/>
        </w:rPr>
      </w:pPr>
      <w:r w:rsidRPr="00393432">
        <w:rPr>
          <w:sz w:val="27"/>
          <w:szCs w:val="27"/>
        </w:rPr>
        <w:t xml:space="preserve">Las razones del aumento de los plazos de resolución de demandas nuevas corresponden a los problemas reportaros en los sistemas informáticos en los meses de febrero y marzo.  Por una parte, </w:t>
      </w:r>
      <w:r w:rsidRPr="00393432">
        <w:rPr>
          <w:rFonts w:eastAsia="Calibri"/>
          <w:sz w:val="27"/>
          <w:szCs w:val="27"/>
          <w:lang w:val="es-MX"/>
        </w:rPr>
        <w:t>las notificaciones no se realizaron de forma automática, lo que provocó un reproceso de expedientes para poder llevarlas a cabo y, además, el hecho de que la oficina judicial no tuvo sistemas de Escritorio Virtual ni Sistema de Depósitos Judiciales, lo que impidió o dificultó, el desarrollo de varias labores que debe llevar a cabo el despacho judicial.</w:t>
      </w:r>
      <w:r w:rsidRPr="00393432">
        <w:rPr>
          <w:sz w:val="27"/>
          <w:szCs w:val="27"/>
        </w:rPr>
        <w:t xml:space="preserve">; </w:t>
      </w:r>
    </w:p>
    <w:p w14:paraId="3F56FC12" w14:textId="77777777" w:rsidR="005B2B6C" w:rsidRPr="00393432" w:rsidRDefault="005B2B6C" w:rsidP="00F50033">
      <w:pPr>
        <w:ind w:left="851" w:right="851" w:firstLine="709"/>
        <w:jc w:val="both"/>
        <w:rPr>
          <w:sz w:val="27"/>
          <w:szCs w:val="27"/>
        </w:rPr>
      </w:pPr>
    </w:p>
    <w:p w14:paraId="07111323" w14:textId="77777777" w:rsidR="005B2B6C" w:rsidRPr="00393432" w:rsidRDefault="005B2B6C" w:rsidP="00F50033">
      <w:pPr>
        <w:ind w:left="851" w:right="851" w:firstLine="709"/>
        <w:jc w:val="both"/>
        <w:rPr>
          <w:sz w:val="27"/>
          <w:szCs w:val="27"/>
        </w:rPr>
      </w:pPr>
      <w:r w:rsidRPr="00393432">
        <w:rPr>
          <w:sz w:val="27"/>
          <w:szCs w:val="27"/>
        </w:rPr>
        <w:t xml:space="preserve">Por otra parte, la ejecución de un plan remedial aplicado por dos semanas en el mes de enero a 2500 escritos de liquidación que presentaban atraso de dos a tres años.  Este plan se debió desarrollar debido a una mala práctica de la anterior persona coordinadora del Juzgado, ya que se les daba como “resuelto” a los escritos que requerían trámite adicional.  </w:t>
      </w:r>
    </w:p>
    <w:p w14:paraId="3517DBF7" w14:textId="77777777" w:rsidR="005B2B6C" w:rsidRPr="00393432" w:rsidRDefault="005B2B6C" w:rsidP="00F50033">
      <w:pPr>
        <w:ind w:left="851" w:right="851" w:firstLine="709"/>
        <w:jc w:val="both"/>
        <w:rPr>
          <w:sz w:val="27"/>
          <w:szCs w:val="27"/>
        </w:rPr>
      </w:pPr>
    </w:p>
    <w:p w14:paraId="6F5E59AF" w14:textId="77777777" w:rsidR="005B2B6C" w:rsidRPr="00393432" w:rsidRDefault="005B2B6C" w:rsidP="00F50033">
      <w:pPr>
        <w:ind w:left="851" w:right="851" w:firstLine="709"/>
        <w:jc w:val="both"/>
        <w:rPr>
          <w:sz w:val="27"/>
          <w:szCs w:val="27"/>
        </w:rPr>
      </w:pPr>
      <w:r w:rsidRPr="00393432">
        <w:rPr>
          <w:sz w:val="27"/>
          <w:szCs w:val="27"/>
        </w:rPr>
        <w:t>Por otra parte, se reitera lo indicado en el informe 1219-PLA-EV-2021 donde se establece que en este despacho se tiene la capacidad de atender solo el 48% (2646 asuntos) del total de 5473 asuntos que ingresan cada mes al Despacho; por lo que, se acumula un 52% (2827 asuntos) de manera directa al circulante final.</w:t>
      </w:r>
    </w:p>
    <w:p w14:paraId="11A38F4E" w14:textId="77777777" w:rsidR="005B2B6C" w:rsidRPr="00393432" w:rsidRDefault="005B2B6C" w:rsidP="00F50033">
      <w:pPr>
        <w:ind w:left="851" w:right="851" w:firstLine="709"/>
        <w:jc w:val="both"/>
        <w:rPr>
          <w:sz w:val="27"/>
          <w:szCs w:val="27"/>
        </w:rPr>
      </w:pPr>
    </w:p>
    <w:p w14:paraId="4ABD5936" w14:textId="77777777" w:rsidR="005B2B6C" w:rsidRPr="00393432" w:rsidRDefault="005B2B6C" w:rsidP="00F50033">
      <w:pPr>
        <w:ind w:left="851" w:right="851" w:firstLine="709"/>
        <w:jc w:val="both"/>
        <w:rPr>
          <w:sz w:val="27"/>
          <w:szCs w:val="27"/>
        </w:rPr>
      </w:pPr>
      <w:r w:rsidRPr="00393432">
        <w:rPr>
          <w:sz w:val="27"/>
          <w:szCs w:val="27"/>
        </w:rPr>
        <w:t xml:space="preserve">Como aspecto aclarativo la ayuda del personal técnico judicial del Juzgado Civil del Segundo Circuito Judicial de </w:t>
      </w:r>
      <w:r w:rsidRPr="00393432">
        <w:rPr>
          <w:sz w:val="27"/>
          <w:szCs w:val="27"/>
        </w:rPr>
        <w:lastRenderedPageBreak/>
        <w:t>Alajuela no influye como impacto directo en la reducción del circulante de escritos o demandas del despacho en razón que sustituye a una persona técnica de este juzgado, para que esta persona técnica se dedique a labores de cajero, por lo tanto, el impacto de la ayuda se debe de analizar en la revisión de depósitos y giros, lo cual se desarrolla en este informe más adelante. Es importante indicar que los técnicos del Juzgado de Cobro se mantienen con el cumplimiento en sus cuotas de trabajo, según se muestra a continuación:</w:t>
      </w:r>
    </w:p>
    <w:p w14:paraId="5D143718" w14:textId="77777777" w:rsidR="005B2B6C" w:rsidRPr="00393432" w:rsidRDefault="005B2B6C" w:rsidP="00F50033">
      <w:pPr>
        <w:ind w:left="851" w:right="851" w:firstLine="709"/>
        <w:jc w:val="center"/>
        <w:rPr>
          <w:sz w:val="27"/>
          <w:szCs w:val="27"/>
        </w:rPr>
      </w:pPr>
    </w:p>
    <w:p w14:paraId="6B9282AF" w14:textId="77777777" w:rsidR="005B2B6C" w:rsidRPr="00393432" w:rsidRDefault="005B2B6C" w:rsidP="00F50033">
      <w:pPr>
        <w:keepNext/>
        <w:widowControl w:val="0"/>
        <w:suppressAutoHyphens w:val="0"/>
        <w:autoSpaceDE w:val="0"/>
        <w:autoSpaceDN w:val="0"/>
        <w:adjustRightInd w:val="0"/>
        <w:ind w:left="851" w:right="851"/>
        <w:jc w:val="center"/>
        <w:rPr>
          <w:b/>
          <w:bCs/>
          <w:sz w:val="27"/>
          <w:szCs w:val="27"/>
          <w:lang w:eastAsia="es-ES"/>
        </w:rPr>
      </w:pPr>
      <w:r w:rsidRPr="00393432">
        <w:rPr>
          <w:b/>
          <w:bCs/>
          <w:sz w:val="27"/>
          <w:szCs w:val="27"/>
          <w:lang w:eastAsia="es-ES"/>
        </w:rPr>
        <w:t xml:space="preserve">Cuadro </w:t>
      </w:r>
      <w:r w:rsidRPr="00393432">
        <w:rPr>
          <w:b/>
          <w:bCs/>
          <w:sz w:val="27"/>
          <w:szCs w:val="27"/>
          <w:lang w:eastAsia="es-ES"/>
        </w:rPr>
        <w:fldChar w:fldCharType="begin"/>
      </w:r>
      <w:r w:rsidRPr="00393432">
        <w:rPr>
          <w:b/>
          <w:bCs/>
          <w:sz w:val="27"/>
          <w:szCs w:val="27"/>
          <w:lang w:eastAsia="es-ES"/>
        </w:rPr>
        <w:instrText xml:space="preserve"> SEQ Cuadro \* ARABIC </w:instrText>
      </w:r>
      <w:r w:rsidRPr="00393432">
        <w:rPr>
          <w:b/>
          <w:bCs/>
          <w:sz w:val="27"/>
          <w:szCs w:val="27"/>
          <w:lang w:eastAsia="es-ES"/>
        </w:rPr>
        <w:fldChar w:fldCharType="separate"/>
      </w:r>
      <w:r w:rsidRPr="00393432">
        <w:rPr>
          <w:b/>
          <w:bCs/>
          <w:noProof/>
          <w:sz w:val="27"/>
          <w:szCs w:val="27"/>
          <w:lang w:eastAsia="es-ES"/>
        </w:rPr>
        <w:t>2</w:t>
      </w:r>
      <w:r w:rsidRPr="00393432">
        <w:rPr>
          <w:b/>
          <w:bCs/>
          <w:sz w:val="27"/>
          <w:szCs w:val="27"/>
          <w:lang w:eastAsia="es-ES"/>
        </w:rPr>
        <w:fldChar w:fldCharType="end"/>
      </w:r>
    </w:p>
    <w:p w14:paraId="6EAC7426" w14:textId="77777777" w:rsidR="005B2B6C" w:rsidRPr="00393432" w:rsidRDefault="005B2B6C" w:rsidP="00F50033">
      <w:pPr>
        <w:keepNext/>
        <w:widowControl w:val="0"/>
        <w:suppressAutoHyphens w:val="0"/>
        <w:autoSpaceDE w:val="0"/>
        <w:autoSpaceDN w:val="0"/>
        <w:adjustRightInd w:val="0"/>
        <w:ind w:left="851" w:right="851"/>
        <w:jc w:val="center"/>
        <w:rPr>
          <w:b/>
          <w:bCs/>
          <w:sz w:val="27"/>
          <w:szCs w:val="27"/>
          <w:lang w:eastAsia="es-ES"/>
        </w:rPr>
      </w:pPr>
      <w:r w:rsidRPr="00393432">
        <w:rPr>
          <w:b/>
          <w:bCs/>
          <w:sz w:val="27"/>
          <w:szCs w:val="27"/>
          <w:lang w:eastAsia="es-ES"/>
        </w:rPr>
        <w:t>Plan de trabajo 1219-PLA-EV-2021. Cuotas alcanzadas en materia de Cobro por parte del personal técnico de judicial del Juzgado Cobro del Segundo Circuito Judicial de Alajuela, de enero a abril de 2022</w:t>
      </w:r>
    </w:p>
    <w:p w14:paraId="68F0CA51" w14:textId="77777777" w:rsidR="005B2B6C" w:rsidRPr="00393432" w:rsidRDefault="005B2B6C" w:rsidP="00F50033">
      <w:pPr>
        <w:jc w:val="center"/>
        <w:rPr>
          <w:sz w:val="27"/>
          <w:szCs w:val="27"/>
        </w:rPr>
      </w:pPr>
    </w:p>
    <w:p w14:paraId="788E70A5" w14:textId="77777777" w:rsidR="005B2B6C" w:rsidRPr="00393432" w:rsidRDefault="005B2B6C" w:rsidP="00F50033">
      <w:pPr>
        <w:ind w:right="193"/>
        <w:jc w:val="both"/>
        <w:rPr>
          <w:b/>
          <w:bCs/>
          <w:sz w:val="27"/>
          <w:szCs w:val="27"/>
        </w:rPr>
      </w:pPr>
      <w:r w:rsidRPr="00393432">
        <w:rPr>
          <w:noProof/>
          <w:sz w:val="27"/>
          <w:szCs w:val="27"/>
        </w:rPr>
        <w:drawing>
          <wp:inline distT="0" distB="0" distL="0" distR="0" wp14:anchorId="694C8C02" wp14:editId="38A422EF">
            <wp:extent cx="5478145" cy="1487170"/>
            <wp:effectExtent l="0" t="0" r="0" b="0"/>
            <wp:docPr id="1929" name="Imagen 6"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abla&#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8145" cy="1487170"/>
                    </a:xfrm>
                    <a:prstGeom prst="rect">
                      <a:avLst/>
                    </a:prstGeom>
                    <a:noFill/>
                    <a:ln>
                      <a:noFill/>
                    </a:ln>
                  </pic:spPr>
                </pic:pic>
              </a:graphicData>
            </a:graphic>
          </wp:inline>
        </w:drawing>
      </w:r>
      <w:r w:rsidRPr="00393432">
        <w:rPr>
          <w:b/>
          <w:bCs/>
          <w:sz w:val="27"/>
          <w:szCs w:val="27"/>
        </w:rPr>
        <w:t>Fuente:</w:t>
      </w:r>
      <w:r w:rsidRPr="00393432">
        <w:rPr>
          <w:sz w:val="27"/>
          <w:szCs w:val="27"/>
        </w:rPr>
        <w:t xml:space="preserve"> Subproceso de Evaluación Institucional de la Dirección de Planificación con datos recopilados del seguimiento mensual del Plan de Trabajo 1219-PLA-EV-2021.</w:t>
      </w:r>
    </w:p>
    <w:p w14:paraId="0B846760" w14:textId="77777777" w:rsidR="005B2B6C" w:rsidRPr="00393432" w:rsidRDefault="005B2B6C" w:rsidP="00F50033">
      <w:pPr>
        <w:ind w:left="851" w:right="851" w:firstLine="709"/>
        <w:jc w:val="both"/>
        <w:rPr>
          <w:sz w:val="27"/>
          <w:szCs w:val="27"/>
        </w:rPr>
      </w:pPr>
    </w:p>
    <w:p w14:paraId="717E840C" w14:textId="77777777" w:rsidR="005B2B6C" w:rsidRPr="00393432" w:rsidRDefault="005B2B6C" w:rsidP="00F50033">
      <w:pPr>
        <w:ind w:left="851" w:right="851" w:firstLine="709"/>
        <w:jc w:val="both"/>
        <w:rPr>
          <w:sz w:val="27"/>
          <w:szCs w:val="27"/>
        </w:rPr>
      </w:pPr>
      <w:r w:rsidRPr="00393432">
        <w:rPr>
          <w:sz w:val="27"/>
          <w:szCs w:val="27"/>
        </w:rPr>
        <w:t>Ahora bien, en cuanto al seguimiento de la plaza de técnica cajera se tiene los siguientes resultados:</w:t>
      </w:r>
    </w:p>
    <w:p w14:paraId="1D9CA6B7" w14:textId="77777777" w:rsidR="005B2B6C" w:rsidRPr="00393432" w:rsidRDefault="005B2B6C" w:rsidP="00F50033">
      <w:pPr>
        <w:ind w:left="851" w:right="851" w:firstLine="709"/>
        <w:jc w:val="both"/>
        <w:rPr>
          <w:sz w:val="27"/>
          <w:szCs w:val="27"/>
        </w:rPr>
      </w:pPr>
    </w:p>
    <w:p w14:paraId="1DB472C1" w14:textId="77777777" w:rsidR="005B2B6C" w:rsidRPr="00393432" w:rsidRDefault="005B2B6C" w:rsidP="00F50033">
      <w:pPr>
        <w:keepNext/>
        <w:widowControl w:val="0"/>
        <w:suppressAutoHyphens w:val="0"/>
        <w:autoSpaceDE w:val="0"/>
        <w:autoSpaceDN w:val="0"/>
        <w:adjustRightInd w:val="0"/>
        <w:ind w:left="851" w:right="851"/>
        <w:jc w:val="center"/>
        <w:rPr>
          <w:b/>
          <w:bCs/>
          <w:sz w:val="27"/>
          <w:szCs w:val="27"/>
          <w:lang w:eastAsia="es-ES"/>
        </w:rPr>
      </w:pPr>
      <w:r w:rsidRPr="00393432">
        <w:rPr>
          <w:b/>
          <w:bCs/>
          <w:sz w:val="27"/>
          <w:szCs w:val="27"/>
          <w:lang w:eastAsia="es-ES"/>
        </w:rPr>
        <w:t>Cuadro 2</w:t>
      </w:r>
    </w:p>
    <w:p w14:paraId="2EA31966" w14:textId="77777777" w:rsidR="005B2B6C" w:rsidRPr="00393432" w:rsidRDefault="005B2B6C" w:rsidP="00F50033">
      <w:pPr>
        <w:keepNext/>
        <w:widowControl w:val="0"/>
        <w:suppressAutoHyphens w:val="0"/>
        <w:autoSpaceDE w:val="0"/>
        <w:autoSpaceDN w:val="0"/>
        <w:adjustRightInd w:val="0"/>
        <w:ind w:left="851" w:right="851"/>
        <w:jc w:val="center"/>
        <w:rPr>
          <w:b/>
          <w:bCs/>
          <w:sz w:val="27"/>
          <w:szCs w:val="27"/>
          <w:lang w:eastAsia="es-ES"/>
        </w:rPr>
      </w:pPr>
      <w:r w:rsidRPr="00393432">
        <w:rPr>
          <w:b/>
          <w:bCs/>
          <w:sz w:val="27"/>
          <w:szCs w:val="27"/>
          <w:lang w:eastAsia="es-ES"/>
        </w:rPr>
        <w:t>Plan de trabajo 1219-PLA-EV-2021. Global de cuotas alcanzadas en materia de Cobro por parte del personal técnico de judicial del Juzgado de Cobro del Segundo Circuito Judicial de Alajuela, de enero a abril de 2022</w:t>
      </w:r>
    </w:p>
    <w:p w14:paraId="42123C3D" w14:textId="77777777" w:rsidR="005B2B6C" w:rsidRPr="00393432" w:rsidRDefault="005B2B6C" w:rsidP="00F50033">
      <w:pPr>
        <w:rPr>
          <w:sz w:val="27"/>
          <w:szCs w:val="27"/>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092"/>
        <w:gridCol w:w="647"/>
        <w:gridCol w:w="540"/>
        <w:gridCol w:w="647"/>
        <w:gridCol w:w="755"/>
        <w:gridCol w:w="647"/>
        <w:gridCol w:w="540"/>
        <w:gridCol w:w="647"/>
        <w:gridCol w:w="755"/>
        <w:gridCol w:w="540"/>
        <w:gridCol w:w="540"/>
        <w:gridCol w:w="719"/>
        <w:gridCol w:w="755"/>
      </w:tblGrid>
      <w:tr w:rsidR="00F50033" w:rsidRPr="00393432" w14:paraId="73170894" w14:textId="77777777" w:rsidTr="00B909C8">
        <w:trPr>
          <w:trHeight w:val="267"/>
        </w:trPr>
        <w:tc>
          <w:tcPr>
            <w:tcW w:w="773" w:type="pct"/>
            <w:vMerge w:val="restart"/>
            <w:shd w:val="solid" w:color="000080" w:fill="FFFFFF"/>
            <w:vAlign w:val="center"/>
            <w:hideMark/>
          </w:tcPr>
          <w:p w14:paraId="509DD65D" w14:textId="77777777" w:rsidR="005B2B6C" w:rsidRPr="00393432" w:rsidRDefault="005B2B6C" w:rsidP="00F50033">
            <w:pPr>
              <w:jc w:val="center"/>
              <w:rPr>
                <w:b/>
                <w:bCs/>
                <w:sz w:val="27"/>
                <w:szCs w:val="27"/>
                <w:lang w:eastAsia="es-CR"/>
              </w:rPr>
            </w:pPr>
            <w:r w:rsidRPr="00393432">
              <w:rPr>
                <w:b/>
                <w:bCs/>
                <w:sz w:val="27"/>
                <w:szCs w:val="27"/>
                <w:lang w:eastAsia="es-CR"/>
              </w:rPr>
              <w:t>Técnica cajero</w:t>
            </w:r>
          </w:p>
        </w:tc>
        <w:tc>
          <w:tcPr>
            <w:tcW w:w="1469" w:type="pct"/>
            <w:gridSpan w:val="4"/>
            <w:shd w:val="solid" w:color="000080" w:fill="FFFFFF"/>
            <w:vAlign w:val="center"/>
            <w:hideMark/>
          </w:tcPr>
          <w:p w14:paraId="52357E55" w14:textId="77777777" w:rsidR="005B2B6C" w:rsidRPr="00393432" w:rsidRDefault="005B2B6C" w:rsidP="00F50033">
            <w:pPr>
              <w:jc w:val="center"/>
              <w:rPr>
                <w:b/>
                <w:bCs/>
                <w:sz w:val="27"/>
                <w:szCs w:val="27"/>
                <w:lang w:eastAsia="es-CR"/>
              </w:rPr>
            </w:pPr>
            <w:r w:rsidRPr="00393432">
              <w:rPr>
                <w:b/>
                <w:bCs/>
                <w:sz w:val="27"/>
                <w:szCs w:val="27"/>
                <w:lang w:eastAsia="es-CR"/>
              </w:rPr>
              <w:t>Febrero</w:t>
            </w:r>
          </w:p>
        </w:tc>
        <w:tc>
          <w:tcPr>
            <w:tcW w:w="1326" w:type="pct"/>
            <w:gridSpan w:val="4"/>
            <w:shd w:val="clear" w:color="auto" w:fill="FFC000"/>
            <w:vAlign w:val="center"/>
            <w:hideMark/>
          </w:tcPr>
          <w:p w14:paraId="693C66D5" w14:textId="77777777" w:rsidR="005B2B6C" w:rsidRPr="00393432" w:rsidRDefault="005B2B6C" w:rsidP="00F50033">
            <w:pPr>
              <w:jc w:val="center"/>
              <w:rPr>
                <w:b/>
                <w:bCs/>
                <w:sz w:val="27"/>
                <w:szCs w:val="27"/>
                <w:lang w:eastAsia="es-CR"/>
              </w:rPr>
            </w:pPr>
            <w:r w:rsidRPr="00393432">
              <w:rPr>
                <w:b/>
                <w:bCs/>
                <w:sz w:val="27"/>
                <w:szCs w:val="27"/>
                <w:lang w:eastAsia="es-CR"/>
              </w:rPr>
              <w:t>Marzo</w:t>
            </w:r>
          </w:p>
        </w:tc>
        <w:tc>
          <w:tcPr>
            <w:tcW w:w="1432" w:type="pct"/>
            <w:gridSpan w:val="4"/>
            <w:shd w:val="solid" w:color="000080" w:fill="FFFFFF"/>
            <w:vAlign w:val="center"/>
            <w:hideMark/>
          </w:tcPr>
          <w:p w14:paraId="4D41DF0E" w14:textId="77777777" w:rsidR="005B2B6C" w:rsidRPr="00393432" w:rsidRDefault="005B2B6C" w:rsidP="00F50033">
            <w:pPr>
              <w:jc w:val="center"/>
              <w:rPr>
                <w:b/>
                <w:bCs/>
                <w:sz w:val="27"/>
                <w:szCs w:val="27"/>
                <w:lang w:eastAsia="es-CR"/>
              </w:rPr>
            </w:pPr>
            <w:r w:rsidRPr="00393432">
              <w:rPr>
                <w:b/>
                <w:bCs/>
                <w:sz w:val="27"/>
                <w:szCs w:val="27"/>
                <w:lang w:eastAsia="es-CR"/>
              </w:rPr>
              <w:t>Abril</w:t>
            </w:r>
          </w:p>
        </w:tc>
      </w:tr>
      <w:tr w:rsidR="00F50033" w:rsidRPr="00393432" w14:paraId="43390850" w14:textId="77777777" w:rsidTr="00B909C8">
        <w:trPr>
          <w:trHeight w:val="1246"/>
        </w:trPr>
        <w:tc>
          <w:tcPr>
            <w:tcW w:w="773" w:type="pct"/>
            <w:vMerge/>
            <w:shd w:val="clear" w:color="auto" w:fill="auto"/>
            <w:vAlign w:val="center"/>
            <w:hideMark/>
          </w:tcPr>
          <w:p w14:paraId="55B11691" w14:textId="77777777" w:rsidR="005B2B6C" w:rsidRPr="00393432" w:rsidRDefault="005B2B6C" w:rsidP="00F50033">
            <w:pPr>
              <w:jc w:val="center"/>
              <w:rPr>
                <w:b/>
                <w:bCs/>
                <w:sz w:val="27"/>
                <w:szCs w:val="27"/>
                <w:lang w:eastAsia="es-CR"/>
              </w:rPr>
            </w:pPr>
          </w:p>
        </w:tc>
        <w:tc>
          <w:tcPr>
            <w:tcW w:w="329" w:type="pct"/>
            <w:shd w:val="clear" w:color="auto" w:fill="DEEAF6"/>
            <w:textDirection w:val="btLr"/>
            <w:vAlign w:val="center"/>
            <w:hideMark/>
          </w:tcPr>
          <w:p w14:paraId="05BB9BCF" w14:textId="77777777" w:rsidR="005B2B6C" w:rsidRPr="00393432" w:rsidRDefault="005B2B6C" w:rsidP="00F50033">
            <w:pPr>
              <w:ind w:left="113" w:right="113"/>
              <w:jc w:val="center"/>
              <w:rPr>
                <w:b/>
                <w:bCs/>
                <w:sz w:val="27"/>
                <w:szCs w:val="27"/>
                <w:lang w:eastAsia="es-CR"/>
              </w:rPr>
            </w:pPr>
            <w:r w:rsidRPr="00393432">
              <w:rPr>
                <w:b/>
                <w:bCs/>
                <w:sz w:val="27"/>
                <w:szCs w:val="27"/>
                <w:lang w:eastAsia="es-CR"/>
              </w:rPr>
              <w:t>Cuota teórica</w:t>
            </w:r>
          </w:p>
        </w:tc>
        <w:tc>
          <w:tcPr>
            <w:tcW w:w="347" w:type="pct"/>
            <w:shd w:val="clear" w:color="auto" w:fill="DEEAF6"/>
            <w:textDirection w:val="btLr"/>
            <w:vAlign w:val="center"/>
            <w:hideMark/>
          </w:tcPr>
          <w:p w14:paraId="09551398" w14:textId="77777777" w:rsidR="005B2B6C" w:rsidRPr="00393432" w:rsidRDefault="005B2B6C" w:rsidP="00F50033">
            <w:pPr>
              <w:ind w:left="113" w:right="113"/>
              <w:jc w:val="center"/>
              <w:rPr>
                <w:b/>
                <w:bCs/>
                <w:sz w:val="27"/>
                <w:szCs w:val="27"/>
                <w:lang w:eastAsia="es-CR"/>
              </w:rPr>
            </w:pPr>
            <w:r w:rsidRPr="00393432">
              <w:rPr>
                <w:b/>
                <w:bCs/>
                <w:sz w:val="27"/>
                <w:szCs w:val="27"/>
                <w:lang w:eastAsia="es-CR"/>
              </w:rPr>
              <w:t>Cuota ajustada</w:t>
            </w:r>
          </w:p>
        </w:tc>
        <w:tc>
          <w:tcPr>
            <w:tcW w:w="411" w:type="pct"/>
            <w:shd w:val="clear" w:color="auto" w:fill="DEEAF6"/>
            <w:textDirection w:val="btLr"/>
            <w:vAlign w:val="center"/>
            <w:hideMark/>
          </w:tcPr>
          <w:p w14:paraId="1FDD54F5" w14:textId="77777777" w:rsidR="005B2B6C" w:rsidRPr="00393432" w:rsidRDefault="005B2B6C" w:rsidP="00F50033">
            <w:pPr>
              <w:ind w:left="113" w:right="113"/>
              <w:jc w:val="center"/>
              <w:rPr>
                <w:b/>
                <w:bCs/>
                <w:sz w:val="27"/>
                <w:szCs w:val="27"/>
                <w:lang w:eastAsia="es-CR"/>
              </w:rPr>
            </w:pPr>
            <w:r w:rsidRPr="00393432">
              <w:rPr>
                <w:b/>
                <w:bCs/>
                <w:sz w:val="27"/>
                <w:szCs w:val="27"/>
                <w:lang w:eastAsia="es-CR"/>
              </w:rPr>
              <w:t>Cuota alcanzada</w:t>
            </w:r>
          </w:p>
        </w:tc>
        <w:tc>
          <w:tcPr>
            <w:tcW w:w="382" w:type="pct"/>
            <w:shd w:val="clear" w:color="auto" w:fill="DEEAF6"/>
            <w:textDirection w:val="btLr"/>
            <w:vAlign w:val="center"/>
            <w:hideMark/>
          </w:tcPr>
          <w:p w14:paraId="09111153" w14:textId="77777777" w:rsidR="005B2B6C" w:rsidRPr="00393432" w:rsidRDefault="005B2B6C" w:rsidP="00F50033">
            <w:pPr>
              <w:ind w:left="113" w:right="113"/>
              <w:jc w:val="center"/>
              <w:rPr>
                <w:b/>
                <w:bCs/>
                <w:sz w:val="27"/>
                <w:szCs w:val="27"/>
                <w:lang w:eastAsia="es-CR"/>
              </w:rPr>
            </w:pPr>
            <w:r w:rsidRPr="00393432">
              <w:rPr>
                <w:b/>
                <w:bCs/>
                <w:sz w:val="27"/>
                <w:szCs w:val="27"/>
                <w:lang w:eastAsia="es-CR"/>
              </w:rPr>
              <w:t>Porcentaje de rendimiento (90% - 100%)</w:t>
            </w:r>
          </w:p>
        </w:tc>
        <w:tc>
          <w:tcPr>
            <w:tcW w:w="329" w:type="pct"/>
            <w:shd w:val="clear" w:color="auto" w:fill="FFF2CC"/>
            <w:textDirection w:val="btLr"/>
            <w:vAlign w:val="center"/>
            <w:hideMark/>
          </w:tcPr>
          <w:p w14:paraId="6ED25A37" w14:textId="77777777" w:rsidR="005B2B6C" w:rsidRPr="00393432" w:rsidRDefault="005B2B6C" w:rsidP="00F50033">
            <w:pPr>
              <w:ind w:left="113" w:right="113"/>
              <w:jc w:val="center"/>
              <w:rPr>
                <w:b/>
                <w:bCs/>
                <w:sz w:val="27"/>
                <w:szCs w:val="27"/>
                <w:lang w:eastAsia="es-CR"/>
              </w:rPr>
            </w:pPr>
            <w:r w:rsidRPr="00393432">
              <w:rPr>
                <w:b/>
                <w:bCs/>
                <w:sz w:val="27"/>
                <w:szCs w:val="27"/>
                <w:lang w:eastAsia="es-CR"/>
              </w:rPr>
              <w:t>Cuota teórica</w:t>
            </w:r>
          </w:p>
        </w:tc>
        <w:tc>
          <w:tcPr>
            <w:tcW w:w="286" w:type="pct"/>
            <w:shd w:val="clear" w:color="auto" w:fill="FFF2CC"/>
            <w:textDirection w:val="btLr"/>
            <w:vAlign w:val="center"/>
            <w:hideMark/>
          </w:tcPr>
          <w:p w14:paraId="16DBF19C" w14:textId="77777777" w:rsidR="005B2B6C" w:rsidRPr="00393432" w:rsidRDefault="005B2B6C" w:rsidP="00F50033">
            <w:pPr>
              <w:ind w:left="113" w:right="113"/>
              <w:jc w:val="center"/>
              <w:rPr>
                <w:b/>
                <w:bCs/>
                <w:sz w:val="27"/>
                <w:szCs w:val="27"/>
                <w:lang w:eastAsia="es-CR"/>
              </w:rPr>
            </w:pPr>
            <w:r w:rsidRPr="00393432">
              <w:rPr>
                <w:b/>
                <w:bCs/>
                <w:sz w:val="27"/>
                <w:szCs w:val="27"/>
                <w:lang w:eastAsia="es-CR"/>
              </w:rPr>
              <w:t>Cuota ajustada</w:t>
            </w:r>
          </w:p>
        </w:tc>
        <w:tc>
          <w:tcPr>
            <w:tcW w:w="329" w:type="pct"/>
            <w:shd w:val="clear" w:color="auto" w:fill="FFF2CC"/>
            <w:textDirection w:val="btLr"/>
            <w:vAlign w:val="center"/>
            <w:hideMark/>
          </w:tcPr>
          <w:p w14:paraId="0ED0AA71" w14:textId="77777777" w:rsidR="005B2B6C" w:rsidRPr="00393432" w:rsidRDefault="005B2B6C" w:rsidP="00F50033">
            <w:pPr>
              <w:ind w:left="113" w:right="113"/>
              <w:jc w:val="center"/>
              <w:rPr>
                <w:b/>
                <w:bCs/>
                <w:sz w:val="27"/>
                <w:szCs w:val="27"/>
                <w:lang w:eastAsia="es-CR"/>
              </w:rPr>
            </w:pPr>
            <w:r w:rsidRPr="00393432">
              <w:rPr>
                <w:b/>
                <w:bCs/>
                <w:sz w:val="27"/>
                <w:szCs w:val="27"/>
                <w:lang w:eastAsia="es-CR"/>
              </w:rPr>
              <w:t>Cuota alcanzada</w:t>
            </w:r>
          </w:p>
        </w:tc>
        <w:tc>
          <w:tcPr>
            <w:tcW w:w="383" w:type="pct"/>
            <w:shd w:val="clear" w:color="auto" w:fill="FFF2CC"/>
            <w:textDirection w:val="btLr"/>
            <w:vAlign w:val="center"/>
            <w:hideMark/>
          </w:tcPr>
          <w:p w14:paraId="76277070" w14:textId="77777777" w:rsidR="005B2B6C" w:rsidRPr="00393432" w:rsidRDefault="005B2B6C" w:rsidP="00F50033">
            <w:pPr>
              <w:ind w:left="113" w:right="113"/>
              <w:jc w:val="center"/>
              <w:rPr>
                <w:b/>
                <w:bCs/>
                <w:sz w:val="27"/>
                <w:szCs w:val="27"/>
                <w:lang w:eastAsia="es-CR"/>
              </w:rPr>
            </w:pPr>
            <w:r w:rsidRPr="00393432">
              <w:rPr>
                <w:b/>
                <w:bCs/>
                <w:sz w:val="27"/>
                <w:szCs w:val="27"/>
                <w:lang w:eastAsia="es-CR"/>
              </w:rPr>
              <w:t>Porcentaje de rendimiento (90% - 100%)</w:t>
            </w:r>
          </w:p>
        </w:tc>
        <w:tc>
          <w:tcPr>
            <w:tcW w:w="320" w:type="pct"/>
            <w:shd w:val="clear" w:color="auto" w:fill="DEEAF6"/>
            <w:textDirection w:val="btLr"/>
            <w:vAlign w:val="center"/>
            <w:hideMark/>
          </w:tcPr>
          <w:p w14:paraId="62116C26" w14:textId="77777777" w:rsidR="005B2B6C" w:rsidRPr="00393432" w:rsidRDefault="005B2B6C" w:rsidP="00F50033">
            <w:pPr>
              <w:ind w:left="113" w:right="113"/>
              <w:jc w:val="center"/>
              <w:rPr>
                <w:b/>
                <w:bCs/>
                <w:sz w:val="27"/>
                <w:szCs w:val="27"/>
                <w:lang w:eastAsia="es-CR"/>
              </w:rPr>
            </w:pPr>
            <w:r w:rsidRPr="00393432">
              <w:rPr>
                <w:b/>
                <w:bCs/>
                <w:sz w:val="27"/>
                <w:szCs w:val="27"/>
                <w:lang w:eastAsia="es-CR"/>
              </w:rPr>
              <w:t>Cuota teórica</w:t>
            </w:r>
          </w:p>
        </w:tc>
        <w:tc>
          <w:tcPr>
            <w:tcW w:w="324" w:type="pct"/>
            <w:shd w:val="clear" w:color="auto" w:fill="DEEAF6"/>
            <w:textDirection w:val="btLr"/>
            <w:vAlign w:val="center"/>
            <w:hideMark/>
          </w:tcPr>
          <w:p w14:paraId="516EEA8F" w14:textId="77777777" w:rsidR="005B2B6C" w:rsidRPr="00393432" w:rsidRDefault="005B2B6C" w:rsidP="00F50033">
            <w:pPr>
              <w:ind w:left="113" w:right="113"/>
              <w:jc w:val="center"/>
              <w:rPr>
                <w:b/>
                <w:bCs/>
                <w:sz w:val="27"/>
                <w:szCs w:val="27"/>
                <w:lang w:eastAsia="es-CR"/>
              </w:rPr>
            </w:pPr>
            <w:r w:rsidRPr="00393432">
              <w:rPr>
                <w:b/>
                <w:bCs/>
                <w:sz w:val="27"/>
                <w:szCs w:val="27"/>
                <w:lang w:eastAsia="es-CR"/>
              </w:rPr>
              <w:t>Cuota ajustada</w:t>
            </w:r>
          </w:p>
        </w:tc>
        <w:tc>
          <w:tcPr>
            <w:tcW w:w="364" w:type="pct"/>
            <w:shd w:val="clear" w:color="auto" w:fill="DEEAF6"/>
            <w:textDirection w:val="btLr"/>
            <w:vAlign w:val="center"/>
            <w:hideMark/>
          </w:tcPr>
          <w:p w14:paraId="27295A59" w14:textId="77777777" w:rsidR="005B2B6C" w:rsidRPr="00393432" w:rsidRDefault="005B2B6C" w:rsidP="00F50033">
            <w:pPr>
              <w:ind w:left="113" w:right="113"/>
              <w:jc w:val="center"/>
              <w:rPr>
                <w:b/>
                <w:bCs/>
                <w:sz w:val="27"/>
                <w:szCs w:val="27"/>
                <w:lang w:eastAsia="es-CR"/>
              </w:rPr>
            </w:pPr>
            <w:r w:rsidRPr="00393432">
              <w:rPr>
                <w:b/>
                <w:bCs/>
                <w:sz w:val="27"/>
                <w:szCs w:val="27"/>
                <w:lang w:eastAsia="es-CR"/>
              </w:rPr>
              <w:t>Cuota alcanzada</w:t>
            </w:r>
          </w:p>
        </w:tc>
        <w:tc>
          <w:tcPr>
            <w:tcW w:w="425" w:type="pct"/>
            <w:shd w:val="clear" w:color="auto" w:fill="DEEAF6"/>
            <w:textDirection w:val="btLr"/>
            <w:vAlign w:val="center"/>
            <w:hideMark/>
          </w:tcPr>
          <w:p w14:paraId="787BDF78" w14:textId="77777777" w:rsidR="005B2B6C" w:rsidRPr="00393432" w:rsidRDefault="005B2B6C" w:rsidP="00F50033">
            <w:pPr>
              <w:ind w:left="113" w:right="113"/>
              <w:jc w:val="center"/>
              <w:rPr>
                <w:b/>
                <w:bCs/>
                <w:sz w:val="27"/>
                <w:szCs w:val="27"/>
                <w:lang w:eastAsia="es-CR"/>
              </w:rPr>
            </w:pPr>
            <w:r w:rsidRPr="00393432">
              <w:rPr>
                <w:b/>
                <w:bCs/>
                <w:sz w:val="27"/>
                <w:szCs w:val="27"/>
                <w:lang w:eastAsia="es-CR"/>
              </w:rPr>
              <w:t>Porcentaje de rendimiento (90% - 100%)</w:t>
            </w:r>
          </w:p>
        </w:tc>
      </w:tr>
      <w:tr w:rsidR="00F50033" w:rsidRPr="00393432" w14:paraId="6466E6FA" w14:textId="77777777" w:rsidTr="00B909C8">
        <w:trPr>
          <w:trHeight w:val="534"/>
        </w:trPr>
        <w:tc>
          <w:tcPr>
            <w:tcW w:w="773" w:type="pct"/>
            <w:shd w:val="clear" w:color="auto" w:fill="auto"/>
            <w:vAlign w:val="center"/>
            <w:hideMark/>
          </w:tcPr>
          <w:p w14:paraId="7E00B981" w14:textId="77777777" w:rsidR="005B2B6C" w:rsidRPr="00393432" w:rsidRDefault="005B2B6C" w:rsidP="00F50033">
            <w:pPr>
              <w:jc w:val="center"/>
              <w:rPr>
                <w:sz w:val="27"/>
                <w:szCs w:val="27"/>
                <w:lang w:eastAsia="es-CR"/>
              </w:rPr>
            </w:pPr>
            <w:r w:rsidRPr="00393432">
              <w:rPr>
                <w:sz w:val="27"/>
                <w:szCs w:val="27"/>
                <w:lang w:eastAsia="es-CR"/>
              </w:rPr>
              <w:t>Revisión de depósitos</w:t>
            </w:r>
          </w:p>
        </w:tc>
        <w:tc>
          <w:tcPr>
            <w:tcW w:w="329" w:type="pct"/>
            <w:shd w:val="clear" w:color="auto" w:fill="auto"/>
            <w:noWrap/>
            <w:vAlign w:val="center"/>
            <w:hideMark/>
          </w:tcPr>
          <w:p w14:paraId="7CD97EE6" w14:textId="77777777" w:rsidR="005B2B6C" w:rsidRPr="00393432" w:rsidRDefault="005B2B6C" w:rsidP="00F50033">
            <w:pPr>
              <w:jc w:val="center"/>
              <w:rPr>
                <w:sz w:val="27"/>
                <w:szCs w:val="27"/>
                <w:lang w:eastAsia="es-CR"/>
              </w:rPr>
            </w:pPr>
            <w:r w:rsidRPr="00393432">
              <w:rPr>
                <w:sz w:val="27"/>
                <w:szCs w:val="27"/>
                <w:lang w:eastAsia="es-CR"/>
              </w:rPr>
              <w:t>820</w:t>
            </w:r>
          </w:p>
        </w:tc>
        <w:tc>
          <w:tcPr>
            <w:tcW w:w="347" w:type="pct"/>
            <w:shd w:val="clear" w:color="auto" w:fill="auto"/>
            <w:noWrap/>
            <w:vAlign w:val="center"/>
            <w:hideMark/>
          </w:tcPr>
          <w:p w14:paraId="3EE63344" w14:textId="77777777" w:rsidR="005B2B6C" w:rsidRPr="00393432" w:rsidRDefault="005B2B6C" w:rsidP="00F50033">
            <w:pPr>
              <w:jc w:val="center"/>
              <w:rPr>
                <w:sz w:val="27"/>
                <w:szCs w:val="27"/>
                <w:lang w:eastAsia="es-CR"/>
              </w:rPr>
            </w:pPr>
            <w:r w:rsidRPr="00393432">
              <w:rPr>
                <w:sz w:val="27"/>
                <w:szCs w:val="27"/>
                <w:lang w:eastAsia="es-CR"/>
              </w:rPr>
              <w:t>533</w:t>
            </w:r>
          </w:p>
        </w:tc>
        <w:tc>
          <w:tcPr>
            <w:tcW w:w="411" w:type="pct"/>
            <w:shd w:val="clear" w:color="auto" w:fill="auto"/>
            <w:noWrap/>
            <w:vAlign w:val="center"/>
            <w:hideMark/>
          </w:tcPr>
          <w:p w14:paraId="20499F55" w14:textId="77777777" w:rsidR="005B2B6C" w:rsidRPr="00393432" w:rsidRDefault="005B2B6C" w:rsidP="00F50033">
            <w:pPr>
              <w:jc w:val="center"/>
              <w:rPr>
                <w:sz w:val="27"/>
                <w:szCs w:val="27"/>
                <w:lang w:eastAsia="es-CR"/>
              </w:rPr>
            </w:pPr>
            <w:r w:rsidRPr="00393432">
              <w:rPr>
                <w:sz w:val="27"/>
                <w:szCs w:val="27"/>
                <w:lang w:eastAsia="es-CR"/>
              </w:rPr>
              <w:t>991</w:t>
            </w:r>
          </w:p>
        </w:tc>
        <w:tc>
          <w:tcPr>
            <w:tcW w:w="382" w:type="pct"/>
            <w:shd w:val="clear" w:color="auto" w:fill="00B050"/>
            <w:noWrap/>
            <w:vAlign w:val="center"/>
            <w:hideMark/>
          </w:tcPr>
          <w:p w14:paraId="43723B5F" w14:textId="77777777" w:rsidR="005B2B6C" w:rsidRPr="00393432" w:rsidRDefault="005B2B6C" w:rsidP="00F50033">
            <w:pPr>
              <w:jc w:val="center"/>
              <w:rPr>
                <w:b/>
                <w:bCs/>
                <w:sz w:val="27"/>
                <w:szCs w:val="27"/>
                <w:lang w:eastAsia="es-CR"/>
              </w:rPr>
            </w:pPr>
            <w:r w:rsidRPr="00393432">
              <w:rPr>
                <w:b/>
                <w:bCs/>
                <w:sz w:val="27"/>
                <w:szCs w:val="27"/>
                <w:lang w:eastAsia="es-CR"/>
              </w:rPr>
              <w:t>186%</w:t>
            </w:r>
          </w:p>
        </w:tc>
        <w:tc>
          <w:tcPr>
            <w:tcW w:w="329" w:type="pct"/>
            <w:shd w:val="clear" w:color="auto" w:fill="auto"/>
            <w:noWrap/>
            <w:vAlign w:val="center"/>
            <w:hideMark/>
          </w:tcPr>
          <w:p w14:paraId="105C8DE5" w14:textId="77777777" w:rsidR="005B2B6C" w:rsidRPr="00393432" w:rsidRDefault="005B2B6C" w:rsidP="00F50033">
            <w:pPr>
              <w:jc w:val="center"/>
              <w:rPr>
                <w:sz w:val="27"/>
                <w:szCs w:val="27"/>
                <w:lang w:eastAsia="es-CR"/>
              </w:rPr>
            </w:pPr>
            <w:r w:rsidRPr="00393432">
              <w:rPr>
                <w:sz w:val="27"/>
                <w:szCs w:val="27"/>
                <w:lang w:eastAsia="es-CR"/>
              </w:rPr>
              <w:t>943</w:t>
            </w:r>
          </w:p>
        </w:tc>
        <w:tc>
          <w:tcPr>
            <w:tcW w:w="286" w:type="pct"/>
            <w:shd w:val="clear" w:color="auto" w:fill="auto"/>
            <w:noWrap/>
            <w:vAlign w:val="center"/>
            <w:hideMark/>
          </w:tcPr>
          <w:p w14:paraId="49BC50A0" w14:textId="77777777" w:rsidR="005B2B6C" w:rsidRPr="00393432" w:rsidRDefault="005B2B6C" w:rsidP="00F50033">
            <w:pPr>
              <w:jc w:val="center"/>
              <w:rPr>
                <w:sz w:val="27"/>
                <w:szCs w:val="27"/>
                <w:lang w:eastAsia="es-CR"/>
              </w:rPr>
            </w:pPr>
            <w:r w:rsidRPr="00393432">
              <w:rPr>
                <w:sz w:val="27"/>
                <w:szCs w:val="27"/>
                <w:lang w:eastAsia="es-CR"/>
              </w:rPr>
              <w:t>451</w:t>
            </w:r>
          </w:p>
        </w:tc>
        <w:tc>
          <w:tcPr>
            <w:tcW w:w="329" w:type="pct"/>
            <w:shd w:val="clear" w:color="auto" w:fill="FFE8A7"/>
            <w:noWrap/>
            <w:vAlign w:val="center"/>
            <w:hideMark/>
          </w:tcPr>
          <w:p w14:paraId="586DDA13" w14:textId="77777777" w:rsidR="005B2B6C" w:rsidRPr="00393432" w:rsidRDefault="005B2B6C" w:rsidP="00F50033">
            <w:pPr>
              <w:jc w:val="center"/>
              <w:rPr>
                <w:b/>
                <w:bCs/>
                <w:sz w:val="27"/>
                <w:szCs w:val="27"/>
                <w:lang w:eastAsia="es-CR"/>
              </w:rPr>
            </w:pPr>
            <w:r w:rsidRPr="00393432">
              <w:rPr>
                <w:b/>
                <w:bCs/>
                <w:sz w:val="27"/>
                <w:szCs w:val="27"/>
                <w:lang w:eastAsia="es-CR"/>
              </w:rPr>
              <w:t>898</w:t>
            </w:r>
          </w:p>
        </w:tc>
        <w:tc>
          <w:tcPr>
            <w:tcW w:w="383" w:type="pct"/>
            <w:shd w:val="clear" w:color="auto" w:fill="00B050"/>
            <w:noWrap/>
            <w:vAlign w:val="center"/>
            <w:hideMark/>
          </w:tcPr>
          <w:p w14:paraId="0953DD7A" w14:textId="77777777" w:rsidR="005B2B6C" w:rsidRPr="00393432" w:rsidRDefault="005B2B6C" w:rsidP="00F50033">
            <w:pPr>
              <w:jc w:val="center"/>
              <w:rPr>
                <w:b/>
                <w:bCs/>
                <w:sz w:val="27"/>
                <w:szCs w:val="27"/>
                <w:lang w:eastAsia="es-CR"/>
              </w:rPr>
            </w:pPr>
            <w:r w:rsidRPr="00393432">
              <w:rPr>
                <w:b/>
                <w:bCs/>
                <w:sz w:val="27"/>
                <w:szCs w:val="27"/>
                <w:lang w:eastAsia="es-CR"/>
              </w:rPr>
              <w:t>199%</w:t>
            </w:r>
          </w:p>
        </w:tc>
        <w:tc>
          <w:tcPr>
            <w:tcW w:w="320" w:type="pct"/>
            <w:shd w:val="clear" w:color="auto" w:fill="auto"/>
            <w:noWrap/>
            <w:vAlign w:val="center"/>
            <w:hideMark/>
          </w:tcPr>
          <w:p w14:paraId="71644B3D" w14:textId="77777777" w:rsidR="005B2B6C" w:rsidRPr="00393432" w:rsidRDefault="005B2B6C" w:rsidP="00F50033">
            <w:pPr>
              <w:jc w:val="center"/>
              <w:rPr>
                <w:sz w:val="27"/>
                <w:szCs w:val="27"/>
                <w:lang w:eastAsia="es-CR"/>
              </w:rPr>
            </w:pPr>
            <w:r w:rsidRPr="00393432">
              <w:rPr>
                <w:sz w:val="27"/>
                <w:szCs w:val="27"/>
                <w:lang w:eastAsia="es-CR"/>
              </w:rPr>
              <w:t>656</w:t>
            </w:r>
          </w:p>
        </w:tc>
        <w:tc>
          <w:tcPr>
            <w:tcW w:w="324" w:type="pct"/>
            <w:shd w:val="clear" w:color="auto" w:fill="auto"/>
            <w:noWrap/>
            <w:vAlign w:val="center"/>
            <w:hideMark/>
          </w:tcPr>
          <w:p w14:paraId="2FA74CA9" w14:textId="77777777" w:rsidR="005B2B6C" w:rsidRPr="00393432" w:rsidRDefault="005B2B6C" w:rsidP="00F50033">
            <w:pPr>
              <w:jc w:val="center"/>
              <w:rPr>
                <w:sz w:val="27"/>
                <w:szCs w:val="27"/>
                <w:lang w:eastAsia="es-CR"/>
              </w:rPr>
            </w:pPr>
            <w:r w:rsidRPr="00393432">
              <w:rPr>
                <w:sz w:val="27"/>
                <w:szCs w:val="27"/>
                <w:lang w:eastAsia="es-CR"/>
              </w:rPr>
              <w:t>656</w:t>
            </w:r>
          </w:p>
        </w:tc>
        <w:tc>
          <w:tcPr>
            <w:tcW w:w="364" w:type="pct"/>
            <w:shd w:val="clear" w:color="auto" w:fill="auto"/>
            <w:noWrap/>
            <w:vAlign w:val="center"/>
            <w:hideMark/>
          </w:tcPr>
          <w:p w14:paraId="4034BFA5" w14:textId="77777777" w:rsidR="005B2B6C" w:rsidRPr="00393432" w:rsidRDefault="005B2B6C" w:rsidP="00F50033">
            <w:pPr>
              <w:jc w:val="center"/>
              <w:rPr>
                <w:b/>
                <w:bCs/>
                <w:sz w:val="27"/>
                <w:szCs w:val="27"/>
                <w:lang w:eastAsia="es-CR"/>
              </w:rPr>
            </w:pPr>
            <w:r w:rsidRPr="00393432">
              <w:rPr>
                <w:b/>
                <w:bCs/>
                <w:sz w:val="27"/>
                <w:szCs w:val="27"/>
                <w:lang w:eastAsia="es-CR"/>
              </w:rPr>
              <w:t>3576</w:t>
            </w:r>
            <w:r w:rsidRPr="00393432">
              <w:rPr>
                <w:b/>
                <w:bCs/>
                <w:sz w:val="27"/>
                <w:szCs w:val="27"/>
                <w:vertAlign w:val="superscript"/>
                <w:lang w:eastAsia="es-CR"/>
              </w:rPr>
              <w:footnoteReference w:id="1"/>
            </w:r>
          </w:p>
        </w:tc>
        <w:tc>
          <w:tcPr>
            <w:tcW w:w="425" w:type="pct"/>
            <w:shd w:val="clear" w:color="auto" w:fill="00B050"/>
            <w:noWrap/>
            <w:vAlign w:val="center"/>
            <w:hideMark/>
          </w:tcPr>
          <w:p w14:paraId="42A8E506" w14:textId="77777777" w:rsidR="005B2B6C" w:rsidRPr="00393432" w:rsidRDefault="005B2B6C" w:rsidP="00F50033">
            <w:pPr>
              <w:jc w:val="center"/>
              <w:rPr>
                <w:b/>
                <w:bCs/>
                <w:sz w:val="27"/>
                <w:szCs w:val="27"/>
                <w:lang w:eastAsia="es-CR"/>
              </w:rPr>
            </w:pPr>
            <w:r w:rsidRPr="00393432">
              <w:rPr>
                <w:b/>
                <w:bCs/>
                <w:sz w:val="27"/>
                <w:szCs w:val="27"/>
                <w:lang w:eastAsia="es-CR"/>
              </w:rPr>
              <w:t>545%</w:t>
            </w:r>
          </w:p>
        </w:tc>
      </w:tr>
      <w:tr w:rsidR="00F50033" w:rsidRPr="00393432" w14:paraId="65648052" w14:textId="77777777" w:rsidTr="00B909C8">
        <w:trPr>
          <w:trHeight w:val="534"/>
        </w:trPr>
        <w:tc>
          <w:tcPr>
            <w:tcW w:w="773" w:type="pct"/>
            <w:shd w:val="clear" w:color="auto" w:fill="auto"/>
            <w:vAlign w:val="center"/>
            <w:hideMark/>
          </w:tcPr>
          <w:p w14:paraId="5AB7EFD1" w14:textId="77777777" w:rsidR="005B2B6C" w:rsidRPr="00393432" w:rsidRDefault="005B2B6C" w:rsidP="00F50033">
            <w:pPr>
              <w:jc w:val="center"/>
              <w:rPr>
                <w:sz w:val="27"/>
                <w:szCs w:val="27"/>
                <w:lang w:eastAsia="es-CR"/>
              </w:rPr>
            </w:pPr>
            <w:r w:rsidRPr="00393432">
              <w:rPr>
                <w:sz w:val="27"/>
                <w:szCs w:val="27"/>
                <w:lang w:eastAsia="es-CR"/>
              </w:rPr>
              <w:t>Giros realizados</w:t>
            </w:r>
          </w:p>
        </w:tc>
        <w:tc>
          <w:tcPr>
            <w:tcW w:w="329" w:type="pct"/>
            <w:shd w:val="clear" w:color="auto" w:fill="auto"/>
            <w:noWrap/>
            <w:vAlign w:val="center"/>
            <w:hideMark/>
          </w:tcPr>
          <w:p w14:paraId="5D780D73" w14:textId="77777777" w:rsidR="005B2B6C" w:rsidRPr="00393432" w:rsidRDefault="005B2B6C" w:rsidP="00F50033">
            <w:pPr>
              <w:jc w:val="center"/>
              <w:rPr>
                <w:sz w:val="27"/>
                <w:szCs w:val="27"/>
                <w:lang w:eastAsia="es-CR"/>
              </w:rPr>
            </w:pPr>
            <w:r w:rsidRPr="00393432">
              <w:rPr>
                <w:sz w:val="27"/>
                <w:szCs w:val="27"/>
                <w:lang w:eastAsia="es-CR"/>
              </w:rPr>
              <w:t>240</w:t>
            </w:r>
          </w:p>
        </w:tc>
        <w:tc>
          <w:tcPr>
            <w:tcW w:w="347" w:type="pct"/>
            <w:shd w:val="clear" w:color="auto" w:fill="auto"/>
            <w:noWrap/>
            <w:vAlign w:val="center"/>
            <w:hideMark/>
          </w:tcPr>
          <w:p w14:paraId="61A8DD86" w14:textId="77777777" w:rsidR="005B2B6C" w:rsidRPr="00393432" w:rsidRDefault="005B2B6C" w:rsidP="00F50033">
            <w:pPr>
              <w:jc w:val="center"/>
              <w:rPr>
                <w:sz w:val="27"/>
                <w:szCs w:val="27"/>
                <w:lang w:eastAsia="es-CR"/>
              </w:rPr>
            </w:pPr>
            <w:r w:rsidRPr="00393432">
              <w:rPr>
                <w:sz w:val="27"/>
                <w:szCs w:val="27"/>
                <w:lang w:eastAsia="es-CR"/>
              </w:rPr>
              <w:t>108</w:t>
            </w:r>
          </w:p>
        </w:tc>
        <w:tc>
          <w:tcPr>
            <w:tcW w:w="411" w:type="pct"/>
            <w:shd w:val="clear" w:color="auto" w:fill="auto"/>
            <w:noWrap/>
            <w:vAlign w:val="center"/>
            <w:hideMark/>
          </w:tcPr>
          <w:p w14:paraId="26475B56" w14:textId="77777777" w:rsidR="005B2B6C" w:rsidRPr="00393432" w:rsidRDefault="005B2B6C" w:rsidP="00F50033">
            <w:pPr>
              <w:jc w:val="center"/>
              <w:rPr>
                <w:sz w:val="27"/>
                <w:szCs w:val="27"/>
                <w:lang w:eastAsia="es-CR"/>
              </w:rPr>
            </w:pPr>
            <w:r w:rsidRPr="00393432">
              <w:rPr>
                <w:sz w:val="27"/>
                <w:szCs w:val="27"/>
                <w:lang w:eastAsia="es-CR"/>
              </w:rPr>
              <w:t>105</w:t>
            </w:r>
          </w:p>
        </w:tc>
        <w:tc>
          <w:tcPr>
            <w:tcW w:w="382" w:type="pct"/>
            <w:shd w:val="clear" w:color="auto" w:fill="00B050"/>
            <w:noWrap/>
            <w:vAlign w:val="center"/>
            <w:hideMark/>
          </w:tcPr>
          <w:p w14:paraId="1A87BD2C" w14:textId="77777777" w:rsidR="005B2B6C" w:rsidRPr="00393432" w:rsidRDefault="005B2B6C" w:rsidP="00F50033">
            <w:pPr>
              <w:jc w:val="center"/>
              <w:rPr>
                <w:b/>
                <w:bCs/>
                <w:sz w:val="27"/>
                <w:szCs w:val="27"/>
                <w:lang w:eastAsia="es-CR"/>
              </w:rPr>
            </w:pPr>
            <w:r w:rsidRPr="00393432">
              <w:rPr>
                <w:b/>
                <w:bCs/>
                <w:sz w:val="27"/>
                <w:szCs w:val="27"/>
                <w:lang w:eastAsia="es-CR"/>
              </w:rPr>
              <w:t>97%</w:t>
            </w:r>
          </w:p>
        </w:tc>
        <w:tc>
          <w:tcPr>
            <w:tcW w:w="329" w:type="pct"/>
            <w:shd w:val="clear" w:color="auto" w:fill="auto"/>
            <w:noWrap/>
            <w:vAlign w:val="center"/>
            <w:hideMark/>
          </w:tcPr>
          <w:p w14:paraId="64710D09" w14:textId="77777777" w:rsidR="005B2B6C" w:rsidRPr="00393432" w:rsidRDefault="005B2B6C" w:rsidP="00F50033">
            <w:pPr>
              <w:jc w:val="center"/>
              <w:rPr>
                <w:sz w:val="27"/>
                <w:szCs w:val="27"/>
                <w:lang w:eastAsia="es-CR"/>
              </w:rPr>
            </w:pPr>
            <w:r w:rsidRPr="00393432">
              <w:rPr>
                <w:sz w:val="27"/>
                <w:szCs w:val="27"/>
                <w:lang w:eastAsia="es-CR"/>
              </w:rPr>
              <w:t>276</w:t>
            </w:r>
          </w:p>
        </w:tc>
        <w:tc>
          <w:tcPr>
            <w:tcW w:w="286" w:type="pct"/>
            <w:shd w:val="clear" w:color="auto" w:fill="auto"/>
            <w:noWrap/>
            <w:vAlign w:val="center"/>
            <w:hideMark/>
          </w:tcPr>
          <w:p w14:paraId="600DFA1E" w14:textId="77777777" w:rsidR="005B2B6C" w:rsidRPr="00393432" w:rsidRDefault="005B2B6C" w:rsidP="00F50033">
            <w:pPr>
              <w:jc w:val="center"/>
              <w:rPr>
                <w:sz w:val="27"/>
                <w:szCs w:val="27"/>
                <w:lang w:eastAsia="es-CR"/>
              </w:rPr>
            </w:pPr>
            <w:r w:rsidRPr="00393432">
              <w:rPr>
                <w:sz w:val="27"/>
                <w:szCs w:val="27"/>
                <w:lang w:eastAsia="es-CR"/>
              </w:rPr>
              <w:t>132</w:t>
            </w:r>
          </w:p>
        </w:tc>
        <w:tc>
          <w:tcPr>
            <w:tcW w:w="329" w:type="pct"/>
            <w:shd w:val="clear" w:color="auto" w:fill="FFE8A7"/>
            <w:noWrap/>
            <w:vAlign w:val="center"/>
            <w:hideMark/>
          </w:tcPr>
          <w:p w14:paraId="134147AA" w14:textId="77777777" w:rsidR="005B2B6C" w:rsidRPr="00393432" w:rsidRDefault="005B2B6C" w:rsidP="00F50033">
            <w:pPr>
              <w:jc w:val="center"/>
              <w:rPr>
                <w:b/>
                <w:bCs/>
                <w:sz w:val="27"/>
                <w:szCs w:val="27"/>
                <w:lang w:eastAsia="es-CR"/>
              </w:rPr>
            </w:pPr>
            <w:r w:rsidRPr="00393432">
              <w:rPr>
                <w:b/>
                <w:bCs/>
                <w:sz w:val="27"/>
                <w:szCs w:val="27"/>
                <w:lang w:eastAsia="es-CR"/>
              </w:rPr>
              <w:t>106</w:t>
            </w:r>
          </w:p>
        </w:tc>
        <w:tc>
          <w:tcPr>
            <w:tcW w:w="383" w:type="pct"/>
            <w:shd w:val="clear" w:color="auto" w:fill="FF0000"/>
            <w:noWrap/>
            <w:vAlign w:val="center"/>
            <w:hideMark/>
          </w:tcPr>
          <w:p w14:paraId="4A66F469" w14:textId="77777777" w:rsidR="005B2B6C" w:rsidRPr="00393432" w:rsidRDefault="005B2B6C" w:rsidP="00F50033">
            <w:pPr>
              <w:jc w:val="center"/>
              <w:rPr>
                <w:b/>
                <w:bCs/>
                <w:sz w:val="27"/>
                <w:szCs w:val="27"/>
                <w:lang w:eastAsia="es-CR"/>
              </w:rPr>
            </w:pPr>
            <w:r w:rsidRPr="00393432">
              <w:rPr>
                <w:b/>
                <w:bCs/>
                <w:sz w:val="27"/>
                <w:szCs w:val="27"/>
                <w:lang w:eastAsia="es-CR"/>
              </w:rPr>
              <w:t>80%</w:t>
            </w:r>
          </w:p>
        </w:tc>
        <w:tc>
          <w:tcPr>
            <w:tcW w:w="320" w:type="pct"/>
            <w:shd w:val="clear" w:color="auto" w:fill="auto"/>
            <w:noWrap/>
            <w:vAlign w:val="center"/>
            <w:hideMark/>
          </w:tcPr>
          <w:p w14:paraId="6ABB4E10" w14:textId="77777777" w:rsidR="005B2B6C" w:rsidRPr="00393432" w:rsidRDefault="005B2B6C" w:rsidP="00F50033">
            <w:pPr>
              <w:jc w:val="center"/>
              <w:rPr>
                <w:sz w:val="27"/>
                <w:szCs w:val="27"/>
                <w:lang w:eastAsia="es-CR"/>
              </w:rPr>
            </w:pPr>
            <w:r w:rsidRPr="00393432">
              <w:rPr>
                <w:sz w:val="27"/>
                <w:szCs w:val="27"/>
                <w:lang w:eastAsia="es-CR"/>
              </w:rPr>
              <w:t>192</w:t>
            </w:r>
          </w:p>
        </w:tc>
        <w:tc>
          <w:tcPr>
            <w:tcW w:w="324" w:type="pct"/>
            <w:shd w:val="clear" w:color="auto" w:fill="auto"/>
            <w:noWrap/>
            <w:vAlign w:val="center"/>
            <w:hideMark/>
          </w:tcPr>
          <w:p w14:paraId="2EAEA790" w14:textId="77777777" w:rsidR="005B2B6C" w:rsidRPr="00393432" w:rsidRDefault="005B2B6C" w:rsidP="00F50033">
            <w:pPr>
              <w:jc w:val="center"/>
              <w:rPr>
                <w:sz w:val="27"/>
                <w:szCs w:val="27"/>
                <w:lang w:eastAsia="es-CR"/>
              </w:rPr>
            </w:pPr>
            <w:r w:rsidRPr="00393432">
              <w:rPr>
                <w:sz w:val="27"/>
                <w:szCs w:val="27"/>
                <w:lang w:eastAsia="es-CR"/>
              </w:rPr>
              <w:t>24</w:t>
            </w:r>
          </w:p>
        </w:tc>
        <w:tc>
          <w:tcPr>
            <w:tcW w:w="364" w:type="pct"/>
            <w:shd w:val="clear" w:color="auto" w:fill="auto"/>
            <w:noWrap/>
            <w:vAlign w:val="center"/>
            <w:hideMark/>
          </w:tcPr>
          <w:p w14:paraId="7D5EFA6D" w14:textId="77777777" w:rsidR="005B2B6C" w:rsidRPr="00393432" w:rsidRDefault="005B2B6C" w:rsidP="00F50033">
            <w:pPr>
              <w:jc w:val="center"/>
              <w:rPr>
                <w:b/>
                <w:bCs/>
                <w:sz w:val="27"/>
                <w:szCs w:val="27"/>
                <w:lang w:eastAsia="es-CR"/>
              </w:rPr>
            </w:pPr>
            <w:r w:rsidRPr="00393432">
              <w:rPr>
                <w:b/>
                <w:bCs/>
                <w:sz w:val="27"/>
                <w:szCs w:val="27"/>
                <w:lang w:eastAsia="es-CR"/>
              </w:rPr>
              <w:t>203</w:t>
            </w:r>
          </w:p>
        </w:tc>
        <w:tc>
          <w:tcPr>
            <w:tcW w:w="425" w:type="pct"/>
            <w:shd w:val="clear" w:color="auto" w:fill="00B050"/>
            <w:noWrap/>
            <w:vAlign w:val="center"/>
            <w:hideMark/>
          </w:tcPr>
          <w:p w14:paraId="3FBA33DD" w14:textId="77777777" w:rsidR="005B2B6C" w:rsidRPr="00393432" w:rsidRDefault="005B2B6C" w:rsidP="00F50033">
            <w:pPr>
              <w:jc w:val="center"/>
              <w:rPr>
                <w:b/>
                <w:bCs/>
                <w:sz w:val="27"/>
                <w:szCs w:val="27"/>
                <w:lang w:eastAsia="es-CR"/>
              </w:rPr>
            </w:pPr>
            <w:r w:rsidRPr="00393432">
              <w:rPr>
                <w:b/>
                <w:bCs/>
                <w:sz w:val="27"/>
                <w:szCs w:val="27"/>
                <w:lang w:eastAsia="es-CR"/>
              </w:rPr>
              <w:t>846%</w:t>
            </w:r>
          </w:p>
        </w:tc>
      </w:tr>
      <w:tr w:rsidR="00F50033" w:rsidRPr="00393432" w14:paraId="29E080AE" w14:textId="77777777" w:rsidTr="00B909C8">
        <w:trPr>
          <w:trHeight w:val="443"/>
        </w:trPr>
        <w:tc>
          <w:tcPr>
            <w:tcW w:w="773" w:type="pct"/>
            <w:shd w:val="clear" w:color="auto" w:fill="auto"/>
            <w:noWrap/>
            <w:vAlign w:val="center"/>
            <w:hideMark/>
          </w:tcPr>
          <w:p w14:paraId="5B9BBE3A" w14:textId="77777777" w:rsidR="005B2B6C" w:rsidRPr="00393432" w:rsidRDefault="005B2B6C" w:rsidP="00F50033">
            <w:pPr>
              <w:jc w:val="center"/>
              <w:rPr>
                <w:b/>
                <w:bCs/>
                <w:sz w:val="27"/>
                <w:szCs w:val="27"/>
                <w:lang w:eastAsia="es-CR"/>
              </w:rPr>
            </w:pPr>
            <w:r w:rsidRPr="00393432">
              <w:rPr>
                <w:b/>
                <w:bCs/>
                <w:sz w:val="27"/>
                <w:szCs w:val="27"/>
                <w:lang w:eastAsia="es-CR"/>
              </w:rPr>
              <w:t>Total</w:t>
            </w:r>
          </w:p>
        </w:tc>
        <w:tc>
          <w:tcPr>
            <w:tcW w:w="329" w:type="pct"/>
            <w:shd w:val="clear" w:color="auto" w:fill="auto"/>
            <w:noWrap/>
            <w:vAlign w:val="center"/>
            <w:hideMark/>
          </w:tcPr>
          <w:p w14:paraId="00DD9B41" w14:textId="77777777" w:rsidR="005B2B6C" w:rsidRPr="00393432" w:rsidRDefault="005B2B6C" w:rsidP="00F50033">
            <w:pPr>
              <w:jc w:val="center"/>
              <w:rPr>
                <w:b/>
                <w:bCs/>
                <w:sz w:val="27"/>
                <w:szCs w:val="27"/>
                <w:lang w:eastAsia="es-CR"/>
              </w:rPr>
            </w:pPr>
            <w:r w:rsidRPr="00393432">
              <w:rPr>
                <w:b/>
                <w:bCs/>
                <w:sz w:val="27"/>
                <w:szCs w:val="27"/>
                <w:lang w:eastAsia="es-CR"/>
              </w:rPr>
              <w:t>1060</w:t>
            </w:r>
          </w:p>
        </w:tc>
        <w:tc>
          <w:tcPr>
            <w:tcW w:w="347" w:type="pct"/>
            <w:shd w:val="clear" w:color="auto" w:fill="auto"/>
            <w:noWrap/>
            <w:vAlign w:val="center"/>
            <w:hideMark/>
          </w:tcPr>
          <w:p w14:paraId="5099BA78" w14:textId="77777777" w:rsidR="005B2B6C" w:rsidRPr="00393432" w:rsidRDefault="005B2B6C" w:rsidP="00F50033">
            <w:pPr>
              <w:jc w:val="center"/>
              <w:rPr>
                <w:b/>
                <w:bCs/>
                <w:sz w:val="27"/>
                <w:szCs w:val="27"/>
                <w:lang w:eastAsia="es-CR"/>
              </w:rPr>
            </w:pPr>
            <w:r w:rsidRPr="00393432">
              <w:rPr>
                <w:b/>
                <w:bCs/>
                <w:sz w:val="27"/>
                <w:szCs w:val="27"/>
                <w:lang w:eastAsia="es-CR"/>
              </w:rPr>
              <w:t>641</w:t>
            </w:r>
          </w:p>
        </w:tc>
        <w:tc>
          <w:tcPr>
            <w:tcW w:w="411" w:type="pct"/>
            <w:shd w:val="clear" w:color="auto" w:fill="auto"/>
            <w:noWrap/>
            <w:vAlign w:val="center"/>
            <w:hideMark/>
          </w:tcPr>
          <w:p w14:paraId="34936DBB" w14:textId="77777777" w:rsidR="005B2B6C" w:rsidRPr="00393432" w:rsidRDefault="005B2B6C" w:rsidP="00F50033">
            <w:pPr>
              <w:jc w:val="center"/>
              <w:rPr>
                <w:b/>
                <w:bCs/>
                <w:sz w:val="27"/>
                <w:szCs w:val="27"/>
                <w:lang w:eastAsia="es-CR"/>
              </w:rPr>
            </w:pPr>
            <w:r w:rsidRPr="00393432">
              <w:rPr>
                <w:b/>
                <w:bCs/>
                <w:sz w:val="27"/>
                <w:szCs w:val="27"/>
                <w:lang w:eastAsia="es-CR"/>
              </w:rPr>
              <w:t>1096</w:t>
            </w:r>
          </w:p>
        </w:tc>
        <w:tc>
          <w:tcPr>
            <w:tcW w:w="382" w:type="pct"/>
            <w:shd w:val="clear" w:color="auto" w:fill="00B050"/>
            <w:noWrap/>
            <w:vAlign w:val="center"/>
            <w:hideMark/>
          </w:tcPr>
          <w:p w14:paraId="16E55F99" w14:textId="77777777" w:rsidR="005B2B6C" w:rsidRPr="00393432" w:rsidRDefault="005B2B6C" w:rsidP="00F50033">
            <w:pPr>
              <w:jc w:val="center"/>
              <w:rPr>
                <w:b/>
                <w:bCs/>
                <w:sz w:val="27"/>
                <w:szCs w:val="27"/>
                <w:lang w:eastAsia="es-CR"/>
              </w:rPr>
            </w:pPr>
            <w:r w:rsidRPr="00393432">
              <w:rPr>
                <w:b/>
                <w:bCs/>
                <w:sz w:val="27"/>
                <w:szCs w:val="27"/>
                <w:lang w:eastAsia="es-CR"/>
              </w:rPr>
              <w:t>171%</w:t>
            </w:r>
          </w:p>
        </w:tc>
        <w:tc>
          <w:tcPr>
            <w:tcW w:w="329" w:type="pct"/>
            <w:shd w:val="clear" w:color="auto" w:fill="auto"/>
            <w:noWrap/>
            <w:vAlign w:val="center"/>
            <w:hideMark/>
          </w:tcPr>
          <w:p w14:paraId="7891410D" w14:textId="77777777" w:rsidR="005B2B6C" w:rsidRPr="00393432" w:rsidRDefault="005B2B6C" w:rsidP="00F50033">
            <w:pPr>
              <w:jc w:val="center"/>
              <w:rPr>
                <w:b/>
                <w:bCs/>
                <w:sz w:val="27"/>
                <w:szCs w:val="27"/>
                <w:lang w:eastAsia="es-CR"/>
              </w:rPr>
            </w:pPr>
            <w:r w:rsidRPr="00393432">
              <w:rPr>
                <w:b/>
                <w:bCs/>
                <w:sz w:val="27"/>
                <w:szCs w:val="27"/>
                <w:lang w:eastAsia="es-CR"/>
              </w:rPr>
              <w:t>1219</w:t>
            </w:r>
          </w:p>
        </w:tc>
        <w:tc>
          <w:tcPr>
            <w:tcW w:w="286" w:type="pct"/>
            <w:shd w:val="clear" w:color="auto" w:fill="auto"/>
            <w:noWrap/>
            <w:vAlign w:val="center"/>
            <w:hideMark/>
          </w:tcPr>
          <w:p w14:paraId="77799312" w14:textId="77777777" w:rsidR="005B2B6C" w:rsidRPr="00393432" w:rsidRDefault="005B2B6C" w:rsidP="00F50033">
            <w:pPr>
              <w:jc w:val="center"/>
              <w:rPr>
                <w:b/>
                <w:bCs/>
                <w:sz w:val="27"/>
                <w:szCs w:val="27"/>
                <w:lang w:eastAsia="es-CR"/>
              </w:rPr>
            </w:pPr>
            <w:r w:rsidRPr="00393432">
              <w:rPr>
                <w:b/>
                <w:bCs/>
                <w:sz w:val="27"/>
                <w:szCs w:val="27"/>
                <w:lang w:eastAsia="es-CR"/>
              </w:rPr>
              <w:t>583</w:t>
            </w:r>
          </w:p>
        </w:tc>
        <w:tc>
          <w:tcPr>
            <w:tcW w:w="329" w:type="pct"/>
            <w:shd w:val="clear" w:color="auto" w:fill="FFE8A7"/>
            <w:noWrap/>
            <w:vAlign w:val="center"/>
            <w:hideMark/>
          </w:tcPr>
          <w:p w14:paraId="0E0C036B" w14:textId="77777777" w:rsidR="005B2B6C" w:rsidRPr="00393432" w:rsidRDefault="005B2B6C" w:rsidP="00F50033">
            <w:pPr>
              <w:jc w:val="center"/>
              <w:rPr>
                <w:b/>
                <w:bCs/>
                <w:sz w:val="27"/>
                <w:szCs w:val="27"/>
                <w:lang w:eastAsia="es-CR"/>
              </w:rPr>
            </w:pPr>
            <w:r w:rsidRPr="00393432">
              <w:rPr>
                <w:b/>
                <w:bCs/>
                <w:sz w:val="27"/>
                <w:szCs w:val="27"/>
                <w:lang w:eastAsia="es-CR"/>
              </w:rPr>
              <w:t>1004</w:t>
            </w:r>
          </w:p>
        </w:tc>
        <w:tc>
          <w:tcPr>
            <w:tcW w:w="383" w:type="pct"/>
            <w:shd w:val="clear" w:color="auto" w:fill="00B050"/>
            <w:noWrap/>
            <w:vAlign w:val="center"/>
            <w:hideMark/>
          </w:tcPr>
          <w:p w14:paraId="7DEBC64E" w14:textId="77777777" w:rsidR="005B2B6C" w:rsidRPr="00393432" w:rsidRDefault="005B2B6C" w:rsidP="00F50033">
            <w:pPr>
              <w:jc w:val="center"/>
              <w:rPr>
                <w:b/>
                <w:bCs/>
                <w:sz w:val="27"/>
                <w:szCs w:val="27"/>
                <w:lang w:eastAsia="es-CR"/>
              </w:rPr>
            </w:pPr>
            <w:r w:rsidRPr="00393432">
              <w:rPr>
                <w:b/>
                <w:bCs/>
                <w:sz w:val="27"/>
                <w:szCs w:val="27"/>
                <w:lang w:eastAsia="es-CR"/>
              </w:rPr>
              <w:t>172%</w:t>
            </w:r>
          </w:p>
        </w:tc>
        <w:tc>
          <w:tcPr>
            <w:tcW w:w="320" w:type="pct"/>
            <w:shd w:val="clear" w:color="auto" w:fill="auto"/>
            <w:noWrap/>
            <w:vAlign w:val="center"/>
            <w:hideMark/>
          </w:tcPr>
          <w:p w14:paraId="5923A581" w14:textId="77777777" w:rsidR="005B2B6C" w:rsidRPr="00393432" w:rsidRDefault="005B2B6C" w:rsidP="00F50033">
            <w:pPr>
              <w:jc w:val="center"/>
              <w:rPr>
                <w:b/>
                <w:bCs/>
                <w:sz w:val="27"/>
                <w:szCs w:val="27"/>
                <w:lang w:eastAsia="es-CR"/>
              </w:rPr>
            </w:pPr>
            <w:r w:rsidRPr="00393432">
              <w:rPr>
                <w:b/>
                <w:bCs/>
                <w:sz w:val="27"/>
                <w:szCs w:val="27"/>
                <w:lang w:eastAsia="es-CR"/>
              </w:rPr>
              <w:t>848</w:t>
            </w:r>
          </w:p>
        </w:tc>
        <w:tc>
          <w:tcPr>
            <w:tcW w:w="324" w:type="pct"/>
            <w:shd w:val="clear" w:color="auto" w:fill="auto"/>
            <w:noWrap/>
            <w:vAlign w:val="center"/>
            <w:hideMark/>
          </w:tcPr>
          <w:p w14:paraId="479139C7" w14:textId="77777777" w:rsidR="005B2B6C" w:rsidRPr="00393432" w:rsidRDefault="005B2B6C" w:rsidP="00F50033">
            <w:pPr>
              <w:jc w:val="center"/>
              <w:rPr>
                <w:b/>
                <w:bCs/>
                <w:sz w:val="27"/>
                <w:szCs w:val="27"/>
                <w:lang w:eastAsia="es-CR"/>
              </w:rPr>
            </w:pPr>
            <w:r w:rsidRPr="00393432">
              <w:rPr>
                <w:b/>
                <w:bCs/>
                <w:sz w:val="27"/>
                <w:szCs w:val="27"/>
                <w:lang w:eastAsia="es-CR"/>
              </w:rPr>
              <w:t>680</w:t>
            </w:r>
          </w:p>
        </w:tc>
        <w:tc>
          <w:tcPr>
            <w:tcW w:w="364" w:type="pct"/>
            <w:shd w:val="clear" w:color="auto" w:fill="auto"/>
            <w:noWrap/>
            <w:vAlign w:val="center"/>
            <w:hideMark/>
          </w:tcPr>
          <w:p w14:paraId="2962610F" w14:textId="77777777" w:rsidR="005B2B6C" w:rsidRPr="00393432" w:rsidRDefault="005B2B6C" w:rsidP="00F50033">
            <w:pPr>
              <w:jc w:val="center"/>
              <w:rPr>
                <w:b/>
                <w:bCs/>
                <w:sz w:val="27"/>
                <w:szCs w:val="27"/>
                <w:lang w:eastAsia="es-CR"/>
              </w:rPr>
            </w:pPr>
            <w:r w:rsidRPr="00393432">
              <w:rPr>
                <w:b/>
                <w:bCs/>
                <w:sz w:val="27"/>
                <w:szCs w:val="27"/>
                <w:lang w:eastAsia="es-CR"/>
              </w:rPr>
              <w:t>3779</w:t>
            </w:r>
          </w:p>
        </w:tc>
        <w:tc>
          <w:tcPr>
            <w:tcW w:w="425" w:type="pct"/>
            <w:shd w:val="clear" w:color="auto" w:fill="00B050"/>
            <w:noWrap/>
            <w:vAlign w:val="center"/>
            <w:hideMark/>
          </w:tcPr>
          <w:p w14:paraId="3E324727" w14:textId="77777777" w:rsidR="005B2B6C" w:rsidRPr="00393432" w:rsidRDefault="005B2B6C" w:rsidP="00F50033">
            <w:pPr>
              <w:jc w:val="center"/>
              <w:rPr>
                <w:b/>
                <w:bCs/>
                <w:sz w:val="27"/>
                <w:szCs w:val="27"/>
                <w:lang w:eastAsia="es-CR"/>
              </w:rPr>
            </w:pPr>
            <w:r w:rsidRPr="00393432">
              <w:rPr>
                <w:b/>
                <w:bCs/>
                <w:sz w:val="27"/>
                <w:szCs w:val="27"/>
                <w:lang w:eastAsia="es-CR"/>
              </w:rPr>
              <w:t>556%</w:t>
            </w:r>
          </w:p>
        </w:tc>
      </w:tr>
    </w:tbl>
    <w:p w14:paraId="24B56110" w14:textId="77777777" w:rsidR="005B2B6C" w:rsidRPr="00393432" w:rsidRDefault="005B2B6C" w:rsidP="00F50033">
      <w:pPr>
        <w:ind w:right="193"/>
        <w:jc w:val="both"/>
        <w:rPr>
          <w:b/>
          <w:bCs/>
          <w:sz w:val="27"/>
          <w:szCs w:val="27"/>
        </w:rPr>
      </w:pPr>
      <w:r w:rsidRPr="00393432">
        <w:rPr>
          <w:b/>
          <w:bCs/>
          <w:sz w:val="27"/>
          <w:szCs w:val="27"/>
        </w:rPr>
        <w:t>Fuente:</w:t>
      </w:r>
      <w:r w:rsidRPr="00393432">
        <w:rPr>
          <w:sz w:val="27"/>
          <w:szCs w:val="27"/>
        </w:rPr>
        <w:t xml:space="preserve"> Subproceso de Evaluación Institucional de la Dirección de Planificación con datos recopilados del seguimiento mensual del Plan de Trabajo 1219-PLA-EV-2021.</w:t>
      </w:r>
    </w:p>
    <w:p w14:paraId="5D597216" w14:textId="77777777" w:rsidR="005B2B6C" w:rsidRPr="00393432" w:rsidRDefault="005B2B6C" w:rsidP="00F50033">
      <w:pPr>
        <w:ind w:left="851" w:right="851" w:firstLine="709"/>
        <w:jc w:val="both"/>
        <w:rPr>
          <w:sz w:val="27"/>
          <w:szCs w:val="27"/>
        </w:rPr>
      </w:pPr>
    </w:p>
    <w:p w14:paraId="4B7A9693" w14:textId="77777777" w:rsidR="005B2B6C" w:rsidRPr="00393432" w:rsidRDefault="005B2B6C" w:rsidP="00F50033">
      <w:pPr>
        <w:ind w:left="851" w:right="851" w:firstLine="709"/>
        <w:jc w:val="both"/>
        <w:rPr>
          <w:sz w:val="27"/>
          <w:szCs w:val="27"/>
        </w:rPr>
      </w:pPr>
      <w:r w:rsidRPr="00393432">
        <w:rPr>
          <w:sz w:val="27"/>
          <w:szCs w:val="27"/>
        </w:rPr>
        <w:t>De acuerdo con el rendimiento de la persona funcionaria judicial del Juzgado Cobro del Segundo Circuito Judicial de Alajuela asignada al Plan de Trabajo 1219-PLA-EV-2021 como Técnica Cajera alcanzó a ubicarse y superar el rango establecido del 95% a 100% del cumplimiento de la cuota ajustada; con excepción, del mes de marzo que registró un rendimiento del 80% en el cumplimiento de la cuota de giros realizados.</w:t>
      </w:r>
    </w:p>
    <w:p w14:paraId="38EF646A" w14:textId="77777777" w:rsidR="005B2B6C" w:rsidRPr="00393432" w:rsidRDefault="005B2B6C" w:rsidP="00F50033">
      <w:pPr>
        <w:ind w:left="851" w:right="851" w:firstLine="709"/>
        <w:jc w:val="both"/>
        <w:rPr>
          <w:sz w:val="27"/>
          <w:szCs w:val="27"/>
        </w:rPr>
      </w:pPr>
    </w:p>
    <w:p w14:paraId="52EBF645" w14:textId="77777777" w:rsidR="005B2B6C" w:rsidRPr="00393432" w:rsidRDefault="005B2B6C" w:rsidP="00F50033">
      <w:pPr>
        <w:ind w:left="851" w:right="851" w:firstLine="709"/>
        <w:jc w:val="both"/>
        <w:rPr>
          <w:sz w:val="27"/>
          <w:szCs w:val="27"/>
          <w:u w:val="single"/>
        </w:rPr>
      </w:pPr>
      <w:r w:rsidRPr="00393432">
        <w:rPr>
          <w:sz w:val="27"/>
          <w:szCs w:val="27"/>
        </w:rPr>
        <w:t xml:space="preserve">En el transcurso del primer cuatrimestre 2022 se revisó un total de 5465 depósitos de los cuales se generaron 414 giros en materia Cobratoria del total de 20834 depósitos pendientes de revisar y que han ingresado a la oficina judicial, </w:t>
      </w:r>
      <w:r w:rsidRPr="00393432">
        <w:rPr>
          <w:sz w:val="27"/>
          <w:szCs w:val="27"/>
          <w:u w:val="single"/>
        </w:rPr>
        <w:t>obteniendo una disminución del 26% en la revisión de los depósitos.</w:t>
      </w:r>
    </w:p>
    <w:p w14:paraId="4153A502" w14:textId="77777777" w:rsidR="005B2B6C" w:rsidRPr="00393432" w:rsidRDefault="005B2B6C" w:rsidP="00F50033">
      <w:pPr>
        <w:ind w:left="851" w:right="851" w:firstLine="709"/>
        <w:jc w:val="both"/>
        <w:rPr>
          <w:sz w:val="27"/>
          <w:szCs w:val="27"/>
          <w:u w:val="single"/>
        </w:rPr>
      </w:pPr>
    </w:p>
    <w:p w14:paraId="40EE25CD" w14:textId="77777777" w:rsidR="005B2B6C" w:rsidRPr="00393432" w:rsidRDefault="005B2B6C" w:rsidP="00F50033">
      <w:pPr>
        <w:ind w:left="851" w:right="851" w:firstLine="709"/>
        <w:jc w:val="both"/>
        <w:rPr>
          <w:sz w:val="27"/>
          <w:szCs w:val="27"/>
        </w:rPr>
      </w:pPr>
      <w:r w:rsidRPr="00393432">
        <w:rPr>
          <w:sz w:val="27"/>
          <w:szCs w:val="27"/>
        </w:rPr>
        <w:t xml:space="preserve">En consideración a la realización de remates, esta tarea no se lleva a cabo por la persona técnica cajera, con la justificación de que la realización de giros es una función muy delicada y no es conveniente dejar un giro a la mitad para atender el remate, por lo </w:t>
      </w:r>
      <w:r w:rsidRPr="00393432">
        <w:rPr>
          <w:sz w:val="27"/>
          <w:szCs w:val="27"/>
        </w:rPr>
        <w:lastRenderedPageBreak/>
        <w:t>cual la oficina acordó mantener 2 giros y no como se indicó en el informe de 1 por cada persona técnica judicial.</w:t>
      </w:r>
    </w:p>
    <w:p w14:paraId="0B2D0EC7" w14:textId="77777777" w:rsidR="005B2B6C" w:rsidRPr="00393432" w:rsidRDefault="005B2B6C" w:rsidP="00F50033">
      <w:pPr>
        <w:ind w:left="851" w:right="851" w:firstLine="709"/>
        <w:jc w:val="both"/>
        <w:rPr>
          <w:sz w:val="27"/>
          <w:szCs w:val="27"/>
        </w:rPr>
      </w:pPr>
    </w:p>
    <w:p w14:paraId="5A9CB1F2" w14:textId="77777777" w:rsidR="005B2B6C" w:rsidRPr="00393432" w:rsidRDefault="005B2B6C" w:rsidP="00F50033">
      <w:pPr>
        <w:ind w:left="851" w:right="851" w:firstLine="709"/>
        <w:jc w:val="both"/>
        <w:rPr>
          <w:sz w:val="27"/>
          <w:szCs w:val="27"/>
        </w:rPr>
      </w:pPr>
      <w:r w:rsidRPr="00393432">
        <w:rPr>
          <w:sz w:val="27"/>
          <w:szCs w:val="27"/>
        </w:rPr>
        <w:t>Es importante informar que el Juzgado de Cobro del Segundo Circuito Judicial de Alajuela realiza de manera mensual planes remediales, variando las cuotas de trabajo del personal técnico de trámite, siendo que en el informe se propone una cuota de 27 asuntos diarios, la oficina judicial se encuentra realizando una cuota de 31 asuntos diarios. A pesar de los esfuerzos de la oficina, se mantiene el incremento de los plazos en demandas y escritos pendientes de tramitar debido a la carga de trabajo que ingresa en el despacho. En el informe 1219-PLA-EV-2021 se indicó que este despacho se tiene la capacidad de atender el 48% del ingreso.</w:t>
      </w:r>
    </w:p>
    <w:p w14:paraId="48637FF5" w14:textId="77777777" w:rsidR="005B2B6C" w:rsidRPr="00393432" w:rsidRDefault="005B2B6C" w:rsidP="00F50033">
      <w:pPr>
        <w:keepNext/>
        <w:widowControl w:val="0"/>
        <w:suppressAutoHyphens w:val="0"/>
        <w:autoSpaceDE w:val="0"/>
        <w:autoSpaceDN w:val="0"/>
        <w:adjustRightInd w:val="0"/>
        <w:ind w:left="851" w:right="851" w:firstLine="709"/>
        <w:jc w:val="both"/>
        <w:rPr>
          <w:b/>
          <w:bCs/>
          <w:sz w:val="27"/>
          <w:szCs w:val="27"/>
          <w:lang w:eastAsia="es-ES"/>
        </w:rPr>
      </w:pPr>
      <w:r w:rsidRPr="00393432">
        <w:rPr>
          <w:b/>
          <w:bCs/>
          <w:sz w:val="27"/>
          <w:szCs w:val="27"/>
          <w:lang w:eastAsia="es-ES"/>
        </w:rPr>
        <w:t xml:space="preserve"> </w:t>
      </w:r>
    </w:p>
    <w:p w14:paraId="2C30BB30" w14:textId="77777777" w:rsidR="005B2B6C" w:rsidRPr="00393432" w:rsidRDefault="005B2B6C" w:rsidP="00F50033">
      <w:pPr>
        <w:keepNext/>
        <w:widowControl w:val="0"/>
        <w:suppressAutoHyphens w:val="0"/>
        <w:autoSpaceDE w:val="0"/>
        <w:autoSpaceDN w:val="0"/>
        <w:adjustRightInd w:val="0"/>
        <w:ind w:firstLine="709"/>
        <w:jc w:val="center"/>
        <w:rPr>
          <w:b/>
          <w:bCs/>
          <w:sz w:val="27"/>
          <w:szCs w:val="27"/>
          <w:lang w:eastAsia="es-ES"/>
        </w:rPr>
      </w:pPr>
      <w:r w:rsidRPr="00393432">
        <w:rPr>
          <w:b/>
          <w:bCs/>
          <w:sz w:val="27"/>
          <w:szCs w:val="27"/>
          <w:lang w:eastAsia="es-ES"/>
        </w:rPr>
        <w:t>Cuadro 3</w:t>
      </w:r>
    </w:p>
    <w:p w14:paraId="6489EA77" w14:textId="77777777" w:rsidR="005B2B6C" w:rsidRPr="00393432" w:rsidRDefault="005B2B6C" w:rsidP="00F50033">
      <w:pPr>
        <w:keepNext/>
        <w:widowControl w:val="0"/>
        <w:suppressAutoHyphens w:val="0"/>
        <w:autoSpaceDE w:val="0"/>
        <w:autoSpaceDN w:val="0"/>
        <w:adjustRightInd w:val="0"/>
        <w:ind w:right="-91" w:firstLine="709"/>
        <w:jc w:val="center"/>
        <w:rPr>
          <w:b/>
          <w:bCs/>
          <w:sz w:val="27"/>
          <w:szCs w:val="27"/>
          <w:lang w:eastAsia="es-ES"/>
        </w:rPr>
      </w:pPr>
      <w:r w:rsidRPr="00393432">
        <w:rPr>
          <w:b/>
          <w:bCs/>
          <w:sz w:val="27"/>
          <w:szCs w:val="27"/>
          <w:lang w:eastAsia="es-ES"/>
        </w:rPr>
        <w:t>Estructura cuotas del personal técnico de trámite del Juzgado de Cobro del Segundo Circuito Judicial de Alajuela</w:t>
      </w:r>
    </w:p>
    <w:p w14:paraId="19F4C2C1" w14:textId="77777777" w:rsidR="005B2B6C" w:rsidRPr="00393432" w:rsidRDefault="005B2B6C" w:rsidP="00F50033">
      <w:pPr>
        <w:rPr>
          <w:sz w:val="27"/>
          <w:szCs w:val="27"/>
        </w:rPr>
      </w:pPr>
    </w:p>
    <w:tbl>
      <w:tblPr>
        <w:tblW w:w="500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25"/>
        <w:gridCol w:w="1735"/>
        <w:gridCol w:w="1756"/>
        <w:gridCol w:w="1752"/>
        <w:gridCol w:w="1756"/>
      </w:tblGrid>
      <w:tr w:rsidR="00F50033" w:rsidRPr="00393432" w14:paraId="52121774" w14:textId="77777777" w:rsidTr="00B909C8">
        <w:trPr>
          <w:trHeight w:val="617"/>
          <w:jc w:val="center"/>
        </w:trPr>
        <w:tc>
          <w:tcPr>
            <w:tcW w:w="1034" w:type="pct"/>
            <w:shd w:val="solid" w:color="000080" w:fill="FFFFFF"/>
            <w:noWrap/>
            <w:vAlign w:val="center"/>
            <w:hideMark/>
          </w:tcPr>
          <w:p w14:paraId="5DE032B0" w14:textId="77777777" w:rsidR="005B2B6C" w:rsidRPr="00393432" w:rsidRDefault="005B2B6C" w:rsidP="00F50033">
            <w:pPr>
              <w:jc w:val="center"/>
              <w:rPr>
                <w:b/>
                <w:bCs/>
                <w:sz w:val="27"/>
                <w:szCs w:val="27"/>
                <w:lang w:eastAsia="es-CR"/>
              </w:rPr>
            </w:pPr>
            <w:r w:rsidRPr="00393432">
              <w:rPr>
                <w:b/>
                <w:bCs/>
                <w:sz w:val="27"/>
                <w:szCs w:val="27"/>
                <w:lang w:eastAsia="es-CR"/>
              </w:rPr>
              <w:t>Variables</w:t>
            </w:r>
          </w:p>
        </w:tc>
        <w:tc>
          <w:tcPr>
            <w:tcW w:w="983" w:type="pct"/>
            <w:shd w:val="solid" w:color="000080" w:fill="FFFFFF"/>
            <w:vAlign w:val="center"/>
            <w:hideMark/>
          </w:tcPr>
          <w:p w14:paraId="7D057C33" w14:textId="77777777" w:rsidR="005B2B6C" w:rsidRPr="00393432" w:rsidRDefault="005B2B6C" w:rsidP="00F50033">
            <w:pPr>
              <w:jc w:val="center"/>
              <w:rPr>
                <w:b/>
                <w:bCs/>
                <w:sz w:val="27"/>
                <w:szCs w:val="27"/>
                <w:lang w:eastAsia="es-CR"/>
              </w:rPr>
            </w:pPr>
            <w:r w:rsidRPr="00393432">
              <w:rPr>
                <w:b/>
                <w:bCs/>
                <w:sz w:val="27"/>
                <w:szCs w:val="27"/>
                <w:lang w:eastAsia="es-CR"/>
              </w:rPr>
              <w:t>Cuota informe</w:t>
            </w:r>
          </w:p>
        </w:tc>
        <w:tc>
          <w:tcPr>
            <w:tcW w:w="995" w:type="pct"/>
            <w:shd w:val="solid" w:color="000080" w:fill="FFFFFF"/>
            <w:vAlign w:val="center"/>
            <w:hideMark/>
          </w:tcPr>
          <w:p w14:paraId="567AB0CE" w14:textId="77777777" w:rsidR="005B2B6C" w:rsidRPr="00393432" w:rsidRDefault="005B2B6C" w:rsidP="00F50033">
            <w:pPr>
              <w:jc w:val="center"/>
              <w:rPr>
                <w:b/>
                <w:bCs/>
                <w:sz w:val="27"/>
                <w:szCs w:val="27"/>
                <w:lang w:eastAsia="es-CR"/>
              </w:rPr>
            </w:pPr>
            <w:r w:rsidRPr="00393432">
              <w:rPr>
                <w:b/>
                <w:bCs/>
                <w:sz w:val="27"/>
                <w:szCs w:val="27"/>
                <w:lang w:eastAsia="es-CR"/>
              </w:rPr>
              <w:t>Capacidad</w:t>
            </w:r>
          </w:p>
        </w:tc>
        <w:tc>
          <w:tcPr>
            <w:tcW w:w="993" w:type="pct"/>
            <w:shd w:val="solid" w:color="000080" w:fill="FFFFFF"/>
            <w:vAlign w:val="center"/>
            <w:hideMark/>
          </w:tcPr>
          <w:p w14:paraId="3BDDA77A" w14:textId="77777777" w:rsidR="005B2B6C" w:rsidRPr="00393432" w:rsidRDefault="005B2B6C" w:rsidP="00F50033">
            <w:pPr>
              <w:jc w:val="center"/>
              <w:rPr>
                <w:b/>
                <w:bCs/>
                <w:sz w:val="27"/>
                <w:szCs w:val="27"/>
                <w:lang w:eastAsia="es-CR"/>
              </w:rPr>
            </w:pPr>
            <w:r w:rsidRPr="00393432">
              <w:rPr>
                <w:b/>
                <w:bCs/>
                <w:sz w:val="27"/>
                <w:szCs w:val="27"/>
                <w:lang w:eastAsia="es-CR"/>
              </w:rPr>
              <w:t>Propuesta por la oficina</w:t>
            </w:r>
          </w:p>
        </w:tc>
        <w:tc>
          <w:tcPr>
            <w:tcW w:w="995" w:type="pct"/>
            <w:shd w:val="solid" w:color="000080" w:fill="FFFFFF"/>
            <w:vAlign w:val="center"/>
            <w:hideMark/>
          </w:tcPr>
          <w:p w14:paraId="416EC897" w14:textId="77777777" w:rsidR="005B2B6C" w:rsidRPr="00393432" w:rsidRDefault="005B2B6C" w:rsidP="00F50033">
            <w:pPr>
              <w:jc w:val="center"/>
              <w:rPr>
                <w:b/>
                <w:bCs/>
                <w:sz w:val="27"/>
                <w:szCs w:val="27"/>
                <w:lang w:eastAsia="es-CR"/>
              </w:rPr>
            </w:pPr>
            <w:r w:rsidRPr="00393432">
              <w:rPr>
                <w:b/>
                <w:bCs/>
                <w:sz w:val="27"/>
                <w:szCs w:val="27"/>
                <w:lang w:eastAsia="es-CR"/>
              </w:rPr>
              <w:t xml:space="preserve">Capacidad </w:t>
            </w:r>
          </w:p>
        </w:tc>
      </w:tr>
      <w:tr w:rsidR="00F50033" w:rsidRPr="00393432" w14:paraId="2C1A7476" w14:textId="77777777" w:rsidTr="00B909C8">
        <w:trPr>
          <w:trHeight w:val="290"/>
          <w:jc w:val="center"/>
        </w:trPr>
        <w:tc>
          <w:tcPr>
            <w:tcW w:w="1034" w:type="pct"/>
            <w:shd w:val="clear" w:color="auto" w:fill="auto"/>
            <w:noWrap/>
            <w:vAlign w:val="center"/>
            <w:hideMark/>
          </w:tcPr>
          <w:p w14:paraId="1B1AABBD" w14:textId="77777777" w:rsidR="005B2B6C" w:rsidRPr="00393432" w:rsidRDefault="005B2B6C" w:rsidP="00F50033">
            <w:pPr>
              <w:jc w:val="center"/>
              <w:rPr>
                <w:sz w:val="27"/>
                <w:szCs w:val="27"/>
                <w:lang w:eastAsia="es-CR"/>
              </w:rPr>
            </w:pPr>
            <w:r w:rsidRPr="00393432">
              <w:rPr>
                <w:sz w:val="27"/>
                <w:szCs w:val="27"/>
                <w:lang w:eastAsia="es-CR"/>
              </w:rPr>
              <w:t>Escritos</w:t>
            </w:r>
          </w:p>
        </w:tc>
        <w:tc>
          <w:tcPr>
            <w:tcW w:w="983" w:type="pct"/>
            <w:shd w:val="clear" w:color="auto" w:fill="auto"/>
            <w:noWrap/>
            <w:vAlign w:val="center"/>
            <w:hideMark/>
          </w:tcPr>
          <w:p w14:paraId="693B2908" w14:textId="77777777" w:rsidR="005B2B6C" w:rsidRPr="00393432" w:rsidRDefault="005B2B6C" w:rsidP="00F50033">
            <w:pPr>
              <w:jc w:val="center"/>
              <w:rPr>
                <w:sz w:val="27"/>
                <w:szCs w:val="27"/>
                <w:lang w:eastAsia="es-CR"/>
              </w:rPr>
            </w:pPr>
            <w:r w:rsidRPr="00393432">
              <w:rPr>
                <w:sz w:val="27"/>
                <w:szCs w:val="27"/>
                <w:lang w:eastAsia="es-CR"/>
              </w:rPr>
              <w:t>15</w:t>
            </w:r>
          </w:p>
        </w:tc>
        <w:tc>
          <w:tcPr>
            <w:tcW w:w="995" w:type="pct"/>
            <w:shd w:val="clear" w:color="auto" w:fill="auto"/>
            <w:vAlign w:val="center"/>
            <w:hideMark/>
          </w:tcPr>
          <w:p w14:paraId="1DA1FAAA" w14:textId="77777777" w:rsidR="005B2B6C" w:rsidRPr="00393432" w:rsidRDefault="005B2B6C" w:rsidP="00F50033">
            <w:pPr>
              <w:jc w:val="center"/>
              <w:rPr>
                <w:b/>
                <w:bCs/>
                <w:sz w:val="27"/>
                <w:szCs w:val="27"/>
                <w:lang w:eastAsia="es-CR"/>
              </w:rPr>
            </w:pPr>
            <w:r w:rsidRPr="00393432">
              <w:rPr>
                <w:b/>
                <w:bCs/>
                <w:sz w:val="27"/>
                <w:szCs w:val="27"/>
                <w:lang w:eastAsia="es-CR"/>
              </w:rPr>
              <w:t>315</w:t>
            </w:r>
          </w:p>
        </w:tc>
        <w:tc>
          <w:tcPr>
            <w:tcW w:w="993" w:type="pct"/>
            <w:shd w:val="clear" w:color="auto" w:fill="DEEAF6"/>
            <w:noWrap/>
            <w:vAlign w:val="center"/>
            <w:hideMark/>
          </w:tcPr>
          <w:p w14:paraId="6A1A0EAB" w14:textId="77777777" w:rsidR="005B2B6C" w:rsidRPr="00393432" w:rsidRDefault="005B2B6C" w:rsidP="00F50033">
            <w:pPr>
              <w:jc w:val="center"/>
              <w:rPr>
                <w:b/>
                <w:bCs/>
                <w:sz w:val="27"/>
                <w:szCs w:val="27"/>
                <w:lang w:eastAsia="es-CR"/>
              </w:rPr>
            </w:pPr>
            <w:r w:rsidRPr="00393432">
              <w:rPr>
                <w:b/>
                <w:bCs/>
                <w:sz w:val="27"/>
                <w:szCs w:val="27"/>
                <w:lang w:eastAsia="es-CR"/>
              </w:rPr>
              <w:t>21</w:t>
            </w:r>
          </w:p>
        </w:tc>
        <w:tc>
          <w:tcPr>
            <w:tcW w:w="995" w:type="pct"/>
            <w:shd w:val="clear" w:color="auto" w:fill="DEEAF6"/>
            <w:noWrap/>
            <w:vAlign w:val="center"/>
            <w:hideMark/>
          </w:tcPr>
          <w:p w14:paraId="04B197D5" w14:textId="77777777" w:rsidR="005B2B6C" w:rsidRPr="00393432" w:rsidRDefault="005B2B6C" w:rsidP="00F50033">
            <w:pPr>
              <w:jc w:val="center"/>
              <w:rPr>
                <w:b/>
                <w:bCs/>
                <w:sz w:val="27"/>
                <w:szCs w:val="27"/>
                <w:lang w:eastAsia="es-CR"/>
              </w:rPr>
            </w:pPr>
            <w:r w:rsidRPr="00393432">
              <w:rPr>
                <w:b/>
                <w:bCs/>
                <w:sz w:val="27"/>
                <w:szCs w:val="27"/>
                <w:lang w:eastAsia="es-CR"/>
              </w:rPr>
              <w:t>441</w:t>
            </w:r>
          </w:p>
        </w:tc>
      </w:tr>
      <w:tr w:rsidR="00F50033" w:rsidRPr="00393432" w14:paraId="325BD383" w14:textId="77777777" w:rsidTr="00B909C8">
        <w:trPr>
          <w:trHeight w:val="290"/>
          <w:jc w:val="center"/>
        </w:trPr>
        <w:tc>
          <w:tcPr>
            <w:tcW w:w="1034" w:type="pct"/>
            <w:shd w:val="clear" w:color="auto" w:fill="auto"/>
            <w:noWrap/>
            <w:vAlign w:val="center"/>
            <w:hideMark/>
          </w:tcPr>
          <w:p w14:paraId="0DF2A18C" w14:textId="77777777" w:rsidR="005B2B6C" w:rsidRPr="00393432" w:rsidRDefault="005B2B6C" w:rsidP="00F50033">
            <w:pPr>
              <w:jc w:val="center"/>
              <w:rPr>
                <w:sz w:val="27"/>
                <w:szCs w:val="27"/>
                <w:lang w:eastAsia="es-CR"/>
              </w:rPr>
            </w:pPr>
            <w:r w:rsidRPr="00393432">
              <w:rPr>
                <w:sz w:val="27"/>
                <w:szCs w:val="27"/>
                <w:lang w:eastAsia="es-CR"/>
              </w:rPr>
              <w:t>Anotaciones</w:t>
            </w:r>
          </w:p>
        </w:tc>
        <w:tc>
          <w:tcPr>
            <w:tcW w:w="983" w:type="pct"/>
            <w:shd w:val="clear" w:color="auto" w:fill="auto"/>
            <w:noWrap/>
            <w:vAlign w:val="center"/>
            <w:hideMark/>
          </w:tcPr>
          <w:p w14:paraId="302C20B2" w14:textId="77777777" w:rsidR="005B2B6C" w:rsidRPr="00393432" w:rsidRDefault="005B2B6C" w:rsidP="00F50033">
            <w:pPr>
              <w:jc w:val="center"/>
              <w:rPr>
                <w:sz w:val="27"/>
                <w:szCs w:val="27"/>
                <w:lang w:eastAsia="es-CR"/>
              </w:rPr>
            </w:pPr>
            <w:r w:rsidRPr="00393432">
              <w:rPr>
                <w:sz w:val="27"/>
                <w:szCs w:val="27"/>
                <w:lang w:eastAsia="es-CR"/>
              </w:rPr>
              <w:t>4</w:t>
            </w:r>
          </w:p>
        </w:tc>
        <w:tc>
          <w:tcPr>
            <w:tcW w:w="995" w:type="pct"/>
            <w:shd w:val="clear" w:color="auto" w:fill="auto"/>
            <w:vAlign w:val="center"/>
            <w:hideMark/>
          </w:tcPr>
          <w:p w14:paraId="27EF2648" w14:textId="77777777" w:rsidR="005B2B6C" w:rsidRPr="00393432" w:rsidRDefault="005B2B6C" w:rsidP="00F50033">
            <w:pPr>
              <w:jc w:val="center"/>
              <w:rPr>
                <w:b/>
                <w:bCs/>
                <w:sz w:val="27"/>
                <w:szCs w:val="27"/>
                <w:lang w:eastAsia="es-CR"/>
              </w:rPr>
            </w:pPr>
            <w:r w:rsidRPr="00393432">
              <w:rPr>
                <w:b/>
                <w:bCs/>
                <w:sz w:val="27"/>
                <w:szCs w:val="27"/>
                <w:lang w:eastAsia="es-CR"/>
              </w:rPr>
              <w:t>84</w:t>
            </w:r>
          </w:p>
        </w:tc>
        <w:tc>
          <w:tcPr>
            <w:tcW w:w="993" w:type="pct"/>
            <w:shd w:val="clear" w:color="auto" w:fill="DEEAF6"/>
            <w:noWrap/>
            <w:vAlign w:val="center"/>
            <w:hideMark/>
          </w:tcPr>
          <w:p w14:paraId="1C9C54ED" w14:textId="77777777" w:rsidR="005B2B6C" w:rsidRPr="00393432" w:rsidRDefault="005B2B6C" w:rsidP="00F50033">
            <w:pPr>
              <w:jc w:val="center"/>
              <w:rPr>
                <w:b/>
                <w:bCs/>
                <w:sz w:val="27"/>
                <w:szCs w:val="27"/>
                <w:lang w:eastAsia="es-CR"/>
              </w:rPr>
            </w:pPr>
            <w:r w:rsidRPr="00393432">
              <w:rPr>
                <w:b/>
                <w:bCs/>
                <w:sz w:val="27"/>
                <w:szCs w:val="27"/>
                <w:lang w:eastAsia="es-CR"/>
              </w:rPr>
              <w:t>4</w:t>
            </w:r>
          </w:p>
        </w:tc>
        <w:tc>
          <w:tcPr>
            <w:tcW w:w="995" w:type="pct"/>
            <w:shd w:val="clear" w:color="auto" w:fill="DEEAF6"/>
            <w:noWrap/>
            <w:vAlign w:val="center"/>
            <w:hideMark/>
          </w:tcPr>
          <w:p w14:paraId="3472C77D" w14:textId="77777777" w:rsidR="005B2B6C" w:rsidRPr="00393432" w:rsidRDefault="005B2B6C" w:rsidP="00F50033">
            <w:pPr>
              <w:jc w:val="center"/>
              <w:rPr>
                <w:b/>
                <w:bCs/>
                <w:sz w:val="27"/>
                <w:szCs w:val="27"/>
                <w:lang w:eastAsia="es-CR"/>
              </w:rPr>
            </w:pPr>
            <w:r w:rsidRPr="00393432">
              <w:rPr>
                <w:b/>
                <w:bCs/>
                <w:sz w:val="27"/>
                <w:szCs w:val="27"/>
                <w:lang w:eastAsia="es-CR"/>
              </w:rPr>
              <w:t>84</w:t>
            </w:r>
          </w:p>
        </w:tc>
      </w:tr>
      <w:tr w:rsidR="00F50033" w:rsidRPr="00393432" w14:paraId="0278543E" w14:textId="77777777" w:rsidTr="00B909C8">
        <w:trPr>
          <w:trHeight w:val="290"/>
          <w:jc w:val="center"/>
        </w:trPr>
        <w:tc>
          <w:tcPr>
            <w:tcW w:w="1034" w:type="pct"/>
            <w:shd w:val="clear" w:color="auto" w:fill="auto"/>
            <w:noWrap/>
            <w:vAlign w:val="center"/>
            <w:hideMark/>
          </w:tcPr>
          <w:p w14:paraId="07CE1EE9" w14:textId="77777777" w:rsidR="005B2B6C" w:rsidRPr="00393432" w:rsidRDefault="005B2B6C" w:rsidP="00F50033">
            <w:pPr>
              <w:jc w:val="center"/>
              <w:rPr>
                <w:sz w:val="27"/>
                <w:szCs w:val="27"/>
                <w:lang w:eastAsia="es-CR"/>
              </w:rPr>
            </w:pPr>
            <w:r w:rsidRPr="00393432">
              <w:rPr>
                <w:sz w:val="27"/>
                <w:szCs w:val="27"/>
                <w:lang w:eastAsia="es-CR"/>
              </w:rPr>
              <w:t>Demandas</w:t>
            </w:r>
          </w:p>
        </w:tc>
        <w:tc>
          <w:tcPr>
            <w:tcW w:w="983" w:type="pct"/>
            <w:shd w:val="clear" w:color="auto" w:fill="auto"/>
            <w:noWrap/>
            <w:vAlign w:val="center"/>
            <w:hideMark/>
          </w:tcPr>
          <w:p w14:paraId="09848DB7" w14:textId="77777777" w:rsidR="005B2B6C" w:rsidRPr="00393432" w:rsidRDefault="005B2B6C" w:rsidP="00F50033">
            <w:pPr>
              <w:jc w:val="center"/>
              <w:rPr>
                <w:sz w:val="27"/>
                <w:szCs w:val="27"/>
                <w:lang w:eastAsia="es-CR"/>
              </w:rPr>
            </w:pPr>
            <w:r w:rsidRPr="00393432">
              <w:rPr>
                <w:sz w:val="27"/>
                <w:szCs w:val="27"/>
                <w:lang w:eastAsia="es-CR"/>
              </w:rPr>
              <w:t>7</w:t>
            </w:r>
          </w:p>
        </w:tc>
        <w:tc>
          <w:tcPr>
            <w:tcW w:w="995" w:type="pct"/>
            <w:shd w:val="clear" w:color="auto" w:fill="auto"/>
            <w:vAlign w:val="center"/>
            <w:hideMark/>
          </w:tcPr>
          <w:p w14:paraId="3D3D5A61" w14:textId="77777777" w:rsidR="005B2B6C" w:rsidRPr="00393432" w:rsidRDefault="005B2B6C" w:rsidP="00F50033">
            <w:pPr>
              <w:jc w:val="center"/>
              <w:rPr>
                <w:b/>
                <w:bCs/>
                <w:sz w:val="27"/>
                <w:szCs w:val="27"/>
                <w:lang w:eastAsia="es-CR"/>
              </w:rPr>
            </w:pPr>
            <w:r w:rsidRPr="00393432">
              <w:rPr>
                <w:b/>
                <w:bCs/>
                <w:sz w:val="27"/>
                <w:szCs w:val="27"/>
                <w:lang w:eastAsia="es-CR"/>
              </w:rPr>
              <w:t>147</w:t>
            </w:r>
          </w:p>
        </w:tc>
        <w:tc>
          <w:tcPr>
            <w:tcW w:w="993" w:type="pct"/>
            <w:shd w:val="clear" w:color="auto" w:fill="DEEAF6"/>
            <w:noWrap/>
            <w:vAlign w:val="center"/>
            <w:hideMark/>
          </w:tcPr>
          <w:p w14:paraId="75C11E37" w14:textId="77777777" w:rsidR="005B2B6C" w:rsidRPr="00393432" w:rsidRDefault="005B2B6C" w:rsidP="00F50033">
            <w:pPr>
              <w:jc w:val="center"/>
              <w:rPr>
                <w:b/>
                <w:bCs/>
                <w:sz w:val="27"/>
                <w:szCs w:val="27"/>
                <w:lang w:eastAsia="es-CR"/>
              </w:rPr>
            </w:pPr>
            <w:r w:rsidRPr="00393432">
              <w:rPr>
                <w:b/>
                <w:bCs/>
                <w:sz w:val="27"/>
                <w:szCs w:val="27"/>
                <w:lang w:eastAsia="es-CR"/>
              </w:rPr>
              <w:t>4</w:t>
            </w:r>
          </w:p>
        </w:tc>
        <w:tc>
          <w:tcPr>
            <w:tcW w:w="995" w:type="pct"/>
            <w:shd w:val="clear" w:color="auto" w:fill="DEEAF6"/>
            <w:noWrap/>
            <w:vAlign w:val="center"/>
            <w:hideMark/>
          </w:tcPr>
          <w:p w14:paraId="0CB1222A" w14:textId="77777777" w:rsidR="005B2B6C" w:rsidRPr="00393432" w:rsidRDefault="005B2B6C" w:rsidP="00F50033">
            <w:pPr>
              <w:jc w:val="center"/>
              <w:rPr>
                <w:b/>
                <w:bCs/>
                <w:sz w:val="27"/>
                <w:szCs w:val="27"/>
                <w:lang w:eastAsia="es-CR"/>
              </w:rPr>
            </w:pPr>
            <w:r w:rsidRPr="00393432">
              <w:rPr>
                <w:b/>
                <w:bCs/>
                <w:sz w:val="27"/>
                <w:szCs w:val="27"/>
                <w:lang w:eastAsia="es-CR"/>
              </w:rPr>
              <w:t>84</w:t>
            </w:r>
          </w:p>
        </w:tc>
      </w:tr>
      <w:tr w:rsidR="00F50033" w:rsidRPr="00393432" w14:paraId="36FF9796" w14:textId="77777777" w:rsidTr="00B909C8">
        <w:trPr>
          <w:trHeight w:val="290"/>
          <w:jc w:val="center"/>
        </w:trPr>
        <w:tc>
          <w:tcPr>
            <w:tcW w:w="1034" w:type="pct"/>
            <w:shd w:val="clear" w:color="auto" w:fill="auto"/>
            <w:noWrap/>
            <w:vAlign w:val="center"/>
            <w:hideMark/>
          </w:tcPr>
          <w:p w14:paraId="5D447DBA" w14:textId="77777777" w:rsidR="005B2B6C" w:rsidRPr="00393432" w:rsidRDefault="005B2B6C" w:rsidP="00F50033">
            <w:pPr>
              <w:jc w:val="center"/>
              <w:rPr>
                <w:sz w:val="27"/>
                <w:szCs w:val="27"/>
                <w:lang w:eastAsia="es-CR"/>
              </w:rPr>
            </w:pPr>
            <w:r w:rsidRPr="00393432">
              <w:rPr>
                <w:sz w:val="27"/>
                <w:szCs w:val="27"/>
                <w:lang w:eastAsia="es-CR"/>
              </w:rPr>
              <w:t>Remates</w:t>
            </w:r>
          </w:p>
        </w:tc>
        <w:tc>
          <w:tcPr>
            <w:tcW w:w="983" w:type="pct"/>
            <w:shd w:val="clear" w:color="auto" w:fill="auto"/>
            <w:noWrap/>
            <w:vAlign w:val="center"/>
            <w:hideMark/>
          </w:tcPr>
          <w:p w14:paraId="2798330C" w14:textId="77777777" w:rsidR="005B2B6C" w:rsidRPr="00393432" w:rsidRDefault="005B2B6C" w:rsidP="00F50033">
            <w:pPr>
              <w:jc w:val="center"/>
              <w:rPr>
                <w:sz w:val="27"/>
                <w:szCs w:val="27"/>
                <w:lang w:eastAsia="es-CR"/>
              </w:rPr>
            </w:pPr>
            <w:r w:rsidRPr="00393432">
              <w:rPr>
                <w:sz w:val="27"/>
                <w:szCs w:val="27"/>
                <w:lang w:eastAsia="es-CR"/>
              </w:rPr>
              <w:t>2</w:t>
            </w:r>
          </w:p>
        </w:tc>
        <w:tc>
          <w:tcPr>
            <w:tcW w:w="995" w:type="pct"/>
            <w:shd w:val="clear" w:color="auto" w:fill="auto"/>
            <w:vAlign w:val="center"/>
            <w:hideMark/>
          </w:tcPr>
          <w:p w14:paraId="14EB221D" w14:textId="77777777" w:rsidR="005B2B6C" w:rsidRPr="00393432" w:rsidRDefault="005B2B6C" w:rsidP="00F50033">
            <w:pPr>
              <w:jc w:val="center"/>
              <w:rPr>
                <w:b/>
                <w:bCs/>
                <w:sz w:val="27"/>
                <w:szCs w:val="27"/>
                <w:lang w:eastAsia="es-CR"/>
              </w:rPr>
            </w:pPr>
            <w:r w:rsidRPr="00393432">
              <w:rPr>
                <w:b/>
                <w:bCs/>
                <w:sz w:val="27"/>
                <w:szCs w:val="27"/>
                <w:lang w:eastAsia="es-CR"/>
              </w:rPr>
              <w:t>42</w:t>
            </w:r>
          </w:p>
        </w:tc>
        <w:tc>
          <w:tcPr>
            <w:tcW w:w="993" w:type="pct"/>
            <w:shd w:val="clear" w:color="auto" w:fill="DEEAF6"/>
            <w:noWrap/>
            <w:vAlign w:val="center"/>
            <w:hideMark/>
          </w:tcPr>
          <w:p w14:paraId="1B886258" w14:textId="77777777" w:rsidR="005B2B6C" w:rsidRPr="00393432" w:rsidRDefault="005B2B6C" w:rsidP="00F50033">
            <w:pPr>
              <w:jc w:val="center"/>
              <w:rPr>
                <w:b/>
                <w:bCs/>
                <w:sz w:val="27"/>
                <w:szCs w:val="27"/>
                <w:lang w:eastAsia="es-CR"/>
              </w:rPr>
            </w:pPr>
            <w:r w:rsidRPr="00393432">
              <w:rPr>
                <w:b/>
                <w:bCs/>
                <w:sz w:val="27"/>
                <w:szCs w:val="27"/>
                <w:lang w:eastAsia="es-CR"/>
              </w:rPr>
              <w:t>2</w:t>
            </w:r>
          </w:p>
        </w:tc>
        <w:tc>
          <w:tcPr>
            <w:tcW w:w="995" w:type="pct"/>
            <w:shd w:val="clear" w:color="auto" w:fill="DEEAF6"/>
            <w:noWrap/>
            <w:vAlign w:val="center"/>
            <w:hideMark/>
          </w:tcPr>
          <w:p w14:paraId="5A317919" w14:textId="77777777" w:rsidR="005B2B6C" w:rsidRPr="00393432" w:rsidRDefault="005B2B6C" w:rsidP="00F50033">
            <w:pPr>
              <w:jc w:val="center"/>
              <w:rPr>
                <w:b/>
                <w:bCs/>
                <w:sz w:val="27"/>
                <w:szCs w:val="27"/>
                <w:lang w:eastAsia="es-CR"/>
              </w:rPr>
            </w:pPr>
            <w:r w:rsidRPr="00393432">
              <w:rPr>
                <w:b/>
                <w:bCs/>
                <w:sz w:val="27"/>
                <w:szCs w:val="27"/>
                <w:lang w:eastAsia="es-CR"/>
              </w:rPr>
              <w:t>42</w:t>
            </w:r>
          </w:p>
        </w:tc>
      </w:tr>
      <w:tr w:rsidR="00F50033" w:rsidRPr="00393432" w14:paraId="7F287837" w14:textId="77777777" w:rsidTr="00B909C8">
        <w:trPr>
          <w:trHeight w:val="290"/>
          <w:jc w:val="center"/>
        </w:trPr>
        <w:tc>
          <w:tcPr>
            <w:tcW w:w="1034" w:type="pct"/>
            <w:shd w:val="clear" w:color="auto" w:fill="auto"/>
            <w:noWrap/>
            <w:vAlign w:val="center"/>
            <w:hideMark/>
          </w:tcPr>
          <w:p w14:paraId="066737BA" w14:textId="77777777" w:rsidR="005B2B6C" w:rsidRPr="00393432" w:rsidRDefault="005B2B6C" w:rsidP="00F50033">
            <w:pPr>
              <w:jc w:val="center"/>
              <w:rPr>
                <w:b/>
                <w:bCs/>
                <w:sz w:val="27"/>
                <w:szCs w:val="27"/>
                <w:lang w:eastAsia="es-CR"/>
              </w:rPr>
            </w:pPr>
            <w:r w:rsidRPr="00393432">
              <w:rPr>
                <w:b/>
                <w:bCs/>
                <w:sz w:val="27"/>
                <w:szCs w:val="27"/>
                <w:lang w:eastAsia="es-CR"/>
              </w:rPr>
              <w:t>Total</w:t>
            </w:r>
          </w:p>
        </w:tc>
        <w:tc>
          <w:tcPr>
            <w:tcW w:w="983" w:type="pct"/>
            <w:shd w:val="clear" w:color="auto" w:fill="auto"/>
            <w:noWrap/>
            <w:vAlign w:val="center"/>
            <w:hideMark/>
          </w:tcPr>
          <w:p w14:paraId="40D19311" w14:textId="77777777" w:rsidR="005B2B6C" w:rsidRPr="00393432" w:rsidRDefault="005B2B6C" w:rsidP="00F50033">
            <w:pPr>
              <w:jc w:val="center"/>
              <w:rPr>
                <w:b/>
                <w:bCs/>
                <w:sz w:val="27"/>
                <w:szCs w:val="27"/>
                <w:lang w:eastAsia="es-CR"/>
              </w:rPr>
            </w:pPr>
            <w:r w:rsidRPr="00393432">
              <w:rPr>
                <w:b/>
                <w:bCs/>
                <w:sz w:val="27"/>
                <w:szCs w:val="27"/>
                <w:lang w:eastAsia="es-CR"/>
              </w:rPr>
              <w:t>27</w:t>
            </w:r>
          </w:p>
        </w:tc>
        <w:tc>
          <w:tcPr>
            <w:tcW w:w="995" w:type="pct"/>
            <w:shd w:val="clear" w:color="auto" w:fill="auto"/>
            <w:vAlign w:val="center"/>
            <w:hideMark/>
          </w:tcPr>
          <w:p w14:paraId="4303CB5E" w14:textId="77777777" w:rsidR="005B2B6C" w:rsidRPr="00393432" w:rsidRDefault="005B2B6C" w:rsidP="00F50033">
            <w:pPr>
              <w:jc w:val="center"/>
              <w:rPr>
                <w:b/>
                <w:bCs/>
                <w:sz w:val="27"/>
                <w:szCs w:val="27"/>
                <w:lang w:eastAsia="es-CR"/>
              </w:rPr>
            </w:pPr>
            <w:r w:rsidRPr="00393432">
              <w:rPr>
                <w:b/>
                <w:bCs/>
                <w:sz w:val="27"/>
                <w:szCs w:val="27"/>
                <w:lang w:eastAsia="es-CR"/>
              </w:rPr>
              <w:t>588</w:t>
            </w:r>
          </w:p>
        </w:tc>
        <w:tc>
          <w:tcPr>
            <w:tcW w:w="993" w:type="pct"/>
            <w:shd w:val="clear" w:color="auto" w:fill="DEEAF6"/>
            <w:noWrap/>
            <w:vAlign w:val="center"/>
            <w:hideMark/>
          </w:tcPr>
          <w:p w14:paraId="039DA6F9" w14:textId="77777777" w:rsidR="005B2B6C" w:rsidRPr="00393432" w:rsidRDefault="005B2B6C" w:rsidP="00F50033">
            <w:pPr>
              <w:jc w:val="center"/>
              <w:rPr>
                <w:b/>
                <w:bCs/>
                <w:sz w:val="27"/>
                <w:szCs w:val="27"/>
                <w:lang w:eastAsia="es-CR"/>
              </w:rPr>
            </w:pPr>
            <w:r w:rsidRPr="00393432">
              <w:rPr>
                <w:b/>
                <w:bCs/>
                <w:sz w:val="27"/>
                <w:szCs w:val="27"/>
                <w:lang w:eastAsia="es-CR"/>
              </w:rPr>
              <w:t>31</w:t>
            </w:r>
          </w:p>
        </w:tc>
        <w:tc>
          <w:tcPr>
            <w:tcW w:w="995" w:type="pct"/>
            <w:shd w:val="clear" w:color="auto" w:fill="DEEAF6"/>
            <w:noWrap/>
            <w:vAlign w:val="center"/>
            <w:hideMark/>
          </w:tcPr>
          <w:p w14:paraId="521B5F6B" w14:textId="77777777" w:rsidR="005B2B6C" w:rsidRPr="00393432" w:rsidRDefault="005B2B6C" w:rsidP="00F50033">
            <w:pPr>
              <w:jc w:val="center"/>
              <w:rPr>
                <w:b/>
                <w:bCs/>
                <w:sz w:val="27"/>
                <w:szCs w:val="27"/>
                <w:lang w:eastAsia="es-CR"/>
              </w:rPr>
            </w:pPr>
            <w:r w:rsidRPr="00393432">
              <w:rPr>
                <w:b/>
                <w:bCs/>
                <w:sz w:val="27"/>
                <w:szCs w:val="27"/>
                <w:lang w:eastAsia="es-CR"/>
              </w:rPr>
              <w:t>567</w:t>
            </w:r>
          </w:p>
        </w:tc>
      </w:tr>
    </w:tbl>
    <w:p w14:paraId="4E98C8D8" w14:textId="77777777" w:rsidR="005B2B6C" w:rsidRPr="00393432" w:rsidRDefault="005B2B6C" w:rsidP="00F50033">
      <w:pPr>
        <w:tabs>
          <w:tab w:val="left" w:pos="7513"/>
          <w:tab w:val="left" w:pos="7655"/>
          <w:tab w:val="left" w:pos="8222"/>
        </w:tabs>
        <w:ind w:left="1418" w:right="1469"/>
        <w:jc w:val="both"/>
        <w:rPr>
          <w:b/>
          <w:bCs/>
          <w:sz w:val="27"/>
          <w:szCs w:val="27"/>
        </w:rPr>
      </w:pPr>
      <w:r w:rsidRPr="00393432">
        <w:rPr>
          <w:b/>
          <w:bCs/>
          <w:sz w:val="27"/>
          <w:szCs w:val="27"/>
        </w:rPr>
        <w:t>Fuente:</w:t>
      </w:r>
      <w:r w:rsidRPr="00393432">
        <w:rPr>
          <w:sz w:val="27"/>
          <w:szCs w:val="27"/>
        </w:rPr>
        <w:t xml:space="preserve"> Subproceso de Evaluación Institucional de la Dirección de Planificación con datos recopilados del seguimiento mensual del Plan de Trabajo 1219-PLA-EV-2021.</w:t>
      </w:r>
    </w:p>
    <w:p w14:paraId="565DF1D7" w14:textId="77777777" w:rsidR="005B2B6C" w:rsidRPr="00393432" w:rsidRDefault="005B2B6C" w:rsidP="00F50033">
      <w:pPr>
        <w:ind w:left="851" w:right="851" w:firstLine="709"/>
        <w:jc w:val="both"/>
        <w:rPr>
          <w:sz w:val="27"/>
          <w:szCs w:val="27"/>
        </w:rPr>
      </w:pPr>
    </w:p>
    <w:p w14:paraId="6D13AA1B" w14:textId="77777777" w:rsidR="005B2B6C" w:rsidRPr="00393432" w:rsidRDefault="005B2B6C" w:rsidP="006B0961">
      <w:pPr>
        <w:keepNext/>
        <w:widowControl w:val="0"/>
        <w:numPr>
          <w:ilvl w:val="0"/>
          <w:numId w:val="10"/>
        </w:numPr>
        <w:tabs>
          <w:tab w:val="num" w:pos="720"/>
        </w:tabs>
        <w:suppressAutoHyphens w:val="0"/>
        <w:autoSpaceDE w:val="0"/>
        <w:autoSpaceDN w:val="0"/>
        <w:adjustRightInd w:val="0"/>
        <w:ind w:left="851" w:right="851" w:firstLine="709"/>
        <w:jc w:val="both"/>
        <w:rPr>
          <w:b/>
          <w:bCs/>
          <w:i/>
          <w:iCs/>
          <w:kern w:val="1"/>
          <w:sz w:val="27"/>
          <w:szCs w:val="27"/>
          <w:u w:val="single"/>
        </w:rPr>
      </w:pPr>
      <w:bookmarkStart w:id="5" w:name="_Toc112071087"/>
      <w:r w:rsidRPr="00393432">
        <w:rPr>
          <w:b/>
          <w:bCs/>
          <w:kern w:val="1"/>
          <w:sz w:val="27"/>
          <w:szCs w:val="27"/>
          <w:u w:val="single"/>
        </w:rPr>
        <w:t>Cuotas alcanzadas en materia Civil por parte del personal técnico judicial del Juzgado Civil del Segundo Circuito Judicial de Alajuela (enero a abril de 2022)</w:t>
      </w:r>
      <w:bookmarkEnd w:id="5"/>
    </w:p>
    <w:p w14:paraId="2671C851" w14:textId="77777777" w:rsidR="005B2B6C" w:rsidRPr="00393432" w:rsidRDefault="005B2B6C" w:rsidP="00F50033">
      <w:pPr>
        <w:shd w:val="clear" w:color="auto" w:fill="FFFFFF"/>
        <w:ind w:left="851" w:right="851" w:firstLine="709"/>
        <w:jc w:val="both"/>
        <w:rPr>
          <w:sz w:val="27"/>
          <w:szCs w:val="27"/>
        </w:rPr>
      </w:pPr>
    </w:p>
    <w:p w14:paraId="761EA4AA" w14:textId="77777777" w:rsidR="005B2B6C" w:rsidRPr="00393432" w:rsidRDefault="005B2B6C" w:rsidP="00F50033">
      <w:pPr>
        <w:shd w:val="clear" w:color="auto" w:fill="FFFFFF"/>
        <w:ind w:left="851" w:right="851" w:firstLine="709"/>
        <w:jc w:val="both"/>
        <w:rPr>
          <w:noProof/>
          <w:sz w:val="27"/>
          <w:szCs w:val="27"/>
        </w:rPr>
      </w:pPr>
      <w:r w:rsidRPr="00393432">
        <w:rPr>
          <w:sz w:val="27"/>
          <w:szCs w:val="27"/>
        </w:rPr>
        <w:t xml:space="preserve">En atención del acuerdo del Consejo Superior en </w:t>
      </w:r>
      <w:r w:rsidRPr="00393432">
        <w:rPr>
          <w:b/>
          <w:bCs/>
          <w:sz w:val="27"/>
          <w:szCs w:val="27"/>
        </w:rPr>
        <w:t>sesión 104-2021, art. XXXIII</w:t>
      </w:r>
      <w:r w:rsidRPr="00393432">
        <w:rPr>
          <w:sz w:val="27"/>
          <w:szCs w:val="27"/>
        </w:rPr>
        <w:t xml:space="preserve"> el Juzgado Civil del Segundo Circuito </w:t>
      </w:r>
      <w:r w:rsidRPr="00393432">
        <w:rPr>
          <w:sz w:val="27"/>
          <w:szCs w:val="27"/>
        </w:rPr>
        <w:lastRenderedPageBreak/>
        <w:t xml:space="preserve">Judicial de Alajuela mantiene </w:t>
      </w:r>
      <w:r w:rsidRPr="00393432">
        <w:rPr>
          <w:noProof/>
          <w:sz w:val="27"/>
          <w:szCs w:val="27"/>
        </w:rPr>
        <w:t xml:space="preserve">dos personas técnicas judiciales abocadas al 100% al trámite de materia Civil. </w:t>
      </w:r>
    </w:p>
    <w:p w14:paraId="109FF46A" w14:textId="77777777" w:rsidR="005B2B6C" w:rsidRPr="00393432" w:rsidRDefault="005B2B6C" w:rsidP="00F50033">
      <w:pPr>
        <w:shd w:val="clear" w:color="auto" w:fill="FFFFFF"/>
        <w:ind w:left="851" w:right="851" w:firstLine="709"/>
        <w:jc w:val="both"/>
        <w:rPr>
          <w:noProof/>
          <w:sz w:val="27"/>
          <w:szCs w:val="27"/>
        </w:rPr>
      </w:pPr>
    </w:p>
    <w:p w14:paraId="6370344A" w14:textId="77777777" w:rsidR="005B2B6C" w:rsidRPr="00393432" w:rsidRDefault="005B2B6C" w:rsidP="00F50033">
      <w:pPr>
        <w:shd w:val="clear" w:color="auto" w:fill="FFFFFF"/>
        <w:ind w:left="851" w:right="851" w:firstLine="709"/>
        <w:jc w:val="both"/>
        <w:rPr>
          <w:sz w:val="27"/>
          <w:szCs w:val="27"/>
        </w:rPr>
      </w:pPr>
      <w:r w:rsidRPr="00393432">
        <w:rPr>
          <w:sz w:val="27"/>
          <w:szCs w:val="27"/>
        </w:rPr>
        <w:t>Además, el Consejo Superior dispuso que ante eventuales planes remediales (atención de escritos, inventarios estadísticos entre otros) requeridos a lo interno del Juzgado Civil del Segundo Circuito Judicial de Alajuela, el Equipo de Mejora de Procesos del Despacho podrá apoyarse en el trámite de asuntos con la plaza de Técnico Judicial 2 asignado a tiempo completo en el Área de Manifestación.</w:t>
      </w:r>
    </w:p>
    <w:p w14:paraId="6292D40C" w14:textId="77777777" w:rsidR="005B2B6C" w:rsidRPr="00393432" w:rsidRDefault="005B2B6C" w:rsidP="00F50033">
      <w:pPr>
        <w:ind w:left="851" w:right="851" w:firstLine="709"/>
        <w:jc w:val="both"/>
        <w:rPr>
          <w:sz w:val="27"/>
          <w:szCs w:val="27"/>
        </w:rPr>
      </w:pPr>
    </w:p>
    <w:p w14:paraId="35DDB00B" w14:textId="77777777" w:rsidR="005B2B6C" w:rsidRPr="00393432" w:rsidRDefault="005B2B6C" w:rsidP="00F50033">
      <w:pPr>
        <w:ind w:left="851" w:right="851" w:firstLine="709"/>
        <w:jc w:val="both"/>
        <w:rPr>
          <w:sz w:val="27"/>
          <w:szCs w:val="27"/>
        </w:rPr>
      </w:pPr>
      <w:r w:rsidRPr="00393432">
        <w:rPr>
          <w:sz w:val="27"/>
          <w:szCs w:val="27"/>
        </w:rPr>
        <w:t xml:space="preserve">A continuación, se muestra el detalle de las cuotas alcanzadas en materia de Civil por parte del personal técnico de judicial del Juzgado Civil del Segundo Circuito Judicial de Alajuela. </w:t>
      </w:r>
    </w:p>
    <w:p w14:paraId="14B76E1D" w14:textId="77777777" w:rsidR="005B2B6C" w:rsidRPr="00393432" w:rsidRDefault="005B2B6C" w:rsidP="00F50033">
      <w:pPr>
        <w:keepNext/>
        <w:widowControl w:val="0"/>
        <w:suppressAutoHyphens w:val="0"/>
        <w:autoSpaceDE w:val="0"/>
        <w:autoSpaceDN w:val="0"/>
        <w:adjustRightInd w:val="0"/>
        <w:jc w:val="center"/>
        <w:rPr>
          <w:b/>
          <w:bCs/>
          <w:sz w:val="27"/>
          <w:szCs w:val="27"/>
          <w:lang w:eastAsia="es-ES"/>
        </w:rPr>
      </w:pPr>
    </w:p>
    <w:p w14:paraId="5C081963" w14:textId="77777777" w:rsidR="005B2B6C" w:rsidRPr="00393432" w:rsidRDefault="005B2B6C" w:rsidP="00F50033">
      <w:pPr>
        <w:keepNext/>
        <w:widowControl w:val="0"/>
        <w:suppressAutoHyphens w:val="0"/>
        <w:autoSpaceDE w:val="0"/>
        <w:autoSpaceDN w:val="0"/>
        <w:adjustRightInd w:val="0"/>
        <w:ind w:left="851" w:right="851"/>
        <w:jc w:val="center"/>
        <w:rPr>
          <w:b/>
          <w:bCs/>
          <w:sz w:val="27"/>
          <w:szCs w:val="27"/>
          <w:lang w:eastAsia="es-ES"/>
        </w:rPr>
      </w:pPr>
      <w:r w:rsidRPr="00393432">
        <w:rPr>
          <w:b/>
          <w:bCs/>
          <w:sz w:val="27"/>
          <w:szCs w:val="27"/>
          <w:lang w:eastAsia="es-ES"/>
        </w:rPr>
        <w:t xml:space="preserve">Cuadro </w:t>
      </w:r>
      <w:r w:rsidRPr="00393432">
        <w:rPr>
          <w:b/>
          <w:bCs/>
          <w:sz w:val="27"/>
          <w:szCs w:val="27"/>
          <w:lang w:eastAsia="es-ES"/>
        </w:rPr>
        <w:fldChar w:fldCharType="begin"/>
      </w:r>
      <w:r w:rsidRPr="00393432">
        <w:rPr>
          <w:b/>
          <w:bCs/>
          <w:sz w:val="27"/>
          <w:szCs w:val="27"/>
          <w:lang w:eastAsia="es-ES"/>
        </w:rPr>
        <w:instrText xml:space="preserve"> SEQ Cuadro \* ARABIC </w:instrText>
      </w:r>
      <w:r w:rsidRPr="00393432">
        <w:rPr>
          <w:b/>
          <w:bCs/>
          <w:sz w:val="27"/>
          <w:szCs w:val="27"/>
          <w:lang w:eastAsia="es-ES"/>
        </w:rPr>
        <w:fldChar w:fldCharType="separate"/>
      </w:r>
      <w:r w:rsidRPr="00393432">
        <w:rPr>
          <w:b/>
          <w:bCs/>
          <w:noProof/>
          <w:sz w:val="27"/>
          <w:szCs w:val="27"/>
          <w:lang w:eastAsia="es-ES"/>
        </w:rPr>
        <w:t>2</w:t>
      </w:r>
      <w:r w:rsidRPr="00393432">
        <w:rPr>
          <w:b/>
          <w:bCs/>
          <w:sz w:val="27"/>
          <w:szCs w:val="27"/>
          <w:lang w:eastAsia="es-ES"/>
        </w:rPr>
        <w:fldChar w:fldCharType="end"/>
      </w:r>
    </w:p>
    <w:p w14:paraId="3DC2D66A" w14:textId="0593760C" w:rsidR="005B2B6C" w:rsidRPr="00393432" w:rsidRDefault="005B2B6C" w:rsidP="00F50033">
      <w:pPr>
        <w:keepNext/>
        <w:widowControl w:val="0"/>
        <w:suppressAutoHyphens w:val="0"/>
        <w:autoSpaceDE w:val="0"/>
        <w:autoSpaceDN w:val="0"/>
        <w:adjustRightInd w:val="0"/>
        <w:ind w:left="851" w:right="851"/>
        <w:jc w:val="center"/>
        <w:rPr>
          <w:b/>
          <w:bCs/>
          <w:sz w:val="27"/>
          <w:szCs w:val="27"/>
          <w:lang w:eastAsia="es-ES"/>
        </w:rPr>
      </w:pPr>
      <w:r w:rsidRPr="00393432">
        <w:rPr>
          <w:b/>
          <w:bCs/>
          <w:sz w:val="27"/>
          <w:szCs w:val="27"/>
          <w:lang w:eastAsia="es-ES"/>
        </w:rPr>
        <w:t>Plan de trabajo 1219-PLA-EV-2021. Cuotas alcanzadas en materia de Civil por parte del personal técnico de judicial del Juzgado Civil del Segundo Circuito Judicial de Alajuela, de enero a abril de 2022</w:t>
      </w:r>
    </w:p>
    <w:p w14:paraId="05246183" w14:textId="77777777" w:rsidR="00F50033" w:rsidRPr="00393432" w:rsidRDefault="00F50033" w:rsidP="00F50033">
      <w:pPr>
        <w:keepNext/>
        <w:widowControl w:val="0"/>
        <w:suppressAutoHyphens w:val="0"/>
        <w:autoSpaceDE w:val="0"/>
        <w:autoSpaceDN w:val="0"/>
        <w:adjustRightInd w:val="0"/>
        <w:ind w:left="851" w:right="851"/>
        <w:jc w:val="center"/>
        <w:rPr>
          <w:b/>
          <w:bCs/>
          <w:sz w:val="27"/>
          <w:szCs w:val="27"/>
          <w:lang w:eastAsia="es-ES"/>
        </w:rPr>
      </w:pPr>
    </w:p>
    <w:p w14:paraId="76A8661D" w14:textId="77777777" w:rsidR="005B2B6C" w:rsidRPr="00393432" w:rsidRDefault="005B2B6C" w:rsidP="00F50033">
      <w:pPr>
        <w:ind w:right="74"/>
        <w:jc w:val="both"/>
        <w:rPr>
          <w:noProof/>
          <w:sz w:val="27"/>
          <w:szCs w:val="27"/>
        </w:rPr>
      </w:pPr>
      <w:r w:rsidRPr="00393432">
        <w:rPr>
          <w:noProof/>
          <w:sz w:val="27"/>
          <w:szCs w:val="27"/>
        </w:rPr>
        <w:drawing>
          <wp:inline distT="0" distB="0" distL="0" distR="0" wp14:anchorId="0BDD0E7B" wp14:editId="3A814E7D">
            <wp:extent cx="5613400" cy="1772920"/>
            <wp:effectExtent l="0" t="0" r="0" b="0"/>
            <wp:docPr id="1930"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 name="Imagen 1" descr="Tabl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1772920"/>
                    </a:xfrm>
                    <a:prstGeom prst="rect">
                      <a:avLst/>
                    </a:prstGeom>
                    <a:noFill/>
                    <a:ln>
                      <a:noFill/>
                    </a:ln>
                  </pic:spPr>
                </pic:pic>
              </a:graphicData>
            </a:graphic>
          </wp:inline>
        </w:drawing>
      </w:r>
    </w:p>
    <w:p w14:paraId="35625CEC" w14:textId="77777777" w:rsidR="005B2B6C" w:rsidRPr="00393432" w:rsidRDefault="005B2B6C" w:rsidP="00F50033">
      <w:pPr>
        <w:ind w:right="193"/>
        <w:jc w:val="both"/>
        <w:rPr>
          <w:b/>
          <w:bCs/>
          <w:sz w:val="27"/>
          <w:szCs w:val="27"/>
        </w:rPr>
      </w:pPr>
      <w:r w:rsidRPr="00393432">
        <w:rPr>
          <w:b/>
          <w:bCs/>
          <w:sz w:val="27"/>
          <w:szCs w:val="27"/>
        </w:rPr>
        <w:t>Fuente:</w:t>
      </w:r>
      <w:r w:rsidRPr="00393432">
        <w:rPr>
          <w:sz w:val="27"/>
          <w:szCs w:val="27"/>
        </w:rPr>
        <w:t xml:space="preserve"> Subproceso de Evaluación Institucional de la Dirección de Planificación con datos recopilados de la matriz de indicadores de gestión a abril de 2022 del Juzgado Civil del II.C.J de Alajuela.</w:t>
      </w:r>
    </w:p>
    <w:p w14:paraId="1993A347" w14:textId="77777777" w:rsidR="005B2B6C" w:rsidRPr="00393432" w:rsidRDefault="005B2B6C" w:rsidP="00F50033">
      <w:pPr>
        <w:ind w:left="851" w:right="851" w:firstLine="709"/>
        <w:jc w:val="both"/>
        <w:rPr>
          <w:sz w:val="27"/>
          <w:szCs w:val="27"/>
        </w:rPr>
      </w:pPr>
    </w:p>
    <w:p w14:paraId="4FEB9097" w14:textId="77777777" w:rsidR="005B2B6C" w:rsidRPr="00393432" w:rsidRDefault="005B2B6C" w:rsidP="00F50033">
      <w:pPr>
        <w:ind w:left="851" w:right="851" w:firstLine="709"/>
        <w:jc w:val="both"/>
        <w:rPr>
          <w:sz w:val="27"/>
          <w:szCs w:val="27"/>
        </w:rPr>
      </w:pPr>
      <w:r w:rsidRPr="00393432">
        <w:rPr>
          <w:sz w:val="27"/>
          <w:szCs w:val="27"/>
        </w:rPr>
        <w:t xml:space="preserve">Se aclara que se presentan las cuotas alcanzadas por parte del personal técnico judicial del Juzgado Civil del Segundo Circuito Judicial de Alajuela incluida la cuota del técnico de </w:t>
      </w:r>
      <w:r w:rsidRPr="00393432">
        <w:rPr>
          <w:sz w:val="27"/>
          <w:szCs w:val="27"/>
        </w:rPr>
        <w:lastRenderedPageBreak/>
        <w:t xml:space="preserve">manifestación (hoy Técnico 3), debido a que la oficina coordinó a lo interno para que los expedientes de la plaza que pasó a tramitar 100% materia cobratoria fueran asumidos por el técnico de manifestación (anteriormente Técnico 4). </w:t>
      </w:r>
    </w:p>
    <w:p w14:paraId="1B16DABB" w14:textId="77777777" w:rsidR="005B2B6C" w:rsidRPr="00393432" w:rsidRDefault="005B2B6C" w:rsidP="00F50033">
      <w:pPr>
        <w:ind w:left="851" w:right="851" w:firstLine="709"/>
        <w:jc w:val="both"/>
        <w:rPr>
          <w:sz w:val="27"/>
          <w:szCs w:val="27"/>
        </w:rPr>
      </w:pPr>
    </w:p>
    <w:p w14:paraId="56D204A9" w14:textId="77777777" w:rsidR="005B2B6C" w:rsidRPr="00393432" w:rsidRDefault="005B2B6C" w:rsidP="00F50033">
      <w:pPr>
        <w:ind w:left="851" w:right="851" w:firstLine="709"/>
        <w:jc w:val="both"/>
        <w:rPr>
          <w:sz w:val="27"/>
          <w:szCs w:val="27"/>
        </w:rPr>
      </w:pPr>
      <w:r w:rsidRPr="00393432">
        <w:rPr>
          <w:sz w:val="27"/>
          <w:szCs w:val="27"/>
        </w:rPr>
        <w:t>Es importante indicar que el valor consignado en enero en el Técnico 4, debió ser considerado en conjunto con lo registrado al Técnico 3, dado que es la misma persona.</w:t>
      </w:r>
    </w:p>
    <w:p w14:paraId="5209A13C" w14:textId="77777777" w:rsidR="005B2B6C" w:rsidRPr="00393432" w:rsidRDefault="005B2B6C" w:rsidP="00F50033">
      <w:pPr>
        <w:ind w:left="851" w:right="851" w:firstLine="709"/>
        <w:jc w:val="both"/>
        <w:rPr>
          <w:sz w:val="27"/>
          <w:szCs w:val="27"/>
        </w:rPr>
      </w:pPr>
    </w:p>
    <w:p w14:paraId="567B4C78" w14:textId="77777777" w:rsidR="005B2B6C" w:rsidRPr="00393432" w:rsidRDefault="005B2B6C" w:rsidP="00F50033">
      <w:pPr>
        <w:ind w:left="851" w:right="851" w:firstLine="709"/>
        <w:jc w:val="both"/>
        <w:rPr>
          <w:sz w:val="27"/>
          <w:szCs w:val="27"/>
          <w:u w:val="single"/>
        </w:rPr>
      </w:pPr>
      <w:r w:rsidRPr="00393432">
        <w:rPr>
          <w:sz w:val="27"/>
          <w:szCs w:val="27"/>
        </w:rPr>
        <w:t>Se indica que el personal técnico del Juzgado Civil tramitó un total 1522 resoluciones entre enero a abril de 2022.</w:t>
      </w:r>
    </w:p>
    <w:p w14:paraId="533170FB" w14:textId="77777777" w:rsidR="005B2B6C" w:rsidRPr="00393432" w:rsidRDefault="005B2B6C" w:rsidP="00F50033">
      <w:pPr>
        <w:ind w:left="851" w:right="851" w:firstLine="709"/>
        <w:jc w:val="both"/>
        <w:rPr>
          <w:sz w:val="27"/>
          <w:szCs w:val="27"/>
        </w:rPr>
      </w:pPr>
    </w:p>
    <w:p w14:paraId="2AC841C6" w14:textId="77777777" w:rsidR="005B2B6C" w:rsidRPr="00393432" w:rsidRDefault="005B2B6C" w:rsidP="00F50033">
      <w:pPr>
        <w:ind w:left="851" w:right="851" w:firstLine="709"/>
        <w:jc w:val="both"/>
        <w:rPr>
          <w:sz w:val="27"/>
          <w:szCs w:val="27"/>
        </w:rPr>
      </w:pPr>
      <w:r w:rsidRPr="00393432">
        <w:rPr>
          <w:sz w:val="27"/>
          <w:szCs w:val="27"/>
        </w:rPr>
        <w:t xml:space="preserve">Aunado a la gestión operativa del Juzgado Civil del Segundo Circuito Judicial de Alajuela se visualizan a nivel de los indicadores de gestión para enero a abril de 2022 el indicador de plazo de resolver escritos en condición Bien “B” con una métrica de 21 días a enero de 2022 y 0 días en abril con una condición Excelente “A”. </w:t>
      </w:r>
    </w:p>
    <w:p w14:paraId="5F9014AE" w14:textId="77777777" w:rsidR="005B2B6C" w:rsidRPr="00393432" w:rsidRDefault="005B2B6C" w:rsidP="00F50033">
      <w:pPr>
        <w:ind w:left="851" w:right="851" w:firstLine="709"/>
        <w:jc w:val="both"/>
        <w:rPr>
          <w:sz w:val="27"/>
          <w:szCs w:val="27"/>
        </w:rPr>
      </w:pPr>
    </w:p>
    <w:p w14:paraId="3576498D" w14:textId="77777777" w:rsidR="005B2B6C" w:rsidRPr="00393432" w:rsidRDefault="005B2B6C" w:rsidP="00F50033">
      <w:pPr>
        <w:ind w:left="851" w:right="851" w:firstLine="709"/>
        <w:jc w:val="both"/>
        <w:rPr>
          <w:sz w:val="27"/>
          <w:szCs w:val="27"/>
        </w:rPr>
      </w:pPr>
      <w:r w:rsidRPr="00393432">
        <w:rPr>
          <w:sz w:val="27"/>
          <w:szCs w:val="27"/>
        </w:rPr>
        <w:t xml:space="preserve">Por otra parte, se registra el plazo para resolver demandas nuevas con una métrica de 7 días a enero de 2022 y 0 días a abril de 2022, ambos datos dentro del parámetro establecido de 5 a 7 días naturales. </w:t>
      </w:r>
    </w:p>
    <w:p w14:paraId="15F0871C" w14:textId="77777777" w:rsidR="005B2B6C" w:rsidRPr="00393432" w:rsidRDefault="005B2B6C" w:rsidP="00F50033">
      <w:pPr>
        <w:keepNext/>
        <w:widowControl w:val="0"/>
        <w:suppressAutoHyphens w:val="0"/>
        <w:autoSpaceDE w:val="0"/>
        <w:autoSpaceDN w:val="0"/>
        <w:adjustRightInd w:val="0"/>
        <w:ind w:left="851" w:right="851"/>
        <w:jc w:val="center"/>
        <w:rPr>
          <w:b/>
          <w:bCs/>
          <w:sz w:val="27"/>
          <w:szCs w:val="27"/>
          <w:lang w:eastAsia="es-ES"/>
        </w:rPr>
      </w:pPr>
      <w:r w:rsidRPr="00393432">
        <w:rPr>
          <w:b/>
          <w:bCs/>
          <w:sz w:val="27"/>
          <w:szCs w:val="27"/>
          <w:lang w:eastAsia="es-ES"/>
        </w:rPr>
        <w:t xml:space="preserve">Cuadro </w:t>
      </w:r>
      <w:r w:rsidRPr="00393432">
        <w:rPr>
          <w:b/>
          <w:bCs/>
          <w:sz w:val="27"/>
          <w:szCs w:val="27"/>
          <w:lang w:eastAsia="es-ES"/>
        </w:rPr>
        <w:fldChar w:fldCharType="begin"/>
      </w:r>
      <w:r w:rsidRPr="00393432">
        <w:rPr>
          <w:b/>
          <w:bCs/>
          <w:sz w:val="27"/>
          <w:szCs w:val="27"/>
          <w:lang w:eastAsia="es-ES"/>
        </w:rPr>
        <w:instrText xml:space="preserve"> SEQ Cuadro \* ARABIC </w:instrText>
      </w:r>
      <w:r w:rsidRPr="00393432">
        <w:rPr>
          <w:b/>
          <w:bCs/>
          <w:sz w:val="27"/>
          <w:szCs w:val="27"/>
          <w:lang w:eastAsia="es-ES"/>
        </w:rPr>
        <w:fldChar w:fldCharType="separate"/>
      </w:r>
      <w:r w:rsidRPr="00393432">
        <w:rPr>
          <w:b/>
          <w:bCs/>
          <w:noProof/>
          <w:sz w:val="27"/>
          <w:szCs w:val="27"/>
          <w:lang w:eastAsia="es-ES"/>
        </w:rPr>
        <w:t>3</w:t>
      </w:r>
      <w:r w:rsidRPr="00393432">
        <w:rPr>
          <w:b/>
          <w:bCs/>
          <w:sz w:val="27"/>
          <w:szCs w:val="27"/>
          <w:lang w:eastAsia="es-ES"/>
        </w:rPr>
        <w:fldChar w:fldCharType="end"/>
      </w:r>
    </w:p>
    <w:p w14:paraId="477BEB54" w14:textId="77777777" w:rsidR="005B2B6C" w:rsidRPr="00393432" w:rsidRDefault="005B2B6C" w:rsidP="00F50033">
      <w:pPr>
        <w:keepNext/>
        <w:widowControl w:val="0"/>
        <w:suppressAutoHyphens w:val="0"/>
        <w:autoSpaceDE w:val="0"/>
        <w:autoSpaceDN w:val="0"/>
        <w:adjustRightInd w:val="0"/>
        <w:ind w:left="851" w:right="851"/>
        <w:jc w:val="center"/>
        <w:rPr>
          <w:b/>
          <w:bCs/>
          <w:sz w:val="27"/>
          <w:szCs w:val="27"/>
          <w:lang w:eastAsia="es-ES"/>
        </w:rPr>
      </w:pPr>
      <w:r w:rsidRPr="00393432">
        <w:rPr>
          <w:b/>
          <w:bCs/>
          <w:sz w:val="27"/>
          <w:szCs w:val="27"/>
          <w:lang w:eastAsia="es-ES"/>
        </w:rPr>
        <w:t>Indicadores de gestión asociados al plazo para resolver demandas y escritos, dentro de los parámetros establecidos, de enero a abril de 2022</w:t>
      </w:r>
    </w:p>
    <w:p w14:paraId="77FFCB28" w14:textId="77777777" w:rsidR="005B2B6C" w:rsidRPr="00393432" w:rsidRDefault="005B2B6C" w:rsidP="00F50033">
      <w:pPr>
        <w:ind w:right="74"/>
        <w:jc w:val="center"/>
        <w:rPr>
          <w:noProof/>
          <w:sz w:val="27"/>
          <w:szCs w:val="27"/>
        </w:rPr>
      </w:pPr>
      <w:r w:rsidRPr="00393432">
        <w:rPr>
          <w:noProof/>
          <w:sz w:val="27"/>
          <w:szCs w:val="27"/>
        </w:rPr>
        <w:drawing>
          <wp:inline distT="0" distB="0" distL="0" distR="0" wp14:anchorId="0DACE808" wp14:editId="3D4E2D7C">
            <wp:extent cx="5613400" cy="1264285"/>
            <wp:effectExtent l="0" t="0" r="0" b="0"/>
            <wp:docPr id="1931" name="Imagen 1" descr="Tabla,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Tabla, Escala de tiemp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1264285"/>
                    </a:xfrm>
                    <a:prstGeom prst="rect">
                      <a:avLst/>
                    </a:prstGeom>
                    <a:noFill/>
                    <a:ln>
                      <a:noFill/>
                    </a:ln>
                  </pic:spPr>
                </pic:pic>
              </a:graphicData>
            </a:graphic>
          </wp:inline>
        </w:drawing>
      </w:r>
    </w:p>
    <w:p w14:paraId="2B21AEF9" w14:textId="77777777" w:rsidR="005B2B6C" w:rsidRPr="00393432" w:rsidRDefault="005B2B6C" w:rsidP="00F50033">
      <w:pPr>
        <w:ind w:right="193"/>
        <w:jc w:val="both"/>
        <w:rPr>
          <w:b/>
          <w:bCs/>
          <w:sz w:val="27"/>
          <w:szCs w:val="27"/>
        </w:rPr>
      </w:pPr>
      <w:r w:rsidRPr="00393432">
        <w:rPr>
          <w:b/>
          <w:bCs/>
          <w:sz w:val="27"/>
          <w:szCs w:val="27"/>
        </w:rPr>
        <w:t>Fuente:</w:t>
      </w:r>
      <w:r w:rsidRPr="00393432">
        <w:rPr>
          <w:sz w:val="27"/>
          <w:szCs w:val="27"/>
        </w:rPr>
        <w:t xml:space="preserve"> Subproceso de Evaluación Institucional de la Dirección de Planificación con datos recopilados de la matriz de indicadores de gestión a abril de 2022 del Juzgado Civil del Segundo Circuito Judicial de Alajuela.</w:t>
      </w:r>
    </w:p>
    <w:p w14:paraId="46426099" w14:textId="77777777" w:rsidR="005B2B6C" w:rsidRPr="00393432" w:rsidRDefault="005B2B6C" w:rsidP="00F50033">
      <w:pPr>
        <w:ind w:left="851" w:right="851" w:firstLine="709"/>
        <w:jc w:val="both"/>
        <w:rPr>
          <w:i/>
          <w:iCs/>
          <w:sz w:val="27"/>
          <w:szCs w:val="27"/>
        </w:rPr>
      </w:pPr>
    </w:p>
    <w:p w14:paraId="7B8094C3" w14:textId="77777777" w:rsidR="005B2B6C" w:rsidRPr="00393432" w:rsidRDefault="005B2B6C" w:rsidP="006B0961">
      <w:pPr>
        <w:keepNext/>
        <w:widowControl w:val="0"/>
        <w:numPr>
          <w:ilvl w:val="0"/>
          <w:numId w:val="10"/>
        </w:numPr>
        <w:tabs>
          <w:tab w:val="num" w:pos="720"/>
        </w:tabs>
        <w:suppressAutoHyphens w:val="0"/>
        <w:autoSpaceDE w:val="0"/>
        <w:autoSpaceDN w:val="0"/>
        <w:adjustRightInd w:val="0"/>
        <w:ind w:left="851" w:right="851" w:firstLine="709"/>
        <w:jc w:val="both"/>
        <w:rPr>
          <w:b/>
          <w:bCs/>
          <w:i/>
          <w:iCs/>
          <w:kern w:val="1"/>
          <w:sz w:val="27"/>
          <w:szCs w:val="27"/>
          <w:u w:val="single"/>
        </w:rPr>
      </w:pPr>
      <w:bookmarkStart w:id="6" w:name="_Toc112071088"/>
      <w:r w:rsidRPr="00393432">
        <w:rPr>
          <w:b/>
          <w:bCs/>
          <w:kern w:val="1"/>
          <w:sz w:val="27"/>
          <w:szCs w:val="27"/>
          <w:u w:val="single"/>
        </w:rPr>
        <w:t>Propuesta de ajuste del Plan de Trabajo 1219-PLA-</w:t>
      </w:r>
      <w:r w:rsidRPr="00393432">
        <w:rPr>
          <w:b/>
          <w:bCs/>
          <w:kern w:val="1"/>
          <w:sz w:val="27"/>
          <w:szCs w:val="27"/>
          <w:u w:val="single"/>
        </w:rPr>
        <w:lastRenderedPageBreak/>
        <w:t>EV-2021 en relación con los resultados obtenidos al primer cuatrimestre de 2022 (enero a abril de 2022)</w:t>
      </w:r>
      <w:bookmarkEnd w:id="6"/>
    </w:p>
    <w:p w14:paraId="0ED7EC1D" w14:textId="77777777" w:rsidR="005B2B6C" w:rsidRPr="00393432" w:rsidRDefault="005B2B6C" w:rsidP="00F50033">
      <w:pPr>
        <w:ind w:left="851" w:right="851" w:firstLine="709"/>
        <w:jc w:val="both"/>
        <w:rPr>
          <w:sz w:val="27"/>
          <w:szCs w:val="27"/>
        </w:rPr>
      </w:pPr>
    </w:p>
    <w:p w14:paraId="0C89BDF9" w14:textId="77777777" w:rsidR="005B2B6C" w:rsidRPr="00393432" w:rsidRDefault="005B2B6C" w:rsidP="00F50033">
      <w:pPr>
        <w:ind w:left="851" w:right="851" w:firstLine="709"/>
        <w:jc w:val="both"/>
        <w:rPr>
          <w:sz w:val="27"/>
          <w:szCs w:val="27"/>
        </w:rPr>
      </w:pPr>
      <w:r w:rsidRPr="00393432">
        <w:rPr>
          <w:sz w:val="27"/>
          <w:szCs w:val="27"/>
        </w:rPr>
        <w:t>Con base a la experiencia adquirida de los resultados obtenidos del Plan de Trabajo 1219-PLA-EV-2021, donde del total de 1840 asuntos de materia Cobratoria que se proyectaba  tramitar durante el primer cuatrimestre de 2022, únicamente se tramitaron un total de 1134 (73%) asuntos, unido al  rendimiento de la persona funcionaria judicial del Juzgado Civil de Alajuela que no alcanzó a ubicarse entre el rango establecido del 95% a 100% del cumplimiento de la cuota ajustada, se deduce que la coordinación compartida de los recursos (funcionarios judiciales) entre el Juzgado de Cobro y el Juzgado Civil del Segundo Circuito Judicial de Alajuela, no ha garantizado buenas prácticas de gestión que permitan optimizar los recursos institucionales.</w:t>
      </w:r>
    </w:p>
    <w:p w14:paraId="1B49BE18" w14:textId="77777777" w:rsidR="005B2B6C" w:rsidRPr="00393432" w:rsidRDefault="005B2B6C" w:rsidP="00F50033">
      <w:pPr>
        <w:ind w:left="851" w:right="851" w:firstLine="709"/>
        <w:jc w:val="both"/>
        <w:rPr>
          <w:sz w:val="27"/>
          <w:szCs w:val="27"/>
        </w:rPr>
      </w:pPr>
    </w:p>
    <w:p w14:paraId="770E60E1" w14:textId="77777777" w:rsidR="005B2B6C" w:rsidRPr="00393432" w:rsidRDefault="005B2B6C" w:rsidP="00F50033">
      <w:pPr>
        <w:ind w:left="851" w:right="851" w:firstLine="709"/>
        <w:jc w:val="both"/>
        <w:rPr>
          <w:sz w:val="27"/>
          <w:szCs w:val="27"/>
        </w:rPr>
      </w:pPr>
      <w:r w:rsidRPr="00393432">
        <w:rPr>
          <w:sz w:val="27"/>
          <w:szCs w:val="27"/>
        </w:rPr>
        <w:t xml:space="preserve">Por tanto, en apego a las medidas estructurales emitidas por Corte Plena en sesiones 27-2017 de 21 de agosto de 2017, artículo XVI, 28-2017 de 28 de agosto de 2017, artículo XV y  29-2017 de 4 setiembre de 2017, artículo XVI para la contención del gasto del Poder Judicial que permitan implantar un modelo eficiente que facilite la toma de decisiones y eliminar la subutilización de los recursos institucionales por el incumplimiento de cuotas y porcentajes de rendimientos de la persona técnica judicial del Juzgado Civil del Segundo Circuito Judicial de Alajuela, es que se recomienda continuar con el Plan de Trabajo 1219-PLA-EV-2021 en los siguientes términos: </w:t>
      </w:r>
    </w:p>
    <w:p w14:paraId="7DA7807C" w14:textId="77777777" w:rsidR="005B2B6C" w:rsidRPr="00393432" w:rsidRDefault="005B2B6C" w:rsidP="00F50033">
      <w:pPr>
        <w:ind w:left="851" w:right="851" w:firstLine="709"/>
        <w:jc w:val="both"/>
        <w:rPr>
          <w:sz w:val="27"/>
          <w:szCs w:val="27"/>
        </w:rPr>
      </w:pPr>
    </w:p>
    <w:p w14:paraId="1DF912DB" w14:textId="77777777" w:rsidR="005B2B6C" w:rsidRPr="00393432" w:rsidRDefault="005B2B6C" w:rsidP="006B0961">
      <w:pPr>
        <w:numPr>
          <w:ilvl w:val="0"/>
          <w:numId w:val="9"/>
        </w:numPr>
        <w:tabs>
          <w:tab w:val="left" w:pos="284"/>
        </w:tabs>
        <w:suppressAutoHyphens w:val="0"/>
        <w:ind w:left="851" w:right="851" w:firstLine="709"/>
        <w:jc w:val="both"/>
        <w:rPr>
          <w:sz w:val="27"/>
          <w:szCs w:val="27"/>
        </w:rPr>
      </w:pPr>
      <w:r w:rsidRPr="00393432">
        <w:rPr>
          <w:sz w:val="27"/>
          <w:szCs w:val="27"/>
        </w:rPr>
        <w:t xml:space="preserve">Trasladar funcionalmente </w:t>
      </w:r>
      <w:r w:rsidRPr="00393432">
        <w:rPr>
          <w:sz w:val="27"/>
          <w:szCs w:val="27"/>
          <w:u w:val="single"/>
        </w:rPr>
        <w:t>una de las cuatro plazas de Técnico Judicial 2</w:t>
      </w:r>
      <w:r w:rsidRPr="00393432">
        <w:rPr>
          <w:b/>
          <w:bCs/>
          <w:sz w:val="27"/>
          <w:szCs w:val="27"/>
          <w:u w:val="single"/>
        </w:rPr>
        <w:t xml:space="preserve"> </w:t>
      </w:r>
      <w:r w:rsidRPr="00393432">
        <w:rPr>
          <w:sz w:val="27"/>
          <w:szCs w:val="27"/>
          <w:u w:val="single"/>
        </w:rPr>
        <w:t>que se encuentran en el Juzgado Civil al Juzgado de Cobro del Segundo Circuito Judicial de Alajuela</w:t>
      </w:r>
      <w:r w:rsidRPr="00393432">
        <w:rPr>
          <w:sz w:val="27"/>
          <w:szCs w:val="27"/>
        </w:rPr>
        <w:t>; de manera que, se facilite la toma de decisiones a nivel de la gestión operativa del Plan de Trabajo, permita la optimización del recurso institucional (cumplimiento de cuotas) debido a que son las personas juezas del despacho de Cobro que asumen el estudio y firma de las resoluciones de las personas técnicas judiciales.</w:t>
      </w:r>
    </w:p>
    <w:p w14:paraId="77550E22" w14:textId="77777777" w:rsidR="005B2B6C" w:rsidRPr="00393432" w:rsidRDefault="005B2B6C" w:rsidP="00F50033">
      <w:pPr>
        <w:ind w:left="851" w:right="851" w:firstLine="709"/>
        <w:jc w:val="both"/>
        <w:rPr>
          <w:sz w:val="27"/>
          <w:szCs w:val="27"/>
        </w:rPr>
      </w:pPr>
    </w:p>
    <w:p w14:paraId="150C1F7F" w14:textId="77777777" w:rsidR="005B2B6C" w:rsidRPr="00393432" w:rsidRDefault="005B2B6C" w:rsidP="00F50033">
      <w:pPr>
        <w:ind w:left="851" w:right="851" w:firstLine="709"/>
        <w:jc w:val="both"/>
        <w:rPr>
          <w:sz w:val="27"/>
          <w:szCs w:val="27"/>
        </w:rPr>
      </w:pPr>
      <w:r w:rsidRPr="00393432">
        <w:rPr>
          <w:sz w:val="27"/>
          <w:szCs w:val="27"/>
        </w:rPr>
        <w:lastRenderedPageBreak/>
        <w:t xml:space="preserve">Lo anterior, en atención a la recomendación emitida mediante oficio CJC-112-2022 del 30 de marzo de 2022 de la Comisión de la Jurisdicción Civil del Poder Judicial donde indica de manera textual: </w:t>
      </w:r>
    </w:p>
    <w:p w14:paraId="0D210968" w14:textId="77777777" w:rsidR="005B2B6C" w:rsidRPr="00393432" w:rsidRDefault="005B2B6C" w:rsidP="00F50033">
      <w:pPr>
        <w:ind w:left="851" w:right="851" w:firstLine="709"/>
        <w:jc w:val="both"/>
        <w:rPr>
          <w:i/>
          <w:iCs/>
          <w:sz w:val="27"/>
          <w:szCs w:val="27"/>
        </w:rPr>
      </w:pPr>
    </w:p>
    <w:p w14:paraId="47728C15" w14:textId="77777777" w:rsidR="005B2B6C" w:rsidRPr="00393432" w:rsidRDefault="005B2B6C" w:rsidP="00F50033">
      <w:pPr>
        <w:ind w:left="851" w:right="851" w:firstLine="709"/>
        <w:jc w:val="both"/>
        <w:rPr>
          <w:i/>
          <w:iCs/>
          <w:sz w:val="27"/>
          <w:szCs w:val="27"/>
        </w:rPr>
      </w:pPr>
      <w:r w:rsidRPr="00393432">
        <w:rPr>
          <w:i/>
          <w:iCs/>
          <w:sz w:val="27"/>
          <w:szCs w:val="27"/>
        </w:rPr>
        <w:t xml:space="preserve">“2. Instar a la Dirección de Planificación para que cuando el personal técnico de los Juzgados Civiles colabore con los Juzgados de Cobro, atiendan en su gestión los lineamientos del Modelo de Sostenibilidad y de las personas juzgadoras de los despachos de Cobro Judicial, al ser éstas quienes van a asumir el estudio y firma de las resoluciones que se emitan.”. </w:t>
      </w:r>
    </w:p>
    <w:p w14:paraId="1074EF67" w14:textId="77777777" w:rsidR="005B2B6C" w:rsidRPr="00393432" w:rsidRDefault="005B2B6C" w:rsidP="00F50033">
      <w:pPr>
        <w:ind w:left="851" w:right="851" w:firstLine="709"/>
        <w:jc w:val="both"/>
        <w:rPr>
          <w:i/>
          <w:iCs/>
          <w:sz w:val="27"/>
          <w:szCs w:val="27"/>
        </w:rPr>
      </w:pPr>
    </w:p>
    <w:p w14:paraId="7110F9DD" w14:textId="77777777" w:rsidR="005B2B6C" w:rsidRPr="00393432" w:rsidRDefault="005B2B6C" w:rsidP="006B0961">
      <w:pPr>
        <w:numPr>
          <w:ilvl w:val="0"/>
          <w:numId w:val="9"/>
        </w:numPr>
        <w:tabs>
          <w:tab w:val="left" w:pos="284"/>
        </w:tabs>
        <w:suppressAutoHyphens w:val="0"/>
        <w:ind w:left="851" w:right="851" w:firstLine="709"/>
        <w:jc w:val="both"/>
        <w:rPr>
          <w:sz w:val="27"/>
          <w:szCs w:val="27"/>
        </w:rPr>
      </w:pPr>
      <w:r w:rsidRPr="00393432">
        <w:rPr>
          <w:sz w:val="27"/>
          <w:szCs w:val="27"/>
        </w:rPr>
        <w:t xml:space="preserve">Mantener asignada la plaza de persona técnica judicial que reforzaría la estructura (temporal) del Juzgado de Cobro y proveniente del Juzgado Civil del Segundo Circuito Judicial de Alajuela </w:t>
      </w:r>
      <w:r w:rsidRPr="00393432">
        <w:rPr>
          <w:sz w:val="27"/>
          <w:szCs w:val="27"/>
          <w:u w:val="single"/>
        </w:rPr>
        <w:t>la licencia virtual para teletrabajo, equipo tecnológico; así como, la estación de trabajo</w:t>
      </w:r>
      <w:r w:rsidRPr="00393432">
        <w:rPr>
          <w:sz w:val="27"/>
          <w:szCs w:val="27"/>
        </w:rPr>
        <w:t xml:space="preserve"> que permitan dar sostenibilidad al Plan de Trabajo de escrito y respondan a las nuevas modalidades de trabajo que trajo consigo la pandemia (Covid-19) mundial. </w:t>
      </w:r>
    </w:p>
    <w:p w14:paraId="334E7D03" w14:textId="77777777" w:rsidR="005B2B6C" w:rsidRPr="00393432" w:rsidRDefault="005B2B6C" w:rsidP="00F50033">
      <w:pPr>
        <w:tabs>
          <w:tab w:val="left" w:pos="284"/>
        </w:tabs>
        <w:suppressAutoHyphens w:val="0"/>
        <w:ind w:left="1560" w:right="851"/>
        <w:jc w:val="both"/>
        <w:rPr>
          <w:sz w:val="27"/>
          <w:szCs w:val="27"/>
        </w:rPr>
      </w:pPr>
    </w:p>
    <w:p w14:paraId="651E9AF4" w14:textId="77777777" w:rsidR="005B2B6C" w:rsidRPr="00393432" w:rsidRDefault="005B2B6C" w:rsidP="006B0961">
      <w:pPr>
        <w:numPr>
          <w:ilvl w:val="0"/>
          <w:numId w:val="9"/>
        </w:numPr>
        <w:tabs>
          <w:tab w:val="left" w:pos="284"/>
        </w:tabs>
        <w:suppressAutoHyphens w:val="0"/>
        <w:ind w:left="851" w:right="851" w:firstLine="709"/>
        <w:jc w:val="both"/>
        <w:rPr>
          <w:sz w:val="27"/>
          <w:szCs w:val="27"/>
        </w:rPr>
      </w:pPr>
      <w:r w:rsidRPr="00393432">
        <w:rPr>
          <w:sz w:val="27"/>
          <w:szCs w:val="27"/>
        </w:rPr>
        <w:t>Aprobar que la persona Técnica Judicial proveniente del Juzgado Civil del Segundo Circuito Judicial y que se ubica funcionalmente en el Juzgado de Cobro coordinen temas administrativos y respondan a la gestión operativa (horarios/roles de trabajo internos/planes remediales entre otros) directamente con el Juzgado de Cobro del Segundo Circuito Judicial de Alajuela.</w:t>
      </w:r>
    </w:p>
    <w:p w14:paraId="622B6BB0" w14:textId="77777777" w:rsidR="005B2B6C" w:rsidRPr="00393432" w:rsidRDefault="005B2B6C" w:rsidP="00F50033">
      <w:pPr>
        <w:ind w:left="851" w:right="851" w:firstLine="709"/>
        <w:jc w:val="both"/>
        <w:rPr>
          <w:sz w:val="27"/>
          <w:szCs w:val="27"/>
        </w:rPr>
      </w:pPr>
    </w:p>
    <w:p w14:paraId="36CF321A" w14:textId="77777777" w:rsidR="005B2B6C" w:rsidRPr="00393432" w:rsidRDefault="005B2B6C" w:rsidP="00F50033">
      <w:pPr>
        <w:ind w:left="851" w:right="851" w:firstLine="709"/>
        <w:jc w:val="both"/>
        <w:rPr>
          <w:sz w:val="27"/>
          <w:szCs w:val="27"/>
        </w:rPr>
      </w:pPr>
      <w:r w:rsidRPr="00393432">
        <w:rPr>
          <w:sz w:val="27"/>
          <w:szCs w:val="27"/>
        </w:rPr>
        <w:t xml:space="preserve">Por tanto, el Juzgado Civil del Segundo Circuito no podrá disponer del recurso citado, para la atención de roles de teletrabajo, atención de líneas telefónicas, atención de personas usuarias, asistencias de audiencias ni consultas y/o gestiones operativas propias de materia Civil. </w:t>
      </w:r>
    </w:p>
    <w:p w14:paraId="45C1F041" w14:textId="77777777" w:rsidR="005B2B6C" w:rsidRPr="00393432" w:rsidRDefault="005B2B6C" w:rsidP="00F50033">
      <w:pPr>
        <w:ind w:left="851" w:right="851" w:firstLine="709"/>
        <w:jc w:val="both"/>
        <w:rPr>
          <w:sz w:val="27"/>
          <w:szCs w:val="27"/>
        </w:rPr>
      </w:pPr>
    </w:p>
    <w:p w14:paraId="3C2ABB2A" w14:textId="77777777" w:rsidR="005B2B6C" w:rsidRPr="00393432" w:rsidRDefault="005B2B6C" w:rsidP="006B0961">
      <w:pPr>
        <w:numPr>
          <w:ilvl w:val="0"/>
          <w:numId w:val="9"/>
        </w:numPr>
        <w:tabs>
          <w:tab w:val="left" w:pos="284"/>
        </w:tabs>
        <w:suppressAutoHyphens w:val="0"/>
        <w:ind w:left="851" w:right="851" w:firstLine="709"/>
        <w:jc w:val="both"/>
        <w:rPr>
          <w:sz w:val="27"/>
          <w:szCs w:val="27"/>
        </w:rPr>
      </w:pPr>
      <w:r w:rsidRPr="00393432">
        <w:rPr>
          <w:sz w:val="27"/>
          <w:szCs w:val="27"/>
        </w:rPr>
        <w:t xml:space="preserve">Al pasarse temporalmente la plaza de Civil a Cobro se deberán seguir los lineamientos establecidos para la Evaluación del Desempeño, relacionados con las evaluaciones parciales por parte del Juzgado Civil y el nuevo Plan de Evaluación del Desempeño </w:t>
      </w:r>
      <w:r w:rsidRPr="00393432">
        <w:rPr>
          <w:sz w:val="27"/>
          <w:szCs w:val="27"/>
        </w:rPr>
        <w:lastRenderedPageBreak/>
        <w:t xml:space="preserve">por parte del Juzgado de Cobro, con las nuevas metas incorporadas. </w:t>
      </w:r>
    </w:p>
    <w:p w14:paraId="4E5B1405" w14:textId="77777777" w:rsidR="005B2B6C" w:rsidRPr="00393432" w:rsidRDefault="005B2B6C" w:rsidP="00F50033">
      <w:pPr>
        <w:tabs>
          <w:tab w:val="left" w:pos="284"/>
        </w:tabs>
        <w:suppressAutoHyphens w:val="0"/>
        <w:ind w:left="1560" w:right="851"/>
        <w:jc w:val="both"/>
        <w:rPr>
          <w:sz w:val="27"/>
          <w:szCs w:val="27"/>
        </w:rPr>
      </w:pPr>
    </w:p>
    <w:p w14:paraId="171BF4E3" w14:textId="77777777" w:rsidR="005B2B6C" w:rsidRPr="00393432" w:rsidRDefault="005B2B6C" w:rsidP="006B0961">
      <w:pPr>
        <w:numPr>
          <w:ilvl w:val="0"/>
          <w:numId w:val="9"/>
        </w:numPr>
        <w:tabs>
          <w:tab w:val="left" w:pos="284"/>
        </w:tabs>
        <w:suppressAutoHyphens w:val="0"/>
        <w:ind w:left="851" w:right="851" w:firstLine="709"/>
        <w:jc w:val="both"/>
        <w:rPr>
          <w:sz w:val="27"/>
          <w:szCs w:val="27"/>
        </w:rPr>
      </w:pPr>
      <w:r w:rsidRPr="00393432">
        <w:rPr>
          <w:sz w:val="27"/>
          <w:szCs w:val="27"/>
        </w:rPr>
        <w:t>Mantener la estructura funcional (temporal) del Juzgado Civil del Segundo Circuito Judicial de Alajuela con un total de dos personas técnicas judiciales; de manera que, se aboquen al 100% al trámite de materia Civil donde se tenga la capacidad de atender las 561 resoluciones al mes que ingresan al Despacho.</w:t>
      </w:r>
    </w:p>
    <w:p w14:paraId="268E5F9D" w14:textId="77777777" w:rsidR="005B2B6C" w:rsidRPr="00393432" w:rsidRDefault="005B2B6C" w:rsidP="00F50033">
      <w:pPr>
        <w:ind w:left="708"/>
        <w:rPr>
          <w:sz w:val="27"/>
          <w:szCs w:val="27"/>
        </w:rPr>
      </w:pPr>
    </w:p>
    <w:p w14:paraId="3EF6D7E3" w14:textId="77777777" w:rsidR="005B2B6C" w:rsidRPr="00393432" w:rsidRDefault="005B2B6C" w:rsidP="006B0961">
      <w:pPr>
        <w:numPr>
          <w:ilvl w:val="0"/>
          <w:numId w:val="9"/>
        </w:numPr>
        <w:tabs>
          <w:tab w:val="left" w:pos="284"/>
        </w:tabs>
        <w:suppressAutoHyphens w:val="0"/>
        <w:ind w:left="851" w:right="851" w:firstLine="709"/>
        <w:jc w:val="both"/>
        <w:rPr>
          <w:sz w:val="27"/>
          <w:szCs w:val="27"/>
        </w:rPr>
      </w:pPr>
      <w:r w:rsidRPr="00393432">
        <w:rPr>
          <w:sz w:val="27"/>
          <w:szCs w:val="27"/>
        </w:rPr>
        <w:t xml:space="preserve">Además, reiterar que ante eventuales planes remediales (atención de escritos, inventarios estadísticos entre otros) requeridos a lo interno del Juzgado Civil del Segundo Circuito Judicial de Alajuela el Equipo de Mejora de Procesos del Despacho podrá apoyarse en el trámite de asuntos con la plaza de Técnico Judicial 2 asignado a tiempo completo en el Área de Manifestación que según se indica en el informe 1230-PLA-2018 el mismo podría </w:t>
      </w:r>
      <w:r w:rsidRPr="00393432">
        <w:rPr>
          <w:i/>
          <w:iCs/>
          <w:sz w:val="27"/>
          <w:szCs w:val="27"/>
        </w:rPr>
        <w:t xml:space="preserve">“apoyar en la tramitación de expedientes de requerirse por carga de trabajo” </w:t>
      </w:r>
      <w:r w:rsidRPr="00393432">
        <w:rPr>
          <w:sz w:val="27"/>
          <w:szCs w:val="27"/>
        </w:rPr>
        <w:t>y que se logra evidenciar además en este informe de seguimiento, en donde asumió la carga de trabajo del técnico judicial, que se dedicó a materia de Cobro.</w:t>
      </w:r>
    </w:p>
    <w:p w14:paraId="1EC4EEBE" w14:textId="77777777" w:rsidR="005B2B6C" w:rsidRPr="00393432" w:rsidRDefault="005B2B6C" w:rsidP="00F50033">
      <w:pPr>
        <w:ind w:left="708"/>
        <w:rPr>
          <w:sz w:val="27"/>
          <w:szCs w:val="27"/>
        </w:rPr>
      </w:pPr>
    </w:p>
    <w:p w14:paraId="0407A93F" w14:textId="77777777" w:rsidR="005B2B6C" w:rsidRPr="00393432" w:rsidRDefault="005B2B6C" w:rsidP="006B0961">
      <w:pPr>
        <w:numPr>
          <w:ilvl w:val="0"/>
          <w:numId w:val="9"/>
        </w:numPr>
        <w:tabs>
          <w:tab w:val="left" w:pos="284"/>
        </w:tabs>
        <w:suppressAutoHyphens w:val="0"/>
        <w:ind w:left="851" w:right="851" w:firstLine="709"/>
        <w:jc w:val="both"/>
        <w:rPr>
          <w:sz w:val="27"/>
          <w:szCs w:val="27"/>
        </w:rPr>
      </w:pPr>
      <w:r w:rsidRPr="00393432">
        <w:rPr>
          <w:sz w:val="27"/>
          <w:szCs w:val="27"/>
        </w:rPr>
        <w:t>Ante planes remediales o de contingencia (atención de escritos, inventarios estadísticos entre otros) requeridos a lo interno del Juzgado de Cobro del Segundo Circuito Judicial de Alajuela el Equipo de Mejora de Procesos del Despacho podrá apoyarse en el trámite de asuntos con la plaza de Técnico Cajero, en el caso de no contar con giros o depósitos por realizar.</w:t>
      </w:r>
    </w:p>
    <w:p w14:paraId="34F48E89" w14:textId="77777777" w:rsidR="005B2B6C" w:rsidRPr="00393432" w:rsidRDefault="005B2B6C" w:rsidP="00F50033">
      <w:pPr>
        <w:ind w:left="708"/>
        <w:rPr>
          <w:sz w:val="27"/>
          <w:szCs w:val="27"/>
        </w:rPr>
      </w:pPr>
    </w:p>
    <w:p w14:paraId="250CDD89" w14:textId="77777777" w:rsidR="005B2B6C" w:rsidRPr="00393432" w:rsidRDefault="005B2B6C" w:rsidP="006B0961">
      <w:pPr>
        <w:numPr>
          <w:ilvl w:val="0"/>
          <w:numId w:val="9"/>
        </w:numPr>
        <w:tabs>
          <w:tab w:val="left" w:pos="284"/>
        </w:tabs>
        <w:suppressAutoHyphens w:val="0"/>
        <w:ind w:left="851" w:right="851" w:firstLine="709"/>
        <w:jc w:val="both"/>
        <w:rPr>
          <w:sz w:val="27"/>
          <w:szCs w:val="27"/>
        </w:rPr>
      </w:pPr>
      <w:r w:rsidRPr="00393432">
        <w:rPr>
          <w:sz w:val="27"/>
          <w:szCs w:val="27"/>
        </w:rPr>
        <w:t xml:space="preserve">Conservar la exclusión de la asignación de la persona técnica del Juzgado Civil del Segundo Circuito en el trámite de asuntos de materia de Cobro al señor Manfred Vargas Padilla asignado en el número plaza 379650 en vista de la prevención realizada por el Lic. Giovanni Vargas Loaiza, Juez Coordinador del Juzgado de Cobro del Segundo Circuito Judicial de Alajuela en relación al parentesco (hijo), en vista que contravine en lo establecido en el Reglamento de “Regulación para la Prevención, </w:t>
      </w:r>
      <w:r w:rsidRPr="00393432">
        <w:rPr>
          <w:sz w:val="27"/>
          <w:szCs w:val="27"/>
        </w:rPr>
        <w:lastRenderedPageBreak/>
        <w:t>Identificación y la Gestión Adecuada de los Conflictos de Interés en el Poder Judicial”.</w:t>
      </w:r>
    </w:p>
    <w:p w14:paraId="799B9A59" w14:textId="77777777" w:rsidR="005B2B6C" w:rsidRPr="00393432" w:rsidRDefault="005B2B6C" w:rsidP="00F50033">
      <w:pPr>
        <w:ind w:left="708"/>
        <w:rPr>
          <w:sz w:val="27"/>
          <w:szCs w:val="27"/>
        </w:rPr>
      </w:pPr>
    </w:p>
    <w:p w14:paraId="617D3068" w14:textId="77777777" w:rsidR="005B2B6C" w:rsidRPr="00393432" w:rsidRDefault="005B2B6C" w:rsidP="006B0961">
      <w:pPr>
        <w:numPr>
          <w:ilvl w:val="0"/>
          <w:numId w:val="9"/>
        </w:numPr>
        <w:tabs>
          <w:tab w:val="left" w:pos="284"/>
        </w:tabs>
        <w:suppressAutoHyphens w:val="0"/>
        <w:ind w:left="851" w:right="851" w:firstLine="709"/>
        <w:jc w:val="both"/>
        <w:rPr>
          <w:sz w:val="27"/>
          <w:szCs w:val="27"/>
        </w:rPr>
      </w:pPr>
      <w:r w:rsidRPr="00393432">
        <w:rPr>
          <w:sz w:val="27"/>
          <w:szCs w:val="27"/>
        </w:rPr>
        <w:t xml:space="preserve">Mantener informados por parte del Juzgado de Cobro y el Juzgado Civil del Segundo Circuito Judicial al Consejo de Administración de Circuito sobre los eventuales incumplimientos de los acuerdos tomados del Plan de Trabajo 1219-PLA-EV-2021 así como la propuesta de prórroga solicitada. </w:t>
      </w:r>
    </w:p>
    <w:p w14:paraId="1AB6EB29" w14:textId="77777777" w:rsidR="005B2B6C" w:rsidRPr="00393432" w:rsidRDefault="005B2B6C" w:rsidP="00F50033">
      <w:pPr>
        <w:ind w:left="708"/>
        <w:rPr>
          <w:sz w:val="27"/>
          <w:szCs w:val="27"/>
        </w:rPr>
      </w:pPr>
    </w:p>
    <w:p w14:paraId="76685484" w14:textId="77777777" w:rsidR="005B2B6C" w:rsidRPr="00393432" w:rsidRDefault="005B2B6C" w:rsidP="006B0961">
      <w:pPr>
        <w:numPr>
          <w:ilvl w:val="0"/>
          <w:numId w:val="9"/>
        </w:numPr>
        <w:tabs>
          <w:tab w:val="left" w:pos="284"/>
        </w:tabs>
        <w:suppressAutoHyphens w:val="0"/>
        <w:ind w:left="851" w:right="851" w:firstLine="709"/>
        <w:jc w:val="both"/>
        <w:rPr>
          <w:sz w:val="27"/>
          <w:szCs w:val="27"/>
        </w:rPr>
      </w:pPr>
      <w:r w:rsidRPr="00393432">
        <w:rPr>
          <w:sz w:val="27"/>
          <w:szCs w:val="27"/>
        </w:rPr>
        <w:t xml:space="preserve">Mantener lo dispuesto en sesión 104-2021 celebrada el 2 de diciembre de 2021, artículo XXXIII que indica </w:t>
      </w:r>
      <w:r w:rsidRPr="00393432">
        <w:rPr>
          <w:i/>
          <w:iCs/>
          <w:sz w:val="27"/>
          <w:szCs w:val="27"/>
        </w:rPr>
        <w:t xml:space="preserve">"...El Juzgado de Cobro del Segundo Circuito Judicial de Alajuela, al contar con la colaboración en el trámite de una plaza de recurso técnico del Juzgado Civil, permite al despacho asignar una estructura (temporal), de seis plazas de Técnico Judicial (trámite) más un técnico cajero...”. </w:t>
      </w:r>
      <w:r w:rsidRPr="00393432">
        <w:rPr>
          <w:sz w:val="27"/>
          <w:szCs w:val="27"/>
        </w:rPr>
        <w:t xml:space="preserve">Además, se indica </w:t>
      </w:r>
      <w:r w:rsidRPr="00393432">
        <w:rPr>
          <w:i/>
          <w:iCs/>
          <w:sz w:val="27"/>
          <w:szCs w:val="27"/>
        </w:rPr>
        <w:t xml:space="preserve">“Ante planes remediales de contingencia (atención de escritos, inventarios estadísticos entre otros) requeridos a lo interno del Juzgado de Cobro del Segundo Circuito Judicial de Alajuela el Equipo de Mejora de Procesos del Despacho podrá apoyarse en el trámite de asuntos con la plaza de Técnico Cajero, en el caso de no contar con giros o depósitos por realizar…" </w:t>
      </w:r>
      <w:r w:rsidRPr="00393432">
        <w:rPr>
          <w:sz w:val="27"/>
          <w:szCs w:val="27"/>
        </w:rPr>
        <w:t>Lo anterior, con la misma estructura del personal juzgador con que cuenta el Juzgado de Cobro.</w:t>
      </w:r>
    </w:p>
    <w:p w14:paraId="1B7F36E1" w14:textId="77777777" w:rsidR="005B2B6C" w:rsidRPr="00393432" w:rsidRDefault="005B2B6C" w:rsidP="00F50033">
      <w:pPr>
        <w:ind w:left="851" w:right="851" w:firstLine="709"/>
        <w:jc w:val="both"/>
        <w:rPr>
          <w:i/>
          <w:iCs/>
          <w:sz w:val="27"/>
          <w:szCs w:val="27"/>
        </w:rPr>
      </w:pPr>
    </w:p>
    <w:p w14:paraId="7A691101" w14:textId="77777777" w:rsidR="005B2B6C" w:rsidRPr="00393432" w:rsidRDefault="005B2B6C" w:rsidP="006B0961">
      <w:pPr>
        <w:keepNext/>
        <w:widowControl w:val="0"/>
        <w:numPr>
          <w:ilvl w:val="0"/>
          <w:numId w:val="10"/>
        </w:numPr>
        <w:tabs>
          <w:tab w:val="num" w:pos="720"/>
        </w:tabs>
        <w:suppressAutoHyphens w:val="0"/>
        <w:autoSpaceDE w:val="0"/>
        <w:autoSpaceDN w:val="0"/>
        <w:adjustRightInd w:val="0"/>
        <w:ind w:left="851" w:right="851" w:firstLine="709"/>
        <w:jc w:val="both"/>
        <w:rPr>
          <w:b/>
          <w:bCs/>
          <w:i/>
          <w:iCs/>
          <w:kern w:val="1"/>
          <w:sz w:val="27"/>
          <w:szCs w:val="27"/>
          <w:u w:val="single"/>
        </w:rPr>
      </w:pPr>
      <w:bookmarkStart w:id="7" w:name="_Toc112071089"/>
      <w:r w:rsidRPr="00393432">
        <w:rPr>
          <w:b/>
          <w:bCs/>
          <w:kern w:val="1"/>
          <w:sz w:val="27"/>
          <w:szCs w:val="27"/>
          <w:u w:val="single"/>
        </w:rPr>
        <w:t>Recomendaciones</w:t>
      </w:r>
      <w:bookmarkEnd w:id="7"/>
    </w:p>
    <w:p w14:paraId="2BBE4734" w14:textId="77777777" w:rsidR="005B2B6C" w:rsidRPr="00393432" w:rsidRDefault="005B2B6C" w:rsidP="00F50033">
      <w:pPr>
        <w:rPr>
          <w:sz w:val="27"/>
          <w:szCs w:val="27"/>
        </w:rPr>
      </w:pPr>
    </w:p>
    <w:p w14:paraId="3DBE68D6" w14:textId="77777777" w:rsidR="005B2B6C" w:rsidRPr="00393432" w:rsidRDefault="005B2B6C" w:rsidP="006B0961">
      <w:pPr>
        <w:numPr>
          <w:ilvl w:val="1"/>
          <w:numId w:val="10"/>
        </w:numPr>
        <w:suppressAutoHyphens w:val="0"/>
        <w:ind w:left="851" w:right="851" w:firstLine="709"/>
        <w:jc w:val="both"/>
        <w:rPr>
          <w:sz w:val="27"/>
          <w:szCs w:val="27"/>
        </w:rPr>
      </w:pPr>
      <w:r w:rsidRPr="00393432">
        <w:rPr>
          <w:sz w:val="27"/>
          <w:szCs w:val="27"/>
        </w:rPr>
        <w:t xml:space="preserve">Aprobar el presente informe de seguimiento al Plan de trabajo de los Juzgados Civiles y ajuste de estructuras (temporales) de los Juzgados de Cobro y Civil del Segundo Circuito Judicial de Alajuela, según informe 1219-PLA-EV-2021 aprobado por el Consejo Superior, en la sesión 104-2021, art. XXXIII, </w:t>
      </w:r>
    </w:p>
    <w:p w14:paraId="4CC8B681" w14:textId="77777777" w:rsidR="005B2B6C" w:rsidRPr="00393432" w:rsidRDefault="005B2B6C" w:rsidP="00F50033">
      <w:pPr>
        <w:suppressAutoHyphens w:val="0"/>
        <w:ind w:left="1560" w:right="851"/>
        <w:jc w:val="both"/>
        <w:rPr>
          <w:sz w:val="27"/>
          <w:szCs w:val="27"/>
        </w:rPr>
      </w:pPr>
    </w:p>
    <w:p w14:paraId="4B0E47C2" w14:textId="77777777" w:rsidR="005B2B6C" w:rsidRPr="00393432" w:rsidRDefault="005B2B6C" w:rsidP="006B0961">
      <w:pPr>
        <w:numPr>
          <w:ilvl w:val="1"/>
          <w:numId w:val="10"/>
        </w:numPr>
        <w:suppressAutoHyphens w:val="0"/>
        <w:ind w:left="851" w:right="851" w:firstLine="709"/>
        <w:jc w:val="both"/>
        <w:rPr>
          <w:sz w:val="27"/>
          <w:szCs w:val="27"/>
        </w:rPr>
      </w:pPr>
      <w:r w:rsidRPr="00393432">
        <w:rPr>
          <w:sz w:val="27"/>
          <w:szCs w:val="27"/>
        </w:rPr>
        <w:t xml:space="preserve">Aprobar la propuesta de ajuste del Plan de Trabajo 1219-PLA-EV-2021, contenida en el punto 4 </w:t>
      </w:r>
      <w:r w:rsidRPr="00393432">
        <w:rPr>
          <w:i/>
          <w:iCs/>
          <w:sz w:val="27"/>
          <w:szCs w:val="27"/>
        </w:rPr>
        <w:t>Propuesta de ajuste del Plan de Trabajo 1219-PLA-EV-2021 en relación con los resultados obtenidos al primer cuatrimestre de 2022 (enero a abril de 2022)</w:t>
      </w:r>
      <w:r w:rsidRPr="00393432">
        <w:rPr>
          <w:sz w:val="27"/>
          <w:szCs w:val="27"/>
        </w:rPr>
        <w:t xml:space="preserve"> y prorrogar hasta finalizar el segundo semestre de 2022.</w:t>
      </w:r>
    </w:p>
    <w:p w14:paraId="7DE3AF98" w14:textId="77777777" w:rsidR="005B2B6C" w:rsidRPr="00393432" w:rsidRDefault="005B2B6C" w:rsidP="00F50033">
      <w:pPr>
        <w:ind w:left="851" w:right="851" w:firstLine="709"/>
        <w:jc w:val="both"/>
        <w:rPr>
          <w:sz w:val="27"/>
          <w:szCs w:val="27"/>
        </w:rPr>
      </w:pPr>
    </w:p>
    <w:p w14:paraId="22D45D6C" w14:textId="77777777" w:rsidR="005B2B6C" w:rsidRPr="00393432" w:rsidRDefault="005B2B6C" w:rsidP="006B0961">
      <w:pPr>
        <w:keepNext/>
        <w:widowControl w:val="0"/>
        <w:numPr>
          <w:ilvl w:val="0"/>
          <w:numId w:val="10"/>
        </w:numPr>
        <w:tabs>
          <w:tab w:val="num" w:pos="720"/>
        </w:tabs>
        <w:suppressAutoHyphens w:val="0"/>
        <w:autoSpaceDE w:val="0"/>
        <w:autoSpaceDN w:val="0"/>
        <w:adjustRightInd w:val="0"/>
        <w:ind w:left="851" w:right="851" w:firstLine="709"/>
        <w:jc w:val="both"/>
        <w:rPr>
          <w:b/>
          <w:bCs/>
          <w:i/>
          <w:iCs/>
          <w:kern w:val="1"/>
          <w:sz w:val="27"/>
          <w:szCs w:val="27"/>
          <w:u w:val="single"/>
        </w:rPr>
      </w:pPr>
      <w:bookmarkStart w:id="8" w:name="_Toc112071090"/>
      <w:r w:rsidRPr="00393432">
        <w:rPr>
          <w:b/>
          <w:bCs/>
          <w:kern w:val="1"/>
          <w:sz w:val="27"/>
          <w:szCs w:val="27"/>
          <w:u w:val="single"/>
        </w:rPr>
        <w:lastRenderedPageBreak/>
        <w:t>Observaciones emitidas al informe preliminar (oficio 551-PLA-MI-2022)</w:t>
      </w:r>
      <w:bookmarkEnd w:id="8"/>
    </w:p>
    <w:p w14:paraId="4810ADCF" w14:textId="77777777" w:rsidR="005B2B6C" w:rsidRPr="00393432" w:rsidRDefault="005B2B6C" w:rsidP="00F50033">
      <w:pPr>
        <w:ind w:left="851" w:right="851" w:firstLine="709"/>
        <w:jc w:val="both"/>
        <w:rPr>
          <w:sz w:val="27"/>
          <w:szCs w:val="27"/>
        </w:rPr>
      </w:pPr>
    </w:p>
    <w:p w14:paraId="42E8B32B" w14:textId="77777777" w:rsidR="005B2B6C" w:rsidRPr="00393432" w:rsidRDefault="005B2B6C" w:rsidP="00F50033">
      <w:pPr>
        <w:ind w:left="851" w:right="851" w:firstLine="709"/>
        <w:jc w:val="both"/>
        <w:rPr>
          <w:rFonts w:eastAsia="Calibri"/>
          <w:sz w:val="27"/>
          <w:szCs w:val="27"/>
          <w:lang w:eastAsia="zh-CN"/>
        </w:rPr>
      </w:pPr>
      <w:r w:rsidRPr="00393432">
        <w:rPr>
          <w:rFonts w:eastAsia="Calibri"/>
          <w:sz w:val="27"/>
          <w:szCs w:val="27"/>
          <w:lang w:eastAsia="zh-CN"/>
        </w:rPr>
        <w:t xml:space="preserve">El contenido de este informe se puso en conocimiento de las partes involucradas mediante el Oficio </w:t>
      </w:r>
      <w:r w:rsidRPr="00393432">
        <w:rPr>
          <w:sz w:val="27"/>
          <w:szCs w:val="27"/>
          <w:lang w:val="pt-BR"/>
        </w:rPr>
        <w:t>551-PLA-MI-2022</w:t>
      </w:r>
      <w:r w:rsidRPr="00393432">
        <w:rPr>
          <w:b/>
          <w:bCs/>
          <w:sz w:val="27"/>
          <w:szCs w:val="27"/>
          <w:lang w:val="pt-BR"/>
        </w:rPr>
        <w:t xml:space="preserve"> </w:t>
      </w:r>
      <w:r w:rsidRPr="00393432">
        <w:rPr>
          <w:rFonts w:eastAsia="Calibri"/>
          <w:sz w:val="27"/>
          <w:szCs w:val="27"/>
          <w:lang w:eastAsia="zh-CN"/>
        </w:rPr>
        <w:t>del 23 de junio de 2022</w:t>
      </w:r>
    </w:p>
    <w:p w14:paraId="742E51B5" w14:textId="77777777" w:rsidR="005B2B6C" w:rsidRPr="00393432" w:rsidRDefault="005B2B6C" w:rsidP="00F50033">
      <w:pPr>
        <w:ind w:left="851" w:right="851" w:firstLine="709"/>
        <w:jc w:val="both"/>
        <w:rPr>
          <w:rFonts w:eastAsia="Calibri"/>
          <w:sz w:val="27"/>
          <w:szCs w:val="27"/>
          <w:lang w:eastAsia="zh-CN"/>
        </w:rPr>
      </w:pPr>
    </w:p>
    <w:p w14:paraId="30018BD5" w14:textId="77777777" w:rsidR="005B2B6C" w:rsidRPr="00393432" w:rsidRDefault="005B2B6C" w:rsidP="00F50033">
      <w:pPr>
        <w:ind w:left="851" w:right="851" w:firstLine="709"/>
        <w:jc w:val="both"/>
        <w:rPr>
          <w:rFonts w:eastAsia="Calibri"/>
          <w:sz w:val="27"/>
          <w:szCs w:val="27"/>
          <w:lang w:eastAsia="zh-CN"/>
        </w:rPr>
      </w:pPr>
      <w:r w:rsidRPr="00393432">
        <w:rPr>
          <w:rFonts w:eastAsia="Calibri"/>
          <w:sz w:val="27"/>
          <w:szCs w:val="27"/>
          <w:lang w:eastAsia="zh-CN"/>
        </w:rPr>
        <w:t xml:space="preserve">Como respuestas se recibió el oficio del Juzgado de Cobro del Segundo Circuito Judicial de Alajuela suscrito por el Lic. Giovanni Vargas Loaiza y el oficio </w:t>
      </w:r>
      <w:r w:rsidRPr="00393432">
        <w:rPr>
          <w:sz w:val="27"/>
          <w:szCs w:val="27"/>
          <w:lang w:eastAsia="es-CR"/>
        </w:rPr>
        <w:t xml:space="preserve">CSC-159-2022 </w:t>
      </w:r>
      <w:r w:rsidRPr="00393432">
        <w:rPr>
          <w:rFonts w:eastAsia="Calibri"/>
          <w:sz w:val="27"/>
          <w:szCs w:val="27"/>
          <w:lang w:eastAsia="zh-CN"/>
        </w:rPr>
        <w:t>suscrito por el Licenciado Jorge Mario Rojas Mejías, Contralor de Servicios Regional del Segundo Circuito Judicial de Alajuela.</w:t>
      </w:r>
    </w:p>
    <w:p w14:paraId="465E469E" w14:textId="77777777" w:rsidR="005B2B6C" w:rsidRPr="00393432" w:rsidRDefault="005B2B6C" w:rsidP="00F50033">
      <w:pPr>
        <w:ind w:left="851" w:right="851" w:firstLine="709"/>
        <w:jc w:val="both"/>
        <w:rPr>
          <w:rFonts w:eastAsia="Calibri"/>
          <w:sz w:val="27"/>
          <w:szCs w:val="27"/>
          <w:lang w:eastAsia="zh-CN"/>
        </w:rPr>
      </w:pPr>
    </w:p>
    <w:p w14:paraId="29C7E5E1" w14:textId="77777777" w:rsidR="005B2B6C" w:rsidRPr="00393432" w:rsidRDefault="005B2B6C" w:rsidP="00F50033">
      <w:pPr>
        <w:autoSpaceDE w:val="0"/>
        <w:autoSpaceDN w:val="0"/>
        <w:adjustRightInd w:val="0"/>
        <w:ind w:left="851" w:right="851" w:firstLine="709"/>
        <w:jc w:val="both"/>
        <w:rPr>
          <w:rFonts w:eastAsia="Calibri"/>
          <w:sz w:val="27"/>
          <w:szCs w:val="27"/>
          <w:lang w:eastAsia="zh-CN"/>
        </w:rPr>
      </w:pPr>
      <w:r w:rsidRPr="00393432">
        <w:rPr>
          <w:rFonts w:eastAsia="Calibri"/>
          <w:sz w:val="27"/>
          <w:szCs w:val="27"/>
          <w:lang w:eastAsia="zh-CN"/>
        </w:rPr>
        <w:t xml:space="preserve">Respecto al oficio </w:t>
      </w:r>
      <w:r w:rsidRPr="00393432">
        <w:rPr>
          <w:sz w:val="27"/>
          <w:szCs w:val="27"/>
          <w:lang w:eastAsia="es-CR"/>
        </w:rPr>
        <w:t xml:space="preserve">CSC-159-2022 de la Contraloría de </w:t>
      </w:r>
      <w:r w:rsidRPr="00393432">
        <w:rPr>
          <w:rFonts w:eastAsia="Calibri"/>
          <w:sz w:val="27"/>
          <w:szCs w:val="27"/>
          <w:lang w:eastAsia="zh-CN"/>
        </w:rPr>
        <w:t xml:space="preserve">Servicios del Segundo Circuito Judicial de Alajuela se indica no tener observaciones sobre el informe.  El oficio de cita puede observarse en el apartado de anexos del presente documento. </w:t>
      </w:r>
    </w:p>
    <w:p w14:paraId="74CAB157" w14:textId="77777777" w:rsidR="005B2B6C" w:rsidRPr="00393432" w:rsidRDefault="005B2B6C" w:rsidP="00F50033">
      <w:pPr>
        <w:ind w:left="851" w:right="851" w:firstLine="709"/>
        <w:jc w:val="both"/>
        <w:rPr>
          <w:rFonts w:eastAsia="Calibri"/>
          <w:sz w:val="27"/>
          <w:szCs w:val="27"/>
          <w:lang w:eastAsia="zh-CN"/>
        </w:rPr>
      </w:pPr>
    </w:p>
    <w:p w14:paraId="1F02572F" w14:textId="77777777" w:rsidR="005B2B6C" w:rsidRPr="00393432" w:rsidRDefault="005B2B6C" w:rsidP="00F50033">
      <w:pPr>
        <w:ind w:left="851" w:right="851" w:firstLine="709"/>
        <w:jc w:val="both"/>
        <w:rPr>
          <w:sz w:val="27"/>
          <w:szCs w:val="27"/>
        </w:rPr>
      </w:pPr>
      <w:r w:rsidRPr="00393432">
        <w:rPr>
          <w:rFonts w:eastAsia="Calibri"/>
          <w:sz w:val="27"/>
          <w:szCs w:val="27"/>
          <w:lang w:eastAsia="zh-CN"/>
        </w:rPr>
        <w:t xml:space="preserve">Seguidamente se detallan las observaciones recibidas de parte del </w:t>
      </w:r>
      <w:r w:rsidRPr="00393432">
        <w:rPr>
          <w:sz w:val="27"/>
          <w:szCs w:val="27"/>
        </w:rPr>
        <w:t>Juzgado de Cobro del Segundo Circuito Judicial de Alajuela.</w:t>
      </w:r>
    </w:p>
    <w:p w14:paraId="37D7743A" w14:textId="77777777" w:rsidR="005B2B6C" w:rsidRPr="00393432" w:rsidRDefault="005B2B6C" w:rsidP="00F50033">
      <w:pPr>
        <w:rPr>
          <w:b/>
          <w:bCs/>
          <w:i/>
          <w:iCs/>
          <w:spacing w:val="-3"/>
          <w:sz w:val="27"/>
          <w:szCs w:val="27"/>
        </w:rPr>
        <w:sectPr w:rsidR="005B2B6C" w:rsidRPr="00393432">
          <w:headerReference w:type="default" r:id="rId10"/>
          <w:footerReference w:type="even" r:id="rId11"/>
          <w:footerReference w:type="default" r:id="rId12"/>
          <w:pgSz w:w="12242" w:h="15842"/>
          <w:pgMar w:top="1417" w:right="1701" w:bottom="1417" w:left="1701" w:header="709" w:footer="709" w:gutter="0"/>
          <w:cols w:space="720"/>
        </w:sectPr>
      </w:pPr>
    </w:p>
    <w:p w14:paraId="5F9299DA" w14:textId="77777777" w:rsidR="005B2B6C" w:rsidRPr="00393432" w:rsidRDefault="005B2B6C" w:rsidP="006B0961">
      <w:pPr>
        <w:keepNext/>
        <w:widowControl w:val="0"/>
        <w:numPr>
          <w:ilvl w:val="1"/>
          <w:numId w:val="11"/>
        </w:numPr>
        <w:tabs>
          <w:tab w:val="num" w:pos="1440"/>
        </w:tabs>
        <w:suppressAutoHyphens w:val="0"/>
        <w:autoSpaceDE w:val="0"/>
        <w:autoSpaceDN w:val="0"/>
        <w:adjustRightInd w:val="0"/>
        <w:ind w:left="1434" w:hanging="357"/>
        <w:rPr>
          <w:b/>
          <w:bCs/>
          <w:sz w:val="27"/>
          <w:szCs w:val="27"/>
          <w:u w:val="single"/>
        </w:rPr>
      </w:pPr>
      <w:bookmarkStart w:id="9" w:name="_Toc112071091"/>
      <w:r w:rsidRPr="00393432">
        <w:rPr>
          <w:b/>
          <w:bCs/>
          <w:sz w:val="27"/>
          <w:szCs w:val="27"/>
          <w:u w:val="single"/>
        </w:rPr>
        <w:lastRenderedPageBreak/>
        <w:t>Observaciones del Juzgado de Cobro del Segundo Circuito Judicial de Alajuela emitidas mediante correo electrónico del 23 de junio de 2022</w:t>
      </w:r>
      <w:bookmarkEnd w:id="9"/>
    </w:p>
    <w:p w14:paraId="162536A9" w14:textId="77777777" w:rsidR="005B2B6C" w:rsidRPr="00393432" w:rsidRDefault="005B2B6C" w:rsidP="00F50033">
      <w:pPr>
        <w:rPr>
          <w:sz w:val="27"/>
          <w:szCs w:val="27"/>
        </w:rPr>
      </w:pPr>
    </w:p>
    <w:tbl>
      <w:tblPr>
        <w:tblW w:w="12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413"/>
        <w:gridCol w:w="3524"/>
        <w:gridCol w:w="4948"/>
      </w:tblGrid>
      <w:tr w:rsidR="00F50033" w:rsidRPr="00393432" w14:paraId="20898199" w14:textId="77777777" w:rsidTr="00B909C8">
        <w:trPr>
          <w:trHeight w:val="321"/>
          <w:jc w:val="center"/>
        </w:trPr>
        <w:tc>
          <w:tcPr>
            <w:tcW w:w="997" w:type="dxa"/>
            <w:tcBorders>
              <w:top w:val="single" w:sz="4" w:space="0" w:color="auto"/>
              <w:left w:val="single" w:sz="4" w:space="0" w:color="auto"/>
              <w:bottom w:val="single" w:sz="4" w:space="0" w:color="auto"/>
              <w:right w:val="single" w:sz="4" w:space="0" w:color="auto"/>
            </w:tcBorders>
            <w:shd w:val="clear" w:color="auto" w:fill="1F4E79"/>
            <w:vAlign w:val="center"/>
            <w:hideMark/>
          </w:tcPr>
          <w:p w14:paraId="2CAEAB8A" w14:textId="77777777" w:rsidR="005B2B6C" w:rsidRPr="00393432" w:rsidRDefault="005B2B6C" w:rsidP="00F50033">
            <w:pPr>
              <w:jc w:val="center"/>
              <w:rPr>
                <w:b/>
                <w:bCs/>
                <w:sz w:val="27"/>
                <w:szCs w:val="27"/>
                <w:lang w:val="es-MX"/>
              </w:rPr>
            </w:pPr>
            <w:r w:rsidRPr="00393432">
              <w:rPr>
                <w:b/>
                <w:bCs/>
                <w:sz w:val="27"/>
                <w:szCs w:val="27"/>
                <w:lang w:val="es-MX"/>
              </w:rPr>
              <w:t>Página</w:t>
            </w:r>
          </w:p>
        </w:tc>
        <w:tc>
          <w:tcPr>
            <w:tcW w:w="3550" w:type="dxa"/>
            <w:tcBorders>
              <w:top w:val="single" w:sz="4" w:space="0" w:color="auto"/>
              <w:left w:val="single" w:sz="4" w:space="0" w:color="auto"/>
              <w:bottom w:val="single" w:sz="4" w:space="0" w:color="auto"/>
              <w:right w:val="single" w:sz="4" w:space="0" w:color="auto"/>
            </w:tcBorders>
            <w:shd w:val="clear" w:color="auto" w:fill="1F4E79"/>
            <w:vAlign w:val="center"/>
            <w:hideMark/>
          </w:tcPr>
          <w:p w14:paraId="43F7A52C" w14:textId="77777777" w:rsidR="005B2B6C" w:rsidRPr="00393432" w:rsidRDefault="005B2B6C" w:rsidP="00F50033">
            <w:pPr>
              <w:jc w:val="both"/>
              <w:rPr>
                <w:b/>
                <w:bCs/>
                <w:sz w:val="27"/>
                <w:szCs w:val="27"/>
                <w:lang w:val="es-MX"/>
              </w:rPr>
            </w:pPr>
            <w:r w:rsidRPr="00393432">
              <w:rPr>
                <w:b/>
                <w:bCs/>
                <w:sz w:val="27"/>
                <w:szCs w:val="27"/>
                <w:lang w:val="es-MX"/>
              </w:rPr>
              <w:t>Párrafo</w:t>
            </w:r>
          </w:p>
        </w:tc>
        <w:tc>
          <w:tcPr>
            <w:tcW w:w="3672" w:type="dxa"/>
            <w:tcBorders>
              <w:top w:val="single" w:sz="4" w:space="0" w:color="auto"/>
              <w:left w:val="single" w:sz="4" w:space="0" w:color="auto"/>
              <w:bottom w:val="single" w:sz="4" w:space="0" w:color="auto"/>
              <w:right w:val="single" w:sz="4" w:space="0" w:color="auto"/>
            </w:tcBorders>
            <w:shd w:val="clear" w:color="auto" w:fill="1F4E79"/>
            <w:vAlign w:val="center"/>
            <w:hideMark/>
          </w:tcPr>
          <w:p w14:paraId="0E88733C" w14:textId="77777777" w:rsidR="005B2B6C" w:rsidRPr="00393432" w:rsidRDefault="005B2B6C" w:rsidP="00F50033">
            <w:pPr>
              <w:jc w:val="both"/>
              <w:rPr>
                <w:b/>
                <w:bCs/>
                <w:sz w:val="27"/>
                <w:szCs w:val="27"/>
                <w:lang w:val="es-MX"/>
              </w:rPr>
            </w:pPr>
            <w:r w:rsidRPr="00393432">
              <w:rPr>
                <w:b/>
                <w:bCs/>
                <w:sz w:val="27"/>
                <w:szCs w:val="27"/>
                <w:lang w:val="es-MX"/>
              </w:rPr>
              <w:t>Observaciones</w:t>
            </w:r>
          </w:p>
        </w:tc>
        <w:tc>
          <w:tcPr>
            <w:tcW w:w="4678" w:type="dxa"/>
            <w:tcBorders>
              <w:top w:val="single" w:sz="4" w:space="0" w:color="auto"/>
              <w:left w:val="single" w:sz="4" w:space="0" w:color="auto"/>
              <w:bottom w:val="single" w:sz="4" w:space="0" w:color="auto"/>
              <w:right w:val="single" w:sz="4" w:space="0" w:color="auto"/>
            </w:tcBorders>
            <w:shd w:val="clear" w:color="auto" w:fill="1F4E79"/>
            <w:vAlign w:val="center"/>
            <w:hideMark/>
          </w:tcPr>
          <w:p w14:paraId="23B98E01" w14:textId="77777777" w:rsidR="005B2B6C" w:rsidRPr="00393432" w:rsidRDefault="005B2B6C" w:rsidP="00F50033">
            <w:pPr>
              <w:jc w:val="both"/>
              <w:rPr>
                <w:rFonts w:eastAsia="Calibri"/>
                <w:b/>
                <w:bCs/>
                <w:sz w:val="27"/>
                <w:szCs w:val="27"/>
                <w:lang w:val="es-MX"/>
              </w:rPr>
            </w:pPr>
            <w:r w:rsidRPr="00393432">
              <w:rPr>
                <w:rFonts w:eastAsia="Calibri"/>
                <w:b/>
                <w:bCs/>
                <w:sz w:val="27"/>
                <w:szCs w:val="27"/>
              </w:rPr>
              <w:t>Criterio de la Dirección de Planificación</w:t>
            </w:r>
          </w:p>
        </w:tc>
      </w:tr>
      <w:tr w:rsidR="00F50033" w:rsidRPr="00393432" w14:paraId="4237CB53" w14:textId="77777777" w:rsidTr="00B909C8">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14:paraId="563D9E20" w14:textId="77777777" w:rsidR="005B2B6C" w:rsidRPr="00393432" w:rsidRDefault="005B2B6C" w:rsidP="00F50033">
            <w:pPr>
              <w:jc w:val="center"/>
              <w:rPr>
                <w:sz w:val="27"/>
                <w:szCs w:val="27"/>
                <w:lang w:val="es-MX"/>
              </w:rPr>
            </w:pPr>
            <w:r w:rsidRPr="00393432">
              <w:rPr>
                <w:sz w:val="27"/>
                <w:szCs w:val="27"/>
                <w:lang w:val="es-MX"/>
              </w:rPr>
              <w:t>5</w:t>
            </w:r>
          </w:p>
        </w:tc>
        <w:tc>
          <w:tcPr>
            <w:tcW w:w="3550" w:type="dxa"/>
            <w:tcBorders>
              <w:top w:val="single" w:sz="4" w:space="0" w:color="auto"/>
              <w:left w:val="single" w:sz="4" w:space="0" w:color="auto"/>
              <w:bottom w:val="single" w:sz="4" w:space="0" w:color="auto"/>
              <w:right w:val="single" w:sz="4" w:space="0" w:color="auto"/>
            </w:tcBorders>
            <w:vAlign w:val="center"/>
          </w:tcPr>
          <w:p w14:paraId="14E81FC6" w14:textId="77777777" w:rsidR="005B2B6C" w:rsidRPr="00393432" w:rsidRDefault="005B2B6C" w:rsidP="00F50033">
            <w:pPr>
              <w:jc w:val="both"/>
              <w:rPr>
                <w:sz w:val="27"/>
                <w:szCs w:val="27"/>
                <w:lang w:val="es-MX"/>
              </w:rPr>
            </w:pPr>
            <w:r w:rsidRPr="00393432">
              <w:rPr>
                <w:sz w:val="27"/>
                <w:szCs w:val="27"/>
                <w:lang w:val="es-MX"/>
              </w:rPr>
              <w:t>ULTIMO PÁRRAFO.</w:t>
            </w:r>
          </w:p>
          <w:p w14:paraId="2817A2DB" w14:textId="77777777" w:rsidR="005B2B6C" w:rsidRPr="00393432" w:rsidRDefault="005B2B6C" w:rsidP="00F50033">
            <w:pPr>
              <w:jc w:val="both"/>
              <w:rPr>
                <w:sz w:val="27"/>
                <w:szCs w:val="27"/>
                <w:lang w:val="es-MX"/>
              </w:rPr>
            </w:pPr>
          </w:p>
          <w:p w14:paraId="2DCF80AE" w14:textId="77777777" w:rsidR="005B2B6C" w:rsidRPr="00393432" w:rsidRDefault="005B2B6C" w:rsidP="00F50033">
            <w:pPr>
              <w:jc w:val="both"/>
              <w:rPr>
                <w:sz w:val="27"/>
                <w:szCs w:val="27"/>
                <w:lang w:val="es-MX"/>
              </w:rPr>
            </w:pPr>
            <w:r w:rsidRPr="00393432">
              <w:rPr>
                <w:sz w:val="27"/>
                <w:szCs w:val="27"/>
                <w:lang w:val="es-MX"/>
              </w:rPr>
              <w:t>En relación con el rendimiento de la persona funcionaria judicial del Juzgado Civil del Segundo Circuito Judicial de Alajuela asignada al Plan de Trabajo 1219-PLA-EV-2021 no alcanzó a ubicarse entre el rango establecido del 95% a 100% del cumplimiento de la cuota ajustada; con excepción, del mes de enero que registró un rendimiento del 103%, para este mes se debe tomar en cuenta que la cuota reportada fue realizada por la técnica del Juzgado de Cobro, ya que se presentaron diferentes problemas a nivel de sistemas que impidió que la persona técnica del Juzgado Civil realizara el trámite correspondiente.</w:t>
            </w:r>
          </w:p>
        </w:tc>
        <w:tc>
          <w:tcPr>
            <w:tcW w:w="3672" w:type="dxa"/>
            <w:tcBorders>
              <w:top w:val="single" w:sz="4" w:space="0" w:color="auto"/>
              <w:left w:val="single" w:sz="4" w:space="0" w:color="auto"/>
              <w:bottom w:val="single" w:sz="4" w:space="0" w:color="auto"/>
              <w:right w:val="single" w:sz="4" w:space="0" w:color="auto"/>
            </w:tcBorders>
            <w:vAlign w:val="center"/>
            <w:hideMark/>
          </w:tcPr>
          <w:p w14:paraId="0C8853E1" w14:textId="77777777" w:rsidR="005B2B6C" w:rsidRPr="00393432" w:rsidRDefault="005B2B6C" w:rsidP="00F50033">
            <w:pPr>
              <w:jc w:val="both"/>
              <w:rPr>
                <w:sz w:val="27"/>
                <w:szCs w:val="27"/>
                <w:lang w:val="es-MX"/>
              </w:rPr>
            </w:pPr>
            <w:r w:rsidRPr="00393432">
              <w:rPr>
                <w:sz w:val="27"/>
                <w:szCs w:val="27"/>
                <w:lang w:val="es-MX"/>
              </w:rPr>
              <w:t xml:space="preserve"> Es consideración del suscrito Giovanni Vargas Loaiza (Juez Coordinador del Juzgado de Cobro del II Circuito Judicial de Alajuela), </w:t>
            </w:r>
          </w:p>
          <w:p w14:paraId="650688D9" w14:textId="77777777" w:rsidR="005B2B6C" w:rsidRPr="00393432" w:rsidRDefault="005B2B6C" w:rsidP="00F50033">
            <w:pPr>
              <w:jc w:val="both"/>
              <w:rPr>
                <w:sz w:val="27"/>
                <w:szCs w:val="27"/>
                <w:lang w:val="es-MX"/>
              </w:rPr>
            </w:pPr>
            <w:r w:rsidRPr="00393432">
              <w:rPr>
                <w:sz w:val="27"/>
                <w:szCs w:val="27"/>
                <w:lang w:val="es-MX"/>
              </w:rPr>
              <w:t>Considera que la persona técnica del Juzgado Civil, si alcanzó los objetivos del rendimiento en cuanto a su carga laboral. Pues se debe de restar que el compañero técnico disfrutó vacaciones el período 2-2-2022 y del 4 al 7 de marzo del 2022, además se le debe de restar la Semana Santa de este año y día y medio que no se laboró por motivo del traslado del despacho a un nuevo edificio, propiamente todo el 11 de marzo y el 14 de marzo media audiencia.</w:t>
            </w:r>
          </w:p>
        </w:tc>
        <w:tc>
          <w:tcPr>
            <w:tcW w:w="4678" w:type="dxa"/>
            <w:tcBorders>
              <w:top w:val="single" w:sz="4" w:space="0" w:color="auto"/>
              <w:left w:val="single" w:sz="4" w:space="0" w:color="auto"/>
              <w:bottom w:val="single" w:sz="4" w:space="0" w:color="auto"/>
              <w:right w:val="single" w:sz="4" w:space="0" w:color="auto"/>
            </w:tcBorders>
            <w:vAlign w:val="center"/>
          </w:tcPr>
          <w:p w14:paraId="46BCC9D1" w14:textId="77777777" w:rsidR="005B2B6C" w:rsidRPr="00393432" w:rsidRDefault="005B2B6C" w:rsidP="00F50033">
            <w:pPr>
              <w:jc w:val="both"/>
              <w:rPr>
                <w:rFonts w:eastAsia="Calibri"/>
                <w:sz w:val="27"/>
                <w:szCs w:val="27"/>
                <w:lang w:val="es-MX"/>
              </w:rPr>
            </w:pPr>
            <w:r w:rsidRPr="00393432">
              <w:rPr>
                <w:rFonts w:eastAsia="Calibri"/>
                <w:sz w:val="27"/>
                <w:szCs w:val="27"/>
                <w:lang w:val="es-MX"/>
              </w:rPr>
              <w:t>Se aclara que los porcentajes de rendimiento se obtuvieron de la matriz de Indicadores del Juzgado de Cobro del II CJ de Alajuela.</w:t>
            </w:r>
          </w:p>
          <w:p w14:paraId="539740B9" w14:textId="77777777" w:rsidR="005B2B6C" w:rsidRPr="00393432" w:rsidRDefault="005B2B6C" w:rsidP="00F50033">
            <w:pPr>
              <w:jc w:val="both"/>
              <w:rPr>
                <w:rFonts w:eastAsia="Calibri"/>
                <w:sz w:val="27"/>
                <w:szCs w:val="27"/>
                <w:lang w:val="es-MX"/>
              </w:rPr>
            </w:pPr>
          </w:p>
          <w:p w14:paraId="6C9AE553" w14:textId="77777777" w:rsidR="005B2B6C" w:rsidRPr="00393432" w:rsidRDefault="005B2B6C" w:rsidP="00F50033">
            <w:pPr>
              <w:jc w:val="both"/>
              <w:rPr>
                <w:rFonts w:eastAsia="Calibri"/>
                <w:sz w:val="27"/>
                <w:szCs w:val="27"/>
                <w:lang w:val="es-MX"/>
              </w:rPr>
            </w:pPr>
            <w:r w:rsidRPr="00393432">
              <w:rPr>
                <w:rFonts w:eastAsia="Calibri"/>
                <w:sz w:val="27"/>
                <w:szCs w:val="27"/>
                <w:lang w:val="es-MX"/>
              </w:rPr>
              <w:t xml:space="preserve"> Es importante destacar que, la oficina judicial dispone de un </w:t>
            </w:r>
            <w:r w:rsidRPr="00393432">
              <w:rPr>
                <w:rFonts w:eastAsia="Calibri"/>
                <w:i/>
                <w:iCs/>
                <w:sz w:val="27"/>
                <w:szCs w:val="27"/>
                <w:lang w:val="es-MX"/>
              </w:rPr>
              <w:t xml:space="preserve">control de días efectivos </w:t>
            </w:r>
            <w:r w:rsidRPr="00393432">
              <w:rPr>
                <w:rFonts w:eastAsia="Calibri"/>
                <w:sz w:val="27"/>
                <w:szCs w:val="27"/>
                <w:lang w:val="es-MX"/>
              </w:rPr>
              <w:t xml:space="preserve">en el cual se logra observar que se realizó el rebajo correspondiente a los días mencionados (vacaciones y Semana Santa). </w:t>
            </w:r>
          </w:p>
          <w:p w14:paraId="0D5CA57B" w14:textId="77777777" w:rsidR="005B2B6C" w:rsidRPr="00393432" w:rsidRDefault="005B2B6C" w:rsidP="00F50033">
            <w:pPr>
              <w:jc w:val="both"/>
              <w:rPr>
                <w:rFonts w:eastAsia="Calibri"/>
                <w:sz w:val="27"/>
                <w:szCs w:val="27"/>
                <w:lang w:val="es-MX"/>
              </w:rPr>
            </w:pPr>
          </w:p>
          <w:p w14:paraId="36450AC5" w14:textId="77777777" w:rsidR="005B2B6C" w:rsidRPr="00393432" w:rsidRDefault="005B2B6C" w:rsidP="00F50033">
            <w:pPr>
              <w:jc w:val="both"/>
              <w:rPr>
                <w:rFonts w:eastAsia="Calibri"/>
                <w:sz w:val="27"/>
                <w:szCs w:val="27"/>
                <w:lang w:val="es-MX"/>
              </w:rPr>
            </w:pPr>
            <w:r w:rsidRPr="00393432">
              <w:rPr>
                <w:rFonts w:eastAsia="Calibri"/>
                <w:sz w:val="27"/>
                <w:szCs w:val="27"/>
                <w:lang w:val="es-MX"/>
              </w:rPr>
              <w:t>A continuación, se muestra detalle de los días de mes, días efectivos, cuota diaria, cuota mensual ajustada, cuota mensual realiza y porcentaje de rendimiento de cada mes:</w:t>
            </w:r>
          </w:p>
          <w:p w14:paraId="11BAEC0E" w14:textId="77777777" w:rsidR="005B2B6C" w:rsidRPr="00393432" w:rsidRDefault="005B2B6C" w:rsidP="00F50033">
            <w:pPr>
              <w:jc w:val="both"/>
              <w:rPr>
                <w:rFonts w:eastAsia="Calibri"/>
                <w:sz w:val="27"/>
                <w:szCs w:val="27"/>
                <w:lang w:val="es-MX"/>
              </w:rPr>
            </w:pPr>
          </w:p>
          <w:tbl>
            <w:tblPr>
              <w:tblW w:w="4098"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146"/>
              <w:gridCol w:w="541"/>
              <w:gridCol w:w="541"/>
              <w:gridCol w:w="541"/>
              <w:gridCol w:w="621"/>
              <w:gridCol w:w="621"/>
              <w:gridCol w:w="711"/>
            </w:tblGrid>
            <w:tr w:rsidR="00F50033" w:rsidRPr="00393432" w14:paraId="53929286" w14:textId="77777777" w:rsidTr="00B909C8">
              <w:trPr>
                <w:cantSplit/>
                <w:trHeight w:val="1516"/>
                <w:jc w:val="center"/>
              </w:trPr>
              <w:tc>
                <w:tcPr>
                  <w:tcW w:w="1027" w:type="dxa"/>
                  <w:tcBorders>
                    <w:top w:val="single" w:sz="4" w:space="0" w:color="C9C9C9"/>
                    <w:left w:val="single" w:sz="4" w:space="0" w:color="C9C9C9"/>
                    <w:bottom w:val="single" w:sz="12" w:space="0" w:color="C9C9C9"/>
                    <w:right w:val="single" w:sz="4" w:space="0" w:color="C9C9C9"/>
                  </w:tcBorders>
                  <w:vAlign w:val="center"/>
                  <w:hideMark/>
                </w:tcPr>
                <w:p w14:paraId="4AFE8950" w14:textId="77777777" w:rsidR="005B2B6C" w:rsidRPr="00393432" w:rsidRDefault="005B2B6C" w:rsidP="00F50033">
                  <w:pPr>
                    <w:jc w:val="both"/>
                    <w:rPr>
                      <w:b/>
                      <w:bCs/>
                      <w:sz w:val="27"/>
                      <w:szCs w:val="27"/>
                      <w:lang w:eastAsia="es-CR"/>
                    </w:rPr>
                  </w:pPr>
                  <w:r w:rsidRPr="00393432">
                    <w:rPr>
                      <w:b/>
                      <w:bCs/>
                      <w:sz w:val="27"/>
                      <w:szCs w:val="27"/>
                      <w:lang w:eastAsia="es-CR"/>
                    </w:rPr>
                    <w:t>Técnico Judicial 6</w:t>
                  </w:r>
                </w:p>
              </w:tc>
              <w:tc>
                <w:tcPr>
                  <w:tcW w:w="0" w:type="auto"/>
                  <w:tcBorders>
                    <w:top w:val="single" w:sz="4" w:space="0" w:color="C9C9C9"/>
                    <w:left w:val="single" w:sz="4" w:space="0" w:color="C9C9C9"/>
                    <w:bottom w:val="single" w:sz="12" w:space="0" w:color="C9C9C9"/>
                    <w:right w:val="single" w:sz="4" w:space="0" w:color="C9C9C9"/>
                  </w:tcBorders>
                  <w:textDirection w:val="btLr"/>
                  <w:vAlign w:val="center"/>
                  <w:hideMark/>
                </w:tcPr>
                <w:p w14:paraId="21E68CB1" w14:textId="77777777" w:rsidR="005B2B6C" w:rsidRPr="00393432" w:rsidRDefault="005B2B6C" w:rsidP="00F50033">
                  <w:pPr>
                    <w:ind w:left="113" w:right="113"/>
                    <w:jc w:val="both"/>
                    <w:rPr>
                      <w:b/>
                      <w:bCs/>
                      <w:sz w:val="27"/>
                      <w:szCs w:val="27"/>
                      <w:lang w:eastAsia="es-CR"/>
                    </w:rPr>
                  </w:pPr>
                  <w:r w:rsidRPr="00393432">
                    <w:rPr>
                      <w:b/>
                      <w:bCs/>
                      <w:sz w:val="27"/>
                      <w:szCs w:val="27"/>
                      <w:lang w:eastAsia="es-CR"/>
                    </w:rPr>
                    <w:t>Días del mes</w:t>
                  </w:r>
                </w:p>
              </w:tc>
              <w:tc>
                <w:tcPr>
                  <w:tcW w:w="0" w:type="auto"/>
                  <w:tcBorders>
                    <w:top w:val="single" w:sz="4" w:space="0" w:color="C9C9C9"/>
                    <w:left w:val="single" w:sz="4" w:space="0" w:color="C9C9C9"/>
                    <w:bottom w:val="single" w:sz="12" w:space="0" w:color="C9C9C9"/>
                    <w:right w:val="single" w:sz="4" w:space="0" w:color="C9C9C9"/>
                  </w:tcBorders>
                  <w:textDirection w:val="btLr"/>
                  <w:vAlign w:val="center"/>
                  <w:hideMark/>
                </w:tcPr>
                <w:p w14:paraId="24B038D8" w14:textId="77777777" w:rsidR="005B2B6C" w:rsidRPr="00393432" w:rsidRDefault="005B2B6C" w:rsidP="00F50033">
                  <w:pPr>
                    <w:ind w:left="113" w:right="113"/>
                    <w:jc w:val="both"/>
                    <w:rPr>
                      <w:b/>
                      <w:bCs/>
                      <w:sz w:val="27"/>
                      <w:szCs w:val="27"/>
                      <w:lang w:eastAsia="es-CR"/>
                    </w:rPr>
                  </w:pPr>
                  <w:r w:rsidRPr="00393432">
                    <w:rPr>
                      <w:b/>
                      <w:bCs/>
                      <w:sz w:val="27"/>
                      <w:szCs w:val="27"/>
                      <w:lang w:eastAsia="es-CR"/>
                    </w:rPr>
                    <w:t>Días efectivos del mes</w:t>
                  </w:r>
                </w:p>
              </w:tc>
              <w:tc>
                <w:tcPr>
                  <w:tcW w:w="435" w:type="dxa"/>
                  <w:tcBorders>
                    <w:top w:val="single" w:sz="4" w:space="0" w:color="C9C9C9"/>
                    <w:left w:val="single" w:sz="4" w:space="0" w:color="C9C9C9"/>
                    <w:bottom w:val="single" w:sz="12" w:space="0" w:color="C9C9C9"/>
                    <w:right w:val="single" w:sz="4" w:space="0" w:color="C9C9C9"/>
                  </w:tcBorders>
                  <w:textDirection w:val="btLr"/>
                  <w:vAlign w:val="center"/>
                  <w:hideMark/>
                </w:tcPr>
                <w:p w14:paraId="17818871" w14:textId="77777777" w:rsidR="005B2B6C" w:rsidRPr="00393432" w:rsidRDefault="005B2B6C" w:rsidP="00F50033">
                  <w:pPr>
                    <w:ind w:left="113" w:right="113"/>
                    <w:jc w:val="both"/>
                    <w:rPr>
                      <w:b/>
                      <w:bCs/>
                      <w:sz w:val="27"/>
                      <w:szCs w:val="27"/>
                      <w:lang w:eastAsia="es-CR"/>
                    </w:rPr>
                  </w:pPr>
                  <w:r w:rsidRPr="00393432">
                    <w:rPr>
                      <w:b/>
                      <w:bCs/>
                      <w:sz w:val="27"/>
                      <w:szCs w:val="27"/>
                      <w:lang w:eastAsia="es-CR"/>
                    </w:rPr>
                    <w:t>Cuota diaria</w:t>
                  </w:r>
                </w:p>
              </w:tc>
              <w:tc>
                <w:tcPr>
                  <w:tcW w:w="486" w:type="dxa"/>
                  <w:tcBorders>
                    <w:top w:val="single" w:sz="4" w:space="0" w:color="C9C9C9"/>
                    <w:left w:val="single" w:sz="4" w:space="0" w:color="C9C9C9"/>
                    <w:bottom w:val="single" w:sz="12" w:space="0" w:color="C9C9C9"/>
                    <w:right w:val="single" w:sz="4" w:space="0" w:color="C9C9C9"/>
                  </w:tcBorders>
                  <w:textDirection w:val="btLr"/>
                  <w:vAlign w:val="center"/>
                  <w:hideMark/>
                </w:tcPr>
                <w:p w14:paraId="5F5C25F3" w14:textId="77777777" w:rsidR="005B2B6C" w:rsidRPr="00393432" w:rsidRDefault="005B2B6C" w:rsidP="00F50033">
                  <w:pPr>
                    <w:ind w:left="113" w:right="113"/>
                    <w:jc w:val="both"/>
                    <w:rPr>
                      <w:b/>
                      <w:bCs/>
                      <w:sz w:val="27"/>
                      <w:szCs w:val="27"/>
                      <w:lang w:eastAsia="es-CR"/>
                    </w:rPr>
                  </w:pPr>
                  <w:r w:rsidRPr="00393432">
                    <w:rPr>
                      <w:b/>
                      <w:bCs/>
                      <w:sz w:val="27"/>
                      <w:szCs w:val="27"/>
                      <w:lang w:eastAsia="es-CR"/>
                    </w:rPr>
                    <w:t>Cuota mensual ajustada</w:t>
                  </w:r>
                </w:p>
              </w:tc>
              <w:tc>
                <w:tcPr>
                  <w:tcW w:w="0" w:type="auto"/>
                  <w:tcBorders>
                    <w:top w:val="single" w:sz="4" w:space="0" w:color="C9C9C9"/>
                    <w:left w:val="single" w:sz="4" w:space="0" w:color="C9C9C9"/>
                    <w:bottom w:val="single" w:sz="12" w:space="0" w:color="C9C9C9"/>
                    <w:right w:val="single" w:sz="4" w:space="0" w:color="C9C9C9"/>
                  </w:tcBorders>
                  <w:textDirection w:val="btLr"/>
                  <w:vAlign w:val="center"/>
                  <w:hideMark/>
                </w:tcPr>
                <w:p w14:paraId="6D28BF61" w14:textId="77777777" w:rsidR="005B2B6C" w:rsidRPr="00393432" w:rsidRDefault="005B2B6C" w:rsidP="00F50033">
                  <w:pPr>
                    <w:ind w:left="113" w:right="113"/>
                    <w:jc w:val="both"/>
                    <w:rPr>
                      <w:b/>
                      <w:bCs/>
                      <w:sz w:val="27"/>
                      <w:szCs w:val="27"/>
                      <w:lang w:eastAsia="es-CR"/>
                    </w:rPr>
                  </w:pPr>
                  <w:r w:rsidRPr="00393432">
                    <w:rPr>
                      <w:b/>
                      <w:bCs/>
                      <w:sz w:val="27"/>
                      <w:szCs w:val="27"/>
                      <w:lang w:eastAsia="es-CR"/>
                    </w:rPr>
                    <w:t>Cuota mensual realizada</w:t>
                  </w:r>
                </w:p>
              </w:tc>
              <w:tc>
                <w:tcPr>
                  <w:tcW w:w="591" w:type="dxa"/>
                  <w:tcBorders>
                    <w:top w:val="single" w:sz="4" w:space="0" w:color="C9C9C9"/>
                    <w:left w:val="single" w:sz="4" w:space="0" w:color="C9C9C9"/>
                    <w:bottom w:val="single" w:sz="12" w:space="0" w:color="C9C9C9"/>
                    <w:right w:val="single" w:sz="4" w:space="0" w:color="C9C9C9"/>
                  </w:tcBorders>
                  <w:textDirection w:val="btLr"/>
                  <w:vAlign w:val="center"/>
                  <w:hideMark/>
                </w:tcPr>
                <w:p w14:paraId="4F42DFDA" w14:textId="77777777" w:rsidR="005B2B6C" w:rsidRPr="00393432" w:rsidRDefault="005B2B6C" w:rsidP="00F50033">
                  <w:pPr>
                    <w:ind w:left="113" w:right="113"/>
                    <w:jc w:val="both"/>
                    <w:rPr>
                      <w:b/>
                      <w:bCs/>
                      <w:sz w:val="27"/>
                      <w:szCs w:val="27"/>
                      <w:lang w:eastAsia="es-CR"/>
                    </w:rPr>
                  </w:pPr>
                  <w:r w:rsidRPr="00393432">
                    <w:rPr>
                      <w:b/>
                      <w:bCs/>
                      <w:sz w:val="27"/>
                      <w:szCs w:val="27"/>
                      <w:lang w:eastAsia="es-CR"/>
                    </w:rPr>
                    <w:t>Porcentaje de rendimiento</w:t>
                  </w:r>
                </w:p>
              </w:tc>
            </w:tr>
            <w:tr w:rsidR="00F50033" w:rsidRPr="00393432" w14:paraId="54E895C8" w14:textId="77777777" w:rsidTr="00B909C8">
              <w:trPr>
                <w:trHeight w:val="363"/>
                <w:jc w:val="center"/>
              </w:trPr>
              <w:tc>
                <w:tcPr>
                  <w:tcW w:w="1027" w:type="dxa"/>
                  <w:tcBorders>
                    <w:top w:val="single" w:sz="4" w:space="0" w:color="C9C9C9"/>
                    <w:left w:val="single" w:sz="4" w:space="0" w:color="C9C9C9"/>
                    <w:bottom w:val="single" w:sz="4" w:space="0" w:color="C9C9C9"/>
                    <w:right w:val="single" w:sz="4" w:space="0" w:color="C9C9C9"/>
                  </w:tcBorders>
                  <w:shd w:val="clear" w:color="auto" w:fill="EDEDED"/>
                  <w:noWrap/>
                  <w:vAlign w:val="center"/>
                  <w:hideMark/>
                </w:tcPr>
                <w:p w14:paraId="390C00D6" w14:textId="77777777" w:rsidR="005B2B6C" w:rsidRPr="00393432" w:rsidRDefault="005B2B6C" w:rsidP="00F50033">
                  <w:pPr>
                    <w:jc w:val="both"/>
                    <w:rPr>
                      <w:b/>
                      <w:bCs/>
                      <w:sz w:val="27"/>
                      <w:szCs w:val="27"/>
                      <w:lang w:eastAsia="es-CR"/>
                    </w:rPr>
                  </w:pPr>
                  <w:r w:rsidRPr="00393432">
                    <w:rPr>
                      <w:b/>
                      <w:bCs/>
                      <w:sz w:val="27"/>
                      <w:szCs w:val="27"/>
                      <w:lang w:eastAsia="es-CR"/>
                    </w:rPr>
                    <w:t>Febrero</w:t>
                  </w:r>
                </w:p>
              </w:tc>
              <w:tc>
                <w:tcPr>
                  <w:tcW w:w="0" w:type="auto"/>
                  <w:tcBorders>
                    <w:top w:val="single" w:sz="4" w:space="0" w:color="C9C9C9"/>
                    <w:left w:val="single" w:sz="4" w:space="0" w:color="C9C9C9"/>
                    <w:bottom w:val="single" w:sz="4" w:space="0" w:color="C9C9C9"/>
                    <w:right w:val="single" w:sz="4" w:space="0" w:color="C9C9C9"/>
                  </w:tcBorders>
                  <w:shd w:val="clear" w:color="auto" w:fill="EDEDED"/>
                  <w:noWrap/>
                  <w:vAlign w:val="center"/>
                  <w:hideMark/>
                </w:tcPr>
                <w:p w14:paraId="1C88E9A3" w14:textId="77777777" w:rsidR="005B2B6C" w:rsidRPr="00393432" w:rsidRDefault="005B2B6C" w:rsidP="00F50033">
                  <w:pPr>
                    <w:jc w:val="both"/>
                    <w:rPr>
                      <w:sz w:val="27"/>
                      <w:szCs w:val="27"/>
                      <w:lang w:eastAsia="es-CR"/>
                    </w:rPr>
                  </w:pPr>
                  <w:r w:rsidRPr="00393432">
                    <w:rPr>
                      <w:sz w:val="27"/>
                      <w:szCs w:val="27"/>
                      <w:lang w:eastAsia="es-CR"/>
                    </w:rPr>
                    <w:t>20</w:t>
                  </w:r>
                </w:p>
              </w:tc>
              <w:tc>
                <w:tcPr>
                  <w:tcW w:w="0" w:type="auto"/>
                  <w:tcBorders>
                    <w:top w:val="single" w:sz="4" w:space="0" w:color="C9C9C9"/>
                    <w:left w:val="single" w:sz="4" w:space="0" w:color="C9C9C9"/>
                    <w:bottom w:val="single" w:sz="4" w:space="0" w:color="C9C9C9"/>
                    <w:right w:val="single" w:sz="4" w:space="0" w:color="C9C9C9"/>
                  </w:tcBorders>
                  <w:shd w:val="clear" w:color="auto" w:fill="EDEDED"/>
                  <w:noWrap/>
                  <w:vAlign w:val="center"/>
                  <w:hideMark/>
                </w:tcPr>
                <w:p w14:paraId="4B77C82A" w14:textId="77777777" w:rsidR="005B2B6C" w:rsidRPr="00393432" w:rsidRDefault="005B2B6C" w:rsidP="00F50033">
                  <w:pPr>
                    <w:jc w:val="both"/>
                    <w:rPr>
                      <w:sz w:val="27"/>
                      <w:szCs w:val="27"/>
                      <w:lang w:eastAsia="es-CR"/>
                    </w:rPr>
                  </w:pPr>
                  <w:r w:rsidRPr="00393432">
                    <w:rPr>
                      <w:sz w:val="27"/>
                      <w:szCs w:val="27"/>
                      <w:lang w:eastAsia="es-CR"/>
                    </w:rPr>
                    <w:t>13</w:t>
                  </w:r>
                </w:p>
              </w:tc>
              <w:tc>
                <w:tcPr>
                  <w:tcW w:w="435" w:type="dxa"/>
                  <w:tcBorders>
                    <w:top w:val="single" w:sz="4" w:space="0" w:color="C9C9C9"/>
                    <w:left w:val="single" w:sz="4" w:space="0" w:color="C9C9C9"/>
                    <w:bottom w:val="single" w:sz="4" w:space="0" w:color="C9C9C9"/>
                    <w:right w:val="single" w:sz="4" w:space="0" w:color="C9C9C9"/>
                  </w:tcBorders>
                  <w:shd w:val="clear" w:color="auto" w:fill="EDEDED"/>
                  <w:noWrap/>
                  <w:vAlign w:val="center"/>
                  <w:hideMark/>
                </w:tcPr>
                <w:p w14:paraId="4D46C4B4" w14:textId="77777777" w:rsidR="005B2B6C" w:rsidRPr="00393432" w:rsidRDefault="005B2B6C" w:rsidP="00F50033">
                  <w:pPr>
                    <w:jc w:val="both"/>
                    <w:rPr>
                      <w:sz w:val="27"/>
                      <w:szCs w:val="27"/>
                      <w:lang w:eastAsia="es-CR"/>
                    </w:rPr>
                  </w:pPr>
                  <w:r w:rsidRPr="00393432">
                    <w:rPr>
                      <w:sz w:val="27"/>
                      <w:szCs w:val="27"/>
                      <w:lang w:eastAsia="es-CR"/>
                    </w:rPr>
                    <w:t>25</w:t>
                  </w:r>
                </w:p>
              </w:tc>
              <w:tc>
                <w:tcPr>
                  <w:tcW w:w="486" w:type="dxa"/>
                  <w:tcBorders>
                    <w:top w:val="single" w:sz="4" w:space="0" w:color="C9C9C9"/>
                    <w:left w:val="single" w:sz="4" w:space="0" w:color="C9C9C9"/>
                    <w:bottom w:val="single" w:sz="4" w:space="0" w:color="C9C9C9"/>
                    <w:right w:val="single" w:sz="4" w:space="0" w:color="C9C9C9"/>
                  </w:tcBorders>
                  <w:shd w:val="clear" w:color="auto" w:fill="EDEDED"/>
                  <w:noWrap/>
                  <w:vAlign w:val="center"/>
                  <w:hideMark/>
                </w:tcPr>
                <w:p w14:paraId="2EF5183D" w14:textId="77777777" w:rsidR="005B2B6C" w:rsidRPr="00393432" w:rsidRDefault="005B2B6C" w:rsidP="00F50033">
                  <w:pPr>
                    <w:jc w:val="both"/>
                    <w:rPr>
                      <w:sz w:val="27"/>
                      <w:szCs w:val="27"/>
                      <w:lang w:eastAsia="es-CR"/>
                    </w:rPr>
                  </w:pPr>
                  <w:r w:rsidRPr="00393432">
                    <w:rPr>
                      <w:sz w:val="27"/>
                      <w:szCs w:val="27"/>
                      <w:lang w:eastAsia="es-CR"/>
                    </w:rPr>
                    <w:t>328</w:t>
                  </w:r>
                </w:p>
              </w:tc>
              <w:tc>
                <w:tcPr>
                  <w:tcW w:w="0" w:type="auto"/>
                  <w:tcBorders>
                    <w:top w:val="single" w:sz="4" w:space="0" w:color="C9C9C9"/>
                    <w:left w:val="single" w:sz="4" w:space="0" w:color="C9C9C9"/>
                    <w:bottom w:val="single" w:sz="4" w:space="0" w:color="C9C9C9"/>
                    <w:right w:val="single" w:sz="4" w:space="0" w:color="C9C9C9"/>
                  </w:tcBorders>
                  <w:shd w:val="clear" w:color="auto" w:fill="EDEDED"/>
                  <w:noWrap/>
                  <w:vAlign w:val="center"/>
                  <w:hideMark/>
                </w:tcPr>
                <w:p w14:paraId="0BAFB6C1" w14:textId="77777777" w:rsidR="005B2B6C" w:rsidRPr="00393432" w:rsidRDefault="005B2B6C" w:rsidP="00F50033">
                  <w:pPr>
                    <w:jc w:val="both"/>
                    <w:rPr>
                      <w:sz w:val="27"/>
                      <w:szCs w:val="27"/>
                      <w:lang w:eastAsia="es-CR"/>
                    </w:rPr>
                  </w:pPr>
                  <w:r w:rsidRPr="00393432">
                    <w:rPr>
                      <w:sz w:val="27"/>
                      <w:szCs w:val="27"/>
                      <w:lang w:eastAsia="es-CR"/>
                    </w:rPr>
                    <w:t>266</w:t>
                  </w:r>
                </w:p>
              </w:tc>
              <w:tc>
                <w:tcPr>
                  <w:tcW w:w="591" w:type="dxa"/>
                  <w:tcBorders>
                    <w:top w:val="single" w:sz="4" w:space="0" w:color="C9C9C9"/>
                    <w:left w:val="single" w:sz="4" w:space="0" w:color="C9C9C9"/>
                    <w:bottom w:val="single" w:sz="4" w:space="0" w:color="C9C9C9"/>
                    <w:right w:val="single" w:sz="4" w:space="0" w:color="C9C9C9"/>
                  </w:tcBorders>
                  <w:shd w:val="clear" w:color="auto" w:fill="EDEDED"/>
                  <w:noWrap/>
                  <w:vAlign w:val="center"/>
                  <w:hideMark/>
                </w:tcPr>
                <w:p w14:paraId="6F02AE60" w14:textId="77777777" w:rsidR="005B2B6C" w:rsidRPr="00393432" w:rsidRDefault="005B2B6C" w:rsidP="00F50033">
                  <w:pPr>
                    <w:jc w:val="both"/>
                    <w:rPr>
                      <w:sz w:val="27"/>
                      <w:szCs w:val="27"/>
                      <w:lang w:eastAsia="es-CR"/>
                    </w:rPr>
                  </w:pPr>
                  <w:r w:rsidRPr="00393432">
                    <w:rPr>
                      <w:sz w:val="27"/>
                      <w:szCs w:val="27"/>
                      <w:lang w:eastAsia="es-CR"/>
                    </w:rPr>
                    <w:t>81%</w:t>
                  </w:r>
                </w:p>
              </w:tc>
            </w:tr>
            <w:tr w:rsidR="00F50033" w:rsidRPr="00393432" w14:paraId="539B0786" w14:textId="77777777" w:rsidTr="00B909C8">
              <w:trPr>
                <w:trHeight w:val="363"/>
                <w:jc w:val="center"/>
              </w:trPr>
              <w:tc>
                <w:tcPr>
                  <w:tcW w:w="1027" w:type="dxa"/>
                  <w:tcBorders>
                    <w:top w:val="single" w:sz="4" w:space="0" w:color="C9C9C9"/>
                    <w:left w:val="single" w:sz="4" w:space="0" w:color="C9C9C9"/>
                    <w:bottom w:val="single" w:sz="4" w:space="0" w:color="C9C9C9"/>
                    <w:right w:val="single" w:sz="4" w:space="0" w:color="C9C9C9"/>
                  </w:tcBorders>
                  <w:noWrap/>
                  <w:vAlign w:val="center"/>
                  <w:hideMark/>
                </w:tcPr>
                <w:p w14:paraId="79C6EBB3" w14:textId="77777777" w:rsidR="005B2B6C" w:rsidRPr="00393432" w:rsidRDefault="005B2B6C" w:rsidP="00F50033">
                  <w:pPr>
                    <w:jc w:val="both"/>
                    <w:rPr>
                      <w:b/>
                      <w:bCs/>
                      <w:sz w:val="27"/>
                      <w:szCs w:val="27"/>
                      <w:lang w:eastAsia="es-CR"/>
                    </w:rPr>
                  </w:pPr>
                  <w:r w:rsidRPr="00393432">
                    <w:rPr>
                      <w:b/>
                      <w:bCs/>
                      <w:sz w:val="27"/>
                      <w:szCs w:val="27"/>
                      <w:lang w:eastAsia="es-CR"/>
                    </w:rPr>
                    <w:t>Marzo</w:t>
                  </w:r>
                </w:p>
              </w:tc>
              <w:tc>
                <w:tcPr>
                  <w:tcW w:w="0" w:type="auto"/>
                  <w:tcBorders>
                    <w:top w:val="single" w:sz="4" w:space="0" w:color="C9C9C9"/>
                    <w:left w:val="single" w:sz="4" w:space="0" w:color="C9C9C9"/>
                    <w:bottom w:val="single" w:sz="4" w:space="0" w:color="C9C9C9"/>
                    <w:right w:val="single" w:sz="4" w:space="0" w:color="C9C9C9"/>
                  </w:tcBorders>
                  <w:noWrap/>
                  <w:vAlign w:val="center"/>
                  <w:hideMark/>
                </w:tcPr>
                <w:p w14:paraId="5F4D2E42" w14:textId="77777777" w:rsidR="005B2B6C" w:rsidRPr="00393432" w:rsidRDefault="005B2B6C" w:rsidP="00F50033">
                  <w:pPr>
                    <w:jc w:val="both"/>
                    <w:rPr>
                      <w:sz w:val="27"/>
                      <w:szCs w:val="27"/>
                      <w:lang w:eastAsia="es-CR"/>
                    </w:rPr>
                  </w:pPr>
                  <w:r w:rsidRPr="00393432">
                    <w:rPr>
                      <w:sz w:val="27"/>
                      <w:szCs w:val="27"/>
                      <w:lang w:eastAsia="es-CR"/>
                    </w:rPr>
                    <w:t>23</w:t>
                  </w:r>
                </w:p>
              </w:tc>
              <w:tc>
                <w:tcPr>
                  <w:tcW w:w="0" w:type="auto"/>
                  <w:tcBorders>
                    <w:top w:val="single" w:sz="4" w:space="0" w:color="C9C9C9"/>
                    <w:left w:val="single" w:sz="4" w:space="0" w:color="C9C9C9"/>
                    <w:bottom w:val="single" w:sz="4" w:space="0" w:color="C9C9C9"/>
                    <w:right w:val="single" w:sz="4" w:space="0" w:color="C9C9C9"/>
                  </w:tcBorders>
                  <w:noWrap/>
                  <w:vAlign w:val="center"/>
                  <w:hideMark/>
                </w:tcPr>
                <w:p w14:paraId="2EF47A1C" w14:textId="77777777" w:rsidR="005B2B6C" w:rsidRPr="00393432" w:rsidRDefault="005B2B6C" w:rsidP="00F50033">
                  <w:pPr>
                    <w:jc w:val="both"/>
                    <w:rPr>
                      <w:sz w:val="27"/>
                      <w:szCs w:val="27"/>
                      <w:lang w:eastAsia="es-CR"/>
                    </w:rPr>
                  </w:pPr>
                  <w:r w:rsidRPr="00393432">
                    <w:rPr>
                      <w:sz w:val="27"/>
                      <w:szCs w:val="27"/>
                      <w:lang w:eastAsia="es-CR"/>
                    </w:rPr>
                    <w:t>16</w:t>
                  </w:r>
                </w:p>
              </w:tc>
              <w:tc>
                <w:tcPr>
                  <w:tcW w:w="435" w:type="dxa"/>
                  <w:tcBorders>
                    <w:top w:val="single" w:sz="4" w:space="0" w:color="C9C9C9"/>
                    <w:left w:val="single" w:sz="4" w:space="0" w:color="C9C9C9"/>
                    <w:bottom w:val="single" w:sz="4" w:space="0" w:color="C9C9C9"/>
                    <w:right w:val="single" w:sz="4" w:space="0" w:color="C9C9C9"/>
                  </w:tcBorders>
                  <w:noWrap/>
                  <w:vAlign w:val="center"/>
                  <w:hideMark/>
                </w:tcPr>
                <w:p w14:paraId="73FD5FBB" w14:textId="77777777" w:rsidR="005B2B6C" w:rsidRPr="00393432" w:rsidRDefault="005B2B6C" w:rsidP="00F50033">
                  <w:pPr>
                    <w:jc w:val="both"/>
                    <w:rPr>
                      <w:sz w:val="27"/>
                      <w:szCs w:val="27"/>
                      <w:lang w:eastAsia="es-CR"/>
                    </w:rPr>
                  </w:pPr>
                  <w:r w:rsidRPr="00393432">
                    <w:rPr>
                      <w:sz w:val="27"/>
                      <w:szCs w:val="27"/>
                      <w:lang w:eastAsia="es-CR"/>
                    </w:rPr>
                    <w:t>25</w:t>
                  </w:r>
                </w:p>
              </w:tc>
              <w:tc>
                <w:tcPr>
                  <w:tcW w:w="486" w:type="dxa"/>
                  <w:tcBorders>
                    <w:top w:val="single" w:sz="4" w:space="0" w:color="C9C9C9"/>
                    <w:left w:val="single" w:sz="4" w:space="0" w:color="C9C9C9"/>
                    <w:bottom w:val="single" w:sz="4" w:space="0" w:color="C9C9C9"/>
                    <w:right w:val="single" w:sz="4" w:space="0" w:color="C9C9C9"/>
                  </w:tcBorders>
                  <w:noWrap/>
                  <w:vAlign w:val="center"/>
                  <w:hideMark/>
                </w:tcPr>
                <w:p w14:paraId="5A4E87C9" w14:textId="77777777" w:rsidR="005B2B6C" w:rsidRPr="00393432" w:rsidRDefault="005B2B6C" w:rsidP="00F50033">
                  <w:pPr>
                    <w:jc w:val="both"/>
                    <w:rPr>
                      <w:sz w:val="27"/>
                      <w:szCs w:val="27"/>
                      <w:lang w:eastAsia="es-CR"/>
                    </w:rPr>
                  </w:pPr>
                  <w:r w:rsidRPr="00393432">
                    <w:rPr>
                      <w:sz w:val="27"/>
                      <w:szCs w:val="27"/>
                      <w:lang w:eastAsia="es-CR"/>
                    </w:rPr>
                    <w:t>390</w:t>
                  </w:r>
                </w:p>
              </w:tc>
              <w:tc>
                <w:tcPr>
                  <w:tcW w:w="0" w:type="auto"/>
                  <w:tcBorders>
                    <w:top w:val="single" w:sz="4" w:space="0" w:color="C9C9C9"/>
                    <w:left w:val="single" w:sz="4" w:space="0" w:color="C9C9C9"/>
                    <w:bottom w:val="single" w:sz="4" w:space="0" w:color="C9C9C9"/>
                    <w:right w:val="single" w:sz="4" w:space="0" w:color="C9C9C9"/>
                  </w:tcBorders>
                  <w:noWrap/>
                  <w:vAlign w:val="center"/>
                  <w:hideMark/>
                </w:tcPr>
                <w:p w14:paraId="11BC17CB" w14:textId="77777777" w:rsidR="005B2B6C" w:rsidRPr="00393432" w:rsidRDefault="005B2B6C" w:rsidP="00F50033">
                  <w:pPr>
                    <w:jc w:val="both"/>
                    <w:rPr>
                      <w:sz w:val="27"/>
                      <w:szCs w:val="27"/>
                      <w:lang w:eastAsia="es-CR"/>
                    </w:rPr>
                  </w:pPr>
                  <w:r w:rsidRPr="00393432">
                    <w:rPr>
                      <w:sz w:val="27"/>
                      <w:szCs w:val="27"/>
                      <w:lang w:eastAsia="es-CR"/>
                    </w:rPr>
                    <w:t>348</w:t>
                  </w:r>
                </w:p>
              </w:tc>
              <w:tc>
                <w:tcPr>
                  <w:tcW w:w="591" w:type="dxa"/>
                  <w:tcBorders>
                    <w:top w:val="single" w:sz="4" w:space="0" w:color="C9C9C9"/>
                    <w:left w:val="single" w:sz="4" w:space="0" w:color="C9C9C9"/>
                    <w:bottom w:val="single" w:sz="4" w:space="0" w:color="C9C9C9"/>
                    <w:right w:val="single" w:sz="4" w:space="0" w:color="C9C9C9"/>
                  </w:tcBorders>
                  <w:noWrap/>
                  <w:vAlign w:val="center"/>
                  <w:hideMark/>
                </w:tcPr>
                <w:p w14:paraId="77E97E31" w14:textId="77777777" w:rsidR="005B2B6C" w:rsidRPr="00393432" w:rsidRDefault="005B2B6C" w:rsidP="00F50033">
                  <w:pPr>
                    <w:jc w:val="both"/>
                    <w:rPr>
                      <w:sz w:val="27"/>
                      <w:szCs w:val="27"/>
                      <w:lang w:eastAsia="es-CR"/>
                    </w:rPr>
                  </w:pPr>
                  <w:r w:rsidRPr="00393432">
                    <w:rPr>
                      <w:sz w:val="27"/>
                      <w:szCs w:val="27"/>
                      <w:lang w:eastAsia="es-CR"/>
                    </w:rPr>
                    <w:t>89%</w:t>
                  </w:r>
                </w:p>
              </w:tc>
            </w:tr>
            <w:tr w:rsidR="00F50033" w:rsidRPr="00393432" w14:paraId="46DA02D9" w14:textId="77777777" w:rsidTr="00B909C8">
              <w:trPr>
                <w:trHeight w:val="363"/>
                <w:jc w:val="center"/>
              </w:trPr>
              <w:tc>
                <w:tcPr>
                  <w:tcW w:w="1027" w:type="dxa"/>
                  <w:tcBorders>
                    <w:top w:val="single" w:sz="4" w:space="0" w:color="C9C9C9"/>
                    <w:left w:val="single" w:sz="4" w:space="0" w:color="C9C9C9"/>
                    <w:bottom w:val="single" w:sz="4" w:space="0" w:color="C9C9C9"/>
                    <w:right w:val="single" w:sz="4" w:space="0" w:color="C9C9C9"/>
                  </w:tcBorders>
                  <w:shd w:val="clear" w:color="auto" w:fill="EDEDED"/>
                  <w:noWrap/>
                  <w:vAlign w:val="center"/>
                  <w:hideMark/>
                </w:tcPr>
                <w:p w14:paraId="7D7C84E8" w14:textId="77777777" w:rsidR="005B2B6C" w:rsidRPr="00393432" w:rsidRDefault="005B2B6C" w:rsidP="00F50033">
                  <w:pPr>
                    <w:jc w:val="both"/>
                    <w:rPr>
                      <w:b/>
                      <w:bCs/>
                      <w:sz w:val="27"/>
                      <w:szCs w:val="27"/>
                      <w:lang w:eastAsia="es-CR"/>
                    </w:rPr>
                  </w:pPr>
                  <w:r w:rsidRPr="00393432">
                    <w:rPr>
                      <w:b/>
                      <w:bCs/>
                      <w:sz w:val="27"/>
                      <w:szCs w:val="27"/>
                      <w:lang w:eastAsia="es-CR"/>
                    </w:rPr>
                    <w:t>Abril</w:t>
                  </w:r>
                </w:p>
              </w:tc>
              <w:tc>
                <w:tcPr>
                  <w:tcW w:w="0" w:type="auto"/>
                  <w:tcBorders>
                    <w:top w:val="single" w:sz="4" w:space="0" w:color="C9C9C9"/>
                    <w:left w:val="single" w:sz="4" w:space="0" w:color="C9C9C9"/>
                    <w:bottom w:val="single" w:sz="4" w:space="0" w:color="C9C9C9"/>
                    <w:right w:val="single" w:sz="4" w:space="0" w:color="C9C9C9"/>
                  </w:tcBorders>
                  <w:shd w:val="clear" w:color="auto" w:fill="EDEDED"/>
                  <w:noWrap/>
                  <w:vAlign w:val="center"/>
                  <w:hideMark/>
                </w:tcPr>
                <w:p w14:paraId="2D03A155" w14:textId="77777777" w:rsidR="005B2B6C" w:rsidRPr="00393432" w:rsidRDefault="005B2B6C" w:rsidP="00F50033">
                  <w:pPr>
                    <w:jc w:val="both"/>
                    <w:rPr>
                      <w:sz w:val="27"/>
                      <w:szCs w:val="27"/>
                      <w:lang w:eastAsia="es-CR"/>
                    </w:rPr>
                  </w:pPr>
                  <w:r w:rsidRPr="00393432">
                    <w:rPr>
                      <w:sz w:val="27"/>
                      <w:szCs w:val="27"/>
                      <w:lang w:eastAsia="es-CR"/>
                    </w:rPr>
                    <w:t>16</w:t>
                  </w:r>
                </w:p>
              </w:tc>
              <w:tc>
                <w:tcPr>
                  <w:tcW w:w="0" w:type="auto"/>
                  <w:tcBorders>
                    <w:top w:val="single" w:sz="4" w:space="0" w:color="C9C9C9"/>
                    <w:left w:val="single" w:sz="4" w:space="0" w:color="C9C9C9"/>
                    <w:bottom w:val="single" w:sz="4" w:space="0" w:color="C9C9C9"/>
                    <w:right w:val="single" w:sz="4" w:space="0" w:color="C9C9C9"/>
                  </w:tcBorders>
                  <w:shd w:val="clear" w:color="auto" w:fill="EDEDED"/>
                  <w:noWrap/>
                  <w:vAlign w:val="center"/>
                  <w:hideMark/>
                </w:tcPr>
                <w:p w14:paraId="7F5106D4" w14:textId="77777777" w:rsidR="005B2B6C" w:rsidRPr="00393432" w:rsidRDefault="005B2B6C" w:rsidP="00F50033">
                  <w:pPr>
                    <w:jc w:val="both"/>
                    <w:rPr>
                      <w:sz w:val="27"/>
                      <w:szCs w:val="27"/>
                      <w:lang w:eastAsia="es-CR"/>
                    </w:rPr>
                  </w:pPr>
                  <w:r w:rsidRPr="00393432">
                    <w:rPr>
                      <w:sz w:val="27"/>
                      <w:szCs w:val="27"/>
                      <w:lang w:eastAsia="es-CR"/>
                    </w:rPr>
                    <w:t>14</w:t>
                  </w:r>
                </w:p>
              </w:tc>
              <w:tc>
                <w:tcPr>
                  <w:tcW w:w="435" w:type="dxa"/>
                  <w:tcBorders>
                    <w:top w:val="single" w:sz="4" w:space="0" w:color="C9C9C9"/>
                    <w:left w:val="single" w:sz="4" w:space="0" w:color="C9C9C9"/>
                    <w:bottom w:val="single" w:sz="4" w:space="0" w:color="C9C9C9"/>
                    <w:right w:val="single" w:sz="4" w:space="0" w:color="C9C9C9"/>
                  </w:tcBorders>
                  <w:shd w:val="clear" w:color="auto" w:fill="EDEDED"/>
                  <w:noWrap/>
                  <w:vAlign w:val="center"/>
                  <w:hideMark/>
                </w:tcPr>
                <w:p w14:paraId="627FE1C2" w14:textId="77777777" w:rsidR="005B2B6C" w:rsidRPr="00393432" w:rsidRDefault="005B2B6C" w:rsidP="00F50033">
                  <w:pPr>
                    <w:jc w:val="both"/>
                    <w:rPr>
                      <w:sz w:val="27"/>
                      <w:szCs w:val="27"/>
                      <w:lang w:eastAsia="es-CR"/>
                    </w:rPr>
                  </w:pPr>
                  <w:r w:rsidRPr="00393432">
                    <w:rPr>
                      <w:sz w:val="27"/>
                      <w:szCs w:val="27"/>
                      <w:lang w:eastAsia="es-CR"/>
                    </w:rPr>
                    <w:t>23</w:t>
                  </w:r>
                </w:p>
              </w:tc>
              <w:tc>
                <w:tcPr>
                  <w:tcW w:w="486" w:type="dxa"/>
                  <w:tcBorders>
                    <w:top w:val="single" w:sz="4" w:space="0" w:color="C9C9C9"/>
                    <w:left w:val="single" w:sz="4" w:space="0" w:color="C9C9C9"/>
                    <w:bottom w:val="single" w:sz="4" w:space="0" w:color="C9C9C9"/>
                    <w:right w:val="single" w:sz="4" w:space="0" w:color="C9C9C9"/>
                  </w:tcBorders>
                  <w:shd w:val="clear" w:color="auto" w:fill="EDEDED"/>
                  <w:noWrap/>
                  <w:vAlign w:val="center"/>
                  <w:hideMark/>
                </w:tcPr>
                <w:p w14:paraId="5F04BB4C" w14:textId="77777777" w:rsidR="005B2B6C" w:rsidRPr="00393432" w:rsidRDefault="005B2B6C" w:rsidP="00F50033">
                  <w:pPr>
                    <w:jc w:val="both"/>
                    <w:rPr>
                      <w:sz w:val="27"/>
                      <w:szCs w:val="27"/>
                      <w:lang w:eastAsia="es-CR"/>
                    </w:rPr>
                  </w:pPr>
                  <w:r w:rsidRPr="00393432">
                    <w:rPr>
                      <w:sz w:val="27"/>
                      <w:szCs w:val="27"/>
                      <w:lang w:eastAsia="es-CR"/>
                    </w:rPr>
                    <w:t>313</w:t>
                  </w:r>
                </w:p>
              </w:tc>
              <w:tc>
                <w:tcPr>
                  <w:tcW w:w="0" w:type="auto"/>
                  <w:tcBorders>
                    <w:top w:val="single" w:sz="4" w:space="0" w:color="C9C9C9"/>
                    <w:left w:val="single" w:sz="4" w:space="0" w:color="C9C9C9"/>
                    <w:bottom w:val="single" w:sz="4" w:space="0" w:color="C9C9C9"/>
                    <w:right w:val="single" w:sz="4" w:space="0" w:color="C9C9C9"/>
                  </w:tcBorders>
                  <w:shd w:val="clear" w:color="auto" w:fill="EDEDED"/>
                  <w:noWrap/>
                  <w:vAlign w:val="center"/>
                  <w:hideMark/>
                </w:tcPr>
                <w:p w14:paraId="53923B0F" w14:textId="77777777" w:rsidR="005B2B6C" w:rsidRPr="00393432" w:rsidRDefault="005B2B6C" w:rsidP="00F50033">
                  <w:pPr>
                    <w:jc w:val="both"/>
                    <w:rPr>
                      <w:sz w:val="27"/>
                      <w:szCs w:val="27"/>
                      <w:lang w:eastAsia="es-CR"/>
                    </w:rPr>
                  </w:pPr>
                  <w:r w:rsidRPr="00393432">
                    <w:rPr>
                      <w:sz w:val="27"/>
                      <w:szCs w:val="27"/>
                      <w:lang w:eastAsia="es-CR"/>
                    </w:rPr>
                    <w:t>244</w:t>
                  </w:r>
                </w:p>
              </w:tc>
              <w:tc>
                <w:tcPr>
                  <w:tcW w:w="591" w:type="dxa"/>
                  <w:tcBorders>
                    <w:top w:val="single" w:sz="4" w:space="0" w:color="C9C9C9"/>
                    <w:left w:val="single" w:sz="4" w:space="0" w:color="C9C9C9"/>
                    <w:bottom w:val="single" w:sz="4" w:space="0" w:color="C9C9C9"/>
                    <w:right w:val="single" w:sz="4" w:space="0" w:color="C9C9C9"/>
                  </w:tcBorders>
                  <w:shd w:val="clear" w:color="auto" w:fill="EDEDED"/>
                  <w:noWrap/>
                  <w:vAlign w:val="center"/>
                  <w:hideMark/>
                </w:tcPr>
                <w:p w14:paraId="2BF0903B" w14:textId="77777777" w:rsidR="005B2B6C" w:rsidRPr="00393432" w:rsidRDefault="005B2B6C" w:rsidP="00F50033">
                  <w:pPr>
                    <w:jc w:val="both"/>
                    <w:rPr>
                      <w:sz w:val="27"/>
                      <w:szCs w:val="27"/>
                      <w:lang w:eastAsia="es-CR"/>
                    </w:rPr>
                  </w:pPr>
                  <w:r w:rsidRPr="00393432">
                    <w:rPr>
                      <w:sz w:val="27"/>
                      <w:szCs w:val="27"/>
                      <w:lang w:eastAsia="es-CR"/>
                    </w:rPr>
                    <w:t>78%</w:t>
                  </w:r>
                </w:p>
              </w:tc>
            </w:tr>
          </w:tbl>
          <w:p w14:paraId="34AC0963" w14:textId="77777777" w:rsidR="005B2B6C" w:rsidRPr="00393432" w:rsidRDefault="005B2B6C" w:rsidP="00F50033">
            <w:pPr>
              <w:jc w:val="both"/>
              <w:rPr>
                <w:rFonts w:eastAsia="Calibri"/>
                <w:sz w:val="27"/>
                <w:szCs w:val="27"/>
                <w:lang w:val="es-MX"/>
              </w:rPr>
            </w:pPr>
          </w:p>
          <w:p w14:paraId="46F0EA8A" w14:textId="77777777" w:rsidR="005B2B6C" w:rsidRPr="00393432" w:rsidRDefault="005B2B6C" w:rsidP="00F50033">
            <w:pPr>
              <w:jc w:val="center"/>
              <w:rPr>
                <w:rFonts w:eastAsia="Calibri"/>
                <w:sz w:val="27"/>
                <w:szCs w:val="27"/>
                <w:lang w:val="es-MX"/>
              </w:rPr>
            </w:pPr>
            <w:r w:rsidRPr="00393432">
              <w:rPr>
                <w:rFonts w:eastAsia="Calibri"/>
                <w:sz w:val="27"/>
                <w:szCs w:val="27"/>
                <w:lang w:val="es-MX"/>
              </w:rPr>
              <w:object w:dxaOrig="1508" w:dyaOrig="983" w14:anchorId="4C405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pt" o:ole="">
                  <v:imagedata r:id="rId13" o:title=""/>
                </v:shape>
                <o:OLEObject Type="Embed" ProgID="Excel.Sheet.12" ShapeID="_x0000_i1025" DrawAspect="Icon" ObjectID="_1725965383" r:id="rId14"/>
              </w:object>
            </w:r>
          </w:p>
          <w:p w14:paraId="2362863A" w14:textId="77777777" w:rsidR="005B2B6C" w:rsidRPr="00393432" w:rsidRDefault="005B2B6C" w:rsidP="00F50033">
            <w:pPr>
              <w:widowControl w:val="0"/>
              <w:autoSpaceDE w:val="0"/>
              <w:autoSpaceDN w:val="0"/>
              <w:adjustRightInd w:val="0"/>
              <w:jc w:val="both"/>
              <w:rPr>
                <w:rFonts w:eastAsia="Calibri"/>
                <w:sz w:val="27"/>
                <w:szCs w:val="27"/>
                <w:lang w:val="es-MX"/>
              </w:rPr>
            </w:pPr>
          </w:p>
          <w:p w14:paraId="15C42D99" w14:textId="77777777" w:rsidR="005B2B6C" w:rsidRPr="00393432" w:rsidRDefault="005B2B6C" w:rsidP="00F50033">
            <w:pPr>
              <w:widowControl w:val="0"/>
              <w:autoSpaceDE w:val="0"/>
              <w:autoSpaceDN w:val="0"/>
              <w:adjustRightInd w:val="0"/>
              <w:jc w:val="both"/>
              <w:rPr>
                <w:rFonts w:eastAsia="Calibri"/>
                <w:sz w:val="27"/>
                <w:szCs w:val="27"/>
                <w:lang w:val="es-MX"/>
              </w:rPr>
            </w:pPr>
            <w:r w:rsidRPr="00393432">
              <w:rPr>
                <w:rFonts w:eastAsia="Calibri"/>
                <w:sz w:val="27"/>
                <w:szCs w:val="27"/>
                <w:lang w:val="es-MX"/>
              </w:rPr>
              <w:t>Se toma nota de lo indicado por el Lic. Giovanni Vargas Loaiza, Juez Coordinador del Juzgado de Cobro del Segundo Circuito Judicial de Alajuela.  Lo anterior, no modifica el contenido del informe.</w:t>
            </w:r>
          </w:p>
          <w:p w14:paraId="221607D9" w14:textId="77777777" w:rsidR="005B2B6C" w:rsidRPr="00393432" w:rsidRDefault="005B2B6C" w:rsidP="00F50033">
            <w:pPr>
              <w:jc w:val="both"/>
              <w:rPr>
                <w:rFonts w:eastAsia="Calibri"/>
                <w:sz w:val="27"/>
                <w:szCs w:val="27"/>
                <w:lang w:val="es-MX"/>
              </w:rPr>
            </w:pPr>
          </w:p>
        </w:tc>
      </w:tr>
      <w:tr w:rsidR="00F50033" w:rsidRPr="00393432" w14:paraId="480A3EBA" w14:textId="77777777" w:rsidTr="00B909C8">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14:paraId="71801188" w14:textId="77777777" w:rsidR="005B2B6C" w:rsidRPr="00393432" w:rsidRDefault="005B2B6C" w:rsidP="00F50033">
            <w:pPr>
              <w:jc w:val="center"/>
              <w:rPr>
                <w:sz w:val="27"/>
                <w:szCs w:val="27"/>
                <w:lang w:val="es-MX"/>
              </w:rPr>
            </w:pPr>
            <w:r w:rsidRPr="00393432">
              <w:rPr>
                <w:sz w:val="27"/>
                <w:szCs w:val="27"/>
                <w:lang w:val="es-MX"/>
              </w:rPr>
              <w:lastRenderedPageBreak/>
              <w:t>6</w:t>
            </w:r>
          </w:p>
        </w:tc>
        <w:tc>
          <w:tcPr>
            <w:tcW w:w="3550" w:type="dxa"/>
            <w:tcBorders>
              <w:top w:val="single" w:sz="4" w:space="0" w:color="auto"/>
              <w:left w:val="single" w:sz="4" w:space="0" w:color="auto"/>
              <w:bottom w:val="single" w:sz="4" w:space="0" w:color="auto"/>
              <w:right w:val="single" w:sz="4" w:space="0" w:color="auto"/>
            </w:tcBorders>
            <w:vAlign w:val="center"/>
          </w:tcPr>
          <w:p w14:paraId="592D7B33" w14:textId="77777777" w:rsidR="005B2B6C" w:rsidRPr="00393432" w:rsidRDefault="005B2B6C" w:rsidP="00F50033">
            <w:pPr>
              <w:jc w:val="both"/>
              <w:rPr>
                <w:sz w:val="27"/>
                <w:szCs w:val="27"/>
              </w:rPr>
            </w:pPr>
            <w:r w:rsidRPr="00393432">
              <w:rPr>
                <w:b/>
                <w:sz w:val="27"/>
                <w:szCs w:val="27"/>
                <w:lang w:val="es-MX"/>
              </w:rPr>
              <w:t xml:space="preserve"> 2.</w:t>
            </w:r>
            <w:r w:rsidRPr="00393432">
              <w:rPr>
                <w:sz w:val="27"/>
                <w:szCs w:val="27"/>
                <w:lang w:val="es-MX"/>
              </w:rPr>
              <w:t xml:space="preserve"> Impacto del Plan de Trabajo 1219-PLA-EV-2021 en el Juzgado de Cobro del Segundo Circuito Judicial de Alajuela (enero a abril de 2022)</w:t>
            </w:r>
          </w:p>
          <w:p w14:paraId="40DC49D7" w14:textId="77777777" w:rsidR="005B2B6C" w:rsidRPr="00393432" w:rsidRDefault="005B2B6C" w:rsidP="00F50033">
            <w:pPr>
              <w:jc w:val="both"/>
              <w:rPr>
                <w:sz w:val="27"/>
                <w:szCs w:val="27"/>
              </w:rPr>
            </w:pPr>
          </w:p>
          <w:p w14:paraId="5E098FAD" w14:textId="77777777" w:rsidR="005B2B6C" w:rsidRPr="00393432" w:rsidRDefault="005B2B6C" w:rsidP="00F50033">
            <w:pPr>
              <w:jc w:val="both"/>
              <w:rPr>
                <w:sz w:val="27"/>
                <w:szCs w:val="27"/>
                <w:lang w:val="es-MX"/>
              </w:rPr>
            </w:pPr>
            <w:r w:rsidRPr="00393432">
              <w:rPr>
                <w:sz w:val="27"/>
                <w:szCs w:val="27"/>
                <w:lang w:val="es-MX"/>
              </w:rPr>
              <w:t xml:space="preserve">Con el trámite 1334 asuntos de materia Cobratoria por parte del personal técnico judicial del Juzgado Civil del Segundo Circuito Judicial de Alajuela y los planes remediales establecidos a lo interno del Juzgado de Cobro no se logró a abril de 2022 reducir el plazo para resolver escritos, el cual se mantenía en 4 meses desde enero de 2022 y para abril se reporta a </w:t>
            </w:r>
            <w:r w:rsidRPr="00393432">
              <w:rPr>
                <w:sz w:val="27"/>
                <w:szCs w:val="27"/>
                <w:lang w:val="es-MX"/>
              </w:rPr>
              <w:lastRenderedPageBreak/>
              <w:t>4.5 meses. En tanto a nivel de las demandas nuevas, no se redujo el plazo, caso contrario se incrementó en 1.5 meses (13 meses a 14.5 meses).</w:t>
            </w:r>
          </w:p>
        </w:tc>
        <w:tc>
          <w:tcPr>
            <w:tcW w:w="3672" w:type="dxa"/>
            <w:tcBorders>
              <w:top w:val="single" w:sz="4" w:space="0" w:color="auto"/>
              <w:left w:val="single" w:sz="4" w:space="0" w:color="auto"/>
              <w:bottom w:val="single" w:sz="4" w:space="0" w:color="auto"/>
              <w:right w:val="single" w:sz="4" w:space="0" w:color="auto"/>
            </w:tcBorders>
            <w:vAlign w:val="center"/>
          </w:tcPr>
          <w:p w14:paraId="2FD9C022" w14:textId="77777777" w:rsidR="005B2B6C" w:rsidRPr="00393432" w:rsidRDefault="005B2B6C" w:rsidP="00F50033">
            <w:pPr>
              <w:jc w:val="both"/>
              <w:rPr>
                <w:sz w:val="27"/>
                <w:szCs w:val="27"/>
                <w:lang w:val="es-MX"/>
              </w:rPr>
            </w:pPr>
            <w:r w:rsidRPr="00393432">
              <w:rPr>
                <w:b/>
                <w:sz w:val="27"/>
                <w:szCs w:val="27"/>
                <w:lang w:val="es-MX"/>
              </w:rPr>
              <w:lastRenderedPageBreak/>
              <w:t>1.-</w:t>
            </w:r>
            <w:r w:rsidRPr="00393432">
              <w:rPr>
                <w:sz w:val="27"/>
                <w:szCs w:val="27"/>
                <w:lang w:val="es-MX"/>
              </w:rPr>
              <w:t xml:space="preserve"> En este punto se debe de indicar </w:t>
            </w:r>
          </w:p>
          <w:p w14:paraId="4FAC9B7D" w14:textId="77777777" w:rsidR="005B2B6C" w:rsidRPr="00393432" w:rsidRDefault="005B2B6C" w:rsidP="00F50033">
            <w:pPr>
              <w:jc w:val="both"/>
              <w:rPr>
                <w:sz w:val="27"/>
                <w:szCs w:val="27"/>
                <w:lang w:val="es-MX"/>
              </w:rPr>
            </w:pPr>
          </w:p>
          <w:p w14:paraId="2BD5DAA9" w14:textId="77777777" w:rsidR="005B2B6C" w:rsidRPr="00393432" w:rsidRDefault="005B2B6C" w:rsidP="00F50033">
            <w:pPr>
              <w:jc w:val="both"/>
              <w:rPr>
                <w:sz w:val="27"/>
                <w:szCs w:val="27"/>
                <w:lang w:val="es-MX"/>
              </w:rPr>
            </w:pPr>
            <w:r w:rsidRPr="00393432">
              <w:rPr>
                <w:sz w:val="27"/>
                <w:szCs w:val="27"/>
                <w:lang w:val="es-MX"/>
              </w:rPr>
              <w:t xml:space="preserve">Referente a este punto, se aclara que las demandadas nuevas tienen un atraso de 4.5 meses y no de 14.5 meses, en relación con los escritos se encuentran con un atraso de 14.5         meses y no de 4.5 meses. </w:t>
            </w:r>
          </w:p>
          <w:p w14:paraId="46324D7A" w14:textId="77777777" w:rsidR="005B2B6C" w:rsidRPr="00393432" w:rsidRDefault="005B2B6C" w:rsidP="00F50033">
            <w:pPr>
              <w:jc w:val="both"/>
              <w:rPr>
                <w:sz w:val="27"/>
                <w:szCs w:val="27"/>
                <w:lang w:val="es-MX"/>
              </w:rPr>
            </w:pPr>
          </w:p>
        </w:tc>
        <w:tc>
          <w:tcPr>
            <w:tcW w:w="4678" w:type="dxa"/>
            <w:tcBorders>
              <w:top w:val="single" w:sz="4" w:space="0" w:color="auto"/>
              <w:left w:val="single" w:sz="4" w:space="0" w:color="auto"/>
              <w:bottom w:val="single" w:sz="4" w:space="0" w:color="auto"/>
              <w:right w:val="single" w:sz="4" w:space="0" w:color="auto"/>
            </w:tcBorders>
            <w:vAlign w:val="center"/>
          </w:tcPr>
          <w:p w14:paraId="12D3111F" w14:textId="77777777" w:rsidR="005B2B6C" w:rsidRPr="00393432" w:rsidRDefault="005B2B6C" w:rsidP="00F50033">
            <w:pPr>
              <w:jc w:val="both"/>
              <w:rPr>
                <w:rFonts w:eastAsia="Calibri"/>
                <w:bCs/>
                <w:sz w:val="27"/>
                <w:szCs w:val="27"/>
                <w:lang w:val="es-MX"/>
              </w:rPr>
            </w:pPr>
            <w:r w:rsidRPr="00393432">
              <w:rPr>
                <w:rFonts w:eastAsia="Calibri"/>
                <w:bCs/>
                <w:sz w:val="27"/>
                <w:szCs w:val="27"/>
                <w:lang w:val="es-MX"/>
              </w:rPr>
              <w:t>Se toma nota de lo indicado por el Juzgado de Cobro del Segundo Circuito Judicial de Alajuela y se incorpora la modificación al contenido del informe, de la siguiente forma:</w:t>
            </w:r>
          </w:p>
          <w:p w14:paraId="464496E5" w14:textId="77777777" w:rsidR="005B2B6C" w:rsidRPr="00393432" w:rsidRDefault="005B2B6C" w:rsidP="00F50033">
            <w:pPr>
              <w:jc w:val="both"/>
              <w:rPr>
                <w:rFonts w:eastAsia="Calibri"/>
                <w:bCs/>
                <w:sz w:val="27"/>
                <w:szCs w:val="27"/>
                <w:lang w:val="es-MX"/>
              </w:rPr>
            </w:pPr>
          </w:p>
          <w:p w14:paraId="505DB7B7" w14:textId="77777777" w:rsidR="005B2B6C" w:rsidRPr="00393432" w:rsidRDefault="005B2B6C" w:rsidP="00F50033">
            <w:pPr>
              <w:ind w:right="74"/>
              <w:jc w:val="both"/>
              <w:rPr>
                <w:rFonts w:eastAsia="Calibri"/>
                <w:bCs/>
                <w:i/>
                <w:iCs/>
                <w:sz w:val="27"/>
                <w:szCs w:val="27"/>
                <w:lang w:val="es-MX"/>
              </w:rPr>
            </w:pPr>
            <w:r w:rsidRPr="00393432">
              <w:rPr>
                <w:rFonts w:eastAsia="Calibri"/>
                <w:bCs/>
                <w:i/>
                <w:iCs/>
                <w:sz w:val="27"/>
                <w:szCs w:val="27"/>
                <w:lang w:val="es-MX"/>
              </w:rPr>
              <w:t xml:space="preserve">“Con el trámite 1334 asuntos de materia Cobratoria por parte del personal técnico judicial del Juzgado Civil del Segundo Circuito Judicial de Alajuela y los planes remediales establecidos a lo interno del Juzgado de Cobro no se logró a abril de 2022 reducir el plazo para resolver demandas nuevas, el cual se mantenía en 4 meses desde enero de 2022 y para abril se reporta a 4.5 meses. En tanto a nivel de los escritos, no se redujo el plazo, caso contrario se incrementó en 1.5 meses (13 meses a 14.5 meses)”.  </w:t>
            </w:r>
          </w:p>
          <w:p w14:paraId="365DD03B" w14:textId="77777777" w:rsidR="005B2B6C" w:rsidRPr="00393432" w:rsidRDefault="005B2B6C" w:rsidP="00F50033">
            <w:pPr>
              <w:jc w:val="both"/>
              <w:rPr>
                <w:rFonts w:eastAsia="Calibri"/>
                <w:bCs/>
                <w:sz w:val="27"/>
                <w:szCs w:val="27"/>
                <w:lang w:val="es-MX"/>
              </w:rPr>
            </w:pPr>
          </w:p>
        </w:tc>
      </w:tr>
      <w:tr w:rsidR="00F50033" w:rsidRPr="00393432" w14:paraId="1F864C4B" w14:textId="77777777" w:rsidTr="00B909C8">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14:paraId="4C153080" w14:textId="77777777" w:rsidR="005B2B6C" w:rsidRPr="00393432" w:rsidRDefault="005B2B6C" w:rsidP="00F50033">
            <w:pPr>
              <w:jc w:val="center"/>
              <w:rPr>
                <w:sz w:val="27"/>
                <w:szCs w:val="27"/>
                <w:lang w:val="es-MX"/>
              </w:rPr>
            </w:pPr>
            <w:r w:rsidRPr="00393432">
              <w:rPr>
                <w:sz w:val="27"/>
                <w:szCs w:val="27"/>
                <w:lang w:val="es-MX"/>
              </w:rPr>
              <w:t>6</w:t>
            </w:r>
          </w:p>
        </w:tc>
        <w:tc>
          <w:tcPr>
            <w:tcW w:w="3550" w:type="dxa"/>
            <w:tcBorders>
              <w:top w:val="single" w:sz="4" w:space="0" w:color="auto"/>
              <w:left w:val="single" w:sz="4" w:space="0" w:color="auto"/>
              <w:bottom w:val="single" w:sz="4" w:space="0" w:color="auto"/>
              <w:right w:val="single" w:sz="4" w:space="0" w:color="auto"/>
            </w:tcBorders>
            <w:vAlign w:val="center"/>
            <w:hideMark/>
          </w:tcPr>
          <w:p w14:paraId="63F26A8D" w14:textId="77777777" w:rsidR="005B2B6C" w:rsidRPr="00393432" w:rsidRDefault="005B2B6C" w:rsidP="00F50033">
            <w:pPr>
              <w:jc w:val="both"/>
              <w:rPr>
                <w:sz w:val="27"/>
                <w:szCs w:val="27"/>
                <w:lang w:val="es-MX"/>
              </w:rPr>
            </w:pPr>
            <w:bookmarkStart w:id="10" w:name="_Hlk107466942"/>
            <w:r w:rsidRPr="00393432">
              <w:rPr>
                <w:sz w:val="27"/>
                <w:szCs w:val="27"/>
                <w:lang w:val="es-MX"/>
              </w:rPr>
              <w:t>Una de las razones del aumento de los plazos es el incumplimiento de la cuota de trabajo del técnico judicial del Juzgado Civil del Segundo Circuito Judicial de Alajuela como se muestra en el apartado 1 de este informe, pero principalmente los plazos se ven afectados por los problemas reportaros en los sistemas en los meses de enero y febrero y se recalca lo indicado en el informe 1219-PLA-EV-2021 donde se establece que este despacho se tiene la capacidad de atender solo el 48% del ingreso.</w:t>
            </w:r>
            <w:bookmarkEnd w:id="10"/>
          </w:p>
        </w:tc>
        <w:tc>
          <w:tcPr>
            <w:tcW w:w="3672" w:type="dxa"/>
            <w:tcBorders>
              <w:top w:val="single" w:sz="4" w:space="0" w:color="auto"/>
              <w:left w:val="single" w:sz="4" w:space="0" w:color="auto"/>
              <w:bottom w:val="single" w:sz="4" w:space="0" w:color="auto"/>
              <w:right w:val="single" w:sz="4" w:space="0" w:color="auto"/>
            </w:tcBorders>
            <w:vAlign w:val="center"/>
          </w:tcPr>
          <w:p w14:paraId="65EE8B12" w14:textId="77777777" w:rsidR="005B2B6C" w:rsidRPr="00393432" w:rsidRDefault="005B2B6C" w:rsidP="00F50033">
            <w:pPr>
              <w:jc w:val="both"/>
              <w:rPr>
                <w:rFonts w:eastAsia="Calibri"/>
                <w:sz w:val="27"/>
                <w:szCs w:val="27"/>
                <w:lang w:val="es-MX"/>
              </w:rPr>
            </w:pPr>
            <w:r w:rsidRPr="00393432">
              <w:rPr>
                <w:rFonts w:eastAsia="Calibri"/>
                <w:sz w:val="27"/>
                <w:szCs w:val="27"/>
                <w:lang w:val="es-MX"/>
              </w:rPr>
              <w:t xml:space="preserve">El incremento en el circulante, de acuerdo con mis registros no obedece al incumplimiento de la cuota de la persona técnica por las razones indicadas línea arriba y de existir algún pequeño atraso el porcentaje es bajo </w:t>
            </w:r>
            <w:proofErr w:type="gramStart"/>
            <w:r w:rsidRPr="00393432">
              <w:rPr>
                <w:rFonts w:eastAsia="Calibri"/>
                <w:sz w:val="27"/>
                <w:szCs w:val="27"/>
                <w:lang w:val="es-MX"/>
              </w:rPr>
              <w:t>en relación al</w:t>
            </w:r>
            <w:proofErr w:type="gramEnd"/>
            <w:r w:rsidRPr="00393432">
              <w:rPr>
                <w:rFonts w:eastAsia="Calibri"/>
                <w:sz w:val="27"/>
                <w:szCs w:val="27"/>
                <w:lang w:val="es-MX"/>
              </w:rPr>
              <w:t xml:space="preserve"> aumento del circulante. Este aumento obedece a dos factores. 1.- Problemas en el sistema Informático que prácticamente no permitía laborar, a tal punto que debí de solicitar una reunión que el Ingeniero Diego Carrillo, jefe de Informática de la zona, el cual logró constatar las fallas y fue hasta el mes de mayo que fue corregida. 2.- Realizando una revisión de escritorios de las personas técnicas, me di cuenta que la persona coordinadora antecesora del despacho, por práctica, los </w:t>
            </w:r>
            <w:r w:rsidRPr="00393432">
              <w:rPr>
                <w:rFonts w:eastAsia="Calibri"/>
                <w:sz w:val="27"/>
                <w:szCs w:val="27"/>
                <w:lang w:val="es-MX"/>
              </w:rPr>
              <w:lastRenderedPageBreak/>
              <w:t xml:space="preserve">escritos de liquidación, daban audiencia de 3 días y le deban resuelto al escrito, cuando en realidad no lo estaba ya que faltaba resolver la liquidación, así me encontré 2500 escritos, el cual algunos de ellos presentaban atrasos que van de 2 a 3 años, esto llevó realizar un plan remedial de dar prioridad a estos escritos, el cual llevó a paralizar el despacho dos semanas en el mes de enero para sacar los escritos más antiguos y luego dedicar un día a la semana para sacar este atraso y por supuesto que este trabajo no se ve reflejado estadísticamente porque 2 o 3 años atrás lo había reportado como realizado cuando en realidad no lo estaba. Esto generó que el plazo y los escritos aumentara.3.- Además, se debe de aclarar, que, por Acuerdo del Consejo Superior, las personas técnicas del despacho deben de resolver un total de 23 expedientes por día, </w:t>
            </w:r>
            <w:r w:rsidRPr="00393432">
              <w:rPr>
                <w:rFonts w:eastAsia="Calibri"/>
                <w:sz w:val="27"/>
                <w:szCs w:val="27"/>
                <w:lang w:val="es-MX"/>
              </w:rPr>
              <w:lastRenderedPageBreak/>
              <w:t>que consiste en cuatro expedientes nuevos y 19 escritos. Al estar la ayuda en este despacho, la persona técnica resuelve la misma cantidad de expedientes que los demás compañeros de este despacho, o sea 23 expedientes, más las anotaciones y cancelaciones en el SREM.</w:t>
            </w:r>
          </w:p>
          <w:p w14:paraId="0B5A284E" w14:textId="77777777" w:rsidR="005B2B6C" w:rsidRPr="00393432" w:rsidRDefault="005B2B6C" w:rsidP="00F50033">
            <w:pPr>
              <w:jc w:val="both"/>
              <w:rPr>
                <w:rFonts w:eastAsia="Calibri"/>
                <w:sz w:val="27"/>
                <w:szCs w:val="27"/>
                <w:lang w:val="es-MX"/>
              </w:rPr>
            </w:pPr>
          </w:p>
          <w:p w14:paraId="1CC8E7FE" w14:textId="77777777" w:rsidR="005B2B6C" w:rsidRPr="00393432" w:rsidRDefault="005B2B6C" w:rsidP="00F50033">
            <w:pPr>
              <w:jc w:val="both"/>
              <w:rPr>
                <w:rFonts w:eastAsia="Calibri"/>
                <w:sz w:val="27"/>
                <w:szCs w:val="27"/>
                <w:lang w:val="es-MX"/>
              </w:rPr>
            </w:pPr>
            <w:r w:rsidRPr="00393432">
              <w:rPr>
                <w:rFonts w:eastAsia="Calibri"/>
                <w:sz w:val="27"/>
                <w:szCs w:val="27"/>
                <w:lang w:val="es-MX"/>
              </w:rPr>
              <w:t xml:space="preserve"> 4.- Como aspecto aclarativo la ayuda de la personal técnico judicial del Juzgado Civil del Segundo Circuito Judicial de Alajuela no influye como impacto directo en la reducción del circulante de escritos o demandas del despacho en razón que sustituye a una persona técnica de este juzgado, para que esta persona técnica se dedique a labores de cajero, por lo tanto, el impacto de la ayuda se debe de analizar en la revisión de depósitos y giros. </w:t>
            </w:r>
          </w:p>
        </w:tc>
        <w:tc>
          <w:tcPr>
            <w:tcW w:w="4678" w:type="dxa"/>
            <w:tcBorders>
              <w:top w:val="single" w:sz="4" w:space="0" w:color="auto"/>
              <w:left w:val="single" w:sz="4" w:space="0" w:color="auto"/>
              <w:bottom w:val="single" w:sz="4" w:space="0" w:color="auto"/>
              <w:right w:val="single" w:sz="4" w:space="0" w:color="auto"/>
            </w:tcBorders>
            <w:vAlign w:val="center"/>
          </w:tcPr>
          <w:p w14:paraId="6278C2D4" w14:textId="77777777" w:rsidR="005B2B6C" w:rsidRPr="00393432" w:rsidRDefault="005B2B6C" w:rsidP="00F50033">
            <w:pPr>
              <w:jc w:val="both"/>
              <w:rPr>
                <w:rFonts w:eastAsia="Calibri"/>
                <w:sz w:val="27"/>
                <w:szCs w:val="27"/>
                <w:lang w:val="es-MX"/>
              </w:rPr>
            </w:pPr>
            <w:r w:rsidRPr="00393432">
              <w:rPr>
                <w:rFonts w:eastAsia="Calibri"/>
                <w:sz w:val="27"/>
                <w:szCs w:val="27"/>
                <w:lang w:val="es-MX"/>
              </w:rPr>
              <w:lastRenderedPageBreak/>
              <w:t xml:space="preserve">En relación con las razones del incremento del circulante del Juzgado de Cobro del Segundo Circuito Judicial de Alajuela se toma nota de la información aportada por el Licenciado Giovanni Vargas Loaiza, Juez Coordinador; de manera que se consigna dentro del apartado </w:t>
            </w:r>
            <w:r w:rsidRPr="00393432">
              <w:rPr>
                <w:rFonts w:eastAsia="Calibri"/>
                <w:i/>
                <w:iCs/>
                <w:sz w:val="27"/>
                <w:szCs w:val="27"/>
                <w:lang w:val="es-MX"/>
              </w:rPr>
              <w:t>2. Impacto del Plan de Trabajo 1219-PLA-EV-2021 en el Juzgado de Cobro del Segundo Circuito Judicial de Alajuela (enero a abril de 2022)</w:t>
            </w:r>
            <w:r w:rsidRPr="00393432">
              <w:rPr>
                <w:rFonts w:eastAsia="Calibri"/>
                <w:sz w:val="27"/>
                <w:szCs w:val="27"/>
                <w:lang w:val="es-MX"/>
              </w:rPr>
              <w:t xml:space="preserve"> </w:t>
            </w:r>
          </w:p>
          <w:p w14:paraId="4DD72AC3" w14:textId="77777777" w:rsidR="005B2B6C" w:rsidRPr="00393432" w:rsidRDefault="005B2B6C" w:rsidP="00F50033">
            <w:pPr>
              <w:jc w:val="both"/>
              <w:rPr>
                <w:rFonts w:eastAsia="Calibri"/>
                <w:sz w:val="27"/>
                <w:szCs w:val="27"/>
                <w:lang w:val="es-MX"/>
              </w:rPr>
            </w:pPr>
            <w:r w:rsidRPr="00393432">
              <w:rPr>
                <w:rFonts w:eastAsia="Calibri"/>
                <w:sz w:val="27"/>
                <w:szCs w:val="27"/>
                <w:lang w:val="es-MX"/>
              </w:rPr>
              <w:t>Ahora bien, se le recuerda a la oficina judicial el deber de reportar todos los planes remediales realizados en la plantilla correspondiente, conforme al informe 217-PLA-2020 aprobado por el Consejo Superior en sesión 16-2020, artículo LXXIII dispuso de manera textual en relación con las funciones de las oficinas judiciales dentro del Modelo de Sostenibilidad:</w:t>
            </w:r>
          </w:p>
          <w:p w14:paraId="52905C52" w14:textId="77777777" w:rsidR="005B2B6C" w:rsidRPr="00393432" w:rsidRDefault="005B2B6C" w:rsidP="00F50033">
            <w:pPr>
              <w:jc w:val="both"/>
              <w:rPr>
                <w:rFonts w:eastAsia="Calibri"/>
                <w:sz w:val="27"/>
                <w:szCs w:val="27"/>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2873"/>
            </w:tblGrid>
            <w:tr w:rsidR="00F50033" w:rsidRPr="00393432" w14:paraId="52E749C7" w14:textId="77777777" w:rsidTr="00B909C8">
              <w:trPr>
                <w:jc w:val="center"/>
              </w:trPr>
              <w:tc>
                <w:tcPr>
                  <w:tcW w:w="0" w:type="auto"/>
                  <w:tcBorders>
                    <w:top w:val="single" w:sz="4" w:space="0" w:color="auto"/>
                    <w:left w:val="single" w:sz="4" w:space="0" w:color="auto"/>
                    <w:bottom w:val="single" w:sz="4" w:space="0" w:color="auto"/>
                    <w:right w:val="single" w:sz="4" w:space="0" w:color="auto"/>
                  </w:tcBorders>
                </w:tcPr>
                <w:p w14:paraId="07329BB2" w14:textId="77777777" w:rsidR="005B2B6C" w:rsidRPr="00393432" w:rsidRDefault="005B2B6C" w:rsidP="006B0961">
                  <w:pPr>
                    <w:numPr>
                      <w:ilvl w:val="0"/>
                      <w:numId w:val="12"/>
                    </w:numPr>
                    <w:tabs>
                      <w:tab w:val="left" w:pos="350"/>
                    </w:tabs>
                    <w:suppressAutoHyphens w:val="0"/>
                    <w:ind w:left="15" w:hanging="15"/>
                    <w:contextualSpacing/>
                    <w:jc w:val="both"/>
                    <w:rPr>
                      <w:rFonts w:eastAsia="Calibri"/>
                      <w:i/>
                      <w:iCs/>
                      <w:sz w:val="27"/>
                      <w:szCs w:val="27"/>
                      <w:lang w:eastAsia="en-US"/>
                    </w:rPr>
                  </w:pPr>
                  <w:r w:rsidRPr="00393432">
                    <w:rPr>
                      <w:rFonts w:eastAsia="Calibri"/>
                      <w:i/>
                      <w:iCs/>
                      <w:sz w:val="27"/>
                      <w:szCs w:val="27"/>
                      <w:lang w:eastAsia="en-US"/>
                    </w:rPr>
                    <w:t>Despachos y oficinas judiciales rediseñados</w:t>
                  </w:r>
                </w:p>
                <w:p w14:paraId="3B8BB057" w14:textId="77777777" w:rsidR="005B2B6C" w:rsidRPr="00393432" w:rsidRDefault="005B2B6C" w:rsidP="00F50033">
                  <w:pPr>
                    <w:jc w:val="both"/>
                    <w:rPr>
                      <w:rFonts w:eastAsia="Calibri"/>
                      <w:i/>
                      <w:iCs/>
                      <w:sz w:val="27"/>
                      <w:szCs w:val="27"/>
                      <w:lang w:eastAsia="en-US"/>
                    </w:rPr>
                  </w:pPr>
                </w:p>
              </w:tc>
              <w:tc>
                <w:tcPr>
                  <w:tcW w:w="0" w:type="auto"/>
                  <w:tcBorders>
                    <w:top w:val="single" w:sz="4" w:space="0" w:color="auto"/>
                    <w:left w:val="single" w:sz="4" w:space="0" w:color="auto"/>
                    <w:bottom w:val="single" w:sz="4" w:space="0" w:color="auto"/>
                    <w:right w:val="single" w:sz="4" w:space="0" w:color="auto"/>
                  </w:tcBorders>
                </w:tcPr>
                <w:p w14:paraId="78F8C7AD" w14:textId="77777777" w:rsidR="005B2B6C" w:rsidRPr="00393432" w:rsidRDefault="005B2B6C" w:rsidP="006B0961">
                  <w:pPr>
                    <w:numPr>
                      <w:ilvl w:val="0"/>
                      <w:numId w:val="13"/>
                    </w:numPr>
                    <w:tabs>
                      <w:tab w:val="left" w:pos="293"/>
                    </w:tabs>
                    <w:suppressAutoHyphens w:val="0"/>
                    <w:ind w:left="60" w:right="49" w:hanging="60"/>
                    <w:jc w:val="both"/>
                    <w:rPr>
                      <w:rFonts w:eastAsia="Calibri"/>
                      <w:i/>
                      <w:iCs/>
                      <w:sz w:val="27"/>
                      <w:szCs w:val="27"/>
                      <w:lang w:eastAsia="en-US"/>
                    </w:rPr>
                  </w:pPr>
                  <w:r w:rsidRPr="00393432">
                    <w:rPr>
                      <w:rFonts w:eastAsia="Calibri"/>
                      <w:i/>
                      <w:iCs/>
                      <w:sz w:val="27"/>
                      <w:szCs w:val="27"/>
                      <w:lang w:eastAsia="en-US"/>
                    </w:rPr>
                    <w:t xml:space="preserve">Preparar y analizar los informes mensuales de los indicadores de gestión durante los </w:t>
                  </w:r>
                  <w:r w:rsidRPr="00393432">
                    <w:rPr>
                      <w:rFonts w:eastAsia="Calibri"/>
                      <w:i/>
                      <w:iCs/>
                      <w:sz w:val="27"/>
                      <w:szCs w:val="27"/>
                      <w:lang w:eastAsia="en-US"/>
                    </w:rPr>
                    <w:lastRenderedPageBreak/>
                    <w:t xml:space="preserve">primeros quince días de cada mes.  </w:t>
                  </w:r>
                </w:p>
                <w:p w14:paraId="7B114263" w14:textId="77777777" w:rsidR="005B2B6C" w:rsidRPr="00393432" w:rsidRDefault="005B2B6C" w:rsidP="006B0961">
                  <w:pPr>
                    <w:numPr>
                      <w:ilvl w:val="0"/>
                      <w:numId w:val="13"/>
                    </w:numPr>
                    <w:tabs>
                      <w:tab w:val="left" w:pos="293"/>
                    </w:tabs>
                    <w:suppressAutoHyphens w:val="0"/>
                    <w:ind w:left="60" w:right="49" w:hanging="60"/>
                    <w:jc w:val="both"/>
                    <w:rPr>
                      <w:rFonts w:eastAsia="Calibri"/>
                      <w:i/>
                      <w:iCs/>
                      <w:sz w:val="27"/>
                      <w:szCs w:val="27"/>
                      <w:lang w:eastAsia="en-US"/>
                    </w:rPr>
                  </w:pPr>
                  <w:r w:rsidRPr="00393432">
                    <w:rPr>
                      <w:rFonts w:eastAsia="Calibri"/>
                      <w:i/>
                      <w:iCs/>
                      <w:sz w:val="27"/>
                      <w:szCs w:val="27"/>
                      <w:lang w:eastAsia="en-US"/>
                    </w:rPr>
                    <w:t xml:space="preserve">Asegurar la aplicación del proceso de mejora continua, que involucra: el análisis de los indicadores de gestión, </w:t>
                  </w:r>
                  <w:r w:rsidRPr="00393432">
                    <w:rPr>
                      <w:rFonts w:eastAsia="Calibri"/>
                      <w:b/>
                      <w:bCs/>
                      <w:i/>
                      <w:iCs/>
                      <w:sz w:val="27"/>
                      <w:szCs w:val="27"/>
                      <w:lang w:eastAsia="en-US"/>
                    </w:rPr>
                    <w:t>identificación de causas</w:t>
                  </w:r>
                  <w:r w:rsidRPr="00393432">
                    <w:rPr>
                      <w:rFonts w:eastAsia="Calibri"/>
                      <w:i/>
                      <w:iCs/>
                      <w:sz w:val="27"/>
                      <w:szCs w:val="27"/>
                      <w:lang w:eastAsia="en-US"/>
                    </w:rPr>
                    <w:t xml:space="preserve"> y reuniones de seguimiento con el Equipo de Mejora de Procesos y/o con el personal del despacho.  </w:t>
                  </w:r>
                </w:p>
                <w:p w14:paraId="602CCA9F" w14:textId="77777777" w:rsidR="005B2B6C" w:rsidRPr="00393432" w:rsidRDefault="005B2B6C" w:rsidP="006B0961">
                  <w:pPr>
                    <w:numPr>
                      <w:ilvl w:val="0"/>
                      <w:numId w:val="13"/>
                    </w:numPr>
                    <w:tabs>
                      <w:tab w:val="left" w:pos="293"/>
                    </w:tabs>
                    <w:suppressAutoHyphens w:val="0"/>
                    <w:ind w:left="60" w:right="49" w:hanging="60"/>
                    <w:jc w:val="both"/>
                    <w:rPr>
                      <w:rFonts w:eastAsia="Calibri"/>
                      <w:b/>
                      <w:bCs/>
                      <w:i/>
                      <w:iCs/>
                      <w:sz w:val="27"/>
                      <w:szCs w:val="27"/>
                      <w:lang w:eastAsia="en-US"/>
                    </w:rPr>
                  </w:pPr>
                  <w:r w:rsidRPr="00393432">
                    <w:rPr>
                      <w:rFonts w:eastAsia="Calibri"/>
                      <w:b/>
                      <w:bCs/>
                      <w:i/>
                      <w:iCs/>
                      <w:sz w:val="27"/>
                      <w:szCs w:val="27"/>
                      <w:lang w:eastAsia="en-US"/>
                    </w:rPr>
                    <w:t xml:space="preserve">Definir planes remediales, según los resultados del análisis de los indicadores. </w:t>
                  </w:r>
                  <w:r w:rsidRPr="00393432">
                    <w:rPr>
                      <w:b/>
                      <w:i/>
                      <w:sz w:val="27"/>
                      <w:szCs w:val="27"/>
                    </w:rPr>
                    <w:t>(El resaltado no es del original)</w:t>
                  </w:r>
                </w:p>
                <w:p w14:paraId="31661CF0" w14:textId="77777777" w:rsidR="005B2B6C" w:rsidRPr="00393432" w:rsidRDefault="005B2B6C" w:rsidP="006B0961">
                  <w:pPr>
                    <w:numPr>
                      <w:ilvl w:val="0"/>
                      <w:numId w:val="13"/>
                    </w:numPr>
                    <w:tabs>
                      <w:tab w:val="left" w:pos="293"/>
                    </w:tabs>
                    <w:suppressAutoHyphens w:val="0"/>
                    <w:ind w:left="60" w:right="49" w:hanging="60"/>
                    <w:jc w:val="both"/>
                    <w:rPr>
                      <w:rFonts w:eastAsia="Calibri"/>
                      <w:i/>
                      <w:iCs/>
                      <w:sz w:val="27"/>
                      <w:szCs w:val="27"/>
                      <w:lang w:eastAsia="en-US"/>
                    </w:rPr>
                  </w:pPr>
                  <w:r w:rsidRPr="00393432">
                    <w:rPr>
                      <w:rFonts w:eastAsia="Calibri"/>
                      <w:i/>
                      <w:iCs/>
                      <w:sz w:val="27"/>
                      <w:szCs w:val="27"/>
                      <w:lang w:eastAsia="en-US"/>
                    </w:rPr>
                    <w:t xml:space="preserve">Implementar, coordinar y brindar seguimiento a los planes remediales definidos. </w:t>
                  </w:r>
                </w:p>
                <w:p w14:paraId="35710199" w14:textId="77777777" w:rsidR="005B2B6C" w:rsidRPr="00393432" w:rsidRDefault="005B2B6C" w:rsidP="006B0961">
                  <w:pPr>
                    <w:numPr>
                      <w:ilvl w:val="0"/>
                      <w:numId w:val="13"/>
                    </w:numPr>
                    <w:tabs>
                      <w:tab w:val="left" w:pos="293"/>
                    </w:tabs>
                    <w:suppressAutoHyphens w:val="0"/>
                    <w:ind w:left="60" w:right="49" w:hanging="60"/>
                    <w:jc w:val="both"/>
                    <w:rPr>
                      <w:rFonts w:eastAsia="Calibri"/>
                      <w:i/>
                      <w:iCs/>
                      <w:sz w:val="27"/>
                      <w:szCs w:val="27"/>
                      <w:lang w:eastAsia="en-US"/>
                    </w:rPr>
                  </w:pPr>
                  <w:r w:rsidRPr="00393432">
                    <w:rPr>
                      <w:rFonts w:eastAsia="Calibri"/>
                      <w:i/>
                      <w:iCs/>
                      <w:sz w:val="27"/>
                      <w:szCs w:val="27"/>
                      <w:lang w:eastAsia="en-US"/>
                    </w:rPr>
                    <w:t xml:space="preserve">Considerar la incorporación dentro del proceso de mejora de la oficina o </w:t>
                  </w:r>
                  <w:r w:rsidRPr="00393432">
                    <w:rPr>
                      <w:rFonts w:eastAsia="Calibri"/>
                      <w:i/>
                      <w:iCs/>
                      <w:sz w:val="27"/>
                      <w:szCs w:val="27"/>
                      <w:lang w:eastAsia="en-US"/>
                    </w:rPr>
                    <w:lastRenderedPageBreak/>
                    <w:t>despacho judicial, las recomendaciones emitidas por la Contraloría de Servicios.</w:t>
                  </w:r>
                </w:p>
                <w:p w14:paraId="4B571F53" w14:textId="77777777" w:rsidR="005B2B6C" w:rsidRPr="00393432" w:rsidRDefault="005B2B6C" w:rsidP="006B0961">
                  <w:pPr>
                    <w:numPr>
                      <w:ilvl w:val="0"/>
                      <w:numId w:val="13"/>
                    </w:numPr>
                    <w:tabs>
                      <w:tab w:val="left" w:pos="293"/>
                    </w:tabs>
                    <w:suppressAutoHyphens w:val="0"/>
                    <w:ind w:left="60" w:right="49" w:hanging="60"/>
                    <w:jc w:val="both"/>
                    <w:rPr>
                      <w:rFonts w:eastAsia="Calibri"/>
                      <w:i/>
                      <w:iCs/>
                      <w:sz w:val="27"/>
                      <w:szCs w:val="27"/>
                      <w:lang w:eastAsia="en-US"/>
                    </w:rPr>
                  </w:pPr>
                  <w:r w:rsidRPr="00393432">
                    <w:rPr>
                      <w:rFonts w:eastAsia="Calibri"/>
                      <w:i/>
                      <w:iCs/>
                      <w:sz w:val="27"/>
                      <w:szCs w:val="27"/>
                      <w:lang w:eastAsia="en-US"/>
                    </w:rPr>
                    <w:t xml:space="preserve">Remitir las actas de reunión, los indicadores de gestión, y planes remediales a la Administración Regional correspondiente durante la tercera semana de cada mes. </w:t>
                  </w:r>
                </w:p>
                <w:p w14:paraId="68599DB3" w14:textId="77777777" w:rsidR="005B2B6C" w:rsidRPr="00393432" w:rsidRDefault="005B2B6C" w:rsidP="006B0961">
                  <w:pPr>
                    <w:numPr>
                      <w:ilvl w:val="0"/>
                      <w:numId w:val="13"/>
                    </w:numPr>
                    <w:tabs>
                      <w:tab w:val="left" w:pos="293"/>
                    </w:tabs>
                    <w:suppressAutoHyphens w:val="0"/>
                    <w:ind w:left="60" w:right="49" w:hanging="60"/>
                    <w:jc w:val="both"/>
                    <w:rPr>
                      <w:rFonts w:eastAsia="Calibri"/>
                      <w:i/>
                      <w:iCs/>
                      <w:sz w:val="27"/>
                      <w:szCs w:val="27"/>
                      <w:lang w:eastAsia="en-US"/>
                    </w:rPr>
                  </w:pPr>
                  <w:r w:rsidRPr="00393432">
                    <w:rPr>
                      <w:rFonts w:eastAsia="Calibri"/>
                      <w:i/>
                      <w:iCs/>
                      <w:sz w:val="27"/>
                      <w:szCs w:val="27"/>
                      <w:lang w:eastAsia="en-US"/>
                    </w:rPr>
                    <w:t>Actualizar las pizarras implementadas con los indicadores de gestión de manera mensual y asegurar que se encuentren en un lugar visible.</w:t>
                  </w:r>
                </w:p>
                <w:p w14:paraId="5103C11B" w14:textId="77777777" w:rsidR="005B2B6C" w:rsidRPr="00393432" w:rsidRDefault="005B2B6C" w:rsidP="006B0961">
                  <w:pPr>
                    <w:numPr>
                      <w:ilvl w:val="0"/>
                      <w:numId w:val="13"/>
                    </w:numPr>
                    <w:tabs>
                      <w:tab w:val="left" w:pos="293"/>
                    </w:tabs>
                    <w:suppressAutoHyphens w:val="0"/>
                    <w:ind w:left="60" w:right="49" w:hanging="60"/>
                    <w:jc w:val="both"/>
                    <w:rPr>
                      <w:rFonts w:eastAsia="Calibri"/>
                      <w:i/>
                      <w:iCs/>
                      <w:sz w:val="27"/>
                      <w:szCs w:val="27"/>
                      <w:lang w:eastAsia="en-US"/>
                    </w:rPr>
                  </w:pPr>
                  <w:r w:rsidRPr="00393432">
                    <w:rPr>
                      <w:rFonts w:eastAsia="Calibri"/>
                      <w:i/>
                      <w:iCs/>
                      <w:sz w:val="27"/>
                      <w:szCs w:val="27"/>
                      <w:lang w:eastAsia="en-US"/>
                    </w:rPr>
                    <w:t xml:space="preserve">Los resultados obtenidos producto del análisis de los indicadores de gestión, así como lo definido en los planes remediales; podrían ser utilizados </w:t>
                  </w:r>
                  <w:r w:rsidRPr="00393432">
                    <w:rPr>
                      <w:rFonts w:eastAsia="Calibri"/>
                      <w:i/>
                      <w:iCs/>
                      <w:sz w:val="27"/>
                      <w:szCs w:val="27"/>
                      <w:lang w:eastAsia="en-US"/>
                    </w:rPr>
                    <w:lastRenderedPageBreak/>
                    <w:t xml:space="preserve">como insumos para la formulación del PAO y SEVRI. </w:t>
                  </w:r>
                </w:p>
                <w:p w14:paraId="181403ED" w14:textId="77777777" w:rsidR="005B2B6C" w:rsidRPr="00393432" w:rsidRDefault="005B2B6C" w:rsidP="00F50033">
                  <w:pPr>
                    <w:ind w:right="49"/>
                    <w:jc w:val="both"/>
                    <w:rPr>
                      <w:rFonts w:eastAsia="Calibri"/>
                      <w:i/>
                      <w:iCs/>
                      <w:sz w:val="27"/>
                      <w:szCs w:val="27"/>
                      <w:lang w:eastAsia="en-US"/>
                    </w:rPr>
                  </w:pPr>
                </w:p>
              </w:tc>
            </w:tr>
          </w:tbl>
          <w:p w14:paraId="0E06375B" w14:textId="77777777" w:rsidR="005B2B6C" w:rsidRPr="00393432" w:rsidRDefault="005B2B6C" w:rsidP="00F50033">
            <w:pPr>
              <w:jc w:val="both"/>
              <w:rPr>
                <w:rFonts w:eastAsia="Calibri"/>
                <w:sz w:val="27"/>
                <w:szCs w:val="27"/>
                <w:lang w:val="es-MX"/>
              </w:rPr>
            </w:pPr>
            <w:r w:rsidRPr="00393432">
              <w:rPr>
                <w:rFonts w:eastAsia="Calibri"/>
                <w:sz w:val="27"/>
                <w:szCs w:val="27"/>
                <w:lang w:val="es-MX"/>
              </w:rPr>
              <w:lastRenderedPageBreak/>
              <w:t xml:space="preserve"> </w:t>
            </w:r>
          </w:p>
        </w:tc>
      </w:tr>
    </w:tbl>
    <w:p w14:paraId="7E298F7E" w14:textId="77777777" w:rsidR="005B2B6C" w:rsidRPr="00393432" w:rsidRDefault="005B2B6C" w:rsidP="00F50033">
      <w:pPr>
        <w:rPr>
          <w:sz w:val="27"/>
          <w:szCs w:val="27"/>
        </w:rPr>
        <w:sectPr w:rsidR="005B2B6C" w:rsidRPr="00393432" w:rsidSect="006E3A08">
          <w:headerReference w:type="even" r:id="rId15"/>
          <w:headerReference w:type="default" r:id="rId16"/>
          <w:footerReference w:type="even" r:id="rId17"/>
          <w:footerReference w:type="default" r:id="rId18"/>
          <w:headerReference w:type="first" r:id="rId19"/>
          <w:footerReference w:type="first" r:id="rId20"/>
          <w:pgSz w:w="15842" w:h="12242" w:orient="landscape" w:code="1"/>
          <w:pgMar w:top="1417" w:right="1701" w:bottom="1417" w:left="1701" w:header="709" w:footer="709" w:gutter="0"/>
          <w:cols w:space="708"/>
          <w:docGrid w:linePitch="360"/>
        </w:sectPr>
      </w:pPr>
    </w:p>
    <w:p w14:paraId="1B72C219" w14:textId="77777777" w:rsidR="005B2B6C" w:rsidRPr="00393432" w:rsidRDefault="005B2B6C" w:rsidP="00F50033">
      <w:pPr>
        <w:rPr>
          <w:sz w:val="27"/>
          <w:szCs w:val="27"/>
        </w:rPr>
      </w:pPr>
    </w:p>
    <w:p w14:paraId="1C8CED29" w14:textId="77777777" w:rsidR="005B2B6C" w:rsidRPr="00393432" w:rsidRDefault="005B2B6C" w:rsidP="006B0961">
      <w:pPr>
        <w:keepNext/>
        <w:widowControl w:val="0"/>
        <w:numPr>
          <w:ilvl w:val="0"/>
          <w:numId w:val="10"/>
        </w:numPr>
        <w:tabs>
          <w:tab w:val="num" w:pos="720"/>
        </w:tabs>
        <w:suppressAutoHyphens w:val="0"/>
        <w:autoSpaceDE w:val="0"/>
        <w:autoSpaceDN w:val="0"/>
        <w:adjustRightInd w:val="0"/>
        <w:ind w:left="714" w:hanging="357"/>
        <w:jc w:val="both"/>
        <w:rPr>
          <w:b/>
          <w:bCs/>
          <w:i/>
          <w:iCs/>
          <w:kern w:val="1"/>
          <w:sz w:val="27"/>
          <w:szCs w:val="27"/>
          <w:u w:val="single"/>
        </w:rPr>
      </w:pPr>
      <w:bookmarkStart w:id="11" w:name="_Toc112071092"/>
      <w:r w:rsidRPr="00393432">
        <w:rPr>
          <w:b/>
          <w:bCs/>
          <w:kern w:val="1"/>
          <w:sz w:val="27"/>
          <w:szCs w:val="27"/>
          <w:u w:val="single"/>
        </w:rPr>
        <w:t>Anexos</w:t>
      </w:r>
      <w:bookmarkEnd w:id="11"/>
    </w:p>
    <w:p w14:paraId="6572FA96" w14:textId="77777777" w:rsidR="005B2B6C" w:rsidRPr="00393432" w:rsidRDefault="005B2B6C" w:rsidP="00F50033">
      <w:pPr>
        <w:rPr>
          <w:sz w:val="27"/>
          <w:szCs w:val="27"/>
        </w:rPr>
      </w:pPr>
    </w:p>
    <w:tbl>
      <w:tblPr>
        <w:tblW w:w="500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91"/>
        <w:gridCol w:w="6719"/>
        <w:gridCol w:w="1279"/>
      </w:tblGrid>
      <w:tr w:rsidR="00F50033" w:rsidRPr="00393432" w14:paraId="24F010A5" w14:textId="77777777" w:rsidTr="00B909C8">
        <w:trPr>
          <w:trHeight w:val="224"/>
          <w:jc w:val="center"/>
        </w:trPr>
        <w:tc>
          <w:tcPr>
            <w:tcW w:w="741" w:type="pct"/>
            <w:shd w:val="solid" w:color="000080" w:fill="FFFFFF"/>
            <w:vAlign w:val="center"/>
          </w:tcPr>
          <w:p w14:paraId="07042B48" w14:textId="77777777" w:rsidR="005B2B6C" w:rsidRPr="00393432" w:rsidRDefault="005B2B6C" w:rsidP="00F50033">
            <w:pPr>
              <w:jc w:val="center"/>
              <w:rPr>
                <w:b/>
                <w:bCs/>
                <w:sz w:val="27"/>
                <w:szCs w:val="27"/>
              </w:rPr>
            </w:pPr>
            <w:proofErr w:type="spellStart"/>
            <w:r w:rsidRPr="00393432">
              <w:rPr>
                <w:b/>
                <w:bCs/>
                <w:sz w:val="27"/>
                <w:szCs w:val="27"/>
              </w:rPr>
              <w:t>N°</w:t>
            </w:r>
            <w:proofErr w:type="spellEnd"/>
          </w:p>
        </w:tc>
        <w:tc>
          <w:tcPr>
            <w:tcW w:w="3578" w:type="pct"/>
            <w:shd w:val="solid" w:color="000080" w:fill="FFFFFF"/>
            <w:vAlign w:val="center"/>
          </w:tcPr>
          <w:p w14:paraId="45FD1404" w14:textId="77777777" w:rsidR="005B2B6C" w:rsidRPr="00393432" w:rsidRDefault="005B2B6C" w:rsidP="00F50033">
            <w:pPr>
              <w:jc w:val="center"/>
              <w:rPr>
                <w:b/>
                <w:bCs/>
                <w:sz w:val="27"/>
                <w:szCs w:val="27"/>
              </w:rPr>
            </w:pPr>
            <w:r w:rsidRPr="00393432">
              <w:rPr>
                <w:b/>
                <w:bCs/>
                <w:sz w:val="27"/>
                <w:szCs w:val="27"/>
              </w:rPr>
              <w:t>Descripción del archivo</w:t>
            </w:r>
          </w:p>
        </w:tc>
        <w:tc>
          <w:tcPr>
            <w:tcW w:w="681" w:type="pct"/>
            <w:shd w:val="solid" w:color="000080" w:fill="FFFFFF"/>
            <w:vAlign w:val="center"/>
          </w:tcPr>
          <w:p w14:paraId="18F5B366" w14:textId="77777777" w:rsidR="005B2B6C" w:rsidRPr="00393432" w:rsidRDefault="005B2B6C" w:rsidP="00F50033">
            <w:pPr>
              <w:jc w:val="center"/>
              <w:rPr>
                <w:b/>
                <w:bCs/>
                <w:sz w:val="27"/>
                <w:szCs w:val="27"/>
              </w:rPr>
            </w:pPr>
            <w:r w:rsidRPr="00393432">
              <w:rPr>
                <w:b/>
                <w:bCs/>
                <w:sz w:val="27"/>
                <w:szCs w:val="27"/>
              </w:rPr>
              <w:t>Archivo</w:t>
            </w:r>
          </w:p>
        </w:tc>
      </w:tr>
      <w:tr w:rsidR="00F50033" w:rsidRPr="00393432" w14:paraId="56A6224D" w14:textId="77777777" w:rsidTr="00B909C8">
        <w:trPr>
          <w:trHeight w:val="902"/>
          <w:jc w:val="center"/>
        </w:trPr>
        <w:tc>
          <w:tcPr>
            <w:tcW w:w="741" w:type="pct"/>
            <w:shd w:val="clear" w:color="auto" w:fill="auto"/>
            <w:vAlign w:val="center"/>
          </w:tcPr>
          <w:p w14:paraId="28BB5373" w14:textId="77777777" w:rsidR="005B2B6C" w:rsidRPr="00393432" w:rsidRDefault="005B2B6C" w:rsidP="00F50033">
            <w:pPr>
              <w:jc w:val="center"/>
              <w:rPr>
                <w:b/>
                <w:bCs/>
                <w:sz w:val="27"/>
                <w:szCs w:val="27"/>
              </w:rPr>
            </w:pPr>
            <w:r w:rsidRPr="00393432">
              <w:rPr>
                <w:b/>
                <w:bCs/>
                <w:sz w:val="27"/>
                <w:szCs w:val="27"/>
              </w:rPr>
              <w:t>Anexo 1</w:t>
            </w:r>
          </w:p>
        </w:tc>
        <w:tc>
          <w:tcPr>
            <w:tcW w:w="3578" w:type="pct"/>
            <w:shd w:val="clear" w:color="auto" w:fill="auto"/>
            <w:vAlign w:val="center"/>
          </w:tcPr>
          <w:p w14:paraId="357D1D86" w14:textId="77777777" w:rsidR="005B2B6C" w:rsidRPr="00393432" w:rsidRDefault="005B2B6C" w:rsidP="00F50033">
            <w:pPr>
              <w:jc w:val="center"/>
              <w:rPr>
                <w:sz w:val="27"/>
                <w:szCs w:val="27"/>
              </w:rPr>
            </w:pPr>
            <w:r w:rsidRPr="00393432">
              <w:rPr>
                <w:sz w:val="27"/>
                <w:szCs w:val="27"/>
              </w:rPr>
              <w:t>Oficio CJC-112-2022 de la Comisión de la Jurisdicción Civil del Poder Judicial</w:t>
            </w:r>
          </w:p>
        </w:tc>
        <w:tc>
          <w:tcPr>
            <w:tcW w:w="681" w:type="pct"/>
            <w:shd w:val="clear" w:color="auto" w:fill="auto"/>
            <w:vAlign w:val="center"/>
          </w:tcPr>
          <w:p w14:paraId="1BE260BE" w14:textId="77777777" w:rsidR="005B2B6C" w:rsidRPr="00393432" w:rsidRDefault="005B2B6C" w:rsidP="00F50033">
            <w:pPr>
              <w:jc w:val="center"/>
              <w:rPr>
                <w:sz w:val="27"/>
                <w:szCs w:val="27"/>
              </w:rPr>
            </w:pPr>
            <w:r w:rsidRPr="00393432">
              <w:rPr>
                <w:sz w:val="27"/>
                <w:szCs w:val="27"/>
              </w:rPr>
              <w:t>(…)</w:t>
            </w:r>
          </w:p>
        </w:tc>
      </w:tr>
      <w:tr w:rsidR="00F50033" w:rsidRPr="00393432" w14:paraId="05C0D394" w14:textId="77777777" w:rsidTr="00B909C8">
        <w:trPr>
          <w:trHeight w:val="902"/>
          <w:jc w:val="center"/>
        </w:trPr>
        <w:tc>
          <w:tcPr>
            <w:tcW w:w="741" w:type="pct"/>
            <w:shd w:val="clear" w:color="auto" w:fill="auto"/>
            <w:vAlign w:val="center"/>
          </w:tcPr>
          <w:p w14:paraId="3E7ED68A" w14:textId="77777777" w:rsidR="005B2B6C" w:rsidRPr="00393432" w:rsidRDefault="005B2B6C" w:rsidP="00F50033">
            <w:pPr>
              <w:jc w:val="center"/>
              <w:rPr>
                <w:b/>
                <w:bCs/>
                <w:sz w:val="27"/>
                <w:szCs w:val="27"/>
              </w:rPr>
            </w:pPr>
            <w:r w:rsidRPr="00393432">
              <w:rPr>
                <w:b/>
                <w:bCs/>
                <w:sz w:val="27"/>
                <w:szCs w:val="27"/>
              </w:rPr>
              <w:t>Anexo 2</w:t>
            </w:r>
          </w:p>
        </w:tc>
        <w:tc>
          <w:tcPr>
            <w:tcW w:w="3578" w:type="pct"/>
            <w:shd w:val="clear" w:color="auto" w:fill="auto"/>
            <w:vAlign w:val="center"/>
          </w:tcPr>
          <w:p w14:paraId="22F93B8F" w14:textId="77777777" w:rsidR="005B2B6C" w:rsidRPr="00393432" w:rsidRDefault="005B2B6C" w:rsidP="00F50033">
            <w:pPr>
              <w:jc w:val="center"/>
              <w:rPr>
                <w:sz w:val="27"/>
                <w:szCs w:val="27"/>
              </w:rPr>
            </w:pPr>
            <w:r w:rsidRPr="00393432">
              <w:rPr>
                <w:sz w:val="27"/>
                <w:szCs w:val="27"/>
              </w:rPr>
              <w:t>Informe 1219-PLA-EV-2021</w:t>
            </w:r>
          </w:p>
        </w:tc>
        <w:tc>
          <w:tcPr>
            <w:tcW w:w="681" w:type="pct"/>
            <w:shd w:val="clear" w:color="auto" w:fill="auto"/>
            <w:vAlign w:val="center"/>
          </w:tcPr>
          <w:p w14:paraId="4E6EA51B" w14:textId="77777777" w:rsidR="005B2B6C" w:rsidRPr="00393432" w:rsidRDefault="005B2B6C" w:rsidP="00F50033">
            <w:pPr>
              <w:jc w:val="center"/>
              <w:rPr>
                <w:sz w:val="27"/>
                <w:szCs w:val="27"/>
              </w:rPr>
            </w:pPr>
            <w:r w:rsidRPr="00393432">
              <w:rPr>
                <w:sz w:val="27"/>
                <w:szCs w:val="27"/>
              </w:rPr>
              <w:t>(…)</w:t>
            </w:r>
          </w:p>
        </w:tc>
      </w:tr>
      <w:tr w:rsidR="00F50033" w:rsidRPr="00393432" w14:paraId="111DD82C" w14:textId="77777777" w:rsidTr="00B909C8">
        <w:trPr>
          <w:trHeight w:val="902"/>
          <w:jc w:val="center"/>
        </w:trPr>
        <w:tc>
          <w:tcPr>
            <w:tcW w:w="741" w:type="pct"/>
            <w:shd w:val="clear" w:color="auto" w:fill="auto"/>
            <w:vAlign w:val="center"/>
          </w:tcPr>
          <w:p w14:paraId="51819547" w14:textId="77777777" w:rsidR="005B2B6C" w:rsidRPr="00393432" w:rsidRDefault="005B2B6C" w:rsidP="00F50033">
            <w:pPr>
              <w:jc w:val="center"/>
              <w:rPr>
                <w:b/>
                <w:bCs/>
                <w:sz w:val="27"/>
                <w:szCs w:val="27"/>
              </w:rPr>
            </w:pPr>
            <w:r w:rsidRPr="00393432">
              <w:rPr>
                <w:b/>
                <w:bCs/>
                <w:sz w:val="27"/>
                <w:szCs w:val="27"/>
              </w:rPr>
              <w:t>Anexo 3</w:t>
            </w:r>
          </w:p>
        </w:tc>
        <w:tc>
          <w:tcPr>
            <w:tcW w:w="3578" w:type="pct"/>
            <w:shd w:val="clear" w:color="auto" w:fill="auto"/>
            <w:vAlign w:val="center"/>
          </w:tcPr>
          <w:p w14:paraId="7348ADB1" w14:textId="77777777" w:rsidR="005B2B6C" w:rsidRPr="00393432" w:rsidRDefault="005B2B6C" w:rsidP="00F50033">
            <w:pPr>
              <w:jc w:val="center"/>
              <w:rPr>
                <w:sz w:val="27"/>
                <w:szCs w:val="27"/>
              </w:rPr>
            </w:pPr>
            <w:r w:rsidRPr="00393432">
              <w:rPr>
                <w:sz w:val="27"/>
                <w:szCs w:val="27"/>
              </w:rPr>
              <w:t>Observaciones del Juzgado de Cobro del Segundo Circuito Judicial de Alajuela emitidas mediante correo electrónico del 23 de junio de 2022</w:t>
            </w:r>
          </w:p>
        </w:tc>
        <w:tc>
          <w:tcPr>
            <w:tcW w:w="681" w:type="pct"/>
            <w:shd w:val="clear" w:color="auto" w:fill="auto"/>
            <w:vAlign w:val="center"/>
          </w:tcPr>
          <w:p w14:paraId="463C4487" w14:textId="77777777" w:rsidR="005B2B6C" w:rsidRPr="00393432" w:rsidRDefault="005B2B6C" w:rsidP="00F50033">
            <w:pPr>
              <w:jc w:val="center"/>
              <w:rPr>
                <w:sz w:val="27"/>
                <w:szCs w:val="27"/>
              </w:rPr>
            </w:pPr>
            <w:r w:rsidRPr="00393432">
              <w:rPr>
                <w:sz w:val="27"/>
                <w:szCs w:val="27"/>
              </w:rPr>
              <w:t>(…)</w:t>
            </w:r>
          </w:p>
        </w:tc>
      </w:tr>
      <w:tr w:rsidR="00F50033" w:rsidRPr="00393432" w14:paraId="1AE3DC7C" w14:textId="77777777" w:rsidTr="00B909C8">
        <w:trPr>
          <w:trHeight w:val="902"/>
          <w:jc w:val="center"/>
        </w:trPr>
        <w:tc>
          <w:tcPr>
            <w:tcW w:w="741" w:type="pct"/>
            <w:shd w:val="clear" w:color="auto" w:fill="auto"/>
            <w:vAlign w:val="center"/>
          </w:tcPr>
          <w:p w14:paraId="40FABD64" w14:textId="77777777" w:rsidR="005B2B6C" w:rsidRPr="00393432" w:rsidRDefault="005B2B6C" w:rsidP="00F50033">
            <w:pPr>
              <w:jc w:val="center"/>
              <w:rPr>
                <w:b/>
                <w:bCs/>
                <w:sz w:val="27"/>
                <w:szCs w:val="27"/>
              </w:rPr>
            </w:pPr>
            <w:r w:rsidRPr="00393432">
              <w:rPr>
                <w:b/>
                <w:bCs/>
                <w:sz w:val="27"/>
                <w:szCs w:val="27"/>
              </w:rPr>
              <w:t>Anexo 4</w:t>
            </w:r>
          </w:p>
        </w:tc>
        <w:tc>
          <w:tcPr>
            <w:tcW w:w="3578" w:type="pct"/>
            <w:shd w:val="clear" w:color="auto" w:fill="auto"/>
            <w:vAlign w:val="center"/>
          </w:tcPr>
          <w:p w14:paraId="6E408203" w14:textId="77777777" w:rsidR="005B2B6C" w:rsidRPr="00393432" w:rsidRDefault="005B2B6C" w:rsidP="00F50033">
            <w:pPr>
              <w:jc w:val="center"/>
              <w:rPr>
                <w:sz w:val="27"/>
                <w:szCs w:val="27"/>
              </w:rPr>
            </w:pPr>
            <w:r w:rsidRPr="00393432">
              <w:rPr>
                <w:sz w:val="27"/>
                <w:szCs w:val="27"/>
              </w:rPr>
              <w:t>Observaciones de la Contraloria de Servicios de San Carlos del Segundo Circuito Judicial de Alajuela emitidas mediante correo electrónico del 27 de junio de 2022</w:t>
            </w:r>
          </w:p>
        </w:tc>
        <w:tc>
          <w:tcPr>
            <w:tcW w:w="681" w:type="pct"/>
            <w:shd w:val="clear" w:color="auto" w:fill="auto"/>
            <w:vAlign w:val="center"/>
          </w:tcPr>
          <w:p w14:paraId="3BC8A161" w14:textId="77777777" w:rsidR="005B2B6C" w:rsidRPr="00393432" w:rsidRDefault="005B2B6C" w:rsidP="00F50033">
            <w:pPr>
              <w:jc w:val="center"/>
              <w:rPr>
                <w:sz w:val="27"/>
                <w:szCs w:val="27"/>
              </w:rPr>
            </w:pPr>
            <w:r w:rsidRPr="00393432">
              <w:rPr>
                <w:sz w:val="27"/>
                <w:szCs w:val="27"/>
              </w:rPr>
              <w:t>(…)</w:t>
            </w:r>
          </w:p>
        </w:tc>
      </w:tr>
    </w:tbl>
    <w:p w14:paraId="328E3725" w14:textId="77777777" w:rsidR="005B2B6C" w:rsidRPr="00393432" w:rsidRDefault="005B2B6C" w:rsidP="00F50033">
      <w:pPr>
        <w:ind w:left="-143" w:firstLine="851"/>
        <w:rPr>
          <w:sz w:val="27"/>
          <w:szCs w:val="27"/>
        </w:rPr>
      </w:pPr>
      <w:r w:rsidRPr="00393432">
        <w:rPr>
          <w:sz w:val="27"/>
          <w:szCs w:val="27"/>
        </w:rPr>
        <w:t>(...)”</w:t>
      </w:r>
    </w:p>
    <w:p w14:paraId="14E665D4" w14:textId="415CBD98" w:rsidR="005B2B6C" w:rsidRPr="00393432" w:rsidRDefault="005B2B6C" w:rsidP="00F50033">
      <w:pPr>
        <w:widowControl w:val="0"/>
        <w:suppressAutoHyphens w:val="0"/>
        <w:autoSpaceDE w:val="0"/>
        <w:autoSpaceDN w:val="0"/>
        <w:adjustRightInd w:val="0"/>
        <w:jc w:val="center"/>
        <w:rPr>
          <w:sz w:val="27"/>
          <w:szCs w:val="27"/>
          <w:lang w:eastAsia="es-ES"/>
        </w:rPr>
      </w:pPr>
      <w:r w:rsidRPr="00393432">
        <w:rPr>
          <w:sz w:val="27"/>
          <w:szCs w:val="27"/>
          <w:lang w:eastAsia="es-ES"/>
        </w:rPr>
        <w:t xml:space="preserve">- 0 </w:t>
      </w:r>
      <w:r w:rsidR="00F50033" w:rsidRPr="00393432">
        <w:rPr>
          <w:sz w:val="27"/>
          <w:szCs w:val="27"/>
          <w:lang w:eastAsia="es-ES"/>
        </w:rPr>
        <w:t>–</w:t>
      </w:r>
    </w:p>
    <w:p w14:paraId="06868AB3" w14:textId="77777777" w:rsidR="00F50033" w:rsidRPr="00393432" w:rsidRDefault="00F50033" w:rsidP="00F50033">
      <w:pPr>
        <w:widowControl w:val="0"/>
        <w:suppressAutoHyphens w:val="0"/>
        <w:autoSpaceDE w:val="0"/>
        <w:autoSpaceDN w:val="0"/>
        <w:adjustRightInd w:val="0"/>
        <w:jc w:val="center"/>
        <w:rPr>
          <w:sz w:val="27"/>
          <w:szCs w:val="27"/>
          <w:lang w:eastAsia="es-ES"/>
        </w:rPr>
      </w:pPr>
    </w:p>
    <w:p w14:paraId="3BF50834" w14:textId="45863D1F" w:rsidR="00294863" w:rsidRPr="00393432" w:rsidRDefault="005B2B6C" w:rsidP="00F50033">
      <w:pPr>
        <w:ind w:firstLine="709"/>
        <w:jc w:val="both"/>
        <w:rPr>
          <w:sz w:val="27"/>
          <w:szCs w:val="27"/>
        </w:rPr>
      </w:pPr>
      <w:r w:rsidRPr="00393432">
        <w:rPr>
          <w:b/>
          <w:bCs/>
          <w:sz w:val="27"/>
          <w:szCs w:val="27"/>
          <w:lang w:eastAsia="es-CR"/>
        </w:rPr>
        <w:t>Se acordó: 1.)</w:t>
      </w:r>
      <w:r w:rsidRPr="00393432">
        <w:rPr>
          <w:sz w:val="27"/>
          <w:szCs w:val="27"/>
          <w:lang w:eastAsia="es-CR"/>
        </w:rPr>
        <w:t xml:space="preserve"> Tener por recibido el informe 616-PLA-EV-2022 de la Dirección de Planificación</w:t>
      </w:r>
      <w:r w:rsidRPr="00393432">
        <w:rPr>
          <w:sz w:val="27"/>
          <w:szCs w:val="27"/>
        </w:rPr>
        <w:t xml:space="preserve">, relacionado con el seguimiento del Plan de Trabajo 1219-PLA-EV-2021 de la Dirección de Planificación, sobre </w:t>
      </w:r>
      <w:r w:rsidRPr="00393432">
        <w:rPr>
          <w:i/>
          <w:iCs/>
          <w:sz w:val="27"/>
          <w:szCs w:val="27"/>
        </w:rPr>
        <w:t>“el seguimiento del Plan de Trabajo 2047-PLA-EV-2020 de los Juzgados Civiles y ajuste de estructuras (temporales) de los Juzgados de Cobro y Civil del Primer y Segundo Circuito Judicial de Alajuela”</w:t>
      </w:r>
      <w:r w:rsidRPr="00393432">
        <w:rPr>
          <w:sz w:val="27"/>
          <w:szCs w:val="27"/>
        </w:rPr>
        <w:t>.</w:t>
      </w:r>
      <w:r w:rsidRPr="00393432">
        <w:rPr>
          <w:sz w:val="27"/>
          <w:szCs w:val="27"/>
          <w:lang w:eastAsia="es-CR"/>
        </w:rPr>
        <w:t xml:space="preserve"> </w:t>
      </w:r>
      <w:r w:rsidRPr="00393432">
        <w:rPr>
          <w:b/>
          <w:sz w:val="27"/>
          <w:szCs w:val="27"/>
        </w:rPr>
        <w:t xml:space="preserve">2.) </w:t>
      </w:r>
      <w:r w:rsidRPr="00393432">
        <w:rPr>
          <w:bCs/>
          <w:sz w:val="27"/>
          <w:szCs w:val="27"/>
        </w:rPr>
        <w:t xml:space="preserve">Tomar nota de los principales elementos expuestos en el oficio de cita y de las recomendaciones emitidas. En consecuencia, se aprueba </w:t>
      </w:r>
      <w:r w:rsidRPr="00393432">
        <w:rPr>
          <w:sz w:val="27"/>
          <w:szCs w:val="27"/>
        </w:rPr>
        <w:t xml:space="preserve">el presente informe de seguimiento al Plan de trabajo de los Juzgados Civiles y ajuste de estructuras (temporales) de los Juzgados de Cobro y Civil del Segundo Circuito Judicial de Alajuela, según informe 1219-PLA-EV-2021 aprobado por este Consejo, en la sesión 104-2021, art. XXXIII. Asimismo, se aprueba la propuesta de ajuste del Plan de Trabajo 1219-PLA-EV-2021, contenida en el punto 4 </w:t>
      </w:r>
      <w:r w:rsidRPr="00393432">
        <w:rPr>
          <w:i/>
          <w:iCs/>
          <w:sz w:val="27"/>
          <w:szCs w:val="27"/>
        </w:rPr>
        <w:t>Propuesta de ajuste del Plan de Trabajo 1219-PLA-EV-2021 en relación con los resultados obtenidos al primer cuatrimestre de 2022 (enero a abril de 2022)</w:t>
      </w:r>
      <w:r w:rsidRPr="00393432">
        <w:rPr>
          <w:sz w:val="27"/>
          <w:szCs w:val="27"/>
        </w:rPr>
        <w:t xml:space="preserve"> y se prorroga hasta finalizar el segundo semestre de 2022. </w:t>
      </w:r>
      <w:r w:rsidRPr="00393432">
        <w:rPr>
          <w:b/>
          <w:bCs/>
          <w:sz w:val="27"/>
          <w:szCs w:val="27"/>
        </w:rPr>
        <w:t xml:space="preserve">3.) </w:t>
      </w:r>
      <w:r w:rsidRPr="00393432">
        <w:rPr>
          <w:sz w:val="27"/>
          <w:szCs w:val="27"/>
        </w:rPr>
        <w:t xml:space="preserve">El Centro de Apoyo, Coordinación y Mejoramiento de la Función Jurisdiccional, la Administración Regional, el Consejo de Administración, la Contraloría de Servicios, el Juzgado Civil, el Juzgado de Cobro, todos del Segundo Circuito Judicial de Alajuela, la </w:t>
      </w:r>
      <w:r w:rsidRPr="00393432">
        <w:rPr>
          <w:sz w:val="27"/>
          <w:szCs w:val="27"/>
        </w:rPr>
        <w:lastRenderedPageBreak/>
        <w:t>Dirección de Gestión Humana, la Dirección de Planificación y la Comisión de la Jurisdicción Civil, tomarán nota para lo correspondiente. Comuníquese</w:t>
      </w:r>
      <w:proofErr w:type="gramStart"/>
      <w:r w:rsidRPr="00393432">
        <w:rPr>
          <w:sz w:val="27"/>
          <w:szCs w:val="27"/>
        </w:rPr>
        <w:t xml:space="preserve">. </w:t>
      </w:r>
      <w:r w:rsidR="009F45D2" w:rsidRPr="00393432">
        <w:rPr>
          <w:sz w:val="27"/>
          <w:szCs w:val="27"/>
        </w:rPr>
        <w:t>”</w:t>
      </w:r>
      <w:proofErr w:type="gramEnd"/>
    </w:p>
    <w:p w14:paraId="70D09BB2" w14:textId="77777777" w:rsidR="009033DA" w:rsidRPr="00393432" w:rsidRDefault="009033DA" w:rsidP="00F50033">
      <w:pPr>
        <w:widowControl w:val="0"/>
        <w:autoSpaceDE w:val="0"/>
        <w:autoSpaceDN w:val="0"/>
        <w:adjustRightInd w:val="0"/>
        <w:ind w:left="851" w:right="851"/>
        <w:jc w:val="both"/>
        <w:rPr>
          <w:sz w:val="27"/>
          <w:szCs w:val="27"/>
        </w:rPr>
      </w:pPr>
    </w:p>
    <w:p w14:paraId="7C84EACA" w14:textId="77777777" w:rsidR="00393432" w:rsidRDefault="00393432" w:rsidP="00F50033">
      <w:pPr>
        <w:tabs>
          <w:tab w:val="left" w:pos="4295"/>
        </w:tabs>
        <w:ind w:left="3969"/>
        <w:jc w:val="both"/>
        <w:rPr>
          <w:b/>
          <w:bCs/>
          <w:sz w:val="27"/>
          <w:szCs w:val="27"/>
        </w:rPr>
      </w:pPr>
    </w:p>
    <w:p w14:paraId="0DF1E099" w14:textId="4C79ECF9" w:rsidR="003D6337" w:rsidRPr="00393432" w:rsidRDefault="00561024" w:rsidP="00F50033">
      <w:pPr>
        <w:tabs>
          <w:tab w:val="left" w:pos="4295"/>
        </w:tabs>
        <w:ind w:left="3969"/>
        <w:jc w:val="both"/>
        <w:rPr>
          <w:b/>
          <w:bCs/>
          <w:sz w:val="27"/>
          <w:szCs w:val="27"/>
        </w:rPr>
      </w:pPr>
      <w:r w:rsidRPr="00393432">
        <w:rPr>
          <w:b/>
          <w:bCs/>
          <w:sz w:val="27"/>
          <w:szCs w:val="27"/>
        </w:rPr>
        <w:t>A</w:t>
      </w:r>
      <w:r w:rsidR="003D6337" w:rsidRPr="00393432">
        <w:rPr>
          <w:b/>
          <w:bCs/>
          <w:sz w:val="27"/>
          <w:szCs w:val="27"/>
        </w:rPr>
        <w:t xml:space="preserve">tentamente, </w:t>
      </w:r>
    </w:p>
    <w:p w14:paraId="1341F479" w14:textId="77777777" w:rsidR="003D6337" w:rsidRPr="00393432" w:rsidRDefault="003D6337" w:rsidP="00F50033">
      <w:pPr>
        <w:ind w:left="3969"/>
        <w:jc w:val="both"/>
        <w:rPr>
          <w:b/>
          <w:bCs/>
          <w:sz w:val="27"/>
          <w:szCs w:val="27"/>
        </w:rPr>
      </w:pPr>
    </w:p>
    <w:p w14:paraId="644C83D9" w14:textId="12303B86" w:rsidR="003D6337" w:rsidRDefault="003D6337" w:rsidP="00F50033">
      <w:pPr>
        <w:ind w:left="3969"/>
        <w:jc w:val="both"/>
        <w:rPr>
          <w:b/>
          <w:bCs/>
          <w:sz w:val="27"/>
          <w:szCs w:val="27"/>
        </w:rPr>
      </w:pPr>
    </w:p>
    <w:p w14:paraId="5F684C22" w14:textId="77777777" w:rsidR="00393432" w:rsidRPr="00393432" w:rsidRDefault="00393432" w:rsidP="00F50033">
      <w:pPr>
        <w:ind w:left="3969"/>
        <w:jc w:val="both"/>
        <w:rPr>
          <w:b/>
          <w:bCs/>
          <w:sz w:val="27"/>
          <w:szCs w:val="27"/>
        </w:rPr>
      </w:pPr>
    </w:p>
    <w:p w14:paraId="666AF705" w14:textId="77777777" w:rsidR="003D6337" w:rsidRPr="00393432" w:rsidRDefault="003D6337" w:rsidP="00F50033">
      <w:pPr>
        <w:ind w:left="3969"/>
        <w:jc w:val="both"/>
        <w:rPr>
          <w:b/>
          <w:bCs/>
          <w:sz w:val="27"/>
          <w:szCs w:val="27"/>
          <w:lang w:val="es-ES_tradnl"/>
        </w:rPr>
      </w:pPr>
    </w:p>
    <w:p w14:paraId="309356D4" w14:textId="77777777" w:rsidR="00910D0C" w:rsidRPr="00393432" w:rsidRDefault="00910D0C" w:rsidP="00F50033">
      <w:pPr>
        <w:ind w:left="3969"/>
        <w:jc w:val="both"/>
        <w:rPr>
          <w:b/>
          <w:bCs/>
          <w:sz w:val="27"/>
          <w:szCs w:val="27"/>
          <w:lang w:val="es-ES_tradnl"/>
        </w:rPr>
      </w:pPr>
    </w:p>
    <w:p w14:paraId="64148AED" w14:textId="3F47474F" w:rsidR="00B35383" w:rsidRPr="00393432" w:rsidRDefault="00B35383" w:rsidP="00F50033">
      <w:pPr>
        <w:ind w:left="3969"/>
        <w:jc w:val="both"/>
        <w:rPr>
          <w:b/>
          <w:bCs/>
          <w:sz w:val="27"/>
          <w:szCs w:val="27"/>
        </w:rPr>
      </w:pPr>
      <w:r w:rsidRPr="00393432">
        <w:rPr>
          <w:b/>
          <w:bCs/>
          <w:sz w:val="27"/>
          <w:szCs w:val="27"/>
        </w:rPr>
        <w:t xml:space="preserve">Lic. </w:t>
      </w:r>
      <w:r w:rsidR="003767E3" w:rsidRPr="00393432">
        <w:rPr>
          <w:b/>
          <w:bCs/>
          <w:sz w:val="27"/>
          <w:szCs w:val="27"/>
        </w:rPr>
        <w:t xml:space="preserve">Ricardo Calderón Fernández </w:t>
      </w:r>
      <w:r w:rsidRPr="00393432">
        <w:rPr>
          <w:b/>
          <w:bCs/>
          <w:sz w:val="27"/>
          <w:szCs w:val="27"/>
        </w:rPr>
        <w:t xml:space="preserve"> </w:t>
      </w:r>
    </w:p>
    <w:p w14:paraId="27F07517" w14:textId="24557BC4" w:rsidR="00424A7D" w:rsidRPr="00393432" w:rsidRDefault="00424A7D" w:rsidP="00F50033">
      <w:pPr>
        <w:keepNext/>
        <w:shd w:val="clear" w:color="auto" w:fill="FFFFFF"/>
        <w:ind w:left="3969"/>
        <w:jc w:val="both"/>
        <w:rPr>
          <w:b/>
          <w:bCs/>
          <w:sz w:val="27"/>
          <w:szCs w:val="27"/>
        </w:rPr>
      </w:pPr>
      <w:r w:rsidRPr="00393432">
        <w:rPr>
          <w:b/>
          <w:bCs/>
          <w:sz w:val="27"/>
          <w:szCs w:val="27"/>
        </w:rPr>
        <w:t>Prosecretari</w:t>
      </w:r>
      <w:r w:rsidR="003767E3" w:rsidRPr="00393432">
        <w:rPr>
          <w:b/>
          <w:bCs/>
          <w:sz w:val="27"/>
          <w:szCs w:val="27"/>
        </w:rPr>
        <w:t>o</w:t>
      </w:r>
      <w:r w:rsidRPr="00393432">
        <w:rPr>
          <w:b/>
          <w:bCs/>
          <w:sz w:val="27"/>
          <w:szCs w:val="27"/>
        </w:rPr>
        <w:t xml:space="preserve"> General </w:t>
      </w:r>
    </w:p>
    <w:p w14:paraId="4EC8CE78" w14:textId="77777777" w:rsidR="00424A7D" w:rsidRPr="00393432" w:rsidRDefault="00424A7D" w:rsidP="00F50033">
      <w:pPr>
        <w:shd w:val="clear" w:color="auto" w:fill="FFFFFF"/>
        <w:ind w:left="3969"/>
        <w:jc w:val="both"/>
        <w:rPr>
          <w:b/>
          <w:bCs/>
          <w:sz w:val="27"/>
          <w:szCs w:val="27"/>
        </w:rPr>
      </w:pPr>
      <w:r w:rsidRPr="00393432">
        <w:rPr>
          <w:b/>
          <w:bCs/>
          <w:sz w:val="27"/>
          <w:szCs w:val="27"/>
        </w:rPr>
        <w:t>Secretaría General de la Corte</w:t>
      </w:r>
    </w:p>
    <w:p w14:paraId="09EF6DE8" w14:textId="77777777" w:rsidR="00186ADE" w:rsidRPr="00393432" w:rsidRDefault="00186ADE" w:rsidP="00F50033">
      <w:pPr>
        <w:pStyle w:val="Ttulo51"/>
        <w:keepNext w:val="0"/>
        <w:tabs>
          <w:tab w:val="clear" w:pos="0"/>
        </w:tabs>
        <w:jc w:val="both"/>
        <w:rPr>
          <w:rFonts w:eastAsia="Times New Roman"/>
          <w:i w:val="0"/>
          <w:iCs w:val="0"/>
          <w:sz w:val="27"/>
          <w:szCs w:val="27"/>
          <w:u w:val="none"/>
          <w:shd w:val="clear" w:color="auto" w:fill="auto"/>
          <w:lang w:val="es-CR"/>
        </w:rPr>
      </w:pPr>
    </w:p>
    <w:p w14:paraId="4158140E" w14:textId="77777777" w:rsidR="009033DA" w:rsidRPr="00393432" w:rsidRDefault="00477DCD" w:rsidP="00F50033">
      <w:pPr>
        <w:pStyle w:val="Ttulo51"/>
        <w:keepNext w:val="0"/>
        <w:tabs>
          <w:tab w:val="clear" w:pos="0"/>
        </w:tabs>
        <w:ind w:left="4248"/>
        <w:jc w:val="both"/>
        <w:rPr>
          <w:rFonts w:eastAsia="Times New Roman"/>
          <w:i w:val="0"/>
          <w:iCs w:val="0"/>
          <w:sz w:val="27"/>
          <w:szCs w:val="27"/>
          <w:u w:val="none"/>
          <w:shd w:val="clear" w:color="auto" w:fill="auto"/>
          <w:lang w:val="es-CR"/>
        </w:rPr>
      </w:pPr>
      <w:r w:rsidRPr="00393432">
        <w:rPr>
          <w:rFonts w:eastAsia="Times New Roman"/>
          <w:i w:val="0"/>
          <w:iCs w:val="0"/>
          <w:sz w:val="27"/>
          <w:szCs w:val="27"/>
          <w:u w:val="none"/>
          <w:shd w:val="clear" w:color="auto" w:fill="auto"/>
          <w:lang w:val="es-CR"/>
        </w:rPr>
        <w:t xml:space="preserve"> </w:t>
      </w:r>
    </w:p>
    <w:p w14:paraId="718A6FED" w14:textId="24F78857" w:rsidR="00721AEE" w:rsidRPr="00393432" w:rsidRDefault="003F65EE" w:rsidP="00F50033">
      <w:pPr>
        <w:jc w:val="both"/>
        <w:rPr>
          <w:sz w:val="27"/>
          <w:szCs w:val="27"/>
        </w:rPr>
      </w:pPr>
      <w:proofErr w:type="spellStart"/>
      <w:r w:rsidRPr="00393432">
        <w:rPr>
          <w:sz w:val="27"/>
          <w:szCs w:val="27"/>
        </w:rPr>
        <w:t>C</w:t>
      </w:r>
      <w:r w:rsidR="00B46B14" w:rsidRPr="00393432">
        <w:rPr>
          <w:sz w:val="27"/>
          <w:szCs w:val="27"/>
        </w:rPr>
        <w:t>c</w:t>
      </w:r>
      <w:proofErr w:type="spellEnd"/>
      <w:r w:rsidR="0029216A" w:rsidRPr="00393432">
        <w:rPr>
          <w:sz w:val="27"/>
          <w:szCs w:val="27"/>
        </w:rPr>
        <w:t>:</w:t>
      </w:r>
    </w:p>
    <w:p w14:paraId="679F35CA" w14:textId="77777777" w:rsidR="00F50033" w:rsidRPr="00393432" w:rsidRDefault="00F50033" w:rsidP="00F50033">
      <w:pPr>
        <w:ind w:left="708"/>
        <w:jc w:val="both"/>
        <w:rPr>
          <w:bCs/>
          <w:sz w:val="27"/>
          <w:szCs w:val="27"/>
        </w:rPr>
      </w:pPr>
      <w:r w:rsidRPr="00393432">
        <w:rPr>
          <w:bCs/>
          <w:sz w:val="27"/>
          <w:szCs w:val="27"/>
        </w:rPr>
        <w:t>Comisión de la Jurisdicción Civil</w:t>
      </w:r>
    </w:p>
    <w:p w14:paraId="540A9EE4" w14:textId="77777777" w:rsidR="00F50033" w:rsidRPr="00393432" w:rsidRDefault="00F50033" w:rsidP="00F50033">
      <w:pPr>
        <w:ind w:left="708"/>
        <w:jc w:val="both"/>
        <w:rPr>
          <w:sz w:val="27"/>
          <w:szCs w:val="27"/>
        </w:rPr>
      </w:pPr>
      <w:r w:rsidRPr="00393432">
        <w:rPr>
          <w:sz w:val="27"/>
          <w:szCs w:val="27"/>
        </w:rPr>
        <w:t>Juzgado de Cobro del Segundo Circuito Judicial de Alajuela</w:t>
      </w:r>
    </w:p>
    <w:p w14:paraId="367E7DB3" w14:textId="77777777" w:rsidR="00F50033" w:rsidRPr="00393432" w:rsidRDefault="00F50033" w:rsidP="00F50033">
      <w:pPr>
        <w:ind w:left="708"/>
        <w:jc w:val="both"/>
        <w:rPr>
          <w:sz w:val="27"/>
          <w:szCs w:val="27"/>
        </w:rPr>
      </w:pPr>
      <w:r w:rsidRPr="00393432">
        <w:rPr>
          <w:sz w:val="27"/>
          <w:szCs w:val="27"/>
        </w:rPr>
        <w:t>Juzgado Civil del Segundo Circuito Judicial de Alajuela</w:t>
      </w:r>
    </w:p>
    <w:p w14:paraId="5A95D0E0" w14:textId="77777777" w:rsidR="00F50033" w:rsidRPr="00393432" w:rsidRDefault="00F50033" w:rsidP="00F50033">
      <w:pPr>
        <w:ind w:left="708"/>
        <w:jc w:val="both"/>
        <w:rPr>
          <w:bCs/>
          <w:sz w:val="27"/>
          <w:szCs w:val="27"/>
        </w:rPr>
      </w:pPr>
      <w:r w:rsidRPr="00393432">
        <w:rPr>
          <w:sz w:val="27"/>
          <w:szCs w:val="27"/>
        </w:rPr>
        <w:t>Dirección de Gestión Humana</w:t>
      </w:r>
    </w:p>
    <w:p w14:paraId="2CDB7873" w14:textId="31879DEF" w:rsidR="00F50033" w:rsidRPr="00393432" w:rsidRDefault="00F50033" w:rsidP="00F50033">
      <w:pPr>
        <w:ind w:left="708"/>
        <w:jc w:val="both"/>
        <w:rPr>
          <w:bCs/>
          <w:sz w:val="27"/>
          <w:szCs w:val="27"/>
        </w:rPr>
      </w:pPr>
      <w:r w:rsidRPr="00393432">
        <w:rPr>
          <w:bCs/>
          <w:sz w:val="27"/>
          <w:szCs w:val="27"/>
        </w:rPr>
        <w:t>Contraloría de Servicios del Segundo Circuito Judicial de Alajuela</w:t>
      </w:r>
    </w:p>
    <w:p w14:paraId="2DA912F2" w14:textId="51D1663E" w:rsidR="00F50033" w:rsidRPr="00393432" w:rsidRDefault="00F50033" w:rsidP="00F50033">
      <w:pPr>
        <w:ind w:left="708"/>
        <w:jc w:val="both"/>
        <w:rPr>
          <w:sz w:val="27"/>
          <w:szCs w:val="27"/>
        </w:rPr>
      </w:pPr>
      <w:r w:rsidRPr="00393432">
        <w:rPr>
          <w:sz w:val="27"/>
          <w:szCs w:val="27"/>
        </w:rPr>
        <w:t>Centro de Apoyo, Coordinación y Mejoramiento de la Función Jurisdiccional</w:t>
      </w:r>
    </w:p>
    <w:p w14:paraId="38D42C38" w14:textId="77777777" w:rsidR="00F50033" w:rsidRPr="00393432" w:rsidRDefault="00F50033" w:rsidP="00F50033">
      <w:pPr>
        <w:ind w:left="708"/>
        <w:jc w:val="both"/>
        <w:rPr>
          <w:sz w:val="27"/>
          <w:szCs w:val="27"/>
        </w:rPr>
      </w:pPr>
      <w:r w:rsidRPr="00393432">
        <w:rPr>
          <w:sz w:val="27"/>
          <w:szCs w:val="27"/>
        </w:rPr>
        <w:t>Consejo de Administración del Segundo Circuito Judicial de Alajuela</w:t>
      </w:r>
    </w:p>
    <w:p w14:paraId="4A489C5D" w14:textId="2F7BED39" w:rsidR="00F50033" w:rsidRPr="00393432" w:rsidRDefault="00F50033" w:rsidP="00F50033">
      <w:pPr>
        <w:ind w:left="708"/>
        <w:jc w:val="both"/>
        <w:rPr>
          <w:sz w:val="27"/>
          <w:szCs w:val="27"/>
        </w:rPr>
      </w:pPr>
      <w:r w:rsidRPr="00393432">
        <w:rPr>
          <w:sz w:val="27"/>
          <w:szCs w:val="27"/>
        </w:rPr>
        <w:t>Administración Regional del Segundo Circuito Judicial de Alajuela</w:t>
      </w:r>
    </w:p>
    <w:p w14:paraId="67312262" w14:textId="407B160A" w:rsidR="0029216A" w:rsidRPr="00393432" w:rsidRDefault="0029216A" w:rsidP="00F50033">
      <w:pPr>
        <w:autoSpaceDE w:val="0"/>
        <w:autoSpaceDN w:val="0"/>
        <w:adjustRightInd w:val="0"/>
        <w:ind w:left="708"/>
        <w:jc w:val="both"/>
        <w:rPr>
          <w:b/>
          <w:bCs/>
          <w:sz w:val="27"/>
          <w:szCs w:val="27"/>
        </w:rPr>
      </w:pPr>
      <w:r w:rsidRPr="00393432">
        <w:rPr>
          <w:sz w:val="27"/>
          <w:szCs w:val="27"/>
        </w:rPr>
        <w:t xml:space="preserve">Diligencias / </w:t>
      </w:r>
      <w:proofErr w:type="spellStart"/>
      <w:r w:rsidRPr="00393432">
        <w:rPr>
          <w:sz w:val="27"/>
          <w:szCs w:val="27"/>
        </w:rPr>
        <w:t>Refs</w:t>
      </w:r>
      <w:proofErr w:type="spellEnd"/>
      <w:r w:rsidRPr="00393432">
        <w:rPr>
          <w:sz w:val="27"/>
          <w:szCs w:val="27"/>
        </w:rPr>
        <w:t>: (</w:t>
      </w:r>
      <w:r w:rsidR="005B2B6C" w:rsidRPr="00393432">
        <w:rPr>
          <w:b/>
          <w:bCs/>
          <w:sz w:val="27"/>
          <w:szCs w:val="27"/>
        </w:rPr>
        <w:t>11859-2021 / 8225-2022</w:t>
      </w:r>
      <w:r w:rsidRPr="00393432">
        <w:rPr>
          <w:sz w:val="27"/>
          <w:szCs w:val="27"/>
        </w:rPr>
        <w:t xml:space="preserve">) </w:t>
      </w:r>
    </w:p>
    <w:p w14:paraId="34DFEF30" w14:textId="525DA09E" w:rsidR="009F45D2" w:rsidRPr="00393432" w:rsidRDefault="00FF0677" w:rsidP="00F50033">
      <w:pPr>
        <w:ind w:left="708"/>
        <w:jc w:val="both"/>
        <w:rPr>
          <w:b/>
          <w:sz w:val="27"/>
          <w:szCs w:val="27"/>
          <w:shd w:val="clear" w:color="auto" w:fill="FFFFFF"/>
          <w:lang w:val="es-ES_tradnl"/>
        </w:rPr>
      </w:pPr>
      <w:r w:rsidRPr="00393432">
        <w:rPr>
          <w:b/>
          <w:sz w:val="27"/>
          <w:szCs w:val="27"/>
          <w:shd w:val="clear" w:color="auto" w:fill="FFFFFF"/>
          <w:lang w:val="es-ES_tradnl"/>
        </w:rPr>
        <w:t>ediazo</w:t>
      </w:r>
    </w:p>
    <w:sectPr w:rsidR="009F45D2" w:rsidRPr="00393432" w:rsidSect="007A440D">
      <w:headerReference w:type="even" r:id="rId21"/>
      <w:headerReference w:type="default" r:id="rId22"/>
      <w:footerReference w:type="even" r:id="rId23"/>
      <w:footerReference w:type="default" r:id="rId24"/>
      <w:headerReference w:type="first" r:id="rId25"/>
      <w:footerReference w:type="first" r:id="rId26"/>
      <w:footnotePr>
        <w:pos w:val="beneathText"/>
      </w:footnotePr>
      <w:pgSz w:w="12240" w:h="15840"/>
      <w:pgMar w:top="1843"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F22BB" w14:textId="77777777" w:rsidR="00ED33FA" w:rsidRDefault="00ED33FA">
      <w:r>
        <w:separator/>
      </w:r>
    </w:p>
  </w:endnote>
  <w:endnote w:type="continuationSeparator" w:id="0">
    <w:p w14:paraId="618BC5DA" w14:textId="77777777" w:rsidR="00ED33FA" w:rsidRDefault="00ED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MS Minch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altName w:val="Georgia"/>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65B23" w14:textId="77777777" w:rsidR="005B2B6C" w:rsidRDefault="005B2B6C" w:rsidP="006E3A0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4822F128" w14:textId="77777777" w:rsidR="005B2B6C" w:rsidRDefault="005B2B6C" w:rsidP="006E3A0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424BE" w14:textId="77777777" w:rsidR="005B2B6C" w:rsidRDefault="005B2B6C">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7DDC8" w14:textId="77777777" w:rsidR="005B2B6C" w:rsidRDefault="005B2B6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050B2" w14:textId="77777777" w:rsidR="005B2B6C" w:rsidRDefault="005B2B6C" w:rsidP="006E3A08">
    <w:pPr>
      <w:pStyle w:val="Piedepgina"/>
      <w:framePr w:wrap="auto" w:vAnchor="text" w:hAnchor="margin" w:xAlign="right" w:y="1"/>
      <w:rPr>
        <w:rStyle w:val="Nmerodepgina"/>
      </w:rPr>
    </w:pPr>
  </w:p>
  <w:p w14:paraId="71D4AB41" w14:textId="77777777" w:rsidR="005B2B6C" w:rsidRDefault="005B2B6C" w:rsidP="006E3A08">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0881E" w14:textId="77777777" w:rsidR="005B2B6C" w:rsidRDefault="005B2B6C">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C96D" w14:textId="77777777" w:rsidR="008962F8" w:rsidRDefault="008962F8">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B5E5D" w14:textId="77777777" w:rsidR="00186ADE" w:rsidRDefault="008962F8">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2295-3008</w:t>
    </w:r>
    <w:r w:rsidR="006870D9">
      <w:rPr>
        <w:rFonts w:ascii="Times New Roman" w:hAnsi="Times New Roman" w:cs="Times New Roman"/>
        <w:b/>
        <w:sz w:val="16"/>
        <w:szCs w:val="16"/>
        <w:u w:val="none"/>
        <w:lang w:val="es-ES_tradnl"/>
      </w:rPr>
      <w:t xml:space="preserve"> //</w:t>
    </w:r>
    <w:r w:rsidR="00186ADE">
      <w:rPr>
        <w:rFonts w:ascii="Times New Roman" w:hAnsi="Times New Roman" w:cs="Times New Roman"/>
        <w:b/>
        <w:sz w:val="16"/>
        <w:szCs w:val="16"/>
        <w:u w:val="none"/>
        <w:lang w:val="es-ES_tradnl"/>
      </w:rPr>
      <w:t xml:space="preserve"> 2295-3711</w:t>
    </w:r>
    <w:r w:rsidR="00186ADE">
      <w:rPr>
        <w:rFonts w:ascii="Times New Roman" w:hAnsi="Times New Roman" w:cs="Times New Roman"/>
        <w:b/>
        <w:sz w:val="16"/>
        <w:szCs w:val="16"/>
        <w:u w:val="none"/>
        <w:lang w:val="es-ES_tradnl"/>
      </w:rPr>
      <w:tab/>
      <w:t xml:space="preserve"> Correo: </w:t>
    </w:r>
    <w:hyperlink r:id="rId1" w:history="1">
      <w:r w:rsidR="00186ADE">
        <w:rPr>
          <w:rStyle w:val="Hipervnculo"/>
          <w:rFonts w:ascii="Times New Roman" w:hAnsi="Times New Roman"/>
        </w:rPr>
        <w:t>secrecorte@poder-judicial.go.cr</w:t>
      </w:r>
    </w:hyperlink>
    <w:r w:rsidR="00186ADE">
      <w:rPr>
        <w:rFonts w:ascii="Times New Roman" w:hAnsi="Times New Roman" w:cs="Times New Roman"/>
        <w:b/>
        <w:sz w:val="16"/>
        <w:szCs w:val="16"/>
        <w:u w:val="none"/>
        <w:lang w:val="es-ES_tradnl"/>
      </w:rPr>
      <w:t xml:space="preserve"> Fax: (506) 2295-3706 </w:t>
    </w:r>
    <w:proofErr w:type="spellStart"/>
    <w:r w:rsidR="00186ADE">
      <w:rPr>
        <w:rFonts w:ascii="Times New Roman" w:hAnsi="Times New Roman" w:cs="Times New Roman"/>
        <w:b/>
        <w:sz w:val="16"/>
        <w:szCs w:val="16"/>
        <w:u w:val="none"/>
        <w:lang w:val="es-ES_tradnl"/>
      </w:rPr>
      <w:t>Apdo</w:t>
    </w:r>
    <w:proofErr w:type="spellEnd"/>
    <w:r w:rsidR="00186ADE">
      <w:rPr>
        <w:rFonts w:ascii="Times New Roman" w:hAnsi="Times New Roman" w:cs="Times New Roman"/>
        <w:b/>
        <w:sz w:val="16"/>
        <w:szCs w:val="16"/>
        <w:u w:val="none"/>
        <w:lang w:val="es-ES_tradnl"/>
      </w:rPr>
      <w:t>: 1-1003 San José</w:t>
    </w:r>
  </w:p>
  <w:p w14:paraId="06DFDD92"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5543DDF7" w14:textId="77777777" w:rsidR="00186ADE" w:rsidRDefault="0083189D">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A476DB">
      <w:rPr>
        <w:b/>
        <w:noProof/>
        <w:sz w:val="16"/>
        <w:szCs w:val="16"/>
        <w:lang w:val="es-CR"/>
      </w:rPr>
      <w:t>1</w:t>
    </w:r>
    <w:r>
      <w:rPr>
        <w:b/>
        <w:sz w:val="16"/>
        <w:szCs w:val="16"/>
        <w:lang w:val="es-C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14FAE" w14:textId="77777777" w:rsidR="008962F8" w:rsidRDefault="008962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56470" w14:textId="77777777" w:rsidR="00ED33FA" w:rsidRDefault="00ED33FA">
      <w:r>
        <w:separator/>
      </w:r>
    </w:p>
  </w:footnote>
  <w:footnote w:type="continuationSeparator" w:id="0">
    <w:p w14:paraId="2103DDAC" w14:textId="77777777" w:rsidR="00ED33FA" w:rsidRDefault="00ED33FA">
      <w:r>
        <w:continuationSeparator/>
      </w:r>
    </w:p>
  </w:footnote>
  <w:footnote w:id="1">
    <w:p w14:paraId="7B33B8D2" w14:textId="77777777" w:rsidR="005B2B6C" w:rsidRDefault="005B2B6C" w:rsidP="005B2B6C">
      <w:pPr>
        <w:pStyle w:val="Textonotapie"/>
        <w:jc w:val="both"/>
      </w:pPr>
      <w:r>
        <w:rPr>
          <w:rStyle w:val="Refdenotaalpie"/>
        </w:rPr>
        <w:footnoteRef/>
      </w:r>
      <w:r>
        <w:t xml:space="preserve"> </w:t>
      </w:r>
      <w:r w:rsidRPr="00D178A4">
        <w:t>Se</w:t>
      </w:r>
      <w:r>
        <w:t xml:space="preserve"> crean plan de trabajo con personal supernumerario </w:t>
      </w:r>
      <w:r w:rsidRPr="00525DA0">
        <w:t>para la tramitación de expedientes (escritos) con el fin que el personal técnico</w:t>
      </w:r>
      <w:r>
        <w:t xml:space="preserve"> de la oficina</w:t>
      </w:r>
      <w:r w:rsidRPr="00525DA0">
        <w:t xml:space="preserve"> se dedique dos días por persona técnica a la revisión de depósitos judiciales</w:t>
      </w:r>
      <w:r>
        <w:t>, por lo cual la persona técnica cajera se dedica</w:t>
      </w:r>
      <w:r w:rsidRPr="00D178A4">
        <w:t xml:space="preserve"> únicamente a realizar giros.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419AB" w14:textId="019A549B" w:rsidR="005B2B6C" w:rsidRDefault="005B2B6C">
    <w:pPr>
      <w:pStyle w:val="Encabezado"/>
    </w:pPr>
  </w:p>
  <w:p w14:paraId="71415B5D" w14:textId="77777777" w:rsidR="005B2B6C" w:rsidRDefault="005B2B6C" w:rsidP="005B2B6C">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9776" behindDoc="1" locked="0" layoutInCell="1" allowOverlap="1" wp14:anchorId="02E9D933" wp14:editId="603E225D">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40CB5" w14:textId="77777777" w:rsidR="005B2B6C" w:rsidRDefault="005B2B6C" w:rsidP="005B2B6C">
                          <w:pPr>
                            <w:ind w:right="3"/>
                          </w:pPr>
                          <w:r>
                            <w:rPr>
                              <w:noProof/>
                              <w:lang w:eastAsia="es-ES"/>
                            </w:rPr>
                            <w:drawing>
                              <wp:inline distT="0" distB="0" distL="0" distR="0" wp14:anchorId="1D15D616" wp14:editId="69C2CD0D">
                                <wp:extent cx="594360" cy="66294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E9D933" id="_x0000_t202" coordsize="21600,21600" o:spt="202" path="m,l,21600r21600,l21600,xe">
              <v:stroke joinstyle="miter"/>
              <v:path gradientshapeok="t" o:connecttype="rect"/>
            </v:shapetype>
            <v:shape id="Text Box 1" o:spid="_x0000_s1026" type="#_x0000_t202" style="position:absolute;margin-left:0;margin-top:-28.2pt;width:48.45pt;height:52.2pt;z-index:-251656704;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" stroked="f">
              <v:textbox style="mso-fit-shape-to-text:t" inset="0,0,0,0">
                <w:txbxContent>
                  <w:p w14:paraId="14E40CB5" w14:textId="77777777" w:rsidR="005B2B6C" w:rsidRDefault="005B2B6C" w:rsidP="005B2B6C">
                    <w:pPr>
                      <w:ind w:right="3"/>
                    </w:pPr>
                    <w:r>
                      <w:rPr>
                        <w:noProof/>
                        <w:lang w:eastAsia="es-ES"/>
                      </w:rPr>
                      <w:drawing>
                        <wp:inline distT="0" distB="0" distL="0" distR="0" wp14:anchorId="1D15D616" wp14:editId="69C2CD0D">
                          <wp:extent cx="594360" cy="66294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Pr>
        <w:rFonts w:cs="Times New Roman"/>
        <w:u w:val="none"/>
        <w:shd w:val="clear" w:color="auto" w:fill="auto"/>
      </w:rPr>
      <w:t xml:space="preserve">                    </w:t>
    </w:r>
    <w:r>
      <w:rPr>
        <w:rFonts w:ascii="Times New Roman" w:hAnsi="Times New Roman" w:cs="Times New Roman"/>
        <w:b/>
        <w:i/>
        <w:u w:val="none"/>
        <w:shd w:val="clear" w:color="auto" w:fill="auto"/>
        <w:lang w:val="es-CR"/>
      </w:rPr>
      <w:t>Corte Suprema de Justicia</w:t>
    </w:r>
  </w:p>
  <w:p w14:paraId="735AF159" w14:textId="77777777" w:rsidR="005B2B6C" w:rsidRDefault="005B2B6C" w:rsidP="005B2B6C">
    <w:pPr>
      <w:rPr>
        <w:b/>
        <w:bCs/>
        <w:i/>
        <w:iCs/>
        <w:lang w:val="es-ES_tradnl"/>
      </w:rPr>
    </w:pPr>
    <w:r>
      <w:rPr>
        <w:b/>
        <w:bCs/>
        <w:i/>
        <w:iCs/>
        <w:lang w:val="es-ES_tradnl"/>
      </w:rPr>
      <w:t xml:space="preserve">                           Secretaría General</w:t>
    </w:r>
  </w:p>
  <w:p w14:paraId="18AC73E3" w14:textId="2AE67A13" w:rsidR="005B2B6C" w:rsidRDefault="005B2B6C">
    <w:pPr>
      <w:pStyle w:val="Encabezado"/>
    </w:pPr>
  </w:p>
  <w:p w14:paraId="3A714417" w14:textId="264DF794" w:rsidR="005B2B6C" w:rsidRDefault="005B2B6C">
    <w:pPr>
      <w:pStyle w:val="Encabezado"/>
    </w:pPr>
  </w:p>
  <w:p w14:paraId="181FBEB6" w14:textId="77777777" w:rsidR="005B2B6C" w:rsidRDefault="005B2B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1D5AE" w14:textId="77777777" w:rsidR="005B2B6C" w:rsidRDefault="005B2B6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50F12" w14:textId="77777777" w:rsidR="005B2B6C" w:rsidRPr="003C7778" w:rsidRDefault="005B2B6C" w:rsidP="006E3A08">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B88F3" w14:textId="77777777" w:rsidR="005B2B6C" w:rsidRDefault="005B2B6C">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195E1" w14:textId="77777777" w:rsidR="008962F8" w:rsidRDefault="008962F8">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71F8D" w14:textId="23008476" w:rsidR="00186ADE" w:rsidRDefault="00830D64">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723B22C5" wp14:editId="5784F6E5">
              <wp:simplePos x="0" y="0"/>
              <wp:positionH relativeFrom="column">
                <wp:posOffset>0</wp:posOffset>
              </wp:positionH>
              <wp:positionV relativeFrom="paragraph">
                <wp:posOffset>-358140</wp:posOffset>
              </wp:positionV>
              <wp:extent cx="615315" cy="66294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1D73A" w14:textId="77777777" w:rsidR="00186ADE" w:rsidRDefault="00621217" w:rsidP="00186ADE">
                          <w:pPr>
                            <w:ind w:right="3"/>
                          </w:pPr>
                          <w:r>
                            <w:rPr>
                              <w:noProof/>
                              <w:lang w:eastAsia="es-ES"/>
                            </w:rPr>
                            <w:drawing>
                              <wp:inline distT="0" distB="0" distL="0" distR="0" wp14:anchorId="57223539" wp14:editId="5660A9AB">
                                <wp:extent cx="594360" cy="66294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3B22C5" id="_x0000_t202" coordsize="21600,21600" o:spt="202" path="m,l,21600r21600,l21600,xe">
              <v:stroke joinstyle="miter"/>
              <v:path gradientshapeok="t" o:connecttype="rect"/>
            </v:shapetype>
            <v:shape id="_x0000_s1027"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" stroked="f">
              <v:textbox style="mso-fit-shape-to-text:t" inset="0,0,0,0">
                <w:txbxContent>
                  <w:p w14:paraId="61B1D73A" w14:textId="77777777" w:rsidR="00186ADE" w:rsidRDefault="00621217" w:rsidP="00186ADE">
                    <w:pPr>
                      <w:ind w:right="3"/>
                    </w:pPr>
                    <w:r>
                      <w:rPr>
                        <w:noProof/>
                        <w:lang w:eastAsia="es-ES"/>
                      </w:rPr>
                      <w:drawing>
                        <wp:inline distT="0" distB="0" distL="0" distR="0" wp14:anchorId="57223539" wp14:editId="5660A9AB">
                          <wp:extent cx="594360" cy="66294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2D624BC6" w14:textId="77777777" w:rsidR="00186ADE" w:rsidRDefault="00186ADE">
    <w:pPr>
      <w:rPr>
        <w:b/>
        <w:bCs/>
        <w:i/>
        <w:iCs/>
        <w:lang w:val="es-ES_tradnl"/>
      </w:rPr>
    </w:pPr>
    <w:r>
      <w:rPr>
        <w:b/>
        <w:bCs/>
        <w:i/>
        <w:iCs/>
        <w:lang w:val="es-ES_tradnl"/>
      </w:rPr>
      <w:t xml:space="preserve">                           Secretaría General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A68DC" w14:textId="77777777" w:rsidR="008962F8" w:rsidRDefault="008962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4E7E8A"/>
    <w:multiLevelType w:val="multilevel"/>
    <w:tmpl w:val="140A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9"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6DE1057"/>
    <w:multiLevelType w:val="hybridMultilevel"/>
    <w:tmpl w:val="FA2C003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1"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14" w15:restartNumberingAfterBreak="0">
    <w:nsid w:val="4C9C4DA7"/>
    <w:multiLevelType w:val="hybridMultilevel"/>
    <w:tmpl w:val="C670297A"/>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17"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18"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19" w15:restartNumberingAfterBreak="0">
    <w:nsid w:val="5C78302B"/>
    <w:multiLevelType w:val="hybridMultilevel"/>
    <w:tmpl w:val="20BE7A52"/>
    <w:lvl w:ilvl="0" w:tplc="140A0015">
      <w:start w:val="2"/>
      <w:numFmt w:val="upp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0"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2"/>
  </w:num>
  <w:num w:numId="3">
    <w:abstractNumId w:val="6"/>
  </w:num>
  <w:num w:numId="4">
    <w:abstractNumId w:val="20"/>
  </w:num>
  <w:num w:numId="5">
    <w:abstractNumId w:val="1"/>
  </w:num>
  <w:num w:numId="6">
    <w:abstractNumId w:val="13"/>
  </w:num>
  <w:num w:numId="7">
    <w:abstractNumId w:val="0"/>
  </w:num>
  <w:num w:numId="8">
    <w:abstractNumId w:val="11"/>
  </w:num>
  <w:num w:numId="9">
    <w:abstractNumId w:val="14"/>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2361"/>
    <w:rsid w:val="000062F8"/>
    <w:rsid w:val="000063E5"/>
    <w:rsid w:val="000070A3"/>
    <w:rsid w:val="000071F8"/>
    <w:rsid w:val="000074A7"/>
    <w:rsid w:val="00007773"/>
    <w:rsid w:val="00010A10"/>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313FD"/>
    <w:rsid w:val="000324DA"/>
    <w:rsid w:val="00033191"/>
    <w:rsid w:val="00035408"/>
    <w:rsid w:val="000414BA"/>
    <w:rsid w:val="00041C7B"/>
    <w:rsid w:val="00042B83"/>
    <w:rsid w:val="00044C29"/>
    <w:rsid w:val="00045504"/>
    <w:rsid w:val="000472F0"/>
    <w:rsid w:val="00051CBC"/>
    <w:rsid w:val="000550D7"/>
    <w:rsid w:val="000555B6"/>
    <w:rsid w:val="000559A1"/>
    <w:rsid w:val="00055D86"/>
    <w:rsid w:val="000564C7"/>
    <w:rsid w:val="0005673C"/>
    <w:rsid w:val="0005727A"/>
    <w:rsid w:val="00057AE3"/>
    <w:rsid w:val="00060E6F"/>
    <w:rsid w:val="00060F8D"/>
    <w:rsid w:val="00063144"/>
    <w:rsid w:val="00065108"/>
    <w:rsid w:val="00066A0E"/>
    <w:rsid w:val="00070A7A"/>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A16C0"/>
    <w:rsid w:val="000A1B5C"/>
    <w:rsid w:val="000A330B"/>
    <w:rsid w:val="000A6438"/>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E0AC6"/>
    <w:rsid w:val="000E21F0"/>
    <w:rsid w:val="000E296A"/>
    <w:rsid w:val="000E3307"/>
    <w:rsid w:val="000E4B24"/>
    <w:rsid w:val="000E525D"/>
    <w:rsid w:val="000E5915"/>
    <w:rsid w:val="000E71C5"/>
    <w:rsid w:val="000E7298"/>
    <w:rsid w:val="000F3332"/>
    <w:rsid w:val="000F33BD"/>
    <w:rsid w:val="000F533D"/>
    <w:rsid w:val="000F5F15"/>
    <w:rsid w:val="000F64A2"/>
    <w:rsid w:val="0010072B"/>
    <w:rsid w:val="001009D6"/>
    <w:rsid w:val="001019B6"/>
    <w:rsid w:val="00102490"/>
    <w:rsid w:val="001032FE"/>
    <w:rsid w:val="001035B8"/>
    <w:rsid w:val="0010591B"/>
    <w:rsid w:val="00107AEF"/>
    <w:rsid w:val="00110896"/>
    <w:rsid w:val="0011398B"/>
    <w:rsid w:val="0011737B"/>
    <w:rsid w:val="00117E2F"/>
    <w:rsid w:val="001211BA"/>
    <w:rsid w:val="0012123C"/>
    <w:rsid w:val="00121DE3"/>
    <w:rsid w:val="00122371"/>
    <w:rsid w:val="00127480"/>
    <w:rsid w:val="00130249"/>
    <w:rsid w:val="00133F58"/>
    <w:rsid w:val="00136432"/>
    <w:rsid w:val="00136BD4"/>
    <w:rsid w:val="00141EF8"/>
    <w:rsid w:val="00143A3F"/>
    <w:rsid w:val="001506AD"/>
    <w:rsid w:val="001540CA"/>
    <w:rsid w:val="001542B1"/>
    <w:rsid w:val="0015687D"/>
    <w:rsid w:val="00157D8D"/>
    <w:rsid w:val="00157EED"/>
    <w:rsid w:val="001613B4"/>
    <w:rsid w:val="00161FFC"/>
    <w:rsid w:val="00162F82"/>
    <w:rsid w:val="001640C5"/>
    <w:rsid w:val="001647C1"/>
    <w:rsid w:val="00165019"/>
    <w:rsid w:val="00165925"/>
    <w:rsid w:val="00171860"/>
    <w:rsid w:val="00173191"/>
    <w:rsid w:val="00173412"/>
    <w:rsid w:val="00174F69"/>
    <w:rsid w:val="001750B0"/>
    <w:rsid w:val="001766CF"/>
    <w:rsid w:val="0017715E"/>
    <w:rsid w:val="00177E74"/>
    <w:rsid w:val="00180422"/>
    <w:rsid w:val="00181591"/>
    <w:rsid w:val="00181C47"/>
    <w:rsid w:val="00186ADE"/>
    <w:rsid w:val="0019247F"/>
    <w:rsid w:val="001A174B"/>
    <w:rsid w:val="001A43FE"/>
    <w:rsid w:val="001A63E0"/>
    <w:rsid w:val="001A6DCB"/>
    <w:rsid w:val="001B577D"/>
    <w:rsid w:val="001B7697"/>
    <w:rsid w:val="001C0C6E"/>
    <w:rsid w:val="001C25C1"/>
    <w:rsid w:val="001C2813"/>
    <w:rsid w:val="001C3300"/>
    <w:rsid w:val="001C348B"/>
    <w:rsid w:val="001C3D6F"/>
    <w:rsid w:val="001D4E31"/>
    <w:rsid w:val="001E4C4F"/>
    <w:rsid w:val="001E4D6B"/>
    <w:rsid w:val="001E4E04"/>
    <w:rsid w:val="001E5171"/>
    <w:rsid w:val="001E53B9"/>
    <w:rsid w:val="001E5E1A"/>
    <w:rsid w:val="001E68CC"/>
    <w:rsid w:val="001F224B"/>
    <w:rsid w:val="001F66BE"/>
    <w:rsid w:val="002000CE"/>
    <w:rsid w:val="00201F57"/>
    <w:rsid w:val="00202F02"/>
    <w:rsid w:val="00203836"/>
    <w:rsid w:val="002059C1"/>
    <w:rsid w:val="00212ED2"/>
    <w:rsid w:val="00213F67"/>
    <w:rsid w:val="002202F0"/>
    <w:rsid w:val="00221033"/>
    <w:rsid w:val="002239B1"/>
    <w:rsid w:val="00223D57"/>
    <w:rsid w:val="00223DA9"/>
    <w:rsid w:val="00226FC6"/>
    <w:rsid w:val="0022798C"/>
    <w:rsid w:val="0023001B"/>
    <w:rsid w:val="00230498"/>
    <w:rsid w:val="002342E3"/>
    <w:rsid w:val="00234DD9"/>
    <w:rsid w:val="00235BB2"/>
    <w:rsid w:val="00242E5F"/>
    <w:rsid w:val="00245D74"/>
    <w:rsid w:val="0025018C"/>
    <w:rsid w:val="00254A9E"/>
    <w:rsid w:val="00255680"/>
    <w:rsid w:val="00255C02"/>
    <w:rsid w:val="002571E8"/>
    <w:rsid w:val="00261397"/>
    <w:rsid w:val="002630F8"/>
    <w:rsid w:val="002640A5"/>
    <w:rsid w:val="0026613F"/>
    <w:rsid w:val="00271B36"/>
    <w:rsid w:val="002735AD"/>
    <w:rsid w:val="002736BF"/>
    <w:rsid w:val="00277457"/>
    <w:rsid w:val="00277850"/>
    <w:rsid w:val="00280947"/>
    <w:rsid w:val="002832D4"/>
    <w:rsid w:val="00283611"/>
    <w:rsid w:val="00284F8A"/>
    <w:rsid w:val="00286F08"/>
    <w:rsid w:val="00290267"/>
    <w:rsid w:val="0029216A"/>
    <w:rsid w:val="00293DEF"/>
    <w:rsid w:val="00294863"/>
    <w:rsid w:val="00295759"/>
    <w:rsid w:val="002A24CA"/>
    <w:rsid w:val="002A6286"/>
    <w:rsid w:val="002A72A4"/>
    <w:rsid w:val="002B0089"/>
    <w:rsid w:val="002B2482"/>
    <w:rsid w:val="002B4078"/>
    <w:rsid w:val="002B4FAC"/>
    <w:rsid w:val="002B5738"/>
    <w:rsid w:val="002C2AB8"/>
    <w:rsid w:val="002D02B8"/>
    <w:rsid w:val="002D04D5"/>
    <w:rsid w:val="002D3D71"/>
    <w:rsid w:val="002D7BED"/>
    <w:rsid w:val="002E0EC3"/>
    <w:rsid w:val="002E5433"/>
    <w:rsid w:val="002E6C1A"/>
    <w:rsid w:val="002E7CB8"/>
    <w:rsid w:val="002F0FC1"/>
    <w:rsid w:val="002F5A60"/>
    <w:rsid w:val="002F7286"/>
    <w:rsid w:val="002F7F5B"/>
    <w:rsid w:val="003011FF"/>
    <w:rsid w:val="0030278D"/>
    <w:rsid w:val="003031F3"/>
    <w:rsid w:val="003032E0"/>
    <w:rsid w:val="00303342"/>
    <w:rsid w:val="00304B27"/>
    <w:rsid w:val="0030761A"/>
    <w:rsid w:val="00311814"/>
    <w:rsid w:val="00312F5D"/>
    <w:rsid w:val="00313956"/>
    <w:rsid w:val="00315E14"/>
    <w:rsid w:val="00316EAA"/>
    <w:rsid w:val="00317980"/>
    <w:rsid w:val="00320860"/>
    <w:rsid w:val="00324E8D"/>
    <w:rsid w:val="00325E9D"/>
    <w:rsid w:val="0032634B"/>
    <w:rsid w:val="00327582"/>
    <w:rsid w:val="00327CE2"/>
    <w:rsid w:val="00330900"/>
    <w:rsid w:val="003318B5"/>
    <w:rsid w:val="00331C62"/>
    <w:rsid w:val="00335E22"/>
    <w:rsid w:val="00342756"/>
    <w:rsid w:val="0034382A"/>
    <w:rsid w:val="003438E5"/>
    <w:rsid w:val="0034587C"/>
    <w:rsid w:val="00347438"/>
    <w:rsid w:val="00347A60"/>
    <w:rsid w:val="003547C3"/>
    <w:rsid w:val="00355E6F"/>
    <w:rsid w:val="00357197"/>
    <w:rsid w:val="00364E01"/>
    <w:rsid w:val="00366149"/>
    <w:rsid w:val="00370CF7"/>
    <w:rsid w:val="003715EF"/>
    <w:rsid w:val="003717D6"/>
    <w:rsid w:val="003767E3"/>
    <w:rsid w:val="003809AA"/>
    <w:rsid w:val="003811C0"/>
    <w:rsid w:val="00381A26"/>
    <w:rsid w:val="00383FB1"/>
    <w:rsid w:val="00384DB7"/>
    <w:rsid w:val="00384E86"/>
    <w:rsid w:val="00384F7D"/>
    <w:rsid w:val="00385C26"/>
    <w:rsid w:val="003876FA"/>
    <w:rsid w:val="003909F9"/>
    <w:rsid w:val="00393432"/>
    <w:rsid w:val="003945E5"/>
    <w:rsid w:val="0039529E"/>
    <w:rsid w:val="003979F1"/>
    <w:rsid w:val="003A2112"/>
    <w:rsid w:val="003A2752"/>
    <w:rsid w:val="003A305D"/>
    <w:rsid w:val="003B023D"/>
    <w:rsid w:val="003B0A5B"/>
    <w:rsid w:val="003B1773"/>
    <w:rsid w:val="003B24FE"/>
    <w:rsid w:val="003B2689"/>
    <w:rsid w:val="003B2983"/>
    <w:rsid w:val="003B7827"/>
    <w:rsid w:val="003C1B14"/>
    <w:rsid w:val="003C1F66"/>
    <w:rsid w:val="003C2151"/>
    <w:rsid w:val="003C2987"/>
    <w:rsid w:val="003C6FE1"/>
    <w:rsid w:val="003D4A18"/>
    <w:rsid w:val="003D4C7A"/>
    <w:rsid w:val="003D5B44"/>
    <w:rsid w:val="003D6337"/>
    <w:rsid w:val="003E2507"/>
    <w:rsid w:val="003E2D68"/>
    <w:rsid w:val="003E3EED"/>
    <w:rsid w:val="003E5F4D"/>
    <w:rsid w:val="003E6E93"/>
    <w:rsid w:val="003F12A9"/>
    <w:rsid w:val="003F12D3"/>
    <w:rsid w:val="003F1F3D"/>
    <w:rsid w:val="003F4783"/>
    <w:rsid w:val="003F65EE"/>
    <w:rsid w:val="003F7EDE"/>
    <w:rsid w:val="00404533"/>
    <w:rsid w:val="004065DF"/>
    <w:rsid w:val="00412BB4"/>
    <w:rsid w:val="00413808"/>
    <w:rsid w:val="00413877"/>
    <w:rsid w:val="00413D20"/>
    <w:rsid w:val="00414BD1"/>
    <w:rsid w:val="004158AD"/>
    <w:rsid w:val="0041639D"/>
    <w:rsid w:val="00420020"/>
    <w:rsid w:val="00420CF7"/>
    <w:rsid w:val="00424A7D"/>
    <w:rsid w:val="0042598D"/>
    <w:rsid w:val="004260F1"/>
    <w:rsid w:val="004329E2"/>
    <w:rsid w:val="004342DB"/>
    <w:rsid w:val="004346F6"/>
    <w:rsid w:val="004367BD"/>
    <w:rsid w:val="00436A9B"/>
    <w:rsid w:val="0044336E"/>
    <w:rsid w:val="004455D3"/>
    <w:rsid w:val="00447B5E"/>
    <w:rsid w:val="00452B12"/>
    <w:rsid w:val="004537C7"/>
    <w:rsid w:val="0045506E"/>
    <w:rsid w:val="004554B8"/>
    <w:rsid w:val="00455672"/>
    <w:rsid w:val="00456410"/>
    <w:rsid w:val="00463333"/>
    <w:rsid w:val="00463881"/>
    <w:rsid w:val="004661EE"/>
    <w:rsid w:val="00470B0D"/>
    <w:rsid w:val="00470D47"/>
    <w:rsid w:val="0047332E"/>
    <w:rsid w:val="004752F4"/>
    <w:rsid w:val="004776AF"/>
    <w:rsid w:val="00477DCD"/>
    <w:rsid w:val="004813E0"/>
    <w:rsid w:val="004826D1"/>
    <w:rsid w:val="00483465"/>
    <w:rsid w:val="00484095"/>
    <w:rsid w:val="00484481"/>
    <w:rsid w:val="0048635C"/>
    <w:rsid w:val="0048715B"/>
    <w:rsid w:val="00487C30"/>
    <w:rsid w:val="004A0C44"/>
    <w:rsid w:val="004A1312"/>
    <w:rsid w:val="004A3A74"/>
    <w:rsid w:val="004A42B8"/>
    <w:rsid w:val="004A4ABE"/>
    <w:rsid w:val="004A53EA"/>
    <w:rsid w:val="004B5CB2"/>
    <w:rsid w:val="004B7C24"/>
    <w:rsid w:val="004C1D1B"/>
    <w:rsid w:val="004C2194"/>
    <w:rsid w:val="004C2684"/>
    <w:rsid w:val="004C38B2"/>
    <w:rsid w:val="004C48D1"/>
    <w:rsid w:val="004C58DD"/>
    <w:rsid w:val="004C5950"/>
    <w:rsid w:val="004C65F3"/>
    <w:rsid w:val="004D2236"/>
    <w:rsid w:val="004D2E19"/>
    <w:rsid w:val="004D3A51"/>
    <w:rsid w:val="004D5A9B"/>
    <w:rsid w:val="004D6743"/>
    <w:rsid w:val="004E0F9F"/>
    <w:rsid w:val="004E1825"/>
    <w:rsid w:val="004F5989"/>
    <w:rsid w:val="005008D6"/>
    <w:rsid w:val="00500FE2"/>
    <w:rsid w:val="0050238D"/>
    <w:rsid w:val="00505576"/>
    <w:rsid w:val="00506924"/>
    <w:rsid w:val="005164B8"/>
    <w:rsid w:val="0052204B"/>
    <w:rsid w:val="00526690"/>
    <w:rsid w:val="00526774"/>
    <w:rsid w:val="005279AA"/>
    <w:rsid w:val="00530912"/>
    <w:rsid w:val="00531F4D"/>
    <w:rsid w:val="00532569"/>
    <w:rsid w:val="00543EFD"/>
    <w:rsid w:val="00546120"/>
    <w:rsid w:val="005475CC"/>
    <w:rsid w:val="005534FD"/>
    <w:rsid w:val="00554CBD"/>
    <w:rsid w:val="0055533A"/>
    <w:rsid w:val="00555B9F"/>
    <w:rsid w:val="00561024"/>
    <w:rsid w:val="005647D9"/>
    <w:rsid w:val="00564ABE"/>
    <w:rsid w:val="00564E8F"/>
    <w:rsid w:val="00565A22"/>
    <w:rsid w:val="0057194E"/>
    <w:rsid w:val="005750BD"/>
    <w:rsid w:val="0057579F"/>
    <w:rsid w:val="00575DC8"/>
    <w:rsid w:val="005826E2"/>
    <w:rsid w:val="00582DEA"/>
    <w:rsid w:val="00583423"/>
    <w:rsid w:val="005850CB"/>
    <w:rsid w:val="005854FE"/>
    <w:rsid w:val="005858DF"/>
    <w:rsid w:val="0059249B"/>
    <w:rsid w:val="005969C6"/>
    <w:rsid w:val="00597480"/>
    <w:rsid w:val="005A0EFF"/>
    <w:rsid w:val="005A70CB"/>
    <w:rsid w:val="005B0A34"/>
    <w:rsid w:val="005B20CC"/>
    <w:rsid w:val="005B2B6C"/>
    <w:rsid w:val="005B2EF0"/>
    <w:rsid w:val="005B4256"/>
    <w:rsid w:val="005B4433"/>
    <w:rsid w:val="005B4BE5"/>
    <w:rsid w:val="005B4C2B"/>
    <w:rsid w:val="005B5825"/>
    <w:rsid w:val="005B773F"/>
    <w:rsid w:val="005B7E88"/>
    <w:rsid w:val="005B7EAE"/>
    <w:rsid w:val="005C2A23"/>
    <w:rsid w:val="005C2E66"/>
    <w:rsid w:val="005C7BBC"/>
    <w:rsid w:val="005D04F5"/>
    <w:rsid w:val="005D2042"/>
    <w:rsid w:val="005D34D0"/>
    <w:rsid w:val="005D4EB3"/>
    <w:rsid w:val="005D6F70"/>
    <w:rsid w:val="005E01F2"/>
    <w:rsid w:val="005E0CBA"/>
    <w:rsid w:val="005E1A9D"/>
    <w:rsid w:val="005E2FAC"/>
    <w:rsid w:val="005E60DF"/>
    <w:rsid w:val="005F404D"/>
    <w:rsid w:val="006001FF"/>
    <w:rsid w:val="006034DF"/>
    <w:rsid w:val="006042AB"/>
    <w:rsid w:val="00606FAD"/>
    <w:rsid w:val="0061455B"/>
    <w:rsid w:val="006145E5"/>
    <w:rsid w:val="00614F8E"/>
    <w:rsid w:val="0061504A"/>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E57"/>
    <w:rsid w:val="00655E99"/>
    <w:rsid w:val="0065644F"/>
    <w:rsid w:val="006578E0"/>
    <w:rsid w:val="00662200"/>
    <w:rsid w:val="0066356A"/>
    <w:rsid w:val="0066595E"/>
    <w:rsid w:val="00667F65"/>
    <w:rsid w:val="00675D90"/>
    <w:rsid w:val="00677782"/>
    <w:rsid w:val="00680056"/>
    <w:rsid w:val="00680D5A"/>
    <w:rsid w:val="006868D6"/>
    <w:rsid w:val="006870D9"/>
    <w:rsid w:val="00692485"/>
    <w:rsid w:val="006938BD"/>
    <w:rsid w:val="00694993"/>
    <w:rsid w:val="00694CD1"/>
    <w:rsid w:val="0069543D"/>
    <w:rsid w:val="006A280C"/>
    <w:rsid w:val="006A3390"/>
    <w:rsid w:val="006A48F1"/>
    <w:rsid w:val="006A49E9"/>
    <w:rsid w:val="006A4A14"/>
    <w:rsid w:val="006A694A"/>
    <w:rsid w:val="006B0961"/>
    <w:rsid w:val="006B1200"/>
    <w:rsid w:val="006B21DC"/>
    <w:rsid w:val="006B338C"/>
    <w:rsid w:val="006B4924"/>
    <w:rsid w:val="006C0E9C"/>
    <w:rsid w:val="006C1B14"/>
    <w:rsid w:val="006C1B74"/>
    <w:rsid w:val="006C2D46"/>
    <w:rsid w:val="006C5C16"/>
    <w:rsid w:val="006D034B"/>
    <w:rsid w:val="006D2394"/>
    <w:rsid w:val="006D59A2"/>
    <w:rsid w:val="006D7B38"/>
    <w:rsid w:val="006E3055"/>
    <w:rsid w:val="006E3AC8"/>
    <w:rsid w:val="006F1102"/>
    <w:rsid w:val="006F1C5C"/>
    <w:rsid w:val="006F5931"/>
    <w:rsid w:val="006F5DA1"/>
    <w:rsid w:val="006F65D3"/>
    <w:rsid w:val="00700A14"/>
    <w:rsid w:val="00700DF8"/>
    <w:rsid w:val="00701685"/>
    <w:rsid w:val="007127E5"/>
    <w:rsid w:val="00721AEE"/>
    <w:rsid w:val="00723545"/>
    <w:rsid w:val="00725E31"/>
    <w:rsid w:val="0072667E"/>
    <w:rsid w:val="00732F11"/>
    <w:rsid w:val="007331DC"/>
    <w:rsid w:val="00735606"/>
    <w:rsid w:val="00735891"/>
    <w:rsid w:val="007410C4"/>
    <w:rsid w:val="00741726"/>
    <w:rsid w:val="00743436"/>
    <w:rsid w:val="00746B73"/>
    <w:rsid w:val="00746FCB"/>
    <w:rsid w:val="00751CA6"/>
    <w:rsid w:val="007603C3"/>
    <w:rsid w:val="00760DC3"/>
    <w:rsid w:val="00760DD1"/>
    <w:rsid w:val="0076119D"/>
    <w:rsid w:val="00766183"/>
    <w:rsid w:val="00766A8E"/>
    <w:rsid w:val="007734FA"/>
    <w:rsid w:val="007743E2"/>
    <w:rsid w:val="00776581"/>
    <w:rsid w:val="007813E4"/>
    <w:rsid w:val="00781728"/>
    <w:rsid w:val="0078296F"/>
    <w:rsid w:val="00783386"/>
    <w:rsid w:val="00784111"/>
    <w:rsid w:val="00784471"/>
    <w:rsid w:val="00792BA3"/>
    <w:rsid w:val="00792DA2"/>
    <w:rsid w:val="00792E37"/>
    <w:rsid w:val="007A19CA"/>
    <w:rsid w:val="007A228E"/>
    <w:rsid w:val="007A440D"/>
    <w:rsid w:val="007A675C"/>
    <w:rsid w:val="007B0144"/>
    <w:rsid w:val="007B1410"/>
    <w:rsid w:val="007B6A5F"/>
    <w:rsid w:val="007C23B8"/>
    <w:rsid w:val="007C293D"/>
    <w:rsid w:val="007D1719"/>
    <w:rsid w:val="007D2788"/>
    <w:rsid w:val="007D3904"/>
    <w:rsid w:val="007D50EF"/>
    <w:rsid w:val="007E31EA"/>
    <w:rsid w:val="007E41B8"/>
    <w:rsid w:val="007E6B83"/>
    <w:rsid w:val="007E7719"/>
    <w:rsid w:val="007E7C11"/>
    <w:rsid w:val="007F063B"/>
    <w:rsid w:val="007F3E4C"/>
    <w:rsid w:val="008013B3"/>
    <w:rsid w:val="00805019"/>
    <w:rsid w:val="0080721A"/>
    <w:rsid w:val="0080759F"/>
    <w:rsid w:val="00812BB1"/>
    <w:rsid w:val="00813867"/>
    <w:rsid w:val="008143AB"/>
    <w:rsid w:val="00816AE2"/>
    <w:rsid w:val="008172AE"/>
    <w:rsid w:val="00824D7A"/>
    <w:rsid w:val="00826B64"/>
    <w:rsid w:val="00830D64"/>
    <w:rsid w:val="0083189D"/>
    <w:rsid w:val="008331D5"/>
    <w:rsid w:val="008341B8"/>
    <w:rsid w:val="00840A6F"/>
    <w:rsid w:val="00840BF5"/>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817"/>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62F8"/>
    <w:rsid w:val="008A1FF1"/>
    <w:rsid w:val="008A2B82"/>
    <w:rsid w:val="008A38AD"/>
    <w:rsid w:val="008A5BB3"/>
    <w:rsid w:val="008A6CB6"/>
    <w:rsid w:val="008A7019"/>
    <w:rsid w:val="008B0BC5"/>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2083"/>
    <w:rsid w:val="008D5C57"/>
    <w:rsid w:val="008D627B"/>
    <w:rsid w:val="008D70A5"/>
    <w:rsid w:val="008D7663"/>
    <w:rsid w:val="008E2EA3"/>
    <w:rsid w:val="008E3561"/>
    <w:rsid w:val="008E54B8"/>
    <w:rsid w:val="008E5561"/>
    <w:rsid w:val="008E6B09"/>
    <w:rsid w:val="008E763A"/>
    <w:rsid w:val="008F1384"/>
    <w:rsid w:val="008F24EB"/>
    <w:rsid w:val="008F2C73"/>
    <w:rsid w:val="008F2E44"/>
    <w:rsid w:val="008F7BD8"/>
    <w:rsid w:val="00901BAD"/>
    <w:rsid w:val="00901F61"/>
    <w:rsid w:val="009033DA"/>
    <w:rsid w:val="0091084F"/>
    <w:rsid w:val="00910D0C"/>
    <w:rsid w:val="00912119"/>
    <w:rsid w:val="00916994"/>
    <w:rsid w:val="00920158"/>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758F"/>
    <w:rsid w:val="00950671"/>
    <w:rsid w:val="00951B93"/>
    <w:rsid w:val="00953964"/>
    <w:rsid w:val="00954B12"/>
    <w:rsid w:val="009561F5"/>
    <w:rsid w:val="00961CB7"/>
    <w:rsid w:val="0096609A"/>
    <w:rsid w:val="00966AEF"/>
    <w:rsid w:val="00970370"/>
    <w:rsid w:val="00971E77"/>
    <w:rsid w:val="0097422E"/>
    <w:rsid w:val="009805D8"/>
    <w:rsid w:val="0098148C"/>
    <w:rsid w:val="00982C7B"/>
    <w:rsid w:val="0098398C"/>
    <w:rsid w:val="00986367"/>
    <w:rsid w:val="00987E15"/>
    <w:rsid w:val="00990C50"/>
    <w:rsid w:val="009911B0"/>
    <w:rsid w:val="00995028"/>
    <w:rsid w:val="009A0AC8"/>
    <w:rsid w:val="009A0E7D"/>
    <w:rsid w:val="009A3C5E"/>
    <w:rsid w:val="009A56DD"/>
    <w:rsid w:val="009B11AE"/>
    <w:rsid w:val="009B2788"/>
    <w:rsid w:val="009B2B00"/>
    <w:rsid w:val="009B41CB"/>
    <w:rsid w:val="009B47D9"/>
    <w:rsid w:val="009B4F33"/>
    <w:rsid w:val="009B5A71"/>
    <w:rsid w:val="009B5B34"/>
    <w:rsid w:val="009B6311"/>
    <w:rsid w:val="009C01D3"/>
    <w:rsid w:val="009C35B5"/>
    <w:rsid w:val="009C56F7"/>
    <w:rsid w:val="009C68BE"/>
    <w:rsid w:val="009C6F5C"/>
    <w:rsid w:val="009D6F50"/>
    <w:rsid w:val="009D76B9"/>
    <w:rsid w:val="009D77C4"/>
    <w:rsid w:val="009E4022"/>
    <w:rsid w:val="009E7621"/>
    <w:rsid w:val="009E776B"/>
    <w:rsid w:val="009F2900"/>
    <w:rsid w:val="009F45D2"/>
    <w:rsid w:val="009F5941"/>
    <w:rsid w:val="009F69A3"/>
    <w:rsid w:val="009F69C0"/>
    <w:rsid w:val="009F6CB1"/>
    <w:rsid w:val="009F774B"/>
    <w:rsid w:val="00A00279"/>
    <w:rsid w:val="00A00DCF"/>
    <w:rsid w:val="00A01DAB"/>
    <w:rsid w:val="00A02D73"/>
    <w:rsid w:val="00A04410"/>
    <w:rsid w:val="00A06D6D"/>
    <w:rsid w:val="00A100C2"/>
    <w:rsid w:val="00A10F41"/>
    <w:rsid w:val="00A20BEE"/>
    <w:rsid w:val="00A22C29"/>
    <w:rsid w:val="00A31821"/>
    <w:rsid w:val="00A415BA"/>
    <w:rsid w:val="00A44A32"/>
    <w:rsid w:val="00A45B9F"/>
    <w:rsid w:val="00A4668C"/>
    <w:rsid w:val="00A474D6"/>
    <w:rsid w:val="00A476DB"/>
    <w:rsid w:val="00A512C8"/>
    <w:rsid w:val="00A54113"/>
    <w:rsid w:val="00A54638"/>
    <w:rsid w:val="00A54F7D"/>
    <w:rsid w:val="00A56248"/>
    <w:rsid w:val="00A5705E"/>
    <w:rsid w:val="00A60354"/>
    <w:rsid w:val="00A61076"/>
    <w:rsid w:val="00A629BB"/>
    <w:rsid w:val="00A64692"/>
    <w:rsid w:val="00A64A1F"/>
    <w:rsid w:val="00A656A0"/>
    <w:rsid w:val="00A66A2F"/>
    <w:rsid w:val="00A6753F"/>
    <w:rsid w:val="00A70E73"/>
    <w:rsid w:val="00A71EB3"/>
    <w:rsid w:val="00A74E52"/>
    <w:rsid w:val="00A75478"/>
    <w:rsid w:val="00A812E2"/>
    <w:rsid w:val="00A815D2"/>
    <w:rsid w:val="00A81A13"/>
    <w:rsid w:val="00A852CB"/>
    <w:rsid w:val="00A91464"/>
    <w:rsid w:val="00A94CF4"/>
    <w:rsid w:val="00A963D1"/>
    <w:rsid w:val="00A9668F"/>
    <w:rsid w:val="00A979FF"/>
    <w:rsid w:val="00AA1E86"/>
    <w:rsid w:val="00AA3202"/>
    <w:rsid w:val="00AA5BE0"/>
    <w:rsid w:val="00AB144B"/>
    <w:rsid w:val="00AB2E62"/>
    <w:rsid w:val="00AB66F7"/>
    <w:rsid w:val="00AB73C6"/>
    <w:rsid w:val="00AC2BF6"/>
    <w:rsid w:val="00AC5A51"/>
    <w:rsid w:val="00AC7BEB"/>
    <w:rsid w:val="00AD0601"/>
    <w:rsid w:val="00AD1B4D"/>
    <w:rsid w:val="00AD22D4"/>
    <w:rsid w:val="00AD241A"/>
    <w:rsid w:val="00AD60A3"/>
    <w:rsid w:val="00AD67C6"/>
    <w:rsid w:val="00AD738D"/>
    <w:rsid w:val="00AD7613"/>
    <w:rsid w:val="00AD7CEF"/>
    <w:rsid w:val="00AE0F77"/>
    <w:rsid w:val="00AE2F5C"/>
    <w:rsid w:val="00AE32D4"/>
    <w:rsid w:val="00AE66E1"/>
    <w:rsid w:val="00AE77B6"/>
    <w:rsid w:val="00AF0F90"/>
    <w:rsid w:val="00AF21FD"/>
    <w:rsid w:val="00AF263F"/>
    <w:rsid w:val="00AF2AAE"/>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7955"/>
    <w:rsid w:val="00B30AFE"/>
    <w:rsid w:val="00B31DFC"/>
    <w:rsid w:val="00B32331"/>
    <w:rsid w:val="00B32E43"/>
    <w:rsid w:val="00B32E8E"/>
    <w:rsid w:val="00B33DA5"/>
    <w:rsid w:val="00B34196"/>
    <w:rsid w:val="00B342A0"/>
    <w:rsid w:val="00B35383"/>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D2F49"/>
    <w:rsid w:val="00BD481D"/>
    <w:rsid w:val="00BD601E"/>
    <w:rsid w:val="00BE0E9D"/>
    <w:rsid w:val="00BE3EDC"/>
    <w:rsid w:val="00BE3FE8"/>
    <w:rsid w:val="00BE4638"/>
    <w:rsid w:val="00BF0016"/>
    <w:rsid w:val="00BF1FF5"/>
    <w:rsid w:val="00BF285F"/>
    <w:rsid w:val="00BF4AC6"/>
    <w:rsid w:val="00BF65BF"/>
    <w:rsid w:val="00C03B29"/>
    <w:rsid w:val="00C04251"/>
    <w:rsid w:val="00C05A4D"/>
    <w:rsid w:val="00C07399"/>
    <w:rsid w:val="00C10D31"/>
    <w:rsid w:val="00C11293"/>
    <w:rsid w:val="00C1300A"/>
    <w:rsid w:val="00C148EA"/>
    <w:rsid w:val="00C155EB"/>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8068F"/>
    <w:rsid w:val="00C81BD6"/>
    <w:rsid w:val="00C82676"/>
    <w:rsid w:val="00C82B77"/>
    <w:rsid w:val="00C83D93"/>
    <w:rsid w:val="00C85883"/>
    <w:rsid w:val="00C8738D"/>
    <w:rsid w:val="00C96A3D"/>
    <w:rsid w:val="00CA00C9"/>
    <w:rsid w:val="00CA34BC"/>
    <w:rsid w:val="00CA72D8"/>
    <w:rsid w:val="00CB2160"/>
    <w:rsid w:val="00CB255E"/>
    <w:rsid w:val="00CB4A9A"/>
    <w:rsid w:val="00CB6AEB"/>
    <w:rsid w:val="00CC4555"/>
    <w:rsid w:val="00CC49D9"/>
    <w:rsid w:val="00CC61E3"/>
    <w:rsid w:val="00CD128B"/>
    <w:rsid w:val="00CD1D73"/>
    <w:rsid w:val="00CD7E69"/>
    <w:rsid w:val="00CE2FB4"/>
    <w:rsid w:val="00CE5E6E"/>
    <w:rsid w:val="00CE63F0"/>
    <w:rsid w:val="00CE7A74"/>
    <w:rsid w:val="00CE7F7F"/>
    <w:rsid w:val="00CF25F4"/>
    <w:rsid w:val="00CF339B"/>
    <w:rsid w:val="00CF7911"/>
    <w:rsid w:val="00D01ABD"/>
    <w:rsid w:val="00D02265"/>
    <w:rsid w:val="00D02DF0"/>
    <w:rsid w:val="00D139C4"/>
    <w:rsid w:val="00D13AC3"/>
    <w:rsid w:val="00D15F24"/>
    <w:rsid w:val="00D16A7F"/>
    <w:rsid w:val="00D17D82"/>
    <w:rsid w:val="00D22C4F"/>
    <w:rsid w:val="00D253A8"/>
    <w:rsid w:val="00D25FD3"/>
    <w:rsid w:val="00D30FE0"/>
    <w:rsid w:val="00D32702"/>
    <w:rsid w:val="00D3342F"/>
    <w:rsid w:val="00D35229"/>
    <w:rsid w:val="00D36F22"/>
    <w:rsid w:val="00D37C61"/>
    <w:rsid w:val="00D425F0"/>
    <w:rsid w:val="00D43AAC"/>
    <w:rsid w:val="00D51E0F"/>
    <w:rsid w:val="00D53711"/>
    <w:rsid w:val="00D53C91"/>
    <w:rsid w:val="00D55B72"/>
    <w:rsid w:val="00D563D1"/>
    <w:rsid w:val="00D6078F"/>
    <w:rsid w:val="00D60FA9"/>
    <w:rsid w:val="00D63646"/>
    <w:rsid w:val="00D66836"/>
    <w:rsid w:val="00D67A95"/>
    <w:rsid w:val="00D73744"/>
    <w:rsid w:val="00D77139"/>
    <w:rsid w:val="00D81A34"/>
    <w:rsid w:val="00D81F08"/>
    <w:rsid w:val="00D825E3"/>
    <w:rsid w:val="00D86BE7"/>
    <w:rsid w:val="00D922BB"/>
    <w:rsid w:val="00D930B6"/>
    <w:rsid w:val="00D939E7"/>
    <w:rsid w:val="00D93E61"/>
    <w:rsid w:val="00D969BA"/>
    <w:rsid w:val="00DA2A3B"/>
    <w:rsid w:val="00DA68B3"/>
    <w:rsid w:val="00DA6B0B"/>
    <w:rsid w:val="00DB662B"/>
    <w:rsid w:val="00DB749E"/>
    <w:rsid w:val="00DC33DB"/>
    <w:rsid w:val="00DC4E81"/>
    <w:rsid w:val="00DC5A7F"/>
    <w:rsid w:val="00DC76DA"/>
    <w:rsid w:val="00DD22C6"/>
    <w:rsid w:val="00DD5C37"/>
    <w:rsid w:val="00DD66AC"/>
    <w:rsid w:val="00DD7367"/>
    <w:rsid w:val="00DE0F6A"/>
    <w:rsid w:val="00DE4056"/>
    <w:rsid w:val="00DE4505"/>
    <w:rsid w:val="00DE4FA9"/>
    <w:rsid w:val="00DE726B"/>
    <w:rsid w:val="00DE74F4"/>
    <w:rsid w:val="00DF15E5"/>
    <w:rsid w:val="00DF1D18"/>
    <w:rsid w:val="00DF53A2"/>
    <w:rsid w:val="00DF6061"/>
    <w:rsid w:val="00DF6D74"/>
    <w:rsid w:val="00E033D0"/>
    <w:rsid w:val="00E0671C"/>
    <w:rsid w:val="00E12E6E"/>
    <w:rsid w:val="00E138D9"/>
    <w:rsid w:val="00E17F83"/>
    <w:rsid w:val="00E20380"/>
    <w:rsid w:val="00E207EC"/>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D81"/>
    <w:rsid w:val="00E57405"/>
    <w:rsid w:val="00E60A06"/>
    <w:rsid w:val="00E6149C"/>
    <w:rsid w:val="00E6394B"/>
    <w:rsid w:val="00E64066"/>
    <w:rsid w:val="00E71977"/>
    <w:rsid w:val="00E7263D"/>
    <w:rsid w:val="00E748D0"/>
    <w:rsid w:val="00E7681F"/>
    <w:rsid w:val="00E77BBE"/>
    <w:rsid w:val="00E77F5E"/>
    <w:rsid w:val="00E8000F"/>
    <w:rsid w:val="00E815A3"/>
    <w:rsid w:val="00E8254C"/>
    <w:rsid w:val="00E82A69"/>
    <w:rsid w:val="00E83FBA"/>
    <w:rsid w:val="00E845FE"/>
    <w:rsid w:val="00E90F1E"/>
    <w:rsid w:val="00E91054"/>
    <w:rsid w:val="00E9326A"/>
    <w:rsid w:val="00E93562"/>
    <w:rsid w:val="00E93C42"/>
    <w:rsid w:val="00E95F4F"/>
    <w:rsid w:val="00E966E1"/>
    <w:rsid w:val="00EA0219"/>
    <w:rsid w:val="00EA12C6"/>
    <w:rsid w:val="00EB04B0"/>
    <w:rsid w:val="00EB185A"/>
    <w:rsid w:val="00EB792F"/>
    <w:rsid w:val="00EC00E0"/>
    <w:rsid w:val="00EC10D9"/>
    <w:rsid w:val="00EC1B30"/>
    <w:rsid w:val="00EC342E"/>
    <w:rsid w:val="00EC373C"/>
    <w:rsid w:val="00EC4327"/>
    <w:rsid w:val="00ED0C24"/>
    <w:rsid w:val="00ED111C"/>
    <w:rsid w:val="00ED1476"/>
    <w:rsid w:val="00ED16C0"/>
    <w:rsid w:val="00ED33FA"/>
    <w:rsid w:val="00EE1805"/>
    <w:rsid w:val="00EE2AC6"/>
    <w:rsid w:val="00EE3F0B"/>
    <w:rsid w:val="00EE610B"/>
    <w:rsid w:val="00EF156F"/>
    <w:rsid w:val="00EF20EE"/>
    <w:rsid w:val="00EF48D2"/>
    <w:rsid w:val="00EF52CC"/>
    <w:rsid w:val="00EF7506"/>
    <w:rsid w:val="00F02703"/>
    <w:rsid w:val="00F075B3"/>
    <w:rsid w:val="00F11251"/>
    <w:rsid w:val="00F11866"/>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1077"/>
    <w:rsid w:val="00F43837"/>
    <w:rsid w:val="00F44566"/>
    <w:rsid w:val="00F45B53"/>
    <w:rsid w:val="00F50033"/>
    <w:rsid w:val="00F516A0"/>
    <w:rsid w:val="00F53F85"/>
    <w:rsid w:val="00F54016"/>
    <w:rsid w:val="00F551F1"/>
    <w:rsid w:val="00F555E7"/>
    <w:rsid w:val="00F5617D"/>
    <w:rsid w:val="00F565F9"/>
    <w:rsid w:val="00F57CCE"/>
    <w:rsid w:val="00F65165"/>
    <w:rsid w:val="00F66457"/>
    <w:rsid w:val="00F664B9"/>
    <w:rsid w:val="00F70FDC"/>
    <w:rsid w:val="00F718AA"/>
    <w:rsid w:val="00F721FF"/>
    <w:rsid w:val="00F7603A"/>
    <w:rsid w:val="00F8043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6C7E"/>
    <w:rsid w:val="00FB7B43"/>
    <w:rsid w:val="00FC1FFB"/>
    <w:rsid w:val="00FC64A9"/>
    <w:rsid w:val="00FD3058"/>
    <w:rsid w:val="00FD32B4"/>
    <w:rsid w:val="00FD6C8D"/>
    <w:rsid w:val="00FD6EC7"/>
    <w:rsid w:val="00FE1908"/>
    <w:rsid w:val="00FE24B0"/>
    <w:rsid w:val="00FF0677"/>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3A3C8"/>
  <w15:docId w15:val="{43E1D2DF-9A98-4698-8203-4D5739EE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361"/>
    <w:pPr>
      <w:suppressAutoHyphens/>
    </w:pPr>
    <w:rPr>
      <w:sz w:val="24"/>
      <w:szCs w:val="24"/>
      <w:lang w:eastAsia="ar-SA"/>
    </w:rPr>
  </w:style>
  <w:style w:type="paragraph" w:styleId="Ttulo1">
    <w:name w:val="heading 1"/>
    <w:aliases w:val="Título Principal"/>
    <w:basedOn w:val="Normal"/>
    <w:next w:val="Normal"/>
    <w:link w:val="Ttulo1Car"/>
    <w:qFormat/>
    <w:rsid w:val="00002361"/>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02361"/>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rsid w:val="00A70E73"/>
    <w:rPr>
      <w:rFonts w:ascii="Arial" w:hAnsi="Arial"/>
      <w:b/>
      <w:bCs/>
      <w:sz w:val="24"/>
      <w:szCs w:val="24"/>
      <w:u w:val="single"/>
      <w:lang w:eastAsia="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02361"/>
  </w:style>
  <w:style w:type="character" w:customStyle="1" w:styleId="WW-Absatz-Standardschriftart">
    <w:name w:val="WW-Absatz-Standardschriftart"/>
    <w:rsid w:val="00002361"/>
  </w:style>
  <w:style w:type="character" w:customStyle="1" w:styleId="WW-Absatz-Standardschriftart1">
    <w:name w:val="WW-Absatz-Standardschriftart1"/>
    <w:rsid w:val="00002361"/>
  </w:style>
  <w:style w:type="character" w:customStyle="1" w:styleId="WW-Absatz-Standardschriftart11">
    <w:name w:val="WW-Absatz-Standardschriftart11"/>
    <w:rsid w:val="00002361"/>
  </w:style>
  <w:style w:type="character" w:customStyle="1" w:styleId="WW-Absatz-Standardschriftart111">
    <w:name w:val="WW-Absatz-Standardschriftart111"/>
    <w:rsid w:val="00002361"/>
  </w:style>
  <w:style w:type="character" w:customStyle="1" w:styleId="WW-Absatz-Standardschriftart1111">
    <w:name w:val="WW-Absatz-Standardschriftart1111"/>
    <w:rsid w:val="00002361"/>
  </w:style>
  <w:style w:type="character" w:customStyle="1" w:styleId="WW-Absatz-Standardschriftart11111">
    <w:name w:val="WW-Absatz-Standardschriftart11111"/>
    <w:rsid w:val="00002361"/>
  </w:style>
  <w:style w:type="character" w:customStyle="1" w:styleId="WW-Absatz-Standardschriftart111111">
    <w:name w:val="WW-Absatz-Standardschriftart111111"/>
    <w:rsid w:val="00002361"/>
  </w:style>
  <w:style w:type="character" w:customStyle="1" w:styleId="WW-Absatz-Standardschriftart1111111">
    <w:name w:val="WW-Absatz-Standardschriftart1111111"/>
    <w:rsid w:val="00002361"/>
  </w:style>
  <w:style w:type="character" w:customStyle="1" w:styleId="WW-Absatz-Standardschriftart11111111">
    <w:name w:val="WW-Absatz-Standardschriftart11111111"/>
    <w:rsid w:val="00002361"/>
  </w:style>
  <w:style w:type="character" w:customStyle="1" w:styleId="WW-Absatz-Standardschriftart111111111">
    <w:name w:val="WW-Absatz-Standardschriftart111111111"/>
    <w:rsid w:val="00002361"/>
  </w:style>
  <w:style w:type="character" w:customStyle="1" w:styleId="WW-Absatz-Standardschriftart1111111111">
    <w:name w:val="WW-Absatz-Standardschriftart1111111111"/>
    <w:rsid w:val="00002361"/>
  </w:style>
  <w:style w:type="character" w:customStyle="1" w:styleId="WW-Absatz-Standardschriftart11111111111">
    <w:name w:val="WW-Absatz-Standardschriftart11111111111"/>
    <w:rsid w:val="00002361"/>
  </w:style>
  <w:style w:type="character" w:customStyle="1" w:styleId="WW-Absatz-Standardschriftart111111111111">
    <w:name w:val="WW-Absatz-Standardschriftart111111111111"/>
    <w:rsid w:val="00002361"/>
  </w:style>
  <w:style w:type="character" w:customStyle="1" w:styleId="WW-Absatz-Standardschriftart1111111111111">
    <w:name w:val="WW-Absatz-Standardschriftart1111111111111"/>
    <w:rsid w:val="00002361"/>
  </w:style>
  <w:style w:type="character" w:customStyle="1" w:styleId="WW-Absatz-Standardschriftart11111111111111">
    <w:name w:val="WW-Absatz-Standardschriftart11111111111111"/>
    <w:rsid w:val="00002361"/>
  </w:style>
  <w:style w:type="character" w:customStyle="1" w:styleId="WW-Absatz-Standardschriftart111111111111111">
    <w:name w:val="WW-Absatz-Standardschriftart111111111111111"/>
    <w:rsid w:val="00002361"/>
  </w:style>
  <w:style w:type="character" w:customStyle="1" w:styleId="WW-Absatz-Standardschriftart1111111111111111">
    <w:name w:val="WW-Absatz-Standardschriftart1111111111111111"/>
    <w:rsid w:val="00002361"/>
  </w:style>
  <w:style w:type="character" w:customStyle="1" w:styleId="WW-Absatz-Standardschriftart11111111111111111">
    <w:name w:val="WW-Absatz-Standardschriftart11111111111111111"/>
    <w:rsid w:val="00002361"/>
  </w:style>
  <w:style w:type="character" w:customStyle="1" w:styleId="WW-Absatz-Standardschriftart111111111111111111">
    <w:name w:val="WW-Absatz-Standardschriftart111111111111111111"/>
    <w:rsid w:val="00002361"/>
  </w:style>
  <w:style w:type="character" w:customStyle="1" w:styleId="WW-Absatz-Standardschriftart1111111111111111111">
    <w:name w:val="WW-Absatz-Standardschriftart1111111111111111111"/>
    <w:rsid w:val="00002361"/>
  </w:style>
  <w:style w:type="character" w:customStyle="1" w:styleId="WW-Absatz-Standardschriftart11111111111111111111">
    <w:name w:val="WW-Absatz-Standardschriftart11111111111111111111"/>
    <w:rsid w:val="00002361"/>
  </w:style>
  <w:style w:type="character" w:customStyle="1" w:styleId="WW-Absatz-Standardschriftart111111111111111111111">
    <w:name w:val="WW-Absatz-Standardschriftart111111111111111111111"/>
    <w:rsid w:val="00002361"/>
  </w:style>
  <w:style w:type="character" w:customStyle="1" w:styleId="WW-Absatz-Standardschriftart1111111111111111111111">
    <w:name w:val="WW-Absatz-Standardschriftart1111111111111111111111"/>
    <w:rsid w:val="00002361"/>
  </w:style>
  <w:style w:type="character" w:customStyle="1" w:styleId="WW-Absatz-Standardschriftart11111111111111111111111">
    <w:name w:val="WW-Absatz-Standardschriftart11111111111111111111111"/>
    <w:rsid w:val="00002361"/>
  </w:style>
  <w:style w:type="character" w:customStyle="1" w:styleId="WW-Absatz-Standardschriftart111111111111111111111111">
    <w:name w:val="WW-Absatz-Standardschriftart111111111111111111111111"/>
    <w:rsid w:val="00002361"/>
  </w:style>
  <w:style w:type="character" w:customStyle="1" w:styleId="WW-Absatz-Standardschriftart1111111111111111111111111">
    <w:name w:val="WW-Absatz-Standardschriftart1111111111111111111111111"/>
    <w:rsid w:val="00002361"/>
  </w:style>
  <w:style w:type="character" w:customStyle="1" w:styleId="WW-Absatz-Standardschriftart11111111111111111111111111">
    <w:name w:val="WW-Absatz-Standardschriftart11111111111111111111111111"/>
    <w:rsid w:val="00002361"/>
  </w:style>
  <w:style w:type="character" w:customStyle="1" w:styleId="WW-Absatz-Standardschriftart111111111111111111111111111">
    <w:name w:val="WW-Absatz-Standardschriftart111111111111111111111111111"/>
    <w:rsid w:val="00002361"/>
  </w:style>
  <w:style w:type="character" w:customStyle="1" w:styleId="WW-Absatz-Standardschriftart1111111111111111111111111111">
    <w:name w:val="WW-Absatz-Standardschriftart1111111111111111111111111111"/>
    <w:rsid w:val="00002361"/>
  </w:style>
  <w:style w:type="character" w:customStyle="1" w:styleId="WW-Absatz-Standardschriftart11111111111111111111111111111">
    <w:name w:val="WW-Absatz-Standardschriftart11111111111111111111111111111"/>
    <w:rsid w:val="00002361"/>
  </w:style>
  <w:style w:type="character" w:customStyle="1" w:styleId="WW-Absatz-Standardschriftart111111111111111111111111111111">
    <w:name w:val="WW-Absatz-Standardschriftart111111111111111111111111111111"/>
    <w:rsid w:val="00002361"/>
  </w:style>
  <w:style w:type="character" w:customStyle="1" w:styleId="WW-Absatz-Standardschriftart1111111111111111111111111111111">
    <w:name w:val="WW-Absatz-Standardschriftart1111111111111111111111111111111"/>
    <w:rsid w:val="00002361"/>
  </w:style>
  <w:style w:type="character" w:customStyle="1" w:styleId="WW-Absatz-Standardschriftart11111111111111111111111111111111">
    <w:name w:val="WW-Absatz-Standardschriftart11111111111111111111111111111111"/>
    <w:rsid w:val="00002361"/>
  </w:style>
  <w:style w:type="character" w:customStyle="1" w:styleId="WW-Absatz-Standardschriftart111111111111111111111111111111111">
    <w:name w:val="WW-Absatz-Standardschriftart111111111111111111111111111111111"/>
    <w:rsid w:val="00002361"/>
  </w:style>
  <w:style w:type="character" w:customStyle="1" w:styleId="WW-Absatz-Standardschriftart1111111111111111111111111111111111">
    <w:name w:val="WW-Absatz-Standardschriftart1111111111111111111111111111111111"/>
    <w:rsid w:val="00002361"/>
  </w:style>
  <w:style w:type="character" w:customStyle="1" w:styleId="WW-Absatz-Standardschriftart11111111111111111111111111111111111">
    <w:name w:val="WW-Absatz-Standardschriftart11111111111111111111111111111111111"/>
    <w:rsid w:val="00002361"/>
  </w:style>
  <w:style w:type="character" w:customStyle="1" w:styleId="WW-Absatz-Standardschriftart111111111111111111111111111111111111">
    <w:name w:val="WW-Absatz-Standardschriftart111111111111111111111111111111111111"/>
    <w:rsid w:val="00002361"/>
  </w:style>
  <w:style w:type="character" w:customStyle="1" w:styleId="WW-Absatz-Standardschriftart1111111111111111111111111111111111111">
    <w:name w:val="WW-Absatz-Standardschriftart1111111111111111111111111111111111111"/>
    <w:rsid w:val="00002361"/>
  </w:style>
  <w:style w:type="character" w:customStyle="1" w:styleId="WW-Absatz-Standardschriftart11111111111111111111111111111111111111">
    <w:name w:val="WW-Absatz-Standardschriftart11111111111111111111111111111111111111"/>
    <w:rsid w:val="00002361"/>
  </w:style>
  <w:style w:type="character" w:customStyle="1" w:styleId="WW-Absatz-Standardschriftart111111111111111111111111111111111111111">
    <w:name w:val="WW-Absatz-Standardschriftart111111111111111111111111111111111111111"/>
    <w:rsid w:val="00002361"/>
  </w:style>
  <w:style w:type="character" w:customStyle="1" w:styleId="WW-Absatz-Standardschriftart1111111111111111111111111111111111111111">
    <w:name w:val="WW-Absatz-Standardschriftart1111111111111111111111111111111111111111"/>
    <w:rsid w:val="00002361"/>
  </w:style>
  <w:style w:type="character" w:customStyle="1" w:styleId="WW-Absatz-Standardschriftart11111111111111111111111111111111111111111">
    <w:name w:val="WW-Absatz-Standardschriftart11111111111111111111111111111111111111111"/>
    <w:rsid w:val="00002361"/>
  </w:style>
  <w:style w:type="character" w:customStyle="1" w:styleId="WW-Absatz-Standardschriftart111111111111111111111111111111111111111111">
    <w:name w:val="WW-Absatz-Standardschriftart111111111111111111111111111111111111111111"/>
    <w:rsid w:val="00002361"/>
  </w:style>
  <w:style w:type="character" w:customStyle="1" w:styleId="WW-Absatz-Standardschriftart1111111111111111111111111111111111111111111">
    <w:name w:val="WW-Absatz-Standardschriftart1111111111111111111111111111111111111111111"/>
    <w:rsid w:val="00002361"/>
  </w:style>
  <w:style w:type="character" w:customStyle="1" w:styleId="WW-Absatz-Standardschriftart11111111111111111111111111111111111111111111">
    <w:name w:val="WW-Absatz-Standardschriftart11111111111111111111111111111111111111111111"/>
    <w:rsid w:val="00002361"/>
  </w:style>
  <w:style w:type="character" w:customStyle="1" w:styleId="WW-Absatz-Standardschriftart111111111111111111111111111111111111111111111">
    <w:name w:val="WW-Absatz-Standardschriftart111111111111111111111111111111111111111111111"/>
    <w:rsid w:val="00002361"/>
  </w:style>
  <w:style w:type="character" w:customStyle="1" w:styleId="WW-Absatz-Standardschriftart1111111111111111111111111111111111111111111111">
    <w:name w:val="WW-Absatz-Standardschriftart1111111111111111111111111111111111111111111111"/>
    <w:rsid w:val="00002361"/>
  </w:style>
  <w:style w:type="character" w:customStyle="1" w:styleId="WW-Absatz-Standardschriftart11111111111111111111111111111111111111111111111">
    <w:name w:val="WW-Absatz-Standardschriftart11111111111111111111111111111111111111111111111"/>
    <w:rsid w:val="00002361"/>
  </w:style>
  <w:style w:type="character" w:customStyle="1" w:styleId="WW-Absatz-Standardschriftart111111111111111111111111111111111111111111111111">
    <w:name w:val="WW-Absatz-Standardschriftart111111111111111111111111111111111111111111111111"/>
    <w:rsid w:val="00002361"/>
  </w:style>
  <w:style w:type="character" w:customStyle="1" w:styleId="WW-Absatz-Standardschriftart1111111111111111111111111111111111111111111111111">
    <w:name w:val="WW-Absatz-Standardschriftart1111111111111111111111111111111111111111111111111"/>
    <w:rsid w:val="00002361"/>
  </w:style>
  <w:style w:type="character" w:customStyle="1" w:styleId="WW-Absatz-Standardschriftart11111111111111111111111111111111111111111111111111">
    <w:name w:val="WW-Absatz-Standardschriftart11111111111111111111111111111111111111111111111111"/>
    <w:rsid w:val="00002361"/>
  </w:style>
  <w:style w:type="character" w:customStyle="1" w:styleId="WW-Absatz-Standardschriftart111111111111111111111111111111111111111111111111111">
    <w:name w:val="WW-Absatz-Standardschriftart111111111111111111111111111111111111111111111111111"/>
    <w:rsid w:val="00002361"/>
  </w:style>
  <w:style w:type="character" w:customStyle="1" w:styleId="WW-Absatz-Standardschriftart1111111111111111111111111111111111111111111111111111">
    <w:name w:val="WW-Absatz-Standardschriftart1111111111111111111111111111111111111111111111111111"/>
    <w:rsid w:val="00002361"/>
  </w:style>
  <w:style w:type="character" w:customStyle="1" w:styleId="WW-Absatz-Standardschriftart11111111111111111111111111111111111111111111111111111">
    <w:name w:val="WW-Absatz-Standardschriftart11111111111111111111111111111111111111111111111111111"/>
    <w:rsid w:val="00002361"/>
  </w:style>
  <w:style w:type="character" w:customStyle="1" w:styleId="WW-Absatz-Standardschriftart111111111111111111111111111111111111111111111111111111">
    <w:name w:val="WW-Absatz-Standardschriftart111111111111111111111111111111111111111111111111111111"/>
    <w:rsid w:val="00002361"/>
  </w:style>
  <w:style w:type="character" w:customStyle="1" w:styleId="WW-Absatz-Standardschriftart1111111111111111111111111111111111111111111111111111111">
    <w:name w:val="WW-Absatz-Standardschriftart1111111111111111111111111111111111111111111111111111111"/>
    <w:rsid w:val="00002361"/>
  </w:style>
  <w:style w:type="character" w:customStyle="1" w:styleId="WW-Absatz-Standardschriftart11111111111111111111111111111111111111111111111111111111">
    <w:name w:val="WW-Absatz-Standardschriftart11111111111111111111111111111111111111111111111111111111"/>
    <w:rsid w:val="00002361"/>
  </w:style>
  <w:style w:type="character" w:customStyle="1" w:styleId="WW-Absatz-Standardschriftart111111111111111111111111111111111111111111111111111111111">
    <w:name w:val="WW-Absatz-Standardschriftart111111111111111111111111111111111111111111111111111111111"/>
    <w:rsid w:val="00002361"/>
  </w:style>
  <w:style w:type="character" w:customStyle="1" w:styleId="WW-Absatz-Standardschriftart1111111111111111111111111111111111111111111111111111111111">
    <w:name w:val="WW-Absatz-Standardschriftart1111111111111111111111111111111111111111111111111111111111"/>
    <w:rsid w:val="00002361"/>
  </w:style>
  <w:style w:type="character" w:customStyle="1" w:styleId="WW-Absatz-Standardschriftart11111111111111111111111111111111111111111111111111111111111">
    <w:name w:val="WW-Absatz-Standardschriftart11111111111111111111111111111111111111111111111111111111111"/>
    <w:rsid w:val="00002361"/>
  </w:style>
  <w:style w:type="character" w:customStyle="1" w:styleId="WW-Absatz-Standardschriftart111111111111111111111111111111111111111111111111111111111111">
    <w:name w:val="WW-Absatz-Standardschriftart111111111111111111111111111111111111111111111111111111111111"/>
    <w:rsid w:val="00002361"/>
  </w:style>
  <w:style w:type="character" w:customStyle="1" w:styleId="WW-Absatz-Standardschriftart1111111111111111111111111111111111111111111111111111111111111">
    <w:name w:val="WW-Absatz-Standardschriftart1111111111111111111111111111111111111111111111111111111111111"/>
    <w:rsid w:val="00002361"/>
  </w:style>
  <w:style w:type="character" w:customStyle="1" w:styleId="WW-Absatz-Standardschriftart11111111111111111111111111111111111111111111111111111111111111">
    <w:name w:val="WW-Absatz-Standardschriftart11111111111111111111111111111111111111111111111111111111111111"/>
    <w:rsid w:val="00002361"/>
  </w:style>
  <w:style w:type="character" w:customStyle="1" w:styleId="WW-Absatz-Standardschriftart111111111111111111111111111111111111111111111111111111111111111">
    <w:name w:val="WW-Absatz-Standardschriftart111111111111111111111111111111111111111111111111111111111111111"/>
    <w:rsid w:val="00002361"/>
  </w:style>
  <w:style w:type="character" w:customStyle="1" w:styleId="WW-Absatz-Standardschriftart1111111111111111111111111111111111111111111111111111111111111111">
    <w:name w:val="WW-Absatz-Standardschriftart1111111111111111111111111111111111111111111111111111111111111111"/>
    <w:rsid w:val="00002361"/>
  </w:style>
  <w:style w:type="character" w:customStyle="1" w:styleId="WW-Absatz-Standardschriftart11111111111111111111111111111111111111111111111111111111111111111">
    <w:name w:val="WW-Absatz-Standardschriftart11111111111111111111111111111111111111111111111111111111111111111"/>
    <w:rsid w:val="00002361"/>
  </w:style>
  <w:style w:type="character" w:customStyle="1" w:styleId="WW-Absatz-Standardschriftart111111111111111111111111111111111111111111111111111111111111111111">
    <w:name w:val="WW-Absatz-Standardschriftart111111111111111111111111111111111111111111111111111111111111111111"/>
    <w:rsid w:val="00002361"/>
  </w:style>
  <w:style w:type="character" w:customStyle="1" w:styleId="WW-Absatz-Standardschriftart1111111111111111111111111111111111111111111111111111111111111111111">
    <w:name w:val="WW-Absatz-Standardschriftart1111111111111111111111111111111111111111111111111111111111111111111"/>
    <w:rsid w:val="00002361"/>
  </w:style>
  <w:style w:type="character" w:customStyle="1" w:styleId="WW-Absatz-Standardschriftart11111111111111111111111111111111111111111111111111111111111111111111">
    <w:name w:val="WW-Absatz-Standardschriftart11111111111111111111111111111111111111111111111111111111111111111111"/>
    <w:rsid w:val="00002361"/>
  </w:style>
  <w:style w:type="character" w:customStyle="1" w:styleId="WW-Absatz-Standardschriftart111111111111111111111111111111111111111111111111111111111111111111111">
    <w:name w:val="WW-Absatz-Standardschriftart111111111111111111111111111111111111111111111111111111111111111111111"/>
    <w:rsid w:val="00002361"/>
  </w:style>
  <w:style w:type="character" w:customStyle="1" w:styleId="WW-Absatz-Standardschriftart1111111111111111111111111111111111111111111111111111111111111111111111">
    <w:name w:val="WW-Absatz-Standardschriftart1111111111111111111111111111111111111111111111111111111111111111111111"/>
    <w:rsid w:val="00002361"/>
  </w:style>
  <w:style w:type="character" w:customStyle="1" w:styleId="WW-Absatz-Standardschriftart11111111111111111111111111111111111111111111111111111111111111111111111">
    <w:name w:val="WW-Absatz-Standardschriftart11111111111111111111111111111111111111111111111111111111111111111111111"/>
    <w:rsid w:val="00002361"/>
  </w:style>
  <w:style w:type="character" w:customStyle="1" w:styleId="WW-Absatz-Standardschriftart111111111111111111111111111111111111111111111111111111111111111111111111">
    <w:name w:val="WW-Absatz-Standardschriftart111111111111111111111111111111111111111111111111111111111111111111111111"/>
    <w:rsid w:val="00002361"/>
  </w:style>
  <w:style w:type="character" w:customStyle="1" w:styleId="WW-Absatz-Standardschriftart1111111111111111111111111111111111111111111111111111111111111111111111111">
    <w:name w:val="WW-Absatz-Standardschriftart1111111111111111111111111111111111111111111111111111111111111111111111111"/>
    <w:rsid w:val="0000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00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00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0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0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0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0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0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0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0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0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0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0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0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0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0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0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0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2">
    <w:name w:val="Fuente de párrafo predeter.2"/>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1">
    <w:name w:val="Fuente de párrafo predeter.1"/>
    <w:rsid w:val="00002361"/>
  </w:style>
  <w:style w:type="character" w:styleId="Hipervnculo">
    <w:name w:val="Hyperlink"/>
    <w:rsid w:val="00002361"/>
    <w:rPr>
      <w:color w:val="000080"/>
      <w:u w:val="single"/>
    </w:rPr>
  </w:style>
  <w:style w:type="character" w:customStyle="1" w:styleId="Carcterdenumeracin">
    <w:name w:val="Carácter de numeración"/>
    <w:rsid w:val="00002361"/>
  </w:style>
  <w:style w:type="character" w:customStyle="1" w:styleId="Vietas">
    <w:name w:val="Viñetas"/>
    <w:rsid w:val="00002361"/>
    <w:rPr>
      <w:rFonts w:ascii="StarSymbol" w:eastAsia="StarSymbol" w:hAnsi="StarSymbol" w:cs="StarSymbol"/>
      <w:sz w:val="18"/>
      <w:szCs w:val="18"/>
    </w:rPr>
  </w:style>
  <w:style w:type="paragraph" w:customStyle="1" w:styleId="Encabezado2">
    <w:name w:val="Encabezado2"/>
    <w:basedOn w:val="Normal"/>
    <w:next w:val="Textoindependiente"/>
    <w:rsid w:val="00002361"/>
    <w:pPr>
      <w:keepNext/>
      <w:spacing w:before="240" w:after="120"/>
    </w:pPr>
    <w:rPr>
      <w:rFonts w:ascii="Arial" w:eastAsia="Arial Unicode MS" w:hAnsi="Arial" w:cs="Tahoma"/>
      <w:sz w:val="28"/>
      <w:szCs w:val="28"/>
    </w:rPr>
  </w:style>
  <w:style w:type="paragraph" w:styleId="Textoindependiente">
    <w:name w:val="Body Text"/>
    <w:basedOn w:val="Normal"/>
    <w:rsid w:val="00002361"/>
    <w:pPr>
      <w:spacing w:after="120"/>
    </w:pPr>
  </w:style>
  <w:style w:type="paragraph" w:styleId="Lista">
    <w:name w:val="List"/>
    <w:basedOn w:val="Textoindependiente"/>
    <w:rsid w:val="00002361"/>
    <w:rPr>
      <w:rFonts w:cs="Tahoma"/>
    </w:rPr>
  </w:style>
  <w:style w:type="paragraph" w:customStyle="1" w:styleId="Etiqueta">
    <w:name w:val="Etiqueta"/>
    <w:basedOn w:val="Normal"/>
    <w:rsid w:val="00002361"/>
    <w:pPr>
      <w:suppressLineNumbers/>
      <w:spacing w:before="120" w:after="120"/>
    </w:pPr>
    <w:rPr>
      <w:rFonts w:cs="Tahoma"/>
      <w:i/>
      <w:iCs/>
    </w:rPr>
  </w:style>
  <w:style w:type="paragraph" w:customStyle="1" w:styleId="ndice">
    <w:name w:val="Índice"/>
    <w:basedOn w:val="Normal"/>
    <w:rsid w:val="00002361"/>
    <w:pPr>
      <w:suppressLineNumbers/>
    </w:pPr>
    <w:rPr>
      <w:rFonts w:cs="Tahoma"/>
    </w:rPr>
  </w:style>
  <w:style w:type="paragraph" w:customStyle="1" w:styleId="Encabezado1">
    <w:name w:val="Encabezado1"/>
    <w:basedOn w:val="Normal"/>
    <w:next w:val="Textoindependiente"/>
    <w:rsid w:val="00002361"/>
    <w:pPr>
      <w:keepNext/>
      <w:spacing w:before="240" w:after="120"/>
    </w:pPr>
    <w:rPr>
      <w:rFonts w:ascii="Arial" w:eastAsia="Arial Unicode MS" w:hAnsi="Arial" w:cs="Tahoma"/>
      <w:sz w:val="28"/>
      <w:szCs w:val="28"/>
    </w:rPr>
  </w:style>
  <w:style w:type="paragraph" w:styleId="Encabezado">
    <w:name w:val="header"/>
    <w:aliases w:val="encabezado,h"/>
    <w:basedOn w:val="Normal"/>
    <w:link w:val="EncabezadoCar1"/>
    <w:qFormat/>
    <w:rsid w:val="00002361"/>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h Car"/>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link w:val="PiedepginaCar"/>
    <w:rsid w:val="00002361"/>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02361"/>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02361"/>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02361"/>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02361"/>
    <w:pPr>
      <w:widowControl w:val="0"/>
      <w:suppressAutoHyphens/>
    </w:pPr>
    <w:rPr>
      <w:rFonts w:eastAsia="Arial Unicode MS"/>
      <w:sz w:val="28"/>
      <w:szCs w:val="28"/>
      <w:lang w:val="es-ES_tradnl" w:eastAsia="ar-SA"/>
    </w:rPr>
  </w:style>
  <w:style w:type="paragraph" w:customStyle="1" w:styleId="Ttulo51">
    <w:name w:val="Título 51"/>
    <w:next w:val="Normal"/>
    <w:rsid w:val="00002361"/>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02361"/>
  </w:style>
  <w:style w:type="paragraph" w:customStyle="1" w:styleId="Contenidodelatabla">
    <w:name w:val="Contenido de la tabla"/>
    <w:basedOn w:val="Normal"/>
    <w:rsid w:val="00002361"/>
    <w:pPr>
      <w:suppressLineNumbers/>
    </w:pPr>
  </w:style>
  <w:style w:type="paragraph" w:customStyle="1" w:styleId="Encabezadodelatabla">
    <w:name w:val="Encabezado de la tabla"/>
    <w:basedOn w:val="Contenidodelatabla"/>
    <w:rsid w:val="00002361"/>
    <w:pPr>
      <w:jc w:val="center"/>
    </w:pPr>
    <w:rPr>
      <w:b/>
      <w:bCs/>
    </w:rPr>
  </w:style>
  <w:style w:type="paragraph" w:customStyle="1" w:styleId="style3">
    <w:name w:val="style3"/>
    <w:basedOn w:val="Normal"/>
    <w:rsid w:val="00002361"/>
    <w:pPr>
      <w:spacing w:before="280" w:after="280"/>
    </w:pPr>
    <w:rPr>
      <w:b/>
      <w:bCs/>
      <w:color w:val="000000"/>
    </w:rPr>
  </w:style>
  <w:style w:type="paragraph" w:styleId="NormalWeb">
    <w:name w:val="Normal (Web)"/>
    <w:basedOn w:val="Normal"/>
    <w:link w:val="NormalWebCar"/>
    <w:qFormat/>
    <w:rsid w:val="00002361"/>
    <w:pPr>
      <w:spacing w:before="280" w:after="280"/>
    </w:pPr>
  </w:style>
  <w:style w:type="paragraph" w:customStyle="1" w:styleId="Ttulo31">
    <w:name w:val="Título 31"/>
    <w:next w:val="Normal"/>
    <w:rsid w:val="00002361"/>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Footnote Te"/>
    <w:basedOn w:val="Normal"/>
    <w:link w:val="TextonotapieCar"/>
    <w:qFormat/>
    <w:rsid w:val="00002361"/>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qFormat/>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Referencia nota al pie,Footnote number,referencia nota al pie,BVI fnr,f,Ref,de nota al pie,FC,ftref,16 Point,Superscript 6 Point,Superscript 6 Point + 11 pt"/>
    <w:uiPriority w:val="99"/>
    <w:qFormat/>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table" w:customStyle="1" w:styleId="Tablaconcuadrcula1">
    <w:name w:val="Tabla con cuadrícula1"/>
    <w:basedOn w:val="Tablanormal"/>
    <w:next w:val="Tablaconcuadrcula"/>
    <w:uiPriority w:val="39"/>
    <w:rsid w:val="007A440D"/>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B2B6C"/>
    <w:rPr>
      <w:rFonts w:ascii="Arial" w:hAnsi="Arial" w:cs="Arial"/>
      <w:sz w:val="24"/>
      <w:szCs w:val="24"/>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3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package" Target="embeddings/Microsoft_Excel_Worksheet.xlsx"/><Relationship Id="rId22" Type="http://schemas.openxmlformats.org/officeDocument/2006/relationships/header" Target="header6.xml"/><Relationship Id="rId27" Type="http://schemas.openxmlformats.org/officeDocument/2006/relationships/fontTable" Target="fontTable.xml"/></Relationships>
</file>

<file path=word/_rels/footer7.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5585</Words>
  <Characters>30720</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36233</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Rocío Picado Vargas (internet por Jones)</cp:lastModifiedBy>
  <cp:revision>2</cp:revision>
  <cp:lastPrinted>2016-02-03T19:46:00Z</cp:lastPrinted>
  <dcterms:created xsi:type="dcterms:W3CDTF">2022-09-29T20:03:00Z</dcterms:created>
  <dcterms:modified xsi:type="dcterms:W3CDTF">2022-09-29T20:03:00Z</dcterms:modified>
</cp:coreProperties>
</file>