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A6E6" w14:textId="4410DB6A" w:rsidR="00EE4A97" w:rsidRPr="00020179" w:rsidRDefault="00EE4A97" w:rsidP="009C1326">
      <w:pPr>
        <w:ind w:firstLine="709"/>
        <w:rPr>
          <w:b/>
          <w:bCs/>
          <w:color w:val="000000"/>
          <w:sz w:val="22"/>
          <w:szCs w:val="22"/>
          <w:u w:val="single"/>
        </w:rPr>
      </w:pPr>
      <w:r w:rsidRPr="00020179">
        <w:rPr>
          <w:b/>
          <w:bCs/>
          <w:color w:val="000000"/>
          <w:sz w:val="22"/>
          <w:szCs w:val="22"/>
          <w:u w:val="single"/>
        </w:rPr>
        <w:t xml:space="preserve">CIRCULAR No. </w:t>
      </w:r>
      <w:r w:rsidR="007C1AC2" w:rsidRPr="00020179">
        <w:rPr>
          <w:b/>
          <w:bCs/>
          <w:color w:val="000000"/>
          <w:sz w:val="22"/>
          <w:szCs w:val="22"/>
          <w:u w:val="single"/>
        </w:rPr>
        <w:t>207</w:t>
      </w:r>
      <w:r w:rsidRPr="00020179">
        <w:rPr>
          <w:b/>
          <w:bCs/>
          <w:color w:val="000000"/>
          <w:sz w:val="22"/>
          <w:szCs w:val="22"/>
          <w:u w:val="single"/>
        </w:rPr>
        <w:t>-2020.</w:t>
      </w:r>
    </w:p>
    <w:p w14:paraId="51859235" w14:textId="77777777" w:rsidR="00EE4A97" w:rsidRPr="00020179" w:rsidRDefault="00EE4A97" w:rsidP="009C1326">
      <w:pPr>
        <w:ind w:firstLine="709"/>
        <w:rPr>
          <w:sz w:val="22"/>
          <w:szCs w:val="22"/>
        </w:rPr>
      </w:pPr>
    </w:p>
    <w:p w14:paraId="0C46CE21" w14:textId="50D4F795" w:rsidR="00EE4A97" w:rsidRPr="00020179" w:rsidRDefault="00EE4A97" w:rsidP="009C1326">
      <w:pPr>
        <w:ind w:firstLine="709"/>
        <w:jc w:val="both"/>
        <w:rPr>
          <w:sz w:val="22"/>
          <w:szCs w:val="22"/>
        </w:rPr>
      </w:pPr>
      <w:r w:rsidRPr="00020179">
        <w:rPr>
          <w:b/>
          <w:bCs/>
          <w:sz w:val="22"/>
          <w:szCs w:val="22"/>
          <w:u w:val="single"/>
        </w:rPr>
        <w:t>Asunto</w:t>
      </w:r>
      <w:r w:rsidRPr="00020179">
        <w:rPr>
          <w:sz w:val="22"/>
          <w:szCs w:val="22"/>
        </w:rPr>
        <w:t>:</w:t>
      </w:r>
      <w:r w:rsidR="00E436B3" w:rsidRPr="00020179">
        <w:rPr>
          <w:rFonts w:eastAsia="Calibri"/>
          <w:color w:val="000000"/>
          <w:sz w:val="22"/>
          <w:szCs w:val="22"/>
          <w:lang w:val="es-CR" w:eastAsia="es-CR"/>
        </w:rPr>
        <w:t xml:space="preserve"> Obligación de uso de las nuevas fórmulas estadísticas para las materias de Familia y Pensiones Alimentarias</w:t>
      </w:r>
      <w:r w:rsidR="005D7FBC" w:rsidRPr="00020179">
        <w:rPr>
          <w:color w:val="000000"/>
          <w:sz w:val="22"/>
          <w:szCs w:val="22"/>
          <w:lang w:val="es-CR" w:eastAsia="en-US"/>
        </w:rPr>
        <w:t>.</w:t>
      </w:r>
    </w:p>
    <w:p w14:paraId="135E776C" w14:textId="77777777" w:rsidR="00EE4A97" w:rsidRPr="00020179" w:rsidRDefault="00EE4A97" w:rsidP="009C1326">
      <w:pPr>
        <w:ind w:firstLine="709"/>
        <w:rPr>
          <w:sz w:val="22"/>
          <w:szCs w:val="22"/>
        </w:rPr>
      </w:pPr>
    </w:p>
    <w:p w14:paraId="2A181CE3" w14:textId="694936F7" w:rsidR="00EE4A97" w:rsidRPr="00020179" w:rsidRDefault="00904B7E" w:rsidP="00E436B3">
      <w:pPr>
        <w:ind w:firstLine="709"/>
        <w:jc w:val="both"/>
        <w:rPr>
          <w:b/>
          <w:bCs/>
          <w:color w:val="000000" w:themeColor="text1"/>
          <w:sz w:val="22"/>
          <w:szCs w:val="22"/>
          <w:lang w:eastAsia="es-ES"/>
        </w:rPr>
      </w:pPr>
      <w:r w:rsidRPr="00020179">
        <w:rPr>
          <w:b/>
          <w:bCs/>
          <w:color w:val="000000" w:themeColor="text1"/>
          <w:sz w:val="22"/>
          <w:szCs w:val="22"/>
          <w:lang w:eastAsia="es-ES"/>
        </w:rPr>
        <w:t xml:space="preserve">A </w:t>
      </w:r>
      <w:r w:rsidR="00E436B3" w:rsidRPr="00020179">
        <w:rPr>
          <w:b/>
          <w:bCs/>
          <w:color w:val="000000" w:themeColor="text1"/>
          <w:sz w:val="22"/>
          <w:szCs w:val="22"/>
          <w:lang w:val="es-CR" w:eastAsia="es-ES"/>
        </w:rPr>
        <w:t>TODOS LOS DESPACHOS JUDICIALES DEL PAÍS QUE CONOCEN MATERIA DE FAMILIA Y PENSIONES ALIMENTARIAS.</w:t>
      </w:r>
    </w:p>
    <w:p w14:paraId="7A190235" w14:textId="77777777" w:rsidR="00EE4A97" w:rsidRPr="00020179" w:rsidRDefault="00EE4A97" w:rsidP="009C1326">
      <w:pPr>
        <w:ind w:firstLine="709"/>
        <w:rPr>
          <w:sz w:val="22"/>
          <w:szCs w:val="22"/>
        </w:rPr>
      </w:pPr>
    </w:p>
    <w:p w14:paraId="2C76B1FA" w14:textId="77777777" w:rsidR="00EE4A97" w:rsidRPr="00020179" w:rsidRDefault="00EE4A97" w:rsidP="009C1326">
      <w:pPr>
        <w:ind w:firstLine="709"/>
        <w:rPr>
          <w:b/>
          <w:bCs/>
          <w:sz w:val="22"/>
          <w:szCs w:val="22"/>
        </w:rPr>
      </w:pPr>
      <w:r w:rsidRPr="00020179">
        <w:rPr>
          <w:b/>
          <w:bCs/>
          <w:sz w:val="22"/>
          <w:szCs w:val="22"/>
          <w:u w:val="single"/>
        </w:rPr>
        <w:t>SE LES HACE SABER QUE</w:t>
      </w:r>
      <w:r w:rsidRPr="00020179">
        <w:rPr>
          <w:b/>
          <w:bCs/>
          <w:sz w:val="22"/>
          <w:szCs w:val="22"/>
        </w:rPr>
        <w:t>:</w:t>
      </w:r>
    </w:p>
    <w:p w14:paraId="270039FA" w14:textId="77777777" w:rsidR="009C1326" w:rsidRPr="00020179" w:rsidRDefault="009C1326" w:rsidP="009C1326">
      <w:pPr>
        <w:pStyle w:val="AAgestin"/>
        <w:spacing w:before="0" w:after="0"/>
        <w:ind w:left="0" w:right="0"/>
        <w:rPr>
          <w:color w:val="000000"/>
          <w:sz w:val="22"/>
          <w:szCs w:val="22"/>
          <w:lang w:val="es-CR"/>
        </w:rPr>
      </w:pPr>
    </w:p>
    <w:p w14:paraId="4584B537" w14:textId="169E86AF" w:rsidR="00E436B3" w:rsidRPr="00020179" w:rsidRDefault="00020179" w:rsidP="00020179">
      <w:pPr>
        <w:ind w:firstLine="708"/>
        <w:jc w:val="both"/>
        <w:rPr>
          <w:rFonts w:eastAsia="Calibri"/>
          <w:color w:val="000000"/>
          <w:sz w:val="22"/>
          <w:szCs w:val="22"/>
          <w:lang w:val="es-CR" w:eastAsia="en-US"/>
        </w:rPr>
      </w:pPr>
      <w:r w:rsidRPr="00020179">
        <w:rPr>
          <w:rFonts w:eastAsia="Calibri"/>
          <w:color w:val="000000"/>
          <w:sz w:val="22"/>
          <w:szCs w:val="22"/>
          <w:lang w:val="es-CR" w:eastAsia="en-US"/>
        </w:rPr>
        <w:t xml:space="preserve">El Consejo Superior, en sesión número </w:t>
      </w:r>
      <w:r w:rsidRPr="00020179">
        <w:rPr>
          <w:sz w:val="22"/>
          <w:szCs w:val="22"/>
        </w:rPr>
        <w:t>85-2020</w:t>
      </w:r>
      <w:r w:rsidRPr="00020179">
        <w:rPr>
          <w:b/>
          <w:bCs/>
          <w:sz w:val="22"/>
          <w:szCs w:val="22"/>
        </w:rPr>
        <w:t xml:space="preserve"> </w:t>
      </w:r>
      <w:r w:rsidRPr="00020179">
        <w:rPr>
          <w:bCs/>
          <w:sz w:val="22"/>
          <w:szCs w:val="22"/>
        </w:rPr>
        <w:t>c</w:t>
      </w:r>
      <w:r w:rsidRPr="00020179">
        <w:rPr>
          <w:sz w:val="22"/>
          <w:szCs w:val="22"/>
        </w:rPr>
        <w:t>elebrada el 1 de setiembre del 2020,</w:t>
      </w:r>
      <w:r w:rsidRPr="00020179">
        <w:rPr>
          <w:b/>
          <w:sz w:val="22"/>
          <w:szCs w:val="22"/>
        </w:rPr>
        <w:t xml:space="preserve"> </w:t>
      </w:r>
      <w:r w:rsidRPr="00020179">
        <w:rPr>
          <w:sz w:val="22"/>
          <w:szCs w:val="22"/>
        </w:rPr>
        <w:t xml:space="preserve">artículo </w:t>
      </w:r>
      <w:r w:rsidRPr="00020179">
        <w:rPr>
          <w:sz w:val="22"/>
          <w:szCs w:val="22"/>
          <w:lang w:val="es-CR"/>
        </w:rPr>
        <w:t>LI, dispuso, c</w:t>
      </w:r>
      <w:r w:rsidR="00E436B3" w:rsidRPr="00020179">
        <w:rPr>
          <w:rFonts w:eastAsia="Calibri"/>
          <w:color w:val="000000"/>
          <w:sz w:val="22"/>
          <w:szCs w:val="22"/>
          <w:lang w:val="es-CR" w:eastAsia="en-US"/>
        </w:rPr>
        <w:t>on relación al informe 991-PLA-EV-ES-2020, relacionado con la gestión del Poder Judicial en cuanto a la oportunidad de la prestación del servicio público de administración de la justicia de los Juzgados de Familia y de Pensiones Alimentarias, esto con la aprobación de la Ley 9747 “Código Procesal de Familia” conocido por el Consejo Superior en sesión N°</w:t>
      </w:r>
      <w:r w:rsidR="00B61E24" w:rsidRPr="00020179">
        <w:rPr>
          <w:rFonts w:eastAsia="Calibri"/>
          <w:color w:val="000000"/>
          <w:sz w:val="22"/>
          <w:szCs w:val="22"/>
          <w:lang w:val="es-CR" w:eastAsia="en-US"/>
        </w:rPr>
        <w:t xml:space="preserve"> </w:t>
      </w:r>
      <w:r w:rsidR="00E436B3" w:rsidRPr="00020179">
        <w:rPr>
          <w:rFonts w:eastAsia="Calibri"/>
          <w:color w:val="000000"/>
          <w:sz w:val="22"/>
          <w:szCs w:val="22"/>
          <w:lang w:val="es-CR" w:eastAsia="en-US"/>
        </w:rPr>
        <w:t xml:space="preserve">70 del 9 de julio del </w:t>
      </w:r>
      <w:r w:rsidR="00B61E24" w:rsidRPr="00020179">
        <w:rPr>
          <w:rFonts w:eastAsia="Calibri"/>
          <w:color w:val="000000"/>
          <w:sz w:val="22"/>
          <w:szCs w:val="22"/>
          <w:lang w:val="es-CR" w:eastAsia="en-US"/>
        </w:rPr>
        <w:t xml:space="preserve">2020, </w:t>
      </w:r>
      <w:r w:rsidR="00E436B3" w:rsidRPr="00020179">
        <w:rPr>
          <w:rFonts w:eastAsia="Calibri"/>
          <w:color w:val="000000"/>
          <w:sz w:val="22"/>
          <w:szCs w:val="22"/>
          <w:lang w:val="es-CR" w:eastAsia="en-US"/>
        </w:rPr>
        <w:t>reiterarles lo aprobado por dicho órgano institucional en lo siguiente:</w:t>
      </w:r>
    </w:p>
    <w:p w14:paraId="0F28E111" w14:textId="77777777" w:rsidR="00E436B3" w:rsidRPr="00020179" w:rsidRDefault="00E436B3" w:rsidP="00E436B3">
      <w:pPr>
        <w:suppressAutoHyphens w:val="0"/>
        <w:ind w:firstLine="709"/>
        <w:jc w:val="both"/>
        <w:rPr>
          <w:rFonts w:eastAsia="Calibri"/>
          <w:color w:val="000000"/>
          <w:sz w:val="22"/>
          <w:szCs w:val="22"/>
          <w:lang w:val="es-CR" w:eastAsia="en-US"/>
        </w:rPr>
      </w:pPr>
    </w:p>
    <w:p w14:paraId="2E4EF3BD" w14:textId="77777777" w:rsidR="00E436B3" w:rsidRPr="00020179" w:rsidRDefault="00E436B3" w:rsidP="00E436B3">
      <w:pPr>
        <w:numPr>
          <w:ilvl w:val="0"/>
          <w:numId w:val="1"/>
        </w:numPr>
        <w:suppressAutoHyphens w:val="0"/>
        <w:ind w:left="0" w:firstLine="709"/>
        <w:contextualSpacing/>
        <w:jc w:val="both"/>
        <w:rPr>
          <w:rFonts w:eastAsia="Calibri"/>
          <w:color w:val="000000"/>
          <w:sz w:val="22"/>
          <w:szCs w:val="22"/>
          <w:lang w:val="es-CR" w:eastAsia="es-CR"/>
        </w:rPr>
      </w:pPr>
      <w:r w:rsidRPr="00020179">
        <w:rPr>
          <w:rFonts w:eastAsia="Calibri"/>
          <w:color w:val="000000"/>
          <w:sz w:val="22"/>
          <w:szCs w:val="22"/>
          <w:lang w:val="es-CR" w:eastAsia="es-CR"/>
        </w:rPr>
        <w:t>Se reitera a los Juzgados de Familia el uso obligatorio de las variables que incluye la nueva fórmula estadística (informe 186-PLA-ES-2020 + instructivo de la fórmula para estandarizar fases, motivos de término, tipos de procedimiento, tipos de asuntos, entre otros).</w:t>
      </w:r>
    </w:p>
    <w:p w14:paraId="25E953BB" w14:textId="77777777" w:rsidR="00E436B3" w:rsidRPr="00020179" w:rsidRDefault="00E436B3" w:rsidP="00E436B3">
      <w:pPr>
        <w:suppressAutoHyphens w:val="0"/>
        <w:ind w:firstLine="709"/>
        <w:contextualSpacing/>
        <w:jc w:val="both"/>
        <w:rPr>
          <w:rFonts w:eastAsia="Calibri"/>
          <w:color w:val="000000"/>
          <w:sz w:val="22"/>
          <w:szCs w:val="22"/>
          <w:lang w:val="es-CR" w:eastAsia="es-CR"/>
        </w:rPr>
      </w:pPr>
    </w:p>
    <w:p w14:paraId="033DFE03" w14:textId="0677024D" w:rsidR="00E436B3" w:rsidRPr="00020179" w:rsidRDefault="00E436B3" w:rsidP="00E436B3">
      <w:pPr>
        <w:numPr>
          <w:ilvl w:val="0"/>
          <w:numId w:val="1"/>
        </w:numPr>
        <w:suppressAutoHyphens w:val="0"/>
        <w:ind w:left="0" w:firstLine="709"/>
        <w:contextualSpacing/>
        <w:jc w:val="both"/>
        <w:rPr>
          <w:rFonts w:eastAsia="Calibri"/>
          <w:color w:val="000000"/>
          <w:sz w:val="22"/>
          <w:szCs w:val="22"/>
          <w:lang w:val="es-CR" w:eastAsia="es-CR"/>
        </w:rPr>
      </w:pPr>
      <w:r w:rsidRPr="00020179">
        <w:rPr>
          <w:rFonts w:eastAsia="Calibri"/>
          <w:color w:val="000000"/>
          <w:sz w:val="22"/>
          <w:szCs w:val="22"/>
          <w:lang w:val="es-CR" w:eastAsia="es-CR"/>
        </w:rPr>
        <w:t>También se reitera a los Juzgados que tramitan Pensiones Alimentarias el uso obligatorio de las variables que incluye la nueva fórmula estadística (informes 2043-PLA-ES-2019 y 1024-PLA-ES-2020 además del instructivo de la fórmula para estandarizar fases, motivos de término, tipos de procedimiento, tipos de asuntos, entre otros).</w:t>
      </w:r>
    </w:p>
    <w:p w14:paraId="7C465ABB" w14:textId="77777777" w:rsidR="00E436B3" w:rsidRPr="00020179" w:rsidRDefault="00E436B3" w:rsidP="00E436B3">
      <w:pPr>
        <w:suppressAutoHyphens w:val="0"/>
        <w:adjustRightInd w:val="0"/>
        <w:ind w:left="851" w:right="851" w:firstLine="709"/>
        <w:jc w:val="both"/>
        <w:rPr>
          <w:rFonts w:eastAsia="Calibri"/>
          <w:color w:val="000000"/>
          <w:sz w:val="22"/>
          <w:szCs w:val="22"/>
          <w:lang w:val="es-CR" w:eastAsia="es-CR"/>
        </w:rPr>
      </w:pPr>
    </w:p>
    <w:p w14:paraId="3A9485C9" w14:textId="6A9448F5" w:rsidR="00EE4A97" w:rsidRPr="00020179" w:rsidRDefault="00914654" w:rsidP="009C1326">
      <w:pPr>
        <w:pStyle w:val="xmsonormal"/>
        <w:spacing w:before="0" w:beforeAutospacing="0" w:after="0" w:afterAutospacing="0"/>
        <w:ind w:firstLine="709"/>
        <w:jc w:val="both"/>
        <w:rPr>
          <w:b/>
          <w:bCs/>
          <w:sz w:val="22"/>
          <w:szCs w:val="22"/>
          <w:lang w:eastAsia="zh-CN"/>
        </w:rPr>
      </w:pPr>
      <w:r w:rsidRPr="00020179">
        <w:rPr>
          <w:b/>
          <w:bCs/>
          <w:sz w:val="22"/>
          <w:szCs w:val="22"/>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r w:rsidR="009C1326" w:rsidRPr="00020179">
        <w:rPr>
          <w:b/>
          <w:bCs/>
          <w:sz w:val="22"/>
          <w:szCs w:val="22"/>
        </w:rPr>
        <w:t xml:space="preserve"> </w:t>
      </w:r>
      <w:r w:rsidR="00EE4A97" w:rsidRPr="00020179">
        <w:rPr>
          <w:b/>
          <w:bCs/>
          <w:sz w:val="22"/>
          <w:szCs w:val="22"/>
        </w:rPr>
        <w:t>Publíquese una sola vez en el Boletín Judicial.</w:t>
      </w:r>
    </w:p>
    <w:p w14:paraId="6EDD44C3" w14:textId="5FB3A1E7" w:rsidR="00EE4A97" w:rsidRPr="00020179" w:rsidRDefault="00EE4A97" w:rsidP="00EE4A97">
      <w:pPr>
        <w:spacing w:before="100" w:beforeAutospacing="1" w:after="100" w:afterAutospacing="1" w:line="360" w:lineRule="auto"/>
        <w:jc w:val="both"/>
        <w:rPr>
          <w:sz w:val="22"/>
          <w:szCs w:val="22"/>
        </w:rPr>
      </w:pPr>
      <w:r w:rsidRPr="00020179">
        <w:rPr>
          <w:b/>
          <w:bCs/>
          <w:sz w:val="22"/>
          <w:szCs w:val="22"/>
        </w:rPr>
        <w:t xml:space="preserve">San José, </w:t>
      </w:r>
      <w:r w:rsidR="00914654" w:rsidRPr="00020179">
        <w:rPr>
          <w:b/>
          <w:bCs/>
          <w:sz w:val="22"/>
          <w:szCs w:val="22"/>
        </w:rPr>
        <w:t>24</w:t>
      </w:r>
      <w:r w:rsidRPr="00020179">
        <w:rPr>
          <w:b/>
          <w:bCs/>
          <w:sz w:val="22"/>
          <w:szCs w:val="22"/>
        </w:rPr>
        <w:t xml:space="preserve"> de </w:t>
      </w:r>
      <w:r w:rsidR="009C1326" w:rsidRPr="00020179">
        <w:rPr>
          <w:b/>
          <w:bCs/>
          <w:sz w:val="22"/>
          <w:szCs w:val="22"/>
        </w:rPr>
        <w:t xml:space="preserve">setiembre </w:t>
      </w:r>
      <w:r w:rsidRPr="00020179">
        <w:rPr>
          <w:b/>
          <w:bCs/>
          <w:sz w:val="22"/>
          <w:szCs w:val="22"/>
        </w:rPr>
        <w:t>de 2020.</w:t>
      </w:r>
    </w:p>
    <w:p w14:paraId="39A3D763" w14:textId="77777777" w:rsidR="00EE4A97" w:rsidRPr="00020179" w:rsidRDefault="00EE4A97" w:rsidP="00EE4A97">
      <w:pPr>
        <w:spacing w:before="100" w:beforeAutospacing="1" w:after="100" w:afterAutospacing="1"/>
        <w:jc w:val="center"/>
        <w:rPr>
          <w:sz w:val="22"/>
          <w:szCs w:val="22"/>
        </w:rPr>
      </w:pPr>
    </w:p>
    <w:p w14:paraId="58EA630E" w14:textId="77777777" w:rsidR="00564243" w:rsidRPr="00020179" w:rsidRDefault="00564243" w:rsidP="00EE4A97">
      <w:pPr>
        <w:spacing w:before="100" w:beforeAutospacing="1" w:after="100" w:afterAutospacing="1"/>
        <w:jc w:val="center"/>
        <w:rPr>
          <w:sz w:val="22"/>
          <w:szCs w:val="22"/>
        </w:rPr>
      </w:pPr>
    </w:p>
    <w:p w14:paraId="3247FEDA" w14:textId="77777777" w:rsidR="00EE4A97" w:rsidRPr="00020179" w:rsidRDefault="00EE4A97" w:rsidP="00EE4A97">
      <w:pPr>
        <w:jc w:val="center"/>
        <w:rPr>
          <w:rFonts w:eastAsia="Calibri"/>
          <w:b/>
          <w:bCs/>
          <w:sz w:val="22"/>
          <w:szCs w:val="22"/>
        </w:rPr>
      </w:pPr>
      <w:r w:rsidRPr="00020179">
        <w:rPr>
          <w:rFonts w:eastAsia="Calibri"/>
          <w:b/>
          <w:bCs/>
          <w:sz w:val="22"/>
          <w:szCs w:val="22"/>
        </w:rPr>
        <w:t>Lic. Carlos T. Mora Rodríguez</w:t>
      </w:r>
    </w:p>
    <w:p w14:paraId="0F08BE00" w14:textId="77777777" w:rsidR="00EE4A97" w:rsidRPr="00020179" w:rsidRDefault="00EE4A97" w:rsidP="00EE4A97">
      <w:pPr>
        <w:jc w:val="center"/>
        <w:rPr>
          <w:rFonts w:eastAsia="Calibri"/>
          <w:b/>
          <w:bCs/>
          <w:sz w:val="22"/>
          <w:szCs w:val="22"/>
        </w:rPr>
      </w:pPr>
      <w:r w:rsidRPr="00020179">
        <w:rPr>
          <w:rFonts w:eastAsia="Calibri"/>
          <w:b/>
          <w:bCs/>
          <w:sz w:val="22"/>
          <w:szCs w:val="22"/>
        </w:rPr>
        <w:t>Subsecretario General interino</w:t>
      </w:r>
    </w:p>
    <w:p w14:paraId="5D6DC071" w14:textId="77777777" w:rsidR="00EE4A97" w:rsidRPr="00020179" w:rsidRDefault="00EE4A97" w:rsidP="00EE4A97">
      <w:pPr>
        <w:jc w:val="center"/>
        <w:rPr>
          <w:rFonts w:eastAsia="Calibri"/>
          <w:b/>
          <w:bCs/>
          <w:sz w:val="22"/>
          <w:szCs w:val="22"/>
        </w:rPr>
      </w:pPr>
      <w:r w:rsidRPr="00020179">
        <w:rPr>
          <w:rFonts w:eastAsia="Calibri"/>
          <w:b/>
          <w:bCs/>
          <w:sz w:val="22"/>
          <w:szCs w:val="22"/>
        </w:rPr>
        <w:t>Corte Suprema de Justicia</w:t>
      </w:r>
    </w:p>
    <w:p w14:paraId="567CA2F7" w14:textId="77777777" w:rsidR="00EE4A97" w:rsidRPr="00020179" w:rsidRDefault="00EE4A97" w:rsidP="00EE4A97">
      <w:pPr>
        <w:spacing w:before="100" w:beforeAutospacing="1" w:after="100" w:afterAutospacing="1"/>
        <w:jc w:val="center"/>
        <w:rPr>
          <w:sz w:val="22"/>
          <w:szCs w:val="22"/>
        </w:rPr>
      </w:pPr>
    </w:p>
    <w:p w14:paraId="0684B780" w14:textId="6B95F2E3" w:rsidR="00EE4A97" w:rsidRPr="00020179" w:rsidRDefault="00EE4A97" w:rsidP="00020179">
      <w:pPr>
        <w:pStyle w:val="NormalWeb"/>
        <w:spacing w:before="0" w:beforeAutospacing="0" w:after="0" w:afterAutospacing="0"/>
        <w:ind w:left="142" w:right="141"/>
        <w:rPr>
          <w:rFonts w:ascii="Times New Roman" w:hAnsi="Times New Roman" w:cs="Times New Roman"/>
          <w:i/>
          <w:iCs/>
          <w:sz w:val="16"/>
          <w:szCs w:val="16"/>
          <w:lang w:val="es-ES"/>
        </w:rPr>
      </w:pPr>
      <w:r w:rsidRPr="00020179">
        <w:rPr>
          <w:rFonts w:ascii="Times New Roman" w:hAnsi="Times New Roman" w:cs="Times New Roman"/>
          <w:i/>
          <w:iCs/>
          <w:sz w:val="16"/>
          <w:szCs w:val="16"/>
          <w:lang w:val="es-ES"/>
        </w:rPr>
        <w:t xml:space="preserve">Ref.: </w:t>
      </w:r>
      <w:r w:rsidR="00020179" w:rsidRPr="00020179">
        <w:rPr>
          <w:rFonts w:ascii="Times New Roman" w:hAnsi="Times New Roman" w:cs="Times New Roman"/>
          <w:i/>
          <w:iCs/>
          <w:sz w:val="16"/>
          <w:szCs w:val="16"/>
          <w:lang w:val="es-ES"/>
        </w:rPr>
        <w:t>2755-2020 / 9702-2020.</w:t>
      </w:r>
    </w:p>
    <w:p w14:paraId="2C804DD7" w14:textId="77777777" w:rsidR="00EE4A97" w:rsidRPr="00020179" w:rsidRDefault="00EE4A97" w:rsidP="004611AD">
      <w:pPr>
        <w:pStyle w:val="NormalWeb"/>
        <w:spacing w:before="0" w:beforeAutospacing="0" w:after="0" w:afterAutospacing="0"/>
        <w:ind w:left="142" w:right="141"/>
        <w:rPr>
          <w:sz w:val="16"/>
          <w:szCs w:val="16"/>
        </w:rPr>
      </w:pPr>
      <w:r w:rsidRPr="00020179">
        <w:rPr>
          <w:rFonts w:ascii="Times New Roman" w:hAnsi="Times New Roman" w:cs="Times New Roman"/>
          <w:i/>
          <w:iCs/>
          <w:sz w:val="16"/>
          <w:szCs w:val="16"/>
          <w:lang w:val="es-ES"/>
        </w:rPr>
        <w:t>Jonnathan Aguilar Gómez.</w:t>
      </w:r>
    </w:p>
    <w:sectPr w:rsidR="00EE4A97" w:rsidRPr="000201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D0860"/>
    <w:multiLevelType w:val="hybridMultilevel"/>
    <w:tmpl w:val="8ECEDAD2"/>
    <w:lvl w:ilvl="0" w:tplc="6C348734">
      <w:start w:val="1"/>
      <w:numFmt w:val="decimal"/>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9D"/>
    <w:rsid w:val="00020179"/>
    <w:rsid w:val="000C7D72"/>
    <w:rsid w:val="0015499D"/>
    <w:rsid w:val="002001C2"/>
    <w:rsid w:val="00243097"/>
    <w:rsid w:val="002935E7"/>
    <w:rsid w:val="00324BBE"/>
    <w:rsid w:val="003A2A5A"/>
    <w:rsid w:val="004611AD"/>
    <w:rsid w:val="004B7B55"/>
    <w:rsid w:val="004E7225"/>
    <w:rsid w:val="00564243"/>
    <w:rsid w:val="005D7FBC"/>
    <w:rsid w:val="006D4147"/>
    <w:rsid w:val="007C1AC2"/>
    <w:rsid w:val="00804BC8"/>
    <w:rsid w:val="00904B7E"/>
    <w:rsid w:val="00914654"/>
    <w:rsid w:val="009C1326"/>
    <w:rsid w:val="00A15FE3"/>
    <w:rsid w:val="00AA1251"/>
    <w:rsid w:val="00B61E24"/>
    <w:rsid w:val="00BA65B0"/>
    <w:rsid w:val="00D86687"/>
    <w:rsid w:val="00E436B3"/>
    <w:rsid w:val="00EE4A9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9140"/>
  <w15:chartTrackingRefBased/>
  <w15:docId w15:val="{267DD7AD-3EF7-4607-B7DA-84CC0600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99D"/>
    <w:pPr>
      <w:suppressAutoHyphens/>
      <w:spacing w:after="0" w:line="240" w:lineRule="auto"/>
    </w:pPr>
    <w:rPr>
      <w:rFonts w:ascii="Times New Roman" w:eastAsia="Times New Roman" w:hAnsi="Times New Roman" w:cs="Times New Roman"/>
      <w:sz w:val="24"/>
      <w:szCs w:val="24"/>
      <w:lang w:val="es-ES" w:eastAsia="ar-SA"/>
    </w:rPr>
  </w:style>
  <w:style w:type="paragraph" w:styleId="Ttulo2">
    <w:name w:val="heading 2"/>
    <w:aliases w:val="Títulos de Hallazgo e Introducción"/>
    <w:basedOn w:val="Normal"/>
    <w:next w:val="Normal"/>
    <w:link w:val="Ttulo2Car"/>
    <w:qFormat/>
    <w:rsid w:val="00020179"/>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locked/>
    <w:rsid w:val="0015499D"/>
    <w:pPr>
      <w:spacing w:after="0" w:line="240" w:lineRule="auto"/>
    </w:pPr>
    <w:rPr>
      <w:rFonts w:ascii="Calibri" w:eastAsia="SimSun" w:hAnsi="Calibri" w:cs="Calibri"/>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stion">
    <w:name w:val="A gestion"/>
    <w:basedOn w:val="Normal"/>
    <w:link w:val="AgestionCar"/>
    <w:qFormat/>
    <w:rsid w:val="0015499D"/>
    <w:pPr>
      <w:spacing w:before="120" w:after="120"/>
      <w:ind w:left="851" w:right="851" w:firstLine="709"/>
      <w:jc w:val="both"/>
    </w:pPr>
    <w:rPr>
      <w:color w:val="000099"/>
      <w:sz w:val="26"/>
      <w:szCs w:val="26"/>
      <w:lang w:val="es-ES_tradnl"/>
    </w:rPr>
  </w:style>
  <w:style w:type="character" w:customStyle="1" w:styleId="AgestionCar">
    <w:name w:val="A gestion Car"/>
    <w:link w:val="Agestion"/>
    <w:rsid w:val="0015499D"/>
    <w:rPr>
      <w:rFonts w:ascii="Times New Roman" w:eastAsia="Times New Roman" w:hAnsi="Times New Roman" w:cs="Times New Roman"/>
      <w:color w:val="000099"/>
      <w:sz w:val="26"/>
      <w:szCs w:val="26"/>
      <w:lang w:val="es-ES_tradnl" w:eastAsia="ar-SA"/>
    </w:rPr>
  </w:style>
  <w:style w:type="paragraph" w:customStyle="1" w:styleId="AAgestin">
    <w:name w:val="A A gestión"/>
    <w:basedOn w:val="Normal"/>
    <w:link w:val="AAgestinCar"/>
    <w:qFormat/>
    <w:rsid w:val="0015499D"/>
    <w:pPr>
      <w:spacing w:before="120" w:after="120"/>
      <w:ind w:left="851" w:right="851" w:firstLine="709"/>
      <w:jc w:val="both"/>
    </w:pPr>
    <w:rPr>
      <w:rFonts w:eastAsia="SimSun"/>
      <w:color w:val="000099"/>
      <w:sz w:val="26"/>
      <w:szCs w:val="26"/>
      <w:lang w:val="es-ES_tradnl"/>
    </w:rPr>
  </w:style>
  <w:style w:type="character" w:customStyle="1" w:styleId="AAgestinCar">
    <w:name w:val="A A gestión Car"/>
    <w:link w:val="AAgestin"/>
    <w:rsid w:val="0015499D"/>
    <w:rPr>
      <w:rFonts w:ascii="Times New Roman" w:eastAsia="SimSun" w:hAnsi="Times New Roman" w:cs="Times New Roman"/>
      <w:color w:val="000099"/>
      <w:sz w:val="26"/>
      <w:szCs w:val="26"/>
      <w:lang w:val="es-ES_tradnl" w:eastAsia="ar-SA"/>
    </w:rPr>
  </w:style>
  <w:style w:type="table" w:styleId="Tablaconcuadrcula">
    <w:name w:val="Table Grid"/>
    <w:basedOn w:val="Tablanormal"/>
    <w:uiPriority w:val="39"/>
    <w:rsid w:val="0015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4A97"/>
    <w:pPr>
      <w:suppressAutoHyphens w:val="0"/>
      <w:spacing w:before="100" w:beforeAutospacing="1" w:after="100" w:afterAutospacing="1"/>
    </w:pPr>
    <w:rPr>
      <w:rFonts w:ascii="Calibri" w:eastAsiaTheme="minorHAnsi" w:hAnsi="Calibri" w:cs="Calibri"/>
      <w:sz w:val="22"/>
      <w:szCs w:val="22"/>
      <w:lang w:val="es-CR" w:eastAsia="es-CR"/>
    </w:rPr>
  </w:style>
  <w:style w:type="paragraph" w:customStyle="1" w:styleId="xmsonormal">
    <w:name w:val="x_msonormal"/>
    <w:basedOn w:val="Normal"/>
    <w:uiPriority w:val="99"/>
    <w:rsid w:val="00914654"/>
    <w:pPr>
      <w:suppressAutoHyphens w:val="0"/>
      <w:spacing w:before="100" w:beforeAutospacing="1" w:after="100" w:afterAutospacing="1"/>
    </w:pPr>
    <w:rPr>
      <w:lang w:val="es-CR" w:eastAsia="es-CR"/>
    </w:rPr>
  </w:style>
  <w:style w:type="character" w:customStyle="1" w:styleId="Ttulo2Car">
    <w:name w:val="Título 2 Car"/>
    <w:aliases w:val="Títulos de Hallazgo e Introducción Car"/>
    <w:basedOn w:val="Fuentedeprrafopredeter"/>
    <w:link w:val="Ttulo2"/>
    <w:rsid w:val="00020179"/>
    <w:rPr>
      <w:rFonts w:ascii="Arial" w:eastAsia="Times New Roman" w:hAnsi="Arial" w:cs="Arial"/>
      <w:b/>
      <w:bCs/>
      <w:i/>
      <w:iCs/>
      <w:sz w:val="28"/>
      <w:szCs w:val="2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1642</Characters>
  <Application>Microsoft Office Word</Application>
  <DocSecurity>4</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Jonathan Aguilar Gómez.</dc:creator>
  <cp:keywords/>
  <dc:description/>
  <cp:lastModifiedBy>Andrea Campos Jiménez  -sust a ahernandezov</cp:lastModifiedBy>
  <cp:revision>2</cp:revision>
  <dcterms:created xsi:type="dcterms:W3CDTF">2020-09-25T16:59:00Z</dcterms:created>
  <dcterms:modified xsi:type="dcterms:W3CDTF">2020-09-25T16:59:00Z</dcterms:modified>
</cp:coreProperties>
</file>