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9FB8" w14:textId="7A75BE77" w:rsidR="00921F72" w:rsidRPr="00C928F6" w:rsidRDefault="00921F72" w:rsidP="009C0BAE">
      <w:pPr>
        <w:ind w:firstLine="709"/>
        <w:jc w:val="both"/>
        <w:rPr>
          <w:b/>
          <w:bCs/>
          <w:color w:val="000000"/>
          <w:sz w:val="26"/>
          <w:szCs w:val="26"/>
          <w:u w:val="single"/>
        </w:rPr>
      </w:pPr>
      <w:r w:rsidRPr="00C928F6">
        <w:rPr>
          <w:b/>
          <w:bCs/>
          <w:color w:val="000000"/>
          <w:sz w:val="26"/>
          <w:szCs w:val="26"/>
          <w:u w:val="single"/>
        </w:rPr>
        <w:t>CIRCULAR No.</w:t>
      </w:r>
      <w:r w:rsidR="00615AD9" w:rsidRPr="00C928F6">
        <w:rPr>
          <w:b/>
          <w:bCs/>
          <w:color w:val="000000"/>
          <w:sz w:val="26"/>
          <w:szCs w:val="26"/>
          <w:u w:val="single"/>
        </w:rPr>
        <w:t xml:space="preserve"> </w:t>
      </w:r>
      <w:r w:rsidR="00B42836">
        <w:rPr>
          <w:b/>
          <w:bCs/>
          <w:color w:val="000000"/>
          <w:sz w:val="26"/>
          <w:szCs w:val="26"/>
          <w:u w:val="single"/>
        </w:rPr>
        <w:t>190</w:t>
      </w:r>
      <w:r w:rsidRPr="00C928F6">
        <w:rPr>
          <w:b/>
          <w:bCs/>
          <w:color w:val="000000"/>
          <w:sz w:val="26"/>
          <w:szCs w:val="26"/>
          <w:u w:val="single"/>
        </w:rPr>
        <w:t>-20</w:t>
      </w:r>
      <w:r w:rsidR="00615AD9" w:rsidRPr="00C928F6">
        <w:rPr>
          <w:b/>
          <w:bCs/>
          <w:color w:val="000000"/>
          <w:sz w:val="26"/>
          <w:szCs w:val="26"/>
          <w:u w:val="single"/>
        </w:rPr>
        <w:t>20</w:t>
      </w:r>
    </w:p>
    <w:p w14:paraId="0ADF0188" w14:textId="77777777" w:rsidR="00921F72" w:rsidRPr="00C928F6" w:rsidRDefault="00921F72" w:rsidP="009C0BAE">
      <w:pPr>
        <w:ind w:firstLine="709"/>
        <w:jc w:val="both"/>
        <w:rPr>
          <w:b/>
          <w:bCs/>
          <w:color w:val="000000"/>
          <w:sz w:val="26"/>
          <w:szCs w:val="26"/>
          <w:u w:val="single"/>
          <w:lang w:eastAsia="es-CR"/>
        </w:rPr>
      </w:pPr>
    </w:p>
    <w:p w14:paraId="205CCE4B" w14:textId="0B990120" w:rsidR="00B42836" w:rsidRDefault="00921F72" w:rsidP="00B42836">
      <w:pPr>
        <w:ind w:firstLine="709"/>
        <w:jc w:val="both"/>
        <w:rPr>
          <w:sz w:val="26"/>
          <w:szCs w:val="26"/>
          <w:lang w:val="es-CR" w:eastAsia="ar-SA"/>
        </w:rPr>
      </w:pPr>
      <w:r w:rsidRPr="00C928F6">
        <w:rPr>
          <w:b/>
          <w:bCs/>
          <w:sz w:val="26"/>
          <w:szCs w:val="26"/>
          <w:u w:val="single"/>
        </w:rPr>
        <w:t>Asunto</w:t>
      </w:r>
      <w:r w:rsidRPr="00C928F6">
        <w:rPr>
          <w:bCs/>
          <w:sz w:val="26"/>
          <w:szCs w:val="26"/>
        </w:rPr>
        <w:t>:</w:t>
      </w:r>
      <w:r w:rsidR="005C0329" w:rsidRPr="005C0329">
        <w:rPr>
          <w:sz w:val="26"/>
          <w:szCs w:val="26"/>
        </w:rPr>
        <w:t xml:space="preserve"> </w:t>
      </w:r>
      <w:r w:rsidR="00B42836">
        <w:rPr>
          <w:sz w:val="26"/>
          <w:szCs w:val="26"/>
        </w:rPr>
        <w:t>Reiteración de</w:t>
      </w:r>
      <w:r w:rsidR="00B42836">
        <w:rPr>
          <w:sz w:val="26"/>
          <w:szCs w:val="26"/>
          <w:lang w:val="es-CR"/>
        </w:rPr>
        <w:t xml:space="preserve"> las circulares 87-15, 159-15, 27 y 28-16, 160-16, 89-18, 133-18 y 94-2019 con relación a la obligación de mantener todos los registros actualizados en el Sistema de Gestión y Escritorio Virtual.</w:t>
      </w:r>
    </w:p>
    <w:p w14:paraId="557E86B2" w14:textId="77777777" w:rsidR="00B42836" w:rsidRPr="00B42836" w:rsidRDefault="00B42836" w:rsidP="007B4F32">
      <w:pPr>
        <w:ind w:firstLine="709"/>
        <w:jc w:val="both"/>
        <w:rPr>
          <w:bCs/>
          <w:sz w:val="26"/>
          <w:szCs w:val="26"/>
          <w:lang w:val="es-CR"/>
        </w:rPr>
      </w:pPr>
    </w:p>
    <w:p w14:paraId="4A6763A1" w14:textId="77777777" w:rsidR="00921F72" w:rsidRPr="00B42836" w:rsidRDefault="00921F72" w:rsidP="009C0BAE">
      <w:pPr>
        <w:ind w:firstLine="709"/>
        <w:jc w:val="both"/>
        <w:rPr>
          <w:bCs/>
          <w:sz w:val="26"/>
          <w:szCs w:val="26"/>
          <w:lang w:val="es-CR"/>
        </w:rPr>
      </w:pPr>
    </w:p>
    <w:p w14:paraId="586B777C" w14:textId="7877B14F" w:rsidR="007B4F32" w:rsidRPr="00C928F6" w:rsidRDefault="007B4F32" w:rsidP="008D2571">
      <w:pPr>
        <w:jc w:val="center"/>
        <w:rPr>
          <w:b/>
          <w:bCs/>
          <w:sz w:val="26"/>
          <w:szCs w:val="26"/>
          <w:u w:val="single"/>
        </w:rPr>
      </w:pPr>
      <w:r w:rsidRPr="00C928F6">
        <w:rPr>
          <w:b/>
          <w:bCs/>
          <w:sz w:val="26"/>
          <w:szCs w:val="26"/>
          <w:u w:val="single"/>
        </w:rPr>
        <w:t xml:space="preserve">A </w:t>
      </w:r>
      <w:r w:rsidR="008D2571" w:rsidRPr="00B42836">
        <w:rPr>
          <w:b/>
          <w:bCs/>
          <w:sz w:val="26"/>
          <w:szCs w:val="26"/>
          <w:u w:val="single"/>
        </w:rPr>
        <w:t>TODOS LOS DESPACHOS JUDICIALES DEL PAÍS</w:t>
      </w:r>
      <w:r w:rsidR="00B42836" w:rsidRPr="00B42836">
        <w:rPr>
          <w:b/>
          <w:bCs/>
          <w:sz w:val="26"/>
          <w:szCs w:val="26"/>
          <w:u w:val="single"/>
        </w:rPr>
        <w:t xml:space="preserve"> </w:t>
      </w:r>
      <w:r w:rsidR="00B42836" w:rsidRPr="00B42836">
        <w:rPr>
          <w:b/>
          <w:bCs/>
          <w:sz w:val="26"/>
          <w:szCs w:val="26"/>
          <w:u w:val="single"/>
          <w:lang w:val="es-CR"/>
        </w:rPr>
        <w:t>QUE CONOCEN MATERIA DE FAMILIA Y PENSIONES ALIMENTARIAS</w:t>
      </w:r>
    </w:p>
    <w:p w14:paraId="5BB8F615" w14:textId="77777777" w:rsidR="007B4F32" w:rsidRPr="00C928F6" w:rsidRDefault="007B4F32" w:rsidP="009C0BAE">
      <w:pPr>
        <w:ind w:firstLine="709"/>
        <w:jc w:val="both"/>
        <w:rPr>
          <w:b/>
          <w:bCs/>
          <w:sz w:val="26"/>
          <w:szCs w:val="26"/>
          <w:u w:val="single"/>
        </w:rPr>
      </w:pPr>
    </w:p>
    <w:p w14:paraId="0F136A45" w14:textId="7BA3F347" w:rsidR="00921F72" w:rsidRPr="00C928F6" w:rsidRDefault="00921F72" w:rsidP="009C0BAE">
      <w:pPr>
        <w:ind w:firstLine="709"/>
        <w:jc w:val="both"/>
        <w:rPr>
          <w:b/>
          <w:bCs/>
          <w:sz w:val="26"/>
          <w:szCs w:val="26"/>
        </w:rPr>
      </w:pPr>
      <w:r w:rsidRPr="00C928F6">
        <w:rPr>
          <w:b/>
          <w:bCs/>
          <w:sz w:val="26"/>
          <w:szCs w:val="26"/>
          <w:u w:val="single"/>
        </w:rPr>
        <w:t>SE LES HACE SABER QUE</w:t>
      </w:r>
      <w:r w:rsidRPr="00C928F6">
        <w:rPr>
          <w:b/>
          <w:bCs/>
          <w:sz w:val="26"/>
          <w:szCs w:val="26"/>
        </w:rPr>
        <w:t>:</w:t>
      </w:r>
    </w:p>
    <w:p w14:paraId="76E09FB9" w14:textId="77777777" w:rsidR="00921F72" w:rsidRPr="00C928F6" w:rsidRDefault="00921F72" w:rsidP="009C0BAE">
      <w:pPr>
        <w:pStyle w:val="Textodebloque2"/>
        <w:ind w:left="0" w:right="0"/>
        <w:rPr>
          <w:sz w:val="26"/>
          <w:szCs w:val="26"/>
        </w:rPr>
      </w:pPr>
    </w:p>
    <w:p w14:paraId="491171B6" w14:textId="31D484A1" w:rsidR="00C23BFE" w:rsidRDefault="0033597B" w:rsidP="001035E6">
      <w:pPr>
        <w:shd w:val="clear" w:color="auto" w:fill="FFFFFF"/>
        <w:spacing w:line="300" w:lineRule="atLeast"/>
        <w:jc w:val="both"/>
        <w:rPr>
          <w:sz w:val="26"/>
          <w:szCs w:val="26"/>
        </w:rPr>
      </w:pPr>
      <w:r w:rsidRPr="00C23BFE">
        <w:rPr>
          <w:sz w:val="26"/>
          <w:szCs w:val="26"/>
        </w:rPr>
        <w:t>El Consejo Superior del Poder Judicial e</w:t>
      </w:r>
      <w:r w:rsidR="00C23BFE" w:rsidRPr="00C23BFE">
        <w:rPr>
          <w:sz w:val="26"/>
          <w:szCs w:val="26"/>
        </w:rPr>
        <w:t>n sesión</w:t>
      </w:r>
      <w:r w:rsidR="00F63449">
        <w:rPr>
          <w:sz w:val="26"/>
          <w:szCs w:val="26"/>
        </w:rPr>
        <w:t xml:space="preserve"> </w:t>
      </w:r>
      <w:r w:rsidR="00C23BFE" w:rsidRPr="00C23BFE">
        <w:rPr>
          <w:sz w:val="26"/>
          <w:szCs w:val="26"/>
        </w:rPr>
        <w:t xml:space="preserve">N° </w:t>
      </w:r>
      <w:r w:rsidR="00B42836">
        <w:rPr>
          <w:sz w:val="26"/>
          <w:szCs w:val="26"/>
        </w:rPr>
        <w:t>85</w:t>
      </w:r>
      <w:r w:rsidR="00C23BFE" w:rsidRPr="00C23BFE">
        <w:rPr>
          <w:sz w:val="26"/>
          <w:szCs w:val="26"/>
        </w:rPr>
        <w:t>-2020</w:t>
      </w:r>
      <w:r w:rsidR="00F63449">
        <w:rPr>
          <w:sz w:val="26"/>
          <w:szCs w:val="26"/>
        </w:rPr>
        <w:t xml:space="preserve"> </w:t>
      </w:r>
      <w:r w:rsidR="00C23BFE" w:rsidRPr="00C23BFE">
        <w:rPr>
          <w:sz w:val="26"/>
          <w:szCs w:val="26"/>
        </w:rPr>
        <w:t>celebrada el</w:t>
      </w:r>
      <w:r w:rsidR="00B42836">
        <w:rPr>
          <w:sz w:val="26"/>
          <w:szCs w:val="26"/>
        </w:rPr>
        <w:t xml:space="preserve"> 1 de setiembre</w:t>
      </w:r>
      <w:r w:rsidR="00C23BFE" w:rsidRPr="00C23BFE">
        <w:rPr>
          <w:sz w:val="26"/>
          <w:szCs w:val="26"/>
        </w:rPr>
        <w:t xml:space="preserve"> del 2020, </w:t>
      </w:r>
      <w:bookmarkStart w:id="0" w:name="x__Toc45815198"/>
      <w:r w:rsidR="00C23BFE" w:rsidRPr="00C23BFE">
        <w:rPr>
          <w:sz w:val="26"/>
          <w:szCs w:val="26"/>
        </w:rPr>
        <w:t>art</w:t>
      </w:r>
      <w:r w:rsidR="00C23BFE" w:rsidRPr="00C23BFE">
        <w:rPr>
          <w:sz w:val="26"/>
          <w:szCs w:val="26"/>
          <w:lang w:val="es-CR"/>
        </w:rPr>
        <w:t>í</w:t>
      </w:r>
      <w:r w:rsidR="00C23BFE" w:rsidRPr="00C23BFE">
        <w:rPr>
          <w:sz w:val="26"/>
          <w:szCs w:val="26"/>
        </w:rPr>
        <w:t xml:space="preserve">culo </w:t>
      </w:r>
      <w:bookmarkEnd w:id="0"/>
      <w:r w:rsidR="00B42836">
        <w:rPr>
          <w:sz w:val="26"/>
          <w:szCs w:val="26"/>
        </w:rPr>
        <w:t>XLIX</w:t>
      </w:r>
      <w:r w:rsidR="00C23BFE" w:rsidRPr="00C23BFE">
        <w:rPr>
          <w:sz w:val="26"/>
          <w:szCs w:val="26"/>
        </w:rPr>
        <w:t xml:space="preserve">, </w:t>
      </w:r>
      <w:r w:rsidR="00B42836">
        <w:rPr>
          <w:sz w:val="26"/>
          <w:szCs w:val="26"/>
        </w:rPr>
        <w:t xml:space="preserve">conforme a la solicitud realizada por la </w:t>
      </w:r>
      <w:r w:rsidR="00B42836">
        <w:rPr>
          <w:rFonts w:eastAsia="SimSun"/>
          <w:sz w:val="26"/>
          <w:szCs w:val="26"/>
          <w:lang w:val="es-CR"/>
        </w:rPr>
        <w:t>Comisión de Familia, Niñez y Adolescencia dispuso reiterar</w:t>
      </w:r>
      <w:r w:rsidR="00B42836">
        <w:rPr>
          <w:sz w:val="26"/>
          <w:szCs w:val="26"/>
        </w:rPr>
        <w:t xml:space="preserve"> </w:t>
      </w:r>
      <w:r w:rsidR="00B42836">
        <w:rPr>
          <w:sz w:val="26"/>
          <w:szCs w:val="26"/>
          <w:lang w:val="es-CR"/>
        </w:rPr>
        <w:t>la obligación de mantener todos los registros actualizados en el Sistema de Gestión y Escritorio Virtual, a saber:</w:t>
      </w:r>
    </w:p>
    <w:p w14:paraId="62FB617E" w14:textId="60D81502" w:rsidR="00B42836" w:rsidRDefault="00B42836" w:rsidP="001035E6">
      <w:pPr>
        <w:shd w:val="clear" w:color="auto" w:fill="FFFFFF"/>
        <w:spacing w:line="300" w:lineRule="atLeast"/>
        <w:jc w:val="both"/>
        <w:rPr>
          <w:sz w:val="26"/>
          <w:szCs w:val="26"/>
        </w:rPr>
      </w:pPr>
    </w:p>
    <w:p w14:paraId="08CA5C66" w14:textId="4F6B59A5" w:rsidR="00B42836" w:rsidRDefault="00B42836" w:rsidP="00B42836">
      <w:pPr>
        <w:ind w:left="851" w:right="851" w:firstLine="709"/>
        <w:jc w:val="both"/>
        <w:rPr>
          <w:sz w:val="26"/>
          <w:szCs w:val="26"/>
          <w:lang w:val="es-CR" w:eastAsia="ar-SA"/>
        </w:rPr>
      </w:pPr>
      <w:r>
        <w:rPr>
          <w:sz w:val="26"/>
          <w:szCs w:val="26"/>
          <w:lang w:val="es-CR"/>
        </w:rPr>
        <w:t xml:space="preserve">“Con relación al informe 991-PLA-EV-ES-2020, relacionado con la gestión del Poder Judicial en cuanto a la oportunidad de la prestación del servicio público de administración de la justicia de los Juzgados de Familia y de Pensiones Alimentarias, esto con la aprobación de la Ley 9747 “Código Procesal de Familia” conocido por el Consejo Superior en sesión N°70 del 9 de julio del presente año acordó reiterarles lo aprobado por dicho órgano institucional en lo siguiente: </w:t>
      </w:r>
    </w:p>
    <w:p w14:paraId="56476994" w14:textId="77777777" w:rsidR="00B42836" w:rsidRDefault="00B42836" w:rsidP="00B42836">
      <w:pPr>
        <w:ind w:left="851" w:right="851" w:firstLine="709"/>
        <w:jc w:val="both"/>
        <w:rPr>
          <w:sz w:val="26"/>
          <w:szCs w:val="26"/>
          <w:lang w:val="es-CR"/>
        </w:rPr>
      </w:pPr>
    </w:p>
    <w:p w14:paraId="0CAA3945" w14:textId="77777777" w:rsidR="00B42836" w:rsidRDefault="00B42836" w:rsidP="00B42836">
      <w:pPr>
        <w:ind w:left="851" w:right="851" w:firstLine="709"/>
        <w:jc w:val="both"/>
        <w:rPr>
          <w:sz w:val="26"/>
          <w:szCs w:val="26"/>
          <w:lang w:val="es-CR"/>
        </w:rPr>
      </w:pPr>
      <w:r>
        <w:rPr>
          <w:sz w:val="26"/>
          <w:szCs w:val="26"/>
          <w:lang w:val="es-CR"/>
        </w:rPr>
        <w:t>1-</w:t>
      </w:r>
      <w:r>
        <w:rPr>
          <w:sz w:val="26"/>
          <w:szCs w:val="26"/>
          <w:lang w:val="es-CR"/>
        </w:rPr>
        <w:tab/>
        <w:t xml:space="preserve">Reiterar a los despachos judiciales en materia de familia y pensiones alimentarias las circulares 87-15, 159-15, 27 y 28-16, 160-16, 89-18, 133-18 y 94-2019 con relación a la obligación de mantener todos los registros actualizados en el Sistema de Gestión y Escritorio Virtual. Es necesario aclarar que los datos que se visualizan en los reportes de inconsistencias estadístico que se generan hoy día son: </w:t>
      </w:r>
    </w:p>
    <w:p w14:paraId="7963D21F" w14:textId="77777777" w:rsidR="00B42836" w:rsidRDefault="00B42836" w:rsidP="00B42836">
      <w:pPr>
        <w:ind w:left="851" w:right="851" w:firstLine="709"/>
        <w:jc w:val="both"/>
        <w:rPr>
          <w:sz w:val="26"/>
          <w:szCs w:val="26"/>
          <w:lang w:val="es-CR"/>
        </w:rPr>
      </w:pPr>
    </w:p>
    <w:p w14:paraId="0580E919" w14:textId="77777777" w:rsidR="00B42836" w:rsidRDefault="00B42836" w:rsidP="00B42836">
      <w:pPr>
        <w:ind w:left="851" w:right="851" w:firstLine="709"/>
        <w:jc w:val="both"/>
        <w:rPr>
          <w:sz w:val="26"/>
          <w:szCs w:val="26"/>
          <w:lang w:val="es-CR"/>
        </w:rPr>
      </w:pPr>
      <w:r>
        <w:rPr>
          <w:sz w:val="26"/>
          <w:szCs w:val="26"/>
          <w:lang w:val="es-CR"/>
        </w:rPr>
        <w:t>•</w:t>
      </w:r>
      <w:r>
        <w:rPr>
          <w:sz w:val="26"/>
          <w:szCs w:val="26"/>
          <w:lang w:val="es-CR"/>
        </w:rPr>
        <w:tab/>
        <w:t>Datos generales: variable acorde al tipo de carpeta.</w:t>
      </w:r>
    </w:p>
    <w:p w14:paraId="3D7B250C" w14:textId="77777777" w:rsidR="00B42836" w:rsidRDefault="00B42836" w:rsidP="00B42836">
      <w:pPr>
        <w:ind w:left="851" w:right="851" w:firstLine="709"/>
        <w:jc w:val="both"/>
        <w:rPr>
          <w:sz w:val="26"/>
          <w:szCs w:val="26"/>
          <w:lang w:val="es-CR"/>
        </w:rPr>
      </w:pPr>
      <w:r>
        <w:rPr>
          <w:sz w:val="26"/>
          <w:szCs w:val="26"/>
          <w:lang w:val="es-CR"/>
        </w:rPr>
        <w:t>•</w:t>
      </w:r>
      <w:r>
        <w:rPr>
          <w:sz w:val="26"/>
          <w:szCs w:val="26"/>
          <w:lang w:val="es-CR"/>
        </w:rPr>
        <w:tab/>
        <w:t>Datos de seguimiento: procedimiento, fase y estado</w:t>
      </w:r>
    </w:p>
    <w:p w14:paraId="38490358" w14:textId="77777777" w:rsidR="00B42836" w:rsidRDefault="00B42836" w:rsidP="00B42836">
      <w:pPr>
        <w:ind w:left="851" w:right="851" w:firstLine="709"/>
        <w:jc w:val="both"/>
        <w:rPr>
          <w:sz w:val="26"/>
          <w:szCs w:val="26"/>
          <w:lang w:val="es-CR"/>
        </w:rPr>
      </w:pPr>
      <w:r>
        <w:rPr>
          <w:sz w:val="26"/>
          <w:szCs w:val="26"/>
          <w:lang w:val="es-CR"/>
        </w:rPr>
        <w:t>•</w:t>
      </w:r>
      <w:r>
        <w:rPr>
          <w:sz w:val="26"/>
          <w:szCs w:val="26"/>
          <w:lang w:val="es-CR"/>
        </w:rPr>
        <w:tab/>
        <w:t xml:space="preserve">Responsables: decisor, tramitador y auxiliar. </w:t>
      </w:r>
    </w:p>
    <w:p w14:paraId="64121378" w14:textId="77777777" w:rsidR="00B42836" w:rsidRDefault="00B42836" w:rsidP="00B42836">
      <w:pPr>
        <w:ind w:left="851" w:right="851" w:firstLine="709"/>
        <w:jc w:val="both"/>
        <w:rPr>
          <w:sz w:val="26"/>
          <w:szCs w:val="26"/>
          <w:lang w:val="es-CR"/>
        </w:rPr>
      </w:pPr>
      <w:r>
        <w:rPr>
          <w:sz w:val="26"/>
          <w:szCs w:val="26"/>
          <w:lang w:val="es-CR"/>
        </w:rPr>
        <w:t>•</w:t>
      </w:r>
      <w:r>
        <w:rPr>
          <w:sz w:val="26"/>
          <w:szCs w:val="26"/>
          <w:lang w:val="es-CR"/>
        </w:rPr>
        <w:tab/>
        <w:t xml:space="preserve">Ubicaciones y tareas: que coincida con la fase. </w:t>
      </w:r>
    </w:p>
    <w:p w14:paraId="2481CDE5" w14:textId="77777777" w:rsidR="00B42836" w:rsidRDefault="00B42836" w:rsidP="00B42836">
      <w:pPr>
        <w:ind w:left="851" w:right="851" w:firstLine="709"/>
        <w:jc w:val="both"/>
        <w:rPr>
          <w:sz w:val="26"/>
          <w:szCs w:val="26"/>
          <w:lang w:val="es-CR"/>
        </w:rPr>
      </w:pPr>
      <w:r>
        <w:rPr>
          <w:sz w:val="26"/>
          <w:szCs w:val="26"/>
          <w:lang w:val="es-CR"/>
        </w:rPr>
        <w:t>•</w:t>
      </w:r>
      <w:r>
        <w:rPr>
          <w:sz w:val="26"/>
          <w:szCs w:val="26"/>
          <w:lang w:val="es-CR"/>
        </w:rPr>
        <w:tab/>
        <w:t>Sello de inventario: opción inventario 2020.</w:t>
      </w:r>
    </w:p>
    <w:p w14:paraId="22C481DE" w14:textId="77777777" w:rsidR="00B42836" w:rsidRDefault="00B42836" w:rsidP="00B42836">
      <w:pPr>
        <w:ind w:left="851" w:right="851" w:firstLine="709"/>
        <w:jc w:val="both"/>
        <w:rPr>
          <w:sz w:val="26"/>
          <w:szCs w:val="26"/>
          <w:lang w:val="es-CR"/>
        </w:rPr>
      </w:pPr>
      <w:r>
        <w:rPr>
          <w:sz w:val="26"/>
          <w:szCs w:val="26"/>
          <w:lang w:val="es-CR"/>
        </w:rPr>
        <w:t>•</w:t>
      </w:r>
      <w:r>
        <w:rPr>
          <w:sz w:val="26"/>
          <w:szCs w:val="26"/>
          <w:lang w:val="es-CR"/>
        </w:rPr>
        <w:tab/>
        <w:t>Intervinientes: sexo, edad, nacionalidad, domicilio, ocupación, estado civil, fecha de nacimiento, Grupo étnico.</w:t>
      </w:r>
    </w:p>
    <w:p w14:paraId="67B6D38C" w14:textId="77777777" w:rsidR="00B42836" w:rsidRDefault="00B42836" w:rsidP="00B42836">
      <w:pPr>
        <w:ind w:left="851" w:right="851" w:firstLine="709"/>
        <w:jc w:val="both"/>
        <w:rPr>
          <w:sz w:val="26"/>
          <w:szCs w:val="26"/>
          <w:lang w:val="es-CR"/>
        </w:rPr>
      </w:pPr>
      <w:r>
        <w:rPr>
          <w:sz w:val="26"/>
          <w:szCs w:val="26"/>
          <w:lang w:val="es-CR"/>
        </w:rPr>
        <w:t>•</w:t>
      </w:r>
      <w:r>
        <w:rPr>
          <w:sz w:val="26"/>
          <w:szCs w:val="26"/>
          <w:lang w:val="es-CR"/>
        </w:rPr>
        <w:tab/>
        <w:t xml:space="preserve">Datos adicionales: Testimonio de piezas: tenga marca de si es o no un testimonio; Cantón de procedencia, procedencia. </w:t>
      </w:r>
    </w:p>
    <w:p w14:paraId="6BDEA103" w14:textId="77777777" w:rsidR="00B42836" w:rsidRDefault="00B42836" w:rsidP="00B42836">
      <w:pPr>
        <w:ind w:left="851" w:right="851" w:firstLine="709"/>
        <w:jc w:val="both"/>
        <w:rPr>
          <w:sz w:val="26"/>
          <w:szCs w:val="26"/>
          <w:lang w:val="es-CR"/>
        </w:rPr>
      </w:pPr>
    </w:p>
    <w:p w14:paraId="56D3D34B" w14:textId="77777777" w:rsidR="00B42836" w:rsidRDefault="00B42836" w:rsidP="00B42836">
      <w:pPr>
        <w:ind w:left="851" w:right="851" w:firstLine="709"/>
        <w:jc w:val="both"/>
        <w:rPr>
          <w:sz w:val="26"/>
          <w:szCs w:val="26"/>
          <w:lang w:val="es-CR"/>
        </w:rPr>
      </w:pPr>
      <w:r>
        <w:rPr>
          <w:sz w:val="26"/>
          <w:szCs w:val="26"/>
          <w:lang w:val="es-CR"/>
        </w:rPr>
        <w:t>Por lo anterior, indicado las personas servidoras deben velar por el debido registro de la información, igualmente los jueces coordinadores y juezas coordinadoras deberán informar que los datos registrados en sus sistemas, es la que se encuentra activa en sus despachos y que corresponde a la realidad actual de los registros.”</w:t>
      </w:r>
    </w:p>
    <w:p w14:paraId="792DDE50" w14:textId="77777777" w:rsidR="008D2571" w:rsidRPr="00C928F6" w:rsidRDefault="008D2571" w:rsidP="008D2571">
      <w:pPr>
        <w:pStyle w:val="xmsonormal"/>
        <w:spacing w:before="0" w:beforeAutospacing="0" w:after="0" w:afterAutospacing="0"/>
        <w:ind w:firstLine="706"/>
        <w:jc w:val="both"/>
        <w:rPr>
          <w:sz w:val="26"/>
          <w:szCs w:val="26"/>
          <w:lang w:val="es-CR"/>
        </w:rPr>
      </w:pPr>
    </w:p>
    <w:p w14:paraId="69214F2C" w14:textId="77777777" w:rsidR="007B4F32" w:rsidRPr="00C928F6" w:rsidRDefault="007B4F32" w:rsidP="007B4F32">
      <w:pPr>
        <w:pStyle w:val="xmsonormal"/>
        <w:spacing w:before="0" w:beforeAutospacing="0" w:after="0" w:afterAutospacing="0"/>
        <w:ind w:firstLine="709"/>
        <w:jc w:val="both"/>
        <w:rPr>
          <w:b/>
          <w:bCs/>
          <w:sz w:val="26"/>
          <w:szCs w:val="26"/>
          <w:lang w:val="es-CR"/>
        </w:rPr>
      </w:pPr>
    </w:p>
    <w:p w14:paraId="10C9AE25" w14:textId="0F65BD06" w:rsidR="00921F72" w:rsidRDefault="00921F72" w:rsidP="00C9085D">
      <w:pPr>
        <w:suppressAutoHyphens w:val="0"/>
        <w:autoSpaceDE w:val="0"/>
        <w:autoSpaceDN w:val="0"/>
        <w:adjustRightInd w:val="0"/>
        <w:ind w:right="851" w:firstLine="708"/>
        <w:jc w:val="both"/>
        <w:rPr>
          <w:b/>
          <w:bCs/>
          <w:sz w:val="26"/>
          <w:szCs w:val="26"/>
        </w:rPr>
      </w:pPr>
      <w:r w:rsidRPr="00C928F6">
        <w:rPr>
          <w:b/>
          <w:bCs/>
          <w:sz w:val="26"/>
          <w:szCs w:val="26"/>
        </w:rPr>
        <w:t>San José,</w:t>
      </w:r>
      <w:r w:rsidR="00777C18" w:rsidRPr="00C928F6">
        <w:rPr>
          <w:b/>
          <w:bCs/>
          <w:sz w:val="26"/>
          <w:szCs w:val="26"/>
        </w:rPr>
        <w:t xml:space="preserve"> </w:t>
      </w:r>
      <w:r w:rsidR="00B42836">
        <w:rPr>
          <w:b/>
          <w:bCs/>
          <w:sz w:val="26"/>
          <w:szCs w:val="26"/>
        </w:rPr>
        <w:t>7 de setiembre</w:t>
      </w:r>
      <w:r w:rsidR="008D2571" w:rsidRPr="00C928F6">
        <w:rPr>
          <w:b/>
          <w:bCs/>
          <w:sz w:val="26"/>
          <w:szCs w:val="26"/>
        </w:rPr>
        <w:t xml:space="preserve"> de 2020</w:t>
      </w:r>
    </w:p>
    <w:p w14:paraId="52053BEC" w14:textId="2DD8A4DA" w:rsidR="005705F1" w:rsidRDefault="005705F1" w:rsidP="00C9085D">
      <w:pPr>
        <w:suppressAutoHyphens w:val="0"/>
        <w:autoSpaceDE w:val="0"/>
        <w:autoSpaceDN w:val="0"/>
        <w:adjustRightInd w:val="0"/>
        <w:ind w:right="851" w:firstLine="708"/>
        <w:jc w:val="both"/>
        <w:rPr>
          <w:b/>
          <w:bCs/>
          <w:sz w:val="26"/>
          <w:szCs w:val="26"/>
        </w:rPr>
      </w:pPr>
    </w:p>
    <w:p w14:paraId="6B390A0C" w14:textId="064359CF" w:rsidR="005705F1" w:rsidRDefault="005705F1" w:rsidP="00C9085D">
      <w:pPr>
        <w:suppressAutoHyphens w:val="0"/>
        <w:autoSpaceDE w:val="0"/>
        <w:autoSpaceDN w:val="0"/>
        <w:adjustRightInd w:val="0"/>
        <w:ind w:right="851" w:firstLine="708"/>
        <w:jc w:val="both"/>
        <w:rPr>
          <w:b/>
          <w:bCs/>
          <w:sz w:val="26"/>
          <w:szCs w:val="26"/>
        </w:rPr>
      </w:pPr>
    </w:p>
    <w:p w14:paraId="42CA13D4" w14:textId="77777777" w:rsidR="005705F1" w:rsidRDefault="005705F1" w:rsidP="005705F1">
      <w:pPr>
        <w:pStyle w:val="Textodebloque2"/>
        <w:spacing w:before="120" w:after="120"/>
        <w:ind w:left="0" w:right="0"/>
        <w:rPr>
          <w:b/>
          <w:bCs/>
          <w:sz w:val="26"/>
          <w:szCs w:val="26"/>
          <w:lang w:val="es-ES_tradnl" w:eastAsia="ar-SA"/>
        </w:rPr>
      </w:pPr>
      <w:r>
        <w:rPr>
          <w:b/>
          <w:bCs/>
          <w:color w:val="000000"/>
          <w:sz w:val="26"/>
          <w:szCs w:val="26"/>
        </w:rPr>
        <w:t xml:space="preserve">De conformidad con la circular N° 67-09 emitida por la Secretaría de la Corte el 22 de junio de 2009, se le comunica que en virtud del principio de gratuidad que rige esta materia, la publicación está exenta de todo pago de derechos. </w:t>
      </w:r>
      <w:r>
        <w:rPr>
          <w:b/>
          <w:bCs/>
          <w:sz w:val="26"/>
          <w:szCs w:val="26"/>
          <w:lang w:val="es-ES_tradnl" w:eastAsia="ar-SA"/>
        </w:rPr>
        <w:t>Publíquese una sola vez en el Boletín Judicial.</w:t>
      </w:r>
    </w:p>
    <w:p w14:paraId="124CDF25" w14:textId="77777777" w:rsidR="00C928F6" w:rsidRPr="00C928F6" w:rsidRDefault="00C928F6" w:rsidP="009C0BAE">
      <w:pPr>
        <w:ind w:left="851" w:right="851" w:firstLine="567"/>
        <w:jc w:val="both"/>
        <w:rPr>
          <w:rFonts w:eastAsia="Arial Unicode MS"/>
          <w:b/>
          <w:bCs/>
          <w:kern w:val="2"/>
          <w:sz w:val="26"/>
          <w:szCs w:val="26"/>
          <w:lang w:eastAsia="es-CR"/>
        </w:rPr>
      </w:pPr>
    </w:p>
    <w:p w14:paraId="645A5019" w14:textId="77777777" w:rsidR="00921F72" w:rsidRPr="00C928F6" w:rsidRDefault="00921F72" w:rsidP="009C0BAE">
      <w:pPr>
        <w:pStyle w:val="Ttulo51"/>
        <w:keepNext w:val="0"/>
        <w:tabs>
          <w:tab w:val="clear" w:pos="0"/>
          <w:tab w:val="left" w:pos="708"/>
        </w:tabs>
        <w:ind w:left="851" w:right="851"/>
        <w:jc w:val="both"/>
        <w:rPr>
          <w:rFonts w:eastAsia="Times New Roman"/>
          <w:i w:val="0"/>
          <w:iCs w:val="0"/>
          <w:u w:val="none"/>
        </w:rPr>
      </w:pPr>
      <w:r w:rsidRPr="00C928F6">
        <w:rPr>
          <w:rFonts w:eastAsia="Times New Roman"/>
          <w:i w:val="0"/>
          <w:iCs w:val="0"/>
          <w:u w:val="none"/>
        </w:rPr>
        <w:t>Lic. Carlos Toscano Mora Rodríguez</w:t>
      </w:r>
    </w:p>
    <w:p w14:paraId="77BFAE03" w14:textId="77777777" w:rsidR="00921F72" w:rsidRPr="00C928F6" w:rsidRDefault="00921F72" w:rsidP="009C0BAE">
      <w:pPr>
        <w:pStyle w:val="Ttulo51"/>
        <w:keepNext w:val="0"/>
        <w:tabs>
          <w:tab w:val="clear" w:pos="0"/>
          <w:tab w:val="left" w:pos="708"/>
        </w:tabs>
        <w:ind w:left="851" w:right="851"/>
        <w:jc w:val="both"/>
        <w:rPr>
          <w:rFonts w:eastAsia="Times New Roman"/>
          <w:i w:val="0"/>
          <w:iCs w:val="0"/>
          <w:u w:val="none"/>
        </w:rPr>
      </w:pPr>
      <w:r w:rsidRPr="00C928F6">
        <w:rPr>
          <w:rFonts w:eastAsia="Times New Roman"/>
          <w:i w:val="0"/>
          <w:iCs w:val="0"/>
          <w:u w:val="none"/>
        </w:rPr>
        <w:t>Subsecretario General interino</w:t>
      </w:r>
    </w:p>
    <w:p w14:paraId="0F83AE9E" w14:textId="77777777" w:rsidR="00921F72" w:rsidRPr="00C928F6" w:rsidRDefault="00921F72" w:rsidP="009C0BAE">
      <w:pPr>
        <w:ind w:left="851" w:right="851"/>
        <w:jc w:val="both"/>
        <w:rPr>
          <w:b/>
          <w:bCs/>
          <w:sz w:val="26"/>
          <w:szCs w:val="26"/>
        </w:rPr>
      </w:pPr>
      <w:r w:rsidRPr="00C928F6">
        <w:rPr>
          <w:b/>
          <w:bCs/>
          <w:sz w:val="26"/>
          <w:szCs w:val="26"/>
        </w:rPr>
        <w:t>Corte Suprema de Justicia</w:t>
      </w:r>
    </w:p>
    <w:p w14:paraId="49CE8AE3" w14:textId="5D67DD04" w:rsidR="00921F72" w:rsidRPr="00C928F6" w:rsidRDefault="00921F72" w:rsidP="009C0BAE">
      <w:pPr>
        <w:jc w:val="both"/>
        <w:rPr>
          <w:sz w:val="26"/>
          <w:szCs w:val="26"/>
        </w:rPr>
      </w:pPr>
    </w:p>
    <w:p w14:paraId="03B2816F" w14:textId="369147DA" w:rsidR="00615AD9" w:rsidRPr="00C928F6" w:rsidRDefault="00921F72" w:rsidP="009C0BAE">
      <w:pPr>
        <w:jc w:val="both"/>
        <w:rPr>
          <w:bCs/>
          <w:sz w:val="26"/>
          <w:szCs w:val="26"/>
        </w:rPr>
      </w:pPr>
      <w:proofErr w:type="spellStart"/>
      <w:r w:rsidRPr="00C928F6">
        <w:rPr>
          <w:sz w:val="26"/>
          <w:szCs w:val="26"/>
        </w:rPr>
        <w:t>Refs</w:t>
      </w:r>
      <w:proofErr w:type="spellEnd"/>
      <w:r w:rsidR="00955EEF" w:rsidRPr="00C928F6">
        <w:rPr>
          <w:sz w:val="26"/>
          <w:szCs w:val="26"/>
        </w:rPr>
        <w:t>.</w:t>
      </w:r>
      <w:r w:rsidRPr="00C928F6">
        <w:rPr>
          <w:sz w:val="26"/>
          <w:szCs w:val="26"/>
        </w:rPr>
        <w:t xml:space="preserve">: </w:t>
      </w:r>
      <w:r w:rsidR="00B42836" w:rsidRPr="00B42836">
        <w:rPr>
          <w:sz w:val="26"/>
          <w:szCs w:val="26"/>
        </w:rPr>
        <w:t>2755-20 / 9701-20</w:t>
      </w:r>
    </w:p>
    <w:p w14:paraId="282B0089" w14:textId="57BBF1F5" w:rsidR="00834F47" w:rsidRPr="00533A4A" w:rsidRDefault="00955D1C" w:rsidP="009C0BAE">
      <w:pPr>
        <w:jc w:val="both"/>
        <w:rPr>
          <w:bCs/>
          <w:i/>
          <w:iCs/>
          <w:sz w:val="20"/>
          <w:szCs w:val="20"/>
        </w:rPr>
      </w:pPr>
      <w:r w:rsidRPr="00533A4A">
        <w:rPr>
          <w:bCs/>
          <w:i/>
          <w:iCs/>
          <w:sz w:val="20"/>
          <w:szCs w:val="20"/>
        </w:rPr>
        <w:t>Melany Villalobos Granados</w:t>
      </w:r>
    </w:p>
    <w:sectPr w:rsidR="00834F47" w:rsidRPr="00533A4A" w:rsidSect="00F668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77A6" w14:textId="77777777" w:rsidR="00E61030" w:rsidRDefault="00E61030" w:rsidP="00B3519F">
      <w:r>
        <w:separator/>
      </w:r>
    </w:p>
  </w:endnote>
  <w:endnote w:type="continuationSeparator" w:id="0">
    <w:p w14:paraId="704CB513" w14:textId="77777777" w:rsidR="00E61030" w:rsidRDefault="00E61030" w:rsidP="00B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72B74" w14:textId="77777777" w:rsidR="00E61030" w:rsidRDefault="00E61030" w:rsidP="00B3519F">
      <w:r>
        <w:separator/>
      </w:r>
    </w:p>
  </w:footnote>
  <w:footnote w:type="continuationSeparator" w:id="0">
    <w:p w14:paraId="54144CE2" w14:textId="77777777" w:rsidR="00E61030" w:rsidRDefault="00E61030" w:rsidP="00B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21DA72A3"/>
    <w:multiLevelType w:val="multilevel"/>
    <w:tmpl w:val="54B4037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FE2D38"/>
    <w:multiLevelType w:val="multilevel"/>
    <w:tmpl w:val="2C16D48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5D95601D"/>
    <w:multiLevelType w:val="multilevel"/>
    <w:tmpl w:val="CDACFE1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3E603D"/>
    <w:multiLevelType w:val="hybridMultilevel"/>
    <w:tmpl w:val="C4AC93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626E5304"/>
    <w:multiLevelType w:val="multilevel"/>
    <w:tmpl w:val="EF2E4E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7381B"/>
    <w:rsid w:val="00095124"/>
    <w:rsid w:val="000A2D20"/>
    <w:rsid w:val="001035E6"/>
    <w:rsid w:val="001C5D72"/>
    <w:rsid w:val="00286005"/>
    <w:rsid w:val="002F55D2"/>
    <w:rsid w:val="0033597B"/>
    <w:rsid w:val="004173F0"/>
    <w:rsid w:val="004963CB"/>
    <w:rsid w:val="004C1F31"/>
    <w:rsid w:val="004E6862"/>
    <w:rsid w:val="004F71EC"/>
    <w:rsid w:val="00533A4A"/>
    <w:rsid w:val="005705F1"/>
    <w:rsid w:val="00593142"/>
    <w:rsid w:val="005C0329"/>
    <w:rsid w:val="00611920"/>
    <w:rsid w:val="00615AD9"/>
    <w:rsid w:val="006531BE"/>
    <w:rsid w:val="00671363"/>
    <w:rsid w:val="00686CB3"/>
    <w:rsid w:val="006F3AD7"/>
    <w:rsid w:val="00746B18"/>
    <w:rsid w:val="00777C18"/>
    <w:rsid w:val="007B4F32"/>
    <w:rsid w:val="0081222D"/>
    <w:rsid w:val="008D2571"/>
    <w:rsid w:val="00921F72"/>
    <w:rsid w:val="00954549"/>
    <w:rsid w:val="00955D1C"/>
    <w:rsid w:val="00955EEF"/>
    <w:rsid w:val="009C0BAE"/>
    <w:rsid w:val="009C1FB0"/>
    <w:rsid w:val="00A42F3D"/>
    <w:rsid w:val="00A71976"/>
    <w:rsid w:val="00AE1ED0"/>
    <w:rsid w:val="00B3519F"/>
    <w:rsid w:val="00B3741E"/>
    <w:rsid w:val="00B42836"/>
    <w:rsid w:val="00B803A6"/>
    <w:rsid w:val="00B92D5E"/>
    <w:rsid w:val="00BD421F"/>
    <w:rsid w:val="00C07105"/>
    <w:rsid w:val="00C23BFE"/>
    <w:rsid w:val="00C36E93"/>
    <w:rsid w:val="00C9085D"/>
    <w:rsid w:val="00C928F6"/>
    <w:rsid w:val="00CE3215"/>
    <w:rsid w:val="00DE7F0C"/>
    <w:rsid w:val="00E00D1C"/>
    <w:rsid w:val="00E61030"/>
    <w:rsid w:val="00EC04E7"/>
    <w:rsid w:val="00F2236D"/>
    <w:rsid w:val="00F63449"/>
    <w:rsid w:val="00FC4DA5"/>
    <w:rsid w:val="00FE1671"/>
    <w:rsid w:val="00FE7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styleId="Textonotapie">
    <w:name w:val="footnote text"/>
    <w:basedOn w:val="Normal"/>
    <w:link w:val="TextonotapieCar"/>
    <w:uiPriority w:val="99"/>
    <w:semiHidden/>
    <w:unhideWhenUsed/>
    <w:rsid w:val="00B3519F"/>
    <w:rPr>
      <w:sz w:val="20"/>
      <w:szCs w:val="20"/>
    </w:rPr>
  </w:style>
  <w:style w:type="character" w:customStyle="1" w:styleId="TextonotapieCar">
    <w:name w:val="Texto nota pie Car"/>
    <w:basedOn w:val="Fuentedeprrafopredeter"/>
    <w:link w:val="Textonotapie"/>
    <w:uiPriority w:val="99"/>
    <w:semiHidden/>
    <w:rsid w:val="00B3519F"/>
    <w:rPr>
      <w:rFonts w:ascii="Times New Roman" w:eastAsia="Times New Roman" w:hAnsi="Times New Roman" w:cs="Times New Roman"/>
      <w:sz w:val="20"/>
      <w:szCs w:val="20"/>
      <w:lang w:val="es-ES" w:eastAsia="zh-CN"/>
    </w:rPr>
  </w:style>
  <w:style w:type="character" w:styleId="Hipervnculo">
    <w:name w:val="Hyperlink"/>
    <w:uiPriority w:val="99"/>
    <w:rsid w:val="00B3519F"/>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B3519F"/>
    <w:rPr>
      <w:vertAlign w:val="superscript"/>
    </w:rPr>
  </w:style>
  <w:style w:type="paragraph" w:customStyle="1" w:styleId="Default">
    <w:name w:val="Default"/>
    <w:rsid w:val="00B3519F"/>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paragraph" w:customStyle="1" w:styleId="xmsonormal">
    <w:name w:val="x_msonormal"/>
    <w:basedOn w:val="Normal"/>
    <w:rsid w:val="0033597B"/>
    <w:pPr>
      <w:suppressAutoHyphens w:val="0"/>
      <w:spacing w:before="100" w:beforeAutospacing="1" w:after="100" w:afterAutospacing="1"/>
    </w:pPr>
    <w:rPr>
      <w:lang w:val="en-US" w:eastAsia="en-US"/>
    </w:rPr>
  </w:style>
  <w:style w:type="character" w:customStyle="1" w:styleId="Ttulo2Car">
    <w:name w:val="Título 2 Car"/>
    <w:aliases w:val="Títulos de Hallazgo e Introducción Car"/>
    <w:basedOn w:val="Fuentedeprrafopredeter"/>
    <w:link w:val="Ttulo21"/>
    <w:locked/>
    <w:rsid w:val="00F2236D"/>
    <w:rPr>
      <w:rFonts w:ascii="Arial" w:hAnsi="Arial" w:cs="Arial"/>
      <w:i/>
      <w:iCs/>
      <w:lang w:eastAsia="ar-SA"/>
    </w:rPr>
  </w:style>
  <w:style w:type="paragraph" w:customStyle="1" w:styleId="Ttulo21">
    <w:name w:val="Título 21"/>
    <w:aliases w:val="Títulos de Hallazgo e Introducción"/>
    <w:basedOn w:val="Normal"/>
    <w:link w:val="Ttulo2Car"/>
    <w:rsid w:val="00F2236D"/>
    <w:pPr>
      <w:keepNext/>
      <w:suppressAutoHyphens w:val="0"/>
      <w:spacing w:before="240" w:after="60"/>
    </w:pPr>
    <w:rPr>
      <w:rFonts w:ascii="Arial" w:eastAsiaTheme="minorHAnsi" w:hAnsi="Arial" w:cs="Arial"/>
      <w:i/>
      <w:iCs/>
      <w:sz w:val="22"/>
      <w:szCs w:val="22"/>
      <w:lang w:val="es-CR" w:eastAsia="ar-SA"/>
    </w:rPr>
  </w:style>
  <w:style w:type="character" w:customStyle="1" w:styleId="encabezadodelaCar">
    <w:name w:val="encabezado de la Car"/>
    <w:basedOn w:val="Fuentedeprrafopredeter"/>
    <w:link w:val="encabezadodela"/>
    <w:qFormat/>
    <w:locked/>
    <w:rsid w:val="007B4F32"/>
    <w:rPr>
      <w:color w:val="000099"/>
      <w:sz w:val="28"/>
      <w:szCs w:val="28"/>
      <w:lang w:val="es-ES_tradnl" w:eastAsia="ar-SA"/>
    </w:rPr>
  </w:style>
  <w:style w:type="paragraph" w:customStyle="1" w:styleId="encabezadodela">
    <w:name w:val="encabezado de la"/>
    <w:basedOn w:val="Normal"/>
    <w:link w:val="encabezadodelaCar"/>
    <w:qFormat/>
    <w:rsid w:val="007B4F32"/>
    <w:pPr>
      <w:spacing w:line="480" w:lineRule="auto"/>
      <w:ind w:firstLine="708"/>
      <w:jc w:val="both"/>
    </w:pPr>
    <w:rPr>
      <w:rFonts w:asciiTheme="minorHAnsi" w:eastAsiaTheme="minorHAnsi" w:hAnsiTheme="minorHAnsi" w:cstheme="minorBidi"/>
      <w:color w:val="000099"/>
      <w:sz w:val="28"/>
      <w:szCs w:val="28"/>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158">
      <w:bodyDiv w:val="1"/>
      <w:marLeft w:val="0"/>
      <w:marRight w:val="0"/>
      <w:marTop w:val="0"/>
      <w:marBottom w:val="0"/>
      <w:divBdr>
        <w:top w:val="none" w:sz="0" w:space="0" w:color="auto"/>
        <w:left w:val="none" w:sz="0" w:space="0" w:color="auto"/>
        <w:bottom w:val="none" w:sz="0" w:space="0" w:color="auto"/>
        <w:right w:val="none" w:sz="0" w:space="0" w:color="auto"/>
      </w:divBdr>
    </w:div>
    <w:div w:id="27031479">
      <w:bodyDiv w:val="1"/>
      <w:marLeft w:val="0"/>
      <w:marRight w:val="0"/>
      <w:marTop w:val="0"/>
      <w:marBottom w:val="0"/>
      <w:divBdr>
        <w:top w:val="none" w:sz="0" w:space="0" w:color="auto"/>
        <w:left w:val="none" w:sz="0" w:space="0" w:color="auto"/>
        <w:bottom w:val="none" w:sz="0" w:space="0" w:color="auto"/>
        <w:right w:val="none" w:sz="0" w:space="0" w:color="auto"/>
      </w:divBdr>
    </w:div>
    <w:div w:id="269974007">
      <w:bodyDiv w:val="1"/>
      <w:marLeft w:val="0"/>
      <w:marRight w:val="0"/>
      <w:marTop w:val="0"/>
      <w:marBottom w:val="0"/>
      <w:divBdr>
        <w:top w:val="none" w:sz="0" w:space="0" w:color="auto"/>
        <w:left w:val="none" w:sz="0" w:space="0" w:color="auto"/>
        <w:bottom w:val="none" w:sz="0" w:space="0" w:color="auto"/>
        <w:right w:val="none" w:sz="0" w:space="0" w:color="auto"/>
      </w:divBdr>
    </w:div>
    <w:div w:id="499197997">
      <w:bodyDiv w:val="1"/>
      <w:marLeft w:val="0"/>
      <w:marRight w:val="0"/>
      <w:marTop w:val="0"/>
      <w:marBottom w:val="0"/>
      <w:divBdr>
        <w:top w:val="none" w:sz="0" w:space="0" w:color="auto"/>
        <w:left w:val="none" w:sz="0" w:space="0" w:color="auto"/>
        <w:bottom w:val="none" w:sz="0" w:space="0" w:color="auto"/>
        <w:right w:val="none" w:sz="0" w:space="0" w:color="auto"/>
      </w:divBdr>
    </w:div>
    <w:div w:id="580067921">
      <w:bodyDiv w:val="1"/>
      <w:marLeft w:val="0"/>
      <w:marRight w:val="0"/>
      <w:marTop w:val="0"/>
      <w:marBottom w:val="0"/>
      <w:divBdr>
        <w:top w:val="none" w:sz="0" w:space="0" w:color="auto"/>
        <w:left w:val="none" w:sz="0" w:space="0" w:color="auto"/>
        <w:bottom w:val="none" w:sz="0" w:space="0" w:color="auto"/>
        <w:right w:val="none" w:sz="0" w:space="0" w:color="auto"/>
      </w:divBdr>
    </w:div>
    <w:div w:id="945621350">
      <w:bodyDiv w:val="1"/>
      <w:marLeft w:val="0"/>
      <w:marRight w:val="0"/>
      <w:marTop w:val="0"/>
      <w:marBottom w:val="0"/>
      <w:divBdr>
        <w:top w:val="none" w:sz="0" w:space="0" w:color="auto"/>
        <w:left w:val="none" w:sz="0" w:space="0" w:color="auto"/>
        <w:bottom w:val="none" w:sz="0" w:space="0" w:color="auto"/>
        <w:right w:val="none" w:sz="0" w:space="0" w:color="auto"/>
      </w:divBdr>
    </w:div>
    <w:div w:id="1017003425">
      <w:bodyDiv w:val="1"/>
      <w:marLeft w:val="0"/>
      <w:marRight w:val="0"/>
      <w:marTop w:val="0"/>
      <w:marBottom w:val="0"/>
      <w:divBdr>
        <w:top w:val="none" w:sz="0" w:space="0" w:color="auto"/>
        <w:left w:val="none" w:sz="0" w:space="0" w:color="auto"/>
        <w:bottom w:val="none" w:sz="0" w:space="0" w:color="auto"/>
        <w:right w:val="none" w:sz="0" w:space="0" w:color="auto"/>
      </w:divBdr>
    </w:div>
    <w:div w:id="1078988471">
      <w:bodyDiv w:val="1"/>
      <w:marLeft w:val="0"/>
      <w:marRight w:val="0"/>
      <w:marTop w:val="0"/>
      <w:marBottom w:val="0"/>
      <w:divBdr>
        <w:top w:val="none" w:sz="0" w:space="0" w:color="auto"/>
        <w:left w:val="none" w:sz="0" w:space="0" w:color="auto"/>
        <w:bottom w:val="none" w:sz="0" w:space="0" w:color="auto"/>
        <w:right w:val="none" w:sz="0" w:space="0" w:color="auto"/>
      </w:divBdr>
    </w:div>
    <w:div w:id="1217357978">
      <w:bodyDiv w:val="1"/>
      <w:marLeft w:val="0"/>
      <w:marRight w:val="0"/>
      <w:marTop w:val="0"/>
      <w:marBottom w:val="0"/>
      <w:divBdr>
        <w:top w:val="none" w:sz="0" w:space="0" w:color="auto"/>
        <w:left w:val="none" w:sz="0" w:space="0" w:color="auto"/>
        <w:bottom w:val="none" w:sz="0" w:space="0" w:color="auto"/>
        <w:right w:val="none" w:sz="0" w:space="0" w:color="auto"/>
      </w:divBdr>
    </w:div>
    <w:div w:id="1399593847">
      <w:bodyDiv w:val="1"/>
      <w:marLeft w:val="0"/>
      <w:marRight w:val="0"/>
      <w:marTop w:val="0"/>
      <w:marBottom w:val="0"/>
      <w:divBdr>
        <w:top w:val="none" w:sz="0" w:space="0" w:color="auto"/>
        <w:left w:val="none" w:sz="0" w:space="0" w:color="auto"/>
        <w:bottom w:val="none" w:sz="0" w:space="0" w:color="auto"/>
        <w:right w:val="none" w:sz="0" w:space="0" w:color="auto"/>
      </w:divBdr>
    </w:div>
    <w:div w:id="1400326954">
      <w:bodyDiv w:val="1"/>
      <w:marLeft w:val="0"/>
      <w:marRight w:val="0"/>
      <w:marTop w:val="0"/>
      <w:marBottom w:val="0"/>
      <w:divBdr>
        <w:top w:val="none" w:sz="0" w:space="0" w:color="auto"/>
        <w:left w:val="none" w:sz="0" w:space="0" w:color="auto"/>
        <w:bottom w:val="none" w:sz="0" w:space="0" w:color="auto"/>
        <w:right w:val="none" w:sz="0" w:space="0" w:color="auto"/>
      </w:divBdr>
    </w:div>
    <w:div w:id="1486775958">
      <w:bodyDiv w:val="1"/>
      <w:marLeft w:val="0"/>
      <w:marRight w:val="0"/>
      <w:marTop w:val="0"/>
      <w:marBottom w:val="0"/>
      <w:divBdr>
        <w:top w:val="none" w:sz="0" w:space="0" w:color="auto"/>
        <w:left w:val="none" w:sz="0" w:space="0" w:color="auto"/>
        <w:bottom w:val="none" w:sz="0" w:space="0" w:color="auto"/>
        <w:right w:val="none" w:sz="0" w:space="0" w:color="auto"/>
      </w:divBdr>
    </w:div>
    <w:div w:id="1552838269">
      <w:bodyDiv w:val="1"/>
      <w:marLeft w:val="0"/>
      <w:marRight w:val="0"/>
      <w:marTop w:val="0"/>
      <w:marBottom w:val="0"/>
      <w:divBdr>
        <w:top w:val="none" w:sz="0" w:space="0" w:color="auto"/>
        <w:left w:val="none" w:sz="0" w:space="0" w:color="auto"/>
        <w:bottom w:val="none" w:sz="0" w:space="0" w:color="auto"/>
        <w:right w:val="none" w:sz="0" w:space="0" w:color="auto"/>
      </w:divBdr>
    </w:div>
    <w:div w:id="1618098948">
      <w:bodyDiv w:val="1"/>
      <w:marLeft w:val="0"/>
      <w:marRight w:val="0"/>
      <w:marTop w:val="0"/>
      <w:marBottom w:val="0"/>
      <w:divBdr>
        <w:top w:val="none" w:sz="0" w:space="0" w:color="auto"/>
        <w:left w:val="none" w:sz="0" w:space="0" w:color="auto"/>
        <w:bottom w:val="none" w:sz="0" w:space="0" w:color="auto"/>
        <w:right w:val="none" w:sz="0" w:space="0" w:color="auto"/>
      </w:divBdr>
    </w:div>
    <w:div w:id="21461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2424</Characters>
  <Application>Microsoft Office Word</Application>
  <DocSecurity>4</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Luis Alonso Bonilla Bastos</cp:lastModifiedBy>
  <cp:revision>2</cp:revision>
  <dcterms:created xsi:type="dcterms:W3CDTF">2022-03-31T13:40:00Z</dcterms:created>
  <dcterms:modified xsi:type="dcterms:W3CDTF">2022-03-31T13:40:00Z</dcterms:modified>
</cp:coreProperties>
</file>