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xml" ContentType="application/vnd.ms-office.intelligenc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F9D8EE" w14:textId="0BCAFAAE" w:rsidR="004E1887" w:rsidRPr="004E1887" w:rsidRDefault="006353AE" w:rsidP="000343D8">
      <w:pPr>
        <w:widowControl w:val="0"/>
        <w:jc w:val="right"/>
        <w:rPr>
          <w:rFonts w:ascii="Book Antiqua" w:hAnsi="Book Antiqua" w:cs="Book Antiqua"/>
          <w:snapToGrid w:val="0"/>
          <w:lang w:val="es-CR"/>
        </w:rPr>
      </w:pPr>
      <w:r>
        <w:rPr>
          <w:rFonts w:ascii="Book Antiqua" w:hAnsi="Book Antiqua" w:cs="Book Antiqua"/>
          <w:snapToGrid w:val="0"/>
          <w:lang w:val="es-CR"/>
        </w:rPr>
        <w:t>573</w:t>
      </w:r>
      <w:r w:rsidR="004E1887" w:rsidRPr="004E1887">
        <w:rPr>
          <w:rFonts w:ascii="Book Antiqua" w:hAnsi="Book Antiqua" w:cs="Book Antiqua"/>
          <w:snapToGrid w:val="0"/>
          <w:lang w:val="es-CR"/>
        </w:rPr>
        <w:t>-PLA-</w:t>
      </w:r>
      <w:r w:rsidR="00924373">
        <w:rPr>
          <w:rFonts w:ascii="Book Antiqua" w:hAnsi="Book Antiqua" w:cs="Book Antiqua"/>
          <w:snapToGrid w:val="0"/>
          <w:lang w:val="es-CR"/>
        </w:rPr>
        <w:t>EV</w:t>
      </w:r>
      <w:r w:rsidR="004E1887" w:rsidRPr="004E1887">
        <w:rPr>
          <w:rFonts w:ascii="Book Antiqua" w:hAnsi="Book Antiqua" w:cs="Book Antiqua"/>
          <w:snapToGrid w:val="0"/>
          <w:lang w:val="es-CR"/>
        </w:rPr>
        <w:t>-2022</w:t>
      </w:r>
    </w:p>
    <w:p w14:paraId="0003DB09" w14:textId="53F0CF65" w:rsidR="004E1887" w:rsidRPr="004E1887" w:rsidRDefault="004E1887" w:rsidP="00FD261A">
      <w:pPr>
        <w:widowControl w:val="0"/>
        <w:jc w:val="right"/>
        <w:rPr>
          <w:rFonts w:ascii="Book Antiqua" w:hAnsi="Book Antiqua" w:cs="Book Antiqua"/>
          <w:b/>
          <w:bCs/>
          <w:snapToGrid w:val="0"/>
          <w:lang w:val="es-CR"/>
        </w:rPr>
      </w:pPr>
      <w:r w:rsidRPr="004E1887">
        <w:rPr>
          <w:rFonts w:ascii="Book Antiqua" w:hAnsi="Book Antiqua" w:cs="Book Antiqua"/>
          <w:b/>
          <w:bCs/>
          <w:lang w:val="es-CR"/>
        </w:rPr>
        <w:t xml:space="preserve">Ref. SICE: </w:t>
      </w:r>
      <w:r w:rsidR="00924373" w:rsidRPr="000F500A">
        <w:rPr>
          <w:rFonts w:ascii="Book Antiqua" w:hAnsi="Book Antiqua" w:cs="Book Antiqua"/>
          <w:b/>
          <w:bCs/>
          <w:lang w:val="es-CR"/>
        </w:rPr>
        <w:t>504-2022</w:t>
      </w:r>
    </w:p>
    <w:p w14:paraId="762F00D3" w14:textId="77777777" w:rsidR="001C29EC" w:rsidRDefault="001C29EC">
      <w:pPr>
        <w:widowControl w:val="0"/>
        <w:rPr>
          <w:rFonts w:ascii="Book Antiqua" w:hAnsi="Book Antiqua" w:cs="Book Antiqua"/>
          <w:snapToGrid w:val="0"/>
          <w:lang w:val="es-CR"/>
        </w:rPr>
      </w:pPr>
    </w:p>
    <w:p w14:paraId="18A6DEC2" w14:textId="77777777" w:rsidR="001C29EC" w:rsidRDefault="001C29EC">
      <w:pPr>
        <w:widowControl w:val="0"/>
        <w:rPr>
          <w:rFonts w:ascii="Book Antiqua" w:hAnsi="Book Antiqua" w:cs="Book Antiqua"/>
          <w:snapToGrid w:val="0"/>
          <w:lang w:val="es-CR"/>
        </w:rPr>
      </w:pPr>
    </w:p>
    <w:p w14:paraId="28629318" w14:textId="2C59A887" w:rsidR="001C29EC" w:rsidRPr="006353AE" w:rsidRDefault="0052572B" w:rsidP="00345B2C">
      <w:pPr>
        <w:widowControl w:val="0"/>
        <w:rPr>
          <w:rFonts w:ascii="Book Antiqua" w:hAnsi="Book Antiqua" w:cs="Book Antiqua"/>
          <w:lang w:val="es-CR"/>
        </w:rPr>
      </w:pPr>
      <w:r w:rsidRPr="006353AE">
        <w:rPr>
          <w:rFonts w:ascii="Book Antiqua" w:hAnsi="Book Antiqua" w:cs="Book Antiqua"/>
          <w:lang w:val="es-CR"/>
        </w:rPr>
        <w:t xml:space="preserve">29 </w:t>
      </w:r>
      <w:r w:rsidR="001C29EC" w:rsidRPr="006353AE">
        <w:rPr>
          <w:rFonts w:ascii="Book Antiqua" w:hAnsi="Book Antiqua" w:cs="Book Antiqua"/>
          <w:lang w:val="es-CR"/>
        </w:rPr>
        <w:t xml:space="preserve">de </w:t>
      </w:r>
      <w:r w:rsidR="00783C8C" w:rsidRPr="006353AE">
        <w:rPr>
          <w:rFonts w:ascii="Book Antiqua" w:hAnsi="Book Antiqua" w:cs="Book Antiqua"/>
          <w:lang w:val="es-CR"/>
        </w:rPr>
        <w:t>junio</w:t>
      </w:r>
      <w:r w:rsidR="001C29EC" w:rsidRPr="006353AE">
        <w:rPr>
          <w:rFonts w:ascii="Book Antiqua" w:hAnsi="Book Antiqua" w:cs="Book Antiqua"/>
          <w:lang w:val="es-CR"/>
        </w:rPr>
        <w:t xml:space="preserve"> del 202</w:t>
      </w:r>
      <w:r w:rsidR="00783C8C" w:rsidRPr="006353AE">
        <w:rPr>
          <w:rFonts w:ascii="Book Antiqua" w:hAnsi="Book Antiqua" w:cs="Book Antiqua"/>
          <w:lang w:val="es-CR"/>
        </w:rPr>
        <w:t>2</w:t>
      </w:r>
    </w:p>
    <w:p w14:paraId="68B1CF97" w14:textId="77777777" w:rsidR="001C29EC" w:rsidRPr="006353AE" w:rsidRDefault="001C29EC" w:rsidP="00345B2C">
      <w:pPr>
        <w:widowControl w:val="0"/>
        <w:rPr>
          <w:rFonts w:ascii="Book Antiqua" w:hAnsi="Book Antiqua" w:cs="Book Antiqua"/>
          <w:snapToGrid w:val="0"/>
          <w:lang w:val="es-CR"/>
        </w:rPr>
      </w:pPr>
    </w:p>
    <w:p w14:paraId="0875C5D3" w14:textId="77777777" w:rsidR="001C29EC" w:rsidRPr="006353AE" w:rsidRDefault="001C29EC" w:rsidP="00345B2C">
      <w:pPr>
        <w:widowControl w:val="0"/>
        <w:rPr>
          <w:rFonts w:ascii="Book Antiqua" w:hAnsi="Book Antiqua" w:cs="Book Antiqua"/>
          <w:snapToGrid w:val="0"/>
          <w:lang w:val="es-CR"/>
        </w:rPr>
      </w:pPr>
    </w:p>
    <w:p w14:paraId="2932EDB2" w14:textId="77777777" w:rsidR="001C29EC" w:rsidRPr="006353AE" w:rsidRDefault="001C29EC" w:rsidP="00345B2C">
      <w:pPr>
        <w:widowControl w:val="0"/>
        <w:rPr>
          <w:rFonts w:ascii="Book Antiqua" w:hAnsi="Book Antiqua" w:cs="Book Antiqua"/>
          <w:snapToGrid w:val="0"/>
          <w:lang w:val="es-CR"/>
        </w:rPr>
      </w:pPr>
    </w:p>
    <w:p w14:paraId="21D5886D" w14:textId="77777777" w:rsidR="001C29EC" w:rsidRPr="006353AE" w:rsidRDefault="001C29EC" w:rsidP="00345B2C">
      <w:pPr>
        <w:widowControl w:val="0"/>
        <w:rPr>
          <w:rFonts w:ascii="Book Antiqua" w:hAnsi="Book Antiqua" w:cs="Book Antiqua"/>
          <w:snapToGrid w:val="0"/>
          <w:lang w:val="es-CR"/>
        </w:rPr>
      </w:pPr>
      <w:r w:rsidRPr="006353AE">
        <w:rPr>
          <w:rFonts w:ascii="Book Antiqua" w:hAnsi="Book Antiqua" w:cs="Book Antiqua"/>
          <w:snapToGrid w:val="0"/>
          <w:lang w:val="es-CR"/>
        </w:rPr>
        <w:t>Licenciada</w:t>
      </w:r>
    </w:p>
    <w:p w14:paraId="17DF915F" w14:textId="77777777" w:rsidR="001C29EC" w:rsidRPr="006353AE" w:rsidRDefault="001C29EC" w:rsidP="00345B2C">
      <w:pPr>
        <w:widowControl w:val="0"/>
        <w:rPr>
          <w:rFonts w:ascii="Book Antiqua" w:hAnsi="Book Antiqua" w:cs="Book Antiqua"/>
          <w:snapToGrid w:val="0"/>
          <w:lang w:val="es-CR"/>
        </w:rPr>
      </w:pPr>
      <w:r w:rsidRPr="006353AE">
        <w:rPr>
          <w:rFonts w:ascii="Book Antiqua" w:hAnsi="Book Antiqua" w:cs="Book Antiqua"/>
          <w:snapToGrid w:val="0"/>
          <w:lang w:val="es-CR"/>
        </w:rPr>
        <w:t xml:space="preserve">Silvia Navarro Romanini </w:t>
      </w:r>
    </w:p>
    <w:p w14:paraId="76D89FD5" w14:textId="77777777" w:rsidR="001C29EC" w:rsidRPr="006353AE" w:rsidRDefault="001C29EC" w:rsidP="00345B2C">
      <w:pPr>
        <w:widowControl w:val="0"/>
        <w:rPr>
          <w:rFonts w:ascii="Book Antiqua" w:hAnsi="Book Antiqua" w:cs="Book Antiqua"/>
          <w:snapToGrid w:val="0"/>
          <w:lang w:val="es-CR"/>
        </w:rPr>
      </w:pPr>
      <w:r w:rsidRPr="006353AE">
        <w:rPr>
          <w:rFonts w:ascii="Book Antiqua" w:hAnsi="Book Antiqua" w:cs="Book Antiqua"/>
          <w:snapToGrid w:val="0"/>
          <w:lang w:val="es-CR"/>
        </w:rPr>
        <w:t>Secretaría General de la Corte</w:t>
      </w:r>
    </w:p>
    <w:p w14:paraId="6F78A2AA" w14:textId="77777777" w:rsidR="001C29EC" w:rsidRPr="006353AE" w:rsidRDefault="001C29EC" w:rsidP="00345B2C">
      <w:pPr>
        <w:widowControl w:val="0"/>
        <w:rPr>
          <w:rFonts w:ascii="Book Antiqua" w:hAnsi="Book Antiqua" w:cs="Book Antiqua"/>
          <w:snapToGrid w:val="0"/>
          <w:lang w:val="es-CR"/>
        </w:rPr>
      </w:pPr>
    </w:p>
    <w:p w14:paraId="0205505E" w14:textId="77777777" w:rsidR="001C29EC" w:rsidRPr="006353AE" w:rsidRDefault="001C29EC" w:rsidP="00345B2C">
      <w:pPr>
        <w:widowControl w:val="0"/>
        <w:rPr>
          <w:rFonts w:ascii="Book Antiqua" w:hAnsi="Book Antiqua" w:cs="Book Antiqua"/>
          <w:snapToGrid w:val="0"/>
          <w:lang w:val="es-CR"/>
        </w:rPr>
      </w:pPr>
      <w:r w:rsidRPr="006353AE">
        <w:rPr>
          <w:rFonts w:ascii="Book Antiqua" w:hAnsi="Book Antiqua" w:cs="Book Antiqua"/>
          <w:snapToGrid w:val="0"/>
          <w:lang w:val="es-CR"/>
        </w:rPr>
        <w:t>Estimada señora:</w:t>
      </w:r>
    </w:p>
    <w:p w14:paraId="20E8DC53" w14:textId="77777777" w:rsidR="001C29EC" w:rsidRPr="006353AE" w:rsidRDefault="001C29EC" w:rsidP="00345B2C">
      <w:pPr>
        <w:jc w:val="both"/>
        <w:rPr>
          <w:rFonts w:ascii="Book Antiqua" w:hAnsi="Book Antiqua"/>
          <w:snapToGrid w:val="0"/>
          <w:sz w:val="20"/>
          <w:szCs w:val="20"/>
          <w:lang w:val="es-CR"/>
        </w:rPr>
      </w:pPr>
    </w:p>
    <w:p w14:paraId="20591C25" w14:textId="2D58586B" w:rsidR="001C29EC" w:rsidRPr="006353AE" w:rsidRDefault="001C29EC" w:rsidP="00345B2C">
      <w:pPr>
        <w:jc w:val="both"/>
        <w:rPr>
          <w:rFonts w:ascii="Book Antiqua" w:hAnsi="Book Antiqua" w:cs="Arial"/>
        </w:rPr>
      </w:pPr>
      <w:r w:rsidRPr="006353AE">
        <w:rPr>
          <w:rFonts w:ascii="Book Antiqua" w:hAnsi="Book Antiqua" w:cs="Book Antiqua"/>
          <w:lang w:val="es-CR"/>
        </w:rPr>
        <w:t xml:space="preserve"> </w:t>
      </w:r>
      <w:r w:rsidR="00A90D7B" w:rsidRPr="006353AE">
        <w:rPr>
          <w:rFonts w:ascii="Book Antiqua" w:hAnsi="Book Antiqua" w:cs="Book Antiqua"/>
          <w:lang w:val="es-CR"/>
        </w:rPr>
        <w:tab/>
      </w:r>
      <w:r w:rsidRPr="006353AE">
        <w:rPr>
          <w:rFonts w:ascii="Book Antiqua" w:hAnsi="Book Antiqua" w:cs="Book Antiqua"/>
          <w:lang w:val="es-CR"/>
        </w:rPr>
        <w:t xml:space="preserve">Le remito el informe </w:t>
      </w:r>
      <w:r w:rsidRPr="006353AE">
        <w:rPr>
          <w:rFonts w:ascii="Book Antiqua" w:hAnsi="Book Antiqua" w:cs="Book Antiqua"/>
        </w:rPr>
        <w:t>suscrito por la Ingeniera Elena Gabriela Picado González</w:t>
      </w:r>
      <w:r w:rsidRPr="006353AE">
        <w:rPr>
          <w:rFonts w:ascii="Book Antiqua" w:hAnsi="Book Antiqua" w:cs="Arial"/>
        </w:rPr>
        <w:t>, Jefa a.i. del Subproceso de Evaluación</w:t>
      </w:r>
      <w:r w:rsidRPr="006353AE">
        <w:rPr>
          <w:rFonts w:ascii="Book Antiqua" w:hAnsi="Book Antiqua" w:cs="Book Antiqua"/>
        </w:rPr>
        <w:t xml:space="preserve">, relacionado con la evaluación realizada al cumplimiento del </w:t>
      </w:r>
      <w:r w:rsidRPr="006353AE">
        <w:rPr>
          <w:rFonts w:ascii="Book Antiqua" w:eastAsia="Calibri" w:hAnsi="Book Antiqua"/>
          <w:color w:val="000000"/>
        </w:rPr>
        <w:t xml:space="preserve">Plan Estratégico Institucional para </w:t>
      </w:r>
      <w:r w:rsidR="00F706EF" w:rsidRPr="006353AE">
        <w:rPr>
          <w:rFonts w:ascii="Book Antiqua" w:eastAsia="Calibri" w:hAnsi="Book Antiqua"/>
          <w:color w:val="000000"/>
        </w:rPr>
        <w:t>el año 2021.</w:t>
      </w:r>
    </w:p>
    <w:p w14:paraId="15998692" w14:textId="77777777" w:rsidR="001C29EC" w:rsidRPr="006353AE" w:rsidRDefault="001C29EC" w:rsidP="00345B2C">
      <w:pPr>
        <w:ind w:right="49" w:firstLine="708"/>
        <w:jc w:val="both"/>
        <w:rPr>
          <w:rFonts w:ascii="Book Antiqua" w:hAnsi="Book Antiqua"/>
          <w:lang w:val="es-CR"/>
        </w:rPr>
      </w:pPr>
    </w:p>
    <w:p w14:paraId="3DCC3B52" w14:textId="371A280B" w:rsidR="001C29EC" w:rsidRPr="006353AE" w:rsidRDefault="001C29EC" w:rsidP="00345B2C">
      <w:pPr>
        <w:ind w:firstLine="708"/>
        <w:jc w:val="both"/>
        <w:rPr>
          <w:rFonts w:ascii="Book Antiqua" w:hAnsi="Book Antiqua"/>
        </w:rPr>
      </w:pPr>
      <w:r w:rsidRPr="006353AE">
        <w:rPr>
          <w:rFonts w:ascii="Book Antiqua" w:hAnsi="Book Antiqua" w:cs="Book Antiqua"/>
          <w:lang w:val="es-CR"/>
        </w:rPr>
        <w:t xml:space="preserve">Con el fin de que se manifestaran al respecto, mediante oficio </w:t>
      </w:r>
      <w:r w:rsidR="00F706EF" w:rsidRPr="006353AE">
        <w:rPr>
          <w:rFonts w:ascii="Book Antiqua" w:hAnsi="Book Antiqua" w:cs="Book Antiqua"/>
          <w:snapToGrid w:val="0"/>
        </w:rPr>
        <w:t>499</w:t>
      </w:r>
      <w:r w:rsidRPr="006353AE">
        <w:rPr>
          <w:rFonts w:ascii="Book Antiqua" w:hAnsi="Book Antiqua" w:cs="Book Antiqua"/>
          <w:snapToGrid w:val="0"/>
        </w:rPr>
        <w:t>-PLA EV-202</w:t>
      </w:r>
      <w:r w:rsidR="00F706EF" w:rsidRPr="006353AE">
        <w:rPr>
          <w:rFonts w:ascii="Book Antiqua" w:hAnsi="Book Antiqua" w:cs="Book Antiqua"/>
          <w:snapToGrid w:val="0"/>
        </w:rPr>
        <w:t>2</w:t>
      </w:r>
      <w:r w:rsidRPr="006353AE">
        <w:rPr>
          <w:rFonts w:ascii="Book Antiqua" w:hAnsi="Book Antiqua" w:cs="Book Antiqua"/>
          <w:lang w:val="es-CR"/>
        </w:rPr>
        <w:t xml:space="preserve"> el </w:t>
      </w:r>
      <w:r w:rsidR="00F706EF" w:rsidRPr="006353AE">
        <w:rPr>
          <w:rFonts w:ascii="Book Antiqua" w:hAnsi="Book Antiqua" w:cs="Book Antiqua"/>
          <w:lang w:val="es-CR"/>
        </w:rPr>
        <w:t>06 de junio</w:t>
      </w:r>
      <w:r w:rsidRPr="006353AE">
        <w:rPr>
          <w:rFonts w:ascii="Book Antiqua" w:hAnsi="Book Antiqua" w:cs="Book Antiqua"/>
          <w:lang w:val="es-CR"/>
        </w:rPr>
        <w:t xml:space="preserve"> del 202</w:t>
      </w:r>
      <w:r w:rsidR="00F706EF" w:rsidRPr="006353AE">
        <w:rPr>
          <w:rFonts w:ascii="Book Antiqua" w:hAnsi="Book Antiqua" w:cs="Book Antiqua"/>
          <w:lang w:val="es-CR"/>
        </w:rPr>
        <w:t>2</w:t>
      </w:r>
      <w:r w:rsidRPr="006353AE">
        <w:rPr>
          <w:rFonts w:ascii="Book Antiqua" w:hAnsi="Book Antiqua" w:cs="Book Antiqua"/>
          <w:lang w:val="es-CR"/>
        </w:rPr>
        <w:t xml:space="preserve">, el preliminar de este documento fue puesto en conocimiento del </w:t>
      </w:r>
      <w:r w:rsidRPr="006353AE">
        <w:rPr>
          <w:rFonts w:ascii="Book Antiqua" w:hAnsi="Book Antiqua"/>
        </w:rPr>
        <w:t>Máster Walter Espinoza Espinoza, Director Programa 928 Organismo de Investigación Judicial; Máster Ana Eugenia Romero Jenkins, Directora Ejecutiva; Licda. Maricruz Chacón Cubillo, Directora Centro de Apoyo, Coordinación y Mejoramiento de la Función Jurisdiccional; Máster Warner Molina Ruíz, Jefe Programa 929 Ministerio Público; Máster Juan Carlos Pérez Murillo, Jefe Programa 930 Defensa Pública; Máster Sara Arce Moya, Jefa Programa 950 Servicio de Atención y Protección de Víctimas y Testigos; Secretaría General de la Corte; Despacho de la Presidencia; Comisión de Transparencia Institucional; Comisión de la Jurisdicción de Familia, Niñez y Adolescencia; Comisión de Gestión Ambiental; Comisión Institucional de Teletrabajo; Comisión de Emergencias; Comisión de Construcciones; Comisión de la Jurisdicción Agraria y Agroambiental; Comisión Nacional para el Mejoramiento de la Administración de Justicia; Sala Primera; Sala Segunda; Sala Tercera; Sala Constitucional; Inspección Judicial; Oficina de Control Interno; Dirección Jurídica; Dirección de Gestión Humana; Dirección de Tecnología de la Información; Administraciones Regionales; Secretaria Técnica de Genero y Acceso a la Justicia; Secretaría Técnica de Ética y Valores; Programa de Justicia Restaurativa; Escuela Judicial; Centro de Información Jurisprudencial; Centro de Conciliación del Poder Judicial; Contraloría de Servicios del Poder Judicial; Departamento de Prensa y Comunicación Organizacional; Departamento de Trabajo Social y Psicología, Juzgado Notarial.</w:t>
      </w:r>
    </w:p>
    <w:p w14:paraId="5F0CA00A" w14:textId="77777777" w:rsidR="001C29EC" w:rsidRPr="00345B2C" w:rsidRDefault="001C29EC" w:rsidP="00706BB1">
      <w:pPr>
        <w:spacing w:line="360" w:lineRule="auto"/>
        <w:jc w:val="both"/>
        <w:rPr>
          <w:rFonts w:ascii="Book Antiqua" w:hAnsi="Book Antiqua"/>
        </w:rPr>
      </w:pPr>
      <w:bookmarkStart w:id="0" w:name="_Hlk84513702"/>
    </w:p>
    <w:p w14:paraId="0BFB5D65" w14:textId="27BB11B1" w:rsidR="008C531B" w:rsidRPr="00BC7C45" w:rsidRDefault="001C29EC" w:rsidP="00A90D7B">
      <w:pPr>
        <w:ind w:firstLine="708"/>
        <w:jc w:val="both"/>
        <w:rPr>
          <w:rFonts w:ascii="Book Antiqua" w:hAnsi="Book Antiqua"/>
        </w:rPr>
      </w:pPr>
      <w:bookmarkStart w:id="1" w:name="_Hlk106344103"/>
      <w:r w:rsidRPr="00345B2C">
        <w:rPr>
          <w:rFonts w:ascii="Book Antiqua" w:hAnsi="Book Antiqua"/>
        </w:rPr>
        <w:t>C</w:t>
      </w:r>
      <w:r w:rsidRPr="006353AE">
        <w:rPr>
          <w:rFonts w:ascii="Book Antiqua" w:hAnsi="Book Antiqua"/>
        </w:rPr>
        <w:t>omo respuesta</w:t>
      </w:r>
      <w:r w:rsidR="00F8318C" w:rsidRPr="006353AE">
        <w:rPr>
          <w:rFonts w:ascii="Book Antiqua" w:hAnsi="Book Antiqua"/>
        </w:rPr>
        <w:t>s</w:t>
      </w:r>
      <w:r w:rsidRPr="006353AE">
        <w:rPr>
          <w:rFonts w:ascii="Book Antiqua" w:hAnsi="Book Antiqua"/>
        </w:rPr>
        <w:t xml:space="preserve"> se recibi</w:t>
      </w:r>
      <w:r w:rsidR="00F8318C" w:rsidRPr="006353AE">
        <w:rPr>
          <w:rFonts w:ascii="Book Antiqua" w:hAnsi="Book Antiqua"/>
        </w:rPr>
        <w:t xml:space="preserve">eron: </w:t>
      </w:r>
      <w:r w:rsidRPr="006353AE">
        <w:rPr>
          <w:rFonts w:ascii="Book Antiqua" w:hAnsi="Book Antiqua"/>
        </w:rPr>
        <w:t xml:space="preserve"> correo electrónico del </w:t>
      </w:r>
      <w:r w:rsidR="00F80BE4" w:rsidRPr="006353AE">
        <w:rPr>
          <w:rFonts w:ascii="Book Antiqua" w:hAnsi="Book Antiqua"/>
        </w:rPr>
        <w:t xml:space="preserve">07 de junio 2022, por parte de la </w:t>
      </w:r>
      <w:r w:rsidR="00F80BE4" w:rsidRPr="00BC7C45">
        <w:rPr>
          <w:rFonts w:ascii="Book Antiqua" w:hAnsi="Book Antiqua"/>
        </w:rPr>
        <w:t xml:space="preserve">Oficina Rectora de Justicia </w:t>
      </w:r>
      <w:r w:rsidR="00864FBB" w:rsidRPr="00BC7C45">
        <w:rPr>
          <w:rFonts w:ascii="Book Antiqua" w:hAnsi="Book Antiqua"/>
        </w:rPr>
        <w:t>Restaurativa, suscrito</w:t>
      </w:r>
      <w:r w:rsidR="00F80BE4" w:rsidRPr="00BC7C45">
        <w:rPr>
          <w:rFonts w:ascii="Book Antiqua" w:hAnsi="Book Antiqua"/>
        </w:rPr>
        <w:t xml:space="preserve"> </w:t>
      </w:r>
      <w:r w:rsidR="00864FBB" w:rsidRPr="00BC7C45">
        <w:rPr>
          <w:rFonts w:ascii="Book Antiqua" w:hAnsi="Book Antiqua"/>
        </w:rPr>
        <w:t xml:space="preserve">por </w:t>
      </w:r>
      <w:r w:rsidR="00F80BE4" w:rsidRPr="00BC7C45">
        <w:rPr>
          <w:rFonts w:ascii="Book Antiqua" w:hAnsi="Book Antiqua"/>
        </w:rPr>
        <w:t>Lizeth Orozco Bolaños, Secretaria Ejecutiva</w:t>
      </w:r>
      <w:r w:rsidR="00731052" w:rsidRPr="00BC7C45">
        <w:rPr>
          <w:rFonts w:ascii="Book Antiqua" w:hAnsi="Book Antiqua"/>
        </w:rPr>
        <w:t xml:space="preserve">; </w:t>
      </w:r>
      <w:r w:rsidR="00951329" w:rsidRPr="00BC7C45">
        <w:rPr>
          <w:rFonts w:ascii="Book Antiqua" w:hAnsi="Book Antiqua"/>
        </w:rPr>
        <w:t>Correo electrónico del 07 de junio 2022, suscrito por</w:t>
      </w:r>
      <w:r w:rsidR="00951329" w:rsidRPr="00345B2C">
        <w:rPr>
          <w:rFonts w:ascii="Book Antiqua" w:hAnsi="Book Antiqua"/>
        </w:rPr>
        <w:t xml:space="preserve"> el Ing. Randall Zúñiga López</w:t>
      </w:r>
      <w:r w:rsidR="00FB0257" w:rsidRPr="00BC7C45">
        <w:rPr>
          <w:rFonts w:ascii="Book Antiqua" w:hAnsi="Book Antiqua"/>
        </w:rPr>
        <w:t xml:space="preserve"> </w:t>
      </w:r>
      <w:r w:rsidR="00951329" w:rsidRPr="00345B2C">
        <w:rPr>
          <w:rFonts w:ascii="Book Antiqua" w:hAnsi="Book Antiqua"/>
        </w:rPr>
        <w:t>MBA</w:t>
      </w:r>
      <w:r w:rsidR="00DB6253" w:rsidRPr="00345B2C">
        <w:rPr>
          <w:rFonts w:ascii="Book Antiqua" w:hAnsi="Book Antiqua"/>
        </w:rPr>
        <w:t>,</w:t>
      </w:r>
      <w:r w:rsidR="00951329" w:rsidRPr="00345B2C">
        <w:rPr>
          <w:rFonts w:ascii="Book Antiqua" w:hAnsi="Book Antiqua"/>
        </w:rPr>
        <w:t xml:space="preserve"> Subdirector General a.</w:t>
      </w:r>
      <w:r w:rsidR="00FB0257" w:rsidRPr="00BC7C45">
        <w:rPr>
          <w:rFonts w:ascii="Book Antiqua" w:hAnsi="Book Antiqua"/>
        </w:rPr>
        <w:t>i.</w:t>
      </w:r>
      <w:r w:rsidR="00951329" w:rsidRPr="00345B2C">
        <w:rPr>
          <w:rFonts w:ascii="Book Antiqua" w:hAnsi="Book Antiqua"/>
        </w:rPr>
        <w:t xml:space="preserve"> Organismo de Investigación Judicial</w:t>
      </w:r>
      <w:r w:rsidR="00DB6253" w:rsidRPr="00345B2C">
        <w:rPr>
          <w:rFonts w:ascii="Book Antiqua" w:hAnsi="Book Antiqua"/>
        </w:rPr>
        <w:t>;</w:t>
      </w:r>
      <w:r w:rsidR="00951329" w:rsidRPr="00BC7C45">
        <w:rPr>
          <w:rFonts w:ascii="Book Antiqua" w:hAnsi="Book Antiqua"/>
        </w:rPr>
        <w:t xml:space="preserve"> </w:t>
      </w:r>
      <w:r w:rsidR="00EC2994" w:rsidRPr="00BC7C45">
        <w:rPr>
          <w:rFonts w:ascii="Book Antiqua" w:hAnsi="Book Antiqua"/>
        </w:rPr>
        <w:t>correo electrónico 8 de junio 2022, suscrito por MAE. Miguel Gutiérrez Fernández Administrador Regional a.</w:t>
      </w:r>
      <w:r w:rsidR="00FB0257" w:rsidRPr="00BC7C45">
        <w:rPr>
          <w:rFonts w:ascii="Book Antiqua" w:hAnsi="Book Antiqua"/>
        </w:rPr>
        <w:t>i.</w:t>
      </w:r>
      <w:r w:rsidR="00EC2994" w:rsidRPr="00BC7C45">
        <w:rPr>
          <w:rFonts w:ascii="Book Antiqua" w:hAnsi="Book Antiqua"/>
        </w:rPr>
        <w:t xml:space="preserve"> de Segundo Circuito Judicial de San José; </w:t>
      </w:r>
      <w:r w:rsidR="00731052" w:rsidRPr="00BC7C45">
        <w:rPr>
          <w:rFonts w:ascii="Book Antiqua" w:hAnsi="Book Antiqua"/>
        </w:rPr>
        <w:t>correo</w:t>
      </w:r>
      <w:r w:rsidRPr="00BC7C45">
        <w:rPr>
          <w:rFonts w:ascii="Book Antiqua" w:hAnsi="Book Antiqua"/>
        </w:rPr>
        <w:t xml:space="preserve"> electrónico del </w:t>
      </w:r>
      <w:r w:rsidR="00731052" w:rsidRPr="00BC7C45">
        <w:rPr>
          <w:rFonts w:ascii="Book Antiqua" w:hAnsi="Book Antiqua"/>
        </w:rPr>
        <w:t>13 de junio 2022,</w:t>
      </w:r>
      <w:r w:rsidR="00C63B8C" w:rsidRPr="00BC7C45">
        <w:rPr>
          <w:rFonts w:ascii="Book Antiqua" w:hAnsi="Book Antiqua"/>
        </w:rPr>
        <w:t xml:space="preserve"> </w:t>
      </w:r>
      <w:r w:rsidR="00731052" w:rsidRPr="00BC7C45">
        <w:rPr>
          <w:rFonts w:ascii="Book Antiqua" w:hAnsi="Book Antiqua"/>
        </w:rPr>
        <w:t xml:space="preserve">por parte de </w:t>
      </w:r>
      <w:r w:rsidR="00870B0F" w:rsidRPr="00BC7C45">
        <w:rPr>
          <w:rFonts w:ascii="Book Antiqua" w:hAnsi="Book Antiqua"/>
        </w:rPr>
        <w:t>Administración Regional de la Ciudad Judicial, San Joaquín de Flores,</w:t>
      </w:r>
      <w:r w:rsidR="00C63B8C" w:rsidRPr="00BC7C45">
        <w:rPr>
          <w:rFonts w:ascii="Book Antiqua" w:hAnsi="Book Antiqua"/>
        </w:rPr>
        <w:t xml:space="preserve"> </w:t>
      </w:r>
      <w:r w:rsidR="00870B0F" w:rsidRPr="00BC7C45">
        <w:rPr>
          <w:rFonts w:ascii="Book Antiqua" w:hAnsi="Book Antiqua"/>
        </w:rPr>
        <w:t xml:space="preserve">suscrito </w:t>
      </w:r>
      <w:r w:rsidR="00C63B8C" w:rsidRPr="00BC7C45">
        <w:rPr>
          <w:rFonts w:ascii="Book Antiqua" w:hAnsi="Book Antiqua"/>
        </w:rPr>
        <w:t>por Lic. Ronald Vargas Bolaños</w:t>
      </w:r>
      <w:r w:rsidR="00FE594C">
        <w:rPr>
          <w:rFonts w:ascii="Book Antiqua" w:hAnsi="Book Antiqua"/>
        </w:rPr>
        <w:t>, Administrador</w:t>
      </w:r>
      <w:r w:rsidR="005221C9" w:rsidRPr="00BC7C45">
        <w:rPr>
          <w:rFonts w:ascii="Book Antiqua" w:hAnsi="Book Antiqua"/>
        </w:rPr>
        <w:t xml:space="preserve">; </w:t>
      </w:r>
      <w:r w:rsidRPr="00BC7C45">
        <w:rPr>
          <w:rFonts w:ascii="Book Antiqua" w:hAnsi="Book Antiqua"/>
        </w:rPr>
        <w:t xml:space="preserve">Correo electrónico del </w:t>
      </w:r>
      <w:r w:rsidR="0072115A" w:rsidRPr="00BC7C45">
        <w:rPr>
          <w:rFonts w:ascii="Book Antiqua" w:hAnsi="Book Antiqua"/>
        </w:rPr>
        <w:t xml:space="preserve">13 de junio </w:t>
      </w:r>
      <w:r w:rsidR="00EC2994" w:rsidRPr="00BC7C45">
        <w:rPr>
          <w:rFonts w:ascii="Book Antiqua" w:hAnsi="Book Antiqua"/>
        </w:rPr>
        <w:t>2022, suscrito</w:t>
      </w:r>
      <w:r w:rsidR="0072115A" w:rsidRPr="00BC7C45">
        <w:rPr>
          <w:rFonts w:ascii="Book Antiqua" w:hAnsi="Book Antiqua"/>
        </w:rPr>
        <w:t xml:space="preserve"> por </w:t>
      </w:r>
      <w:r w:rsidR="00937F8A" w:rsidRPr="00BC7C45">
        <w:rPr>
          <w:rFonts w:ascii="Book Antiqua" w:hAnsi="Book Antiqua"/>
        </w:rPr>
        <w:t>Máster Rodrigo Alberto Campos Hidalgo, Director Jurídico a. i.;</w:t>
      </w:r>
      <w:r w:rsidR="00930787" w:rsidRPr="00345B2C">
        <w:rPr>
          <w:rFonts w:ascii="Book Antiqua" w:hAnsi="Book Antiqua"/>
        </w:rPr>
        <w:t xml:space="preserve"> correo electrónico del </w:t>
      </w:r>
      <w:r w:rsidR="00930787" w:rsidRPr="00BC7C45">
        <w:rPr>
          <w:rFonts w:ascii="Book Antiqua" w:hAnsi="Book Antiqua"/>
        </w:rPr>
        <w:t xml:space="preserve">13 de junio 2022,suscrito por MBA. Wendy Beita </w:t>
      </w:r>
      <w:r w:rsidR="00E538AA" w:rsidRPr="00BC7C45">
        <w:rPr>
          <w:rFonts w:ascii="Book Antiqua" w:hAnsi="Book Antiqua"/>
        </w:rPr>
        <w:t>Ureña, de</w:t>
      </w:r>
      <w:r w:rsidR="00930787" w:rsidRPr="00BC7C45">
        <w:rPr>
          <w:rFonts w:ascii="Book Antiqua" w:hAnsi="Book Antiqua"/>
        </w:rPr>
        <w:t xml:space="preserve"> la Administración Regional I Circuito Judicial Zona Sur</w:t>
      </w:r>
      <w:r w:rsidR="002D3D4D" w:rsidRPr="00BC7C45">
        <w:rPr>
          <w:rFonts w:ascii="Book Antiqua" w:hAnsi="Book Antiqua"/>
        </w:rPr>
        <w:t>;</w:t>
      </w:r>
      <w:r w:rsidR="002D3D4D" w:rsidRPr="00345B2C">
        <w:rPr>
          <w:rFonts w:ascii="Book Antiqua" w:hAnsi="Book Antiqua"/>
        </w:rPr>
        <w:t xml:space="preserve"> correo electrónico del </w:t>
      </w:r>
      <w:r w:rsidR="002D3D4D" w:rsidRPr="00BC7C45">
        <w:rPr>
          <w:rFonts w:ascii="Book Antiqua" w:hAnsi="Book Antiqua"/>
        </w:rPr>
        <w:t xml:space="preserve">13 de junio </w:t>
      </w:r>
      <w:r w:rsidR="00C079EB" w:rsidRPr="00BC7C45">
        <w:rPr>
          <w:rFonts w:ascii="Book Antiqua" w:hAnsi="Book Antiqua"/>
        </w:rPr>
        <w:t>2022, suscrito</w:t>
      </w:r>
      <w:r w:rsidR="002D3D4D" w:rsidRPr="00BC7C45">
        <w:rPr>
          <w:rFonts w:ascii="Book Antiqua" w:hAnsi="Book Antiqua"/>
        </w:rPr>
        <w:t xml:space="preserve"> </w:t>
      </w:r>
      <w:r w:rsidR="00C079EB" w:rsidRPr="00BC7C45">
        <w:rPr>
          <w:rFonts w:ascii="Book Antiqua" w:hAnsi="Book Antiqua"/>
        </w:rPr>
        <w:t xml:space="preserve">por el </w:t>
      </w:r>
      <w:r w:rsidR="00C079EB" w:rsidRPr="00345B2C">
        <w:rPr>
          <w:rFonts w:ascii="Book Antiqua" w:hAnsi="Book Antiqua"/>
        </w:rPr>
        <w:t xml:space="preserve">Msc. Juan Carlos Pérez Murillo, Director Defensa Pública; </w:t>
      </w:r>
      <w:r w:rsidR="001A54D5" w:rsidRPr="00345B2C">
        <w:rPr>
          <w:rFonts w:ascii="Book Antiqua" w:hAnsi="Book Antiqua"/>
        </w:rPr>
        <w:t xml:space="preserve">correo electrónico 13 de junio 2022, suscrito por la máster Maricruz Chacón Cubillo, Directora del Centro de Apoyo, Coordinación y Mejoramiento de la Función </w:t>
      </w:r>
      <w:r w:rsidR="00667421" w:rsidRPr="00BC7C45">
        <w:rPr>
          <w:rFonts w:ascii="Book Antiqua" w:hAnsi="Book Antiqua"/>
        </w:rPr>
        <w:t>Jurisdiccional; correo</w:t>
      </w:r>
      <w:r w:rsidR="00400327" w:rsidRPr="00345B2C">
        <w:rPr>
          <w:rFonts w:ascii="Book Antiqua" w:hAnsi="Book Antiqua"/>
        </w:rPr>
        <w:t xml:space="preserve"> electrónico 13 de junio 2022,suscrito por la Ana Eugenia Romero </w:t>
      </w:r>
      <w:r w:rsidR="00667421" w:rsidRPr="00BC7C45">
        <w:rPr>
          <w:rFonts w:ascii="Book Antiqua" w:hAnsi="Book Antiqua"/>
        </w:rPr>
        <w:t>Jenkins, Directora</w:t>
      </w:r>
      <w:r w:rsidR="00400327" w:rsidRPr="00345B2C">
        <w:rPr>
          <w:rFonts w:ascii="Book Antiqua" w:hAnsi="Book Antiqua"/>
        </w:rPr>
        <w:t xml:space="preserve"> Ejecutiva</w:t>
      </w:r>
      <w:r w:rsidR="00BB7508" w:rsidRPr="00345B2C">
        <w:rPr>
          <w:rFonts w:ascii="Book Antiqua" w:hAnsi="Book Antiqua"/>
        </w:rPr>
        <w:t xml:space="preserve"> de la Dirección Ejecutiva; correo electrónico del 13 de junio de 2022, suscrito por </w:t>
      </w:r>
      <w:r w:rsidR="00FA6D41" w:rsidRPr="00345B2C">
        <w:rPr>
          <w:rFonts w:ascii="Book Antiqua" w:hAnsi="Book Antiqua"/>
        </w:rPr>
        <w:t xml:space="preserve">Luis Guillermo Rivas </w:t>
      </w:r>
      <w:r w:rsidR="008C531B" w:rsidRPr="00BC7C45">
        <w:rPr>
          <w:rFonts w:ascii="Book Antiqua" w:hAnsi="Book Antiqua"/>
        </w:rPr>
        <w:t>Loáiciga, Magistrado</w:t>
      </w:r>
      <w:r w:rsidR="00FA6D41" w:rsidRPr="00345B2C">
        <w:rPr>
          <w:rFonts w:ascii="Book Antiqua" w:hAnsi="Book Antiqua"/>
        </w:rPr>
        <w:t xml:space="preserve"> Presidente de Sala Primera; correo electrónico </w:t>
      </w:r>
      <w:r w:rsidR="00B9108D" w:rsidRPr="00345B2C">
        <w:rPr>
          <w:rFonts w:ascii="Book Antiqua" w:hAnsi="Book Antiqua"/>
        </w:rPr>
        <w:t>13 de junio</w:t>
      </w:r>
      <w:r w:rsidR="00706BB1" w:rsidRPr="00345B2C">
        <w:rPr>
          <w:rFonts w:ascii="Book Antiqua" w:hAnsi="Book Antiqua"/>
        </w:rPr>
        <w:t>, suscrito por M</w:t>
      </w:r>
      <w:r w:rsidR="00FB0257" w:rsidRPr="00BC7C45">
        <w:rPr>
          <w:rFonts w:ascii="Book Antiqua" w:hAnsi="Book Antiqua"/>
        </w:rPr>
        <w:t>s</w:t>
      </w:r>
      <w:r w:rsidR="00706BB1" w:rsidRPr="00345B2C">
        <w:rPr>
          <w:rFonts w:ascii="Book Antiqua" w:hAnsi="Book Antiqua"/>
        </w:rPr>
        <w:t>c.  Alba Gutiérrez Villalobos</w:t>
      </w:r>
      <w:r w:rsidR="003F274A" w:rsidRPr="00BC7C45">
        <w:rPr>
          <w:rFonts w:ascii="Book Antiqua" w:hAnsi="Book Antiqua"/>
        </w:rPr>
        <w:t xml:space="preserve">, </w:t>
      </w:r>
      <w:r w:rsidR="00706BB1" w:rsidRPr="00345B2C">
        <w:rPr>
          <w:rFonts w:ascii="Book Antiqua" w:hAnsi="Book Antiqua"/>
        </w:rPr>
        <w:t>Jefa</w:t>
      </w:r>
      <w:r w:rsidR="00F8318C" w:rsidRPr="00BC7C45">
        <w:rPr>
          <w:rFonts w:ascii="Book Antiqua" w:hAnsi="Book Antiqua"/>
        </w:rPr>
        <w:t xml:space="preserve"> del</w:t>
      </w:r>
      <w:r w:rsidR="00706BB1" w:rsidRPr="00345B2C">
        <w:rPr>
          <w:rFonts w:ascii="Book Antiqua" w:hAnsi="Book Antiqua"/>
        </w:rPr>
        <w:t xml:space="preserve"> Departamento de Trabajo Social y Psicología</w:t>
      </w:r>
      <w:r w:rsidR="008C531B" w:rsidRPr="00BC7C45">
        <w:rPr>
          <w:rFonts w:ascii="Book Antiqua" w:hAnsi="Book Antiqua"/>
        </w:rPr>
        <w:t>.</w:t>
      </w:r>
    </w:p>
    <w:p w14:paraId="74D967B6" w14:textId="77777777" w:rsidR="008C531B" w:rsidRPr="00BC7C45" w:rsidRDefault="008C531B">
      <w:pPr>
        <w:jc w:val="both"/>
        <w:rPr>
          <w:rFonts w:ascii="Book Antiqua" w:hAnsi="Book Antiqua"/>
        </w:rPr>
      </w:pPr>
    </w:p>
    <w:p w14:paraId="42E115B0" w14:textId="1AEFB5E1" w:rsidR="0072115A" w:rsidRPr="006353AE" w:rsidRDefault="008C531B" w:rsidP="00A90D7B">
      <w:pPr>
        <w:ind w:firstLine="708"/>
        <w:jc w:val="both"/>
        <w:rPr>
          <w:rFonts w:ascii="Book Antiqua" w:hAnsi="Book Antiqua"/>
        </w:rPr>
      </w:pPr>
      <w:r w:rsidRPr="00BC7C45">
        <w:rPr>
          <w:rFonts w:ascii="Book Antiqua" w:hAnsi="Book Antiqua"/>
        </w:rPr>
        <w:t>Como respuestas extemporáneas se recibió</w:t>
      </w:r>
      <w:r w:rsidR="003F274A" w:rsidRPr="00BC7C45">
        <w:rPr>
          <w:rFonts w:ascii="Book Antiqua" w:hAnsi="Book Antiqua"/>
        </w:rPr>
        <w:t xml:space="preserve"> </w:t>
      </w:r>
      <w:r w:rsidR="00AB00DB" w:rsidRPr="00BC7C45">
        <w:rPr>
          <w:rFonts w:ascii="Book Antiqua" w:hAnsi="Book Antiqua"/>
        </w:rPr>
        <w:t xml:space="preserve">correo electrónico 14 de junio </w:t>
      </w:r>
      <w:r w:rsidR="002C47A2" w:rsidRPr="00BC7C45">
        <w:rPr>
          <w:rFonts w:ascii="Book Antiqua" w:hAnsi="Book Antiqua"/>
        </w:rPr>
        <w:t>2022, suscrito</w:t>
      </w:r>
      <w:r w:rsidR="00AB00DB" w:rsidRPr="00BC7C45">
        <w:rPr>
          <w:rFonts w:ascii="Book Antiqua" w:hAnsi="Book Antiqua"/>
        </w:rPr>
        <w:t xml:space="preserve"> por Viviana Alvarado Quesada de </w:t>
      </w:r>
      <w:r w:rsidR="002C47A2" w:rsidRPr="00345B2C">
        <w:rPr>
          <w:rFonts w:ascii="Book Antiqua" w:hAnsi="Book Antiqua"/>
        </w:rPr>
        <w:t>Secretaría Técnica de Género y Acceso a la Justicia</w:t>
      </w:r>
      <w:r w:rsidR="00D03F2F" w:rsidRPr="00BC7C45">
        <w:rPr>
          <w:rFonts w:ascii="Book Antiqua" w:hAnsi="Book Antiqua"/>
        </w:rPr>
        <w:t xml:space="preserve">; Correo electrónico del 14 de junio 2022, suscrito por el </w:t>
      </w:r>
      <w:r w:rsidR="00D03F2F" w:rsidRPr="00345B2C">
        <w:rPr>
          <w:rFonts w:ascii="Book Antiqua" w:hAnsi="Book Antiqua"/>
        </w:rPr>
        <w:t>Lic. Hugo Vega Castro, jefe a.i.</w:t>
      </w:r>
      <w:r w:rsidR="00D03F2F" w:rsidRPr="00BC7C45">
        <w:rPr>
          <w:rFonts w:ascii="Book Antiqua" w:hAnsi="Book Antiqua"/>
        </w:rPr>
        <w:t xml:space="preserve">, del </w:t>
      </w:r>
      <w:r w:rsidR="00D03F2F" w:rsidRPr="00345B2C">
        <w:rPr>
          <w:rFonts w:ascii="Book Antiqua" w:hAnsi="Book Antiqua"/>
        </w:rPr>
        <w:t xml:space="preserve">Departamento de Prensa y Comunicación Organizacional; correo electrónico </w:t>
      </w:r>
      <w:r w:rsidR="00BF5D73" w:rsidRPr="00345B2C">
        <w:rPr>
          <w:rFonts w:ascii="Book Antiqua" w:hAnsi="Book Antiqua"/>
        </w:rPr>
        <w:t xml:space="preserve">14 de junio </w:t>
      </w:r>
      <w:r w:rsidR="00410150" w:rsidRPr="00BC7C45">
        <w:rPr>
          <w:rFonts w:ascii="Book Antiqua" w:hAnsi="Book Antiqua"/>
        </w:rPr>
        <w:t>2022, suscrito</w:t>
      </w:r>
      <w:r w:rsidR="00BF5D73" w:rsidRPr="00345B2C">
        <w:rPr>
          <w:rFonts w:ascii="Book Antiqua" w:hAnsi="Book Antiqua"/>
        </w:rPr>
        <w:t xml:space="preserve"> por </w:t>
      </w:r>
      <w:r w:rsidR="007E15A7" w:rsidRPr="00345B2C">
        <w:rPr>
          <w:rFonts w:ascii="Book Antiqua" w:hAnsi="Book Antiqua"/>
        </w:rPr>
        <w:t>la Licda.</w:t>
      </w:r>
      <w:r w:rsidR="00410150" w:rsidRPr="00BC7C45">
        <w:rPr>
          <w:rFonts w:ascii="Book Antiqua" w:hAnsi="Book Antiqua"/>
        </w:rPr>
        <w:t xml:space="preserve"> </w:t>
      </w:r>
      <w:r w:rsidR="007E15A7" w:rsidRPr="00345B2C">
        <w:rPr>
          <w:rFonts w:ascii="Book Antiqua" w:hAnsi="Book Antiqua"/>
        </w:rPr>
        <w:t>Rebeca Guardia Morales, Directora a</w:t>
      </w:r>
      <w:r w:rsidR="00410150" w:rsidRPr="00345B2C">
        <w:rPr>
          <w:rFonts w:ascii="Book Antiqua" w:hAnsi="Book Antiqua"/>
        </w:rPr>
        <w:t>.i</w:t>
      </w:r>
      <w:r w:rsidR="00FB0257" w:rsidRPr="00BC7C45">
        <w:rPr>
          <w:rFonts w:ascii="Book Antiqua" w:hAnsi="Book Antiqua"/>
        </w:rPr>
        <w:t>.</w:t>
      </w:r>
      <w:r w:rsidR="00410150" w:rsidRPr="00345B2C">
        <w:rPr>
          <w:rFonts w:ascii="Book Antiqua" w:hAnsi="Book Antiqua"/>
        </w:rPr>
        <w:t xml:space="preserve"> de la Escuela </w:t>
      </w:r>
      <w:r w:rsidRPr="00BC7C45">
        <w:rPr>
          <w:rFonts w:ascii="Book Antiqua" w:hAnsi="Book Antiqua"/>
        </w:rPr>
        <w:t>Judicial; correo</w:t>
      </w:r>
      <w:r w:rsidR="00B1508A" w:rsidRPr="00BC7C45">
        <w:rPr>
          <w:rFonts w:ascii="Book Antiqua" w:hAnsi="Book Antiqua"/>
        </w:rPr>
        <w:t xml:space="preserve"> electrónico 15 de junio</w:t>
      </w:r>
      <w:r w:rsidR="002A7C6A" w:rsidRPr="00BC7C45">
        <w:rPr>
          <w:rFonts w:ascii="Book Antiqua" w:hAnsi="Book Antiqua"/>
        </w:rPr>
        <w:t xml:space="preserve"> de 2022,suscrito por </w:t>
      </w:r>
      <w:r w:rsidR="005F7B80" w:rsidRPr="00BC7C45">
        <w:rPr>
          <w:rFonts w:ascii="Book Antiqua" w:hAnsi="Book Antiqua"/>
        </w:rPr>
        <w:t xml:space="preserve">Cindy Ramírez Ramírez, de la Dirección de Gestión </w:t>
      </w:r>
      <w:r w:rsidR="00F12A1E" w:rsidRPr="00BC7C45">
        <w:rPr>
          <w:rFonts w:ascii="Book Antiqua" w:hAnsi="Book Antiqua"/>
        </w:rPr>
        <w:t>Humana; correo</w:t>
      </w:r>
      <w:r w:rsidR="0025618E" w:rsidRPr="00BC7C45">
        <w:rPr>
          <w:rFonts w:ascii="Book Antiqua" w:hAnsi="Book Antiqua"/>
        </w:rPr>
        <w:t xml:space="preserve"> electrónico </w:t>
      </w:r>
      <w:r w:rsidR="00747F14" w:rsidRPr="00BC7C45">
        <w:rPr>
          <w:rFonts w:ascii="Book Antiqua" w:hAnsi="Book Antiqua"/>
        </w:rPr>
        <w:t xml:space="preserve">22 de junio 22,suscrito por </w:t>
      </w:r>
      <w:r w:rsidR="00360237" w:rsidRPr="00BC7C45">
        <w:rPr>
          <w:rFonts w:ascii="Book Antiqua" w:hAnsi="Book Antiqua"/>
        </w:rPr>
        <w:t xml:space="preserve">la Magistrada Patricia Solano </w:t>
      </w:r>
      <w:r w:rsidR="00F12A1E" w:rsidRPr="00BC7C45">
        <w:rPr>
          <w:rFonts w:ascii="Book Antiqua" w:hAnsi="Book Antiqua"/>
        </w:rPr>
        <w:t>Castro, presidenta</w:t>
      </w:r>
      <w:r w:rsidR="00360237" w:rsidRPr="00BC7C45">
        <w:rPr>
          <w:rFonts w:ascii="Book Antiqua" w:hAnsi="Book Antiqua"/>
        </w:rPr>
        <w:t xml:space="preserve"> de la Comisión </w:t>
      </w:r>
      <w:r w:rsidR="00F12A1E" w:rsidRPr="00BC7C45">
        <w:rPr>
          <w:rFonts w:ascii="Book Antiqua" w:hAnsi="Book Antiqua"/>
        </w:rPr>
        <w:t>de la Jurisdicción Penal.</w:t>
      </w:r>
    </w:p>
    <w:p w14:paraId="2B98B01E" w14:textId="77777777" w:rsidR="00F8318C" w:rsidRPr="006353AE" w:rsidRDefault="00F8318C">
      <w:pPr>
        <w:jc w:val="both"/>
        <w:rPr>
          <w:rFonts w:ascii="Book Antiqua" w:hAnsi="Book Antiqua"/>
        </w:rPr>
      </w:pPr>
    </w:p>
    <w:p w14:paraId="76F2934B" w14:textId="7DCAAD61" w:rsidR="000C6F8D" w:rsidRPr="006353AE" w:rsidRDefault="000C6F8D" w:rsidP="00345B2C">
      <w:pPr>
        <w:ind w:firstLine="708"/>
        <w:jc w:val="both"/>
        <w:rPr>
          <w:rFonts w:ascii="Book Antiqua" w:hAnsi="Book Antiqua"/>
        </w:rPr>
      </w:pPr>
      <w:r w:rsidRPr="00345B2C">
        <w:rPr>
          <w:rFonts w:ascii="Book Antiqua" w:hAnsi="Book Antiqua"/>
        </w:rPr>
        <w:t xml:space="preserve">Se incluye el detalle de las observaciones recibidas y el criterio de la Dirección de Planificación en el apartado del informe </w:t>
      </w:r>
      <w:r w:rsidRPr="006353AE">
        <w:rPr>
          <w:rFonts w:ascii="Book Antiqua" w:hAnsi="Book Antiqua"/>
        </w:rPr>
        <w:t>13</w:t>
      </w:r>
      <w:r w:rsidRPr="00345B2C">
        <w:rPr>
          <w:rFonts w:ascii="Book Antiqua" w:hAnsi="Book Antiqua"/>
        </w:rPr>
        <w:t xml:space="preserve">. Observaciones emitidas al informe preliminar </w:t>
      </w:r>
      <w:r w:rsidRPr="006353AE">
        <w:rPr>
          <w:rFonts w:ascii="Book Antiqua" w:hAnsi="Book Antiqua"/>
        </w:rPr>
        <w:t>499</w:t>
      </w:r>
      <w:r w:rsidRPr="00345B2C">
        <w:rPr>
          <w:rFonts w:ascii="Book Antiqua" w:hAnsi="Book Antiqua"/>
        </w:rPr>
        <w:t>-PLA-EV-2022</w:t>
      </w:r>
      <w:r w:rsidR="00151BBA" w:rsidRPr="006353AE">
        <w:rPr>
          <w:rFonts w:ascii="Book Antiqua" w:hAnsi="Book Antiqua"/>
        </w:rPr>
        <w:t>.</w:t>
      </w:r>
      <w:r w:rsidRPr="00345B2C">
        <w:rPr>
          <w:rFonts w:ascii="Book Antiqua" w:hAnsi="Book Antiqua"/>
        </w:rPr>
        <w:t xml:space="preserve"> Se adjuntan </w:t>
      </w:r>
      <w:r w:rsidR="00151BBA" w:rsidRPr="006353AE">
        <w:rPr>
          <w:rFonts w:ascii="Book Antiqua" w:hAnsi="Book Antiqua"/>
        </w:rPr>
        <w:t xml:space="preserve">las </w:t>
      </w:r>
      <w:r w:rsidRPr="00345B2C">
        <w:rPr>
          <w:rFonts w:ascii="Book Antiqua" w:hAnsi="Book Antiqua"/>
        </w:rPr>
        <w:t>respuestas recibidas.</w:t>
      </w:r>
    </w:p>
    <w:bookmarkEnd w:id="1"/>
    <w:p w14:paraId="654F94B6" w14:textId="77777777" w:rsidR="001C29EC" w:rsidRPr="006353AE" w:rsidRDefault="001C29EC" w:rsidP="001C29EC">
      <w:pPr>
        <w:spacing w:line="360" w:lineRule="auto"/>
        <w:jc w:val="both"/>
        <w:rPr>
          <w:rFonts w:ascii="Book Antiqua" w:hAnsi="Book Antiqua"/>
          <w:lang w:val="es-CR"/>
        </w:rPr>
      </w:pPr>
    </w:p>
    <w:bookmarkEnd w:id="0"/>
    <w:p w14:paraId="3908F50B" w14:textId="77777777" w:rsidR="001C29EC" w:rsidRPr="006353AE" w:rsidRDefault="001C29EC" w:rsidP="00A90D7B">
      <w:pPr>
        <w:ind w:firstLine="708"/>
        <w:jc w:val="both"/>
        <w:rPr>
          <w:rFonts w:ascii="Book Antiqua" w:hAnsi="Book Antiqua" w:cs="Book Antiqua"/>
          <w:snapToGrid w:val="0"/>
          <w:lang w:val="es-CR"/>
        </w:rPr>
      </w:pPr>
      <w:r w:rsidRPr="006353AE">
        <w:rPr>
          <w:rFonts w:ascii="Book Antiqua" w:hAnsi="Book Antiqua" w:cs="Book Antiqua"/>
          <w:snapToGrid w:val="0"/>
          <w:lang w:val="es-CR"/>
        </w:rPr>
        <w:t>Este informe fue elaborado por la Licda. Melissa Mesén Trejos, Coordinadora de Unidad y por la Licda. Karla Calvo Jiménez, Profesional 2, ambas servidoras del Subproceso de Evaluación. Las observaciones se consideraron en lo pertinente en el informe que se presenta.</w:t>
      </w:r>
    </w:p>
    <w:p w14:paraId="27AD7932" w14:textId="77777777" w:rsidR="001C29EC" w:rsidRPr="006353AE" w:rsidRDefault="001C29EC" w:rsidP="001C29EC">
      <w:pPr>
        <w:jc w:val="both"/>
        <w:rPr>
          <w:rFonts w:ascii="Book Antiqua" w:hAnsi="Book Antiqua" w:cs="Book Antiqua"/>
          <w:snapToGrid w:val="0"/>
          <w:lang w:val="es-CR"/>
        </w:rPr>
      </w:pPr>
    </w:p>
    <w:p w14:paraId="450F309B" w14:textId="77777777" w:rsidR="001C29EC" w:rsidRPr="006353AE" w:rsidRDefault="001C29EC" w:rsidP="001C29EC">
      <w:pPr>
        <w:widowControl w:val="0"/>
        <w:jc w:val="both"/>
        <w:rPr>
          <w:rFonts w:ascii="Book Antiqua" w:hAnsi="Book Antiqua" w:cs="Book Antiqua"/>
          <w:snapToGrid w:val="0"/>
          <w:lang w:val="es-CR"/>
        </w:rPr>
      </w:pPr>
      <w:r w:rsidRPr="006353AE">
        <w:rPr>
          <w:rFonts w:ascii="Book Antiqua" w:hAnsi="Book Antiqua" w:cs="Book Antiqua"/>
          <w:snapToGrid w:val="0"/>
          <w:lang w:val="es-CR"/>
        </w:rPr>
        <w:t>Atentamente,</w:t>
      </w:r>
    </w:p>
    <w:p w14:paraId="72C8820C" w14:textId="77777777" w:rsidR="001C29EC" w:rsidRPr="006353AE" w:rsidRDefault="001C29EC" w:rsidP="001C29EC">
      <w:pPr>
        <w:widowControl w:val="0"/>
        <w:jc w:val="both"/>
        <w:rPr>
          <w:rFonts w:ascii="Book Antiqua" w:hAnsi="Book Antiqua" w:cs="Book Antiqua"/>
          <w:snapToGrid w:val="0"/>
          <w:lang w:val="es-CR"/>
        </w:rPr>
      </w:pPr>
    </w:p>
    <w:p w14:paraId="457AC7EC" w14:textId="77777777" w:rsidR="001C29EC" w:rsidRPr="006353AE" w:rsidRDefault="001C29EC" w:rsidP="001C29EC">
      <w:pPr>
        <w:widowControl w:val="0"/>
        <w:jc w:val="both"/>
        <w:rPr>
          <w:rFonts w:ascii="Book Antiqua" w:hAnsi="Book Antiqua" w:cs="Book Antiqua"/>
          <w:snapToGrid w:val="0"/>
          <w:lang w:val="es-CR"/>
        </w:rPr>
      </w:pPr>
    </w:p>
    <w:p w14:paraId="12547A69" w14:textId="77777777" w:rsidR="001C29EC" w:rsidRPr="006353AE" w:rsidRDefault="001C29EC" w:rsidP="001C29EC">
      <w:pPr>
        <w:widowControl w:val="0"/>
        <w:jc w:val="both"/>
        <w:rPr>
          <w:rFonts w:ascii="Book Antiqua" w:hAnsi="Book Antiqua" w:cs="Book Antiqua"/>
          <w:snapToGrid w:val="0"/>
          <w:lang w:val="es-CR"/>
        </w:rPr>
      </w:pPr>
    </w:p>
    <w:p w14:paraId="4DE8C12C" w14:textId="77777777" w:rsidR="001C29EC" w:rsidRPr="006353AE" w:rsidRDefault="001C29EC" w:rsidP="001C29EC">
      <w:pPr>
        <w:rPr>
          <w:rFonts w:ascii="Book Antiqua" w:hAnsi="Book Antiqua" w:cs="Book Antiqua"/>
          <w:snapToGrid w:val="0"/>
          <w:lang w:val="pt-BR"/>
        </w:rPr>
      </w:pPr>
      <w:r w:rsidRPr="006353AE">
        <w:rPr>
          <w:rFonts w:ascii="Book Antiqua" w:hAnsi="Book Antiqua" w:cs="Book Antiqua"/>
          <w:snapToGrid w:val="0"/>
          <w:lang w:val="pt-BR"/>
        </w:rPr>
        <w:t>Máster Erick Antonio Mora Leiva, Jefe</w:t>
      </w:r>
    </w:p>
    <w:p w14:paraId="75478335" w14:textId="77777777" w:rsidR="001C29EC" w:rsidRPr="006353AE" w:rsidRDefault="001C29EC" w:rsidP="001C29EC">
      <w:pPr>
        <w:rPr>
          <w:rFonts w:ascii="Book Antiqua" w:hAnsi="Book Antiqua" w:cs="Book Antiqua"/>
          <w:snapToGrid w:val="0"/>
          <w:lang w:val="pt-BR"/>
        </w:rPr>
      </w:pPr>
      <w:r w:rsidRPr="006353AE">
        <w:rPr>
          <w:rFonts w:ascii="Book Antiqua" w:hAnsi="Book Antiqua" w:cs="Book Antiqua"/>
          <w:snapToGrid w:val="0"/>
          <w:lang w:val="pt-BR"/>
        </w:rPr>
        <w:t>Proceso de Planeación y Evaluación</w:t>
      </w:r>
    </w:p>
    <w:p w14:paraId="53817A5E" w14:textId="77777777" w:rsidR="001C29EC" w:rsidRPr="006353AE" w:rsidRDefault="001C29EC" w:rsidP="001C29EC">
      <w:pPr>
        <w:widowControl w:val="0"/>
        <w:rPr>
          <w:rFonts w:ascii="Book Antiqua" w:hAnsi="Book Antiqua" w:cs="Book Antiqua"/>
          <w:snapToGrid w:val="0"/>
          <w:lang w:val="es-CR"/>
        </w:rPr>
      </w:pPr>
    </w:p>
    <w:p w14:paraId="29405A91" w14:textId="77777777" w:rsidR="001C29EC" w:rsidRPr="006353AE" w:rsidRDefault="001C29EC" w:rsidP="001C29EC">
      <w:pPr>
        <w:widowControl w:val="0"/>
        <w:rPr>
          <w:rFonts w:ascii="Book Antiqua" w:hAnsi="Book Antiqua" w:cs="Book Antiqua"/>
          <w:snapToGrid w:val="0"/>
          <w:lang w:val="es-CR"/>
        </w:rPr>
      </w:pPr>
    </w:p>
    <w:p w14:paraId="24DF2E2A" w14:textId="77777777" w:rsidR="001C29EC" w:rsidRPr="006353AE" w:rsidRDefault="001C29EC" w:rsidP="001C29EC">
      <w:pPr>
        <w:rPr>
          <w:rFonts w:ascii="Book Antiqua" w:hAnsi="Book Antiqua" w:cs="Book Antiqua"/>
          <w:b/>
          <w:bCs/>
          <w:i/>
          <w:iCs/>
          <w:lang w:val="es-CR"/>
        </w:rPr>
      </w:pPr>
      <w:r w:rsidRPr="006353AE">
        <w:rPr>
          <w:rFonts w:ascii="Book Antiqua" w:hAnsi="Book Antiqua" w:cs="Book Antiqua"/>
          <w:b/>
          <w:bCs/>
          <w:i/>
          <w:iCs/>
          <w:lang w:val="es-CR"/>
        </w:rPr>
        <w:t>Se adjuntan respuestas recibidas</w:t>
      </w:r>
    </w:p>
    <w:p w14:paraId="20FAD1A8" w14:textId="77777777" w:rsidR="001C29EC" w:rsidRPr="00F6114E" w:rsidRDefault="001C29EC" w:rsidP="001C29EC">
      <w:pPr>
        <w:rPr>
          <w:rFonts w:ascii="Book Antiqua" w:hAnsi="Book Antiqua" w:cs="Book Antiqua"/>
          <w:b/>
          <w:bCs/>
          <w:i/>
          <w:iCs/>
          <w:lang w:val="es-CR"/>
        </w:rPr>
      </w:pPr>
    </w:p>
    <w:tbl>
      <w:tblPr>
        <w:tblW w:w="5000" w:type="pct"/>
        <w:jc w:val="center"/>
        <w:tblCellMar>
          <w:left w:w="70" w:type="dxa"/>
          <w:right w:w="70" w:type="dxa"/>
        </w:tblCellMar>
        <w:tblLook w:val="04A0" w:firstRow="1" w:lastRow="0" w:firstColumn="1" w:lastColumn="0" w:noHBand="0" w:noVBand="1"/>
      </w:tblPr>
      <w:tblGrid>
        <w:gridCol w:w="3398"/>
        <w:gridCol w:w="5805"/>
      </w:tblGrid>
      <w:tr w:rsidR="00247F11" w:rsidRPr="00F6114E" w14:paraId="0320900F" w14:textId="77777777" w:rsidTr="623C9349">
        <w:trPr>
          <w:trHeight w:val="600"/>
          <w:jc w:val="center"/>
        </w:trPr>
        <w:tc>
          <w:tcPr>
            <w:tcW w:w="184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2F5496" w:themeFill="accent1" w:themeFillShade="BF"/>
          </w:tcPr>
          <w:p w14:paraId="5149F00C" w14:textId="77777777" w:rsidR="001C29EC" w:rsidRPr="00C9711A" w:rsidRDefault="001C29EC" w:rsidP="00072B3C">
            <w:pPr>
              <w:jc w:val="center"/>
              <w:rPr>
                <w:rFonts w:ascii="Arial Narrow" w:hAnsi="Arial Narrow"/>
                <w:b/>
                <w:bCs/>
                <w:color w:val="FFFFFF"/>
                <w:sz w:val="20"/>
                <w:szCs w:val="20"/>
                <w:lang w:val="es-CR" w:eastAsia="es-CR"/>
              </w:rPr>
            </w:pPr>
            <w:r w:rsidRPr="00C9711A">
              <w:rPr>
                <w:rFonts w:ascii="Arial Narrow" w:hAnsi="Arial Narrow"/>
                <w:b/>
                <w:bCs/>
                <w:color w:val="FFFFFF"/>
                <w:sz w:val="20"/>
                <w:szCs w:val="20"/>
                <w:lang w:val="es-CR" w:eastAsia="es-CR"/>
              </w:rPr>
              <w:t>Oficina</w:t>
            </w:r>
          </w:p>
        </w:tc>
        <w:tc>
          <w:tcPr>
            <w:tcW w:w="3154" w:type="pct"/>
            <w:tcBorders>
              <w:top w:val="single" w:sz="4" w:space="0" w:color="000000" w:themeColor="text1"/>
              <w:left w:val="nil"/>
              <w:bottom w:val="single" w:sz="4" w:space="0" w:color="000000" w:themeColor="text1"/>
              <w:right w:val="single" w:sz="4" w:space="0" w:color="000000" w:themeColor="text1"/>
            </w:tcBorders>
            <w:shd w:val="clear" w:color="auto" w:fill="2F5496" w:themeFill="accent1" w:themeFillShade="BF"/>
          </w:tcPr>
          <w:p w14:paraId="1C8AEA48" w14:textId="77777777" w:rsidR="001C29EC" w:rsidRDefault="001C29EC" w:rsidP="00072B3C">
            <w:pPr>
              <w:jc w:val="center"/>
              <w:rPr>
                <w:rFonts w:ascii="Book Antiqua" w:hAnsi="Book Antiqua"/>
                <w:b/>
                <w:bCs/>
                <w:color w:val="FFFFFF"/>
                <w:sz w:val="20"/>
                <w:szCs w:val="20"/>
                <w:lang w:val="es-CR" w:eastAsia="es-CR"/>
              </w:rPr>
            </w:pPr>
            <w:r>
              <w:rPr>
                <w:rFonts w:ascii="Book Antiqua" w:hAnsi="Book Antiqua"/>
                <w:b/>
                <w:bCs/>
                <w:color w:val="FFFFFF"/>
                <w:sz w:val="20"/>
                <w:szCs w:val="20"/>
                <w:lang w:val="es-CR" w:eastAsia="es-CR"/>
              </w:rPr>
              <w:t xml:space="preserve">Respuesta </w:t>
            </w:r>
          </w:p>
        </w:tc>
      </w:tr>
      <w:tr w:rsidR="00247F11" w:rsidRPr="00F6114E" w14:paraId="3A8EFAD2" w14:textId="77777777" w:rsidTr="623C9349">
        <w:trPr>
          <w:trHeight w:val="735"/>
          <w:jc w:val="center"/>
        </w:trPr>
        <w:tc>
          <w:tcPr>
            <w:tcW w:w="184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18E853CF" w14:textId="29CF8EE1" w:rsidR="001C29EC" w:rsidRPr="00BC7C45" w:rsidRDefault="00542EAF" w:rsidP="00072B3C">
            <w:pPr>
              <w:jc w:val="center"/>
              <w:rPr>
                <w:rFonts w:ascii="Arial Narrow" w:hAnsi="Arial Narrow"/>
                <w:b/>
                <w:bCs/>
                <w:sz w:val="20"/>
                <w:szCs w:val="20"/>
                <w:lang w:val="es-CR" w:eastAsia="es-CR"/>
              </w:rPr>
            </w:pPr>
            <w:r w:rsidRPr="00BC7C45">
              <w:rPr>
                <w:rFonts w:ascii="Arial Narrow" w:hAnsi="Arial Narrow"/>
                <w:b/>
                <w:bCs/>
                <w:sz w:val="20"/>
                <w:szCs w:val="20"/>
                <w:lang w:val="es-CR" w:eastAsia="es-CR"/>
              </w:rPr>
              <w:t>Administración Regional de la Ciudad Judicial, San Joaquín de Flores</w:t>
            </w:r>
          </w:p>
        </w:tc>
        <w:tc>
          <w:tcPr>
            <w:tcW w:w="3154" w:type="pct"/>
            <w:tcBorders>
              <w:top w:val="single" w:sz="4" w:space="0" w:color="000000" w:themeColor="text1"/>
              <w:left w:val="nil"/>
              <w:bottom w:val="single" w:sz="4" w:space="0" w:color="000000" w:themeColor="text1"/>
              <w:right w:val="single" w:sz="4" w:space="0" w:color="000000" w:themeColor="text1"/>
            </w:tcBorders>
            <w:shd w:val="clear" w:color="auto" w:fill="auto"/>
          </w:tcPr>
          <w:p w14:paraId="23E3EB71" w14:textId="7C5EC081" w:rsidR="001C29EC" w:rsidRPr="0008541E" w:rsidRDefault="000D5FAC" w:rsidP="00072B3C">
            <w:pPr>
              <w:jc w:val="center"/>
              <w:rPr>
                <w:rFonts w:ascii="Book Antiqua" w:hAnsi="Book Antiqua"/>
                <w:b/>
                <w:bCs/>
                <w:color w:val="FFFFFF"/>
                <w:sz w:val="20"/>
                <w:szCs w:val="20"/>
                <w:lang w:val="es-CR" w:eastAsia="es-CR"/>
              </w:rPr>
            </w:pPr>
            <w:r>
              <w:object w:dxaOrig="1376" w:dyaOrig="899" w14:anchorId="26CDBC0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7.75pt;height:38.1pt" o:ole="">
                  <v:imagedata r:id="rId11" o:title=""/>
                </v:shape>
                <o:OLEObject Type="Embed" ProgID="Package" ShapeID="_x0000_i1025" DrawAspect="Icon" ObjectID="_1723023840" r:id="rId12"/>
              </w:object>
            </w:r>
          </w:p>
        </w:tc>
      </w:tr>
      <w:tr w:rsidR="00247F11" w:rsidRPr="00F6114E" w14:paraId="7ECA8448" w14:textId="77777777" w:rsidTr="623C9349">
        <w:trPr>
          <w:trHeight w:val="735"/>
          <w:jc w:val="center"/>
        </w:trPr>
        <w:tc>
          <w:tcPr>
            <w:tcW w:w="184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423D58B" w14:textId="74D45833" w:rsidR="001C29EC" w:rsidRPr="00BC7C45" w:rsidRDefault="00542EAF" w:rsidP="00072B3C">
            <w:pPr>
              <w:jc w:val="center"/>
              <w:rPr>
                <w:rFonts w:ascii="Arial Narrow" w:hAnsi="Arial Narrow"/>
                <w:b/>
                <w:bCs/>
                <w:sz w:val="20"/>
                <w:szCs w:val="20"/>
                <w:lang w:val="es-CR" w:eastAsia="es-CR"/>
              </w:rPr>
            </w:pPr>
            <w:r w:rsidRPr="00BC7C45">
              <w:rPr>
                <w:rFonts w:ascii="Arial Narrow" w:hAnsi="Arial Narrow"/>
                <w:b/>
                <w:bCs/>
                <w:sz w:val="20"/>
                <w:szCs w:val="20"/>
                <w:lang w:val="es-CR" w:eastAsia="es-CR"/>
              </w:rPr>
              <w:t>Oficina Rectora de Justicia Restaurativa</w:t>
            </w:r>
          </w:p>
        </w:tc>
        <w:tc>
          <w:tcPr>
            <w:tcW w:w="3154" w:type="pct"/>
            <w:tcBorders>
              <w:top w:val="single" w:sz="4" w:space="0" w:color="000000" w:themeColor="text1"/>
              <w:left w:val="nil"/>
              <w:bottom w:val="single" w:sz="4" w:space="0" w:color="000000" w:themeColor="text1"/>
              <w:right w:val="single" w:sz="4" w:space="0" w:color="000000" w:themeColor="text1"/>
            </w:tcBorders>
            <w:shd w:val="clear" w:color="auto" w:fill="auto"/>
          </w:tcPr>
          <w:p w14:paraId="0DC3F1F7" w14:textId="31E4898E" w:rsidR="001C29EC" w:rsidRPr="0008541E" w:rsidRDefault="00B50722" w:rsidP="00072B3C">
            <w:pPr>
              <w:jc w:val="center"/>
              <w:rPr>
                <w:rFonts w:ascii="Book Antiqua" w:hAnsi="Book Antiqua"/>
                <w:b/>
                <w:bCs/>
                <w:color w:val="FFFFFF"/>
                <w:sz w:val="20"/>
                <w:szCs w:val="20"/>
                <w:lang w:val="es-CR" w:eastAsia="es-CR"/>
              </w:rPr>
            </w:pPr>
            <w:r w:rsidRPr="00434A36">
              <w:rPr>
                <w:rFonts w:ascii="Book Antiqua" w:hAnsi="Book Antiqua"/>
                <w:b/>
                <w:bCs/>
                <w:color w:val="FFFFFF"/>
                <w:sz w:val="20"/>
                <w:szCs w:val="20"/>
                <w:lang w:val="es-CR" w:eastAsia="es-CR"/>
              </w:rPr>
              <w:object w:dxaOrig="6345" w:dyaOrig="810" w14:anchorId="2C34072A">
                <v:shape id="_x0000_i1026" type="#_x0000_t75" style="width:215.25pt;height:27.7pt" o:ole="">
                  <v:imagedata r:id="rId13" o:title=""/>
                </v:shape>
                <o:OLEObject Type="Embed" ProgID="Package" ShapeID="_x0000_i1026" DrawAspect="Content" ObjectID="_1723023841" r:id="rId14"/>
              </w:object>
            </w:r>
          </w:p>
        </w:tc>
      </w:tr>
      <w:tr w:rsidR="00247F11" w:rsidRPr="00F6114E" w14:paraId="17010090" w14:textId="77777777" w:rsidTr="623C9349">
        <w:trPr>
          <w:trHeight w:val="735"/>
          <w:jc w:val="center"/>
        </w:trPr>
        <w:tc>
          <w:tcPr>
            <w:tcW w:w="184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276EF042" w14:textId="346EB614" w:rsidR="001C29EC" w:rsidRPr="00BC7C45" w:rsidRDefault="00434A36" w:rsidP="00072B3C">
            <w:pPr>
              <w:jc w:val="center"/>
              <w:rPr>
                <w:rFonts w:ascii="Arial Narrow" w:hAnsi="Arial Narrow"/>
                <w:b/>
                <w:bCs/>
                <w:sz w:val="20"/>
                <w:szCs w:val="20"/>
                <w:lang w:val="es-CR" w:eastAsia="es-CR"/>
              </w:rPr>
            </w:pPr>
            <w:r w:rsidRPr="00BC7C45">
              <w:rPr>
                <w:rFonts w:ascii="Arial Narrow" w:hAnsi="Arial Narrow"/>
                <w:b/>
                <w:bCs/>
                <w:sz w:val="20"/>
                <w:szCs w:val="20"/>
                <w:lang w:val="es-CR" w:eastAsia="es-CR"/>
              </w:rPr>
              <w:t>Dirección Jurídica</w:t>
            </w:r>
          </w:p>
        </w:tc>
        <w:tc>
          <w:tcPr>
            <w:tcW w:w="3154" w:type="pct"/>
            <w:tcBorders>
              <w:top w:val="single" w:sz="4" w:space="0" w:color="000000" w:themeColor="text1"/>
              <w:left w:val="nil"/>
              <w:bottom w:val="single" w:sz="4" w:space="0" w:color="000000" w:themeColor="text1"/>
              <w:right w:val="single" w:sz="4" w:space="0" w:color="000000" w:themeColor="text1"/>
            </w:tcBorders>
            <w:shd w:val="clear" w:color="auto" w:fill="auto"/>
          </w:tcPr>
          <w:p w14:paraId="6603E8CB" w14:textId="03BCD654" w:rsidR="001C29EC" w:rsidRPr="0008541E" w:rsidRDefault="00014573" w:rsidP="00072B3C">
            <w:pPr>
              <w:jc w:val="center"/>
              <w:rPr>
                <w:rFonts w:ascii="Book Antiqua" w:hAnsi="Book Antiqua"/>
                <w:b/>
                <w:bCs/>
                <w:color w:val="FFFFFF"/>
                <w:sz w:val="20"/>
                <w:szCs w:val="20"/>
                <w:lang w:val="es-CR" w:eastAsia="es-CR"/>
              </w:rPr>
            </w:pPr>
            <w:r w:rsidRPr="00434A36">
              <w:rPr>
                <w:rFonts w:ascii="Book Antiqua" w:hAnsi="Book Antiqua"/>
                <w:b/>
                <w:bCs/>
                <w:color w:val="FFFFFF"/>
                <w:sz w:val="20"/>
                <w:szCs w:val="20"/>
                <w:lang w:val="es-CR" w:eastAsia="es-CR"/>
              </w:rPr>
              <w:object w:dxaOrig="4211" w:dyaOrig="831" w14:anchorId="22F94D8D">
                <v:shape id="_x0000_i1027" type="#_x0000_t75" style="width:178.65pt;height:35.4pt" o:ole="">
                  <v:imagedata r:id="rId15" o:title=""/>
                </v:shape>
                <o:OLEObject Type="Embed" ProgID="Package" ShapeID="_x0000_i1027" DrawAspect="Content" ObjectID="_1723023842" r:id="rId16"/>
              </w:object>
            </w:r>
          </w:p>
        </w:tc>
      </w:tr>
      <w:tr w:rsidR="00247F11" w:rsidRPr="00F6114E" w14:paraId="3C8C0EB6" w14:textId="77777777" w:rsidTr="623C9349">
        <w:trPr>
          <w:trHeight w:val="735"/>
          <w:jc w:val="center"/>
        </w:trPr>
        <w:tc>
          <w:tcPr>
            <w:tcW w:w="184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CFEDC4B" w14:textId="0DD434D4" w:rsidR="001C29EC" w:rsidRPr="00BC7C45" w:rsidRDefault="00783C8C" w:rsidP="00072B3C">
            <w:pPr>
              <w:jc w:val="center"/>
              <w:rPr>
                <w:rFonts w:ascii="Arial Narrow" w:hAnsi="Arial Narrow"/>
                <w:b/>
                <w:bCs/>
                <w:sz w:val="20"/>
                <w:szCs w:val="20"/>
                <w:lang w:val="es-CR" w:eastAsia="es-CR"/>
              </w:rPr>
            </w:pPr>
            <w:r w:rsidRPr="00BC7C45">
              <w:rPr>
                <w:rFonts w:ascii="Arial Narrow" w:hAnsi="Arial Narrow"/>
                <w:b/>
                <w:bCs/>
                <w:sz w:val="20"/>
                <w:szCs w:val="20"/>
                <w:lang w:val="es-CR" w:eastAsia="es-CR"/>
              </w:rPr>
              <w:t>OIJ</w:t>
            </w:r>
          </w:p>
        </w:tc>
        <w:tc>
          <w:tcPr>
            <w:tcW w:w="3154" w:type="pct"/>
            <w:tcBorders>
              <w:top w:val="single" w:sz="4" w:space="0" w:color="000000" w:themeColor="text1"/>
              <w:left w:val="nil"/>
              <w:bottom w:val="single" w:sz="4" w:space="0" w:color="000000" w:themeColor="text1"/>
              <w:right w:val="single" w:sz="4" w:space="0" w:color="000000" w:themeColor="text1"/>
            </w:tcBorders>
            <w:shd w:val="clear" w:color="auto" w:fill="auto"/>
          </w:tcPr>
          <w:p w14:paraId="58562B18" w14:textId="4EC81596" w:rsidR="001C29EC" w:rsidRPr="0008541E" w:rsidRDefault="00763F6A" w:rsidP="00072B3C">
            <w:pPr>
              <w:jc w:val="center"/>
              <w:rPr>
                <w:rFonts w:ascii="Book Antiqua" w:hAnsi="Book Antiqua"/>
                <w:b/>
                <w:bCs/>
                <w:color w:val="FFFFFF"/>
                <w:sz w:val="20"/>
                <w:szCs w:val="20"/>
                <w:lang w:val="es-CR" w:eastAsia="es-CR"/>
              </w:rPr>
            </w:pPr>
            <w:r>
              <w:object w:dxaOrig="1376" w:dyaOrig="899" w14:anchorId="296DDA42">
                <v:shape id="_x0000_i1028" type="#_x0000_t75" style="width:60.05pt;height:39.65pt" o:ole="">
                  <v:imagedata r:id="rId17" o:title=""/>
                </v:shape>
                <o:OLEObject Type="Embed" ProgID="Package" ShapeID="_x0000_i1028" DrawAspect="Icon" ObjectID="_1723023843" r:id="rId18"/>
              </w:object>
            </w:r>
          </w:p>
        </w:tc>
      </w:tr>
      <w:tr w:rsidR="00247F11" w:rsidRPr="00F6114E" w14:paraId="55CD9946" w14:textId="77777777" w:rsidTr="623C9349">
        <w:trPr>
          <w:trHeight w:val="735"/>
          <w:jc w:val="center"/>
        </w:trPr>
        <w:tc>
          <w:tcPr>
            <w:tcW w:w="184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3F1F8A1" w14:textId="3E3002AB" w:rsidR="001C29EC" w:rsidRPr="00BC7C45" w:rsidRDefault="00930787" w:rsidP="00072B3C">
            <w:pPr>
              <w:jc w:val="center"/>
              <w:rPr>
                <w:rFonts w:ascii="Arial Narrow" w:hAnsi="Arial Narrow"/>
                <w:b/>
                <w:bCs/>
                <w:sz w:val="20"/>
                <w:szCs w:val="20"/>
                <w:lang w:val="es-CR" w:eastAsia="es-CR"/>
              </w:rPr>
            </w:pPr>
            <w:r w:rsidRPr="00BC7C45">
              <w:rPr>
                <w:rFonts w:ascii="Arial Narrow" w:hAnsi="Arial Narrow"/>
                <w:b/>
                <w:bCs/>
                <w:sz w:val="20"/>
                <w:szCs w:val="20"/>
                <w:lang w:val="es-CR" w:eastAsia="es-CR"/>
              </w:rPr>
              <w:t>Administración Regional I Circuito Judicial Zona Sur</w:t>
            </w:r>
          </w:p>
        </w:tc>
        <w:tc>
          <w:tcPr>
            <w:tcW w:w="3154" w:type="pct"/>
            <w:tcBorders>
              <w:top w:val="single" w:sz="4" w:space="0" w:color="000000" w:themeColor="text1"/>
              <w:left w:val="nil"/>
              <w:bottom w:val="single" w:sz="4" w:space="0" w:color="000000" w:themeColor="text1"/>
              <w:right w:val="single" w:sz="4" w:space="0" w:color="000000" w:themeColor="text1"/>
            </w:tcBorders>
            <w:shd w:val="clear" w:color="auto" w:fill="auto"/>
          </w:tcPr>
          <w:p w14:paraId="24DC3133" w14:textId="22B49F70" w:rsidR="001C29EC" w:rsidRPr="0008541E" w:rsidRDefault="00D2332F" w:rsidP="00072B3C">
            <w:pPr>
              <w:jc w:val="center"/>
              <w:rPr>
                <w:rFonts w:ascii="Book Antiqua" w:hAnsi="Book Antiqua"/>
                <w:b/>
                <w:bCs/>
                <w:color w:val="FFFFFF"/>
                <w:sz w:val="20"/>
                <w:szCs w:val="20"/>
                <w:lang w:val="es-CR" w:eastAsia="es-CR"/>
              </w:rPr>
            </w:pPr>
            <w:r>
              <w:object w:dxaOrig="1376" w:dyaOrig="899" w14:anchorId="2CAC8568">
                <v:shape id="_x0000_i1029" type="#_x0000_t75" style="width:59.3pt;height:38.9pt" o:ole="">
                  <v:imagedata r:id="rId19" o:title=""/>
                </v:shape>
                <o:OLEObject Type="Embed" ProgID="Package" ShapeID="_x0000_i1029" DrawAspect="Icon" ObjectID="_1723023844" r:id="rId20"/>
              </w:object>
            </w:r>
          </w:p>
        </w:tc>
      </w:tr>
      <w:tr w:rsidR="00247F11" w:rsidRPr="00F6114E" w14:paraId="0482413D" w14:textId="77777777" w:rsidTr="623C9349">
        <w:trPr>
          <w:trHeight w:val="735"/>
          <w:jc w:val="center"/>
        </w:trPr>
        <w:tc>
          <w:tcPr>
            <w:tcW w:w="184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EDB2197" w14:textId="34A0E65D" w:rsidR="001C29EC" w:rsidRPr="00BC7C45" w:rsidRDefault="00930787" w:rsidP="00072B3C">
            <w:pPr>
              <w:jc w:val="center"/>
              <w:rPr>
                <w:rFonts w:ascii="Arial Narrow" w:hAnsi="Arial Narrow"/>
                <w:b/>
                <w:bCs/>
                <w:sz w:val="20"/>
                <w:szCs w:val="20"/>
                <w:lang w:val="es-CR" w:eastAsia="es-CR"/>
              </w:rPr>
            </w:pPr>
            <w:r w:rsidRPr="00BC7C45">
              <w:rPr>
                <w:rFonts w:ascii="Arial Narrow" w:hAnsi="Arial Narrow"/>
                <w:b/>
                <w:bCs/>
                <w:sz w:val="20"/>
                <w:szCs w:val="20"/>
                <w:lang w:val="es-CR" w:eastAsia="es-CR"/>
              </w:rPr>
              <w:t>Administración Regional del II Circuito Judicial de San José</w:t>
            </w:r>
          </w:p>
        </w:tc>
        <w:tc>
          <w:tcPr>
            <w:tcW w:w="3154" w:type="pct"/>
            <w:tcBorders>
              <w:top w:val="single" w:sz="4" w:space="0" w:color="000000" w:themeColor="text1"/>
              <w:left w:val="nil"/>
              <w:bottom w:val="single" w:sz="4" w:space="0" w:color="000000" w:themeColor="text1"/>
              <w:right w:val="single" w:sz="4" w:space="0" w:color="000000" w:themeColor="text1"/>
            </w:tcBorders>
            <w:shd w:val="clear" w:color="auto" w:fill="auto"/>
          </w:tcPr>
          <w:p w14:paraId="67A494FD" w14:textId="670DCCB1" w:rsidR="001C29EC" w:rsidRDefault="00B50722" w:rsidP="00072B3C">
            <w:pPr>
              <w:jc w:val="center"/>
              <w:rPr>
                <w:rFonts w:ascii="Book Antiqua" w:hAnsi="Book Antiqua"/>
                <w:b/>
                <w:bCs/>
                <w:color w:val="FFFFFF"/>
                <w:sz w:val="20"/>
                <w:szCs w:val="20"/>
                <w:lang w:val="es-CR" w:eastAsia="es-CR"/>
              </w:rPr>
            </w:pPr>
            <w:r>
              <w:object w:dxaOrig="1376" w:dyaOrig="899" w14:anchorId="318BBFC0">
                <v:shape id="_x0000_i1030" type="#_x0000_t75" style="width:68.15pt;height:45.05pt" o:ole="">
                  <v:imagedata r:id="rId21" o:title=""/>
                </v:shape>
                <o:OLEObject Type="Embed" ProgID="Package" ShapeID="_x0000_i1030" DrawAspect="Icon" ObjectID="_1723023845" r:id="rId22"/>
              </w:object>
            </w:r>
          </w:p>
        </w:tc>
      </w:tr>
      <w:tr w:rsidR="00247F11" w:rsidRPr="00F6114E" w14:paraId="14CA68BF" w14:textId="77777777" w:rsidTr="623C9349">
        <w:trPr>
          <w:trHeight w:val="735"/>
          <w:jc w:val="center"/>
        </w:trPr>
        <w:tc>
          <w:tcPr>
            <w:tcW w:w="184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57B46C9F" w14:textId="49B7DFE3" w:rsidR="001C29EC" w:rsidRPr="00BC7C45" w:rsidRDefault="001A54D5" w:rsidP="00072B3C">
            <w:pPr>
              <w:jc w:val="center"/>
              <w:rPr>
                <w:rFonts w:ascii="Arial Narrow" w:hAnsi="Arial Narrow"/>
                <w:b/>
                <w:bCs/>
                <w:sz w:val="20"/>
                <w:szCs w:val="20"/>
                <w:lang w:val="es-CR" w:eastAsia="es-CR"/>
              </w:rPr>
            </w:pPr>
            <w:r w:rsidRPr="00BC7C45">
              <w:rPr>
                <w:rFonts w:ascii="Arial Narrow" w:hAnsi="Arial Narrow"/>
                <w:b/>
                <w:bCs/>
                <w:sz w:val="20"/>
                <w:szCs w:val="20"/>
                <w:lang w:val="es-CR" w:eastAsia="es-CR"/>
              </w:rPr>
              <w:t xml:space="preserve">Defensa Pública </w:t>
            </w:r>
          </w:p>
        </w:tc>
        <w:tc>
          <w:tcPr>
            <w:tcW w:w="3154" w:type="pct"/>
            <w:tcBorders>
              <w:top w:val="single" w:sz="4" w:space="0" w:color="000000" w:themeColor="text1"/>
              <w:left w:val="nil"/>
              <w:bottom w:val="single" w:sz="4" w:space="0" w:color="000000" w:themeColor="text1"/>
              <w:right w:val="single" w:sz="4" w:space="0" w:color="000000" w:themeColor="text1"/>
            </w:tcBorders>
            <w:shd w:val="clear" w:color="auto" w:fill="auto"/>
          </w:tcPr>
          <w:p w14:paraId="3FB7F524" w14:textId="472DCBDD" w:rsidR="001C29EC" w:rsidRDefault="007F76AD" w:rsidP="00072B3C">
            <w:pPr>
              <w:jc w:val="center"/>
              <w:rPr>
                <w:rFonts w:ascii="Book Antiqua" w:hAnsi="Book Antiqua"/>
                <w:b/>
                <w:bCs/>
                <w:color w:val="FFFFFF"/>
                <w:sz w:val="20"/>
                <w:szCs w:val="20"/>
                <w:lang w:val="es-CR" w:eastAsia="es-CR"/>
              </w:rPr>
            </w:pPr>
            <w:r w:rsidRPr="00D57E2E">
              <w:rPr>
                <w:rFonts w:ascii="Book Antiqua" w:hAnsi="Book Antiqua"/>
                <w:b/>
                <w:bCs/>
                <w:color w:val="FFFFFF"/>
                <w:sz w:val="20"/>
                <w:szCs w:val="20"/>
                <w:lang w:val="es-CR" w:eastAsia="es-CR"/>
              </w:rPr>
              <w:object w:dxaOrig="4155" w:dyaOrig="810" w14:anchorId="395FEDF8">
                <v:shape id="_x0000_i1031" type="#_x0000_t75" style="width:170.95pt;height:33.1pt" o:ole="">
                  <v:imagedata r:id="rId23" o:title=""/>
                </v:shape>
                <o:OLEObject Type="Embed" ProgID="Package" ShapeID="_x0000_i1031" DrawAspect="Content" ObjectID="_1723023846" r:id="rId24"/>
              </w:object>
            </w:r>
          </w:p>
        </w:tc>
      </w:tr>
      <w:tr w:rsidR="00247F11" w:rsidRPr="00F6114E" w14:paraId="28182CCE" w14:textId="77777777" w:rsidTr="623C9349">
        <w:trPr>
          <w:trHeight w:val="735"/>
          <w:jc w:val="center"/>
        </w:trPr>
        <w:tc>
          <w:tcPr>
            <w:tcW w:w="184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11B5AD7" w14:textId="53A1C49C" w:rsidR="001C29EC" w:rsidRPr="00BC7C45" w:rsidRDefault="00D57E2E" w:rsidP="00072B3C">
            <w:pPr>
              <w:jc w:val="center"/>
              <w:rPr>
                <w:rFonts w:ascii="Arial Narrow" w:hAnsi="Arial Narrow"/>
                <w:b/>
                <w:bCs/>
                <w:sz w:val="20"/>
                <w:szCs w:val="20"/>
                <w:lang w:val="es-CR" w:eastAsia="es-CR"/>
              </w:rPr>
            </w:pPr>
            <w:r w:rsidRPr="00BC7C45">
              <w:rPr>
                <w:rFonts w:ascii="Arial Narrow" w:hAnsi="Arial Narrow"/>
                <w:b/>
                <w:bCs/>
                <w:sz w:val="20"/>
                <w:szCs w:val="20"/>
                <w:lang w:val="es-CR" w:eastAsia="es-CR"/>
              </w:rPr>
              <w:t>Centro de Apoyo, Coordinación y Mejoramiento de la Función Jurisdiccional</w:t>
            </w:r>
          </w:p>
        </w:tc>
        <w:tc>
          <w:tcPr>
            <w:tcW w:w="3154" w:type="pct"/>
            <w:tcBorders>
              <w:top w:val="single" w:sz="4" w:space="0" w:color="000000" w:themeColor="text1"/>
              <w:left w:val="nil"/>
              <w:bottom w:val="single" w:sz="4" w:space="0" w:color="000000" w:themeColor="text1"/>
              <w:right w:val="single" w:sz="4" w:space="0" w:color="000000" w:themeColor="text1"/>
            </w:tcBorders>
            <w:shd w:val="clear" w:color="auto" w:fill="auto"/>
          </w:tcPr>
          <w:p w14:paraId="11788A41" w14:textId="563B7B78" w:rsidR="001C29EC" w:rsidRDefault="00E152E8" w:rsidP="00072B3C">
            <w:pPr>
              <w:jc w:val="center"/>
              <w:rPr>
                <w:rFonts w:ascii="Book Antiqua" w:hAnsi="Book Antiqua"/>
                <w:b/>
                <w:bCs/>
                <w:color w:val="FFFFFF"/>
                <w:sz w:val="20"/>
                <w:szCs w:val="20"/>
                <w:lang w:val="es-CR" w:eastAsia="es-CR"/>
              </w:rPr>
            </w:pPr>
            <w:r w:rsidRPr="007C0FBC">
              <w:rPr>
                <w:rFonts w:ascii="Book Antiqua" w:hAnsi="Book Antiqua"/>
                <w:b/>
                <w:bCs/>
                <w:color w:val="FFFFFF"/>
                <w:sz w:val="20"/>
                <w:szCs w:val="20"/>
                <w:lang w:val="es-CR" w:eastAsia="es-CR"/>
              </w:rPr>
              <w:object w:dxaOrig="4131" w:dyaOrig="831" w14:anchorId="429921FB">
                <v:shape id="_x0000_i1032" type="#_x0000_t75" style="width:179.4pt;height:35.8pt" o:ole="">
                  <v:imagedata r:id="rId25" o:title=""/>
                </v:shape>
                <o:OLEObject Type="Embed" ProgID="Package" ShapeID="_x0000_i1032" DrawAspect="Content" ObjectID="_1723023847" r:id="rId26"/>
              </w:object>
            </w:r>
          </w:p>
        </w:tc>
      </w:tr>
      <w:tr w:rsidR="00247F11" w:rsidRPr="00F6114E" w14:paraId="1DFF8391" w14:textId="77777777" w:rsidTr="623C9349">
        <w:trPr>
          <w:trHeight w:val="735"/>
          <w:jc w:val="center"/>
        </w:trPr>
        <w:tc>
          <w:tcPr>
            <w:tcW w:w="184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72139B92" w14:textId="2ADF6D44" w:rsidR="001C29EC" w:rsidRPr="00BC7C45" w:rsidRDefault="00AE2EF4" w:rsidP="00072B3C">
            <w:pPr>
              <w:jc w:val="center"/>
              <w:rPr>
                <w:rFonts w:ascii="Arial Narrow" w:hAnsi="Arial Narrow"/>
                <w:b/>
                <w:bCs/>
                <w:sz w:val="20"/>
                <w:szCs w:val="20"/>
                <w:lang w:val="es-CR" w:eastAsia="es-CR"/>
              </w:rPr>
            </w:pPr>
            <w:r w:rsidRPr="00BC7C45">
              <w:rPr>
                <w:rFonts w:ascii="Arial Narrow" w:hAnsi="Arial Narrow"/>
                <w:b/>
                <w:bCs/>
                <w:sz w:val="20"/>
                <w:szCs w:val="20"/>
                <w:lang w:val="es-CR" w:eastAsia="es-CR"/>
              </w:rPr>
              <w:t xml:space="preserve">Escuela Judicial </w:t>
            </w:r>
          </w:p>
        </w:tc>
        <w:tc>
          <w:tcPr>
            <w:tcW w:w="3154" w:type="pct"/>
            <w:tcBorders>
              <w:top w:val="single" w:sz="4" w:space="0" w:color="000000" w:themeColor="text1"/>
              <w:left w:val="nil"/>
              <w:bottom w:val="single" w:sz="4" w:space="0" w:color="000000" w:themeColor="text1"/>
              <w:right w:val="single" w:sz="4" w:space="0" w:color="000000" w:themeColor="text1"/>
            </w:tcBorders>
            <w:shd w:val="clear" w:color="auto" w:fill="auto"/>
          </w:tcPr>
          <w:p w14:paraId="75441F61" w14:textId="3437D961" w:rsidR="001C29EC" w:rsidRDefault="00F8313C" w:rsidP="00072B3C">
            <w:pPr>
              <w:jc w:val="center"/>
              <w:rPr>
                <w:rFonts w:ascii="Book Antiqua" w:hAnsi="Book Antiqua"/>
                <w:b/>
                <w:bCs/>
                <w:color w:val="FFFFFF"/>
                <w:sz w:val="20"/>
                <w:szCs w:val="20"/>
                <w:lang w:val="es-CR" w:eastAsia="es-CR"/>
              </w:rPr>
            </w:pPr>
            <w:r>
              <w:object w:dxaOrig="1376" w:dyaOrig="899" w14:anchorId="14D72C5C">
                <v:shape id="_x0000_i1033" type="#_x0000_t75" style="width:60.05pt;height:38.9pt" o:ole="">
                  <v:imagedata r:id="rId27" o:title=""/>
                </v:shape>
                <o:OLEObject Type="Embed" ProgID="Package" ShapeID="_x0000_i1033" DrawAspect="Icon" ObjectID="_1723023848" r:id="rId28"/>
              </w:object>
            </w:r>
          </w:p>
        </w:tc>
      </w:tr>
      <w:tr w:rsidR="00247F11" w:rsidRPr="00F6114E" w14:paraId="29A1D695" w14:textId="77777777" w:rsidTr="623C9349">
        <w:trPr>
          <w:trHeight w:val="735"/>
          <w:jc w:val="center"/>
        </w:trPr>
        <w:tc>
          <w:tcPr>
            <w:tcW w:w="184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1D42237" w14:textId="77777777" w:rsidR="00C66BEA" w:rsidRPr="00BC7C45" w:rsidRDefault="00C66BEA" w:rsidP="00C66BEA">
            <w:pPr>
              <w:jc w:val="center"/>
              <w:rPr>
                <w:rFonts w:ascii="Arial Narrow" w:hAnsi="Arial Narrow"/>
                <w:b/>
                <w:bCs/>
                <w:sz w:val="20"/>
                <w:szCs w:val="20"/>
                <w:lang w:val="es-CR" w:eastAsia="es-CR"/>
              </w:rPr>
            </w:pPr>
            <w:r w:rsidRPr="00BC7C45">
              <w:rPr>
                <w:rFonts w:ascii="Arial Narrow" w:hAnsi="Arial Narrow"/>
                <w:b/>
                <w:bCs/>
                <w:sz w:val="20"/>
                <w:szCs w:val="20"/>
                <w:lang w:val="es-CR" w:eastAsia="es-CR"/>
              </w:rPr>
              <w:t>Departamento de Prensa y Comunicación Organizacional</w:t>
            </w:r>
          </w:p>
          <w:p w14:paraId="23E10912" w14:textId="24335F1A" w:rsidR="00BA750E" w:rsidRPr="00BC7C45" w:rsidRDefault="00BA750E" w:rsidP="00072B3C">
            <w:pPr>
              <w:jc w:val="center"/>
              <w:rPr>
                <w:rFonts w:ascii="Arial Narrow" w:hAnsi="Arial Narrow"/>
                <w:b/>
                <w:bCs/>
                <w:sz w:val="20"/>
                <w:szCs w:val="20"/>
                <w:lang w:val="es-CR" w:eastAsia="es-CR"/>
              </w:rPr>
            </w:pPr>
          </w:p>
        </w:tc>
        <w:tc>
          <w:tcPr>
            <w:tcW w:w="3154" w:type="pct"/>
            <w:tcBorders>
              <w:top w:val="single" w:sz="4" w:space="0" w:color="000000" w:themeColor="text1"/>
              <w:left w:val="nil"/>
              <w:bottom w:val="single" w:sz="4" w:space="0" w:color="000000" w:themeColor="text1"/>
              <w:right w:val="single" w:sz="4" w:space="0" w:color="000000" w:themeColor="text1"/>
            </w:tcBorders>
            <w:shd w:val="clear" w:color="auto" w:fill="auto"/>
          </w:tcPr>
          <w:p w14:paraId="0B25CFF5" w14:textId="6EC04519" w:rsidR="00BA750E" w:rsidRDefault="007F76AD" w:rsidP="00072B3C">
            <w:pPr>
              <w:jc w:val="center"/>
              <w:rPr>
                <w:rFonts w:ascii="Book Antiqua" w:hAnsi="Book Antiqua"/>
                <w:b/>
                <w:bCs/>
                <w:color w:val="FFFFFF"/>
                <w:sz w:val="20"/>
                <w:szCs w:val="20"/>
                <w:lang w:val="es-CR" w:eastAsia="es-CR"/>
              </w:rPr>
            </w:pPr>
            <w:r>
              <w:object w:dxaOrig="1376" w:dyaOrig="899" w14:anchorId="63EAE4E3">
                <v:shape id="_x0000_i1034" type="#_x0000_t75" style="width:62.35pt;height:39.65pt" o:ole="">
                  <v:imagedata r:id="rId29" o:title=""/>
                </v:shape>
                <o:OLEObject Type="Embed" ProgID="Package" ShapeID="_x0000_i1034" DrawAspect="Icon" ObjectID="_1723023849" r:id="rId30"/>
              </w:object>
            </w:r>
          </w:p>
        </w:tc>
      </w:tr>
      <w:tr w:rsidR="00247F11" w:rsidRPr="00F6114E" w14:paraId="39C06EE0" w14:textId="77777777" w:rsidTr="623C9349">
        <w:trPr>
          <w:trHeight w:val="735"/>
          <w:jc w:val="center"/>
        </w:trPr>
        <w:tc>
          <w:tcPr>
            <w:tcW w:w="184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82249F3" w14:textId="2AED0CC7" w:rsidR="00BA750E" w:rsidRPr="00BC7C45" w:rsidRDefault="00FC7007" w:rsidP="00072B3C">
            <w:pPr>
              <w:jc w:val="center"/>
              <w:rPr>
                <w:rFonts w:ascii="Arial Narrow" w:hAnsi="Arial Narrow"/>
                <w:b/>
                <w:bCs/>
                <w:sz w:val="20"/>
                <w:szCs w:val="20"/>
                <w:lang w:val="es-CR" w:eastAsia="es-CR"/>
              </w:rPr>
            </w:pPr>
            <w:r w:rsidRPr="00BC7C45">
              <w:rPr>
                <w:rFonts w:ascii="Arial Narrow" w:hAnsi="Arial Narrow"/>
                <w:b/>
                <w:bCs/>
                <w:sz w:val="20"/>
                <w:szCs w:val="20"/>
                <w:lang w:val="es-CR" w:eastAsia="es-CR"/>
              </w:rPr>
              <w:t xml:space="preserve">Secretaría </w:t>
            </w:r>
            <w:r w:rsidR="002C47A2" w:rsidRPr="00BC7C45">
              <w:rPr>
                <w:rFonts w:ascii="Arial Narrow" w:hAnsi="Arial Narrow"/>
                <w:b/>
                <w:bCs/>
                <w:sz w:val="20"/>
                <w:szCs w:val="20"/>
                <w:lang w:val="es-CR" w:eastAsia="es-CR"/>
              </w:rPr>
              <w:t xml:space="preserve">Técnica </w:t>
            </w:r>
            <w:r w:rsidRPr="00BC7C45">
              <w:rPr>
                <w:rFonts w:ascii="Arial Narrow" w:hAnsi="Arial Narrow"/>
                <w:b/>
                <w:bCs/>
                <w:sz w:val="20"/>
                <w:szCs w:val="20"/>
                <w:lang w:val="es-CR" w:eastAsia="es-CR"/>
              </w:rPr>
              <w:t xml:space="preserve">de Género </w:t>
            </w:r>
            <w:r w:rsidR="002C47A2" w:rsidRPr="00BC7C45">
              <w:rPr>
                <w:rFonts w:ascii="Arial Narrow" w:hAnsi="Arial Narrow"/>
                <w:b/>
                <w:bCs/>
                <w:sz w:val="20"/>
                <w:szCs w:val="20"/>
                <w:lang w:val="es-CR" w:eastAsia="es-CR"/>
              </w:rPr>
              <w:t>y Acceso a la Justicia</w:t>
            </w:r>
          </w:p>
        </w:tc>
        <w:tc>
          <w:tcPr>
            <w:tcW w:w="3154" w:type="pct"/>
            <w:tcBorders>
              <w:top w:val="single" w:sz="4" w:space="0" w:color="000000" w:themeColor="text1"/>
              <w:left w:val="nil"/>
              <w:bottom w:val="single" w:sz="4" w:space="0" w:color="000000" w:themeColor="text1"/>
              <w:right w:val="single" w:sz="4" w:space="0" w:color="000000" w:themeColor="text1"/>
            </w:tcBorders>
            <w:shd w:val="clear" w:color="auto" w:fill="auto"/>
          </w:tcPr>
          <w:p w14:paraId="067BF088" w14:textId="7C13DFD3" w:rsidR="00BA750E" w:rsidRDefault="00F8313C" w:rsidP="00072B3C">
            <w:pPr>
              <w:jc w:val="center"/>
              <w:rPr>
                <w:rFonts w:ascii="Book Antiqua" w:hAnsi="Book Antiqua"/>
                <w:b/>
                <w:bCs/>
                <w:color w:val="FFFFFF"/>
                <w:sz w:val="20"/>
                <w:szCs w:val="20"/>
                <w:lang w:val="es-CR" w:eastAsia="es-CR"/>
              </w:rPr>
            </w:pPr>
            <w:r>
              <w:object w:dxaOrig="1376" w:dyaOrig="899" w14:anchorId="675E6B2E">
                <v:shape id="_x0000_i1035" type="#_x0000_t75" style="width:64.7pt;height:41.2pt" o:ole="">
                  <v:imagedata r:id="rId31" o:title=""/>
                </v:shape>
                <o:OLEObject Type="Embed" ProgID="Package" ShapeID="_x0000_i1035" DrawAspect="Icon" ObjectID="_1723023850" r:id="rId32"/>
              </w:object>
            </w:r>
          </w:p>
        </w:tc>
      </w:tr>
      <w:tr w:rsidR="00247F11" w:rsidRPr="00F6114E" w14:paraId="2000641A" w14:textId="77777777" w:rsidTr="623C9349">
        <w:trPr>
          <w:trHeight w:val="735"/>
          <w:jc w:val="center"/>
        </w:trPr>
        <w:tc>
          <w:tcPr>
            <w:tcW w:w="184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6CA1235F" w14:textId="09F02F6B" w:rsidR="008A2C5C" w:rsidRPr="00BC7C45" w:rsidRDefault="00C66BEA" w:rsidP="00072B3C">
            <w:pPr>
              <w:jc w:val="center"/>
              <w:rPr>
                <w:rFonts w:ascii="Arial Narrow" w:hAnsi="Arial Narrow"/>
                <w:b/>
                <w:bCs/>
                <w:sz w:val="20"/>
                <w:szCs w:val="20"/>
                <w:lang w:val="es-CR" w:eastAsia="es-CR"/>
              </w:rPr>
            </w:pPr>
            <w:r w:rsidRPr="00BC7C45">
              <w:rPr>
                <w:rFonts w:ascii="Arial Narrow" w:hAnsi="Arial Narrow"/>
                <w:b/>
                <w:bCs/>
                <w:sz w:val="20"/>
                <w:szCs w:val="20"/>
                <w:lang w:val="es-CR" w:eastAsia="es-CR"/>
              </w:rPr>
              <w:t>Dirección Ejecutiva</w:t>
            </w:r>
          </w:p>
        </w:tc>
        <w:tc>
          <w:tcPr>
            <w:tcW w:w="3154" w:type="pct"/>
            <w:tcBorders>
              <w:top w:val="single" w:sz="4" w:space="0" w:color="000000" w:themeColor="text1"/>
              <w:left w:val="nil"/>
              <w:bottom w:val="single" w:sz="4" w:space="0" w:color="000000" w:themeColor="text1"/>
              <w:right w:val="single" w:sz="4" w:space="0" w:color="000000" w:themeColor="text1"/>
            </w:tcBorders>
            <w:shd w:val="clear" w:color="auto" w:fill="auto"/>
          </w:tcPr>
          <w:p w14:paraId="7CD6D391" w14:textId="697948C9" w:rsidR="008A2C5C" w:rsidRDefault="000D5FAC" w:rsidP="00072B3C">
            <w:pPr>
              <w:jc w:val="center"/>
              <w:rPr>
                <w:rFonts w:ascii="Book Antiqua" w:hAnsi="Book Antiqua"/>
                <w:b/>
                <w:bCs/>
                <w:color w:val="FFFFFF"/>
                <w:sz w:val="20"/>
                <w:szCs w:val="20"/>
                <w:lang w:val="es-CR" w:eastAsia="es-CR"/>
              </w:rPr>
            </w:pPr>
            <w:r>
              <w:object w:dxaOrig="1376" w:dyaOrig="899" w14:anchorId="66E4F00E">
                <v:shape id="_x0000_i1036" type="#_x0000_t75" style="width:59.3pt;height:38.1pt" o:ole="">
                  <v:imagedata r:id="rId33" o:title=""/>
                </v:shape>
                <o:OLEObject Type="Embed" ProgID="Package" ShapeID="_x0000_i1036" DrawAspect="Icon" ObjectID="_1723023851" r:id="rId34"/>
              </w:object>
            </w:r>
          </w:p>
        </w:tc>
      </w:tr>
      <w:tr w:rsidR="00247F11" w:rsidRPr="00F6114E" w14:paraId="50FAFCAD" w14:textId="77777777" w:rsidTr="623C9349">
        <w:trPr>
          <w:trHeight w:val="735"/>
          <w:jc w:val="center"/>
        </w:trPr>
        <w:tc>
          <w:tcPr>
            <w:tcW w:w="184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7B72F94" w14:textId="7ABC2628" w:rsidR="00150511" w:rsidRPr="00BC7C45" w:rsidRDefault="00C66BEA" w:rsidP="00072B3C">
            <w:pPr>
              <w:jc w:val="center"/>
              <w:rPr>
                <w:rFonts w:ascii="Arial Narrow" w:hAnsi="Arial Narrow"/>
                <w:b/>
                <w:bCs/>
                <w:sz w:val="20"/>
                <w:szCs w:val="20"/>
                <w:lang w:val="es-CR" w:eastAsia="es-CR"/>
              </w:rPr>
            </w:pPr>
            <w:r w:rsidRPr="00BC7C45">
              <w:rPr>
                <w:rFonts w:ascii="Arial Narrow" w:hAnsi="Arial Narrow"/>
                <w:b/>
                <w:bCs/>
                <w:sz w:val="20"/>
                <w:szCs w:val="20"/>
                <w:lang w:val="es-CR" w:eastAsia="es-CR"/>
              </w:rPr>
              <w:t>Sala Primera</w:t>
            </w:r>
          </w:p>
        </w:tc>
        <w:tc>
          <w:tcPr>
            <w:tcW w:w="3154" w:type="pct"/>
            <w:tcBorders>
              <w:top w:val="single" w:sz="4" w:space="0" w:color="000000" w:themeColor="text1"/>
              <w:left w:val="nil"/>
              <w:bottom w:val="single" w:sz="4" w:space="0" w:color="000000" w:themeColor="text1"/>
              <w:right w:val="single" w:sz="4" w:space="0" w:color="000000" w:themeColor="text1"/>
            </w:tcBorders>
            <w:shd w:val="clear" w:color="auto" w:fill="auto"/>
          </w:tcPr>
          <w:p w14:paraId="09A907E0" w14:textId="5DE74995" w:rsidR="00150511" w:rsidRDefault="00D2332F" w:rsidP="00072B3C">
            <w:pPr>
              <w:jc w:val="center"/>
              <w:rPr>
                <w:rFonts w:ascii="Book Antiqua" w:hAnsi="Book Antiqua"/>
                <w:b/>
                <w:bCs/>
                <w:color w:val="FFFFFF"/>
                <w:sz w:val="20"/>
                <w:szCs w:val="20"/>
                <w:lang w:val="es-CR" w:eastAsia="es-CR"/>
              </w:rPr>
            </w:pPr>
            <w:r>
              <w:object w:dxaOrig="1376" w:dyaOrig="899" w14:anchorId="67F8BA39">
                <v:shape id="_x0000_i1037" type="#_x0000_t75" style="width:65.05pt;height:41.95pt" o:ole="">
                  <v:imagedata r:id="rId35" o:title=""/>
                </v:shape>
                <o:OLEObject Type="Embed" ProgID="Package" ShapeID="_x0000_i1037" DrawAspect="Icon" ObjectID="_1723023852" r:id="rId36"/>
              </w:object>
            </w:r>
          </w:p>
        </w:tc>
      </w:tr>
      <w:tr w:rsidR="00247F11" w:rsidRPr="00F6114E" w14:paraId="1C895BD5" w14:textId="77777777" w:rsidTr="623C9349">
        <w:trPr>
          <w:trHeight w:val="735"/>
          <w:jc w:val="center"/>
        </w:trPr>
        <w:tc>
          <w:tcPr>
            <w:tcW w:w="184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01EB88F2" w14:textId="77777777" w:rsidR="00C66BEA" w:rsidRPr="00345B2C" w:rsidRDefault="00C66BEA" w:rsidP="00345B2C">
            <w:pPr>
              <w:jc w:val="center"/>
              <w:rPr>
                <w:rFonts w:ascii="Arial Narrow" w:hAnsi="Arial Narrow"/>
                <w:b/>
                <w:bCs/>
                <w:sz w:val="20"/>
                <w:szCs w:val="20"/>
                <w:lang w:val="es-CR" w:eastAsia="es-CR"/>
              </w:rPr>
            </w:pPr>
          </w:p>
          <w:p w14:paraId="43F15F77" w14:textId="77777777" w:rsidR="00C66BEA" w:rsidRPr="00345B2C" w:rsidRDefault="00C66BEA" w:rsidP="00345B2C">
            <w:pPr>
              <w:jc w:val="center"/>
              <w:rPr>
                <w:rFonts w:ascii="Arial Narrow" w:hAnsi="Arial Narrow"/>
                <w:b/>
                <w:bCs/>
                <w:sz w:val="20"/>
                <w:szCs w:val="20"/>
                <w:lang w:val="es-CR" w:eastAsia="es-CR"/>
              </w:rPr>
            </w:pPr>
            <w:r w:rsidRPr="00345B2C">
              <w:rPr>
                <w:rFonts w:ascii="Arial Narrow" w:hAnsi="Arial Narrow"/>
                <w:b/>
                <w:bCs/>
                <w:sz w:val="20"/>
                <w:szCs w:val="20"/>
                <w:lang w:val="es-CR" w:eastAsia="es-CR"/>
              </w:rPr>
              <w:t>Departamento de Trabajo Social y Psicología</w:t>
            </w:r>
          </w:p>
          <w:p w14:paraId="1ED0B928" w14:textId="77777777" w:rsidR="00C66BEA" w:rsidRPr="00BC7C45" w:rsidRDefault="00C66BEA" w:rsidP="00072B3C">
            <w:pPr>
              <w:jc w:val="center"/>
              <w:rPr>
                <w:rFonts w:ascii="Arial Narrow" w:hAnsi="Arial Narrow"/>
                <w:b/>
                <w:bCs/>
                <w:sz w:val="20"/>
                <w:szCs w:val="20"/>
                <w:lang w:val="es-CR" w:eastAsia="es-CR"/>
              </w:rPr>
            </w:pPr>
          </w:p>
        </w:tc>
        <w:tc>
          <w:tcPr>
            <w:tcW w:w="3154" w:type="pct"/>
            <w:tcBorders>
              <w:top w:val="single" w:sz="4" w:space="0" w:color="000000" w:themeColor="text1"/>
              <w:left w:val="nil"/>
              <w:bottom w:val="single" w:sz="4" w:space="0" w:color="000000" w:themeColor="text1"/>
              <w:right w:val="single" w:sz="4" w:space="0" w:color="000000" w:themeColor="text1"/>
            </w:tcBorders>
            <w:shd w:val="clear" w:color="auto" w:fill="auto"/>
          </w:tcPr>
          <w:p w14:paraId="485BF7CA" w14:textId="3DF2BA15" w:rsidR="00C66BEA" w:rsidRDefault="000D5FAC" w:rsidP="00072B3C">
            <w:pPr>
              <w:jc w:val="center"/>
              <w:rPr>
                <w:rFonts w:ascii="Book Antiqua" w:hAnsi="Book Antiqua"/>
                <w:b/>
                <w:bCs/>
                <w:color w:val="FFFFFF"/>
                <w:sz w:val="20"/>
                <w:szCs w:val="20"/>
                <w:lang w:val="es-CR" w:eastAsia="es-CR"/>
              </w:rPr>
            </w:pPr>
            <w:r>
              <w:object w:dxaOrig="1376" w:dyaOrig="899" w14:anchorId="7DC5B019">
                <v:shape id="_x0000_i1038" type="#_x0000_t75" style="width:57.75pt;height:37.35pt" o:ole="">
                  <v:imagedata r:id="rId37" o:title=""/>
                </v:shape>
                <o:OLEObject Type="Embed" ProgID="Package" ShapeID="_x0000_i1038" DrawAspect="Icon" ObjectID="_1723023853" r:id="rId38"/>
              </w:object>
            </w:r>
          </w:p>
        </w:tc>
      </w:tr>
      <w:tr w:rsidR="00247F11" w:rsidRPr="00F6114E" w14:paraId="1A62336F" w14:textId="77777777" w:rsidTr="623C9349">
        <w:trPr>
          <w:trHeight w:val="735"/>
          <w:jc w:val="center"/>
        </w:trPr>
        <w:tc>
          <w:tcPr>
            <w:tcW w:w="184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D51D5C1" w14:textId="0581807C" w:rsidR="005F7B80" w:rsidRPr="00BC7C45" w:rsidRDefault="005F7B80">
            <w:pPr>
              <w:jc w:val="center"/>
              <w:rPr>
                <w:rFonts w:ascii="Arial Narrow" w:hAnsi="Arial Narrow"/>
                <w:b/>
                <w:bCs/>
                <w:sz w:val="20"/>
                <w:szCs w:val="20"/>
                <w:lang w:val="es-CR" w:eastAsia="es-CR"/>
              </w:rPr>
            </w:pPr>
            <w:r w:rsidRPr="00BC7C45">
              <w:rPr>
                <w:rFonts w:ascii="Arial Narrow" w:hAnsi="Arial Narrow"/>
                <w:b/>
                <w:bCs/>
                <w:sz w:val="20"/>
                <w:szCs w:val="20"/>
                <w:lang w:val="es-CR" w:eastAsia="es-CR"/>
              </w:rPr>
              <w:t xml:space="preserve">Dirección de Gestión Humana </w:t>
            </w:r>
          </w:p>
        </w:tc>
        <w:tc>
          <w:tcPr>
            <w:tcW w:w="3154" w:type="pct"/>
            <w:tcBorders>
              <w:top w:val="single" w:sz="4" w:space="0" w:color="000000" w:themeColor="text1"/>
              <w:left w:val="nil"/>
              <w:bottom w:val="single" w:sz="4" w:space="0" w:color="000000" w:themeColor="text1"/>
              <w:right w:val="single" w:sz="4" w:space="0" w:color="000000" w:themeColor="text1"/>
            </w:tcBorders>
            <w:shd w:val="clear" w:color="auto" w:fill="auto"/>
          </w:tcPr>
          <w:p w14:paraId="57821DE3" w14:textId="65754984" w:rsidR="005F7B80" w:rsidRDefault="00BC7C45" w:rsidP="00072B3C">
            <w:pPr>
              <w:jc w:val="center"/>
            </w:pPr>
            <w:r w:rsidRPr="008B1504">
              <w:object w:dxaOrig="8781" w:dyaOrig="831" w14:anchorId="6E07BA40">
                <v:shape id="_x0000_i1039" type="#_x0000_t75" style="width:260.3pt;height:19.65pt" o:ole="">
                  <v:imagedata r:id="rId39" o:title=""/>
                </v:shape>
                <o:OLEObject Type="Embed" ProgID="Package" ShapeID="_x0000_i1039" DrawAspect="Content" ObjectID="_1723023854" r:id="rId40"/>
              </w:object>
            </w:r>
          </w:p>
        </w:tc>
      </w:tr>
      <w:tr w:rsidR="00583892" w:rsidRPr="00F6114E" w14:paraId="7C6B8BDF" w14:textId="77777777" w:rsidTr="623C9349">
        <w:trPr>
          <w:trHeight w:val="735"/>
          <w:jc w:val="center"/>
        </w:trPr>
        <w:tc>
          <w:tcPr>
            <w:tcW w:w="184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38AB27A5" w14:textId="37A2689C" w:rsidR="00583892" w:rsidRPr="00BC7C45" w:rsidRDefault="00583892">
            <w:pPr>
              <w:jc w:val="center"/>
              <w:rPr>
                <w:rFonts w:ascii="Arial Narrow" w:hAnsi="Arial Narrow"/>
                <w:b/>
                <w:bCs/>
                <w:sz w:val="20"/>
                <w:szCs w:val="20"/>
                <w:lang w:val="es-CR" w:eastAsia="es-CR"/>
              </w:rPr>
            </w:pPr>
            <w:r w:rsidRPr="00BC7C45">
              <w:rPr>
                <w:rFonts w:ascii="Arial Narrow" w:hAnsi="Arial Narrow"/>
                <w:b/>
                <w:bCs/>
                <w:sz w:val="20"/>
                <w:szCs w:val="20"/>
                <w:lang w:val="es-CR" w:eastAsia="es-CR"/>
              </w:rPr>
              <w:t xml:space="preserve">Comisión de la Jurisdicción Penal </w:t>
            </w:r>
          </w:p>
        </w:tc>
        <w:tc>
          <w:tcPr>
            <w:tcW w:w="3154" w:type="pct"/>
            <w:tcBorders>
              <w:top w:val="single" w:sz="4" w:space="0" w:color="000000" w:themeColor="text1"/>
              <w:left w:val="nil"/>
              <w:bottom w:val="single" w:sz="4" w:space="0" w:color="000000" w:themeColor="text1"/>
              <w:right w:val="single" w:sz="4" w:space="0" w:color="000000" w:themeColor="text1"/>
            </w:tcBorders>
            <w:shd w:val="clear" w:color="auto" w:fill="auto"/>
          </w:tcPr>
          <w:p w14:paraId="191CAED3" w14:textId="7CAB5A16" w:rsidR="00583892" w:rsidRPr="008B1504" w:rsidRDefault="001B7C13" w:rsidP="00072B3C">
            <w:pPr>
              <w:jc w:val="center"/>
            </w:pPr>
            <w:r>
              <w:object w:dxaOrig="1376" w:dyaOrig="899" w14:anchorId="5914B3A2">
                <v:shape id="_x0000_i1040" type="#_x0000_t75" style="width:68.9pt;height:45.05pt" o:ole="">
                  <v:imagedata r:id="rId41" o:title=""/>
                </v:shape>
                <o:OLEObject Type="Embed" ProgID="Package" ShapeID="_x0000_i1040" DrawAspect="Icon" ObjectID="_1723023855" r:id="rId42"/>
              </w:object>
            </w:r>
          </w:p>
        </w:tc>
      </w:tr>
    </w:tbl>
    <w:p w14:paraId="08F28177" w14:textId="08B37944" w:rsidR="623C9349" w:rsidRDefault="623C9349"/>
    <w:p w14:paraId="0860E1F9" w14:textId="77777777" w:rsidR="001C29EC" w:rsidRPr="00F6114E" w:rsidRDefault="001C29EC" w:rsidP="001C29EC">
      <w:pPr>
        <w:rPr>
          <w:rFonts w:ascii="Book Antiqua" w:hAnsi="Book Antiqua" w:cs="Book Antiqua"/>
          <w:snapToGrid w:val="0"/>
          <w:lang w:val="pt-BR"/>
        </w:rPr>
      </w:pPr>
    </w:p>
    <w:p w14:paraId="07C9D2D8" w14:textId="77777777" w:rsidR="001C29EC" w:rsidRPr="00F6114E" w:rsidRDefault="001C29EC" w:rsidP="001C29EC">
      <w:pPr>
        <w:rPr>
          <w:rFonts w:ascii="Book Antiqua" w:hAnsi="Book Antiqua" w:cs="Book Antiqua"/>
          <w:sz w:val="20"/>
          <w:szCs w:val="20"/>
          <w:lang w:val="es-CR"/>
        </w:rPr>
      </w:pPr>
      <w:bookmarkStart w:id="2" w:name="_Hlk46826541"/>
    </w:p>
    <w:bookmarkEnd w:id="2"/>
    <w:p w14:paraId="64AA6396" w14:textId="77777777" w:rsidR="001C29EC" w:rsidRDefault="001C29EC" w:rsidP="001C29EC">
      <w:pPr>
        <w:tabs>
          <w:tab w:val="left" w:pos="7230"/>
        </w:tabs>
        <w:spacing w:line="360" w:lineRule="auto"/>
        <w:rPr>
          <w:rFonts w:ascii="Arial Narrow" w:hAnsi="Arial Narrow"/>
          <w:snapToGrid w:val="0"/>
        </w:rPr>
      </w:pPr>
      <w:r>
        <w:rPr>
          <w:rFonts w:ascii="Arial Narrow" w:hAnsi="Arial Narrow"/>
          <w:snapToGrid w:val="0"/>
        </w:rPr>
        <w:t>Copias:</w:t>
      </w:r>
    </w:p>
    <w:p w14:paraId="0E436AB0" w14:textId="77777777" w:rsidR="007D75EE" w:rsidRPr="00C00362" w:rsidRDefault="007D75EE" w:rsidP="007D75EE">
      <w:pPr>
        <w:pStyle w:val="Prrafodelista"/>
        <w:numPr>
          <w:ilvl w:val="0"/>
          <w:numId w:val="154"/>
        </w:numPr>
        <w:rPr>
          <w:rFonts w:ascii="Book Antiqua" w:hAnsi="Book Antiqua"/>
        </w:rPr>
      </w:pPr>
      <w:r w:rsidRPr="00C00362">
        <w:rPr>
          <w:rFonts w:ascii="Book Antiqua" w:hAnsi="Book Antiqua"/>
        </w:rPr>
        <w:t>Máster Ana Eugenia Romero Jenkins</w:t>
      </w:r>
    </w:p>
    <w:p w14:paraId="4B60A3B9" w14:textId="77777777" w:rsidR="007D75EE" w:rsidRDefault="007D75EE" w:rsidP="007D75EE">
      <w:pPr>
        <w:pStyle w:val="Prrafodelista"/>
        <w:ind w:left="720"/>
        <w:rPr>
          <w:rFonts w:ascii="Book Antiqua" w:hAnsi="Book Antiqua"/>
        </w:rPr>
      </w:pPr>
      <w:r w:rsidRPr="00C00362">
        <w:rPr>
          <w:rFonts w:ascii="Book Antiqua" w:hAnsi="Book Antiqua"/>
        </w:rPr>
        <w:t>Direc</w:t>
      </w:r>
      <w:r>
        <w:rPr>
          <w:rFonts w:ascii="Book Antiqua" w:hAnsi="Book Antiqua"/>
        </w:rPr>
        <w:t>tora</w:t>
      </w:r>
      <w:r w:rsidRPr="00C00362">
        <w:rPr>
          <w:rFonts w:ascii="Book Antiqua" w:hAnsi="Book Antiqua"/>
        </w:rPr>
        <w:t xml:space="preserve"> Ejecutiva</w:t>
      </w:r>
    </w:p>
    <w:p w14:paraId="5575DC7A" w14:textId="77777777" w:rsidR="007D75EE" w:rsidRPr="00C00362" w:rsidRDefault="007D75EE" w:rsidP="007D75EE">
      <w:pPr>
        <w:rPr>
          <w:rFonts w:ascii="Book Antiqua" w:hAnsi="Book Antiqua"/>
        </w:rPr>
      </w:pPr>
    </w:p>
    <w:p w14:paraId="25982038" w14:textId="77777777" w:rsidR="007D75EE" w:rsidRPr="00C00362" w:rsidRDefault="007D75EE" w:rsidP="007D75EE">
      <w:pPr>
        <w:pStyle w:val="Prrafodelista"/>
        <w:numPr>
          <w:ilvl w:val="0"/>
          <w:numId w:val="154"/>
        </w:numPr>
        <w:rPr>
          <w:rFonts w:ascii="Book Antiqua" w:hAnsi="Book Antiqua"/>
        </w:rPr>
      </w:pPr>
      <w:r w:rsidRPr="00C00362">
        <w:rPr>
          <w:rFonts w:ascii="Book Antiqua" w:hAnsi="Book Antiqua"/>
        </w:rPr>
        <w:t>Licda. Maricruz Chacón Cubillo</w:t>
      </w:r>
    </w:p>
    <w:p w14:paraId="5818CD66" w14:textId="77777777" w:rsidR="007D75EE" w:rsidRPr="00652A12" w:rsidRDefault="007D75EE" w:rsidP="007D75EE">
      <w:pPr>
        <w:pStyle w:val="Prrafodelista"/>
        <w:ind w:left="720"/>
        <w:rPr>
          <w:rFonts w:ascii="Book Antiqua" w:hAnsi="Book Antiqua"/>
        </w:rPr>
      </w:pPr>
      <w:r>
        <w:rPr>
          <w:rFonts w:ascii="Book Antiqua" w:hAnsi="Book Antiqua"/>
        </w:rPr>
        <w:t xml:space="preserve">Directora </w:t>
      </w:r>
      <w:r w:rsidRPr="00652A12">
        <w:rPr>
          <w:rFonts w:ascii="Book Antiqua" w:hAnsi="Book Antiqua"/>
        </w:rPr>
        <w:t>Centro de Apoyo, Coordinación y Mejoramiento de la Función Jurisdiccional</w:t>
      </w:r>
    </w:p>
    <w:p w14:paraId="4A8C9FB7" w14:textId="77777777" w:rsidR="007D75EE" w:rsidRPr="00C00362" w:rsidRDefault="007D75EE" w:rsidP="007D75EE">
      <w:pPr>
        <w:rPr>
          <w:rFonts w:ascii="Book Antiqua" w:hAnsi="Book Antiqua"/>
        </w:rPr>
      </w:pPr>
    </w:p>
    <w:p w14:paraId="0FD80B45" w14:textId="77777777" w:rsidR="007D75EE" w:rsidRPr="00C00362" w:rsidRDefault="007D75EE" w:rsidP="007D75EE">
      <w:pPr>
        <w:pStyle w:val="Prrafodelista"/>
        <w:numPr>
          <w:ilvl w:val="0"/>
          <w:numId w:val="154"/>
        </w:numPr>
        <w:rPr>
          <w:rFonts w:ascii="Book Antiqua" w:hAnsi="Book Antiqua"/>
        </w:rPr>
      </w:pPr>
      <w:r w:rsidRPr="00C00362">
        <w:rPr>
          <w:rFonts w:ascii="Book Antiqua" w:hAnsi="Book Antiqua"/>
        </w:rPr>
        <w:t>Máster Walter Espinoza Espinoza</w:t>
      </w:r>
      <w:r>
        <w:rPr>
          <w:rFonts w:ascii="Book Antiqua" w:hAnsi="Book Antiqua"/>
        </w:rPr>
        <w:t>, Director</w:t>
      </w:r>
    </w:p>
    <w:p w14:paraId="6E351D19" w14:textId="77777777" w:rsidR="007D75EE" w:rsidRPr="00C00362" w:rsidRDefault="007D75EE" w:rsidP="007D75EE">
      <w:pPr>
        <w:pStyle w:val="Prrafodelista"/>
        <w:ind w:left="720"/>
        <w:rPr>
          <w:rFonts w:ascii="Book Antiqua" w:hAnsi="Book Antiqua"/>
        </w:rPr>
      </w:pPr>
      <w:r w:rsidRPr="00C00362">
        <w:rPr>
          <w:rFonts w:ascii="Book Antiqua" w:hAnsi="Book Antiqua"/>
        </w:rPr>
        <w:t>Programa 928 Organismo de Investigación Judicial</w:t>
      </w:r>
    </w:p>
    <w:p w14:paraId="06AA296B" w14:textId="77777777" w:rsidR="007D75EE" w:rsidRPr="00C00362" w:rsidRDefault="007D75EE" w:rsidP="007D75EE">
      <w:pPr>
        <w:rPr>
          <w:rFonts w:ascii="Book Antiqua" w:hAnsi="Book Antiqua"/>
        </w:rPr>
      </w:pPr>
    </w:p>
    <w:p w14:paraId="49039F8C" w14:textId="77777777" w:rsidR="007D75EE" w:rsidRPr="00AD228E" w:rsidRDefault="007D75EE" w:rsidP="007D75EE">
      <w:pPr>
        <w:pStyle w:val="Prrafodelista"/>
        <w:numPr>
          <w:ilvl w:val="0"/>
          <w:numId w:val="154"/>
        </w:numPr>
        <w:rPr>
          <w:rFonts w:ascii="Book Antiqua" w:hAnsi="Book Antiqua"/>
        </w:rPr>
      </w:pPr>
      <w:r w:rsidRPr="00AD228E">
        <w:rPr>
          <w:rFonts w:ascii="Book Antiqua" w:hAnsi="Book Antiqua"/>
        </w:rPr>
        <w:t xml:space="preserve">Máster Warner Molina Ruíz, Jefe </w:t>
      </w:r>
    </w:p>
    <w:p w14:paraId="2B0CA81C" w14:textId="77777777" w:rsidR="007D75EE" w:rsidRPr="00C00362" w:rsidRDefault="007D75EE" w:rsidP="007D75EE">
      <w:pPr>
        <w:pStyle w:val="Prrafodelista"/>
        <w:ind w:left="720"/>
        <w:rPr>
          <w:rFonts w:ascii="Book Antiqua" w:hAnsi="Book Antiqua"/>
        </w:rPr>
      </w:pPr>
      <w:r w:rsidRPr="00AD228E">
        <w:rPr>
          <w:rFonts w:ascii="Book Antiqua" w:hAnsi="Book Antiqua"/>
        </w:rPr>
        <w:t>Programa 929 Ministerio Público</w:t>
      </w:r>
    </w:p>
    <w:p w14:paraId="1F9A0361" w14:textId="77777777" w:rsidR="007D75EE" w:rsidRPr="00C00362" w:rsidRDefault="007D75EE" w:rsidP="007D75EE">
      <w:pPr>
        <w:rPr>
          <w:rFonts w:ascii="Book Antiqua" w:hAnsi="Book Antiqua"/>
        </w:rPr>
      </w:pPr>
    </w:p>
    <w:p w14:paraId="72806578" w14:textId="77777777" w:rsidR="007D75EE" w:rsidRPr="00C00362" w:rsidRDefault="007D75EE" w:rsidP="007D75EE">
      <w:pPr>
        <w:pStyle w:val="Prrafodelista"/>
        <w:numPr>
          <w:ilvl w:val="0"/>
          <w:numId w:val="154"/>
        </w:numPr>
        <w:rPr>
          <w:rFonts w:ascii="Book Antiqua" w:hAnsi="Book Antiqua"/>
        </w:rPr>
      </w:pPr>
      <w:r w:rsidRPr="00C00362">
        <w:rPr>
          <w:rFonts w:ascii="Book Antiqua" w:hAnsi="Book Antiqua"/>
        </w:rPr>
        <w:t>Máster Juan Carlos Pérez Murillo</w:t>
      </w:r>
      <w:r>
        <w:rPr>
          <w:rFonts w:ascii="Book Antiqua" w:hAnsi="Book Antiqua"/>
        </w:rPr>
        <w:t xml:space="preserve">, Jefe </w:t>
      </w:r>
    </w:p>
    <w:p w14:paraId="42C1A681" w14:textId="77777777" w:rsidR="007D75EE" w:rsidRPr="00C00362" w:rsidRDefault="007D75EE" w:rsidP="007D75EE">
      <w:pPr>
        <w:pStyle w:val="Prrafodelista"/>
        <w:ind w:left="720"/>
        <w:rPr>
          <w:rFonts w:ascii="Book Antiqua" w:hAnsi="Book Antiqua"/>
        </w:rPr>
      </w:pPr>
      <w:r w:rsidRPr="00C00362">
        <w:rPr>
          <w:rFonts w:ascii="Book Antiqua" w:hAnsi="Book Antiqua"/>
        </w:rPr>
        <w:t>Programa 930 Defensa Pública</w:t>
      </w:r>
    </w:p>
    <w:p w14:paraId="1A1D6AB9" w14:textId="77777777" w:rsidR="007D75EE" w:rsidRPr="00C00362" w:rsidRDefault="007D75EE" w:rsidP="007D75EE">
      <w:pPr>
        <w:rPr>
          <w:rFonts w:ascii="Book Antiqua" w:hAnsi="Book Antiqua"/>
        </w:rPr>
      </w:pPr>
    </w:p>
    <w:p w14:paraId="7593F619" w14:textId="77777777" w:rsidR="007D75EE" w:rsidRPr="00C00362" w:rsidRDefault="007D75EE" w:rsidP="007D75EE">
      <w:pPr>
        <w:pStyle w:val="Prrafodelista"/>
        <w:numPr>
          <w:ilvl w:val="0"/>
          <w:numId w:val="154"/>
        </w:numPr>
        <w:rPr>
          <w:rFonts w:ascii="Book Antiqua" w:hAnsi="Book Antiqua"/>
        </w:rPr>
      </w:pPr>
      <w:r w:rsidRPr="00C00362">
        <w:rPr>
          <w:rFonts w:ascii="Book Antiqua" w:hAnsi="Book Antiqua"/>
        </w:rPr>
        <w:t>Máster Sara Arce Moya</w:t>
      </w:r>
      <w:r>
        <w:rPr>
          <w:rFonts w:ascii="Book Antiqua" w:hAnsi="Book Antiqua"/>
        </w:rPr>
        <w:t xml:space="preserve">, Jefa </w:t>
      </w:r>
    </w:p>
    <w:p w14:paraId="36FC47FE" w14:textId="4DF045DF" w:rsidR="007D75EE" w:rsidRDefault="007D75EE" w:rsidP="00286D0A">
      <w:pPr>
        <w:pStyle w:val="Prrafodelista"/>
        <w:ind w:left="720"/>
        <w:rPr>
          <w:rFonts w:ascii="Book Antiqua" w:hAnsi="Book Antiqua"/>
        </w:rPr>
      </w:pPr>
      <w:r w:rsidRPr="00C00362">
        <w:rPr>
          <w:rFonts w:ascii="Book Antiqua" w:hAnsi="Book Antiqua"/>
        </w:rPr>
        <w:t>Programa 950 Servicio de Atención y Protección de Víctimas y Testigos</w:t>
      </w:r>
    </w:p>
    <w:p w14:paraId="15B564C4" w14:textId="77777777" w:rsidR="00286D0A" w:rsidRPr="00C00362" w:rsidRDefault="00286D0A" w:rsidP="00286D0A">
      <w:pPr>
        <w:pStyle w:val="Prrafodelista"/>
        <w:ind w:left="720"/>
        <w:rPr>
          <w:rFonts w:ascii="Book Antiqua" w:hAnsi="Book Antiqua"/>
        </w:rPr>
      </w:pPr>
    </w:p>
    <w:p w14:paraId="0762B7F7" w14:textId="77777777" w:rsidR="007D75EE" w:rsidRPr="00C00362" w:rsidRDefault="007D75EE" w:rsidP="007D75EE">
      <w:pPr>
        <w:pStyle w:val="Prrafodelista"/>
        <w:numPr>
          <w:ilvl w:val="0"/>
          <w:numId w:val="154"/>
        </w:numPr>
        <w:rPr>
          <w:rFonts w:ascii="Book Antiqua" w:hAnsi="Book Antiqua"/>
        </w:rPr>
      </w:pPr>
      <w:r w:rsidRPr="00C00362">
        <w:rPr>
          <w:rFonts w:ascii="Book Antiqua" w:hAnsi="Book Antiqua"/>
        </w:rPr>
        <w:t>Despacho de la Presidencia</w:t>
      </w:r>
    </w:p>
    <w:p w14:paraId="7138264A" w14:textId="77777777" w:rsidR="007D75EE" w:rsidRPr="00C00362" w:rsidRDefault="007D75EE" w:rsidP="007D75EE">
      <w:pPr>
        <w:rPr>
          <w:rFonts w:ascii="Book Antiqua" w:hAnsi="Book Antiqua"/>
        </w:rPr>
      </w:pPr>
    </w:p>
    <w:p w14:paraId="1221E17E" w14:textId="77777777" w:rsidR="007D75EE" w:rsidRDefault="007D75EE" w:rsidP="007D75EE">
      <w:pPr>
        <w:pStyle w:val="Prrafodelista"/>
        <w:numPr>
          <w:ilvl w:val="0"/>
          <w:numId w:val="154"/>
        </w:numPr>
        <w:rPr>
          <w:rFonts w:ascii="Book Antiqua" w:hAnsi="Book Antiqua"/>
        </w:rPr>
      </w:pPr>
      <w:r w:rsidRPr="00C00362">
        <w:rPr>
          <w:rFonts w:ascii="Book Antiqua" w:hAnsi="Book Antiqua"/>
        </w:rPr>
        <w:t>Comisión de Transparencia Institucional</w:t>
      </w:r>
    </w:p>
    <w:p w14:paraId="38D454F3" w14:textId="77777777" w:rsidR="007D75EE" w:rsidRPr="00CC279A" w:rsidRDefault="007D75EE" w:rsidP="007D75EE">
      <w:pPr>
        <w:pStyle w:val="Prrafodelista"/>
        <w:rPr>
          <w:rFonts w:ascii="Book Antiqua" w:hAnsi="Book Antiqua"/>
        </w:rPr>
      </w:pPr>
    </w:p>
    <w:p w14:paraId="44CBAE44" w14:textId="77777777" w:rsidR="007D75EE" w:rsidRPr="00D139B1" w:rsidRDefault="007D75EE" w:rsidP="007D75EE">
      <w:pPr>
        <w:pStyle w:val="Prrafodelista"/>
        <w:numPr>
          <w:ilvl w:val="0"/>
          <w:numId w:val="154"/>
        </w:numPr>
        <w:rPr>
          <w:rFonts w:ascii="Book Antiqua" w:hAnsi="Book Antiqua"/>
        </w:rPr>
      </w:pPr>
      <w:r w:rsidRPr="00D139B1">
        <w:rPr>
          <w:rFonts w:ascii="Book Antiqua" w:hAnsi="Book Antiqua"/>
        </w:rPr>
        <w:t>Comisión de la Jurisdicción de Familia, Niñez y Adolescencia</w:t>
      </w:r>
    </w:p>
    <w:p w14:paraId="54E94530" w14:textId="77777777" w:rsidR="007D75EE" w:rsidRPr="00D139B1" w:rsidRDefault="007D75EE" w:rsidP="007D75EE">
      <w:pPr>
        <w:pStyle w:val="Prrafodelista"/>
        <w:rPr>
          <w:rFonts w:ascii="Book Antiqua" w:hAnsi="Book Antiqua"/>
        </w:rPr>
      </w:pPr>
    </w:p>
    <w:p w14:paraId="14101E27" w14:textId="77777777" w:rsidR="007D75EE" w:rsidRPr="00D139B1" w:rsidRDefault="007D75EE" w:rsidP="007D75EE">
      <w:pPr>
        <w:pStyle w:val="Prrafodelista"/>
        <w:numPr>
          <w:ilvl w:val="0"/>
          <w:numId w:val="154"/>
        </w:numPr>
        <w:rPr>
          <w:rFonts w:ascii="Book Antiqua" w:hAnsi="Book Antiqua"/>
        </w:rPr>
      </w:pPr>
      <w:r w:rsidRPr="00D139B1">
        <w:rPr>
          <w:rFonts w:ascii="Book Antiqua" w:hAnsi="Book Antiqua"/>
        </w:rPr>
        <w:t>Comisión de Gestión Ambiental</w:t>
      </w:r>
    </w:p>
    <w:p w14:paraId="49617E3B" w14:textId="77777777" w:rsidR="007D75EE" w:rsidRPr="00F22E46" w:rsidRDefault="007D75EE" w:rsidP="007D75EE">
      <w:pPr>
        <w:rPr>
          <w:rFonts w:ascii="Book Antiqua" w:hAnsi="Book Antiqua"/>
        </w:rPr>
      </w:pPr>
    </w:p>
    <w:p w14:paraId="3C3482E3" w14:textId="77777777" w:rsidR="007D75EE" w:rsidRPr="00D139B1" w:rsidRDefault="007D75EE" w:rsidP="007D75EE">
      <w:pPr>
        <w:pStyle w:val="Prrafodelista"/>
        <w:numPr>
          <w:ilvl w:val="0"/>
          <w:numId w:val="154"/>
        </w:numPr>
        <w:rPr>
          <w:rFonts w:ascii="Book Antiqua" w:hAnsi="Book Antiqua"/>
        </w:rPr>
      </w:pPr>
      <w:r w:rsidRPr="00D139B1">
        <w:rPr>
          <w:rFonts w:ascii="Book Antiqua" w:hAnsi="Book Antiqua"/>
        </w:rPr>
        <w:t>Comisión Institucional de Teletrabajo</w:t>
      </w:r>
    </w:p>
    <w:p w14:paraId="458E160E" w14:textId="77777777" w:rsidR="007D75EE" w:rsidRPr="00D139B1" w:rsidRDefault="007D75EE" w:rsidP="007D75EE">
      <w:pPr>
        <w:pStyle w:val="Prrafodelista"/>
        <w:rPr>
          <w:rFonts w:ascii="Book Antiqua" w:hAnsi="Book Antiqua"/>
        </w:rPr>
      </w:pPr>
    </w:p>
    <w:p w14:paraId="76F0FDE2" w14:textId="77777777" w:rsidR="007D75EE" w:rsidRPr="00D139B1" w:rsidRDefault="007D75EE" w:rsidP="007D75EE">
      <w:pPr>
        <w:pStyle w:val="Prrafodelista"/>
        <w:numPr>
          <w:ilvl w:val="0"/>
          <w:numId w:val="154"/>
        </w:numPr>
        <w:rPr>
          <w:rFonts w:ascii="Book Antiqua" w:hAnsi="Book Antiqua"/>
        </w:rPr>
      </w:pPr>
      <w:r w:rsidRPr="00D139B1">
        <w:rPr>
          <w:rFonts w:ascii="Book Antiqua" w:hAnsi="Book Antiqua"/>
        </w:rPr>
        <w:t>Comisión de Emergencias</w:t>
      </w:r>
    </w:p>
    <w:p w14:paraId="1648CF66" w14:textId="77777777" w:rsidR="007D75EE" w:rsidRPr="00D139B1" w:rsidRDefault="007D75EE" w:rsidP="007D75EE">
      <w:pPr>
        <w:pStyle w:val="Prrafodelista"/>
        <w:rPr>
          <w:rFonts w:ascii="Book Antiqua" w:hAnsi="Book Antiqua"/>
        </w:rPr>
      </w:pPr>
    </w:p>
    <w:p w14:paraId="02493F1F" w14:textId="77777777" w:rsidR="007D75EE" w:rsidRPr="00D139B1" w:rsidRDefault="007D75EE" w:rsidP="007D75EE">
      <w:pPr>
        <w:pStyle w:val="Prrafodelista"/>
        <w:numPr>
          <w:ilvl w:val="0"/>
          <w:numId w:val="154"/>
        </w:numPr>
        <w:rPr>
          <w:rFonts w:ascii="Book Antiqua" w:hAnsi="Book Antiqua"/>
        </w:rPr>
      </w:pPr>
      <w:r w:rsidRPr="00D139B1">
        <w:rPr>
          <w:rFonts w:ascii="Book Antiqua" w:hAnsi="Book Antiqua"/>
        </w:rPr>
        <w:t>Comisión de Construcciones</w:t>
      </w:r>
    </w:p>
    <w:p w14:paraId="4F072B2D" w14:textId="77777777" w:rsidR="007D75EE" w:rsidRPr="00D139B1" w:rsidRDefault="007D75EE" w:rsidP="007D75EE">
      <w:pPr>
        <w:pStyle w:val="Prrafodelista"/>
        <w:rPr>
          <w:rFonts w:ascii="Book Antiqua" w:hAnsi="Book Antiqua"/>
        </w:rPr>
      </w:pPr>
    </w:p>
    <w:p w14:paraId="61104FEA" w14:textId="77777777" w:rsidR="007D75EE" w:rsidRPr="00D139B1" w:rsidRDefault="007D75EE" w:rsidP="007D75EE">
      <w:pPr>
        <w:pStyle w:val="Prrafodelista"/>
        <w:numPr>
          <w:ilvl w:val="0"/>
          <w:numId w:val="154"/>
        </w:numPr>
        <w:rPr>
          <w:rFonts w:ascii="Book Antiqua" w:hAnsi="Book Antiqua"/>
        </w:rPr>
      </w:pPr>
      <w:r w:rsidRPr="00D139B1">
        <w:rPr>
          <w:rFonts w:ascii="Book Antiqua" w:hAnsi="Book Antiqua"/>
        </w:rPr>
        <w:t>Comisión de la Jurisdicción Agraria y Agroambiental</w:t>
      </w:r>
    </w:p>
    <w:p w14:paraId="49D6AA6F" w14:textId="77777777" w:rsidR="007D75EE" w:rsidRDefault="007D75EE" w:rsidP="007D75EE">
      <w:pPr>
        <w:pStyle w:val="Prrafodelista"/>
        <w:ind w:left="720"/>
        <w:rPr>
          <w:rFonts w:ascii="Book Antiqua" w:hAnsi="Book Antiqua"/>
        </w:rPr>
      </w:pPr>
    </w:p>
    <w:p w14:paraId="4B5549C7" w14:textId="77777777" w:rsidR="007D75EE" w:rsidRDefault="007D75EE" w:rsidP="007D75EE">
      <w:pPr>
        <w:pStyle w:val="Prrafodelista"/>
        <w:numPr>
          <w:ilvl w:val="0"/>
          <w:numId w:val="154"/>
        </w:numPr>
        <w:rPr>
          <w:rFonts w:ascii="Book Antiqua" w:hAnsi="Book Antiqua"/>
        </w:rPr>
      </w:pPr>
      <w:r w:rsidRPr="00C00362">
        <w:rPr>
          <w:rFonts w:ascii="Book Antiqua" w:hAnsi="Book Antiqua"/>
        </w:rPr>
        <w:t>Comisión Nacional para el Mejoramiento de la Administración de Justicia</w:t>
      </w:r>
    </w:p>
    <w:p w14:paraId="21FC2EE3" w14:textId="77777777" w:rsidR="007D75EE" w:rsidRPr="00C00362" w:rsidRDefault="007D75EE" w:rsidP="007D75EE">
      <w:pPr>
        <w:rPr>
          <w:rFonts w:ascii="Book Antiqua" w:hAnsi="Book Antiqua"/>
        </w:rPr>
      </w:pPr>
    </w:p>
    <w:p w14:paraId="629F7AE7" w14:textId="77777777" w:rsidR="007D75EE" w:rsidRPr="00C00362" w:rsidRDefault="007D75EE" w:rsidP="007D75EE">
      <w:pPr>
        <w:pStyle w:val="Prrafodelista"/>
        <w:numPr>
          <w:ilvl w:val="0"/>
          <w:numId w:val="154"/>
        </w:numPr>
        <w:rPr>
          <w:rFonts w:ascii="Book Antiqua" w:hAnsi="Book Antiqua"/>
        </w:rPr>
      </w:pPr>
      <w:r w:rsidRPr="00C00362">
        <w:rPr>
          <w:rFonts w:ascii="Book Antiqua" w:hAnsi="Book Antiqua"/>
        </w:rPr>
        <w:t>Sala Primera</w:t>
      </w:r>
    </w:p>
    <w:p w14:paraId="1B3AD1DA" w14:textId="77777777" w:rsidR="007D75EE" w:rsidRPr="00C00362" w:rsidRDefault="007D75EE" w:rsidP="007D75EE">
      <w:pPr>
        <w:rPr>
          <w:rFonts w:ascii="Book Antiqua" w:hAnsi="Book Antiqua"/>
        </w:rPr>
      </w:pPr>
    </w:p>
    <w:p w14:paraId="3A915B2F" w14:textId="77777777" w:rsidR="007D75EE" w:rsidRDefault="007D75EE" w:rsidP="007D75EE">
      <w:pPr>
        <w:pStyle w:val="Prrafodelista"/>
        <w:numPr>
          <w:ilvl w:val="0"/>
          <w:numId w:val="154"/>
        </w:numPr>
        <w:rPr>
          <w:rFonts w:ascii="Book Antiqua" w:hAnsi="Book Antiqua"/>
        </w:rPr>
      </w:pPr>
      <w:r w:rsidRPr="00C00362">
        <w:rPr>
          <w:rFonts w:ascii="Book Antiqua" w:hAnsi="Book Antiqua"/>
        </w:rPr>
        <w:t>Sala Segunda</w:t>
      </w:r>
    </w:p>
    <w:p w14:paraId="7563DC62" w14:textId="77777777" w:rsidR="007D75EE" w:rsidRPr="00CC279A" w:rsidRDefault="007D75EE" w:rsidP="007D75EE">
      <w:pPr>
        <w:pStyle w:val="Prrafodelista"/>
        <w:rPr>
          <w:rFonts w:ascii="Book Antiqua" w:hAnsi="Book Antiqua"/>
        </w:rPr>
      </w:pPr>
    </w:p>
    <w:p w14:paraId="130A924B" w14:textId="77777777" w:rsidR="007D75EE" w:rsidRPr="00C00362" w:rsidRDefault="007D75EE" w:rsidP="007D75EE">
      <w:pPr>
        <w:pStyle w:val="Prrafodelista"/>
        <w:numPr>
          <w:ilvl w:val="0"/>
          <w:numId w:val="154"/>
        </w:numPr>
        <w:rPr>
          <w:rFonts w:ascii="Book Antiqua" w:hAnsi="Book Antiqua"/>
        </w:rPr>
      </w:pPr>
      <w:r w:rsidRPr="00C00362">
        <w:rPr>
          <w:rFonts w:ascii="Book Antiqua" w:hAnsi="Book Antiqua"/>
        </w:rPr>
        <w:t>Sala Tercera</w:t>
      </w:r>
    </w:p>
    <w:p w14:paraId="179AEFEF" w14:textId="77777777" w:rsidR="007D75EE" w:rsidRPr="00C00362" w:rsidRDefault="007D75EE" w:rsidP="007D75EE">
      <w:pPr>
        <w:rPr>
          <w:rFonts w:ascii="Book Antiqua" w:hAnsi="Book Antiqua"/>
        </w:rPr>
      </w:pPr>
    </w:p>
    <w:p w14:paraId="2DF36F81" w14:textId="77777777" w:rsidR="007D75EE" w:rsidRPr="00C00362" w:rsidRDefault="007D75EE" w:rsidP="007D75EE">
      <w:pPr>
        <w:pStyle w:val="Prrafodelista"/>
        <w:numPr>
          <w:ilvl w:val="0"/>
          <w:numId w:val="154"/>
        </w:numPr>
        <w:rPr>
          <w:rFonts w:ascii="Book Antiqua" w:hAnsi="Book Antiqua"/>
        </w:rPr>
      </w:pPr>
      <w:r w:rsidRPr="00C00362">
        <w:rPr>
          <w:rFonts w:ascii="Book Antiqua" w:hAnsi="Book Antiqua"/>
        </w:rPr>
        <w:t>Sala Constitucional</w:t>
      </w:r>
    </w:p>
    <w:p w14:paraId="6F096CDF" w14:textId="77777777" w:rsidR="007D75EE" w:rsidRPr="00C00362" w:rsidRDefault="007D75EE" w:rsidP="007D75EE">
      <w:pPr>
        <w:rPr>
          <w:rFonts w:ascii="Book Antiqua" w:hAnsi="Book Antiqua"/>
        </w:rPr>
      </w:pPr>
    </w:p>
    <w:p w14:paraId="57A28C04" w14:textId="77777777" w:rsidR="007D75EE" w:rsidRPr="00C00362" w:rsidRDefault="007D75EE" w:rsidP="007D75EE">
      <w:pPr>
        <w:pStyle w:val="Prrafodelista"/>
        <w:numPr>
          <w:ilvl w:val="0"/>
          <w:numId w:val="154"/>
        </w:numPr>
        <w:rPr>
          <w:rFonts w:ascii="Book Antiqua" w:hAnsi="Book Antiqua"/>
        </w:rPr>
      </w:pPr>
      <w:r w:rsidRPr="00C00362">
        <w:rPr>
          <w:rFonts w:ascii="Book Antiqua" w:hAnsi="Book Antiqua"/>
        </w:rPr>
        <w:t xml:space="preserve">Inspección </w:t>
      </w:r>
      <w:r>
        <w:rPr>
          <w:rFonts w:ascii="Book Antiqua" w:hAnsi="Book Antiqua"/>
        </w:rPr>
        <w:t>J</w:t>
      </w:r>
      <w:r w:rsidRPr="00C00362">
        <w:rPr>
          <w:rFonts w:ascii="Book Antiqua" w:hAnsi="Book Antiqua"/>
        </w:rPr>
        <w:t>udicial</w:t>
      </w:r>
    </w:p>
    <w:p w14:paraId="11E2499A" w14:textId="77777777" w:rsidR="007D75EE" w:rsidRPr="00C00362" w:rsidRDefault="007D75EE" w:rsidP="007D75EE">
      <w:pPr>
        <w:rPr>
          <w:rFonts w:ascii="Book Antiqua" w:hAnsi="Book Antiqua"/>
        </w:rPr>
      </w:pPr>
    </w:p>
    <w:p w14:paraId="312E4BBF" w14:textId="77777777" w:rsidR="007D75EE" w:rsidRPr="00C00362" w:rsidRDefault="007D75EE" w:rsidP="007D75EE">
      <w:pPr>
        <w:pStyle w:val="Prrafodelista"/>
        <w:numPr>
          <w:ilvl w:val="0"/>
          <w:numId w:val="154"/>
        </w:numPr>
        <w:rPr>
          <w:rFonts w:ascii="Book Antiqua" w:hAnsi="Book Antiqua"/>
        </w:rPr>
      </w:pPr>
      <w:r w:rsidRPr="00C00362">
        <w:rPr>
          <w:rFonts w:ascii="Book Antiqua" w:hAnsi="Book Antiqua"/>
        </w:rPr>
        <w:t>Oficina de Control Interno</w:t>
      </w:r>
    </w:p>
    <w:p w14:paraId="581CBE12" w14:textId="77777777" w:rsidR="007D75EE" w:rsidRPr="00C00362" w:rsidRDefault="007D75EE" w:rsidP="007D75EE">
      <w:pPr>
        <w:rPr>
          <w:rFonts w:ascii="Book Antiqua" w:hAnsi="Book Antiqua"/>
        </w:rPr>
      </w:pPr>
    </w:p>
    <w:p w14:paraId="61B490A7" w14:textId="77777777" w:rsidR="007D75EE" w:rsidRPr="00C00362" w:rsidRDefault="007D75EE" w:rsidP="007D75EE">
      <w:pPr>
        <w:pStyle w:val="Prrafodelista"/>
        <w:numPr>
          <w:ilvl w:val="0"/>
          <w:numId w:val="154"/>
        </w:numPr>
        <w:rPr>
          <w:rFonts w:ascii="Book Antiqua" w:hAnsi="Book Antiqua"/>
        </w:rPr>
      </w:pPr>
      <w:r w:rsidRPr="00C00362">
        <w:rPr>
          <w:rFonts w:ascii="Book Antiqua" w:hAnsi="Book Antiqua"/>
        </w:rPr>
        <w:t>Dirección Jurídica</w:t>
      </w:r>
    </w:p>
    <w:p w14:paraId="671E47E2" w14:textId="77777777" w:rsidR="007D75EE" w:rsidRPr="00C00362" w:rsidRDefault="007D75EE" w:rsidP="007D75EE">
      <w:pPr>
        <w:rPr>
          <w:rFonts w:ascii="Book Antiqua" w:hAnsi="Book Antiqua"/>
        </w:rPr>
      </w:pPr>
    </w:p>
    <w:p w14:paraId="0FB8948D" w14:textId="77777777" w:rsidR="007D75EE" w:rsidRDefault="007D75EE" w:rsidP="007D75EE">
      <w:pPr>
        <w:pStyle w:val="Prrafodelista"/>
        <w:numPr>
          <w:ilvl w:val="0"/>
          <w:numId w:val="154"/>
        </w:numPr>
        <w:rPr>
          <w:rFonts w:ascii="Book Antiqua" w:hAnsi="Book Antiqua"/>
        </w:rPr>
      </w:pPr>
      <w:r w:rsidRPr="00C00362">
        <w:rPr>
          <w:rFonts w:ascii="Book Antiqua" w:hAnsi="Book Antiqua"/>
        </w:rPr>
        <w:t>Dirección de Gestión Humana</w:t>
      </w:r>
    </w:p>
    <w:p w14:paraId="3727AAD5" w14:textId="77777777" w:rsidR="007D75EE" w:rsidRPr="00C00362" w:rsidRDefault="007D75EE" w:rsidP="007D75EE">
      <w:pPr>
        <w:rPr>
          <w:rFonts w:ascii="Book Antiqua" w:hAnsi="Book Antiqua"/>
        </w:rPr>
      </w:pPr>
    </w:p>
    <w:p w14:paraId="07D17D68" w14:textId="77777777" w:rsidR="007D75EE" w:rsidRPr="00DF0190" w:rsidRDefault="007D75EE" w:rsidP="007D75EE">
      <w:pPr>
        <w:pStyle w:val="Prrafodelista"/>
        <w:numPr>
          <w:ilvl w:val="0"/>
          <w:numId w:val="154"/>
        </w:numPr>
        <w:rPr>
          <w:rFonts w:ascii="Book Antiqua" w:hAnsi="Book Antiqua"/>
        </w:rPr>
      </w:pPr>
      <w:r w:rsidRPr="00DF0190">
        <w:rPr>
          <w:rFonts w:ascii="Book Antiqua" w:hAnsi="Book Antiqua"/>
        </w:rPr>
        <w:t>Dirección de Tecnología de la Información</w:t>
      </w:r>
    </w:p>
    <w:p w14:paraId="0AC4B1F6" w14:textId="77777777" w:rsidR="007D75EE" w:rsidRPr="00DF0190" w:rsidRDefault="007D75EE" w:rsidP="007D75EE">
      <w:pPr>
        <w:rPr>
          <w:rFonts w:ascii="Book Antiqua" w:hAnsi="Book Antiqua"/>
        </w:rPr>
      </w:pPr>
    </w:p>
    <w:p w14:paraId="36EBE02B" w14:textId="77777777" w:rsidR="007D75EE" w:rsidRPr="00DF0190" w:rsidRDefault="007D75EE" w:rsidP="007D75EE">
      <w:pPr>
        <w:pStyle w:val="Prrafodelista"/>
        <w:numPr>
          <w:ilvl w:val="0"/>
          <w:numId w:val="154"/>
        </w:numPr>
        <w:rPr>
          <w:rFonts w:ascii="Book Antiqua" w:hAnsi="Book Antiqua"/>
        </w:rPr>
      </w:pPr>
      <w:r w:rsidRPr="00DF0190">
        <w:rPr>
          <w:rFonts w:ascii="Book Antiqua" w:hAnsi="Book Antiqua"/>
        </w:rPr>
        <w:t>Administraciones Regionales</w:t>
      </w:r>
    </w:p>
    <w:p w14:paraId="12039522" w14:textId="77777777" w:rsidR="007D75EE" w:rsidRPr="00C00362" w:rsidRDefault="007D75EE" w:rsidP="007D75EE">
      <w:pPr>
        <w:rPr>
          <w:rFonts w:ascii="Book Antiqua" w:hAnsi="Book Antiqua"/>
        </w:rPr>
      </w:pPr>
    </w:p>
    <w:p w14:paraId="2E7D0614" w14:textId="77777777" w:rsidR="007D75EE" w:rsidRPr="00C00362" w:rsidRDefault="007D75EE" w:rsidP="007D75EE">
      <w:pPr>
        <w:pStyle w:val="Prrafodelista"/>
        <w:numPr>
          <w:ilvl w:val="0"/>
          <w:numId w:val="154"/>
        </w:numPr>
        <w:rPr>
          <w:rFonts w:ascii="Book Antiqua" w:hAnsi="Book Antiqua"/>
        </w:rPr>
      </w:pPr>
      <w:r w:rsidRPr="00C00362">
        <w:rPr>
          <w:rFonts w:ascii="Book Antiqua" w:hAnsi="Book Antiqua"/>
        </w:rPr>
        <w:t xml:space="preserve">Secretaria </w:t>
      </w:r>
      <w:r>
        <w:rPr>
          <w:rFonts w:ascii="Book Antiqua" w:hAnsi="Book Antiqua"/>
        </w:rPr>
        <w:t>T</w:t>
      </w:r>
      <w:r w:rsidRPr="00C00362">
        <w:rPr>
          <w:rFonts w:ascii="Book Antiqua" w:hAnsi="Book Antiqua"/>
        </w:rPr>
        <w:t>écnica de Genero y Acceso a la Justicia</w:t>
      </w:r>
    </w:p>
    <w:p w14:paraId="0D5F071C" w14:textId="77777777" w:rsidR="007D75EE" w:rsidRPr="00C00362" w:rsidRDefault="007D75EE" w:rsidP="007D75EE">
      <w:pPr>
        <w:rPr>
          <w:rFonts w:ascii="Book Antiqua" w:hAnsi="Book Antiqua"/>
        </w:rPr>
      </w:pPr>
    </w:p>
    <w:p w14:paraId="11A0687C" w14:textId="77777777" w:rsidR="007D75EE" w:rsidRPr="00652A12" w:rsidRDefault="007D75EE" w:rsidP="007D75EE">
      <w:pPr>
        <w:pStyle w:val="Prrafodelista"/>
        <w:numPr>
          <w:ilvl w:val="0"/>
          <w:numId w:val="154"/>
        </w:numPr>
        <w:rPr>
          <w:rFonts w:ascii="Book Antiqua" w:hAnsi="Book Antiqua"/>
        </w:rPr>
      </w:pPr>
      <w:r w:rsidRPr="00652A12">
        <w:rPr>
          <w:rFonts w:ascii="Book Antiqua" w:hAnsi="Book Antiqua"/>
        </w:rPr>
        <w:t>Secretaría Técnica de Ética y Valores</w:t>
      </w:r>
    </w:p>
    <w:p w14:paraId="51D51013" w14:textId="77777777" w:rsidR="007D75EE" w:rsidRPr="00652A12" w:rsidRDefault="007D75EE" w:rsidP="007D75EE">
      <w:pPr>
        <w:rPr>
          <w:rFonts w:ascii="Book Antiqua" w:hAnsi="Book Antiqua"/>
        </w:rPr>
      </w:pPr>
    </w:p>
    <w:p w14:paraId="75D67720" w14:textId="77777777" w:rsidR="007D75EE" w:rsidRPr="00652A12" w:rsidRDefault="007D75EE" w:rsidP="007D75EE">
      <w:pPr>
        <w:pStyle w:val="Prrafodelista"/>
        <w:numPr>
          <w:ilvl w:val="0"/>
          <w:numId w:val="154"/>
        </w:numPr>
        <w:rPr>
          <w:rFonts w:ascii="Book Antiqua" w:hAnsi="Book Antiqua"/>
        </w:rPr>
      </w:pPr>
      <w:r w:rsidRPr="00652A12">
        <w:rPr>
          <w:rFonts w:ascii="Book Antiqua" w:hAnsi="Book Antiqua"/>
        </w:rPr>
        <w:t>Programa de Justicia Restaurativa</w:t>
      </w:r>
    </w:p>
    <w:p w14:paraId="3FA4F8BE" w14:textId="77777777" w:rsidR="007D75EE" w:rsidRPr="00652A12" w:rsidRDefault="007D75EE" w:rsidP="007D75EE">
      <w:pPr>
        <w:rPr>
          <w:rFonts w:ascii="Book Antiqua" w:hAnsi="Book Antiqua"/>
        </w:rPr>
      </w:pPr>
    </w:p>
    <w:p w14:paraId="36E75D14" w14:textId="77777777" w:rsidR="007D75EE" w:rsidRPr="00652A12" w:rsidRDefault="007D75EE" w:rsidP="007D75EE">
      <w:pPr>
        <w:pStyle w:val="Prrafodelista"/>
        <w:numPr>
          <w:ilvl w:val="0"/>
          <w:numId w:val="154"/>
        </w:numPr>
        <w:rPr>
          <w:rFonts w:ascii="Book Antiqua" w:hAnsi="Book Antiqua"/>
        </w:rPr>
      </w:pPr>
      <w:r w:rsidRPr="00652A12">
        <w:rPr>
          <w:rFonts w:ascii="Book Antiqua" w:hAnsi="Book Antiqua"/>
        </w:rPr>
        <w:t xml:space="preserve">Escuela </w:t>
      </w:r>
      <w:r>
        <w:rPr>
          <w:rFonts w:ascii="Book Antiqua" w:hAnsi="Book Antiqua"/>
        </w:rPr>
        <w:t>J</w:t>
      </w:r>
      <w:r w:rsidRPr="00652A12">
        <w:rPr>
          <w:rFonts w:ascii="Book Antiqua" w:hAnsi="Book Antiqua"/>
        </w:rPr>
        <w:t>udicial</w:t>
      </w:r>
    </w:p>
    <w:p w14:paraId="64EA89C0" w14:textId="77777777" w:rsidR="007D75EE" w:rsidRPr="00652A12" w:rsidRDefault="007D75EE" w:rsidP="007D75EE">
      <w:pPr>
        <w:rPr>
          <w:rFonts w:ascii="Book Antiqua" w:hAnsi="Book Antiqua"/>
        </w:rPr>
      </w:pPr>
    </w:p>
    <w:p w14:paraId="14B38184" w14:textId="77777777" w:rsidR="007D75EE" w:rsidRPr="00652A12" w:rsidRDefault="007D75EE" w:rsidP="007D75EE">
      <w:pPr>
        <w:pStyle w:val="Prrafodelista"/>
        <w:numPr>
          <w:ilvl w:val="0"/>
          <w:numId w:val="154"/>
        </w:numPr>
        <w:rPr>
          <w:rFonts w:ascii="Book Antiqua" w:hAnsi="Book Antiqua"/>
        </w:rPr>
      </w:pPr>
      <w:r w:rsidRPr="00652A12">
        <w:rPr>
          <w:rFonts w:ascii="Book Antiqua" w:hAnsi="Book Antiqua"/>
        </w:rPr>
        <w:t>Centro de Información Jurisprudencial</w:t>
      </w:r>
    </w:p>
    <w:p w14:paraId="457C549C" w14:textId="77777777" w:rsidR="007D75EE" w:rsidRPr="00652A12" w:rsidRDefault="007D75EE" w:rsidP="007D75EE">
      <w:pPr>
        <w:rPr>
          <w:rFonts w:ascii="Book Antiqua" w:hAnsi="Book Antiqua"/>
        </w:rPr>
      </w:pPr>
    </w:p>
    <w:p w14:paraId="4DC6AC3A" w14:textId="77777777" w:rsidR="007D75EE" w:rsidRPr="00652A12" w:rsidRDefault="007D75EE" w:rsidP="007D75EE">
      <w:pPr>
        <w:pStyle w:val="Prrafodelista"/>
        <w:numPr>
          <w:ilvl w:val="0"/>
          <w:numId w:val="154"/>
        </w:numPr>
        <w:rPr>
          <w:rFonts w:ascii="Book Antiqua" w:hAnsi="Book Antiqua"/>
        </w:rPr>
      </w:pPr>
      <w:r w:rsidRPr="00652A12">
        <w:rPr>
          <w:rFonts w:ascii="Book Antiqua" w:hAnsi="Book Antiqua"/>
        </w:rPr>
        <w:t>Centro de Conciliación del Poder Judicial</w:t>
      </w:r>
    </w:p>
    <w:p w14:paraId="59CA18D1" w14:textId="77777777" w:rsidR="007D75EE" w:rsidRPr="00652A12" w:rsidRDefault="007D75EE" w:rsidP="007D75EE">
      <w:pPr>
        <w:rPr>
          <w:rFonts w:ascii="Book Antiqua" w:hAnsi="Book Antiqua"/>
        </w:rPr>
      </w:pPr>
    </w:p>
    <w:p w14:paraId="3926EB69" w14:textId="77777777" w:rsidR="007D75EE" w:rsidRPr="00652A12" w:rsidRDefault="007D75EE" w:rsidP="007D75EE">
      <w:pPr>
        <w:pStyle w:val="Prrafodelista"/>
        <w:numPr>
          <w:ilvl w:val="0"/>
          <w:numId w:val="154"/>
        </w:numPr>
        <w:rPr>
          <w:rFonts w:ascii="Book Antiqua" w:hAnsi="Book Antiqua"/>
        </w:rPr>
      </w:pPr>
      <w:r w:rsidRPr="00652A12">
        <w:rPr>
          <w:rFonts w:ascii="Book Antiqua" w:hAnsi="Book Antiqua"/>
        </w:rPr>
        <w:t>Contralor</w:t>
      </w:r>
      <w:r>
        <w:rPr>
          <w:rFonts w:ascii="Book Antiqua" w:hAnsi="Book Antiqua"/>
        </w:rPr>
        <w:t>í</w:t>
      </w:r>
      <w:r w:rsidRPr="00652A12">
        <w:rPr>
          <w:rFonts w:ascii="Book Antiqua" w:hAnsi="Book Antiqua"/>
        </w:rPr>
        <w:t>a de Servicios del Poder Judicial</w:t>
      </w:r>
    </w:p>
    <w:p w14:paraId="2521DAB0" w14:textId="77777777" w:rsidR="007D75EE" w:rsidRPr="00652A12" w:rsidRDefault="007D75EE" w:rsidP="007D75EE">
      <w:pPr>
        <w:rPr>
          <w:rFonts w:ascii="Book Antiqua" w:hAnsi="Book Antiqua"/>
        </w:rPr>
      </w:pPr>
    </w:p>
    <w:p w14:paraId="1ECF469D" w14:textId="77777777" w:rsidR="007D75EE" w:rsidRPr="00652A12" w:rsidRDefault="007D75EE" w:rsidP="007D75EE">
      <w:pPr>
        <w:pStyle w:val="Prrafodelista"/>
        <w:numPr>
          <w:ilvl w:val="0"/>
          <w:numId w:val="154"/>
        </w:numPr>
        <w:rPr>
          <w:rFonts w:ascii="Book Antiqua" w:hAnsi="Book Antiqua"/>
        </w:rPr>
      </w:pPr>
      <w:r w:rsidRPr="00652A12">
        <w:rPr>
          <w:rFonts w:ascii="Book Antiqua" w:hAnsi="Book Antiqua"/>
        </w:rPr>
        <w:t>Departamento de Prensa y Comunicación Organizacional</w:t>
      </w:r>
    </w:p>
    <w:p w14:paraId="10D4C31D" w14:textId="77777777" w:rsidR="007D75EE" w:rsidRPr="00652A12" w:rsidRDefault="007D75EE" w:rsidP="007D75EE">
      <w:pPr>
        <w:rPr>
          <w:rFonts w:ascii="Book Antiqua" w:hAnsi="Book Antiqua"/>
        </w:rPr>
      </w:pPr>
    </w:p>
    <w:p w14:paraId="4D4DED5A" w14:textId="77777777" w:rsidR="007D75EE" w:rsidRPr="00652A12" w:rsidRDefault="007D75EE" w:rsidP="007D75EE">
      <w:pPr>
        <w:pStyle w:val="Prrafodelista"/>
        <w:numPr>
          <w:ilvl w:val="0"/>
          <w:numId w:val="154"/>
        </w:numPr>
        <w:rPr>
          <w:rFonts w:ascii="Book Antiqua" w:hAnsi="Book Antiqua"/>
        </w:rPr>
      </w:pPr>
      <w:r w:rsidRPr="00652A12">
        <w:rPr>
          <w:rFonts w:ascii="Book Antiqua" w:hAnsi="Book Antiqua"/>
        </w:rPr>
        <w:t>Departamento de Trabajo Social y Psicología</w:t>
      </w:r>
    </w:p>
    <w:p w14:paraId="419769EA" w14:textId="77777777" w:rsidR="007D75EE" w:rsidRPr="003E7F4C" w:rsidRDefault="007D75EE" w:rsidP="007D75EE">
      <w:pPr>
        <w:pStyle w:val="Prrafodelista"/>
        <w:rPr>
          <w:rFonts w:ascii="Book Antiqua" w:hAnsi="Book Antiqua"/>
        </w:rPr>
      </w:pPr>
    </w:p>
    <w:p w14:paraId="68C71623" w14:textId="77777777" w:rsidR="007D75EE" w:rsidRPr="00C00362" w:rsidRDefault="007D75EE" w:rsidP="007D75EE">
      <w:pPr>
        <w:pStyle w:val="Prrafodelista"/>
        <w:numPr>
          <w:ilvl w:val="0"/>
          <w:numId w:val="154"/>
        </w:numPr>
        <w:rPr>
          <w:rFonts w:ascii="Book Antiqua" w:hAnsi="Book Antiqua"/>
        </w:rPr>
      </w:pPr>
      <w:r w:rsidRPr="00C00362">
        <w:rPr>
          <w:rFonts w:ascii="Book Antiqua" w:hAnsi="Book Antiqua"/>
        </w:rPr>
        <w:t>Juzgado Notarial</w:t>
      </w:r>
    </w:p>
    <w:p w14:paraId="07FB78A9" w14:textId="77777777" w:rsidR="001C29EC" w:rsidRPr="008B4649" w:rsidRDefault="001C29EC" w:rsidP="001C29EC">
      <w:pPr>
        <w:pStyle w:val="Prrafodelista"/>
        <w:rPr>
          <w:rFonts w:ascii="Arial Narrow" w:hAnsi="Arial Narrow"/>
        </w:rPr>
      </w:pPr>
    </w:p>
    <w:p w14:paraId="5550B293" w14:textId="77777777" w:rsidR="001C29EC" w:rsidRPr="00345B2C" w:rsidRDefault="001C29EC" w:rsidP="001C29EC">
      <w:pPr>
        <w:pStyle w:val="Prrafodelista"/>
        <w:numPr>
          <w:ilvl w:val="0"/>
          <w:numId w:val="154"/>
        </w:numPr>
        <w:rPr>
          <w:rFonts w:ascii="Book Antiqua" w:hAnsi="Book Antiqua"/>
        </w:rPr>
      </w:pPr>
      <w:r w:rsidRPr="00345B2C">
        <w:rPr>
          <w:rFonts w:ascii="Book Antiqua" w:hAnsi="Book Antiqua"/>
        </w:rPr>
        <w:t>Archivo</w:t>
      </w:r>
    </w:p>
    <w:p w14:paraId="13DFA0AD" w14:textId="77777777" w:rsidR="001C29EC" w:rsidRPr="008B4649" w:rsidRDefault="001C29EC" w:rsidP="001C29EC">
      <w:pPr>
        <w:rPr>
          <w:rFonts w:ascii="Arial Narrow" w:eastAsiaTheme="minorHAnsi" w:hAnsi="Arial Narrow"/>
        </w:rPr>
      </w:pPr>
    </w:p>
    <w:p w14:paraId="5D2CCE4D" w14:textId="4D7D0F4F" w:rsidR="001C29EC" w:rsidRDefault="001C29EC" w:rsidP="004E1887">
      <w:pPr>
        <w:widowControl w:val="0"/>
        <w:rPr>
          <w:rFonts w:ascii="Book Antiqua" w:hAnsi="Book Antiqua" w:cs="Book Antiqua"/>
          <w:snapToGrid w:val="0"/>
          <w:lang w:val="es-CR"/>
        </w:rPr>
      </w:pPr>
    </w:p>
    <w:p w14:paraId="51C12BEE" w14:textId="7ABF2851" w:rsidR="001C29EC" w:rsidRDefault="001C29EC" w:rsidP="004E1887">
      <w:pPr>
        <w:widowControl w:val="0"/>
        <w:rPr>
          <w:rFonts w:ascii="Book Antiqua" w:hAnsi="Book Antiqua" w:cs="Book Antiqua"/>
          <w:snapToGrid w:val="0"/>
          <w:lang w:val="es-CR"/>
        </w:rPr>
      </w:pPr>
    </w:p>
    <w:p w14:paraId="127AA9FC" w14:textId="06D7D416" w:rsidR="001C29EC" w:rsidRDefault="001C29EC" w:rsidP="004E1887">
      <w:pPr>
        <w:widowControl w:val="0"/>
        <w:rPr>
          <w:rFonts w:ascii="Book Antiqua" w:hAnsi="Book Antiqua" w:cs="Book Antiqua"/>
          <w:snapToGrid w:val="0"/>
          <w:lang w:val="es-CR"/>
        </w:rPr>
      </w:pPr>
    </w:p>
    <w:p w14:paraId="20EFF190" w14:textId="3012E32D" w:rsidR="001C29EC" w:rsidRDefault="001C29EC" w:rsidP="004E1887">
      <w:pPr>
        <w:widowControl w:val="0"/>
        <w:rPr>
          <w:rFonts w:ascii="Book Antiqua" w:hAnsi="Book Antiqua" w:cs="Book Antiqua"/>
          <w:snapToGrid w:val="0"/>
          <w:lang w:val="es-CR"/>
        </w:rPr>
      </w:pPr>
    </w:p>
    <w:p w14:paraId="5FA20239" w14:textId="653C2C7B" w:rsidR="001C29EC" w:rsidRDefault="001C29EC" w:rsidP="004E1887">
      <w:pPr>
        <w:widowControl w:val="0"/>
        <w:rPr>
          <w:rFonts w:ascii="Book Antiqua" w:hAnsi="Book Antiqua" w:cs="Book Antiqua"/>
          <w:snapToGrid w:val="0"/>
          <w:lang w:val="es-CR"/>
        </w:rPr>
      </w:pPr>
    </w:p>
    <w:p w14:paraId="50835A7A" w14:textId="2E51E2E5" w:rsidR="001C29EC" w:rsidRDefault="001C29EC" w:rsidP="004E1887">
      <w:pPr>
        <w:widowControl w:val="0"/>
        <w:rPr>
          <w:rFonts w:ascii="Book Antiqua" w:hAnsi="Book Antiqua" w:cs="Book Antiqua"/>
          <w:snapToGrid w:val="0"/>
          <w:lang w:val="es-CR"/>
        </w:rPr>
      </w:pPr>
    </w:p>
    <w:p w14:paraId="167A482E" w14:textId="2675EDB4" w:rsidR="00576CAD" w:rsidRDefault="00576CAD" w:rsidP="004E1887">
      <w:pPr>
        <w:widowControl w:val="0"/>
        <w:rPr>
          <w:rFonts w:ascii="Book Antiqua" w:hAnsi="Book Antiqua" w:cs="Book Antiqua"/>
          <w:snapToGrid w:val="0"/>
          <w:lang w:val="es-CR"/>
        </w:rPr>
      </w:pPr>
    </w:p>
    <w:p w14:paraId="152CD8E7" w14:textId="7064D409" w:rsidR="00576CAD" w:rsidRDefault="00576CAD" w:rsidP="004E1887">
      <w:pPr>
        <w:widowControl w:val="0"/>
        <w:rPr>
          <w:rFonts w:ascii="Book Antiqua" w:hAnsi="Book Antiqua" w:cs="Book Antiqua"/>
          <w:snapToGrid w:val="0"/>
          <w:lang w:val="es-CR"/>
        </w:rPr>
      </w:pPr>
    </w:p>
    <w:p w14:paraId="67275E98" w14:textId="4FB9564C" w:rsidR="00576CAD" w:rsidRDefault="00576CAD" w:rsidP="004E1887">
      <w:pPr>
        <w:widowControl w:val="0"/>
        <w:rPr>
          <w:rFonts w:ascii="Book Antiqua" w:hAnsi="Book Antiqua" w:cs="Book Antiqua"/>
          <w:snapToGrid w:val="0"/>
          <w:lang w:val="es-CR"/>
        </w:rPr>
      </w:pPr>
    </w:p>
    <w:p w14:paraId="14308B09" w14:textId="2552A18D" w:rsidR="00576CAD" w:rsidRDefault="00576CAD" w:rsidP="004E1887">
      <w:pPr>
        <w:widowControl w:val="0"/>
        <w:rPr>
          <w:rFonts w:ascii="Book Antiqua" w:hAnsi="Book Antiqua" w:cs="Book Antiqua"/>
          <w:snapToGrid w:val="0"/>
          <w:lang w:val="es-CR"/>
        </w:rPr>
      </w:pPr>
    </w:p>
    <w:p w14:paraId="6E0C6A6C" w14:textId="4C4A4CA1" w:rsidR="00576CAD" w:rsidRDefault="00576CAD" w:rsidP="004E1887">
      <w:pPr>
        <w:widowControl w:val="0"/>
        <w:rPr>
          <w:rFonts w:ascii="Book Antiqua" w:hAnsi="Book Antiqua" w:cs="Book Antiqua"/>
          <w:snapToGrid w:val="0"/>
          <w:lang w:val="es-CR"/>
        </w:rPr>
      </w:pPr>
    </w:p>
    <w:p w14:paraId="596A8910" w14:textId="038829D8" w:rsidR="00576CAD" w:rsidRDefault="00576CAD" w:rsidP="004E1887">
      <w:pPr>
        <w:widowControl w:val="0"/>
        <w:rPr>
          <w:rFonts w:ascii="Book Antiqua" w:hAnsi="Book Antiqua" w:cs="Book Antiqua"/>
          <w:snapToGrid w:val="0"/>
          <w:lang w:val="es-CR"/>
        </w:rPr>
      </w:pPr>
    </w:p>
    <w:p w14:paraId="19B9EF61" w14:textId="6D120FCE" w:rsidR="00576CAD" w:rsidRDefault="00576CAD" w:rsidP="004E1887">
      <w:pPr>
        <w:widowControl w:val="0"/>
        <w:rPr>
          <w:rFonts w:ascii="Book Antiqua" w:hAnsi="Book Antiqua" w:cs="Book Antiqua"/>
          <w:snapToGrid w:val="0"/>
          <w:lang w:val="es-CR"/>
        </w:rPr>
      </w:pPr>
    </w:p>
    <w:p w14:paraId="20CA3224" w14:textId="77777777" w:rsidR="004E1887" w:rsidRPr="004E1887" w:rsidRDefault="004E1887" w:rsidP="004E1887">
      <w:pPr>
        <w:rPr>
          <w:rFonts w:ascii="Book Antiqua" w:hAnsi="Book Antiqua" w:cs="Book Antiqua"/>
          <w:lang w:val="es-CR"/>
        </w:rPr>
      </w:pPr>
    </w:p>
    <w:p w14:paraId="5EF6DDAA" w14:textId="77777777" w:rsidR="00924373" w:rsidRDefault="00924373" w:rsidP="003D7E92">
      <w:pPr>
        <w:widowControl w:val="0"/>
        <w:jc w:val="right"/>
        <w:rPr>
          <w:rFonts w:ascii="Arial Narrow" w:hAnsi="Arial Narrow" w:cs="Book Antiqua"/>
          <w:sz w:val="22"/>
          <w:szCs w:val="22"/>
          <w:lang w:val="es-CR"/>
        </w:rPr>
      </w:pPr>
    </w:p>
    <w:p w14:paraId="612CB3E7" w14:textId="77777777" w:rsidR="00924373" w:rsidRDefault="00924373" w:rsidP="003D7E92">
      <w:pPr>
        <w:widowControl w:val="0"/>
        <w:jc w:val="right"/>
        <w:rPr>
          <w:rFonts w:ascii="Arial Narrow" w:hAnsi="Arial Narrow" w:cs="Book Antiqua"/>
          <w:sz w:val="22"/>
          <w:szCs w:val="22"/>
          <w:lang w:val="es-CR"/>
        </w:rPr>
      </w:pPr>
    </w:p>
    <w:p w14:paraId="6062E95F" w14:textId="77777777" w:rsidR="00924373" w:rsidRDefault="00924373" w:rsidP="003D7E92">
      <w:pPr>
        <w:widowControl w:val="0"/>
        <w:jc w:val="right"/>
        <w:rPr>
          <w:rFonts w:ascii="Arial Narrow" w:hAnsi="Arial Narrow" w:cs="Book Antiqua"/>
          <w:sz w:val="22"/>
          <w:szCs w:val="22"/>
          <w:lang w:val="es-CR"/>
        </w:rPr>
      </w:pPr>
    </w:p>
    <w:p w14:paraId="09DE7877" w14:textId="78CA9135" w:rsidR="001B75A0" w:rsidRPr="00876603" w:rsidRDefault="00286D0A" w:rsidP="00704B08">
      <w:pPr>
        <w:spacing w:line="276" w:lineRule="auto"/>
        <w:jc w:val="both"/>
        <w:rPr>
          <w:rFonts w:ascii="Arial Narrow" w:hAnsi="Arial Narrow"/>
          <w:sz w:val="22"/>
          <w:szCs w:val="22"/>
        </w:rPr>
      </w:pPr>
      <w:r>
        <w:rPr>
          <w:rFonts w:ascii="Arial Narrow" w:hAnsi="Arial Narrow"/>
          <w:sz w:val="22"/>
          <w:szCs w:val="22"/>
        </w:rPr>
        <w:t>29</w:t>
      </w:r>
      <w:r w:rsidR="001409FD">
        <w:rPr>
          <w:rFonts w:ascii="Arial Narrow" w:hAnsi="Arial Narrow"/>
          <w:sz w:val="22"/>
          <w:szCs w:val="22"/>
        </w:rPr>
        <w:t xml:space="preserve"> de junio </w:t>
      </w:r>
      <w:r w:rsidR="001B75A0" w:rsidRPr="00876603">
        <w:rPr>
          <w:rFonts w:ascii="Arial Narrow" w:hAnsi="Arial Narrow"/>
          <w:sz w:val="22"/>
          <w:szCs w:val="22"/>
        </w:rPr>
        <w:t>de 202</w:t>
      </w:r>
      <w:r w:rsidR="00D439A3" w:rsidRPr="00876603">
        <w:rPr>
          <w:rFonts w:ascii="Arial Narrow" w:hAnsi="Arial Narrow"/>
          <w:sz w:val="22"/>
          <w:szCs w:val="22"/>
        </w:rPr>
        <w:t>2</w:t>
      </w:r>
    </w:p>
    <w:p w14:paraId="00737B45" w14:textId="77777777" w:rsidR="00206C84" w:rsidRPr="00876603" w:rsidRDefault="00206C84" w:rsidP="00704B08">
      <w:pPr>
        <w:spacing w:line="276" w:lineRule="auto"/>
        <w:jc w:val="both"/>
        <w:rPr>
          <w:rFonts w:ascii="Arial Narrow" w:hAnsi="Arial Narrow"/>
          <w:sz w:val="22"/>
          <w:szCs w:val="22"/>
        </w:rPr>
      </w:pPr>
    </w:p>
    <w:p w14:paraId="1474AFAF" w14:textId="77777777" w:rsidR="002809D8" w:rsidRPr="00876603" w:rsidRDefault="002809D8" w:rsidP="00704B08">
      <w:pPr>
        <w:spacing w:line="276" w:lineRule="auto"/>
        <w:jc w:val="both"/>
        <w:rPr>
          <w:rFonts w:ascii="Arial Narrow" w:hAnsi="Arial Narrow"/>
          <w:sz w:val="22"/>
          <w:szCs w:val="22"/>
        </w:rPr>
      </w:pPr>
    </w:p>
    <w:p w14:paraId="45572753" w14:textId="506E5D93" w:rsidR="004238D3" w:rsidRPr="00876603" w:rsidRDefault="004238D3" w:rsidP="00704B08">
      <w:pPr>
        <w:spacing w:line="276" w:lineRule="auto"/>
        <w:jc w:val="both"/>
        <w:rPr>
          <w:rFonts w:ascii="Arial Narrow" w:hAnsi="Arial Narrow"/>
          <w:snapToGrid w:val="0"/>
          <w:color w:val="000000"/>
          <w:sz w:val="22"/>
          <w:szCs w:val="22"/>
        </w:rPr>
      </w:pPr>
      <w:r w:rsidRPr="00876603">
        <w:rPr>
          <w:rFonts w:ascii="Arial Narrow" w:hAnsi="Arial Narrow"/>
          <w:snapToGrid w:val="0"/>
          <w:color w:val="000000"/>
          <w:sz w:val="22"/>
          <w:szCs w:val="22"/>
        </w:rPr>
        <w:t>M</w:t>
      </w:r>
      <w:r w:rsidR="00E52F19" w:rsidRPr="00876603">
        <w:rPr>
          <w:rFonts w:ascii="Arial Narrow" w:hAnsi="Arial Narrow"/>
          <w:snapToGrid w:val="0"/>
          <w:color w:val="000000"/>
          <w:sz w:val="22"/>
          <w:szCs w:val="22"/>
        </w:rPr>
        <w:t>á</w:t>
      </w:r>
      <w:r w:rsidRPr="00876603">
        <w:rPr>
          <w:rFonts w:ascii="Arial Narrow" w:hAnsi="Arial Narrow"/>
          <w:snapToGrid w:val="0"/>
          <w:color w:val="000000"/>
          <w:sz w:val="22"/>
          <w:szCs w:val="22"/>
        </w:rPr>
        <w:t>ster</w:t>
      </w:r>
    </w:p>
    <w:p w14:paraId="3C7084EA" w14:textId="62762653" w:rsidR="004238D3" w:rsidRPr="00876603" w:rsidRDefault="004238D3" w:rsidP="00704B08">
      <w:pPr>
        <w:spacing w:line="276" w:lineRule="auto"/>
        <w:jc w:val="both"/>
        <w:rPr>
          <w:rFonts w:ascii="Arial Narrow" w:hAnsi="Arial Narrow"/>
          <w:snapToGrid w:val="0"/>
          <w:color w:val="000000"/>
          <w:sz w:val="22"/>
          <w:szCs w:val="22"/>
        </w:rPr>
      </w:pPr>
      <w:r w:rsidRPr="00876603">
        <w:rPr>
          <w:rFonts w:ascii="Arial Narrow" w:hAnsi="Arial Narrow"/>
          <w:snapToGrid w:val="0"/>
          <w:color w:val="000000"/>
          <w:sz w:val="22"/>
          <w:szCs w:val="22"/>
        </w:rPr>
        <w:t>Erick Antonio Mora Leiva</w:t>
      </w:r>
      <w:r w:rsidR="00A22006" w:rsidRPr="00876603">
        <w:rPr>
          <w:rFonts w:ascii="Arial Narrow" w:hAnsi="Arial Narrow"/>
          <w:snapToGrid w:val="0"/>
          <w:color w:val="000000"/>
          <w:sz w:val="22"/>
          <w:szCs w:val="22"/>
        </w:rPr>
        <w:t>, Jefe</w:t>
      </w:r>
    </w:p>
    <w:p w14:paraId="164843C7" w14:textId="6C9992BD" w:rsidR="005305D8" w:rsidRPr="00876603" w:rsidRDefault="00A22006" w:rsidP="00704B08">
      <w:pPr>
        <w:spacing w:line="276" w:lineRule="auto"/>
        <w:jc w:val="both"/>
        <w:rPr>
          <w:rFonts w:ascii="Arial Narrow" w:hAnsi="Arial Narrow"/>
          <w:sz w:val="22"/>
          <w:szCs w:val="22"/>
        </w:rPr>
      </w:pPr>
      <w:r w:rsidRPr="00876603">
        <w:rPr>
          <w:rFonts w:ascii="Arial Narrow" w:hAnsi="Arial Narrow"/>
          <w:sz w:val="22"/>
          <w:szCs w:val="22"/>
        </w:rPr>
        <w:t>P</w:t>
      </w:r>
      <w:r w:rsidR="00206C84" w:rsidRPr="00876603">
        <w:rPr>
          <w:rFonts w:ascii="Arial Narrow" w:hAnsi="Arial Narrow"/>
          <w:sz w:val="22"/>
          <w:szCs w:val="22"/>
        </w:rPr>
        <w:t>roceso Planeación y Evaluación</w:t>
      </w:r>
    </w:p>
    <w:p w14:paraId="2F935CC0" w14:textId="77777777" w:rsidR="00876603" w:rsidRPr="00876603" w:rsidRDefault="00876603" w:rsidP="00704B08">
      <w:pPr>
        <w:spacing w:line="276" w:lineRule="auto"/>
        <w:jc w:val="both"/>
        <w:rPr>
          <w:rFonts w:ascii="Arial Narrow" w:hAnsi="Arial Narrow"/>
          <w:snapToGrid w:val="0"/>
          <w:color w:val="000000"/>
          <w:sz w:val="22"/>
          <w:szCs w:val="22"/>
        </w:rPr>
      </w:pPr>
    </w:p>
    <w:p w14:paraId="2FB8AFC9" w14:textId="23DB4FDB" w:rsidR="001251DB" w:rsidRPr="00876603" w:rsidRDefault="001251DB" w:rsidP="00704B08">
      <w:pPr>
        <w:spacing w:line="276" w:lineRule="auto"/>
        <w:jc w:val="both"/>
        <w:rPr>
          <w:rFonts w:ascii="Arial Narrow" w:hAnsi="Arial Narrow"/>
          <w:snapToGrid w:val="0"/>
          <w:color w:val="000000"/>
          <w:sz w:val="22"/>
          <w:szCs w:val="22"/>
        </w:rPr>
      </w:pPr>
      <w:r w:rsidRPr="00876603">
        <w:rPr>
          <w:rFonts w:ascii="Arial Narrow" w:hAnsi="Arial Narrow"/>
          <w:snapToGrid w:val="0"/>
          <w:color w:val="000000"/>
          <w:sz w:val="22"/>
          <w:szCs w:val="22"/>
        </w:rPr>
        <w:t>Estimad</w:t>
      </w:r>
      <w:r w:rsidR="002043B8" w:rsidRPr="00876603">
        <w:rPr>
          <w:rFonts w:ascii="Arial Narrow" w:hAnsi="Arial Narrow"/>
          <w:snapToGrid w:val="0"/>
          <w:color w:val="000000"/>
          <w:sz w:val="22"/>
          <w:szCs w:val="22"/>
        </w:rPr>
        <w:t>o</w:t>
      </w:r>
      <w:r w:rsidRPr="00876603">
        <w:rPr>
          <w:rFonts w:ascii="Arial Narrow" w:hAnsi="Arial Narrow"/>
          <w:snapToGrid w:val="0"/>
          <w:color w:val="000000"/>
          <w:sz w:val="22"/>
          <w:szCs w:val="22"/>
        </w:rPr>
        <w:t xml:space="preserve"> señor:</w:t>
      </w:r>
    </w:p>
    <w:p w14:paraId="66FF4560" w14:textId="77777777" w:rsidR="00F8263C" w:rsidRPr="00876603" w:rsidRDefault="00F8263C" w:rsidP="00704B08">
      <w:pPr>
        <w:spacing w:line="276" w:lineRule="auto"/>
        <w:jc w:val="both"/>
        <w:rPr>
          <w:rFonts w:ascii="Arial Narrow" w:hAnsi="Arial Narrow"/>
          <w:snapToGrid w:val="0"/>
          <w:color w:val="000000"/>
          <w:sz w:val="22"/>
          <w:szCs w:val="22"/>
        </w:rPr>
      </w:pPr>
    </w:p>
    <w:p w14:paraId="46C44186" w14:textId="7B27D7E1" w:rsidR="00F8263C" w:rsidRPr="00876603" w:rsidRDefault="00544696" w:rsidP="00F8263C">
      <w:pPr>
        <w:spacing w:line="276" w:lineRule="auto"/>
        <w:jc w:val="both"/>
        <w:rPr>
          <w:rFonts w:ascii="Arial Narrow" w:eastAsia="Calibri" w:hAnsi="Arial Narrow"/>
          <w:color w:val="000000"/>
          <w:sz w:val="22"/>
          <w:szCs w:val="22"/>
        </w:rPr>
      </w:pPr>
      <w:bookmarkStart w:id="3" w:name="_Hlk52198011"/>
      <w:r w:rsidRPr="00876603">
        <w:rPr>
          <w:rFonts w:ascii="Arial Narrow" w:eastAsia="Calibri" w:hAnsi="Arial Narrow"/>
          <w:color w:val="000000"/>
          <w:sz w:val="22"/>
          <w:szCs w:val="22"/>
        </w:rPr>
        <w:t xml:space="preserve">A </w:t>
      </w:r>
      <w:r w:rsidR="00785332" w:rsidRPr="00876603">
        <w:rPr>
          <w:rFonts w:ascii="Arial Narrow" w:eastAsia="Calibri" w:hAnsi="Arial Narrow"/>
          <w:color w:val="000000"/>
          <w:sz w:val="22"/>
          <w:szCs w:val="22"/>
        </w:rPr>
        <w:t>continuación,</w:t>
      </w:r>
      <w:r w:rsidRPr="00876603">
        <w:rPr>
          <w:rFonts w:ascii="Arial Narrow" w:eastAsia="Calibri" w:hAnsi="Arial Narrow"/>
          <w:color w:val="000000"/>
          <w:sz w:val="22"/>
          <w:szCs w:val="22"/>
        </w:rPr>
        <w:t xml:space="preserve"> </w:t>
      </w:r>
      <w:r w:rsidR="00F8263C" w:rsidRPr="00876603">
        <w:rPr>
          <w:rFonts w:ascii="Arial Narrow" w:eastAsia="Calibri" w:hAnsi="Arial Narrow"/>
          <w:color w:val="000000"/>
          <w:sz w:val="22"/>
          <w:szCs w:val="22"/>
        </w:rPr>
        <w:t xml:space="preserve">se presenta el informe que detalla el cumplimiento del </w:t>
      </w:r>
      <w:r w:rsidRPr="00876603">
        <w:rPr>
          <w:rFonts w:ascii="Arial Narrow" w:eastAsia="Calibri" w:hAnsi="Arial Narrow"/>
          <w:color w:val="000000"/>
          <w:sz w:val="22"/>
          <w:szCs w:val="22"/>
        </w:rPr>
        <w:t>Plan Estratégico Institucional (PEI) 2019-20</w:t>
      </w:r>
      <w:r w:rsidR="007C5F8C" w:rsidRPr="00876603">
        <w:rPr>
          <w:rFonts w:ascii="Arial Narrow" w:eastAsia="Calibri" w:hAnsi="Arial Narrow"/>
          <w:color w:val="000000"/>
          <w:sz w:val="22"/>
          <w:szCs w:val="22"/>
        </w:rPr>
        <w:t>2</w:t>
      </w:r>
      <w:r w:rsidRPr="00876603">
        <w:rPr>
          <w:rFonts w:ascii="Arial Narrow" w:eastAsia="Calibri" w:hAnsi="Arial Narrow"/>
          <w:color w:val="000000"/>
          <w:sz w:val="22"/>
          <w:szCs w:val="22"/>
        </w:rPr>
        <w:t>4</w:t>
      </w:r>
      <w:r w:rsidR="00125E7D" w:rsidRPr="00876603">
        <w:rPr>
          <w:rFonts w:ascii="Arial Narrow" w:eastAsia="Calibri" w:hAnsi="Arial Narrow"/>
          <w:color w:val="000000"/>
          <w:sz w:val="22"/>
          <w:szCs w:val="22"/>
        </w:rPr>
        <w:t xml:space="preserve">, en este caso específico </w:t>
      </w:r>
      <w:r w:rsidR="00F8263C" w:rsidRPr="00876603">
        <w:rPr>
          <w:rFonts w:ascii="Arial Narrow" w:eastAsia="Calibri" w:hAnsi="Arial Narrow"/>
          <w:color w:val="000000"/>
          <w:sz w:val="22"/>
          <w:szCs w:val="22"/>
        </w:rPr>
        <w:t xml:space="preserve">para </w:t>
      </w:r>
      <w:r w:rsidR="00A844DE" w:rsidRPr="00876603">
        <w:rPr>
          <w:rFonts w:ascii="Arial Narrow" w:eastAsia="Calibri" w:hAnsi="Arial Narrow"/>
          <w:color w:val="000000"/>
          <w:sz w:val="22"/>
          <w:szCs w:val="22"/>
        </w:rPr>
        <w:t>el año 2021</w:t>
      </w:r>
      <w:r w:rsidR="00F8263C" w:rsidRPr="00876603">
        <w:rPr>
          <w:rFonts w:ascii="Arial Narrow" w:eastAsia="Calibri" w:hAnsi="Arial Narrow"/>
          <w:color w:val="000000"/>
          <w:sz w:val="22"/>
          <w:szCs w:val="22"/>
        </w:rPr>
        <w:t>, con sus respectivos resultados por meta estratégica</w:t>
      </w:r>
      <w:r w:rsidR="00A844DE" w:rsidRPr="00876603">
        <w:rPr>
          <w:rFonts w:ascii="Arial Narrow" w:eastAsia="Calibri" w:hAnsi="Arial Narrow"/>
          <w:color w:val="000000"/>
          <w:sz w:val="22"/>
          <w:szCs w:val="22"/>
        </w:rPr>
        <w:t xml:space="preserve"> y por indicadores.</w:t>
      </w:r>
      <w:r w:rsidR="00322D9B">
        <w:rPr>
          <w:rFonts w:ascii="Arial Narrow" w:eastAsia="Calibri" w:hAnsi="Arial Narrow"/>
          <w:color w:val="000000"/>
          <w:sz w:val="22"/>
          <w:szCs w:val="22"/>
        </w:rPr>
        <w:t xml:space="preserve">  </w:t>
      </w:r>
      <w:r w:rsidR="00F8263C" w:rsidRPr="00876603">
        <w:rPr>
          <w:rFonts w:ascii="Arial Narrow" w:eastAsia="Calibri" w:hAnsi="Arial Narrow"/>
          <w:color w:val="000000"/>
          <w:sz w:val="22"/>
          <w:szCs w:val="22"/>
        </w:rPr>
        <w:t>Para la elaboración del informe, se toma como base lo considerado en los siguiente</w:t>
      </w:r>
      <w:r w:rsidR="00237F85" w:rsidRPr="00876603">
        <w:rPr>
          <w:rFonts w:ascii="Arial Narrow" w:eastAsia="Calibri" w:hAnsi="Arial Narrow"/>
          <w:color w:val="000000"/>
          <w:sz w:val="22"/>
          <w:szCs w:val="22"/>
        </w:rPr>
        <w:t>s</w:t>
      </w:r>
      <w:r w:rsidR="00F8263C" w:rsidRPr="00876603">
        <w:rPr>
          <w:rFonts w:ascii="Arial Narrow" w:eastAsia="Calibri" w:hAnsi="Arial Narrow"/>
          <w:color w:val="000000"/>
          <w:sz w:val="22"/>
          <w:szCs w:val="22"/>
        </w:rPr>
        <w:t xml:space="preserve"> acuerdos</w:t>
      </w:r>
      <w:r w:rsidR="00237F85" w:rsidRPr="00876603">
        <w:rPr>
          <w:rFonts w:ascii="Arial Narrow" w:eastAsia="Calibri" w:hAnsi="Arial Narrow"/>
          <w:color w:val="000000"/>
          <w:sz w:val="22"/>
          <w:szCs w:val="22"/>
        </w:rPr>
        <w:t>, relacionados con el Plan Estratégico Institucional vigente</w:t>
      </w:r>
      <w:r w:rsidR="00F8263C" w:rsidRPr="00876603">
        <w:rPr>
          <w:rFonts w:ascii="Arial Narrow" w:eastAsia="Calibri" w:hAnsi="Arial Narrow"/>
          <w:color w:val="000000"/>
          <w:sz w:val="22"/>
          <w:szCs w:val="22"/>
        </w:rPr>
        <w:t>:</w:t>
      </w:r>
    </w:p>
    <w:p w14:paraId="03083833" w14:textId="6F8829BD" w:rsidR="002809D8" w:rsidRPr="00876603" w:rsidRDefault="002809D8" w:rsidP="00704B08">
      <w:pPr>
        <w:spacing w:line="276" w:lineRule="auto"/>
        <w:jc w:val="both"/>
        <w:rPr>
          <w:rFonts w:ascii="Arial Narrow" w:eastAsia="Calibri" w:hAnsi="Arial Narrow"/>
          <w:color w:val="000000"/>
          <w:sz w:val="22"/>
          <w:szCs w:val="22"/>
        </w:rPr>
      </w:pPr>
    </w:p>
    <w:p w14:paraId="76BF5F9B" w14:textId="069E53F9" w:rsidR="00FA4685" w:rsidRPr="00876603" w:rsidRDefault="00DA143C" w:rsidP="00704B08">
      <w:pPr>
        <w:spacing w:line="276" w:lineRule="auto"/>
        <w:jc w:val="both"/>
        <w:rPr>
          <w:rFonts w:ascii="Arial Narrow" w:eastAsia="Calibri" w:hAnsi="Arial Narrow"/>
          <w:color w:val="000000"/>
          <w:sz w:val="22"/>
          <w:szCs w:val="22"/>
        </w:rPr>
      </w:pPr>
      <w:r w:rsidRPr="00876603">
        <w:rPr>
          <w:rFonts w:ascii="Arial Narrow" w:eastAsia="Calibri" w:hAnsi="Arial Narrow"/>
          <w:color w:val="000000"/>
          <w:sz w:val="22"/>
          <w:szCs w:val="22"/>
        </w:rPr>
        <w:t xml:space="preserve">La </w:t>
      </w:r>
      <w:r w:rsidR="00FA4685" w:rsidRPr="00876603">
        <w:rPr>
          <w:rFonts w:ascii="Arial Narrow" w:eastAsia="Calibri" w:hAnsi="Arial Narrow"/>
          <w:color w:val="000000"/>
          <w:sz w:val="22"/>
          <w:szCs w:val="22"/>
        </w:rPr>
        <w:t xml:space="preserve">Corte Plena </w:t>
      </w:r>
      <w:r w:rsidRPr="00876603">
        <w:rPr>
          <w:rFonts w:ascii="Arial Narrow" w:eastAsia="Calibri" w:hAnsi="Arial Narrow"/>
          <w:color w:val="000000"/>
          <w:sz w:val="22"/>
          <w:szCs w:val="22"/>
        </w:rPr>
        <w:t xml:space="preserve">en </w:t>
      </w:r>
      <w:bookmarkStart w:id="4" w:name="_Hlk105403013"/>
      <w:r w:rsidRPr="00876603">
        <w:rPr>
          <w:rFonts w:ascii="Arial Narrow" w:eastAsia="Calibri" w:hAnsi="Arial Narrow"/>
          <w:color w:val="000000"/>
          <w:sz w:val="22"/>
          <w:szCs w:val="22"/>
        </w:rPr>
        <w:t xml:space="preserve">sesión </w:t>
      </w:r>
      <w:r w:rsidR="00FA4685" w:rsidRPr="00876603">
        <w:rPr>
          <w:rFonts w:ascii="Arial Narrow" w:eastAsia="Calibri" w:hAnsi="Arial Narrow"/>
          <w:color w:val="000000"/>
          <w:sz w:val="22"/>
          <w:szCs w:val="22"/>
        </w:rPr>
        <w:t xml:space="preserve">56-18 del 10 de diciembre del 2018, articulo XXIII </w:t>
      </w:r>
      <w:r w:rsidR="00103399" w:rsidRPr="00876603">
        <w:rPr>
          <w:rFonts w:ascii="Arial Narrow" w:eastAsia="Calibri" w:hAnsi="Arial Narrow"/>
          <w:color w:val="000000"/>
          <w:sz w:val="22"/>
          <w:szCs w:val="22"/>
        </w:rPr>
        <w:t>acordó</w:t>
      </w:r>
      <w:bookmarkEnd w:id="4"/>
      <w:r w:rsidR="00FA4685" w:rsidRPr="00876603">
        <w:rPr>
          <w:rFonts w:ascii="Arial Narrow" w:eastAsia="Calibri" w:hAnsi="Arial Narrow"/>
          <w:color w:val="000000"/>
          <w:sz w:val="22"/>
          <w:szCs w:val="22"/>
        </w:rPr>
        <w:t xml:space="preserve">: </w:t>
      </w:r>
    </w:p>
    <w:p w14:paraId="19594C38" w14:textId="77777777" w:rsidR="00DA143C" w:rsidRPr="00876603" w:rsidRDefault="00DA143C" w:rsidP="00704B08">
      <w:pPr>
        <w:spacing w:line="276" w:lineRule="auto"/>
        <w:jc w:val="both"/>
        <w:rPr>
          <w:rFonts w:ascii="Arial Narrow" w:eastAsia="Calibri" w:hAnsi="Arial Narrow"/>
          <w:color w:val="000000"/>
          <w:sz w:val="22"/>
          <w:szCs w:val="22"/>
        </w:rPr>
      </w:pPr>
    </w:p>
    <w:p w14:paraId="3AD7A3F7" w14:textId="36CB148D" w:rsidR="00FA4685" w:rsidRPr="00876603" w:rsidRDefault="00317FC1" w:rsidP="00CC279A">
      <w:pPr>
        <w:spacing w:line="276" w:lineRule="auto"/>
        <w:ind w:left="708"/>
        <w:jc w:val="both"/>
        <w:rPr>
          <w:rFonts w:ascii="Arial Narrow" w:eastAsia="Calibri" w:hAnsi="Arial Narrow"/>
          <w:i/>
          <w:iCs/>
          <w:color w:val="000000"/>
          <w:sz w:val="22"/>
          <w:szCs w:val="22"/>
        </w:rPr>
      </w:pPr>
      <w:r w:rsidRPr="00876603">
        <w:rPr>
          <w:rFonts w:ascii="Arial Narrow" w:eastAsia="Calibri" w:hAnsi="Arial Narrow"/>
          <w:i/>
          <w:iCs/>
          <w:color w:val="000000"/>
          <w:sz w:val="22"/>
          <w:szCs w:val="22"/>
        </w:rPr>
        <w:t>“</w:t>
      </w:r>
      <w:r w:rsidR="00FA4685" w:rsidRPr="00876603">
        <w:rPr>
          <w:rFonts w:ascii="Arial Narrow" w:eastAsia="Calibri" w:hAnsi="Arial Narrow"/>
          <w:i/>
          <w:iCs/>
          <w:color w:val="000000"/>
          <w:sz w:val="22"/>
          <w:szCs w:val="22"/>
        </w:rPr>
        <w:t xml:space="preserve">Tener por hecha la exposición de la licenciada Nacira Valverde Bermúdez, Directora de Planificación, sobre el Plan Estratégico Institucional 2019-2024. En ese sentido se acoge el </w:t>
      </w:r>
      <w:r w:rsidR="00652A12" w:rsidRPr="00876603">
        <w:rPr>
          <w:rFonts w:ascii="Arial Narrow" w:eastAsia="Calibri" w:hAnsi="Arial Narrow"/>
          <w:i/>
          <w:iCs/>
          <w:color w:val="000000"/>
          <w:sz w:val="22"/>
          <w:szCs w:val="22"/>
        </w:rPr>
        <w:t>informe 1463</w:t>
      </w:r>
      <w:r w:rsidR="00FA4685" w:rsidRPr="00876603">
        <w:rPr>
          <w:rFonts w:ascii="Arial Narrow" w:eastAsia="Calibri" w:hAnsi="Arial Narrow"/>
          <w:i/>
          <w:iCs/>
          <w:color w:val="000000"/>
          <w:sz w:val="22"/>
          <w:szCs w:val="22"/>
        </w:rPr>
        <w:t>-PLA-2018, Plan Estratégico Institucional 2019-2024, así como sus recomendaciones en los términos señalados</w:t>
      </w:r>
      <w:r w:rsidRPr="00876603">
        <w:rPr>
          <w:rFonts w:ascii="Arial Narrow" w:eastAsia="Calibri" w:hAnsi="Arial Narrow"/>
          <w:i/>
          <w:iCs/>
          <w:color w:val="000000"/>
          <w:sz w:val="22"/>
          <w:szCs w:val="22"/>
        </w:rPr>
        <w:t>.”</w:t>
      </w:r>
      <w:r w:rsidR="002809D8" w:rsidRPr="00876603">
        <w:rPr>
          <w:rFonts w:ascii="Arial Narrow" w:eastAsia="Calibri" w:hAnsi="Arial Narrow"/>
          <w:i/>
          <w:iCs/>
          <w:color w:val="000000"/>
          <w:sz w:val="22"/>
          <w:szCs w:val="22"/>
        </w:rPr>
        <w:t>.</w:t>
      </w:r>
    </w:p>
    <w:p w14:paraId="1F11DAD0" w14:textId="77777777" w:rsidR="00103399" w:rsidRPr="00876603" w:rsidRDefault="00103399" w:rsidP="00704B08">
      <w:pPr>
        <w:spacing w:line="276" w:lineRule="auto"/>
        <w:jc w:val="both"/>
        <w:rPr>
          <w:rFonts w:ascii="Arial Narrow" w:eastAsia="Calibri" w:hAnsi="Arial Narrow"/>
          <w:color w:val="000000"/>
          <w:sz w:val="22"/>
          <w:szCs w:val="22"/>
        </w:rPr>
      </w:pPr>
    </w:p>
    <w:p w14:paraId="1661B310" w14:textId="435A0392" w:rsidR="00DA143C" w:rsidRPr="00876603" w:rsidRDefault="00103399" w:rsidP="00704B08">
      <w:pPr>
        <w:spacing w:line="276" w:lineRule="auto"/>
        <w:jc w:val="both"/>
        <w:rPr>
          <w:rFonts w:ascii="Arial Narrow" w:eastAsia="Calibri" w:hAnsi="Arial Narrow"/>
          <w:color w:val="000000"/>
          <w:sz w:val="22"/>
          <w:szCs w:val="22"/>
        </w:rPr>
      </w:pPr>
      <w:r w:rsidRPr="00876603">
        <w:rPr>
          <w:rFonts w:ascii="Arial Narrow" w:eastAsia="Calibri" w:hAnsi="Arial Narrow"/>
          <w:color w:val="000000" w:themeColor="text1"/>
          <w:sz w:val="22"/>
          <w:szCs w:val="22"/>
        </w:rPr>
        <w:t>En sesión d</w:t>
      </w:r>
      <w:r w:rsidR="00FA4685" w:rsidRPr="00876603">
        <w:rPr>
          <w:rFonts w:ascii="Arial Narrow" w:eastAsia="Calibri" w:hAnsi="Arial Narrow"/>
          <w:color w:val="000000" w:themeColor="text1"/>
          <w:sz w:val="22"/>
          <w:szCs w:val="22"/>
        </w:rPr>
        <w:t>el</w:t>
      </w:r>
      <w:r w:rsidR="00EF7B77" w:rsidRPr="00876603">
        <w:rPr>
          <w:rFonts w:ascii="Arial Narrow" w:eastAsia="Calibri" w:hAnsi="Arial Narrow"/>
          <w:color w:val="000000" w:themeColor="text1"/>
          <w:sz w:val="22"/>
          <w:szCs w:val="22"/>
        </w:rPr>
        <w:t xml:space="preserve"> </w:t>
      </w:r>
      <w:r w:rsidR="008474F0" w:rsidRPr="00876603">
        <w:rPr>
          <w:rFonts w:ascii="Arial Narrow" w:eastAsia="Calibri" w:hAnsi="Arial Narrow"/>
          <w:color w:val="000000" w:themeColor="text1"/>
          <w:sz w:val="22"/>
          <w:szCs w:val="22"/>
        </w:rPr>
        <w:t xml:space="preserve">Consejo Superior, 9-19 del 5 de febrero del 2019 articulo XLVI, se acordó: </w:t>
      </w:r>
    </w:p>
    <w:p w14:paraId="71038793" w14:textId="77777777" w:rsidR="00DA143C" w:rsidRPr="00876603" w:rsidRDefault="00DA143C" w:rsidP="00704B08">
      <w:pPr>
        <w:spacing w:line="276" w:lineRule="auto"/>
        <w:jc w:val="both"/>
        <w:rPr>
          <w:rFonts w:ascii="Arial Narrow" w:eastAsia="Calibri" w:hAnsi="Arial Narrow"/>
          <w:color w:val="000000"/>
          <w:sz w:val="22"/>
          <w:szCs w:val="22"/>
        </w:rPr>
      </w:pPr>
    </w:p>
    <w:p w14:paraId="316E4A4A" w14:textId="30F0EC2D" w:rsidR="008474F0" w:rsidRPr="00876603" w:rsidRDefault="008474F0" w:rsidP="00CC279A">
      <w:pPr>
        <w:spacing w:line="276" w:lineRule="auto"/>
        <w:ind w:left="708"/>
        <w:jc w:val="both"/>
        <w:rPr>
          <w:rFonts w:ascii="Arial Narrow" w:eastAsia="Calibri" w:hAnsi="Arial Narrow"/>
          <w:color w:val="000000"/>
          <w:sz w:val="22"/>
          <w:szCs w:val="22"/>
        </w:rPr>
      </w:pPr>
      <w:r w:rsidRPr="00876603">
        <w:rPr>
          <w:rFonts w:ascii="Arial Narrow" w:eastAsia="Calibri" w:hAnsi="Arial Narrow"/>
          <w:i/>
          <w:iCs/>
          <w:color w:val="000000" w:themeColor="text1"/>
          <w:sz w:val="22"/>
          <w:szCs w:val="22"/>
        </w:rPr>
        <w:t>“Tomar nota del acuerdo de Corte Plena en sesión No. 56-18, articulo XXIII, referente al Plan Estratégico Institucional 2019-20</w:t>
      </w:r>
      <w:r w:rsidR="00771C1B" w:rsidRPr="00876603">
        <w:rPr>
          <w:rFonts w:ascii="Arial Narrow" w:eastAsia="Calibri" w:hAnsi="Arial Narrow"/>
          <w:i/>
          <w:iCs/>
          <w:color w:val="000000" w:themeColor="text1"/>
          <w:sz w:val="22"/>
          <w:szCs w:val="22"/>
        </w:rPr>
        <w:t>2</w:t>
      </w:r>
      <w:r w:rsidRPr="00876603">
        <w:rPr>
          <w:rFonts w:ascii="Arial Narrow" w:eastAsia="Calibri" w:hAnsi="Arial Narrow"/>
          <w:i/>
          <w:iCs/>
          <w:color w:val="000000" w:themeColor="text1"/>
          <w:sz w:val="22"/>
          <w:szCs w:val="22"/>
        </w:rPr>
        <w:t>4 y hacerlo de conocimiento del Ministerio Publico, la Defensa Pública y la Dirección General del Organismo de Investigación Judicial.”</w:t>
      </w:r>
      <w:r w:rsidR="002809D8" w:rsidRPr="00876603">
        <w:rPr>
          <w:rFonts w:ascii="Arial Narrow" w:eastAsia="Calibri" w:hAnsi="Arial Narrow"/>
          <w:i/>
          <w:iCs/>
          <w:color w:val="000000" w:themeColor="text1"/>
          <w:sz w:val="22"/>
          <w:szCs w:val="22"/>
        </w:rPr>
        <w:t>.</w:t>
      </w:r>
    </w:p>
    <w:p w14:paraId="20BBE01B" w14:textId="6E170052" w:rsidR="008474F0" w:rsidRPr="00876603" w:rsidRDefault="008474F0" w:rsidP="23E32668">
      <w:pPr>
        <w:spacing w:line="276" w:lineRule="auto"/>
        <w:ind w:left="708"/>
        <w:jc w:val="both"/>
        <w:rPr>
          <w:rFonts w:ascii="Arial Narrow" w:eastAsia="Calibri" w:hAnsi="Arial Narrow"/>
          <w:i/>
          <w:iCs/>
          <w:color w:val="000000" w:themeColor="text1"/>
          <w:sz w:val="22"/>
          <w:szCs w:val="22"/>
        </w:rPr>
      </w:pPr>
    </w:p>
    <w:p w14:paraId="5CCE7216" w14:textId="1DDD9356" w:rsidR="008474F0" w:rsidRPr="00876603" w:rsidRDefault="00103399" w:rsidP="23E32668">
      <w:pPr>
        <w:spacing w:line="276" w:lineRule="auto"/>
        <w:jc w:val="both"/>
        <w:rPr>
          <w:rFonts w:ascii="Arial Narrow" w:eastAsia="Calibri" w:hAnsi="Arial Narrow"/>
          <w:color w:val="000000"/>
          <w:sz w:val="22"/>
          <w:szCs w:val="22"/>
        </w:rPr>
      </w:pPr>
      <w:r w:rsidRPr="00876603">
        <w:rPr>
          <w:rFonts w:ascii="Arial Narrow" w:eastAsia="Calibri" w:hAnsi="Arial Narrow"/>
          <w:color w:val="000000" w:themeColor="text1"/>
          <w:sz w:val="22"/>
          <w:szCs w:val="22"/>
        </w:rPr>
        <w:t>Adicionalmente, en sesión d</w:t>
      </w:r>
      <w:r w:rsidR="00FA4685" w:rsidRPr="00876603">
        <w:rPr>
          <w:rFonts w:ascii="Arial Narrow" w:eastAsia="Calibri" w:hAnsi="Arial Narrow"/>
          <w:color w:val="000000" w:themeColor="text1"/>
          <w:sz w:val="22"/>
          <w:szCs w:val="22"/>
        </w:rPr>
        <w:t>el</w:t>
      </w:r>
      <w:r w:rsidR="00EF7B77" w:rsidRPr="00876603">
        <w:rPr>
          <w:rFonts w:ascii="Arial Narrow" w:eastAsia="Calibri" w:hAnsi="Arial Narrow"/>
          <w:color w:val="000000" w:themeColor="text1"/>
          <w:sz w:val="22"/>
          <w:szCs w:val="22"/>
        </w:rPr>
        <w:t xml:space="preserve"> </w:t>
      </w:r>
      <w:r w:rsidR="008474F0" w:rsidRPr="00876603">
        <w:rPr>
          <w:rFonts w:ascii="Arial Narrow" w:eastAsia="Calibri" w:hAnsi="Arial Narrow"/>
          <w:color w:val="000000" w:themeColor="text1"/>
          <w:sz w:val="22"/>
          <w:szCs w:val="22"/>
        </w:rPr>
        <w:t>Consejo Superior, 27-22 del 29 de marzo del 2022 articulo XXXII, se acordó:</w:t>
      </w:r>
    </w:p>
    <w:p w14:paraId="4B157661" w14:textId="07AF3475" w:rsidR="23E32668" w:rsidRPr="00876603" w:rsidRDefault="23E32668" w:rsidP="23E32668">
      <w:pPr>
        <w:spacing w:line="276" w:lineRule="auto"/>
        <w:jc w:val="both"/>
        <w:rPr>
          <w:rFonts w:ascii="Arial Narrow" w:eastAsia="Calibri" w:hAnsi="Arial Narrow"/>
          <w:color w:val="000000" w:themeColor="text1"/>
          <w:sz w:val="22"/>
          <w:szCs w:val="22"/>
        </w:rPr>
      </w:pPr>
    </w:p>
    <w:p w14:paraId="41471713" w14:textId="65AA0D3F" w:rsidR="23E32668" w:rsidRPr="00876603" w:rsidRDefault="23E32668" w:rsidP="00876603">
      <w:pPr>
        <w:spacing w:line="276" w:lineRule="auto"/>
        <w:ind w:left="708"/>
        <w:jc w:val="both"/>
        <w:rPr>
          <w:rFonts w:ascii="Arial Narrow" w:eastAsia="Calibri" w:hAnsi="Arial Narrow"/>
          <w:i/>
          <w:iCs/>
          <w:color w:val="000000" w:themeColor="text1"/>
          <w:sz w:val="22"/>
          <w:szCs w:val="22"/>
          <w:lang w:val="es-ES"/>
        </w:rPr>
      </w:pPr>
      <w:r w:rsidRPr="00876603">
        <w:rPr>
          <w:rFonts w:ascii="Arial Narrow" w:eastAsia="Calibri" w:hAnsi="Arial Narrow"/>
          <w:i/>
          <w:iCs/>
          <w:color w:val="000000" w:themeColor="text1"/>
          <w:sz w:val="22"/>
          <w:szCs w:val="22"/>
          <w:lang w:val="es-ES"/>
        </w:rPr>
        <w:t>“... 2.) Estar a la espera del informe del PEI Evaluación anual del año 2021, que actualmente el Subproceso de Evaluación se encuentra elaborando.”</w:t>
      </w:r>
    </w:p>
    <w:p w14:paraId="4756D947" w14:textId="62D40F71" w:rsidR="23E32668" w:rsidRPr="00876603" w:rsidRDefault="23E32668" w:rsidP="23E32668">
      <w:pPr>
        <w:spacing w:line="276" w:lineRule="auto"/>
        <w:jc w:val="both"/>
        <w:rPr>
          <w:rFonts w:ascii="Arial Narrow" w:eastAsia="Calibri" w:hAnsi="Arial Narrow"/>
          <w:color w:val="000000" w:themeColor="text1"/>
          <w:sz w:val="22"/>
          <w:szCs w:val="22"/>
        </w:rPr>
      </w:pPr>
    </w:p>
    <w:p w14:paraId="0EC7C4CF" w14:textId="77777777" w:rsidR="00EF7B77" w:rsidRPr="00876603" w:rsidRDefault="00EF7B77" w:rsidP="00704B08">
      <w:pPr>
        <w:spacing w:line="276" w:lineRule="auto"/>
        <w:jc w:val="both"/>
        <w:rPr>
          <w:rFonts w:ascii="Arial Narrow" w:hAnsi="Arial Narrow"/>
          <w:snapToGrid w:val="0"/>
          <w:color w:val="000000"/>
          <w:sz w:val="22"/>
          <w:szCs w:val="22"/>
        </w:rPr>
      </w:pPr>
      <w:bookmarkStart w:id="5" w:name="_Hlk52198045"/>
      <w:bookmarkEnd w:id="3"/>
      <w:r w:rsidRPr="00876603">
        <w:rPr>
          <w:rFonts w:ascii="Arial Narrow" w:hAnsi="Arial Narrow"/>
          <w:snapToGrid w:val="0"/>
          <w:color w:val="000000"/>
          <w:sz w:val="22"/>
          <w:szCs w:val="22"/>
        </w:rPr>
        <w:t>Atentamente,</w:t>
      </w:r>
    </w:p>
    <w:p w14:paraId="3BF87ADC" w14:textId="3EB907AF" w:rsidR="00652A12" w:rsidRPr="00876603" w:rsidRDefault="00652A12" w:rsidP="00704B08">
      <w:pPr>
        <w:spacing w:line="276" w:lineRule="auto"/>
        <w:jc w:val="both"/>
        <w:rPr>
          <w:rFonts w:ascii="Arial Narrow" w:hAnsi="Arial Narrow"/>
          <w:snapToGrid w:val="0"/>
          <w:color w:val="000000"/>
          <w:sz w:val="22"/>
          <w:szCs w:val="22"/>
        </w:rPr>
      </w:pPr>
    </w:p>
    <w:p w14:paraId="493062AB" w14:textId="399544F2" w:rsidR="00EF7B77" w:rsidRPr="00876603" w:rsidRDefault="00EF7B77" w:rsidP="00704B08">
      <w:pPr>
        <w:spacing w:line="276" w:lineRule="auto"/>
        <w:jc w:val="both"/>
        <w:rPr>
          <w:rFonts w:ascii="Arial Narrow" w:hAnsi="Arial Narrow"/>
          <w:snapToGrid w:val="0"/>
          <w:color w:val="000000"/>
          <w:sz w:val="22"/>
          <w:szCs w:val="22"/>
        </w:rPr>
      </w:pPr>
      <w:bookmarkStart w:id="6" w:name="_Hlk105403149"/>
      <w:r w:rsidRPr="00876603">
        <w:rPr>
          <w:rFonts w:ascii="Arial Narrow" w:hAnsi="Arial Narrow"/>
          <w:snapToGrid w:val="0"/>
          <w:color w:val="000000"/>
          <w:sz w:val="22"/>
          <w:szCs w:val="22"/>
        </w:rPr>
        <w:t>Ing</w:t>
      </w:r>
      <w:r w:rsidR="008A12A3">
        <w:rPr>
          <w:rFonts w:ascii="Arial Narrow" w:hAnsi="Arial Narrow"/>
          <w:snapToGrid w:val="0"/>
          <w:color w:val="000000"/>
          <w:sz w:val="22"/>
          <w:szCs w:val="22"/>
        </w:rPr>
        <w:t>a</w:t>
      </w:r>
      <w:r w:rsidRPr="00876603">
        <w:rPr>
          <w:rFonts w:ascii="Arial Narrow" w:hAnsi="Arial Narrow"/>
          <w:snapToGrid w:val="0"/>
          <w:color w:val="000000"/>
          <w:sz w:val="22"/>
          <w:szCs w:val="22"/>
        </w:rPr>
        <w:t>.</w:t>
      </w:r>
      <w:r w:rsidR="005A4F1A" w:rsidRPr="00876603">
        <w:rPr>
          <w:rFonts w:ascii="Arial Narrow" w:hAnsi="Arial Narrow"/>
          <w:snapToGrid w:val="0"/>
          <w:color w:val="000000"/>
          <w:sz w:val="22"/>
          <w:szCs w:val="22"/>
        </w:rPr>
        <w:t xml:space="preserve"> </w:t>
      </w:r>
      <w:r w:rsidR="005A4F1A" w:rsidRPr="00876603">
        <w:rPr>
          <w:rFonts w:ascii="Arial Narrow" w:hAnsi="Arial Narrow"/>
          <w:snapToGrid w:val="0"/>
          <w:color w:val="000000"/>
          <w:sz w:val="22"/>
          <w:szCs w:val="22"/>
          <w:lang w:val="es-CR"/>
        </w:rPr>
        <w:t>Elena Gabriela Picado González</w:t>
      </w:r>
      <w:r w:rsidR="004238D3" w:rsidRPr="00876603">
        <w:rPr>
          <w:rFonts w:ascii="Arial Narrow" w:hAnsi="Arial Narrow"/>
          <w:snapToGrid w:val="0"/>
          <w:color w:val="000000"/>
          <w:sz w:val="22"/>
          <w:szCs w:val="22"/>
          <w:lang w:val="es-CR"/>
        </w:rPr>
        <w:t>,</w:t>
      </w:r>
      <w:r w:rsidRPr="00876603">
        <w:rPr>
          <w:rFonts w:ascii="Arial Narrow" w:hAnsi="Arial Narrow"/>
          <w:snapToGrid w:val="0"/>
          <w:color w:val="000000"/>
          <w:sz w:val="22"/>
          <w:szCs w:val="22"/>
          <w:lang w:val="es-CR"/>
        </w:rPr>
        <w:t xml:space="preserve"> Jefe </w:t>
      </w:r>
      <w:r w:rsidR="002809D8" w:rsidRPr="00876603">
        <w:rPr>
          <w:rFonts w:ascii="Arial Narrow" w:hAnsi="Arial Narrow"/>
          <w:snapToGrid w:val="0"/>
          <w:color w:val="000000"/>
          <w:sz w:val="22"/>
          <w:szCs w:val="22"/>
          <w:lang w:val="es-CR"/>
        </w:rPr>
        <w:t>a.i.</w:t>
      </w:r>
    </w:p>
    <w:p w14:paraId="251612ED" w14:textId="3F142739" w:rsidR="00CB3DAB" w:rsidRDefault="004238D3">
      <w:pPr>
        <w:rPr>
          <w:rFonts w:ascii="Arial Narrow" w:hAnsi="Arial Narrow"/>
          <w:snapToGrid w:val="0"/>
          <w:color w:val="000000"/>
          <w:sz w:val="22"/>
          <w:szCs w:val="22"/>
        </w:rPr>
      </w:pPr>
      <w:r w:rsidRPr="00876603">
        <w:rPr>
          <w:rFonts w:ascii="Arial Narrow" w:hAnsi="Arial Narrow"/>
          <w:snapToGrid w:val="0"/>
          <w:color w:val="000000"/>
          <w:sz w:val="22"/>
          <w:szCs w:val="22"/>
        </w:rPr>
        <w:t>Subp</w:t>
      </w:r>
      <w:r w:rsidR="00B03202" w:rsidRPr="00876603">
        <w:rPr>
          <w:rFonts w:ascii="Arial Narrow" w:hAnsi="Arial Narrow"/>
          <w:snapToGrid w:val="0"/>
          <w:color w:val="000000"/>
          <w:sz w:val="22"/>
          <w:szCs w:val="22"/>
        </w:rPr>
        <w:t>roceso de Evaluació</w:t>
      </w:r>
      <w:bookmarkEnd w:id="5"/>
      <w:r w:rsidR="00F03026" w:rsidRPr="00876603">
        <w:rPr>
          <w:rFonts w:ascii="Arial Narrow" w:hAnsi="Arial Narrow"/>
          <w:snapToGrid w:val="0"/>
          <w:color w:val="000000"/>
          <w:sz w:val="22"/>
          <w:szCs w:val="22"/>
        </w:rPr>
        <w:t>n</w:t>
      </w:r>
      <w:bookmarkEnd w:id="6"/>
    </w:p>
    <w:p w14:paraId="03317E2B" w14:textId="2780923E" w:rsidR="00DF18F7" w:rsidRDefault="00DF18F7">
      <w:pPr>
        <w:rPr>
          <w:rFonts w:ascii="Arial Narrow" w:hAnsi="Arial Narrow"/>
          <w:snapToGrid w:val="0"/>
          <w:color w:val="000000"/>
          <w:sz w:val="22"/>
          <w:szCs w:val="22"/>
        </w:rPr>
      </w:pPr>
    </w:p>
    <w:p w14:paraId="0A772620" w14:textId="1F704FFE" w:rsidR="00DF18F7" w:rsidRDefault="00DF18F7">
      <w:pPr>
        <w:rPr>
          <w:rFonts w:ascii="Arial Narrow" w:hAnsi="Arial Narrow"/>
          <w:snapToGrid w:val="0"/>
          <w:color w:val="000000"/>
          <w:sz w:val="22"/>
          <w:szCs w:val="22"/>
        </w:rPr>
      </w:pPr>
    </w:p>
    <w:p w14:paraId="32B989C8" w14:textId="2B23683D" w:rsidR="00576CAD" w:rsidRDefault="00576CAD">
      <w:pPr>
        <w:rPr>
          <w:rFonts w:ascii="Arial Narrow" w:hAnsi="Arial Narrow"/>
          <w:snapToGrid w:val="0"/>
          <w:color w:val="000000"/>
          <w:sz w:val="22"/>
          <w:szCs w:val="22"/>
        </w:rPr>
      </w:pPr>
    </w:p>
    <w:p w14:paraId="0862B49F" w14:textId="2B04F83C" w:rsidR="00576CAD" w:rsidRDefault="00576CAD">
      <w:pPr>
        <w:rPr>
          <w:rFonts w:ascii="Arial Narrow" w:hAnsi="Arial Narrow"/>
          <w:snapToGrid w:val="0"/>
          <w:color w:val="000000"/>
          <w:sz w:val="22"/>
          <w:szCs w:val="22"/>
        </w:rPr>
      </w:pPr>
    </w:p>
    <w:p w14:paraId="78B3E272" w14:textId="77777777" w:rsidR="00576CAD" w:rsidRDefault="00576CAD">
      <w:pPr>
        <w:rPr>
          <w:rFonts w:ascii="Arial Narrow" w:hAnsi="Arial Narrow"/>
          <w:snapToGrid w:val="0"/>
          <w:color w:val="000000"/>
          <w:sz w:val="22"/>
          <w:szCs w:val="22"/>
        </w:rPr>
      </w:pPr>
    </w:p>
    <w:p w14:paraId="0CE9158E" w14:textId="7BCEBD27" w:rsidR="00DF18F7" w:rsidRDefault="00DF18F7">
      <w:pPr>
        <w:rPr>
          <w:rFonts w:ascii="Arial Narrow" w:hAnsi="Arial Narrow"/>
          <w:snapToGrid w:val="0"/>
          <w:color w:val="000000"/>
          <w:sz w:val="22"/>
          <w:szCs w:val="22"/>
        </w:rPr>
      </w:pPr>
    </w:p>
    <w:p w14:paraId="453B6D37" w14:textId="50400BE3" w:rsidR="00DF18F7" w:rsidRDefault="00DF18F7">
      <w:pPr>
        <w:rPr>
          <w:rFonts w:ascii="Arial Narrow" w:hAnsi="Arial Narrow"/>
          <w:snapToGrid w:val="0"/>
          <w:color w:val="000000"/>
          <w:sz w:val="22"/>
          <w:szCs w:val="22"/>
        </w:rPr>
      </w:pPr>
    </w:p>
    <w:p w14:paraId="4414F49B" w14:textId="77777777" w:rsidR="00DF18F7" w:rsidRPr="00876603" w:rsidRDefault="00DF18F7">
      <w:pPr>
        <w:rPr>
          <w:rFonts w:ascii="Arial Narrow" w:hAnsi="Arial Narrow"/>
          <w:snapToGrid w:val="0"/>
          <w:color w:val="000000"/>
          <w:sz w:val="22"/>
          <w:szCs w:val="22"/>
        </w:rPr>
      </w:pPr>
    </w:p>
    <w:p w14:paraId="202B5D5C" w14:textId="64364E30" w:rsidR="00F60F4B" w:rsidRPr="000174EC" w:rsidRDefault="00F60F4B" w:rsidP="000174EC">
      <w:pPr>
        <w:spacing w:line="360" w:lineRule="auto"/>
        <w:jc w:val="both"/>
        <w:rPr>
          <w:rFonts w:ascii="Arial Narrow" w:hAnsi="Arial Narrow"/>
          <w:snapToGrid w:val="0"/>
          <w:color w:val="000000"/>
        </w:rPr>
      </w:pPr>
      <w:r w:rsidRPr="003E44E4">
        <w:rPr>
          <w:rFonts w:ascii="Book Antiqua" w:hAnsi="Book Antiqua"/>
          <w:noProof/>
        </w:rPr>
        <w:drawing>
          <wp:anchor distT="0" distB="0" distL="114300" distR="114300" simplePos="0" relativeHeight="251658240" behindDoc="1" locked="0" layoutInCell="1" allowOverlap="1" wp14:anchorId="6353A1CD" wp14:editId="1A7317EE">
            <wp:simplePos x="0" y="0"/>
            <wp:positionH relativeFrom="margin">
              <wp:posOffset>-504825</wp:posOffset>
            </wp:positionH>
            <wp:positionV relativeFrom="paragraph">
              <wp:posOffset>200025</wp:posOffset>
            </wp:positionV>
            <wp:extent cx="4229100" cy="6949840"/>
            <wp:effectExtent l="0" t="0" r="0" b="381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4235308" cy="6960042"/>
                    </a:xfrm>
                    <a:prstGeom prst="rect">
                      <a:avLst/>
                    </a:prstGeom>
                  </pic:spPr>
                </pic:pic>
              </a:graphicData>
            </a:graphic>
            <wp14:sizeRelH relativeFrom="page">
              <wp14:pctWidth>0</wp14:pctWidth>
            </wp14:sizeRelH>
            <wp14:sizeRelV relativeFrom="page">
              <wp14:pctHeight>0</wp14:pctHeight>
            </wp14:sizeRelV>
          </wp:anchor>
        </w:drawing>
      </w:r>
    </w:p>
    <w:p w14:paraId="3AA94453" w14:textId="018729B4" w:rsidR="00F60F4B" w:rsidRDefault="00F60F4B" w:rsidP="00F60F4B">
      <w:pPr>
        <w:jc w:val="center"/>
        <w:rPr>
          <w:rFonts w:ascii="Book Antiqua" w:hAnsi="Book Antiqua" w:cstheme="majorHAnsi"/>
          <w:sz w:val="28"/>
          <w:szCs w:val="28"/>
          <w:lang w:val="en-US"/>
        </w:rPr>
      </w:pPr>
    </w:p>
    <w:p w14:paraId="395782BB" w14:textId="6D3F1D71" w:rsidR="00FD23CD" w:rsidRDefault="00FD23CD" w:rsidP="00F60F4B">
      <w:pPr>
        <w:jc w:val="center"/>
        <w:rPr>
          <w:rFonts w:ascii="Book Antiqua" w:hAnsi="Book Antiqua" w:cstheme="majorHAnsi"/>
          <w:sz w:val="28"/>
          <w:szCs w:val="28"/>
          <w:lang w:val="en-US"/>
        </w:rPr>
      </w:pPr>
    </w:p>
    <w:p w14:paraId="295977BB" w14:textId="77777777" w:rsidR="00FD23CD" w:rsidRPr="00F60F4B" w:rsidRDefault="00FD23CD" w:rsidP="00F60F4B">
      <w:pPr>
        <w:jc w:val="center"/>
        <w:rPr>
          <w:rFonts w:ascii="Book Antiqua" w:hAnsi="Book Antiqua" w:cstheme="majorHAnsi"/>
          <w:sz w:val="28"/>
          <w:szCs w:val="28"/>
          <w:lang w:val="en-US"/>
        </w:rPr>
      </w:pPr>
    </w:p>
    <w:p w14:paraId="0AAEFCF2" w14:textId="77777777" w:rsidR="00F60F4B" w:rsidRPr="00F60F4B" w:rsidRDefault="00F60F4B" w:rsidP="00F60F4B">
      <w:pPr>
        <w:jc w:val="center"/>
        <w:rPr>
          <w:rFonts w:ascii="Arial Narrow" w:hAnsi="Arial Narrow" w:cstheme="majorHAnsi"/>
          <w:sz w:val="28"/>
          <w:szCs w:val="28"/>
          <w:lang w:val="en-US"/>
        </w:rPr>
      </w:pPr>
    </w:p>
    <w:p w14:paraId="762A8CC1" w14:textId="77777777" w:rsidR="00F60F4B" w:rsidRPr="00F60F4B" w:rsidRDefault="00F60F4B" w:rsidP="00F60F4B">
      <w:pPr>
        <w:ind w:left="992" w:right="301" w:firstLine="424"/>
        <w:jc w:val="center"/>
        <w:rPr>
          <w:rFonts w:ascii="Arial Narrow" w:hAnsi="Arial Narrow" w:cstheme="majorHAnsi"/>
          <w:b/>
          <w:color w:val="0070C0"/>
          <w:sz w:val="28"/>
          <w:szCs w:val="28"/>
        </w:rPr>
      </w:pPr>
      <w:r w:rsidRPr="00F60F4B">
        <w:rPr>
          <w:rFonts w:ascii="Arial Narrow" w:hAnsi="Arial Narrow" w:cstheme="majorHAnsi"/>
          <w:b/>
          <w:color w:val="0070C0"/>
          <w:sz w:val="28"/>
          <w:szCs w:val="28"/>
        </w:rPr>
        <w:t>Dirección de Planificación</w:t>
      </w:r>
    </w:p>
    <w:p w14:paraId="5966B4D5" w14:textId="77777777" w:rsidR="00F60F4B" w:rsidRPr="00F60F4B" w:rsidRDefault="00F60F4B" w:rsidP="00F60F4B">
      <w:pPr>
        <w:ind w:left="992" w:right="301" w:firstLine="424"/>
        <w:jc w:val="center"/>
        <w:rPr>
          <w:rFonts w:ascii="Arial Narrow" w:hAnsi="Arial Narrow" w:cstheme="majorHAnsi"/>
          <w:b/>
          <w:color w:val="0070C0"/>
          <w:sz w:val="28"/>
          <w:szCs w:val="28"/>
        </w:rPr>
      </w:pPr>
      <w:r w:rsidRPr="00F60F4B">
        <w:rPr>
          <w:rFonts w:ascii="Arial Narrow" w:hAnsi="Arial Narrow" w:cstheme="majorHAnsi"/>
          <w:b/>
          <w:color w:val="0070C0"/>
          <w:sz w:val="28"/>
          <w:szCs w:val="28"/>
        </w:rPr>
        <w:t>Subproceso de Evaluación</w:t>
      </w:r>
    </w:p>
    <w:p w14:paraId="54343ECC" w14:textId="77777777" w:rsidR="00F60F4B" w:rsidRPr="00F60F4B" w:rsidRDefault="00F60F4B" w:rsidP="00F60F4B">
      <w:pPr>
        <w:ind w:left="284" w:right="301"/>
        <w:jc w:val="center"/>
        <w:rPr>
          <w:rFonts w:ascii="Arial Narrow" w:hAnsi="Arial Narrow" w:cstheme="majorHAnsi"/>
          <w:b/>
          <w:color w:val="0070C0"/>
          <w:sz w:val="28"/>
          <w:szCs w:val="28"/>
        </w:rPr>
      </w:pPr>
    </w:p>
    <w:p w14:paraId="7359F5C4" w14:textId="77777777" w:rsidR="00F60F4B" w:rsidRPr="00F60F4B" w:rsidRDefault="00F60F4B" w:rsidP="00F60F4B">
      <w:pPr>
        <w:ind w:left="284" w:right="301"/>
        <w:jc w:val="center"/>
        <w:rPr>
          <w:rFonts w:ascii="Arial Narrow" w:hAnsi="Arial Narrow" w:cstheme="majorHAnsi"/>
          <w:b/>
          <w:color w:val="0070C0"/>
          <w:sz w:val="28"/>
          <w:szCs w:val="28"/>
        </w:rPr>
      </w:pPr>
    </w:p>
    <w:p w14:paraId="0A68042B" w14:textId="533AB0B2" w:rsidR="00F60F4B" w:rsidRPr="00F60F4B" w:rsidRDefault="00F60F4B" w:rsidP="00F60F4B">
      <w:pPr>
        <w:ind w:left="1884" w:right="301"/>
        <w:jc w:val="center"/>
        <w:rPr>
          <w:rFonts w:ascii="Arial Narrow" w:hAnsi="Arial Narrow" w:cstheme="majorHAnsi"/>
          <w:b/>
          <w:iCs/>
          <w:color w:val="0070C0"/>
          <w:sz w:val="28"/>
          <w:szCs w:val="28"/>
        </w:rPr>
      </w:pPr>
      <w:r w:rsidRPr="00F60F4B">
        <w:rPr>
          <w:rFonts w:ascii="Arial Narrow" w:hAnsi="Arial Narrow" w:cstheme="majorHAnsi"/>
          <w:b/>
          <w:iCs/>
          <w:color w:val="0070C0"/>
          <w:sz w:val="28"/>
          <w:szCs w:val="28"/>
        </w:rPr>
        <w:t xml:space="preserve">Evaluación al Plan Estratégico Institucional </w:t>
      </w:r>
      <w:r>
        <w:rPr>
          <w:rFonts w:ascii="Arial Narrow" w:hAnsi="Arial Narrow" w:cstheme="majorHAnsi"/>
          <w:b/>
          <w:iCs/>
          <w:color w:val="0070C0"/>
          <w:sz w:val="28"/>
          <w:szCs w:val="28"/>
        </w:rPr>
        <w:t>para el año 2021</w:t>
      </w:r>
    </w:p>
    <w:p w14:paraId="5374A78F" w14:textId="77777777" w:rsidR="00F60F4B" w:rsidRPr="00F60F4B" w:rsidRDefault="00F60F4B" w:rsidP="00F60F4B">
      <w:pPr>
        <w:ind w:left="284" w:right="301"/>
        <w:jc w:val="right"/>
        <w:rPr>
          <w:rFonts w:ascii="Arial Narrow" w:hAnsi="Arial Narrow" w:cstheme="majorHAnsi"/>
          <w:b/>
          <w:color w:val="1F4E79" w:themeColor="accent5" w:themeShade="80"/>
        </w:rPr>
      </w:pPr>
    </w:p>
    <w:p w14:paraId="3D4CECCB" w14:textId="77777777" w:rsidR="00F60F4B" w:rsidRPr="00F60F4B" w:rsidRDefault="00F60F4B" w:rsidP="00F60F4B">
      <w:pPr>
        <w:ind w:left="284" w:right="301"/>
        <w:jc w:val="center"/>
        <w:rPr>
          <w:rFonts w:ascii="Arial Narrow" w:hAnsi="Arial Narrow" w:cstheme="majorHAnsi"/>
          <w:b/>
          <w:color w:val="1F4E79" w:themeColor="accent5" w:themeShade="80"/>
        </w:rPr>
      </w:pPr>
      <w:r w:rsidRPr="00F60F4B">
        <w:rPr>
          <w:rFonts w:ascii="Arial Narrow" w:hAnsi="Arial Narrow" w:cstheme="majorHAnsi"/>
          <w:b/>
          <w:color w:val="1F4E79" w:themeColor="accent5" w:themeShade="80"/>
        </w:rPr>
        <w:t xml:space="preserve">                   </w:t>
      </w:r>
      <w:r w:rsidRPr="00F60F4B">
        <w:rPr>
          <w:rFonts w:ascii="Arial Narrow" w:hAnsi="Arial Narrow"/>
          <w:noProof/>
          <w:lang w:val="en-US"/>
        </w:rPr>
        <w:drawing>
          <wp:inline distT="0" distB="0" distL="0" distR="0" wp14:anchorId="4C69D2DD" wp14:editId="12CB341E">
            <wp:extent cx="673100" cy="879366"/>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75676" cy="882731"/>
                    </a:xfrm>
                    <a:prstGeom prst="rect">
                      <a:avLst/>
                    </a:prstGeom>
                    <a:noFill/>
                  </pic:spPr>
                </pic:pic>
              </a:graphicData>
            </a:graphic>
          </wp:inline>
        </w:drawing>
      </w:r>
    </w:p>
    <w:p w14:paraId="4B250B66" w14:textId="77777777" w:rsidR="00F60F4B" w:rsidRPr="00F60F4B" w:rsidRDefault="00F60F4B" w:rsidP="00F60F4B">
      <w:pPr>
        <w:ind w:left="284" w:right="301"/>
        <w:jc w:val="right"/>
        <w:rPr>
          <w:rFonts w:ascii="Arial Narrow" w:hAnsi="Arial Narrow" w:cstheme="majorHAnsi"/>
          <w:b/>
          <w:color w:val="1F4E79" w:themeColor="accent5" w:themeShade="80"/>
        </w:rPr>
      </w:pPr>
    </w:p>
    <w:p w14:paraId="67333838" w14:textId="77777777" w:rsidR="00F60F4B" w:rsidRPr="00F60F4B" w:rsidRDefault="00F60F4B" w:rsidP="00F60F4B">
      <w:pPr>
        <w:ind w:right="301"/>
        <w:rPr>
          <w:rFonts w:ascii="Arial Narrow" w:hAnsi="Arial Narrow" w:cstheme="majorHAnsi"/>
          <w:b/>
          <w:color w:val="1F4E79" w:themeColor="accent5" w:themeShade="80"/>
          <w:sz w:val="28"/>
          <w:szCs w:val="28"/>
        </w:rPr>
      </w:pPr>
    </w:p>
    <w:p w14:paraId="3300B953" w14:textId="5A758CB3" w:rsidR="00F60F4B" w:rsidRPr="00F60F4B" w:rsidRDefault="00F60F4B" w:rsidP="00F60F4B">
      <w:pPr>
        <w:tabs>
          <w:tab w:val="left" w:pos="6200"/>
        </w:tabs>
        <w:jc w:val="center"/>
        <w:rPr>
          <w:rFonts w:ascii="Arial Narrow" w:hAnsi="Arial Narrow" w:cstheme="majorHAnsi"/>
          <w:color w:val="1F4E79" w:themeColor="accent5" w:themeShade="80"/>
          <w:sz w:val="28"/>
          <w:szCs w:val="28"/>
        </w:rPr>
      </w:pPr>
      <w:r w:rsidRPr="00F60F4B">
        <w:rPr>
          <w:rFonts w:ascii="Arial Narrow" w:hAnsi="Arial Narrow" w:cstheme="majorHAnsi"/>
          <w:b/>
          <w:color w:val="1F4E79" w:themeColor="accent5" w:themeShade="80"/>
          <w:sz w:val="28"/>
          <w:szCs w:val="28"/>
        </w:rPr>
        <w:t xml:space="preserve">               </w:t>
      </w:r>
      <w:r w:rsidRPr="00F60F4B">
        <w:rPr>
          <w:rFonts w:ascii="Arial Narrow" w:hAnsi="Arial Narrow" w:cstheme="majorHAnsi"/>
          <w:b/>
          <w:color w:val="0070C0"/>
          <w:sz w:val="28"/>
          <w:szCs w:val="28"/>
        </w:rPr>
        <w:t xml:space="preserve"> </w:t>
      </w:r>
    </w:p>
    <w:p w14:paraId="3DD27E18" w14:textId="77777777" w:rsidR="00F60F4B" w:rsidRPr="00F60F4B" w:rsidRDefault="00F60F4B" w:rsidP="00F60F4B">
      <w:pPr>
        <w:jc w:val="center"/>
        <w:rPr>
          <w:rFonts w:ascii="Arial Narrow" w:hAnsi="Arial Narrow"/>
          <w:lang w:val="en-US"/>
        </w:rPr>
      </w:pPr>
      <w:r w:rsidRPr="00F60F4B">
        <w:rPr>
          <w:rFonts w:ascii="Arial Narrow" w:hAnsi="Arial Narrow"/>
          <w:lang w:val="en-US"/>
        </w:rPr>
        <w:t xml:space="preserve">                                                                                                                                                                            </w:t>
      </w:r>
    </w:p>
    <w:p w14:paraId="4F3C297F" w14:textId="77777777" w:rsidR="00F60F4B" w:rsidRPr="003E44E4" w:rsidRDefault="00F60F4B" w:rsidP="00F60F4B">
      <w:pPr>
        <w:jc w:val="center"/>
        <w:rPr>
          <w:rFonts w:ascii="Book Antiqua" w:hAnsi="Book Antiqua"/>
          <w:lang w:val="en-US"/>
        </w:rPr>
      </w:pPr>
      <w:r w:rsidRPr="003E44E4">
        <w:rPr>
          <w:rFonts w:ascii="Book Antiqua" w:hAnsi="Book Antiqua"/>
          <w:lang w:val="en-US"/>
        </w:rPr>
        <w:t xml:space="preserve">                                                 </w:t>
      </w:r>
    </w:p>
    <w:p w14:paraId="5210D19D" w14:textId="77777777" w:rsidR="00F60F4B" w:rsidRPr="003E44E4" w:rsidRDefault="00F60F4B" w:rsidP="00F60F4B">
      <w:pPr>
        <w:jc w:val="center"/>
        <w:rPr>
          <w:rFonts w:ascii="Book Antiqua" w:hAnsi="Book Antiqua"/>
          <w:lang w:val="en-US"/>
        </w:rPr>
      </w:pPr>
    </w:p>
    <w:p w14:paraId="6A466420" w14:textId="77777777" w:rsidR="00F60F4B" w:rsidRPr="003E44E4" w:rsidRDefault="00F60F4B" w:rsidP="00F60F4B">
      <w:pPr>
        <w:jc w:val="right"/>
        <w:rPr>
          <w:rFonts w:ascii="Book Antiqua" w:hAnsi="Book Antiqua"/>
          <w:lang w:val="en-US"/>
        </w:rPr>
      </w:pPr>
      <w:r w:rsidRPr="003E44E4">
        <w:rPr>
          <w:rFonts w:ascii="Book Antiqua" w:hAnsi="Book Antiqua"/>
          <w:lang w:val="en-US"/>
        </w:rPr>
        <w:t xml:space="preserve">  </w:t>
      </w:r>
      <w:r w:rsidRPr="003E44E4">
        <w:rPr>
          <w:rFonts w:ascii="Book Antiqua" w:hAnsi="Book Antiqua"/>
          <w:lang w:val="en-US"/>
        </w:rPr>
        <w:tab/>
      </w:r>
      <w:r w:rsidRPr="003E44E4">
        <w:rPr>
          <w:rFonts w:ascii="Book Antiqua" w:hAnsi="Book Antiqua"/>
          <w:lang w:val="en-US"/>
        </w:rPr>
        <w:tab/>
        <w:t xml:space="preserve">       </w:t>
      </w:r>
    </w:p>
    <w:p w14:paraId="297C15A4" w14:textId="77777777" w:rsidR="00F60F4B" w:rsidRPr="003E44E4" w:rsidRDefault="00F60F4B" w:rsidP="00F60F4B">
      <w:pPr>
        <w:jc w:val="right"/>
        <w:rPr>
          <w:rFonts w:ascii="Book Antiqua" w:hAnsi="Book Antiqua"/>
          <w:lang w:val="en-US"/>
        </w:rPr>
      </w:pPr>
      <w:r w:rsidRPr="003E44E4">
        <w:rPr>
          <w:rFonts w:ascii="Book Antiqua" w:hAnsi="Book Antiqua"/>
          <w:lang w:val="en-US"/>
        </w:rPr>
        <w:t xml:space="preserve">                                                                </w:t>
      </w:r>
    </w:p>
    <w:p w14:paraId="1856EB47" w14:textId="77777777" w:rsidR="00F60F4B" w:rsidRPr="003E44E4" w:rsidRDefault="00F60F4B" w:rsidP="00F60F4B">
      <w:pPr>
        <w:jc w:val="center"/>
        <w:rPr>
          <w:rFonts w:ascii="Book Antiqua" w:hAnsi="Book Antiqua"/>
          <w:lang w:val="en-US"/>
        </w:rPr>
      </w:pPr>
    </w:p>
    <w:p w14:paraId="598CCD32" w14:textId="77777777" w:rsidR="00F60F4B" w:rsidRPr="003E44E4" w:rsidRDefault="00F60F4B" w:rsidP="00F60F4B">
      <w:pPr>
        <w:jc w:val="center"/>
        <w:rPr>
          <w:rFonts w:ascii="Book Antiqua" w:hAnsi="Book Antiqua"/>
          <w:lang w:val="en-US"/>
        </w:rPr>
      </w:pPr>
    </w:p>
    <w:p w14:paraId="09A8DF2B" w14:textId="77777777" w:rsidR="00F60F4B" w:rsidRPr="003E44E4" w:rsidRDefault="00F60F4B" w:rsidP="00F60F4B">
      <w:pPr>
        <w:rPr>
          <w:rFonts w:ascii="Book Antiqua" w:hAnsi="Book Antiqua"/>
          <w:lang w:val="en-US"/>
        </w:rPr>
      </w:pPr>
    </w:p>
    <w:p w14:paraId="2E862C98" w14:textId="77777777" w:rsidR="00F60F4B" w:rsidRPr="003E44E4" w:rsidRDefault="00F60F4B" w:rsidP="00F60F4B">
      <w:pPr>
        <w:jc w:val="center"/>
        <w:rPr>
          <w:rFonts w:ascii="Book Antiqua" w:hAnsi="Book Antiqua"/>
          <w:lang w:val="en-US"/>
        </w:rPr>
      </w:pPr>
    </w:p>
    <w:p w14:paraId="6C6990FE" w14:textId="77777777" w:rsidR="00F60F4B" w:rsidRPr="003E44E4" w:rsidRDefault="00F60F4B" w:rsidP="00F60F4B">
      <w:pPr>
        <w:jc w:val="center"/>
        <w:rPr>
          <w:rFonts w:ascii="Book Antiqua" w:hAnsi="Book Antiqua"/>
          <w:lang w:val="en-US"/>
        </w:rPr>
      </w:pPr>
    </w:p>
    <w:p w14:paraId="28EC4EF2" w14:textId="77777777" w:rsidR="00F60F4B" w:rsidRPr="003E44E4" w:rsidRDefault="00F60F4B" w:rsidP="00F60F4B">
      <w:pPr>
        <w:jc w:val="right"/>
        <w:rPr>
          <w:rFonts w:ascii="Book Antiqua" w:hAnsi="Book Antiqua"/>
          <w:lang w:val="en-US"/>
        </w:rPr>
      </w:pPr>
    </w:p>
    <w:p w14:paraId="0C9D5855" w14:textId="77777777" w:rsidR="00F60F4B" w:rsidRPr="003E44E4" w:rsidRDefault="00F60F4B" w:rsidP="00F60F4B">
      <w:pPr>
        <w:jc w:val="center"/>
        <w:rPr>
          <w:rFonts w:ascii="Book Antiqua" w:hAnsi="Book Antiqua"/>
          <w:lang w:val="en-US"/>
        </w:rPr>
      </w:pPr>
    </w:p>
    <w:p w14:paraId="0B52741F" w14:textId="77777777" w:rsidR="00F60F4B" w:rsidRPr="003E44E4" w:rsidRDefault="00F60F4B" w:rsidP="00F60F4B">
      <w:pPr>
        <w:jc w:val="center"/>
        <w:rPr>
          <w:rFonts w:ascii="Book Antiqua" w:hAnsi="Book Antiqua"/>
          <w:lang w:val="en-US"/>
        </w:rPr>
      </w:pPr>
    </w:p>
    <w:p w14:paraId="753D886C" w14:textId="77777777" w:rsidR="00F60F4B" w:rsidRPr="003E44E4" w:rsidRDefault="00F60F4B" w:rsidP="00F60F4B">
      <w:pPr>
        <w:jc w:val="center"/>
        <w:rPr>
          <w:rFonts w:ascii="Book Antiqua" w:hAnsi="Book Antiqua"/>
          <w:lang w:val="en-US"/>
        </w:rPr>
      </w:pPr>
      <w:r>
        <w:rPr>
          <w:rFonts w:ascii="Book Antiqua" w:hAnsi="Book Antiqua"/>
          <w:noProof/>
          <w:lang w:val="en-US"/>
        </w:rPr>
        <mc:AlternateContent>
          <mc:Choice Requires="wps">
            <w:drawing>
              <wp:anchor distT="0" distB="0" distL="114300" distR="114300" simplePos="0" relativeHeight="251658241" behindDoc="0" locked="0" layoutInCell="1" allowOverlap="1" wp14:anchorId="189B0F7C" wp14:editId="0FADBE73">
                <wp:simplePos x="0" y="0"/>
                <wp:positionH relativeFrom="column">
                  <wp:posOffset>4165600</wp:posOffset>
                </wp:positionH>
                <wp:positionV relativeFrom="paragraph">
                  <wp:posOffset>67945</wp:posOffset>
                </wp:positionV>
                <wp:extent cx="1905000" cy="914400"/>
                <wp:effectExtent l="0" t="0" r="0" b="0"/>
                <wp:wrapNone/>
                <wp:docPr id="8" name="Rectángulo 8"/>
                <wp:cNvGraphicFramePr/>
                <a:graphic xmlns:a="http://schemas.openxmlformats.org/drawingml/2006/main">
                  <a:graphicData uri="http://schemas.microsoft.com/office/word/2010/wordprocessingShape">
                    <wps:wsp>
                      <wps:cNvSpPr/>
                      <wps:spPr>
                        <a:xfrm>
                          <a:off x="0" y="0"/>
                          <a:ext cx="1905000" cy="914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sk="http://schemas.microsoft.com/office/drawing/2018/sketchyshapes" xmlns:a16="http://schemas.microsoft.com/office/drawing/2014/main" xmlns:a14="http://schemas.microsoft.com/office/drawing/2010/main" xmlns:pic="http://schemas.openxmlformats.org/drawingml/2006/picture" xmlns:a="http://schemas.openxmlformats.org/drawingml/2006/main">
            <w:pict w14:anchorId="17F532DF">
              <v:rect id="Rectángulo 8" style="position:absolute;margin-left:328pt;margin-top:5.35pt;width:150pt;height:1in;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color="white [3212]" stroked="f" strokeweight="1pt" w14:anchorId="6B1D0DE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"/>
            </w:pict>
          </mc:Fallback>
        </mc:AlternateContent>
      </w:r>
    </w:p>
    <w:p w14:paraId="54A79C28" w14:textId="77777777" w:rsidR="00F60F4B" w:rsidRPr="003E44E4" w:rsidRDefault="00F60F4B" w:rsidP="00F60F4B">
      <w:pPr>
        <w:jc w:val="center"/>
        <w:rPr>
          <w:rFonts w:ascii="Book Antiqua" w:hAnsi="Book Antiqua"/>
          <w:lang w:val="en-US"/>
        </w:rPr>
      </w:pPr>
    </w:p>
    <w:p w14:paraId="3D1E8D5D" w14:textId="77777777" w:rsidR="00F60F4B" w:rsidRPr="003E44E4" w:rsidRDefault="00F60F4B" w:rsidP="00F60F4B">
      <w:pPr>
        <w:jc w:val="center"/>
        <w:rPr>
          <w:rFonts w:ascii="Book Antiqua" w:hAnsi="Book Antiqua"/>
          <w:lang w:val="en-US"/>
        </w:rPr>
      </w:pPr>
    </w:p>
    <w:p w14:paraId="5821F2AA" w14:textId="77777777" w:rsidR="00F60F4B" w:rsidRPr="003E44E4" w:rsidRDefault="00F60F4B" w:rsidP="00F60F4B">
      <w:pPr>
        <w:jc w:val="center"/>
        <w:rPr>
          <w:rFonts w:ascii="Book Antiqua" w:hAnsi="Book Antiqua"/>
          <w:lang w:val="en-US"/>
        </w:rPr>
      </w:pPr>
    </w:p>
    <w:p w14:paraId="29674158" w14:textId="77777777" w:rsidR="00F60F4B" w:rsidRPr="003E44E4" w:rsidRDefault="00F60F4B" w:rsidP="00F60F4B">
      <w:pPr>
        <w:jc w:val="center"/>
        <w:rPr>
          <w:rFonts w:ascii="Book Antiqua" w:hAnsi="Book Antiqua"/>
          <w:lang w:val="en-US"/>
        </w:rPr>
      </w:pPr>
    </w:p>
    <w:p w14:paraId="7942A1C9" w14:textId="77777777" w:rsidR="00F60F4B" w:rsidRPr="003E44E4" w:rsidRDefault="00F60F4B" w:rsidP="00F60F4B">
      <w:pPr>
        <w:rPr>
          <w:rFonts w:ascii="Book Antiqua" w:hAnsi="Book Antiqua"/>
          <w:lang w:val="en-US"/>
        </w:rPr>
      </w:pPr>
    </w:p>
    <w:sdt>
      <w:sdtPr>
        <w:id w:val="-1029945381"/>
        <w:docPartObj>
          <w:docPartGallery w:val="Table of Contents"/>
          <w:docPartUnique/>
        </w:docPartObj>
      </w:sdtPr>
      <w:sdtEndPr>
        <w:rPr>
          <w:rFonts w:ascii="Arial Narrow" w:hAnsi="Arial Narrow"/>
          <w:b/>
          <w:bCs/>
          <w:sz w:val="22"/>
          <w:szCs w:val="22"/>
        </w:rPr>
      </w:sdtEndPr>
      <w:sdtContent>
        <w:p w14:paraId="1F86A771" w14:textId="20DD3533" w:rsidR="005543E0" w:rsidRPr="00322D9B" w:rsidRDefault="005543E0" w:rsidP="00322D9B">
          <w:pPr>
            <w:rPr>
              <w:b/>
              <w:bCs/>
            </w:rPr>
          </w:pPr>
          <w:r w:rsidRPr="00322D9B">
            <w:rPr>
              <w:b/>
              <w:bCs/>
              <w:sz w:val="32"/>
              <w:szCs w:val="32"/>
            </w:rPr>
            <w:t>Tabla de contenido</w:t>
          </w:r>
        </w:p>
        <w:p w14:paraId="3047E610" w14:textId="5CB4C3D6" w:rsidR="00576CAD" w:rsidRDefault="005543E0" w:rsidP="00345B2C">
          <w:pPr>
            <w:pStyle w:val="TDC1"/>
            <w:rPr>
              <w:rFonts w:asciiTheme="minorHAnsi" w:eastAsiaTheme="minorEastAsia" w:hAnsiTheme="minorHAnsi" w:cstheme="minorBidi"/>
              <w:noProof/>
              <w:sz w:val="22"/>
              <w:szCs w:val="22"/>
              <w:lang w:val="es-CR" w:eastAsia="es-CR"/>
            </w:rPr>
          </w:pPr>
          <w:r w:rsidRPr="000174EC">
            <w:rPr>
              <w:rFonts w:ascii="Arial Narrow" w:hAnsi="Arial Narrow"/>
              <w:sz w:val="22"/>
              <w:szCs w:val="22"/>
            </w:rPr>
            <w:fldChar w:fldCharType="begin"/>
          </w:r>
          <w:r w:rsidRPr="000174EC">
            <w:rPr>
              <w:rFonts w:ascii="Arial Narrow" w:hAnsi="Arial Narrow"/>
              <w:sz w:val="22"/>
              <w:szCs w:val="22"/>
            </w:rPr>
            <w:instrText xml:space="preserve"> TOC \o "1-3" \h \z \u </w:instrText>
          </w:r>
          <w:r w:rsidRPr="000174EC">
            <w:rPr>
              <w:rFonts w:ascii="Arial Narrow" w:hAnsi="Arial Narrow"/>
              <w:sz w:val="22"/>
              <w:szCs w:val="22"/>
            </w:rPr>
            <w:fldChar w:fldCharType="separate"/>
          </w:r>
          <w:hyperlink w:anchor="_Toc106355259" w:history="1">
            <w:r w:rsidR="00576CAD" w:rsidRPr="006578D0">
              <w:rPr>
                <w:rStyle w:val="Hipervnculo"/>
                <w:noProof/>
              </w:rPr>
              <w:t>1.</w:t>
            </w:r>
            <w:r w:rsidR="00576CAD">
              <w:rPr>
                <w:rFonts w:asciiTheme="minorHAnsi" w:eastAsiaTheme="minorEastAsia" w:hAnsiTheme="minorHAnsi" w:cstheme="minorBidi"/>
                <w:noProof/>
                <w:sz w:val="22"/>
                <w:szCs w:val="22"/>
                <w:lang w:val="es-CR" w:eastAsia="es-CR"/>
              </w:rPr>
              <w:tab/>
            </w:r>
            <w:r w:rsidR="00576CAD" w:rsidRPr="006578D0">
              <w:rPr>
                <w:rStyle w:val="Hipervnculo"/>
                <w:noProof/>
              </w:rPr>
              <w:t>Introducción</w:t>
            </w:r>
            <w:r w:rsidR="00576CAD">
              <w:rPr>
                <w:noProof/>
                <w:webHidden/>
              </w:rPr>
              <w:tab/>
            </w:r>
            <w:r w:rsidR="00576CAD">
              <w:rPr>
                <w:noProof/>
                <w:webHidden/>
              </w:rPr>
              <w:fldChar w:fldCharType="begin"/>
            </w:r>
            <w:r w:rsidR="00576CAD">
              <w:rPr>
                <w:noProof/>
                <w:webHidden/>
              </w:rPr>
              <w:instrText xml:space="preserve"> PAGEREF _Toc106355259 \h </w:instrText>
            </w:r>
            <w:r w:rsidR="00576CAD">
              <w:rPr>
                <w:noProof/>
                <w:webHidden/>
              </w:rPr>
            </w:r>
            <w:r w:rsidR="00576CAD">
              <w:rPr>
                <w:noProof/>
                <w:webHidden/>
              </w:rPr>
              <w:fldChar w:fldCharType="separate"/>
            </w:r>
            <w:r w:rsidR="00681E75">
              <w:rPr>
                <w:noProof/>
                <w:webHidden/>
              </w:rPr>
              <w:t>12</w:t>
            </w:r>
            <w:r w:rsidR="00576CAD">
              <w:rPr>
                <w:noProof/>
                <w:webHidden/>
              </w:rPr>
              <w:fldChar w:fldCharType="end"/>
            </w:r>
          </w:hyperlink>
        </w:p>
        <w:p w14:paraId="5151C0B0" w14:textId="6079DCF4" w:rsidR="00576CAD" w:rsidRDefault="00940240" w:rsidP="00345B2C">
          <w:pPr>
            <w:pStyle w:val="TDC1"/>
            <w:rPr>
              <w:rFonts w:asciiTheme="minorHAnsi" w:eastAsiaTheme="minorEastAsia" w:hAnsiTheme="minorHAnsi" w:cstheme="minorBidi"/>
              <w:noProof/>
              <w:sz w:val="22"/>
              <w:szCs w:val="22"/>
              <w:lang w:val="es-CR" w:eastAsia="es-CR"/>
            </w:rPr>
          </w:pPr>
          <w:hyperlink w:anchor="_Toc106355260" w:history="1">
            <w:r w:rsidR="00576CAD" w:rsidRPr="006578D0">
              <w:rPr>
                <w:rStyle w:val="Hipervnculo"/>
                <w:noProof/>
              </w:rPr>
              <w:t>2.</w:t>
            </w:r>
            <w:r w:rsidR="00576CAD">
              <w:rPr>
                <w:rFonts w:asciiTheme="minorHAnsi" w:eastAsiaTheme="minorEastAsia" w:hAnsiTheme="minorHAnsi" w:cstheme="minorBidi"/>
                <w:noProof/>
                <w:sz w:val="22"/>
                <w:szCs w:val="22"/>
                <w:lang w:val="es-CR" w:eastAsia="es-CR"/>
              </w:rPr>
              <w:tab/>
            </w:r>
            <w:r w:rsidR="00576CAD" w:rsidRPr="006578D0">
              <w:rPr>
                <w:rStyle w:val="Hipervnculo"/>
                <w:noProof/>
              </w:rPr>
              <w:t>Resumen Ejecutivo</w:t>
            </w:r>
            <w:r w:rsidR="00576CAD">
              <w:rPr>
                <w:noProof/>
                <w:webHidden/>
              </w:rPr>
              <w:tab/>
            </w:r>
            <w:r w:rsidR="00576CAD">
              <w:rPr>
                <w:noProof/>
                <w:webHidden/>
              </w:rPr>
              <w:fldChar w:fldCharType="begin"/>
            </w:r>
            <w:r w:rsidR="00576CAD">
              <w:rPr>
                <w:noProof/>
                <w:webHidden/>
              </w:rPr>
              <w:instrText xml:space="preserve"> PAGEREF _Toc106355260 \h </w:instrText>
            </w:r>
            <w:r w:rsidR="00576CAD">
              <w:rPr>
                <w:noProof/>
                <w:webHidden/>
              </w:rPr>
            </w:r>
            <w:r w:rsidR="00576CAD">
              <w:rPr>
                <w:noProof/>
                <w:webHidden/>
              </w:rPr>
              <w:fldChar w:fldCharType="separate"/>
            </w:r>
            <w:r w:rsidR="00681E75">
              <w:rPr>
                <w:noProof/>
                <w:webHidden/>
              </w:rPr>
              <w:t>12</w:t>
            </w:r>
            <w:r w:rsidR="00576CAD">
              <w:rPr>
                <w:noProof/>
                <w:webHidden/>
              </w:rPr>
              <w:fldChar w:fldCharType="end"/>
            </w:r>
          </w:hyperlink>
        </w:p>
        <w:p w14:paraId="485A07B7" w14:textId="308054F9" w:rsidR="00576CAD" w:rsidRDefault="00940240" w:rsidP="00345B2C">
          <w:pPr>
            <w:pStyle w:val="TDC1"/>
            <w:rPr>
              <w:rFonts w:asciiTheme="minorHAnsi" w:eastAsiaTheme="minorEastAsia" w:hAnsiTheme="minorHAnsi" w:cstheme="minorBidi"/>
              <w:noProof/>
              <w:sz w:val="22"/>
              <w:szCs w:val="22"/>
              <w:lang w:val="es-CR" w:eastAsia="es-CR"/>
            </w:rPr>
          </w:pPr>
          <w:hyperlink w:anchor="_Toc106355261" w:history="1">
            <w:r w:rsidR="00576CAD" w:rsidRPr="006578D0">
              <w:rPr>
                <w:rStyle w:val="Hipervnculo"/>
                <w:noProof/>
              </w:rPr>
              <w:t>3.</w:t>
            </w:r>
            <w:r w:rsidR="00576CAD">
              <w:rPr>
                <w:rFonts w:asciiTheme="minorHAnsi" w:eastAsiaTheme="minorEastAsia" w:hAnsiTheme="minorHAnsi" w:cstheme="minorBidi"/>
                <w:noProof/>
                <w:sz w:val="22"/>
                <w:szCs w:val="22"/>
                <w:lang w:val="es-CR" w:eastAsia="es-CR"/>
              </w:rPr>
              <w:tab/>
            </w:r>
            <w:r w:rsidR="00576CAD" w:rsidRPr="006578D0">
              <w:rPr>
                <w:rStyle w:val="Hipervnculo"/>
                <w:noProof/>
              </w:rPr>
              <w:t>Descripción de proceso de la Evaluación del PEI 2021</w:t>
            </w:r>
            <w:r w:rsidR="00576CAD">
              <w:rPr>
                <w:noProof/>
                <w:webHidden/>
              </w:rPr>
              <w:tab/>
            </w:r>
            <w:r w:rsidR="00576CAD">
              <w:rPr>
                <w:noProof/>
                <w:webHidden/>
              </w:rPr>
              <w:fldChar w:fldCharType="begin"/>
            </w:r>
            <w:r w:rsidR="00576CAD">
              <w:rPr>
                <w:noProof/>
                <w:webHidden/>
              </w:rPr>
              <w:instrText xml:space="preserve"> PAGEREF _Toc106355261 \h </w:instrText>
            </w:r>
            <w:r w:rsidR="00576CAD">
              <w:rPr>
                <w:noProof/>
                <w:webHidden/>
              </w:rPr>
            </w:r>
            <w:r w:rsidR="00576CAD">
              <w:rPr>
                <w:noProof/>
                <w:webHidden/>
              </w:rPr>
              <w:fldChar w:fldCharType="separate"/>
            </w:r>
            <w:r w:rsidR="00681E75">
              <w:rPr>
                <w:noProof/>
                <w:webHidden/>
              </w:rPr>
              <w:t>15</w:t>
            </w:r>
            <w:r w:rsidR="00576CAD">
              <w:rPr>
                <w:noProof/>
                <w:webHidden/>
              </w:rPr>
              <w:fldChar w:fldCharType="end"/>
            </w:r>
          </w:hyperlink>
        </w:p>
        <w:p w14:paraId="40E6C0E9" w14:textId="6B1A44E3" w:rsidR="00576CAD" w:rsidRDefault="00940240" w:rsidP="00345B2C">
          <w:pPr>
            <w:pStyle w:val="TDC1"/>
            <w:rPr>
              <w:rFonts w:asciiTheme="minorHAnsi" w:eastAsiaTheme="minorEastAsia" w:hAnsiTheme="minorHAnsi" w:cstheme="minorBidi"/>
              <w:noProof/>
              <w:sz w:val="22"/>
              <w:szCs w:val="22"/>
              <w:lang w:val="es-CR" w:eastAsia="es-CR"/>
            </w:rPr>
          </w:pPr>
          <w:hyperlink w:anchor="_Toc106355262" w:history="1">
            <w:r w:rsidR="00576CAD" w:rsidRPr="006578D0">
              <w:rPr>
                <w:rStyle w:val="Hipervnculo"/>
                <w:noProof/>
              </w:rPr>
              <w:t>4.</w:t>
            </w:r>
            <w:r w:rsidR="00576CAD">
              <w:rPr>
                <w:rFonts w:asciiTheme="minorHAnsi" w:eastAsiaTheme="minorEastAsia" w:hAnsiTheme="minorHAnsi" w:cstheme="minorBidi"/>
                <w:noProof/>
                <w:sz w:val="22"/>
                <w:szCs w:val="22"/>
                <w:lang w:val="es-CR" w:eastAsia="es-CR"/>
              </w:rPr>
              <w:tab/>
            </w:r>
            <w:r w:rsidR="00576CAD" w:rsidRPr="006578D0">
              <w:rPr>
                <w:rStyle w:val="Hipervnculo"/>
                <w:noProof/>
              </w:rPr>
              <w:t>Alcance de la Evaluación</w:t>
            </w:r>
            <w:r w:rsidR="00576CAD">
              <w:rPr>
                <w:noProof/>
                <w:webHidden/>
              </w:rPr>
              <w:tab/>
            </w:r>
            <w:r w:rsidR="00576CAD">
              <w:rPr>
                <w:noProof/>
                <w:webHidden/>
              </w:rPr>
              <w:fldChar w:fldCharType="begin"/>
            </w:r>
            <w:r w:rsidR="00576CAD">
              <w:rPr>
                <w:noProof/>
                <w:webHidden/>
              </w:rPr>
              <w:instrText xml:space="preserve"> PAGEREF _Toc106355262 \h </w:instrText>
            </w:r>
            <w:r w:rsidR="00576CAD">
              <w:rPr>
                <w:noProof/>
                <w:webHidden/>
              </w:rPr>
            </w:r>
            <w:r w:rsidR="00576CAD">
              <w:rPr>
                <w:noProof/>
                <w:webHidden/>
              </w:rPr>
              <w:fldChar w:fldCharType="separate"/>
            </w:r>
            <w:r w:rsidR="00681E75">
              <w:rPr>
                <w:noProof/>
                <w:webHidden/>
              </w:rPr>
              <w:t>17</w:t>
            </w:r>
            <w:r w:rsidR="00576CAD">
              <w:rPr>
                <w:noProof/>
                <w:webHidden/>
              </w:rPr>
              <w:fldChar w:fldCharType="end"/>
            </w:r>
          </w:hyperlink>
        </w:p>
        <w:p w14:paraId="6F8384C8" w14:textId="2961FB03" w:rsidR="00576CAD" w:rsidRDefault="00940240" w:rsidP="00345B2C">
          <w:pPr>
            <w:pStyle w:val="TDC1"/>
            <w:rPr>
              <w:rFonts w:asciiTheme="minorHAnsi" w:eastAsiaTheme="minorEastAsia" w:hAnsiTheme="minorHAnsi" w:cstheme="minorBidi"/>
              <w:noProof/>
              <w:sz w:val="22"/>
              <w:szCs w:val="22"/>
              <w:lang w:val="es-CR" w:eastAsia="es-CR"/>
            </w:rPr>
          </w:pPr>
          <w:hyperlink w:anchor="_Toc106355263" w:history="1">
            <w:r w:rsidR="00576CAD" w:rsidRPr="006578D0">
              <w:rPr>
                <w:rStyle w:val="Hipervnculo"/>
                <w:noProof/>
              </w:rPr>
              <w:t>5.</w:t>
            </w:r>
            <w:r w:rsidR="00576CAD">
              <w:rPr>
                <w:rFonts w:asciiTheme="minorHAnsi" w:eastAsiaTheme="minorEastAsia" w:hAnsiTheme="minorHAnsi" w:cstheme="minorBidi"/>
                <w:noProof/>
                <w:sz w:val="22"/>
                <w:szCs w:val="22"/>
                <w:lang w:val="es-CR" w:eastAsia="es-CR"/>
              </w:rPr>
              <w:tab/>
            </w:r>
            <w:r w:rsidR="00576CAD" w:rsidRPr="006578D0">
              <w:rPr>
                <w:rStyle w:val="Hipervnculo"/>
                <w:noProof/>
              </w:rPr>
              <w:t>Antecedentes</w:t>
            </w:r>
            <w:r w:rsidR="00576CAD">
              <w:rPr>
                <w:noProof/>
                <w:webHidden/>
              </w:rPr>
              <w:tab/>
            </w:r>
            <w:r w:rsidR="00576CAD">
              <w:rPr>
                <w:noProof/>
                <w:webHidden/>
              </w:rPr>
              <w:fldChar w:fldCharType="begin"/>
            </w:r>
            <w:r w:rsidR="00576CAD">
              <w:rPr>
                <w:noProof/>
                <w:webHidden/>
              </w:rPr>
              <w:instrText xml:space="preserve"> PAGEREF _Toc106355263 \h </w:instrText>
            </w:r>
            <w:r w:rsidR="00576CAD">
              <w:rPr>
                <w:noProof/>
                <w:webHidden/>
              </w:rPr>
            </w:r>
            <w:r w:rsidR="00576CAD">
              <w:rPr>
                <w:noProof/>
                <w:webHidden/>
              </w:rPr>
              <w:fldChar w:fldCharType="separate"/>
            </w:r>
            <w:r w:rsidR="00681E75">
              <w:rPr>
                <w:noProof/>
                <w:webHidden/>
              </w:rPr>
              <w:t>20</w:t>
            </w:r>
            <w:r w:rsidR="00576CAD">
              <w:rPr>
                <w:noProof/>
                <w:webHidden/>
              </w:rPr>
              <w:fldChar w:fldCharType="end"/>
            </w:r>
          </w:hyperlink>
        </w:p>
        <w:p w14:paraId="2389DA34" w14:textId="017BCBC9" w:rsidR="00576CAD" w:rsidRDefault="00940240" w:rsidP="00345B2C">
          <w:pPr>
            <w:pStyle w:val="TDC1"/>
            <w:rPr>
              <w:rFonts w:asciiTheme="minorHAnsi" w:eastAsiaTheme="minorEastAsia" w:hAnsiTheme="minorHAnsi" w:cstheme="minorBidi"/>
              <w:noProof/>
              <w:sz w:val="22"/>
              <w:szCs w:val="22"/>
              <w:lang w:val="es-CR" w:eastAsia="es-CR"/>
            </w:rPr>
          </w:pPr>
          <w:hyperlink w:anchor="_Toc106355264" w:history="1">
            <w:r w:rsidR="00576CAD" w:rsidRPr="006578D0">
              <w:rPr>
                <w:rStyle w:val="Hipervnculo"/>
                <w:noProof/>
              </w:rPr>
              <w:t>6.</w:t>
            </w:r>
            <w:r w:rsidR="00576CAD">
              <w:rPr>
                <w:rFonts w:asciiTheme="minorHAnsi" w:eastAsiaTheme="minorEastAsia" w:hAnsiTheme="minorHAnsi" w:cstheme="minorBidi"/>
                <w:noProof/>
                <w:sz w:val="22"/>
                <w:szCs w:val="22"/>
                <w:lang w:val="es-CR" w:eastAsia="es-CR"/>
              </w:rPr>
              <w:tab/>
            </w:r>
            <w:r w:rsidR="00576CAD" w:rsidRPr="006578D0">
              <w:rPr>
                <w:rStyle w:val="Hipervnculo"/>
                <w:noProof/>
              </w:rPr>
              <w:t>Objetivo de la Evaluación</w:t>
            </w:r>
            <w:r w:rsidR="00576CAD">
              <w:rPr>
                <w:noProof/>
                <w:webHidden/>
              </w:rPr>
              <w:tab/>
            </w:r>
            <w:r w:rsidR="00576CAD">
              <w:rPr>
                <w:noProof/>
                <w:webHidden/>
              </w:rPr>
              <w:fldChar w:fldCharType="begin"/>
            </w:r>
            <w:r w:rsidR="00576CAD">
              <w:rPr>
                <w:noProof/>
                <w:webHidden/>
              </w:rPr>
              <w:instrText xml:space="preserve"> PAGEREF _Toc106355264 \h </w:instrText>
            </w:r>
            <w:r w:rsidR="00576CAD">
              <w:rPr>
                <w:noProof/>
                <w:webHidden/>
              </w:rPr>
            </w:r>
            <w:r w:rsidR="00576CAD">
              <w:rPr>
                <w:noProof/>
                <w:webHidden/>
              </w:rPr>
              <w:fldChar w:fldCharType="separate"/>
            </w:r>
            <w:r w:rsidR="00681E75">
              <w:rPr>
                <w:noProof/>
                <w:webHidden/>
              </w:rPr>
              <w:t>24</w:t>
            </w:r>
            <w:r w:rsidR="00576CAD">
              <w:rPr>
                <w:noProof/>
                <w:webHidden/>
              </w:rPr>
              <w:fldChar w:fldCharType="end"/>
            </w:r>
          </w:hyperlink>
        </w:p>
        <w:p w14:paraId="7A84C5F1" w14:textId="5631063C" w:rsidR="00576CAD" w:rsidRDefault="00940240" w:rsidP="00345B2C">
          <w:pPr>
            <w:pStyle w:val="TDC1"/>
            <w:rPr>
              <w:rFonts w:asciiTheme="minorHAnsi" w:eastAsiaTheme="minorEastAsia" w:hAnsiTheme="minorHAnsi" w:cstheme="minorBidi"/>
              <w:noProof/>
              <w:sz w:val="22"/>
              <w:szCs w:val="22"/>
              <w:lang w:val="es-CR" w:eastAsia="es-CR"/>
            </w:rPr>
          </w:pPr>
          <w:hyperlink w:anchor="_Toc106355265" w:history="1">
            <w:r w:rsidR="00576CAD" w:rsidRPr="006578D0">
              <w:rPr>
                <w:rStyle w:val="Hipervnculo"/>
                <w:noProof/>
              </w:rPr>
              <w:t>7.</w:t>
            </w:r>
            <w:r w:rsidR="00576CAD">
              <w:rPr>
                <w:rFonts w:asciiTheme="minorHAnsi" w:eastAsiaTheme="minorEastAsia" w:hAnsiTheme="minorHAnsi" w:cstheme="minorBidi"/>
                <w:noProof/>
                <w:sz w:val="22"/>
                <w:szCs w:val="22"/>
                <w:lang w:val="es-CR" w:eastAsia="es-CR"/>
              </w:rPr>
              <w:tab/>
            </w:r>
            <w:r w:rsidR="00576CAD" w:rsidRPr="006578D0">
              <w:rPr>
                <w:rStyle w:val="Hipervnculo"/>
                <w:noProof/>
              </w:rPr>
              <w:t>Resultados del Cumplimiento del Plan Estratégico Institucional del año 2021</w:t>
            </w:r>
            <w:r w:rsidR="00576CAD">
              <w:rPr>
                <w:noProof/>
                <w:webHidden/>
              </w:rPr>
              <w:tab/>
            </w:r>
            <w:r w:rsidR="00576CAD">
              <w:rPr>
                <w:noProof/>
                <w:webHidden/>
              </w:rPr>
              <w:fldChar w:fldCharType="begin"/>
            </w:r>
            <w:r w:rsidR="00576CAD">
              <w:rPr>
                <w:noProof/>
                <w:webHidden/>
              </w:rPr>
              <w:instrText xml:space="preserve"> PAGEREF _Toc106355265 \h </w:instrText>
            </w:r>
            <w:r w:rsidR="00576CAD">
              <w:rPr>
                <w:noProof/>
                <w:webHidden/>
              </w:rPr>
            </w:r>
            <w:r w:rsidR="00576CAD">
              <w:rPr>
                <w:noProof/>
                <w:webHidden/>
              </w:rPr>
              <w:fldChar w:fldCharType="separate"/>
            </w:r>
            <w:r w:rsidR="00681E75">
              <w:rPr>
                <w:noProof/>
                <w:webHidden/>
              </w:rPr>
              <w:t>24</w:t>
            </w:r>
            <w:r w:rsidR="00576CAD">
              <w:rPr>
                <w:noProof/>
                <w:webHidden/>
              </w:rPr>
              <w:fldChar w:fldCharType="end"/>
            </w:r>
          </w:hyperlink>
        </w:p>
        <w:p w14:paraId="52AAB293" w14:textId="0A2A37FE" w:rsidR="00576CAD" w:rsidRDefault="00940240">
          <w:pPr>
            <w:pStyle w:val="TDC2"/>
            <w:rPr>
              <w:rFonts w:asciiTheme="minorHAnsi" w:eastAsiaTheme="minorEastAsia" w:hAnsiTheme="minorHAnsi" w:cstheme="minorBidi"/>
              <w:noProof/>
              <w:sz w:val="22"/>
              <w:szCs w:val="22"/>
              <w:lang w:val="es-CR" w:eastAsia="es-CR"/>
            </w:rPr>
          </w:pPr>
          <w:hyperlink w:anchor="_Toc106355266" w:history="1">
            <w:r w:rsidR="00576CAD" w:rsidRPr="006578D0">
              <w:rPr>
                <w:rStyle w:val="Hipervnculo"/>
                <w:noProof/>
              </w:rPr>
              <w:t>7.1</w:t>
            </w:r>
            <w:r w:rsidR="00576CAD">
              <w:rPr>
                <w:rFonts w:asciiTheme="minorHAnsi" w:eastAsiaTheme="minorEastAsia" w:hAnsiTheme="minorHAnsi" w:cstheme="minorBidi"/>
                <w:noProof/>
                <w:sz w:val="22"/>
                <w:szCs w:val="22"/>
                <w:lang w:val="es-CR" w:eastAsia="es-CR"/>
              </w:rPr>
              <w:tab/>
            </w:r>
            <w:r w:rsidR="00576CAD" w:rsidRPr="006578D0">
              <w:rPr>
                <w:rStyle w:val="Hipervnculo"/>
                <w:noProof/>
              </w:rPr>
              <w:t>Tema estratégico: Resolución Oportuna de Conflictos</w:t>
            </w:r>
            <w:r w:rsidR="00576CAD">
              <w:rPr>
                <w:noProof/>
                <w:webHidden/>
              </w:rPr>
              <w:tab/>
            </w:r>
            <w:r w:rsidR="00576CAD">
              <w:rPr>
                <w:noProof/>
                <w:webHidden/>
              </w:rPr>
              <w:fldChar w:fldCharType="begin"/>
            </w:r>
            <w:r w:rsidR="00576CAD">
              <w:rPr>
                <w:noProof/>
                <w:webHidden/>
              </w:rPr>
              <w:instrText xml:space="preserve"> PAGEREF _Toc106355266 \h </w:instrText>
            </w:r>
            <w:r w:rsidR="00576CAD">
              <w:rPr>
                <w:noProof/>
                <w:webHidden/>
              </w:rPr>
            </w:r>
            <w:r w:rsidR="00576CAD">
              <w:rPr>
                <w:noProof/>
                <w:webHidden/>
              </w:rPr>
              <w:fldChar w:fldCharType="separate"/>
            </w:r>
            <w:r w:rsidR="00681E75">
              <w:rPr>
                <w:noProof/>
                <w:webHidden/>
              </w:rPr>
              <w:t>24</w:t>
            </w:r>
            <w:r w:rsidR="00576CAD">
              <w:rPr>
                <w:noProof/>
                <w:webHidden/>
              </w:rPr>
              <w:fldChar w:fldCharType="end"/>
            </w:r>
          </w:hyperlink>
        </w:p>
        <w:p w14:paraId="79918D56" w14:textId="3460BC85" w:rsidR="00576CAD" w:rsidRDefault="00940240">
          <w:pPr>
            <w:pStyle w:val="TDC3"/>
            <w:tabs>
              <w:tab w:val="left" w:pos="1320"/>
              <w:tab w:val="right" w:leader="dot" w:pos="9203"/>
            </w:tabs>
            <w:rPr>
              <w:rFonts w:asciiTheme="minorHAnsi" w:eastAsiaTheme="minorEastAsia" w:hAnsiTheme="minorHAnsi" w:cstheme="minorBidi"/>
              <w:noProof/>
              <w:sz w:val="22"/>
              <w:szCs w:val="22"/>
              <w:lang w:val="es-CR" w:eastAsia="es-CR"/>
            </w:rPr>
          </w:pPr>
          <w:hyperlink w:anchor="_Toc106355267" w:history="1">
            <w:r w:rsidR="00576CAD" w:rsidRPr="006578D0">
              <w:rPr>
                <w:rStyle w:val="Hipervnculo"/>
                <w:rFonts w:ascii="Arial Narrow" w:eastAsia="Calibri" w:hAnsi="Arial Narrow"/>
                <w:noProof/>
              </w:rPr>
              <w:t>7.1.1</w:t>
            </w:r>
            <w:r w:rsidR="00576CAD">
              <w:rPr>
                <w:rFonts w:asciiTheme="minorHAnsi" w:eastAsiaTheme="minorEastAsia" w:hAnsiTheme="minorHAnsi" w:cstheme="minorBidi"/>
                <w:noProof/>
                <w:sz w:val="22"/>
                <w:szCs w:val="22"/>
                <w:lang w:val="es-CR" w:eastAsia="es-CR"/>
              </w:rPr>
              <w:tab/>
            </w:r>
            <w:r w:rsidR="00576CAD" w:rsidRPr="006578D0">
              <w:rPr>
                <w:rStyle w:val="Hipervnculo"/>
                <w:rFonts w:ascii="Arial Narrow" w:eastAsia="Calibri" w:hAnsi="Arial Narrow"/>
                <w:noProof/>
              </w:rPr>
              <w:t>Abordaje integral a la criminalidad</w:t>
            </w:r>
            <w:r w:rsidR="00576CAD">
              <w:rPr>
                <w:noProof/>
                <w:webHidden/>
              </w:rPr>
              <w:tab/>
            </w:r>
            <w:r w:rsidR="00576CAD">
              <w:rPr>
                <w:noProof/>
                <w:webHidden/>
              </w:rPr>
              <w:fldChar w:fldCharType="begin"/>
            </w:r>
            <w:r w:rsidR="00576CAD">
              <w:rPr>
                <w:noProof/>
                <w:webHidden/>
              </w:rPr>
              <w:instrText xml:space="preserve"> PAGEREF _Toc106355267 \h </w:instrText>
            </w:r>
            <w:r w:rsidR="00576CAD">
              <w:rPr>
                <w:noProof/>
                <w:webHidden/>
              </w:rPr>
            </w:r>
            <w:r w:rsidR="00576CAD">
              <w:rPr>
                <w:noProof/>
                <w:webHidden/>
              </w:rPr>
              <w:fldChar w:fldCharType="separate"/>
            </w:r>
            <w:r w:rsidR="00681E75">
              <w:rPr>
                <w:noProof/>
                <w:webHidden/>
              </w:rPr>
              <w:t>25</w:t>
            </w:r>
            <w:r w:rsidR="00576CAD">
              <w:rPr>
                <w:noProof/>
                <w:webHidden/>
              </w:rPr>
              <w:fldChar w:fldCharType="end"/>
            </w:r>
          </w:hyperlink>
        </w:p>
        <w:p w14:paraId="5FE81793" w14:textId="1E0726C6" w:rsidR="00576CAD" w:rsidRDefault="00940240">
          <w:pPr>
            <w:pStyle w:val="TDC3"/>
            <w:tabs>
              <w:tab w:val="left" w:pos="1320"/>
              <w:tab w:val="right" w:leader="dot" w:pos="9203"/>
            </w:tabs>
            <w:rPr>
              <w:rFonts w:asciiTheme="minorHAnsi" w:eastAsiaTheme="minorEastAsia" w:hAnsiTheme="minorHAnsi" w:cstheme="minorBidi"/>
              <w:noProof/>
              <w:sz w:val="22"/>
              <w:szCs w:val="22"/>
              <w:lang w:val="es-CR" w:eastAsia="es-CR"/>
            </w:rPr>
          </w:pPr>
          <w:hyperlink w:anchor="_Toc106355268" w:history="1">
            <w:r w:rsidR="00576CAD" w:rsidRPr="006578D0">
              <w:rPr>
                <w:rStyle w:val="Hipervnculo"/>
                <w:rFonts w:ascii="Arial Narrow" w:eastAsia="Calibri" w:hAnsi="Arial Narrow"/>
                <w:noProof/>
              </w:rPr>
              <w:t>7.1.2</w:t>
            </w:r>
            <w:r w:rsidR="00576CAD">
              <w:rPr>
                <w:rFonts w:asciiTheme="minorHAnsi" w:eastAsiaTheme="minorEastAsia" w:hAnsiTheme="minorHAnsi" w:cstheme="minorBidi"/>
                <w:noProof/>
                <w:sz w:val="22"/>
                <w:szCs w:val="22"/>
                <w:lang w:val="es-CR" w:eastAsia="es-CR"/>
              </w:rPr>
              <w:tab/>
            </w:r>
            <w:r w:rsidR="00576CAD" w:rsidRPr="006578D0">
              <w:rPr>
                <w:rStyle w:val="Hipervnculo"/>
                <w:rFonts w:ascii="Arial Narrow" w:eastAsia="Calibri" w:hAnsi="Arial Narrow"/>
                <w:noProof/>
              </w:rPr>
              <w:t>Celeridad judicial</w:t>
            </w:r>
            <w:r w:rsidR="00576CAD">
              <w:rPr>
                <w:noProof/>
                <w:webHidden/>
              </w:rPr>
              <w:tab/>
            </w:r>
            <w:r w:rsidR="00576CAD">
              <w:rPr>
                <w:noProof/>
                <w:webHidden/>
              </w:rPr>
              <w:fldChar w:fldCharType="begin"/>
            </w:r>
            <w:r w:rsidR="00576CAD">
              <w:rPr>
                <w:noProof/>
                <w:webHidden/>
              </w:rPr>
              <w:instrText xml:space="preserve"> PAGEREF _Toc106355268 \h </w:instrText>
            </w:r>
            <w:r w:rsidR="00576CAD">
              <w:rPr>
                <w:noProof/>
                <w:webHidden/>
              </w:rPr>
            </w:r>
            <w:r w:rsidR="00576CAD">
              <w:rPr>
                <w:noProof/>
                <w:webHidden/>
              </w:rPr>
              <w:fldChar w:fldCharType="separate"/>
            </w:r>
            <w:r w:rsidR="00681E75">
              <w:rPr>
                <w:noProof/>
                <w:webHidden/>
              </w:rPr>
              <w:t>26</w:t>
            </w:r>
            <w:r w:rsidR="00576CAD">
              <w:rPr>
                <w:noProof/>
                <w:webHidden/>
              </w:rPr>
              <w:fldChar w:fldCharType="end"/>
            </w:r>
          </w:hyperlink>
        </w:p>
        <w:p w14:paraId="65DD3BA4" w14:textId="783A40F8" w:rsidR="00576CAD" w:rsidRDefault="00940240">
          <w:pPr>
            <w:pStyle w:val="TDC3"/>
            <w:tabs>
              <w:tab w:val="left" w:pos="1320"/>
              <w:tab w:val="right" w:leader="dot" w:pos="9203"/>
            </w:tabs>
            <w:rPr>
              <w:rFonts w:asciiTheme="minorHAnsi" w:eastAsiaTheme="minorEastAsia" w:hAnsiTheme="minorHAnsi" w:cstheme="minorBidi"/>
              <w:noProof/>
              <w:sz w:val="22"/>
              <w:szCs w:val="22"/>
              <w:lang w:val="es-CR" w:eastAsia="es-CR"/>
            </w:rPr>
          </w:pPr>
          <w:hyperlink w:anchor="_Toc106355269" w:history="1">
            <w:r w:rsidR="00576CAD" w:rsidRPr="006578D0">
              <w:rPr>
                <w:rStyle w:val="Hipervnculo"/>
                <w:rFonts w:ascii="Arial Narrow" w:eastAsia="Calibri" w:hAnsi="Arial Narrow"/>
                <w:noProof/>
              </w:rPr>
              <w:t>7.1.3</w:t>
            </w:r>
            <w:r w:rsidR="00576CAD">
              <w:rPr>
                <w:rFonts w:asciiTheme="minorHAnsi" w:eastAsiaTheme="minorEastAsia" w:hAnsiTheme="minorHAnsi" w:cstheme="minorBidi"/>
                <w:noProof/>
                <w:sz w:val="22"/>
                <w:szCs w:val="22"/>
                <w:lang w:val="es-CR" w:eastAsia="es-CR"/>
              </w:rPr>
              <w:tab/>
            </w:r>
            <w:r w:rsidR="00576CAD" w:rsidRPr="006578D0">
              <w:rPr>
                <w:rStyle w:val="Hipervnculo"/>
                <w:rFonts w:ascii="Arial Narrow" w:eastAsia="Calibri" w:hAnsi="Arial Narrow"/>
                <w:noProof/>
              </w:rPr>
              <w:t>Medidas alternas</w:t>
            </w:r>
            <w:r w:rsidR="00576CAD">
              <w:rPr>
                <w:noProof/>
                <w:webHidden/>
              </w:rPr>
              <w:tab/>
            </w:r>
            <w:r w:rsidR="00576CAD">
              <w:rPr>
                <w:noProof/>
                <w:webHidden/>
              </w:rPr>
              <w:fldChar w:fldCharType="begin"/>
            </w:r>
            <w:r w:rsidR="00576CAD">
              <w:rPr>
                <w:noProof/>
                <w:webHidden/>
              </w:rPr>
              <w:instrText xml:space="preserve"> PAGEREF _Toc106355269 \h </w:instrText>
            </w:r>
            <w:r w:rsidR="00576CAD">
              <w:rPr>
                <w:noProof/>
                <w:webHidden/>
              </w:rPr>
            </w:r>
            <w:r w:rsidR="00576CAD">
              <w:rPr>
                <w:noProof/>
                <w:webHidden/>
              </w:rPr>
              <w:fldChar w:fldCharType="separate"/>
            </w:r>
            <w:r w:rsidR="00681E75">
              <w:rPr>
                <w:noProof/>
                <w:webHidden/>
              </w:rPr>
              <w:t>48</w:t>
            </w:r>
            <w:r w:rsidR="00576CAD">
              <w:rPr>
                <w:noProof/>
                <w:webHidden/>
              </w:rPr>
              <w:fldChar w:fldCharType="end"/>
            </w:r>
          </w:hyperlink>
        </w:p>
        <w:p w14:paraId="7345E93A" w14:textId="12311DE6" w:rsidR="00576CAD" w:rsidRDefault="00940240">
          <w:pPr>
            <w:pStyle w:val="TDC3"/>
            <w:tabs>
              <w:tab w:val="left" w:pos="1320"/>
              <w:tab w:val="right" w:leader="dot" w:pos="9203"/>
            </w:tabs>
            <w:rPr>
              <w:rFonts w:asciiTheme="minorHAnsi" w:eastAsiaTheme="minorEastAsia" w:hAnsiTheme="minorHAnsi" w:cstheme="minorBidi"/>
              <w:noProof/>
              <w:sz w:val="22"/>
              <w:szCs w:val="22"/>
              <w:lang w:val="es-CR" w:eastAsia="es-CR"/>
            </w:rPr>
          </w:pPr>
          <w:hyperlink w:anchor="_Toc106355270" w:history="1">
            <w:r w:rsidR="00576CAD" w:rsidRPr="006578D0">
              <w:rPr>
                <w:rStyle w:val="Hipervnculo"/>
                <w:rFonts w:ascii="Arial Narrow" w:eastAsia="Calibri" w:hAnsi="Arial Narrow"/>
                <w:noProof/>
              </w:rPr>
              <w:t>7.1.4</w:t>
            </w:r>
            <w:r w:rsidR="00576CAD">
              <w:rPr>
                <w:rFonts w:asciiTheme="minorHAnsi" w:eastAsiaTheme="minorEastAsia" w:hAnsiTheme="minorHAnsi" w:cstheme="minorBidi"/>
                <w:noProof/>
                <w:sz w:val="22"/>
                <w:szCs w:val="22"/>
                <w:lang w:val="es-CR" w:eastAsia="es-CR"/>
              </w:rPr>
              <w:tab/>
            </w:r>
            <w:r w:rsidR="00576CAD" w:rsidRPr="006578D0">
              <w:rPr>
                <w:rStyle w:val="Hipervnculo"/>
                <w:rFonts w:ascii="Arial Narrow" w:eastAsia="Calibri" w:hAnsi="Arial Narrow"/>
                <w:noProof/>
              </w:rPr>
              <w:t>Justicia Restaurativa</w:t>
            </w:r>
            <w:r w:rsidR="00576CAD">
              <w:rPr>
                <w:noProof/>
                <w:webHidden/>
              </w:rPr>
              <w:tab/>
            </w:r>
            <w:r w:rsidR="00576CAD">
              <w:rPr>
                <w:noProof/>
                <w:webHidden/>
              </w:rPr>
              <w:fldChar w:fldCharType="begin"/>
            </w:r>
            <w:r w:rsidR="00576CAD">
              <w:rPr>
                <w:noProof/>
                <w:webHidden/>
              </w:rPr>
              <w:instrText xml:space="preserve"> PAGEREF _Toc106355270 \h </w:instrText>
            </w:r>
            <w:r w:rsidR="00576CAD">
              <w:rPr>
                <w:noProof/>
                <w:webHidden/>
              </w:rPr>
            </w:r>
            <w:r w:rsidR="00576CAD">
              <w:rPr>
                <w:noProof/>
                <w:webHidden/>
              </w:rPr>
              <w:fldChar w:fldCharType="separate"/>
            </w:r>
            <w:r w:rsidR="00681E75">
              <w:rPr>
                <w:noProof/>
                <w:webHidden/>
              </w:rPr>
              <w:t>57</w:t>
            </w:r>
            <w:r w:rsidR="00576CAD">
              <w:rPr>
                <w:noProof/>
                <w:webHidden/>
              </w:rPr>
              <w:fldChar w:fldCharType="end"/>
            </w:r>
          </w:hyperlink>
        </w:p>
        <w:p w14:paraId="5C11506D" w14:textId="2A999C6C" w:rsidR="00576CAD" w:rsidRDefault="00940240">
          <w:pPr>
            <w:pStyle w:val="TDC2"/>
            <w:rPr>
              <w:rFonts w:asciiTheme="minorHAnsi" w:eastAsiaTheme="minorEastAsia" w:hAnsiTheme="minorHAnsi" w:cstheme="minorBidi"/>
              <w:noProof/>
              <w:sz w:val="22"/>
              <w:szCs w:val="22"/>
              <w:lang w:val="es-CR" w:eastAsia="es-CR"/>
            </w:rPr>
          </w:pPr>
          <w:hyperlink w:anchor="_Toc106355271" w:history="1">
            <w:r w:rsidR="00576CAD" w:rsidRPr="006578D0">
              <w:rPr>
                <w:rStyle w:val="Hipervnculo"/>
                <w:noProof/>
              </w:rPr>
              <w:t>7.2</w:t>
            </w:r>
            <w:r w:rsidR="00576CAD">
              <w:rPr>
                <w:rFonts w:asciiTheme="minorHAnsi" w:eastAsiaTheme="minorEastAsia" w:hAnsiTheme="minorHAnsi" w:cstheme="minorBidi"/>
                <w:noProof/>
                <w:sz w:val="22"/>
                <w:szCs w:val="22"/>
                <w:lang w:val="es-CR" w:eastAsia="es-CR"/>
              </w:rPr>
              <w:tab/>
            </w:r>
            <w:r w:rsidR="00576CAD" w:rsidRPr="006578D0">
              <w:rPr>
                <w:rStyle w:val="Hipervnculo"/>
                <w:noProof/>
              </w:rPr>
              <w:t>Tema estratégico: Confianza y Probidad en la Justicia</w:t>
            </w:r>
            <w:r w:rsidR="00576CAD">
              <w:rPr>
                <w:noProof/>
                <w:webHidden/>
              </w:rPr>
              <w:tab/>
            </w:r>
            <w:r w:rsidR="00576CAD">
              <w:rPr>
                <w:noProof/>
                <w:webHidden/>
              </w:rPr>
              <w:fldChar w:fldCharType="begin"/>
            </w:r>
            <w:r w:rsidR="00576CAD">
              <w:rPr>
                <w:noProof/>
                <w:webHidden/>
              </w:rPr>
              <w:instrText xml:space="preserve"> PAGEREF _Toc106355271 \h </w:instrText>
            </w:r>
            <w:r w:rsidR="00576CAD">
              <w:rPr>
                <w:noProof/>
                <w:webHidden/>
              </w:rPr>
            </w:r>
            <w:r w:rsidR="00576CAD">
              <w:rPr>
                <w:noProof/>
                <w:webHidden/>
              </w:rPr>
              <w:fldChar w:fldCharType="separate"/>
            </w:r>
            <w:r w:rsidR="00681E75">
              <w:rPr>
                <w:noProof/>
                <w:webHidden/>
              </w:rPr>
              <w:t>59</w:t>
            </w:r>
            <w:r w:rsidR="00576CAD">
              <w:rPr>
                <w:noProof/>
                <w:webHidden/>
              </w:rPr>
              <w:fldChar w:fldCharType="end"/>
            </w:r>
          </w:hyperlink>
        </w:p>
        <w:p w14:paraId="1F475744" w14:textId="02187E52" w:rsidR="00576CAD" w:rsidRDefault="00940240">
          <w:pPr>
            <w:pStyle w:val="TDC3"/>
            <w:tabs>
              <w:tab w:val="left" w:pos="1320"/>
              <w:tab w:val="right" w:leader="dot" w:pos="9203"/>
            </w:tabs>
            <w:rPr>
              <w:rFonts w:asciiTheme="minorHAnsi" w:eastAsiaTheme="minorEastAsia" w:hAnsiTheme="minorHAnsi" w:cstheme="minorBidi"/>
              <w:noProof/>
              <w:sz w:val="22"/>
              <w:szCs w:val="22"/>
              <w:lang w:val="es-CR" w:eastAsia="es-CR"/>
            </w:rPr>
          </w:pPr>
          <w:hyperlink w:anchor="_Toc106355272" w:history="1">
            <w:r w:rsidR="00576CAD" w:rsidRPr="006578D0">
              <w:rPr>
                <w:rStyle w:val="Hipervnculo"/>
                <w:rFonts w:ascii="Arial Narrow" w:eastAsia="Calibri" w:hAnsi="Arial Narrow"/>
                <w:noProof/>
              </w:rPr>
              <w:t>7.2.1</w:t>
            </w:r>
            <w:r w:rsidR="00576CAD">
              <w:rPr>
                <w:rFonts w:asciiTheme="minorHAnsi" w:eastAsiaTheme="minorEastAsia" w:hAnsiTheme="minorHAnsi" w:cstheme="minorBidi"/>
                <w:noProof/>
                <w:sz w:val="22"/>
                <w:szCs w:val="22"/>
                <w:lang w:val="es-CR" w:eastAsia="es-CR"/>
              </w:rPr>
              <w:tab/>
            </w:r>
            <w:r w:rsidR="00576CAD" w:rsidRPr="006578D0">
              <w:rPr>
                <w:rStyle w:val="Hipervnculo"/>
                <w:rFonts w:ascii="Arial Narrow" w:eastAsia="Calibri" w:hAnsi="Arial Narrow"/>
                <w:iCs/>
                <w:noProof/>
                <w:lang w:val="es-CR"/>
              </w:rPr>
              <w:t>Transpare</w:t>
            </w:r>
            <w:r w:rsidR="00576CAD" w:rsidRPr="006578D0">
              <w:rPr>
                <w:rStyle w:val="Hipervnculo"/>
                <w:rFonts w:ascii="Arial Narrow" w:eastAsia="Calibri" w:hAnsi="Arial Narrow"/>
                <w:noProof/>
              </w:rPr>
              <w:t>ncia y rendición de cuentas</w:t>
            </w:r>
            <w:r w:rsidR="00576CAD">
              <w:rPr>
                <w:noProof/>
                <w:webHidden/>
              </w:rPr>
              <w:tab/>
            </w:r>
            <w:r w:rsidR="00576CAD">
              <w:rPr>
                <w:noProof/>
                <w:webHidden/>
              </w:rPr>
              <w:fldChar w:fldCharType="begin"/>
            </w:r>
            <w:r w:rsidR="00576CAD">
              <w:rPr>
                <w:noProof/>
                <w:webHidden/>
              </w:rPr>
              <w:instrText xml:space="preserve"> PAGEREF _Toc106355272 \h </w:instrText>
            </w:r>
            <w:r w:rsidR="00576CAD">
              <w:rPr>
                <w:noProof/>
                <w:webHidden/>
              </w:rPr>
            </w:r>
            <w:r w:rsidR="00576CAD">
              <w:rPr>
                <w:noProof/>
                <w:webHidden/>
              </w:rPr>
              <w:fldChar w:fldCharType="separate"/>
            </w:r>
            <w:r w:rsidR="00681E75">
              <w:rPr>
                <w:noProof/>
                <w:webHidden/>
              </w:rPr>
              <w:t>59</w:t>
            </w:r>
            <w:r w:rsidR="00576CAD">
              <w:rPr>
                <w:noProof/>
                <w:webHidden/>
              </w:rPr>
              <w:fldChar w:fldCharType="end"/>
            </w:r>
          </w:hyperlink>
        </w:p>
        <w:p w14:paraId="0EEB943D" w14:textId="67301FE6" w:rsidR="00576CAD" w:rsidRDefault="00940240">
          <w:pPr>
            <w:pStyle w:val="TDC3"/>
            <w:tabs>
              <w:tab w:val="left" w:pos="1320"/>
              <w:tab w:val="right" w:leader="dot" w:pos="9203"/>
            </w:tabs>
            <w:rPr>
              <w:rFonts w:asciiTheme="minorHAnsi" w:eastAsiaTheme="minorEastAsia" w:hAnsiTheme="minorHAnsi" w:cstheme="minorBidi"/>
              <w:noProof/>
              <w:sz w:val="22"/>
              <w:szCs w:val="22"/>
              <w:lang w:val="es-CR" w:eastAsia="es-CR"/>
            </w:rPr>
          </w:pPr>
          <w:hyperlink w:anchor="_Toc106355273" w:history="1">
            <w:r w:rsidR="00576CAD" w:rsidRPr="006578D0">
              <w:rPr>
                <w:rStyle w:val="Hipervnculo"/>
                <w:rFonts w:ascii="Arial Narrow" w:eastAsia="Calibri" w:hAnsi="Arial Narrow"/>
                <w:iCs/>
                <w:noProof/>
                <w:lang w:val="es-CR"/>
              </w:rPr>
              <w:t>7.2.2</w:t>
            </w:r>
            <w:r w:rsidR="00576CAD">
              <w:rPr>
                <w:rFonts w:asciiTheme="minorHAnsi" w:eastAsiaTheme="minorEastAsia" w:hAnsiTheme="minorHAnsi" w:cstheme="minorBidi"/>
                <w:noProof/>
                <w:sz w:val="22"/>
                <w:szCs w:val="22"/>
                <w:lang w:val="es-CR" w:eastAsia="es-CR"/>
              </w:rPr>
              <w:tab/>
            </w:r>
            <w:r w:rsidR="00576CAD" w:rsidRPr="006578D0">
              <w:rPr>
                <w:rStyle w:val="Hipervnculo"/>
                <w:rFonts w:ascii="Arial Narrow" w:eastAsia="Calibri" w:hAnsi="Arial Narrow"/>
                <w:iCs/>
                <w:noProof/>
                <w:lang w:val="es-CR"/>
              </w:rPr>
              <w:t>Probidad y Anticorrupción</w:t>
            </w:r>
            <w:r w:rsidR="00576CAD">
              <w:rPr>
                <w:noProof/>
                <w:webHidden/>
              </w:rPr>
              <w:tab/>
            </w:r>
            <w:r w:rsidR="00576CAD">
              <w:rPr>
                <w:noProof/>
                <w:webHidden/>
              </w:rPr>
              <w:fldChar w:fldCharType="begin"/>
            </w:r>
            <w:r w:rsidR="00576CAD">
              <w:rPr>
                <w:noProof/>
                <w:webHidden/>
              </w:rPr>
              <w:instrText xml:space="preserve"> PAGEREF _Toc106355273 \h </w:instrText>
            </w:r>
            <w:r w:rsidR="00576CAD">
              <w:rPr>
                <w:noProof/>
                <w:webHidden/>
              </w:rPr>
            </w:r>
            <w:r w:rsidR="00576CAD">
              <w:rPr>
                <w:noProof/>
                <w:webHidden/>
              </w:rPr>
              <w:fldChar w:fldCharType="separate"/>
            </w:r>
            <w:r w:rsidR="00681E75">
              <w:rPr>
                <w:noProof/>
                <w:webHidden/>
              </w:rPr>
              <w:t>63</w:t>
            </w:r>
            <w:r w:rsidR="00576CAD">
              <w:rPr>
                <w:noProof/>
                <w:webHidden/>
              </w:rPr>
              <w:fldChar w:fldCharType="end"/>
            </w:r>
          </w:hyperlink>
        </w:p>
        <w:p w14:paraId="7EA2950A" w14:textId="307022B4" w:rsidR="00576CAD" w:rsidRDefault="00940240">
          <w:pPr>
            <w:pStyle w:val="TDC3"/>
            <w:tabs>
              <w:tab w:val="left" w:pos="1320"/>
              <w:tab w:val="right" w:leader="dot" w:pos="9203"/>
            </w:tabs>
            <w:rPr>
              <w:rFonts w:asciiTheme="minorHAnsi" w:eastAsiaTheme="minorEastAsia" w:hAnsiTheme="minorHAnsi" w:cstheme="minorBidi"/>
              <w:noProof/>
              <w:sz w:val="22"/>
              <w:szCs w:val="22"/>
              <w:lang w:val="es-CR" w:eastAsia="es-CR"/>
            </w:rPr>
          </w:pPr>
          <w:hyperlink w:anchor="_Toc106355274" w:history="1">
            <w:r w:rsidR="00576CAD" w:rsidRPr="006578D0">
              <w:rPr>
                <w:rStyle w:val="Hipervnculo"/>
                <w:rFonts w:ascii="Arial Narrow" w:eastAsia="Calibri" w:hAnsi="Arial Narrow"/>
                <w:iCs/>
                <w:noProof/>
                <w:lang w:val="es-CR"/>
              </w:rPr>
              <w:t>7.2.3</w:t>
            </w:r>
            <w:r w:rsidR="00576CAD">
              <w:rPr>
                <w:rFonts w:asciiTheme="minorHAnsi" w:eastAsiaTheme="minorEastAsia" w:hAnsiTheme="minorHAnsi" w:cstheme="minorBidi"/>
                <w:noProof/>
                <w:sz w:val="22"/>
                <w:szCs w:val="22"/>
                <w:lang w:val="es-CR" w:eastAsia="es-CR"/>
              </w:rPr>
              <w:tab/>
            </w:r>
            <w:r w:rsidR="00576CAD" w:rsidRPr="006578D0">
              <w:rPr>
                <w:rStyle w:val="Hipervnculo"/>
                <w:rFonts w:ascii="Arial Narrow" w:eastAsia="Calibri" w:hAnsi="Arial Narrow"/>
                <w:iCs/>
                <w:noProof/>
                <w:lang w:val="es-CR"/>
              </w:rPr>
              <w:t>Colaboración interna y externa</w:t>
            </w:r>
            <w:r w:rsidR="00576CAD">
              <w:rPr>
                <w:noProof/>
                <w:webHidden/>
              </w:rPr>
              <w:tab/>
            </w:r>
            <w:r w:rsidR="00576CAD">
              <w:rPr>
                <w:noProof/>
                <w:webHidden/>
              </w:rPr>
              <w:fldChar w:fldCharType="begin"/>
            </w:r>
            <w:r w:rsidR="00576CAD">
              <w:rPr>
                <w:noProof/>
                <w:webHidden/>
              </w:rPr>
              <w:instrText xml:space="preserve"> PAGEREF _Toc106355274 \h </w:instrText>
            </w:r>
            <w:r w:rsidR="00576CAD">
              <w:rPr>
                <w:noProof/>
                <w:webHidden/>
              </w:rPr>
            </w:r>
            <w:r w:rsidR="00576CAD">
              <w:rPr>
                <w:noProof/>
                <w:webHidden/>
              </w:rPr>
              <w:fldChar w:fldCharType="separate"/>
            </w:r>
            <w:r w:rsidR="00681E75">
              <w:rPr>
                <w:noProof/>
                <w:webHidden/>
              </w:rPr>
              <w:t>67</w:t>
            </w:r>
            <w:r w:rsidR="00576CAD">
              <w:rPr>
                <w:noProof/>
                <w:webHidden/>
              </w:rPr>
              <w:fldChar w:fldCharType="end"/>
            </w:r>
          </w:hyperlink>
        </w:p>
        <w:p w14:paraId="3E3C9945" w14:textId="0CB713A4" w:rsidR="00576CAD" w:rsidRDefault="00940240">
          <w:pPr>
            <w:pStyle w:val="TDC3"/>
            <w:tabs>
              <w:tab w:val="left" w:pos="1320"/>
              <w:tab w:val="right" w:leader="dot" w:pos="9203"/>
            </w:tabs>
            <w:rPr>
              <w:rFonts w:asciiTheme="minorHAnsi" w:eastAsiaTheme="minorEastAsia" w:hAnsiTheme="minorHAnsi" w:cstheme="minorBidi"/>
              <w:noProof/>
              <w:sz w:val="22"/>
              <w:szCs w:val="22"/>
              <w:lang w:val="es-CR" w:eastAsia="es-CR"/>
            </w:rPr>
          </w:pPr>
          <w:hyperlink w:anchor="_Toc106355275" w:history="1">
            <w:r w:rsidR="00576CAD" w:rsidRPr="006578D0">
              <w:rPr>
                <w:rStyle w:val="Hipervnculo"/>
                <w:rFonts w:ascii="Arial Narrow" w:eastAsia="Calibri" w:hAnsi="Arial Narrow"/>
                <w:iCs/>
                <w:noProof/>
                <w:lang w:val="es-CR"/>
              </w:rPr>
              <w:t>7.2.4</w:t>
            </w:r>
            <w:r w:rsidR="00576CAD">
              <w:rPr>
                <w:rFonts w:asciiTheme="minorHAnsi" w:eastAsiaTheme="minorEastAsia" w:hAnsiTheme="minorHAnsi" w:cstheme="minorBidi"/>
                <w:noProof/>
                <w:sz w:val="22"/>
                <w:szCs w:val="22"/>
                <w:lang w:val="es-CR" w:eastAsia="es-CR"/>
              </w:rPr>
              <w:tab/>
            </w:r>
            <w:r w:rsidR="00576CAD" w:rsidRPr="006578D0">
              <w:rPr>
                <w:rStyle w:val="Hipervnculo"/>
                <w:rFonts w:ascii="Arial Narrow" w:eastAsia="Calibri" w:hAnsi="Arial Narrow"/>
                <w:iCs/>
                <w:noProof/>
                <w:lang w:val="es-CR"/>
              </w:rPr>
              <w:t>Comunicación y proyección Institucional</w:t>
            </w:r>
            <w:r w:rsidR="00576CAD">
              <w:rPr>
                <w:noProof/>
                <w:webHidden/>
              </w:rPr>
              <w:tab/>
            </w:r>
            <w:r w:rsidR="00576CAD">
              <w:rPr>
                <w:noProof/>
                <w:webHidden/>
              </w:rPr>
              <w:fldChar w:fldCharType="begin"/>
            </w:r>
            <w:r w:rsidR="00576CAD">
              <w:rPr>
                <w:noProof/>
                <w:webHidden/>
              </w:rPr>
              <w:instrText xml:space="preserve"> PAGEREF _Toc106355275 \h </w:instrText>
            </w:r>
            <w:r w:rsidR="00576CAD">
              <w:rPr>
                <w:noProof/>
                <w:webHidden/>
              </w:rPr>
            </w:r>
            <w:r w:rsidR="00576CAD">
              <w:rPr>
                <w:noProof/>
                <w:webHidden/>
              </w:rPr>
              <w:fldChar w:fldCharType="separate"/>
            </w:r>
            <w:r w:rsidR="00681E75">
              <w:rPr>
                <w:noProof/>
                <w:webHidden/>
              </w:rPr>
              <w:t>69</w:t>
            </w:r>
            <w:r w:rsidR="00576CAD">
              <w:rPr>
                <w:noProof/>
                <w:webHidden/>
              </w:rPr>
              <w:fldChar w:fldCharType="end"/>
            </w:r>
          </w:hyperlink>
        </w:p>
        <w:p w14:paraId="35D0B0A0" w14:textId="52A93818" w:rsidR="00576CAD" w:rsidRDefault="00940240">
          <w:pPr>
            <w:pStyle w:val="TDC3"/>
            <w:tabs>
              <w:tab w:val="left" w:pos="1320"/>
              <w:tab w:val="right" w:leader="dot" w:pos="9203"/>
            </w:tabs>
            <w:rPr>
              <w:rFonts w:asciiTheme="minorHAnsi" w:eastAsiaTheme="minorEastAsia" w:hAnsiTheme="minorHAnsi" w:cstheme="minorBidi"/>
              <w:noProof/>
              <w:sz w:val="22"/>
              <w:szCs w:val="22"/>
              <w:lang w:val="es-CR" w:eastAsia="es-CR"/>
            </w:rPr>
          </w:pPr>
          <w:hyperlink w:anchor="_Toc106355276" w:history="1">
            <w:r w:rsidR="00576CAD" w:rsidRPr="006578D0">
              <w:rPr>
                <w:rStyle w:val="Hipervnculo"/>
                <w:rFonts w:ascii="Arial Narrow" w:eastAsia="Calibri" w:hAnsi="Arial Narrow"/>
                <w:iCs/>
                <w:noProof/>
                <w:lang w:val="es-CR"/>
              </w:rPr>
              <w:t>7.2.5</w:t>
            </w:r>
            <w:r w:rsidR="00576CAD">
              <w:rPr>
                <w:rFonts w:asciiTheme="minorHAnsi" w:eastAsiaTheme="minorEastAsia" w:hAnsiTheme="minorHAnsi" w:cstheme="minorBidi"/>
                <w:noProof/>
                <w:sz w:val="22"/>
                <w:szCs w:val="22"/>
                <w:lang w:val="es-CR" w:eastAsia="es-CR"/>
              </w:rPr>
              <w:tab/>
            </w:r>
            <w:r w:rsidR="00576CAD" w:rsidRPr="006578D0">
              <w:rPr>
                <w:rStyle w:val="Hipervnculo"/>
                <w:rFonts w:ascii="Arial Narrow" w:eastAsia="Calibri" w:hAnsi="Arial Narrow"/>
                <w:iCs/>
                <w:noProof/>
                <w:lang w:val="es-CR"/>
              </w:rPr>
              <w:t>Participación ciudadana</w:t>
            </w:r>
            <w:r w:rsidR="00576CAD">
              <w:rPr>
                <w:noProof/>
                <w:webHidden/>
              </w:rPr>
              <w:tab/>
            </w:r>
            <w:r w:rsidR="00576CAD">
              <w:rPr>
                <w:noProof/>
                <w:webHidden/>
              </w:rPr>
              <w:fldChar w:fldCharType="begin"/>
            </w:r>
            <w:r w:rsidR="00576CAD">
              <w:rPr>
                <w:noProof/>
                <w:webHidden/>
              </w:rPr>
              <w:instrText xml:space="preserve"> PAGEREF _Toc106355276 \h </w:instrText>
            </w:r>
            <w:r w:rsidR="00576CAD">
              <w:rPr>
                <w:noProof/>
                <w:webHidden/>
              </w:rPr>
            </w:r>
            <w:r w:rsidR="00576CAD">
              <w:rPr>
                <w:noProof/>
                <w:webHidden/>
              </w:rPr>
              <w:fldChar w:fldCharType="separate"/>
            </w:r>
            <w:r w:rsidR="00681E75">
              <w:rPr>
                <w:noProof/>
                <w:webHidden/>
              </w:rPr>
              <w:t>72</w:t>
            </w:r>
            <w:r w:rsidR="00576CAD">
              <w:rPr>
                <w:noProof/>
                <w:webHidden/>
              </w:rPr>
              <w:fldChar w:fldCharType="end"/>
            </w:r>
          </w:hyperlink>
        </w:p>
        <w:p w14:paraId="2214CBAF" w14:textId="7D090F75" w:rsidR="00576CAD" w:rsidRDefault="00940240">
          <w:pPr>
            <w:pStyle w:val="TDC2"/>
            <w:rPr>
              <w:rFonts w:asciiTheme="minorHAnsi" w:eastAsiaTheme="minorEastAsia" w:hAnsiTheme="minorHAnsi" w:cstheme="minorBidi"/>
              <w:noProof/>
              <w:sz w:val="22"/>
              <w:szCs w:val="22"/>
              <w:lang w:val="es-CR" w:eastAsia="es-CR"/>
            </w:rPr>
          </w:pPr>
          <w:hyperlink w:anchor="_Toc106355277" w:history="1">
            <w:r w:rsidR="00576CAD" w:rsidRPr="006578D0">
              <w:rPr>
                <w:rStyle w:val="Hipervnculo"/>
                <w:noProof/>
              </w:rPr>
              <w:t>7.3</w:t>
            </w:r>
            <w:r w:rsidR="00576CAD">
              <w:rPr>
                <w:rFonts w:asciiTheme="minorHAnsi" w:eastAsiaTheme="minorEastAsia" w:hAnsiTheme="minorHAnsi" w:cstheme="minorBidi"/>
                <w:noProof/>
                <w:sz w:val="22"/>
                <w:szCs w:val="22"/>
                <w:lang w:val="es-CR" w:eastAsia="es-CR"/>
              </w:rPr>
              <w:tab/>
            </w:r>
            <w:r w:rsidR="00576CAD" w:rsidRPr="006578D0">
              <w:rPr>
                <w:rStyle w:val="Hipervnculo"/>
                <w:noProof/>
              </w:rPr>
              <w:t>Tema estratégico: Optimización e innovación de los servicios judiciales</w:t>
            </w:r>
            <w:r w:rsidR="00576CAD">
              <w:rPr>
                <w:noProof/>
                <w:webHidden/>
              </w:rPr>
              <w:tab/>
            </w:r>
            <w:r w:rsidR="00576CAD">
              <w:rPr>
                <w:noProof/>
                <w:webHidden/>
              </w:rPr>
              <w:fldChar w:fldCharType="begin"/>
            </w:r>
            <w:r w:rsidR="00576CAD">
              <w:rPr>
                <w:noProof/>
                <w:webHidden/>
              </w:rPr>
              <w:instrText xml:space="preserve"> PAGEREF _Toc106355277 \h </w:instrText>
            </w:r>
            <w:r w:rsidR="00576CAD">
              <w:rPr>
                <w:noProof/>
                <w:webHidden/>
              </w:rPr>
            </w:r>
            <w:r w:rsidR="00576CAD">
              <w:rPr>
                <w:noProof/>
                <w:webHidden/>
              </w:rPr>
              <w:fldChar w:fldCharType="separate"/>
            </w:r>
            <w:r w:rsidR="00681E75">
              <w:rPr>
                <w:noProof/>
                <w:webHidden/>
              </w:rPr>
              <w:t>75</w:t>
            </w:r>
            <w:r w:rsidR="00576CAD">
              <w:rPr>
                <w:noProof/>
                <w:webHidden/>
              </w:rPr>
              <w:fldChar w:fldCharType="end"/>
            </w:r>
          </w:hyperlink>
        </w:p>
        <w:p w14:paraId="12D6BF16" w14:textId="07A562DA" w:rsidR="00576CAD" w:rsidRDefault="00940240">
          <w:pPr>
            <w:pStyle w:val="TDC3"/>
            <w:tabs>
              <w:tab w:val="left" w:pos="1320"/>
              <w:tab w:val="right" w:leader="dot" w:pos="9203"/>
            </w:tabs>
            <w:rPr>
              <w:rFonts w:asciiTheme="minorHAnsi" w:eastAsiaTheme="minorEastAsia" w:hAnsiTheme="minorHAnsi" w:cstheme="minorBidi"/>
              <w:noProof/>
              <w:sz w:val="22"/>
              <w:szCs w:val="22"/>
              <w:lang w:val="es-CR" w:eastAsia="es-CR"/>
            </w:rPr>
          </w:pPr>
          <w:hyperlink w:anchor="_Toc106355278" w:history="1">
            <w:r w:rsidR="00576CAD" w:rsidRPr="006578D0">
              <w:rPr>
                <w:rStyle w:val="Hipervnculo"/>
                <w:rFonts w:eastAsia="Calibri"/>
                <w:noProof/>
              </w:rPr>
              <w:t>7.3.1</w:t>
            </w:r>
            <w:r w:rsidR="00576CAD">
              <w:rPr>
                <w:rFonts w:asciiTheme="minorHAnsi" w:eastAsiaTheme="minorEastAsia" w:hAnsiTheme="minorHAnsi" w:cstheme="minorBidi"/>
                <w:noProof/>
                <w:sz w:val="22"/>
                <w:szCs w:val="22"/>
                <w:lang w:val="es-CR" w:eastAsia="es-CR"/>
              </w:rPr>
              <w:tab/>
            </w:r>
            <w:r w:rsidR="00576CAD" w:rsidRPr="006578D0">
              <w:rPr>
                <w:rStyle w:val="Hipervnculo"/>
                <w:rFonts w:eastAsia="Calibri"/>
                <w:noProof/>
              </w:rPr>
              <w:t>Desarrollo y Optimización de Servicios y Procesos Judiciales</w:t>
            </w:r>
            <w:r w:rsidR="00576CAD">
              <w:rPr>
                <w:noProof/>
                <w:webHidden/>
              </w:rPr>
              <w:tab/>
            </w:r>
            <w:r w:rsidR="00576CAD">
              <w:rPr>
                <w:noProof/>
                <w:webHidden/>
              </w:rPr>
              <w:fldChar w:fldCharType="begin"/>
            </w:r>
            <w:r w:rsidR="00576CAD">
              <w:rPr>
                <w:noProof/>
                <w:webHidden/>
              </w:rPr>
              <w:instrText xml:space="preserve"> PAGEREF _Toc106355278 \h </w:instrText>
            </w:r>
            <w:r w:rsidR="00576CAD">
              <w:rPr>
                <w:noProof/>
                <w:webHidden/>
              </w:rPr>
            </w:r>
            <w:r w:rsidR="00576CAD">
              <w:rPr>
                <w:noProof/>
                <w:webHidden/>
              </w:rPr>
              <w:fldChar w:fldCharType="separate"/>
            </w:r>
            <w:r w:rsidR="00681E75">
              <w:rPr>
                <w:noProof/>
                <w:webHidden/>
              </w:rPr>
              <w:t>76</w:t>
            </w:r>
            <w:r w:rsidR="00576CAD">
              <w:rPr>
                <w:noProof/>
                <w:webHidden/>
              </w:rPr>
              <w:fldChar w:fldCharType="end"/>
            </w:r>
          </w:hyperlink>
        </w:p>
        <w:p w14:paraId="536D5F8B" w14:textId="6DBE5C2E" w:rsidR="00576CAD" w:rsidRDefault="00940240">
          <w:pPr>
            <w:pStyle w:val="TDC3"/>
            <w:tabs>
              <w:tab w:val="left" w:pos="1320"/>
              <w:tab w:val="right" w:leader="dot" w:pos="9203"/>
            </w:tabs>
            <w:rPr>
              <w:rFonts w:asciiTheme="minorHAnsi" w:eastAsiaTheme="minorEastAsia" w:hAnsiTheme="minorHAnsi" w:cstheme="minorBidi"/>
              <w:noProof/>
              <w:sz w:val="22"/>
              <w:szCs w:val="22"/>
              <w:lang w:val="es-CR" w:eastAsia="es-CR"/>
            </w:rPr>
          </w:pPr>
          <w:hyperlink w:anchor="_Toc106355279" w:history="1">
            <w:r w:rsidR="00576CAD" w:rsidRPr="006578D0">
              <w:rPr>
                <w:rStyle w:val="Hipervnculo"/>
                <w:rFonts w:eastAsia="Calibri"/>
                <w:noProof/>
              </w:rPr>
              <w:t>7.3.2</w:t>
            </w:r>
            <w:r w:rsidR="00576CAD">
              <w:rPr>
                <w:rFonts w:asciiTheme="minorHAnsi" w:eastAsiaTheme="minorEastAsia" w:hAnsiTheme="minorHAnsi" w:cstheme="minorBidi"/>
                <w:noProof/>
                <w:sz w:val="22"/>
                <w:szCs w:val="22"/>
                <w:lang w:val="es-CR" w:eastAsia="es-CR"/>
              </w:rPr>
              <w:tab/>
            </w:r>
            <w:r w:rsidR="00576CAD" w:rsidRPr="006578D0">
              <w:rPr>
                <w:rStyle w:val="Hipervnculo"/>
                <w:rFonts w:eastAsia="Calibri"/>
                <w:noProof/>
              </w:rPr>
              <w:t>Servicios Tecnológicos</w:t>
            </w:r>
            <w:r w:rsidR="00576CAD">
              <w:rPr>
                <w:noProof/>
                <w:webHidden/>
              </w:rPr>
              <w:tab/>
            </w:r>
            <w:r w:rsidR="00576CAD">
              <w:rPr>
                <w:noProof/>
                <w:webHidden/>
              </w:rPr>
              <w:fldChar w:fldCharType="begin"/>
            </w:r>
            <w:r w:rsidR="00576CAD">
              <w:rPr>
                <w:noProof/>
                <w:webHidden/>
              </w:rPr>
              <w:instrText xml:space="preserve"> PAGEREF _Toc106355279 \h </w:instrText>
            </w:r>
            <w:r w:rsidR="00576CAD">
              <w:rPr>
                <w:noProof/>
                <w:webHidden/>
              </w:rPr>
            </w:r>
            <w:r w:rsidR="00576CAD">
              <w:rPr>
                <w:noProof/>
                <w:webHidden/>
              </w:rPr>
              <w:fldChar w:fldCharType="separate"/>
            </w:r>
            <w:r w:rsidR="00681E75">
              <w:rPr>
                <w:noProof/>
                <w:webHidden/>
              </w:rPr>
              <w:t>85</w:t>
            </w:r>
            <w:r w:rsidR="00576CAD">
              <w:rPr>
                <w:noProof/>
                <w:webHidden/>
              </w:rPr>
              <w:fldChar w:fldCharType="end"/>
            </w:r>
          </w:hyperlink>
        </w:p>
        <w:p w14:paraId="25F74C50" w14:textId="3D87340C" w:rsidR="00576CAD" w:rsidRDefault="00940240">
          <w:pPr>
            <w:pStyle w:val="TDC3"/>
            <w:tabs>
              <w:tab w:val="left" w:pos="1320"/>
              <w:tab w:val="right" w:leader="dot" w:pos="9203"/>
            </w:tabs>
            <w:rPr>
              <w:rFonts w:asciiTheme="minorHAnsi" w:eastAsiaTheme="minorEastAsia" w:hAnsiTheme="minorHAnsi" w:cstheme="minorBidi"/>
              <w:noProof/>
              <w:sz w:val="22"/>
              <w:szCs w:val="22"/>
              <w:lang w:val="es-CR" w:eastAsia="es-CR"/>
            </w:rPr>
          </w:pPr>
          <w:hyperlink w:anchor="_Toc106355280" w:history="1">
            <w:r w:rsidR="00576CAD" w:rsidRPr="006578D0">
              <w:rPr>
                <w:rStyle w:val="Hipervnculo"/>
                <w:rFonts w:eastAsia="Calibri"/>
                <w:noProof/>
              </w:rPr>
              <w:t>7.3.3</w:t>
            </w:r>
            <w:r w:rsidR="00576CAD">
              <w:rPr>
                <w:rFonts w:asciiTheme="minorHAnsi" w:eastAsiaTheme="minorEastAsia" w:hAnsiTheme="minorHAnsi" w:cstheme="minorBidi"/>
                <w:noProof/>
                <w:sz w:val="22"/>
                <w:szCs w:val="22"/>
                <w:lang w:val="es-CR" w:eastAsia="es-CR"/>
              </w:rPr>
              <w:tab/>
            </w:r>
            <w:r w:rsidR="00576CAD" w:rsidRPr="006578D0">
              <w:rPr>
                <w:rStyle w:val="Hipervnculo"/>
                <w:rFonts w:eastAsia="Calibri"/>
                <w:noProof/>
              </w:rPr>
              <w:t>Leyes y Reformas</w:t>
            </w:r>
            <w:r w:rsidR="00576CAD">
              <w:rPr>
                <w:noProof/>
                <w:webHidden/>
              </w:rPr>
              <w:tab/>
            </w:r>
            <w:r w:rsidR="00576CAD">
              <w:rPr>
                <w:noProof/>
                <w:webHidden/>
              </w:rPr>
              <w:fldChar w:fldCharType="begin"/>
            </w:r>
            <w:r w:rsidR="00576CAD">
              <w:rPr>
                <w:noProof/>
                <w:webHidden/>
              </w:rPr>
              <w:instrText xml:space="preserve"> PAGEREF _Toc106355280 \h </w:instrText>
            </w:r>
            <w:r w:rsidR="00576CAD">
              <w:rPr>
                <w:noProof/>
                <w:webHidden/>
              </w:rPr>
            </w:r>
            <w:r w:rsidR="00576CAD">
              <w:rPr>
                <w:noProof/>
                <w:webHidden/>
              </w:rPr>
              <w:fldChar w:fldCharType="separate"/>
            </w:r>
            <w:r w:rsidR="00681E75">
              <w:rPr>
                <w:noProof/>
                <w:webHidden/>
              </w:rPr>
              <w:t>88</w:t>
            </w:r>
            <w:r w:rsidR="00576CAD">
              <w:rPr>
                <w:noProof/>
                <w:webHidden/>
              </w:rPr>
              <w:fldChar w:fldCharType="end"/>
            </w:r>
          </w:hyperlink>
        </w:p>
        <w:p w14:paraId="1B37535C" w14:textId="09FDE809" w:rsidR="00576CAD" w:rsidRDefault="00940240">
          <w:pPr>
            <w:pStyle w:val="TDC3"/>
            <w:tabs>
              <w:tab w:val="left" w:pos="1320"/>
              <w:tab w:val="right" w:leader="dot" w:pos="9203"/>
            </w:tabs>
            <w:rPr>
              <w:rFonts w:asciiTheme="minorHAnsi" w:eastAsiaTheme="minorEastAsia" w:hAnsiTheme="minorHAnsi" w:cstheme="minorBidi"/>
              <w:noProof/>
              <w:sz w:val="22"/>
              <w:szCs w:val="22"/>
              <w:lang w:val="es-CR" w:eastAsia="es-CR"/>
            </w:rPr>
          </w:pPr>
          <w:hyperlink w:anchor="_Toc106355281" w:history="1">
            <w:r w:rsidR="00576CAD" w:rsidRPr="006578D0">
              <w:rPr>
                <w:rStyle w:val="Hipervnculo"/>
                <w:rFonts w:eastAsia="Calibri"/>
                <w:noProof/>
              </w:rPr>
              <w:t>7.3.4</w:t>
            </w:r>
            <w:r w:rsidR="00576CAD">
              <w:rPr>
                <w:rFonts w:asciiTheme="minorHAnsi" w:eastAsiaTheme="minorEastAsia" w:hAnsiTheme="minorHAnsi" w:cstheme="minorBidi"/>
                <w:noProof/>
                <w:sz w:val="22"/>
                <w:szCs w:val="22"/>
                <w:lang w:val="es-CR" w:eastAsia="es-CR"/>
              </w:rPr>
              <w:tab/>
            </w:r>
            <w:r w:rsidR="00576CAD" w:rsidRPr="006578D0">
              <w:rPr>
                <w:rStyle w:val="Hipervnculo"/>
                <w:rFonts w:eastAsia="Calibri"/>
                <w:noProof/>
              </w:rPr>
              <w:t>Modalidades Alternativas de Trabajo</w:t>
            </w:r>
            <w:r w:rsidR="00576CAD">
              <w:rPr>
                <w:noProof/>
                <w:webHidden/>
              </w:rPr>
              <w:tab/>
            </w:r>
            <w:r w:rsidR="00576CAD">
              <w:rPr>
                <w:noProof/>
                <w:webHidden/>
              </w:rPr>
              <w:fldChar w:fldCharType="begin"/>
            </w:r>
            <w:r w:rsidR="00576CAD">
              <w:rPr>
                <w:noProof/>
                <w:webHidden/>
              </w:rPr>
              <w:instrText xml:space="preserve"> PAGEREF _Toc106355281 \h </w:instrText>
            </w:r>
            <w:r w:rsidR="00576CAD">
              <w:rPr>
                <w:noProof/>
                <w:webHidden/>
              </w:rPr>
            </w:r>
            <w:r w:rsidR="00576CAD">
              <w:rPr>
                <w:noProof/>
                <w:webHidden/>
              </w:rPr>
              <w:fldChar w:fldCharType="separate"/>
            </w:r>
            <w:r w:rsidR="00681E75">
              <w:rPr>
                <w:noProof/>
                <w:webHidden/>
              </w:rPr>
              <w:t>91</w:t>
            </w:r>
            <w:r w:rsidR="00576CAD">
              <w:rPr>
                <w:noProof/>
                <w:webHidden/>
              </w:rPr>
              <w:fldChar w:fldCharType="end"/>
            </w:r>
          </w:hyperlink>
        </w:p>
        <w:p w14:paraId="3485B009" w14:textId="6CE7EFF1" w:rsidR="00576CAD" w:rsidRDefault="00940240">
          <w:pPr>
            <w:pStyle w:val="TDC3"/>
            <w:tabs>
              <w:tab w:val="left" w:pos="1320"/>
              <w:tab w:val="right" w:leader="dot" w:pos="9203"/>
            </w:tabs>
            <w:rPr>
              <w:rFonts w:asciiTheme="minorHAnsi" w:eastAsiaTheme="minorEastAsia" w:hAnsiTheme="minorHAnsi" w:cstheme="minorBidi"/>
              <w:noProof/>
              <w:sz w:val="22"/>
              <w:szCs w:val="22"/>
              <w:lang w:val="es-CR" w:eastAsia="es-CR"/>
            </w:rPr>
          </w:pPr>
          <w:hyperlink w:anchor="_Toc106355282" w:history="1">
            <w:r w:rsidR="00576CAD" w:rsidRPr="006578D0">
              <w:rPr>
                <w:rStyle w:val="Hipervnculo"/>
                <w:rFonts w:eastAsia="Calibri"/>
                <w:noProof/>
              </w:rPr>
              <w:t>7.3.5</w:t>
            </w:r>
            <w:r w:rsidR="00576CAD">
              <w:rPr>
                <w:rFonts w:asciiTheme="minorHAnsi" w:eastAsiaTheme="minorEastAsia" w:hAnsiTheme="minorHAnsi" w:cstheme="minorBidi"/>
                <w:noProof/>
                <w:sz w:val="22"/>
                <w:szCs w:val="22"/>
                <w:lang w:val="es-CR" w:eastAsia="es-CR"/>
              </w:rPr>
              <w:tab/>
            </w:r>
            <w:r w:rsidR="00576CAD" w:rsidRPr="006578D0">
              <w:rPr>
                <w:rStyle w:val="Hipervnculo"/>
                <w:rFonts w:eastAsia="Calibri"/>
                <w:noProof/>
              </w:rPr>
              <w:t>Buenas Prácticas</w:t>
            </w:r>
            <w:r w:rsidR="00576CAD">
              <w:rPr>
                <w:noProof/>
                <w:webHidden/>
              </w:rPr>
              <w:tab/>
            </w:r>
            <w:r w:rsidR="00576CAD">
              <w:rPr>
                <w:noProof/>
                <w:webHidden/>
              </w:rPr>
              <w:fldChar w:fldCharType="begin"/>
            </w:r>
            <w:r w:rsidR="00576CAD">
              <w:rPr>
                <w:noProof/>
                <w:webHidden/>
              </w:rPr>
              <w:instrText xml:space="preserve"> PAGEREF _Toc106355282 \h </w:instrText>
            </w:r>
            <w:r w:rsidR="00576CAD">
              <w:rPr>
                <w:noProof/>
                <w:webHidden/>
              </w:rPr>
            </w:r>
            <w:r w:rsidR="00576CAD">
              <w:rPr>
                <w:noProof/>
                <w:webHidden/>
              </w:rPr>
              <w:fldChar w:fldCharType="separate"/>
            </w:r>
            <w:r w:rsidR="00681E75">
              <w:rPr>
                <w:noProof/>
                <w:webHidden/>
              </w:rPr>
              <w:t>93</w:t>
            </w:r>
            <w:r w:rsidR="00576CAD">
              <w:rPr>
                <w:noProof/>
                <w:webHidden/>
              </w:rPr>
              <w:fldChar w:fldCharType="end"/>
            </w:r>
          </w:hyperlink>
        </w:p>
        <w:p w14:paraId="07BF2B48" w14:textId="5008E578" w:rsidR="00576CAD" w:rsidRDefault="00940240">
          <w:pPr>
            <w:pStyle w:val="TDC2"/>
            <w:rPr>
              <w:rFonts w:asciiTheme="minorHAnsi" w:eastAsiaTheme="minorEastAsia" w:hAnsiTheme="minorHAnsi" w:cstheme="minorBidi"/>
              <w:noProof/>
              <w:sz w:val="22"/>
              <w:szCs w:val="22"/>
              <w:lang w:val="es-CR" w:eastAsia="es-CR"/>
            </w:rPr>
          </w:pPr>
          <w:hyperlink w:anchor="_Toc106355283" w:history="1">
            <w:r w:rsidR="00576CAD" w:rsidRPr="006578D0">
              <w:rPr>
                <w:rStyle w:val="Hipervnculo"/>
                <w:noProof/>
              </w:rPr>
              <w:t>7.4</w:t>
            </w:r>
            <w:r w:rsidR="00576CAD">
              <w:rPr>
                <w:rFonts w:asciiTheme="minorHAnsi" w:eastAsiaTheme="minorEastAsia" w:hAnsiTheme="minorHAnsi" w:cstheme="minorBidi"/>
                <w:noProof/>
                <w:sz w:val="22"/>
                <w:szCs w:val="22"/>
                <w:lang w:val="es-CR" w:eastAsia="es-CR"/>
              </w:rPr>
              <w:tab/>
            </w:r>
            <w:r w:rsidR="00576CAD" w:rsidRPr="006578D0">
              <w:rPr>
                <w:rStyle w:val="Hipervnculo"/>
                <w:noProof/>
              </w:rPr>
              <w:t>Tema estratégico: Gestión del Personal</w:t>
            </w:r>
            <w:r w:rsidR="00576CAD">
              <w:rPr>
                <w:noProof/>
                <w:webHidden/>
              </w:rPr>
              <w:tab/>
            </w:r>
            <w:r w:rsidR="00576CAD">
              <w:rPr>
                <w:noProof/>
                <w:webHidden/>
              </w:rPr>
              <w:fldChar w:fldCharType="begin"/>
            </w:r>
            <w:r w:rsidR="00576CAD">
              <w:rPr>
                <w:noProof/>
                <w:webHidden/>
              </w:rPr>
              <w:instrText xml:space="preserve"> PAGEREF _Toc106355283 \h </w:instrText>
            </w:r>
            <w:r w:rsidR="00576CAD">
              <w:rPr>
                <w:noProof/>
                <w:webHidden/>
              </w:rPr>
            </w:r>
            <w:r w:rsidR="00576CAD">
              <w:rPr>
                <w:noProof/>
                <w:webHidden/>
              </w:rPr>
              <w:fldChar w:fldCharType="separate"/>
            </w:r>
            <w:r w:rsidR="00681E75">
              <w:rPr>
                <w:noProof/>
                <w:webHidden/>
              </w:rPr>
              <w:t>98</w:t>
            </w:r>
            <w:r w:rsidR="00576CAD">
              <w:rPr>
                <w:noProof/>
                <w:webHidden/>
              </w:rPr>
              <w:fldChar w:fldCharType="end"/>
            </w:r>
          </w:hyperlink>
        </w:p>
        <w:p w14:paraId="4BEC0CBF" w14:textId="4E0F6A12" w:rsidR="00576CAD" w:rsidRDefault="00940240">
          <w:pPr>
            <w:pStyle w:val="TDC3"/>
            <w:tabs>
              <w:tab w:val="left" w:pos="1320"/>
              <w:tab w:val="right" w:leader="dot" w:pos="9203"/>
            </w:tabs>
            <w:rPr>
              <w:rFonts w:asciiTheme="minorHAnsi" w:eastAsiaTheme="minorEastAsia" w:hAnsiTheme="minorHAnsi" w:cstheme="minorBidi"/>
              <w:noProof/>
              <w:sz w:val="22"/>
              <w:szCs w:val="22"/>
              <w:lang w:val="es-CR" w:eastAsia="es-CR"/>
            </w:rPr>
          </w:pPr>
          <w:hyperlink w:anchor="_Toc106355284" w:history="1">
            <w:r w:rsidR="00576CAD" w:rsidRPr="006578D0">
              <w:rPr>
                <w:rStyle w:val="Hipervnculo"/>
                <w:rFonts w:eastAsia="Calibri"/>
                <w:noProof/>
              </w:rPr>
              <w:t>7.4.1</w:t>
            </w:r>
            <w:r w:rsidR="00576CAD">
              <w:rPr>
                <w:rFonts w:asciiTheme="minorHAnsi" w:eastAsiaTheme="minorEastAsia" w:hAnsiTheme="minorHAnsi" w:cstheme="minorBidi"/>
                <w:noProof/>
                <w:sz w:val="22"/>
                <w:szCs w:val="22"/>
                <w:lang w:val="es-CR" w:eastAsia="es-CR"/>
              </w:rPr>
              <w:tab/>
            </w:r>
            <w:r w:rsidR="00576CAD" w:rsidRPr="006578D0">
              <w:rPr>
                <w:rStyle w:val="Hipervnculo"/>
                <w:rFonts w:eastAsia="Calibri"/>
                <w:noProof/>
              </w:rPr>
              <w:t>Evaluación del Desempeño</w:t>
            </w:r>
            <w:r w:rsidR="00576CAD">
              <w:rPr>
                <w:noProof/>
                <w:webHidden/>
              </w:rPr>
              <w:tab/>
            </w:r>
            <w:r w:rsidR="00576CAD">
              <w:rPr>
                <w:noProof/>
                <w:webHidden/>
              </w:rPr>
              <w:fldChar w:fldCharType="begin"/>
            </w:r>
            <w:r w:rsidR="00576CAD">
              <w:rPr>
                <w:noProof/>
                <w:webHidden/>
              </w:rPr>
              <w:instrText xml:space="preserve"> PAGEREF _Toc106355284 \h </w:instrText>
            </w:r>
            <w:r w:rsidR="00576CAD">
              <w:rPr>
                <w:noProof/>
                <w:webHidden/>
              </w:rPr>
            </w:r>
            <w:r w:rsidR="00576CAD">
              <w:rPr>
                <w:noProof/>
                <w:webHidden/>
              </w:rPr>
              <w:fldChar w:fldCharType="separate"/>
            </w:r>
            <w:r w:rsidR="00681E75">
              <w:rPr>
                <w:noProof/>
                <w:webHidden/>
              </w:rPr>
              <w:t>99</w:t>
            </w:r>
            <w:r w:rsidR="00576CAD">
              <w:rPr>
                <w:noProof/>
                <w:webHidden/>
              </w:rPr>
              <w:fldChar w:fldCharType="end"/>
            </w:r>
          </w:hyperlink>
        </w:p>
        <w:p w14:paraId="39B1DFF1" w14:textId="008F17AC" w:rsidR="00576CAD" w:rsidRDefault="00940240">
          <w:pPr>
            <w:pStyle w:val="TDC3"/>
            <w:tabs>
              <w:tab w:val="left" w:pos="1320"/>
              <w:tab w:val="right" w:leader="dot" w:pos="9203"/>
            </w:tabs>
            <w:rPr>
              <w:rFonts w:asciiTheme="minorHAnsi" w:eastAsiaTheme="minorEastAsia" w:hAnsiTheme="minorHAnsi" w:cstheme="minorBidi"/>
              <w:noProof/>
              <w:sz w:val="22"/>
              <w:szCs w:val="22"/>
              <w:lang w:val="es-CR" w:eastAsia="es-CR"/>
            </w:rPr>
          </w:pPr>
          <w:hyperlink w:anchor="_Toc106355285" w:history="1">
            <w:r w:rsidR="00576CAD" w:rsidRPr="006578D0">
              <w:rPr>
                <w:rStyle w:val="Hipervnculo"/>
                <w:rFonts w:eastAsia="Calibri"/>
                <w:noProof/>
              </w:rPr>
              <w:t>7.4.2</w:t>
            </w:r>
            <w:r w:rsidR="00576CAD">
              <w:rPr>
                <w:rFonts w:asciiTheme="minorHAnsi" w:eastAsiaTheme="minorEastAsia" w:hAnsiTheme="minorHAnsi" w:cstheme="minorBidi"/>
                <w:noProof/>
                <w:sz w:val="22"/>
                <w:szCs w:val="22"/>
                <w:lang w:val="es-CR" w:eastAsia="es-CR"/>
              </w:rPr>
              <w:tab/>
            </w:r>
            <w:r w:rsidR="00576CAD" w:rsidRPr="006578D0">
              <w:rPr>
                <w:rStyle w:val="Hipervnculo"/>
                <w:rFonts w:eastAsia="Calibri"/>
                <w:noProof/>
              </w:rPr>
              <w:t>Reclutamiento y Selección</w:t>
            </w:r>
            <w:r w:rsidR="00576CAD">
              <w:rPr>
                <w:noProof/>
                <w:webHidden/>
              </w:rPr>
              <w:tab/>
            </w:r>
            <w:r w:rsidR="00576CAD">
              <w:rPr>
                <w:noProof/>
                <w:webHidden/>
              </w:rPr>
              <w:fldChar w:fldCharType="begin"/>
            </w:r>
            <w:r w:rsidR="00576CAD">
              <w:rPr>
                <w:noProof/>
                <w:webHidden/>
              </w:rPr>
              <w:instrText xml:space="preserve"> PAGEREF _Toc106355285 \h </w:instrText>
            </w:r>
            <w:r w:rsidR="00576CAD">
              <w:rPr>
                <w:noProof/>
                <w:webHidden/>
              </w:rPr>
            </w:r>
            <w:r w:rsidR="00576CAD">
              <w:rPr>
                <w:noProof/>
                <w:webHidden/>
              </w:rPr>
              <w:fldChar w:fldCharType="separate"/>
            </w:r>
            <w:r w:rsidR="00681E75">
              <w:rPr>
                <w:noProof/>
                <w:webHidden/>
              </w:rPr>
              <w:t>102</w:t>
            </w:r>
            <w:r w:rsidR="00576CAD">
              <w:rPr>
                <w:noProof/>
                <w:webHidden/>
              </w:rPr>
              <w:fldChar w:fldCharType="end"/>
            </w:r>
          </w:hyperlink>
        </w:p>
        <w:p w14:paraId="77E8F13F" w14:textId="68BB3277" w:rsidR="00576CAD" w:rsidRDefault="00940240">
          <w:pPr>
            <w:pStyle w:val="TDC3"/>
            <w:tabs>
              <w:tab w:val="left" w:pos="1320"/>
              <w:tab w:val="right" w:leader="dot" w:pos="9203"/>
            </w:tabs>
            <w:rPr>
              <w:rFonts w:asciiTheme="minorHAnsi" w:eastAsiaTheme="minorEastAsia" w:hAnsiTheme="minorHAnsi" w:cstheme="minorBidi"/>
              <w:noProof/>
              <w:sz w:val="22"/>
              <w:szCs w:val="22"/>
              <w:lang w:val="es-CR" w:eastAsia="es-CR"/>
            </w:rPr>
          </w:pPr>
          <w:hyperlink w:anchor="_Toc106355286" w:history="1">
            <w:r w:rsidR="00576CAD" w:rsidRPr="006578D0">
              <w:rPr>
                <w:rStyle w:val="Hipervnculo"/>
                <w:rFonts w:eastAsia="Calibri"/>
                <w:noProof/>
              </w:rPr>
              <w:t>7.4.3</w:t>
            </w:r>
            <w:r w:rsidR="00576CAD">
              <w:rPr>
                <w:rFonts w:asciiTheme="minorHAnsi" w:eastAsiaTheme="minorEastAsia" w:hAnsiTheme="minorHAnsi" w:cstheme="minorBidi"/>
                <w:noProof/>
                <w:sz w:val="22"/>
                <w:szCs w:val="22"/>
                <w:lang w:val="es-CR" w:eastAsia="es-CR"/>
              </w:rPr>
              <w:tab/>
            </w:r>
            <w:r w:rsidR="00576CAD" w:rsidRPr="006578D0">
              <w:rPr>
                <w:rStyle w:val="Hipervnculo"/>
                <w:rFonts w:eastAsia="Calibri"/>
                <w:noProof/>
              </w:rPr>
              <w:t>Capacitación</w:t>
            </w:r>
            <w:r w:rsidR="00576CAD">
              <w:rPr>
                <w:noProof/>
                <w:webHidden/>
              </w:rPr>
              <w:tab/>
            </w:r>
            <w:r w:rsidR="00576CAD">
              <w:rPr>
                <w:noProof/>
                <w:webHidden/>
              </w:rPr>
              <w:fldChar w:fldCharType="begin"/>
            </w:r>
            <w:r w:rsidR="00576CAD">
              <w:rPr>
                <w:noProof/>
                <w:webHidden/>
              </w:rPr>
              <w:instrText xml:space="preserve"> PAGEREF _Toc106355286 \h </w:instrText>
            </w:r>
            <w:r w:rsidR="00576CAD">
              <w:rPr>
                <w:noProof/>
                <w:webHidden/>
              </w:rPr>
            </w:r>
            <w:r w:rsidR="00576CAD">
              <w:rPr>
                <w:noProof/>
                <w:webHidden/>
              </w:rPr>
              <w:fldChar w:fldCharType="separate"/>
            </w:r>
            <w:r w:rsidR="00681E75">
              <w:rPr>
                <w:noProof/>
                <w:webHidden/>
              </w:rPr>
              <w:t>104</w:t>
            </w:r>
            <w:r w:rsidR="00576CAD">
              <w:rPr>
                <w:noProof/>
                <w:webHidden/>
              </w:rPr>
              <w:fldChar w:fldCharType="end"/>
            </w:r>
          </w:hyperlink>
        </w:p>
        <w:p w14:paraId="3E7BEFC7" w14:textId="4253AF3E" w:rsidR="00576CAD" w:rsidRDefault="00940240">
          <w:pPr>
            <w:pStyle w:val="TDC3"/>
            <w:tabs>
              <w:tab w:val="left" w:pos="1320"/>
              <w:tab w:val="right" w:leader="dot" w:pos="9203"/>
            </w:tabs>
            <w:rPr>
              <w:rFonts w:asciiTheme="minorHAnsi" w:eastAsiaTheme="minorEastAsia" w:hAnsiTheme="minorHAnsi" w:cstheme="minorBidi"/>
              <w:noProof/>
              <w:sz w:val="22"/>
              <w:szCs w:val="22"/>
              <w:lang w:val="es-CR" w:eastAsia="es-CR"/>
            </w:rPr>
          </w:pPr>
          <w:hyperlink w:anchor="_Toc106355287" w:history="1">
            <w:r w:rsidR="00576CAD" w:rsidRPr="006578D0">
              <w:rPr>
                <w:rStyle w:val="Hipervnculo"/>
                <w:rFonts w:eastAsia="Calibri"/>
                <w:noProof/>
              </w:rPr>
              <w:t>7.4.4</w:t>
            </w:r>
            <w:r w:rsidR="00576CAD">
              <w:rPr>
                <w:rFonts w:asciiTheme="minorHAnsi" w:eastAsiaTheme="minorEastAsia" w:hAnsiTheme="minorHAnsi" w:cstheme="minorBidi"/>
                <w:noProof/>
                <w:sz w:val="22"/>
                <w:szCs w:val="22"/>
                <w:lang w:val="es-CR" w:eastAsia="es-CR"/>
              </w:rPr>
              <w:tab/>
            </w:r>
            <w:r w:rsidR="00576CAD" w:rsidRPr="006578D0">
              <w:rPr>
                <w:rStyle w:val="Hipervnculo"/>
                <w:rFonts w:eastAsia="Calibri"/>
                <w:noProof/>
              </w:rPr>
              <w:t>Carrera</w:t>
            </w:r>
            <w:r w:rsidR="00576CAD">
              <w:rPr>
                <w:noProof/>
                <w:webHidden/>
              </w:rPr>
              <w:tab/>
            </w:r>
            <w:r w:rsidR="00576CAD">
              <w:rPr>
                <w:noProof/>
                <w:webHidden/>
              </w:rPr>
              <w:fldChar w:fldCharType="begin"/>
            </w:r>
            <w:r w:rsidR="00576CAD">
              <w:rPr>
                <w:noProof/>
                <w:webHidden/>
              </w:rPr>
              <w:instrText xml:space="preserve"> PAGEREF _Toc106355287 \h </w:instrText>
            </w:r>
            <w:r w:rsidR="00576CAD">
              <w:rPr>
                <w:noProof/>
                <w:webHidden/>
              </w:rPr>
            </w:r>
            <w:r w:rsidR="00576CAD">
              <w:rPr>
                <w:noProof/>
                <w:webHidden/>
              </w:rPr>
              <w:fldChar w:fldCharType="separate"/>
            </w:r>
            <w:r w:rsidR="00681E75">
              <w:rPr>
                <w:noProof/>
                <w:webHidden/>
              </w:rPr>
              <w:t>114</w:t>
            </w:r>
            <w:r w:rsidR="00576CAD">
              <w:rPr>
                <w:noProof/>
                <w:webHidden/>
              </w:rPr>
              <w:fldChar w:fldCharType="end"/>
            </w:r>
          </w:hyperlink>
        </w:p>
        <w:p w14:paraId="33AA82BB" w14:textId="2A7624AA" w:rsidR="00576CAD" w:rsidRDefault="00940240">
          <w:pPr>
            <w:pStyle w:val="TDC3"/>
            <w:tabs>
              <w:tab w:val="left" w:pos="1320"/>
              <w:tab w:val="right" w:leader="dot" w:pos="9203"/>
            </w:tabs>
            <w:rPr>
              <w:rFonts w:asciiTheme="minorHAnsi" w:eastAsiaTheme="minorEastAsia" w:hAnsiTheme="minorHAnsi" w:cstheme="minorBidi"/>
              <w:noProof/>
              <w:sz w:val="22"/>
              <w:szCs w:val="22"/>
              <w:lang w:val="es-CR" w:eastAsia="es-CR"/>
            </w:rPr>
          </w:pPr>
          <w:hyperlink w:anchor="_Toc106355288" w:history="1">
            <w:r w:rsidR="00576CAD" w:rsidRPr="006578D0">
              <w:rPr>
                <w:rStyle w:val="Hipervnculo"/>
                <w:rFonts w:eastAsia="Calibri"/>
                <w:noProof/>
              </w:rPr>
              <w:t>7.4.5</w:t>
            </w:r>
            <w:r w:rsidR="00576CAD">
              <w:rPr>
                <w:rFonts w:asciiTheme="minorHAnsi" w:eastAsiaTheme="minorEastAsia" w:hAnsiTheme="minorHAnsi" w:cstheme="minorBidi"/>
                <w:noProof/>
                <w:sz w:val="22"/>
                <w:szCs w:val="22"/>
                <w:lang w:val="es-CR" w:eastAsia="es-CR"/>
              </w:rPr>
              <w:tab/>
            </w:r>
            <w:r w:rsidR="00576CAD" w:rsidRPr="006578D0">
              <w:rPr>
                <w:rStyle w:val="Hipervnculo"/>
                <w:rFonts w:eastAsia="Calibri"/>
                <w:noProof/>
              </w:rPr>
              <w:t>Bienestar y Salud</w:t>
            </w:r>
            <w:r w:rsidR="00576CAD">
              <w:rPr>
                <w:noProof/>
                <w:webHidden/>
              </w:rPr>
              <w:tab/>
            </w:r>
            <w:r w:rsidR="00576CAD">
              <w:rPr>
                <w:noProof/>
                <w:webHidden/>
              </w:rPr>
              <w:fldChar w:fldCharType="begin"/>
            </w:r>
            <w:r w:rsidR="00576CAD">
              <w:rPr>
                <w:noProof/>
                <w:webHidden/>
              </w:rPr>
              <w:instrText xml:space="preserve"> PAGEREF _Toc106355288 \h </w:instrText>
            </w:r>
            <w:r w:rsidR="00576CAD">
              <w:rPr>
                <w:noProof/>
                <w:webHidden/>
              </w:rPr>
            </w:r>
            <w:r w:rsidR="00576CAD">
              <w:rPr>
                <w:noProof/>
                <w:webHidden/>
              </w:rPr>
              <w:fldChar w:fldCharType="separate"/>
            </w:r>
            <w:r w:rsidR="00681E75">
              <w:rPr>
                <w:noProof/>
                <w:webHidden/>
              </w:rPr>
              <w:t>116</w:t>
            </w:r>
            <w:r w:rsidR="00576CAD">
              <w:rPr>
                <w:noProof/>
                <w:webHidden/>
              </w:rPr>
              <w:fldChar w:fldCharType="end"/>
            </w:r>
          </w:hyperlink>
        </w:p>
        <w:p w14:paraId="2F6606D1" w14:textId="0F401DBB" w:rsidR="00576CAD" w:rsidRDefault="00940240">
          <w:pPr>
            <w:pStyle w:val="TDC2"/>
            <w:rPr>
              <w:rFonts w:asciiTheme="minorHAnsi" w:eastAsiaTheme="minorEastAsia" w:hAnsiTheme="minorHAnsi" w:cstheme="minorBidi"/>
              <w:noProof/>
              <w:sz w:val="22"/>
              <w:szCs w:val="22"/>
              <w:lang w:val="es-CR" w:eastAsia="es-CR"/>
            </w:rPr>
          </w:pPr>
          <w:hyperlink w:anchor="_Toc106355289" w:history="1">
            <w:r w:rsidR="00576CAD" w:rsidRPr="006578D0">
              <w:rPr>
                <w:rStyle w:val="Hipervnculo"/>
                <w:noProof/>
              </w:rPr>
              <w:t>7.5</w:t>
            </w:r>
            <w:r w:rsidR="00576CAD">
              <w:rPr>
                <w:rFonts w:asciiTheme="minorHAnsi" w:eastAsiaTheme="minorEastAsia" w:hAnsiTheme="minorHAnsi" w:cstheme="minorBidi"/>
                <w:noProof/>
                <w:sz w:val="22"/>
                <w:szCs w:val="22"/>
                <w:lang w:val="es-CR" w:eastAsia="es-CR"/>
              </w:rPr>
              <w:tab/>
            </w:r>
            <w:r w:rsidR="00576CAD" w:rsidRPr="006578D0">
              <w:rPr>
                <w:rStyle w:val="Hipervnculo"/>
                <w:noProof/>
              </w:rPr>
              <w:t>Tema estratégico: Planificación Institucional</w:t>
            </w:r>
            <w:r w:rsidR="00576CAD">
              <w:rPr>
                <w:noProof/>
                <w:webHidden/>
              </w:rPr>
              <w:tab/>
            </w:r>
            <w:r w:rsidR="00576CAD">
              <w:rPr>
                <w:noProof/>
                <w:webHidden/>
              </w:rPr>
              <w:fldChar w:fldCharType="begin"/>
            </w:r>
            <w:r w:rsidR="00576CAD">
              <w:rPr>
                <w:noProof/>
                <w:webHidden/>
              </w:rPr>
              <w:instrText xml:space="preserve"> PAGEREF _Toc106355289 \h </w:instrText>
            </w:r>
            <w:r w:rsidR="00576CAD">
              <w:rPr>
                <w:noProof/>
                <w:webHidden/>
              </w:rPr>
            </w:r>
            <w:r w:rsidR="00576CAD">
              <w:rPr>
                <w:noProof/>
                <w:webHidden/>
              </w:rPr>
              <w:fldChar w:fldCharType="separate"/>
            </w:r>
            <w:r w:rsidR="00681E75">
              <w:rPr>
                <w:noProof/>
                <w:webHidden/>
              </w:rPr>
              <w:t>118</w:t>
            </w:r>
            <w:r w:rsidR="00576CAD">
              <w:rPr>
                <w:noProof/>
                <w:webHidden/>
              </w:rPr>
              <w:fldChar w:fldCharType="end"/>
            </w:r>
          </w:hyperlink>
        </w:p>
        <w:p w14:paraId="78205351" w14:textId="74A218E2" w:rsidR="00576CAD" w:rsidRDefault="00940240">
          <w:pPr>
            <w:pStyle w:val="TDC3"/>
            <w:tabs>
              <w:tab w:val="left" w:pos="1320"/>
              <w:tab w:val="right" w:leader="dot" w:pos="9203"/>
            </w:tabs>
            <w:rPr>
              <w:rFonts w:asciiTheme="minorHAnsi" w:eastAsiaTheme="minorEastAsia" w:hAnsiTheme="minorHAnsi" w:cstheme="minorBidi"/>
              <w:noProof/>
              <w:sz w:val="22"/>
              <w:szCs w:val="22"/>
              <w:lang w:val="es-CR" w:eastAsia="es-CR"/>
            </w:rPr>
          </w:pPr>
          <w:hyperlink w:anchor="_Toc106355290" w:history="1">
            <w:r w:rsidR="00576CAD" w:rsidRPr="006578D0">
              <w:rPr>
                <w:rStyle w:val="Hipervnculo"/>
                <w:noProof/>
              </w:rPr>
              <w:t>7.5.1</w:t>
            </w:r>
            <w:r w:rsidR="00576CAD">
              <w:rPr>
                <w:rFonts w:asciiTheme="minorHAnsi" w:eastAsiaTheme="minorEastAsia" w:hAnsiTheme="minorHAnsi" w:cstheme="minorBidi"/>
                <w:noProof/>
                <w:sz w:val="22"/>
                <w:szCs w:val="22"/>
                <w:lang w:val="es-CR" w:eastAsia="es-CR"/>
              </w:rPr>
              <w:tab/>
            </w:r>
            <w:r w:rsidR="00576CAD" w:rsidRPr="006578D0">
              <w:rPr>
                <w:rStyle w:val="Hipervnculo"/>
                <w:noProof/>
              </w:rPr>
              <w:t>Gestion Estratégica institucional</w:t>
            </w:r>
            <w:r w:rsidR="00576CAD">
              <w:rPr>
                <w:noProof/>
                <w:webHidden/>
              </w:rPr>
              <w:tab/>
            </w:r>
            <w:r w:rsidR="00576CAD">
              <w:rPr>
                <w:noProof/>
                <w:webHidden/>
              </w:rPr>
              <w:fldChar w:fldCharType="begin"/>
            </w:r>
            <w:r w:rsidR="00576CAD">
              <w:rPr>
                <w:noProof/>
                <w:webHidden/>
              </w:rPr>
              <w:instrText xml:space="preserve"> PAGEREF _Toc106355290 \h </w:instrText>
            </w:r>
            <w:r w:rsidR="00576CAD">
              <w:rPr>
                <w:noProof/>
                <w:webHidden/>
              </w:rPr>
            </w:r>
            <w:r w:rsidR="00576CAD">
              <w:rPr>
                <w:noProof/>
                <w:webHidden/>
              </w:rPr>
              <w:fldChar w:fldCharType="separate"/>
            </w:r>
            <w:r w:rsidR="00681E75">
              <w:rPr>
                <w:noProof/>
                <w:webHidden/>
              </w:rPr>
              <w:t>119</w:t>
            </w:r>
            <w:r w:rsidR="00576CAD">
              <w:rPr>
                <w:noProof/>
                <w:webHidden/>
              </w:rPr>
              <w:fldChar w:fldCharType="end"/>
            </w:r>
          </w:hyperlink>
        </w:p>
        <w:p w14:paraId="0B295100" w14:textId="180734F7" w:rsidR="00576CAD" w:rsidRDefault="00940240">
          <w:pPr>
            <w:pStyle w:val="TDC3"/>
            <w:tabs>
              <w:tab w:val="left" w:pos="1320"/>
              <w:tab w:val="right" w:leader="dot" w:pos="9203"/>
            </w:tabs>
            <w:rPr>
              <w:rFonts w:asciiTheme="minorHAnsi" w:eastAsiaTheme="minorEastAsia" w:hAnsiTheme="minorHAnsi" w:cstheme="minorBidi"/>
              <w:noProof/>
              <w:sz w:val="22"/>
              <w:szCs w:val="22"/>
              <w:lang w:val="es-CR" w:eastAsia="es-CR"/>
            </w:rPr>
          </w:pPr>
          <w:hyperlink w:anchor="_Toc106355291" w:history="1">
            <w:r w:rsidR="00576CAD" w:rsidRPr="006578D0">
              <w:rPr>
                <w:rStyle w:val="Hipervnculo"/>
                <w:rFonts w:eastAsia="Calibri"/>
                <w:noProof/>
              </w:rPr>
              <w:t>7.5.2</w:t>
            </w:r>
            <w:r w:rsidR="00576CAD">
              <w:rPr>
                <w:rFonts w:asciiTheme="minorHAnsi" w:eastAsiaTheme="minorEastAsia" w:hAnsiTheme="minorHAnsi" w:cstheme="minorBidi"/>
                <w:noProof/>
                <w:sz w:val="22"/>
                <w:szCs w:val="22"/>
                <w:lang w:val="es-CR" w:eastAsia="es-CR"/>
              </w:rPr>
              <w:tab/>
            </w:r>
            <w:r w:rsidR="00576CAD" w:rsidRPr="006578D0">
              <w:rPr>
                <w:rStyle w:val="Hipervnculo"/>
                <w:rFonts w:eastAsia="Calibri"/>
                <w:noProof/>
                <w:lang w:val="es-CR"/>
              </w:rPr>
              <w:t>Gestión de Políticas Institucionales</w:t>
            </w:r>
            <w:r w:rsidR="00576CAD">
              <w:rPr>
                <w:noProof/>
                <w:webHidden/>
              </w:rPr>
              <w:tab/>
            </w:r>
            <w:r w:rsidR="00576CAD">
              <w:rPr>
                <w:noProof/>
                <w:webHidden/>
              </w:rPr>
              <w:fldChar w:fldCharType="begin"/>
            </w:r>
            <w:r w:rsidR="00576CAD">
              <w:rPr>
                <w:noProof/>
                <w:webHidden/>
              </w:rPr>
              <w:instrText xml:space="preserve"> PAGEREF _Toc106355291 \h </w:instrText>
            </w:r>
            <w:r w:rsidR="00576CAD">
              <w:rPr>
                <w:noProof/>
                <w:webHidden/>
              </w:rPr>
            </w:r>
            <w:r w:rsidR="00576CAD">
              <w:rPr>
                <w:noProof/>
                <w:webHidden/>
              </w:rPr>
              <w:fldChar w:fldCharType="separate"/>
            </w:r>
            <w:r w:rsidR="00681E75">
              <w:rPr>
                <w:noProof/>
                <w:webHidden/>
              </w:rPr>
              <w:t>122</w:t>
            </w:r>
            <w:r w:rsidR="00576CAD">
              <w:rPr>
                <w:noProof/>
                <w:webHidden/>
              </w:rPr>
              <w:fldChar w:fldCharType="end"/>
            </w:r>
          </w:hyperlink>
        </w:p>
        <w:p w14:paraId="4B15292B" w14:textId="57F57673" w:rsidR="00576CAD" w:rsidRDefault="00940240">
          <w:pPr>
            <w:pStyle w:val="TDC3"/>
            <w:tabs>
              <w:tab w:val="left" w:pos="1320"/>
              <w:tab w:val="right" w:leader="dot" w:pos="9203"/>
            </w:tabs>
            <w:rPr>
              <w:rFonts w:asciiTheme="minorHAnsi" w:eastAsiaTheme="minorEastAsia" w:hAnsiTheme="minorHAnsi" w:cstheme="minorBidi"/>
              <w:noProof/>
              <w:sz w:val="22"/>
              <w:szCs w:val="22"/>
              <w:lang w:val="es-CR" w:eastAsia="es-CR"/>
            </w:rPr>
          </w:pPr>
          <w:hyperlink w:anchor="_Toc106355292" w:history="1">
            <w:r w:rsidR="00576CAD" w:rsidRPr="006578D0">
              <w:rPr>
                <w:rStyle w:val="Hipervnculo"/>
                <w:rFonts w:eastAsia="Calibri"/>
                <w:noProof/>
              </w:rPr>
              <w:t>7.5.3</w:t>
            </w:r>
            <w:r w:rsidR="00576CAD">
              <w:rPr>
                <w:rFonts w:asciiTheme="minorHAnsi" w:eastAsiaTheme="minorEastAsia" w:hAnsiTheme="minorHAnsi" w:cstheme="minorBidi"/>
                <w:noProof/>
                <w:sz w:val="22"/>
                <w:szCs w:val="22"/>
                <w:lang w:val="es-CR" w:eastAsia="es-CR"/>
              </w:rPr>
              <w:tab/>
            </w:r>
            <w:r w:rsidR="00576CAD" w:rsidRPr="006578D0">
              <w:rPr>
                <w:rStyle w:val="Hipervnculo"/>
                <w:rFonts w:eastAsia="Calibri"/>
                <w:noProof/>
              </w:rPr>
              <w:t xml:space="preserve">Gestión Administrativa por medio del Portafolio de Proyectos </w:t>
            </w:r>
            <w:r w:rsidR="00576CAD" w:rsidRPr="006578D0">
              <w:rPr>
                <w:rStyle w:val="Hipervnculo"/>
                <w:rFonts w:eastAsia="Calibri"/>
                <w:noProof/>
                <w:lang w:val="es-CR"/>
              </w:rPr>
              <w:t>Estratégicos</w:t>
            </w:r>
            <w:r w:rsidR="00576CAD">
              <w:rPr>
                <w:noProof/>
                <w:webHidden/>
              </w:rPr>
              <w:tab/>
            </w:r>
            <w:r w:rsidR="00576CAD">
              <w:rPr>
                <w:noProof/>
                <w:webHidden/>
              </w:rPr>
              <w:fldChar w:fldCharType="begin"/>
            </w:r>
            <w:r w:rsidR="00576CAD">
              <w:rPr>
                <w:noProof/>
                <w:webHidden/>
              </w:rPr>
              <w:instrText xml:space="preserve"> PAGEREF _Toc106355292 \h </w:instrText>
            </w:r>
            <w:r w:rsidR="00576CAD">
              <w:rPr>
                <w:noProof/>
                <w:webHidden/>
              </w:rPr>
            </w:r>
            <w:r w:rsidR="00576CAD">
              <w:rPr>
                <w:noProof/>
                <w:webHidden/>
              </w:rPr>
              <w:fldChar w:fldCharType="separate"/>
            </w:r>
            <w:r w:rsidR="00681E75">
              <w:rPr>
                <w:noProof/>
                <w:webHidden/>
              </w:rPr>
              <w:t>123</w:t>
            </w:r>
            <w:r w:rsidR="00576CAD">
              <w:rPr>
                <w:noProof/>
                <w:webHidden/>
              </w:rPr>
              <w:fldChar w:fldCharType="end"/>
            </w:r>
          </w:hyperlink>
        </w:p>
        <w:p w14:paraId="05D92AFF" w14:textId="4254B48A" w:rsidR="00576CAD" w:rsidRDefault="00940240" w:rsidP="00345B2C">
          <w:pPr>
            <w:pStyle w:val="TDC1"/>
            <w:rPr>
              <w:rFonts w:asciiTheme="minorHAnsi" w:eastAsiaTheme="minorEastAsia" w:hAnsiTheme="minorHAnsi" w:cstheme="minorBidi"/>
              <w:noProof/>
              <w:sz w:val="22"/>
              <w:szCs w:val="22"/>
              <w:lang w:val="es-CR" w:eastAsia="es-CR"/>
            </w:rPr>
          </w:pPr>
          <w:hyperlink w:anchor="_Toc106355293" w:history="1">
            <w:r w:rsidR="00576CAD" w:rsidRPr="006578D0">
              <w:rPr>
                <w:rStyle w:val="Hipervnculo"/>
                <w:noProof/>
              </w:rPr>
              <w:t>8.</w:t>
            </w:r>
            <w:r w:rsidR="00576CAD">
              <w:rPr>
                <w:rFonts w:asciiTheme="minorHAnsi" w:eastAsiaTheme="minorEastAsia" w:hAnsiTheme="minorHAnsi" w:cstheme="minorBidi"/>
                <w:noProof/>
                <w:sz w:val="22"/>
                <w:szCs w:val="22"/>
                <w:lang w:val="es-CR" w:eastAsia="es-CR"/>
              </w:rPr>
              <w:tab/>
            </w:r>
            <w:r w:rsidR="00576CAD" w:rsidRPr="006578D0">
              <w:rPr>
                <w:rStyle w:val="Hipervnculo"/>
                <w:noProof/>
              </w:rPr>
              <w:t>Resultados del PEI por responsables estratégicos</w:t>
            </w:r>
            <w:r w:rsidR="00576CAD">
              <w:rPr>
                <w:noProof/>
                <w:webHidden/>
              </w:rPr>
              <w:tab/>
            </w:r>
            <w:r w:rsidR="00576CAD">
              <w:rPr>
                <w:noProof/>
                <w:webHidden/>
              </w:rPr>
              <w:fldChar w:fldCharType="begin"/>
            </w:r>
            <w:r w:rsidR="00576CAD">
              <w:rPr>
                <w:noProof/>
                <w:webHidden/>
              </w:rPr>
              <w:instrText xml:space="preserve"> PAGEREF _Toc106355293 \h </w:instrText>
            </w:r>
            <w:r w:rsidR="00576CAD">
              <w:rPr>
                <w:noProof/>
                <w:webHidden/>
              </w:rPr>
            </w:r>
            <w:r w:rsidR="00576CAD">
              <w:rPr>
                <w:noProof/>
                <w:webHidden/>
              </w:rPr>
              <w:fldChar w:fldCharType="separate"/>
            </w:r>
            <w:r w:rsidR="00681E75">
              <w:rPr>
                <w:noProof/>
                <w:webHidden/>
              </w:rPr>
              <w:t>124</w:t>
            </w:r>
            <w:r w:rsidR="00576CAD">
              <w:rPr>
                <w:noProof/>
                <w:webHidden/>
              </w:rPr>
              <w:fldChar w:fldCharType="end"/>
            </w:r>
          </w:hyperlink>
        </w:p>
        <w:p w14:paraId="775319FA" w14:textId="58EF4B37" w:rsidR="00576CAD" w:rsidRDefault="00940240" w:rsidP="00345B2C">
          <w:pPr>
            <w:pStyle w:val="TDC1"/>
            <w:rPr>
              <w:rFonts w:asciiTheme="minorHAnsi" w:eastAsiaTheme="minorEastAsia" w:hAnsiTheme="minorHAnsi" w:cstheme="minorBidi"/>
              <w:noProof/>
              <w:sz w:val="22"/>
              <w:szCs w:val="22"/>
              <w:lang w:val="es-CR" w:eastAsia="es-CR"/>
            </w:rPr>
          </w:pPr>
          <w:hyperlink w:anchor="_Toc106355294" w:history="1">
            <w:r w:rsidR="00576CAD" w:rsidRPr="006578D0">
              <w:rPr>
                <w:rStyle w:val="Hipervnculo"/>
                <w:noProof/>
              </w:rPr>
              <w:t>9.</w:t>
            </w:r>
            <w:r w:rsidR="00576CAD">
              <w:rPr>
                <w:rFonts w:asciiTheme="minorHAnsi" w:eastAsiaTheme="minorEastAsia" w:hAnsiTheme="minorHAnsi" w:cstheme="minorBidi"/>
                <w:noProof/>
                <w:sz w:val="22"/>
                <w:szCs w:val="22"/>
                <w:lang w:val="es-CR" w:eastAsia="es-CR"/>
              </w:rPr>
              <w:tab/>
            </w:r>
            <w:r w:rsidR="00576CAD" w:rsidRPr="006578D0">
              <w:rPr>
                <w:rStyle w:val="Hipervnculo"/>
                <w:noProof/>
              </w:rPr>
              <w:t>Impacto del COVID- 19 en el Plan Estratégico Institucional</w:t>
            </w:r>
            <w:r w:rsidR="00576CAD">
              <w:rPr>
                <w:noProof/>
                <w:webHidden/>
              </w:rPr>
              <w:tab/>
            </w:r>
            <w:r w:rsidR="00576CAD">
              <w:rPr>
                <w:noProof/>
                <w:webHidden/>
              </w:rPr>
              <w:fldChar w:fldCharType="begin"/>
            </w:r>
            <w:r w:rsidR="00576CAD">
              <w:rPr>
                <w:noProof/>
                <w:webHidden/>
              </w:rPr>
              <w:instrText xml:space="preserve"> PAGEREF _Toc106355294 \h </w:instrText>
            </w:r>
            <w:r w:rsidR="00576CAD">
              <w:rPr>
                <w:noProof/>
                <w:webHidden/>
              </w:rPr>
            </w:r>
            <w:r w:rsidR="00576CAD">
              <w:rPr>
                <w:noProof/>
                <w:webHidden/>
              </w:rPr>
              <w:fldChar w:fldCharType="separate"/>
            </w:r>
            <w:r w:rsidR="00681E75">
              <w:rPr>
                <w:noProof/>
                <w:webHidden/>
              </w:rPr>
              <w:t>128</w:t>
            </w:r>
            <w:r w:rsidR="00576CAD">
              <w:rPr>
                <w:noProof/>
                <w:webHidden/>
              </w:rPr>
              <w:fldChar w:fldCharType="end"/>
            </w:r>
          </w:hyperlink>
        </w:p>
        <w:p w14:paraId="4A188581" w14:textId="089CEFA7" w:rsidR="00576CAD" w:rsidRDefault="00940240">
          <w:pPr>
            <w:pStyle w:val="TDC1"/>
            <w:rPr>
              <w:rFonts w:asciiTheme="minorHAnsi" w:eastAsiaTheme="minorEastAsia" w:hAnsiTheme="minorHAnsi" w:cstheme="minorBidi"/>
              <w:noProof/>
              <w:sz w:val="22"/>
              <w:szCs w:val="22"/>
              <w:lang w:val="es-CR" w:eastAsia="es-CR"/>
            </w:rPr>
          </w:pPr>
          <w:hyperlink w:anchor="_Toc106355295" w:history="1">
            <w:r w:rsidR="00576CAD" w:rsidRPr="006578D0">
              <w:rPr>
                <w:rStyle w:val="Hipervnculo"/>
                <w:noProof/>
              </w:rPr>
              <w:t>10.</w:t>
            </w:r>
            <w:r w:rsidR="00576CAD">
              <w:rPr>
                <w:rFonts w:asciiTheme="minorHAnsi" w:eastAsiaTheme="minorEastAsia" w:hAnsiTheme="minorHAnsi" w:cstheme="minorBidi"/>
                <w:noProof/>
                <w:sz w:val="22"/>
                <w:szCs w:val="22"/>
                <w:lang w:val="es-CR" w:eastAsia="es-CR"/>
              </w:rPr>
              <w:tab/>
            </w:r>
            <w:r w:rsidR="00576CAD" w:rsidRPr="006578D0">
              <w:rPr>
                <w:rStyle w:val="Hipervnculo"/>
                <w:noProof/>
              </w:rPr>
              <w:t>Limitantes de la Evaluación</w:t>
            </w:r>
            <w:r w:rsidR="00576CAD">
              <w:rPr>
                <w:noProof/>
                <w:webHidden/>
              </w:rPr>
              <w:tab/>
            </w:r>
            <w:r w:rsidR="00576CAD">
              <w:rPr>
                <w:noProof/>
                <w:webHidden/>
              </w:rPr>
              <w:fldChar w:fldCharType="begin"/>
            </w:r>
            <w:r w:rsidR="00576CAD">
              <w:rPr>
                <w:noProof/>
                <w:webHidden/>
              </w:rPr>
              <w:instrText xml:space="preserve"> PAGEREF _Toc106355295 \h </w:instrText>
            </w:r>
            <w:r w:rsidR="00576CAD">
              <w:rPr>
                <w:noProof/>
                <w:webHidden/>
              </w:rPr>
            </w:r>
            <w:r w:rsidR="00576CAD">
              <w:rPr>
                <w:noProof/>
                <w:webHidden/>
              </w:rPr>
              <w:fldChar w:fldCharType="separate"/>
            </w:r>
            <w:r w:rsidR="00681E75">
              <w:rPr>
                <w:noProof/>
                <w:webHidden/>
              </w:rPr>
              <w:t>129</w:t>
            </w:r>
            <w:r w:rsidR="00576CAD">
              <w:rPr>
                <w:noProof/>
                <w:webHidden/>
              </w:rPr>
              <w:fldChar w:fldCharType="end"/>
            </w:r>
          </w:hyperlink>
        </w:p>
        <w:p w14:paraId="29C67F1B" w14:textId="00E2A391" w:rsidR="00576CAD" w:rsidRDefault="00940240">
          <w:pPr>
            <w:pStyle w:val="TDC1"/>
            <w:rPr>
              <w:rFonts w:asciiTheme="minorHAnsi" w:eastAsiaTheme="minorEastAsia" w:hAnsiTheme="minorHAnsi" w:cstheme="minorBidi"/>
              <w:noProof/>
              <w:sz w:val="22"/>
              <w:szCs w:val="22"/>
              <w:lang w:val="es-CR" w:eastAsia="es-CR"/>
            </w:rPr>
          </w:pPr>
          <w:hyperlink w:anchor="_Toc106355296" w:history="1">
            <w:r w:rsidR="00576CAD" w:rsidRPr="006578D0">
              <w:rPr>
                <w:rStyle w:val="Hipervnculo"/>
                <w:noProof/>
              </w:rPr>
              <w:t>11.</w:t>
            </w:r>
            <w:r w:rsidR="00576CAD">
              <w:rPr>
                <w:rFonts w:asciiTheme="minorHAnsi" w:eastAsiaTheme="minorEastAsia" w:hAnsiTheme="minorHAnsi" w:cstheme="minorBidi"/>
                <w:noProof/>
                <w:sz w:val="22"/>
                <w:szCs w:val="22"/>
                <w:lang w:val="es-CR" w:eastAsia="es-CR"/>
              </w:rPr>
              <w:tab/>
            </w:r>
            <w:r w:rsidR="00576CAD" w:rsidRPr="006578D0">
              <w:rPr>
                <w:rStyle w:val="Hipervnculo"/>
                <w:noProof/>
              </w:rPr>
              <w:t>Hallazgos de la Evaluación</w:t>
            </w:r>
            <w:r w:rsidR="00576CAD">
              <w:rPr>
                <w:noProof/>
                <w:webHidden/>
              </w:rPr>
              <w:tab/>
            </w:r>
            <w:r w:rsidR="00576CAD">
              <w:rPr>
                <w:noProof/>
                <w:webHidden/>
              </w:rPr>
              <w:fldChar w:fldCharType="begin"/>
            </w:r>
            <w:r w:rsidR="00576CAD">
              <w:rPr>
                <w:noProof/>
                <w:webHidden/>
              </w:rPr>
              <w:instrText xml:space="preserve"> PAGEREF _Toc106355296 \h </w:instrText>
            </w:r>
            <w:r w:rsidR="00576CAD">
              <w:rPr>
                <w:noProof/>
                <w:webHidden/>
              </w:rPr>
            </w:r>
            <w:r w:rsidR="00576CAD">
              <w:rPr>
                <w:noProof/>
                <w:webHidden/>
              </w:rPr>
              <w:fldChar w:fldCharType="separate"/>
            </w:r>
            <w:r w:rsidR="00681E75">
              <w:rPr>
                <w:noProof/>
                <w:webHidden/>
              </w:rPr>
              <w:t>130</w:t>
            </w:r>
            <w:r w:rsidR="00576CAD">
              <w:rPr>
                <w:noProof/>
                <w:webHidden/>
              </w:rPr>
              <w:fldChar w:fldCharType="end"/>
            </w:r>
          </w:hyperlink>
        </w:p>
        <w:p w14:paraId="3F06EF19" w14:textId="351D503D" w:rsidR="00576CAD" w:rsidRDefault="00940240">
          <w:pPr>
            <w:pStyle w:val="TDC2"/>
            <w:tabs>
              <w:tab w:val="left" w:pos="1100"/>
            </w:tabs>
            <w:rPr>
              <w:rFonts w:asciiTheme="minorHAnsi" w:eastAsiaTheme="minorEastAsia" w:hAnsiTheme="minorHAnsi" w:cstheme="minorBidi"/>
              <w:noProof/>
              <w:sz w:val="22"/>
              <w:szCs w:val="22"/>
              <w:lang w:val="es-CR" w:eastAsia="es-CR"/>
            </w:rPr>
          </w:pPr>
          <w:hyperlink w:anchor="_Toc106355297" w:history="1">
            <w:r w:rsidR="00576CAD" w:rsidRPr="006578D0">
              <w:rPr>
                <w:rStyle w:val="Hipervnculo"/>
                <w:noProof/>
              </w:rPr>
              <w:t>11.1</w:t>
            </w:r>
            <w:r w:rsidR="00576CAD">
              <w:rPr>
                <w:rFonts w:asciiTheme="minorHAnsi" w:eastAsiaTheme="minorEastAsia" w:hAnsiTheme="minorHAnsi" w:cstheme="minorBidi"/>
                <w:noProof/>
                <w:sz w:val="22"/>
                <w:szCs w:val="22"/>
                <w:lang w:val="es-CR" w:eastAsia="es-CR"/>
              </w:rPr>
              <w:tab/>
            </w:r>
            <w:r w:rsidR="00576CAD" w:rsidRPr="006578D0">
              <w:rPr>
                <w:rStyle w:val="Hipervnculo"/>
                <w:noProof/>
              </w:rPr>
              <w:t>Tema estratégico Resolución Oportuna de Conflictos</w:t>
            </w:r>
            <w:r w:rsidR="00576CAD">
              <w:rPr>
                <w:noProof/>
                <w:webHidden/>
              </w:rPr>
              <w:tab/>
            </w:r>
            <w:r w:rsidR="00576CAD">
              <w:rPr>
                <w:noProof/>
                <w:webHidden/>
              </w:rPr>
              <w:fldChar w:fldCharType="begin"/>
            </w:r>
            <w:r w:rsidR="00576CAD">
              <w:rPr>
                <w:noProof/>
                <w:webHidden/>
              </w:rPr>
              <w:instrText xml:space="preserve"> PAGEREF _Toc106355297 \h </w:instrText>
            </w:r>
            <w:r w:rsidR="00576CAD">
              <w:rPr>
                <w:noProof/>
                <w:webHidden/>
              </w:rPr>
            </w:r>
            <w:r w:rsidR="00576CAD">
              <w:rPr>
                <w:noProof/>
                <w:webHidden/>
              </w:rPr>
              <w:fldChar w:fldCharType="separate"/>
            </w:r>
            <w:r w:rsidR="00681E75">
              <w:rPr>
                <w:noProof/>
                <w:webHidden/>
              </w:rPr>
              <w:t>130</w:t>
            </w:r>
            <w:r w:rsidR="00576CAD">
              <w:rPr>
                <w:noProof/>
                <w:webHidden/>
              </w:rPr>
              <w:fldChar w:fldCharType="end"/>
            </w:r>
          </w:hyperlink>
        </w:p>
        <w:p w14:paraId="080F6615" w14:textId="3AD3DA23" w:rsidR="00576CAD" w:rsidRDefault="00940240">
          <w:pPr>
            <w:pStyle w:val="TDC2"/>
            <w:tabs>
              <w:tab w:val="left" w:pos="1100"/>
            </w:tabs>
            <w:rPr>
              <w:rFonts w:asciiTheme="minorHAnsi" w:eastAsiaTheme="minorEastAsia" w:hAnsiTheme="minorHAnsi" w:cstheme="minorBidi"/>
              <w:noProof/>
              <w:sz w:val="22"/>
              <w:szCs w:val="22"/>
              <w:lang w:val="es-CR" w:eastAsia="es-CR"/>
            </w:rPr>
          </w:pPr>
          <w:hyperlink w:anchor="_Toc106355298" w:history="1">
            <w:r w:rsidR="00576CAD" w:rsidRPr="006578D0">
              <w:rPr>
                <w:rStyle w:val="Hipervnculo"/>
                <w:noProof/>
              </w:rPr>
              <w:t>11.2</w:t>
            </w:r>
            <w:r w:rsidR="00576CAD">
              <w:rPr>
                <w:rFonts w:asciiTheme="minorHAnsi" w:eastAsiaTheme="minorEastAsia" w:hAnsiTheme="minorHAnsi" w:cstheme="minorBidi"/>
                <w:noProof/>
                <w:sz w:val="22"/>
                <w:szCs w:val="22"/>
                <w:lang w:val="es-CR" w:eastAsia="es-CR"/>
              </w:rPr>
              <w:tab/>
            </w:r>
            <w:r w:rsidR="00576CAD" w:rsidRPr="006578D0">
              <w:rPr>
                <w:rStyle w:val="Hipervnculo"/>
                <w:noProof/>
              </w:rPr>
              <w:t>Tema estratégico: Confianza y Probidad en la justicia</w:t>
            </w:r>
            <w:r w:rsidR="00576CAD">
              <w:rPr>
                <w:noProof/>
                <w:webHidden/>
              </w:rPr>
              <w:tab/>
            </w:r>
            <w:r w:rsidR="00576CAD">
              <w:rPr>
                <w:noProof/>
                <w:webHidden/>
              </w:rPr>
              <w:fldChar w:fldCharType="begin"/>
            </w:r>
            <w:r w:rsidR="00576CAD">
              <w:rPr>
                <w:noProof/>
                <w:webHidden/>
              </w:rPr>
              <w:instrText xml:space="preserve"> PAGEREF _Toc106355298 \h </w:instrText>
            </w:r>
            <w:r w:rsidR="00576CAD">
              <w:rPr>
                <w:noProof/>
                <w:webHidden/>
              </w:rPr>
            </w:r>
            <w:r w:rsidR="00576CAD">
              <w:rPr>
                <w:noProof/>
                <w:webHidden/>
              </w:rPr>
              <w:fldChar w:fldCharType="separate"/>
            </w:r>
            <w:r w:rsidR="00681E75">
              <w:rPr>
                <w:noProof/>
                <w:webHidden/>
              </w:rPr>
              <w:t>132</w:t>
            </w:r>
            <w:r w:rsidR="00576CAD">
              <w:rPr>
                <w:noProof/>
                <w:webHidden/>
              </w:rPr>
              <w:fldChar w:fldCharType="end"/>
            </w:r>
          </w:hyperlink>
        </w:p>
        <w:p w14:paraId="51CBD87E" w14:textId="5F3693A0" w:rsidR="00576CAD" w:rsidRDefault="00940240">
          <w:pPr>
            <w:pStyle w:val="TDC2"/>
            <w:tabs>
              <w:tab w:val="left" w:pos="1100"/>
            </w:tabs>
            <w:rPr>
              <w:rFonts w:asciiTheme="minorHAnsi" w:eastAsiaTheme="minorEastAsia" w:hAnsiTheme="minorHAnsi" w:cstheme="minorBidi"/>
              <w:noProof/>
              <w:sz w:val="22"/>
              <w:szCs w:val="22"/>
              <w:lang w:val="es-CR" w:eastAsia="es-CR"/>
            </w:rPr>
          </w:pPr>
          <w:hyperlink w:anchor="_Toc106355299" w:history="1">
            <w:r w:rsidR="00576CAD" w:rsidRPr="006578D0">
              <w:rPr>
                <w:rStyle w:val="Hipervnculo"/>
                <w:noProof/>
              </w:rPr>
              <w:t>11.3</w:t>
            </w:r>
            <w:r w:rsidR="00576CAD">
              <w:rPr>
                <w:rFonts w:asciiTheme="minorHAnsi" w:eastAsiaTheme="minorEastAsia" w:hAnsiTheme="minorHAnsi" w:cstheme="minorBidi"/>
                <w:noProof/>
                <w:sz w:val="22"/>
                <w:szCs w:val="22"/>
                <w:lang w:val="es-CR" w:eastAsia="es-CR"/>
              </w:rPr>
              <w:tab/>
            </w:r>
            <w:r w:rsidR="00576CAD" w:rsidRPr="006578D0">
              <w:rPr>
                <w:rStyle w:val="Hipervnculo"/>
                <w:noProof/>
              </w:rPr>
              <w:t>Tema estratégico Optimización e innovación de los servicios judiciales</w:t>
            </w:r>
            <w:r w:rsidR="00576CAD">
              <w:rPr>
                <w:noProof/>
                <w:webHidden/>
              </w:rPr>
              <w:tab/>
            </w:r>
            <w:r w:rsidR="00576CAD">
              <w:rPr>
                <w:noProof/>
                <w:webHidden/>
              </w:rPr>
              <w:fldChar w:fldCharType="begin"/>
            </w:r>
            <w:r w:rsidR="00576CAD">
              <w:rPr>
                <w:noProof/>
                <w:webHidden/>
              </w:rPr>
              <w:instrText xml:space="preserve"> PAGEREF _Toc106355299 \h </w:instrText>
            </w:r>
            <w:r w:rsidR="00576CAD">
              <w:rPr>
                <w:noProof/>
                <w:webHidden/>
              </w:rPr>
            </w:r>
            <w:r w:rsidR="00576CAD">
              <w:rPr>
                <w:noProof/>
                <w:webHidden/>
              </w:rPr>
              <w:fldChar w:fldCharType="separate"/>
            </w:r>
            <w:r w:rsidR="00681E75">
              <w:rPr>
                <w:noProof/>
                <w:webHidden/>
              </w:rPr>
              <w:t>134</w:t>
            </w:r>
            <w:r w:rsidR="00576CAD">
              <w:rPr>
                <w:noProof/>
                <w:webHidden/>
              </w:rPr>
              <w:fldChar w:fldCharType="end"/>
            </w:r>
          </w:hyperlink>
        </w:p>
        <w:p w14:paraId="143D41B4" w14:textId="2C04FC36" w:rsidR="00576CAD" w:rsidRDefault="00940240">
          <w:pPr>
            <w:pStyle w:val="TDC2"/>
            <w:tabs>
              <w:tab w:val="left" w:pos="1100"/>
            </w:tabs>
            <w:rPr>
              <w:rFonts w:asciiTheme="minorHAnsi" w:eastAsiaTheme="minorEastAsia" w:hAnsiTheme="minorHAnsi" w:cstheme="minorBidi"/>
              <w:noProof/>
              <w:sz w:val="22"/>
              <w:szCs w:val="22"/>
              <w:lang w:val="es-CR" w:eastAsia="es-CR"/>
            </w:rPr>
          </w:pPr>
          <w:hyperlink w:anchor="_Toc106355300" w:history="1">
            <w:r w:rsidR="00576CAD" w:rsidRPr="006578D0">
              <w:rPr>
                <w:rStyle w:val="Hipervnculo"/>
                <w:noProof/>
              </w:rPr>
              <w:t>11.4</w:t>
            </w:r>
            <w:r w:rsidR="00576CAD">
              <w:rPr>
                <w:rFonts w:asciiTheme="minorHAnsi" w:eastAsiaTheme="minorEastAsia" w:hAnsiTheme="minorHAnsi" w:cstheme="minorBidi"/>
                <w:noProof/>
                <w:sz w:val="22"/>
                <w:szCs w:val="22"/>
                <w:lang w:val="es-CR" w:eastAsia="es-CR"/>
              </w:rPr>
              <w:tab/>
            </w:r>
            <w:r w:rsidR="00576CAD" w:rsidRPr="006578D0">
              <w:rPr>
                <w:rStyle w:val="Hipervnculo"/>
                <w:noProof/>
              </w:rPr>
              <w:t>Tema estratégico: Gestión del personal</w:t>
            </w:r>
            <w:r w:rsidR="00576CAD">
              <w:rPr>
                <w:noProof/>
                <w:webHidden/>
              </w:rPr>
              <w:tab/>
            </w:r>
            <w:r w:rsidR="00576CAD">
              <w:rPr>
                <w:noProof/>
                <w:webHidden/>
              </w:rPr>
              <w:fldChar w:fldCharType="begin"/>
            </w:r>
            <w:r w:rsidR="00576CAD">
              <w:rPr>
                <w:noProof/>
                <w:webHidden/>
              </w:rPr>
              <w:instrText xml:space="preserve"> PAGEREF _Toc106355300 \h </w:instrText>
            </w:r>
            <w:r w:rsidR="00576CAD">
              <w:rPr>
                <w:noProof/>
                <w:webHidden/>
              </w:rPr>
            </w:r>
            <w:r w:rsidR="00576CAD">
              <w:rPr>
                <w:noProof/>
                <w:webHidden/>
              </w:rPr>
              <w:fldChar w:fldCharType="separate"/>
            </w:r>
            <w:r w:rsidR="00681E75">
              <w:rPr>
                <w:noProof/>
                <w:webHidden/>
              </w:rPr>
              <w:t>135</w:t>
            </w:r>
            <w:r w:rsidR="00576CAD">
              <w:rPr>
                <w:noProof/>
                <w:webHidden/>
              </w:rPr>
              <w:fldChar w:fldCharType="end"/>
            </w:r>
          </w:hyperlink>
        </w:p>
        <w:p w14:paraId="0D0E4766" w14:textId="4A56FE26" w:rsidR="00576CAD" w:rsidRDefault="00940240">
          <w:pPr>
            <w:pStyle w:val="TDC2"/>
            <w:tabs>
              <w:tab w:val="left" w:pos="1100"/>
            </w:tabs>
            <w:rPr>
              <w:rFonts w:asciiTheme="minorHAnsi" w:eastAsiaTheme="minorEastAsia" w:hAnsiTheme="minorHAnsi" w:cstheme="minorBidi"/>
              <w:noProof/>
              <w:sz w:val="22"/>
              <w:szCs w:val="22"/>
              <w:lang w:val="es-CR" w:eastAsia="es-CR"/>
            </w:rPr>
          </w:pPr>
          <w:hyperlink w:anchor="_Toc106355301" w:history="1">
            <w:r w:rsidR="00576CAD" w:rsidRPr="006578D0">
              <w:rPr>
                <w:rStyle w:val="Hipervnculo"/>
                <w:noProof/>
              </w:rPr>
              <w:t>11.5</w:t>
            </w:r>
            <w:r w:rsidR="00576CAD">
              <w:rPr>
                <w:rFonts w:asciiTheme="minorHAnsi" w:eastAsiaTheme="minorEastAsia" w:hAnsiTheme="minorHAnsi" w:cstheme="minorBidi"/>
                <w:noProof/>
                <w:sz w:val="22"/>
                <w:szCs w:val="22"/>
                <w:lang w:val="es-CR" w:eastAsia="es-CR"/>
              </w:rPr>
              <w:tab/>
            </w:r>
            <w:r w:rsidR="00576CAD" w:rsidRPr="006578D0">
              <w:rPr>
                <w:rStyle w:val="Hipervnculo"/>
                <w:noProof/>
              </w:rPr>
              <w:t>Tema estratégico: Planificación Institucional</w:t>
            </w:r>
            <w:r w:rsidR="00576CAD">
              <w:rPr>
                <w:noProof/>
                <w:webHidden/>
              </w:rPr>
              <w:tab/>
            </w:r>
            <w:r w:rsidR="00576CAD">
              <w:rPr>
                <w:noProof/>
                <w:webHidden/>
              </w:rPr>
              <w:fldChar w:fldCharType="begin"/>
            </w:r>
            <w:r w:rsidR="00576CAD">
              <w:rPr>
                <w:noProof/>
                <w:webHidden/>
              </w:rPr>
              <w:instrText xml:space="preserve"> PAGEREF _Toc106355301 \h </w:instrText>
            </w:r>
            <w:r w:rsidR="00576CAD">
              <w:rPr>
                <w:noProof/>
                <w:webHidden/>
              </w:rPr>
            </w:r>
            <w:r w:rsidR="00576CAD">
              <w:rPr>
                <w:noProof/>
                <w:webHidden/>
              </w:rPr>
              <w:fldChar w:fldCharType="separate"/>
            </w:r>
            <w:r w:rsidR="00681E75">
              <w:rPr>
                <w:noProof/>
                <w:webHidden/>
              </w:rPr>
              <w:t>136</w:t>
            </w:r>
            <w:r w:rsidR="00576CAD">
              <w:rPr>
                <w:noProof/>
                <w:webHidden/>
              </w:rPr>
              <w:fldChar w:fldCharType="end"/>
            </w:r>
          </w:hyperlink>
        </w:p>
        <w:p w14:paraId="77D5BF96" w14:textId="4B2F3A6C" w:rsidR="00576CAD" w:rsidRDefault="00940240">
          <w:pPr>
            <w:pStyle w:val="TDC1"/>
            <w:rPr>
              <w:rFonts w:asciiTheme="minorHAnsi" w:eastAsiaTheme="minorEastAsia" w:hAnsiTheme="minorHAnsi" w:cstheme="minorBidi"/>
              <w:noProof/>
              <w:sz w:val="22"/>
              <w:szCs w:val="22"/>
              <w:lang w:val="es-CR" w:eastAsia="es-CR"/>
            </w:rPr>
          </w:pPr>
          <w:hyperlink w:anchor="_Toc106355302" w:history="1">
            <w:r w:rsidR="00576CAD" w:rsidRPr="006578D0">
              <w:rPr>
                <w:rStyle w:val="Hipervnculo"/>
                <w:noProof/>
              </w:rPr>
              <w:t>12.</w:t>
            </w:r>
            <w:r w:rsidR="00576CAD">
              <w:rPr>
                <w:rFonts w:asciiTheme="minorHAnsi" w:eastAsiaTheme="minorEastAsia" w:hAnsiTheme="minorHAnsi" w:cstheme="minorBidi"/>
                <w:noProof/>
                <w:sz w:val="22"/>
                <w:szCs w:val="22"/>
                <w:lang w:val="es-CR" w:eastAsia="es-CR"/>
              </w:rPr>
              <w:tab/>
            </w:r>
            <w:r w:rsidR="00576CAD" w:rsidRPr="006578D0">
              <w:rPr>
                <w:rStyle w:val="Hipervnculo"/>
                <w:noProof/>
              </w:rPr>
              <w:t>Conclusiones</w:t>
            </w:r>
            <w:r w:rsidR="00576CAD">
              <w:rPr>
                <w:noProof/>
                <w:webHidden/>
              </w:rPr>
              <w:tab/>
            </w:r>
            <w:r w:rsidR="00576CAD">
              <w:rPr>
                <w:noProof/>
                <w:webHidden/>
              </w:rPr>
              <w:fldChar w:fldCharType="begin"/>
            </w:r>
            <w:r w:rsidR="00576CAD">
              <w:rPr>
                <w:noProof/>
                <w:webHidden/>
              </w:rPr>
              <w:instrText xml:space="preserve"> PAGEREF _Toc106355302 \h </w:instrText>
            </w:r>
            <w:r w:rsidR="00576CAD">
              <w:rPr>
                <w:noProof/>
                <w:webHidden/>
              </w:rPr>
            </w:r>
            <w:r w:rsidR="00576CAD">
              <w:rPr>
                <w:noProof/>
                <w:webHidden/>
              </w:rPr>
              <w:fldChar w:fldCharType="separate"/>
            </w:r>
            <w:r w:rsidR="00681E75">
              <w:rPr>
                <w:noProof/>
                <w:webHidden/>
              </w:rPr>
              <w:t>139</w:t>
            </w:r>
            <w:r w:rsidR="00576CAD">
              <w:rPr>
                <w:noProof/>
                <w:webHidden/>
              </w:rPr>
              <w:fldChar w:fldCharType="end"/>
            </w:r>
          </w:hyperlink>
        </w:p>
        <w:p w14:paraId="5E23CBC9" w14:textId="72ACD8FB" w:rsidR="00576CAD" w:rsidRDefault="00940240">
          <w:pPr>
            <w:pStyle w:val="TDC1"/>
            <w:rPr>
              <w:rFonts w:asciiTheme="minorHAnsi" w:eastAsiaTheme="minorEastAsia" w:hAnsiTheme="minorHAnsi" w:cstheme="minorBidi"/>
              <w:noProof/>
              <w:sz w:val="22"/>
              <w:szCs w:val="22"/>
              <w:lang w:val="es-CR" w:eastAsia="es-CR"/>
            </w:rPr>
          </w:pPr>
          <w:hyperlink w:anchor="_Toc106355303" w:history="1">
            <w:r w:rsidR="00576CAD" w:rsidRPr="006578D0">
              <w:rPr>
                <w:rStyle w:val="Hipervnculo"/>
                <w:rFonts w:eastAsia="Calibri"/>
                <w:noProof/>
              </w:rPr>
              <w:t>13.</w:t>
            </w:r>
            <w:r w:rsidR="00576CAD">
              <w:rPr>
                <w:rFonts w:asciiTheme="minorHAnsi" w:eastAsiaTheme="minorEastAsia" w:hAnsiTheme="minorHAnsi" w:cstheme="minorBidi"/>
                <w:noProof/>
                <w:sz w:val="22"/>
                <w:szCs w:val="22"/>
                <w:lang w:val="es-CR" w:eastAsia="es-CR"/>
              </w:rPr>
              <w:tab/>
            </w:r>
            <w:r w:rsidR="00576CAD" w:rsidRPr="006578D0">
              <w:rPr>
                <w:rStyle w:val="Hipervnculo"/>
                <w:rFonts w:eastAsia="Calibri"/>
                <w:noProof/>
              </w:rPr>
              <w:t>Observaciones emitidas al informe preliminar 499-PLA-EV-2022</w:t>
            </w:r>
            <w:r w:rsidR="00576CAD">
              <w:rPr>
                <w:noProof/>
                <w:webHidden/>
              </w:rPr>
              <w:tab/>
            </w:r>
            <w:r w:rsidR="00576CAD">
              <w:rPr>
                <w:noProof/>
                <w:webHidden/>
              </w:rPr>
              <w:fldChar w:fldCharType="begin"/>
            </w:r>
            <w:r w:rsidR="00576CAD">
              <w:rPr>
                <w:noProof/>
                <w:webHidden/>
              </w:rPr>
              <w:instrText xml:space="preserve"> PAGEREF _Toc106355303 \h </w:instrText>
            </w:r>
            <w:r w:rsidR="00576CAD">
              <w:rPr>
                <w:noProof/>
                <w:webHidden/>
              </w:rPr>
            </w:r>
            <w:r w:rsidR="00576CAD">
              <w:rPr>
                <w:noProof/>
                <w:webHidden/>
              </w:rPr>
              <w:fldChar w:fldCharType="separate"/>
            </w:r>
            <w:r w:rsidR="00681E75">
              <w:rPr>
                <w:noProof/>
                <w:webHidden/>
              </w:rPr>
              <w:t>144</w:t>
            </w:r>
            <w:r w:rsidR="00576CAD">
              <w:rPr>
                <w:noProof/>
                <w:webHidden/>
              </w:rPr>
              <w:fldChar w:fldCharType="end"/>
            </w:r>
          </w:hyperlink>
        </w:p>
        <w:p w14:paraId="1E4DC63F" w14:textId="4C874DE2" w:rsidR="00576CAD" w:rsidRDefault="00940240">
          <w:pPr>
            <w:pStyle w:val="TDC1"/>
            <w:rPr>
              <w:rFonts w:asciiTheme="minorHAnsi" w:eastAsiaTheme="minorEastAsia" w:hAnsiTheme="minorHAnsi" w:cstheme="minorBidi"/>
              <w:noProof/>
              <w:sz w:val="22"/>
              <w:szCs w:val="22"/>
              <w:lang w:val="es-CR" w:eastAsia="es-CR"/>
            </w:rPr>
          </w:pPr>
          <w:hyperlink w:anchor="_Toc106355304" w:history="1">
            <w:r w:rsidR="00576CAD" w:rsidRPr="006578D0">
              <w:rPr>
                <w:rStyle w:val="Hipervnculo"/>
                <w:noProof/>
              </w:rPr>
              <w:t>14.</w:t>
            </w:r>
            <w:r w:rsidR="00576CAD">
              <w:rPr>
                <w:rFonts w:asciiTheme="minorHAnsi" w:eastAsiaTheme="minorEastAsia" w:hAnsiTheme="minorHAnsi" w:cstheme="minorBidi"/>
                <w:noProof/>
                <w:sz w:val="22"/>
                <w:szCs w:val="22"/>
                <w:lang w:val="es-CR" w:eastAsia="es-CR"/>
              </w:rPr>
              <w:tab/>
            </w:r>
            <w:r w:rsidR="00576CAD" w:rsidRPr="006578D0">
              <w:rPr>
                <w:rStyle w:val="Hipervnculo"/>
                <w:noProof/>
              </w:rPr>
              <w:t>Recomendaciones</w:t>
            </w:r>
            <w:r w:rsidR="00576CAD">
              <w:rPr>
                <w:noProof/>
                <w:webHidden/>
              </w:rPr>
              <w:tab/>
            </w:r>
            <w:r w:rsidR="00576CAD">
              <w:rPr>
                <w:noProof/>
                <w:webHidden/>
              </w:rPr>
              <w:fldChar w:fldCharType="begin"/>
            </w:r>
            <w:r w:rsidR="00576CAD">
              <w:rPr>
                <w:noProof/>
                <w:webHidden/>
              </w:rPr>
              <w:instrText xml:space="preserve"> PAGEREF _Toc106355304 \h </w:instrText>
            </w:r>
            <w:r w:rsidR="00576CAD">
              <w:rPr>
                <w:noProof/>
                <w:webHidden/>
              </w:rPr>
            </w:r>
            <w:r w:rsidR="00576CAD">
              <w:rPr>
                <w:noProof/>
                <w:webHidden/>
              </w:rPr>
              <w:fldChar w:fldCharType="separate"/>
            </w:r>
            <w:r w:rsidR="00681E75">
              <w:rPr>
                <w:noProof/>
                <w:webHidden/>
              </w:rPr>
              <w:t>159</w:t>
            </w:r>
            <w:r w:rsidR="00576CAD">
              <w:rPr>
                <w:noProof/>
                <w:webHidden/>
              </w:rPr>
              <w:fldChar w:fldCharType="end"/>
            </w:r>
          </w:hyperlink>
        </w:p>
        <w:p w14:paraId="28BB2BC4" w14:textId="5A19C02F" w:rsidR="00576CAD" w:rsidRDefault="00940240">
          <w:pPr>
            <w:pStyle w:val="TDC2"/>
            <w:tabs>
              <w:tab w:val="left" w:pos="1100"/>
            </w:tabs>
            <w:rPr>
              <w:rFonts w:asciiTheme="minorHAnsi" w:eastAsiaTheme="minorEastAsia" w:hAnsiTheme="minorHAnsi" w:cstheme="minorBidi"/>
              <w:noProof/>
              <w:sz w:val="22"/>
              <w:szCs w:val="22"/>
              <w:lang w:val="es-CR" w:eastAsia="es-CR"/>
            </w:rPr>
          </w:pPr>
          <w:hyperlink w:anchor="_Toc106355305" w:history="1">
            <w:r w:rsidR="00576CAD" w:rsidRPr="006578D0">
              <w:rPr>
                <w:rStyle w:val="Hipervnculo"/>
                <w:noProof/>
              </w:rPr>
              <w:t>14.1</w:t>
            </w:r>
            <w:r w:rsidR="00576CAD">
              <w:rPr>
                <w:rFonts w:asciiTheme="minorHAnsi" w:eastAsiaTheme="minorEastAsia" w:hAnsiTheme="minorHAnsi" w:cstheme="minorBidi"/>
                <w:noProof/>
                <w:sz w:val="22"/>
                <w:szCs w:val="22"/>
                <w:lang w:val="es-CR" w:eastAsia="es-CR"/>
              </w:rPr>
              <w:tab/>
            </w:r>
            <w:r w:rsidR="00576CAD" w:rsidRPr="006578D0">
              <w:rPr>
                <w:rStyle w:val="Hipervnculo"/>
                <w:noProof/>
              </w:rPr>
              <w:t>Recomendaciones al Consejo Superior</w:t>
            </w:r>
            <w:r w:rsidR="00576CAD">
              <w:rPr>
                <w:noProof/>
                <w:webHidden/>
              </w:rPr>
              <w:tab/>
            </w:r>
            <w:r w:rsidR="00576CAD">
              <w:rPr>
                <w:noProof/>
                <w:webHidden/>
              </w:rPr>
              <w:fldChar w:fldCharType="begin"/>
            </w:r>
            <w:r w:rsidR="00576CAD">
              <w:rPr>
                <w:noProof/>
                <w:webHidden/>
              </w:rPr>
              <w:instrText xml:space="preserve"> PAGEREF _Toc106355305 \h </w:instrText>
            </w:r>
            <w:r w:rsidR="00576CAD">
              <w:rPr>
                <w:noProof/>
                <w:webHidden/>
              </w:rPr>
            </w:r>
            <w:r w:rsidR="00576CAD">
              <w:rPr>
                <w:noProof/>
                <w:webHidden/>
              </w:rPr>
              <w:fldChar w:fldCharType="separate"/>
            </w:r>
            <w:r w:rsidR="00681E75">
              <w:rPr>
                <w:noProof/>
                <w:webHidden/>
              </w:rPr>
              <w:t>159</w:t>
            </w:r>
            <w:r w:rsidR="00576CAD">
              <w:rPr>
                <w:noProof/>
                <w:webHidden/>
              </w:rPr>
              <w:fldChar w:fldCharType="end"/>
            </w:r>
          </w:hyperlink>
        </w:p>
        <w:p w14:paraId="2F8ABF9E" w14:textId="676FE8B6" w:rsidR="00576CAD" w:rsidRDefault="00940240">
          <w:pPr>
            <w:pStyle w:val="TDC2"/>
            <w:tabs>
              <w:tab w:val="left" w:pos="1100"/>
            </w:tabs>
            <w:rPr>
              <w:rFonts w:asciiTheme="minorHAnsi" w:eastAsiaTheme="minorEastAsia" w:hAnsiTheme="minorHAnsi" w:cstheme="minorBidi"/>
              <w:noProof/>
              <w:sz w:val="22"/>
              <w:szCs w:val="22"/>
              <w:lang w:val="es-CR" w:eastAsia="es-CR"/>
            </w:rPr>
          </w:pPr>
          <w:hyperlink w:anchor="_Toc106355306" w:history="1">
            <w:r w:rsidR="00576CAD" w:rsidRPr="006578D0">
              <w:rPr>
                <w:rStyle w:val="Hipervnculo"/>
                <w:noProof/>
              </w:rPr>
              <w:t>14.2</w:t>
            </w:r>
            <w:r w:rsidR="00576CAD">
              <w:rPr>
                <w:rFonts w:asciiTheme="minorHAnsi" w:eastAsiaTheme="minorEastAsia" w:hAnsiTheme="minorHAnsi" w:cstheme="minorBidi"/>
                <w:noProof/>
                <w:sz w:val="22"/>
                <w:szCs w:val="22"/>
                <w:lang w:val="es-CR" w:eastAsia="es-CR"/>
              </w:rPr>
              <w:tab/>
            </w:r>
            <w:r w:rsidR="00576CAD" w:rsidRPr="006578D0">
              <w:rPr>
                <w:rStyle w:val="Hipervnculo"/>
                <w:noProof/>
              </w:rPr>
              <w:t>Recomendaciones a los Responsables Estratégicos</w:t>
            </w:r>
            <w:r w:rsidR="00576CAD">
              <w:rPr>
                <w:noProof/>
                <w:webHidden/>
              </w:rPr>
              <w:tab/>
            </w:r>
            <w:r w:rsidR="00576CAD">
              <w:rPr>
                <w:noProof/>
                <w:webHidden/>
              </w:rPr>
              <w:fldChar w:fldCharType="begin"/>
            </w:r>
            <w:r w:rsidR="00576CAD">
              <w:rPr>
                <w:noProof/>
                <w:webHidden/>
              </w:rPr>
              <w:instrText xml:space="preserve"> PAGEREF _Toc106355306 \h </w:instrText>
            </w:r>
            <w:r w:rsidR="00576CAD">
              <w:rPr>
                <w:noProof/>
                <w:webHidden/>
              </w:rPr>
            </w:r>
            <w:r w:rsidR="00576CAD">
              <w:rPr>
                <w:noProof/>
                <w:webHidden/>
              </w:rPr>
              <w:fldChar w:fldCharType="separate"/>
            </w:r>
            <w:r w:rsidR="00681E75">
              <w:rPr>
                <w:noProof/>
                <w:webHidden/>
              </w:rPr>
              <w:t>159</w:t>
            </w:r>
            <w:r w:rsidR="00576CAD">
              <w:rPr>
                <w:noProof/>
                <w:webHidden/>
              </w:rPr>
              <w:fldChar w:fldCharType="end"/>
            </w:r>
          </w:hyperlink>
        </w:p>
        <w:p w14:paraId="78E5D9D3" w14:textId="5CBD1A11" w:rsidR="00576CAD" w:rsidRDefault="00940240">
          <w:pPr>
            <w:pStyle w:val="TDC2"/>
            <w:tabs>
              <w:tab w:val="left" w:pos="1100"/>
            </w:tabs>
            <w:rPr>
              <w:rFonts w:asciiTheme="minorHAnsi" w:eastAsiaTheme="minorEastAsia" w:hAnsiTheme="minorHAnsi" w:cstheme="minorBidi"/>
              <w:noProof/>
              <w:sz w:val="22"/>
              <w:szCs w:val="22"/>
              <w:lang w:val="es-CR" w:eastAsia="es-CR"/>
            </w:rPr>
          </w:pPr>
          <w:hyperlink w:anchor="_Toc106355307" w:history="1">
            <w:r w:rsidR="00576CAD" w:rsidRPr="006578D0">
              <w:rPr>
                <w:rStyle w:val="Hipervnculo"/>
                <w:noProof/>
              </w:rPr>
              <w:t>14.3</w:t>
            </w:r>
            <w:r w:rsidR="00576CAD">
              <w:rPr>
                <w:rFonts w:asciiTheme="minorHAnsi" w:eastAsiaTheme="minorEastAsia" w:hAnsiTheme="minorHAnsi" w:cstheme="minorBidi"/>
                <w:noProof/>
                <w:sz w:val="22"/>
                <w:szCs w:val="22"/>
                <w:lang w:val="es-CR" w:eastAsia="es-CR"/>
              </w:rPr>
              <w:tab/>
            </w:r>
            <w:r w:rsidR="00576CAD" w:rsidRPr="006578D0">
              <w:rPr>
                <w:rStyle w:val="Hipervnculo"/>
                <w:noProof/>
              </w:rPr>
              <w:t>Recomendaciones al Subproceso de Planificación Estratégica de la Dirección de Planificación</w:t>
            </w:r>
            <w:r w:rsidR="00576CAD">
              <w:rPr>
                <w:noProof/>
                <w:webHidden/>
              </w:rPr>
              <w:tab/>
            </w:r>
            <w:r w:rsidR="00576CAD">
              <w:rPr>
                <w:noProof/>
                <w:webHidden/>
              </w:rPr>
              <w:fldChar w:fldCharType="begin"/>
            </w:r>
            <w:r w:rsidR="00576CAD">
              <w:rPr>
                <w:noProof/>
                <w:webHidden/>
              </w:rPr>
              <w:instrText xml:space="preserve"> PAGEREF _Toc106355307 \h </w:instrText>
            </w:r>
            <w:r w:rsidR="00576CAD">
              <w:rPr>
                <w:noProof/>
                <w:webHidden/>
              </w:rPr>
            </w:r>
            <w:r w:rsidR="00576CAD">
              <w:rPr>
                <w:noProof/>
                <w:webHidden/>
              </w:rPr>
              <w:fldChar w:fldCharType="separate"/>
            </w:r>
            <w:r w:rsidR="00681E75">
              <w:rPr>
                <w:noProof/>
                <w:webHidden/>
              </w:rPr>
              <w:t>163</w:t>
            </w:r>
            <w:r w:rsidR="00576CAD">
              <w:rPr>
                <w:noProof/>
                <w:webHidden/>
              </w:rPr>
              <w:fldChar w:fldCharType="end"/>
            </w:r>
          </w:hyperlink>
        </w:p>
        <w:p w14:paraId="24E27428" w14:textId="0F96B389" w:rsidR="00576CAD" w:rsidRDefault="00940240" w:rsidP="00345B2C">
          <w:pPr>
            <w:pStyle w:val="TDC1"/>
            <w:rPr>
              <w:rFonts w:asciiTheme="minorHAnsi" w:eastAsiaTheme="minorEastAsia" w:hAnsiTheme="minorHAnsi" w:cstheme="minorBidi"/>
              <w:noProof/>
              <w:sz w:val="22"/>
              <w:szCs w:val="22"/>
              <w:lang w:val="es-CR" w:eastAsia="es-CR"/>
            </w:rPr>
          </w:pPr>
          <w:hyperlink w:anchor="_Toc106355308" w:history="1">
            <w:r w:rsidR="00576CAD" w:rsidRPr="006578D0">
              <w:rPr>
                <w:rStyle w:val="Hipervnculo"/>
                <w:noProof/>
              </w:rPr>
              <w:t>13</w:t>
            </w:r>
            <w:r w:rsidR="00576CAD">
              <w:rPr>
                <w:rFonts w:asciiTheme="minorHAnsi" w:eastAsiaTheme="minorEastAsia" w:hAnsiTheme="minorHAnsi" w:cstheme="minorBidi"/>
                <w:noProof/>
                <w:sz w:val="22"/>
                <w:szCs w:val="22"/>
                <w:lang w:val="es-CR" w:eastAsia="es-CR"/>
              </w:rPr>
              <w:tab/>
            </w:r>
            <w:r w:rsidR="00576CAD" w:rsidRPr="006578D0">
              <w:rPr>
                <w:rStyle w:val="Hipervnculo"/>
                <w:noProof/>
              </w:rPr>
              <w:t>Anexos</w:t>
            </w:r>
            <w:r w:rsidR="00576CAD">
              <w:rPr>
                <w:noProof/>
                <w:webHidden/>
              </w:rPr>
              <w:tab/>
            </w:r>
            <w:r w:rsidR="00576CAD">
              <w:rPr>
                <w:noProof/>
                <w:webHidden/>
              </w:rPr>
              <w:fldChar w:fldCharType="begin"/>
            </w:r>
            <w:r w:rsidR="00576CAD">
              <w:rPr>
                <w:noProof/>
                <w:webHidden/>
              </w:rPr>
              <w:instrText xml:space="preserve"> PAGEREF _Toc106355308 \h </w:instrText>
            </w:r>
            <w:r w:rsidR="00576CAD">
              <w:rPr>
                <w:noProof/>
                <w:webHidden/>
              </w:rPr>
            </w:r>
            <w:r w:rsidR="00576CAD">
              <w:rPr>
                <w:noProof/>
                <w:webHidden/>
              </w:rPr>
              <w:fldChar w:fldCharType="separate"/>
            </w:r>
            <w:r w:rsidR="00681E75">
              <w:rPr>
                <w:noProof/>
                <w:webHidden/>
              </w:rPr>
              <w:t>164</w:t>
            </w:r>
            <w:r w:rsidR="00576CAD">
              <w:rPr>
                <w:noProof/>
                <w:webHidden/>
              </w:rPr>
              <w:fldChar w:fldCharType="end"/>
            </w:r>
          </w:hyperlink>
        </w:p>
        <w:p w14:paraId="4A5F2E8F" w14:textId="712228CF" w:rsidR="00803E02" w:rsidRPr="00CC279A" w:rsidRDefault="005543E0" w:rsidP="00CC279A">
          <w:pPr>
            <w:spacing w:line="360" w:lineRule="auto"/>
            <w:ind w:right="-143"/>
            <w:jc w:val="both"/>
            <w:rPr>
              <w:rFonts w:ascii="Arial Narrow" w:hAnsi="Arial Narrow"/>
              <w:b/>
              <w:bCs/>
              <w:sz w:val="22"/>
              <w:szCs w:val="22"/>
            </w:rPr>
          </w:pPr>
          <w:r w:rsidRPr="000174EC">
            <w:rPr>
              <w:rFonts w:ascii="Arial Narrow" w:hAnsi="Arial Narrow"/>
              <w:b/>
              <w:bCs/>
              <w:sz w:val="22"/>
              <w:szCs w:val="22"/>
            </w:rPr>
            <w:fldChar w:fldCharType="end"/>
          </w:r>
        </w:p>
      </w:sdtContent>
    </w:sdt>
    <w:p w14:paraId="2193D72A" w14:textId="3FB21B02" w:rsidR="007B4E4C" w:rsidRPr="00CC279A" w:rsidRDefault="007B4E4C" w:rsidP="00CC279A">
      <w:pPr>
        <w:spacing w:line="360" w:lineRule="auto"/>
        <w:ind w:left="709" w:right="-143"/>
        <w:jc w:val="both"/>
        <w:rPr>
          <w:rFonts w:ascii="Arial Narrow" w:eastAsia="Calibri" w:hAnsi="Arial Narrow"/>
          <w:b/>
          <w:bCs/>
          <w:sz w:val="22"/>
          <w:szCs w:val="22"/>
        </w:rPr>
      </w:pPr>
    </w:p>
    <w:p w14:paraId="3BB04CEC" w14:textId="4B00FE62" w:rsidR="00B717B9" w:rsidRDefault="00B2481C">
      <w:pPr>
        <w:spacing w:line="360" w:lineRule="auto"/>
        <w:ind w:left="709" w:right="-143"/>
        <w:jc w:val="center"/>
        <w:rPr>
          <w:rFonts w:ascii="Arial Narrow" w:eastAsia="Calibri" w:hAnsi="Arial Narrow"/>
          <w:b/>
          <w:bCs/>
          <w:sz w:val="22"/>
          <w:szCs w:val="22"/>
        </w:rPr>
      </w:pPr>
      <w:r w:rsidRPr="00CC279A">
        <w:rPr>
          <w:rFonts w:ascii="Arial Narrow" w:eastAsia="Calibri" w:hAnsi="Arial Narrow"/>
          <w:b/>
          <w:bCs/>
          <w:sz w:val="22"/>
          <w:szCs w:val="22"/>
        </w:rPr>
        <w:t>Índice de</w:t>
      </w:r>
      <w:r w:rsidR="00665D61" w:rsidRPr="00CC279A">
        <w:rPr>
          <w:rFonts w:ascii="Arial Narrow" w:eastAsia="Calibri" w:hAnsi="Arial Narrow"/>
          <w:b/>
          <w:bCs/>
          <w:sz w:val="22"/>
          <w:szCs w:val="22"/>
        </w:rPr>
        <w:t xml:space="preserve"> Cuadros</w:t>
      </w:r>
      <w:r w:rsidR="00D657CE" w:rsidRPr="00CC279A">
        <w:rPr>
          <w:rFonts w:ascii="Arial Narrow" w:eastAsia="Calibri" w:hAnsi="Arial Narrow"/>
          <w:b/>
          <w:bCs/>
          <w:sz w:val="22"/>
          <w:szCs w:val="22"/>
        </w:rPr>
        <w:t xml:space="preserve"> </w:t>
      </w:r>
      <w:r w:rsidR="00032340" w:rsidRPr="002068F7">
        <w:rPr>
          <w:rFonts w:ascii="Arial Narrow" w:eastAsia="Calibri" w:hAnsi="Arial Narrow"/>
          <w:b/>
          <w:bCs/>
          <w:sz w:val="22"/>
          <w:szCs w:val="22"/>
        </w:rPr>
        <w:t>por Tema Estratégico</w:t>
      </w:r>
    </w:p>
    <w:p w14:paraId="217A57D6" w14:textId="77777777" w:rsidR="002068F7" w:rsidRPr="00CC279A" w:rsidRDefault="002068F7" w:rsidP="00CC279A">
      <w:pPr>
        <w:spacing w:line="360" w:lineRule="auto"/>
        <w:ind w:left="709" w:right="-143"/>
        <w:jc w:val="center"/>
        <w:rPr>
          <w:rFonts w:ascii="Arial Narrow" w:eastAsia="Calibri" w:hAnsi="Arial Narrow"/>
          <w:b/>
          <w:bCs/>
          <w:sz w:val="22"/>
          <w:szCs w:val="22"/>
        </w:rPr>
      </w:pPr>
    </w:p>
    <w:p w14:paraId="0E44D122" w14:textId="0A7880EF" w:rsidR="00187CB4" w:rsidRPr="0025402E" w:rsidRDefault="00187CB4" w:rsidP="00132A44">
      <w:pPr>
        <w:pStyle w:val="Prrafodelista"/>
        <w:numPr>
          <w:ilvl w:val="0"/>
          <w:numId w:val="50"/>
        </w:numPr>
        <w:spacing w:line="360" w:lineRule="auto"/>
        <w:ind w:right="-143"/>
        <w:jc w:val="both"/>
        <w:rPr>
          <w:rStyle w:val="Hipervnculo"/>
          <w:noProof/>
          <w:color w:val="auto"/>
          <w:sz w:val="22"/>
          <w:szCs w:val="22"/>
        </w:rPr>
      </w:pPr>
      <w:r w:rsidRPr="0025402E">
        <w:rPr>
          <w:rStyle w:val="Hipervnculo"/>
          <w:noProof/>
          <w:color w:val="auto"/>
          <w:sz w:val="22"/>
          <w:szCs w:val="22"/>
        </w:rPr>
        <w:t xml:space="preserve">Cuadros de Resolución Oportuna de Conflictos: </w:t>
      </w:r>
      <w:r w:rsidRPr="00132A44">
        <w:rPr>
          <w:rStyle w:val="Hipervnculo"/>
          <w:noProof/>
          <w:color w:val="auto"/>
          <w:sz w:val="22"/>
          <w:szCs w:val="22"/>
        </w:rPr>
        <w:t>Del cuadro 1</w:t>
      </w:r>
      <w:r w:rsidRPr="0025402E">
        <w:rPr>
          <w:rStyle w:val="Hipervnculo"/>
          <w:noProof/>
          <w:color w:val="auto"/>
          <w:sz w:val="22"/>
          <w:szCs w:val="22"/>
        </w:rPr>
        <w:t>-</w:t>
      </w:r>
      <w:r w:rsidR="00F63C12" w:rsidRPr="0025402E">
        <w:rPr>
          <w:rStyle w:val="Hipervnculo"/>
          <w:noProof/>
          <w:color w:val="auto"/>
          <w:sz w:val="22"/>
          <w:szCs w:val="22"/>
        </w:rPr>
        <w:t>32</w:t>
      </w:r>
    </w:p>
    <w:p w14:paraId="755F9EAB" w14:textId="6094B6D0" w:rsidR="00187CB4" w:rsidRPr="0025402E" w:rsidRDefault="00187CB4" w:rsidP="00132A44">
      <w:pPr>
        <w:pStyle w:val="Prrafodelista"/>
        <w:numPr>
          <w:ilvl w:val="0"/>
          <w:numId w:val="50"/>
        </w:numPr>
        <w:spacing w:line="360" w:lineRule="auto"/>
        <w:ind w:right="-143"/>
        <w:jc w:val="both"/>
        <w:rPr>
          <w:rStyle w:val="Hipervnculo"/>
          <w:noProof/>
          <w:color w:val="auto"/>
          <w:sz w:val="22"/>
          <w:szCs w:val="22"/>
        </w:rPr>
      </w:pPr>
      <w:r w:rsidRPr="0025402E">
        <w:rPr>
          <w:rStyle w:val="Hipervnculo"/>
          <w:noProof/>
          <w:color w:val="auto"/>
          <w:sz w:val="22"/>
          <w:szCs w:val="22"/>
        </w:rPr>
        <w:t xml:space="preserve">Cuadros de Confianza y Probidad: Del cuadro </w:t>
      </w:r>
      <w:r w:rsidR="00F63C12" w:rsidRPr="0025402E">
        <w:rPr>
          <w:rStyle w:val="Hipervnculo"/>
          <w:noProof/>
          <w:color w:val="auto"/>
          <w:sz w:val="22"/>
          <w:szCs w:val="22"/>
        </w:rPr>
        <w:t>33</w:t>
      </w:r>
      <w:r w:rsidRPr="0025402E">
        <w:rPr>
          <w:rStyle w:val="Hipervnculo"/>
          <w:noProof/>
          <w:color w:val="auto"/>
          <w:sz w:val="22"/>
          <w:szCs w:val="22"/>
        </w:rPr>
        <w:t>-</w:t>
      </w:r>
      <w:r w:rsidR="00F63C12" w:rsidRPr="0025402E">
        <w:rPr>
          <w:rStyle w:val="Hipervnculo"/>
          <w:noProof/>
          <w:color w:val="auto"/>
          <w:sz w:val="22"/>
          <w:szCs w:val="22"/>
        </w:rPr>
        <w:t>43</w:t>
      </w:r>
    </w:p>
    <w:p w14:paraId="7DEF857C" w14:textId="6E0FA008" w:rsidR="00187CB4" w:rsidRPr="0025402E" w:rsidRDefault="00187CB4" w:rsidP="00132A44">
      <w:pPr>
        <w:pStyle w:val="Prrafodelista"/>
        <w:numPr>
          <w:ilvl w:val="0"/>
          <w:numId w:val="50"/>
        </w:numPr>
        <w:spacing w:line="360" w:lineRule="auto"/>
        <w:ind w:right="-143"/>
        <w:jc w:val="both"/>
        <w:rPr>
          <w:rStyle w:val="Hipervnculo"/>
          <w:noProof/>
          <w:color w:val="auto"/>
          <w:sz w:val="22"/>
          <w:szCs w:val="22"/>
        </w:rPr>
      </w:pPr>
      <w:r w:rsidRPr="00792BB6">
        <w:rPr>
          <w:rStyle w:val="Hipervnculo"/>
          <w:noProof/>
          <w:color w:val="auto"/>
          <w:sz w:val="22"/>
          <w:szCs w:val="22"/>
        </w:rPr>
        <w:t xml:space="preserve">Cuadros de Optimización e innovación de los servicios judiciales: Del cuadro </w:t>
      </w:r>
      <w:r w:rsidR="00F63C12" w:rsidRPr="0025402E">
        <w:rPr>
          <w:rStyle w:val="Hipervnculo"/>
          <w:noProof/>
          <w:color w:val="auto"/>
          <w:sz w:val="22"/>
          <w:szCs w:val="22"/>
        </w:rPr>
        <w:t>44</w:t>
      </w:r>
      <w:r w:rsidRPr="0025402E">
        <w:rPr>
          <w:rStyle w:val="Hipervnculo"/>
          <w:noProof/>
          <w:color w:val="auto"/>
          <w:sz w:val="22"/>
          <w:szCs w:val="22"/>
        </w:rPr>
        <w:t>-</w:t>
      </w:r>
      <w:r w:rsidR="00F63C12" w:rsidRPr="0025402E">
        <w:rPr>
          <w:rStyle w:val="Hipervnculo"/>
          <w:noProof/>
          <w:color w:val="auto"/>
          <w:sz w:val="22"/>
          <w:szCs w:val="22"/>
        </w:rPr>
        <w:t>58</w:t>
      </w:r>
    </w:p>
    <w:p w14:paraId="4E3784A1" w14:textId="5E3BAA66" w:rsidR="00187CB4" w:rsidRPr="0025402E" w:rsidRDefault="00187CB4" w:rsidP="00132A44">
      <w:pPr>
        <w:pStyle w:val="Prrafodelista"/>
        <w:numPr>
          <w:ilvl w:val="0"/>
          <w:numId w:val="50"/>
        </w:numPr>
        <w:spacing w:line="360" w:lineRule="auto"/>
        <w:ind w:right="-143"/>
        <w:jc w:val="both"/>
        <w:rPr>
          <w:rStyle w:val="Hipervnculo"/>
          <w:noProof/>
          <w:color w:val="auto"/>
          <w:sz w:val="22"/>
          <w:szCs w:val="22"/>
        </w:rPr>
      </w:pPr>
      <w:r w:rsidRPr="0025402E">
        <w:rPr>
          <w:rStyle w:val="Hipervnculo"/>
          <w:noProof/>
          <w:color w:val="auto"/>
          <w:sz w:val="22"/>
          <w:szCs w:val="22"/>
        </w:rPr>
        <w:t xml:space="preserve">Cuadros de Gestión del personal: </w:t>
      </w:r>
      <w:r w:rsidR="00A70B40" w:rsidRPr="0025402E">
        <w:rPr>
          <w:rStyle w:val="Hipervnculo"/>
          <w:noProof/>
          <w:color w:val="auto"/>
          <w:sz w:val="22"/>
          <w:szCs w:val="22"/>
        </w:rPr>
        <w:t>D</w:t>
      </w:r>
      <w:r w:rsidRPr="0025402E">
        <w:rPr>
          <w:rStyle w:val="Hipervnculo"/>
          <w:noProof/>
          <w:color w:val="auto"/>
          <w:sz w:val="22"/>
          <w:szCs w:val="22"/>
        </w:rPr>
        <w:t xml:space="preserve">el cuadro </w:t>
      </w:r>
      <w:r w:rsidR="00F63C12" w:rsidRPr="0025402E">
        <w:rPr>
          <w:rStyle w:val="Hipervnculo"/>
          <w:noProof/>
          <w:color w:val="auto"/>
          <w:sz w:val="22"/>
          <w:szCs w:val="22"/>
        </w:rPr>
        <w:t>59</w:t>
      </w:r>
      <w:r w:rsidRPr="0025402E">
        <w:rPr>
          <w:rStyle w:val="Hipervnculo"/>
          <w:noProof/>
          <w:color w:val="auto"/>
          <w:sz w:val="22"/>
          <w:szCs w:val="22"/>
        </w:rPr>
        <w:t>-</w:t>
      </w:r>
      <w:r w:rsidR="00A70B40" w:rsidRPr="0025402E">
        <w:rPr>
          <w:rStyle w:val="Hipervnculo"/>
          <w:noProof/>
          <w:color w:val="auto"/>
          <w:sz w:val="22"/>
          <w:szCs w:val="22"/>
        </w:rPr>
        <w:t>7</w:t>
      </w:r>
      <w:r w:rsidR="00F63C12" w:rsidRPr="0025402E">
        <w:rPr>
          <w:rStyle w:val="Hipervnculo"/>
          <w:noProof/>
          <w:color w:val="auto"/>
          <w:sz w:val="22"/>
          <w:szCs w:val="22"/>
        </w:rPr>
        <w:t>3</w:t>
      </w:r>
    </w:p>
    <w:p w14:paraId="7AB00D6C" w14:textId="7AB4D107" w:rsidR="00187CB4" w:rsidRPr="0025402E" w:rsidRDefault="00187CB4" w:rsidP="72CEF18F">
      <w:pPr>
        <w:pStyle w:val="Prrafodelista"/>
        <w:numPr>
          <w:ilvl w:val="0"/>
          <w:numId w:val="50"/>
        </w:numPr>
        <w:spacing w:line="360" w:lineRule="auto"/>
        <w:ind w:right="-143"/>
        <w:jc w:val="both"/>
        <w:rPr>
          <w:rStyle w:val="Hipervnculo"/>
          <w:noProof/>
          <w:color w:val="auto"/>
          <w:sz w:val="22"/>
          <w:szCs w:val="22"/>
        </w:rPr>
      </w:pPr>
      <w:r w:rsidRPr="72CEF18F">
        <w:rPr>
          <w:rStyle w:val="Hipervnculo"/>
          <w:noProof/>
          <w:color w:val="auto"/>
          <w:sz w:val="22"/>
          <w:szCs w:val="22"/>
        </w:rPr>
        <w:t>Cuadros de Planificación Institucional</w:t>
      </w:r>
      <w:r w:rsidR="00A70B40" w:rsidRPr="72CEF18F">
        <w:rPr>
          <w:rStyle w:val="Hipervnculo"/>
          <w:noProof/>
          <w:color w:val="auto"/>
          <w:sz w:val="22"/>
          <w:szCs w:val="22"/>
        </w:rPr>
        <w:t xml:space="preserve">: Del cuadro </w:t>
      </w:r>
      <w:r w:rsidR="00F63C12" w:rsidRPr="72CEF18F">
        <w:rPr>
          <w:rStyle w:val="Hipervnculo"/>
          <w:noProof/>
          <w:color w:val="auto"/>
          <w:sz w:val="22"/>
          <w:szCs w:val="22"/>
        </w:rPr>
        <w:t>74</w:t>
      </w:r>
      <w:r w:rsidR="00A70B40" w:rsidRPr="72CEF18F">
        <w:rPr>
          <w:rStyle w:val="Hipervnculo"/>
          <w:noProof/>
          <w:color w:val="auto"/>
          <w:sz w:val="22"/>
          <w:szCs w:val="22"/>
        </w:rPr>
        <w:t>-</w:t>
      </w:r>
      <w:r w:rsidR="00F63C12" w:rsidRPr="72CEF18F">
        <w:rPr>
          <w:rStyle w:val="Hipervnculo"/>
          <w:noProof/>
          <w:color w:val="auto"/>
          <w:sz w:val="22"/>
          <w:szCs w:val="22"/>
        </w:rPr>
        <w:t>78</w:t>
      </w:r>
      <w:r w:rsidR="00A70B40" w:rsidRPr="72CEF18F">
        <w:rPr>
          <w:rStyle w:val="Hipervnculo"/>
          <w:noProof/>
          <w:color w:val="auto"/>
          <w:sz w:val="22"/>
          <w:szCs w:val="22"/>
        </w:rPr>
        <w:t>.</w:t>
      </w:r>
    </w:p>
    <w:p w14:paraId="5227394E" w14:textId="26CE1CE1" w:rsidR="00B2481C" w:rsidRPr="00CC279A" w:rsidRDefault="00B2481C" w:rsidP="00CC279A">
      <w:pPr>
        <w:spacing w:line="360" w:lineRule="auto"/>
        <w:ind w:left="709" w:right="-143"/>
        <w:jc w:val="both"/>
        <w:rPr>
          <w:rStyle w:val="Hipervnculo"/>
          <w:rFonts w:ascii="Arial Narrow" w:hAnsi="Arial Narrow"/>
          <w:noProof/>
          <w:color w:val="auto"/>
          <w:sz w:val="22"/>
          <w:szCs w:val="22"/>
        </w:rPr>
      </w:pPr>
    </w:p>
    <w:p w14:paraId="480198D5" w14:textId="4E081222" w:rsidR="00032340" w:rsidRDefault="00032340">
      <w:pPr>
        <w:rPr>
          <w:rFonts w:ascii="Arial Narrow" w:eastAsia="Calibri" w:hAnsi="Arial Narrow"/>
          <w:b/>
          <w:bCs/>
          <w:sz w:val="22"/>
          <w:szCs w:val="22"/>
        </w:rPr>
      </w:pPr>
    </w:p>
    <w:p w14:paraId="53694DEC" w14:textId="77777777" w:rsidR="00683BEF" w:rsidRDefault="00683BEF">
      <w:pPr>
        <w:rPr>
          <w:rFonts w:ascii="Arial Narrow" w:eastAsia="Calibri" w:hAnsi="Arial Narrow"/>
          <w:b/>
          <w:bCs/>
          <w:sz w:val="22"/>
          <w:szCs w:val="22"/>
        </w:rPr>
      </w:pPr>
    </w:p>
    <w:p w14:paraId="6ADFEAC3" w14:textId="12C64EAC" w:rsidR="00B2481C" w:rsidRPr="00322D9B" w:rsidRDefault="00B2481C" w:rsidP="72CEF18F">
      <w:pPr>
        <w:spacing w:line="360" w:lineRule="auto"/>
        <w:ind w:left="709" w:right="-143"/>
        <w:jc w:val="center"/>
        <w:rPr>
          <w:rFonts w:ascii="Arial Narrow" w:eastAsia="Calibri" w:hAnsi="Arial Narrow"/>
          <w:b/>
          <w:bCs/>
          <w:sz w:val="22"/>
          <w:szCs w:val="22"/>
        </w:rPr>
      </w:pPr>
      <w:bookmarkStart w:id="7" w:name="_Hlk86134789"/>
      <w:r w:rsidRPr="00E738AE">
        <w:rPr>
          <w:rFonts w:ascii="Arial Narrow" w:eastAsia="Calibri" w:hAnsi="Arial Narrow"/>
          <w:b/>
          <w:bCs/>
          <w:sz w:val="22"/>
          <w:szCs w:val="22"/>
        </w:rPr>
        <w:t>Índice de Ilustraciones y Tablas</w:t>
      </w:r>
      <w:r w:rsidR="00CB3DAB" w:rsidRPr="00E738AE">
        <w:rPr>
          <w:rFonts w:ascii="Arial Narrow" w:eastAsia="Calibri" w:hAnsi="Arial Narrow"/>
          <w:b/>
          <w:bCs/>
          <w:sz w:val="22"/>
          <w:szCs w:val="22"/>
        </w:rPr>
        <w:t xml:space="preserve"> </w:t>
      </w:r>
    </w:p>
    <w:bookmarkEnd w:id="7"/>
    <w:p w14:paraId="338813AB" w14:textId="7404DE4B" w:rsidR="000212B7" w:rsidRDefault="00317FC1">
      <w:pPr>
        <w:pStyle w:val="Tabladeilustraciones"/>
        <w:tabs>
          <w:tab w:val="right" w:leader="dot" w:pos="9203"/>
        </w:tabs>
        <w:rPr>
          <w:rFonts w:asciiTheme="minorHAnsi" w:eastAsiaTheme="minorEastAsia" w:hAnsiTheme="minorHAnsi" w:cstheme="minorBidi"/>
          <w:noProof/>
          <w:sz w:val="22"/>
          <w:szCs w:val="22"/>
          <w:lang w:val="es-CR" w:eastAsia="es-CR"/>
        </w:rPr>
      </w:pPr>
      <w:r w:rsidRPr="00A22006">
        <w:rPr>
          <w:rStyle w:val="Hipervnculo"/>
          <w:rFonts w:ascii="Arial Narrow" w:hAnsi="Arial Narrow"/>
          <w:noProof/>
          <w:color w:val="auto"/>
          <w:sz w:val="22"/>
          <w:szCs w:val="22"/>
        </w:rPr>
        <w:fldChar w:fldCharType="begin"/>
      </w:r>
      <w:r w:rsidRPr="00A22006">
        <w:rPr>
          <w:rStyle w:val="Hipervnculo"/>
          <w:rFonts w:ascii="Arial Narrow" w:hAnsi="Arial Narrow"/>
          <w:noProof/>
          <w:color w:val="auto"/>
          <w:sz w:val="22"/>
          <w:szCs w:val="22"/>
        </w:rPr>
        <w:instrText xml:space="preserve"> TOC \h \z \c "Ilustración" </w:instrText>
      </w:r>
      <w:r w:rsidRPr="00A22006">
        <w:rPr>
          <w:rStyle w:val="Hipervnculo"/>
          <w:rFonts w:ascii="Arial Narrow" w:hAnsi="Arial Narrow"/>
          <w:noProof/>
          <w:color w:val="auto"/>
          <w:sz w:val="22"/>
          <w:szCs w:val="22"/>
        </w:rPr>
        <w:fldChar w:fldCharType="separate"/>
      </w:r>
      <w:hyperlink w:anchor="_Toc104979237" w:history="1">
        <w:r w:rsidR="000212B7" w:rsidRPr="00406EBF">
          <w:rPr>
            <w:rStyle w:val="Hipervnculo"/>
            <w:rFonts w:ascii="Arial Narrow" w:hAnsi="Arial Narrow"/>
            <w:noProof/>
          </w:rPr>
          <w:t xml:space="preserve">Ilustración 1  </w:t>
        </w:r>
        <w:r w:rsidR="000212B7" w:rsidRPr="00406EBF">
          <w:rPr>
            <w:rStyle w:val="Hipervnculo"/>
            <w:rFonts w:ascii="Arial Narrow" w:hAnsi="Arial Narrow" w:cs="Book Antiqua"/>
            <w:noProof/>
          </w:rPr>
          <w:t>Temas estratégicos del PEI 2019-2024</w:t>
        </w:r>
        <w:r w:rsidR="000212B7">
          <w:rPr>
            <w:noProof/>
            <w:webHidden/>
          </w:rPr>
          <w:tab/>
        </w:r>
        <w:r w:rsidR="000212B7">
          <w:rPr>
            <w:noProof/>
            <w:webHidden/>
          </w:rPr>
          <w:fldChar w:fldCharType="begin"/>
        </w:r>
        <w:r w:rsidR="000212B7">
          <w:rPr>
            <w:noProof/>
            <w:webHidden/>
          </w:rPr>
          <w:instrText xml:space="preserve"> PAGEREF _Toc104979237 \h </w:instrText>
        </w:r>
        <w:r w:rsidR="000212B7">
          <w:rPr>
            <w:noProof/>
            <w:webHidden/>
          </w:rPr>
        </w:r>
        <w:r w:rsidR="000212B7">
          <w:rPr>
            <w:noProof/>
            <w:webHidden/>
          </w:rPr>
          <w:fldChar w:fldCharType="separate"/>
        </w:r>
        <w:r w:rsidR="000212B7">
          <w:rPr>
            <w:noProof/>
            <w:webHidden/>
          </w:rPr>
          <w:t>1</w:t>
        </w:r>
        <w:r w:rsidR="000212B7">
          <w:rPr>
            <w:noProof/>
            <w:webHidden/>
          </w:rPr>
          <w:fldChar w:fldCharType="end"/>
        </w:r>
      </w:hyperlink>
      <w:r w:rsidR="00681E75">
        <w:rPr>
          <w:noProof/>
        </w:rPr>
        <w:t>7</w:t>
      </w:r>
    </w:p>
    <w:p w14:paraId="27300FD1" w14:textId="1FB2A904" w:rsidR="000212B7" w:rsidRDefault="00317FC1">
      <w:pPr>
        <w:pStyle w:val="Tabladeilustraciones"/>
        <w:tabs>
          <w:tab w:val="right" w:leader="dot" w:pos="9203"/>
        </w:tabs>
        <w:rPr>
          <w:rFonts w:asciiTheme="minorHAnsi" w:eastAsiaTheme="minorEastAsia" w:hAnsiTheme="minorHAnsi" w:cstheme="minorBidi"/>
          <w:noProof/>
          <w:sz w:val="22"/>
          <w:szCs w:val="22"/>
          <w:lang w:val="es-CR" w:eastAsia="es-CR"/>
        </w:rPr>
      </w:pPr>
      <w:r w:rsidRPr="00A22006">
        <w:rPr>
          <w:rStyle w:val="Hipervnculo"/>
          <w:rFonts w:ascii="Arial Narrow" w:hAnsi="Arial Narrow"/>
          <w:noProof/>
          <w:color w:val="auto"/>
          <w:sz w:val="22"/>
          <w:szCs w:val="22"/>
        </w:rPr>
        <w:fldChar w:fldCharType="end"/>
      </w:r>
      <w:r w:rsidR="00D657CE" w:rsidRPr="00A22006">
        <w:rPr>
          <w:rStyle w:val="Hipervnculo"/>
          <w:rFonts w:ascii="Arial Narrow" w:hAnsi="Arial Narrow"/>
          <w:noProof/>
          <w:color w:val="auto"/>
          <w:sz w:val="22"/>
          <w:szCs w:val="22"/>
        </w:rPr>
        <w:fldChar w:fldCharType="begin"/>
      </w:r>
      <w:r w:rsidR="00D657CE" w:rsidRPr="00A22006">
        <w:rPr>
          <w:rStyle w:val="Hipervnculo"/>
          <w:rFonts w:ascii="Arial Narrow" w:hAnsi="Arial Narrow"/>
          <w:noProof/>
          <w:color w:val="auto"/>
          <w:sz w:val="22"/>
          <w:szCs w:val="22"/>
        </w:rPr>
        <w:instrText xml:space="preserve"> TOC \h \z \c "Tabla" </w:instrText>
      </w:r>
      <w:r w:rsidR="00D657CE" w:rsidRPr="00A22006">
        <w:rPr>
          <w:rStyle w:val="Hipervnculo"/>
          <w:rFonts w:ascii="Arial Narrow" w:hAnsi="Arial Narrow"/>
          <w:noProof/>
          <w:color w:val="auto"/>
          <w:sz w:val="22"/>
          <w:szCs w:val="22"/>
        </w:rPr>
        <w:fldChar w:fldCharType="separate"/>
      </w:r>
      <w:hyperlink w:anchor="_Toc104979240" w:history="1">
        <w:r w:rsidR="000212B7" w:rsidRPr="008072FD">
          <w:rPr>
            <w:rStyle w:val="Hipervnculo"/>
            <w:rFonts w:ascii="Arial Narrow" w:hAnsi="Arial Narrow"/>
            <w:noProof/>
          </w:rPr>
          <w:t>Tabla 1 Definición de parámetros y rangos de cumplimiento en la evaluación del PEI 2021</w:t>
        </w:r>
        <w:r w:rsidR="000212B7">
          <w:rPr>
            <w:noProof/>
            <w:webHidden/>
          </w:rPr>
          <w:tab/>
        </w:r>
        <w:r w:rsidR="000212B7">
          <w:rPr>
            <w:noProof/>
            <w:webHidden/>
          </w:rPr>
          <w:fldChar w:fldCharType="begin"/>
        </w:r>
        <w:r w:rsidR="000212B7">
          <w:rPr>
            <w:noProof/>
            <w:webHidden/>
          </w:rPr>
          <w:instrText xml:space="preserve"> PAGEREF _Toc104979240 \h </w:instrText>
        </w:r>
        <w:r w:rsidR="000212B7">
          <w:rPr>
            <w:noProof/>
            <w:webHidden/>
          </w:rPr>
        </w:r>
        <w:r w:rsidR="000212B7">
          <w:rPr>
            <w:noProof/>
            <w:webHidden/>
          </w:rPr>
          <w:fldChar w:fldCharType="separate"/>
        </w:r>
        <w:r w:rsidR="00286D0A">
          <w:rPr>
            <w:noProof/>
            <w:webHidden/>
          </w:rPr>
          <w:t>16</w:t>
        </w:r>
        <w:r w:rsidR="000212B7">
          <w:rPr>
            <w:noProof/>
            <w:webHidden/>
          </w:rPr>
          <w:fldChar w:fldCharType="end"/>
        </w:r>
      </w:hyperlink>
    </w:p>
    <w:p w14:paraId="79DB9EB0" w14:textId="7D9E5176" w:rsidR="000212B7" w:rsidRDefault="00940240">
      <w:pPr>
        <w:pStyle w:val="Tabladeilustraciones"/>
        <w:tabs>
          <w:tab w:val="right" w:leader="dot" w:pos="9203"/>
        </w:tabs>
        <w:rPr>
          <w:rFonts w:asciiTheme="minorHAnsi" w:eastAsiaTheme="minorEastAsia" w:hAnsiTheme="minorHAnsi" w:cstheme="minorBidi"/>
          <w:noProof/>
          <w:sz w:val="22"/>
          <w:szCs w:val="22"/>
          <w:lang w:val="es-CR" w:eastAsia="es-CR"/>
        </w:rPr>
      </w:pPr>
      <w:hyperlink w:anchor="_Toc104979241" w:history="1">
        <w:r w:rsidR="000212B7" w:rsidRPr="008072FD">
          <w:rPr>
            <w:rStyle w:val="Hipervnculo"/>
            <w:rFonts w:ascii="Arial Narrow" w:hAnsi="Arial Narrow"/>
            <w:noProof/>
          </w:rPr>
          <w:t>Tabla 2 Listado de versiones aprobadas de la matriz del Plan Estratégico Institucional 2019-2020 y su acta de aprobación por Corte Plena</w:t>
        </w:r>
        <w:r w:rsidR="000212B7">
          <w:rPr>
            <w:noProof/>
            <w:webHidden/>
          </w:rPr>
          <w:tab/>
        </w:r>
        <w:r w:rsidR="000212B7">
          <w:rPr>
            <w:noProof/>
            <w:webHidden/>
          </w:rPr>
          <w:fldChar w:fldCharType="begin"/>
        </w:r>
        <w:r w:rsidR="000212B7">
          <w:rPr>
            <w:noProof/>
            <w:webHidden/>
          </w:rPr>
          <w:instrText xml:space="preserve"> PAGEREF _Toc104979241 \h </w:instrText>
        </w:r>
        <w:r w:rsidR="000212B7">
          <w:rPr>
            <w:noProof/>
            <w:webHidden/>
          </w:rPr>
        </w:r>
        <w:r w:rsidR="000212B7">
          <w:rPr>
            <w:noProof/>
            <w:webHidden/>
          </w:rPr>
          <w:fldChar w:fldCharType="separate"/>
        </w:r>
        <w:r w:rsidR="00286D0A">
          <w:rPr>
            <w:noProof/>
            <w:webHidden/>
          </w:rPr>
          <w:t>18</w:t>
        </w:r>
        <w:r w:rsidR="000212B7">
          <w:rPr>
            <w:noProof/>
            <w:webHidden/>
          </w:rPr>
          <w:fldChar w:fldCharType="end"/>
        </w:r>
      </w:hyperlink>
    </w:p>
    <w:p w14:paraId="7963B700" w14:textId="22D4814D" w:rsidR="000212B7" w:rsidRDefault="00940240">
      <w:pPr>
        <w:pStyle w:val="Tabladeilustraciones"/>
        <w:tabs>
          <w:tab w:val="right" w:leader="dot" w:pos="9203"/>
        </w:tabs>
        <w:rPr>
          <w:rFonts w:asciiTheme="minorHAnsi" w:eastAsiaTheme="minorEastAsia" w:hAnsiTheme="minorHAnsi" w:cstheme="minorBidi"/>
          <w:noProof/>
          <w:sz w:val="22"/>
          <w:szCs w:val="22"/>
          <w:lang w:val="es-CR" w:eastAsia="es-CR"/>
        </w:rPr>
      </w:pPr>
      <w:hyperlink w:anchor="_Toc104979242" w:history="1">
        <w:r w:rsidR="000212B7" w:rsidRPr="008072FD">
          <w:rPr>
            <w:rStyle w:val="Hipervnculo"/>
            <w:rFonts w:ascii="Arial Narrow" w:hAnsi="Arial Narrow"/>
            <w:noProof/>
          </w:rPr>
          <w:t>Tabla 3</w:t>
        </w:r>
        <w:r w:rsidR="000212B7" w:rsidRPr="008072FD">
          <w:rPr>
            <w:rStyle w:val="Hipervnculo"/>
            <w:rFonts w:ascii="Arial Narrow" w:eastAsia="Calibri" w:hAnsi="Arial Narrow"/>
            <w:noProof/>
            <w:lang w:eastAsia="en-US"/>
          </w:rPr>
          <w:t xml:space="preserve">  Cumplimiento porcentual de las metas estratégicas del 2021,</w:t>
        </w:r>
        <w:r w:rsidR="000212B7">
          <w:rPr>
            <w:noProof/>
            <w:webHidden/>
          </w:rPr>
          <w:tab/>
        </w:r>
        <w:r w:rsidR="000212B7">
          <w:rPr>
            <w:noProof/>
            <w:webHidden/>
          </w:rPr>
          <w:fldChar w:fldCharType="begin"/>
        </w:r>
        <w:r w:rsidR="000212B7">
          <w:rPr>
            <w:noProof/>
            <w:webHidden/>
          </w:rPr>
          <w:instrText xml:space="preserve"> PAGEREF _Toc104979242 \h </w:instrText>
        </w:r>
        <w:r w:rsidR="000212B7">
          <w:rPr>
            <w:noProof/>
            <w:webHidden/>
          </w:rPr>
        </w:r>
        <w:r w:rsidR="000212B7">
          <w:rPr>
            <w:noProof/>
            <w:webHidden/>
          </w:rPr>
          <w:fldChar w:fldCharType="separate"/>
        </w:r>
        <w:r w:rsidR="00286D0A">
          <w:rPr>
            <w:noProof/>
            <w:webHidden/>
          </w:rPr>
          <w:t>124</w:t>
        </w:r>
        <w:r w:rsidR="000212B7">
          <w:rPr>
            <w:noProof/>
            <w:webHidden/>
          </w:rPr>
          <w:fldChar w:fldCharType="end"/>
        </w:r>
      </w:hyperlink>
    </w:p>
    <w:p w14:paraId="01707EF4" w14:textId="3FC7D1AE" w:rsidR="000212B7" w:rsidRDefault="00940240">
      <w:pPr>
        <w:pStyle w:val="Tabladeilustraciones"/>
        <w:tabs>
          <w:tab w:val="right" w:leader="dot" w:pos="9203"/>
        </w:tabs>
        <w:rPr>
          <w:rFonts w:asciiTheme="minorHAnsi" w:eastAsiaTheme="minorEastAsia" w:hAnsiTheme="minorHAnsi" w:cstheme="minorBidi"/>
          <w:noProof/>
          <w:sz w:val="22"/>
          <w:szCs w:val="22"/>
          <w:lang w:val="es-CR" w:eastAsia="es-CR"/>
        </w:rPr>
      </w:pPr>
      <w:hyperlink w:anchor="_Toc104979243" w:history="1">
        <w:r w:rsidR="000212B7" w:rsidRPr="008072FD">
          <w:rPr>
            <w:rStyle w:val="Hipervnculo"/>
            <w:rFonts w:ascii="Arial Narrow" w:hAnsi="Arial Narrow"/>
            <w:noProof/>
          </w:rPr>
          <w:t xml:space="preserve">Tabla 4   </w:t>
        </w:r>
        <w:r w:rsidR="000212B7" w:rsidRPr="008072FD">
          <w:rPr>
            <w:rStyle w:val="Hipervnculo"/>
            <w:rFonts w:ascii="Arial Narrow" w:eastAsia="Calibri" w:hAnsi="Arial Narrow"/>
            <w:noProof/>
            <w:lang w:eastAsia="en-US"/>
          </w:rPr>
          <w:t>Cumplimiento porcentual de las metas estratégicas del 2021,</w:t>
        </w:r>
        <w:r w:rsidR="000212B7">
          <w:rPr>
            <w:noProof/>
            <w:webHidden/>
          </w:rPr>
          <w:tab/>
        </w:r>
        <w:r w:rsidR="000212B7">
          <w:rPr>
            <w:noProof/>
            <w:webHidden/>
          </w:rPr>
          <w:fldChar w:fldCharType="begin"/>
        </w:r>
        <w:r w:rsidR="000212B7">
          <w:rPr>
            <w:noProof/>
            <w:webHidden/>
          </w:rPr>
          <w:instrText xml:space="preserve"> PAGEREF _Toc104979243 \h </w:instrText>
        </w:r>
        <w:r w:rsidR="000212B7">
          <w:rPr>
            <w:noProof/>
            <w:webHidden/>
          </w:rPr>
        </w:r>
        <w:r w:rsidR="000212B7">
          <w:rPr>
            <w:noProof/>
            <w:webHidden/>
          </w:rPr>
          <w:fldChar w:fldCharType="separate"/>
        </w:r>
        <w:r w:rsidR="00286D0A">
          <w:rPr>
            <w:noProof/>
            <w:webHidden/>
          </w:rPr>
          <w:t>126</w:t>
        </w:r>
        <w:r w:rsidR="000212B7">
          <w:rPr>
            <w:noProof/>
            <w:webHidden/>
          </w:rPr>
          <w:fldChar w:fldCharType="end"/>
        </w:r>
      </w:hyperlink>
    </w:p>
    <w:p w14:paraId="53C3052C" w14:textId="5843E49C" w:rsidR="000212B7" w:rsidRDefault="00940240">
      <w:pPr>
        <w:pStyle w:val="Tabladeilustraciones"/>
        <w:tabs>
          <w:tab w:val="right" w:leader="dot" w:pos="9203"/>
        </w:tabs>
        <w:rPr>
          <w:rFonts w:asciiTheme="minorHAnsi" w:eastAsiaTheme="minorEastAsia" w:hAnsiTheme="minorHAnsi" w:cstheme="minorBidi"/>
          <w:noProof/>
          <w:sz w:val="22"/>
          <w:szCs w:val="22"/>
          <w:lang w:val="es-CR" w:eastAsia="es-CR"/>
        </w:rPr>
      </w:pPr>
      <w:hyperlink w:anchor="_Toc104979244" w:history="1">
        <w:r w:rsidR="000212B7" w:rsidRPr="008072FD">
          <w:rPr>
            <w:rStyle w:val="Hipervnculo"/>
            <w:rFonts w:ascii="Arial Narrow" w:hAnsi="Arial Narrow"/>
            <w:noProof/>
          </w:rPr>
          <w:t>Tabla 5 Retos con respecto a la Acción estratégica Celeridad Judicial</w:t>
        </w:r>
        <w:r w:rsidR="000212B7">
          <w:rPr>
            <w:noProof/>
            <w:webHidden/>
          </w:rPr>
          <w:tab/>
        </w:r>
        <w:r w:rsidR="000212B7">
          <w:rPr>
            <w:noProof/>
            <w:webHidden/>
          </w:rPr>
          <w:fldChar w:fldCharType="begin"/>
        </w:r>
        <w:r w:rsidR="000212B7">
          <w:rPr>
            <w:noProof/>
            <w:webHidden/>
          </w:rPr>
          <w:instrText xml:space="preserve"> PAGEREF _Toc104979244 \h </w:instrText>
        </w:r>
        <w:r w:rsidR="000212B7">
          <w:rPr>
            <w:noProof/>
            <w:webHidden/>
          </w:rPr>
        </w:r>
        <w:r w:rsidR="000212B7">
          <w:rPr>
            <w:noProof/>
            <w:webHidden/>
          </w:rPr>
          <w:fldChar w:fldCharType="separate"/>
        </w:r>
        <w:r w:rsidR="00286D0A">
          <w:rPr>
            <w:noProof/>
            <w:webHidden/>
          </w:rPr>
          <w:t>131</w:t>
        </w:r>
        <w:r w:rsidR="000212B7">
          <w:rPr>
            <w:noProof/>
            <w:webHidden/>
          </w:rPr>
          <w:fldChar w:fldCharType="end"/>
        </w:r>
      </w:hyperlink>
    </w:p>
    <w:p w14:paraId="7BAA3B1B" w14:textId="3280B7CA" w:rsidR="000212B7" w:rsidRDefault="00940240">
      <w:pPr>
        <w:pStyle w:val="Tabladeilustraciones"/>
        <w:tabs>
          <w:tab w:val="right" w:leader="dot" w:pos="9203"/>
        </w:tabs>
        <w:rPr>
          <w:rFonts w:asciiTheme="minorHAnsi" w:eastAsiaTheme="minorEastAsia" w:hAnsiTheme="minorHAnsi" w:cstheme="minorBidi"/>
          <w:noProof/>
          <w:sz w:val="22"/>
          <w:szCs w:val="22"/>
          <w:lang w:val="es-CR" w:eastAsia="es-CR"/>
        </w:rPr>
      </w:pPr>
      <w:hyperlink w:anchor="_Toc104979245" w:history="1">
        <w:r w:rsidR="000212B7" w:rsidRPr="008072FD">
          <w:rPr>
            <w:rStyle w:val="Hipervnculo"/>
            <w:rFonts w:ascii="Arial Narrow" w:hAnsi="Arial Narrow"/>
            <w:noProof/>
          </w:rPr>
          <w:t>Tabla 6 Retos con respecto a la Acción estratégica Medidas Alternas</w:t>
        </w:r>
        <w:r w:rsidR="000212B7">
          <w:rPr>
            <w:noProof/>
            <w:webHidden/>
          </w:rPr>
          <w:tab/>
        </w:r>
        <w:r w:rsidR="000212B7">
          <w:rPr>
            <w:noProof/>
            <w:webHidden/>
          </w:rPr>
          <w:fldChar w:fldCharType="begin"/>
        </w:r>
        <w:r w:rsidR="000212B7">
          <w:rPr>
            <w:noProof/>
            <w:webHidden/>
          </w:rPr>
          <w:instrText xml:space="preserve"> PAGEREF _Toc104979245 \h </w:instrText>
        </w:r>
        <w:r w:rsidR="000212B7">
          <w:rPr>
            <w:noProof/>
            <w:webHidden/>
          </w:rPr>
        </w:r>
        <w:r w:rsidR="000212B7">
          <w:rPr>
            <w:noProof/>
            <w:webHidden/>
          </w:rPr>
          <w:fldChar w:fldCharType="separate"/>
        </w:r>
        <w:r w:rsidR="00286D0A">
          <w:rPr>
            <w:noProof/>
            <w:webHidden/>
          </w:rPr>
          <w:t>132</w:t>
        </w:r>
        <w:r w:rsidR="000212B7">
          <w:rPr>
            <w:noProof/>
            <w:webHidden/>
          </w:rPr>
          <w:fldChar w:fldCharType="end"/>
        </w:r>
      </w:hyperlink>
    </w:p>
    <w:p w14:paraId="4CAA631C" w14:textId="65D58ECD" w:rsidR="000212B7" w:rsidRDefault="00940240">
      <w:pPr>
        <w:pStyle w:val="Tabladeilustraciones"/>
        <w:tabs>
          <w:tab w:val="right" w:leader="dot" w:pos="9203"/>
        </w:tabs>
        <w:rPr>
          <w:rFonts w:asciiTheme="minorHAnsi" w:eastAsiaTheme="minorEastAsia" w:hAnsiTheme="minorHAnsi" w:cstheme="minorBidi"/>
          <w:noProof/>
          <w:sz w:val="22"/>
          <w:szCs w:val="22"/>
          <w:lang w:val="es-CR" w:eastAsia="es-CR"/>
        </w:rPr>
      </w:pPr>
      <w:hyperlink w:anchor="_Toc104979246" w:history="1">
        <w:r w:rsidR="000212B7" w:rsidRPr="008072FD">
          <w:rPr>
            <w:rStyle w:val="Hipervnculo"/>
            <w:rFonts w:ascii="Arial Narrow" w:hAnsi="Arial Narrow"/>
            <w:noProof/>
          </w:rPr>
          <w:t>Tabla 7 Retos con respecto a la Acción estratégica Colaboración interna y externa</w:t>
        </w:r>
        <w:r w:rsidR="000212B7">
          <w:rPr>
            <w:noProof/>
            <w:webHidden/>
          </w:rPr>
          <w:tab/>
        </w:r>
        <w:r w:rsidR="000212B7">
          <w:rPr>
            <w:noProof/>
            <w:webHidden/>
          </w:rPr>
          <w:fldChar w:fldCharType="begin"/>
        </w:r>
        <w:r w:rsidR="000212B7">
          <w:rPr>
            <w:noProof/>
            <w:webHidden/>
          </w:rPr>
          <w:instrText xml:space="preserve"> PAGEREF _Toc104979246 \h </w:instrText>
        </w:r>
        <w:r w:rsidR="000212B7">
          <w:rPr>
            <w:noProof/>
            <w:webHidden/>
          </w:rPr>
        </w:r>
        <w:r w:rsidR="000212B7">
          <w:rPr>
            <w:noProof/>
            <w:webHidden/>
          </w:rPr>
          <w:fldChar w:fldCharType="separate"/>
        </w:r>
        <w:r w:rsidR="00286D0A">
          <w:rPr>
            <w:noProof/>
            <w:webHidden/>
          </w:rPr>
          <w:t>133</w:t>
        </w:r>
        <w:r w:rsidR="000212B7">
          <w:rPr>
            <w:noProof/>
            <w:webHidden/>
          </w:rPr>
          <w:fldChar w:fldCharType="end"/>
        </w:r>
      </w:hyperlink>
    </w:p>
    <w:p w14:paraId="3FA8FD04" w14:textId="68F57598" w:rsidR="000212B7" w:rsidRDefault="00940240">
      <w:pPr>
        <w:pStyle w:val="Tabladeilustraciones"/>
        <w:tabs>
          <w:tab w:val="right" w:leader="dot" w:pos="9203"/>
        </w:tabs>
        <w:rPr>
          <w:rFonts w:asciiTheme="minorHAnsi" w:eastAsiaTheme="minorEastAsia" w:hAnsiTheme="minorHAnsi" w:cstheme="minorBidi"/>
          <w:noProof/>
          <w:sz w:val="22"/>
          <w:szCs w:val="22"/>
          <w:lang w:val="es-CR" w:eastAsia="es-CR"/>
        </w:rPr>
      </w:pPr>
      <w:hyperlink w:anchor="_Toc104979247" w:history="1">
        <w:r w:rsidR="000212B7" w:rsidRPr="008072FD">
          <w:rPr>
            <w:rStyle w:val="Hipervnculo"/>
            <w:rFonts w:ascii="Arial Narrow" w:hAnsi="Arial Narrow"/>
            <w:noProof/>
          </w:rPr>
          <w:t>Tabla 8 Retos con respecto a la Acción estratégica Comunicación y proyección institucional</w:t>
        </w:r>
        <w:r w:rsidR="000212B7">
          <w:rPr>
            <w:noProof/>
            <w:webHidden/>
          </w:rPr>
          <w:tab/>
        </w:r>
        <w:r w:rsidR="000212B7">
          <w:rPr>
            <w:noProof/>
            <w:webHidden/>
          </w:rPr>
          <w:fldChar w:fldCharType="begin"/>
        </w:r>
        <w:r w:rsidR="000212B7">
          <w:rPr>
            <w:noProof/>
            <w:webHidden/>
          </w:rPr>
          <w:instrText xml:space="preserve"> PAGEREF _Toc104979247 \h </w:instrText>
        </w:r>
        <w:r w:rsidR="000212B7">
          <w:rPr>
            <w:noProof/>
            <w:webHidden/>
          </w:rPr>
        </w:r>
        <w:r w:rsidR="000212B7">
          <w:rPr>
            <w:noProof/>
            <w:webHidden/>
          </w:rPr>
          <w:fldChar w:fldCharType="separate"/>
        </w:r>
        <w:r w:rsidR="00286D0A">
          <w:rPr>
            <w:noProof/>
            <w:webHidden/>
          </w:rPr>
          <w:t>133</w:t>
        </w:r>
        <w:r w:rsidR="000212B7">
          <w:rPr>
            <w:noProof/>
            <w:webHidden/>
          </w:rPr>
          <w:fldChar w:fldCharType="end"/>
        </w:r>
      </w:hyperlink>
    </w:p>
    <w:p w14:paraId="50FF661B" w14:textId="16AC1A13" w:rsidR="000212B7" w:rsidRDefault="00940240">
      <w:pPr>
        <w:pStyle w:val="Tabladeilustraciones"/>
        <w:tabs>
          <w:tab w:val="right" w:leader="dot" w:pos="9203"/>
        </w:tabs>
        <w:rPr>
          <w:rFonts w:asciiTheme="minorHAnsi" w:eastAsiaTheme="minorEastAsia" w:hAnsiTheme="minorHAnsi" w:cstheme="minorBidi"/>
          <w:noProof/>
          <w:sz w:val="22"/>
          <w:szCs w:val="22"/>
          <w:lang w:val="es-CR" w:eastAsia="es-CR"/>
        </w:rPr>
      </w:pPr>
      <w:hyperlink w:anchor="_Toc104979248" w:history="1">
        <w:r w:rsidR="000212B7" w:rsidRPr="008072FD">
          <w:rPr>
            <w:rStyle w:val="Hipervnculo"/>
            <w:rFonts w:ascii="Arial Narrow" w:hAnsi="Arial Narrow"/>
            <w:noProof/>
          </w:rPr>
          <w:t>Tabla 9 Retos con respecto a la Acción estratégica</w:t>
        </w:r>
        <w:r w:rsidR="000212B7">
          <w:rPr>
            <w:noProof/>
            <w:webHidden/>
          </w:rPr>
          <w:tab/>
        </w:r>
        <w:r w:rsidR="000212B7">
          <w:rPr>
            <w:noProof/>
            <w:webHidden/>
          </w:rPr>
          <w:fldChar w:fldCharType="begin"/>
        </w:r>
        <w:r w:rsidR="000212B7">
          <w:rPr>
            <w:noProof/>
            <w:webHidden/>
          </w:rPr>
          <w:instrText xml:space="preserve"> PAGEREF _Toc104979248 \h </w:instrText>
        </w:r>
        <w:r w:rsidR="000212B7">
          <w:rPr>
            <w:noProof/>
            <w:webHidden/>
          </w:rPr>
        </w:r>
        <w:r w:rsidR="000212B7">
          <w:rPr>
            <w:noProof/>
            <w:webHidden/>
          </w:rPr>
          <w:fldChar w:fldCharType="separate"/>
        </w:r>
        <w:r w:rsidR="00286D0A">
          <w:rPr>
            <w:noProof/>
            <w:webHidden/>
          </w:rPr>
          <w:t>134</w:t>
        </w:r>
        <w:r w:rsidR="000212B7">
          <w:rPr>
            <w:noProof/>
            <w:webHidden/>
          </w:rPr>
          <w:fldChar w:fldCharType="end"/>
        </w:r>
      </w:hyperlink>
    </w:p>
    <w:p w14:paraId="70FD09F9" w14:textId="47741D06" w:rsidR="000212B7" w:rsidRDefault="00940240">
      <w:pPr>
        <w:pStyle w:val="Tabladeilustraciones"/>
        <w:tabs>
          <w:tab w:val="right" w:leader="dot" w:pos="9203"/>
        </w:tabs>
        <w:rPr>
          <w:rFonts w:asciiTheme="minorHAnsi" w:eastAsiaTheme="minorEastAsia" w:hAnsiTheme="minorHAnsi" w:cstheme="minorBidi"/>
          <w:noProof/>
          <w:sz w:val="22"/>
          <w:szCs w:val="22"/>
          <w:lang w:val="es-CR" w:eastAsia="es-CR"/>
        </w:rPr>
      </w:pPr>
      <w:hyperlink w:anchor="_Toc104979249" w:history="1">
        <w:r w:rsidR="000212B7" w:rsidRPr="008072FD">
          <w:rPr>
            <w:rStyle w:val="Hipervnculo"/>
            <w:rFonts w:ascii="Arial Narrow" w:hAnsi="Arial Narrow"/>
            <w:noProof/>
          </w:rPr>
          <w:t>Tabla 10 Retos con respecto a la Acción estratégica Leyes y Reformas</w:t>
        </w:r>
        <w:r w:rsidR="000212B7">
          <w:rPr>
            <w:noProof/>
            <w:webHidden/>
          </w:rPr>
          <w:tab/>
        </w:r>
        <w:r w:rsidR="000212B7">
          <w:rPr>
            <w:noProof/>
            <w:webHidden/>
          </w:rPr>
          <w:fldChar w:fldCharType="begin"/>
        </w:r>
        <w:r w:rsidR="000212B7">
          <w:rPr>
            <w:noProof/>
            <w:webHidden/>
          </w:rPr>
          <w:instrText xml:space="preserve"> PAGEREF _Toc104979249 \h </w:instrText>
        </w:r>
        <w:r w:rsidR="000212B7">
          <w:rPr>
            <w:noProof/>
            <w:webHidden/>
          </w:rPr>
        </w:r>
        <w:r w:rsidR="000212B7">
          <w:rPr>
            <w:noProof/>
            <w:webHidden/>
          </w:rPr>
          <w:fldChar w:fldCharType="separate"/>
        </w:r>
        <w:r w:rsidR="00286D0A">
          <w:rPr>
            <w:noProof/>
            <w:webHidden/>
          </w:rPr>
          <w:t>135</w:t>
        </w:r>
        <w:r w:rsidR="000212B7">
          <w:rPr>
            <w:noProof/>
            <w:webHidden/>
          </w:rPr>
          <w:fldChar w:fldCharType="end"/>
        </w:r>
      </w:hyperlink>
    </w:p>
    <w:p w14:paraId="36749270" w14:textId="19B042F9" w:rsidR="000212B7" w:rsidRDefault="00940240">
      <w:pPr>
        <w:pStyle w:val="Tabladeilustraciones"/>
        <w:tabs>
          <w:tab w:val="right" w:leader="dot" w:pos="9203"/>
        </w:tabs>
        <w:rPr>
          <w:rFonts w:asciiTheme="minorHAnsi" w:eastAsiaTheme="minorEastAsia" w:hAnsiTheme="minorHAnsi" w:cstheme="minorBidi"/>
          <w:noProof/>
          <w:sz w:val="22"/>
          <w:szCs w:val="22"/>
          <w:lang w:val="es-CR" w:eastAsia="es-CR"/>
        </w:rPr>
      </w:pPr>
      <w:hyperlink w:anchor="_Toc104979250" w:history="1">
        <w:r w:rsidR="000212B7" w:rsidRPr="008072FD">
          <w:rPr>
            <w:rStyle w:val="Hipervnculo"/>
            <w:rFonts w:ascii="Arial Narrow" w:hAnsi="Arial Narrow"/>
            <w:noProof/>
          </w:rPr>
          <w:t>Tabla 11 Retos con respecto a la Acción estratégica Capacitación</w:t>
        </w:r>
        <w:r w:rsidR="000212B7">
          <w:rPr>
            <w:noProof/>
            <w:webHidden/>
          </w:rPr>
          <w:tab/>
        </w:r>
        <w:r w:rsidR="000212B7">
          <w:rPr>
            <w:noProof/>
            <w:webHidden/>
          </w:rPr>
          <w:fldChar w:fldCharType="begin"/>
        </w:r>
        <w:r w:rsidR="000212B7">
          <w:rPr>
            <w:noProof/>
            <w:webHidden/>
          </w:rPr>
          <w:instrText xml:space="preserve"> PAGEREF _Toc104979250 \h </w:instrText>
        </w:r>
        <w:r w:rsidR="000212B7">
          <w:rPr>
            <w:noProof/>
            <w:webHidden/>
          </w:rPr>
        </w:r>
        <w:r w:rsidR="000212B7">
          <w:rPr>
            <w:noProof/>
            <w:webHidden/>
          </w:rPr>
          <w:fldChar w:fldCharType="separate"/>
        </w:r>
        <w:r w:rsidR="00286D0A">
          <w:rPr>
            <w:noProof/>
            <w:webHidden/>
          </w:rPr>
          <w:t>136</w:t>
        </w:r>
        <w:r w:rsidR="000212B7">
          <w:rPr>
            <w:noProof/>
            <w:webHidden/>
          </w:rPr>
          <w:fldChar w:fldCharType="end"/>
        </w:r>
      </w:hyperlink>
    </w:p>
    <w:p w14:paraId="3122ABA1" w14:textId="4386AFA7" w:rsidR="000212B7" w:rsidRDefault="00940240">
      <w:pPr>
        <w:pStyle w:val="Tabladeilustraciones"/>
        <w:tabs>
          <w:tab w:val="right" w:leader="dot" w:pos="9203"/>
        </w:tabs>
        <w:rPr>
          <w:rFonts w:asciiTheme="minorHAnsi" w:eastAsiaTheme="minorEastAsia" w:hAnsiTheme="minorHAnsi" w:cstheme="minorBidi"/>
          <w:noProof/>
          <w:sz w:val="22"/>
          <w:szCs w:val="22"/>
          <w:lang w:val="es-CR" w:eastAsia="es-CR"/>
        </w:rPr>
      </w:pPr>
      <w:hyperlink w:anchor="_Toc104979251" w:history="1">
        <w:r w:rsidR="000212B7" w:rsidRPr="008072FD">
          <w:rPr>
            <w:rStyle w:val="Hipervnculo"/>
            <w:rFonts w:ascii="Arial Narrow" w:hAnsi="Arial Narrow"/>
            <w:noProof/>
          </w:rPr>
          <w:t>Tabla 12 Cantidad de metas con cumplimiento medio-bajo, de acuerdo con los años 2020 y 2021</w:t>
        </w:r>
        <w:r w:rsidR="000212B7">
          <w:rPr>
            <w:noProof/>
            <w:webHidden/>
          </w:rPr>
          <w:tab/>
        </w:r>
        <w:r w:rsidR="000212B7">
          <w:rPr>
            <w:noProof/>
            <w:webHidden/>
          </w:rPr>
          <w:fldChar w:fldCharType="begin"/>
        </w:r>
        <w:r w:rsidR="000212B7">
          <w:rPr>
            <w:noProof/>
            <w:webHidden/>
          </w:rPr>
          <w:instrText xml:space="preserve"> PAGEREF _Toc104979251 \h </w:instrText>
        </w:r>
        <w:r w:rsidR="000212B7">
          <w:rPr>
            <w:noProof/>
            <w:webHidden/>
          </w:rPr>
        </w:r>
        <w:r w:rsidR="000212B7">
          <w:rPr>
            <w:noProof/>
            <w:webHidden/>
          </w:rPr>
          <w:fldChar w:fldCharType="separate"/>
        </w:r>
        <w:r w:rsidR="00286D0A">
          <w:rPr>
            <w:noProof/>
            <w:webHidden/>
          </w:rPr>
          <w:t>137</w:t>
        </w:r>
        <w:r w:rsidR="000212B7">
          <w:rPr>
            <w:noProof/>
            <w:webHidden/>
          </w:rPr>
          <w:fldChar w:fldCharType="end"/>
        </w:r>
      </w:hyperlink>
    </w:p>
    <w:p w14:paraId="33446F64" w14:textId="3D3FB08B" w:rsidR="00464F53" w:rsidRDefault="00D657CE" w:rsidP="00132A44">
      <w:pPr>
        <w:pStyle w:val="Tabladeilustraciones"/>
        <w:tabs>
          <w:tab w:val="right" w:leader="dot" w:pos="8069"/>
        </w:tabs>
      </w:pPr>
      <w:r w:rsidRPr="00A22006">
        <w:rPr>
          <w:rStyle w:val="Hipervnculo"/>
          <w:rFonts w:ascii="Arial Narrow" w:hAnsi="Arial Narrow"/>
          <w:noProof/>
          <w:color w:val="auto"/>
          <w:sz w:val="22"/>
          <w:szCs w:val="22"/>
        </w:rPr>
        <w:fldChar w:fldCharType="end"/>
      </w:r>
    </w:p>
    <w:p w14:paraId="61DF3D95" w14:textId="74900C89" w:rsidR="00464F53" w:rsidRPr="00CC279A" w:rsidRDefault="00464F53" w:rsidP="00464F53">
      <w:pPr>
        <w:spacing w:line="360" w:lineRule="auto"/>
        <w:ind w:left="709" w:right="-143"/>
        <w:jc w:val="center"/>
        <w:rPr>
          <w:rFonts w:ascii="Arial Narrow" w:eastAsia="Calibri" w:hAnsi="Arial Narrow"/>
          <w:b/>
          <w:bCs/>
          <w:sz w:val="22"/>
          <w:szCs w:val="22"/>
        </w:rPr>
      </w:pPr>
      <w:r w:rsidRPr="00CC279A">
        <w:rPr>
          <w:rFonts w:ascii="Arial Narrow" w:eastAsia="Calibri" w:hAnsi="Arial Narrow"/>
          <w:b/>
          <w:bCs/>
          <w:sz w:val="22"/>
          <w:szCs w:val="22"/>
        </w:rPr>
        <w:t xml:space="preserve">Índice de </w:t>
      </w:r>
      <w:r>
        <w:rPr>
          <w:rFonts w:ascii="Arial Narrow" w:eastAsia="Calibri" w:hAnsi="Arial Narrow"/>
          <w:b/>
          <w:bCs/>
          <w:sz w:val="22"/>
          <w:szCs w:val="22"/>
        </w:rPr>
        <w:t>Gráfico</w:t>
      </w:r>
    </w:p>
    <w:p w14:paraId="2E4BC0AA" w14:textId="2B2B0630" w:rsidR="00464F53" w:rsidRDefault="00464F53" w:rsidP="00464F53"/>
    <w:p w14:paraId="2C991D68" w14:textId="77777777" w:rsidR="00464F53" w:rsidRPr="00464F53" w:rsidRDefault="00464F53" w:rsidP="00464F53"/>
    <w:p w14:paraId="5213604B" w14:textId="5CD80E5A" w:rsidR="000212B7" w:rsidRDefault="00375000">
      <w:pPr>
        <w:pStyle w:val="Tabladeilustraciones"/>
        <w:tabs>
          <w:tab w:val="right" w:leader="dot" w:pos="9203"/>
        </w:tabs>
        <w:rPr>
          <w:rFonts w:asciiTheme="minorHAnsi" w:eastAsiaTheme="minorEastAsia" w:hAnsiTheme="minorHAnsi" w:cstheme="minorBidi"/>
          <w:noProof/>
          <w:sz w:val="22"/>
          <w:szCs w:val="22"/>
          <w:lang w:val="es-CR" w:eastAsia="es-CR"/>
        </w:rPr>
      </w:pPr>
      <w:r w:rsidRPr="00A22006">
        <w:rPr>
          <w:rFonts w:ascii="Arial Narrow" w:eastAsia="Calibri" w:hAnsi="Arial Narrow"/>
          <w:color w:val="000000"/>
          <w:sz w:val="22"/>
          <w:szCs w:val="22"/>
        </w:rPr>
        <w:fldChar w:fldCharType="begin"/>
      </w:r>
      <w:r w:rsidRPr="00A22006">
        <w:rPr>
          <w:rFonts w:ascii="Arial Narrow" w:eastAsia="Calibri" w:hAnsi="Arial Narrow"/>
          <w:color w:val="000000"/>
          <w:sz w:val="22"/>
          <w:szCs w:val="22"/>
        </w:rPr>
        <w:instrText xml:space="preserve"> TOC \c "Gráfico" </w:instrText>
      </w:r>
      <w:r w:rsidRPr="00A22006">
        <w:rPr>
          <w:rFonts w:ascii="Arial Narrow" w:eastAsia="Calibri" w:hAnsi="Arial Narrow"/>
          <w:color w:val="000000"/>
          <w:sz w:val="22"/>
          <w:szCs w:val="22"/>
        </w:rPr>
        <w:fldChar w:fldCharType="separate"/>
      </w:r>
      <w:r w:rsidR="000212B7" w:rsidRPr="00305CBF">
        <w:rPr>
          <w:rFonts w:ascii="Arial Narrow" w:hAnsi="Arial Narrow"/>
          <w:noProof/>
        </w:rPr>
        <w:t>Gráfico 1 Porcentaje de cumplimiento del PEI, año 2021</w:t>
      </w:r>
      <w:r w:rsidR="000212B7">
        <w:rPr>
          <w:noProof/>
        </w:rPr>
        <w:tab/>
      </w:r>
      <w:r w:rsidR="000212B7">
        <w:rPr>
          <w:noProof/>
        </w:rPr>
        <w:fldChar w:fldCharType="begin"/>
      </w:r>
      <w:r w:rsidR="000212B7">
        <w:rPr>
          <w:noProof/>
        </w:rPr>
        <w:instrText xml:space="preserve"> PAGEREF _Toc104979220 \h </w:instrText>
      </w:r>
      <w:r w:rsidR="000212B7">
        <w:rPr>
          <w:noProof/>
        </w:rPr>
      </w:r>
      <w:r w:rsidR="000212B7">
        <w:rPr>
          <w:noProof/>
        </w:rPr>
        <w:fldChar w:fldCharType="separate"/>
      </w:r>
      <w:r w:rsidR="00681E75">
        <w:rPr>
          <w:noProof/>
        </w:rPr>
        <w:t>13</w:t>
      </w:r>
      <w:r w:rsidR="000212B7">
        <w:rPr>
          <w:noProof/>
        </w:rPr>
        <w:fldChar w:fldCharType="end"/>
      </w:r>
    </w:p>
    <w:p w14:paraId="4C61FAE8" w14:textId="385DFF33" w:rsidR="000212B7" w:rsidRDefault="000212B7">
      <w:pPr>
        <w:pStyle w:val="Tabladeilustraciones"/>
        <w:tabs>
          <w:tab w:val="right" w:leader="dot" w:pos="9203"/>
        </w:tabs>
        <w:rPr>
          <w:rFonts w:asciiTheme="minorHAnsi" w:eastAsiaTheme="minorEastAsia" w:hAnsiTheme="minorHAnsi" w:cstheme="minorBidi"/>
          <w:noProof/>
          <w:sz w:val="22"/>
          <w:szCs w:val="22"/>
          <w:lang w:val="es-CR" w:eastAsia="es-CR"/>
        </w:rPr>
      </w:pPr>
      <w:r w:rsidRPr="00305CBF">
        <w:rPr>
          <w:rFonts w:ascii="Arial Narrow" w:hAnsi="Arial Narrow" w:cstheme="majorHAnsi"/>
          <w:b/>
          <w:bCs/>
          <w:noProof/>
        </w:rPr>
        <w:t>Gráfico 2 Porcentaje de cumplimiento del PEI por Programa para el año 2021</w:t>
      </w:r>
      <w:r>
        <w:rPr>
          <w:noProof/>
        </w:rPr>
        <w:tab/>
      </w:r>
      <w:r>
        <w:rPr>
          <w:noProof/>
        </w:rPr>
        <w:fldChar w:fldCharType="begin"/>
      </w:r>
      <w:r>
        <w:rPr>
          <w:noProof/>
        </w:rPr>
        <w:instrText xml:space="preserve"> PAGEREF _Toc104979221 \h </w:instrText>
      </w:r>
      <w:r>
        <w:rPr>
          <w:noProof/>
        </w:rPr>
      </w:r>
      <w:r>
        <w:rPr>
          <w:noProof/>
        </w:rPr>
        <w:fldChar w:fldCharType="separate"/>
      </w:r>
      <w:r w:rsidR="00681E75">
        <w:rPr>
          <w:noProof/>
        </w:rPr>
        <w:t>14</w:t>
      </w:r>
      <w:r>
        <w:rPr>
          <w:noProof/>
        </w:rPr>
        <w:fldChar w:fldCharType="end"/>
      </w:r>
    </w:p>
    <w:p w14:paraId="65E37211" w14:textId="61824526" w:rsidR="000212B7" w:rsidRDefault="000212B7">
      <w:pPr>
        <w:pStyle w:val="Tabladeilustraciones"/>
        <w:tabs>
          <w:tab w:val="right" w:leader="dot" w:pos="9203"/>
        </w:tabs>
        <w:rPr>
          <w:rFonts w:asciiTheme="minorHAnsi" w:eastAsiaTheme="minorEastAsia" w:hAnsiTheme="minorHAnsi" w:cstheme="minorBidi"/>
          <w:noProof/>
          <w:sz w:val="22"/>
          <w:szCs w:val="22"/>
          <w:lang w:val="es-CR" w:eastAsia="es-CR"/>
        </w:rPr>
      </w:pPr>
      <w:r w:rsidRPr="00305CBF">
        <w:rPr>
          <w:rFonts w:ascii="Arial Narrow" w:hAnsi="Arial Narrow" w:cstheme="majorBidi"/>
          <w:b/>
          <w:bCs/>
          <w:noProof/>
        </w:rPr>
        <w:t>Gráfico 3 Porcentaje de cumplimiento del PEI por tema estratégico para el año 2021</w:t>
      </w:r>
      <w:r>
        <w:rPr>
          <w:noProof/>
        </w:rPr>
        <w:tab/>
      </w:r>
      <w:r>
        <w:rPr>
          <w:noProof/>
        </w:rPr>
        <w:fldChar w:fldCharType="begin"/>
      </w:r>
      <w:r>
        <w:rPr>
          <w:noProof/>
        </w:rPr>
        <w:instrText xml:space="preserve"> PAGEREF _Toc104979222 \h </w:instrText>
      </w:r>
      <w:r>
        <w:rPr>
          <w:noProof/>
        </w:rPr>
      </w:r>
      <w:r>
        <w:rPr>
          <w:noProof/>
        </w:rPr>
        <w:fldChar w:fldCharType="separate"/>
      </w:r>
      <w:r w:rsidR="00681E75">
        <w:rPr>
          <w:noProof/>
        </w:rPr>
        <w:t>15</w:t>
      </w:r>
      <w:r>
        <w:rPr>
          <w:noProof/>
        </w:rPr>
        <w:fldChar w:fldCharType="end"/>
      </w:r>
    </w:p>
    <w:p w14:paraId="77112A6C" w14:textId="6F4810F6" w:rsidR="00D439A3" w:rsidRPr="00D439A3" w:rsidRDefault="00375000" w:rsidP="00D439A3">
      <w:pPr>
        <w:pStyle w:val="Tabladeilustraciones"/>
        <w:rPr>
          <w:rFonts w:ascii="Arial Narrow" w:eastAsia="Calibri" w:hAnsi="Arial Narrow"/>
          <w:sz w:val="22"/>
          <w:szCs w:val="22"/>
        </w:rPr>
      </w:pPr>
      <w:r w:rsidRPr="00A22006">
        <w:rPr>
          <w:rFonts w:ascii="Arial Narrow" w:eastAsia="Calibri" w:hAnsi="Arial Narrow"/>
          <w:color w:val="000000"/>
          <w:sz w:val="22"/>
          <w:szCs w:val="22"/>
        </w:rPr>
        <w:fldChar w:fldCharType="end"/>
      </w:r>
      <w:r w:rsidR="00317FC1" w:rsidRPr="00CC279A">
        <w:rPr>
          <w:rFonts w:ascii="Arial Narrow" w:eastAsia="Calibri" w:hAnsi="Arial Narrow"/>
          <w:sz w:val="22"/>
          <w:szCs w:val="22"/>
        </w:rPr>
        <w:t xml:space="preserve"> </w:t>
      </w:r>
    </w:p>
    <w:p w14:paraId="7B7D688D" w14:textId="48C06576" w:rsidR="00352B45" w:rsidRPr="00DF18F7" w:rsidRDefault="0089538E" w:rsidP="000C6F8D">
      <w:pPr>
        <w:pStyle w:val="Ttulo1"/>
      </w:pPr>
      <w:r w:rsidRPr="40316866">
        <w:br w:type="page"/>
      </w:r>
      <w:bookmarkStart w:id="8" w:name="_Toc106355259"/>
      <w:r w:rsidR="550DEBCD" w:rsidRPr="00DF18F7">
        <w:t>Introducción</w:t>
      </w:r>
      <w:bookmarkEnd w:id="8"/>
      <w:r w:rsidR="550DEBCD" w:rsidRPr="00DF18F7">
        <w:t xml:space="preserve"> </w:t>
      </w:r>
    </w:p>
    <w:p w14:paraId="29999881" w14:textId="321B1847" w:rsidR="00352B45" w:rsidRDefault="00352B45" w:rsidP="00352B45">
      <w:pPr>
        <w:rPr>
          <w:lang w:eastAsia="en-US"/>
        </w:rPr>
      </w:pPr>
    </w:p>
    <w:p w14:paraId="20DB24C3" w14:textId="77777777" w:rsidR="0095033E" w:rsidRDefault="0095033E" w:rsidP="008B52CA">
      <w:pPr>
        <w:spacing w:line="276" w:lineRule="auto"/>
        <w:jc w:val="both"/>
        <w:rPr>
          <w:rFonts w:ascii="Arial Narrow" w:hAnsi="Arial Narrow"/>
        </w:rPr>
      </w:pPr>
    </w:p>
    <w:p w14:paraId="02D7F96F" w14:textId="39C39FED" w:rsidR="00C959B8" w:rsidRPr="00B32375" w:rsidRDefault="00C959B8" w:rsidP="008B52CA">
      <w:pPr>
        <w:spacing w:line="276" w:lineRule="auto"/>
        <w:jc w:val="both"/>
        <w:rPr>
          <w:rFonts w:ascii="Arial Narrow" w:hAnsi="Arial Narrow"/>
        </w:rPr>
      </w:pPr>
      <w:r w:rsidRPr="00B32375">
        <w:rPr>
          <w:rFonts w:ascii="Arial Narrow" w:hAnsi="Arial Narrow"/>
        </w:rPr>
        <w:t xml:space="preserve">La Dirección de Planificación presenta el siguiente informe de </w:t>
      </w:r>
      <w:r w:rsidR="007733E2" w:rsidRPr="00B32375">
        <w:rPr>
          <w:rFonts w:ascii="Arial Narrow" w:hAnsi="Arial Narrow"/>
        </w:rPr>
        <w:t>Evaluación</w:t>
      </w:r>
      <w:r w:rsidRPr="00B32375">
        <w:rPr>
          <w:rFonts w:ascii="Arial Narrow" w:hAnsi="Arial Narrow"/>
        </w:rPr>
        <w:t xml:space="preserve"> del Plan Estratégico Institucional </w:t>
      </w:r>
      <w:r w:rsidR="008D78E5" w:rsidRPr="00B32375">
        <w:rPr>
          <w:rFonts w:ascii="Arial Narrow" w:hAnsi="Arial Narrow"/>
        </w:rPr>
        <w:t xml:space="preserve">para el año 2021 </w:t>
      </w:r>
      <w:r w:rsidRPr="00B32375">
        <w:rPr>
          <w:rFonts w:ascii="Arial Narrow" w:hAnsi="Arial Narrow"/>
        </w:rPr>
        <w:t>con corte al 31 de diciembre 2021.</w:t>
      </w:r>
    </w:p>
    <w:p w14:paraId="02A4895C" w14:textId="59905591" w:rsidR="00C959B8" w:rsidRPr="00B32375" w:rsidRDefault="00C959B8" w:rsidP="008B52CA">
      <w:pPr>
        <w:shd w:val="clear" w:color="auto" w:fill="FFFFFF"/>
        <w:spacing w:line="276" w:lineRule="auto"/>
        <w:jc w:val="both"/>
        <w:rPr>
          <w:rFonts w:ascii="Arial Narrow" w:hAnsi="Arial Narrow"/>
        </w:rPr>
      </w:pPr>
    </w:p>
    <w:p w14:paraId="621E11A7" w14:textId="6BFE13E9" w:rsidR="00F26C8C" w:rsidRPr="00B32375" w:rsidRDefault="00515752" w:rsidP="008B52CA">
      <w:pPr>
        <w:shd w:val="clear" w:color="auto" w:fill="FFFFFF"/>
        <w:spacing w:line="276" w:lineRule="auto"/>
        <w:jc w:val="both"/>
        <w:rPr>
          <w:rFonts w:ascii="Arial Narrow" w:hAnsi="Arial Narrow"/>
        </w:rPr>
      </w:pPr>
      <w:r w:rsidRPr="00B32375">
        <w:rPr>
          <w:rFonts w:ascii="Arial Narrow" w:hAnsi="Arial Narrow"/>
        </w:rPr>
        <w:t xml:space="preserve">El año 2021 al igual que el año </w:t>
      </w:r>
      <w:r w:rsidR="00735C79" w:rsidRPr="00B32375">
        <w:rPr>
          <w:rFonts w:ascii="Arial Narrow" w:hAnsi="Arial Narrow"/>
        </w:rPr>
        <w:t>2020 han</w:t>
      </w:r>
      <w:r w:rsidR="00F26C8C" w:rsidRPr="00B32375">
        <w:rPr>
          <w:rFonts w:ascii="Arial Narrow" w:hAnsi="Arial Narrow"/>
        </w:rPr>
        <w:t xml:space="preserve"> sido años atípicos debido a la pandemia por COVID 19 la cual </w:t>
      </w:r>
      <w:r w:rsidR="00735C79" w:rsidRPr="00B32375">
        <w:rPr>
          <w:rFonts w:ascii="Arial Narrow" w:hAnsi="Arial Narrow"/>
        </w:rPr>
        <w:t>influyó</w:t>
      </w:r>
      <w:r w:rsidR="00F26C8C" w:rsidRPr="00B32375">
        <w:rPr>
          <w:rFonts w:ascii="Arial Narrow" w:hAnsi="Arial Narrow"/>
        </w:rPr>
        <w:t xml:space="preserve"> en la ejecución y gestión de las metas por parte de responsables </w:t>
      </w:r>
      <w:r w:rsidR="00747957" w:rsidRPr="00B32375">
        <w:rPr>
          <w:rFonts w:ascii="Arial Narrow" w:hAnsi="Arial Narrow"/>
        </w:rPr>
        <w:t>estratégicos y</w:t>
      </w:r>
      <w:r w:rsidR="00F26C8C" w:rsidRPr="00B32375">
        <w:rPr>
          <w:rFonts w:ascii="Arial Narrow" w:hAnsi="Arial Narrow"/>
        </w:rPr>
        <w:t xml:space="preserve"> en la forma de trabajar e interactuar </w:t>
      </w:r>
      <w:r w:rsidR="00735C79" w:rsidRPr="00B32375">
        <w:rPr>
          <w:rFonts w:ascii="Arial Narrow" w:hAnsi="Arial Narrow"/>
        </w:rPr>
        <w:t xml:space="preserve">entre todos los actores, no obstante, las oficinas responsables con experiencia en trabajar bajo una dinámica virtual, asumieron sus responsabilidades para </w:t>
      </w:r>
      <w:r w:rsidR="00747957" w:rsidRPr="00B32375">
        <w:rPr>
          <w:rFonts w:ascii="Arial Narrow" w:hAnsi="Arial Narrow"/>
        </w:rPr>
        <w:t xml:space="preserve">poder </w:t>
      </w:r>
      <w:r w:rsidR="00735C79" w:rsidRPr="00B32375">
        <w:rPr>
          <w:rFonts w:ascii="Arial Narrow" w:hAnsi="Arial Narrow"/>
        </w:rPr>
        <w:t xml:space="preserve">lograr </w:t>
      </w:r>
      <w:r w:rsidR="00747957" w:rsidRPr="00B32375">
        <w:rPr>
          <w:rFonts w:ascii="Arial Narrow" w:hAnsi="Arial Narrow"/>
        </w:rPr>
        <w:t xml:space="preserve">los cumplimientos </w:t>
      </w:r>
      <w:r w:rsidR="00792BB6" w:rsidRPr="00B32375">
        <w:rPr>
          <w:rFonts w:ascii="Arial Narrow" w:hAnsi="Arial Narrow"/>
        </w:rPr>
        <w:t>óptimos</w:t>
      </w:r>
      <w:r w:rsidR="008D78E5" w:rsidRPr="00B32375">
        <w:rPr>
          <w:rFonts w:ascii="Arial Narrow" w:hAnsi="Arial Narrow"/>
        </w:rPr>
        <w:t>.</w:t>
      </w:r>
    </w:p>
    <w:p w14:paraId="6901BE2E" w14:textId="77777777" w:rsidR="00F26C8C" w:rsidRPr="00B32375" w:rsidRDefault="00F26C8C" w:rsidP="008B52CA">
      <w:pPr>
        <w:shd w:val="clear" w:color="auto" w:fill="FFFFFF"/>
        <w:spacing w:line="276" w:lineRule="auto"/>
        <w:rPr>
          <w:rFonts w:ascii="Arial Narrow" w:hAnsi="Arial Narrow"/>
        </w:rPr>
      </w:pPr>
    </w:p>
    <w:p w14:paraId="179E4832" w14:textId="77777777" w:rsidR="008D78E5" w:rsidRPr="00B32375" w:rsidRDefault="008D78E5" w:rsidP="008B52CA">
      <w:pPr>
        <w:spacing w:line="276" w:lineRule="auto"/>
        <w:jc w:val="both"/>
        <w:rPr>
          <w:rFonts w:ascii="Arial Narrow" w:hAnsi="Arial Narrow"/>
        </w:rPr>
      </w:pPr>
      <w:r w:rsidRPr="00B32375">
        <w:rPr>
          <w:rFonts w:ascii="Arial Narrow" w:hAnsi="Arial Narrow"/>
        </w:rPr>
        <w:t xml:space="preserve">La evaluación permite generar los datos necesarios para optimizar la gestión del Poder Judicial con respecto al avance logrado en el año 2021 e instar para que, a partir de este informe, se tomen las medidas necesarias para el cumplimiento de los objetivos y metas propuestas, siendo que, el Plan Estratégico Institucional (2019-2024) se encuentra a mitad del periodo de ejecución. </w:t>
      </w:r>
    </w:p>
    <w:p w14:paraId="59311DBD" w14:textId="2E4473B7" w:rsidR="00F26C8C" w:rsidRPr="00B32375" w:rsidRDefault="00F26C8C" w:rsidP="008B52CA">
      <w:pPr>
        <w:shd w:val="clear" w:color="auto" w:fill="FFFFFF"/>
        <w:spacing w:line="276" w:lineRule="auto"/>
        <w:jc w:val="center"/>
        <w:rPr>
          <w:rFonts w:ascii="Arial" w:hAnsi="Arial" w:cs="Arial"/>
          <w:sz w:val="21"/>
          <w:szCs w:val="21"/>
          <w:lang w:val="es-CR" w:eastAsia="es-CR"/>
        </w:rPr>
      </w:pPr>
    </w:p>
    <w:p w14:paraId="547F37BB" w14:textId="1A450B90" w:rsidR="00352B45" w:rsidRDefault="00747957" w:rsidP="008B52CA">
      <w:pPr>
        <w:spacing w:line="276" w:lineRule="auto"/>
        <w:jc w:val="both"/>
        <w:rPr>
          <w:lang w:eastAsia="en-US"/>
        </w:rPr>
      </w:pPr>
      <w:r w:rsidRPr="00B32375">
        <w:rPr>
          <w:rFonts w:ascii="Arial Narrow" w:hAnsi="Arial Narrow"/>
        </w:rPr>
        <w:t>P</w:t>
      </w:r>
      <w:r w:rsidR="00C959B8" w:rsidRPr="00B32375">
        <w:rPr>
          <w:rFonts w:ascii="Arial Narrow" w:hAnsi="Arial Narrow"/>
        </w:rPr>
        <w:t>ara la elaboración de este informe se utiliza como insumo la información reportada y registrada en el Sistema PEI con fecha de corte al 31 de diciembre 2021. Específicamente, se brinda información referente a las 218 metas estratégicas asignadas en el Sistema PEI y sus responsables, que se distribuyen entre los 5 temas estratégicos institucionales</w:t>
      </w:r>
      <w:r w:rsidR="00B57988" w:rsidRPr="00B32375">
        <w:rPr>
          <w:rFonts w:ascii="Arial Narrow" w:hAnsi="Arial Narrow"/>
        </w:rPr>
        <w:t>.</w:t>
      </w:r>
      <w:r w:rsidR="00C959B8" w:rsidRPr="00FE5023">
        <w:rPr>
          <w:rFonts w:ascii="Arial Narrow" w:hAnsi="Arial Narrow"/>
        </w:rPr>
        <w:t xml:space="preserve"> </w:t>
      </w:r>
    </w:p>
    <w:p w14:paraId="418A8D6F" w14:textId="77777777" w:rsidR="007733E2" w:rsidRDefault="007733E2" w:rsidP="00352B45">
      <w:pPr>
        <w:rPr>
          <w:lang w:eastAsia="en-US"/>
        </w:rPr>
      </w:pPr>
    </w:p>
    <w:p w14:paraId="399AD44A" w14:textId="77777777" w:rsidR="00352B45" w:rsidRPr="00352B45" w:rsidRDefault="00352B45" w:rsidP="00352B45">
      <w:pPr>
        <w:rPr>
          <w:lang w:eastAsia="en-US"/>
        </w:rPr>
      </w:pPr>
    </w:p>
    <w:p w14:paraId="3A3A5DE2" w14:textId="43DA97B8" w:rsidR="00071470" w:rsidRDefault="00071470">
      <w:pPr>
        <w:rPr>
          <w:rFonts w:ascii="Arial Narrow" w:eastAsia="Calibri" w:hAnsi="Arial Narrow"/>
          <w:b/>
          <w:bCs/>
          <w:iCs/>
          <w:sz w:val="32"/>
          <w:szCs w:val="32"/>
          <w:lang w:eastAsia="en-US"/>
        </w:rPr>
      </w:pPr>
    </w:p>
    <w:p w14:paraId="73F26BBE" w14:textId="7FDA3384" w:rsidR="005607B2" w:rsidRPr="00DF18F7" w:rsidRDefault="00876603" w:rsidP="000C6F8D">
      <w:pPr>
        <w:pStyle w:val="Ttulo1"/>
      </w:pPr>
      <w:bookmarkStart w:id="9" w:name="_Toc106355260"/>
      <w:r w:rsidRPr="00DF18F7">
        <w:t>Resumen Ejecutivo</w:t>
      </w:r>
      <w:bookmarkEnd w:id="9"/>
      <w:r w:rsidRPr="00DF18F7">
        <w:t xml:space="preserve"> </w:t>
      </w:r>
    </w:p>
    <w:p w14:paraId="3A996A2B" w14:textId="77777777" w:rsidR="00955233" w:rsidRPr="008A76DD" w:rsidRDefault="00955233">
      <w:pPr>
        <w:jc w:val="center"/>
        <w:rPr>
          <w:rFonts w:ascii="Arial Narrow" w:eastAsia="Calibri" w:hAnsi="Arial Narrow"/>
          <w:b/>
          <w:bCs/>
          <w:lang w:eastAsia="en-US"/>
        </w:rPr>
      </w:pPr>
    </w:p>
    <w:p w14:paraId="2449B1BD" w14:textId="77777777" w:rsidR="0095033E" w:rsidRDefault="0095033E" w:rsidP="005607B2">
      <w:pPr>
        <w:jc w:val="center"/>
        <w:rPr>
          <w:rFonts w:ascii="Arial Narrow" w:eastAsia="Calibri" w:hAnsi="Arial Narrow"/>
          <w:b/>
          <w:bCs/>
          <w:lang w:eastAsia="en-US"/>
        </w:rPr>
      </w:pPr>
    </w:p>
    <w:p w14:paraId="361C5E25" w14:textId="121E0244" w:rsidR="005607B2" w:rsidRPr="00B32375" w:rsidRDefault="005607B2" w:rsidP="005607B2">
      <w:pPr>
        <w:jc w:val="center"/>
        <w:rPr>
          <w:rFonts w:ascii="Arial Narrow" w:eastAsia="Calibri" w:hAnsi="Arial Narrow"/>
          <w:b/>
          <w:bCs/>
          <w:lang w:eastAsia="en-US"/>
        </w:rPr>
      </w:pPr>
      <w:r w:rsidRPr="00B32375">
        <w:rPr>
          <w:rFonts w:ascii="Arial Narrow" w:eastAsia="Calibri" w:hAnsi="Arial Narrow"/>
          <w:b/>
          <w:bCs/>
          <w:lang w:eastAsia="en-US"/>
        </w:rPr>
        <w:t>Cumplimiento del Plan Estratégico Institucional (PEI) durante el 2021</w:t>
      </w:r>
    </w:p>
    <w:p w14:paraId="2C852DC2" w14:textId="77777777" w:rsidR="005607B2" w:rsidRDefault="005607B2" w:rsidP="00551A73">
      <w:pPr>
        <w:jc w:val="both"/>
        <w:rPr>
          <w:rFonts w:ascii="Arial Narrow" w:hAnsi="Arial Narrow"/>
        </w:rPr>
      </w:pPr>
    </w:p>
    <w:p w14:paraId="0585AA75" w14:textId="77777777" w:rsidR="0095033E" w:rsidRDefault="0095033E" w:rsidP="008B52CA">
      <w:pPr>
        <w:spacing w:line="276" w:lineRule="auto"/>
        <w:jc w:val="both"/>
        <w:rPr>
          <w:rFonts w:ascii="Arial Narrow" w:hAnsi="Arial Narrow" w:cs="Book Antiqua"/>
        </w:rPr>
      </w:pPr>
    </w:p>
    <w:p w14:paraId="2AE5E898" w14:textId="3A345AA1" w:rsidR="001B22A8" w:rsidRPr="00B32375" w:rsidRDefault="001B22A8" w:rsidP="008B52CA">
      <w:pPr>
        <w:spacing w:line="276" w:lineRule="auto"/>
        <w:jc w:val="both"/>
        <w:rPr>
          <w:rFonts w:ascii="Arial Narrow" w:hAnsi="Arial Narrow" w:cs="Book Antiqua"/>
        </w:rPr>
      </w:pPr>
      <w:r w:rsidRPr="00B32375">
        <w:rPr>
          <w:rFonts w:ascii="Arial Narrow" w:hAnsi="Arial Narrow" w:cs="Book Antiqua"/>
        </w:rPr>
        <w:t xml:space="preserve">La evaluación se fundamenta en la información contenida en el sistema PAO y como resultado, se obtiene el grado de avance anual de cada componente del PEI; lo anterior, a través de la valoración directa del grado de cumplimiento de la meta estratégica y al avance reportado por la oficina u oficinas responsables por medio de las metas operativas vinculadas al PAO. </w:t>
      </w:r>
    </w:p>
    <w:p w14:paraId="5118DE44" w14:textId="77777777" w:rsidR="001B22A8" w:rsidRPr="00B32375" w:rsidRDefault="001B22A8" w:rsidP="008B52CA">
      <w:pPr>
        <w:spacing w:line="276" w:lineRule="auto"/>
        <w:jc w:val="both"/>
        <w:rPr>
          <w:rFonts w:ascii="Arial Narrow" w:hAnsi="Arial Narrow" w:cs="Book Antiqua"/>
        </w:rPr>
      </w:pPr>
    </w:p>
    <w:p w14:paraId="0C090C66" w14:textId="76A01909" w:rsidR="001B22A8" w:rsidRPr="00B32375" w:rsidRDefault="001B22A8" w:rsidP="008B52CA">
      <w:pPr>
        <w:spacing w:line="276" w:lineRule="auto"/>
        <w:jc w:val="both"/>
        <w:rPr>
          <w:rFonts w:ascii="Arial Narrow" w:hAnsi="Arial Narrow" w:cs="Book Antiqua"/>
        </w:rPr>
      </w:pPr>
      <w:r w:rsidRPr="00B32375">
        <w:rPr>
          <w:rFonts w:ascii="Arial Narrow" w:hAnsi="Arial Narrow" w:cs="Book Antiqua"/>
        </w:rPr>
        <w:t>Es importante mencionar que la veracidad de la información de los avances por cada meta operativa depende de cada oficina responsable.</w:t>
      </w:r>
    </w:p>
    <w:p w14:paraId="76ED57D7" w14:textId="77777777" w:rsidR="00AA1335" w:rsidRPr="00B32375" w:rsidRDefault="00AA1335" w:rsidP="008B52CA">
      <w:pPr>
        <w:spacing w:line="276" w:lineRule="auto"/>
        <w:jc w:val="both"/>
        <w:rPr>
          <w:rFonts w:ascii="Arial Narrow" w:hAnsi="Arial Narrow" w:cs="Book Antiqua"/>
        </w:rPr>
      </w:pPr>
    </w:p>
    <w:p w14:paraId="704203E8" w14:textId="7BD60DBA" w:rsidR="00D32031" w:rsidRPr="00FD23CD" w:rsidRDefault="00D32031" w:rsidP="008B52CA">
      <w:pPr>
        <w:spacing w:line="276" w:lineRule="auto"/>
        <w:jc w:val="both"/>
        <w:rPr>
          <w:rFonts w:ascii="Arial Narrow" w:hAnsi="Arial Narrow"/>
        </w:rPr>
      </w:pPr>
      <w:r w:rsidRPr="00B32375">
        <w:rPr>
          <w:rFonts w:ascii="Arial Narrow" w:hAnsi="Arial Narrow"/>
        </w:rPr>
        <w:t xml:space="preserve">Las metas anuales del Plan Estratégico Institucional 2019-2024 sujetas de evaluación para el año 2021 son un total de </w:t>
      </w:r>
      <w:r w:rsidR="003E3457" w:rsidRPr="00B32375">
        <w:rPr>
          <w:rFonts w:ascii="Arial Narrow" w:hAnsi="Arial Narrow"/>
        </w:rPr>
        <w:t>218, de</w:t>
      </w:r>
      <w:r w:rsidRPr="00B32375">
        <w:rPr>
          <w:rFonts w:ascii="Arial Narrow" w:hAnsi="Arial Narrow"/>
        </w:rPr>
        <w:t xml:space="preserve"> las cuales </w:t>
      </w:r>
      <w:r w:rsidRPr="00B32375">
        <w:rPr>
          <w:rFonts w:ascii="Arial Narrow" w:eastAsia="Calibri" w:hAnsi="Arial Narrow"/>
          <w:lang w:eastAsia="en-US"/>
        </w:rPr>
        <w:t xml:space="preserve">se tiene un avance de cumplimiento </w:t>
      </w:r>
      <w:r w:rsidR="00442AF4" w:rsidRPr="00B32375">
        <w:rPr>
          <w:rFonts w:ascii="Arial Narrow" w:eastAsia="Calibri" w:hAnsi="Arial Narrow"/>
          <w:lang w:eastAsia="en-US"/>
        </w:rPr>
        <w:t>de un</w:t>
      </w:r>
      <w:r w:rsidRPr="00B32375">
        <w:rPr>
          <w:rFonts w:ascii="Arial Narrow" w:eastAsia="Calibri" w:hAnsi="Arial Narrow"/>
          <w:lang w:eastAsia="en-US"/>
        </w:rPr>
        <w:t xml:space="preserve"> </w:t>
      </w:r>
      <w:r w:rsidR="00442AF4" w:rsidRPr="00B32375">
        <w:rPr>
          <w:rFonts w:ascii="Arial Narrow" w:eastAsia="Calibri" w:hAnsi="Arial Narrow"/>
          <w:lang w:eastAsia="en-US"/>
        </w:rPr>
        <w:t>9</w:t>
      </w:r>
      <w:r w:rsidR="00155522" w:rsidRPr="00B32375">
        <w:rPr>
          <w:rFonts w:ascii="Arial Narrow" w:eastAsia="Calibri" w:hAnsi="Arial Narrow"/>
          <w:lang w:eastAsia="en-US"/>
        </w:rPr>
        <w:t>5</w:t>
      </w:r>
      <w:r w:rsidR="00442AF4" w:rsidRPr="00B32375">
        <w:rPr>
          <w:rFonts w:ascii="Arial Narrow" w:eastAsia="Calibri" w:hAnsi="Arial Narrow"/>
          <w:lang w:eastAsia="en-US"/>
        </w:rPr>
        <w:t>,6</w:t>
      </w:r>
      <w:r w:rsidRPr="00B32375">
        <w:rPr>
          <w:rFonts w:ascii="Arial Narrow" w:eastAsia="Calibri" w:hAnsi="Arial Narrow"/>
          <w:lang w:eastAsia="en-US"/>
        </w:rPr>
        <w:t>%.</w:t>
      </w:r>
    </w:p>
    <w:p w14:paraId="2F9CE17B" w14:textId="6F9EF4AF" w:rsidR="00D32031" w:rsidRDefault="00D32031" w:rsidP="00D32031">
      <w:pPr>
        <w:rPr>
          <w:rFonts w:ascii="Arial Narrow" w:hAnsi="Arial Narrow"/>
          <w:b/>
          <w:bCs/>
        </w:rPr>
      </w:pPr>
    </w:p>
    <w:p w14:paraId="401DCCFE" w14:textId="25023A56" w:rsidR="00F03026" w:rsidRDefault="00F03026" w:rsidP="00D32031">
      <w:pPr>
        <w:rPr>
          <w:rFonts w:ascii="Arial Narrow" w:hAnsi="Arial Narrow"/>
          <w:b/>
          <w:bCs/>
        </w:rPr>
      </w:pPr>
    </w:p>
    <w:p w14:paraId="3082EB73" w14:textId="77777777" w:rsidR="00D32031" w:rsidRDefault="00D32031" w:rsidP="00D32031">
      <w:pPr>
        <w:rPr>
          <w:rFonts w:eastAsia="Calibri"/>
        </w:rPr>
      </w:pPr>
    </w:p>
    <w:p w14:paraId="298F645C" w14:textId="2B562188" w:rsidR="00D32031" w:rsidRDefault="00D32031" w:rsidP="00D32031">
      <w:pPr>
        <w:pStyle w:val="Descripcin"/>
        <w:jc w:val="center"/>
        <w:rPr>
          <w:rFonts w:ascii="Arial Narrow" w:hAnsi="Arial Narrow"/>
          <w:sz w:val="24"/>
          <w:szCs w:val="24"/>
        </w:rPr>
      </w:pPr>
      <w:bookmarkStart w:id="10" w:name="_Toc104979220"/>
      <w:r w:rsidRPr="00CC279A">
        <w:rPr>
          <w:rFonts w:ascii="Arial Narrow" w:hAnsi="Arial Narrow"/>
          <w:sz w:val="24"/>
          <w:szCs w:val="24"/>
        </w:rPr>
        <w:t xml:space="preserve">Gráfico </w:t>
      </w:r>
      <w:r w:rsidRPr="00CC279A">
        <w:rPr>
          <w:rFonts w:ascii="Arial Narrow" w:hAnsi="Arial Narrow"/>
          <w:sz w:val="24"/>
          <w:szCs w:val="24"/>
        </w:rPr>
        <w:fldChar w:fldCharType="begin"/>
      </w:r>
      <w:r w:rsidRPr="00CC279A">
        <w:rPr>
          <w:rFonts w:ascii="Arial Narrow" w:hAnsi="Arial Narrow"/>
          <w:sz w:val="24"/>
          <w:szCs w:val="24"/>
        </w:rPr>
        <w:instrText xml:space="preserve"> SEQ Gráfico \* ARABIC </w:instrText>
      </w:r>
      <w:r w:rsidRPr="00CC279A">
        <w:rPr>
          <w:rFonts w:ascii="Arial Narrow" w:hAnsi="Arial Narrow"/>
          <w:sz w:val="24"/>
          <w:szCs w:val="24"/>
        </w:rPr>
        <w:fldChar w:fldCharType="separate"/>
      </w:r>
      <w:r w:rsidR="002F520A">
        <w:rPr>
          <w:rFonts w:ascii="Arial Narrow" w:hAnsi="Arial Narrow"/>
          <w:noProof/>
          <w:sz w:val="24"/>
          <w:szCs w:val="24"/>
        </w:rPr>
        <w:t>1</w:t>
      </w:r>
      <w:r w:rsidRPr="00CC279A">
        <w:rPr>
          <w:rFonts w:ascii="Arial Narrow" w:hAnsi="Arial Narrow"/>
          <w:sz w:val="24"/>
          <w:szCs w:val="24"/>
        </w:rPr>
        <w:fldChar w:fldCharType="end"/>
      </w:r>
      <w:r w:rsidRPr="00CC279A">
        <w:rPr>
          <w:rFonts w:ascii="Arial Narrow" w:hAnsi="Arial Narrow"/>
          <w:sz w:val="24"/>
          <w:szCs w:val="24"/>
        </w:rPr>
        <w:t xml:space="preserve"> Porcentaje de cumplimiento del PEI, año</w:t>
      </w:r>
      <w:r>
        <w:rPr>
          <w:rFonts w:ascii="Arial Narrow" w:hAnsi="Arial Narrow"/>
          <w:sz w:val="24"/>
          <w:szCs w:val="24"/>
        </w:rPr>
        <w:t xml:space="preserve"> 2021</w:t>
      </w:r>
      <w:bookmarkEnd w:id="10"/>
    </w:p>
    <w:p w14:paraId="75ED32C6" w14:textId="77777777" w:rsidR="00155522" w:rsidRPr="00155522" w:rsidRDefault="00155522" w:rsidP="00155522">
      <w:pPr>
        <w:rPr>
          <w:rFonts w:eastAsia="Calibri"/>
        </w:rPr>
      </w:pPr>
    </w:p>
    <w:p w14:paraId="7D09DF21" w14:textId="007919CE" w:rsidR="00D32031" w:rsidRPr="006378FE" w:rsidRDefault="00155522" w:rsidP="00155522">
      <w:pPr>
        <w:jc w:val="center"/>
        <w:rPr>
          <w:rFonts w:eastAsia="Calibri"/>
        </w:rPr>
      </w:pPr>
      <w:r>
        <w:rPr>
          <w:noProof/>
        </w:rPr>
        <w:drawing>
          <wp:inline distT="0" distB="0" distL="0" distR="0" wp14:anchorId="40DF92C8" wp14:editId="644992F5">
            <wp:extent cx="4248507" cy="2528515"/>
            <wp:effectExtent l="0" t="0" r="0" b="571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9626" t="11332" r="9773"/>
                    <a:stretch/>
                  </pic:blipFill>
                  <pic:spPr bwMode="auto">
                    <a:xfrm>
                      <a:off x="0" y="0"/>
                      <a:ext cx="4269206" cy="2540834"/>
                    </a:xfrm>
                    <a:prstGeom prst="rect">
                      <a:avLst/>
                    </a:prstGeom>
                    <a:ln>
                      <a:noFill/>
                    </a:ln>
                    <a:extLst>
                      <a:ext uri="{53640926-AAD7-44D8-BBD7-CCE9431645EC}">
                        <a14:shadowObscured xmlns:a14="http://schemas.microsoft.com/office/drawing/2010/main"/>
                      </a:ext>
                    </a:extLst>
                  </pic:spPr>
                </pic:pic>
              </a:graphicData>
            </a:graphic>
          </wp:inline>
        </w:drawing>
      </w:r>
    </w:p>
    <w:p w14:paraId="16C5BCEB" w14:textId="77777777" w:rsidR="00D32031" w:rsidRDefault="00D32031" w:rsidP="00D32031">
      <w:pPr>
        <w:jc w:val="center"/>
        <w:rPr>
          <w:noProof/>
          <w:lang w:val="es-CR" w:eastAsia="es-CR"/>
        </w:rPr>
      </w:pPr>
      <w:r w:rsidRPr="00215E3B">
        <w:rPr>
          <w:rFonts w:ascii="Arial Narrow" w:eastAsia="Calibri" w:hAnsi="Arial Narrow"/>
          <w:b/>
          <w:bCs/>
          <w:lang w:eastAsia="en-US"/>
        </w:rPr>
        <w:t xml:space="preserve"> </w:t>
      </w:r>
    </w:p>
    <w:p w14:paraId="7EC200A7" w14:textId="73D1325F" w:rsidR="00D32031" w:rsidRDefault="00D32031" w:rsidP="00D32031">
      <w:pPr>
        <w:jc w:val="center"/>
        <w:rPr>
          <w:rFonts w:ascii="Arial Narrow" w:eastAsia="Calibri" w:hAnsi="Arial Narrow"/>
          <w:b/>
          <w:bCs/>
          <w:lang w:eastAsia="en-US"/>
        </w:rPr>
      </w:pPr>
    </w:p>
    <w:p w14:paraId="739FF6AF" w14:textId="77777777" w:rsidR="00D32031" w:rsidRDefault="00D32031" w:rsidP="00D32031">
      <w:pPr>
        <w:jc w:val="center"/>
        <w:rPr>
          <w:rFonts w:ascii="Arial Narrow" w:eastAsia="Calibri" w:hAnsi="Arial Narrow"/>
          <w:b/>
          <w:bCs/>
          <w:lang w:eastAsia="en-US"/>
        </w:rPr>
      </w:pPr>
    </w:p>
    <w:p w14:paraId="5AC786B1" w14:textId="1533C426" w:rsidR="00D32031" w:rsidRDefault="00D32031" w:rsidP="00D32031">
      <w:pPr>
        <w:tabs>
          <w:tab w:val="left" w:pos="3264"/>
        </w:tabs>
        <w:jc w:val="center"/>
        <w:rPr>
          <w:rFonts w:ascii="Arial Narrow" w:eastAsia="Calibri" w:hAnsi="Arial Narrow"/>
          <w:lang w:eastAsia="en-US"/>
        </w:rPr>
      </w:pPr>
      <w:r w:rsidRPr="000B4845">
        <w:rPr>
          <w:rFonts w:ascii="Arial Narrow" w:eastAsia="Calibri" w:hAnsi="Arial Narrow"/>
          <w:sz w:val="18"/>
          <w:szCs w:val="18"/>
          <w:lang w:eastAsia="en-US"/>
        </w:rPr>
        <w:t xml:space="preserve">Fuente: Sistema PEI al </w:t>
      </w:r>
      <w:r w:rsidR="00AE315E">
        <w:rPr>
          <w:rFonts w:ascii="Arial Narrow" w:eastAsia="Calibri" w:hAnsi="Arial Narrow"/>
          <w:sz w:val="18"/>
          <w:szCs w:val="18"/>
          <w:lang w:eastAsia="en-US"/>
        </w:rPr>
        <w:t>19</w:t>
      </w:r>
      <w:r w:rsidRPr="000B4845">
        <w:rPr>
          <w:rFonts w:ascii="Arial Narrow" w:eastAsia="Calibri" w:hAnsi="Arial Narrow"/>
          <w:sz w:val="18"/>
          <w:szCs w:val="18"/>
          <w:lang w:eastAsia="en-US"/>
        </w:rPr>
        <w:t xml:space="preserve"> de enero del 202</w:t>
      </w:r>
      <w:r>
        <w:rPr>
          <w:rFonts w:ascii="Arial Narrow" w:eastAsia="Calibri" w:hAnsi="Arial Narrow"/>
          <w:sz w:val="18"/>
          <w:szCs w:val="18"/>
          <w:lang w:eastAsia="en-US"/>
        </w:rPr>
        <w:t>2</w:t>
      </w:r>
      <w:r w:rsidRPr="000B4845">
        <w:rPr>
          <w:rFonts w:ascii="Arial Narrow" w:eastAsia="Calibri" w:hAnsi="Arial Narrow"/>
          <w:sz w:val="18"/>
          <w:szCs w:val="18"/>
          <w:lang w:eastAsia="en-US"/>
        </w:rPr>
        <w:t xml:space="preserve"> (año 20</w:t>
      </w:r>
      <w:r>
        <w:rPr>
          <w:rFonts w:ascii="Arial Narrow" w:eastAsia="Calibri" w:hAnsi="Arial Narrow"/>
          <w:sz w:val="18"/>
          <w:szCs w:val="18"/>
          <w:lang w:eastAsia="en-US"/>
        </w:rPr>
        <w:t>21</w:t>
      </w:r>
      <w:r w:rsidRPr="000B4845">
        <w:rPr>
          <w:rFonts w:ascii="Arial Narrow" w:eastAsia="Calibri" w:hAnsi="Arial Narrow"/>
          <w:sz w:val="18"/>
          <w:szCs w:val="18"/>
          <w:lang w:eastAsia="en-US"/>
        </w:rPr>
        <w:t>)</w:t>
      </w:r>
      <w:r>
        <w:rPr>
          <w:rFonts w:ascii="Arial Narrow" w:eastAsia="Calibri" w:hAnsi="Arial Narrow"/>
          <w:sz w:val="18"/>
          <w:szCs w:val="18"/>
          <w:lang w:eastAsia="en-US"/>
        </w:rPr>
        <w:t>.</w:t>
      </w:r>
    </w:p>
    <w:p w14:paraId="33871C87" w14:textId="77777777" w:rsidR="00D32031" w:rsidRDefault="00D32031" w:rsidP="00CB75DA">
      <w:pPr>
        <w:jc w:val="both"/>
        <w:rPr>
          <w:rFonts w:ascii="Arial Narrow" w:eastAsia="Calibri" w:hAnsi="Arial Narrow"/>
          <w:lang w:eastAsia="en-US"/>
        </w:rPr>
      </w:pPr>
    </w:p>
    <w:p w14:paraId="2FF849FA" w14:textId="49956625" w:rsidR="00D32031" w:rsidRDefault="00390C48" w:rsidP="008B52CA">
      <w:pPr>
        <w:spacing w:line="276" w:lineRule="auto"/>
        <w:jc w:val="both"/>
        <w:rPr>
          <w:rFonts w:ascii="Arial Narrow" w:eastAsia="Calibri" w:hAnsi="Arial Narrow"/>
          <w:lang w:eastAsia="en-US"/>
        </w:rPr>
      </w:pPr>
      <w:r w:rsidRPr="00B32375">
        <w:rPr>
          <w:rFonts w:ascii="Arial Narrow" w:eastAsia="Calibri" w:hAnsi="Arial Narrow"/>
          <w:lang w:eastAsia="en-US"/>
        </w:rPr>
        <w:t>En cuanto a l</w:t>
      </w:r>
      <w:r w:rsidR="00D32031" w:rsidRPr="00B32375">
        <w:rPr>
          <w:rFonts w:ascii="Arial Narrow" w:eastAsia="Calibri" w:hAnsi="Arial Narrow"/>
          <w:lang w:eastAsia="en-US"/>
        </w:rPr>
        <w:t xml:space="preserve">os Programas Institucionales cumplen con sus metas estratégicas para el cierre del 2021 </w:t>
      </w:r>
      <w:r w:rsidRPr="00B32375">
        <w:rPr>
          <w:rFonts w:ascii="Arial Narrow" w:eastAsia="Calibri" w:hAnsi="Arial Narrow"/>
          <w:lang w:eastAsia="en-US"/>
        </w:rPr>
        <w:t>de la siguiente manera</w:t>
      </w:r>
      <w:r w:rsidR="00D32031" w:rsidRPr="00B32375">
        <w:rPr>
          <w:rFonts w:ascii="Arial Narrow" w:eastAsia="Calibri" w:hAnsi="Arial Narrow"/>
          <w:lang w:eastAsia="en-US"/>
        </w:rPr>
        <w:t xml:space="preserve">:  la Defensa Pública registró un </w:t>
      </w:r>
      <w:r w:rsidR="00DF4733" w:rsidRPr="00B32375">
        <w:rPr>
          <w:rFonts w:ascii="Arial Narrow" w:eastAsia="Calibri" w:hAnsi="Arial Narrow"/>
          <w:lang w:eastAsia="en-US"/>
        </w:rPr>
        <w:t>100</w:t>
      </w:r>
      <w:r w:rsidR="00D32031" w:rsidRPr="00B32375">
        <w:rPr>
          <w:rFonts w:ascii="Arial Narrow" w:eastAsia="Calibri" w:hAnsi="Arial Narrow"/>
          <w:lang w:eastAsia="en-US"/>
        </w:rPr>
        <w:t xml:space="preserve">%, el Programa Dirección, Administración y Otros Órganos de Apoyo un </w:t>
      </w:r>
      <w:r w:rsidR="00DF4733" w:rsidRPr="00B32375">
        <w:rPr>
          <w:rFonts w:ascii="Arial Narrow" w:eastAsia="Calibri" w:hAnsi="Arial Narrow"/>
          <w:lang w:eastAsia="en-US"/>
        </w:rPr>
        <w:t>98,14</w:t>
      </w:r>
      <w:r w:rsidR="00D32031" w:rsidRPr="00B32375">
        <w:rPr>
          <w:rFonts w:ascii="Arial Narrow" w:eastAsia="Calibri" w:hAnsi="Arial Narrow"/>
          <w:lang w:eastAsia="en-US"/>
        </w:rPr>
        <w:t xml:space="preserve">%, el Ministerio Púbico un </w:t>
      </w:r>
      <w:r w:rsidR="00DF4733" w:rsidRPr="00B32375">
        <w:rPr>
          <w:rFonts w:ascii="Arial Narrow" w:eastAsia="Calibri" w:hAnsi="Arial Narrow"/>
          <w:lang w:eastAsia="en-US"/>
        </w:rPr>
        <w:t>99,59</w:t>
      </w:r>
      <w:r w:rsidR="00D32031" w:rsidRPr="00B32375">
        <w:rPr>
          <w:rFonts w:ascii="Arial Narrow" w:eastAsia="Calibri" w:hAnsi="Arial Narrow"/>
          <w:lang w:eastAsia="en-US"/>
        </w:rPr>
        <w:t xml:space="preserve">%, el Organismo de Investigación Judicial en un </w:t>
      </w:r>
      <w:r w:rsidR="00DF4733" w:rsidRPr="00B32375">
        <w:rPr>
          <w:rFonts w:ascii="Arial Narrow" w:eastAsia="Calibri" w:hAnsi="Arial Narrow"/>
          <w:lang w:eastAsia="en-US"/>
        </w:rPr>
        <w:t>99,96</w:t>
      </w:r>
      <w:r w:rsidR="00D32031" w:rsidRPr="00B32375">
        <w:rPr>
          <w:rFonts w:ascii="Arial Narrow" w:eastAsia="Calibri" w:hAnsi="Arial Narrow"/>
          <w:lang w:eastAsia="en-US"/>
        </w:rPr>
        <w:t xml:space="preserve">%, el Servicio de Atención y Protección a Víctimas y Testigos en un </w:t>
      </w:r>
      <w:r w:rsidR="00DF4733" w:rsidRPr="00B32375">
        <w:rPr>
          <w:rFonts w:ascii="Arial Narrow" w:eastAsia="Calibri" w:hAnsi="Arial Narrow"/>
          <w:lang w:eastAsia="en-US"/>
        </w:rPr>
        <w:t>96,83</w:t>
      </w:r>
      <w:r w:rsidR="00D32031" w:rsidRPr="00B32375">
        <w:rPr>
          <w:rFonts w:ascii="Arial Narrow" w:eastAsia="Calibri" w:hAnsi="Arial Narrow"/>
          <w:lang w:eastAsia="en-US"/>
        </w:rPr>
        <w:t xml:space="preserve">%, mientras que el Servicio Jurisdiccional en un </w:t>
      </w:r>
      <w:r w:rsidR="00DF4733" w:rsidRPr="00B32375">
        <w:rPr>
          <w:rFonts w:ascii="Arial Narrow" w:eastAsia="Calibri" w:hAnsi="Arial Narrow"/>
          <w:lang w:eastAsia="en-US"/>
        </w:rPr>
        <w:t>87,30</w:t>
      </w:r>
      <w:r w:rsidR="00D32031" w:rsidRPr="00B32375">
        <w:rPr>
          <w:rFonts w:ascii="Arial Narrow" w:eastAsia="Calibri" w:hAnsi="Arial Narrow"/>
          <w:lang w:eastAsia="en-US"/>
        </w:rPr>
        <w:t>%.</w:t>
      </w:r>
    </w:p>
    <w:p w14:paraId="7FE2B236" w14:textId="684CABA6" w:rsidR="00D32031" w:rsidRDefault="00D32031" w:rsidP="008B52CA">
      <w:pPr>
        <w:spacing w:line="276" w:lineRule="auto"/>
        <w:jc w:val="both"/>
        <w:rPr>
          <w:rFonts w:ascii="Arial Narrow" w:eastAsia="Calibri" w:hAnsi="Arial Narrow"/>
          <w:lang w:eastAsia="en-US"/>
        </w:rPr>
      </w:pPr>
    </w:p>
    <w:p w14:paraId="495BBD5C" w14:textId="77777777" w:rsidR="00AE1BAD" w:rsidRDefault="00AE1BAD">
      <w:pPr>
        <w:rPr>
          <w:rFonts w:ascii="Arial Narrow" w:hAnsi="Arial Narrow" w:cstheme="majorHAnsi"/>
          <w:b/>
          <w:bCs/>
        </w:rPr>
      </w:pPr>
      <w:bookmarkStart w:id="11" w:name="_Toc104979221"/>
      <w:r>
        <w:rPr>
          <w:rFonts w:ascii="Arial Narrow" w:hAnsi="Arial Narrow" w:cstheme="majorHAnsi"/>
          <w:b/>
          <w:bCs/>
        </w:rPr>
        <w:br w:type="page"/>
      </w:r>
    </w:p>
    <w:p w14:paraId="6390C126" w14:textId="33FB4390" w:rsidR="00D32031" w:rsidRDefault="00D32031" w:rsidP="00B32375">
      <w:pPr>
        <w:jc w:val="center"/>
        <w:rPr>
          <w:rFonts w:ascii="Arial Narrow" w:hAnsi="Arial Narrow" w:cstheme="majorHAnsi"/>
          <w:b/>
          <w:bCs/>
        </w:rPr>
      </w:pPr>
      <w:r w:rsidRPr="00CC279A">
        <w:rPr>
          <w:rFonts w:ascii="Arial Narrow" w:hAnsi="Arial Narrow" w:cstheme="majorHAnsi"/>
          <w:b/>
          <w:bCs/>
        </w:rPr>
        <w:t xml:space="preserve">Gráfico </w:t>
      </w:r>
      <w:r w:rsidRPr="00CC279A">
        <w:rPr>
          <w:rFonts w:ascii="Arial Narrow" w:hAnsi="Arial Narrow" w:cstheme="majorHAnsi"/>
          <w:b/>
          <w:bCs/>
        </w:rPr>
        <w:fldChar w:fldCharType="begin"/>
      </w:r>
      <w:r w:rsidRPr="00CC279A">
        <w:rPr>
          <w:rFonts w:ascii="Arial Narrow" w:hAnsi="Arial Narrow" w:cstheme="majorHAnsi"/>
          <w:b/>
          <w:bCs/>
        </w:rPr>
        <w:instrText xml:space="preserve"> SEQ Gráfico \* ARABIC </w:instrText>
      </w:r>
      <w:r w:rsidRPr="00CC279A">
        <w:rPr>
          <w:rFonts w:ascii="Arial Narrow" w:hAnsi="Arial Narrow" w:cstheme="majorHAnsi"/>
          <w:b/>
          <w:bCs/>
        </w:rPr>
        <w:fldChar w:fldCharType="separate"/>
      </w:r>
      <w:r w:rsidR="002F520A">
        <w:rPr>
          <w:rFonts w:ascii="Arial Narrow" w:hAnsi="Arial Narrow" w:cstheme="majorHAnsi"/>
          <w:b/>
          <w:bCs/>
          <w:noProof/>
        </w:rPr>
        <w:t>2</w:t>
      </w:r>
      <w:r w:rsidRPr="00CC279A">
        <w:rPr>
          <w:rFonts w:ascii="Arial Narrow" w:hAnsi="Arial Narrow" w:cstheme="majorHAnsi"/>
          <w:b/>
          <w:bCs/>
        </w:rPr>
        <w:fldChar w:fldCharType="end"/>
      </w:r>
      <w:r w:rsidRPr="00CC279A">
        <w:rPr>
          <w:rFonts w:ascii="Arial Narrow" w:hAnsi="Arial Narrow" w:cstheme="majorHAnsi"/>
          <w:b/>
          <w:bCs/>
        </w:rPr>
        <w:t xml:space="preserve"> Porcentaje de cumplimiento </w:t>
      </w:r>
      <w:r w:rsidR="007B5CC8" w:rsidRPr="00CC279A">
        <w:rPr>
          <w:rFonts w:ascii="Arial Narrow" w:hAnsi="Arial Narrow" w:cstheme="majorHAnsi"/>
          <w:b/>
          <w:bCs/>
        </w:rPr>
        <w:t xml:space="preserve">del PEI </w:t>
      </w:r>
      <w:r w:rsidRPr="00CC279A">
        <w:rPr>
          <w:rFonts w:ascii="Arial Narrow" w:hAnsi="Arial Narrow" w:cstheme="majorHAnsi"/>
          <w:b/>
          <w:bCs/>
        </w:rPr>
        <w:t xml:space="preserve">por </w:t>
      </w:r>
      <w:r w:rsidR="007B5CC8">
        <w:rPr>
          <w:rFonts w:ascii="Arial Narrow" w:hAnsi="Arial Narrow" w:cstheme="majorHAnsi"/>
          <w:b/>
          <w:bCs/>
        </w:rPr>
        <w:t>P</w:t>
      </w:r>
      <w:r w:rsidR="007B5CC8" w:rsidRPr="00CC279A">
        <w:rPr>
          <w:rFonts w:ascii="Arial Narrow" w:hAnsi="Arial Narrow" w:cstheme="majorHAnsi"/>
          <w:b/>
          <w:bCs/>
        </w:rPr>
        <w:t xml:space="preserve">rograma </w:t>
      </w:r>
      <w:r w:rsidRPr="00CC279A">
        <w:rPr>
          <w:rFonts w:ascii="Arial Narrow" w:hAnsi="Arial Narrow" w:cstheme="majorHAnsi"/>
          <w:b/>
          <w:bCs/>
        </w:rPr>
        <w:t>para el año 20</w:t>
      </w:r>
      <w:r>
        <w:rPr>
          <w:rFonts w:ascii="Arial Narrow" w:hAnsi="Arial Narrow" w:cstheme="majorHAnsi"/>
          <w:b/>
          <w:bCs/>
        </w:rPr>
        <w:t>21</w:t>
      </w:r>
      <w:bookmarkEnd w:id="11"/>
    </w:p>
    <w:p w14:paraId="2946F8A1" w14:textId="191B70AF" w:rsidR="00DF4733" w:rsidRDefault="007B5CC8" w:rsidP="00D32031">
      <w:pPr>
        <w:rPr>
          <w:rFonts w:ascii="Arial Narrow" w:hAnsi="Arial Narrow" w:cstheme="majorHAnsi"/>
          <w:b/>
          <w:bCs/>
        </w:rPr>
      </w:pPr>
      <w:r>
        <w:rPr>
          <w:rFonts w:ascii="Arial Narrow" w:hAnsi="Arial Narrow" w:cstheme="majorHAnsi"/>
          <w:b/>
          <w:bCs/>
        </w:rPr>
        <w:t xml:space="preserve"> </w:t>
      </w:r>
    </w:p>
    <w:p w14:paraId="4AA0103F" w14:textId="50FCC9CA" w:rsidR="00DF4733" w:rsidRPr="00CC279A" w:rsidRDefault="00DF4733" w:rsidP="00813492">
      <w:pPr>
        <w:jc w:val="center"/>
        <w:rPr>
          <w:rFonts w:ascii="Arial Narrow" w:eastAsia="Calibri" w:hAnsi="Arial Narrow" w:cstheme="majorHAnsi"/>
          <w:b/>
          <w:bCs/>
          <w:sz w:val="20"/>
          <w:szCs w:val="20"/>
        </w:rPr>
      </w:pPr>
      <w:r>
        <w:rPr>
          <w:noProof/>
        </w:rPr>
        <w:drawing>
          <wp:inline distT="0" distB="0" distL="0" distR="0" wp14:anchorId="0CD63D1A" wp14:editId="281F0AF8">
            <wp:extent cx="4768850" cy="1925518"/>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774416" cy="1927765"/>
                    </a:xfrm>
                    <a:prstGeom prst="rect">
                      <a:avLst/>
                    </a:prstGeom>
                  </pic:spPr>
                </pic:pic>
              </a:graphicData>
            </a:graphic>
          </wp:inline>
        </w:drawing>
      </w:r>
    </w:p>
    <w:p w14:paraId="434ECB69" w14:textId="21ACA6EF" w:rsidR="00D32031" w:rsidRDefault="00D32031" w:rsidP="00D32031">
      <w:pPr>
        <w:jc w:val="center"/>
        <w:rPr>
          <w:rFonts w:ascii="Arial Narrow" w:eastAsia="Calibri" w:hAnsi="Arial Narrow"/>
          <w:lang w:eastAsia="en-US"/>
        </w:rPr>
      </w:pPr>
      <w:r>
        <w:rPr>
          <w:rFonts w:ascii="Arial Narrow" w:eastAsia="Calibri" w:hAnsi="Arial Narrow"/>
          <w:sz w:val="18"/>
          <w:szCs w:val="18"/>
          <w:lang w:eastAsia="en-US"/>
        </w:rPr>
        <w:t xml:space="preserve">  </w:t>
      </w:r>
      <w:r w:rsidRPr="000B4845">
        <w:rPr>
          <w:rFonts w:ascii="Arial Narrow" w:eastAsia="Calibri" w:hAnsi="Arial Narrow"/>
          <w:sz w:val="18"/>
          <w:szCs w:val="18"/>
          <w:lang w:eastAsia="en-US"/>
        </w:rPr>
        <w:t xml:space="preserve">Fuente: Sistema PEI al </w:t>
      </w:r>
      <w:r w:rsidR="00AE315E">
        <w:rPr>
          <w:rFonts w:ascii="Arial Narrow" w:eastAsia="Calibri" w:hAnsi="Arial Narrow"/>
          <w:sz w:val="18"/>
          <w:szCs w:val="18"/>
          <w:lang w:eastAsia="en-US"/>
        </w:rPr>
        <w:t>19</w:t>
      </w:r>
      <w:r w:rsidRPr="000B4845">
        <w:rPr>
          <w:rFonts w:ascii="Arial Narrow" w:eastAsia="Calibri" w:hAnsi="Arial Narrow"/>
          <w:sz w:val="18"/>
          <w:szCs w:val="18"/>
          <w:lang w:eastAsia="en-US"/>
        </w:rPr>
        <w:t xml:space="preserve"> de enero del 202</w:t>
      </w:r>
      <w:r w:rsidR="00390C48">
        <w:rPr>
          <w:rFonts w:ascii="Arial Narrow" w:eastAsia="Calibri" w:hAnsi="Arial Narrow"/>
          <w:sz w:val="18"/>
          <w:szCs w:val="18"/>
          <w:lang w:eastAsia="en-US"/>
        </w:rPr>
        <w:t>2</w:t>
      </w:r>
      <w:r w:rsidRPr="000B4845">
        <w:rPr>
          <w:rFonts w:ascii="Arial Narrow" w:eastAsia="Calibri" w:hAnsi="Arial Narrow"/>
          <w:sz w:val="18"/>
          <w:szCs w:val="18"/>
          <w:lang w:eastAsia="en-US"/>
        </w:rPr>
        <w:t xml:space="preserve"> (año 20</w:t>
      </w:r>
      <w:r w:rsidR="00390C48">
        <w:rPr>
          <w:rFonts w:ascii="Arial Narrow" w:eastAsia="Calibri" w:hAnsi="Arial Narrow"/>
          <w:sz w:val="18"/>
          <w:szCs w:val="18"/>
          <w:lang w:eastAsia="en-US"/>
        </w:rPr>
        <w:t>21</w:t>
      </w:r>
      <w:r w:rsidRPr="000B4845">
        <w:rPr>
          <w:rFonts w:ascii="Arial Narrow" w:eastAsia="Calibri" w:hAnsi="Arial Narrow"/>
          <w:sz w:val="18"/>
          <w:szCs w:val="18"/>
          <w:lang w:eastAsia="en-US"/>
        </w:rPr>
        <w:t>)</w:t>
      </w:r>
      <w:r w:rsidR="00390C48">
        <w:rPr>
          <w:rFonts w:ascii="Arial Narrow" w:eastAsia="Calibri" w:hAnsi="Arial Narrow"/>
          <w:sz w:val="18"/>
          <w:szCs w:val="18"/>
          <w:lang w:eastAsia="en-US"/>
        </w:rPr>
        <w:t>.</w:t>
      </w:r>
    </w:p>
    <w:p w14:paraId="70743F98" w14:textId="65D940F1" w:rsidR="00544696" w:rsidRPr="00E13746" w:rsidRDefault="00544696" w:rsidP="00066A3B">
      <w:pPr>
        <w:rPr>
          <w:rFonts w:ascii="Arial Narrow" w:hAnsi="Arial Narrow"/>
        </w:rPr>
      </w:pPr>
    </w:p>
    <w:p w14:paraId="6CCD983F" w14:textId="24164872" w:rsidR="007B5CC8" w:rsidRDefault="007B5CC8" w:rsidP="008B52CA">
      <w:pPr>
        <w:spacing w:line="276" w:lineRule="auto"/>
        <w:jc w:val="both"/>
        <w:rPr>
          <w:rFonts w:ascii="Arial Narrow" w:eastAsia="Calibri" w:hAnsi="Arial Narrow"/>
          <w:lang w:eastAsia="en-US"/>
        </w:rPr>
      </w:pPr>
    </w:p>
    <w:p w14:paraId="37308739" w14:textId="4B8BA627" w:rsidR="007B5CC8" w:rsidRDefault="007B5CC8" w:rsidP="40316866">
      <w:pPr>
        <w:spacing w:line="276" w:lineRule="auto"/>
        <w:jc w:val="both"/>
        <w:rPr>
          <w:rFonts w:ascii="Arial Narrow" w:eastAsia="Calibri" w:hAnsi="Arial Narrow"/>
          <w:highlight w:val="cyan"/>
          <w:lang w:eastAsia="en-US"/>
        </w:rPr>
      </w:pPr>
    </w:p>
    <w:p w14:paraId="05E60E7E" w14:textId="778E2882" w:rsidR="007B5CC8" w:rsidRDefault="46C775B6" w:rsidP="008B52CA">
      <w:pPr>
        <w:spacing w:line="276" w:lineRule="auto"/>
        <w:jc w:val="both"/>
        <w:rPr>
          <w:rFonts w:ascii="Arial Narrow" w:eastAsia="Calibri" w:hAnsi="Arial Narrow"/>
          <w:lang w:eastAsia="en-US"/>
        </w:rPr>
      </w:pPr>
      <w:r w:rsidRPr="00322D9B">
        <w:rPr>
          <w:rFonts w:ascii="Arial Narrow" w:eastAsia="Calibri" w:hAnsi="Arial Narrow"/>
          <w:lang w:eastAsia="en-US"/>
        </w:rPr>
        <w:t>Con respecto al Programa Servicio Jurisdiccional tienen vinculadas 1537 metas operativas del total de 3634 metas operativas lo que equivale a un 42%. Por lo tanto, la actualización de ese 42% de las metas incide directamente en el programa del Servicio Jurisdiccional.</w:t>
      </w:r>
      <w:r w:rsidR="00071470" w:rsidRPr="00322D9B">
        <w:rPr>
          <w:rFonts w:ascii="Arial Narrow" w:eastAsia="Calibri" w:hAnsi="Arial Narrow"/>
          <w:lang w:eastAsia="en-US"/>
        </w:rPr>
        <w:t xml:space="preserve"> </w:t>
      </w:r>
      <w:r w:rsidRPr="00322D9B">
        <w:rPr>
          <w:rFonts w:ascii="Arial Narrow" w:eastAsia="Calibri" w:hAnsi="Arial Narrow"/>
          <w:lang w:eastAsia="en-US"/>
        </w:rPr>
        <w:t xml:space="preserve">Las acciones que inciden en este cumplimiento son Celeridad Judicial y Medidas </w:t>
      </w:r>
      <w:r w:rsidR="00071470" w:rsidRPr="00322D9B">
        <w:rPr>
          <w:rFonts w:ascii="Arial Narrow" w:eastAsia="Calibri" w:hAnsi="Arial Narrow"/>
          <w:lang w:eastAsia="en-US"/>
        </w:rPr>
        <w:t>A</w:t>
      </w:r>
      <w:r w:rsidRPr="00322D9B">
        <w:rPr>
          <w:rFonts w:ascii="Arial Narrow" w:eastAsia="Calibri" w:hAnsi="Arial Narrow"/>
          <w:lang w:eastAsia="en-US"/>
        </w:rPr>
        <w:t>l</w:t>
      </w:r>
      <w:r w:rsidR="00071470" w:rsidRPr="00322D9B">
        <w:rPr>
          <w:rFonts w:ascii="Arial Narrow" w:eastAsia="Calibri" w:hAnsi="Arial Narrow"/>
          <w:lang w:eastAsia="en-US"/>
        </w:rPr>
        <w:t>t</w:t>
      </w:r>
      <w:r w:rsidRPr="00322D9B">
        <w:rPr>
          <w:rFonts w:ascii="Arial Narrow" w:eastAsia="Calibri" w:hAnsi="Arial Narrow"/>
          <w:lang w:eastAsia="en-US"/>
        </w:rPr>
        <w:t>ernas</w:t>
      </w:r>
      <w:r w:rsidR="00071470" w:rsidRPr="00322D9B">
        <w:rPr>
          <w:rFonts w:ascii="Arial Narrow" w:eastAsia="Calibri" w:hAnsi="Arial Narrow"/>
          <w:lang w:eastAsia="en-US"/>
        </w:rPr>
        <w:t xml:space="preserve">, </w:t>
      </w:r>
      <w:r w:rsidR="003D19B1" w:rsidRPr="00322D9B">
        <w:rPr>
          <w:rFonts w:ascii="Arial Narrow" w:eastAsia="Calibri" w:hAnsi="Arial Narrow"/>
          <w:lang w:eastAsia="en-US"/>
        </w:rPr>
        <w:t>esto debido a que</w:t>
      </w:r>
      <w:r w:rsidR="00B00484">
        <w:rPr>
          <w:rFonts w:ascii="Arial Narrow" w:eastAsia="Calibri" w:hAnsi="Arial Narrow"/>
          <w:lang w:eastAsia="en-US"/>
        </w:rPr>
        <w:t xml:space="preserve"> </w:t>
      </w:r>
      <w:r w:rsidR="003D19B1" w:rsidRPr="00322D9B">
        <w:rPr>
          <w:rFonts w:ascii="Arial Narrow" w:eastAsia="Calibri" w:hAnsi="Arial Narrow"/>
          <w:lang w:eastAsia="en-US"/>
        </w:rPr>
        <w:t xml:space="preserve">el cumplimiento de las </w:t>
      </w:r>
      <w:r w:rsidR="00B00484" w:rsidRPr="00322D9B">
        <w:rPr>
          <w:rFonts w:ascii="Arial Narrow" w:eastAsia="Calibri" w:hAnsi="Arial Narrow"/>
          <w:lang w:eastAsia="en-US"/>
        </w:rPr>
        <w:t>metas</w:t>
      </w:r>
      <w:r w:rsidR="00B00484">
        <w:rPr>
          <w:rFonts w:ascii="Arial Narrow" w:eastAsia="Calibri" w:hAnsi="Arial Narrow"/>
          <w:lang w:eastAsia="en-US"/>
        </w:rPr>
        <w:t xml:space="preserve"> operativas </w:t>
      </w:r>
      <w:r w:rsidR="003D19B1" w:rsidRPr="00322D9B">
        <w:rPr>
          <w:rFonts w:ascii="Arial Narrow" w:eastAsia="Calibri" w:hAnsi="Arial Narrow"/>
          <w:lang w:eastAsia="en-US"/>
        </w:rPr>
        <w:t>de estas acciones</w:t>
      </w:r>
      <w:r w:rsidR="00B00484">
        <w:rPr>
          <w:rFonts w:ascii="Arial Narrow" w:eastAsia="Calibri" w:hAnsi="Arial Narrow"/>
          <w:lang w:eastAsia="en-US"/>
        </w:rPr>
        <w:t>,</w:t>
      </w:r>
      <w:r w:rsidR="003D19B1" w:rsidRPr="00322D9B">
        <w:rPr>
          <w:rFonts w:ascii="Arial Narrow" w:eastAsia="Calibri" w:hAnsi="Arial Narrow"/>
          <w:lang w:eastAsia="en-US"/>
        </w:rPr>
        <w:t xml:space="preserve"> están</w:t>
      </w:r>
      <w:r w:rsidR="00B00484">
        <w:rPr>
          <w:rFonts w:ascii="Arial Narrow" w:eastAsia="Calibri" w:hAnsi="Arial Narrow"/>
          <w:lang w:eastAsia="en-US"/>
        </w:rPr>
        <w:t xml:space="preserve"> </w:t>
      </w:r>
      <w:r w:rsidR="003D19B1" w:rsidRPr="00322D9B">
        <w:rPr>
          <w:rFonts w:ascii="Arial Narrow" w:eastAsia="Calibri" w:hAnsi="Arial Narrow"/>
          <w:lang w:eastAsia="en-US"/>
        </w:rPr>
        <w:t>directamente</w:t>
      </w:r>
      <w:r w:rsidR="00B00484">
        <w:rPr>
          <w:rFonts w:ascii="Arial Narrow" w:eastAsia="Calibri" w:hAnsi="Arial Narrow"/>
          <w:lang w:eastAsia="en-US"/>
        </w:rPr>
        <w:t xml:space="preserve"> </w:t>
      </w:r>
      <w:r w:rsidR="003D19B1" w:rsidRPr="00322D9B">
        <w:rPr>
          <w:rFonts w:ascii="Arial Narrow" w:eastAsia="Calibri" w:hAnsi="Arial Narrow"/>
          <w:lang w:eastAsia="en-US"/>
        </w:rPr>
        <w:t xml:space="preserve">vinculadas a la cantidad de casos terminados y casos terminados por medio de Medidas Alternas que un despacho judicial logre finiquitar al finalizar </w:t>
      </w:r>
      <w:r w:rsidR="00A22296">
        <w:rPr>
          <w:rFonts w:ascii="Arial Narrow" w:eastAsia="Calibri" w:hAnsi="Arial Narrow"/>
          <w:lang w:eastAsia="en-US"/>
        </w:rPr>
        <w:t>el</w:t>
      </w:r>
      <w:r w:rsidR="003D19B1" w:rsidRPr="00322D9B">
        <w:rPr>
          <w:rFonts w:ascii="Arial Narrow" w:eastAsia="Calibri" w:hAnsi="Arial Narrow"/>
          <w:lang w:eastAsia="en-US"/>
        </w:rPr>
        <w:t xml:space="preserve"> año.  </w:t>
      </w:r>
      <w:r w:rsidR="318615A5" w:rsidRPr="0F07E111">
        <w:rPr>
          <w:rFonts w:ascii="Arial Narrow" w:eastAsia="Calibri" w:hAnsi="Arial Narrow"/>
          <w:lang w:eastAsia="en-US"/>
        </w:rPr>
        <w:t xml:space="preserve"> </w:t>
      </w:r>
    </w:p>
    <w:p w14:paraId="616E9978" w14:textId="77777777" w:rsidR="007B5CC8" w:rsidRDefault="007B5CC8" w:rsidP="008B52CA">
      <w:pPr>
        <w:spacing w:line="276" w:lineRule="auto"/>
        <w:jc w:val="both"/>
        <w:rPr>
          <w:rFonts w:ascii="Arial Narrow" w:eastAsia="Calibri" w:hAnsi="Arial Narrow"/>
          <w:lang w:eastAsia="en-US"/>
        </w:rPr>
      </w:pPr>
    </w:p>
    <w:p w14:paraId="2B13C960" w14:textId="26568D11" w:rsidR="00CB75DA" w:rsidRDefault="00CB75DA" w:rsidP="008B52CA">
      <w:pPr>
        <w:spacing w:line="276" w:lineRule="auto"/>
        <w:jc w:val="both"/>
        <w:rPr>
          <w:rFonts w:ascii="Arial Narrow" w:eastAsia="Calibri" w:hAnsi="Arial Narrow"/>
          <w:lang w:eastAsia="en-US"/>
        </w:rPr>
      </w:pPr>
      <w:r w:rsidRPr="00B32375">
        <w:rPr>
          <w:rFonts w:ascii="Arial Narrow" w:eastAsia="Calibri" w:hAnsi="Arial Narrow"/>
          <w:lang w:eastAsia="en-US"/>
        </w:rPr>
        <w:t>Para cada tema estratégico se detalla en el cuerpo del informe las acciones y sus metas estratégicas asociadas, a su vez, se explican las acciones ejecutadas en conjunto por la oficina operativa y bajo la responsabilidad del líder estratégico de esa meta. A su vez, se informa del cumplimiento de las metas estratégicas por responsable estratégico, siendo este cuadro de relevancia para el conocimiento de los actores estratégicos, debido a que les permite conocer donde se presentaron mayores cumplimiento</w:t>
      </w:r>
      <w:r w:rsidR="008B52CA">
        <w:rPr>
          <w:rFonts w:ascii="Arial Narrow" w:eastAsia="Calibri" w:hAnsi="Arial Narrow"/>
          <w:lang w:eastAsia="en-US"/>
        </w:rPr>
        <w:t>s</w:t>
      </w:r>
      <w:r w:rsidR="00AE315E" w:rsidRPr="00B32375">
        <w:rPr>
          <w:rFonts w:ascii="Arial Narrow" w:eastAsia="Calibri" w:hAnsi="Arial Narrow"/>
          <w:lang w:eastAsia="en-US"/>
        </w:rPr>
        <w:t xml:space="preserve"> </w:t>
      </w:r>
      <w:r w:rsidRPr="00B32375">
        <w:rPr>
          <w:rFonts w:ascii="Arial Narrow" w:eastAsia="Calibri" w:hAnsi="Arial Narrow"/>
          <w:lang w:eastAsia="en-US"/>
        </w:rPr>
        <w:t>en las metas y a cuáles metas se debe prestar mayor atención para lograr el cumplimiento en el largo plazo.</w:t>
      </w:r>
    </w:p>
    <w:p w14:paraId="1EFDDCE1" w14:textId="0C0F57BE" w:rsidR="00813492" w:rsidRDefault="00813492" w:rsidP="008B52CA">
      <w:pPr>
        <w:spacing w:line="276" w:lineRule="auto"/>
        <w:jc w:val="both"/>
        <w:rPr>
          <w:rFonts w:ascii="Arial Narrow" w:eastAsia="Calibri" w:hAnsi="Arial Narrow"/>
          <w:lang w:eastAsia="en-US"/>
        </w:rPr>
      </w:pPr>
    </w:p>
    <w:p w14:paraId="4A39874B" w14:textId="77777777" w:rsidR="00813492" w:rsidRPr="00132A44" w:rsidRDefault="41B201B8" w:rsidP="00132A44">
      <w:pPr>
        <w:spacing w:line="276" w:lineRule="auto"/>
        <w:jc w:val="both"/>
        <w:rPr>
          <w:rFonts w:ascii="Arial Narrow" w:eastAsia="Calibri" w:hAnsi="Arial Narrow"/>
          <w:lang w:eastAsia="en-US"/>
        </w:rPr>
      </w:pPr>
      <w:r w:rsidRPr="40316866">
        <w:rPr>
          <w:rFonts w:ascii="Arial Narrow" w:eastAsia="Calibri" w:hAnsi="Arial Narrow"/>
          <w:lang w:eastAsia="en-US"/>
        </w:rPr>
        <w:t>Los temas estratégicos alcanzan valores de avance de 88,96% en Resolución Oportuna de Conflictos, para el tema de Optimización e innovación del servicio jurisdiccional se registra un 97,41%, Gestión del Personal con un cumplimiento de 99,04% en Confianza y Probidad en la Justicia registra un 96.29%, mientras que para el tema de Planificación Institucional se registra para el año 2021 un 99,67%.</w:t>
      </w:r>
    </w:p>
    <w:p w14:paraId="655E394C" w14:textId="4D4FD2C7" w:rsidR="40316866" w:rsidRDefault="40316866" w:rsidP="40316866">
      <w:pPr>
        <w:spacing w:line="276" w:lineRule="auto"/>
        <w:jc w:val="both"/>
        <w:rPr>
          <w:rFonts w:ascii="Arial Narrow" w:eastAsia="Calibri" w:hAnsi="Arial Narrow"/>
          <w:lang w:eastAsia="en-US"/>
        </w:rPr>
      </w:pPr>
    </w:p>
    <w:p w14:paraId="43A5C9BF" w14:textId="77777777" w:rsidR="00813492" w:rsidRPr="00704B08" w:rsidRDefault="00813492" w:rsidP="008B52CA">
      <w:pPr>
        <w:spacing w:line="276" w:lineRule="auto"/>
        <w:jc w:val="both"/>
        <w:rPr>
          <w:rFonts w:ascii="Arial Narrow" w:eastAsia="Calibri" w:hAnsi="Arial Narrow"/>
          <w:lang w:eastAsia="en-US"/>
        </w:rPr>
      </w:pPr>
    </w:p>
    <w:p w14:paraId="31213637" w14:textId="3F1C9AF2" w:rsidR="00CB75DA" w:rsidRDefault="00CB75DA" w:rsidP="00CB75DA">
      <w:pPr>
        <w:jc w:val="both"/>
        <w:rPr>
          <w:rFonts w:ascii="Arial Narrow" w:eastAsia="Calibri" w:hAnsi="Arial Narrow"/>
          <w:lang w:eastAsia="en-US"/>
        </w:rPr>
      </w:pPr>
    </w:p>
    <w:p w14:paraId="3DEE1EDE" w14:textId="77777777" w:rsidR="00AE1BAD" w:rsidRDefault="00AE1BAD">
      <w:pPr>
        <w:rPr>
          <w:rFonts w:ascii="Arial Narrow" w:hAnsi="Arial Narrow" w:cstheme="majorBidi"/>
          <w:b/>
          <w:bCs/>
        </w:rPr>
      </w:pPr>
      <w:bookmarkStart w:id="12" w:name="_Toc104979222"/>
      <w:r>
        <w:rPr>
          <w:rFonts w:ascii="Arial Narrow" w:hAnsi="Arial Narrow" w:cstheme="majorBidi"/>
          <w:b/>
          <w:bCs/>
        </w:rPr>
        <w:br w:type="page"/>
      </w:r>
    </w:p>
    <w:p w14:paraId="403B1D2B" w14:textId="5F7C484A" w:rsidR="00821811" w:rsidRDefault="26440B41" w:rsidP="0F07E111">
      <w:pPr>
        <w:jc w:val="center"/>
        <w:rPr>
          <w:rFonts w:ascii="Arial Narrow" w:hAnsi="Arial Narrow" w:cstheme="majorBidi"/>
          <w:b/>
          <w:bCs/>
        </w:rPr>
      </w:pPr>
      <w:r w:rsidRPr="0F07E111">
        <w:rPr>
          <w:rFonts w:ascii="Arial Narrow" w:hAnsi="Arial Narrow" w:cstheme="majorBidi"/>
          <w:b/>
          <w:bCs/>
        </w:rPr>
        <w:t xml:space="preserve">Gráfico </w:t>
      </w:r>
      <w:r w:rsidR="12613C61" w:rsidRPr="0F07E111">
        <w:rPr>
          <w:rFonts w:ascii="Arial Narrow" w:hAnsi="Arial Narrow" w:cstheme="majorBidi"/>
          <w:b/>
          <w:bCs/>
        </w:rPr>
        <w:fldChar w:fldCharType="begin"/>
      </w:r>
      <w:r w:rsidR="12613C61" w:rsidRPr="0F07E111">
        <w:rPr>
          <w:rFonts w:ascii="Arial Narrow" w:hAnsi="Arial Narrow" w:cstheme="majorBidi"/>
          <w:b/>
          <w:bCs/>
        </w:rPr>
        <w:instrText xml:space="preserve"> SEQ Gráfico \* ARABIC </w:instrText>
      </w:r>
      <w:r w:rsidR="12613C61" w:rsidRPr="0F07E111">
        <w:rPr>
          <w:rFonts w:ascii="Arial Narrow" w:hAnsi="Arial Narrow" w:cstheme="majorBidi"/>
          <w:b/>
          <w:bCs/>
        </w:rPr>
        <w:fldChar w:fldCharType="separate"/>
      </w:r>
      <w:r w:rsidR="67BDF4AF" w:rsidRPr="0F07E111">
        <w:rPr>
          <w:rFonts w:ascii="Arial Narrow" w:hAnsi="Arial Narrow" w:cstheme="majorBidi"/>
          <w:b/>
          <w:bCs/>
          <w:noProof/>
        </w:rPr>
        <w:t>3</w:t>
      </w:r>
      <w:r w:rsidR="12613C61" w:rsidRPr="0F07E111">
        <w:rPr>
          <w:rFonts w:ascii="Arial Narrow" w:hAnsi="Arial Narrow" w:cstheme="majorBidi"/>
          <w:b/>
          <w:bCs/>
        </w:rPr>
        <w:fldChar w:fldCharType="end"/>
      </w:r>
      <w:r w:rsidRPr="0F07E111">
        <w:rPr>
          <w:rFonts w:ascii="Arial Narrow" w:hAnsi="Arial Narrow" w:cstheme="majorBidi"/>
          <w:b/>
          <w:bCs/>
        </w:rPr>
        <w:t xml:space="preserve"> Porcentaje de cumplimiento </w:t>
      </w:r>
      <w:r w:rsidR="46C775B6" w:rsidRPr="0F07E111">
        <w:rPr>
          <w:rFonts w:ascii="Arial Narrow" w:hAnsi="Arial Narrow" w:cstheme="majorBidi"/>
          <w:b/>
          <w:bCs/>
        </w:rPr>
        <w:t xml:space="preserve">del PEI </w:t>
      </w:r>
      <w:r w:rsidRPr="0F07E111">
        <w:rPr>
          <w:rFonts w:ascii="Arial Narrow" w:hAnsi="Arial Narrow" w:cstheme="majorBidi"/>
          <w:b/>
          <w:bCs/>
        </w:rPr>
        <w:t xml:space="preserve">por </w:t>
      </w:r>
      <w:r w:rsidRPr="00854BC8">
        <w:rPr>
          <w:rFonts w:ascii="Arial Narrow" w:hAnsi="Arial Narrow" w:cstheme="majorBidi"/>
          <w:b/>
          <w:bCs/>
        </w:rPr>
        <w:t>tema estrat</w:t>
      </w:r>
      <w:r w:rsidR="00071470">
        <w:rPr>
          <w:rFonts w:ascii="Arial Narrow" w:hAnsi="Arial Narrow" w:cstheme="majorBidi"/>
          <w:b/>
          <w:bCs/>
        </w:rPr>
        <w:t>é</w:t>
      </w:r>
      <w:r w:rsidRPr="0F07E111">
        <w:rPr>
          <w:rFonts w:ascii="Arial Narrow" w:hAnsi="Arial Narrow" w:cstheme="majorBidi"/>
          <w:b/>
          <w:bCs/>
        </w:rPr>
        <w:t>gico para el año 2021</w:t>
      </w:r>
      <w:bookmarkEnd w:id="12"/>
    </w:p>
    <w:p w14:paraId="134DC00F" w14:textId="5BFEC695" w:rsidR="00821811" w:rsidRDefault="00821811" w:rsidP="00CB75DA">
      <w:pPr>
        <w:rPr>
          <w:rFonts w:ascii="Arial Narrow" w:eastAsia="Calibri" w:hAnsi="Arial Narrow"/>
          <w:sz w:val="36"/>
          <w:szCs w:val="36"/>
          <w:lang w:eastAsia="en-US"/>
        </w:rPr>
      </w:pPr>
    </w:p>
    <w:p w14:paraId="58151DB1" w14:textId="1C92E847" w:rsidR="00821811" w:rsidRDefault="00821811" w:rsidP="00813492">
      <w:pPr>
        <w:ind w:left="-851"/>
        <w:jc w:val="center"/>
        <w:rPr>
          <w:rFonts w:ascii="Arial Narrow" w:eastAsia="Calibri" w:hAnsi="Arial Narrow"/>
          <w:sz w:val="36"/>
          <w:szCs w:val="36"/>
          <w:lang w:eastAsia="en-US"/>
        </w:rPr>
      </w:pPr>
      <w:r>
        <w:rPr>
          <w:rFonts w:ascii="Arial Narrow" w:eastAsia="Calibri" w:hAnsi="Arial Narrow"/>
          <w:noProof/>
          <w:sz w:val="36"/>
          <w:szCs w:val="36"/>
          <w:lang w:eastAsia="en-US"/>
        </w:rPr>
        <w:drawing>
          <wp:inline distT="0" distB="0" distL="0" distR="0" wp14:anchorId="09B589FC" wp14:editId="12C5E004">
            <wp:extent cx="5323757" cy="2025650"/>
            <wp:effectExtent l="0" t="0" r="0" b="0"/>
            <wp:docPr id="61" name="Imagen 61"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 61" descr="Gráfico, Gráfico de barras&#10;&#10;Descripción generada automáticament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331683" cy="2028666"/>
                    </a:xfrm>
                    <a:prstGeom prst="rect">
                      <a:avLst/>
                    </a:prstGeom>
                    <a:noFill/>
                    <a:ln>
                      <a:noFill/>
                    </a:ln>
                  </pic:spPr>
                </pic:pic>
              </a:graphicData>
            </a:graphic>
          </wp:inline>
        </w:drawing>
      </w:r>
    </w:p>
    <w:p w14:paraId="0DFF414B" w14:textId="77777777" w:rsidR="00821811" w:rsidRDefault="00821811" w:rsidP="00821811">
      <w:pPr>
        <w:jc w:val="center"/>
        <w:rPr>
          <w:rFonts w:ascii="Arial Narrow" w:eastAsia="Calibri" w:hAnsi="Arial Narrow"/>
          <w:lang w:eastAsia="en-US"/>
        </w:rPr>
      </w:pPr>
      <w:r>
        <w:rPr>
          <w:rFonts w:ascii="Arial Narrow" w:eastAsia="Calibri" w:hAnsi="Arial Narrow"/>
          <w:sz w:val="18"/>
          <w:szCs w:val="18"/>
          <w:lang w:eastAsia="en-US"/>
        </w:rPr>
        <w:t xml:space="preserve">  </w:t>
      </w:r>
      <w:r w:rsidRPr="000B4845">
        <w:rPr>
          <w:rFonts w:ascii="Arial Narrow" w:eastAsia="Calibri" w:hAnsi="Arial Narrow"/>
          <w:sz w:val="18"/>
          <w:szCs w:val="18"/>
          <w:lang w:eastAsia="en-US"/>
        </w:rPr>
        <w:t xml:space="preserve">Fuente: Sistema PEI al </w:t>
      </w:r>
      <w:r>
        <w:rPr>
          <w:rFonts w:ascii="Arial Narrow" w:eastAsia="Calibri" w:hAnsi="Arial Narrow"/>
          <w:sz w:val="18"/>
          <w:szCs w:val="18"/>
          <w:lang w:eastAsia="en-US"/>
        </w:rPr>
        <w:t>19</w:t>
      </w:r>
      <w:r w:rsidRPr="000B4845">
        <w:rPr>
          <w:rFonts w:ascii="Arial Narrow" w:eastAsia="Calibri" w:hAnsi="Arial Narrow"/>
          <w:sz w:val="18"/>
          <w:szCs w:val="18"/>
          <w:lang w:eastAsia="en-US"/>
        </w:rPr>
        <w:t xml:space="preserve"> de enero del 202</w:t>
      </w:r>
      <w:r>
        <w:rPr>
          <w:rFonts w:ascii="Arial Narrow" w:eastAsia="Calibri" w:hAnsi="Arial Narrow"/>
          <w:sz w:val="18"/>
          <w:szCs w:val="18"/>
          <w:lang w:eastAsia="en-US"/>
        </w:rPr>
        <w:t>2</w:t>
      </w:r>
      <w:r w:rsidRPr="000B4845">
        <w:rPr>
          <w:rFonts w:ascii="Arial Narrow" w:eastAsia="Calibri" w:hAnsi="Arial Narrow"/>
          <w:sz w:val="18"/>
          <w:szCs w:val="18"/>
          <w:lang w:eastAsia="en-US"/>
        </w:rPr>
        <w:t xml:space="preserve"> (año 20</w:t>
      </w:r>
      <w:r>
        <w:rPr>
          <w:rFonts w:ascii="Arial Narrow" w:eastAsia="Calibri" w:hAnsi="Arial Narrow"/>
          <w:sz w:val="18"/>
          <w:szCs w:val="18"/>
          <w:lang w:eastAsia="en-US"/>
        </w:rPr>
        <w:t>21</w:t>
      </w:r>
      <w:r w:rsidRPr="000B4845">
        <w:rPr>
          <w:rFonts w:ascii="Arial Narrow" w:eastAsia="Calibri" w:hAnsi="Arial Narrow"/>
          <w:sz w:val="18"/>
          <w:szCs w:val="18"/>
          <w:lang w:eastAsia="en-US"/>
        </w:rPr>
        <w:t>)</w:t>
      </w:r>
      <w:r>
        <w:rPr>
          <w:rFonts w:ascii="Arial Narrow" w:eastAsia="Calibri" w:hAnsi="Arial Narrow"/>
          <w:sz w:val="18"/>
          <w:szCs w:val="18"/>
          <w:lang w:eastAsia="en-US"/>
        </w:rPr>
        <w:t>.</w:t>
      </w:r>
    </w:p>
    <w:p w14:paraId="4AE5B97E" w14:textId="14788A6E" w:rsidR="00821811" w:rsidRPr="00821811" w:rsidRDefault="00821811" w:rsidP="00821811">
      <w:pPr>
        <w:spacing w:line="360" w:lineRule="auto"/>
        <w:jc w:val="both"/>
        <w:rPr>
          <w:rFonts w:ascii="Arial Narrow" w:hAnsi="Arial Narrow"/>
        </w:rPr>
      </w:pPr>
    </w:p>
    <w:p w14:paraId="42B75FAA" w14:textId="77777777" w:rsidR="007C2AFF" w:rsidRPr="007C2AFF" w:rsidRDefault="007C2AFF" w:rsidP="007C2AFF">
      <w:pPr>
        <w:spacing w:line="360" w:lineRule="auto"/>
        <w:jc w:val="both"/>
        <w:rPr>
          <w:rFonts w:ascii="Arial Narrow" w:hAnsi="Arial Narrow"/>
        </w:rPr>
      </w:pPr>
    </w:p>
    <w:p w14:paraId="645BB737" w14:textId="2584CE1A" w:rsidR="007C2AFF" w:rsidRPr="00132A44" w:rsidRDefault="09A2A18B" w:rsidP="00132A44">
      <w:pPr>
        <w:spacing w:line="276" w:lineRule="auto"/>
        <w:jc w:val="both"/>
        <w:rPr>
          <w:rFonts w:ascii="Arial Narrow" w:eastAsia="Calibri" w:hAnsi="Arial Narrow"/>
          <w:lang w:eastAsia="en-US"/>
        </w:rPr>
      </w:pPr>
      <w:r w:rsidRPr="40316866">
        <w:rPr>
          <w:rFonts w:ascii="Arial Narrow" w:eastAsia="Calibri" w:hAnsi="Arial Narrow"/>
          <w:lang w:eastAsia="en-US"/>
        </w:rPr>
        <w:t xml:space="preserve">Del análisis anterior se determina que donde existe menor grado de avance es la Resolución Oportuna de Conflictos, donde se tiene un valor de un 88,96% y donde existe mayor avance es en la Planificación Institucional con un 99,67% y Gestión del Personal con un 99,04%, se hace la observación que con la pandemia </w:t>
      </w:r>
      <w:r w:rsidR="2D4E99B2" w:rsidRPr="40316866">
        <w:rPr>
          <w:rFonts w:ascii="Arial Narrow" w:eastAsia="Calibri" w:hAnsi="Arial Narrow"/>
          <w:lang w:eastAsia="en-US"/>
        </w:rPr>
        <w:t>COVID</w:t>
      </w:r>
      <w:r w:rsidRPr="40316866">
        <w:rPr>
          <w:rFonts w:ascii="Arial Narrow" w:eastAsia="Calibri" w:hAnsi="Arial Narrow"/>
          <w:lang w:eastAsia="en-US"/>
        </w:rPr>
        <w:t xml:space="preserve"> 19, los servicios judiciales han tenido que rediseñarse a una nueva realidad a través de la aplicación de protocolos de virtualización de audiencias. </w:t>
      </w:r>
    </w:p>
    <w:p w14:paraId="367BC2CE" w14:textId="4769E782" w:rsidR="40316866" w:rsidRDefault="40316866" w:rsidP="40316866">
      <w:pPr>
        <w:spacing w:line="276" w:lineRule="auto"/>
        <w:jc w:val="both"/>
        <w:rPr>
          <w:rFonts w:ascii="Arial Narrow" w:eastAsia="Calibri" w:hAnsi="Arial Narrow"/>
          <w:lang w:eastAsia="en-US"/>
        </w:rPr>
      </w:pPr>
    </w:p>
    <w:p w14:paraId="4B306BF8" w14:textId="3DE471B5" w:rsidR="00071470" w:rsidRDefault="46C775B6" w:rsidP="00071470">
      <w:pPr>
        <w:spacing w:line="276" w:lineRule="auto"/>
        <w:jc w:val="both"/>
        <w:rPr>
          <w:rFonts w:ascii="Arial Narrow" w:eastAsia="Calibri" w:hAnsi="Arial Narrow"/>
          <w:lang w:eastAsia="en-US"/>
        </w:rPr>
      </w:pPr>
      <w:r w:rsidRPr="00322D9B">
        <w:rPr>
          <w:rFonts w:ascii="Arial Narrow" w:eastAsia="Calibri" w:hAnsi="Arial Narrow"/>
          <w:lang w:eastAsia="en-US"/>
        </w:rPr>
        <w:t>Con respecto al tema estratégico “Resoluci</w:t>
      </w:r>
      <w:r w:rsidR="00071470" w:rsidRPr="00322D9B">
        <w:rPr>
          <w:rFonts w:ascii="Arial Narrow" w:eastAsia="Calibri" w:hAnsi="Arial Narrow"/>
          <w:lang w:eastAsia="en-US"/>
        </w:rPr>
        <w:t>ó</w:t>
      </w:r>
      <w:r w:rsidRPr="00322D9B">
        <w:rPr>
          <w:rFonts w:ascii="Arial Narrow" w:eastAsia="Calibri" w:hAnsi="Arial Narrow"/>
          <w:lang w:eastAsia="en-US"/>
        </w:rPr>
        <w:t>n Oportuna de Conflictos” tienen vinculadas 1865 metas operativas del total de 3634 metas operativas lo que equivale a un 51%. Por lo tanto, la actualización de ese 51% de las metas incide directamente en el tema est</w:t>
      </w:r>
      <w:r w:rsidR="00071470" w:rsidRPr="00322D9B">
        <w:rPr>
          <w:rFonts w:ascii="Arial Narrow" w:eastAsia="Calibri" w:hAnsi="Arial Narrow"/>
          <w:lang w:eastAsia="en-US"/>
        </w:rPr>
        <w:t>r</w:t>
      </w:r>
      <w:r w:rsidRPr="00322D9B">
        <w:rPr>
          <w:rFonts w:ascii="Arial Narrow" w:eastAsia="Calibri" w:hAnsi="Arial Narrow"/>
          <w:lang w:eastAsia="en-US"/>
        </w:rPr>
        <w:t>atégico “Resoluci</w:t>
      </w:r>
      <w:r w:rsidR="00071470" w:rsidRPr="00322D9B">
        <w:rPr>
          <w:rFonts w:ascii="Arial Narrow" w:eastAsia="Calibri" w:hAnsi="Arial Narrow"/>
          <w:lang w:eastAsia="en-US"/>
        </w:rPr>
        <w:t>ó</w:t>
      </w:r>
      <w:r w:rsidRPr="00322D9B">
        <w:rPr>
          <w:rFonts w:ascii="Arial Narrow" w:eastAsia="Calibri" w:hAnsi="Arial Narrow"/>
          <w:lang w:eastAsia="en-US"/>
        </w:rPr>
        <w:t xml:space="preserve">n Oportuna de Conflictos”. Las acciones que inciden en este cumplimiento son Celeridad Judicial y Medidas </w:t>
      </w:r>
      <w:r w:rsidR="00071470" w:rsidRPr="00322D9B">
        <w:rPr>
          <w:rFonts w:ascii="Arial Narrow" w:eastAsia="Calibri" w:hAnsi="Arial Narrow"/>
          <w:lang w:eastAsia="en-US"/>
        </w:rPr>
        <w:t>A</w:t>
      </w:r>
      <w:r w:rsidRPr="00322D9B">
        <w:rPr>
          <w:rFonts w:ascii="Arial Narrow" w:eastAsia="Calibri" w:hAnsi="Arial Narrow"/>
          <w:lang w:eastAsia="en-US"/>
        </w:rPr>
        <w:t>l</w:t>
      </w:r>
      <w:r w:rsidR="00071470" w:rsidRPr="00322D9B">
        <w:rPr>
          <w:rFonts w:ascii="Arial Narrow" w:eastAsia="Calibri" w:hAnsi="Arial Narrow"/>
          <w:lang w:eastAsia="en-US"/>
        </w:rPr>
        <w:t>t</w:t>
      </w:r>
      <w:r w:rsidRPr="00322D9B">
        <w:rPr>
          <w:rFonts w:ascii="Arial Narrow" w:eastAsia="Calibri" w:hAnsi="Arial Narrow"/>
          <w:lang w:eastAsia="en-US"/>
        </w:rPr>
        <w:t>ernas</w:t>
      </w:r>
      <w:r w:rsidR="00617B69" w:rsidRPr="00322D9B">
        <w:rPr>
          <w:rFonts w:ascii="Arial Narrow" w:eastAsia="Calibri" w:hAnsi="Arial Narrow"/>
          <w:lang w:eastAsia="en-US"/>
        </w:rPr>
        <w:t>, esto debido a que el cumplimiento de las metas operativas de estas acciones</w:t>
      </w:r>
      <w:r w:rsidR="00B00484">
        <w:rPr>
          <w:rFonts w:ascii="Arial Narrow" w:eastAsia="Calibri" w:hAnsi="Arial Narrow"/>
          <w:lang w:eastAsia="en-US"/>
        </w:rPr>
        <w:t xml:space="preserve">, </w:t>
      </w:r>
      <w:r w:rsidR="00617B69" w:rsidRPr="00322D9B">
        <w:rPr>
          <w:rFonts w:ascii="Arial Narrow" w:eastAsia="Calibri" w:hAnsi="Arial Narrow"/>
          <w:lang w:eastAsia="en-US"/>
        </w:rPr>
        <w:t xml:space="preserve">están directamente vinculadas a la cantidad de casos terminados y casos terminados por medio de Medidas Alternas que un despacho judicial logre finiquitar al finalizar </w:t>
      </w:r>
      <w:r w:rsidR="001409FD" w:rsidRPr="00322D9B">
        <w:rPr>
          <w:rFonts w:ascii="Arial Narrow" w:eastAsia="Calibri" w:hAnsi="Arial Narrow"/>
          <w:lang w:eastAsia="en-US"/>
        </w:rPr>
        <w:t>el</w:t>
      </w:r>
      <w:r w:rsidR="00617B69" w:rsidRPr="00322D9B">
        <w:rPr>
          <w:rFonts w:ascii="Arial Narrow" w:eastAsia="Calibri" w:hAnsi="Arial Narrow"/>
          <w:lang w:eastAsia="en-US"/>
        </w:rPr>
        <w:t xml:space="preserve"> año</w:t>
      </w:r>
      <w:r w:rsidR="001409FD" w:rsidRPr="00322D9B">
        <w:rPr>
          <w:rFonts w:ascii="Arial Narrow" w:eastAsia="Calibri" w:hAnsi="Arial Narrow"/>
          <w:lang w:eastAsia="en-US"/>
        </w:rPr>
        <w:t>.</w:t>
      </w:r>
      <w:r w:rsidR="00071470" w:rsidRPr="00322D9B">
        <w:rPr>
          <w:rFonts w:ascii="Arial Narrow" w:eastAsia="Calibri" w:hAnsi="Arial Narrow"/>
          <w:lang w:eastAsia="en-US"/>
        </w:rPr>
        <w:t xml:space="preserve"> </w:t>
      </w:r>
      <w:r w:rsidR="00071470" w:rsidRPr="0F07E111">
        <w:rPr>
          <w:rFonts w:ascii="Arial Narrow" w:eastAsia="Calibri" w:hAnsi="Arial Narrow"/>
          <w:lang w:eastAsia="en-US"/>
        </w:rPr>
        <w:t xml:space="preserve"> </w:t>
      </w:r>
    </w:p>
    <w:p w14:paraId="65D9FA66" w14:textId="1BAAF5BE" w:rsidR="66E27AE6" w:rsidRDefault="66E27AE6" w:rsidP="0F07E111">
      <w:pPr>
        <w:spacing w:line="276" w:lineRule="auto"/>
        <w:jc w:val="both"/>
        <w:rPr>
          <w:rFonts w:ascii="Arial Narrow" w:eastAsia="Calibri" w:hAnsi="Arial Narrow"/>
          <w:lang w:eastAsia="en-US"/>
        </w:rPr>
      </w:pPr>
    </w:p>
    <w:p w14:paraId="05D6462E" w14:textId="7805A856" w:rsidR="66E27AE6" w:rsidRDefault="66E27AE6" w:rsidP="0F07E111">
      <w:pPr>
        <w:spacing w:line="276" w:lineRule="auto"/>
        <w:jc w:val="both"/>
        <w:rPr>
          <w:rFonts w:ascii="Arial Narrow" w:eastAsia="Calibri" w:hAnsi="Arial Narrow"/>
          <w:lang w:eastAsia="en-US"/>
        </w:rPr>
      </w:pPr>
    </w:p>
    <w:p w14:paraId="7A5386B3" w14:textId="7211CA90" w:rsidR="00071470" w:rsidRDefault="00071470">
      <w:pPr>
        <w:rPr>
          <w:rFonts w:ascii="Arial Narrow" w:eastAsia="Calibri" w:hAnsi="Arial Narrow"/>
          <w:b/>
          <w:bCs/>
          <w:iCs/>
          <w:sz w:val="32"/>
          <w:szCs w:val="32"/>
          <w:lang w:eastAsia="en-US"/>
        </w:rPr>
      </w:pPr>
    </w:p>
    <w:p w14:paraId="65FFB7A1" w14:textId="0C3B2545" w:rsidR="00556DE3" w:rsidRPr="000B4845" w:rsidRDefault="6BC6FB2E" w:rsidP="000C6F8D">
      <w:pPr>
        <w:pStyle w:val="Ttulo1"/>
      </w:pPr>
      <w:bookmarkStart w:id="13" w:name="_Toc106355261"/>
      <w:r>
        <w:t xml:space="preserve">Descripción </w:t>
      </w:r>
      <w:r w:rsidR="4CEDB025">
        <w:t xml:space="preserve">de proceso </w:t>
      </w:r>
      <w:r>
        <w:t xml:space="preserve">de la Evaluación </w:t>
      </w:r>
      <w:r w:rsidR="2B86B56E">
        <w:t>del PEI 2021</w:t>
      </w:r>
      <w:bookmarkEnd w:id="13"/>
      <w:r w:rsidR="2B86B56E">
        <w:t xml:space="preserve"> </w:t>
      </w:r>
    </w:p>
    <w:p w14:paraId="1E348B6F" w14:textId="60E09171" w:rsidR="00556DE3" w:rsidRPr="000B4845" w:rsidRDefault="00556DE3" w:rsidP="00556DE3">
      <w:pPr>
        <w:spacing w:line="360" w:lineRule="auto"/>
        <w:rPr>
          <w:rFonts w:ascii="Arial Narrow" w:hAnsi="Arial Narrow" w:cs="Book Antiqua"/>
          <w:sz w:val="22"/>
          <w:szCs w:val="22"/>
        </w:rPr>
      </w:pPr>
    </w:p>
    <w:p w14:paraId="69786722" w14:textId="4B196C2D" w:rsidR="00481590" w:rsidRDefault="00481590" w:rsidP="00CB75DA">
      <w:pPr>
        <w:rPr>
          <w:rFonts w:ascii="Arial Narrow" w:eastAsia="Calibri" w:hAnsi="Arial Narrow"/>
          <w:sz w:val="36"/>
          <w:szCs w:val="36"/>
          <w:lang w:eastAsia="en-US"/>
        </w:rPr>
      </w:pPr>
    </w:p>
    <w:p w14:paraId="7DDD746C" w14:textId="58EE7112" w:rsidR="009C5D4C" w:rsidRPr="00B32375" w:rsidRDefault="009C5D4C" w:rsidP="009C5D4C">
      <w:pPr>
        <w:spacing w:line="360" w:lineRule="auto"/>
        <w:jc w:val="both"/>
        <w:rPr>
          <w:rFonts w:ascii="Arial Narrow" w:hAnsi="Arial Narrow"/>
        </w:rPr>
      </w:pPr>
      <w:r w:rsidRPr="00B32375">
        <w:rPr>
          <w:rFonts w:ascii="Arial Narrow" w:hAnsi="Arial Narrow"/>
        </w:rPr>
        <w:t xml:space="preserve">El mecanismo de valoración para obtener resultados del PEI para el año </w:t>
      </w:r>
      <w:r w:rsidR="00641FF2" w:rsidRPr="00B32375">
        <w:rPr>
          <w:rFonts w:ascii="Arial Narrow" w:hAnsi="Arial Narrow"/>
        </w:rPr>
        <w:t>2021</w:t>
      </w:r>
      <w:r w:rsidRPr="00B32375">
        <w:rPr>
          <w:rFonts w:ascii="Arial Narrow" w:hAnsi="Arial Narrow"/>
        </w:rPr>
        <w:t xml:space="preserve"> consiste en medir el nivel de progreso y cumplimiento del PEI, con base en el grado de avance anual y acumulado de las metas estratégicas, el cual se obtiene mediante una evaluación y monitoreo continuo de las diferentes acciones ejecutadas para asegurar su cumplimiento, según sea el periodo para analizar.</w:t>
      </w:r>
    </w:p>
    <w:p w14:paraId="33C83F95" w14:textId="77777777" w:rsidR="009C5D4C" w:rsidRPr="00F67A73" w:rsidRDefault="009C5D4C" w:rsidP="009C5D4C">
      <w:pPr>
        <w:spacing w:line="360" w:lineRule="auto"/>
        <w:jc w:val="both"/>
        <w:rPr>
          <w:rFonts w:ascii="Arial Narrow" w:hAnsi="Arial Narrow"/>
          <w:highlight w:val="yellow"/>
        </w:rPr>
      </w:pPr>
    </w:p>
    <w:p w14:paraId="243C03C8" w14:textId="609315A9" w:rsidR="009C5D4C" w:rsidRPr="00B32375" w:rsidRDefault="009C5D4C" w:rsidP="009C5D4C">
      <w:pPr>
        <w:spacing w:line="360" w:lineRule="auto"/>
        <w:jc w:val="both"/>
        <w:rPr>
          <w:rFonts w:ascii="Arial Narrow" w:hAnsi="Arial Narrow" w:cs="Book Antiqua"/>
        </w:rPr>
      </w:pPr>
      <w:r w:rsidRPr="00B32375">
        <w:rPr>
          <w:rFonts w:ascii="Arial Narrow" w:hAnsi="Arial Narrow"/>
        </w:rPr>
        <w:t xml:space="preserve">La evaluación se fundamenta en la recopilación de evidencias sobre las actuaciones realizadas durante el período de ejecución de las metas, en este caso </w:t>
      </w:r>
      <w:r w:rsidR="00641FF2" w:rsidRPr="00B32375">
        <w:rPr>
          <w:rFonts w:ascii="Arial Narrow" w:hAnsi="Arial Narrow"/>
        </w:rPr>
        <w:t>para el año 2021</w:t>
      </w:r>
      <w:r w:rsidRPr="00B32375">
        <w:rPr>
          <w:rFonts w:ascii="Arial Narrow" w:hAnsi="Arial Narrow"/>
        </w:rPr>
        <w:t xml:space="preserve">. Para ello, se </w:t>
      </w:r>
      <w:r w:rsidRPr="00B32375">
        <w:rPr>
          <w:rFonts w:ascii="Arial Narrow" w:hAnsi="Arial Narrow" w:cs="Book Antiqua"/>
        </w:rPr>
        <w:t xml:space="preserve">basa en la información contenida en el sistema PAO y como resultado, se obtiene el grado de avance anual de cada componente del PEI; lo anterior, a través de la valoración directa del grado de cumplimiento de la meta estratégica y al avance reportado por la oficina u oficinas responsables por medio de las metas operativas vinculadas al PAO. </w:t>
      </w:r>
    </w:p>
    <w:p w14:paraId="2D69E287" w14:textId="77777777" w:rsidR="009C5D4C" w:rsidRPr="00B32375" w:rsidRDefault="009C5D4C" w:rsidP="009C5D4C">
      <w:pPr>
        <w:spacing w:line="360" w:lineRule="auto"/>
        <w:jc w:val="both"/>
        <w:rPr>
          <w:rFonts w:ascii="Arial Narrow" w:hAnsi="Arial Narrow"/>
        </w:rPr>
      </w:pPr>
    </w:p>
    <w:p w14:paraId="52242AD6" w14:textId="456020C9" w:rsidR="009C5D4C" w:rsidRPr="00704B08" w:rsidRDefault="009C5D4C" w:rsidP="009C5D4C">
      <w:pPr>
        <w:spacing w:line="360" w:lineRule="auto"/>
        <w:jc w:val="both"/>
        <w:rPr>
          <w:rFonts w:ascii="Arial Narrow" w:hAnsi="Arial Narrow"/>
        </w:rPr>
      </w:pPr>
      <w:r w:rsidRPr="00B32375">
        <w:rPr>
          <w:rFonts w:ascii="Arial Narrow" w:hAnsi="Arial Narrow"/>
        </w:rPr>
        <w:t xml:space="preserve">Por medio del Sistema PAO, es que se registra la </w:t>
      </w:r>
      <w:r w:rsidRPr="00B32375">
        <w:rPr>
          <w:rFonts w:ascii="Arial Narrow" w:hAnsi="Arial Narrow"/>
          <w:b/>
          <w:bCs/>
        </w:rPr>
        <w:t xml:space="preserve">evidencia </w:t>
      </w:r>
      <w:r w:rsidRPr="00B32375">
        <w:rPr>
          <w:rFonts w:ascii="Arial Narrow" w:hAnsi="Arial Narrow"/>
        </w:rPr>
        <w:t>de que la meta fue debidamente completada. Se presenta en los siguientes apartados por Tema estratégico que el cumplimiento corresponde a una escala de 0-100%, por lo que resulta conveniente analizar esto en función del valor que se esperaba para el año evaluado (20</w:t>
      </w:r>
      <w:r w:rsidR="00641FF2" w:rsidRPr="00B32375">
        <w:rPr>
          <w:rFonts w:ascii="Arial Narrow" w:hAnsi="Arial Narrow"/>
        </w:rPr>
        <w:t>21</w:t>
      </w:r>
      <w:r w:rsidRPr="00B32375">
        <w:rPr>
          <w:rFonts w:ascii="Arial Narrow" w:hAnsi="Arial Narrow"/>
        </w:rPr>
        <w:t>) y así realizar los ajustes a las prioridades institucionales que se consideren pertinentes, esto en caso de considerar que hay metas con retraso o con un nivel de cumplimiento medio-bajo.</w:t>
      </w:r>
    </w:p>
    <w:p w14:paraId="508C2CC2" w14:textId="37A77D66" w:rsidR="009C5D4C" w:rsidRDefault="009C5D4C" w:rsidP="009C5D4C">
      <w:pPr>
        <w:spacing w:line="360" w:lineRule="auto"/>
        <w:jc w:val="both"/>
        <w:rPr>
          <w:rFonts w:ascii="Arial Narrow" w:hAnsi="Arial Narrow"/>
        </w:rPr>
      </w:pPr>
    </w:p>
    <w:p w14:paraId="05D63FFD" w14:textId="77777777" w:rsidR="0026389D" w:rsidRDefault="0026389D" w:rsidP="0026389D">
      <w:pPr>
        <w:spacing w:line="360" w:lineRule="auto"/>
        <w:jc w:val="both"/>
        <w:rPr>
          <w:rFonts w:ascii="Arial Narrow" w:hAnsi="Arial Narrow"/>
        </w:rPr>
      </w:pPr>
      <w:r>
        <w:rPr>
          <w:rFonts w:ascii="Arial Narrow" w:hAnsi="Arial Narrow"/>
          <w:b/>
          <w:bCs/>
          <w:lang w:eastAsia="en-US"/>
        </w:rPr>
        <w:t>Este informe esta apegado a la metodología de evaluación de resultados, la cual fue aprobada por Consejo Superior el día 8 de febrero 2022, en sesión 11-2022, artículo V.</w:t>
      </w:r>
    </w:p>
    <w:p w14:paraId="07618915" w14:textId="77777777" w:rsidR="0026389D" w:rsidRDefault="0026389D" w:rsidP="0026389D">
      <w:pPr>
        <w:spacing w:line="360" w:lineRule="auto"/>
        <w:jc w:val="both"/>
        <w:rPr>
          <w:rFonts w:ascii="Arial Narrow" w:hAnsi="Arial Narrow"/>
        </w:rPr>
      </w:pPr>
    </w:p>
    <w:p w14:paraId="776E41BF" w14:textId="5F8373F3" w:rsidR="0025402E" w:rsidRDefault="009C5D4C" w:rsidP="00DF4733">
      <w:pPr>
        <w:spacing w:line="360" w:lineRule="auto"/>
        <w:jc w:val="both"/>
        <w:rPr>
          <w:rFonts w:ascii="Arial Narrow" w:hAnsi="Arial Narrow"/>
        </w:rPr>
      </w:pPr>
      <w:r w:rsidRPr="00704B08">
        <w:rPr>
          <w:rFonts w:ascii="Arial Narrow" w:hAnsi="Arial Narrow"/>
        </w:rPr>
        <w:t>La definición de</w:t>
      </w:r>
      <w:r>
        <w:rPr>
          <w:rFonts w:ascii="Arial Narrow" w:hAnsi="Arial Narrow"/>
        </w:rPr>
        <w:t xml:space="preserve"> parámetros y rangos de cumplimiento, así como los respectivos</w:t>
      </w:r>
      <w:r w:rsidRPr="00704B08">
        <w:rPr>
          <w:rFonts w:ascii="Arial Narrow" w:hAnsi="Arial Narrow"/>
        </w:rPr>
        <w:t xml:space="preserve"> colores para el análisis de los cuadros por temas estratégicos se establece de la siguiente manera: </w:t>
      </w:r>
    </w:p>
    <w:p w14:paraId="510415C1" w14:textId="24C37D35" w:rsidR="0095033E" w:rsidRDefault="0095033E" w:rsidP="00DF4733">
      <w:pPr>
        <w:spacing w:line="360" w:lineRule="auto"/>
        <w:jc w:val="both"/>
        <w:rPr>
          <w:rFonts w:ascii="Arial Narrow" w:hAnsi="Arial Narrow"/>
        </w:rPr>
      </w:pPr>
    </w:p>
    <w:p w14:paraId="75533748" w14:textId="0D1A8A90" w:rsidR="009C5D4C" w:rsidRPr="009B40EF" w:rsidRDefault="009C5D4C" w:rsidP="009C5D4C">
      <w:pPr>
        <w:pStyle w:val="Descripcin"/>
        <w:jc w:val="center"/>
        <w:rPr>
          <w:rFonts w:ascii="Arial Narrow" w:hAnsi="Arial Narrow"/>
          <w:sz w:val="24"/>
          <w:szCs w:val="24"/>
        </w:rPr>
      </w:pPr>
      <w:bookmarkStart w:id="14" w:name="_Toc104979240"/>
      <w:r w:rsidRPr="00CC279A">
        <w:rPr>
          <w:rFonts w:ascii="Arial Narrow" w:hAnsi="Arial Narrow"/>
          <w:sz w:val="24"/>
          <w:szCs w:val="24"/>
        </w:rPr>
        <w:t xml:space="preserve">Tabla </w:t>
      </w:r>
      <w:r w:rsidRPr="00CC279A">
        <w:rPr>
          <w:rFonts w:ascii="Arial Narrow" w:hAnsi="Arial Narrow"/>
          <w:sz w:val="24"/>
          <w:szCs w:val="24"/>
        </w:rPr>
        <w:fldChar w:fldCharType="begin"/>
      </w:r>
      <w:r w:rsidRPr="00CC279A">
        <w:rPr>
          <w:rFonts w:ascii="Arial Narrow" w:hAnsi="Arial Narrow"/>
          <w:sz w:val="24"/>
          <w:szCs w:val="24"/>
        </w:rPr>
        <w:instrText xml:space="preserve"> SEQ Tabla \* ARABIC </w:instrText>
      </w:r>
      <w:r w:rsidRPr="00CC279A">
        <w:rPr>
          <w:rFonts w:ascii="Arial Narrow" w:hAnsi="Arial Narrow"/>
          <w:sz w:val="24"/>
          <w:szCs w:val="24"/>
        </w:rPr>
        <w:fldChar w:fldCharType="separate"/>
      </w:r>
      <w:r w:rsidR="002F520A">
        <w:rPr>
          <w:rFonts w:ascii="Arial Narrow" w:hAnsi="Arial Narrow"/>
          <w:noProof/>
          <w:sz w:val="24"/>
          <w:szCs w:val="24"/>
        </w:rPr>
        <w:t>1</w:t>
      </w:r>
      <w:r w:rsidRPr="00CC279A">
        <w:rPr>
          <w:rFonts w:ascii="Arial Narrow" w:hAnsi="Arial Narrow"/>
          <w:sz w:val="24"/>
          <w:szCs w:val="24"/>
        </w:rPr>
        <w:fldChar w:fldCharType="end"/>
      </w:r>
      <w:r w:rsidRPr="00CC279A">
        <w:rPr>
          <w:rFonts w:ascii="Arial Narrow" w:hAnsi="Arial Narrow"/>
          <w:sz w:val="24"/>
          <w:szCs w:val="24"/>
        </w:rPr>
        <w:t xml:space="preserve"> Definición de parámetros y rangos de cumplimiento en la evaluación del PEI 20</w:t>
      </w:r>
      <w:r w:rsidR="00641FF2">
        <w:rPr>
          <w:rFonts w:ascii="Arial Narrow" w:hAnsi="Arial Narrow"/>
          <w:sz w:val="24"/>
          <w:szCs w:val="24"/>
        </w:rPr>
        <w:t>21</w:t>
      </w:r>
      <w:bookmarkEnd w:id="14"/>
    </w:p>
    <w:p w14:paraId="147CB3FA" w14:textId="77777777" w:rsidR="009C5D4C" w:rsidRPr="00DB6112" w:rsidRDefault="009C5D4C" w:rsidP="009C5D4C">
      <w:pPr>
        <w:rPr>
          <w:lang w:eastAsia="en-US"/>
        </w:rPr>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3402"/>
        <w:gridCol w:w="3969"/>
      </w:tblGrid>
      <w:tr w:rsidR="009C5D4C" w14:paraId="08A29568" w14:textId="77777777" w:rsidTr="00D73200">
        <w:trPr>
          <w:jc w:val="center"/>
        </w:trPr>
        <w:tc>
          <w:tcPr>
            <w:tcW w:w="1696" w:type="dxa"/>
            <w:shd w:val="clear" w:color="auto" w:fill="AEAAAA" w:themeFill="background2" w:themeFillShade="BF"/>
            <w:vAlign w:val="center"/>
          </w:tcPr>
          <w:p w14:paraId="0F114A2D" w14:textId="77777777" w:rsidR="009C5D4C" w:rsidRPr="004B3694" w:rsidRDefault="009C5D4C" w:rsidP="00D73200">
            <w:pPr>
              <w:spacing w:line="360" w:lineRule="auto"/>
              <w:jc w:val="center"/>
              <w:rPr>
                <w:rFonts w:ascii="Arial Narrow" w:hAnsi="Arial Narrow" w:cs="Book Antiqua"/>
                <w:b/>
                <w:bCs/>
              </w:rPr>
            </w:pPr>
            <w:r w:rsidRPr="00E15AA5">
              <w:rPr>
                <w:rFonts w:ascii="Arial Narrow" w:hAnsi="Arial Narrow" w:cs="Book Antiqua"/>
                <w:b/>
                <w:bCs/>
              </w:rPr>
              <w:t>Color</w:t>
            </w:r>
          </w:p>
        </w:tc>
        <w:tc>
          <w:tcPr>
            <w:tcW w:w="3402" w:type="dxa"/>
            <w:shd w:val="clear" w:color="auto" w:fill="AEAAAA" w:themeFill="background2" w:themeFillShade="BF"/>
            <w:vAlign w:val="center"/>
          </w:tcPr>
          <w:p w14:paraId="25575759" w14:textId="77777777" w:rsidR="009C5D4C" w:rsidRPr="004B3694" w:rsidRDefault="009C5D4C" w:rsidP="00D73200">
            <w:pPr>
              <w:spacing w:line="360" w:lineRule="auto"/>
              <w:jc w:val="center"/>
              <w:rPr>
                <w:rFonts w:ascii="Arial Narrow" w:hAnsi="Arial Narrow" w:cs="Book Antiqua"/>
                <w:b/>
                <w:bCs/>
              </w:rPr>
            </w:pPr>
            <w:r>
              <w:rPr>
                <w:rFonts w:ascii="Arial Narrow" w:hAnsi="Arial Narrow" w:cs="Book Antiqua"/>
                <w:b/>
                <w:bCs/>
              </w:rPr>
              <w:t xml:space="preserve"> P</w:t>
            </w:r>
            <w:r w:rsidRPr="004B3694">
              <w:rPr>
                <w:rFonts w:ascii="Arial Narrow" w:hAnsi="Arial Narrow" w:cs="Book Antiqua"/>
                <w:b/>
                <w:bCs/>
              </w:rPr>
              <w:t>arámetro</w:t>
            </w:r>
            <w:r>
              <w:rPr>
                <w:rFonts w:ascii="Arial Narrow" w:hAnsi="Arial Narrow" w:cs="Book Antiqua"/>
                <w:b/>
                <w:bCs/>
              </w:rPr>
              <w:t xml:space="preserve"> de cumplimiento</w:t>
            </w:r>
          </w:p>
        </w:tc>
        <w:tc>
          <w:tcPr>
            <w:tcW w:w="3969" w:type="dxa"/>
            <w:shd w:val="clear" w:color="auto" w:fill="AEAAAA" w:themeFill="background2" w:themeFillShade="BF"/>
            <w:vAlign w:val="center"/>
          </w:tcPr>
          <w:p w14:paraId="22BEB13F" w14:textId="77777777" w:rsidR="009C5D4C" w:rsidRPr="004B3694" w:rsidRDefault="009C5D4C" w:rsidP="00D73200">
            <w:pPr>
              <w:spacing w:line="360" w:lineRule="auto"/>
              <w:jc w:val="center"/>
              <w:rPr>
                <w:rFonts w:ascii="Arial Narrow" w:hAnsi="Arial Narrow" w:cs="Book Antiqua"/>
                <w:b/>
                <w:bCs/>
              </w:rPr>
            </w:pPr>
            <w:r>
              <w:rPr>
                <w:rFonts w:ascii="Arial Narrow" w:hAnsi="Arial Narrow" w:cs="Book Antiqua"/>
                <w:b/>
                <w:bCs/>
              </w:rPr>
              <w:t>Rango</w:t>
            </w:r>
          </w:p>
        </w:tc>
      </w:tr>
      <w:tr w:rsidR="009C5D4C" w14:paraId="0EE3EF1D" w14:textId="77777777" w:rsidTr="00D73200">
        <w:trPr>
          <w:jc w:val="center"/>
        </w:trPr>
        <w:tc>
          <w:tcPr>
            <w:tcW w:w="1696" w:type="dxa"/>
            <w:vAlign w:val="center"/>
          </w:tcPr>
          <w:p w14:paraId="604A7040" w14:textId="77777777" w:rsidR="009C5D4C" w:rsidRDefault="009C5D4C" w:rsidP="00D73200">
            <w:pPr>
              <w:spacing w:line="360" w:lineRule="auto"/>
              <w:jc w:val="center"/>
              <w:rPr>
                <w:rFonts w:ascii="Arial Narrow" w:hAnsi="Arial Narrow" w:cs="Book Antiqua"/>
              </w:rPr>
            </w:pPr>
            <w:r>
              <w:rPr>
                <w:rFonts w:ascii="Arial Narrow" w:hAnsi="Arial Narrow" w:cs="Book Antiqua"/>
              </w:rPr>
              <w:t xml:space="preserve">Verde </w:t>
            </w:r>
            <w:r w:rsidRPr="008254FA">
              <w:rPr>
                <w:rFonts w:ascii="Webdings" w:eastAsia="Webdings" w:hAnsi="Webdings" w:cs="Webdings"/>
                <w:color w:val="70AD47" w:themeColor="accent6"/>
              </w:rPr>
              <w:t></w:t>
            </w:r>
          </w:p>
        </w:tc>
        <w:tc>
          <w:tcPr>
            <w:tcW w:w="3402" w:type="dxa"/>
            <w:vAlign w:val="center"/>
          </w:tcPr>
          <w:p w14:paraId="22C12D4E" w14:textId="77777777" w:rsidR="009C5D4C" w:rsidRDefault="009C5D4C" w:rsidP="00D73200">
            <w:pPr>
              <w:spacing w:line="360" w:lineRule="auto"/>
              <w:jc w:val="center"/>
              <w:rPr>
                <w:rFonts w:ascii="Arial Narrow" w:hAnsi="Arial Narrow" w:cs="Book Antiqua"/>
              </w:rPr>
            </w:pPr>
            <w:r>
              <w:rPr>
                <w:rFonts w:ascii="Arial Narrow" w:hAnsi="Arial Narrow" w:cs="Book Antiqua"/>
              </w:rPr>
              <w:t>Cumplimiento Alto (CA)</w:t>
            </w:r>
          </w:p>
        </w:tc>
        <w:tc>
          <w:tcPr>
            <w:tcW w:w="3969" w:type="dxa"/>
            <w:vAlign w:val="center"/>
          </w:tcPr>
          <w:p w14:paraId="67F3CBF2" w14:textId="77777777" w:rsidR="009C5D4C" w:rsidRDefault="009C5D4C" w:rsidP="00D73200">
            <w:pPr>
              <w:spacing w:line="360" w:lineRule="auto"/>
              <w:jc w:val="center"/>
              <w:rPr>
                <w:rFonts w:ascii="Arial Narrow" w:hAnsi="Arial Narrow" w:cs="Book Antiqua"/>
              </w:rPr>
            </w:pPr>
            <w:r w:rsidRPr="596C5A54">
              <w:rPr>
                <w:rFonts w:ascii="Arial Narrow" w:hAnsi="Arial Narrow" w:cs="Book Antiqua"/>
              </w:rPr>
              <w:t>Mayor o igual a 90%</w:t>
            </w:r>
          </w:p>
        </w:tc>
      </w:tr>
      <w:tr w:rsidR="009C5D4C" w14:paraId="5EBB4CAB" w14:textId="77777777" w:rsidTr="00D73200">
        <w:trPr>
          <w:jc w:val="center"/>
        </w:trPr>
        <w:tc>
          <w:tcPr>
            <w:tcW w:w="1696" w:type="dxa"/>
            <w:vAlign w:val="center"/>
          </w:tcPr>
          <w:p w14:paraId="5958EA19" w14:textId="77777777" w:rsidR="009C5D4C" w:rsidRDefault="009C5D4C" w:rsidP="00D73200">
            <w:pPr>
              <w:spacing w:line="360" w:lineRule="auto"/>
              <w:jc w:val="center"/>
              <w:rPr>
                <w:rFonts w:ascii="Arial Narrow" w:hAnsi="Arial Narrow" w:cs="Book Antiqua"/>
              </w:rPr>
            </w:pPr>
            <w:r>
              <w:rPr>
                <w:rFonts w:ascii="Arial Narrow" w:hAnsi="Arial Narrow" w:cs="Book Antiqua"/>
              </w:rPr>
              <w:t xml:space="preserve">Amarillo </w:t>
            </w:r>
            <w:r w:rsidRPr="008254FA">
              <w:rPr>
                <w:rFonts w:ascii="Webdings" w:eastAsia="Webdings" w:hAnsi="Webdings" w:cs="Webdings"/>
                <w:color w:val="FFFF00"/>
              </w:rPr>
              <w:t></w:t>
            </w:r>
          </w:p>
        </w:tc>
        <w:tc>
          <w:tcPr>
            <w:tcW w:w="3402" w:type="dxa"/>
            <w:vAlign w:val="center"/>
          </w:tcPr>
          <w:p w14:paraId="4319B49F" w14:textId="77777777" w:rsidR="009C5D4C" w:rsidRDefault="009C5D4C" w:rsidP="00D73200">
            <w:pPr>
              <w:spacing w:line="360" w:lineRule="auto"/>
              <w:jc w:val="center"/>
              <w:rPr>
                <w:rFonts w:ascii="Arial Narrow" w:hAnsi="Arial Narrow" w:cs="Book Antiqua"/>
              </w:rPr>
            </w:pPr>
            <w:r>
              <w:rPr>
                <w:rFonts w:ascii="Arial Narrow" w:hAnsi="Arial Narrow" w:cs="Book Antiqua"/>
              </w:rPr>
              <w:t>Cumplimiento Medio (CM)</w:t>
            </w:r>
          </w:p>
        </w:tc>
        <w:tc>
          <w:tcPr>
            <w:tcW w:w="3969" w:type="dxa"/>
            <w:vAlign w:val="center"/>
          </w:tcPr>
          <w:p w14:paraId="4C33150C" w14:textId="77777777" w:rsidR="009C5D4C" w:rsidRDefault="009C5D4C" w:rsidP="00D73200">
            <w:pPr>
              <w:spacing w:line="360" w:lineRule="auto"/>
              <w:jc w:val="center"/>
              <w:rPr>
                <w:rFonts w:ascii="Arial Narrow" w:hAnsi="Arial Narrow" w:cs="Book Antiqua"/>
              </w:rPr>
            </w:pPr>
            <w:r w:rsidRPr="596C5A54">
              <w:rPr>
                <w:rFonts w:ascii="Arial Narrow" w:hAnsi="Arial Narrow" w:cs="Book Antiqua"/>
              </w:rPr>
              <w:t>Menor o igual a 89,99% o igual a 50,00%</w:t>
            </w:r>
          </w:p>
        </w:tc>
      </w:tr>
      <w:tr w:rsidR="009C5D4C" w14:paraId="7C9C5E45" w14:textId="77777777" w:rsidTr="00D73200">
        <w:trPr>
          <w:jc w:val="center"/>
        </w:trPr>
        <w:tc>
          <w:tcPr>
            <w:tcW w:w="1696" w:type="dxa"/>
            <w:vAlign w:val="center"/>
          </w:tcPr>
          <w:p w14:paraId="527917C2" w14:textId="77777777" w:rsidR="009C5D4C" w:rsidRDefault="009C5D4C" w:rsidP="00D73200">
            <w:pPr>
              <w:spacing w:line="360" w:lineRule="auto"/>
              <w:jc w:val="center"/>
              <w:rPr>
                <w:rFonts w:ascii="Arial Narrow" w:hAnsi="Arial Narrow" w:cs="Book Antiqua"/>
              </w:rPr>
            </w:pPr>
            <w:r>
              <w:rPr>
                <w:rFonts w:ascii="Arial Narrow" w:hAnsi="Arial Narrow" w:cs="Book Antiqua"/>
              </w:rPr>
              <w:t xml:space="preserve">Rojo </w:t>
            </w:r>
            <w:r w:rsidRPr="008254FA">
              <w:rPr>
                <w:rFonts w:ascii="Webdings" w:eastAsia="Webdings" w:hAnsi="Webdings" w:cs="Webdings"/>
                <w:color w:val="FF0000"/>
              </w:rPr>
              <w:t></w:t>
            </w:r>
          </w:p>
        </w:tc>
        <w:tc>
          <w:tcPr>
            <w:tcW w:w="3402" w:type="dxa"/>
            <w:vAlign w:val="center"/>
          </w:tcPr>
          <w:p w14:paraId="0A914CF0" w14:textId="77777777" w:rsidR="009C5D4C" w:rsidRDefault="009C5D4C" w:rsidP="00D73200">
            <w:pPr>
              <w:spacing w:line="360" w:lineRule="auto"/>
              <w:jc w:val="center"/>
              <w:rPr>
                <w:rFonts w:ascii="Arial Narrow" w:hAnsi="Arial Narrow" w:cs="Book Antiqua"/>
              </w:rPr>
            </w:pPr>
            <w:r>
              <w:rPr>
                <w:rFonts w:ascii="Arial Narrow" w:hAnsi="Arial Narrow" w:cs="Book Antiqua"/>
              </w:rPr>
              <w:t>Cumplimiento Bajo (CB)</w:t>
            </w:r>
          </w:p>
        </w:tc>
        <w:tc>
          <w:tcPr>
            <w:tcW w:w="3969" w:type="dxa"/>
            <w:vAlign w:val="center"/>
          </w:tcPr>
          <w:p w14:paraId="03415667" w14:textId="77777777" w:rsidR="009C5D4C" w:rsidRDefault="009C5D4C" w:rsidP="00D73200">
            <w:pPr>
              <w:spacing w:line="360" w:lineRule="auto"/>
              <w:jc w:val="center"/>
              <w:rPr>
                <w:rFonts w:ascii="Arial Narrow" w:hAnsi="Arial Narrow" w:cs="Book Antiqua"/>
              </w:rPr>
            </w:pPr>
            <w:r w:rsidRPr="596C5A54">
              <w:rPr>
                <w:rFonts w:ascii="Arial Narrow" w:hAnsi="Arial Narrow" w:cs="Book Antiqua"/>
              </w:rPr>
              <w:t xml:space="preserve">Menor o igual 49,99% </w:t>
            </w:r>
          </w:p>
        </w:tc>
      </w:tr>
    </w:tbl>
    <w:p w14:paraId="15D96765" w14:textId="77777777" w:rsidR="009C5D4C" w:rsidRPr="004B3694" w:rsidRDefault="009C5D4C" w:rsidP="00F6691E">
      <w:pPr>
        <w:spacing w:line="360" w:lineRule="auto"/>
        <w:jc w:val="center"/>
        <w:rPr>
          <w:rFonts w:ascii="Arial Narrow" w:hAnsi="Arial Narrow" w:cs="Book Antiqua"/>
          <w:sz w:val="18"/>
          <w:szCs w:val="18"/>
        </w:rPr>
      </w:pPr>
      <w:r w:rsidRPr="596C5A54">
        <w:rPr>
          <w:rFonts w:ascii="Arial Narrow" w:hAnsi="Arial Narrow" w:cs="Book Antiqua"/>
          <w:sz w:val="18"/>
          <w:szCs w:val="18"/>
        </w:rPr>
        <w:t xml:space="preserve">Fuente: </w:t>
      </w:r>
      <w:r w:rsidRPr="00704B08">
        <w:rPr>
          <w:rFonts w:ascii="Arial Narrow" w:hAnsi="Arial Narrow" w:cs="Book Antiqua"/>
          <w:sz w:val="18"/>
          <w:szCs w:val="18"/>
        </w:rPr>
        <w:t>Lineamientos técnicos sobre el presupuesto de la República, Ministerio de Hacienda.</w:t>
      </w:r>
    </w:p>
    <w:p w14:paraId="2957D89C" w14:textId="19B08947" w:rsidR="00481590" w:rsidRDefault="009C5D4C" w:rsidP="008B52CA">
      <w:pPr>
        <w:spacing w:line="276" w:lineRule="auto"/>
        <w:jc w:val="both"/>
        <w:rPr>
          <w:rFonts w:ascii="Arial Narrow" w:eastAsia="Calibri" w:hAnsi="Arial Narrow"/>
          <w:sz w:val="36"/>
          <w:szCs w:val="36"/>
          <w:lang w:eastAsia="en-US"/>
        </w:rPr>
      </w:pPr>
      <w:r w:rsidRPr="00704B08">
        <w:rPr>
          <w:rFonts w:ascii="Arial Narrow" w:hAnsi="Arial Narrow"/>
        </w:rPr>
        <w:t xml:space="preserve">De seguido, se muestra una </w:t>
      </w:r>
      <w:r>
        <w:rPr>
          <w:rFonts w:ascii="Arial Narrow" w:hAnsi="Arial Narrow"/>
        </w:rPr>
        <w:t>ilustración</w:t>
      </w:r>
      <w:r w:rsidRPr="00704B08">
        <w:rPr>
          <w:rFonts w:ascii="Arial Narrow" w:hAnsi="Arial Narrow"/>
        </w:rPr>
        <w:t xml:space="preserve"> que detalla los 5 temas estratégicos contenidos en el PEI, así como la misión y visión, que resulta oportuna destacar, en ocasión de esta evaluación, con el fin de tener presente el norte que la institución debe siempre seguir.</w:t>
      </w:r>
    </w:p>
    <w:p w14:paraId="575B7975" w14:textId="2D57D542" w:rsidR="00FD23CD" w:rsidRDefault="00FD23CD" w:rsidP="00641FF2">
      <w:pPr>
        <w:spacing w:line="360" w:lineRule="auto"/>
        <w:jc w:val="both"/>
        <w:rPr>
          <w:rFonts w:ascii="Arial Narrow" w:hAnsi="Arial Narrow"/>
        </w:rPr>
      </w:pPr>
    </w:p>
    <w:p w14:paraId="6101025A" w14:textId="77777777" w:rsidR="001E6FD8" w:rsidRPr="00704B08" w:rsidRDefault="001E6FD8" w:rsidP="00641FF2">
      <w:pPr>
        <w:spacing w:line="360" w:lineRule="auto"/>
        <w:jc w:val="both"/>
        <w:rPr>
          <w:rFonts w:ascii="Arial Narrow" w:hAnsi="Arial Narrow"/>
        </w:rPr>
      </w:pPr>
    </w:p>
    <w:p w14:paraId="7DC726D7" w14:textId="4EAAE727" w:rsidR="00641FF2" w:rsidRPr="00484CC1" w:rsidRDefault="00641FF2" w:rsidP="00641FF2">
      <w:pPr>
        <w:pStyle w:val="Descripcin"/>
        <w:jc w:val="center"/>
        <w:rPr>
          <w:rFonts w:ascii="Arial Narrow" w:hAnsi="Arial Narrow" w:cs="Book Antiqua"/>
          <w:b w:val="0"/>
          <w:bCs w:val="0"/>
          <w:sz w:val="24"/>
          <w:szCs w:val="24"/>
        </w:rPr>
      </w:pPr>
      <w:bookmarkStart w:id="15" w:name="_Toc104979237"/>
      <w:r w:rsidRPr="00484CC1">
        <w:rPr>
          <w:rFonts w:ascii="Arial Narrow" w:hAnsi="Arial Narrow"/>
          <w:sz w:val="24"/>
          <w:szCs w:val="24"/>
        </w:rPr>
        <w:t xml:space="preserve">Ilustración </w:t>
      </w:r>
      <w:r w:rsidRPr="00484CC1">
        <w:rPr>
          <w:rFonts w:ascii="Arial Narrow" w:hAnsi="Arial Narrow"/>
          <w:sz w:val="24"/>
          <w:szCs w:val="24"/>
        </w:rPr>
        <w:fldChar w:fldCharType="begin"/>
      </w:r>
      <w:r w:rsidRPr="00484CC1">
        <w:rPr>
          <w:rFonts w:ascii="Arial Narrow" w:hAnsi="Arial Narrow"/>
          <w:sz w:val="24"/>
          <w:szCs w:val="24"/>
        </w:rPr>
        <w:instrText xml:space="preserve"> SEQ Ilustración \* ARABIC </w:instrText>
      </w:r>
      <w:r w:rsidRPr="00484CC1">
        <w:rPr>
          <w:rFonts w:ascii="Arial Narrow" w:hAnsi="Arial Narrow"/>
          <w:sz w:val="24"/>
          <w:szCs w:val="24"/>
        </w:rPr>
        <w:fldChar w:fldCharType="separate"/>
      </w:r>
      <w:r w:rsidR="002F520A">
        <w:rPr>
          <w:rFonts w:ascii="Arial Narrow" w:hAnsi="Arial Narrow"/>
          <w:noProof/>
          <w:sz w:val="24"/>
          <w:szCs w:val="24"/>
        </w:rPr>
        <w:t>1</w:t>
      </w:r>
      <w:r w:rsidRPr="00484CC1">
        <w:rPr>
          <w:rFonts w:ascii="Arial Narrow" w:hAnsi="Arial Narrow"/>
          <w:sz w:val="24"/>
          <w:szCs w:val="24"/>
        </w:rPr>
        <w:fldChar w:fldCharType="end"/>
      </w:r>
      <w:r>
        <w:rPr>
          <w:rFonts w:ascii="Arial Narrow" w:hAnsi="Arial Narrow"/>
          <w:sz w:val="24"/>
          <w:szCs w:val="24"/>
        </w:rPr>
        <w:t xml:space="preserve">  </w:t>
      </w:r>
      <w:r w:rsidRPr="00484CC1">
        <w:rPr>
          <w:rFonts w:ascii="Arial Narrow" w:hAnsi="Arial Narrow" w:cs="Book Antiqua"/>
          <w:sz w:val="24"/>
          <w:szCs w:val="24"/>
        </w:rPr>
        <w:t>Temas estratégicos del PEI 2019-2024</w:t>
      </w:r>
      <w:bookmarkEnd w:id="15"/>
    </w:p>
    <w:p w14:paraId="5C29EEDB" w14:textId="77777777" w:rsidR="00641FF2" w:rsidRPr="00F6691E" w:rsidRDefault="330624EB" w:rsidP="00F6691E">
      <w:pPr>
        <w:spacing w:line="360" w:lineRule="auto"/>
        <w:ind w:left="360"/>
        <w:jc w:val="center"/>
        <w:rPr>
          <w:rFonts w:ascii="Arial Narrow" w:hAnsi="Arial Narrow" w:cs="Book Antiqua"/>
          <w:sz w:val="18"/>
          <w:szCs w:val="18"/>
        </w:rPr>
      </w:pPr>
      <w:r>
        <w:rPr>
          <w:noProof/>
        </w:rPr>
        <w:drawing>
          <wp:inline distT="0" distB="0" distL="0" distR="0" wp14:anchorId="4FBD1F00" wp14:editId="51FF9BC6">
            <wp:extent cx="5356642" cy="2785300"/>
            <wp:effectExtent l="0" t="0" r="0" b="0"/>
            <wp:docPr id="1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48">
                      <a:extLst>
                        <a:ext uri="{FF2B5EF4-FFF2-40B4-BE49-F238E27FC236}">
                          <a16:creationId xmlns:a16="http://schemas.microsoft.com/office/drawing/2014/main" xmlns:ask="http://schemas.microsoft.com/office/drawing/2018/sketchyshapes" xmlns:c="http://schemas.openxmlformats.org/drawingml/2006/chart" xmlns:a14="http://schemas.microsoft.com/office/drawing/2010/main" xmlns:w="http://schemas.openxmlformats.org/wordprocessingml/2006/main" xmlns:w10="urn:schemas-microsoft-com:office:word" xmlns:v="urn:schemas-microsoft-com:vml" xmlns:o="urn:schemas-microsoft-com:office:office" xmlns="" xmlns:arto="http://schemas.microsoft.com/office/word/2006/arto" id="{6E022052-140E-437C-B813-C865B2F01CF1}"/>
                        </a:ext>
                      </a:extLst>
                    </a:blip>
                    <a:srcRect t="4744" r="2847"/>
                    <a:stretch>
                      <a:fillRect/>
                    </a:stretch>
                  </pic:blipFill>
                  <pic:spPr>
                    <a:xfrm>
                      <a:off x="0" y="0"/>
                      <a:ext cx="5356642" cy="2785300"/>
                    </a:xfrm>
                    <a:prstGeom prst="rect">
                      <a:avLst/>
                    </a:prstGeom>
                  </pic:spPr>
                </pic:pic>
              </a:graphicData>
            </a:graphic>
          </wp:inline>
        </w:drawing>
      </w:r>
      <w:r w:rsidRPr="00F6691E">
        <w:rPr>
          <w:rFonts w:ascii="Arial Narrow" w:hAnsi="Arial Narrow" w:cs="Book Antiqua"/>
          <w:sz w:val="18"/>
          <w:szCs w:val="18"/>
        </w:rPr>
        <w:t>Fuente: PEI 2019-2024 del Poder Judicial.</w:t>
      </w:r>
    </w:p>
    <w:p w14:paraId="28792585" w14:textId="7E20CD9D" w:rsidR="00CB75DA" w:rsidRDefault="00CB75DA" w:rsidP="00CB75DA">
      <w:pPr>
        <w:rPr>
          <w:rFonts w:ascii="Arial Narrow" w:eastAsia="Calibri" w:hAnsi="Arial Narrow"/>
          <w:sz w:val="36"/>
          <w:szCs w:val="36"/>
          <w:lang w:eastAsia="en-US"/>
        </w:rPr>
      </w:pPr>
    </w:p>
    <w:p w14:paraId="05B3C0AE" w14:textId="0F01377E" w:rsidR="00DF18F7" w:rsidRDefault="00DF18F7" w:rsidP="00CB75DA">
      <w:pPr>
        <w:rPr>
          <w:rFonts w:ascii="Arial Narrow" w:eastAsia="Calibri" w:hAnsi="Arial Narrow"/>
          <w:sz w:val="36"/>
          <w:szCs w:val="36"/>
          <w:lang w:eastAsia="en-US"/>
        </w:rPr>
      </w:pPr>
    </w:p>
    <w:p w14:paraId="7DE1D451" w14:textId="62082787" w:rsidR="00B87E09" w:rsidRPr="000B4845" w:rsidRDefault="05FABF97" w:rsidP="000C6F8D">
      <w:pPr>
        <w:pStyle w:val="Ttulo1"/>
      </w:pPr>
      <w:bookmarkStart w:id="16" w:name="_Toc104979091"/>
      <w:bookmarkStart w:id="17" w:name="_Toc104979092"/>
      <w:bookmarkStart w:id="18" w:name="_Toc104979093"/>
      <w:bookmarkStart w:id="19" w:name="_Toc104979094"/>
      <w:bookmarkStart w:id="20" w:name="_Toc106355262"/>
      <w:bookmarkEnd w:id="16"/>
      <w:bookmarkEnd w:id="17"/>
      <w:bookmarkEnd w:id="18"/>
      <w:bookmarkEnd w:id="19"/>
      <w:r>
        <w:t>Alcance de la Evaluación</w:t>
      </w:r>
      <w:bookmarkEnd w:id="20"/>
    </w:p>
    <w:p w14:paraId="5B9B24B4" w14:textId="77777777" w:rsidR="00B87E09" w:rsidRPr="000B4845" w:rsidRDefault="00B87E09" w:rsidP="00B87E09">
      <w:pPr>
        <w:rPr>
          <w:rFonts w:eastAsia="Calibri"/>
          <w:lang w:eastAsia="en-US"/>
        </w:rPr>
      </w:pPr>
    </w:p>
    <w:p w14:paraId="07C5A61D" w14:textId="77777777" w:rsidR="0095033E" w:rsidRDefault="0095033E" w:rsidP="00B87E09">
      <w:pPr>
        <w:spacing w:line="360" w:lineRule="auto"/>
        <w:jc w:val="both"/>
        <w:rPr>
          <w:rFonts w:ascii="Arial Narrow" w:hAnsi="Arial Narrow"/>
        </w:rPr>
      </w:pPr>
    </w:p>
    <w:p w14:paraId="69DC0234" w14:textId="5996C30D" w:rsidR="00B87E09" w:rsidRPr="00704B08" w:rsidRDefault="00B87E09" w:rsidP="00B87E09">
      <w:pPr>
        <w:spacing w:line="360" w:lineRule="auto"/>
        <w:jc w:val="both"/>
        <w:rPr>
          <w:rFonts w:ascii="Arial Narrow" w:hAnsi="Arial Narrow"/>
        </w:rPr>
      </w:pPr>
      <w:r w:rsidRPr="00704B08">
        <w:rPr>
          <w:rFonts w:ascii="Arial Narrow" w:hAnsi="Arial Narrow"/>
        </w:rPr>
        <w:t>Sobre el alcance de esta evaluación es importante destacar los esfuerzos hechos por los diferentes órganos del Poder Judicial, desde la construcción de Sistemas informáticos, hasta todos los esfuerzos de coordinación para llevar a cabo una ejecución del Plan Estratégico Institucional de manera óptima y transparente, como se presenta de seguido.</w:t>
      </w:r>
    </w:p>
    <w:p w14:paraId="17E08E41" w14:textId="2ED2EAC8" w:rsidR="00B32375" w:rsidRDefault="0B64ECA6" w:rsidP="00B32375">
      <w:pPr>
        <w:spacing w:line="360" w:lineRule="auto"/>
        <w:jc w:val="both"/>
        <w:rPr>
          <w:rFonts w:ascii="Arial Narrow" w:hAnsi="Arial Narrow"/>
        </w:rPr>
      </w:pPr>
      <w:r w:rsidRPr="0F07E111">
        <w:rPr>
          <w:rFonts w:ascii="Arial Narrow" w:hAnsi="Arial Narrow"/>
        </w:rPr>
        <w:t xml:space="preserve">La evaluación del PEI se circunscribe a las </w:t>
      </w:r>
      <w:r w:rsidR="4DDCFE98" w:rsidRPr="0F07E111">
        <w:rPr>
          <w:rFonts w:ascii="Arial Narrow" w:hAnsi="Arial Narrow"/>
        </w:rPr>
        <w:t>218</w:t>
      </w:r>
      <w:r w:rsidRPr="0F07E111">
        <w:rPr>
          <w:rFonts w:ascii="Arial Narrow" w:hAnsi="Arial Narrow"/>
        </w:rPr>
        <w:t xml:space="preserve"> metas estratégicas para el año 20</w:t>
      </w:r>
      <w:r w:rsidR="4DDCFE98" w:rsidRPr="0F07E111">
        <w:rPr>
          <w:rFonts w:ascii="Arial Narrow" w:hAnsi="Arial Narrow"/>
        </w:rPr>
        <w:t>21</w:t>
      </w:r>
      <w:r w:rsidRPr="0F07E111">
        <w:rPr>
          <w:rFonts w:ascii="Arial Narrow" w:hAnsi="Arial Narrow"/>
        </w:rPr>
        <w:t xml:space="preserve"> contenidas en el </w:t>
      </w:r>
      <w:r w:rsidR="387843C0" w:rsidRPr="0F07E111">
        <w:rPr>
          <w:rFonts w:ascii="Arial Narrow" w:hAnsi="Arial Narrow"/>
        </w:rPr>
        <w:t xml:space="preserve">sistema informático del </w:t>
      </w:r>
      <w:r w:rsidRPr="0F07E111">
        <w:rPr>
          <w:rFonts w:ascii="Arial Narrow" w:hAnsi="Arial Narrow"/>
        </w:rPr>
        <w:t xml:space="preserve">PEI que fueron ejecutadas mediante el cumplimiento de los objetivos y metas operativas del PAO, esto vinculado a los 5 temas estratégicos. La fecha de generación de </w:t>
      </w:r>
      <w:r w:rsidR="4DDCFE98" w:rsidRPr="0F07E111">
        <w:rPr>
          <w:rFonts w:ascii="Arial Narrow" w:hAnsi="Arial Narrow"/>
        </w:rPr>
        <w:t>datos consideró</w:t>
      </w:r>
      <w:r w:rsidRPr="0F07E111">
        <w:rPr>
          <w:rFonts w:ascii="Arial Narrow" w:hAnsi="Arial Narrow"/>
        </w:rPr>
        <w:t xml:space="preserve"> los avances incorporados en el sistema hasta el </w:t>
      </w:r>
      <w:r w:rsidR="00CAC541" w:rsidRPr="0F07E111">
        <w:rPr>
          <w:rFonts w:ascii="Arial Narrow" w:hAnsi="Arial Narrow"/>
        </w:rPr>
        <w:t>1</w:t>
      </w:r>
      <w:r w:rsidR="203CE2FE" w:rsidRPr="0F07E111">
        <w:rPr>
          <w:rFonts w:ascii="Arial Narrow" w:hAnsi="Arial Narrow"/>
        </w:rPr>
        <w:t>9</w:t>
      </w:r>
      <w:r w:rsidRPr="0F07E111">
        <w:rPr>
          <w:rFonts w:ascii="Arial Narrow" w:hAnsi="Arial Narrow"/>
        </w:rPr>
        <w:t xml:space="preserve"> de </w:t>
      </w:r>
      <w:r w:rsidR="00CAC541" w:rsidRPr="0F07E111">
        <w:rPr>
          <w:rFonts w:ascii="Arial Narrow" w:hAnsi="Arial Narrow"/>
        </w:rPr>
        <w:t>enero</w:t>
      </w:r>
      <w:r w:rsidRPr="0F07E111">
        <w:rPr>
          <w:rFonts w:ascii="Arial Narrow" w:hAnsi="Arial Narrow"/>
        </w:rPr>
        <w:t xml:space="preserve"> del 202</w:t>
      </w:r>
      <w:r w:rsidR="4DDCFE98" w:rsidRPr="0F07E111">
        <w:rPr>
          <w:rFonts w:ascii="Arial Narrow" w:hAnsi="Arial Narrow"/>
        </w:rPr>
        <w:t>2</w:t>
      </w:r>
      <w:r w:rsidRPr="0F07E111">
        <w:rPr>
          <w:rFonts w:ascii="Arial Narrow" w:hAnsi="Arial Narrow"/>
        </w:rPr>
        <w:t>, esto con el fin de que los despachos tuvieran oportunidad una vez regresaran del cierre colectivo, de concluir con el registro de avances de las metas.</w:t>
      </w:r>
      <w:r w:rsidR="00CAC541" w:rsidRPr="0F07E111">
        <w:rPr>
          <w:rFonts w:ascii="Arial Narrow" w:hAnsi="Arial Narrow"/>
        </w:rPr>
        <w:t xml:space="preserve"> </w:t>
      </w:r>
      <w:r w:rsidR="28407FAE" w:rsidRPr="0F07E111">
        <w:rPr>
          <w:rFonts w:ascii="Arial Narrow" w:hAnsi="Arial Narrow"/>
        </w:rPr>
        <w:t>De igual manera, la Dirección de Planificación concedió una prórroga para registrar los avances en el Sistema PAO, solicitada por diferentes despachos a nivel nacional.</w:t>
      </w:r>
    </w:p>
    <w:p w14:paraId="6FB20BE9" w14:textId="77777777" w:rsidR="0026389D" w:rsidRDefault="0026389D" w:rsidP="0026389D">
      <w:pPr>
        <w:spacing w:line="360" w:lineRule="auto"/>
        <w:jc w:val="both"/>
        <w:rPr>
          <w:rFonts w:ascii="Arial Narrow" w:hAnsi="Arial Narrow"/>
        </w:rPr>
      </w:pPr>
      <w:r>
        <w:rPr>
          <w:rFonts w:ascii="Arial Narrow" w:hAnsi="Arial Narrow"/>
        </w:rPr>
        <w:t xml:space="preserve">En aras de continuar el impulso de la planificación institucional, se realizó un análisis de las oportunidades de mejora y lecciones aprendidas de los procesos anteriores, y se planteó la metodología a aplicar por medio del </w:t>
      </w:r>
      <w:r>
        <w:rPr>
          <w:rFonts w:ascii="Arial Narrow" w:hAnsi="Arial Narrow"/>
          <w:i/>
          <w:iCs/>
        </w:rPr>
        <w:t>“Modelo de Gestión para el Proceso de Planificación Estratégica 2019-2024”</w:t>
      </w:r>
      <w:r>
        <w:rPr>
          <w:rFonts w:ascii="Arial Narrow" w:hAnsi="Arial Narrow"/>
        </w:rPr>
        <w:t>, basada en los principios orientadores de innovación, participación e integración; aprobado por la Corte Plena en sesión 32-17 del 02 de octubre del 2017, artículo XII.</w:t>
      </w:r>
    </w:p>
    <w:p w14:paraId="72B975E3" w14:textId="4F40B788" w:rsidR="0026389D" w:rsidRDefault="0026389D" w:rsidP="0026389D">
      <w:pPr>
        <w:spacing w:line="360" w:lineRule="auto"/>
        <w:jc w:val="both"/>
        <w:rPr>
          <w:rFonts w:ascii="Arial Narrow" w:hAnsi="Arial Narrow"/>
        </w:rPr>
      </w:pPr>
      <w:r>
        <w:rPr>
          <w:rFonts w:ascii="Arial Narrow" w:hAnsi="Arial Narrow"/>
        </w:rPr>
        <w:t>Como aspecto importante, se destaca que el Plan Estratégico Institucional del Poder Judicial de Costa Rica para el periodo 2019-2024, fue aprobado por la Corte Plena en sesión 56-18 del 10 de diciembre del 2018, artículo XXIII (oficio 1463-PLA-2018). Después de esa aprobación, se llevan a cabo procesos de realineamiento y ajuste o inclusión de metas. Se destaca la siguiente tabla, que muestra las versiones que a la fecha tiene el PEI, al cierre del 2021 la última versión aprobada es la Versión 5.0 (se adjunta en Anexo 1), la cual es utilizada para la construcción de la presente evaluación:</w:t>
      </w:r>
    </w:p>
    <w:p w14:paraId="1CBEA71E" w14:textId="77777777" w:rsidR="0095033E" w:rsidRDefault="0095033E" w:rsidP="0095033E">
      <w:bookmarkStart w:id="21" w:name="_Toc84919459"/>
    </w:p>
    <w:p w14:paraId="18DA61CF" w14:textId="77777777" w:rsidR="0095033E" w:rsidRPr="0095033E" w:rsidRDefault="0095033E" w:rsidP="0095033E"/>
    <w:p w14:paraId="42E63DA5" w14:textId="62644346" w:rsidR="00A146A8" w:rsidRPr="00A146A8" w:rsidRDefault="00271D70" w:rsidP="00A146A8">
      <w:pPr>
        <w:pStyle w:val="Descripcin"/>
        <w:jc w:val="center"/>
        <w:rPr>
          <w:rFonts w:ascii="Arial Narrow" w:hAnsi="Arial Narrow" w:cs="Arial"/>
          <w:b w:val="0"/>
          <w:bCs w:val="0"/>
          <w:color w:val="000000"/>
          <w:sz w:val="24"/>
          <w:szCs w:val="24"/>
          <w:lang w:val="es-CR" w:eastAsia="es-CR"/>
        </w:rPr>
      </w:pPr>
      <w:bookmarkStart w:id="22" w:name="_Toc104979241"/>
      <w:r w:rsidRPr="00271D70">
        <w:rPr>
          <w:rFonts w:ascii="Arial Narrow" w:hAnsi="Arial Narrow"/>
          <w:sz w:val="24"/>
          <w:szCs w:val="24"/>
        </w:rPr>
        <w:t xml:space="preserve">Tabla </w:t>
      </w:r>
      <w:r w:rsidRPr="00271D70">
        <w:rPr>
          <w:rFonts w:ascii="Arial Narrow" w:hAnsi="Arial Narrow"/>
          <w:sz w:val="24"/>
          <w:szCs w:val="24"/>
        </w:rPr>
        <w:fldChar w:fldCharType="begin"/>
      </w:r>
      <w:r w:rsidRPr="00271D70">
        <w:rPr>
          <w:rFonts w:ascii="Arial Narrow" w:hAnsi="Arial Narrow"/>
          <w:sz w:val="24"/>
          <w:szCs w:val="24"/>
        </w:rPr>
        <w:instrText xml:space="preserve"> SEQ Tabla \* ARABIC </w:instrText>
      </w:r>
      <w:r w:rsidRPr="00271D70">
        <w:rPr>
          <w:rFonts w:ascii="Arial Narrow" w:hAnsi="Arial Narrow"/>
          <w:sz w:val="24"/>
          <w:szCs w:val="24"/>
        </w:rPr>
        <w:fldChar w:fldCharType="separate"/>
      </w:r>
      <w:r w:rsidR="002F520A">
        <w:rPr>
          <w:rFonts w:ascii="Arial Narrow" w:hAnsi="Arial Narrow"/>
          <w:noProof/>
          <w:sz w:val="24"/>
          <w:szCs w:val="24"/>
        </w:rPr>
        <w:t>2</w:t>
      </w:r>
      <w:r w:rsidRPr="00271D70">
        <w:rPr>
          <w:rFonts w:ascii="Arial Narrow" w:hAnsi="Arial Narrow"/>
          <w:sz w:val="24"/>
          <w:szCs w:val="24"/>
        </w:rPr>
        <w:fldChar w:fldCharType="end"/>
      </w:r>
      <w:r w:rsidR="0026389D" w:rsidRPr="00271D70">
        <w:rPr>
          <w:rFonts w:ascii="Arial Narrow" w:hAnsi="Arial Narrow"/>
          <w:sz w:val="24"/>
          <w:szCs w:val="24"/>
        </w:rPr>
        <w:t xml:space="preserve"> Listado de versiones aprobadas de la matriz del Plan Estratégico</w:t>
      </w:r>
      <w:r w:rsidR="0026389D" w:rsidRPr="00271D70">
        <w:rPr>
          <w:rFonts w:ascii="Arial Narrow" w:hAnsi="Arial Narrow"/>
          <w:noProof/>
          <w:sz w:val="24"/>
          <w:szCs w:val="24"/>
        </w:rPr>
        <w:t xml:space="preserve"> Institucional 2019-2020 y su acta de aprobación por Corte Plena</w:t>
      </w:r>
      <w:bookmarkEnd w:id="21"/>
      <w:bookmarkEnd w:id="22"/>
    </w:p>
    <w:tbl>
      <w:tblPr>
        <w:tblW w:w="9203" w:type="dxa"/>
        <w:tblCellMar>
          <w:left w:w="70" w:type="dxa"/>
          <w:right w:w="70" w:type="dxa"/>
        </w:tblCellMar>
        <w:tblLook w:val="04A0" w:firstRow="1" w:lastRow="0" w:firstColumn="1" w:lastColumn="0" w:noHBand="0" w:noVBand="1"/>
      </w:tblPr>
      <w:tblGrid>
        <w:gridCol w:w="1040"/>
        <w:gridCol w:w="807"/>
        <w:gridCol w:w="886"/>
        <w:gridCol w:w="1960"/>
        <w:gridCol w:w="797"/>
        <w:gridCol w:w="1039"/>
        <w:gridCol w:w="896"/>
        <w:gridCol w:w="889"/>
        <w:gridCol w:w="889"/>
      </w:tblGrid>
      <w:tr w:rsidR="008A76DD" w14:paraId="4FA416CF" w14:textId="77777777" w:rsidTr="0083608D">
        <w:trPr>
          <w:trHeight w:val="571"/>
        </w:trPr>
        <w:tc>
          <w:tcPr>
            <w:tcW w:w="1033" w:type="dxa"/>
            <w:tcBorders>
              <w:top w:val="single" w:sz="4" w:space="0" w:color="auto"/>
              <w:left w:val="single" w:sz="4" w:space="0" w:color="auto"/>
              <w:bottom w:val="single" w:sz="4" w:space="0" w:color="auto"/>
              <w:right w:val="single" w:sz="4" w:space="0" w:color="auto"/>
            </w:tcBorders>
            <w:shd w:val="clear" w:color="auto" w:fill="8EA9DB"/>
            <w:vAlign w:val="center"/>
            <w:hideMark/>
          </w:tcPr>
          <w:p w14:paraId="0EC1F9F0" w14:textId="0BCCE0F1" w:rsidR="0026389D" w:rsidRDefault="00A146A8">
            <w:pPr>
              <w:jc w:val="center"/>
              <w:rPr>
                <w:rFonts w:ascii="Arial Narrow" w:hAnsi="Arial Narrow" w:cs="Arial"/>
                <w:b/>
                <w:bCs/>
                <w:color w:val="000000"/>
                <w:sz w:val="16"/>
                <w:szCs w:val="16"/>
                <w:lang w:val="es-CR" w:eastAsia="es-CR"/>
              </w:rPr>
            </w:pPr>
            <w:r>
              <w:rPr>
                <w:rFonts w:ascii="Arial Narrow" w:hAnsi="Arial Narrow" w:cs="Arial"/>
                <w:sz w:val="18"/>
                <w:szCs w:val="18"/>
                <w:lang w:val="es-CR" w:eastAsia="es-CR"/>
              </w:rPr>
              <w:tab/>
            </w:r>
            <w:r w:rsidR="0026389D">
              <w:rPr>
                <w:rFonts w:ascii="Arial Narrow" w:hAnsi="Arial Narrow" w:cs="Arial"/>
                <w:b/>
                <w:bCs/>
                <w:color w:val="000000"/>
                <w:sz w:val="16"/>
                <w:szCs w:val="16"/>
                <w:lang w:val="es-CR" w:eastAsia="es-CR"/>
              </w:rPr>
              <w:t>No. Versión</w:t>
            </w:r>
          </w:p>
        </w:tc>
        <w:tc>
          <w:tcPr>
            <w:tcW w:w="822" w:type="dxa"/>
            <w:tcBorders>
              <w:top w:val="single" w:sz="4" w:space="0" w:color="auto"/>
              <w:left w:val="nil"/>
              <w:bottom w:val="single" w:sz="4" w:space="0" w:color="auto"/>
              <w:right w:val="single" w:sz="4" w:space="0" w:color="auto"/>
            </w:tcBorders>
            <w:shd w:val="clear" w:color="auto" w:fill="8EA9DB"/>
            <w:vAlign w:val="center"/>
            <w:hideMark/>
          </w:tcPr>
          <w:p w14:paraId="429E188C" w14:textId="77777777" w:rsidR="0026389D" w:rsidRDefault="0026389D">
            <w:pPr>
              <w:jc w:val="center"/>
              <w:rPr>
                <w:rFonts w:ascii="Arial Narrow" w:hAnsi="Arial Narrow" w:cs="Arial"/>
                <w:b/>
                <w:bCs/>
                <w:color w:val="000000"/>
                <w:sz w:val="16"/>
                <w:szCs w:val="16"/>
                <w:lang w:val="es-CR" w:eastAsia="es-CR"/>
              </w:rPr>
            </w:pPr>
            <w:r>
              <w:rPr>
                <w:rFonts w:ascii="Arial Narrow" w:hAnsi="Arial Narrow" w:cs="Arial"/>
                <w:b/>
                <w:bCs/>
                <w:color w:val="000000"/>
                <w:sz w:val="16"/>
                <w:szCs w:val="16"/>
                <w:lang w:val="es-CR" w:eastAsia="es-CR"/>
              </w:rPr>
              <w:t>No. Oficio Remitido</w:t>
            </w:r>
          </w:p>
        </w:tc>
        <w:tc>
          <w:tcPr>
            <w:tcW w:w="903" w:type="dxa"/>
            <w:tcBorders>
              <w:top w:val="single" w:sz="4" w:space="0" w:color="auto"/>
              <w:left w:val="nil"/>
              <w:bottom w:val="single" w:sz="4" w:space="0" w:color="auto"/>
              <w:right w:val="single" w:sz="4" w:space="0" w:color="auto"/>
            </w:tcBorders>
            <w:shd w:val="clear" w:color="auto" w:fill="8EA9DB"/>
            <w:vAlign w:val="center"/>
            <w:hideMark/>
          </w:tcPr>
          <w:p w14:paraId="462091B8" w14:textId="77777777" w:rsidR="0026389D" w:rsidRDefault="0026389D">
            <w:pPr>
              <w:jc w:val="center"/>
              <w:rPr>
                <w:rFonts w:ascii="Arial Narrow" w:hAnsi="Arial Narrow" w:cs="Arial"/>
                <w:b/>
                <w:bCs/>
                <w:color w:val="000000"/>
                <w:sz w:val="16"/>
                <w:szCs w:val="16"/>
                <w:lang w:val="es-CR" w:eastAsia="es-CR"/>
              </w:rPr>
            </w:pPr>
            <w:r>
              <w:rPr>
                <w:rFonts w:ascii="Arial Narrow" w:hAnsi="Arial Narrow" w:cs="Arial"/>
                <w:b/>
                <w:bCs/>
                <w:color w:val="000000"/>
                <w:sz w:val="16"/>
                <w:szCs w:val="16"/>
                <w:lang w:val="es-CR" w:eastAsia="es-CR"/>
              </w:rPr>
              <w:t>Fecha Oficio</w:t>
            </w:r>
          </w:p>
        </w:tc>
        <w:tc>
          <w:tcPr>
            <w:tcW w:w="1945" w:type="dxa"/>
            <w:tcBorders>
              <w:top w:val="single" w:sz="4" w:space="0" w:color="auto"/>
              <w:left w:val="nil"/>
              <w:bottom w:val="single" w:sz="4" w:space="0" w:color="auto"/>
              <w:right w:val="single" w:sz="4" w:space="0" w:color="auto"/>
            </w:tcBorders>
            <w:shd w:val="clear" w:color="auto" w:fill="8EA9DB"/>
            <w:vAlign w:val="center"/>
            <w:hideMark/>
          </w:tcPr>
          <w:p w14:paraId="6A831808" w14:textId="77777777" w:rsidR="0026389D" w:rsidRDefault="0026389D">
            <w:pPr>
              <w:jc w:val="center"/>
              <w:rPr>
                <w:rFonts w:ascii="Arial Narrow" w:hAnsi="Arial Narrow" w:cs="Arial"/>
                <w:b/>
                <w:bCs/>
                <w:color w:val="000000"/>
                <w:sz w:val="16"/>
                <w:szCs w:val="16"/>
                <w:lang w:val="es-CR" w:eastAsia="es-CR"/>
              </w:rPr>
            </w:pPr>
            <w:r>
              <w:rPr>
                <w:rFonts w:ascii="Arial Narrow" w:hAnsi="Arial Narrow" w:cs="Arial"/>
                <w:b/>
                <w:bCs/>
                <w:color w:val="000000"/>
                <w:sz w:val="16"/>
                <w:szCs w:val="16"/>
                <w:lang w:val="es-CR" w:eastAsia="es-CR"/>
              </w:rPr>
              <w:t>Acta de Aprobación</w:t>
            </w:r>
          </w:p>
        </w:tc>
        <w:tc>
          <w:tcPr>
            <w:tcW w:w="812" w:type="dxa"/>
            <w:tcBorders>
              <w:top w:val="single" w:sz="4" w:space="0" w:color="auto"/>
              <w:left w:val="nil"/>
              <w:bottom w:val="single" w:sz="4" w:space="0" w:color="auto"/>
              <w:right w:val="single" w:sz="4" w:space="0" w:color="auto"/>
            </w:tcBorders>
            <w:shd w:val="clear" w:color="auto" w:fill="8EA9DB"/>
            <w:vAlign w:val="center"/>
            <w:hideMark/>
          </w:tcPr>
          <w:p w14:paraId="423DE317" w14:textId="77777777" w:rsidR="0026389D" w:rsidRDefault="0026389D">
            <w:pPr>
              <w:jc w:val="center"/>
              <w:rPr>
                <w:rFonts w:ascii="Arial Narrow" w:hAnsi="Arial Narrow" w:cs="Arial"/>
                <w:b/>
                <w:bCs/>
                <w:color w:val="000000"/>
                <w:sz w:val="16"/>
                <w:szCs w:val="16"/>
                <w:lang w:val="es-CR" w:eastAsia="es-CR"/>
              </w:rPr>
            </w:pPr>
            <w:r>
              <w:rPr>
                <w:rFonts w:ascii="Arial Narrow" w:hAnsi="Arial Narrow" w:cs="Arial"/>
                <w:b/>
                <w:bCs/>
                <w:color w:val="000000"/>
                <w:sz w:val="16"/>
                <w:szCs w:val="16"/>
                <w:lang w:val="es-CR" w:eastAsia="es-CR"/>
              </w:rPr>
              <w:t>Fecha Acta</w:t>
            </w:r>
          </w:p>
        </w:tc>
        <w:tc>
          <w:tcPr>
            <w:tcW w:w="1032" w:type="dxa"/>
            <w:tcBorders>
              <w:top w:val="single" w:sz="4" w:space="0" w:color="auto"/>
              <w:left w:val="nil"/>
              <w:bottom w:val="single" w:sz="4" w:space="0" w:color="auto"/>
              <w:right w:val="single" w:sz="4" w:space="0" w:color="auto"/>
            </w:tcBorders>
            <w:shd w:val="clear" w:color="auto" w:fill="8EA9DB"/>
            <w:vAlign w:val="center"/>
            <w:hideMark/>
          </w:tcPr>
          <w:p w14:paraId="5B3DD0AE" w14:textId="77777777" w:rsidR="0026389D" w:rsidRDefault="0026389D">
            <w:pPr>
              <w:jc w:val="center"/>
              <w:rPr>
                <w:rFonts w:ascii="Arial Narrow" w:hAnsi="Arial Narrow" w:cs="Arial"/>
                <w:b/>
                <w:bCs/>
                <w:color w:val="000000"/>
                <w:sz w:val="16"/>
                <w:szCs w:val="16"/>
                <w:lang w:val="es-CR" w:eastAsia="es-CR"/>
              </w:rPr>
            </w:pPr>
            <w:r>
              <w:rPr>
                <w:rFonts w:ascii="Arial Narrow" w:hAnsi="Arial Narrow" w:cs="Arial"/>
                <w:b/>
                <w:bCs/>
                <w:color w:val="000000"/>
                <w:sz w:val="16"/>
                <w:szCs w:val="16"/>
                <w:lang w:val="es-CR" w:eastAsia="es-CR"/>
              </w:rPr>
              <w:t>Detalle de Actualización</w:t>
            </w:r>
          </w:p>
        </w:tc>
        <w:tc>
          <w:tcPr>
            <w:tcW w:w="890" w:type="dxa"/>
            <w:tcBorders>
              <w:top w:val="single" w:sz="4" w:space="0" w:color="auto"/>
              <w:left w:val="nil"/>
              <w:bottom w:val="single" w:sz="4" w:space="0" w:color="auto"/>
              <w:right w:val="single" w:sz="4" w:space="0" w:color="auto"/>
            </w:tcBorders>
            <w:shd w:val="clear" w:color="auto" w:fill="8EA9DB"/>
            <w:vAlign w:val="center"/>
            <w:hideMark/>
          </w:tcPr>
          <w:p w14:paraId="6D7B8F8E" w14:textId="77777777" w:rsidR="0026389D" w:rsidRDefault="0026389D">
            <w:pPr>
              <w:jc w:val="center"/>
              <w:rPr>
                <w:rFonts w:ascii="Arial Narrow" w:hAnsi="Arial Narrow" w:cs="Arial"/>
                <w:b/>
                <w:bCs/>
                <w:color w:val="000000"/>
                <w:sz w:val="16"/>
                <w:szCs w:val="16"/>
                <w:lang w:val="es-CR" w:eastAsia="es-CR"/>
              </w:rPr>
            </w:pPr>
            <w:r>
              <w:rPr>
                <w:rFonts w:ascii="Arial Narrow" w:hAnsi="Arial Narrow" w:cs="Arial"/>
                <w:b/>
                <w:bCs/>
                <w:color w:val="000000"/>
                <w:sz w:val="16"/>
                <w:szCs w:val="16"/>
                <w:lang w:val="es-CR" w:eastAsia="es-CR"/>
              </w:rPr>
              <w:t>Cantidad de objetivos estratégicos</w:t>
            </w:r>
          </w:p>
        </w:tc>
        <w:tc>
          <w:tcPr>
            <w:tcW w:w="883" w:type="dxa"/>
            <w:tcBorders>
              <w:top w:val="single" w:sz="4" w:space="0" w:color="auto"/>
              <w:left w:val="nil"/>
              <w:bottom w:val="single" w:sz="4" w:space="0" w:color="auto"/>
              <w:right w:val="single" w:sz="4" w:space="0" w:color="auto"/>
            </w:tcBorders>
            <w:shd w:val="clear" w:color="auto" w:fill="8EA9DB"/>
            <w:vAlign w:val="center"/>
            <w:hideMark/>
          </w:tcPr>
          <w:p w14:paraId="383F2D74" w14:textId="77777777" w:rsidR="0026389D" w:rsidRDefault="0026389D">
            <w:pPr>
              <w:jc w:val="center"/>
              <w:rPr>
                <w:rFonts w:ascii="Arial Narrow" w:hAnsi="Arial Narrow" w:cs="Arial"/>
                <w:b/>
                <w:bCs/>
                <w:color w:val="000000"/>
                <w:sz w:val="16"/>
                <w:szCs w:val="16"/>
                <w:lang w:val="es-CR" w:eastAsia="es-CR"/>
              </w:rPr>
            </w:pPr>
            <w:r>
              <w:rPr>
                <w:rFonts w:ascii="Arial Narrow" w:hAnsi="Arial Narrow" w:cs="Arial"/>
                <w:b/>
                <w:bCs/>
                <w:color w:val="000000"/>
                <w:sz w:val="16"/>
                <w:szCs w:val="16"/>
                <w:lang w:val="es-CR" w:eastAsia="es-CR"/>
              </w:rPr>
              <w:t>Cantidad de acciones estratégicas</w:t>
            </w:r>
          </w:p>
        </w:tc>
        <w:tc>
          <w:tcPr>
            <w:tcW w:w="883" w:type="dxa"/>
            <w:tcBorders>
              <w:top w:val="single" w:sz="4" w:space="0" w:color="auto"/>
              <w:left w:val="nil"/>
              <w:bottom w:val="single" w:sz="4" w:space="0" w:color="auto"/>
              <w:right w:val="single" w:sz="4" w:space="0" w:color="auto"/>
            </w:tcBorders>
            <w:shd w:val="clear" w:color="auto" w:fill="8EA9DB"/>
            <w:vAlign w:val="center"/>
            <w:hideMark/>
          </w:tcPr>
          <w:p w14:paraId="6ABF8026" w14:textId="77777777" w:rsidR="0026389D" w:rsidRDefault="0026389D">
            <w:pPr>
              <w:jc w:val="center"/>
              <w:rPr>
                <w:rFonts w:ascii="Arial Narrow" w:hAnsi="Arial Narrow" w:cs="Arial"/>
                <w:b/>
                <w:bCs/>
                <w:color w:val="000000"/>
                <w:sz w:val="16"/>
                <w:szCs w:val="16"/>
                <w:lang w:val="es-CR" w:eastAsia="es-CR"/>
              </w:rPr>
            </w:pPr>
            <w:r>
              <w:rPr>
                <w:rFonts w:ascii="Arial Narrow" w:hAnsi="Arial Narrow" w:cs="Arial"/>
                <w:b/>
                <w:bCs/>
                <w:color w:val="000000"/>
                <w:sz w:val="16"/>
                <w:szCs w:val="16"/>
                <w:lang w:val="es-CR" w:eastAsia="es-CR"/>
              </w:rPr>
              <w:t>Cantidad de metas estratégicas</w:t>
            </w:r>
          </w:p>
        </w:tc>
      </w:tr>
      <w:tr w:rsidR="008A76DD" w14:paraId="6BD47E6D" w14:textId="77777777" w:rsidTr="0083608D">
        <w:trPr>
          <w:trHeight w:val="542"/>
        </w:trPr>
        <w:tc>
          <w:tcPr>
            <w:tcW w:w="1033"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650BD757" w14:textId="77777777" w:rsidR="0026389D" w:rsidRDefault="0026389D">
            <w:pPr>
              <w:jc w:val="center"/>
              <w:rPr>
                <w:rFonts w:ascii="Arial Narrow" w:hAnsi="Arial Narrow" w:cs="Arial"/>
                <w:color w:val="000000"/>
                <w:sz w:val="16"/>
                <w:szCs w:val="16"/>
                <w:lang w:val="es-CR" w:eastAsia="es-CR"/>
              </w:rPr>
            </w:pPr>
            <w:r>
              <w:rPr>
                <w:rFonts w:ascii="Arial Narrow" w:hAnsi="Arial Narrow" w:cs="Arial"/>
                <w:color w:val="000000"/>
                <w:sz w:val="16"/>
                <w:szCs w:val="16"/>
                <w:lang w:val="es-CR" w:eastAsia="es-CR"/>
              </w:rPr>
              <w:t>1.0</w:t>
            </w:r>
          </w:p>
        </w:tc>
        <w:tc>
          <w:tcPr>
            <w:tcW w:w="822" w:type="dxa"/>
            <w:tcBorders>
              <w:top w:val="nil"/>
              <w:left w:val="nil"/>
              <w:bottom w:val="single" w:sz="4" w:space="0" w:color="auto"/>
              <w:right w:val="single" w:sz="4" w:space="0" w:color="auto"/>
            </w:tcBorders>
            <w:shd w:val="clear" w:color="auto" w:fill="FFFFFF" w:themeFill="background1"/>
            <w:noWrap/>
            <w:vAlign w:val="center"/>
            <w:hideMark/>
          </w:tcPr>
          <w:p w14:paraId="12512423" w14:textId="77777777" w:rsidR="0026389D" w:rsidRDefault="0026389D">
            <w:pPr>
              <w:jc w:val="center"/>
              <w:rPr>
                <w:rFonts w:ascii="Arial Narrow" w:hAnsi="Arial Narrow" w:cs="Arial"/>
                <w:color w:val="000000"/>
                <w:sz w:val="16"/>
                <w:szCs w:val="16"/>
                <w:lang w:val="es-CR" w:eastAsia="es-CR"/>
              </w:rPr>
            </w:pPr>
            <w:r>
              <w:rPr>
                <w:rFonts w:ascii="Arial Narrow" w:hAnsi="Arial Narrow" w:cs="Arial"/>
                <w:color w:val="000000"/>
                <w:sz w:val="16"/>
                <w:szCs w:val="16"/>
                <w:lang w:val="es-CR" w:eastAsia="es-CR"/>
              </w:rPr>
              <w:t>1463-PLA-2018</w:t>
            </w:r>
          </w:p>
        </w:tc>
        <w:tc>
          <w:tcPr>
            <w:tcW w:w="903" w:type="dxa"/>
            <w:tcBorders>
              <w:top w:val="nil"/>
              <w:left w:val="nil"/>
              <w:bottom w:val="single" w:sz="4" w:space="0" w:color="auto"/>
              <w:right w:val="single" w:sz="4" w:space="0" w:color="auto"/>
            </w:tcBorders>
            <w:shd w:val="clear" w:color="auto" w:fill="FFFFFF" w:themeFill="background1"/>
            <w:noWrap/>
            <w:vAlign w:val="center"/>
            <w:hideMark/>
          </w:tcPr>
          <w:p w14:paraId="4DE40C09" w14:textId="77777777" w:rsidR="0026389D" w:rsidRDefault="0026389D">
            <w:pPr>
              <w:jc w:val="center"/>
              <w:rPr>
                <w:rFonts w:ascii="Arial Narrow" w:hAnsi="Arial Narrow" w:cs="Arial"/>
                <w:color w:val="000000"/>
                <w:sz w:val="16"/>
                <w:szCs w:val="16"/>
                <w:lang w:val="es-CR" w:eastAsia="es-CR"/>
              </w:rPr>
            </w:pPr>
            <w:r>
              <w:rPr>
                <w:rFonts w:ascii="Arial Narrow" w:hAnsi="Arial Narrow" w:cs="Arial"/>
                <w:color w:val="000000"/>
                <w:sz w:val="16"/>
                <w:szCs w:val="16"/>
                <w:lang w:val="es-CR" w:eastAsia="es-CR"/>
              </w:rPr>
              <w:t>30/11/18</w:t>
            </w:r>
          </w:p>
        </w:tc>
        <w:tc>
          <w:tcPr>
            <w:tcW w:w="1945" w:type="dxa"/>
            <w:tcBorders>
              <w:top w:val="nil"/>
              <w:left w:val="nil"/>
              <w:bottom w:val="single" w:sz="4" w:space="0" w:color="auto"/>
              <w:right w:val="single" w:sz="4" w:space="0" w:color="auto"/>
            </w:tcBorders>
            <w:shd w:val="clear" w:color="auto" w:fill="FFFFFF" w:themeFill="background1"/>
            <w:vAlign w:val="center"/>
            <w:hideMark/>
          </w:tcPr>
          <w:p w14:paraId="40AE8D63" w14:textId="77777777" w:rsidR="0026389D" w:rsidRDefault="0026389D">
            <w:pPr>
              <w:jc w:val="center"/>
              <w:rPr>
                <w:rFonts w:ascii="Arial Narrow" w:hAnsi="Arial Narrow" w:cs="Arial"/>
                <w:color w:val="000000"/>
                <w:sz w:val="16"/>
                <w:szCs w:val="16"/>
                <w:lang w:val="es-CR" w:eastAsia="es-CR"/>
              </w:rPr>
            </w:pPr>
            <w:r>
              <w:rPr>
                <w:rFonts w:ascii="Arial Narrow" w:hAnsi="Arial Narrow" w:cs="Arial"/>
                <w:color w:val="000000"/>
                <w:sz w:val="16"/>
                <w:szCs w:val="16"/>
                <w:lang w:val="es-CR" w:eastAsia="es-CR"/>
              </w:rPr>
              <w:t>Acta de Corte Plena 71-2018, Artículo VI</w:t>
            </w:r>
          </w:p>
        </w:tc>
        <w:tc>
          <w:tcPr>
            <w:tcW w:w="812" w:type="dxa"/>
            <w:tcBorders>
              <w:top w:val="nil"/>
              <w:left w:val="nil"/>
              <w:bottom w:val="single" w:sz="4" w:space="0" w:color="auto"/>
              <w:right w:val="single" w:sz="4" w:space="0" w:color="auto"/>
            </w:tcBorders>
            <w:shd w:val="clear" w:color="auto" w:fill="FFFFFF" w:themeFill="background1"/>
            <w:noWrap/>
            <w:vAlign w:val="center"/>
            <w:hideMark/>
          </w:tcPr>
          <w:p w14:paraId="0372D9D2" w14:textId="77777777" w:rsidR="0026389D" w:rsidRDefault="0026389D">
            <w:pPr>
              <w:jc w:val="center"/>
              <w:rPr>
                <w:rFonts w:ascii="Arial Narrow" w:hAnsi="Arial Narrow" w:cs="Arial"/>
                <w:color w:val="000000"/>
                <w:sz w:val="16"/>
                <w:szCs w:val="16"/>
                <w:lang w:val="es-CR" w:eastAsia="es-CR"/>
              </w:rPr>
            </w:pPr>
            <w:r>
              <w:rPr>
                <w:rFonts w:ascii="Arial Narrow" w:hAnsi="Arial Narrow" w:cs="Arial"/>
                <w:color w:val="000000"/>
                <w:sz w:val="16"/>
                <w:szCs w:val="16"/>
                <w:lang w:val="es-CR" w:eastAsia="es-CR"/>
              </w:rPr>
              <w:t>7/12/18</w:t>
            </w:r>
          </w:p>
        </w:tc>
        <w:tc>
          <w:tcPr>
            <w:tcW w:w="1032" w:type="dxa"/>
            <w:tcBorders>
              <w:top w:val="nil"/>
              <w:left w:val="nil"/>
              <w:bottom w:val="single" w:sz="4" w:space="0" w:color="auto"/>
              <w:right w:val="single" w:sz="4" w:space="0" w:color="auto"/>
            </w:tcBorders>
            <w:shd w:val="clear" w:color="auto" w:fill="FFFFFF" w:themeFill="background1"/>
            <w:vAlign w:val="center"/>
            <w:hideMark/>
          </w:tcPr>
          <w:p w14:paraId="681B125F" w14:textId="77777777" w:rsidR="0026389D" w:rsidRDefault="0026389D">
            <w:pPr>
              <w:jc w:val="center"/>
              <w:rPr>
                <w:rFonts w:ascii="Arial Narrow" w:hAnsi="Arial Narrow" w:cs="Arial"/>
                <w:color w:val="000000"/>
                <w:sz w:val="16"/>
                <w:szCs w:val="16"/>
                <w:lang w:val="es-CR" w:eastAsia="es-CR"/>
              </w:rPr>
            </w:pPr>
            <w:r>
              <w:rPr>
                <w:rFonts w:ascii="Arial Narrow" w:hAnsi="Arial Narrow" w:cs="Arial"/>
                <w:color w:val="000000"/>
                <w:sz w:val="16"/>
                <w:szCs w:val="16"/>
                <w:lang w:val="es-CR" w:eastAsia="es-CR"/>
              </w:rPr>
              <w:t>Aprobación inicial</w:t>
            </w:r>
          </w:p>
        </w:tc>
        <w:tc>
          <w:tcPr>
            <w:tcW w:w="890" w:type="dxa"/>
            <w:tcBorders>
              <w:top w:val="nil"/>
              <w:left w:val="nil"/>
              <w:bottom w:val="single" w:sz="4" w:space="0" w:color="auto"/>
              <w:right w:val="single" w:sz="4" w:space="0" w:color="auto"/>
            </w:tcBorders>
            <w:shd w:val="clear" w:color="auto" w:fill="FFFFFF" w:themeFill="background1"/>
            <w:vAlign w:val="center"/>
            <w:hideMark/>
          </w:tcPr>
          <w:p w14:paraId="719CB27B" w14:textId="77777777" w:rsidR="0026389D" w:rsidRDefault="0026389D">
            <w:pPr>
              <w:jc w:val="center"/>
              <w:rPr>
                <w:rFonts w:ascii="Arial Narrow" w:hAnsi="Arial Narrow" w:cs="Arial"/>
                <w:color w:val="000000"/>
                <w:sz w:val="16"/>
                <w:szCs w:val="16"/>
                <w:lang w:val="es-CR" w:eastAsia="es-CR"/>
              </w:rPr>
            </w:pPr>
            <w:r>
              <w:rPr>
                <w:rFonts w:ascii="Arial Narrow" w:hAnsi="Arial Narrow" w:cs="Arial"/>
                <w:color w:val="000000"/>
                <w:sz w:val="16"/>
                <w:szCs w:val="16"/>
                <w:lang w:val="es-CR" w:eastAsia="es-CR"/>
              </w:rPr>
              <w:t>5</w:t>
            </w:r>
          </w:p>
        </w:tc>
        <w:tc>
          <w:tcPr>
            <w:tcW w:w="883" w:type="dxa"/>
            <w:tcBorders>
              <w:top w:val="nil"/>
              <w:left w:val="nil"/>
              <w:bottom w:val="single" w:sz="4" w:space="0" w:color="auto"/>
              <w:right w:val="single" w:sz="4" w:space="0" w:color="auto"/>
            </w:tcBorders>
            <w:shd w:val="clear" w:color="auto" w:fill="FFFFFF" w:themeFill="background1"/>
            <w:vAlign w:val="center"/>
            <w:hideMark/>
          </w:tcPr>
          <w:p w14:paraId="23780F13" w14:textId="77777777" w:rsidR="0026389D" w:rsidRDefault="0026389D">
            <w:pPr>
              <w:jc w:val="center"/>
              <w:rPr>
                <w:rFonts w:ascii="Arial Narrow" w:hAnsi="Arial Narrow" w:cs="Arial"/>
                <w:color w:val="000000"/>
                <w:sz w:val="16"/>
                <w:szCs w:val="16"/>
                <w:lang w:val="es-CR" w:eastAsia="es-CR"/>
              </w:rPr>
            </w:pPr>
            <w:r>
              <w:rPr>
                <w:rFonts w:ascii="Arial Narrow" w:hAnsi="Arial Narrow" w:cs="Arial"/>
                <w:color w:val="000000"/>
                <w:sz w:val="16"/>
                <w:szCs w:val="16"/>
                <w:lang w:val="es-CR" w:eastAsia="es-CR"/>
              </w:rPr>
              <w:t>22</w:t>
            </w:r>
          </w:p>
        </w:tc>
        <w:tc>
          <w:tcPr>
            <w:tcW w:w="883" w:type="dxa"/>
            <w:tcBorders>
              <w:top w:val="nil"/>
              <w:left w:val="nil"/>
              <w:bottom w:val="single" w:sz="4" w:space="0" w:color="auto"/>
              <w:right w:val="single" w:sz="4" w:space="0" w:color="auto"/>
            </w:tcBorders>
            <w:shd w:val="clear" w:color="auto" w:fill="FFFFFF" w:themeFill="background1"/>
            <w:vAlign w:val="center"/>
            <w:hideMark/>
          </w:tcPr>
          <w:p w14:paraId="4FE6FF14" w14:textId="77777777" w:rsidR="0026389D" w:rsidRDefault="0026389D">
            <w:pPr>
              <w:jc w:val="center"/>
              <w:rPr>
                <w:rFonts w:ascii="Arial Narrow" w:hAnsi="Arial Narrow" w:cs="Arial"/>
                <w:color w:val="000000"/>
                <w:sz w:val="16"/>
                <w:szCs w:val="16"/>
                <w:lang w:val="es-CR" w:eastAsia="es-CR"/>
              </w:rPr>
            </w:pPr>
            <w:r>
              <w:rPr>
                <w:rFonts w:ascii="Arial Narrow" w:hAnsi="Arial Narrow" w:cs="Arial"/>
                <w:color w:val="000000"/>
                <w:sz w:val="16"/>
                <w:szCs w:val="16"/>
                <w:lang w:val="es-CR" w:eastAsia="es-CR"/>
              </w:rPr>
              <w:t>228</w:t>
            </w:r>
          </w:p>
        </w:tc>
      </w:tr>
      <w:tr w:rsidR="008A76DD" w14:paraId="2A762EA3" w14:textId="77777777" w:rsidTr="0083608D">
        <w:trPr>
          <w:trHeight w:val="1355"/>
        </w:trPr>
        <w:tc>
          <w:tcPr>
            <w:tcW w:w="1033"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52030578" w14:textId="77777777" w:rsidR="0026389D" w:rsidRDefault="0026389D">
            <w:pPr>
              <w:jc w:val="center"/>
              <w:rPr>
                <w:rFonts w:ascii="Arial Narrow" w:hAnsi="Arial Narrow" w:cs="Arial"/>
                <w:color w:val="000000"/>
                <w:sz w:val="16"/>
                <w:szCs w:val="16"/>
                <w:lang w:val="es-CR" w:eastAsia="es-CR"/>
              </w:rPr>
            </w:pPr>
            <w:r>
              <w:rPr>
                <w:rFonts w:ascii="Arial Narrow" w:hAnsi="Arial Narrow" w:cs="Arial"/>
                <w:color w:val="000000"/>
                <w:sz w:val="16"/>
                <w:szCs w:val="16"/>
                <w:lang w:val="es-CR" w:eastAsia="es-CR"/>
              </w:rPr>
              <w:t>2.0</w:t>
            </w:r>
          </w:p>
        </w:tc>
        <w:tc>
          <w:tcPr>
            <w:tcW w:w="822" w:type="dxa"/>
            <w:tcBorders>
              <w:top w:val="nil"/>
              <w:left w:val="nil"/>
              <w:bottom w:val="single" w:sz="4" w:space="0" w:color="auto"/>
              <w:right w:val="single" w:sz="4" w:space="0" w:color="auto"/>
            </w:tcBorders>
            <w:shd w:val="clear" w:color="auto" w:fill="FFFFFF" w:themeFill="background1"/>
            <w:noWrap/>
            <w:vAlign w:val="center"/>
            <w:hideMark/>
          </w:tcPr>
          <w:p w14:paraId="58F5BFC2" w14:textId="77777777" w:rsidR="0026389D" w:rsidRDefault="0026389D">
            <w:pPr>
              <w:jc w:val="center"/>
              <w:rPr>
                <w:rFonts w:ascii="Arial Narrow" w:hAnsi="Arial Narrow" w:cs="Arial"/>
                <w:color w:val="000000"/>
                <w:sz w:val="16"/>
                <w:szCs w:val="16"/>
                <w:lang w:val="es-CR" w:eastAsia="es-CR"/>
              </w:rPr>
            </w:pPr>
            <w:r>
              <w:rPr>
                <w:rFonts w:ascii="Arial Narrow" w:hAnsi="Arial Narrow" w:cs="Arial"/>
                <w:color w:val="000000"/>
                <w:sz w:val="16"/>
                <w:szCs w:val="16"/>
                <w:lang w:val="es-CR" w:eastAsia="es-CR"/>
              </w:rPr>
              <w:t>156-PLA-PE-2019</w:t>
            </w:r>
          </w:p>
        </w:tc>
        <w:tc>
          <w:tcPr>
            <w:tcW w:w="903" w:type="dxa"/>
            <w:tcBorders>
              <w:top w:val="nil"/>
              <w:left w:val="nil"/>
              <w:bottom w:val="single" w:sz="4" w:space="0" w:color="auto"/>
              <w:right w:val="single" w:sz="4" w:space="0" w:color="auto"/>
            </w:tcBorders>
            <w:shd w:val="clear" w:color="auto" w:fill="FFFFFF" w:themeFill="background1"/>
            <w:noWrap/>
            <w:vAlign w:val="center"/>
            <w:hideMark/>
          </w:tcPr>
          <w:p w14:paraId="66CA5648" w14:textId="77777777" w:rsidR="0026389D" w:rsidRDefault="0026389D">
            <w:pPr>
              <w:jc w:val="center"/>
              <w:rPr>
                <w:rFonts w:ascii="Arial Narrow" w:hAnsi="Arial Narrow" w:cs="Arial"/>
                <w:color w:val="000000"/>
                <w:sz w:val="16"/>
                <w:szCs w:val="16"/>
                <w:lang w:val="es-CR" w:eastAsia="es-CR"/>
              </w:rPr>
            </w:pPr>
            <w:r>
              <w:rPr>
                <w:rFonts w:ascii="Arial Narrow" w:hAnsi="Arial Narrow" w:cs="Arial"/>
                <w:color w:val="000000"/>
                <w:sz w:val="16"/>
                <w:szCs w:val="16"/>
                <w:lang w:val="es-CR" w:eastAsia="es-CR"/>
              </w:rPr>
              <w:t>8/2/19</w:t>
            </w:r>
          </w:p>
        </w:tc>
        <w:tc>
          <w:tcPr>
            <w:tcW w:w="1945" w:type="dxa"/>
            <w:tcBorders>
              <w:top w:val="nil"/>
              <w:left w:val="nil"/>
              <w:bottom w:val="single" w:sz="4" w:space="0" w:color="auto"/>
              <w:right w:val="single" w:sz="4" w:space="0" w:color="auto"/>
            </w:tcBorders>
            <w:shd w:val="clear" w:color="auto" w:fill="FFFFFF" w:themeFill="background1"/>
            <w:vAlign w:val="center"/>
            <w:hideMark/>
          </w:tcPr>
          <w:p w14:paraId="7B5CFC11" w14:textId="77777777" w:rsidR="0026389D" w:rsidRDefault="0026389D">
            <w:pPr>
              <w:jc w:val="center"/>
              <w:rPr>
                <w:rFonts w:ascii="Arial Narrow" w:hAnsi="Arial Narrow" w:cs="Arial"/>
                <w:color w:val="000000"/>
                <w:sz w:val="16"/>
                <w:szCs w:val="16"/>
                <w:lang w:val="es-CR" w:eastAsia="es-CR"/>
              </w:rPr>
            </w:pPr>
            <w:r>
              <w:rPr>
                <w:rFonts w:ascii="Arial Narrow" w:hAnsi="Arial Narrow" w:cs="Arial"/>
                <w:color w:val="000000"/>
                <w:sz w:val="16"/>
                <w:szCs w:val="16"/>
                <w:lang w:val="es-CR" w:eastAsia="es-CR"/>
              </w:rPr>
              <w:t>Acta de Corte Plena 6-2019, Artículo XXIX. Ver acta:  https://nexuspj.poder-judicial.go.cr/document/act-1-0003-3699-64</w:t>
            </w:r>
          </w:p>
        </w:tc>
        <w:tc>
          <w:tcPr>
            <w:tcW w:w="812" w:type="dxa"/>
            <w:tcBorders>
              <w:top w:val="nil"/>
              <w:left w:val="nil"/>
              <w:bottom w:val="single" w:sz="4" w:space="0" w:color="auto"/>
              <w:right w:val="single" w:sz="4" w:space="0" w:color="auto"/>
            </w:tcBorders>
            <w:shd w:val="clear" w:color="auto" w:fill="FFFFFF" w:themeFill="background1"/>
            <w:noWrap/>
            <w:vAlign w:val="center"/>
            <w:hideMark/>
          </w:tcPr>
          <w:p w14:paraId="393F184E" w14:textId="77777777" w:rsidR="0026389D" w:rsidRDefault="0026389D">
            <w:pPr>
              <w:jc w:val="center"/>
              <w:rPr>
                <w:rFonts w:ascii="Arial Narrow" w:hAnsi="Arial Narrow" w:cs="Arial"/>
                <w:color w:val="000000"/>
                <w:sz w:val="16"/>
                <w:szCs w:val="16"/>
                <w:lang w:val="es-CR" w:eastAsia="es-CR"/>
              </w:rPr>
            </w:pPr>
            <w:r>
              <w:rPr>
                <w:rFonts w:ascii="Arial Narrow" w:hAnsi="Arial Narrow" w:cs="Arial"/>
                <w:color w:val="000000"/>
                <w:sz w:val="16"/>
                <w:szCs w:val="16"/>
                <w:lang w:val="es-CR" w:eastAsia="es-CR"/>
              </w:rPr>
              <w:t>18/2/19</w:t>
            </w:r>
          </w:p>
        </w:tc>
        <w:tc>
          <w:tcPr>
            <w:tcW w:w="1032" w:type="dxa"/>
            <w:tcBorders>
              <w:top w:val="nil"/>
              <w:left w:val="nil"/>
              <w:bottom w:val="single" w:sz="4" w:space="0" w:color="auto"/>
              <w:right w:val="single" w:sz="4" w:space="0" w:color="auto"/>
            </w:tcBorders>
            <w:shd w:val="clear" w:color="auto" w:fill="FFFFFF" w:themeFill="background1"/>
            <w:vAlign w:val="center"/>
            <w:hideMark/>
          </w:tcPr>
          <w:p w14:paraId="44943330" w14:textId="77777777" w:rsidR="0026389D" w:rsidRDefault="0026389D">
            <w:pPr>
              <w:jc w:val="center"/>
              <w:rPr>
                <w:rFonts w:ascii="Arial Narrow" w:hAnsi="Arial Narrow" w:cs="Arial"/>
                <w:color w:val="000000"/>
                <w:sz w:val="16"/>
                <w:szCs w:val="16"/>
                <w:lang w:val="es-CR" w:eastAsia="es-CR"/>
              </w:rPr>
            </w:pPr>
            <w:r>
              <w:rPr>
                <w:rFonts w:ascii="Arial Narrow" w:hAnsi="Arial Narrow" w:cs="Arial"/>
                <w:color w:val="000000"/>
                <w:sz w:val="16"/>
                <w:szCs w:val="16"/>
                <w:lang w:val="es-CR" w:eastAsia="es-CR"/>
              </w:rPr>
              <w:t>1.Modificación de responsable al Despacho de la Presidencia y a las coordinaciones de las metas estratégicas relacionadas con las 10 reformas urgentes de la Corte Plena.</w:t>
            </w:r>
          </w:p>
        </w:tc>
        <w:tc>
          <w:tcPr>
            <w:tcW w:w="890" w:type="dxa"/>
            <w:tcBorders>
              <w:top w:val="nil"/>
              <w:left w:val="nil"/>
              <w:bottom w:val="single" w:sz="4" w:space="0" w:color="auto"/>
              <w:right w:val="single" w:sz="4" w:space="0" w:color="auto"/>
            </w:tcBorders>
            <w:shd w:val="clear" w:color="auto" w:fill="FFFFFF" w:themeFill="background1"/>
            <w:vAlign w:val="center"/>
            <w:hideMark/>
          </w:tcPr>
          <w:p w14:paraId="047CA3E3" w14:textId="77777777" w:rsidR="0026389D" w:rsidRDefault="0026389D">
            <w:pPr>
              <w:jc w:val="center"/>
              <w:rPr>
                <w:rFonts w:ascii="Arial Narrow" w:hAnsi="Arial Narrow" w:cs="Arial"/>
                <w:color w:val="000000"/>
                <w:sz w:val="16"/>
                <w:szCs w:val="16"/>
                <w:lang w:val="es-CR" w:eastAsia="es-CR"/>
              </w:rPr>
            </w:pPr>
            <w:r>
              <w:rPr>
                <w:rFonts w:ascii="Arial Narrow" w:hAnsi="Arial Narrow" w:cs="Arial"/>
                <w:color w:val="000000"/>
                <w:sz w:val="16"/>
                <w:szCs w:val="16"/>
                <w:lang w:val="es-CR" w:eastAsia="es-CR"/>
              </w:rPr>
              <w:t>5</w:t>
            </w:r>
          </w:p>
        </w:tc>
        <w:tc>
          <w:tcPr>
            <w:tcW w:w="883" w:type="dxa"/>
            <w:tcBorders>
              <w:top w:val="nil"/>
              <w:left w:val="nil"/>
              <w:bottom w:val="single" w:sz="4" w:space="0" w:color="auto"/>
              <w:right w:val="single" w:sz="4" w:space="0" w:color="auto"/>
            </w:tcBorders>
            <w:shd w:val="clear" w:color="auto" w:fill="FFFFFF" w:themeFill="background1"/>
            <w:vAlign w:val="center"/>
            <w:hideMark/>
          </w:tcPr>
          <w:p w14:paraId="3CA80113" w14:textId="77777777" w:rsidR="0026389D" w:rsidRDefault="0026389D">
            <w:pPr>
              <w:jc w:val="center"/>
              <w:rPr>
                <w:rFonts w:ascii="Arial Narrow" w:hAnsi="Arial Narrow" w:cs="Arial"/>
                <w:color w:val="000000"/>
                <w:sz w:val="16"/>
                <w:szCs w:val="16"/>
                <w:lang w:val="es-CR" w:eastAsia="es-CR"/>
              </w:rPr>
            </w:pPr>
            <w:r>
              <w:rPr>
                <w:rFonts w:ascii="Arial Narrow" w:hAnsi="Arial Narrow" w:cs="Arial"/>
                <w:color w:val="000000"/>
                <w:sz w:val="16"/>
                <w:szCs w:val="16"/>
                <w:lang w:val="es-CR" w:eastAsia="es-CR"/>
              </w:rPr>
              <w:t>22</w:t>
            </w:r>
          </w:p>
        </w:tc>
        <w:tc>
          <w:tcPr>
            <w:tcW w:w="883" w:type="dxa"/>
            <w:tcBorders>
              <w:top w:val="nil"/>
              <w:left w:val="nil"/>
              <w:bottom w:val="single" w:sz="4" w:space="0" w:color="auto"/>
              <w:right w:val="single" w:sz="4" w:space="0" w:color="auto"/>
            </w:tcBorders>
            <w:shd w:val="clear" w:color="auto" w:fill="FFFFFF" w:themeFill="background1"/>
            <w:vAlign w:val="center"/>
            <w:hideMark/>
          </w:tcPr>
          <w:p w14:paraId="143E05EE" w14:textId="77777777" w:rsidR="0026389D" w:rsidRDefault="0026389D">
            <w:pPr>
              <w:jc w:val="center"/>
              <w:rPr>
                <w:rFonts w:ascii="Arial Narrow" w:hAnsi="Arial Narrow" w:cs="Arial"/>
                <w:color w:val="000000"/>
                <w:sz w:val="16"/>
                <w:szCs w:val="16"/>
                <w:lang w:val="es-CR" w:eastAsia="es-CR"/>
              </w:rPr>
            </w:pPr>
            <w:r>
              <w:rPr>
                <w:rFonts w:ascii="Arial Narrow" w:hAnsi="Arial Narrow" w:cs="Arial"/>
                <w:color w:val="000000"/>
                <w:sz w:val="16"/>
                <w:szCs w:val="16"/>
                <w:lang w:val="es-CR" w:eastAsia="es-CR"/>
              </w:rPr>
              <w:t>228</w:t>
            </w:r>
          </w:p>
        </w:tc>
      </w:tr>
      <w:tr w:rsidR="008A76DD" w14:paraId="475CF740" w14:textId="77777777" w:rsidTr="0083608D">
        <w:trPr>
          <w:trHeight w:val="1355"/>
        </w:trPr>
        <w:tc>
          <w:tcPr>
            <w:tcW w:w="1033"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12E7FF61" w14:textId="77777777" w:rsidR="0026389D" w:rsidRDefault="0026389D">
            <w:pPr>
              <w:jc w:val="center"/>
              <w:rPr>
                <w:rFonts w:ascii="Arial Narrow" w:hAnsi="Arial Narrow" w:cs="Arial"/>
                <w:color w:val="000000"/>
                <w:sz w:val="16"/>
                <w:szCs w:val="16"/>
                <w:lang w:val="es-CR" w:eastAsia="es-CR"/>
              </w:rPr>
            </w:pPr>
            <w:r>
              <w:rPr>
                <w:rFonts w:ascii="Arial Narrow" w:hAnsi="Arial Narrow" w:cs="Arial"/>
                <w:color w:val="000000"/>
                <w:sz w:val="16"/>
                <w:szCs w:val="16"/>
                <w:lang w:val="es-CR" w:eastAsia="es-CR"/>
              </w:rPr>
              <w:t>3.0</w:t>
            </w:r>
          </w:p>
        </w:tc>
        <w:tc>
          <w:tcPr>
            <w:tcW w:w="822" w:type="dxa"/>
            <w:tcBorders>
              <w:top w:val="nil"/>
              <w:left w:val="nil"/>
              <w:bottom w:val="single" w:sz="4" w:space="0" w:color="auto"/>
              <w:right w:val="single" w:sz="4" w:space="0" w:color="auto"/>
            </w:tcBorders>
            <w:shd w:val="clear" w:color="auto" w:fill="FFFFFF" w:themeFill="background1"/>
            <w:noWrap/>
            <w:vAlign w:val="center"/>
            <w:hideMark/>
          </w:tcPr>
          <w:p w14:paraId="693CEFBF" w14:textId="77777777" w:rsidR="0026389D" w:rsidRDefault="0026389D">
            <w:pPr>
              <w:jc w:val="center"/>
              <w:rPr>
                <w:rFonts w:ascii="Arial Narrow" w:hAnsi="Arial Narrow" w:cs="Arial"/>
                <w:color w:val="000000"/>
                <w:sz w:val="16"/>
                <w:szCs w:val="16"/>
                <w:lang w:val="es-CR" w:eastAsia="es-CR"/>
              </w:rPr>
            </w:pPr>
            <w:r>
              <w:rPr>
                <w:rFonts w:ascii="Arial Narrow" w:hAnsi="Arial Narrow" w:cs="Arial"/>
                <w:color w:val="000000"/>
                <w:sz w:val="16"/>
                <w:szCs w:val="16"/>
                <w:lang w:val="es-CR" w:eastAsia="es-CR"/>
              </w:rPr>
              <w:t>449-PLA-PE-2019</w:t>
            </w:r>
          </w:p>
        </w:tc>
        <w:tc>
          <w:tcPr>
            <w:tcW w:w="903" w:type="dxa"/>
            <w:tcBorders>
              <w:top w:val="nil"/>
              <w:left w:val="nil"/>
              <w:bottom w:val="single" w:sz="4" w:space="0" w:color="auto"/>
              <w:right w:val="single" w:sz="4" w:space="0" w:color="auto"/>
            </w:tcBorders>
            <w:shd w:val="clear" w:color="auto" w:fill="FFFFFF" w:themeFill="background1"/>
            <w:noWrap/>
            <w:vAlign w:val="center"/>
            <w:hideMark/>
          </w:tcPr>
          <w:p w14:paraId="61C6657A" w14:textId="77777777" w:rsidR="0026389D" w:rsidRDefault="0026389D">
            <w:pPr>
              <w:jc w:val="center"/>
              <w:rPr>
                <w:rFonts w:ascii="Arial Narrow" w:hAnsi="Arial Narrow" w:cs="Arial"/>
                <w:color w:val="000000"/>
                <w:sz w:val="16"/>
                <w:szCs w:val="16"/>
                <w:lang w:val="es-CR" w:eastAsia="es-CR"/>
              </w:rPr>
            </w:pPr>
            <w:r>
              <w:rPr>
                <w:rFonts w:ascii="Arial Narrow" w:hAnsi="Arial Narrow" w:cs="Arial"/>
                <w:color w:val="000000"/>
                <w:sz w:val="16"/>
                <w:szCs w:val="16"/>
                <w:lang w:val="es-CR" w:eastAsia="es-CR"/>
              </w:rPr>
              <w:t>28/3/19</w:t>
            </w:r>
          </w:p>
        </w:tc>
        <w:tc>
          <w:tcPr>
            <w:tcW w:w="1945" w:type="dxa"/>
            <w:tcBorders>
              <w:top w:val="nil"/>
              <w:left w:val="nil"/>
              <w:bottom w:val="single" w:sz="4" w:space="0" w:color="auto"/>
              <w:right w:val="single" w:sz="4" w:space="0" w:color="auto"/>
            </w:tcBorders>
            <w:shd w:val="clear" w:color="auto" w:fill="FFFFFF" w:themeFill="background1"/>
            <w:vAlign w:val="center"/>
            <w:hideMark/>
          </w:tcPr>
          <w:p w14:paraId="132FD32A" w14:textId="77777777" w:rsidR="0026389D" w:rsidRDefault="0026389D">
            <w:pPr>
              <w:jc w:val="center"/>
              <w:rPr>
                <w:rFonts w:ascii="Arial Narrow" w:hAnsi="Arial Narrow" w:cs="Arial"/>
                <w:color w:val="000000"/>
                <w:sz w:val="16"/>
                <w:szCs w:val="16"/>
                <w:lang w:val="es-CR" w:eastAsia="es-CR"/>
              </w:rPr>
            </w:pPr>
            <w:r>
              <w:rPr>
                <w:rFonts w:ascii="Arial Narrow" w:hAnsi="Arial Narrow" w:cs="Arial"/>
                <w:color w:val="000000"/>
                <w:sz w:val="16"/>
                <w:szCs w:val="16"/>
                <w:lang w:val="es-CR" w:eastAsia="es-CR"/>
              </w:rPr>
              <w:t xml:space="preserve">Acta de Corte Plena 15-2019, Artículo IV. Ver acta: </w:t>
            </w:r>
            <w:hyperlink r:id="rId49" w:history="1">
              <w:r>
                <w:rPr>
                  <w:rStyle w:val="Hipervnculo"/>
                  <w:rFonts w:eastAsia="Calibri" w:cs="Arial"/>
                  <w:sz w:val="16"/>
                  <w:szCs w:val="16"/>
                  <w:lang w:val="es-CR" w:eastAsia="es-CR"/>
                </w:rPr>
                <w:t>https://nexuspj.poder-judicial.go.cr/document/act-1-0003-3743-18</w:t>
              </w:r>
            </w:hyperlink>
          </w:p>
        </w:tc>
        <w:tc>
          <w:tcPr>
            <w:tcW w:w="812" w:type="dxa"/>
            <w:tcBorders>
              <w:top w:val="nil"/>
              <w:left w:val="nil"/>
              <w:bottom w:val="single" w:sz="4" w:space="0" w:color="auto"/>
              <w:right w:val="single" w:sz="4" w:space="0" w:color="auto"/>
            </w:tcBorders>
            <w:shd w:val="clear" w:color="auto" w:fill="FFFFFF" w:themeFill="background1"/>
            <w:noWrap/>
            <w:vAlign w:val="center"/>
            <w:hideMark/>
          </w:tcPr>
          <w:p w14:paraId="2CC49D91" w14:textId="77777777" w:rsidR="0026389D" w:rsidRDefault="0026389D">
            <w:pPr>
              <w:jc w:val="center"/>
              <w:rPr>
                <w:rFonts w:ascii="Arial Narrow" w:hAnsi="Arial Narrow" w:cs="Arial"/>
                <w:color w:val="000000"/>
                <w:sz w:val="16"/>
                <w:szCs w:val="16"/>
                <w:lang w:val="es-CR" w:eastAsia="es-CR"/>
              </w:rPr>
            </w:pPr>
            <w:r>
              <w:rPr>
                <w:rFonts w:ascii="Arial Narrow" w:hAnsi="Arial Narrow" w:cs="Arial"/>
                <w:color w:val="000000"/>
                <w:sz w:val="16"/>
                <w:szCs w:val="16"/>
                <w:lang w:val="es-CR" w:eastAsia="es-CR"/>
              </w:rPr>
              <w:t>8/4/19</w:t>
            </w:r>
          </w:p>
        </w:tc>
        <w:tc>
          <w:tcPr>
            <w:tcW w:w="1032" w:type="dxa"/>
            <w:tcBorders>
              <w:top w:val="nil"/>
              <w:left w:val="nil"/>
              <w:bottom w:val="single" w:sz="4" w:space="0" w:color="auto"/>
              <w:right w:val="single" w:sz="4" w:space="0" w:color="auto"/>
            </w:tcBorders>
            <w:shd w:val="clear" w:color="auto" w:fill="FFFFFF" w:themeFill="background1"/>
            <w:vAlign w:val="center"/>
            <w:hideMark/>
          </w:tcPr>
          <w:p w14:paraId="0DDD9D12" w14:textId="77777777" w:rsidR="0026389D" w:rsidRDefault="0026389D">
            <w:pPr>
              <w:jc w:val="center"/>
              <w:rPr>
                <w:rFonts w:ascii="Arial Narrow" w:hAnsi="Arial Narrow" w:cs="Arial"/>
                <w:color w:val="000000"/>
                <w:sz w:val="16"/>
                <w:szCs w:val="16"/>
                <w:lang w:val="es-CR" w:eastAsia="es-CR"/>
              </w:rPr>
            </w:pPr>
            <w:r>
              <w:rPr>
                <w:rFonts w:ascii="Arial Narrow" w:hAnsi="Arial Narrow" w:cs="Arial"/>
                <w:color w:val="000000"/>
                <w:sz w:val="16"/>
                <w:szCs w:val="16"/>
                <w:lang w:val="es-CR" w:eastAsia="es-CR"/>
              </w:rPr>
              <w:t>1.Modificación en la coordinación de la meta estratégica relacionada con la evaluación del desempeño.</w:t>
            </w:r>
          </w:p>
        </w:tc>
        <w:tc>
          <w:tcPr>
            <w:tcW w:w="890" w:type="dxa"/>
            <w:tcBorders>
              <w:top w:val="nil"/>
              <w:left w:val="nil"/>
              <w:bottom w:val="single" w:sz="4" w:space="0" w:color="auto"/>
              <w:right w:val="single" w:sz="4" w:space="0" w:color="auto"/>
            </w:tcBorders>
            <w:shd w:val="clear" w:color="auto" w:fill="FFFFFF" w:themeFill="background1"/>
            <w:vAlign w:val="center"/>
            <w:hideMark/>
          </w:tcPr>
          <w:p w14:paraId="09DF6368" w14:textId="77777777" w:rsidR="0026389D" w:rsidRDefault="0026389D">
            <w:pPr>
              <w:jc w:val="center"/>
              <w:rPr>
                <w:rFonts w:ascii="Arial Narrow" w:hAnsi="Arial Narrow" w:cs="Arial"/>
                <w:color w:val="000000"/>
                <w:sz w:val="16"/>
                <w:szCs w:val="16"/>
                <w:lang w:val="es-CR" w:eastAsia="es-CR"/>
              </w:rPr>
            </w:pPr>
            <w:r>
              <w:rPr>
                <w:rFonts w:ascii="Arial Narrow" w:hAnsi="Arial Narrow" w:cs="Arial"/>
                <w:color w:val="000000"/>
                <w:sz w:val="16"/>
                <w:szCs w:val="16"/>
                <w:lang w:val="es-CR" w:eastAsia="es-CR"/>
              </w:rPr>
              <w:t>5</w:t>
            </w:r>
          </w:p>
        </w:tc>
        <w:tc>
          <w:tcPr>
            <w:tcW w:w="883" w:type="dxa"/>
            <w:tcBorders>
              <w:top w:val="nil"/>
              <w:left w:val="nil"/>
              <w:bottom w:val="single" w:sz="4" w:space="0" w:color="auto"/>
              <w:right w:val="single" w:sz="4" w:space="0" w:color="auto"/>
            </w:tcBorders>
            <w:shd w:val="clear" w:color="auto" w:fill="FFFFFF" w:themeFill="background1"/>
            <w:vAlign w:val="center"/>
            <w:hideMark/>
          </w:tcPr>
          <w:p w14:paraId="59F5322B" w14:textId="77777777" w:rsidR="0026389D" w:rsidRDefault="0026389D">
            <w:pPr>
              <w:jc w:val="center"/>
              <w:rPr>
                <w:rFonts w:ascii="Arial Narrow" w:hAnsi="Arial Narrow" w:cs="Arial"/>
                <w:color w:val="000000"/>
                <w:sz w:val="16"/>
                <w:szCs w:val="16"/>
                <w:lang w:val="es-CR" w:eastAsia="es-CR"/>
              </w:rPr>
            </w:pPr>
            <w:r>
              <w:rPr>
                <w:rFonts w:ascii="Arial Narrow" w:hAnsi="Arial Narrow" w:cs="Arial"/>
                <w:color w:val="000000"/>
                <w:sz w:val="16"/>
                <w:szCs w:val="16"/>
                <w:lang w:val="es-CR" w:eastAsia="es-CR"/>
              </w:rPr>
              <w:t>22</w:t>
            </w:r>
          </w:p>
        </w:tc>
        <w:tc>
          <w:tcPr>
            <w:tcW w:w="883" w:type="dxa"/>
            <w:tcBorders>
              <w:top w:val="nil"/>
              <w:left w:val="nil"/>
              <w:bottom w:val="single" w:sz="4" w:space="0" w:color="auto"/>
              <w:right w:val="single" w:sz="4" w:space="0" w:color="auto"/>
            </w:tcBorders>
            <w:shd w:val="clear" w:color="auto" w:fill="FFFFFF" w:themeFill="background1"/>
            <w:vAlign w:val="center"/>
            <w:hideMark/>
          </w:tcPr>
          <w:p w14:paraId="2E928DF7" w14:textId="77777777" w:rsidR="0026389D" w:rsidRDefault="0026389D">
            <w:pPr>
              <w:jc w:val="center"/>
              <w:rPr>
                <w:rFonts w:ascii="Arial Narrow" w:hAnsi="Arial Narrow" w:cs="Arial"/>
                <w:color w:val="000000"/>
                <w:sz w:val="16"/>
                <w:szCs w:val="16"/>
                <w:lang w:val="es-CR" w:eastAsia="es-CR"/>
              </w:rPr>
            </w:pPr>
            <w:r>
              <w:rPr>
                <w:rFonts w:ascii="Arial Narrow" w:hAnsi="Arial Narrow" w:cs="Arial"/>
                <w:color w:val="000000"/>
                <w:sz w:val="16"/>
                <w:szCs w:val="16"/>
                <w:lang w:val="es-CR" w:eastAsia="es-CR"/>
              </w:rPr>
              <w:t>228</w:t>
            </w:r>
          </w:p>
        </w:tc>
      </w:tr>
      <w:tr w:rsidR="008A76DD" w14:paraId="44631E5B" w14:textId="77777777" w:rsidTr="0083608D">
        <w:trPr>
          <w:trHeight w:val="1626"/>
        </w:trPr>
        <w:tc>
          <w:tcPr>
            <w:tcW w:w="103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48626C5" w14:textId="77777777" w:rsidR="0026389D" w:rsidRDefault="0026389D">
            <w:pPr>
              <w:jc w:val="center"/>
              <w:rPr>
                <w:rFonts w:ascii="Arial Narrow" w:hAnsi="Arial Narrow" w:cs="Arial"/>
                <w:color w:val="000000"/>
                <w:sz w:val="16"/>
                <w:szCs w:val="16"/>
                <w:lang w:val="es-CR" w:eastAsia="es-CR"/>
              </w:rPr>
            </w:pPr>
            <w:r>
              <w:rPr>
                <w:rFonts w:ascii="Arial Narrow" w:hAnsi="Arial Narrow" w:cs="Arial"/>
                <w:color w:val="000000"/>
                <w:sz w:val="16"/>
                <w:szCs w:val="16"/>
                <w:lang w:val="es-CR" w:eastAsia="es-CR"/>
              </w:rPr>
              <w:t>4.0</w:t>
            </w:r>
          </w:p>
        </w:tc>
        <w:tc>
          <w:tcPr>
            <w:tcW w:w="822"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98A2936" w14:textId="77777777" w:rsidR="0026389D" w:rsidRDefault="0026389D">
            <w:pPr>
              <w:jc w:val="center"/>
              <w:rPr>
                <w:rFonts w:ascii="Arial Narrow" w:hAnsi="Arial Narrow" w:cs="Arial"/>
                <w:color w:val="000000"/>
                <w:sz w:val="16"/>
                <w:szCs w:val="16"/>
                <w:lang w:val="es-CR" w:eastAsia="es-CR"/>
              </w:rPr>
            </w:pPr>
            <w:r>
              <w:rPr>
                <w:rFonts w:ascii="Arial Narrow" w:hAnsi="Arial Narrow" w:cs="Arial"/>
                <w:color w:val="000000"/>
                <w:sz w:val="16"/>
                <w:szCs w:val="16"/>
                <w:lang w:val="es-CR" w:eastAsia="es-CR"/>
              </w:rPr>
              <w:t>1467-PLA-PE-2019</w:t>
            </w:r>
          </w:p>
        </w:tc>
        <w:tc>
          <w:tcPr>
            <w:tcW w:w="90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45BC7B3" w14:textId="77777777" w:rsidR="0026389D" w:rsidRDefault="0026389D">
            <w:pPr>
              <w:jc w:val="center"/>
              <w:rPr>
                <w:rFonts w:ascii="Arial Narrow" w:hAnsi="Arial Narrow" w:cs="Arial"/>
                <w:color w:val="000000"/>
                <w:sz w:val="16"/>
                <w:szCs w:val="16"/>
                <w:lang w:val="es-CR" w:eastAsia="es-CR"/>
              </w:rPr>
            </w:pPr>
            <w:r>
              <w:rPr>
                <w:rFonts w:ascii="Arial Narrow" w:hAnsi="Arial Narrow" w:cs="Arial"/>
                <w:color w:val="000000"/>
                <w:sz w:val="16"/>
                <w:szCs w:val="16"/>
                <w:lang w:val="es-CR" w:eastAsia="es-CR"/>
              </w:rPr>
              <w:t>10/9/19</w:t>
            </w:r>
          </w:p>
        </w:tc>
        <w:tc>
          <w:tcPr>
            <w:tcW w:w="1945" w:type="dxa"/>
            <w:tcBorders>
              <w:top w:val="single" w:sz="4" w:space="0" w:color="auto"/>
              <w:left w:val="nil"/>
              <w:bottom w:val="single" w:sz="4" w:space="0" w:color="auto"/>
              <w:right w:val="single" w:sz="4" w:space="0" w:color="auto"/>
            </w:tcBorders>
            <w:shd w:val="clear" w:color="auto" w:fill="FFFFFF" w:themeFill="background1"/>
            <w:vAlign w:val="center"/>
            <w:hideMark/>
          </w:tcPr>
          <w:p w14:paraId="5008D1A7" w14:textId="77777777" w:rsidR="0026389D" w:rsidRDefault="0026389D">
            <w:pPr>
              <w:jc w:val="center"/>
              <w:rPr>
                <w:rFonts w:ascii="Arial Narrow" w:hAnsi="Arial Narrow" w:cs="Arial"/>
                <w:color w:val="000000"/>
                <w:sz w:val="16"/>
                <w:szCs w:val="16"/>
                <w:lang w:val="es-CR" w:eastAsia="es-CR"/>
              </w:rPr>
            </w:pPr>
            <w:r>
              <w:rPr>
                <w:rFonts w:ascii="Arial Narrow" w:hAnsi="Arial Narrow" w:cs="Arial"/>
                <w:color w:val="000000"/>
                <w:sz w:val="16"/>
                <w:szCs w:val="16"/>
                <w:lang w:val="es-CR" w:eastAsia="es-CR"/>
              </w:rPr>
              <w:t xml:space="preserve">Acta de Corte Plena 30-2019, Artículo XXX. Ver acta: </w:t>
            </w:r>
            <w:hyperlink r:id="rId50" w:history="1">
              <w:r>
                <w:rPr>
                  <w:rStyle w:val="Hipervnculo"/>
                  <w:rFonts w:eastAsia="Calibri" w:cs="Arial"/>
                  <w:sz w:val="16"/>
                  <w:szCs w:val="16"/>
                  <w:lang w:val="es-CR" w:eastAsia="es-CR"/>
                </w:rPr>
                <w:t>https://nexuspj.poder-judicial.go.cr/document/act-1-0003-3871-30</w:t>
              </w:r>
            </w:hyperlink>
          </w:p>
        </w:tc>
        <w:tc>
          <w:tcPr>
            <w:tcW w:w="812"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D5FD346" w14:textId="77777777" w:rsidR="0026389D" w:rsidRDefault="0026389D">
            <w:pPr>
              <w:jc w:val="center"/>
              <w:rPr>
                <w:rFonts w:ascii="Arial Narrow" w:hAnsi="Arial Narrow" w:cs="Arial"/>
                <w:color w:val="000000"/>
                <w:sz w:val="16"/>
                <w:szCs w:val="16"/>
                <w:lang w:val="es-CR" w:eastAsia="es-CR"/>
              </w:rPr>
            </w:pPr>
            <w:r>
              <w:rPr>
                <w:rFonts w:ascii="Arial Narrow" w:hAnsi="Arial Narrow" w:cs="Arial"/>
                <w:color w:val="000000"/>
                <w:sz w:val="16"/>
                <w:szCs w:val="16"/>
                <w:lang w:val="es-CR" w:eastAsia="es-CR"/>
              </w:rPr>
              <w:t>7/8/19</w:t>
            </w:r>
          </w:p>
        </w:tc>
        <w:tc>
          <w:tcPr>
            <w:tcW w:w="1032" w:type="dxa"/>
            <w:tcBorders>
              <w:top w:val="single" w:sz="4" w:space="0" w:color="auto"/>
              <w:left w:val="nil"/>
              <w:bottom w:val="single" w:sz="4" w:space="0" w:color="auto"/>
              <w:right w:val="single" w:sz="4" w:space="0" w:color="auto"/>
            </w:tcBorders>
            <w:shd w:val="clear" w:color="auto" w:fill="FFFFFF" w:themeFill="background1"/>
            <w:vAlign w:val="center"/>
            <w:hideMark/>
          </w:tcPr>
          <w:p w14:paraId="60391BF0" w14:textId="77777777" w:rsidR="0026389D" w:rsidRDefault="0026389D">
            <w:pPr>
              <w:jc w:val="center"/>
              <w:rPr>
                <w:rFonts w:ascii="Arial Narrow" w:hAnsi="Arial Narrow" w:cs="Arial"/>
                <w:color w:val="000000"/>
                <w:sz w:val="16"/>
                <w:szCs w:val="16"/>
                <w:lang w:val="es-CR" w:eastAsia="es-CR"/>
              </w:rPr>
            </w:pPr>
            <w:r>
              <w:rPr>
                <w:rFonts w:ascii="Arial Narrow" w:hAnsi="Arial Narrow" w:cs="Arial"/>
                <w:color w:val="000000"/>
                <w:sz w:val="16"/>
                <w:szCs w:val="16"/>
                <w:lang w:val="es-CR" w:eastAsia="es-CR"/>
              </w:rPr>
              <w:t>1.Modificación de meta estratégica relacionada con la implementación a nivel nacional la Justicia Restaurativa de conformidad con la ley.</w:t>
            </w:r>
            <w:r>
              <w:rPr>
                <w:rFonts w:ascii="Arial Narrow" w:hAnsi="Arial Narrow" w:cs="Arial"/>
                <w:color w:val="000000"/>
                <w:sz w:val="16"/>
                <w:szCs w:val="16"/>
                <w:lang w:val="es-CR" w:eastAsia="es-CR"/>
              </w:rPr>
              <w:br/>
              <w:t>2. Inclusión de nueva meta estratégica al Centro de Información Jurisprudencial relacionada con el acceso a la información judicial.</w:t>
            </w:r>
          </w:p>
        </w:tc>
        <w:tc>
          <w:tcPr>
            <w:tcW w:w="89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9F1BB9B" w14:textId="77777777" w:rsidR="0026389D" w:rsidRDefault="0026389D">
            <w:pPr>
              <w:jc w:val="center"/>
              <w:rPr>
                <w:rFonts w:ascii="Arial Narrow" w:hAnsi="Arial Narrow" w:cs="Arial"/>
                <w:color w:val="000000"/>
                <w:sz w:val="16"/>
                <w:szCs w:val="16"/>
                <w:lang w:val="es-CR" w:eastAsia="es-CR"/>
              </w:rPr>
            </w:pPr>
            <w:r>
              <w:rPr>
                <w:rFonts w:ascii="Arial Narrow" w:hAnsi="Arial Narrow" w:cs="Arial"/>
                <w:color w:val="000000"/>
                <w:sz w:val="16"/>
                <w:szCs w:val="16"/>
                <w:lang w:val="es-CR" w:eastAsia="es-CR"/>
              </w:rPr>
              <w:t>5</w:t>
            </w:r>
          </w:p>
        </w:tc>
        <w:tc>
          <w:tcPr>
            <w:tcW w:w="883" w:type="dxa"/>
            <w:tcBorders>
              <w:top w:val="single" w:sz="4" w:space="0" w:color="auto"/>
              <w:left w:val="nil"/>
              <w:bottom w:val="single" w:sz="4" w:space="0" w:color="auto"/>
              <w:right w:val="single" w:sz="4" w:space="0" w:color="auto"/>
            </w:tcBorders>
            <w:shd w:val="clear" w:color="auto" w:fill="FFFFFF" w:themeFill="background1"/>
            <w:vAlign w:val="center"/>
            <w:hideMark/>
          </w:tcPr>
          <w:p w14:paraId="19B6CEA0" w14:textId="77777777" w:rsidR="0026389D" w:rsidRDefault="0026389D">
            <w:pPr>
              <w:jc w:val="center"/>
              <w:rPr>
                <w:rFonts w:ascii="Arial Narrow" w:hAnsi="Arial Narrow" w:cs="Arial"/>
                <w:color w:val="000000"/>
                <w:sz w:val="16"/>
                <w:szCs w:val="16"/>
                <w:lang w:val="es-CR" w:eastAsia="es-CR"/>
              </w:rPr>
            </w:pPr>
            <w:r>
              <w:rPr>
                <w:rFonts w:ascii="Arial Narrow" w:hAnsi="Arial Narrow" w:cs="Arial"/>
                <w:color w:val="000000"/>
                <w:sz w:val="16"/>
                <w:szCs w:val="16"/>
                <w:lang w:val="es-CR" w:eastAsia="es-CR"/>
              </w:rPr>
              <w:t>22</w:t>
            </w:r>
          </w:p>
        </w:tc>
        <w:tc>
          <w:tcPr>
            <w:tcW w:w="883" w:type="dxa"/>
            <w:tcBorders>
              <w:top w:val="single" w:sz="4" w:space="0" w:color="auto"/>
              <w:left w:val="nil"/>
              <w:bottom w:val="single" w:sz="4" w:space="0" w:color="auto"/>
              <w:right w:val="single" w:sz="4" w:space="0" w:color="auto"/>
            </w:tcBorders>
            <w:shd w:val="clear" w:color="auto" w:fill="FFFFFF" w:themeFill="background1"/>
            <w:vAlign w:val="center"/>
            <w:hideMark/>
          </w:tcPr>
          <w:p w14:paraId="15219523" w14:textId="77777777" w:rsidR="0026389D" w:rsidRDefault="75313BC5">
            <w:pPr>
              <w:jc w:val="center"/>
              <w:rPr>
                <w:rFonts w:ascii="Arial Narrow" w:hAnsi="Arial Narrow" w:cs="Arial"/>
                <w:color w:val="000000"/>
                <w:sz w:val="16"/>
                <w:szCs w:val="16"/>
                <w:lang w:val="es-CR" w:eastAsia="es-CR"/>
              </w:rPr>
            </w:pPr>
            <w:r w:rsidRPr="0F07E111">
              <w:rPr>
                <w:rFonts w:ascii="Arial Narrow" w:hAnsi="Arial Narrow" w:cs="Arial"/>
                <w:color w:val="000000" w:themeColor="text1"/>
                <w:sz w:val="16"/>
                <w:szCs w:val="16"/>
                <w:lang w:val="es-CR" w:eastAsia="es-CR"/>
              </w:rPr>
              <w:t>229</w:t>
            </w:r>
          </w:p>
        </w:tc>
      </w:tr>
      <w:tr w:rsidR="008A76DD" w14:paraId="1547AEDC" w14:textId="77777777" w:rsidTr="0083608D">
        <w:trPr>
          <w:trHeight w:val="1626"/>
        </w:trPr>
        <w:tc>
          <w:tcPr>
            <w:tcW w:w="103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9905D34" w14:textId="77777777" w:rsidR="0026389D" w:rsidRDefault="0026389D">
            <w:pPr>
              <w:jc w:val="center"/>
              <w:rPr>
                <w:rFonts w:ascii="Arial Narrow" w:hAnsi="Arial Narrow" w:cs="Arial"/>
                <w:color w:val="000000"/>
                <w:sz w:val="16"/>
                <w:szCs w:val="16"/>
                <w:lang w:val="es-CR" w:eastAsia="es-CR"/>
              </w:rPr>
            </w:pPr>
            <w:r>
              <w:rPr>
                <w:rFonts w:ascii="Arial Narrow" w:hAnsi="Arial Narrow" w:cs="Arial"/>
                <w:color w:val="000000"/>
                <w:sz w:val="16"/>
                <w:szCs w:val="16"/>
                <w:lang w:val="es-CR" w:eastAsia="es-CR"/>
              </w:rPr>
              <w:t>5.0</w:t>
            </w:r>
          </w:p>
        </w:tc>
        <w:tc>
          <w:tcPr>
            <w:tcW w:w="822"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2546D0F" w14:textId="77777777" w:rsidR="0026389D" w:rsidRDefault="0026389D">
            <w:pPr>
              <w:jc w:val="center"/>
              <w:rPr>
                <w:rFonts w:ascii="Arial Narrow" w:hAnsi="Arial Narrow" w:cs="Arial"/>
                <w:color w:val="000000"/>
                <w:sz w:val="16"/>
                <w:szCs w:val="16"/>
                <w:lang w:val="es-CR" w:eastAsia="es-CR"/>
              </w:rPr>
            </w:pPr>
            <w:r>
              <w:rPr>
                <w:rFonts w:ascii="Arial Narrow" w:hAnsi="Arial Narrow" w:cs="Arial"/>
                <w:color w:val="000000"/>
                <w:sz w:val="16"/>
                <w:szCs w:val="16"/>
                <w:lang w:val="es-CR" w:eastAsia="es-CR"/>
              </w:rPr>
              <w:t>1183-PLA-PE-2021</w:t>
            </w:r>
          </w:p>
        </w:tc>
        <w:tc>
          <w:tcPr>
            <w:tcW w:w="90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BE891C6" w14:textId="77777777" w:rsidR="0026389D" w:rsidRDefault="0026389D">
            <w:pPr>
              <w:jc w:val="center"/>
              <w:rPr>
                <w:rFonts w:ascii="Arial Narrow" w:hAnsi="Arial Narrow" w:cs="Arial"/>
                <w:color w:val="000000"/>
                <w:sz w:val="16"/>
                <w:szCs w:val="16"/>
                <w:lang w:val="es-CR" w:eastAsia="es-CR"/>
              </w:rPr>
            </w:pPr>
            <w:r>
              <w:rPr>
                <w:rFonts w:ascii="Arial Narrow" w:hAnsi="Arial Narrow" w:cs="Arial"/>
                <w:color w:val="000000"/>
                <w:sz w:val="16"/>
                <w:szCs w:val="16"/>
                <w:lang w:val="es-CR" w:eastAsia="es-CR"/>
              </w:rPr>
              <w:t>6-ago-20</w:t>
            </w:r>
          </w:p>
        </w:tc>
        <w:tc>
          <w:tcPr>
            <w:tcW w:w="1945" w:type="dxa"/>
            <w:tcBorders>
              <w:top w:val="single" w:sz="4" w:space="0" w:color="auto"/>
              <w:left w:val="nil"/>
              <w:bottom w:val="single" w:sz="4" w:space="0" w:color="auto"/>
              <w:right w:val="single" w:sz="4" w:space="0" w:color="auto"/>
            </w:tcBorders>
            <w:shd w:val="clear" w:color="auto" w:fill="FFFFFF" w:themeFill="background1"/>
            <w:vAlign w:val="center"/>
          </w:tcPr>
          <w:p w14:paraId="442D0AAF" w14:textId="77777777" w:rsidR="0026389D" w:rsidRDefault="0026389D">
            <w:pPr>
              <w:jc w:val="center"/>
              <w:rPr>
                <w:rFonts w:ascii="Arial Narrow" w:hAnsi="Arial Narrow" w:cs="Arial"/>
                <w:color w:val="000000"/>
                <w:sz w:val="16"/>
                <w:szCs w:val="16"/>
                <w:lang w:val="es-CR" w:eastAsia="es-CR"/>
              </w:rPr>
            </w:pPr>
            <w:r>
              <w:rPr>
                <w:rFonts w:ascii="Arial Narrow" w:hAnsi="Arial Narrow" w:cs="Arial"/>
                <w:color w:val="000000"/>
                <w:sz w:val="16"/>
                <w:szCs w:val="16"/>
                <w:lang w:val="es-CR" w:eastAsia="es-CR"/>
              </w:rPr>
              <w:t xml:space="preserve">Acta de Corte Plena N° 50-2020, Artículo XVIII. Ver acta: </w:t>
            </w:r>
            <w:hyperlink r:id="rId51" w:history="1">
              <w:r>
                <w:rPr>
                  <w:rStyle w:val="Hipervnculo"/>
                  <w:rFonts w:eastAsia="Calibri" w:cs="Arial"/>
                  <w:sz w:val="16"/>
                  <w:szCs w:val="16"/>
                  <w:lang w:val="es-CR" w:eastAsia="es-CR"/>
                </w:rPr>
                <w:t>https://nexuspj.poder-judicial.go.cr/document/act-1-0003-4400-18</w:t>
              </w:r>
            </w:hyperlink>
          </w:p>
          <w:p w14:paraId="0EFFA66E" w14:textId="77777777" w:rsidR="0026389D" w:rsidRDefault="0026389D">
            <w:pPr>
              <w:jc w:val="center"/>
              <w:rPr>
                <w:rFonts w:ascii="Arial Narrow" w:hAnsi="Arial Narrow" w:cs="Arial"/>
                <w:color w:val="000000"/>
                <w:sz w:val="16"/>
                <w:szCs w:val="16"/>
                <w:lang w:val="es-CR" w:eastAsia="es-CR"/>
              </w:rPr>
            </w:pPr>
          </w:p>
        </w:tc>
        <w:tc>
          <w:tcPr>
            <w:tcW w:w="812"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0A08F0D" w14:textId="77777777" w:rsidR="0026389D" w:rsidRDefault="0026389D">
            <w:pPr>
              <w:jc w:val="center"/>
              <w:rPr>
                <w:rFonts w:ascii="Arial Narrow" w:hAnsi="Arial Narrow" w:cs="Arial"/>
                <w:color w:val="000000"/>
                <w:sz w:val="16"/>
                <w:szCs w:val="16"/>
                <w:lang w:val="es-CR" w:eastAsia="es-CR"/>
              </w:rPr>
            </w:pPr>
            <w:r>
              <w:rPr>
                <w:rFonts w:ascii="Arial Narrow" w:hAnsi="Arial Narrow" w:cs="Arial"/>
                <w:color w:val="000000"/>
                <w:sz w:val="16"/>
                <w:szCs w:val="16"/>
                <w:lang w:val="es-CR" w:eastAsia="es-CR"/>
              </w:rPr>
              <w:t>7/9/2020</w:t>
            </w:r>
          </w:p>
        </w:tc>
        <w:tc>
          <w:tcPr>
            <w:tcW w:w="1032" w:type="dxa"/>
            <w:tcBorders>
              <w:top w:val="single" w:sz="4" w:space="0" w:color="auto"/>
              <w:left w:val="nil"/>
              <w:bottom w:val="single" w:sz="4" w:space="0" w:color="auto"/>
              <w:right w:val="single" w:sz="4" w:space="0" w:color="auto"/>
            </w:tcBorders>
            <w:shd w:val="clear" w:color="auto" w:fill="FFFFFF" w:themeFill="background1"/>
            <w:vAlign w:val="center"/>
            <w:hideMark/>
          </w:tcPr>
          <w:p w14:paraId="2A9C84F8" w14:textId="77777777" w:rsidR="0026389D" w:rsidRDefault="0026389D">
            <w:pPr>
              <w:jc w:val="center"/>
              <w:rPr>
                <w:rFonts w:ascii="Arial Narrow" w:hAnsi="Arial Narrow" w:cs="Arial"/>
                <w:color w:val="000000"/>
                <w:sz w:val="16"/>
                <w:szCs w:val="16"/>
                <w:lang w:val="es-CR" w:eastAsia="es-CR"/>
              </w:rPr>
            </w:pPr>
            <w:r>
              <w:rPr>
                <w:rFonts w:ascii="Arial Narrow" w:hAnsi="Arial Narrow" w:cs="Arial"/>
                <w:color w:val="000000"/>
                <w:sz w:val="16"/>
                <w:szCs w:val="16"/>
                <w:lang w:val="es-CR" w:eastAsia="es-CR"/>
              </w:rPr>
              <w:t>1.Actualización de la meta relacionada con el Modelo de Gestión para la Planificación Estratégica, para incorporarle el componente de la gestión de riesgos institucionales</w:t>
            </w:r>
          </w:p>
        </w:tc>
        <w:tc>
          <w:tcPr>
            <w:tcW w:w="89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1A5EE1E" w14:textId="77777777" w:rsidR="0026389D" w:rsidRDefault="0026389D">
            <w:pPr>
              <w:jc w:val="center"/>
              <w:rPr>
                <w:rFonts w:ascii="Arial Narrow" w:hAnsi="Arial Narrow" w:cs="Arial"/>
                <w:color w:val="000000"/>
                <w:sz w:val="16"/>
                <w:szCs w:val="16"/>
                <w:lang w:val="es-CR" w:eastAsia="es-CR"/>
              </w:rPr>
            </w:pPr>
            <w:r>
              <w:rPr>
                <w:rFonts w:ascii="Arial Narrow" w:hAnsi="Arial Narrow" w:cs="Arial"/>
                <w:color w:val="000000"/>
                <w:sz w:val="16"/>
                <w:szCs w:val="16"/>
                <w:lang w:val="es-CR" w:eastAsia="es-CR"/>
              </w:rPr>
              <w:t>5</w:t>
            </w:r>
          </w:p>
        </w:tc>
        <w:tc>
          <w:tcPr>
            <w:tcW w:w="883" w:type="dxa"/>
            <w:tcBorders>
              <w:top w:val="single" w:sz="4" w:space="0" w:color="auto"/>
              <w:left w:val="nil"/>
              <w:bottom w:val="single" w:sz="4" w:space="0" w:color="auto"/>
              <w:right w:val="single" w:sz="4" w:space="0" w:color="auto"/>
            </w:tcBorders>
            <w:shd w:val="clear" w:color="auto" w:fill="FFFFFF" w:themeFill="background1"/>
            <w:vAlign w:val="center"/>
            <w:hideMark/>
          </w:tcPr>
          <w:p w14:paraId="65ACD9F0" w14:textId="77777777" w:rsidR="0026389D" w:rsidRDefault="0026389D">
            <w:pPr>
              <w:jc w:val="center"/>
              <w:rPr>
                <w:rFonts w:ascii="Arial Narrow" w:hAnsi="Arial Narrow" w:cs="Arial"/>
                <w:color w:val="000000"/>
                <w:sz w:val="16"/>
                <w:szCs w:val="16"/>
                <w:lang w:val="es-CR" w:eastAsia="es-CR"/>
              </w:rPr>
            </w:pPr>
            <w:r>
              <w:rPr>
                <w:rFonts w:ascii="Arial Narrow" w:hAnsi="Arial Narrow" w:cs="Arial"/>
                <w:color w:val="000000"/>
                <w:sz w:val="16"/>
                <w:szCs w:val="16"/>
                <w:lang w:val="es-CR" w:eastAsia="es-CR"/>
              </w:rPr>
              <w:t>22</w:t>
            </w:r>
          </w:p>
        </w:tc>
        <w:tc>
          <w:tcPr>
            <w:tcW w:w="883" w:type="dxa"/>
            <w:tcBorders>
              <w:top w:val="single" w:sz="4" w:space="0" w:color="auto"/>
              <w:left w:val="nil"/>
              <w:bottom w:val="single" w:sz="4" w:space="0" w:color="auto"/>
              <w:right w:val="single" w:sz="4" w:space="0" w:color="auto"/>
            </w:tcBorders>
            <w:shd w:val="clear" w:color="auto" w:fill="FFFFFF" w:themeFill="background1"/>
            <w:vAlign w:val="center"/>
            <w:hideMark/>
          </w:tcPr>
          <w:p w14:paraId="3331B709" w14:textId="77777777" w:rsidR="0026389D" w:rsidRDefault="75313BC5">
            <w:pPr>
              <w:jc w:val="center"/>
              <w:rPr>
                <w:rFonts w:ascii="Arial Narrow" w:hAnsi="Arial Narrow" w:cs="Arial"/>
                <w:color w:val="000000"/>
                <w:sz w:val="16"/>
                <w:szCs w:val="16"/>
                <w:lang w:val="es-CR" w:eastAsia="es-CR"/>
              </w:rPr>
            </w:pPr>
            <w:r w:rsidRPr="0F07E111">
              <w:rPr>
                <w:rFonts w:ascii="Arial Narrow" w:hAnsi="Arial Narrow" w:cs="Arial"/>
                <w:color w:val="000000" w:themeColor="text1"/>
                <w:sz w:val="16"/>
                <w:szCs w:val="16"/>
                <w:lang w:val="es-CR" w:eastAsia="es-CR"/>
              </w:rPr>
              <w:t>230</w:t>
            </w:r>
          </w:p>
        </w:tc>
      </w:tr>
    </w:tbl>
    <w:p w14:paraId="5F7E7302" w14:textId="77777777" w:rsidR="0083608D" w:rsidRPr="008F0B82" w:rsidRDefault="0083608D" w:rsidP="0083608D">
      <w:pPr>
        <w:jc w:val="center"/>
        <w:rPr>
          <w:rFonts w:ascii="Arial Narrow" w:eastAsia="Batang" w:hAnsi="Arial Narrow"/>
          <w:sz w:val="18"/>
          <w:szCs w:val="18"/>
          <w:lang w:eastAsia="en-US"/>
        </w:rPr>
      </w:pPr>
      <w:r w:rsidRPr="008F0B82">
        <w:rPr>
          <w:rFonts w:ascii="Arial Narrow" w:eastAsia="Batang" w:hAnsi="Arial Narrow"/>
          <w:sz w:val="18"/>
          <w:szCs w:val="18"/>
          <w:lang w:eastAsia="en-US"/>
        </w:rPr>
        <w:t>Fuente: elaboración propia con base en el análisis de hallazgos de la evaluación.</w:t>
      </w:r>
    </w:p>
    <w:p w14:paraId="110F08FE" w14:textId="77777777" w:rsidR="0083608D" w:rsidRPr="008F0B82" w:rsidRDefault="0083608D" w:rsidP="0083608D">
      <w:pPr>
        <w:ind w:left="720"/>
        <w:jc w:val="both"/>
        <w:rPr>
          <w:rFonts w:ascii="Arial Narrow" w:eastAsia="Batang" w:hAnsi="Arial Narrow"/>
          <w:sz w:val="18"/>
          <w:szCs w:val="18"/>
          <w:lang w:eastAsia="en-US"/>
        </w:rPr>
      </w:pPr>
    </w:p>
    <w:p w14:paraId="7A0BF88C" w14:textId="77777777" w:rsidR="0026389D" w:rsidRDefault="0026389D" w:rsidP="0026389D">
      <w:pPr>
        <w:spacing w:line="360" w:lineRule="auto"/>
        <w:jc w:val="both"/>
        <w:rPr>
          <w:rFonts w:ascii="Arial Narrow" w:hAnsi="Arial Narrow"/>
        </w:rPr>
      </w:pPr>
    </w:p>
    <w:p w14:paraId="384B0FC4" w14:textId="77777777" w:rsidR="0026389D" w:rsidRDefault="0026389D" w:rsidP="0026389D">
      <w:pPr>
        <w:spacing w:line="360" w:lineRule="auto"/>
        <w:jc w:val="both"/>
        <w:rPr>
          <w:rFonts w:ascii="Arial Narrow" w:hAnsi="Arial Narrow"/>
        </w:rPr>
      </w:pPr>
    </w:p>
    <w:p w14:paraId="0AB2011F" w14:textId="4DDE3D9D" w:rsidR="0026389D" w:rsidRDefault="4D60B121" w:rsidP="0026389D">
      <w:pPr>
        <w:spacing w:line="360" w:lineRule="auto"/>
        <w:jc w:val="both"/>
        <w:rPr>
          <w:rFonts w:ascii="Arial Narrow" w:hAnsi="Arial Narrow"/>
        </w:rPr>
      </w:pPr>
      <w:r w:rsidRPr="40316866">
        <w:rPr>
          <w:rFonts w:ascii="Arial Narrow" w:hAnsi="Arial Narrow"/>
        </w:rPr>
        <w:t xml:space="preserve">El Plan Estratégico Institucional 2019 -2024 visualiza el marco filosófico compuesto por la misión, visión, valores institucionales, ejes transversales y políticas institucionales. Estos son los elementos principales que definen el funcionamiento de la Institución, permeables en todo el proceso de la planificación estratégica, el quehacer diario y la toma de decisiones. Además, se llevó a cabo el planteamiento del mapa estratégico; compuesto por los temas, objetivos y metas estratégicas, así como el detalle de los indicadores y responsables de los compromisos para </w:t>
      </w:r>
      <w:r w:rsidR="02A5F2CD" w:rsidRPr="40316866">
        <w:rPr>
          <w:rFonts w:ascii="Arial Narrow" w:hAnsi="Arial Narrow"/>
        </w:rPr>
        <w:t>el período</w:t>
      </w:r>
      <w:r w:rsidRPr="40316866">
        <w:rPr>
          <w:rFonts w:ascii="Arial Narrow" w:hAnsi="Arial Narrow"/>
        </w:rPr>
        <w:t>.</w:t>
      </w:r>
    </w:p>
    <w:p w14:paraId="0D5CB1C3" w14:textId="4951AA1F" w:rsidR="40316866" w:rsidRDefault="40316866" w:rsidP="40316866">
      <w:pPr>
        <w:spacing w:line="360" w:lineRule="auto"/>
        <w:jc w:val="both"/>
        <w:rPr>
          <w:rFonts w:ascii="Arial Narrow" w:hAnsi="Arial Narrow"/>
        </w:rPr>
      </w:pPr>
    </w:p>
    <w:p w14:paraId="6A7DE55B" w14:textId="19014D3D" w:rsidR="09C81DEE" w:rsidRDefault="09C81DEE" w:rsidP="40316866">
      <w:pPr>
        <w:spacing w:line="360" w:lineRule="auto"/>
        <w:jc w:val="both"/>
        <w:rPr>
          <w:rFonts w:ascii="Arial Narrow" w:eastAsia="Calibri" w:hAnsi="Arial Narrow"/>
          <w:lang w:val="es-CR"/>
        </w:rPr>
      </w:pPr>
      <w:r w:rsidRPr="40316866">
        <w:rPr>
          <w:rFonts w:ascii="Arial Narrow" w:eastAsia="Calibri" w:hAnsi="Arial Narrow"/>
          <w:lang w:val="es-CR"/>
        </w:rPr>
        <w:t xml:space="preserve">Es importante mencionar que, de las 230 metas estratégicas que cuenta la matriz oficial del PEI, existen un total de 12 metas estratégicas que no fueron metas formuladas para el año 2021 y que en años anteriores si registraron datos y cumplimiento. Entre varias posibles razones que se presentan es que los despachos no formularon metas operativas vinculadas a esas metas estratégicas y por lo tanto no se registra un cumplimiento para el año 2021, también puede presentarse que el proyecto indicado en la meta estratégica ha sido suspendido o no cuenta con contenido presupuestario para el año evaluado, entre otras razones. </w:t>
      </w:r>
    </w:p>
    <w:p w14:paraId="03E08691" w14:textId="7E088A97" w:rsidR="00B87E09" w:rsidRDefault="00B87E09" w:rsidP="00B87E09">
      <w:pPr>
        <w:spacing w:line="360" w:lineRule="auto"/>
        <w:jc w:val="both"/>
        <w:rPr>
          <w:rFonts w:ascii="Arial Narrow" w:hAnsi="Arial Narrow" w:cs="Book Antiqua"/>
        </w:rPr>
      </w:pPr>
    </w:p>
    <w:p w14:paraId="64FB06C9" w14:textId="7322F845" w:rsidR="00071470" w:rsidRDefault="00071470">
      <w:pPr>
        <w:rPr>
          <w:rFonts w:ascii="Arial Narrow" w:eastAsia="Calibri" w:hAnsi="Arial Narrow"/>
          <w:b/>
          <w:bCs/>
          <w:iCs/>
          <w:sz w:val="32"/>
          <w:szCs w:val="32"/>
          <w:lang w:eastAsia="en-US"/>
        </w:rPr>
      </w:pPr>
    </w:p>
    <w:p w14:paraId="58D27599" w14:textId="5940592D" w:rsidR="009B6713" w:rsidRPr="000B4845" w:rsidRDefault="6F782C62" w:rsidP="000C6F8D">
      <w:pPr>
        <w:pStyle w:val="Ttulo1"/>
      </w:pPr>
      <w:bookmarkStart w:id="23" w:name="_Toc106355263"/>
      <w:r>
        <w:t>Antecedentes</w:t>
      </w:r>
      <w:bookmarkEnd w:id="23"/>
    </w:p>
    <w:p w14:paraId="32860F25" w14:textId="0F89B0C9" w:rsidR="005305D8" w:rsidRDefault="005305D8" w:rsidP="005305D8">
      <w:pPr>
        <w:rPr>
          <w:rFonts w:ascii="Arial Narrow" w:eastAsia="Calibri" w:hAnsi="Arial Narrow"/>
          <w:sz w:val="36"/>
          <w:szCs w:val="36"/>
          <w:lang w:eastAsia="en-US"/>
        </w:rPr>
      </w:pPr>
    </w:p>
    <w:p w14:paraId="19D2BCCD" w14:textId="77777777" w:rsidR="00813C6E" w:rsidRPr="00C37F50" w:rsidRDefault="00813C6E" w:rsidP="00C37F50">
      <w:pPr>
        <w:pStyle w:val="Prrafodelista"/>
        <w:numPr>
          <w:ilvl w:val="0"/>
          <w:numId w:val="53"/>
        </w:numPr>
        <w:spacing w:line="360" w:lineRule="auto"/>
        <w:jc w:val="both"/>
        <w:rPr>
          <w:rFonts w:ascii="Arial Narrow" w:hAnsi="Arial Narrow" w:cstheme="majorHAnsi"/>
        </w:rPr>
      </w:pPr>
      <w:r w:rsidRPr="00C37F50">
        <w:rPr>
          <w:rFonts w:ascii="Arial Narrow" w:hAnsi="Arial Narrow" w:cstheme="majorHAnsi"/>
        </w:rPr>
        <w:t>El Poder Judicial de Costa Rica con el fin de contar con un instrumento de planificación que permita medir los resultados de su gestión por medio de planes, programas y proyectos a corto, mediano y largo plazo; desarrolló tres planes estratégicos institucionales para los periodos 2000-2005, 2007-2012 y 2013-2018, los cuales fueron orientados hacia la modernización y mejoramiento del servicio a la persona usuaria.</w:t>
      </w:r>
    </w:p>
    <w:p w14:paraId="44A1C9DB" w14:textId="77777777" w:rsidR="00813C6E" w:rsidRPr="00813C6E" w:rsidRDefault="00813C6E" w:rsidP="00D73200">
      <w:pPr>
        <w:spacing w:line="360" w:lineRule="auto"/>
        <w:jc w:val="both"/>
        <w:rPr>
          <w:rFonts w:ascii="Arial Narrow" w:hAnsi="Arial Narrow" w:cstheme="majorHAnsi"/>
        </w:rPr>
      </w:pPr>
    </w:p>
    <w:p w14:paraId="0DC9B80B" w14:textId="77777777" w:rsidR="00813C6E" w:rsidRPr="00C37F50" w:rsidRDefault="00813C6E" w:rsidP="00C37F50">
      <w:pPr>
        <w:pStyle w:val="Prrafodelista"/>
        <w:numPr>
          <w:ilvl w:val="0"/>
          <w:numId w:val="53"/>
        </w:numPr>
        <w:spacing w:line="360" w:lineRule="auto"/>
        <w:jc w:val="both"/>
        <w:rPr>
          <w:rFonts w:ascii="Arial Narrow" w:hAnsi="Arial Narrow" w:cstheme="majorHAnsi"/>
        </w:rPr>
      </w:pPr>
      <w:r w:rsidRPr="00C37F50">
        <w:rPr>
          <w:rFonts w:ascii="Arial Narrow" w:hAnsi="Arial Narrow" w:cstheme="majorHAnsi"/>
        </w:rPr>
        <w:t>En el siguiente enlace, se detallas las evaluaciones realizadas a los Planes Estratégicos Institucionales de los periodos anteriores:</w:t>
      </w:r>
    </w:p>
    <w:p w14:paraId="0EA63D8A" w14:textId="039521F8" w:rsidR="00813C6E" w:rsidRPr="00221DBA" w:rsidRDefault="00940240" w:rsidP="00C37F50">
      <w:pPr>
        <w:pStyle w:val="Prrafodelista"/>
        <w:ind w:left="720"/>
        <w:jc w:val="both"/>
        <w:rPr>
          <w:rFonts w:ascii="Arial Narrow" w:hAnsi="Arial Narrow" w:cstheme="majorHAnsi"/>
        </w:rPr>
      </w:pPr>
      <w:hyperlink r:id="rId52" w:history="1">
        <w:r w:rsidR="00221DBA" w:rsidRPr="00221DBA">
          <w:rPr>
            <w:rStyle w:val="Hipervnculo"/>
            <w:rFonts w:ascii="Arial Narrow" w:hAnsi="Arial Narrow" w:cstheme="majorHAnsi"/>
          </w:rPr>
          <w:t>https://www.poder-judicial.go.cr/planificacion/index.php/subproceso-evaluacion/evaluacion-plan-estrategico</w:t>
        </w:r>
      </w:hyperlink>
      <w:r w:rsidR="00813C6E" w:rsidRPr="00221DBA">
        <w:rPr>
          <w:rStyle w:val="Hipervnculo"/>
          <w:rFonts w:ascii="Arial Narrow" w:hAnsi="Arial Narrow" w:cstheme="majorHAnsi"/>
        </w:rPr>
        <w:t>.</w:t>
      </w:r>
    </w:p>
    <w:p w14:paraId="1A938BCF" w14:textId="77777777" w:rsidR="00813C6E" w:rsidRPr="00813C6E" w:rsidRDefault="00813C6E" w:rsidP="00813C6E">
      <w:pPr>
        <w:jc w:val="both"/>
        <w:rPr>
          <w:rFonts w:ascii="Arial Narrow" w:hAnsi="Arial Narrow" w:cstheme="majorHAnsi"/>
          <w:snapToGrid w:val="0"/>
        </w:rPr>
      </w:pPr>
    </w:p>
    <w:p w14:paraId="29675247" w14:textId="77777777" w:rsidR="00813C6E" w:rsidRPr="00C37F50" w:rsidRDefault="00813C6E" w:rsidP="00C37F50">
      <w:pPr>
        <w:pStyle w:val="Prrafodelista"/>
        <w:numPr>
          <w:ilvl w:val="0"/>
          <w:numId w:val="53"/>
        </w:numPr>
        <w:spacing w:before="240" w:line="360" w:lineRule="auto"/>
        <w:jc w:val="both"/>
        <w:rPr>
          <w:rFonts w:ascii="Arial Narrow" w:hAnsi="Arial Narrow" w:cstheme="majorHAnsi"/>
          <w:snapToGrid w:val="0"/>
        </w:rPr>
      </w:pPr>
      <w:r w:rsidRPr="00C37F50">
        <w:rPr>
          <w:rFonts w:ascii="Arial Narrow" w:hAnsi="Arial Narrow" w:cstheme="majorHAnsi"/>
          <w:snapToGrid w:val="0"/>
        </w:rPr>
        <w:t>Sobre los informes evaluativos estratégicos de los Planes Estratégicos Institucionales (PEI) anteriores al 2019, se tenían ciertas limitaciones para acceso y análisis de la información, al no disponer de sistemas entrelazados. Adicionalmente, los responsables estratégicos no tenían claros sus compromisos, por lo que las evaluaciones estratégicas aportaban incumplimientos más altos, que los que se muestran mediante el presente informe de evaluación del PEI 2019-2024 con la herramienta informática que permite un mayor seguimiento.</w:t>
      </w:r>
    </w:p>
    <w:p w14:paraId="7BCC2B9B" w14:textId="77777777" w:rsidR="00813C6E" w:rsidRPr="00813C6E" w:rsidRDefault="00813C6E" w:rsidP="00D73200">
      <w:pPr>
        <w:spacing w:line="360" w:lineRule="auto"/>
        <w:jc w:val="both"/>
        <w:rPr>
          <w:rFonts w:ascii="Arial Narrow" w:hAnsi="Arial Narrow" w:cstheme="majorHAnsi"/>
        </w:rPr>
      </w:pPr>
    </w:p>
    <w:p w14:paraId="62B1D3E4" w14:textId="77777777" w:rsidR="00813C6E" w:rsidRPr="00C37F50" w:rsidRDefault="00813C6E" w:rsidP="00C37F50">
      <w:pPr>
        <w:pStyle w:val="Prrafodelista"/>
        <w:numPr>
          <w:ilvl w:val="0"/>
          <w:numId w:val="53"/>
        </w:numPr>
        <w:spacing w:line="360" w:lineRule="auto"/>
        <w:jc w:val="both"/>
        <w:rPr>
          <w:rFonts w:ascii="Arial Narrow" w:hAnsi="Arial Narrow" w:cstheme="majorHAnsi"/>
        </w:rPr>
      </w:pPr>
      <w:r w:rsidRPr="00C37F50">
        <w:rPr>
          <w:rFonts w:ascii="Arial Narrow" w:hAnsi="Arial Narrow" w:cstheme="majorHAnsi"/>
        </w:rPr>
        <w:t xml:space="preserve">En aras de continuar el impulso de la planificación institucional, se realizó un análisis de las oportunidades de mejora y lecciones aprendidas de los procesos anteriores, y se planteó la metodología a aplicar por medio del </w:t>
      </w:r>
      <w:r w:rsidRPr="00C37F50">
        <w:rPr>
          <w:rFonts w:ascii="Arial Narrow" w:hAnsi="Arial Narrow" w:cstheme="majorHAnsi"/>
          <w:i/>
          <w:iCs/>
        </w:rPr>
        <w:t>“Modelo de Gestión para el Proceso de Planificación Estratégica 2019-2024”</w:t>
      </w:r>
      <w:r w:rsidRPr="00C37F50">
        <w:rPr>
          <w:rFonts w:ascii="Arial Narrow" w:hAnsi="Arial Narrow" w:cstheme="majorHAnsi"/>
        </w:rPr>
        <w:t>, basada en los principios orientadores de innovación, participación e integración; aprobado por la Corte Plena en sesión 32-17 del 02 de octubre del 2017, artículo XII.</w:t>
      </w:r>
    </w:p>
    <w:p w14:paraId="7AF3B651" w14:textId="2B67244F" w:rsidR="008B52CA" w:rsidRDefault="008B52CA" w:rsidP="00D73200">
      <w:pPr>
        <w:spacing w:line="360" w:lineRule="auto"/>
        <w:jc w:val="both"/>
        <w:rPr>
          <w:rFonts w:ascii="Arial Narrow" w:hAnsi="Arial Narrow" w:cstheme="majorHAnsi"/>
          <w:b/>
          <w:bCs/>
        </w:rPr>
      </w:pPr>
    </w:p>
    <w:p w14:paraId="2EE8C7C3" w14:textId="1DD45B04" w:rsidR="0095033E" w:rsidRDefault="0095033E" w:rsidP="00D73200">
      <w:pPr>
        <w:spacing w:line="360" w:lineRule="auto"/>
        <w:jc w:val="both"/>
        <w:rPr>
          <w:rFonts w:ascii="Arial Narrow" w:hAnsi="Arial Narrow" w:cstheme="majorHAnsi"/>
          <w:b/>
          <w:bCs/>
        </w:rPr>
      </w:pPr>
    </w:p>
    <w:p w14:paraId="641DD269" w14:textId="77777777" w:rsidR="0095033E" w:rsidRDefault="0095033E" w:rsidP="00D73200">
      <w:pPr>
        <w:spacing w:line="360" w:lineRule="auto"/>
        <w:jc w:val="both"/>
        <w:rPr>
          <w:rFonts w:ascii="Arial Narrow" w:hAnsi="Arial Narrow" w:cstheme="majorHAnsi"/>
          <w:b/>
          <w:bCs/>
        </w:rPr>
      </w:pPr>
    </w:p>
    <w:p w14:paraId="0ACB7EFA" w14:textId="68C57A5A" w:rsidR="00813C6E" w:rsidRPr="00813C6E" w:rsidRDefault="00813C6E" w:rsidP="00D73200">
      <w:pPr>
        <w:spacing w:line="360" w:lineRule="auto"/>
        <w:jc w:val="both"/>
        <w:rPr>
          <w:rFonts w:ascii="Arial Narrow" w:hAnsi="Arial Narrow" w:cstheme="majorHAnsi"/>
          <w:b/>
          <w:bCs/>
        </w:rPr>
      </w:pPr>
      <w:r w:rsidRPr="00813C6E">
        <w:rPr>
          <w:rFonts w:ascii="Arial Narrow" w:hAnsi="Arial Narrow" w:cstheme="majorHAnsi"/>
          <w:b/>
          <w:bCs/>
        </w:rPr>
        <w:t>Otros antecedentes:</w:t>
      </w:r>
    </w:p>
    <w:p w14:paraId="3BD2ED4D" w14:textId="77777777" w:rsidR="00813C6E" w:rsidRPr="00813C6E" w:rsidRDefault="00813C6E" w:rsidP="00D73200">
      <w:pPr>
        <w:spacing w:line="360" w:lineRule="auto"/>
        <w:jc w:val="both"/>
        <w:rPr>
          <w:rFonts w:ascii="Arial Narrow" w:hAnsi="Arial Narrow" w:cs="Arial"/>
          <w:color w:val="000066"/>
          <w:shd w:val="clear" w:color="auto" w:fill="FFFFFF"/>
        </w:rPr>
      </w:pPr>
    </w:p>
    <w:p w14:paraId="25E66A75" w14:textId="77777777" w:rsidR="00813C6E" w:rsidRPr="00813C6E" w:rsidRDefault="123C9028" w:rsidP="00D73200">
      <w:pPr>
        <w:pStyle w:val="Prrafodelista"/>
        <w:numPr>
          <w:ilvl w:val="0"/>
          <w:numId w:val="16"/>
        </w:numPr>
        <w:spacing w:line="360" w:lineRule="auto"/>
        <w:jc w:val="both"/>
        <w:rPr>
          <w:rFonts w:ascii="Arial Narrow" w:hAnsi="Arial Narrow" w:cstheme="majorHAnsi"/>
        </w:rPr>
      </w:pPr>
      <w:r w:rsidRPr="7ADC9043">
        <w:rPr>
          <w:rFonts w:ascii="Arial Narrow" w:hAnsi="Arial Narrow" w:cstheme="majorBidi"/>
        </w:rPr>
        <w:t>Elaboración del informe 739-PLA-PE-2020 por parte de la Dirección de Planificación, relacionado con el procedimiento de gestión de riesgos que abarca el (PEI), los Planes Anuales Operativos 2020 (PAOs) y el Portafolio de Proyectos Estratégicos.</w:t>
      </w:r>
    </w:p>
    <w:p w14:paraId="138EC8EC" w14:textId="77777777" w:rsidR="00813C6E" w:rsidRPr="00813C6E" w:rsidRDefault="00813C6E" w:rsidP="00D73200">
      <w:pPr>
        <w:spacing w:line="360" w:lineRule="auto"/>
        <w:jc w:val="both"/>
        <w:rPr>
          <w:rFonts w:ascii="Arial Narrow" w:hAnsi="Arial Narrow" w:cstheme="majorHAnsi"/>
        </w:rPr>
      </w:pPr>
    </w:p>
    <w:p w14:paraId="67BEC4F9" w14:textId="77777777" w:rsidR="00813C6E" w:rsidRPr="00813C6E" w:rsidRDefault="123C9028" w:rsidP="00D73200">
      <w:pPr>
        <w:pStyle w:val="Prrafodelista"/>
        <w:numPr>
          <w:ilvl w:val="0"/>
          <w:numId w:val="16"/>
        </w:numPr>
        <w:spacing w:line="360" w:lineRule="auto"/>
        <w:jc w:val="both"/>
        <w:rPr>
          <w:rFonts w:ascii="Arial Narrow" w:hAnsi="Arial Narrow" w:cstheme="majorHAnsi"/>
        </w:rPr>
      </w:pPr>
      <w:r w:rsidRPr="7ADC9043">
        <w:rPr>
          <w:rFonts w:ascii="Arial Narrow" w:hAnsi="Arial Narrow" w:cstheme="majorBidi"/>
        </w:rPr>
        <w:t xml:space="preserve">Elaboración del informe 184 </w:t>
      </w:r>
      <w:hyperlink r:id="rId53">
        <w:r w:rsidRPr="7ADC9043">
          <w:rPr>
            <w:rFonts w:ascii="Arial Narrow" w:hAnsi="Arial Narrow" w:cstheme="majorBidi"/>
          </w:rPr>
          <w:t>CACMFJ-JEF-2020 -875-PLA-2020</w:t>
        </w:r>
      </w:hyperlink>
      <w:r w:rsidRPr="7ADC9043">
        <w:rPr>
          <w:rFonts w:ascii="Arial Narrow" w:hAnsi="Arial Narrow" w:cstheme="majorBidi"/>
        </w:rPr>
        <w:t xml:space="preserve"> por parte de la Dirección de Planificación y el Centro de Apoyo, Coordinación y Mejoramiento de la Función Jurisdiccional, relacionado con </w:t>
      </w:r>
      <w:r w:rsidRPr="7ADC9043">
        <w:rPr>
          <w:rFonts w:ascii="Arial Narrow" w:eastAsia="Calibri" w:hAnsi="Arial Narrow" w:cstheme="majorBidi"/>
          <w:color w:val="000000" w:themeColor="text1"/>
          <w:lang w:eastAsia="es-CR"/>
        </w:rPr>
        <w:t>la revisión de las posibles afectaciones sobre los objetivos y metas planteados para el 2020, mediante la identificación de los riesgos materializados y potenciales debido a la emergencia sanitaria provocada por la enfermedad COVID-19, donde se procedió a presentar la propuesta para el restablecimiento de los servicios de administración de justicia, en aras de volver a la “nueva normalidad” de manera progresiva, atendiendo en todo momento a las directrices del Ministerio de  Salud.</w:t>
      </w:r>
    </w:p>
    <w:p w14:paraId="1C9769FD" w14:textId="77777777" w:rsidR="00813C6E" w:rsidRPr="00813C6E" w:rsidRDefault="00813C6E" w:rsidP="00D73200">
      <w:pPr>
        <w:spacing w:line="360" w:lineRule="auto"/>
        <w:jc w:val="both"/>
        <w:rPr>
          <w:rFonts w:ascii="Arial Narrow" w:hAnsi="Arial Narrow" w:cstheme="majorHAnsi"/>
        </w:rPr>
      </w:pPr>
    </w:p>
    <w:p w14:paraId="77C9C71A" w14:textId="77777777" w:rsidR="00813C6E" w:rsidRPr="00813C6E" w:rsidRDefault="123C9028" w:rsidP="00D73200">
      <w:pPr>
        <w:pStyle w:val="Prrafodelista"/>
        <w:numPr>
          <w:ilvl w:val="0"/>
          <w:numId w:val="16"/>
        </w:numPr>
        <w:spacing w:line="360" w:lineRule="auto"/>
        <w:jc w:val="both"/>
        <w:rPr>
          <w:rFonts w:ascii="Arial Narrow" w:hAnsi="Arial Narrow" w:cstheme="majorHAnsi"/>
        </w:rPr>
      </w:pPr>
      <w:r w:rsidRPr="7ADC9043">
        <w:rPr>
          <w:rFonts w:ascii="Arial Narrow" w:hAnsi="Arial Narrow" w:cstheme="majorBidi"/>
        </w:rPr>
        <w:t>Elaboración del informe 1121-PLA-PE-2020 por parte de la Dirección de Planificación sobre la propuesta de trabajo para alinear el Plan Estratégico Institucional (PEI) 2019-2024 con la Agenda 2030 de los Objetivos de Desarrollo Sostenible (ODS).</w:t>
      </w:r>
    </w:p>
    <w:p w14:paraId="12E8397E" w14:textId="77777777" w:rsidR="00813C6E" w:rsidRPr="00813C6E" w:rsidRDefault="00813C6E" w:rsidP="00D73200">
      <w:pPr>
        <w:pStyle w:val="Prrafodelista"/>
        <w:spacing w:line="360" w:lineRule="auto"/>
        <w:rPr>
          <w:rFonts w:ascii="Arial Narrow" w:hAnsi="Arial Narrow" w:cstheme="majorHAnsi"/>
        </w:rPr>
      </w:pPr>
    </w:p>
    <w:p w14:paraId="71F252CA" w14:textId="77777777" w:rsidR="00813C6E" w:rsidRPr="00813C6E" w:rsidRDefault="123C9028" w:rsidP="00D73200">
      <w:pPr>
        <w:pStyle w:val="Prrafodelista"/>
        <w:numPr>
          <w:ilvl w:val="0"/>
          <w:numId w:val="16"/>
        </w:numPr>
        <w:spacing w:line="360" w:lineRule="auto"/>
        <w:jc w:val="both"/>
        <w:rPr>
          <w:rFonts w:ascii="Arial Narrow" w:hAnsi="Arial Narrow" w:cstheme="majorHAnsi"/>
          <w:color w:val="000066"/>
          <w:shd w:val="clear" w:color="auto" w:fill="FFFFFF"/>
        </w:rPr>
      </w:pPr>
      <w:r w:rsidRPr="7ADC9043">
        <w:rPr>
          <w:rFonts w:ascii="Arial Narrow" w:hAnsi="Arial Narrow" w:cstheme="majorBidi"/>
        </w:rPr>
        <w:t xml:space="preserve">Por medio del informe 22-PLA-PE-2021, del 11 de enero de 2021 se comunica que se procedió a remitir a la Secretaría General de la Corte, mediante oficio 1972-PLA-PE-2020 del 1 de diciembre de 2020, la propuesta de ajuste de los objetivos y metas de 2020 relacionado con el proceso de monitoreo del comportamiento de los casos terminados y la afectación que estos podrían tener debido a la situación de emergencia del COVID-19.   No obstante, dado que el plazo de ejecución de los objetivos y metas del 2020 ya fue concluido, esta Dirección consideró que el ajuste de los objetivos y metas del 2020 no era oportuno realizarlo, sino que se procedió a remitir un informe de los resultados obtenidos en el 2020. De lo anterior, se solicitó dejar sin efecto el oficio 1972-PLA-PE-2020. </w:t>
      </w:r>
    </w:p>
    <w:p w14:paraId="785EFC2D" w14:textId="77777777" w:rsidR="00813C6E" w:rsidRPr="00813C6E" w:rsidRDefault="00813C6E" w:rsidP="00D73200">
      <w:pPr>
        <w:pStyle w:val="Prrafodelista"/>
        <w:spacing w:line="360" w:lineRule="auto"/>
        <w:rPr>
          <w:rFonts w:ascii="Arial Narrow" w:hAnsi="Arial Narrow" w:cstheme="majorHAnsi"/>
          <w:color w:val="000066"/>
          <w:shd w:val="clear" w:color="auto" w:fill="FFFFFF"/>
        </w:rPr>
      </w:pPr>
    </w:p>
    <w:p w14:paraId="5E1ADE8B" w14:textId="77777777" w:rsidR="00F77489" w:rsidRDefault="123C9028" w:rsidP="00F77489">
      <w:pPr>
        <w:pStyle w:val="Prrafodelista"/>
        <w:numPr>
          <w:ilvl w:val="0"/>
          <w:numId w:val="16"/>
        </w:numPr>
        <w:spacing w:line="360" w:lineRule="auto"/>
        <w:jc w:val="both"/>
        <w:rPr>
          <w:rFonts w:ascii="Arial Narrow" w:hAnsi="Arial Narrow" w:cstheme="majorHAnsi"/>
        </w:rPr>
      </w:pPr>
      <w:r w:rsidRPr="7ADC9043">
        <w:rPr>
          <w:rFonts w:ascii="Arial Narrow" w:hAnsi="Arial Narrow" w:cstheme="majorBidi"/>
        </w:rPr>
        <w:t xml:space="preserve">Elaboración del informe 1206-PLA-EV-2021 </w:t>
      </w:r>
      <w:bookmarkStart w:id="24" w:name="_Hlk95231145"/>
      <w:r w:rsidRPr="7ADC9043">
        <w:rPr>
          <w:rFonts w:ascii="Arial Narrow" w:hAnsi="Arial Narrow" w:cstheme="majorBidi"/>
        </w:rPr>
        <w:t xml:space="preserve">sobre la evaluación del PEI para los años 2019 y 2020, aprobado por el Consejo Superior el </w:t>
      </w:r>
      <w:r w:rsidR="7F077C11" w:rsidRPr="7ADC9043">
        <w:rPr>
          <w:rFonts w:ascii="Arial Narrow" w:hAnsi="Arial Narrow" w:cstheme="majorBidi"/>
        </w:rPr>
        <w:t xml:space="preserve">16 de noviembre del 2021, </w:t>
      </w:r>
      <w:r w:rsidR="3D5E7513" w:rsidRPr="7ADC9043">
        <w:rPr>
          <w:rFonts w:ascii="Arial Narrow" w:hAnsi="Arial Narrow" w:cstheme="majorBidi"/>
        </w:rPr>
        <w:t xml:space="preserve">sesión </w:t>
      </w:r>
      <w:r w:rsidR="7F077C11" w:rsidRPr="7ADC9043">
        <w:rPr>
          <w:rFonts w:ascii="Arial Narrow" w:hAnsi="Arial Narrow" w:cstheme="majorBidi"/>
        </w:rPr>
        <w:t>98-2021, artículo XLV.</w:t>
      </w:r>
      <w:bookmarkEnd w:id="24"/>
    </w:p>
    <w:p w14:paraId="47D86F62" w14:textId="77777777" w:rsidR="00F77489" w:rsidRPr="00F77489" w:rsidRDefault="00F77489" w:rsidP="00F77489">
      <w:pPr>
        <w:pStyle w:val="Prrafodelista"/>
        <w:rPr>
          <w:rFonts w:ascii="Arial Narrow" w:hAnsi="Arial Narrow" w:cstheme="majorHAnsi"/>
        </w:rPr>
      </w:pPr>
    </w:p>
    <w:p w14:paraId="73FFDF67" w14:textId="53AE3B04" w:rsidR="000B1638" w:rsidRPr="008B52CA" w:rsidRDefault="7F077C11" w:rsidP="00F77489">
      <w:pPr>
        <w:pStyle w:val="Prrafodelista"/>
        <w:numPr>
          <w:ilvl w:val="0"/>
          <w:numId w:val="16"/>
        </w:numPr>
        <w:spacing w:line="360" w:lineRule="auto"/>
        <w:jc w:val="both"/>
        <w:rPr>
          <w:rFonts w:ascii="Arial Narrow" w:hAnsi="Arial Narrow" w:cstheme="majorHAnsi"/>
        </w:rPr>
      </w:pPr>
      <w:r w:rsidRPr="7ADC9043">
        <w:rPr>
          <w:rFonts w:ascii="Arial Narrow" w:hAnsi="Arial Narrow" w:cstheme="majorBidi"/>
        </w:rPr>
        <w:t xml:space="preserve">Elaboración del informe 1383- PLA-EV-2021 sobre </w:t>
      </w:r>
      <w:r w:rsidR="48548013" w:rsidRPr="7ADC9043">
        <w:rPr>
          <w:rFonts w:ascii="Arial Narrow" w:hAnsi="Arial Narrow" w:cstheme="majorBidi"/>
        </w:rPr>
        <w:t xml:space="preserve">el </w:t>
      </w:r>
      <w:r w:rsidR="48548013" w:rsidRPr="7ADC9043">
        <w:rPr>
          <w:rFonts w:ascii="Arial Narrow" w:hAnsi="Arial Narrow"/>
        </w:rPr>
        <w:t xml:space="preserve">seguimiento </w:t>
      </w:r>
      <w:r w:rsidR="48548013" w:rsidRPr="7ADC9043">
        <w:rPr>
          <w:rFonts w:ascii="Arial Narrow" w:hAnsi="Arial Narrow" w:cstheme="majorBidi"/>
        </w:rPr>
        <w:t>del</w:t>
      </w:r>
      <w:r w:rsidRPr="7ADC9043">
        <w:rPr>
          <w:rFonts w:ascii="Arial Narrow" w:hAnsi="Arial Narrow" w:cstheme="majorBidi"/>
        </w:rPr>
        <w:t xml:space="preserve"> PEI </w:t>
      </w:r>
      <w:r w:rsidR="48548013" w:rsidRPr="7ADC9043">
        <w:rPr>
          <w:rFonts w:ascii="Arial Narrow" w:hAnsi="Arial Narrow" w:cstheme="majorBidi"/>
        </w:rPr>
        <w:t>para el año 2021</w:t>
      </w:r>
      <w:r w:rsidRPr="7ADC9043">
        <w:rPr>
          <w:rFonts w:ascii="Arial Narrow" w:hAnsi="Arial Narrow" w:cstheme="majorBidi"/>
        </w:rPr>
        <w:t xml:space="preserve">, </w:t>
      </w:r>
      <w:r w:rsidR="3D5E7513" w:rsidRPr="7ADC9043">
        <w:rPr>
          <w:rFonts w:ascii="Arial Narrow" w:hAnsi="Arial Narrow" w:cstheme="majorBidi"/>
        </w:rPr>
        <w:t>aprobado en sesión 8-2022 celebrada el 26 de enero de 2022, artículo XXV.</w:t>
      </w:r>
    </w:p>
    <w:p w14:paraId="068EF1D1" w14:textId="77777777" w:rsidR="00F77489" w:rsidRPr="008B52CA" w:rsidRDefault="00F77489" w:rsidP="008B52CA">
      <w:pPr>
        <w:pStyle w:val="Prrafodelista"/>
        <w:spacing w:line="360" w:lineRule="auto"/>
        <w:ind w:left="720"/>
        <w:jc w:val="both"/>
        <w:rPr>
          <w:rFonts w:ascii="Arial Narrow" w:hAnsi="Arial Narrow" w:cstheme="majorHAnsi"/>
        </w:rPr>
      </w:pPr>
    </w:p>
    <w:p w14:paraId="1757F46F" w14:textId="72A6C651" w:rsidR="000B1638" w:rsidRPr="008B52CA" w:rsidRDefault="40CBEE00" w:rsidP="00D73200">
      <w:pPr>
        <w:pStyle w:val="Prrafodelista"/>
        <w:numPr>
          <w:ilvl w:val="0"/>
          <w:numId w:val="16"/>
        </w:numPr>
        <w:spacing w:line="360" w:lineRule="auto"/>
        <w:jc w:val="both"/>
        <w:rPr>
          <w:rFonts w:ascii="Arial Narrow" w:hAnsi="Arial Narrow" w:cstheme="majorHAnsi"/>
        </w:rPr>
      </w:pPr>
      <w:r w:rsidRPr="7ADC9043">
        <w:rPr>
          <w:rFonts w:ascii="Arial Narrow" w:hAnsi="Arial Narrow" w:cstheme="majorBidi"/>
        </w:rPr>
        <w:t>Elaboración del informe 92-</w:t>
      </w:r>
      <w:r w:rsidR="0DC31C04" w:rsidRPr="7ADC9043">
        <w:rPr>
          <w:rFonts w:ascii="Arial Narrow" w:hAnsi="Arial Narrow" w:cstheme="majorBidi"/>
        </w:rPr>
        <w:t>PLA</w:t>
      </w:r>
      <w:r w:rsidRPr="7ADC9043">
        <w:rPr>
          <w:rFonts w:ascii="Arial Narrow" w:hAnsi="Arial Narrow" w:cstheme="majorBidi"/>
        </w:rPr>
        <w:t>-PE</w:t>
      </w:r>
      <w:r w:rsidR="467F65F3" w:rsidRPr="7ADC9043">
        <w:rPr>
          <w:rFonts w:ascii="Arial Narrow" w:hAnsi="Arial Narrow" w:cstheme="majorBidi"/>
        </w:rPr>
        <w:t>-</w:t>
      </w:r>
      <w:r w:rsidRPr="7ADC9043">
        <w:rPr>
          <w:rFonts w:ascii="Arial Narrow" w:hAnsi="Arial Narrow" w:cstheme="majorBidi"/>
        </w:rPr>
        <w:t xml:space="preserve">2022 </w:t>
      </w:r>
      <w:r w:rsidR="74D4A8CB" w:rsidRPr="7ADC9043">
        <w:rPr>
          <w:rFonts w:ascii="Arial Narrow" w:hAnsi="Arial Narrow" w:cstheme="majorBidi"/>
        </w:rPr>
        <w:t>relacionado con el Modelo de Gestión Estratégica que forma parte del Plan Estratégico Institucional 2019-2024 (PEI 2019-2024)</w:t>
      </w:r>
      <w:r w:rsidR="3D5E7513" w:rsidRPr="7ADC9043">
        <w:rPr>
          <w:rFonts w:ascii="Arial Narrow" w:hAnsi="Arial Narrow" w:cstheme="majorBidi"/>
        </w:rPr>
        <w:t>.</w:t>
      </w:r>
      <w:r w:rsidR="7A38AE87" w:rsidRPr="7ADC9043">
        <w:rPr>
          <w:rFonts w:ascii="Arial Narrow" w:hAnsi="Arial Narrow" w:cstheme="majorBidi"/>
        </w:rPr>
        <w:t xml:space="preserve"> Este oficio está en proceso de ser conocido por Corte Plena.</w:t>
      </w:r>
    </w:p>
    <w:p w14:paraId="280242A7" w14:textId="77777777" w:rsidR="00165F6F" w:rsidRPr="008B52CA" w:rsidRDefault="00165F6F" w:rsidP="008B52CA">
      <w:pPr>
        <w:pStyle w:val="Prrafodelista"/>
        <w:spacing w:line="360" w:lineRule="auto"/>
        <w:ind w:left="720"/>
        <w:jc w:val="both"/>
        <w:rPr>
          <w:rFonts w:ascii="Arial Narrow" w:hAnsi="Arial Narrow" w:cstheme="majorHAnsi"/>
        </w:rPr>
      </w:pPr>
    </w:p>
    <w:p w14:paraId="0B3A15CB" w14:textId="7399D0B2" w:rsidR="00F77489" w:rsidRPr="00F77489" w:rsidRDefault="40CBEE00" w:rsidP="00F77489">
      <w:pPr>
        <w:pStyle w:val="Prrafodelista"/>
        <w:numPr>
          <w:ilvl w:val="0"/>
          <w:numId w:val="16"/>
        </w:numPr>
        <w:spacing w:line="360" w:lineRule="auto"/>
        <w:jc w:val="both"/>
        <w:rPr>
          <w:rFonts w:ascii="Arial Narrow" w:hAnsi="Arial Narrow"/>
        </w:rPr>
      </w:pPr>
      <w:r w:rsidRPr="7ADC9043">
        <w:rPr>
          <w:rFonts w:ascii="Arial Narrow" w:hAnsi="Arial Narrow" w:cstheme="majorBidi"/>
        </w:rPr>
        <w:t xml:space="preserve">Elaboración del informe </w:t>
      </w:r>
      <w:r w:rsidR="3D5E7513" w:rsidRPr="7ADC9043">
        <w:rPr>
          <w:rFonts w:ascii="Arial Narrow" w:hAnsi="Arial Narrow" w:cstheme="majorBidi"/>
        </w:rPr>
        <w:t xml:space="preserve">1281-PLA-PE-2021 </w:t>
      </w:r>
      <w:r w:rsidRPr="7ADC9043">
        <w:rPr>
          <w:rFonts w:ascii="Arial Narrow" w:hAnsi="Arial Narrow" w:cstheme="majorBidi"/>
        </w:rPr>
        <w:t xml:space="preserve">relacionado con </w:t>
      </w:r>
      <w:r w:rsidR="3D5E7513" w:rsidRPr="7ADC9043">
        <w:rPr>
          <w:rFonts w:ascii="Arial Narrow" w:hAnsi="Arial Narrow" w:cstheme="majorBidi"/>
        </w:rPr>
        <w:t>una solicitud de ajuste de los valores esperados para diferentes materias del país. Este oficio está en proceso de ser conocido</w:t>
      </w:r>
      <w:r w:rsidR="3D5E7513" w:rsidRPr="7ADC9043">
        <w:rPr>
          <w:rFonts w:ascii="Arial Narrow" w:hAnsi="Arial Narrow"/>
        </w:rPr>
        <w:t xml:space="preserve"> por Corte Plena.</w:t>
      </w:r>
    </w:p>
    <w:p w14:paraId="5E65831E" w14:textId="77777777" w:rsidR="00F77489" w:rsidRPr="00F77489" w:rsidRDefault="00F77489" w:rsidP="00F77489">
      <w:pPr>
        <w:pStyle w:val="Prrafodelista"/>
        <w:spacing w:line="360" w:lineRule="auto"/>
        <w:ind w:left="720"/>
        <w:jc w:val="both"/>
        <w:rPr>
          <w:rFonts w:ascii="Arial Narrow" w:hAnsi="Arial Narrow"/>
        </w:rPr>
      </w:pPr>
    </w:p>
    <w:p w14:paraId="5ABFB288" w14:textId="455119A8" w:rsidR="00F77489" w:rsidRPr="00F77489" w:rsidRDefault="3D5E7513" w:rsidP="00F77489">
      <w:pPr>
        <w:pStyle w:val="Prrafodelista"/>
        <w:numPr>
          <w:ilvl w:val="0"/>
          <w:numId w:val="16"/>
        </w:numPr>
        <w:spacing w:line="360" w:lineRule="auto"/>
        <w:jc w:val="both"/>
        <w:rPr>
          <w:rFonts w:ascii="Arial Narrow" w:hAnsi="Arial Narrow"/>
        </w:rPr>
      </w:pPr>
      <w:r w:rsidRPr="7ADC9043">
        <w:rPr>
          <w:rFonts w:ascii="Arial Narrow" w:hAnsi="Arial Narrow"/>
        </w:rPr>
        <w:t>Elaboración del informe 91-PLA-PE-2022 del 28 de enero de 2022, el cual fue aprobado en sesión 14-2022 celebrada el 17 de febrero del 2022, artículo  XLVIII, que menciona la propuesta para la gestión de los alineamientos estratégicos (procedimiento asociado al Subproceso de la Gestión de Solicitudes de Alineamiento Estratégico), el cual define las actividades que se desarrollan a partir del momento en que una oficina o despacho judicial plantea una solicitud de alineamiento estratégico, que implica la valoración para los ajustes a cualquiera de los componentes del Plan Estratégico Institucional (PEI), hasta el momento en que la Corte Plena conoce y aprueba la solicitud del alineamiento estratégico planteado y su ejecución.</w:t>
      </w:r>
    </w:p>
    <w:p w14:paraId="4E19BDB4" w14:textId="194ECA10" w:rsidR="7ADC9043" w:rsidRPr="00C37F50" w:rsidRDefault="7ADC9043">
      <w:pPr>
        <w:pStyle w:val="Prrafodelista"/>
        <w:numPr>
          <w:ilvl w:val="0"/>
          <w:numId w:val="16"/>
        </w:numPr>
        <w:spacing w:line="360" w:lineRule="auto"/>
        <w:jc w:val="both"/>
        <w:rPr>
          <w:rFonts w:ascii="Arial Narrow" w:hAnsi="Arial Narrow"/>
          <w:lang w:val="es-ES"/>
        </w:rPr>
      </w:pPr>
      <w:r w:rsidRPr="7ADC9043">
        <w:rPr>
          <w:rFonts w:ascii="Arial Narrow" w:hAnsi="Arial Narrow"/>
        </w:rPr>
        <w:t xml:space="preserve">Elaboración del oficio </w:t>
      </w:r>
      <w:r w:rsidRPr="00C37F50">
        <w:rPr>
          <w:rFonts w:ascii="Arial Narrow" w:hAnsi="Arial Narrow"/>
          <w:lang w:val="es-ES"/>
        </w:rPr>
        <w:t>216-PLA-EV-2022 del 17 de marzo de 2022</w:t>
      </w:r>
      <w:r w:rsidRPr="7ADC9043">
        <w:rPr>
          <w:rFonts w:ascii="Arial Narrow" w:hAnsi="Arial Narrow"/>
          <w:lang w:val="es-ES"/>
        </w:rPr>
        <w:t xml:space="preserve"> que detalla </w:t>
      </w:r>
      <w:r w:rsidRPr="00C37F50">
        <w:rPr>
          <w:rFonts w:ascii="Arial Narrow" w:hAnsi="Arial Narrow"/>
          <w:lang w:val="es-ES"/>
        </w:rPr>
        <w:t>informe de seguimiento al avance en el cumplimiento del PEI</w:t>
      </w:r>
      <w:r w:rsidRPr="7ADC9043">
        <w:rPr>
          <w:rFonts w:ascii="Arial Narrow" w:hAnsi="Arial Narrow"/>
          <w:lang w:val="es-ES"/>
        </w:rPr>
        <w:t xml:space="preserve">, por medio de ese oficio se explica y se detalla que </w:t>
      </w:r>
      <w:r w:rsidRPr="00C37F50">
        <w:rPr>
          <w:rFonts w:ascii="Arial Narrow" w:hAnsi="Arial Narrow"/>
          <w:lang w:val="es-ES"/>
        </w:rPr>
        <w:t xml:space="preserve">el Subproceso de Evaluación efectúa dos informes anuales relacionados con el Plan Estratégico Institucional, uno de ellos corresponde a una evaluación de resultados en la cual se verifica el cumplimiento total o parcial de las metas estratégicas de un año cerrado, esta evaluación se fundamenta en la información contenida en el sistema PEI y como resultado, se obtiene el grado de avance anual de cada componente del PEI; lo anterior, a través de la valoración directa del grado de cumplimiento de la meta estratégica y al avance reportado por la oficina u oficinas responsables por medio de las metas operativas vinculadas al Sistema PAO.  </w:t>
      </w:r>
    </w:p>
    <w:p w14:paraId="4EA467A9" w14:textId="27FFADEB" w:rsidR="7ADC9043" w:rsidRPr="00C37F50" w:rsidRDefault="7ADC9043" w:rsidP="00C37F50">
      <w:pPr>
        <w:pStyle w:val="Prrafodelista"/>
        <w:numPr>
          <w:ilvl w:val="0"/>
          <w:numId w:val="16"/>
        </w:numPr>
        <w:spacing w:line="360" w:lineRule="auto"/>
        <w:jc w:val="both"/>
        <w:rPr>
          <w:rFonts w:eastAsia="Calibri" w:cs="Calibri"/>
          <w:b/>
          <w:bCs/>
          <w:sz w:val="22"/>
          <w:szCs w:val="22"/>
          <w:lang w:val="es-ES"/>
        </w:rPr>
      </w:pPr>
      <w:r w:rsidRPr="00C37F50">
        <w:rPr>
          <w:rFonts w:ascii="Arial Narrow" w:hAnsi="Arial Narrow"/>
          <w:lang w:val="es-ES"/>
        </w:rPr>
        <w:t>El segundo es un informe de seguimiento en el que se detalla el cumplimiento de la meta estratégica con corte mínimo al primer semestre del año que se cursa para que cada responsable estratégico pueda tomar decisiones rápidas en cuanto al cumplimiento y actualizar el sistema en el mismo año</w:t>
      </w:r>
      <w:r w:rsidRPr="5D9B8436">
        <w:rPr>
          <w:rFonts w:ascii="Arial Narrow" w:hAnsi="Arial Narrow"/>
          <w:lang w:val="es-ES"/>
        </w:rPr>
        <w:t xml:space="preserve">. Este oficio fue conocido en </w:t>
      </w:r>
      <w:r w:rsidR="00C37F50" w:rsidRPr="00C37F50">
        <w:rPr>
          <w:rFonts w:ascii="Arial Narrow" w:hAnsi="Arial Narrow"/>
          <w:lang w:val="es-ES"/>
        </w:rPr>
        <w:t>sesión 27</w:t>
      </w:r>
      <w:r w:rsidRPr="00C37F50">
        <w:rPr>
          <w:rFonts w:ascii="Arial Narrow" w:hAnsi="Arial Narrow"/>
          <w:lang w:val="es-ES"/>
        </w:rPr>
        <w:t>-2022 celebrada el 29 de marzo del 2022</w:t>
      </w:r>
      <w:r w:rsidRPr="5D9B8436">
        <w:rPr>
          <w:rFonts w:ascii="Arial Narrow" w:hAnsi="Arial Narrow"/>
          <w:lang w:val="es-ES"/>
        </w:rPr>
        <w:t xml:space="preserve">, articulo XXXII, por medio del cual se aprueba: </w:t>
      </w:r>
      <w:r w:rsidRPr="00C37F50">
        <w:rPr>
          <w:rFonts w:ascii="Arial Narrow" w:hAnsi="Arial Narrow"/>
          <w:i/>
          <w:iCs/>
          <w:lang w:val="es-ES"/>
        </w:rPr>
        <w:t>1.) Tener por rendido el oficio número 216-PLA-EV-2022 del 17 de marzo de 2022, suscrito por el máster Erick Antonio Mora Leiva, Jefe de Proceso de Planeación y Evaluación, que contiene el informe suscrito por la licenciada Rocío Picado Vargas, Jefa interina del Subproceso de Evaluación, mediante el cual aclara el procedimiento que se realiza a los seguimientos de avance de cumplimiento del PEI. 2.) Estar a la espera del informe del PEI Evaluación anual del año 2021, que actualmente el Subproceso de Evaluación se encuentra elaborando.”</w:t>
      </w:r>
    </w:p>
    <w:p w14:paraId="2F38C5DC" w14:textId="1F9B762A" w:rsidR="00AE1BAD" w:rsidRDefault="00AE1BAD">
      <w:r>
        <w:br w:type="page"/>
      </w:r>
    </w:p>
    <w:p w14:paraId="3CAB12B1" w14:textId="768075AE" w:rsidR="00B87E09" w:rsidRPr="000B4845" w:rsidRDefault="5BB22478" w:rsidP="000C6F8D">
      <w:pPr>
        <w:pStyle w:val="Ttulo1"/>
      </w:pPr>
      <w:bookmarkStart w:id="25" w:name="_Toc106355264"/>
      <w:r>
        <w:t>Objetivo de la Evaluación</w:t>
      </w:r>
      <w:bookmarkEnd w:id="25"/>
      <w:r>
        <w:t xml:space="preserve"> </w:t>
      </w:r>
    </w:p>
    <w:p w14:paraId="34DE0D2E" w14:textId="09F8D9A9" w:rsidR="00D2631B" w:rsidRDefault="00D2631B" w:rsidP="00EE0ABF"/>
    <w:p w14:paraId="328E6E06" w14:textId="77777777" w:rsidR="000B1638" w:rsidRPr="00475731" w:rsidRDefault="000B1638" w:rsidP="00322D9B">
      <w:pPr>
        <w:rPr>
          <w:b/>
          <w:bCs/>
        </w:rPr>
      </w:pPr>
    </w:p>
    <w:p w14:paraId="038E4B46" w14:textId="48F71FAF" w:rsidR="005305D8" w:rsidRDefault="003A3D13" w:rsidP="00704B08">
      <w:pPr>
        <w:spacing w:line="360" w:lineRule="auto"/>
        <w:jc w:val="both"/>
        <w:rPr>
          <w:rFonts w:ascii="Arial Narrow" w:hAnsi="Arial Narrow"/>
        </w:rPr>
      </w:pPr>
      <w:r w:rsidRPr="00475731">
        <w:rPr>
          <w:rFonts w:ascii="Arial Narrow" w:hAnsi="Arial Narrow"/>
          <w:b/>
          <w:bCs/>
        </w:rPr>
        <w:t>Objetivo General:</w:t>
      </w:r>
      <w:r>
        <w:rPr>
          <w:rFonts w:ascii="Arial Narrow" w:hAnsi="Arial Narrow"/>
        </w:rPr>
        <w:t xml:space="preserve"> </w:t>
      </w:r>
      <w:r w:rsidR="000B1638">
        <w:rPr>
          <w:rFonts w:ascii="Arial Narrow" w:hAnsi="Arial Narrow"/>
        </w:rPr>
        <w:t>R</w:t>
      </w:r>
      <w:r w:rsidR="004E44F8" w:rsidRPr="00FE5023">
        <w:rPr>
          <w:rFonts w:ascii="Arial Narrow" w:hAnsi="Arial Narrow"/>
        </w:rPr>
        <w:t>e</w:t>
      </w:r>
      <w:r>
        <w:rPr>
          <w:rFonts w:ascii="Arial Narrow" w:hAnsi="Arial Narrow"/>
        </w:rPr>
        <w:t xml:space="preserve">alimentar </w:t>
      </w:r>
      <w:r w:rsidR="004E44F8" w:rsidRPr="00FE5023">
        <w:rPr>
          <w:rFonts w:ascii="Arial Narrow" w:hAnsi="Arial Narrow"/>
        </w:rPr>
        <w:t xml:space="preserve">a las oficinas responsables </w:t>
      </w:r>
      <w:r w:rsidR="00FE5A60">
        <w:rPr>
          <w:rFonts w:ascii="Arial Narrow" w:hAnsi="Arial Narrow"/>
        </w:rPr>
        <w:t xml:space="preserve">estratégicos </w:t>
      </w:r>
      <w:r>
        <w:rPr>
          <w:rFonts w:ascii="Arial Narrow" w:hAnsi="Arial Narrow"/>
        </w:rPr>
        <w:t xml:space="preserve">y a los órganos superiores sobre los resultados </w:t>
      </w:r>
      <w:r w:rsidR="004E44F8" w:rsidRPr="00FE5023">
        <w:rPr>
          <w:rFonts w:ascii="Arial Narrow" w:hAnsi="Arial Narrow"/>
        </w:rPr>
        <w:t>de metas estratégicas para la toma de decisiones, la rendición de cuentas y la transparencia en el cumplimiento del Plan Estratégico Institucional</w:t>
      </w:r>
      <w:r>
        <w:rPr>
          <w:rFonts w:ascii="Arial Narrow" w:hAnsi="Arial Narrow"/>
        </w:rPr>
        <w:t xml:space="preserve"> para el año 2021</w:t>
      </w:r>
      <w:r w:rsidR="00FE5A60">
        <w:rPr>
          <w:rFonts w:ascii="Arial Narrow" w:hAnsi="Arial Narrow"/>
        </w:rPr>
        <w:t xml:space="preserve"> en aras de mejorar el cumplimiento para los años restantes del periodo del PEI.</w:t>
      </w:r>
    </w:p>
    <w:p w14:paraId="7517AA83" w14:textId="4D698D38" w:rsidR="00E20841" w:rsidRDefault="00E20841" w:rsidP="00704B08">
      <w:pPr>
        <w:spacing w:line="360" w:lineRule="auto"/>
        <w:jc w:val="both"/>
        <w:rPr>
          <w:rFonts w:ascii="Arial Narrow" w:hAnsi="Arial Narrow"/>
          <w:b/>
          <w:bCs/>
        </w:rPr>
      </w:pPr>
    </w:p>
    <w:p w14:paraId="5965BB29" w14:textId="157DA41C" w:rsidR="00EE0ABF" w:rsidRPr="00322D9B" w:rsidRDefault="00EE0ABF" w:rsidP="000C6F8D">
      <w:pPr>
        <w:pStyle w:val="Ttulo1"/>
      </w:pPr>
      <w:bookmarkStart w:id="26" w:name="_Toc106355265"/>
      <w:r w:rsidRPr="00C8209D">
        <w:t>Resultados del Cumplimiento del Plan Estratégico Institucional del año 2021</w:t>
      </w:r>
      <w:bookmarkEnd w:id="26"/>
    </w:p>
    <w:p w14:paraId="1E7E52D1" w14:textId="77777777" w:rsidR="00AD3147" w:rsidRDefault="00AD3147" w:rsidP="00EE0ABF">
      <w:pPr>
        <w:rPr>
          <w:rFonts w:eastAsia="Calibri"/>
          <w:lang w:val="es-CR"/>
        </w:rPr>
      </w:pPr>
    </w:p>
    <w:p w14:paraId="757B0660" w14:textId="77777777" w:rsidR="00AD3147" w:rsidRDefault="00AD3147" w:rsidP="00EE0ABF">
      <w:pPr>
        <w:rPr>
          <w:rFonts w:eastAsia="Calibri"/>
          <w:lang w:val="es-CR"/>
        </w:rPr>
      </w:pPr>
    </w:p>
    <w:p w14:paraId="24661B13" w14:textId="49BFD179" w:rsidR="00AB78AD" w:rsidRPr="00097941" w:rsidRDefault="00AB78AD" w:rsidP="00322D9B">
      <w:pPr>
        <w:pStyle w:val="Ttulo2"/>
      </w:pPr>
      <w:bookmarkStart w:id="27" w:name="_Toc106355266"/>
      <w:r w:rsidRPr="00097941">
        <w:t>Tema estratégico: Resolución Oportuna de Conflictos</w:t>
      </w:r>
      <w:bookmarkEnd w:id="27"/>
      <w:r w:rsidR="000B0449" w:rsidRPr="00097941">
        <w:t xml:space="preserve">   </w:t>
      </w:r>
    </w:p>
    <w:p w14:paraId="7C295B26" w14:textId="77777777" w:rsidR="00AB78AD" w:rsidRPr="00B21AFC" w:rsidRDefault="00AB78AD" w:rsidP="00AB78AD">
      <w:pPr>
        <w:rPr>
          <w:rFonts w:ascii="Arial Narrow" w:eastAsia="Calibri" w:hAnsi="Arial Narrow"/>
          <w:lang w:eastAsia="en-US"/>
        </w:rPr>
      </w:pPr>
    </w:p>
    <w:p w14:paraId="0A70FD25" w14:textId="77777777" w:rsidR="0095033E" w:rsidRDefault="0095033E" w:rsidP="00AB78AD">
      <w:pPr>
        <w:spacing w:line="360" w:lineRule="auto"/>
        <w:jc w:val="both"/>
        <w:rPr>
          <w:rFonts w:ascii="Arial Narrow" w:eastAsia="Calibri" w:hAnsi="Arial Narrow"/>
          <w:lang w:eastAsia="en-US"/>
        </w:rPr>
      </w:pPr>
    </w:p>
    <w:p w14:paraId="599ACA4C" w14:textId="00DBC714" w:rsidR="00AB78AD" w:rsidRPr="00B21AFC" w:rsidRDefault="00AB78AD" w:rsidP="00AB78AD">
      <w:pPr>
        <w:spacing w:line="360" w:lineRule="auto"/>
        <w:jc w:val="both"/>
        <w:rPr>
          <w:rFonts w:ascii="Arial Narrow" w:eastAsia="Calibri" w:hAnsi="Arial Narrow"/>
          <w:lang w:eastAsia="en-US"/>
        </w:rPr>
      </w:pPr>
      <w:r w:rsidRPr="00B21AFC">
        <w:rPr>
          <w:rFonts w:ascii="Arial Narrow" w:eastAsia="Calibri" w:hAnsi="Arial Narrow"/>
          <w:lang w:eastAsia="en-US"/>
        </w:rPr>
        <w:t>Este tema consiste en Resolver conflictos de forma imparcial, célere y eficaz, para contribuir con la democracia y la paz social. Tiene como grandes acciones estratégicas:</w:t>
      </w:r>
    </w:p>
    <w:p w14:paraId="224FAB70" w14:textId="77777777" w:rsidR="00AB78AD" w:rsidRPr="00B21AFC" w:rsidRDefault="00AB78AD" w:rsidP="00AB78AD">
      <w:pPr>
        <w:spacing w:line="360" w:lineRule="auto"/>
        <w:jc w:val="both"/>
        <w:rPr>
          <w:rFonts w:ascii="Arial Narrow" w:eastAsia="Calibri" w:hAnsi="Arial Narrow"/>
          <w:lang w:eastAsia="en-US"/>
        </w:rPr>
      </w:pPr>
    </w:p>
    <w:p w14:paraId="6570BBC1" w14:textId="39589D82" w:rsidR="00AB78AD" w:rsidRPr="00B21AFC" w:rsidRDefault="00AB78AD" w:rsidP="004C54E1">
      <w:pPr>
        <w:pStyle w:val="Prrafodelista"/>
        <w:numPr>
          <w:ilvl w:val="0"/>
          <w:numId w:val="11"/>
        </w:numPr>
        <w:spacing w:line="360" w:lineRule="auto"/>
        <w:jc w:val="both"/>
        <w:rPr>
          <w:rFonts w:ascii="Arial Narrow" w:eastAsia="Calibri" w:hAnsi="Arial Narrow"/>
          <w:lang w:eastAsia="en-US"/>
        </w:rPr>
      </w:pPr>
      <w:r w:rsidRPr="00B21AFC">
        <w:rPr>
          <w:rFonts w:ascii="Arial Narrow" w:eastAsia="Calibri" w:hAnsi="Arial Narrow"/>
          <w:b/>
          <w:bCs/>
          <w:lang w:eastAsia="en-US"/>
        </w:rPr>
        <w:t>Abordaje integral a la criminalidad:</w:t>
      </w:r>
      <w:r w:rsidRPr="00B21AFC">
        <w:rPr>
          <w:rFonts w:ascii="Arial Narrow" w:eastAsia="Calibri" w:hAnsi="Arial Narrow"/>
          <w:lang w:eastAsia="en-US"/>
        </w:rPr>
        <w:t xml:space="preserve"> Definir e implementar una política de persecución penal y abordaje de la criminalidad, acorde a las realidades sociales y la criminalidad del país. </w:t>
      </w:r>
    </w:p>
    <w:p w14:paraId="30DFD3AD" w14:textId="77777777" w:rsidR="00AB78AD" w:rsidRPr="00B21AFC" w:rsidRDefault="00AB78AD" w:rsidP="004C54E1">
      <w:pPr>
        <w:pStyle w:val="Prrafodelista"/>
        <w:numPr>
          <w:ilvl w:val="0"/>
          <w:numId w:val="11"/>
        </w:numPr>
        <w:spacing w:line="360" w:lineRule="auto"/>
        <w:jc w:val="both"/>
        <w:rPr>
          <w:rFonts w:ascii="Arial Narrow" w:eastAsia="Calibri" w:hAnsi="Arial Narrow"/>
          <w:lang w:eastAsia="en-US"/>
        </w:rPr>
      </w:pPr>
      <w:r w:rsidRPr="00B21AFC">
        <w:rPr>
          <w:rFonts w:ascii="Arial Narrow" w:eastAsia="Calibri" w:hAnsi="Arial Narrow"/>
          <w:b/>
          <w:bCs/>
          <w:lang w:eastAsia="en-US"/>
        </w:rPr>
        <w:t>Celeridad judicial:</w:t>
      </w:r>
      <w:r w:rsidRPr="00B21AFC">
        <w:rPr>
          <w:rFonts w:ascii="Arial Narrow" w:eastAsia="Calibri" w:hAnsi="Arial Narrow"/>
          <w:lang w:eastAsia="en-US"/>
        </w:rPr>
        <w:t xml:space="preserve"> Implementar mecanismos de gestión que permitan aumentar la celeridad judicial de los juzgados y oficinas judiciales. </w:t>
      </w:r>
    </w:p>
    <w:p w14:paraId="15C8514B" w14:textId="77777777" w:rsidR="00AB78AD" w:rsidRPr="00B21AFC" w:rsidRDefault="00AB78AD" w:rsidP="004C54E1">
      <w:pPr>
        <w:pStyle w:val="Prrafodelista"/>
        <w:numPr>
          <w:ilvl w:val="0"/>
          <w:numId w:val="11"/>
        </w:numPr>
        <w:spacing w:line="360" w:lineRule="auto"/>
        <w:jc w:val="both"/>
        <w:rPr>
          <w:rFonts w:ascii="Arial Narrow" w:eastAsia="Calibri" w:hAnsi="Arial Narrow"/>
          <w:lang w:eastAsia="en-US"/>
        </w:rPr>
      </w:pPr>
      <w:r w:rsidRPr="00B21AFC">
        <w:rPr>
          <w:rFonts w:ascii="Arial Narrow" w:eastAsia="Calibri" w:hAnsi="Arial Narrow"/>
          <w:b/>
          <w:bCs/>
          <w:lang w:eastAsia="en-US"/>
        </w:rPr>
        <w:t>Medidas alternas:</w:t>
      </w:r>
      <w:r w:rsidRPr="00B21AFC">
        <w:rPr>
          <w:rFonts w:ascii="Arial Narrow" w:eastAsia="Calibri" w:hAnsi="Arial Narrow"/>
          <w:lang w:eastAsia="en-US"/>
        </w:rPr>
        <w:t xml:space="preserve"> Fortalecer la aplicación de las medidas alternas en la solución de conflictos, que contribuyan a agilizar los procesos judiciales y fomentar la paz social. </w:t>
      </w:r>
    </w:p>
    <w:p w14:paraId="40E35BA0" w14:textId="77777777" w:rsidR="00AB78AD" w:rsidRPr="000B4845" w:rsidRDefault="00AB78AD" w:rsidP="004C54E1">
      <w:pPr>
        <w:pStyle w:val="Prrafodelista"/>
        <w:numPr>
          <w:ilvl w:val="0"/>
          <w:numId w:val="11"/>
        </w:numPr>
        <w:spacing w:line="360" w:lineRule="auto"/>
        <w:jc w:val="both"/>
        <w:rPr>
          <w:rFonts w:ascii="Arial Narrow" w:eastAsia="Calibri" w:hAnsi="Arial Narrow"/>
          <w:lang w:eastAsia="en-US"/>
        </w:rPr>
      </w:pPr>
      <w:r w:rsidRPr="00B21AFC">
        <w:rPr>
          <w:rFonts w:ascii="Arial Narrow" w:eastAsia="Calibri" w:hAnsi="Arial Narrow"/>
          <w:b/>
          <w:bCs/>
          <w:lang w:eastAsia="en-US"/>
        </w:rPr>
        <w:t>Justicia Restaurativa</w:t>
      </w:r>
      <w:r w:rsidRPr="00B21AFC">
        <w:rPr>
          <w:rFonts w:ascii="Arial Narrow" w:eastAsia="Calibri" w:hAnsi="Arial Narrow"/>
          <w:lang w:eastAsia="en-US"/>
        </w:rPr>
        <w:t>: Fortalecer a nivel nacional la Justicia Restaurativa para agilizar la resolución de los procesos judiciales</w:t>
      </w:r>
      <w:r w:rsidRPr="000B4845">
        <w:rPr>
          <w:rFonts w:ascii="Arial Narrow" w:eastAsia="Calibri" w:hAnsi="Arial Narrow"/>
          <w:lang w:eastAsia="en-US"/>
        </w:rPr>
        <w:t xml:space="preserve"> y fomentar a la paz social.</w:t>
      </w:r>
    </w:p>
    <w:p w14:paraId="6D3ED77F" w14:textId="77777777" w:rsidR="00AB78AD" w:rsidRPr="000B4845" w:rsidRDefault="00AB78AD" w:rsidP="00AB78AD">
      <w:pPr>
        <w:rPr>
          <w:rFonts w:ascii="Arial Narrow" w:eastAsia="Calibri" w:hAnsi="Arial Narrow"/>
          <w:lang w:eastAsia="en-US"/>
        </w:rPr>
      </w:pPr>
    </w:p>
    <w:p w14:paraId="1EDE2331" w14:textId="77777777" w:rsidR="00AB78AD" w:rsidRPr="000B4845" w:rsidRDefault="00AB78AD" w:rsidP="00AB78AD">
      <w:pPr>
        <w:rPr>
          <w:rFonts w:ascii="Arial Narrow" w:eastAsia="Calibri" w:hAnsi="Arial Narrow"/>
          <w:lang w:eastAsia="en-US"/>
        </w:rPr>
      </w:pPr>
    </w:p>
    <w:p w14:paraId="1EF8C657" w14:textId="77777777" w:rsidR="00AB78AD" w:rsidRDefault="00AB78AD" w:rsidP="00AB78AD">
      <w:pPr>
        <w:rPr>
          <w:rFonts w:ascii="Arial Narrow" w:eastAsia="Calibri" w:hAnsi="Arial Narrow"/>
          <w:lang w:eastAsia="en-US"/>
        </w:rPr>
      </w:pPr>
      <w:r>
        <w:rPr>
          <w:rFonts w:ascii="Arial Narrow" w:eastAsia="Calibri" w:hAnsi="Arial Narrow"/>
          <w:lang w:eastAsia="en-US"/>
        </w:rPr>
        <w:t>Se presenta el análisis de metas estratégicas agrupadas por la acción estratégica a la que pertenecen:</w:t>
      </w:r>
    </w:p>
    <w:p w14:paraId="48DDB738" w14:textId="17200780" w:rsidR="00AB78AD" w:rsidRDefault="00AB78AD" w:rsidP="00AB78AD">
      <w:pPr>
        <w:rPr>
          <w:rFonts w:ascii="Arial Narrow" w:eastAsia="Calibri" w:hAnsi="Arial Narrow"/>
          <w:lang w:eastAsia="en-US"/>
        </w:rPr>
      </w:pPr>
    </w:p>
    <w:p w14:paraId="42CC7093" w14:textId="66D0C8DC" w:rsidR="00AE1BAD" w:rsidRDefault="00AE1BAD">
      <w:pPr>
        <w:rPr>
          <w:rFonts w:eastAsia="Calibri"/>
          <w:lang w:eastAsia="en-US"/>
        </w:rPr>
      </w:pPr>
      <w:r>
        <w:rPr>
          <w:rFonts w:eastAsia="Calibri"/>
          <w:lang w:eastAsia="en-US"/>
        </w:rPr>
        <w:br w:type="page"/>
      </w:r>
    </w:p>
    <w:p w14:paraId="7CCAC159" w14:textId="7CC01CCA" w:rsidR="00AB78AD" w:rsidRPr="00322D9B" w:rsidRDefault="00AB78AD" w:rsidP="00322D9B">
      <w:pPr>
        <w:pStyle w:val="Ttulo3"/>
        <w:numPr>
          <w:ilvl w:val="2"/>
          <w:numId w:val="106"/>
        </w:numPr>
        <w:rPr>
          <w:rFonts w:ascii="Arial Narrow" w:eastAsia="Calibri" w:hAnsi="Arial Narrow"/>
        </w:rPr>
      </w:pPr>
      <w:bookmarkStart w:id="28" w:name="_Toc106355267"/>
      <w:r w:rsidRPr="00322D9B">
        <w:rPr>
          <w:rFonts w:ascii="Arial Narrow" w:eastAsia="Calibri" w:hAnsi="Arial Narrow"/>
        </w:rPr>
        <w:t>Abordaje integral a la criminalidad</w:t>
      </w:r>
      <w:bookmarkEnd w:id="28"/>
    </w:p>
    <w:p w14:paraId="1F4978F1" w14:textId="5181DA8D" w:rsidR="00EE0ABF" w:rsidRDefault="00EE0ABF" w:rsidP="00EE0ABF">
      <w:pPr>
        <w:rPr>
          <w:rFonts w:eastAsia="Calibri"/>
        </w:rPr>
      </w:pPr>
    </w:p>
    <w:p w14:paraId="7DAA31C7" w14:textId="77777777" w:rsidR="00EE0ABF" w:rsidRPr="00DF18F7" w:rsidRDefault="00EE0ABF" w:rsidP="00322D9B">
      <w:pPr>
        <w:rPr>
          <w:rFonts w:eastAsia="Calibri"/>
        </w:rPr>
      </w:pPr>
    </w:p>
    <w:p w14:paraId="46D8EAAC" w14:textId="77777777" w:rsidR="00342AA0" w:rsidRPr="00342AA0" w:rsidRDefault="00342AA0" w:rsidP="00342AA0">
      <w:pPr>
        <w:rPr>
          <w:rFonts w:ascii="Arial Narrow" w:eastAsia="Calibri" w:hAnsi="Arial Narrow"/>
          <w:lang w:eastAsia="en-US"/>
        </w:rPr>
      </w:pPr>
    </w:p>
    <w:p w14:paraId="54B13410" w14:textId="77777777" w:rsidR="006A1350" w:rsidRDefault="00342AA0" w:rsidP="00342AA0">
      <w:pPr>
        <w:rPr>
          <w:rFonts w:ascii="Arial Narrow" w:eastAsia="Calibri" w:hAnsi="Arial Narrow"/>
          <w:lang w:eastAsia="en-US"/>
        </w:rPr>
      </w:pPr>
      <w:r w:rsidRPr="00342AA0">
        <w:rPr>
          <w:rFonts w:ascii="Arial Narrow" w:eastAsia="Calibri" w:hAnsi="Arial Narrow"/>
          <w:lang w:eastAsia="en-US"/>
        </w:rPr>
        <w:t xml:space="preserve">Se </w:t>
      </w:r>
      <w:r w:rsidRPr="006A1350">
        <w:rPr>
          <w:rFonts w:ascii="Arial Narrow" w:eastAsia="Calibri" w:hAnsi="Arial Narrow"/>
          <w:lang w:eastAsia="en-US"/>
        </w:rPr>
        <w:t xml:space="preserve">observan </w:t>
      </w:r>
      <w:r w:rsidR="004D61D6" w:rsidRPr="006A1350">
        <w:rPr>
          <w:rFonts w:ascii="Arial Narrow" w:eastAsia="Calibri" w:hAnsi="Arial Narrow"/>
          <w:lang w:eastAsia="en-US"/>
        </w:rPr>
        <w:t>4</w:t>
      </w:r>
      <w:r w:rsidRPr="006A1350">
        <w:rPr>
          <w:rFonts w:ascii="Arial Narrow" w:eastAsia="Calibri" w:hAnsi="Arial Narrow"/>
          <w:lang w:eastAsia="en-US"/>
        </w:rPr>
        <w:t xml:space="preserve"> metas estratégicas</w:t>
      </w:r>
      <w:r w:rsidRPr="00342AA0">
        <w:rPr>
          <w:rFonts w:ascii="Arial Narrow" w:eastAsia="Calibri" w:hAnsi="Arial Narrow"/>
          <w:lang w:eastAsia="en-US"/>
        </w:rPr>
        <w:t xml:space="preserve"> de las cuales todas muestran una ejecución alta en su cumplimiento. </w:t>
      </w:r>
    </w:p>
    <w:p w14:paraId="54023325" w14:textId="77777777" w:rsidR="006A1350" w:rsidRDefault="006A1350" w:rsidP="00342AA0">
      <w:pPr>
        <w:rPr>
          <w:rFonts w:ascii="Arial Narrow" w:eastAsia="Calibri" w:hAnsi="Arial Narrow"/>
          <w:lang w:eastAsia="en-US"/>
        </w:rPr>
      </w:pPr>
    </w:p>
    <w:p w14:paraId="096863A7" w14:textId="2D2733FD" w:rsidR="00AB78AD" w:rsidRPr="000B4845" w:rsidRDefault="00342AA0" w:rsidP="00342AA0">
      <w:pPr>
        <w:rPr>
          <w:rFonts w:ascii="Arial Narrow" w:eastAsia="Calibri" w:hAnsi="Arial Narrow"/>
          <w:lang w:eastAsia="en-US"/>
        </w:rPr>
      </w:pPr>
      <w:r w:rsidRPr="00342AA0">
        <w:rPr>
          <w:rFonts w:ascii="Arial Narrow" w:eastAsia="Calibri" w:hAnsi="Arial Narrow"/>
          <w:lang w:eastAsia="en-US"/>
        </w:rPr>
        <w:t>Se detalla a continuación las metas estratégicas y su cumplimiento para el 20</w:t>
      </w:r>
      <w:r>
        <w:rPr>
          <w:rFonts w:ascii="Arial Narrow" w:eastAsia="Calibri" w:hAnsi="Arial Narrow"/>
          <w:lang w:eastAsia="en-US"/>
        </w:rPr>
        <w:t>21</w:t>
      </w:r>
      <w:r w:rsidRPr="00342AA0">
        <w:rPr>
          <w:rFonts w:ascii="Arial Narrow" w:eastAsia="Calibri" w:hAnsi="Arial Narrow"/>
          <w:lang w:eastAsia="en-US"/>
        </w:rPr>
        <w:t>:</w:t>
      </w:r>
    </w:p>
    <w:p w14:paraId="695E6E34" w14:textId="77777777" w:rsidR="004D61D6" w:rsidRDefault="004D61D6" w:rsidP="004D61D6">
      <w:pPr>
        <w:ind w:left="372" w:firstLine="708"/>
        <w:rPr>
          <w:rFonts w:ascii="Arial Narrow" w:eastAsia="Calibri" w:hAnsi="Arial Narrow"/>
          <w:lang w:eastAsia="en-US"/>
        </w:rPr>
      </w:pPr>
    </w:p>
    <w:p w14:paraId="14966FE1" w14:textId="422FA603" w:rsidR="004D61D6" w:rsidRDefault="004D61D6" w:rsidP="00322D9B">
      <w:pPr>
        <w:jc w:val="center"/>
        <w:rPr>
          <w:rFonts w:eastAsia="Calibri"/>
        </w:rPr>
      </w:pPr>
      <w:bookmarkStart w:id="29" w:name="_Toc76062224"/>
      <w:r w:rsidRPr="00C847FC">
        <w:rPr>
          <w:rFonts w:ascii="Arial Narrow" w:hAnsi="Arial Narrow"/>
          <w:b/>
          <w:bCs/>
          <w:sz w:val="22"/>
          <w:szCs w:val="22"/>
        </w:rPr>
        <w:t xml:space="preserve">Cuadro  </w:t>
      </w:r>
      <w:r w:rsidRPr="00C847FC">
        <w:rPr>
          <w:rFonts w:ascii="Arial Narrow" w:hAnsi="Arial Narrow"/>
          <w:b/>
          <w:bCs/>
          <w:sz w:val="22"/>
          <w:szCs w:val="22"/>
        </w:rPr>
        <w:fldChar w:fldCharType="begin"/>
      </w:r>
      <w:r w:rsidRPr="00C847FC">
        <w:rPr>
          <w:rFonts w:ascii="Arial Narrow" w:hAnsi="Arial Narrow"/>
          <w:b/>
          <w:bCs/>
          <w:sz w:val="22"/>
          <w:szCs w:val="22"/>
        </w:rPr>
        <w:instrText xml:space="preserve"> SEQ Cuadro_No. \* ARABIC </w:instrText>
      </w:r>
      <w:r w:rsidRPr="00C847FC">
        <w:rPr>
          <w:rFonts w:ascii="Arial Narrow" w:hAnsi="Arial Narrow"/>
          <w:b/>
          <w:bCs/>
          <w:sz w:val="22"/>
          <w:szCs w:val="22"/>
        </w:rPr>
        <w:fldChar w:fldCharType="separate"/>
      </w:r>
      <w:r w:rsidR="002F520A">
        <w:rPr>
          <w:rFonts w:ascii="Arial Narrow" w:hAnsi="Arial Narrow"/>
          <w:b/>
          <w:bCs/>
          <w:noProof/>
          <w:sz w:val="22"/>
          <w:szCs w:val="22"/>
        </w:rPr>
        <w:t>1</w:t>
      </w:r>
      <w:r w:rsidRPr="00C847FC">
        <w:rPr>
          <w:rFonts w:ascii="Arial Narrow" w:hAnsi="Arial Narrow"/>
          <w:b/>
          <w:bCs/>
          <w:sz w:val="22"/>
          <w:szCs w:val="22"/>
        </w:rPr>
        <w:fldChar w:fldCharType="end"/>
      </w:r>
      <w:r w:rsidRPr="00C847FC">
        <w:rPr>
          <w:rFonts w:ascii="Arial Narrow" w:eastAsia="Calibri" w:hAnsi="Arial Narrow"/>
          <w:b/>
          <w:bCs/>
          <w:sz w:val="22"/>
          <w:szCs w:val="22"/>
          <w:lang w:eastAsia="en-US"/>
        </w:rPr>
        <w:t xml:space="preserve"> Metas estratégicas de Abordaje integral a la Criminalidad y su cumplimiento para el 20</w:t>
      </w:r>
      <w:bookmarkEnd w:id="29"/>
      <w:r>
        <w:rPr>
          <w:rFonts w:ascii="Arial Narrow" w:eastAsia="Calibri" w:hAnsi="Arial Narrow"/>
          <w:b/>
          <w:bCs/>
          <w:sz w:val="22"/>
          <w:szCs w:val="22"/>
          <w:lang w:eastAsia="en-US"/>
        </w:rPr>
        <w:t>21</w:t>
      </w:r>
    </w:p>
    <w:p w14:paraId="7D4F641C" w14:textId="38CCD254" w:rsidR="004D61D6" w:rsidRDefault="004D61D6" w:rsidP="00AB78AD">
      <w:pPr>
        <w:spacing w:line="360" w:lineRule="auto"/>
        <w:jc w:val="both"/>
        <w:rPr>
          <w:rFonts w:ascii="Arial Narrow" w:eastAsia="Calibri" w:hAnsi="Arial Narrow"/>
        </w:rPr>
      </w:pPr>
      <w:r>
        <w:rPr>
          <w:noProof/>
        </w:rPr>
        <w:drawing>
          <wp:inline distT="0" distB="0" distL="0" distR="0" wp14:anchorId="7649E4D9" wp14:editId="1F8D5FB1">
            <wp:extent cx="5924550" cy="1812290"/>
            <wp:effectExtent l="57150" t="57150" r="95250" b="9271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19" r="510"/>
                    <a:stretch/>
                  </pic:blipFill>
                  <pic:spPr bwMode="auto">
                    <a:xfrm>
                      <a:off x="0" y="0"/>
                      <a:ext cx="5924550" cy="1812290"/>
                    </a:xfrm>
                    <a:prstGeom prst="rect">
                      <a:avLst/>
                    </a:prstGeom>
                    <a:ln w="127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43FF327" w14:textId="1DB3C072" w:rsidR="004D61D6" w:rsidRDefault="004D61D6" w:rsidP="00F6691E">
      <w:pPr>
        <w:jc w:val="center"/>
        <w:rPr>
          <w:rFonts w:ascii="Arial Narrow" w:eastAsia="Calibri" w:hAnsi="Arial Narrow"/>
          <w:sz w:val="18"/>
          <w:szCs w:val="18"/>
          <w:lang w:eastAsia="en-US"/>
        </w:rPr>
      </w:pPr>
      <w:r w:rsidRPr="004619C9">
        <w:rPr>
          <w:rFonts w:ascii="Arial Narrow" w:eastAsia="Calibri" w:hAnsi="Arial Narrow"/>
          <w:b/>
          <w:bCs/>
          <w:sz w:val="18"/>
          <w:szCs w:val="18"/>
          <w:lang w:eastAsia="en-US"/>
        </w:rPr>
        <w:t>Fuente:</w:t>
      </w:r>
      <w:r w:rsidRPr="000B4845">
        <w:rPr>
          <w:rFonts w:ascii="Arial Narrow" w:eastAsia="Calibri" w:hAnsi="Arial Narrow"/>
          <w:sz w:val="18"/>
          <w:szCs w:val="18"/>
          <w:lang w:eastAsia="en-US"/>
        </w:rPr>
        <w:t xml:space="preserve"> Sistema PEI al </w:t>
      </w:r>
      <w:r>
        <w:rPr>
          <w:rFonts w:ascii="Arial Narrow" w:eastAsia="Calibri" w:hAnsi="Arial Narrow"/>
          <w:sz w:val="18"/>
          <w:szCs w:val="18"/>
          <w:lang w:eastAsia="en-US"/>
        </w:rPr>
        <w:t>19</w:t>
      </w:r>
      <w:r w:rsidRPr="000B4845">
        <w:rPr>
          <w:rFonts w:ascii="Arial Narrow" w:eastAsia="Calibri" w:hAnsi="Arial Narrow"/>
          <w:sz w:val="18"/>
          <w:szCs w:val="18"/>
          <w:lang w:eastAsia="en-US"/>
        </w:rPr>
        <w:t xml:space="preserve"> de enero del </w:t>
      </w:r>
      <w:r>
        <w:rPr>
          <w:rFonts w:ascii="Arial Narrow" w:eastAsia="Calibri" w:hAnsi="Arial Narrow"/>
          <w:sz w:val="18"/>
          <w:szCs w:val="18"/>
          <w:lang w:eastAsia="en-US"/>
        </w:rPr>
        <w:t>2022 para el año 2021.</w:t>
      </w:r>
    </w:p>
    <w:p w14:paraId="6401512E" w14:textId="21944F5E" w:rsidR="004D61D6" w:rsidRDefault="004D61D6" w:rsidP="004D61D6">
      <w:pPr>
        <w:rPr>
          <w:rFonts w:ascii="Arial Narrow" w:eastAsia="Calibri" w:hAnsi="Arial Narrow"/>
          <w:sz w:val="18"/>
          <w:szCs w:val="18"/>
          <w:lang w:eastAsia="en-US"/>
        </w:rPr>
      </w:pPr>
    </w:p>
    <w:p w14:paraId="288C7940" w14:textId="77777777" w:rsidR="00F6691E" w:rsidRDefault="00F6691E" w:rsidP="005940C6">
      <w:pPr>
        <w:jc w:val="both"/>
        <w:rPr>
          <w:rFonts w:ascii="Arial Narrow" w:eastAsia="Calibri" w:hAnsi="Arial Narrow"/>
          <w:lang w:eastAsia="en-US"/>
        </w:rPr>
      </w:pPr>
    </w:p>
    <w:p w14:paraId="6C832B72" w14:textId="13EA8F69" w:rsidR="005940C6" w:rsidRPr="005940C6" w:rsidRDefault="005940C6" w:rsidP="005940C6">
      <w:pPr>
        <w:jc w:val="both"/>
        <w:rPr>
          <w:rFonts w:ascii="Arial Narrow" w:eastAsia="Calibri" w:hAnsi="Arial Narrow"/>
          <w:lang w:eastAsia="en-US"/>
        </w:rPr>
      </w:pPr>
      <w:r w:rsidRPr="005940C6">
        <w:rPr>
          <w:rFonts w:ascii="Arial Narrow" w:eastAsia="Calibri" w:hAnsi="Arial Narrow"/>
          <w:lang w:eastAsia="en-US"/>
        </w:rPr>
        <w:t xml:space="preserve">Se </w:t>
      </w:r>
      <w:r w:rsidR="00792BB6">
        <w:rPr>
          <w:rFonts w:ascii="Arial Narrow" w:eastAsia="Calibri" w:hAnsi="Arial Narrow"/>
          <w:lang w:eastAsia="en-US"/>
        </w:rPr>
        <w:t>determina como se ha logrado un</w:t>
      </w:r>
      <w:r w:rsidRPr="005940C6">
        <w:rPr>
          <w:rFonts w:ascii="Arial Narrow" w:eastAsia="Calibri" w:hAnsi="Arial Narrow"/>
          <w:lang w:eastAsia="en-US"/>
        </w:rPr>
        <w:t xml:space="preserve"> cumplimiento óptimo de la meta estratégica </w:t>
      </w:r>
      <w:r w:rsidRPr="00322D9B">
        <w:rPr>
          <w:rFonts w:ascii="Arial Narrow" w:eastAsia="Calibri" w:hAnsi="Arial Narrow"/>
          <w:i/>
          <w:iCs/>
          <w:lang w:eastAsia="en-US"/>
        </w:rPr>
        <w:t>“Que al finalizar el 2024, se haya revisado, redefinido o implementado las políticas de persecución penal con base en los fenómenos criminales de mayor incidencia en el país, de interés para Fiscalía General</w:t>
      </w:r>
      <w:r w:rsidR="00792BB6" w:rsidRPr="00322D9B">
        <w:rPr>
          <w:rFonts w:ascii="Arial Narrow" w:eastAsia="Calibri" w:hAnsi="Arial Narrow"/>
          <w:i/>
          <w:iCs/>
          <w:lang w:eastAsia="en-US"/>
        </w:rPr>
        <w:t>”</w:t>
      </w:r>
      <w:r w:rsidR="00792BB6">
        <w:rPr>
          <w:rFonts w:ascii="Arial Narrow" w:eastAsia="Calibri" w:hAnsi="Arial Narrow"/>
          <w:lang w:eastAsia="en-US"/>
        </w:rPr>
        <w:t xml:space="preserve"> </w:t>
      </w:r>
      <w:r w:rsidRPr="005940C6">
        <w:rPr>
          <w:rFonts w:ascii="Arial Narrow" w:eastAsia="Calibri" w:hAnsi="Arial Narrow"/>
          <w:lang w:eastAsia="en-US"/>
        </w:rPr>
        <w:t>por medio de acciones como el seguimiento a que todas las circulares estuvieran disponibles en la página WEB del Ministerio Público para todos los fiscales adjuntos, fiscales coordinadores y demás personal.</w:t>
      </w:r>
    </w:p>
    <w:p w14:paraId="7F26A63B" w14:textId="77777777" w:rsidR="005940C6" w:rsidRPr="005940C6" w:rsidRDefault="005940C6" w:rsidP="005940C6">
      <w:pPr>
        <w:jc w:val="both"/>
        <w:rPr>
          <w:rFonts w:ascii="Arial Narrow" w:eastAsia="Calibri" w:hAnsi="Arial Narrow"/>
          <w:lang w:eastAsia="en-US"/>
        </w:rPr>
      </w:pPr>
    </w:p>
    <w:p w14:paraId="2B078136" w14:textId="100F243F" w:rsidR="00AD3147" w:rsidRPr="005940C6" w:rsidRDefault="005940C6" w:rsidP="005940C6">
      <w:pPr>
        <w:jc w:val="both"/>
        <w:rPr>
          <w:rFonts w:ascii="Arial Narrow" w:eastAsia="Calibri" w:hAnsi="Arial Narrow"/>
          <w:lang w:eastAsia="en-US"/>
        </w:rPr>
      </w:pPr>
      <w:r w:rsidRPr="005940C6">
        <w:rPr>
          <w:rFonts w:ascii="Arial Narrow" w:eastAsia="Calibri" w:hAnsi="Arial Narrow"/>
          <w:lang w:eastAsia="en-US"/>
        </w:rPr>
        <w:t>Por otra parte, se tienen también que la Fiscalía General para la segunda meta mencionada en el cuadro anterior elaboró dos informes ejecutivos de avance correspondiente al proyecto denominado “Modelo de abordaje de casos penales de corrupción” donde se detallan las actividades realizadas para el producto entregable llamado “Construcción del banco de talento humano del personal fiscal de la FAPTA”.</w:t>
      </w:r>
    </w:p>
    <w:p w14:paraId="08359C9E" w14:textId="0BC61F76" w:rsidR="00F77489" w:rsidRDefault="00F77489" w:rsidP="006B5F59">
      <w:pPr>
        <w:jc w:val="both"/>
        <w:rPr>
          <w:rFonts w:ascii="Arial Narrow" w:eastAsia="Calibri" w:hAnsi="Arial Narrow"/>
          <w:lang w:eastAsia="en-US"/>
        </w:rPr>
      </w:pPr>
    </w:p>
    <w:p w14:paraId="0D3D7E4D" w14:textId="77777777" w:rsidR="00AE1BAD" w:rsidRDefault="00AE1BAD">
      <w:pPr>
        <w:rPr>
          <w:rFonts w:ascii="Arial Narrow" w:hAnsi="Arial Narrow"/>
          <w:b/>
          <w:bCs/>
          <w:sz w:val="22"/>
          <w:szCs w:val="22"/>
        </w:rPr>
      </w:pPr>
      <w:r>
        <w:rPr>
          <w:rFonts w:ascii="Arial Narrow" w:hAnsi="Arial Narrow"/>
          <w:b/>
          <w:bCs/>
          <w:sz w:val="22"/>
          <w:szCs w:val="22"/>
        </w:rPr>
        <w:br w:type="page"/>
      </w:r>
    </w:p>
    <w:p w14:paraId="0D21374A" w14:textId="5B1D4719" w:rsidR="004C2D89" w:rsidRPr="005940C6" w:rsidRDefault="004C2D89" w:rsidP="005940C6">
      <w:pPr>
        <w:jc w:val="center"/>
        <w:rPr>
          <w:rFonts w:ascii="Arial Narrow" w:eastAsia="Calibri" w:hAnsi="Arial Narrow"/>
          <w:b/>
          <w:bCs/>
          <w:sz w:val="22"/>
          <w:szCs w:val="22"/>
          <w:lang w:eastAsia="en-US"/>
        </w:rPr>
      </w:pPr>
      <w:r w:rsidRPr="00C847FC">
        <w:rPr>
          <w:rFonts w:ascii="Arial Narrow" w:hAnsi="Arial Narrow"/>
          <w:b/>
          <w:bCs/>
          <w:sz w:val="22"/>
          <w:szCs w:val="22"/>
        </w:rPr>
        <w:t xml:space="preserve">Cuadro  </w:t>
      </w:r>
      <w:r w:rsidRPr="00C847FC">
        <w:rPr>
          <w:rFonts w:ascii="Arial Narrow" w:hAnsi="Arial Narrow"/>
          <w:b/>
          <w:bCs/>
          <w:sz w:val="22"/>
          <w:szCs w:val="22"/>
        </w:rPr>
        <w:fldChar w:fldCharType="begin"/>
      </w:r>
      <w:r w:rsidRPr="00C847FC">
        <w:rPr>
          <w:rFonts w:ascii="Arial Narrow" w:hAnsi="Arial Narrow"/>
          <w:b/>
          <w:bCs/>
          <w:sz w:val="22"/>
          <w:szCs w:val="22"/>
        </w:rPr>
        <w:instrText xml:space="preserve"> SEQ Cuadro_No. \* ARABIC </w:instrText>
      </w:r>
      <w:r w:rsidRPr="00C847FC">
        <w:rPr>
          <w:rFonts w:ascii="Arial Narrow" w:hAnsi="Arial Narrow"/>
          <w:b/>
          <w:bCs/>
          <w:sz w:val="22"/>
          <w:szCs w:val="22"/>
        </w:rPr>
        <w:fldChar w:fldCharType="separate"/>
      </w:r>
      <w:r w:rsidR="002F520A">
        <w:rPr>
          <w:rFonts w:ascii="Arial Narrow" w:hAnsi="Arial Narrow"/>
          <w:b/>
          <w:bCs/>
          <w:noProof/>
          <w:sz w:val="22"/>
          <w:szCs w:val="22"/>
        </w:rPr>
        <w:t>2</w:t>
      </w:r>
      <w:r w:rsidRPr="00C847FC">
        <w:rPr>
          <w:rFonts w:ascii="Arial Narrow" w:hAnsi="Arial Narrow"/>
          <w:b/>
          <w:bCs/>
          <w:sz w:val="22"/>
          <w:szCs w:val="22"/>
        </w:rPr>
        <w:fldChar w:fldCharType="end"/>
      </w:r>
      <w:r w:rsidRPr="00C847FC">
        <w:rPr>
          <w:rFonts w:ascii="Arial Narrow" w:eastAsia="Calibri" w:hAnsi="Arial Narrow"/>
          <w:b/>
          <w:bCs/>
          <w:sz w:val="22"/>
          <w:szCs w:val="22"/>
          <w:lang w:eastAsia="en-US"/>
        </w:rPr>
        <w:t xml:space="preserve"> Metas estratégicas de Abordaje integral a la Criminalidad y su cumplimiento para el 20</w:t>
      </w:r>
      <w:r>
        <w:rPr>
          <w:rFonts w:ascii="Arial Narrow" w:eastAsia="Calibri" w:hAnsi="Arial Narrow"/>
          <w:b/>
          <w:bCs/>
          <w:sz w:val="22"/>
          <w:szCs w:val="22"/>
          <w:lang w:eastAsia="en-US"/>
        </w:rPr>
        <w:t>21</w:t>
      </w:r>
    </w:p>
    <w:p w14:paraId="7E68DC2C" w14:textId="059797C4" w:rsidR="00585249" w:rsidRDefault="00B35293" w:rsidP="00AB78AD">
      <w:pPr>
        <w:spacing w:line="360" w:lineRule="auto"/>
        <w:jc w:val="both"/>
        <w:rPr>
          <w:rFonts w:ascii="Arial Narrow" w:eastAsia="Calibri" w:hAnsi="Arial Narrow"/>
        </w:rPr>
      </w:pPr>
      <w:r>
        <w:rPr>
          <w:noProof/>
        </w:rPr>
        <w:drawing>
          <wp:inline distT="0" distB="0" distL="0" distR="0" wp14:anchorId="23A5F805" wp14:editId="51DC38C0">
            <wp:extent cx="5959668" cy="1797685"/>
            <wp:effectExtent l="57150" t="57150" r="98425" b="88265"/>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241"/>
                    <a:stretch/>
                  </pic:blipFill>
                  <pic:spPr bwMode="auto">
                    <a:xfrm>
                      <a:off x="0" y="0"/>
                      <a:ext cx="5959668" cy="1797685"/>
                    </a:xfrm>
                    <a:prstGeom prst="rect">
                      <a:avLst/>
                    </a:prstGeom>
                    <a:ln w="127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B5DE307" w14:textId="30145861" w:rsidR="004C2D89" w:rsidRDefault="004C2D89" w:rsidP="00F6691E">
      <w:pPr>
        <w:jc w:val="center"/>
        <w:rPr>
          <w:rFonts w:ascii="Arial Narrow" w:eastAsia="Calibri" w:hAnsi="Arial Narrow"/>
          <w:sz w:val="18"/>
          <w:szCs w:val="18"/>
          <w:lang w:eastAsia="en-US"/>
        </w:rPr>
      </w:pPr>
      <w:r w:rsidRPr="004619C9">
        <w:rPr>
          <w:rFonts w:ascii="Arial Narrow" w:eastAsia="Calibri" w:hAnsi="Arial Narrow"/>
          <w:b/>
          <w:bCs/>
          <w:sz w:val="18"/>
          <w:szCs w:val="18"/>
          <w:lang w:eastAsia="en-US"/>
        </w:rPr>
        <w:t>Fuente:</w:t>
      </w:r>
      <w:r w:rsidRPr="000B4845">
        <w:rPr>
          <w:rFonts w:ascii="Arial Narrow" w:eastAsia="Calibri" w:hAnsi="Arial Narrow"/>
          <w:sz w:val="18"/>
          <w:szCs w:val="18"/>
          <w:lang w:eastAsia="en-US"/>
        </w:rPr>
        <w:t xml:space="preserve"> Sistema PEI al </w:t>
      </w:r>
      <w:r>
        <w:rPr>
          <w:rFonts w:ascii="Arial Narrow" w:eastAsia="Calibri" w:hAnsi="Arial Narrow"/>
          <w:sz w:val="18"/>
          <w:szCs w:val="18"/>
          <w:lang w:eastAsia="en-US"/>
        </w:rPr>
        <w:t>19</w:t>
      </w:r>
      <w:r w:rsidRPr="000B4845">
        <w:rPr>
          <w:rFonts w:ascii="Arial Narrow" w:eastAsia="Calibri" w:hAnsi="Arial Narrow"/>
          <w:sz w:val="18"/>
          <w:szCs w:val="18"/>
          <w:lang w:eastAsia="en-US"/>
        </w:rPr>
        <w:t xml:space="preserve"> de enero del </w:t>
      </w:r>
      <w:r>
        <w:rPr>
          <w:rFonts w:ascii="Arial Narrow" w:eastAsia="Calibri" w:hAnsi="Arial Narrow"/>
          <w:sz w:val="18"/>
          <w:szCs w:val="18"/>
          <w:lang w:eastAsia="en-US"/>
        </w:rPr>
        <w:t>2022 para el año 2021.</w:t>
      </w:r>
    </w:p>
    <w:p w14:paraId="4C697304" w14:textId="77777777" w:rsidR="00B35293" w:rsidRPr="004C2D89" w:rsidRDefault="00B35293" w:rsidP="004C2D89">
      <w:pPr>
        <w:jc w:val="both"/>
        <w:rPr>
          <w:rFonts w:ascii="Arial Narrow" w:eastAsia="Calibri" w:hAnsi="Arial Narrow"/>
        </w:rPr>
      </w:pPr>
    </w:p>
    <w:p w14:paraId="10C79324" w14:textId="77777777" w:rsidR="004C2D89" w:rsidRDefault="004C2D89" w:rsidP="004C2D89">
      <w:pPr>
        <w:rPr>
          <w:rFonts w:ascii="Arial Narrow" w:eastAsia="Calibri" w:hAnsi="Arial Narrow"/>
        </w:rPr>
      </w:pPr>
    </w:p>
    <w:p w14:paraId="006FF6D2" w14:textId="2DC1F278" w:rsidR="00040E7E" w:rsidRPr="00040E7E" w:rsidRDefault="004C2D89" w:rsidP="00040E7E">
      <w:pPr>
        <w:jc w:val="both"/>
        <w:rPr>
          <w:rFonts w:ascii="Arial Narrow" w:hAnsi="Arial Narrow"/>
        </w:rPr>
      </w:pPr>
      <w:r w:rsidRPr="00040E7E">
        <w:rPr>
          <w:rFonts w:ascii="Arial Narrow" w:eastAsia="Calibri" w:hAnsi="Arial Narrow"/>
        </w:rPr>
        <w:t>Con respecto a las metas</w:t>
      </w:r>
      <w:r w:rsidRPr="00322D9B">
        <w:rPr>
          <w:rFonts w:ascii="Arial Narrow" w:eastAsia="Calibri" w:hAnsi="Arial Narrow"/>
          <w:b/>
          <w:bCs/>
        </w:rPr>
        <w:t>: “Que al finalizar el 2024, se haya desarrollado e implementado un modelo de gestión (diagnóstico, diseño, implementación, seguimiento y evaluación) para el abordaje de los casos penales vinculados a poblaciones vulnerables”</w:t>
      </w:r>
      <w:r w:rsidRPr="00040E7E">
        <w:rPr>
          <w:rFonts w:ascii="Arial Narrow" w:eastAsia="Calibri" w:hAnsi="Arial Narrow"/>
        </w:rPr>
        <w:t xml:space="preserve"> </w:t>
      </w:r>
      <w:r w:rsidR="00D12DD3" w:rsidRPr="00040E7E">
        <w:rPr>
          <w:rFonts w:ascii="Arial Narrow" w:eastAsia="Calibri" w:hAnsi="Arial Narrow"/>
        </w:rPr>
        <w:t>la fiscalía general indica por medio del informe ejecutivo de avance del proyecto llamado</w:t>
      </w:r>
      <w:r w:rsidR="006A1350">
        <w:rPr>
          <w:rFonts w:ascii="Arial Narrow" w:eastAsia="Calibri" w:hAnsi="Arial Narrow"/>
        </w:rPr>
        <w:t xml:space="preserve"> “</w:t>
      </w:r>
      <w:r w:rsidR="00D12DD3" w:rsidRPr="00040E7E">
        <w:rPr>
          <w:rFonts w:ascii="Arial Narrow" w:eastAsia="Calibri" w:hAnsi="Arial Narrow"/>
        </w:rPr>
        <w:t>M</w:t>
      </w:r>
      <w:r w:rsidR="00D12DD3" w:rsidRPr="00040E7E">
        <w:rPr>
          <w:rFonts w:ascii="Arial Narrow" w:hAnsi="Arial Narrow"/>
        </w:rPr>
        <w:t xml:space="preserve">odelo de abordaje de casos penales vinculados a poblaciones en condiciones de vulnerabilidad y vulnerabilidades.” Que </w:t>
      </w:r>
      <w:r w:rsidR="00040E7E" w:rsidRPr="00040E7E">
        <w:rPr>
          <w:rFonts w:ascii="Arial Narrow" w:hAnsi="Arial Narrow"/>
        </w:rPr>
        <w:t>a partir del 16 de febrero de 2021 se inició con la Fase 2 “Diseño de Protocolos de atención” donde se desarrolla la Subfase “protocolos de atención” y al finalizar el 2021 reportan los avances de acuerdo con lo esperado en el cronograma diseñado a cinco años plazo.</w:t>
      </w:r>
    </w:p>
    <w:p w14:paraId="148545B7" w14:textId="77777777" w:rsidR="00040E7E" w:rsidRPr="008B3B75" w:rsidRDefault="00040E7E" w:rsidP="008B3B75">
      <w:pPr>
        <w:jc w:val="both"/>
        <w:rPr>
          <w:rFonts w:ascii="Arial Narrow" w:hAnsi="Arial Narrow"/>
        </w:rPr>
      </w:pPr>
    </w:p>
    <w:p w14:paraId="04CECDDE" w14:textId="1F04DD9D" w:rsidR="009677F1" w:rsidRDefault="203667FA" w:rsidP="008B3B75">
      <w:pPr>
        <w:jc w:val="both"/>
        <w:rPr>
          <w:rFonts w:ascii="Arial Narrow" w:hAnsi="Arial Narrow"/>
        </w:rPr>
      </w:pPr>
      <w:r w:rsidRPr="00E738AE">
        <w:rPr>
          <w:rFonts w:ascii="Arial Narrow" w:eastAsia="Calibri" w:hAnsi="Arial Narrow"/>
        </w:rPr>
        <w:t>En la segunda meta estratégica</w:t>
      </w:r>
      <w:r w:rsidRPr="00322D9B">
        <w:rPr>
          <w:rFonts w:ascii="Arial Narrow" w:eastAsia="Calibri" w:hAnsi="Arial Narrow"/>
        </w:rPr>
        <w:t xml:space="preserve"> del cuadro 2</w:t>
      </w:r>
      <w:r w:rsidRPr="00E738AE">
        <w:rPr>
          <w:rFonts w:ascii="Arial Narrow" w:eastAsia="Calibri" w:hAnsi="Arial Narrow"/>
        </w:rPr>
        <w:t>,</w:t>
      </w:r>
      <w:r w:rsidR="60F57797" w:rsidRPr="00E738AE">
        <w:rPr>
          <w:rFonts w:ascii="Arial Narrow" w:eastAsia="Calibri" w:hAnsi="Arial Narrow"/>
        </w:rPr>
        <w:t xml:space="preserve"> </w:t>
      </w:r>
      <w:r w:rsidRPr="40316866">
        <w:rPr>
          <w:rFonts w:ascii="Arial Narrow" w:hAnsi="Arial Narrow"/>
        </w:rPr>
        <w:t>la</w:t>
      </w:r>
      <w:r w:rsidR="144906FB" w:rsidRPr="40316866">
        <w:rPr>
          <w:rFonts w:ascii="Arial Narrow" w:hAnsi="Arial Narrow"/>
        </w:rPr>
        <w:t xml:space="preserve"> Fiscalía Adjunta contra la Legitimación de Capitales y Capitales Emergentes</w:t>
      </w:r>
      <w:r w:rsidR="7555F7A4" w:rsidRPr="40316866">
        <w:rPr>
          <w:rFonts w:ascii="Arial Narrow" w:hAnsi="Arial Narrow"/>
        </w:rPr>
        <w:t xml:space="preserve">, </w:t>
      </w:r>
      <w:r w:rsidRPr="40316866">
        <w:rPr>
          <w:rFonts w:ascii="Arial Narrow" w:hAnsi="Arial Narrow"/>
        </w:rPr>
        <w:t>procedió a comunicar el memorando 04-FACLC-2021</w:t>
      </w:r>
      <w:r w:rsidR="7555F7A4" w:rsidRPr="40316866">
        <w:rPr>
          <w:rFonts w:ascii="Arial Narrow" w:hAnsi="Arial Narrow"/>
        </w:rPr>
        <w:t xml:space="preserve"> donde indica que esta oficina dispuso a</w:t>
      </w:r>
      <w:r w:rsidR="144906FB" w:rsidRPr="40316866">
        <w:rPr>
          <w:rFonts w:ascii="Arial Narrow" w:hAnsi="Arial Narrow"/>
        </w:rPr>
        <w:t xml:space="preserve"> partir del 01</w:t>
      </w:r>
      <w:r w:rsidRPr="40316866">
        <w:rPr>
          <w:rFonts w:ascii="Arial Narrow" w:hAnsi="Arial Narrow"/>
        </w:rPr>
        <w:t xml:space="preserve"> </w:t>
      </w:r>
      <w:r w:rsidR="144906FB" w:rsidRPr="40316866">
        <w:rPr>
          <w:rFonts w:ascii="Arial Narrow" w:hAnsi="Arial Narrow"/>
        </w:rPr>
        <w:t>de mayo de 2021, dar un</w:t>
      </w:r>
      <w:r w:rsidRPr="40316866">
        <w:rPr>
          <w:rFonts w:ascii="Arial Narrow" w:hAnsi="Arial Narrow"/>
        </w:rPr>
        <w:t xml:space="preserve"> </w:t>
      </w:r>
      <w:r w:rsidR="144906FB" w:rsidRPr="40316866">
        <w:rPr>
          <w:rFonts w:ascii="Arial Narrow" w:hAnsi="Arial Narrow"/>
        </w:rPr>
        <w:t>nuevo abordaje y tratamiento a los informes de</w:t>
      </w:r>
      <w:r w:rsidRPr="40316866">
        <w:rPr>
          <w:rFonts w:ascii="Arial Narrow" w:hAnsi="Arial Narrow"/>
        </w:rPr>
        <w:t xml:space="preserve"> </w:t>
      </w:r>
      <w:r w:rsidR="144906FB" w:rsidRPr="40316866">
        <w:rPr>
          <w:rFonts w:ascii="Arial Narrow" w:hAnsi="Arial Narrow"/>
        </w:rPr>
        <w:t>inteligencia financiera (INF-UIF).</w:t>
      </w:r>
    </w:p>
    <w:p w14:paraId="1F21FFD7" w14:textId="178F49B2" w:rsidR="008B3B75" w:rsidRDefault="008B3B75" w:rsidP="008B3B75">
      <w:pPr>
        <w:jc w:val="both"/>
        <w:rPr>
          <w:rFonts w:ascii="Arial Narrow" w:hAnsi="Arial Narrow"/>
        </w:rPr>
      </w:pPr>
    </w:p>
    <w:p w14:paraId="6F0AFDF0" w14:textId="77777777" w:rsidR="00F6691E" w:rsidRPr="008B3B75" w:rsidRDefault="00F6691E" w:rsidP="008B3B75">
      <w:pPr>
        <w:jc w:val="both"/>
        <w:rPr>
          <w:rFonts w:ascii="Arial Narrow" w:hAnsi="Arial Narrow"/>
        </w:rPr>
      </w:pPr>
    </w:p>
    <w:p w14:paraId="21F5FF14" w14:textId="047FBDA3" w:rsidR="0049673D" w:rsidRPr="00322D9B" w:rsidRDefault="00AB78AD" w:rsidP="00322D9B">
      <w:pPr>
        <w:pStyle w:val="Ttulo3"/>
        <w:numPr>
          <w:ilvl w:val="2"/>
          <w:numId w:val="106"/>
        </w:numPr>
        <w:rPr>
          <w:rFonts w:ascii="Arial Narrow" w:eastAsia="Calibri" w:hAnsi="Arial Narrow"/>
        </w:rPr>
      </w:pPr>
      <w:bookmarkStart w:id="30" w:name="_Toc106355268"/>
      <w:r w:rsidRPr="00322D9B">
        <w:rPr>
          <w:rFonts w:ascii="Arial Narrow" w:eastAsia="Calibri" w:hAnsi="Arial Narrow"/>
        </w:rPr>
        <w:t>Celeridad judicia</w:t>
      </w:r>
      <w:r w:rsidR="00F8518F" w:rsidRPr="00322D9B">
        <w:rPr>
          <w:rFonts w:ascii="Arial Narrow" w:eastAsia="Calibri" w:hAnsi="Arial Narrow"/>
        </w:rPr>
        <w:t>l</w:t>
      </w:r>
      <w:bookmarkEnd w:id="30"/>
    </w:p>
    <w:p w14:paraId="464A627A" w14:textId="77777777" w:rsidR="005940C6" w:rsidRDefault="005940C6" w:rsidP="005940C6">
      <w:pPr>
        <w:rPr>
          <w:rFonts w:eastAsia="Calibri"/>
          <w:lang w:val="es-CR" w:eastAsia="en-US"/>
        </w:rPr>
      </w:pPr>
    </w:p>
    <w:p w14:paraId="57B2D6AF" w14:textId="77777777" w:rsidR="00AE1BAD" w:rsidRDefault="00AE1BAD" w:rsidP="005940C6">
      <w:pPr>
        <w:jc w:val="both"/>
        <w:rPr>
          <w:rFonts w:ascii="Arial Narrow" w:eastAsia="Calibri" w:hAnsi="Arial Narrow"/>
        </w:rPr>
      </w:pPr>
    </w:p>
    <w:p w14:paraId="2EB0CFA4" w14:textId="0B22F8E3" w:rsidR="005940C6" w:rsidRDefault="005940C6" w:rsidP="005940C6">
      <w:pPr>
        <w:jc w:val="both"/>
        <w:rPr>
          <w:rFonts w:ascii="Arial Narrow" w:eastAsia="Calibri" w:hAnsi="Arial Narrow"/>
        </w:rPr>
      </w:pPr>
      <w:r w:rsidRPr="00A12CF5">
        <w:rPr>
          <w:rFonts w:ascii="Arial Narrow" w:eastAsia="Calibri" w:hAnsi="Arial Narrow"/>
        </w:rPr>
        <w:t xml:space="preserve">Con respecto a la acción estratégica </w:t>
      </w:r>
      <w:r>
        <w:rPr>
          <w:rFonts w:ascii="Arial Narrow" w:eastAsia="Calibri" w:hAnsi="Arial Narrow"/>
        </w:rPr>
        <w:t>Celeridad Judicial</w:t>
      </w:r>
      <w:r w:rsidRPr="00A12CF5">
        <w:rPr>
          <w:rFonts w:ascii="Arial Narrow" w:eastAsia="Calibri" w:hAnsi="Arial Narrow"/>
        </w:rPr>
        <w:t xml:space="preserve"> se tiene un cumplimiento de </w:t>
      </w:r>
      <w:r w:rsidR="00B458D5">
        <w:rPr>
          <w:rFonts w:ascii="Arial Narrow" w:eastAsia="Calibri" w:hAnsi="Arial Narrow"/>
        </w:rPr>
        <w:t>46</w:t>
      </w:r>
      <w:r w:rsidRPr="005940C6">
        <w:rPr>
          <w:rFonts w:ascii="Arial Narrow" w:eastAsia="Calibri" w:hAnsi="Arial Narrow"/>
          <w:color w:val="FF0000"/>
        </w:rPr>
        <w:t xml:space="preserve"> </w:t>
      </w:r>
      <w:r w:rsidRPr="00A12CF5">
        <w:rPr>
          <w:rFonts w:ascii="Arial Narrow" w:eastAsia="Calibri" w:hAnsi="Arial Narrow"/>
        </w:rPr>
        <w:t>meta</w:t>
      </w:r>
      <w:r>
        <w:rPr>
          <w:rFonts w:ascii="Arial Narrow" w:eastAsia="Calibri" w:hAnsi="Arial Narrow"/>
        </w:rPr>
        <w:t xml:space="preserve">s </w:t>
      </w:r>
      <w:r w:rsidRPr="00A12CF5">
        <w:rPr>
          <w:rFonts w:ascii="Arial Narrow" w:eastAsia="Calibri" w:hAnsi="Arial Narrow"/>
        </w:rPr>
        <w:t>estratégica</w:t>
      </w:r>
      <w:r>
        <w:rPr>
          <w:rFonts w:ascii="Arial Narrow" w:eastAsia="Calibri" w:hAnsi="Arial Narrow"/>
        </w:rPr>
        <w:t>s</w:t>
      </w:r>
      <w:r w:rsidRPr="00A12CF5">
        <w:rPr>
          <w:rFonts w:ascii="Arial Narrow" w:eastAsia="Calibri" w:hAnsi="Arial Narrow"/>
        </w:rPr>
        <w:t xml:space="preserve"> </w:t>
      </w:r>
      <w:r>
        <w:rPr>
          <w:rFonts w:ascii="Arial Narrow" w:eastAsia="Calibri" w:hAnsi="Arial Narrow"/>
        </w:rPr>
        <w:t>superior al 90</w:t>
      </w:r>
      <w:r w:rsidRPr="00A12CF5">
        <w:rPr>
          <w:rFonts w:ascii="Arial Narrow" w:eastAsia="Calibri" w:hAnsi="Arial Narrow"/>
        </w:rPr>
        <w:t>%</w:t>
      </w:r>
      <w:r>
        <w:rPr>
          <w:rFonts w:ascii="Arial Narrow" w:eastAsia="Calibri" w:hAnsi="Arial Narrow"/>
        </w:rPr>
        <w:t xml:space="preserve">, las restantes 11 registran un cumplimiento medio de 89,99% </w:t>
      </w:r>
      <w:r w:rsidR="00792BB6">
        <w:rPr>
          <w:rFonts w:ascii="Arial Narrow" w:eastAsia="Calibri" w:hAnsi="Arial Narrow"/>
        </w:rPr>
        <w:t>a 50%</w:t>
      </w:r>
      <w:r w:rsidRPr="00A12CF5">
        <w:rPr>
          <w:rFonts w:ascii="Arial Narrow" w:eastAsia="Calibri" w:hAnsi="Arial Narrow"/>
        </w:rPr>
        <w:t xml:space="preserve">. Esto es un aspecto positivo en el cumplimiento del PEI, se muestra el compromiso </w:t>
      </w:r>
      <w:r>
        <w:rPr>
          <w:rFonts w:ascii="Arial Narrow" w:eastAsia="Calibri" w:hAnsi="Arial Narrow"/>
        </w:rPr>
        <w:t>de las diferentes oficinas y despachos judiciales en cumplir con la atención de expedientes de manera oportuna y célere.</w:t>
      </w:r>
    </w:p>
    <w:p w14:paraId="5D83B931" w14:textId="77777777" w:rsidR="00D75A72" w:rsidRPr="00A12CF5" w:rsidRDefault="00D75A72" w:rsidP="005940C6">
      <w:pPr>
        <w:jc w:val="both"/>
        <w:rPr>
          <w:rFonts w:ascii="Arial Narrow" w:eastAsia="Calibri" w:hAnsi="Arial Narrow"/>
        </w:rPr>
      </w:pPr>
    </w:p>
    <w:p w14:paraId="501AA0F1" w14:textId="4D2997E1" w:rsidR="005940C6" w:rsidRDefault="00D75A72" w:rsidP="005940C6">
      <w:pPr>
        <w:jc w:val="both"/>
        <w:rPr>
          <w:rFonts w:ascii="Arial Narrow" w:eastAsia="Calibri" w:hAnsi="Arial Narrow"/>
        </w:rPr>
      </w:pPr>
      <w:r>
        <w:rPr>
          <w:rFonts w:ascii="Arial Narrow" w:eastAsia="Calibri" w:hAnsi="Arial Narrow"/>
        </w:rPr>
        <w:t>Con respecto a esta acción estratégica, se efectuó una mejora en el Sistema PAO para el 2021, que permitía vincular el SIGMA (sistema de estadísticas judiciales) con las diferentes metas de los despachos judiciales relacionadas con los casos terminados. Esto facilitó que las personas encargadas de los avances, no tuvieran que registrarlos de forma manual, sino que actualiza automáticamente mes a mes con cargas ya preconfiguradas. Esto también demuestra que los datos de casos terminados registrados sean fidedignos y fehacientes.</w:t>
      </w:r>
    </w:p>
    <w:p w14:paraId="450DF569" w14:textId="77777777" w:rsidR="00D75A72" w:rsidRPr="00A12CF5" w:rsidRDefault="00D75A72" w:rsidP="005940C6">
      <w:pPr>
        <w:jc w:val="both"/>
        <w:rPr>
          <w:rFonts w:ascii="Arial Narrow" w:eastAsia="Calibri" w:hAnsi="Arial Narrow"/>
        </w:rPr>
      </w:pPr>
    </w:p>
    <w:p w14:paraId="289D19A4" w14:textId="4C2D6770" w:rsidR="005940C6" w:rsidRDefault="005940C6" w:rsidP="005940C6">
      <w:pPr>
        <w:jc w:val="both"/>
        <w:rPr>
          <w:rFonts w:ascii="Arial Narrow" w:eastAsia="Calibri" w:hAnsi="Arial Narrow"/>
        </w:rPr>
      </w:pPr>
      <w:r w:rsidRPr="00A12CF5">
        <w:rPr>
          <w:rFonts w:ascii="Arial Narrow" w:eastAsia="Calibri" w:hAnsi="Arial Narrow"/>
        </w:rPr>
        <w:t>A continuación, se muestran la</w:t>
      </w:r>
      <w:r>
        <w:rPr>
          <w:rFonts w:ascii="Arial Narrow" w:eastAsia="Calibri" w:hAnsi="Arial Narrow"/>
        </w:rPr>
        <w:t>s</w:t>
      </w:r>
      <w:r w:rsidRPr="00A12CF5">
        <w:rPr>
          <w:rFonts w:ascii="Arial Narrow" w:eastAsia="Calibri" w:hAnsi="Arial Narrow"/>
        </w:rPr>
        <w:t xml:space="preserve"> meta</w:t>
      </w:r>
      <w:r>
        <w:rPr>
          <w:rFonts w:ascii="Arial Narrow" w:eastAsia="Calibri" w:hAnsi="Arial Narrow"/>
        </w:rPr>
        <w:t>s</w:t>
      </w:r>
      <w:r w:rsidRPr="00A12CF5">
        <w:rPr>
          <w:rFonts w:ascii="Arial Narrow" w:eastAsia="Calibri" w:hAnsi="Arial Narrow"/>
        </w:rPr>
        <w:t xml:space="preserve"> estratégica</w:t>
      </w:r>
      <w:r>
        <w:rPr>
          <w:rFonts w:ascii="Arial Narrow" w:eastAsia="Calibri" w:hAnsi="Arial Narrow"/>
        </w:rPr>
        <w:t>s</w:t>
      </w:r>
      <w:r w:rsidRPr="00A12CF5">
        <w:rPr>
          <w:rFonts w:ascii="Arial Narrow" w:eastAsia="Calibri" w:hAnsi="Arial Narrow"/>
        </w:rPr>
        <w:t xml:space="preserve"> y su cumplimiento para el 2021:</w:t>
      </w:r>
    </w:p>
    <w:p w14:paraId="04E60091" w14:textId="06B07C18" w:rsidR="00A146A8" w:rsidRDefault="00A146A8" w:rsidP="005940C6">
      <w:pPr>
        <w:jc w:val="both"/>
        <w:rPr>
          <w:rFonts w:ascii="Arial Narrow" w:eastAsia="Calibri" w:hAnsi="Arial Narrow"/>
        </w:rPr>
      </w:pPr>
    </w:p>
    <w:p w14:paraId="3B9547C9" w14:textId="68EFC428" w:rsidR="00A146A8" w:rsidRDefault="00A146A8" w:rsidP="005940C6">
      <w:pPr>
        <w:jc w:val="both"/>
        <w:rPr>
          <w:rFonts w:ascii="Arial Narrow" w:eastAsia="Calibri" w:hAnsi="Arial Narrow"/>
        </w:rPr>
      </w:pPr>
    </w:p>
    <w:p w14:paraId="52B1E525" w14:textId="0FFD6436" w:rsidR="00271D70" w:rsidRDefault="00271D70" w:rsidP="00271D70">
      <w:pPr>
        <w:jc w:val="center"/>
        <w:rPr>
          <w:rFonts w:ascii="Arial Narrow" w:eastAsia="Calibri" w:hAnsi="Arial Narrow"/>
          <w:b/>
          <w:bCs/>
          <w:sz w:val="22"/>
          <w:szCs w:val="22"/>
          <w:lang w:eastAsia="en-US"/>
        </w:rPr>
      </w:pPr>
      <w:r w:rsidRPr="00C847FC">
        <w:rPr>
          <w:rFonts w:ascii="Arial Narrow" w:hAnsi="Arial Narrow"/>
          <w:b/>
          <w:bCs/>
          <w:sz w:val="22"/>
          <w:szCs w:val="22"/>
        </w:rPr>
        <w:t xml:space="preserve">Cuadro  </w:t>
      </w:r>
      <w:r w:rsidRPr="00C847FC">
        <w:rPr>
          <w:rFonts w:ascii="Arial Narrow" w:hAnsi="Arial Narrow"/>
          <w:b/>
          <w:bCs/>
          <w:sz w:val="22"/>
          <w:szCs w:val="22"/>
        </w:rPr>
        <w:fldChar w:fldCharType="begin"/>
      </w:r>
      <w:r w:rsidRPr="00C847FC">
        <w:rPr>
          <w:rFonts w:ascii="Arial Narrow" w:hAnsi="Arial Narrow"/>
          <w:b/>
          <w:bCs/>
          <w:sz w:val="22"/>
          <w:szCs w:val="22"/>
        </w:rPr>
        <w:instrText xml:space="preserve"> SEQ Cuadro_No. \* ARABIC </w:instrText>
      </w:r>
      <w:r w:rsidRPr="00C847FC">
        <w:rPr>
          <w:rFonts w:ascii="Arial Narrow" w:hAnsi="Arial Narrow"/>
          <w:b/>
          <w:bCs/>
          <w:sz w:val="22"/>
          <w:szCs w:val="22"/>
        </w:rPr>
        <w:fldChar w:fldCharType="separate"/>
      </w:r>
      <w:r w:rsidR="002F520A">
        <w:rPr>
          <w:rFonts w:ascii="Arial Narrow" w:hAnsi="Arial Narrow"/>
          <w:b/>
          <w:bCs/>
          <w:noProof/>
          <w:sz w:val="22"/>
          <w:szCs w:val="22"/>
        </w:rPr>
        <w:t>3</w:t>
      </w:r>
      <w:r w:rsidRPr="00C847FC">
        <w:rPr>
          <w:rFonts w:ascii="Arial Narrow" w:hAnsi="Arial Narrow"/>
          <w:b/>
          <w:bCs/>
          <w:sz w:val="22"/>
          <w:szCs w:val="22"/>
        </w:rPr>
        <w:fldChar w:fldCharType="end"/>
      </w:r>
      <w:r w:rsidRPr="00C847FC">
        <w:rPr>
          <w:rFonts w:ascii="Arial Narrow" w:eastAsia="Calibri" w:hAnsi="Arial Narrow"/>
          <w:b/>
          <w:bCs/>
          <w:sz w:val="22"/>
          <w:szCs w:val="22"/>
          <w:lang w:eastAsia="en-US"/>
        </w:rPr>
        <w:t xml:space="preserve"> Metas estratégicas de </w:t>
      </w:r>
      <w:r>
        <w:rPr>
          <w:rFonts w:ascii="Arial Narrow" w:eastAsia="Calibri" w:hAnsi="Arial Narrow"/>
          <w:b/>
          <w:bCs/>
          <w:sz w:val="22"/>
          <w:szCs w:val="22"/>
          <w:lang w:eastAsia="en-US"/>
        </w:rPr>
        <w:t>Celeridad Judicial</w:t>
      </w:r>
      <w:r w:rsidRPr="00C847FC">
        <w:rPr>
          <w:rFonts w:ascii="Arial Narrow" w:eastAsia="Calibri" w:hAnsi="Arial Narrow"/>
          <w:b/>
          <w:bCs/>
          <w:sz w:val="22"/>
          <w:szCs w:val="22"/>
          <w:lang w:eastAsia="en-US"/>
        </w:rPr>
        <w:t xml:space="preserve"> y su cumplimiento para el 20</w:t>
      </w:r>
      <w:r>
        <w:rPr>
          <w:rFonts w:ascii="Arial Narrow" w:eastAsia="Calibri" w:hAnsi="Arial Narrow"/>
          <w:b/>
          <w:bCs/>
          <w:sz w:val="22"/>
          <w:szCs w:val="22"/>
          <w:lang w:eastAsia="en-US"/>
        </w:rPr>
        <w:t>21</w:t>
      </w:r>
    </w:p>
    <w:p w14:paraId="06FA1D26" w14:textId="77777777" w:rsidR="00A146A8" w:rsidRDefault="00A146A8" w:rsidP="00271D70">
      <w:pPr>
        <w:jc w:val="center"/>
        <w:rPr>
          <w:rFonts w:ascii="Arial Narrow" w:eastAsia="Calibri" w:hAnsi="Arial Narrow"/>
          <w:b/>
          <w:bCs/>
          <w:sz w:val="22"/>
          <w:szCs w:val="22"/>
          <w:lang w:eastAsia="en-US"/>
        </w:rPr>
      </w:pPr>
    </w:p>
    <w:p w14:paraId="2B9AD30E" w14:textId="77777777" w:rsidR="00696737" w:rsidRDefault="00696737" w:rsidP="00696737">
      <w:r>
        <w:rPr>
          <w:noProof/>
        </w:rPr>
        <w:drawing>
          <wp:inline distT="0" distB="0" distL="0" distR="0" wp14:anchorId="6EC2A328" wp14:editId="3BFA21F4">
            <wp:extent cx="5612130" cy="2602865"/>
            <wp:effectExtent l="19050" t="19050" r="26670" b="26035"/>
            <wp:docPr id="4" name="Imagen 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Tabla&#10;&#10;Descripción generada automáticamente"/>
                    <pic:cNvPicPr/>
                  </pic:nvPicPr>
                  <pic:blipFill>
                    <a:blip r:embed="rId56"/>
                    <a:stretch>
                      <a:fillRect/>
                    </a:stretch>
                  </pic:blipFill>
                  <pic:spPr>
                    <a:xfrm>
                      <a:off x="0" y="0"/>
                      <a:ext cx="5612130" cy="2602865"/>
                    </a:xfrm>
                    <a:prstGeom prst="rect">
                      <a:avLst/>
                    </a:prstGeom>
                    <a:ln w="12700">
                      <a:solidFill>
                        <a:schemeClr val="tx1"/>
                      </a:solidFill>
                    </a:ln>
                  </pic:spPr>
                </pic:pic>
              </a:graphicData>
            </a:graphic>
          </wp:inline>
        </w:drawing>
      </w:r>
    </w:p>
    <w:p w14:paraId="6D9F9C2C" w14:textId="5E7BC02B" w:rsidR="00696737" w:rsidRDefault="00696737" w:rsidP="00F6691E">
      <w:pPr>
        <w:jc w:val="center"/>
        <w:rPr>
          <w:rFonts w:ascii="Arial Narrow" w:hAnsi="Arial Narrow"/>
          <w:sz w:val="18"/>
          <w:szCs w:val="18"/>
        </w:rPr>
      </w:pPr>
      <w:r w:rsidRPr="00996542">
        <w:rPr>
          <w:rFonts w:ascii="Arial Narrow" w:hAnsi="Arial Narrow"/>
          <w:sz w:val="18"/>
          <w:szCs w:val="18"/>
        </w:rPr>
        <w:t>Fuente: Sistema PEI al 19 de enero del 2022 para el año 2021.</w:t>
      </w:r>
    </w:p>
    <w:p w14:paraId="4C881A1C" w14:textId="77777777" w:rsidR="00271D70" w:rsidRPr="00996542" w:rsidRDefault="00271D70" w:rsidP="00696737">
      <w:pPr>
        <w:jc w:val="both"/>
        <w:rPr>
          <w:rFonts w:ascii="Arial Narrow" w:hAnsi="Arial Narrow"/>
          <w:sz w:val="18"/>
          <w:szCs w:val="18"/>
        </w:rPr>
      </w:pPr>
    </w:p>
    <w:p w14:paraId="1F3726E4" w14:textId="468FE661" w:rsidR="00696737" w:rsidRDefault="00696737" w:rsidP="00F77489">
      <w:pPr>
        <w:jc w:val="both"/>
        <w:rPr>
          <w:rFonts w:ascii="Arial Narrow" w:hAnsi="Arial Narrow"/>
        </w:rPr>
      </w:pPr>
      <w:r w:rsidRPr="00732270">
        <w:rPr>
          <w:rFonts w:ascii="Arial Narrow" w:hAnsi="Arial Narrow"/>
        </w:rPr>
        <w:t xml:space="preserve">Como se observa del cuadro anterior, se tiene que la meta relacionada a casos terminados de las </w:t>
      </w:r>
      <w:r w:rsidR="0088514B" w:rsidRPr="00732270">
        <w:rPr>
          <w:rFonts w:ascii="Arial Narrow" w:hAnsi="Arial Narrow"/>
        </w:rPr>
        <w:t>Fiscalías</w:t>
      </w:r>
      <w:r w:rsidRPr="00732270">
        <w:rPr>
          <w:rFonts w:ascii="Arial Narrow" w:hAnsi="Arial Narrow"/>
        </w:rPr>
        <w:t xml:space="preserve"> del país, tanto penal como penal juvenil</w:t>
      </w:r>
      <w:r>
        <w:rPr>
          <w:rFonts w:ascii="Arial Narrow" w:hAnsi="Arial Narrow"/>
        </w:rPr>
        <w:t>, por lo que para el 2022 se observa la mayor cantidad de casos terminados más de 222 mil asuntos, sobrepasando con creces la meta de 180 mil casos. Si es dable rescatar que a nivel estadístico se ha logrado el 100% de los 3 años del PEI, pero a nivel de oficinas PAO no se ha logrado el 100%, esto puede deberse a falta de actualización de las metas de casos terminados de fiscalías o algunos casos las oficinas pudieron haber completado mucho más de lo que se esperaba y otras oficinas no alcanzaron la meta propia, pero a nivel general ha sido una constante alcanzar la meta general e incluso sobrepasarla.</w:t>
      </w:r>
    </w:p>
    <w:p w14:paraId="205640F4" w14:textId="77777777" w:rsidR="00F77489" w:rsidRDefault="00F77489" w:rsidP="00F77489">
      <w:pPr>
        <w:jc w:val="both"/>
        <w:rPr>
          <w:rFonts w:ascii="Arial Narrow" w:hAnsi="Arial Narrow"/>
        </w:rPr>
      </w:pPr>
    </w:p>
    <w:p w14:paraId="21DBC9AE" w14:textId="77777777" w:rsidR="00696737" w:rsidRDefault="00696737" w:rsidP="00F77489">
      <w:pPr>
        <w:jc w:val="both"/>
        <w:rPr>
          <w:rFonts w:ascii="Arial Narrow" w:hAnsi="Arial Narrow"/>
        </w:rPr>
      </w:pPr>
      <w:r>
        <w:rPr>
          <w:rFonts w:ascii="Arial Narrow" w:hAnsi="Arial Narrow"/>
        </w:rPr>
        <w:t>Por su parte, la materia de penal juvenil registra para el 2021 el valor más bajo de casos terminados del periodo del PEI con un 50% de la meta esperada (6 mil casos terminados de los 12 mil esperados). Esto puede tener múltiples aristas y se debe analizar versus la cantidad de casos entrados dado que para el 2021 entraron 5 mil casos, 6.500 asuntos ingresados en 2020 y 8.124 casos entrados en 2019, se denota un decrecimiento de 38% en el ingreso. Debido a lo anterior, a esta</w:t>
      </w:r>
      <w:r w:rsidRPr="00B706CF">
        <w:rPr>
          <w:rFonts w:ascii="Arial Narrow" w:hAnsi="Arial Narrow"/>
        </w:rPr>
        <w:t xml:space="preserve"> meta </w:t>
      </w:r>
      <w:r>
        <w:rPr>
          <w:rFonts w:ascii="Arial Narrow" w:hAnsi="Arial Narrow"/>
        </w:rPr>
        <w:t xml:space="preserve">se propone realizar un ajuste de los valores esperados de acuerdo con el oficio 1281-PLA-PE-2021 que propone su modificación </w:t>
      </w:r>
      <w:r w:rsidRPr="00B706CF">
        <w:rPr>
          <w:rFonts w:ascii="Arial Narrow" w:hAnsi="Arial Narrow"/>
        </w:rPr>
        <w:t>respecto a sus valores esperados de casos terminados dada la baja en ingreso de asuntos.</w:t>
      </w:r>
      <w:r>
        <w:rPr>
          <w:rFonts w:ascii="Arial Narrow" w:hAnsi="Arial Narrow"/>
        </w:rPr>
        <w:t xml:space="preserve">  Ese oficio 1281-PLA-PE-2021 está en proceso de ser conocido por Corte Plena.</w:t>
      </w:r>
    </w:p>
    <w:p w14:paraId="486A18EF" w14:textId="294B51CE" w:rsidR="00F77489" w:rsidRDefault="00F77489" w:rsidP="00696737">
      <w:pPr>
        <w:rPr>
          <w:rFonts w:ascii="Arial Narrow" w:hAnsi="Arial Narrow"/>
          <w:b/>
          <w:bCs/>
        </w:rPr>
      </w:pPr>
    </w:p>
    <w:p w14:paraId="3E69C1B9" w14:textId="7A399B36" w:rsidR="00792BB6" w:rsidRDefault="00792BB6" w:rsidP="00696737">
      <w:pPr>
        <w:rPr>
          <w:rFonts w:ascii="Arial Narrow" w:hAnsi="Arial Narrow"/>
          <w:b/>
          <w:bCs/>
        </w:rPr>
      </w:pPr>
    </w:p>
    <w:p w14:paraId="13F6197E" w14:textId="4C6271CC" w:rsidR="00271D70" w:rsidRDefault="00271D70" w:rsidP="00271D70">
      <w:pPr>
        <w:jc w:val="center"/>
        <w:rPr>
          <w:rFonts w:ascii="Arial Narrow" w:eastAsia="Calibri" w:hAnsi="Arial Narrow"/>
          <w:b/>
          <w:bCs/>
          <w:sz w:val="22"/>
          <w:szCs w:val="22"/>
          <w:lang w:eastAsia="en-US"/>
        </w:rPr>
      </w:pPr>
      <w:r w:rsidRPr="00C847FC">
        <w:rPr>
          <w:rFonts w:ascii="Arial Narrow" w:hAnsi="Arial Narrow"/>
          <w:b/>
          <w:bCs/>
          <w:sz w:val="22"/>
          <w:szCs w:val="22"/>
        </w:rPr>
        <w:t xml:space="preserve">Cuadro  </w:t>
      </w:r>
      <w:r w:rsidRPr="00C847FC">
        <w:rPr>
          <w:rFonts w:ascii="Arial Narrow" w:hAnsi="Arial Narrow"/>
          <w:b/>
          <w:bCs/>
          <w:sz w:val="22"/>
          <w:szCs w:val="22"/>
        </w:rPr>
        <w:fldChar w:fldCharType="begin"/>
      </w:r>
      <w:r w:rsidRPr="00C847FC">
        <w:rPr>
          <w:rFonts w:ascii="Arial Narrow" w:hAnsi="Arial Narrow"/>
          <w:b/>
          <w:bCs/>
          <w:sz w:val="22"/>
          <w:szCs w:val="22"/>
        </w:rPr>
        <w:instrText xml:space="preserve"> SEQ Cuadro_No. \* ARABIC </w:instrText>
      </w:r>
      <w:r w:rsidRPr="00C847FC">
        <w:rPr>
          <w:rFonts w:ascii="Arial Narrow" w:hAnsi="Arial Narrow"/>
          <w:b/>
          <w:bCs/>
          <w:sz w:val="22"/>
          <w:szCs w:val="22"/>
        </w:rPr>
        <w:fldChar w:fldCharType="separate"/>
      </w:r>
      <w:r w:rsidR="002F520A">
        <w:rPr>
          <w:rFonts w:ascii="Arial Narrow" w:hAnsi="Arial Narrow"/>
          <w:b/>
          <w:bCs/>
          <w:noProof/>
          <w:sz w:val="22"/>
          <w:szCs w:val="22"/>
        </w:rPr>
        <w:t>4</w:t>
      </w:r>
      <w:r w:rsidRPr="00C847FC">
        <w:rPr>
          <w:rFonts w:ascii="Arial Narrow" w:hAnsi="Arial Narrow"/>
          <w:b/>
          <w:bCs/>
          <w:sz w:val="22"/>
          <w:szCs w:val="22"/>
        </w:rPr>
        <w:fldChar w:fldCharType="end"/>
      </w:r>
      <w:r w:rsidRPr="00C847FC">
        <w:rPr>
          <w:rFonts w:ascii="Arial Narrow" w:eastAsia="Calibri" w:hAnsi="Arial Narrow"/>
          <w:b/>
          <w:bCs/>
          <w:sz w:val="22"/>
          <w:szCs w:val="22"/>
          <w:lang w:eastAsia="en-US"/>
        </w:rPr>
        <w:t xml:space="preserve"> Metas estratégicas de </w:t>
      </w:r>
      <w:r>
        <w:rPr>
          <w:rFonts w:ascii="Arial Narrow" w:eastAsia="Calibri" w:hAnsi="Arial Narrow"/>
          <w:b/>
          <w:bCs/>
          <w:sz w:val="22"/>
          <w:szCs w:val="22"/>
          <w:lang w:eastAsia="en-US"/>
        </w:rPr>
        <w:t>Celeridad Judicial</w:t>
      </w:r>
      <w:r w:rsidRPr="00C847FC">
        <w:rPr>
          <w:rFonts w:ascii="Arial Narrow" w:eastAsia="Calibri" w:hAnsi="Arial Narrow"/>
          <w:b/>
          <w:bCs/>
          <w:sz w:val="22"/>
          <w:szCs w:val="22"/>
          <w:lang w:eastAsia="en-US"/>
        </w:rPr>
        <w:t xml:space="preserve"> y su cumplimiento para el 20</w:t>
      </w:r>
      <w:r>
        <w:rPr>
          <w:rFonts w:ascii="Arial Narrow" w:eastAsia="Calibri" w:hAnsi="Arial Narrow"/>
          <w:b/>
          <w:bCs/>
          <w:sz w:val="22"/>
          <w:szCs w:val="22"/>
          <w:lang w:eastAsia="en-US"/>
        </w:rPr>
        <w:t>21</w:t>
      </w:r>
    </w:p>
    <w:p w14:paraId="77B479D8" w14:textId="77777777" w:rsidR="00A146A8" w:rsidRDefault="00A146A8" w:rsidP="00271D70">
      <w:pPr>
        <w:jc w:val="center"/>
        <w:rPr>
          <w:rFonts w:ascii="Arial Narrow" w:eastAsia="Calibri" w:hAnsi="Arial Narrow"/>
          <w:b/>
          <w:bCs/>
          <w:sz w:val="22"/>
          <w:szCs w:val="22"/>
          <w:lang w:eastAsia="en-US"/>
        </w:rPr>
      </w:pPr>
    </w:p>
    <w:p w14:paraId="5739589B" w14:textId="1C5E764C" w:rsidR="00696737" w:rsidRDefault="00696737" w:rsidP="00696737">
      <w:r>
        <w:rPr>
          <w:noProof/>
        </w:rPr>
        <w:drawing>
          <wp:inline distT="0" distB="0" distL="0" distR="0" wp14:anchorId="05F56131" wp14:editId="319E3638">
            <wp:extent cx="5612130" cy="2600960"/>
            <wp:effectExtent l="19050" t="19050" r="26670" b="27940"/>
            <wp:docPr id="5"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Tabla&#10;&#10;Descripción generada automáticamente"/>
                    <pic:cNvPicPr/>
                  </pic:nvPicPr>
                  <pic:blipFill>
                    <a:blip r:embed="rId57"/>
                    <a:stretch>
                      <a:fillRect/>
                    </a:stretch>
                  </pic:blipFill>
                  <pic:spPr>
                    <a:xfrm>
                      <a:off x="0" y="0"/>
                      <a:ext cx="5612130" cy="2600960"/>
                    </a:xfrm>
                    <a:prstGeom prst="rect">
                      <a:avLst/>
                    </a:prstGeom>
                    <a:ln>
                      <a:solidFill>
                        <a:schemeClr val="tx1"/>
                      </a:solidFill>
                    </a:ln>
                  </pic:spPr>
                </pic:pic>
              </a:graphicData>
            </a:graphic>
          </wp:inline>
        </w:drawing>
      </w:r>
    </w:p>
    <w:p w14:paraId="4E092506" w14:textId="2D068C50" w:rsidR="00696737" w:rsidRDefault="00696737" w:rsidP="00F6691E">
      <w:pPr>
        <w:jc w:val="center"/>
        <w:rPr>
          <w:rFonts w:ascii="Arial Narrow" w:hAnsi="Arial Narrow"/>
          <w:sz w:val="18"/>
          <w:szCs w:val="18"/>
        </w:rPr>
      </w:pPr>
      <w:r w:rsidRPr="00996542">
        <w:rPr>
          <w:rFonts w:ascii="Arial Narrow" w:hAnsi="Arial Narrow"/>
          <w:sz w:val="18"/>
          <w:szCs w:val="18"/>
        </w:rPr>
        <w:t>Fuente: Sistema PEI al 19 de enero del 2022 para el año 2021.</w:t>
      </w:r>
    </w:p>
    <w:p w14:paraId="6F419CF2" w14:textId="432EDF7C" w:rsidR="00271D70" w:rsidRDefault="00271D70" w:rsidP="00696737">
      <w:pPr>
        <w:jc w:val="both"/>
        <w:rPr>
          <w:rFonts w:ascii="Arial Narrow" w:hAnsi="Arial Narrow"/>
          <w:sz w:val="18"/>
          <w:szCs w:val="18"/>
        </w:rPr>
      </w:pPr>
    </w:p>
    <w:p w14:paraId="78405D5A" w14:textId="77777777" w:rsidR="00271D70" w:rsidRPr="00996542" w:rsidRDefault="00271D70" w:rsidP="00696737">
      <w:pPr>
        <w:jc w:val="both"/>
        <w:rPr>
          <w:rFonts w:ascii="Arial Narrow" w:hAnsi="Arial Narrow"/>
          <w:sz w:val="18"/>
          <w:szCs w:val="18"/>
        </w:rPr>
      </w:pPr>
    </w:p>
    <w:p w14:paraId="4FDE348A" w14:textId="7C5860BE" w:rsidR="00696737" w:rsidRDefault="00696737" w:rsidP="00F77489">
      <w:pPr>
        <w:jc w:val="both"/>
        <w:rPr>
          <w:rFonts w:ascii="Arial Narrow" w:hAnsi="Arial Narrow"/>
        </w:rPr>
      </w:pPr>
      <w:r w:rsidRPr="00584708">
        <w:rPr>
          <w:rFonts w:ascii="Arial Narrow" w:hAnsi="Arial Narrow"/>
        </w:rPr>
        <w:t xml:space="preserve">Con respecto a la meta de casos terminados en materia Contravencional, primera instancia se tiene un cumplimiento general del 100% para los 3 años, dado que se ha superado la meta esperada de 35 mil asuntos, siendo que el año 2021 fue el más alto del periodo. </w:t>
      </w:r>
    </w:p>
    <w:p w14:paraId="65845541" w14:textId="77777777" w:rsidR="00F77489" w:rsidRPr="00584708" w:rsidRDefault="00F77489" w:rsidP="00F77489">
      <w:pPr>
        <w:jc w:val="both"/>
        <w:rPr>
          <w:rFonts w:ascii="Arial Narrow" w:hAnsi="Arial Narrow"/>
        </w:rPr>
      </w:pPr>
    </w:p>
    <w:p w14:paraId="1A92786A" w14:textId="1985EC5C" w:rsidR="00696737" w:rsidRPr="00584708" w:rsidRDefault="74284DD9" w:rsidP="00F77489">
      <w:pPr>
        <w:jc w:val="both"/>
        <w:rPr>
          <w:rFonts w:ascii="Arial Narrow" w:hAnsi="Arial Narrow"/>
        </w:rPr>
      </w:pPr>
      <w:r w:rsidRPr="1A029E28">
        <w:rPr>
          <w:rFonts w:ascii="Arial Narrow" w:hAnsi="Arial Narrow"/>
        </w:rPr>
        <w:t>Por su parte, la meta de casos terminados en materia de Tránsito primera instancia, se observa como ha venido en disminución la cantidad de casos fenecidos pasando de 83 mil casos a 58 mil asuntos para el 2021. Se determina que, de las 60 oficinas con la meta en tránsito, solamente 14 despachos la completaron, las restantes 46 oficinas quedaron con estado “</w:t>
      </w:r>
      <w:r w:rsidRPr="1A029E28">
        <w:rPr>
          <w:rFonts w:ascii="Arial Narrow" w:hAnsi="Arial Narrow"/>
          <w:i/>
        </w:rPr>
        <w:t>Pendiente</w:t>
      </w:r>
      <w:r w:rsidRPr="1A029E28">
        <w:rPr>
          <w:rFonts w:ascii="Arial Narrow" w:hAnsi="Arial Narrow"/>
        </w:rPr>
        <w:t>” (76%). Con respecto a la cantidad de asuntos ingresados, se tiene que para el 2019 se registraron 79.873 asuntos, para el 2020 la cantidad fue de 51.740 y para el 2021 se registraron 58.657 casos, lo que significa un decrecimiento en el ingreso de asuntos de 27% en el periodo de 2019-2021.</w:t>
      </w:r>
      <w:r w:rsidRPr="6B6F0889">
        <w:rPr>
          <w:rFonts w:ascii="Arial Narrow" w:hAnsi="Arial Narrow"/>
        </w:rPr>
        <w:t xml:space="preserve"> </w:t>
      </w:r>
      <w:r w:rsidRPr="1A029E28">
        <w:rPr>
          <w:rFonts w:ascii="Arial Narrow" w:hAnsi="Arial Narrow"/>
          <w:b/>
        </w:rPr>
        <w:t>Esta meta debe ser revisada con respecto a sus valores esperados de casos terminados dada la baja en el ingreso de asuntos</w:t>
      </w:r>
      <w:r w:rsidR="00C94E2C" w:rsidRPr="00322D9B">
        <w:rPr>
          <w:rFonts w:ascii="Arial Narrow" w:hAnsi="Arial Narrow"/>
          <w:b/>
        </w:rPr>
        <w:t xml:space="preserve">, considerando el alcance de la valoración efectuada en el informe 1281-PLA-PE-2021 relacionado con el análisis de los casos terminados durante el 2019, 2020 y el primer semestre de 2021, monitoreando su comportamiento y las proyecciones para el 2021 y periodos siguientes del Plan Estratégico Institucional 2019-2024. </w:t>
      </w:r>
      <w:r w:rsidR="00C94E2C">
        <w:rPr>
          <w:rFonts w:ascii="Arial Narrow" w:hAnsi="Arial Narrow"/>
        </w:rPr>
        <w:t xml:space="preserve"> </w:t>
      </w:r>
    </w:p>
    <w:p w14:paraId="534EF841" w14:textId="77777777" w:rsidR="00AE1BAD" w:rsidRDefault="00AE1BAD">
      <w:pPr>
        <w:rPr>
          <w:rFonts w:ascii="Arial Narrow" w:hAnsi="Arial Narrow"/>
          <w:b/>
          <w:bCs/>
          <w:sz w:val="22"/>
          <w:szCs w:val="22"/>
        </w:rPr>
      </w:pPr>
      <w:r>
        <w:rPr>
          <w:rFonts w:ascii="Arial Narrow" w:hAnsi="Arial Narrow"/>
          <w:b/>
          <w:bCs/>
          <w:sz w:val="22"/>
          <w:szCs w:val="22"/>
        </w:rPr>
        <w:br w:type="page"/>
      </w:r>
    </w:p>
    <w:p w14:paraId="584A4692" w14:textId="02E2D696" w:rsidR="00271D70" w:rsidRDefault="00271D70" w:rsidP="00271D70">
      <w:pPr>
        <w:jc w:val="center"/>
        <w:rPr>
          <w:rFonts w:ascii="Arial Narrow" w:eastAsia="Calibri" w:hAnsi="Arial Narrow"/>
          <w:b/>
          <w:bCs/>
          <w:sz w:val="22"/>
          <w:szCs w:val="22"/>
          <w:lang w:eastAsia="en-US"/>
        </w:rPr>
      </w:pPr>
      <w:r w:rsidRPr="00C847FC">
        <w:rPr>
          <w:rFonts w:ascii="Arial Narrow" w:hAnsi="Arial Narrow"/>
          <w:b/>
          <w:bCs/>
          <w:sz w:val="22"/>
          <w:szCs w:val="22"/>
        </w:rPr>
        <w:t xml:space="preserve">Cuadro  </w:t>
      </w:r>
      <w:r w:rsidRPr="00C847FC">
        <w:rPr>
          <w:rFonts w:ascii="Arial Narrow" w:hAnsi="Arial Narrow"/>
          <w:b/>
          <w:bCs/>
          <w:sz w:val="22"/>
          <w:szCs w:val="22"/>
        </w:rPr>
        <w:fldChar w:fldCharType="begin"/>
      </w:r>
      <w:r w:rsidRPr="00C847FC">
        <w:rPr>
          <w:rFonts w:ascii="Arial Narrow" w:hAnsi="Arial Narrow"/>
          <w:b/>
          <w:bCs/>
          <w:sz w:val="22"/>
          <w:szCs w:val="22"/>
        </w:rPr>
        <w:instrText xml:space="preserve"> SEQ Cuadro_No. \* ARABIC </w:instrText>
      </w:r>
      <w:r w:rsidRPr="00C847FC">
        <w:rPr>
          <w:rFonts w:ascii="Arial Narrow" w:hAnsi="Arial Narrow"/>
          <w:b/>
          <w:bCs/>
          <w:sz w:val="22"/>
          <w:szCs w:val="22"/>
        </w:rPr>
        <w:fldChar w:fldCharType="separate"/>
      </w:r>
      <w:r w:rsidR="002F520A">
        <w:rPr>
          <w:rFonts w:ascii="Arial Narrow" w:hAnsi="Arial Narrow"/>
          <w:b/>
          <w:bCs/>
          <w:noProof/>
          <w:sz w:val="22"/>
          <w:szCs w:val="22"/>
        </w:rPr>
        <w:t>5</w:t>
      </w:r>
      <w:r w:rsidRPr="00C847FC">
        <w:rPr>
          <w:rFonts w:ascii="Arial Narrow" w:hAnsi="Arial Narrow"/>
          <w:b/>
          <w:bCs/>
          <w:sz w:val="22"/>
          <w:szCs w:val="22"/>
        </w:rPr>
        <w:fldChar w:fldCharType="end"/>
      </w:r>
      <w:r w:rsidRPr="00C847FC">
        <w:rPr>
          <w:rFonts w:ascii="Arial Narrow" w:eastAsia="Calibri" w:hAnsi="Arial Narrow"/>
          <w:b/>
          <w:bCs/>
          <w:sz w:val="22"/>
          <w:szCs w:val="22"/>
          <w:lang w:eastAsia="en-US"/>
        </w:rPr>
        <w:t xml:space="preserve"> Metas estratégicas de </w:t>
      </w:r>
      <w:r>
        <w:rPr>
          <w:rFonts w:ascii="Arial Narrow" w:eastAsia="Calibri" w:hAnsi="Arial Narrow"/>
          <w:b/>
          <w:bCs/>
          <w:sz w:val="22"/>
          <w:szCs w:val="22"/>
          <w:lang w:eastAsia="en-US"/>
        </w:rPr>
        <w:t>Celeridad Judicial</w:t>
      </w:r>
      <w:r w:rsidRPr="00C847FC">
        <w:rPr>
          <w:rFonts w:ascii="Arial Narrow" w:eastAsia="Calibri" w:hAnsi="Arial Narrow"/>
          <w:b/>
          <w:bCs/>
          <w:sz w:val="22"/>
          <w:szCs w:val="22"/>
          <w:lang w:eastAsia="en-US"/>
        </w:rPr>
        <w:t xml:space="preserve"> y su cumplimiento para el 20</w:t>
      </w:r>
      <w:r>
        <w:rPr>
          <w:rFonts w:ascii="Arial Narrow" w:eastAsia="Calibri" w:hAnsi="Arial Narrow"/>
          <w:b/>
          <w:bCs/>
          <w:sz w:val="22"/>
          <w:szCs w:val="22"/>
          <w:lang w:eastAsia="en-US"/>
        </w:rPr>
        <w:t>21</w:t>
      </w:r>
    </w:p>
    <w:p w14:paraId="376CE181" w14:textId="77777777" w:rsidR="00A146A8" w:rsidRDefault="00A146A8" w:rsidP="00271D70">
      <w:pPr>
        <w:jc w:val="center"/>
        <w:rPr>
          <w:rFonts w:ascii="Arial Narrow" w:eastAsia="Calibri" w:hAnsi="Arial Narrow"/>
          <w:b/>
          <w:bCs/>
          <w:sz w:val="22"/>
          <w:szCs w:val="22"/>
          <w:lang w:eastAsia="en-US"/>
        </w:rPr>
      </w:pPr>
    </w:p>
    <w:p w14:paraId="0EEA102B" w14:textId="77777777" w:rsidR="00696737" w:rsidRDefault="00696737" w:rsidP="00696737">
      <w:r>
        <w:rPr>
          <w:noProof/>
        </w:rPr>
        <w:drawing>
          <wp:inline distT="0" distB="0" distL="0" distR="0" wp14:anchorId="1D92DCA3" wp14:editId="262707F9">
            <wp:extent cx="5612130" cy="2600960"/>
            <wp:effectExtent l="19050" t="19050" r="26670" b="27940"/>
            <wp:docPr id="18" name="Imagen 1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Tabla&#10;&#10;Descripción generada automáticamente"/>
                    <pic:cNvPicPr/>
                  </pic:nvPicPr>
                  <pic:blipFill>
                    <a:blip r:embed="rId58"/>
                    <a:stretch>
                      <a:fillRect/>
                    </a:stretch>
                  </pic:blipFill>
                  <pic:spPr>
                    <a:xfrm>
                      <a:off x="0" y="0"/>
                      <a:ext cx="5612130" cy="2600960"/>
                    </a:xfrm>
                    <a:prstGeom prst="rect">
                      <a:avLst/>
                    </a:prstGeom>
                    <a:ln>
                      <a:solidFill>
                        <a:schemeClr val="tx1"/>
                      </a:solidFill>
                    </a:ln>
                  </pic:spPr>
                </pic:pic>
              </a:graphicData>
            </a:graphic>
          </wp:inline>
        </w:drawing>
      </w:r>
    </w:p>
    <w:p w14:paraId="447AE836" w14:textId="1389F566" w:rsidR="00696737" w:rsidRDefault="00696737" w:rsidP="00F6691E">
      <w:pPr>
        <w:jc w:val="center"/>
        <w:rPr>
          <w:rFonts w:ascii="Arial Narrow" w:hAnsi="Arial Narrow"/>
          <w:sz w:val="18"/>
          <w:szCs w:val="18"/>
        </w:rPr>
      </w:pPr>
      <w:r w:rsidRPr="00996542">
        <w:rPr>
          <w:rFonts w:ascii="Arial Narrow" w:hAnsi="Arial Narrow"/>
          <w:sz w:val="18"/>
          <w:szCs w:val="18"/>
        </w:rPr>
        <w:t>Fuente: Sistema PEI al 19 de enero del 2022 para el año 2021.</w:t>
      </w:r>
    </w:p>
    <w:p w14:paraId="2E97F404" w14:textId="16790C81" w:rsidR="00271D70" w:rsidRDefault="00271D70" w:rsidP="00696737">
      <w:pPr>
        <w:jc w:val="both"/>
        <w:rPr>
          <w:rFonts w:ascii="Arial Narrow" w:hAnsi="Arial Narrow"/>
          <w:sz w:val="18"/>
          <w:szCs w:val="18"/>
        </w:rPr>
      </w:pPr>
    </w:p>
    <w:p w14:paraId="3CE17C8B" w14:textId="77777777" w:rsidR="00271D70" w:rsidRPr="00996542" w:rsidRDefault="00271D70" w:rsidP="00696737">
      <w:pPr>
        <w:jc w:val="both"/>
        <w:rPr>
          <w:rFonts w:ascii="Arial Narrow" w:hAnsi="Arial Narrow"/>
          <w:sz w:val="18"/>
          <w:szCs w:val="18"/>
        </w:rPr>
      </w:pPr>
    </w:p>
    <w:p w14:paraId="3A2B2800" w14:textId="7F4D506F" w:rsidR="00696737" w:rsidRDefault="00696737" w:rsidP="00F77489">
      <w:pPr>
        <w:jc w:val="both"/>
        <w:rPr>
          <w:rFonts w:ascii="Arial Narrow" w:hAnsi="Arial Narrow"/>
        </w:rPr>
      </w:pPr>
      <w:r w:rsidRPr="00321132">
        <w:rPr>
          <w:rFonts w:ascii="Arial Narrow" w:hAnsi="Arial Narrow"/>
        </w:rPr>
        <w:t xml:space="preserve">Con respecto a la meta de casos terminados mediante la aplicación de medidas alternas en materia de Penal Juvenil, se tiene un cumplimiento general acumulado del 100% para los 3 años, tanto en el PEI como a nivel de lo que la oficina ha registrado. Al evidenciar los casos terminados se observa que siempre han superado con holgura la meta esperada de aproximadamente 20 mil asuntos, logrando completar hasta 26 mil casos registrados en el 2021, el año más alto con respecto al cumplimiento del periodo PEI hasta el momento. </w:t>
      </w:r>
    </w:p>
    <w:p w14:paraId="5413AA82" w14:textId="77777777" w:rsidR="00F77489" w:rsidRPr="00321132" w:rsidRDefault="00F77489" w:rsidP="00F77489">
      <w:pPr>
        <w:jc w:val="both"/>
        <w:rPr>
          <w:rFonts w:ascii="Arial Narrow" w:hAnsi="Arial Narrow"/>
        </w:rPr>
      </w:pPr>
    </w:p>
    <w:p w14:paraId="24AA4D50" w14:textId="77777777" w:rsidR="00696737" w:rsidRDefault="00696737" w:rsidP="00F77489">
      <w:pPr>
        <w:jc w:val="both"/>
        <w:rPr>
          <w:rFonts w:ascii="Arial Narrow" w:hAnsi="Arial Narrow"/>
        </w:rPr>
      </w:pPr>
      <w:r w:rsidRPr="00584708">
        <w:rPr>
          <w:rFonts w:ascii="Arial Narrow" w:hAnsi="Arial Narrow"/>
        </w:rPr>
        <w:t>Po</w:t>
      </w:r>
      <w:r>
        <w:rPr>
          <w:rFonts w:ascii="Arial Narrow" w:hAnsi="Arial Narrow"/>
        </w:rPr>
        <w:t>r</w:t>
      </w:r>
      <w:r w:rsidRPr="00584708">
        <w:rPr>
          <w:rFonts w:ascii="Arial Narrow" w:hAnsi="Arial Narrow"/>
        </w:rPr>
        <w:t xml:space="preserve"> su parte, la meta de casos terminados en materia </w:t>
      </w:r>
      <w:r>
        <w:rPr>
          <w:rFonts w:ascii="Arial Narrow" w:hAnsi="Arial Narrow"/>
        </w:rPr>
        <w:t>Notarial,</w:t>
      </w:r>
      <w:r w:rsidRPr="00584708">
        <w:rPr>
          <w:rFonts w:ascii="Arial Narrow" w:hAnsi="Arial Narrow"/>
        </w:rPr>
        <w:t xml:space="preserve"> se observa </w:t>
      </w:r>
      <w:r>
        <w:rPr>
          <w:rFonts w:ascii="Arial Narrow" w:hAnsi="Arial Narrow"/>
        </w:rPr>
        <w:t>un cumplimiento del 100% para el 2021 sobrepasando la meta esperada. En el 2020 si hubo una disminución que afectó el cumplimiento esperado, sin embargo, en el 2021 se registra el dato más alto del periodo del PEI hasta esta evaluación.</w:t>
      </w:r>
    </w:p>
    <w:p w14:paraId="3464AA37" w14:textId="77777777" w:rsidR="00696737" w:rsidRDefault="00696737" w:rsidP="00696737">
      <w:pPr>
        <w:spacing w:line="276" w:lineRule="auto"/>
        <w:jc w:val="both"/>
        <w:rPr>
          <w:rFonts w:ascii="Arial Narrow" w:hAnsi="Arial Narrow"/>
        </w:rPr>
      </w:pPr>
    </w:p>
    <w:p w14:paraId="14E2C3A5" w14:textId="77777777" w:rsidR="00696737" w:rsidRDefault="00696737" w:rsidP="00696737">
      <w:pPr>
        <w:spacing w:line="276" w:lineRule="auto"/>
        <w:jc w:val="both"/>
        <w:rPr>
          <w:rFonts w:ascii="Arial Narrow" w:hAnsi="Arial Narrow"/>
        </w:rPr>
      </w:pPr>
    </w:p>
    <w:p w14:paraId="5A78453D" w14:textId="77777777" w:rsidR="00696737" w:rsidRDefault="00696737" w:rsidP="00696737">
      <w:pPr>
        <w:spacing w:line="276" w:lineRule="auto"/>
        <w:jc w:val="both"/>
      </w:pPr>
    </w:p>
    <w:p w14:paraId="53052D1F" w14:textId="3173A582" w:rsidR="00696737" w:rsidRDefault="00696737" w:rsidP="00696737">
      <w:pPr>
        <w:spacing w:line="276" w:lineRule="auto"/>
        <w:jc w:val="both"/>
      </w:pPr>
    </w:p>
    <w:p w14:paraId="3CA12ADE" w14:textId="0DF65ACC" w:rsidR="00271D70" w:rsidRDefault="00271D70" w:rsidP="00696737">
      <w:pPr>
        <w:spacing w:line="276" w:lineRule="auto"/>
        <w:jc w:val="both"/>
      </w:pPr>
    </w:p>
    <w:p w14:paraId="3F05F6E9" w14:textId="1181248E" w:rsidR="00271D70" w:rsidRDefault="00271D70" w:rsidP="00696737">
      <w:pPr>
        <w:spacing w:line="276" w:lineRule="auto"/>
        <w:jc w:val="both"/>
      </w:pPr>
    </w:p>
    <w:p w14:paraId="22642192" w14:textId="7668AA8A" w:rsidR="00F77489" w:rsidRDefault="00F77489" w:rsidP="00696737">
      <w:pPr>
        <w:spacing w:line="276" w:lineRule="auto"/>
        <w:jc w:val="both"/>
      </w:pPr>
    </w:p>
    <w:p w14:paraId="28635B6F" w14:textId="06B76900" w:rsidR="00F77489" w:rsidRDefault="00F77489" w:rsidP="00696737">
      <w:pPr>
        <w:spacing w:line="276" w:lineRule="auto"/>
        <w:jc w:val="both"/>
      </w:pPr>
    </w:p>
    <w:p w14:paraId="4543D6E7" w14:textId="1417FBEB" w:rsidR="00F77489" w:rsidRDefault="00F77489" w:rsidP="00696737">
      <w:pPr>
        <w:spacing w:line="276" w:lineRule="auto"/>
        <w:jc w:val="both"/>
      </w:pPr>
    </w:p>
    <w:p w14:paraId="0E25D7AB" w14:textId="77777777" w:rsidR="00AE1BAD" w:rsidRDefault="00AE1BAD">
      <w:pPr>
        <w:rPr>
          <w:rFonts w:ascii="Arial Narrow" w:hAnsi="Arial Narrow"/>
          <w:b/>
          <w:bCs/>
          <w:sz w:val="22"/>
          <w:szCs w:val="22"/>
        </w:rPr>
      </w:pPr>
      <w:r>
        <w:rPr>
          <w:rFonts w:ascii="Arial Narrow" w:hAnsi="Arial Narrow"/>
          <w:b/>
          <w:bCs/>
          <w:sz w:val="22"/>
          <w:szCs w:val="22"/>
        </w:rPr>
        <w:br w:type="page"/>
      </w:r>
    </w:p>
    <w:p w14:paraId="62DE2853" w14:textId="1796C590" w:rsidR="00271D70" w:rsidRDefault="00271D70" w:rsidP="00271D70">
      <w:pPr>
        <w:jc w:val="center"/>
        <w:rPr>
          <w:rFonts w:ascii="Arial Narrow" w:eastAsia="Calibri" w:hAnsi="Arial Narrow"/>
          <w:b/>
          <w:bCs/>
          <w:sz w:val="22"/>
          <w:szCs w:val="22"/>
          <w:lang w:eastAsia="en-US"/>
        </w:rPr>
      </w:pPr>
      <w:r w:rsidRPr="00C847FC">
        <w:rPr>
          <w:rFonts w:ascii="Arial Narrow" w:hAnsi="Arial Narrow"/>
          <w:b/>
          <w:bCs/>
          <w:sz w:val="22"/>
          <w:szCs w:val="22"/>
        </w:rPr>
        <w:t xml:space="preserve">Cuadro  </w:t>
      </w:r>
      <w:r w:rsidRPr="00C847FC">
        <w:rPr>
          <w:rFonts w:ascii="Arial Narrow" w:hAnsi="Arial Narrow"/>
          <w:b/>
          <w:bCs/>
          <w:sz w:val="22"/>
          <w:szCs w:val="22"/>
        </w:rPr>
        <w:fldChar w:fldCharType="begin"/>
      </w:r>
      <w:r w:rsidRPr="00C847FC">
        <w:rPr>
          <w:rFonts w:ascii="Arial Narrow" w:hAnsi="Arial Narrow"/>
          <w:b/>
          <w:bCs/>
          <w:sz w:val="22"/>
          <w:szCs w:val="22"/>
        </w:rPr>
        <w:instrText xml:space="preserve"> SEQ Cuadro_No. \* ARABIC </w:instrText>
      </w:r>
      <w:r w:rsidRPr="00C847FC">
        <w:rPr>
          <w:rFonts w:ascii="Arial Narrow" w:hAnsi="Arial Narrow"/>
          <w:b/>
          <w:bCs/>
          <w:sz w:val="22"/>
          <w:szCs w:val="22"/>
        </w:rPr>
        <w:fldChar w:fldCharType="separate"/>
      </w:r>
      <w:r w:rsidR="002F520A">
        <w:rPr>
          <w:rFonts w:ascii="Arial Narrow" w:hAnsi="Arial Narrow"/>
          <w:b/>
          <w:bCs/>
          <w:noProof/>
          <w:sz w:val="22"/>
          <w:szCs w:val="22"/>
        </w:rPr>
        <w:t>6</w:t>
      </w:r>
      <w:r w:rsidRPr="00C847FC">
        <w:rPr>
          <w:rFonts w:ascii="Arial Narrow" w:hAnsi="Arial Narrow"/>
          <w:b/>
          <w:bCs/>
          <w:sz w:val="22"/>
          <w:szCs w:val="22"/>
        </w:rPr>
        <w:fldChar w:fldCharType="end"/>
      </w:r>
      <w:r w:rsidRPr="00C847FC">
        <w:rPr>
          <w:rFonts w:ascii="Arial Narrow" w:eastAsia="Calibri" w:hAnsi="Arial Narrow"/>
          <w:b/>
          <w:bCs/>
          <w:sz w:val="22"/>
          <w:szCs w:val="22"/>
          <w:lang w:eastAsia="en-US"/>
        </w:rPr>
        <w:t xml:space="preserve"> Metas estratégicas de </w:t>
      </w:r>
      <w:r>
        <w:rPr>
          <w:rFonts w:ascii="Arial Narrow" w:eastAsia="Calibri" w:hAnsi="Arial Narrow"/>
          <w:b/>
          <w:bCs/>
          <w:sz w:val="22"/>
          <w:szCs w:val="22"/>
          <w:lang w:eastAsia="en-US"/>
        </w:rPr>
        <w:t>Celeridad Judicial</w:t>
      </w:r>
      <w:r w:rsidRPr="00C847FC">
        <w:rPr>
          <w:rFonts w:ascii="Arial Narrow" w:eastAsia="Calibri" w:hAnsi="Arial Narrow"/>
          <w:b/>
          <w:bCs/>
          <w:sz w:val="22"/>
          <w:szCs w:val="22"/>
          <w:lang w:eastAsia="en-US"/>
        </w:rPr>
        <w:t xml:space="preserve"> y su cumplimiento para el 20</w:t>
      </w:r>
      <w:r>
        <w:rPr>
          <w:rFonts w:ascii="Arial Narrow" w:eastAsia="Calibri" w:hAnsi="Arial Narrow"/>
          <w:b/>
          <w:bCs/>
          <w:sz w:val="22"/>
          <w:szCs w:val="22"/>
          <w:lang w:eastAsia="en-US"/>
        </w:rPr>
        <w:t>21</w:t>
      </w:r>
    </w:p>
    <w:p w14:paraId="034BBE4C" w14:textId="77777777" w:rsidR="00A146A8" w:rsidRDefault="00A146A8" w:rsidP="00271D70">
      <w:pPr>
        <w:jc w:val="center"/>
        <w:rPr>
          <w:rFonts w:ascii="Arial Narrow" w:eastAsia="Calibri" w:hAnsi="Arial Narrow"/>
          <w:b/>
          <w:bCs/>
          <w:sz w:val="22"/>
          <w:szCs w:val="22"/>
          <w:lang w:eastAsia="en-US"/>
        </w:rPr>
      </w:pPr>
    </w:p>
    <w:p w14:paraId="751A1D34" w14:textId="5CCF70FE" w:rsidR="00696737" w:rsidRPr="00AE1BAD" w:rsidRDefault="00696737" w:rsidP="00AE1BAD">
      <w:pPr>
        <w:spacing w:line="276" w:lineRule="auto"/>
        <w:jc w:val="center"/>
      </w:pPr>
      <w:r>
        <w:rPr>
          <w:noProof/>
        </w:rPr>
        <w:drawing>
          <wp:inline distT="0" distB="0" distL="0" distR="0" wp14:anchorId="42699C1F" wp14:editId="689721BC">
            <wp:extent cx="5612130" cy="2564130"/>
            <wp:effectExtent l="57150" t="57150" r="102870" b="102870"/>
            <wp:docPr id="25" name="Imagen 2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Tabla&#10;&#10;Descripción generada automáticamente"/>
                    <pic:cNvPicPr/>
                  </pic:nvPicPr>
                  <pic:blipFill rotWithShape="1">
                    <a:blip r:embed="rId59"/>
                    <a:srcRect b="1488"/>
                    <a:stretch/>
                  </pic:blipFill>
                  <pic:spPr bwMode="auto">
                    <a:xfrm>
                      <a:off x="0" y="0"/>
                      <a:ext cx="5612130" cy="2564130"/>
                    </a:xfrm>
                    <a:prstGeom prst="rect">
                      <a:avLst/>
                    </a:prstGeom>
                    <a:ln w="12700" cap="sq" cmpd="sng" algn="ctr">
                      <a:solidFill>
                        <a:sysClr val="windowText" lastClr="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Pr="00996542">
        <w:rPr>
          <w:rFonts w:ascii="Arial Narrow" w:hAnsi="Arial Narrow"/>
          <w:sz w:val="18"/>
          <w:szCs w:val="18"/>
        </w:rPr>
        <w:t>Fuente: Sistema PEI al 19 de enero del 2022 para el año 2021.</w:t>
      </w:r>
    </w:p>
    <w:p w14:paraId="0D94029C" w14:textId="0234CCF4" w:rsidR="00271D70" w:rsidRDefault="00271D70" w:rsidP="00696737">
      <w:pPr>
        <w:jc w:val="both"/>
        <w:rPr>
          <w:rFonts w:ascii="Arial Narrow" w:hAnsi="Arial Narrow"/>
          <w:sz w:val="18"/>
          <w:szCs w:val="18"/>
        </w:rPr>
      </w:pPr>
    </w:p>
    <w:p w14:paraId="3EA75B8C" w14:textId="77777777" w:rsidR="00271D70" w:rsidRPr="00996542" w:rsidRDefault="00271D70" w:rsidP="00696737">
      <w:pPr>
        <w:jc w:val="both"/>
        <w:rPr>
          <w:rFonts w:ascii="Arial Narrow" w:hAnsi="Arial Narrow"/>
          <w:sz w:val="18"/>
          <w:szCs w:val="18"/>
        </w:rPr>
      </w:pPr>
    </w:p>
    <w:p w14:paraId="05DF5D63" w14:textId="61928A77" w:rsidR="00696737" w:rsidRDefault="74284DD9" w:rsidP="00F77489">
      <w:pPr>
        <w:jc w:val="both"/>
        <w:rPr>
          <w:rFonts w:ascii="Arial Narrow" w:hAnsi="Arial Narrow"/>
        </w:rPr>
      </w:pPr>
      <w:r w:rsidRPr="1A029E28">
        <w:rPr>
          <w:rFonts w:ascii="Arial Narrow" w:hAnsi="Arial Narrow"/>
        </w:rPr>
        <w:t xml:space="preserve">Por su parte, la meta de casos terminados en la jurisdicción Contenciosa Administrativa segunda instancia, se tiene un cumplimiento </w:t>
      </w:r>
      <w:r w:rsidR="62941235" w:rsidRPr="1A029E28">
        <w:rPr>
          <w:rFonts w:ascii="Arial Narrow" w:hAnsi="Arial Narrow"/>
        </w:rPr>
        <w:t xml:space="preserve">alto </w:t>
      </w:r>
      <w:r w:rsidRPr="1A029E28">
        <w:rPr>
          <w:rFonts w:ascii="Arial Narrow" w:hAnsi="Arial Narrow"/>
        </w:rPr>
        <w:t xml:space="preserve">para los años 2019 y 2020, sin embargo, para el 2021 se registra el cumplimiento en un 80%. Al revisar los asuntos ingresados a la oficina Tribunal de Apelación de lo Contencioso Administrativo y Civil de Hacienda se tiene que se ha presentado un decrecimiento de un 46% en la cantidad de casos entrados, pasando de 1.612 casos en 2019 a 869 casos ingresados en el 2021. </w:t>
      </w:r>
      <w:r w:rsidR="00D25E5A" w:rsidRPr="1A029E28">
        <w:rPr>
          <w:rFonts w:ascii="Arial Narrow" w:hAnsi="Arial Narrow"/>
          <w:b/>
        </w:rPr>
        <w:t>Esta meta debe ser revisada con respecto a sus valores esperados de casos terminados dada la baja en el ingreso de asuntos</w:t>
      </w:r>
      <w:r w:rsidR="00D25E5A" w:rsidRPr="009B2F63">
        <w:rPr>
          <w:rFonts w:ascii="Arial Narrow" w:hAnsi="Arial Narrow"/>
          <w:b/>
        </w:rPr>
        <w:t xml:space="preserve">, considerando el alcance de la valoración efectuada en el informe 1281-PLA-PE-2021 relacionado con el análisis de los casos terminados durante el 2019, 2020 y el primer semestre de 2021, monitoreando su comportamiento y las proyecciones para el 2021 y periodos siguientes del Plan Estratégico Institucional 2019-2024. </w:t>
      </w:r>
      <w:r w:rsidR="00D25E5A">
        <w:rPr>
          <w:rFonts w:ascii="Arial Narrow" w:hAnsi="Arial Narrow"/>
        </w:rPr>
        <w:t xml:space="preserve"> </w:t>
      </w:r>
    </w:p>
    <w:p w14:paraId="260488EB" w14:textId="77777777" w:rsidR="00F77489" w:rsidRDefault="00F77489" w:rsidP="00F77489">
      <w:pPr>
        <w:jc w:val="both"/>
        <w:rPr>
          <w:rFonts w:ascii="Arial Narrow" w:hAnsi="Arial Narrow"/>
        </w:rPr>
      </w:pPr>
    </w:p>
    <w:p w14:paraId="650E5E6D" w14:textId="77777777" w:rsidR="00696737" w:rsidRDefault="00696737" w:rsidP="00F77489">
      <w:pPr>
        <w:jc w:val="both"/>
        <w:rPr>
          <w:rFonts w:ascii="Arial Narrow" w:hAnsi="Arial Narrow"/>
        </w:rPr>
      </w:pPr>
      <w:r w:rsidRPr="00584708">
        <w:rPr>
          <w:rFonts w:ascii="Arial Narrow" w:hAnsi="Arial Narrow"/>
        </w:rPr>
        <w:t xml:space="preserve">Con respecto a la meta de casos terminados en materia </w:t>
      </w:r>
      <w:r>
        <w:rPr>
          <w:rFonts w:ascii="Arial Narrow" w:hAnsi="Arial Narrow"/>
        </w:rPr>
        <w:t>penal en Tribunales de Apelación, segunda instancia</w:t>
      </w:r>
      <w:r w:rsidRPr="00584708">
        <w:rPr>
          <w:rFonts w:ascii="Arial Narrow" w:hAnsi="Arial Narrow"/>
        </w:rPr>
        <w:t>, se tiene un cumplimiento general del 100% para los 3 años</w:t>
      </w:r>
      <w:r>
        <w:rPr>
          <w:rFonts w:ascii="Arial Narrow" w:hAnsi="Arial Narrow"/>
        </w:rPr>
        <w:t xml:space="preserve"> en el PEI, en el 2019 se presentó un incumplimiento por parte de oficinas esto probablemente por falta de actualización del Sistema PAO a tiempo. Sin embargo, los resultados generales son óptimos y sobrepasan con creces la meta esperada de 3 mil casos terminados al año, dado que todos los años del PEI se reportó más de 4 mil casos. </w:t>
      </w:r>
      <w:r w:rsidRPr="00EC7621">
        <w:rPr>
          <w:rFonts w:ascii="Arial Narrow" w:hAnsi="Arial Narrow"/>
          <w:b/>
          <w:bCs/>
        </w:rPr>
        <w:t>Se sugiere modificar el valor esperado de la meta y adecuarlo a las realidades de las oficinas las cuales están en capacidad de terminar más expedientes de lo que fue planeado</w:t>
      </w:r>
      <w:r>
        <w:rPr>
          <w:rFonts w:ascii="Arial Narrow" w:hAnsi="Arial Narrow"/>
        </w:rPr>
        <w:t>.</w:t>
      </w:r>
      <w:r w:rsidRPr="00584708">
        <w:rPr>
          <w:rFonts w:ascii="Arial Narrow" w:hAnsi="Arial Narrow"/>
        </w:rPr>
        <w:t xml:space="preserve"> </w:t>
      </w:r>
    </w:p>
    <w:p w14:paraId="73497607" w14:textId="77777777" w:rsidR="00696737" w:rsidRDefault="00696737" w:rsidP="00696737">
      <w:pPr>
        <w:spacing w:line="276" w:lineRule="auto"/>
        <w:jc w:val="both"/>
        <w:rPr>
          <w:rFonts w:ascii="Arial Narrow" w:hAnsi="Arial Narrow"/>
        </w:rPr>
      </w:pPr>
    </w:p>
    <w:p w14:paraId="6441E31A" w14:textId="17056608" w:rsidR="00696737" w:rsidRDefault="00696737" w:rsidP="00696737">
      <w:pPr>
        <w:spacing w:line="276" w:lineRule="auto"/>
        <w:jc w:val="both"/>
        <w:rPr>
          <w:rFonts w:ascii="Arial Narrow" w:hAnsi="Arial Narrow"/>
        </w:rPr>
      </w:pPr>
    </w:p>
    <w:p w14:paraId="4527FF65" w14:textId="10F20CAF" w:rsidR="00F77489" w:rsidRDefault="00F77489" w:rsidP="00696737">
      <w:pPr>
        <w:spacing w:line="276" w:lineRule="auto"/>
        <w:jc w:val="both"/>
        <w:rPr>
          <w:rFonts w:ascii="Arial Narrow" w:hAnsi="Arial Narrow"/>
        </w:rPr>
      </w:pPr>
    </w:p>
    <w:p w14:paraId="30DD484D" w14:textId="77777777" w:rsidR="00B54439" w:rsidRDefault="00B54439" w:rsidP="00696737">
      <w:pPr>
        <w:spacing w:line="276" w:lineRule="auto"/>
        <w:jc w:val="both"/>
        <w:rPr>
          <w:rFonts w:ascii="Arial Narrow" w:hAnsi="Arial Narrow"/>
        </w:rPr>
      </w:pPr>
    </w:p>
    <w:p w14:paraId="332C95BF" w14:textId="50799F52" w:rsidR="00F77489" w:rsidRDefault="00F77489" w:rsidP="00696737">
      <w:pPr>
        <w:spacing w:line="276" w:lineRule="auto"/>
        <w:jc w:val="both"/>
        <w:rPr>
          <w:rFonts w:ascii="Arial Narrow" w:hAnsi="Arial Narrow"/>
        </w:rPr>
      </w:pPr>
    </w:p>
    <w:p w14:paraId="356FD876" w14:textId="0BD02541" w:rsidR="00271D70" w:rsidRDefault="00271D70" w:rsidP="0095033E">
      <w:pPr>
        <w:jc w:val="center"/>
        <w:rPr>
          <w:rFonts w:ascii="Arial Narrow" w:eastAsia="Calibri" w:hAnsi="Arial Narrow"/>
          <w:b/>
          <w:bCs/>
          <w:sz w:val="22"/>
          <w:szCs w:val="22"/>
          <w:lang w:eastAsia="en-US"/>
        </w:rPr>
      </w:pPr>
      <w:r w:rsidRPr="00C847FC">
        <w:rPr>
          <w:rFonts w:ascii="Arial Narrow" w:hAnsi="Arial Narrow"/>
          <w:b/>
          <w:bCs/>
          <w:sz w:val="22"/>
          <w:szCs w:val="22"/>
        </w:rPr>
        <w:t xml:space="preserve">Cuadro  </w:t>
      </w:r>
      <w:r w:rsidRPr="00C847FC">
        <w:rPr>
          <w:rFonts w:ascii="Arial Narrow" w:hAnsi="Arial Narrow"/>
          <w:b/>
          <w:bCs/>
          <w:sz w:val="22"/>
          <w:szCs w:val="22"/>
        </w:rPr>
        <w:fldChar w:fldCharType="begin"/>
      </w:r>
      <w:r w:rsidRPr="00C847FC">
        <w:rPr>
          <w:rFonts w:ascii="Arial Narrow" w:hAnsi="Arial Narrow"/>
          <w:b/>
          <w:bCs/>
          <w:sz w:val="22"/>
          <w:szCs w:val="22"/>
        </w:rPr>
        <w:instrText xml:space="preserve"> SEQ Cuadro_No. \* ARABIC </w:instrText>
      </w:r>
      <w:r w:rsidRPr="00C847FC">
        <w:rPr>
          <w:rFonts w:ascii="Arial Narrow" w:hAnsi="Arial Narrow"/>
          <w:b/>
          <w:bCs/>
          <w:sz w:val="22"/>
          <w:szCs w:val="22"/>
        </w:rPr>
        <w:fldChar w:fldCharType="separate"/>
      </w:r>
      <w:r w:rsidR="002F520A">
        <w:rPr>
          <w:rFonts w:ascii="Arial Narrow" w:hAnsi="Arial Narrow"/>
          <w:b/>
          <w:bCs/>
          <w:noProof/>
          <w:sz w:val="22"/>
          <w:szCs w:val="22"/>
        </w:rPr>
        <w:t>7</w:t>
      </w:r>
      <w:r w:rsidRPr="00C847FC">
        <w:rPr>
          <w:rFonts w:ascii="Arial Narrow" w:hAnsi="Arial Narrow"/>
          <w:b/>
          <w:bCs/>
          <w:sz w:val="22"/>
          <w:szCs w:val="22"/>
        </w:rPr>
        <w:fldChar w:fldCharType="end"/>
      </w:r>
      <w:r w:rsidRPr="00C847FC">
        <w:rPr>
          <w:rFonts w:ascii="Arial Narrow" w:eastAsia="Calibri" w:hAnsi="Arial Narrow"/>
          <w:b/>
          <w:bCs/>
          <w:sz w:val="22"/>
          <w:szCs w:val="22"/>
          <w:lang w:eastAsia="en-US"/>
        </w:rPr>
        <w:t xml:space="preserve"> Metas estratégicas de </w:t>
      </w:r>
      <w:r>
        <w:rPr>
          <w:rFonts w:ascii="Arial Narrow" w:eastAsia="Calibri" w:hAnsi="Arial Narrow"/>
          <w:b/>
          <w:bCs/>
          <w:sz w:val="22"/>
          <w:szCs w:val="22"/>
          <w:lang w:eastAsia="en-US"/>
        </w:rPr>
        <w:t>Celeridad Judicial</w:t>
      </w:r>
      <w:r w:rsidRPr="00C847FC">
        <w:rPr>
          <w:rFonts w:ascii="Arial Narrow" w:eastAsia="Calibri" w:hAnsi="Arial Narrow"/>
          <w:b/>
          <w:bCs/>
          <w:sz w:val="22"/>
          <w:szCs w:val="22"/>
          <w:lang w:eastAsia="en-US"/>
        </w:rPr>
        <w:t xml:space="preserve"> y su cumplimiento para el 20</w:t>
      </w:r>
      <w:r>
        <w:rPr>
          <w:rFonts w:ascii="Arial Narrow" w:eastAsia="Calibri" w:hAnsi="Arial Narrow"/>
          <w:b/>
          <w:bCs/>
          <w:sz w:val="22"/>
          <w:szCs w:val="22"/>
          <w:lang w:eastAsia="en-US"/>
        </w:rPr>
        <w:t>21</w:t>
      </w:r>
    </w:p>
    <w:p w14:paraId="4B31F892" w14:textId="77777777" w:rsidR="00A146A8" w:rsidRDefault="00A146A8" w:rsidP="00271D70">
      <w:pPr>
        <w:jc w:val="center"/>
        <w:rPr>
          <w:rFonts w:ascii="Arial Narrow" w:eastAsia="Calibri" w:hAnsi="Arial Narrow"/>
          <w:b/>
          <w:bCs/>
          <w:sz w:val="22"/>
          <w:szCs w:val="22"/>
          <w:lang w:eastAsia="en-US"/>
        </w:rPr>
      </w:pPr>
    </w:p>
    <w:p w14:paraId="7E2E4E31" w14:textId="77777777" w:rsidR="00696737" w:rsidRDefault="00696737" w:rsidP="00696737">
      <w:pPr>
        <w:spacing w:line="276" w:lineRule="auto"/>
        <w:jc w:val="both"/>
        <w:rPr>
          <w:rFonts w:ascii="Arial Narrow" w:hAnsi="Arial Narrow"/>
        </w:rPr>
      </w:pPr>
      <w:r>
        <w:rPr>
          <w:noProof/>
        </w:rPr>
        <w:drawing>
          <wp:inline distT="0" distB="0" distL="0" distR="0" wp14:anchorId="08F60649" wp14:editId="615BE1F4">
            <wp:extent cx="5612130" cy="2611755"/>
            <wp:effectExtent l="19050" t="19050" r="26670" b="17145"/>
            <wp:docPr id="17" name="Imagen 1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Tabla&#10;&#10;Descripción generada automáticamente"/>
                    <pic:cNvPicPr/>
                  </pic:nvPicPr>
                  <pic:blipFill>
                    <a:blip r:embed="rId60"/>
                    <a:stretch>
                      <a:fillRect/>
                    </a:stretch>
                  </pic:blipFill>
                  <pic:spPr>
                    <a:xfrm>
                      <a:off x="0" y="0"/>
                      <a:ext cx="5612130" cy="2611755"/>
                    </a:xfrm>
                    <a:prstGeom prst="rect">
                      <a:avLst/>
                    </a:prstGeom>
                    <a:ln w="12700">
                      <a:solidFill>
                        <a:schemeClr val="tx1"/>
                      </a:solidFill>
                    </a:ln>
                  </pic:spPr>
                </pic:pic>
              </a:graphicData>
            </a:graphic>
          </wp:inline>
        </w:drawing>
      </w:r>
    </w:p>
    <w:p w14:paraId="517ABABD" w14:textId="5EA74269" w:rsidR="00696737" w:rsidRDefault="00696737" w:rsidP="00F6691E">
      <w:pPr>
        <w:jc w:val="center"/>
        <w:rPr>
          <w:rFonts w:ascii="Arial Narrow" w:hAnsi="Arial Narrow"/>
          <w:sz w:val="18"/>
          <w:szCs w:val="18"/>
        </w:rPr>
      </w:pPr>
      <w:r w:rsidRPr="00996542">
        <w:rPr>
          <w:rFonts w:ascii="Arial Narrow" w:hAnsi="Arial Narrow"/>
          <w:sz w:val="18"/>
          <w:szCs w:val="18"/>
        </w:rPr>
        <w:t>Fuente: Sistema PEI al 19 de enero del 2022 para el año 2021.</w:t>
      </w:r>
    </w:p>
    <w:p w14:paraId="51ABA902" w14:textId="77777777" w:rsidR="00F77489" w:rsidRPr="00996542" w:rsidRDefault="00F77489" w:rsidP="00696737">
      <w:pPr>
        <w:jc w:val="both"/>
        <w:rPr>
          <w:rFonts w:ascii="Arial Narrow" w:hAnsi="Arial Narrow"/>
          <w:sz w:val="18"/>
          <w:szCs w:val="18"/>
        </w:rPr>
      </w:pPr>
    </w:p>
    <w:p w14:paraId="05745E2E" w14:textId="77777777" w:rsidR="00B54439" w:rsidRDefault="00B54439" w:rsidP="00F77489">
      <w:pPr>
        <w:jc w:val="both"/>
        <w:rPr>
          <w:rFonts w:ascii="Arial Narrow" w:hAnsi="Arial Narrow"/>
        </w:rPr>
      </w:pPr>
    </w:p>
    <w:p w14:paraId="6C5AD81F" w14:textId="342B8AB0" w:rsidR="00696737" w:rsidRPr="00322D9B" w:rsidRDefault="00696737" w:rsidP="00F77489">
      <w:pPr>
        <w:jc w:val="both"/>
        <w:rPr>
          <w:rFonts w:ascii="Arial Narrow" w:hAnsi="Arial Narrow"/>
          <w:b/>
          <w:bCs/>
        </w:rPr>
      </w:pPr>
      <w:r w:rsidRPr="00584708">
        <w:rPr>
          <w:rFonts w:ascii="Arial Narrow" w:hAnsi="Arial Narrow"/>
        </w:rPr>
        <w:t>Po</w:t>
      </w:r>
      <w:r>
        <w:rPr>
          <w:rFonts w:ascii="Arial Narrow" w:hAnsi="Arial Narrow"/>
        </w:rPr>
        <w:t>r</w:t>
      </w:r>
      <w:r w:rsidRPr="00584708">
        <w:rPr>
          <w:rFonts w:ascii="Arial Narrow" w:hAnsi="Arial Narrow"/>
        </w:rPr>
        <w:t xml:space="preserve"> su parte, la meta de casos terminados en </w:t>
      </w:r>
      <w:r>
        <w:rPr>
          <w:rFonts w:ascii="Arial Narrow" w:hAnsi="Arial Narrow"/>
        </w:rPr>
        <w:t xml:space="preserve">la materia Penal </w:t>
      </w:r>
      <w:r w:rsidR="009F46FE">
        <w:rPr>
          <w:rFonts w:ascii="Arial Narrow" w:hAnsi="Arial Narrow"/>
        </w:rPr>
        <w:t>J</w:t>
      </w:r>
      <w:r>
        <w:rPr>
          <w:rFonts w:ascii="Arial Narrow" w:hAnsi="Arial Narrow"/>
        </w:rPr>
        <w:t xml:space="preserve">uvenil segunda instancia, presenta un decrecimiento en casos terminados de 20% desde el 2019 que registró 372 casos al 2021 que se reportaron 298 expedientes. El porcentaje de cumplimiento es en promedio un 78% por debajo de la meta esperada. Al revisar la cantidad de asuntos ingresados se denota que ha experimentado un decrecimiento de ingreso en un 22%, dado que en el 2019 reportaba un ingreso de 375 casos y para el 2021 se registraron 292 expedientes. </w:t>
      </w:r>
      <w:r w:rsidRPr="00322D9B">
        <w:rPr>
          <w:rFonts w:ascii="Arial Narrow" w:hAnsi="Arial Narrow"/>
          <w:b/>
          <w:bCs/>
        </w:rPr>
        <w:t>Debido a lo anterior, a esta meta se propone realizar un ajuste de los valores esperados de acuerdo con el oficio 1281-PLA-PE-2021 que propone su modificación respecto a sus valores esperados de casos terminados dada la baja en ingreso de asuntos.  Es</w:t>
      </w:r>
      <w:r w:rsidR="00D25E5A">
        <w:rPr>
          <w:rFonts w:ascii="Arial Narrow" w:hAnsi="Arial Narrow"/>
          <w:b/>
          <w:bCs/>
        </w:rPr>
        <w:t>t</w:t>
      </w:r>
      <w:r w:rsidRPr="00322D9B">
        <w:rPr>
          <w:rFonts w:ascii="Arial Narrow" w:hAnsi="Arial Narrow"/>
          <w:b/>
          <w:bCs/>
        </w:rPr>
        <w:t>e oficio 1281-PLA-PE-2021 está en proceso de ser conocido por Corte Plena.</w:t>
      </w:r>
    </w:p>
    <w:p w14:paraId="17AC3CAE" w14:textId="77777777" w:rsidR="00F77489" w:rsidRDefault="00F77489" w:rsidP="00F77489">
      <w:pPr>
        <w:jc w:val="both"/>
        <w:rPr>
          <w:rFonts w:ascii="Arial Narrow" w:hAnsi="Arial Narrow"/>
        </w:rPr>
      </w:pPr>
    </w:p>
    <w:p w14:paraId="742219F1" w14:textId="41D2B620" w:rsidR="00696737" w:rsidRDefault="025662A4" w:rsidP="00F77489">
      <w:pPr>
        <w:jc w:val="both"/>
        <w:rPr>
          <w:rFonts w:ascii="Arial Narrow" w:hAnsi="Arial Narrow"/>
        </w:rPr>
      </w:pPr>
      <w:r w:rsidRPr="40316866">
        <w:rPr>
          <w:rFonts w:ascii="Arial Narrow" w:hAnsi="Arial Narrow"/>
        </w:rPr>
        <w:t xml:space="preserve">Con respecto a la meta de casos terminados en materia Agraria de segunda instancia, se tiene un cumplimiento de aproximadamente 98% para los 3 años en el PEI, esto por cuanto los años 2020 y 2021, sobrepasaron los casos terminados en lo que se esperaba de la meta anual.  </w:t>
      </w:r>
      <w:r w:rsidRPr="1A029E28">
        <w:rPr>
          <w:rFonts w:ascii="Arial Narrow" w:hAnsi="Arial Narrow"/>
        </w:rPr>
        <w:t>Se debe aclarar que, por un error material, el cual ya fue corregido en el Sistema PAO para el futuro</w:t>
      </w:r>
      <w:r w:rsidRPr="40316866">
        <w:rPr>
          <w:rFonts w:ascii="Arial Narrow" w:hAnsi="Arial Narrow"/>
        </w:rPr>
        <w:t xml:space="preserve">, en el informe 1281-PLA-PE-2021 </w:t>
      </w:r>
      <w:r w:rsidR="2ECBE593" w:rsidRPr="40316866">
        <w:rPr>
          <w:rFonts w:ascii="Arial Narrow" w:hAnsi="Arial Narrow"/>
        </w:rPr>
        <w:t xml:space="preserve"> </w:t>
      </w:r>
      <w:r w:rsidRPr="40316866">
        <w:rPr>
          <w:rFonts w:ascii="Arial Narrow" w:hAnsi="Arial Narrow"/>
        </w:rPr>
        <w:t xml:space="preserve"> de evaluación del PEI se habían registrado un valor por alcanzar de esa meta que correspondía a un dato más alto de lo que realmente la oficina estaba en capacidad de terminar, el dato que se evidencia en el presente informe es el correcto y será corregido en la matriz oficial del PEI.</w:t>
      </w:r>
    </w:p>
    <w:p w14:paraId="669814E9" w14:textId="77777777" w:rsidR="00271D70" w:rsidRDefault="00271D70" w:rsidP="00696737">
      <w:pPr>
        <w:jc w:val="center"/>
        <w:rPr>
          <w:rFonts w:ascii="Arial Narrow" w:hAnsi="Arial Narrow"/>
          <w:b/>
          <w:bCs/>
        </w:rPr>
      </w:pPr>
    </w:p>
    <w:p w14:paraId="56D39FA5" w14:textId="45A09C0D" w:rsidR="00271D70" w:rsidRDefault="00271D70" w:rsidP="00696737">
      <w:pPr>
        <w:jc w:val="center"/>
        <w:rPr>
          <w:rFonts w:ascii="Arial Narrow" w:hAnsi="Arial Narrow"/>
          <w:b/>
          <w:bCs/>
        </w:rPr>
      </w:pPr>
    </w:p>
    <w:p w14:paraId="3D8F8B72" w14:textId="46E55D65" w:rsidR="00F77489" w:rsidRDefault="00F77489" w:rsidP="00696737">
      <w:pPr>
        <w:jc w:val="center"/>
        <w:rPr>
          <w:rFonts w:ascii="Arial Narrow" w:hAnsi="Arial Narrow"/>
          <w:b/>
          <w:bCs/>
        </w:rPr>
      </w:pPr>
    </w:p>
    <w:p w14:paraId="5C34E73C" w14:textId="77777777" w:rsidR="00F77489" w:rsidRDefault="00F77489" w:rsidP="00322D9B">
      <w:pPr>
        <w:rPr>
          <w:rFonts w:ascii="Arial Narrow" w:hAnsi="Arial Narrow"/>
          <w:b/>
          <w:bCs/>
        </w:rPr>
      </w:pPr>
    </w:p>
    <w:p w14:paraId="148D0F93" w14:textId="77777777" w:rsidR="00271D70" w:rsidRDefault="00271D70" w:rsidP="00696737">
      <w:pPr>
        <w:jc w:val="center"/>
        <w:rPr>
          <w:rFonts w:ascii="Arial Narrow" w:hAnsi="Arial Narrow"/>
          <w:b/>
          <w:bCs/>
        </w:rPr>
      </w:pPr>
    </w:p>
    <w:p w14:paraId="086FC96F" w14:textId="77777777" w:rsidR="0095033E" w:rsidRDefault="0095033E" w:rsidP="00271D70">
      <w:pPr>
        <w:jc w:val="center"/>
        <w:rPr>
          <w:rFonts w:ascii="Arial Narrow" w:hAnsi="Arial Narrow"/>
          <w:b/>
          <w:bCs/>
          <w:sz w:val="22"/>
          <w:szCs w:val="22"/>
        </w:rPr>
      </w:pPr>
    </w:p>
    <w:p w14:paraId="6D9CAC14" w14:textId="77777777" w:rsidR="0095033E" w:rsidRDefault="0095033E" w:rsidP="00271D70">
      <w:pPr>
        <w:jc w:val="center"/>
        <w:rPr>
          <w:rFonts w:ascii="Arial Narrow" w:hAnsi="Arial Narrow"/>
          <w:b/>
          <w:bCs/>
          <w:sz w:val="22"/>
          <w:szCs w:val="22"/>
        </w:rPr>
      </w:pPr>
    </w:p>
    <w:p w14:paraId="029B2E08" w14:textId="2E8265D1" w:rsidR="00271D70" w:rsidRDefault="00271D70" w:rsidP="00271D70">
      <w:pPr>
        <w:jc w:val="center"/>
        <w:rPr>
          <w:rFonts w:ascii="Arial Narrow" w:eastAsia="Calibri" w:hAnsi="Arial Narrow"/>
          <w:b/>
          <w:bCs/>
          <w:sz w:val="22"/>
          <w:szCs w:val="22"/>
          <w:lang w:eastAsia="en-US"/>
        </w:rPr>
      </w:pPr>
      <w:r w:rsidRPr="00C847FC">
        <w:rPr>
          <w:rFonts w:ascii="Arial Narrow" w:hAnsi="Arial Narrow"/>
          <w:b/>
          <w:bCs/>
          <w:sz w:val="22"/>
          <w:szCs w:val="22"/>
        </w:rPr>
        <w:t xml:space="preserve">Cuadro  </w:t>
      </w:r>
      <w:r w:rsidRPr="00C847FC">
        <w:rPr>
          <w:rFonts w:ascii="Arial Narrow" w:hAnsi="Arial Narrow"/>
          <w:b/>
          <w:bCs/>
          <w:sz w:val="22"/>
          <w:szCs w:val="22"/>
        </w:rPr>
        <w:fldChar w:fldCharType="begin"/>
      </w:r>
      <w:r w:rsidRPr="00C847FC">
        <w:rPr>
          <w:rFonts w:ascii="Arial Narrow" w:hAnsi="Arial Narrow"/>
          <w:b/>
          <w:bCs/>
          <w:sz w:val="22"/>
          <w:szCs w:val="22"/>
        </w:rPr>
        <w:instrText xml:space="preserve"> SEQ Cuadro_No. \* ARABIC </w:instrText>
      </w:r>
      <w:r w:rsidRPr="00C847FC">
        <w:rPr>
          <w:rFonts w:ascii="Arial Narrow" w:hAnsi="Arial Narrow"/>
          <w:b/>
          <w:bCs/>
          <w:sz w:val="22"/>
          <w:szCs w:val="22"/>
        </w:rPr>
        <w:fldChar w:fldCharType="separate"/>
      </w:r>
      <w:r w:rsidR="002F520A">
        <w:rPr>
          <w:rFonts w:ascii="Arial Narrow" w:hAnsi="Arial Narrow"/>
          <w:b/>
          <w:bCs/>
          <w:noProof/>
          <w:sz w:val="22"/>
          <w:szCs w:val="22"/>
        </w:rPr>
        <w:t>8</w:t>
      </w:r>
      <w:r w:rsidRPr="00C847FC">
        <w:rPr>
          <w:rFonts w:ascii="Arial Narrow" w:hAnsi="Arial Narrow"/>
          <w:b/>
          <w:bCs/>
          <w:sz w:val="22"/>
          <w:szCs w:val="22"/>
        </w:rPr>
        <w:fldChar w:fldCharType="end"/>
      </w:r>
      <w:r w:rsidRPr="00C847FC">
        <w:rPr>
          <w:rFonts w:ascii="Arial Narrow" w:eastAsia="Calibri" w:hAnsi="Arial Narrow"/>
          <w:b/>
          <w:bCs/>
          <w:sz w:val="22"/>
          <w:szCs w:val="22"/>
          <w:lang w:eastAsia="en-US"/>
        </w:rPr>
        <w:t xml:space="preserve"> Metas estratégicas de </w:t>
      </w:r>
      <w:r>
        <w:rPr>
          <w:rFonts w:ascii="Arial Narrow" w:eastAsia="Calibri" w:hAnsi="Arial Narrow"/>
          <w:b/>
          <w:bCs/>
          <w:sz w:val="22"/>
          <w:szCs w:val="22"/>
          <w:lang w:eastAsia="en-US"/>
        </w:rPr>
        <w:t>Celeridad Judicial</w:t>
      </w:r>
      <w:r w:rsidRPr="00C847FC">
        <w:rPr>
          <w:rFonts w:ascii="Arial Narrow" w:eastAsia="Calibri" w:hAnsi="Arial Narrow"/>
          <w:b/>
          <w:bCs/>
          <w:sz w:val="22"/>
          <w:szCs w:val="22"/>
          <w:lang w:eastAsia="en-US"/>
        </w:rPr>
        <w:t xml:space="preserve"> y su cumplimiento para el 20</w:t>
      </w:r>
      <w:r>
        <w:rPr>
          <w:rFonts w:ascii="Arial Narrow" w:eastAsia="Calibri" w:hAnsi="Arial Narrow"/>
          <w:b/>
          <w:bCs/>
          <w:sz w:val="22"/>
          <w:szCs w:val="22"/>
          <w:lang w:eastAsia="en-US"/>
        </w:rPr>
        <w:t>21</w:t>
      </w:r>
    </w:p>
    <w:p w14:paraId="2054CAF6" w14:textId="77777777" w:rsidR="0088514B" w:rsidRDefault="0088514B" w:rsidP="00271D70">
      <w:pPr>
        <w:jc w:val="center"/>
        <w:rPr>
          <w:rFonts w:ascii="Arial Narrow" w:eastAsia="Calibri" w:hAnsi="Arial Narrow"/>
          <w:b/>
          <w:bCs/>
          <w:sz w:val="22"/>
          <w:szCs w:val="22"/>
          <w:lang w:eastAsia="en-US"/>
        </w:rPr>
      </w:pPr>
    </w:p>
    <w:p w14:paraId="03F1ED45" w14:textId="77777777" w:rsidR="00696737" w:rsidRDefault="00696737" w:rsidP="00696737">
      <w:pPr>
        <w:spacing w:line="276" w:lineRule="auto"/>
        <w:jc w:val="both"/>
        <w:rPr>
          <w:rFonts w:ascii="Arial Narrow" w:hAnsi="Arial Narrow"/>
        </w:rPr>
      </w:pPr>
      <w:r>
        <w:rPr>
          <w:noProof/>
        </w:rPr>
        <w:drawing>
          <wp:inline distT="0" distB="0" distL="0" distR="0" wp14:anchorId="1CF839C4" wp14:editId="79CCCBCC">
            <wp:extent cx="5612130" cy="2609850"/>
            <wp:effectExtent l="57150" t="57150" r="102870" b="95250"/>
            <wp:docPr id="27" name="Imagen 2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Tabla&#10;&#10;Descripción generada automáticamente"/>
                    <pic:cNvPicPr/>
                  </pic:nvPicPr>
                  <pic:blipFill>
                    <a:blip r:embed="rId61"/>
                    <a:stretch>
                      <a:fillRect/>
                    </a:stretch>
                  </pic:blipFill>
                  <pic:spPr>
                    <a:xfrm>
                      <a:off x="0" y="0"/>
                      <a:ext cx="5612130" cy="260985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3281D65" w14:textId="5BE50C6C" w:rsidR="00696737" w:rsidRDefault="00696737" w:rsidP="00F6691E">
      <w:pPr>
        <w:jc w:val="center"/>
        <w:rPr>
          <w:rFonts w:ascii="Arial Narrow" w:hAnsi="Arial Narrow"/>
          <w:sz w:val="18"/>
          <w:szCs w:val="18"/>
        </w:rPr>
      </w:pPr>
      <w:r w:rsidRPr="00996542">
        <w:rPr>
          <w:rFonts w:ascii="Arial Narrow" w:hAnsi="Arial Narrow"/>
          <w:sz w:val="18"/>
          <w:szCs w:val="18"/>
        </w:rPr>
        <w:t>Fuente: Sistema PEI al 19 de enero del 2022 para el año 2021.</w:t>
      </w:r>
    </w:p>
    <w:p w14:paraId="7D1A82A8" w14:textId="7D136C7A" w:rsidR="00271D70" w:rsidRDefault="00271D70" w:rsidP="00696737">
      <w:pPr>
        <w:jc w:val="both"/>
        <w:rPr>
          <w:rFonts w:ascii="Arial Narrow" w:hAnsi="Arial Narrow"/>
          <w:sz w:val="18"/>
          <w:szCs w:val="18"/>
        </w:rPr>
      </w:pPr>
    </w:p>
    <w:p w14:paraId="6D35717D" w14:textId="77777777" w:rsidR="00271D70" w:rsidRPr="00996542" w:rsidRDefault="00271D70" w:rsidP="00696737">
      <w:pPr>
        <w:jc w:val="both"/>
        <w:rPr>
          <w:rFonts w:ascii="Arial Narrow" w:hAnsi="Arial Narrow"/>
          <w:sz w:val="18"/>
          <w:szCs w:val="18"/>
        </w:rPr>
      </w:pPr>
    </w:p>
    <w:p w14:paraId="64FCA7C5" w14:textId="36B25441" w:rsidR="00696737" w:rsidRDefault="00696737" w:rsidP="00F77489">
      <w:pPr>
        <w:jc w:val="both"/>
        <w:rPr>
          <w:rFonts w:ascii="Arial Narrow" w:hAnsi="Arial Narrow"/>
        </w:rPr>
      </w:pPr>
      <w:r w:rsidRPr="00584708">
        <w:rPr>
          <w:rFonts w:ascii="Arial Narrow" w:hAnsi="Arial Narrow"/>
        </w:rPr>
        <w:t xml:space="preserve">Con respecto a la meta de casos terminados en materia </w:t>
      </w:r>
      <w:r>
        <w:rPr>
          <w:rFonts w:ascii="Arial Narrow" w:hAnsi="Arial Narrow"/>
        </w:rPr>
        <w:t>Cobratoria</w:t>
      </w:r>
      <w:r w:rsidRPr="00584708">
        <w:rPr>
          <w:rFonts w:ascii="Arial Narrow" w:hAnsi="Arial Narrow"/>
        </w:rPr>
        <w:t xml:space="preserve">, </w:t>
      </w:r>
      <w:r>
        <w:rPr>
          <w:rFonts w:ascii="Arial Narrow" w:hAnsi="Arial Narrow"/>
        </w:rPr>
        <w:t xml:space="preserve">primera instancia </w:t>
      </w:r>
      <w:r w:rsidRPr="00584708">
        <w:rPr>
          <w:rFonts w:ascii="Arial Narrow" w:hAnsi="Arial Narrow"/>
        </w:rPr>
        <w:t>se tiene un cumplimiento general del 100% para los 3 años</w:t>
      </w:r>
      <w:r>
        <w:rPr>
          <w:rFonts w:ascii="Arial Narrow" w:hAnsi="Arial Narrow"/>
        </w:rPr>
        <w:t xml:space="preserve"> a nivel PEI, esto debido a que a nivel de oficina si se han presentado leves variaciones de cumplimiento. Al evidenciar los casos terminados se observa que en promedio se solicita terminar 72.725 casos terminados en promedio anual, sin embargo, en conjunto, todos los despachos de cobro terminan 109.224 casos al año en promedio. </w:t>
      </w:r>
      <w:r w:rsidRPr="00EC7621">
        <w:rPr>
          <w:rFonts w:ascii="Arial Narrow" w:hAnsi="Arial Narrow"/>
          <w:b/>
          <w:bCs/>
        </w:rPr>
        <w:t xml:space="preserve">Se sugiere modificar el valor esperado de la meta y adecuarlo a las realidades de las oficinas </w:t>
      </w:r>
      <w:r>
        <w:rPr>
          <w:rFonts w:ascii="Arial Narrow" w:hAnsi="Arial Narrow"/>
          <w:b/>
          <w:bCs/>
        </w:rPr>
        <w:t xml:space="preserve">competentes en Cobro, </w:t>
      </w:r>
      <w:r w:rsidRPr="00EC7621">
        <w:rPr>
          <w:rFonts w:ascii="Arial Narrow" w:hAnsi="Arial Narrow"/>
          <w:b/>
          <w:bCs/>
        </w:rPr>
        <w:t>las cuales están en capacidad de terminar más expedientes de lo que fue planeado</w:t>
      </w:r>
      <w:r>
        <w:rPr>
          <w:rFonts w:ascii="Arial Narrow" w:hAnsi="Arial Narrow"/>
          <w:b/>
          <w:bCs/>
        </w:rPr>
        <w:t>, según la revisión de los 3 años del PEI</w:t>
      </w:r>
      <w:r>
        <w:rPr>
          <w:rFonts w:ascii="Arial Narrow" w:hAnsi="Arial Narrow"/>
        </w:rPr>
        <w:t>.</w:t>
      </w:r>
    </w:p>
    <w:p w14:paraId="725723D7" w14:textId="77777777" w:rsidR="00F77489" w:rsidRDefault="00F77489" w:rsidP="00F77489">
      <w:pPr>
        <w:jc w:val="both"/>
        <w:rPr>
          <w:rFonts w:ascii="Arial Narrow" w:hAnsi="Arial Narrow"/>
        </w:rPr>
      </w:pPr>
    </w:p>
    <w:p w14:paraId="4BBD28FA" w14:textId="77777777" w:rsidR="00696737" w:rsidRDefault="00696737" w:rsidP="00F77489">
      <w:pPr>
        <w:jc w:val="both"/>
        <w:rPr>
          <w:rFonts w:ascii="Arial Narrow" w:hAnsi="Arial Narrow"/>
        </w:rPr>
      </w:pPr>
      <w:r w:rsidRPr="00584708">
        <w:rPr>
          <w:rFonts w:ascii="Arial Narrow" w:hAnsi="Arial Narrow"/>
        </w:rPr>
        <w:t>Po</w:t>
      </w:r>
      <w:r>
        <w:rPr>
          <w:rFonts w:ascii="Arial Narrow" w:hAnsi="Arial Narrow"/>
        </w:rPr>
        <w:t>r</w:t>
      </w:r>
      <w:r w:rsidRPr="00584708">
        <w:rPr>
          <w:rFonts w:ascii="Arial Narrow" w:hAnsi="Arial Narrow"/>
        </w:rPr>
        <w:t xml:space="preserve"> su parte, la meta de casos terminados en materia </w:t>
      </w:r>
      <w:r>
        <w:rPr>
          <w:rFonts w:ascii="Arial Narrow" w:hAnsi="Arial Narrow"/>
        </w:rPr>
        <w:t>Familia de segunda instancia,</w:t>
      </w:r>
      <w:r w:rsidRPr="00584708">
        <w:rPr>
          <w:rFonts w:ascii="Arial Narrow" w:hAnsi="Arial Narrow"/>
        </w:rPr>
        <w:t xml:space="preserve"> se observa </w:t>
      </w:r>
      <w:r>
        <w:rPr>
          <w:rFonts w:ascii="Arial Narrow" w:hAnsi="Arial Narrow"/>
        </w:rPr>
        <w:t>un cumplimiento del 100% para el 2021 y los años anteriores el cumplimiento fue óptimo, a pesar de no ser el 100%. La cantidad de casos terminados ha sido estable con un incremento del 2021 de un 6% lo que ha permitido alcanzar la meta esperada para ese año. Se insta al Tribunal de Familia en continuar con la buena gestión del despacho para lograr mantener el cumplimiento de la meta.</w:t>
      </w:r>
    </w:p>
    <w:p w14:paraId="32D9D4B0" w14:textId="2BD057CE" w:rsidR="00696737" w:rsidRDefault="00696737" w:rsidP="00696737">
      <w:pPr>
        <w:spacing w:line="276" w:lineRule="auto"/>
        <w:jc w:val="both"/>
        <w:rPr>
          <w:rFonts w:ascii="Arial Narrow" w:hAnsi="Arial Narrow"/>
        </w:rPr>
      </w:pPr>
    </w:p>
    <w:p w14:paraId="72C53879" w14:textId="13147478" w:rsidR="00271D70" w:rsidRDefault="00271D70" w:rsidP="00696737">
      <w:pPr>
        <w:spacing w:line="276" w:lineRule="auto"/>
        <w:jc w:val="both"/>
        <w:rPr>
          <w:rFonts w:ascii="Arial Narrow" w:hAnsi="Arial Narrow"/>
        </w:rPr>
      </w:pPr>
    </w:p>
    <w:p w14:paraId="12C4D279" w14:textId="23CB2C3F" w:rsidR="00271D70" w:rsidRDefault="00271D70" w:rsidP="00696737">
      <w:pPr>
        <w:spacing w:line="276" w:lineRule="auto"/>
        <w:jc w:val="both"/>
        <w:rPr>
          <w:rFonts w:ascii="Arial Narrow" w:hAnsi="Arial Narrow"/>
        </w:rPr>
      </w:pPr>
    </w:p>
    <w:p w14:paraId="446D40E2" w14:textId="1406F455" w:rsidR="00271D70" w:rsidRDefault="00271D70" w:rsidP="00696737">
      <w:pPr>
        <w:spacing w:line="276" w:lineRule="auto"/>
        <w:jc w:val="both"/>
        <w:rPr>
          <w:rFonts w:ascii="Arial Narrow" w:hAnsi="Arial Narrow"/>
        </w:rPr>
      </w:pPr>
    </w:p>
    <w:p w14:paraId="69D812DB" w14:textId="21583B52" w:rsidR="00F77489" w:rsidRDefault="00F77489" w:rsidP="00696737">
      <w:pPr>
        <w:spacing w:line="276" w:lineRule="auto"/>
        <w:jc w:val="both"/>
        <w:rPr>
          <w:rFonts w:ascii="Arial Narrow" w:hAnsi="Arial Narrow"/>
        </w:rPr>
      </w:pPr>
    </w:p>
    <w:p w14:paraId="50E87182" w14:textId="00577554" w:rsidR="00F77489" w:rsidRDefault="00F77489" w:rsidP="00696737">
      <w:pPr>
        <w:spacing w:line="276" w:lineRule="auto"/>
        <w:jc w:val="both"/>
        <w:rPr>
          <w:rFonts w:ascii="Arial Narrow" w:hAnsi="Arial Narrow"/>
        </w:rPr>
      </w:pPr>
    </w:p>
    <w:p w14:paraId="363CB69D" w14:textId="5236671F" w:rsidR="00F77489" w:rsidRDefault="00F77489" w:rsidP="00696737">
      <w:pPr>
        <w:spacing w:line="276" w:lineRule="auto"/>
        <w:jc w:val="both"/>
        <w:rPr>
          <w:rFonts w:ascii="Arial Narrow" w:hAnsi="Arial Narrow"/>
        </w:rPr>
      </w:pPr>
    </w:p>
    <w:p w14:paraId="0C1F006F" w14:textId="77777777" w:rsidR="00F77489" w:rsidRDefault="00F77489" w:rsidP="00696737">
      <w:pPr>
        <w:spacing w:line="276" w:lineRule="auto"/>
        <w:jc w:val="both"/>
        <w:rPr>
          <w:rFonts w:ascii="Arial Narrow" w:hAnsi="Arial Narrow"/>
        </w:rPr>
      </w:pPr>
    </w:p>
    <w:p w14:paraId="364FBB47" w14:textId="30F8880A" w:rsidR="00271D70" w:rsidRDefault="00271D70" w:rsidP="00271D70">
      <w:pPr>
        <w:jc w:val="center"/>
        <w:rPr>
          <w:rFonts w:ascii="Arial Narrow" w:eastAsia="Calibri" w:hAnsi="Arial Narrow"/>
          <w:b/>
          <w:bCs/>
          <w:sz w:val="22"/>
          <w:szCs w:val="22"/>
          <w:lang w:eastAsia="en-US"/>
        </w:rPr>
      </w:pPr>
      <w:r w:rsidRPr="00C847FC">
        <w:rPr>
          <w:rFonts w:ascii="Arial Narrow" w:hAnsi="Arial Narrow"/>
          <w:b/>
          <w:bCs/>
          <w:sz w:val="22"/>
          <w:szCs w:val="22"/>
        </w:rPr>
        <w:t xml:space="preserve">Cuadro  </w:t>
      </w:r>
      <w:r w:rsidRPr="00C847FC">
        <w:rPr>
          <w:rFonts w:ascii="Arial Narrow" w:hAnsi="Arial Narrow"/>
          <w:b/>
          <w:bCs/>
          <w:sz w:val="22"/>
          <w:szCs w:val="22"/>
        </w:rPr>
        <w:fldChar w:fldCharType="begin"/>
      </w:r>
      <w:r w:rsidRPr="00C847FC">
        <w:rPr>
          <w:rFonts w:ascii="Arial Narrow" w:hAnsi="Arial Narrow"/>
          <w:b/>
          <w:bCs/>
          <w:sz w:val="22"/>
          <w:szCs w:val="22"/>
        </w:rPr>
        <w:instrText xml:space="preserve"> SEQ Cuadro_No. \* ARABIC </w:instrText>
      </w:r>
      <w:r w:rsidRPr="00C847FC">
        <w:rPr>
          <w:rFonts w:ascii="Arial Narrow" w:hAnsi="Arial Narrow"/>
          <w:b/>
          <w:bCs/>
          <w:sz w:val="22"/>
          <w:szCs w:val="22"/>
        </w:rPr>
        <w:fldChar w:fldCharType="separate"/>
      </w:r>
      <w:r w:rsidR="002F520A">
        <w:rPr>
          <w:rFonts w:ascii="Arial Narrow" w:hAnsi="Arial Narrow"/>
          <w:b/>
          <w:bCs/>
          <w:noProof/>
          <w:sz w:val="22"/>
          <w:szCs w:val="22"/>
        </w:rPr>
        <w:t>9</w:t>
      </w:r>
      <w:r w:rsidRPr="00C847FC">
        <w:rPr>
          <w:rFonts w:ascii="Arial Narrow" w:hAnsi="Arial Narrow"/>
          <w:b/>
          <w:bCs/>
          <w:sz w:val="22"/>
          <w:szCs w:val="22"/>
        </w:rPr>
        <w:fldChar w:fldCharType="end"/>
      </w:r>
      <w:r w:rsidRPr="00C847FC">
        <w:rPr>
          <w:rFonts w:ascii="Arial Narrow" w:eastAsia="Calibri" w:hAnsi="Arial Narrow"/>
          <w:b/>
          <w:bCs/>
          <w:sz w:val="22"/>
          <w:szCs w:val="22"/>
          <w:lang w:eastAsia="en-US"/>
        </w:rPr>
        <w:t xml:space="preserve"> Metas estratégicas de </w:t>
      </w:r>
      <w:r>
        <w:rPr>
          <w:rFonts w:ascii="Arial Narrow" w:eastAsia="Calibri" w:hAnsi="Arial Narrow"/>
          <w:b/>
          <w:bCs/>
          <w:sz w:val="22"/>
          <w:szCs w:val="22"/>
          <w:lang w:eastAsia="en-US"/>
        </w:rPr>
        <w:t>Celeridad Judicial</w:t>
      </w:r>
      <w:r w:rsidRPr="00C847FC">
        <w:rPr>
          <w:rFonts w:ascii="Arial Narrow" w:eastAsia="Calibri" w:hAnsi="Arial Narrow"/>
          <w:b/>
          <w:bCs/>
          <w:sz w:val="22"/>
          <w:szCs w:val="22"/>
          <w:lang w:eastAsia="en-US"/>
        </w:rPr>
        <w:t xml:space="preserve"> y su cumplimiento para el 20</w:t>
      </w:r>
      <w:r>
        <w:rPr>
          <w:rFonts w:ascii="Arial Narrow" w:eastAsia="Calibri" w:hAnsi="Arial Narrow"/>
          <w:b/>
          <w:bCs/>
          <w:sz w:val="22"/>
          <w:szCs w:val="22"/>
          <w:lang w:eastAsia="en-US"/>
        </w:rPr>
        <w:t>21</w:t>
      </w:r>
    </w:p>
    <w:p w14:paraId="5630E427" w14:textId="77777777" w:rsidR="00696737" w:rsidRDefault="00696737" w:rsidP="00696737">
      <w:pPr>
        <w:spacing w:line="276" w:lineRule="auto"/>
        <w:jc w:val="both"/>
        <w:rPr>
          <w:rFonts w:ascii="Arial Narrow" w:hAnsi="Arial Narrow"/>
        </w:rPr>
      </w:pPr>
      <w:r>
        <w:rPr>
          <w:noProof/>
        </w:rPr>
        <w:drawing>
          <wp:inline distT="0" distB="0" distL="0" distR="0" wp14:anchorId="40B348C5" wp14:editId="38FB8A8E">
            <wp:extent cx="5612130" cy="2590800"/>
            <wp:effectExtent l="19050" t="19050" r="26670" b="19050"/>
            <wp:docPr id="42" name="Imagen 42" descr="Imagen que contiene gabinet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descr="Imagen que contiene gabinete&#10;&#10;Descripción generada automáticamente"/>
                    <pic:cNvPicPr/>
                  </pic:nvPicPr>
                  <pic:blipFill>
                    <a:blip r:embed="rId62"/>
                    <a:stretch>
                      <a:fillRect/>
                    </a:stretch>
                  </pic:blipFill>
                  <pic:spPr>
                    <a:xfrm>
                      <a:off x="0" y="0"/>
                      <a:ext cx="5612130" cy="2590800"/>
                    </a:xfrm>
                    <a:prstGeom prst="rect">
                      <a:avLst/>
                    </a:prstGeom>
                    <a:ln>
                      <a:solidFill>
                        <a:schemeClr val="tx1"/>
                      </a:solidFill>
                    </a:ln>
                  </pic:spPr>
                </pic:pic>
              </a:graphicData>
            </a:graphic>
          </wp:inline>
        </w:drawing>
      </w:r>
    </w:p>
    <w:p w14:paraId="2CAD991D" w14:textId="77777777" w:rsidR="00696737" w:rsidRPr="00996542" w:rsidRDefault="00696737" w:rsidP="00F6691E">
      <w:pPr>
        <w:jc w:val="center"/>
        <w:rPr>
          <w:rFonts w:ascii="Arial Narrow" w:hAnsi="Arial Narrow"/>
          <w:sz w:val="18"/>
          <w:szCs w:val="18"/>
        </w:rPr>
      </w:pPr>
      <w:r w:rsidRPr="00996542">
        <w:rPr>
          <w:rFonts w:ascii="Arial Narrow" w:hAnsi="Arial Narrow"/>
          <w:sz w:val="18"/>
          <w:szCs w:val="18"/>
        </w:rPr>
        <w:t>Fuente: Sistema PEI al 19 de enero del 2022 para el año 2021.</w:t>
      </w:r>
    </w:p>
    <w:p w14:paraId="1AD7CB6C" w14:textId="77777777" w:rsidR="00696737" w:rsidRDefault="00696737" w:rsidP="00696737">
      <w:pPr>
        <w:spacing w:line="360" w:lineRule="auto"/>
        <w:jc w:val="both"/>
        <w:rPr>
          <w:rFonts w:ascii="Arial Narrow" w:hAnsi="Arial Narrow"/>
        </w:rPr>
      </w:pPr>
    </w:p>
    <w:p w14:paraId="63A3B890" w14:textId="082F6E88" w:rsidR="00696737" w:rsidRPr="00322D9B" w:rsidRDefault="00696737" w:rsidP="00F77489">
      <w:pPr>
        <w:jc w:val="both"/>
        <w:rPr>
          <w:rFonts w:ascii="Arial Narrow" w:hAnsi="Arial Narrow"/>
          <w:b/>
          <w:bCs/>
        </w:rPr>
      </w:pPr>
      <w:r>
        <w:rPr>
          <w:rFonts w:ascii="Arial Narrow" w:hAnsi="Arial Narrow"/>
        </w:rPr>
        <w:t xml:space="preserve">Por parte de la meta relacionada a casos terminados en materia laboral de segunda instancia, se tiene que el cumplimiento ha venido decreciendo del periodo del PEI 2019-2021, pasando de un 77% a un 54% esto debido a que el </w:t>
      </w:r>
      <w:r w:rsidR="00F77489">
        <w:rPr>
          <w:rFonts w:ascii="Arial Narrow" w:hAnsi="Arial Narrow"/>
        </w:rPr>
        <w:t>último</w:t>
      </w:r>
      <w:r>
        <w:rPr>
          <w:rFonts w:ascii="Arial Narrow" w:hAnsi="Arial Narrow"/>
        </w:rPr>
        <w:t xml:space="preserve"> año analizado, apenas se superó la mitad de los esperado para un año con </w:t>
      </w:r>
      <w:r w:rsidR="00F77489">
        <w:rPr>
          <w:rFonts w:ascii="Arial Narrow" w:hAnsi="Arial Narrow"/>
        </w:rPr>
        <w:t>más</w:t>
      </w:r>
      <w:r>
        <w:rPr>
          <w:rFonts w:ascii="Arial Narrow" w:hAnsi="Arial Narrow"/>
        </w:rPr>
        <w:t xml:space="preserve"> de 7800 asuntos. </w:t>
      </w:r>
      <w:r w:rsidRPr="00322D9B">
        <w:rPr>
          <w:rFonts w:ascii="Arial Narrow" w:hAnsi="Arial Narrow"/>
          <w:b/>
          <w:bCs/>
        </w:rPr>
        <w:t>A raíz de lo anterior, este panorama ya fue contemplado en el oficio 1281-PLA-PE-2021 el cual propone una modificación respecto a los valores esperados de casos terminados porque el parámetro se encuentra más elevado de lo que las oficinas pueden finalizar.  El oficio 1281-PLA-PE-2021 está en proceso de ser conocido por Corte Plena.</w:t>
      </w:r>
    </w:p>
    <w:p w14:paraId="16B6B2D1" w14:textId="77777777" w:rsidR="00F77489" w:rsidRDefault="00F77489" w:rsidP="00F77489">
      <w:pPr>
        <w:jc w:val="both"/>
        <w:rPr>
          <w:rFonts w:ascii="Arial Narrow" w:hAnsi="Arial Narrow"/>
        </w:rPr>
      </w:pPr>
    </w:p>
    <w:p w14:paraId="1AEC4D59" w14:textId="77777777" w:rsidR="00696737" w:rsidRDefault="00696737" w:rsidP="00F77489">
      <w:pPr>
        <w:jc w:val="both"/>
        <w:rPr>
          <w:rFonts w:ascii="Arial Narrow" w:hAnsi="Arial Narrow"/>
        </w:rPr>
      </w:pPr>
      <w:r>
        <w:rPr>
          <w:rFonts w:ascii="Arial Narrow" w:hAnsi="Arial Narrow"/>
        </w:rPr>
        <w:t xml:space="preserve">Sobre materia Contravencional en segunda instancia, los casos terminados han presentado un cumplimiento acumulado del 100% para los tres años del PEI, siendo el 2021 el año más alto, sobrepasando la meta esperada.  </w:t>
      </w:r>
      <w:r w:rsidRPr="00E152C8">
        <w:rPr>
          <w:rFonts w:ascii="Arial Narrow" w:hAnsi="Arial Narrow"/>
          <w:b/>
          <w:bCs/>
        </w:rPr>
        <w:t xml:space="preserve">Es necesario revisar el dato registrado por las oficinas dado que el reporte de cumplimiento es bajo </w:t>
      </w:r>
      <w:r>
        <w:rPr>
          <w:rFonts w:ascii="Arial Narrow" w:hAnsi="Arial Narrow"/>
          <w:b/>
          <w:bCs/>
        </w:rPr>
        <w:t xml:space="preserve">según el Sistema, esto </w:t>
      </w:r>
      <w:r w:rsidRPr="00E152C8">
        <w:rPr>
          <w:rFonts w:ascii="Arial Narrow" w:hAnsi="Arial Narrow"/>
          <w:b/>
          <w:bCs/>
        </w:rPr>
        <w:t>de acuerdo con lo esperado como</w:t>
      </w:r>
      <w:r>
        <w:rPr>
          <w:rFonts w:ascii="Arial Narrow" w:hAnsi="Arial Narrow"/>
          <w:b/>
          <w:bCs/>
        </w:rPr>
        <w:t xml:space="preserve"> meta formulada para cada oficina.</w:t>
      </w:r>
      <w:r>
        <w:rPr>
          <w:rFonts w:ascii="Arial Narrow" w:hAnsi="Arial Narrow"/>
        </w:rPr>
        <w:t xml:space="preserve"> Cabe destacar que el dato obtenido de SIGMA es preliminar, debido a que el Subproceso de Estadística está en proceso de construcción de los cuadros estadísticos. </w:t>
      </w:r>
    </w:p>
    <w:p w14:paraId="76600B6C" w14:textId="5540F552" w:rsidR="00696737" w:rsidRDefault="00696737" w:rsidP="00696737">
      <w:pPr>
        <w:spacing w:line="276" w:lineRule="auto"/>
        <w:jc w:val="both"/>
        <w:rPr>
          <w:rFonts w:ascii="Arial Narrow" w:hAnsi="Arial Narrow"/>
        </w:rPr>
      </w:pPr>
    </w:p>
    <w:p w14:paraId="381037F6" w14:textId="613FA4CB" w:rsidR="00271D70" w:rsidRDefault="00271D70" w:rsidP="00696737">
      <w:pPr>
        <w:spacing w:line="276" w:lineRule="auto"/>
        <w:jc w:val="both"/>
        <w:rPr>
          <w:rFonts w:ascii="Arial Narrow" w:hAnsi="Arial Narrow"/>
        </w:rPr>
      </w:pPr>
    </w:p>
    <w:p w14:paraId="61A1E413" w14:textId="1AB78F10" w:rsidR="00271D70" w:rsidRDefault="00271D70" w:rsidP="00696737">
      <w:pPr>
        <w:spacing w:line="276" w:lineRule="auto"/>
        <w:jc w:val="both"/>
        <w:rPr>
          <w:rFonts w:ascii="Arial Narrow" w:hAnsi="Arial Narrow"/>
        </w:rPr>
      </w:pPr>
    </w:p>
    <w:p w14:paraId="0EF80A58" w14:textId="1EB0191F" w:rsidR="00271D70" w:rsidRDefault="00271D70" w:rsidP="00696737">
      <w:pPr>
        <w:spacing w:line="276" w:lineRule="auto"/>
        <w:jc w:val="both"/>
        <w:rPr>
          <w:rFonts w:ascii="Arial Narrow" w:hAnsi="Arial Narrow"/>
        </w:rPr>
      </w:pPr>
    </w:p>
    <w:p w14:paraId="64C07933" w14:textId="46F6898C" w:rsidR="00F77489" w:rsidRDefault="00F77489" w:rsidP="00696737">
      <w:pPr>
        <w:spacing w:line="276" w:lineRule="auto"/>
        <w:jc w:val="both"/>
        <w:rPr>
          <w:rFonts w:ascii="Arial Narrow" w:hAnsi="Arial Narrow"/>
        </w:rPr>
      </w:pPr>
    </w:p>
    <w:p w14:paraId="7B078889" w14:textId="6B0DF750" w:rsidR="00F77489" w:rsidRDefault="00F77489" w:rsidP="00696737">
      <w:pPr>
        <w:spacing w:line="276" w:lineRule="auto"/>
        <w:jc w:val="both"/>
        <w:rPr>
          <w:rFonts w:ascii="Arial Narrow" w:hAnsi="Arial Narrow"/>
        </w:rPr>
      </w:pPr>
    </w:p>
    <w:p w14:paraId="11D5A888" w14:textId="4CAF359C" w:rsidR="00F77489" w:rsidRDefault="00F77489" w:rsidP="00696737">
      <w:pPr>
        <w:spacing w:line="276" w:lineRule="auto"/>
        <w:jc w:val="both"/>
        <w:rPr>
          <w:rFonts w:ascii="Arial Narrow" w:hAnsi="Arial Narrow"/>
        </w:rPr>
      </w:pPr>
    </w:p>
    <w:p w14:paraId="78A87118" w14:textId="77777777" w:rsidR="00F77489" w:rsidRDefault="00F77489" w:rsidP="00696737">
      <w:pPr>
        <w:spacing w:line="276" w:lineRule="auto"/>
        <w:jc w:val="both"/>
        <w:rPr>
          <w:rFonts w:ascii="Arial Narrow" w:hAnsi="Arial Narrow"/>
        </w:rPr>
      </w:pPr>
    </w:p>
    <w:p w14:paraId="21B813D2" w14:textId="77777777" w:rsidR="00271D70" w:rsidRDefault="00271D70" w:rsidP="00696737">
      <w:pPr>
        <w:spacing w:line="276" w:lineRule="auto"/>
        <w:jc w:val="both"/>
        <w:rPr>
          <w:rFonts w:ascii="Arial Narrow" w:hAnsi="Arial Narrow"/>
        </w:rPr>
      </w:pPr>
    </w:p>
    <w:p w14:paraId="5DA321FF" w14:textId="77777777" w:rsidR="00696737" w:rsidRDefault="00696737" w:rsidP="00696737">
      <w:pPr>
        <w:spacing w:line="276" w:lineRule="auto"/>
        <w:jc w:val="both"/>
        <w:rPr>
          <w:rFonts w:ascii="Arial Narrow" w:hAnsi="Arial Narrow"/>
        </w:rPr>
      </w:pPr>
    </w:p>
    <w:p w14:paraId="2DDD23C6" w14:textId="431BC075" w:rsidR="00271D70" w:rsidRDefault="00271D70" w:rsidP="00271D70">
      <w:pPr>
        <w:jc w:val="center"/>
        <w:rPr>
          <w:rFonts w:ascii="Arial Narrow" w:eastAsia="Calibri" w:hAnsi="Arial Narrow"/>
          <w:b/>
          <w:bCs/>
          <w:sz w:val="22"/>
          <w:szCs w:val="22"/>
          <w:lang w:eastAsia="en-US"/>
        </w:rPr>
      </w:pPr>
      <w:r w:rsidRPr="00C847FC">
        <w:rPr>
          <w:rFonts w:ascii="Arial Narrow" w:hAnsi="Arial Narrow"/>
          <w:b/>
          <w:bCs/>
          <w:sz w:val="22"/>
          <w:szCs w:val="22"/>
        </w:rPr>
        <w:t xml:space="preserve">Cuadro  </w:t>
      </w:r>
      <w:r w:rsidRPr="00C847FC">
        <w:rPr>
          <w:rFonts w:ascii="Arial Narrow" w:hAnsi="Arial Narrow"/>
          <w:b/>
          <w:bCs/>
          <w:sz w:val="22"/>
          <w:szCs w:val="22"/>
        </w:rPr>
        <w:fldChar w:fldCharType="begin"/>
      </w:r>
      <w:r w:rsidRPr="00C847FC">
        <w:rPr>
          <w:rFonts w:ascii="Arial Narrow" w:hAnsi="Arial Narrow"/>
          <w:b/>
          <w:bCs/>
          <w:sz w:val="22"/>
          <w:szCs w:val="22"/>
        </w:rPr>
        <w:instrText xml:space="preserve"> SEQ Cuadro_No. \* ARABIC </w:instrText>
      </w:r>
      <w:r w:rsidRPr="00C847FC">
        <w:rPr>
          <w:rFonts w:ascii="Arial Narrow" w:hAnsi="Arial Narrow"/>
          <w:b/>
          <w:bCs/>
          <w:sz w:val="22"/>
          <w:szCs w:val="22"/>
        </w:rPr>
        <w:fldChar w:fldCharType="separate"/>
      </w:r>
      <w:r w:rsidR="002F520A">
        <w:rPr>
          <w:rFonts w:ascii="Arial Narrow" w:hAnsi="Arial Narrow"/>
          <w:b/>
          <w:bCs/>
          <w:noProof/>
          <w:sz w:val="22"/>
          <w:szCs w:val="22"/>
        </w:rPr>
        <w:t>10</w:t>
      </w:r>
      <w:r w:rsidRPr="00C847FC">
        <w:rPr>
          <w:rFonts w:ascii="Arial Narrow" w:hAnsi="Arial Narrow"/>
          <w:b/>
          <w:bCs/>
          <w:sz w:val="22"/>
          <w:szCs w:val="22"/>
        </w:rPr>
        <w:fldChar w:fldCharType="end"/>
      </w:r>
      <w:r w:rsidRPr="00C847FC">
        <w:rPr>
          <w:rFonts w:ascii="Arial Narrow" w:eastAsia="Calibri" w:hAnsi="Arial Narrow"/>
          <w:b/>
          <w:bCs/>
          <w:sz w:val="22"/>
          <w:szCs w:val="22"/>
          <w:lang w:eastAsia="en-US"/>
        </w:rPr>
        <w:t xml:space="preserve"> Metas estratégicas de </w:t>
      </w:r>
      <w:r>
        <w:rPr>
          <w:rFonts w:ascii="Arial Narrow" w:eastAsia="Calibri" w:hAnsi="Arial Narrow"/>
          <w:b/>
          <w:bCs/>
          <w:sz w:val="22"/>
          <w:szCs w:val="22"/>
          <w:lang w:eastAsia="en-US"/>
        </w:rPr>
        <w:t>Celeridad Judicial</w:t>
      </w:r>
      <w:r w:rsidRPr="00C847FC">
        <w:rPr>
          <w:rFonts w:ascii="Arial Narrow" w:eastAsia="Calibri" w:hAnsi="Arial Narrow"/>
          <w:b/>
          <w:bCs/>
          <w:sz w:val="22"/>
          <w:szCs w:val="22"/>
          <w:lang w:eastAsia="en-US"/>
        </w:rPr>
        <w:t xml:space="preserve"> y su cumplimiento para el 20</w:t>
      </w:r>
      <w:r>
        <w:rPr>
          <w:rFonts w:ascii="Arial Narrow" w:eastAsia="Calibri" w:hAnsi="Arial Narrow"/>
          <w:b/>
          <w:bCs/>
          <w:sz w:val="22"/>
          <w:szCs w:val="22"/>
          <w:lang w:eastAsia="en-US"/>
        </w:rPr>
        <w:t>21</w:t>
      </w:r>
    </w:p>
    <w:p w14:paraId="77BF0C04" w14:textId="77777777" w:rsidR="00696737" w:rsidRDefault="00696737" w:rsidP="00696737">
      <w:pPr>
        <w:spacing w:line="276" w:lineRule="auto"/>
        <w:jc w:val="both"/>
        <w:rPr>
          <w:rFonts w:ascii="Arial Narrow" w:hAnsi="Arial Narrow"/>
        </w:rPr>
      </w:pPr>
      <w:r>
        <w:rPr>
          <w:noProof/>
        </w:rPr>
        <w:drawing>
          <wp:inline distT="0" distB="0" distL="0" distR="0" wp14:anchorId="24FF2D06" wp14:editId="6C6F04EF">
            <wp:extent cx="5577272" cy="2612390"/>
            <wp:effectExtent l="57150" t="57150" r="99695" b="92710"/>
            <wp:docPr id="20" name="Imagen 2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Tabla&#10;&#10;Descripción generada automáticamente"/>
                    <pic:cNvPicPr/>
                  </pic:nvPicPr>
                  <pic:blipFill rotWithShape="1">
                    <a:blip r:embed="rId63"/>
                    <a:srcRect r="622"/>
                    <a:stretch/>
                  </pic:blipFill>
                  <pic:spPr bwMode="auto">
                    <a:xfrm>
                      <a:off x="0" y="0"/>
                      <a:ext cx="5577272" cy="2612390"/>
                    </a:xfrm>
                    <a:prstGeom prst="rect">
                      <a:avLst/>
                    </a:prstGeom>
                    <a:ln w="12700" cap="sq">
                      <a:solidFill>
                        <a:schemeClr val="tx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73CF115" w14:textId="58E38086" w:rsidR="00696737" w:rsidRDefault="00696737" w:rsidP="00B54439">
      <w:pPr>
        <w:spacing w:line="276" w:lineRule="auto"/>
        <w:jc w:val="center"/>
        <w:rPr>
          <w:rFonts w:ascii="Arial Narrow" w:hAnsi="Arial Narrow"/>
          <w:sz w:val="18"/>
          <w:szCs w:val="18"/>
        </w:rPr>
      </w:pPr>
      <w:r w:rsidRPr="00996542">
        <w:rPr>
          <w:rFonts w:ascii="Arial Narrow" w:hAnsi="Arial Narrow"/>
          <w:sz w:val="18"/>
          <w:szCs w:val="18"/>
        </w:rPr>
        <w:t>Fuente: Sistema PEI al 19 de enero del 2022 para el año 2021.</w:t>
      </w:r>
    </w:p>
    <w:p w14:paraId="2AC668E7" w14:textId="18B31FB1" w:rsidR="00271D70" w:rsidRDefault="00271D70" w:rsidP="00696737">
      <w:pPr>
        <w:spacing w:line="276" w:lineRule="auto"/>
        <w:jc w:val="both"/>
        <w:rPr>
          <w:rFonts w:ascii="Arial Narrow" w:hAnsi="Arial Narrow"/>
          <w:sz w:val="18"/>
          <w:szCs w:val="18"/>
        </w:rPr>
      </w:pPr>
    </w:p>
    <w:p w14:paraId="2AD37E80" w14:textId="77777777" w:rsidR="00271D70" w:rsidRDefault="00271D70" w:rsidP="00696737">
      <w:pPr>
        <w:spacing w:line="276" w:lineRule="auto"/>
        <w:jc w:val="both"/>
        <w:rPr>
          <w:rFonts w:ascii="Arial Narrow" w:hAnsi="Arial Narrow"/>
        </w:rPr>
      </w:pPr>
    </w:p>
    <w:p w14:paraId="77F9A7BD" w14:textId="17793BCA" w:rsidR="00696737" w:rsidRDefault="00696737" w:rsidP="00F77489">
      <w:pPr>
        <w:jc w:val="both"/>
        <w:rPr>
          <w:rFonts w:ascii="Arial Narrow" w:hAnsi="Arial Narrow"/>
        </w:rPr>
      </w:pPr>
      <w:r>
        <w:rPr>
          <w:rFonts w:ascii="Arial Narrow" w:hAnsi="Arial Narrow"/>
        </w:rPr>
        <w:t xml:space="preserve">Con respecto a la materia Tránsito en segunda instancia, los casos terminados han presentado un decrecimiento acumulado para los tres años del PEI, siendo el 2021 el año con el reporte más bajo de casos terminados, esto se encuentra vinculado a la naturaleza de la materia de </w:t>
      </w:r>
      <w:r w:rsidR="00FB2AD4">
        <w:rPr>
          <w:rFonts w:ascii="Arial Narrow" w:hAnsi="Arial Narrow"/>
        </w:rPr>
        <w:t>Tránsito</w:t>
      </w:r>
      <w:r>
        <w:rPr>
          <w:rFonts w:ascii="Arial Narrow" w:hAnsi="Arial Narrow"/>
        </w:rPr>
        <w:t xml:space="preserve">, como se determinó en la primera instancia se experimentó una disminución en el ingreso de asuntos de 27% en el periodo de 2019-2021, por lo tanto, </w:t>
      </w:r>
      <w:r w:rsidRPr="00CC5B06">
        <w:rPr>
          <w:rFonts w:ascii="Arial Narrow" w:hAnsi="Arial Narrow"/>
          <w:b/>
          <w:bCs/>
        </w:rPr>
        <w:t>e</w:t>
      </w:r>
      <w:r w:rsidRPr="00394D11">
        <w:rPr>
          <w:rFonts w:ascii="Arial Narrow" w:hAnsi="Arial Narrow"/>
          <w:b/>
          <w:bCs/>
        </w:rPr>
        <w:t>sta meta debe ser revisada con respecto a sus valores esperados de casos terminados dada la baja en</w:t>
      </w:r>
      <w:r>
        <w:rPr>
          <w:rFonts w:ascii="Arial Narrow" w:hAnsi="Arial Narrow"/>
          <w:b/>
          <w:bCs/>
        </w:rPr>
        <w:t xml:space="preserve"> el</w:t>
      </w:r>
      <w:r w:rsidRPr="00394D11">
        <w:rPr>
          <w:rFonts w:ascii="Arial Narrow" w:hAnsi="Arial Narrow"/>
          <w:b/>
          <w:bCs/>
        </w:rPr>
        <w:t xml:space="preserve"> ingreso de asuntos</w:t>
      </w:r>
      <w:r>
        <w:rPr>
          <w:rFonts w:ascii="Arial Narrow" w:hAnsi="Arial Narrow"/>
        </w:rPr>
        <w:t xml:space="preserve">. Cabe destacar que el dato obtenido de SIGMA es preliminar, debido a que el Subproceso de Estadística está en proceso de construcción de los cuadros estadísticos. </w:t>
      </w:r>
    </w:p>
    <w:p w14:paraId="3A67331E" w14:textId="77777777" w:rsidR="00F77489" w:rsidRDefault="00F77489" w:rsidP="00F77489">
      <w:pPr>
        <w:jc w:val="both"/>
        <w:rPr>
          <w:rFonts w:ascii="Arial Narrow" w:hAnsi="Arial Narrow"/>
        </w:rPr>
      </w:pPr>
    </w:p>
    <w:p w14:paraId="178C1AFD" w14:textId="512B66F3" w:rsidR="006F5564" w:rsidRDefault="00696737" w:rsidP="00322D9B">
      <w:pPr>
        <w:jc w:val="both"/>
        <w:rPr>
          <w:rFonts w:ascii="Arial Narrow" w:hAnsi="Arial Narrow"/>
        </w:rPr>
      </w:pPr>
      <w:r w:rsidRPr="00F2226C">
        <w:rPr>
          <w:rFonts w:ascii="Arial Narrow" w:hAnsi="Arial Narrow"/>
        </w:rPr>
        <w:t>Por su parte, los datos reflejados por</w:t>
      </w:r>
      <w:r>
        <w:rPr>
          <w:rFonts w:ascii="Arial Narrow" w:hAnsi="Arial Narrow"/>
        </w:rPr>
        <w:t xml:space="preserve"> parte de</w:t>
      </w:r>
      <w:r w:rsidRPr="00F2226C">
        <w:rPr>
          <w:rFonts w:ascii="Arial Narrow" w:hAnsi="Arial Narrow"/>
        </w:rPr>
        <w:t xml:space="preserve"> la Sala Primera con respecto a los casos terminados </w:t>
      </w:r>
      <w:r>
        <w:rPr>
          <w:rFonts w:ascii="Arial Narrow" w:hAnsi="Arial Narrow"/>
        </w:rPr>
        <w:t xml:space="preserve">se da una marcada </w:t>
      </w:r>
      <w:r w:rsidRPr="00F2226C">
        <w:rPr>
          <w:rFonts w:ascii="Arial Narrow" w:hAnsi="Arial Narrow"/>
        </w:rPr>
        <w:t>variaci</w:t>
      </w:r>
      <w:r>
        <w:rPr>
          <w:rFonts w:ascii="Arial Narrow" w:hAnsi="Arial Narrow"/>
        </w:rPr>
        <w:t>ón</w:t>
      </w:r>
      <w:r w:rsidRPr="00F2226C">
        <w:rPr>
          <w:rFonts w:ascii="Arial Narrow" w:hAnsi="Arial Narrow"/>
        </w:rPr>
        <w:t xml:space="preserve"> en los 3 años </w:t>
      </w:r>
      <w:r>
        <w:rPr>
          <w:rFonts w:ascii="Arial Narrow" w:hAnsi="Arial Narrow"/>
        </w:rPr>
        <w:t xml:space="preserve">del PEI, esto </w:t>
      </w:r>
      <w:r w:rsidRPr="00F2226C">
        <w:rPr>
          <w:rFonts w:ascii="Arial Narrow" w:hAnsi="Arial Narrow"/>
        </w:rPr>
        <w:t xml:space="preserve">principalmente, a </w:t>
      </w:r>
      <w:r w:rsidR="009F46FE" w:rsidRPr="00F2226C">
        <w:rPr>
          <w:rFonts w:ascii="Arial Narrow" w:hAnsi="Arial Narrow"/>
        </w:rPr>
        <w:t>que,</w:t>
      </w:r>
      <w:r>
        <w:rPr>
          <w:rFonts w:ascii="Arial Narrow" w:hAnsi="Arial Narrow"/>
        </w:rPr>
        <w:t xml:space="preserve"> en el 2019, se presentó un ingreso masivo de asuntos por parte de varios despachos, en relación con el tema de conflictos de competencia debido a la implementación del Código Procesal Civil, lo que ocasionó que la Sala tuviera que tramitar un ingreso adicional de asuntos, los cuales lograron atender de manera exitosa. Para el 2021, la mayor cantidad de casos terminados estuvieron relacionados con temas vinculados a los recursos de casación, los cuales son expedientes más complejos en su trámite y resolución, y de igual manera superaron el parámetro esperado. </w:t>
      </w:r>
      <w:r w:rsidRPr="00322D9B">
        <w:rPr>
          <w:rFonts w:ascii="Arial Narrow" w:hAnsi="Arial Narrow"/>
        </w:rPr>
        <w:t>Se sugiere modificar el valor esperado de la meta y adecuarlo a la realidad de la Sala, la cual está en capacidad de terminar más expedientes de lo que fue planeado, según la revisión de los 3 años del PEI</w:t>
      </w:r>
      <w:r>
        <w:rPr>
          <w:rFonts w:ascii="Arial Narrow" w:hAnsi="Arial Narrow"/>
        </w:rPr>
        <w:t>.</w:t>
      </w:r>
    </w:p>
    <w:p w14:paraId="09194CE0" w14:textId="77777777" w:rsidR="000335C4" w:rsidRDefault="000335C4" w:rsidP="00322D9B">
      <w:pPr>
        <w:jc w:val="both"/>
        <w:rPr>
          <w:rFonts w:ascii="Arial Narrow" w:hAnsi="Arial Narrow"/>
        </w:rPr>
      </w:pPr>
    </w:p>
    <w:p w14:paraId="5674474B" w14:textId="200DEC35" w:rsidR="006F5564" w:rsidRPr="00EE0D7A" w:rsidRDefault="000335C4" w:rsidP="00345B2C">
      <w:pPr>
        <w:jc w:val="both"/>
        <w:rPr>
          <w:rFonts w:ascii="Arial Narrow" w:hAnsi="Arial Narrow"/>
        </w:rPr>
      </w:pPr>
      <w:r w:rsidRPr="001E6C9F">
        <w:rPr>
          <w:rFonts w:ascii="Arial Narrow" w:hAnsi="Arial Narrow"/>
        </w:rPr>
        <w:t>El comportamiento observado en esta variable, tiene como base el buen desempeño que han mostrado cada una de las áreas de trabajo, de admisión, competencias y fondo, que también ha permitido la disminución en el circulante. Otro de los aspectos que han contribuido al crecimiento de los casos terminados, ha sido la identificación de casos de conflictos de competencia con características similares (como por ejemplo en cobro judicial), que ha permitido realizar proyectos de resolución que se tramitan en forma masiva; sin embargo, cada vez es menos frecuente que se ubiquen grupos de casos con características idénticas.</w:t>
      </w:r>
    </w:p>
    <w:p w14:paraId="68C85857" w14:textId="67EC4FD1" w:rsidR="0088514B" w:rsidRPr="00185837" w:rsidRDefault="0088514B" w:rsidP="00345B2C">
      <w:pPr>
        <w:jc w:val="both"/>
        <w:rPr>
          <w:rFonts w:ascii="Arial Narrow" w:hAnsi="Arial Narrow"/>
        </w:rPr>
      </w:pPr>
    </w:p>
    <w:p w14:paraId="6FBEE4D5" w14:textId="16F9C6C7" w:rsidR="003F7AB4" w:rsidRPr="00345B2C" w:rsidRDefault="003F7AB4" w:rsidP="00345B2C">
      <w:pPr>
        <w:jc w:val="both"/>
        <w:rPr>
          <w:rFonts w:ascii="Arial Narrow" w:hAnsi="Arial Narrow" w:cs="Arial"/>
          <w:color w:val="000000"/>
          <w:lang w:eastAsia="es-CR"/>
        </w:rPr>
      </w:pPr>
      <w:r w:rsidRPr="00237A94">
        <w:rPr>
          <w:rFonts w:ascii="Arial Narrow" w:hAnsi="Arial Narrow"/>
        </w:rPr>
        <w:t>Aunado a lo anterior, con respecto a realizar un análisis</w:t>
      </w:r>
      <w:r w:rsidRPr="00770453">
        <w:rPr>
          <w:rFonts w:ascii="Arial Narrow" w:hAnsi="Arial Narrow"/>
        </w:rPr>
        <w:t xml:space="preserve"> </w:t>
      </w:r>
      <w:r w:rsidRPr="00904AF1">
        <w:rPr>
          <w:rFonts w:ascii="Arial Narrow" w:hAnsi="Arial Narrow"/>
        </w:rPr>
        <w:t>de incremento de la línea</w:t>
      </w:r>
      <w:r w:rsidRPr="009B34F4">
        <w:rPr>
          <w:rFonts w:ascii="Arial Narrow" w:hAnsi="Arial Narrow"/>
        </w:rPr>
        <w:t xml:space="preserve"> </w:t>
      </w:r>
      <w:r w:rsidRPr="001E6C9F">
        <w:rPr>
          <w:rFonts w:ascii="Arial Narrow" w:hAnsi="Arial Narrow"/>
        </w:rPr>
        <w:t>base para la Sala Primera se tiene en el informe 1281-PLA-PE-2021</w:t>
      </w:r>
      <w:r w:rsidR="00FA2931">
        <w:rPr>
          <w:rFonts w:ascii="Arial Narrow" w:hAnsi="Arial Narrow"/>
        </w:rPr>
        <w:t xml:space="preserve"> por medio</w:t>
      </w:r>
      <w:r w:rsidR="00FA2931">
        <w:rPr>
          <w:rFonts w:ascii="Arial Narrow" w:hAnsi="Arial Narrow" w:cs="Arial"/>
          <w:color w:val="000000"/>
          <w:lang w:eastAsia="es-CR"/>
        </w:rPr>
        <w:t xml:space="preserve"> del cual se recomienda </w:t>
      </w:r>
      <w:r w:rsidR="00FA2931" w:rsidRPr="00345B2C">
        <w:rPr>
          <w:rFonts w:ascii="Arial Narrow" w:hAnsi="Arial Narrow" w:cs="Arial"/>
          <w:color w:val="000000"/>
          <w:lang w:eastAsia="es-CR"/>
        </w:rPr>
        <w:t>valorar el ajuste en los objetivos y metas del Plan Estratégico Institucional 2019-2024, relacionados con los “casos terminados” de las instancias primeras y superiores del ámbito jurisdiccional</w:t>
      </w:r>
      <w:r w:rsidR="00185837">
        <w:rPr>
          <w:rFonts w:ascii="Arial Narrow" w:hAnsi="Arial Narrow" w:cs="Arial"/>
          <w:color w:val="000000"/>
          <w:lang w:eastAsia="es-CR"/>
        </w:rPr>
        <w:t>,d</w:t>
      </w:r>
      <w:r w:rsidR="001E6C9F" w:rsidRPr="00345B2C">
        <w:rPr>
          <w:rFonts w:ascii="Arial Narrow" w:hAnsi="Arial Narrow" w:cs="Arial"/>
          <w:color w:val="000000"/>
          <w:lang w:eastAsia="es-CR"/>
        </w:rPr>
        <w:t>ado que</w:t>
      </w:r>
      <w:r w:rsidR="00EE0D7A">
        <w:rPr>
          <w:rFonts w:ascii="Arial Narrow" w:hAnsi="Arial Narrow" w:cs="Arial"/>
          <w:color w:val="000000"/>
          <w:lang w:eastAsia="es-CR"/>
        </w:rPr>
        <w:t xml:space="preserve"> </w:t>
      </w:r>
      <w:r w:rsidR="00185837">
        <w:rPr>
          <w:rFonts w:ascii="Arial Narrow" w:hAnsi="Arial Narrow" w:cs="Arial"/>
          <w:color w:val="000000"/>
          <w:lang w:eastAsia="es-CR"/>
        </w:rPr>
        <w:t xml:space="preserve">en este informe se estimó </w:t>
      </w:r>
      <w:r w:rsidR="00170D9B">
        <w:rPr>
          <w:rFonts w:ascii="Arial Narrow" w:hAnsi="Arial Narrow" w:cs="Arial"/>
          <w:color w:val="000000"/>
          <w:lang w:eastAsia="es-CR"/>
        </w:rPr>
        <w:t>un incremento de</w:t>
      </w:r>
      <w:r w:rsidR="001E6C9F" w:rsidRPr="00345B2C">
        <w:rPr>
          <w:rFonts w:ascii="Arial Narrow" w:hAnsi="Arial Narrow" w:cs="Arial"/>
          <w:color w:val="000000"/>
          <w:lang w:eastAsia="es-CR"/>
        </w:rPr>
        <w:t xml:space="preserve"> 25% el valor de meta para el 2021</w:t>
      </w:r>
      <w:r w:rsidR="00170D9B">
        <w:rPr>
          <w:rFonts w:ascii="Arial Narrow" w:hAnsi="Arial Narrow" w:cs="Arial"/>
          <w:color w:val="000000"/>
          <w:lang w:eastAsia="es-CR"/>
        </w:rPr>
        <w:t xml:space="preserve">, por lo que proponen tomar </w:t>
      </w:r>
      <w:r w:rsidR="001E6C9F" w:rsidRPr="00345B2C">
        <w:rPr>
          <w:rFonts w:ascii="Arial Narrow" w:hAnsi="Arial Narrow" w:cs="Arial"/>
          <w:color w:val="000000"/>
          <w:lang w:eastAsia="es-CR"/>
        </w:rPr>
        <w:t xml:space="preserve">como nueva línea base la </w:t>
      </w:r>
      <w:r w:rsidR="00A14D40">
        <w:rPr>
          <w:rFonts w:ascii="Arial Narrow" w:hAnsi="Arial Narrow" w:cs="Arial"/>
          <w:color w:val="000000"/>
          <w:lang w:eastAsia="es-CR"/>
        </w:rPr>
        <w:t>cantidad</w:t>
      </w:r>
      <w:r w:rsidR="001E6C9F" w:rsidRPr="00345B2C">
        <w:rPr>
          <w:rFonts w:ascii="Arial Narrow" w:hAnsi="Arial Narrow" w:cs="Arial"/>
          <w:color w:val="000000"/>
          <w:lang w:eastAsia="es-CR"/>
        </w:rPr>
        <w:t xml:space="preserve"> de casos terminados 2021 y que se establezca como meta para los años 2022, 2023 y 2024 un incremento en un 1% adicional con relación a la meta de</w:t>
      </w:r>
      <w:r w:rsidR="00A14D40">
        <w:rPr>
          <w:rFonts w:ascii="Arial Narrow" w:hAnsi="Arial Narrow" w:cs="Arial"/>
          <w:color w:val="000000"/>
          <w:lang w:eastAsia="es-CR"/>
        </w:rPr>
        <w:t xml:space="preserve"> años anteriores. </w:t>
      </w:r>
    </w:p>
    <w:p w14:paraId="243416CB" w14:textId="7D5B1CEB" w:rsidR="0088514B" w:rsidRDefault="0088514B" w:rsidP="00696737">
      <w:pPr>
        <w:spacing w:line="360" w:lineRule="auto"/>
        <w:jc w:val="both"/>
        <w:rPr>
          <w:rFonts w:ascii="Arial Narrow" w:hAnsi="Arial Narrow"/>
        </w:rPr>
      </w:pPr>
    </w:p>
    <w:p w14:paraId="0EA8CCFE" w14:textId="385EEC37" w:rsidR="00271D70" w:rsidRDefault="00271D70" w:rsidP="00271D70">
      <w:pPr>
        <w:jc w:val="center"/>
        <w:rPr>
          <w:rFonts w:ascii="Arial Narrow" w:eastAsia="Calibri" w:hAnsi="Arial Narrow"/>
          <w:b/>
          <w:bCs/>
          <w:sz w:val="22"/>
          <w:szCs w:val="22"/>
          <w:lang w:eastAsia="en-US"/>
        </w:rPr>
      </w:pPr>
      <w:r w:rsidRPr="00C847FC">
        <w:rPr>
          <w:rFonts w:ascii="Arial Narrow" w:hAnsi="Arial Narrow"/>
          <w:b/>
          <w:bCs/>
          <w:sz w:val="22"/>
          <w:szCs w:val="22"/>
        </w:rPr>
        <w:t xml:space="preserve">Cuadro  </w:t>
      </w:r>
      <w:r w:rsidRPr="00C847FC">
        <w:rPr>
          <w:rFonts w:ascii="Arial Narrow" w:hAnsi="Arial Narrow"/>
          <w:b/>
          <w:bCs/>
          <w:sz w:val="22"/>
          <w:szCs w:val="22"/>
        </w:rPr>
        <w:fldChar w:fldCharType="begin"/>
      </w:r>
      <w:r w:rsidRPr="00C847FC">
        <w:rPr>
          <w:rFonts w:ascii="Arial Narrow" w:hAnsi="Arial Narrow"/>
          <w:b/>
          <w:bCs/>
          <w:sz w:val="22"/>
          <w:szCs w:val="22"/>
        </w:rPr>
        <w:instrText xml:space="preserve"> SEQ Cuadro_No. \* ARABIC </w:instrText>
      </w:r>
      <w:r w:rsidRPr="00C847FC">
        <w:rPr>
          <w:rFonts w:ascii="Arial Narrow" w:hAnsi="Arial Narrow"/>
          <w:b/>
          <w:bCs/>
          <w:sz w:val="22"/>
          <w:szCs w:val="22"/>
        </w:rPr>
        <w:fldChar w:fldCharType="separate"/>
      </w:r>
      <w:r w:rsidR="002F520A">
        <w:rPr>
          <w:rFonts w:ascii="Arial Narrow" w:hAnsi="Arial Narrow"/>
          <w:b/>
          <w:bCs/>
          <w:noProof/>
          <w:sz w:val="22"/>
          <w:szCs w:val="22"/>
        </w:rPr>
        <w:t>11</w:t>
      </w:r>
      <w:r w:rsidRPr="00C847FC">
        <w:rPr>
          <w:rFonts w:ascii="Arial Narrow" w:hAnsi="Arial Narrow"/>
          <w:b/>
          <w:bCs/>
          <w:sz w:val="22"/>
          <w:szCs w:val="22"/>
        </w:rPr>
        <w:fldChar w:fldCharType="end"/>
      </w:r>
      <w:r w:rsidRPr="00C847FC">
        <w:rPr>
          <w:rFonts w:ascii="Arial Narrow" w:eastAsia="Calibri" w:hAnsi="Arial Narrow"/>
          <w:b/>
          <w:bCs/>
          <w:sz w:val="22"/>
          <w:szCs w:val="22"/>
          <w:lang w:eastAsia="en-US"/>
        </w:rPr>
        <w:t xml:space="preserve"> Metas estratégicas de </w:t>
      </w:r>
      <w:r>
        <w:rPr>
          <w:rFonts w:ascii="Arial Narrow" w:eastAsia="Calibri" w:hAnsi="Arial Narrow"/>
          <w:b/>
          <w:bCs/>
          <w:sz w:val="22"/>
          <w:szCs w:val="22"/>
          <w:lang w:eastAsia="en-US"/>
        </w:rPr>
        <w:t>Celeridad Judicial</w:t>
      </w:r>
      <w:r w:rsidRPr="00C847FC">
        <w:rPr>
          <w:rFonts w:ascii="Arial Narrow" w:eastAsia="Calibri" w:hAnsi="Arial Narrow"/>
          <w:b/>
          <w:bCs/>
          <w:sz w:val="22"/>
          <w:szCs w:val="22"/>
          <w:lang w:eastAsia="en-US"/>
        </w:rPr>
        <w:t xml:space="preserve"> y su cumplimiento para el 20</w:t>
      </w:r>
      <w:r>
        <w:rPr>
          <w:rFonts w:ascii="Arial Narrow" w:eastAsia="Calibri" w:hAnsi="Arial Narrow"/>
          <w:b/>
          <w:bCs/>
          <w:sz w:val="22"/>
          <w:szCs w:val="22"/>
          <w:lang w:eastAsia="en-US"/>
        </w:rPr>
        <w:t>21</w:t>
      </w:r>
    </w:p>
    <w:p w14:paraId="2C98D4A5" w14:textId="77777777" w:rsidR="0088514B" w:rsidRDefault="0088514B" w:rsidP="00271D70">
      <w:pPr>
        <w:jc w:val="center"/>
        <w:rPr>
          <w:rFonts w:ascii="Arial Narrow" w:eastAsia="Calibri" w:hAnsi="Arial Narrow"/>
          <w:b/>
          <w:bCs/>
          <w:sz w:val="22"/>
          <w:szCs w:val="22"/>
          <w:lang w:eastAsia="en-US"/>
        </w:rPr>
      </w:pPr>
    </w:p>
    <w:p w14:paraId="1F6F699E" w14:textId="77777777" w:rsidR="00696737" w:rsidRDefault="00696737" w:rsidP="00696737">
      <w:pPr>
        <w:spacing w:line="276" w:lineRule="auto"/>
        <w:jc w:val="both"/>
        <w:rPr>
          <w:rFonts w:ascii="Arial Narrow" w:hAnsi="Arial Narrow"/>
        </w:rPr>
      </w:pPr>
      <w:r>
        <w:rPr>
          <w:noProof/>
        </w:rPr>
        <w:drawing>
          <wp:inline distT="0" distB="0" distL="0" distR="0" wp14:anchorId="7A1D4925" wp14:editId="508C0840">
            <wp:extent cx="5612130" cy="2621915"/>
            <wp:effectExtent l="19050" t="19050" r="26670" b="26035"/>
            <wp:docPr id="21" name="Imagen 21" descr="Captura de pantalla de computador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descr="Captura de pantalla de computadora&#10;&#10;Descripción generada automáticamente con confianza media"/>
                    <pic:cNvPicPr/>
                  </pic:nvPicPr>
                  <pic:blipFill>
                    <a:blip r:embed="rId64"/>
                    <a:stretch>
                      <a:fillRect/>
                    </a:stretch>
                  </pic:blipFill>
                  <pic:spPr>
                    <a:xfrm>
                      <a:off x="0" y="0"/>
                      <a:ext cx="5612130" cy="2621915"/>
                    </a:xfrm>
                    <a:prstGeom prst="rect">
                      <a:avLst/>
                    </a:prstGeom>
                    <a:ln w="12700">
                      <a:solidFill>
                        <a:schemeClr val="tx1"/>
                      </a:solidFill>
                    </a:ln>
                  </pic:spPr>
                </pic:pic>
              </a:graphicData>
            </a:graphic>
          </wp:inline>
        </w:drawing>
      </w:r>
    </w:p>
    <w:p w14:paraId="10339277" w14:textId="77777777" w:rsidR="00696737" w:rsidRDefault="00696737" w:rsidP="00B54439">
      <w:pPr>
        <w:spacing w:line="276" w:lineRule="auto"/>
        <w:jc w:val="center"/>
        <w:rPr>
          <w:rFonts w:ascii="Arial Narrow" w:hAnsi="Arial Narrow"/>
        </w:rPr>
      </w:pPr>
      <w:r w:rsidRPr="00996542">
        <w:rPr>
          <w:rFonts w:ascii="Arial Narrow" w:hAnsi="Arial Narrow"/>
          <w:sz w:val="18"/>
          <w:szCs w:val="18"/>
        </w:rPr>
        <w:t>Fuente: Sistema PEI al 19 de enero del 2022 para el año 2021.</w:t>
      </w:r>
    </w:p>
    <w:p w14:paraId="25869E52" w14:textId="77777777" w:rsidR="00696737" w:rsidRDefault="00696737" w:rsidP="00696737">
      <w:pPr>
        <w:spacing w:line="276" w:lineRule="auto"/>
        <w:jc w:val="both"/>
        <w:rPr>
          <w:rFonts w:ascii="Arial Narrow" w:hAnsi="Arial Narrow"/>
        </w:rPr>
      </w:pPr>
    </w:p>
    <w:p w14:paraId="38748762" w14:textId="02141795" w:rsidR="00696737" w:rsidRDefault="00696737" w:rsidP="00D52359">
      <w:pPr>
        <w:jc w:val="both"/>
        <w:rPr>
          <w:rFonts w:ascii="Arial Narrow" w:hAnsi="Arial Narrow"/>
        </w:rPr>
      </w:pPr>
      <w:r w:rsidRPr="00584708">
        <w:rPr>
          <w:rFonts w:ascii="Arial Narrow" w:hAnsi="Arial Narrow"/>
        </w:rPr>
        <w:t xml:space="preserve">Con respecto a la meta de casos terminados en </w:t>
      </w:r>
      <w:r>
        <w:rPr>
          <w:rFonts w:ascii="Arial Narrow" w:hAnsi="Arial Narrow"/>
        </w:rPr>
        <w:t>la Sala Segunda</w:t>
      </w:r>
      <w:r w:rsidRPr="00584708">
        <w:rPr>
          <w:rFonts w:ascii="Arial Narrow" w:hAnsi="Arial Narrow"/>
        </w:rPr>
        <w:t>, se tiene un cumplimiento general del 100% para los 3 años</w:t>
      </w:r>
      <w:r>
        <w:rPr>
          <w:rFonts w:ascii="Arial Narrow" w:hAnsi="Arial Narrow"/>
        </w:rPr>
        <w:t xml:space="preserve"> a nivel PEI y a nivel de los datos registrados por la Sala en el Sistema PAO, por lo que se denota una apropiada gestión de la oficina, así como del manejo de los sistemas, que les ha permitido alcanzar las metas de los 3 años con holgura.</w:t>
      </w:r>
    </w:p>
    <w:p w14:paraId="57D965C0" w14:textId="77777777" w:rsidR="005940C6" w:rsidRDefault="005940C6">
      <w:pPr>
        <w:jc w:val="both"/>
        <w:rPr>
          <w:rFonts w:ascii="Arial Narrow" w:hAnsi="Arial Narrow"/>
        </w:rPr>
      </w:pPr>
    </w:p>
    <w:p w14:paraId="697A7B0A" w14:textId="77777777" w:rsidR="00696737" w:rsidRDefault="00696737">
      <w:pPr>
        <w:jc w:val="both"/>
        <w:rPr>
          <w:rFonts w:ascii="Arial Narrow" w:hAnsi="Arial Narrow"/>
        </w:rPr>
      </w:pPr>
      <w:r w:rsidRPr="00584708">
        <w:rPr>
          <w:rFonts w:ascii="Arial Narrow" w:hAnsi="Arial Narrow"/>
        </w:rPr>
        <w:t>Po</w:t>
      </w:r>
      <w:r>
        <w:rPr>
          <w:rFonts w:ascii="Arial Narrow" w:hAnsi="Arial Narrow"/>
        </w:rPr>
        <w:t>r</w:t>
      </w:r>
      <w:r w:rsidRPr="00584708">
        <w:rPr>
          <w:rFonts w:ascii="Arial Narrow" w:hAnsi="Arial Narrow"/>
        </w:rPr>
        <w:t xml:space="preserve"> su parte, la meta de casos terminados en </w:t>
      </w:r>
      <w:r>
        <w:rPr>
          <w:rFonts w:ascii="Arial Narrow" w:hAnsi="Arial Narrow"/>
        </w:rPr>
        <w:t>la Sala Tercera,</w:t>
      </w:r>
      <w:r w:rsidRPr="00584708">
        <w:rPr>
          <w:rFonts w:ascii="Arial Narrow" w:hAnsi="Arial Narrow"/>
        </w:rPr>
        <w:t xml:space="preserve"> se observa </w:t>
      </w:r>
      <w:r>
        <w:rPr>
          <w:rFonts w:ascii="Arial Narrow" w:hAnsi="Arial Narrow"/>
        </w:rPr>
        <w:t xml:space="preserve">un cumplimiento del 100% </w:t>
      </w:r>
      <w:r w:rsidRPr="00584708">
        <w:rPr>
          <w:rFonts w:ascii="Arial Narrow" w:hAnsi="Arial Narrow"/>
        </w:rPr>
        <w:t>para los 3 años</w:t>
      </w:r>
      <w:r>
        <w:rPr>
          <w:rFonts w:ascii="Arial Narrow" w:hAnsi="Arial Narrow"/>
        </w:rPr>
        <w:t xml:space="preserve"> a nivel PEI y a nivel de los datos registrados por la Sala Tercera en el Sistema PAO.</w:t>
      </w:r>
    </w:p>
    <w:p w14:paraId="1ACF1091" w14:textId="77777777" w:rsidR="00696737" w:rsidRDefault="00696737">
      <w:pPr>
        <w:jc w:val="both"/>
        <w:rPr>
          <w:rFonts w:ascii="Arial Narrow" w:hAnsi="Arial Narrow"/>
        </w:rPr>
      </w:pPr>
      <w:r>
        <w:rPr>
          <w:rFonts w:ascii="Arial Narrow" w:hAnsi="Arial Narrow"/>
        </w:rPr>
        <w:t xml:space="preserve">Se observa que la Sala ha completado en promedio 1326 casos por año, mientras que el valor anual esperado es de 970, por lo tanto, se evidencia como la Sala estaría terminando más de 350 casos al año de acuerdo con la meta esperada, por lo que </w:t>
      </w:r>
      <w:r w:rsidRPr="00B22B95">
        <w:rPr>
          <w:rFonts w:ascii="Arial Narrow" w:hAnsi="Arial Narrow"/>
          <w:b/>
          <w:bCs/>
        </w:rPr>
        <w:t>se</w:t>
      </w:r>
      <w:r w:rsidRPr="00EC7621">
        <w:rPr>
          <w:rFonts w:ascii="Arial Narrow" w:hAnsi="Arial Narrow"/>
          <w:b/>
          <w:bCs/>
        </w:rPr>
        <w:t xml:space="preserve"> sugiere modificar el valor esperado de la meta y adecuarlo a las realidades de </w:t>
      </w:r>
      <w:r>
        <w:rPr>
          <w:rFonts w:ascii="Arial Narrow" w:hAnsi="Arial Narrow"/>
          <w:b/>
          <w:bCs/>
        </w:rPr>
        <w:t xml:space="preserve">la Sala, </w:t>
      </w:r>
      <w:r w:rsidRPr="00EC7621">
        <w:rPr>
          <w:rFonts w:ascii="Arial Narrow" w:hAnsi="Arial Narrow"/>
          <w:b/>
          <w:bCs/>
        </w:rPr>
        <w:t>la cua</w:t>
      </w:r>
      <w:r>
        <w:rPr>
          <w:rFonts w:ascii="Arial Narrow" w:hAnsi="Arial Narrow"/>
          <w:b/>
          <w:bCs/>
        </w:rPr>
        <w:t>l</w:t>
      </w:r>
      <w:r w:rsidRPr="00EC7621">
        <w:rPr>
          <w:rFonts w:ascii="Arial Narrow" w:hAnsi="Arial Narrow"/>
          <w:b/>
          <w:bCs/>
        </w:rPr>
        <w:t xml:space="preserve"> está en capacidad de terminar más expedientes de lo que fue planeado</w:t>
      </w:r>
      <w:r>
        <w:rPr>
          <w:rFonts w:ascii="Arial Narrow" w:hAnsi="Arial Narrow"/>
          <w:b/>
          <w:bCs/>
        </w:rPr>
        <w:t>, según la revisión de los 3 años del PEI</w:t>
      </w:r>
      <w:r>
        <w:rPr>
          <w:rFonts w:ascii="Arial Narrow" w:hAnsi="Arial Narrow"/>
        </w:rPr>
        <w:t>.</w:t>
      </w:r>
    </w:p>
    <w:p w14:paraId="1C359FEF" w14:textId="77777777" w:rsidR="008D7433" w:rsidRDefault="008D7433" w:rsidP="00271D70">
      <w:pPr>
        <w:jc w:val="center"/>
        <w:rPr>
          <w:rFonts w:ascii="Arial Narrow" w:hAnsi="Arial Narrow"/>
          <w:b/>
          <w:bCs/>
          <w:sz w:val="22"/>
          <w:szCs w:val="22"/>
        </w:rPr>
      </w:pPr>
    </w:p>
    <w:p w14:paraId="11EDCB7F" w14:textId="1E9A3024" w:rsidR="00271D70" w:rsidRDefault="00271D70" w:rsidP="00271D70">
      <w:pPr>
        <w:jc w:val="center"/>
        <w:rPr>
          <w:rFonts w:ascii="Arial Narrow" w:eastAsia="Calibri" w:hAnsi="Arial Narrow"/>
          <w:b/>
          <w:bCs/>
          <w:sz w:val="22"/>
          <w:szCs w:val="22"/>
          <w:lang w:eastAsia="en-US"/>
        </w:rPr>
      </w:pPr>
      <w:r w:rsidRPr="00C847FC">
        <w:rPr>
          <w:rFonts w:ascii="Arial Narrow" w:hAnsi="Arial Narrow"/>
          <w:b/>
          <w:bCs/>
          <w:sz w:val="22"/>
          <w:szCs w:val="22"/>
        </w:rPr>
        <w:t xml:space="preserve">Cuadro  </w:t>
      </w:r>
      <w:r w:rsidRPr="00C847FC">
        <w:rPr>
          <w:rFonts w:ascii="Arial Narrow" w:hAnsi="Arial Narrow"/>
          <w:b/>
          <w:bCs/>
          <w:sz w:val="22"/>
          <w:szCs w:val="22"/>
        </w:rPr>
        <w:fldChar w:fldCharType="begin"/>
      </w:r>
      <w:r w:rsidRPr="00C847FC">
        <w:rPr>
          <w:rFonts w:ascii="Arial Narrow" w:hAnsi="Arial Narrow"/>
          <w:b/>
          <w:bCs/>
          <w:sz w:val="22"/>
          <w:szCs w:val="22"/>
        </w:rPr>
        <w:instrText xml:space="preserve"> SEQ Cuadro_No. \* ARABIC </w:instrText>
      </w:r>
      <w:r w:rsidRPr="00C847FC">
        <w:rPr>
          <w:rFonts w:ascii="Arial Narrow" w:hAnsi="Arial Narrow"/>
          <w:b/>
          <w:bCs/>
          <w:sz w:val="22"/>
          <w:szCs w:val="22"/>
        </w:rPr>
        <w:fldChar w:fldCharType="separate"/>
      </w:r>
      <w:r w:rsidR="002F520A">
        <w:rPr>
          <w:rFonts w:ascii="Arial Narrow" w:hAnsi="Arial Narrow"/>
          <w:b/>
          <w:bCs/>
          <w:noProof/>
          <w:sz w:val="22"/>
          <w:szCs w:val="22"/>
        </w:rPr>
        <w:t>12</w:t>
      </w:r>
      <w:r w:rsidRPr="00C847FC">
        <w:rPr>
          <w:rFonts w:ascii="Arial Narrow" w:hAnsi="Arial Narrow"/>
          <w:b/>
          <w:bCs/>
          <w:sz w:val="22"/>
          <w:szCs w:val="22"/>
        </w:rPr>
        <w:fldChar w:fldCharType="end"/>
      </w:r>
      <w:r w:rsidRPr="00C847FC">
        <w:rPr>
          <w:rFonts w:ascii="Arial Narrow" w:eastAsia="Calibri" w:hAnsi="Arial Narrow"/>
          <w:b/>
          <w:bCs/>
          <w:sz w:val="22"/>
          <w:szCs w:val="22"/>
          <w:lang w:eastAsia="en-US"/>
        </w:rPr>
        <w:t xml:space="preserve"> Metas estratégicas de </w:t>
      </w:r>
      <w:r>
        <w:rPr>
          <w:rFonts w:ascii="Arial Narrow" w:eastAsia="Calibri" w:hAnsi="Arial Narrow"/>
          <w:b/>
          <w:bCs/>
          <w:sz w:val="22"/>
          <w:szCs w:val="22"/>
          <w:lang w:eastAsia="en-US"/>
        </w:rPr>
        <w:t>Celeridad Judicial</w:t>
      </w:r>
      <w:r w:rsidRPr="00C847FC">
        <w:rPr>
          <w:rFonts w:ascii="Arial Narrow" w:eastAsia="Calibri" w:hAnsi="Arial Narrow"/>
          <w:b/>
          <w:bCs/>
          <w:sz w:val="22"/>
          <w:szCs w:val="22"/>
          <w:lang w:eastAsia="en-US"/>
        </w:rPr>
        <w:t xml:space="preserve"> y su cumplimiento para el 20</w:t>
      </w:r>
      <w:r>
        <w:rPr>
          <w:rFonts w:ascii="Arial Narrow" w:eastAsia="Calibri" w:hAnsi="Arial Narrow"/>
          <w:b/>
          <w:bCs/>
          <w:sz w:val="22"/>
          <w:szCs w:val="22"/>
          <w:lang w:eastAsia="en-US"/>
        </w:rPr>
        <w:t>21</w:t>
      </w:r>
      <w:r w:rsidR="00A146A8">
        <w:rPr>
          <w:rFonts w:ascii="Arial Narrow" w:eastAsia="Calibri" w:hAnsi="Arial Narrow"/>
          <w:b/>
          <w:bCs/>
          <w:sz w:val="22"/>
          <w:szCs w:val="22"/>
          <w:lang w:eastAsia="en-US"/>
        </w:rPr>
        <w:t>.</w:t>
      </w:r>
    </w:p>
    <w:p w14:paraId="18C21DFB" w14:textId="77777777" w:rsidR="00A146A8" w:rsidRDefault="00A146A8" w:rsidP="00271D70">
      <w:pPr>
        <w:jc w:val="center"/>
        <w:rPr>
          <w:rFonts w:ascii="Arial Narrow" w:eastAsia="Calibri" w:hAnsi="Arial Narrow"/>
          <w:b/>
          <w:bCs/>
          <w:sz w:val="22"/>
          <w:szCs w:val="22"/>
          <w:lang w:eastAsia="en-US"/>
        </w:rPr>
      </w:pPr>
    </w:p>
    <w:p w14:paraId="3F3DC456" w14:textId="77777777" w:rsidR="00696737" w:rsidRDefault="00696737" w:rsidP="00696737">
      <w:pPr>
        <w:spacing w:line="276" w:lineRule="auto"/>
        <w:jc w:val="both"/>
        <w:rPr>
          <w:rFonts w:ascii="Arial Narrow" w:hAnsi="Arial Narrow"/>
        </w:rPr>
      </w:pPr>
      <w:r>
        <w:rPr>
          <w:noProof/>
        </w:rPr>
        <w:drawing>
          <wp:inline distT="0" distB="0" distL="0" distR="0" wp14:anchorId="27256A2D" wp14:editId="6166FB8A">
            <wp:extent cx="5612130" cy="2630170"/>
            <wp:effectExtent l="19050" t="19050" r="26670" b="17780"/>
            <wp:docPr id="33" name="Imagen 3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descr="Tabla&#10;&#10;Descripción generada automáticamente"/>
                    <pic:cNvPicPr/>
                  </pic:nvPicPr>
                  <pic:blipFill>
                    <a:blip r:embed="rId65"/>
                    <a:stretch>
                      <a:fillRect/>
                    </a:stretch>
                  </pic:blipFill>
                  <pic:spPr>
                    <a:xfrm>
                      <a:off x="0" y="0"/>
                      <a:ext cx="5612130" cy="2630170"/>
                    </a:xfrm>
                    <a:prstGeom prst="rect">
                      <a:avLst/>
                    </a:prstGeom>
                    <a:ln w="12700">
                      <a:solidFill>
                        <a:schemeClr val="tx1"/>
                      </a:solidFill>
                    </a:ln>
                  </pic:spPr>
                </pic:pic>
              </a:graphicData>
            </a:graphic>
          </wp:inline>
        </w:drawing>
      </w:r>
    </w:p>
    <w:p w14:paraId="3FA1E2EC" w14:textId="77777777" w:rsidR="00696737" w:rsidRDefault="00696737" w:rsidP="00B54439">
      <w:pPr>
        <w:spacing w:line="276" w:lineRule="auto"/>
        <w:jc w:val="center"/>
        <w:rPr>
          <w:rFonts w:ascii="Arial Narrow" w:hAnsi="Arial Narrow"/>
        </w:rPr>
      </w:pPr>
      <w:r w:rsidRPr="00996542">
        <w:rPr>
          <w:rFonts w:ascii="Arial Narrow" w:hAnsi="Arial Narrow"/>
          <w:sz w:val="18"/>
          <w:szCs w:val="18"/>
        </w:rPr>
        <w:t>Fuente: Sistema PEI al 19 de enero del 2022 para el año 2021.</w:t>
      </w:r>
    </w:p>
    <w:p w14:paraId="408B3CBE" w14:textId="77777777" w:rsidR="00696737" w:rsidRDefault="00696737" w:rsidP="00696737">
      <w:pPr>
        <w:spacing w:line="276" w:lineRule="auto"/>
        <w:jc w:val="both"/>
        <w:rPr>
          <w:rFonts w:ascii="Arial Narrow" w:hAnsi="Arial Narrow"/>
        </w:rPr>
      </w:pPr>
    </w:p>
    <w:p w14:paraId="38A62A07" w14:textId="318DCCB0" w:rsidR="00696737" w:rsidRDefault="00696737" w:rsidP="005940C6">
      <w:pPr>
        <w:jc w:val="both"/>
        <w:rPr>
          <w:rFonts w:ascii="Arial Narrow" w:hAnsi="Arial Narrow"/>
        </w:rPr>
      </w:pPr>
      <w:r>
        <w:rPr>
          <w:rFonts w:ascii="Arial Narrow" w:hAnsi="Arial Narrow"/>
        </w:rPr>
        <w:t>Con respecto a la meta de c</w:t>
      </w:r>
      <w:r w:rsidRPr="003A6C9B">
        <w:rPr>
          <w:rFonts w:ascii="Arial Narrow" w:hAnsi="Arial Narrow"/>
        </w:rPr>
        <w:t>antidad de casos terminados en materia Agraria por año, en primera instancia</w:t>
      </w:r>
      <w:r>
        <w:rPr>
          <w:rFonts w:ascii="Arial Narrow" w:hAnsi="Arial Narrow"/>
        </w:rPr>
        <w:t xml:space="preserve"> se tiene un cumplimiento acumulado del 100% esto debido a que para los 3 años del PEI, se supera la meta esperada en su totalidad. A nivel de los juzgados, se registra un cumplimiento del 94% esto debido a que ciertos despachos no lograron completar la meta esperada para sus propias oficinas, sin embargo, otras oficinas agrarias terminaron más expedientes de lo esperado y por eso la meta de manera general, fue cumplida con holgura.</w:t>
      </w:r>
    </w:p>
    <w:p w14:paraId="27F24FEF" w14:textId="15F14F0E" w:rsidR="005940C6" w:rsidRDefault="005940C6" w:rsidP="005940C6">
      <w:pPr>
        <w:jc w:val="both"/>
        <w:rPr>
          <w:rFonts w:ascii="Arial Narrow" w:hAnsi="Arial Narrow"/>
        </w:rPr>
      </w:pPr>
    </w:p>
    <w:p w14:paraId="65728DA5" w14:textId="77777777" w:rsidR="005940C6" w:rsidRDefault="005940C6" w:rsidP="005940C6">
      <w:pPr>
        <w:jc w:val="both"/>
        <w:rPr>
          <w:rFonts w:ascii="Arial Narrow" w:hAnsi="Arial Narrow"/>
        </w:rPr>
      </w:pPr>
    </w:p>
    <w:p w14:paraId="59A722B0" w14:textId="7B49C14C" w:rsidR="00696737" w:rsidRDefault="00696737" w:rsidP="005940C6">
      <w:pPr>
        <w:jc w:val="both"/>
        <w:rPr>
          <w:rFonts w:ascii="Arial Narrow" w:hAnsi="Arial Narrow"/>
        </w:rPr>
      </w:pPr>
      <w:r>
        <w:rPr>
          <w:rFonts w:ascii="Arial Narrow" w:hAnsi="Arial Narrow"/>
        </w:rPr>
        <w:t xml:space="preserve">Por parte de la materia de Familia, primera instancia se tiene que la cantidad de casos terminados para el 2021 registra el valor más alto de cumplimiento de casos terminados del periodo del PEI actual, con </w:t>
      </w:r>
      <w:r w:rsidR="001A1BE7">
        <w:rPr>
          <w:rFonts w:ascii="Arial Narrow" w:hAnsi="Arial Narrow"/>
        </w:rPr>
        <w:t>más</w:t>
      </w:r>
      <w:r>
        <w:rPr>
          <w:rFonts w:ascii="Arial Narrow" w:hAnsi="Arial Narrow"/>
        </w:rPr>
        <w:t xml:space="preserve"> de 32 mil asuntos, siendo que la meta esperada es de 29 mil casos aproximadamente. Para el 2020 si se presentó una di</w:t>
      </w:r>
      <w:r w:rsidR="002F5A78">
        <w:rPr>
          <w:rFonts w:ascii="Arial Narrow" w:hAnsi="Arial Narrow"/>
        </w:rPr>
        <w:t>s</w:t>
      </w:r>
      <w:r>
        <w:rPr>
          <w:rFonts w:ascii="Arial Narrow" w:hAnsi="Arial Narrow"/>
        </w:rPr>
        <w:t xml:space="preserve">minución en la cantidad de expedientes salidos, sin embargo, se tiene una mejoría a nivel general, dado que también el cumplimiento por despachos se incrementó y fue el </w:t>
      </w:r>
      <w:r w:rsidR="00271D70">
        <w:rPr>
          <w:rFonts w:ascii="Arial Narrow" w:hAnsi="Arial Narrow"/>
        </w:rPr>
        <w:t>más</w:t>
      </w:r>
      <w:r>
        <w:rPr>
          <w:rFonts w:ascii="Arial Narrow" w:hAnsi="Arial Narrow"/>
        </w:rPr>
        <w:t xml:space="preserve"> alto del periodo de análisis.</w:t>
      </w:r>
    </w:p>
    <w:p w14:paraId="7BEA9319" w14:textId="2FFF8048" w:rsidR="00696737" w:rsidRDefault="00696737" w:rsidP="00696737">
      <w:pPr>
        <w:spacing w:line="276" w:lineRule="auto"/>
        <w:jc w:val="both"/>
        <w:rPr>
          <w:rFonts w:ascii="Arial Narrow" w:hAnsi="Arial Narrow"/>
        </w:rPr>
      </w:pPr>
    </w:p>
    <w:p w14:paraId="77E907E5" w14:textId="76B0F0AB" w:rsidR="00271D70" w:rsidRDefault="00271D70" w:rsidP="00696737">
      <w:pPr>
        <w:spacing w:line="276" w:lineRule="auto"/>
        <w:jc w:val="both"/>
        <w:rPr>
          <w:rFonts w:ascii="Arial Narrow" w:hAnsi="Arial Narrow"/>
        </w:rPr>
      </w:pPr>
    </w:p>
    <w:p w14:paraId="7D0DC861" w14:textId="14CD1F9C" w:rsidR="005940C6" w:rsidRDefault="005940C6" w:rsidP="00696737">
      <w:pPr>
        <w:spacing w:line="276" w:lineRule="auto"/>
        <w:jc w:val="both"/>
        <w:rPr>
          <w:rFonts w:ascii="Arial Narrow" w:hAnsi="Arial Narrow"/>
        </w:rPr>
      </w:pPr>
    </w:p>
    <w:p w14:paraId="1C426C94" w14:textId="3B4C397D" w:rsidR="005940C6" w:rsidRDefault="005940C6" w:rsidP="00696737">
      <w:pPr>
        <w:spacing w:line="276" w:lineRule="auto"/>
        <w:jc w:val="both"/>
        <w:rPr>
          <w:rFonts w:ascii="Arial Narrow" w:hAnsi="Arial Narrow"/>
        </w:rPr>
      </w:pPr>
    </w:p>
    <w:p w14:paraId="76465470" w14:textId="49872664" w:rsidR="005940C6" w:rsidRDefault="005940C6" w:rsidP="00696737">
      <w:pPr>
        <w:spacing w:line="276" w:lineRule="auto"/>
        <w:jc w:val="both"/>
        <w:rPr>
          <w:rFonts w:ascii="Arial Narrow" w:hAnsi="Arial Narrow"/>
        </w:rPr>
      </w:pPr>
    </w:p>
    <w:p w14:paraId="60D89973" w14:textId="7083C9C9" w:rsidR="0088514B" w:rsidRDefault="0088514B" w:rsidP="00696737">
      <w:pPr>
        <w:spacing w:line="276" w:lineRule="auto"/>
        <w:jc w:val="both"/>
        <w:rPr>
          <w:rFonts w:ascii="Arial Narrow" w:hAnsi="Arial Narrow"/>
        </w:rPr>
      </w:pPr>
    </w:p>
    <w:p w14:paraId="0AE10B46" w14:textId="767A3B97" w:rsidR="0088514B" w:rsidRDefault="0088514B" w:rsidP="00696737">
      <w:pPr>
        <w:spacing w:line="276" w:lineRule="auto"/>
        <w:jc w:val="both"/>
        <w:rPr>
          <w:rFonts w:ascii="Arial Narrow" w:hAnsi="Arial Narrow"/>
        </w:rPr>
      </w:pPr>
    </w:p>
    <w:p w14:paraId="4A4D14C7" w14:textId="77777777" w:rsidR="0088514B" w:rsidRDefault="0088514B" w:rsidP="00696737">
      <w:pPr>
        <w:spacing w:line="276" w:lineRule="auto"/>
        <w:jc w:val="both"/>
        <w:rPr>
          <w:rFonts w:ascii="Arial Narrow" w:hAnsi="Arial Narrow"/>
        </w:rPr>
      </w:pPr>
    </w:p>
    <w:p w14:paraId="141BC62F" w14:textId="77777777" w:rsidR="00696737" w:rsidRDefault="00696737" w:rsidP="00696737">
      <w:pPr>
        <w:spacing w:line="276" w:lineRule="auto"/>
        <w:jc w:val="both"/>
        <w:rPr>
          <w:rFonts w:ascii="Arial Narrow" w:hAnsi="Arial Narrow"/>
        </w:rPr>
      </w:pPr>
    </w:p>
    <w:p w14:paraId="4273DA5E" w14:textId="6A04F588" w:rsidR="00271D70" w:rsidRDefault="00271D70" w:rsidP="00271D70">
      <w:pPr>
        <w:jc w:val="center"/>
        <w:rPr>
          <w:rFonts w:ascii="Arial Narrow" w:eastAsia="Calibri" w:hAnsi="Arial Narrow"/>
          <w:b/>
          <w:bCs/>
          <w:sz w:val="22"/>
          <w:szCs w:val="22"/>
          <w:lang w:eastAsia="en-US"/>
        </w:rPr>
      </w:pPr>
      <w:r w:rsidRPr="00C847FC">
        <w:rPr>
          <w:rFonts w:ascii="Arial Narrow" w:hAnsi="Arial Narrow"/>
          <w:b/>
          <w:bCs/>
          <w:sz w:val="22"/>
          <w:szCs w:val="22"/>
        </w:rPr>
        <w:t xml:space="preserve">Cuadro  </w:t>
      </w:r>
      <w:r w:rsidRPr="00C847FC">
        <w:rPr>
          <w:rFonts w:ascii="Arial Narrow" w:hAnsi="Arial Narrow"/>
          <w:b/>
          <w:bCs/>
          <w:sz w:val="22"/>
          <w:szCs w:val="22"/>
        </w:rPr>
        <w:fldChar w:fldCharType="begin"/>
      </w:r>
      <w:r w:rsidRPr="00C847FC">
        <w:rPr>
          <w:rFonts w:ascii="Arial Narrow" w:hAnsi="Arial Narrow"/>
          <w:b/>
          <w:bCs/>
          <w:sz w:val="22"/>
          <w:szCs w:val="22"/>
        </w:rPr>
        <w:instrText xml:space="preserve"> SEQ Cuadro_No. \* ARABIC </w:instrText>
      </w:r>
      <w:r w:rsidRPr="00C847FC">
        <w:rPr>
          <w:rFonts w:ascii="Arial Narrow" w:hAnsi="Arial Narrow"/>
          <w:b/>
          <w:bCs/>
          <w:sz w:val="22"/>
          <w:szCs w:val="22"/>
        </w:rPr>
        <w:fldChar w:fldCharType="separate"/>
      </w:r>
      <w:r w:rsidR="002F520A">
        <w:rPr>
          <w:rFonts w:ascii="Arial Narrow" w:hAnsi="Arial Narrow"/>
          <w:b/>
          <w:bCs/>
          <w:noProof/>
          <w:sz w:val="22"/>
          <w:szCs w:val="22"/>
        </w:rPr>
        <w:t>13</w:t>
      </w:r>
      <w:r w:rsidRPr="00C847FC">
        <w:rPr>
          <w:rFonts w:ascii="Arial Narrow" w:hAnsi="Arial Narrow"/>
          <w:b/>
          <w:bCs/>
          <w:sz w:val="22"/>
          <w:szCs w:val="22"/>
        </w:rPr>
        <w:fldChar w:fldCharType="end"/>
      </w:r>
      <w:r w:rsidRPr="00C847FC">
        <w:rPr>
          <w:rFonts w:ascii="Arial Narrow" w:eastAsia="Calibri" w:hAnsi="Arial Narrow"/>
          <w:b/>
          <w:bCs/>
          <w:sz w:val="22"/>
          <w:szCs w:val="22"/>
          <w:lang w:eastAsia="en-US"/>
        </w:rPr>
        <w:t xml:space="preserve"> Metas estratégicas de </w:t>
      </w:r>
      <w:r>
        <w:rPr>
          <w:rFonts w:ascii="Arial Narrow" w:eastAsia="Calibri" w:hAnsi="Arial Narrow"/>
          <w:b/>
          <w:bCs/>
          <w:sz w:val="22"/>
          <w:szCs w:val="22"/>
          <w:lang w:eastAsia="en-US"/>
        </w:rPr>
        <w:t>Celeridad Judicial</w:t>
      </w:r>
      <w:r w:rsidRPr="00C847FC">
        <w:rPr>
          <w:rFonts w:ascii="Arial Narrow" w:eastAsia="Calibri" w:hAnsi="Arial Narrow"/>
          <w:b/>
          <w:bCs/>
          <w:sz w:val="22"/>
          <w:szCs w:val="22"/>
          <w:lang w:eastAsia="en-US"/>
        </w:rPr>
        <w:t xml:space="preserve"> y su cumplimiento para el 20</w:t>
      </w:r>
      <w:r>
        <w:rPr>
          <w:rFonts w:ascii="Arial Narrow" w:eastAsia="Calibri" w:hAnsi="Arial Narrow"/>
          <w:b/>
          <w:bCs/>
          <w:sz w:val="22"/>
          <w:szCs w:val="22"/>
          <w:lang w:eastAsia="en-US"/>
        </w:rPr>
        <w:t>21</w:t>
      </w:r>
    </w:p>
    <w:p w14:paraId="5B4C49F5" w14:textId="77777777" w:rsidR="00A146A8" w:rsidRDefault="00A146A8" w:rsidP="00271D70">
      <w:pPr>
        <w:jc w:val="center"/>
        <w:rPr>
          <w:rFonts w:ascii="Arial Narrow" w:eastAsia="Calibri" w:hAnsi="Arial Narrow"/>
          <w:b/>
          <w:bCs/>
          <w:sz w:val="22"/>
          <w:szCs w:val="22"/>
          <w:lang w:eastAsia="en-US"/>
        </w:rPr>
      </w:pPr>
    </w:p>
    <w:p w14:paraId="3849482C" w14:textId="77777777" w:rsidR="00696737" w:rsidRDefault="00696737" w:rsidP="00696737">
      <w:pPr>
        <w:spacing w:line="276" w:lineRule="auto"/>
        <w:jc w:val="both"/>
        <w:rPr>
          <w:rFonts w:ascii="Arial Narrow" w:hAnsi="Arial Narrow"/>
        </w:rPr>
      </w:pPr>
      <w:r>
        <w:rPr>
          <w:noProof/>
        </w:rPr>
        <w:drawing>
          <wp:inline distT="0" distB="0" distL="0" distR="0" wp14:anchorId="46CCCA01" wp14:editId="396E5F48">
            <wp:extent cx="5612130" cy="2617470"/>
            <wp:effectExtent l="19050" t="19050" r="26670" b="11430"/>
            <wp:docPr id="26" name="Imagen 26" descr="Tabla, 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descr="Tabla, Escala de tiempo&#10;&#10;Descripción generada automáticamente"/>
                    <pic:cNvPicPr/>
                  </pic:nvPicPr>
                  <pic:blipFill>
                    <a:blip r:embed="rId66"/>
                    <a:stretch>
                      <a:fillRect/>
                    </a:stretch>
                  </pic:blipFill>
                  <pic:spPr>
                    <a:xfrm>
                      <a:off x="0" y="0"/>
                      <a:ext cx="5612130" cy="2617470"/>
                    </a:xfrm>
                    <a:prstGeom prst="rect">
                      <a:avLst/>
                    </a:prstGeom>
                    <a:ln w="12700">
                      <a:solidFill>
                        <a:schemeClr val="tx1"/>
                      </a:solidFill>
                    </a:ln>
                  </pic:spPr>
                </pic:pic>
              </a:graphicData>
            </a:graphic>
          </wp:inline>
        </w:drawing>
      </w:r>
    </w:p>
    <w:p w14:paraId="6E628CDC" w14:textId="77777777" w:rsidR="00696737" w:rsidRDefault="00696737" w:rsidP="00B54439">
      <w:pPr>
        <w:spacing w:line="276" w:lineRule="auto"/>
        <w:jc w:val="center"/>
        <w:rPr>
          <w:rFonts w:ascii="Arial Narrow" w:hAnsi="Arial Narrow"/>
        </w:rPr>
      </w:pPr>
      <w:r w:rsidRPr="00996542">
        <w:rPr>
          <w:rFonts w:ascii="Arial Narrow" w:hAnsi="Arial Narrow"/>
          <w:sz w:val="18"/>
          <w:szCs w:val="18"/>
        </w:rPr>
        <w:t>Fuente: Sistema PEI al 19 de enero del 2022 para el año 2021.</w:t>
      </w:r>
    </w:p>
    <w:p w14:paraId="55C2BBB2" w14:textId="77777777" w:rsidR="00696737" w:rsidRDefault="00696737" w:rsidP="00696737">
      <w:pPr>
        <w:spacing w:line="276" w:lineRule="auto"/>
        <w:jc w:val="both"/>
        <w:rPr>
          <w:rFonts w:ascii="Arial Narrow" w:hAnsi="Arial Narrow"/>
        </w:rPr>
      </w:pPr>
    </w:p>
    <w:p w14:paraId="2AA78B89" w14:textId="02285EBD" w:rsidR="00696737" w:rsidRDefault="00696737" w:rsidP="005940C6">
      <w:pPr>
        <w:jc w:val="both"/>
        <w:rPr>
          <w:rFonts w:ascii="Arial Narrow" w:hAnsi="Arial Narrow"/>
        </w:rPr>
      </w:pPr>
      <w:r>
        <w:rPr>
          <w:rFonts w:ascii="Arial Narrow" w:hAnsi="Arial Narrow"/>
        </w:rPr>
        <w:t>Con respecto a la meta de c</w:t>
      </w:r>
      <w:r w:rsidRPr="003A6C9B">
        <w:rPr>
          <w:rFonts w:ascii="Arial Narrow" w:hAnsi="Arial Narrow"/>
        </w:rPr>
        <w:t xml:space="preserve">antidad de casos terminados en materia </w:t>
      </w:r>
      <w:r>
        <w:rPr>
          <w:rFonts w:ascii="Arial Narrow" w:hAnsi="Arial Narrow"/>
        </w:rPr>
        <w:t>Contenciosa</w:t>
      </w:r>
      <w:r w:rsidRPr="003A6C9B">
        <w:rPr>
          <w:rFonts w:ascii="Arial Narrow" w:hAnsi="Arial Narrow"/>
        </w:rPr>
        <w:t xml:space="preserve"> por año, en primera instancia</w:t>
      </w:r>
      <w:r>
        <w:rPr>
          <w:rFonts w:ascii="Arial Narrow" w:hAnsi="Arial Narrow"/>
        </w:rPr>
        <w:t xml:space="preserve"> se tiene un cumplimiento </w:t>
      </w:r>
      <w:r w:rsidR="009F46FE">
        <w:rPr>
          <w:rFonts w:ascii="Arial Narrow" w:hAnsi="Arial Narrow"/>
        </w:rPr>
        <w:t>medio</w:t>
      </w:r>
      <w:r>
        <w:rPr>
          <w:rFonts w:ascii="Arial Narrow" w:hAnsi="Arial Narrow"/>
        </w:rPr>
        <w:t xml:space="preserve"> de la meta, esto debido a que se ha presentado una disminución de casos terminados pasando de 17 mil asuntos en 2019, a 12 mil asuntos en 2021. Al revisar la cantidad de casos ingresados, se obtiene que para el 2019 los expedientes ingresados fueron de 14.336 y para el 2021 la cantidad registrada fue de 15.730, por lo que no se ha presentado un decrecimiento en el ingreso de asuntos, que pudiera afectar la salida y de igual manera, el circulante se ha mantenido con un leve incremento, </w:t>
      </w:r>
      <w:r w:rsidRPr="00322D9B">
        <w:rPr>
          <w:rFonts w:ascii="Arial Narrow" w:hAnsi="Arial Narrow"/>
          <w:b/>
          <w:bCs/>
        </w:rPr>
        <w:t>resulta necesario implementar las iniciativas para mantener la mejora continua en esta materia e incrementar la cantidad de casos terminados</w:t>
      </w:r>
      <w:r>
        <w:rPr>
          <w:rFonts w:ascii="Arial Narrow" w:hAnsi="Arial Narrow"/>
        </w:rPr>
        <w:t>.</w:t>
      </w:r>
    </w:p>
    <w:p w14:paraId="419601EA" w14:textId="77777777" w:rsidR="005940C6" w:rsidRDefault="005940C6" w:rsidP="005940C6">
      <w:pPr>
        <w:jc w:val="both"/>
        <w:rPr>
          <w:rFonts w:ascii="Arial Narrow" w:hAnsi="Arial Narrow"/>
        </w:rPr>
      </w:pPr>
    </w:p>
    <w:p w14:paraId="78A0C183" w14:textId="2535F5F0" w:rsidR="00696737" w:rsidRDefault="00696737" w:rsidP="005940C6">
      <w:pPr>
        <w:jc w:val="both"/>
        <w:rPr>
          <w:rFonts w:ascii="Arial Narrow" w:hAnsi="Arial Narrow"/>
        </w:rPr>
      </w:pPr>
      <w:r>
        <w:rPr>
          <w:rFonts w:ascii="Arial Narrow" w:hAnsi="Arial Narrow"/>
        </w:rPr>
        <w:t>Con respecto a la meta de c</w:t>
      </w:r>
      <w:r w:rsidRPr="003A6C9B">
        <w:rPr>
          <w:rFonts w:ascii="Arial Narrow" w:hAnsi="Arial Narrow"/>
        </w:rPr>
        <w:t xml:space="preserve">antidad de casos terminados en materia </w:t>
      </w:r>
      <w:r>
        <w:rPr>
          <w:rFonts w:ascii="Arial Narrow" w:hAnsi="Arial Narrow"/>
        </w:rPr>
        <w:t>Pensiones Alimentarias</w:t>
      </w:r>
      <w:r w:rsidRPr="003A6C9B">
        <w:rPr>
          <w:rFonts w:ascii="Arial Narrow" w:hAnsi="Arial Narrow"/>
        </w:rPr>
        <w:t xml:space="preserve"> por año, </w:t>
      </w:r>
      <w:r>
        <w:rPr>
          <w:rFonts w:ascii="Arial Narrow" w:hAnsi="Arial Narrow"/>
        </w:rPr>
        <w:t>para la</w:t>
      </w:r>
      <w:r w:rsidRPr="003A6C9B">
        <w:rPr>
          <w:rFonts w:ascii="Arial Narrow" w:hAnsi="Arial Narrow"/>
        </w:rPr>
        <w:t xml:space="preserve"> primera instancia</w:t>
      </w:r>
      <w:r>
        <w:rPr>
          <w:rFonts w:ascii="Arial Narrow" w:hAnsi="Arial Narrow"/>
        </w:rPr>
        <w:t xml:space="preserve"> se tiene un cumplimiento parcial para el 2021, debido a que no logro alcanzar la meta establecida.  En años como el 2019 y 2020 el cumplimiento fue más alto, y para el 2021 se presentó una disminución en la cantidad de casos terminados. Al analizar el ingreso a esas oficinas, para el 2019 se </w:t>
      </w:r>
      <w:r w:rsidR="005940C6">
        <w:rPr>
          <w:rFonts w:ascii="Arial Narrow" w:hAnsi="Arial Narrow"/>
        </w:rPr>
        <w:t>tenía</w:t>
      </w:r>
      <w:r>
        <w:rPr>
          <w:rFonts w:ascii="Arial Narrow" w:hAnsi="Arial Narrow"/>
        </w:rPr>
        <w:t xml:space="preserve"> un ingreso de 42.290 asuntos y para el 2021, se registra en una entrada de 34.210 expedientes. Ahora bien, el circulante se ha mantenido estable en 191 mil asuntos, por lo que resulta necesario </w:t>
      </w:r>
      <w:r w:rsidRPr="002D0E70">
        <w:rPr>
          <w:rFonts w:ascii="Arial Narrow" w:hAnsi="Arial Narrow"/>
        </w:rPr>
        <w:t>continuar con las iniciativas para mantener la mejora continua en esta materia.</w:t>
      </w:r>
    </w:p>
    <w:p w14:paraId="2228CBA9" w14:textId="1219D336" w:rsidR="00A146A8" w:rsidRDefault="00A146A8" w:rsidP="005940C6">
      <w:pPr>
        <w:jc w:val="both"/>
        <w:rPr>
          <w:rFonts w:ascii="Arial Narrow" w:hAnsi="Arial Narrow"/>
        </w:rPr>
      </w:pPr>
    </w:p>
    <w:p w14:paraId="03C876AB" w14:textId="3C7D2C81" w:rsidR="00A146A8" w:rsidRDefault="00A146A8" w:rsidP="005940C6">
      <w:pPr>
        <w:jc w:val="both"/>
        <w:rPr>
          <w:rFonts w:ascii="Arial Narrow" w:hAnsi="Arial Narrow"/>
        </w:rPr>
      </w:pPr>
    </w:p>
    <w:p w14:paraId="2921150D" w14:textId="0A22F921" w:rsidR="00A146A8" w:rsidRDefault="00A146A8" w:rsidP="005940C6">
      <w:pPr>
        <w:jc w:val="both"/>
        <w:rPr>
          <w:rFonts w:ascii="Arial Narrow" w:hAnsi="Arial Narrow"/>
        </w:rPr>
      </w:pPr>
    </w:p>
    <w:p w14:paraId="7ABC0A80" w14:textId="1AEBD474" w:rsidR="0088514B" w:rsidRDefault="0088514B" w:rsidP="005940C6">
      <w:pPr>
        <w:jc w:val="both"/>
        <w:rPr>
          <w:rFonts w:ascii="Arial Narrow" w:hAnsi="Arial Narrow"/>
        </w:rPr>
      </w:pPr>
    </w:p>
    <w:p w14:paraId="644214AB" w14:textId="561FDC9B" w:rsidR="0088514B" w:rsidRDefault="0088514B" w:rsidP="005940C6">
      <w:pPr>
        <w:jc w:val="both"/>
        <w:rPr>
          <w:rFonts w:ascii="Arial Narrow" w:hAnsi="Arial Narrow"/>
        </w:rPr>
      </w:pPr>
    </w:p>
    <w:p w14:paraId="1F5F0326" w14:textId="77777777" w:rsidR="0088514B" w:rsidRDefault="0088514B" w:rsidP="005940C6">
      <w:pPr>
        <w:jc w:val="both"/>
        <w:rPr>
          <w:rFonts w:ascii="Arial Narrow" w:hAnsi="Arial Narrow"/>
        </w:rPr>
      </w:pPr>
    </w:p>
    <w:p w14:paraId="00346DCE" w14:textId="77777777" w:rsidR="00A146A8" w:rsidRDefault="00A146A8" w:rsidP="005940C6">
      <w:pPr>
        <w:jc w:val="both"/>
        <w:rPr>
          <w:rFonts w:ascii="Arial Narrow" w:hAnsi="Arial Narrow"/>
        </w:rPr>
      </w:pPr>
    </w:p>
    <w:p w14:paraId="0F70A842" w14:textId="77777777" w:rsidR="008D7433" w:rsidRDefault="008D7433" w:rsidP="0033193A">
      <w:pPr>
        <w:spacing w:line="276" w:lineRule="auto"/>
        <w:jc w:val="center"/>
        <w:rPr>
          <w:rFonts w:ascii="Arial Narrow" w:hAnsi="Arial Narrow"/>
          <w:b/>
          <w:bCs/>
          <w:sz w:val="22"/>
          <w:szCs w:val="22"/>
        </w:rPr>
      </w:pPr>
    </w:p>
    <w:p w14:paraId="4F810F54" w14:textId="504558E8" w:rsidR="00A146A8" w:rsidRDefault="00271D70" w:rsidP="0033193A">
      <w:pPr>
        <w:spacing w:line="276" w:lineRule="auto"/>
        <w:jc w:val="center"/>
        <w:rPr>
          <w:rFonts w:ascii="Arial Narrow" w:eastAsia="Calibri" w:hAnsi="Arial Narrow"/>
          <w:b/>
          <w:bCs/>
          <w:sz w:val="22"/>
          <w:szCs w:val="22"/>
          <w:lang w:eastAsia="en-US"/>
        </w:rPr>
      </w:pPr>
      <w:r w:rsidRPr="00C847FC">
        <w:rPr>
          <w:rFonts w:ascii="Arial Narrow" w:hAnsi="Arial Narrow"/>
          <w:b/>
          <w:bCs/>
          <w:sz w:val="22"/>
          <w:szCs w:val="22"/>
        </w:rPr>
        <w:t xml:space="preserve">Cuadro  </w:t>
      </w:r>
      <w:r w:rsidRPr="00C847FC">
        <w:rPr>
          <w:rFonts w:ascii="Arial Narrow" w:hAnsi="Arial Narrow"/>
          <w:b/>
          <w:bCs/>
          <w:sz w:val="22"/>
          <w:szCs w:val="22"/>
        </w:rPr>
        <w:fldChar w:fldCharType="begin"/>
      </w:r>
      <w:r w:rsidRPr="00C847FC">
        <w:rPr>
          <w:rFonts w:ascii="Arial Narrow" w:hAnsi="Arial Narrow"/>
          <w:b/>
          <w:bCs/>
          <w:sz w:val="22"/>
          <w:szCs w:val="22"/>
        </w:rPr>
        <w:instrText xml:space="preserve"> SEQ Cuadro_No. \* ARABIC </w:instrText>
      </w:r>
      <w:r w:rsidRPr="00C847FC">
        <w:rPr>
          <w:rFonts w:ascii="Arial Narrow" w:hAnsi="Arial Narrow"/>
          <w:b/>
          <w:bCs/>
          <w:sz w:val="22"/>
          <w:szCs w:val="22"/>
        </w:rPr>
        <w:fldChar w:fldCharType="separate"/>
      </w:r>
      <w:r w:rsidR="002F520A">
        <w:rPr>
          <w:rFonts w:ascii="Arial Narrow" w:hAnsi="Arial Narrow"/>
          <w:b/>
          <w:bCs/>
          <w:noProof/>
          <w:sz w:val="22"/>
          <w:szCs w:val="22"/>
        </w:rPr>
        <w:t>14</w:t>
      </w:r>
      <w:r w:rsidRPr="00C847FC">
        <w:rPr>
          <w:rFonts w:ascii="Arial Narrow" w:hAnsi="Arial Narrow"/>
          <w:b/>
          <w:bCs/>
          <w:sz w:val="22"/>
          <w:szCs w:val="22"/>
        </w:rPr>
        <w:fldChar w:fldCharType="end"/>
      </w:r>
      <w:r w:rsidRPr="00C847FC">
        <w:rPr>
          <w:rFonts w:ascii="Arial Narrow" w:eastAsia="Calibri" w:hAnsi="Arial Narrow"/>
          <w:b/>
          <w:bCs/>
          <w:sz w:val="22"/>
          <w:szCs w:val="22"/>
          <w:lang w:eastAsia="en-US"/>
        </w:rPr>
        <w:t xml:space="preserve"> Metas estratégicas de </w:t>
      </w:r>
      <w:r>
        <w:rPr>
          <w:rFonts w:ascii="Arial Narrow" w:eastAsia="Calibri" w:hAnsi="Arial Narrow"/>
          <w:b/>
          <w:bCs/>
          <w:sz w:val="22"/>
          <w:szCs w:val="22"/>
          <w:lang w:eastAsia="en-US"/>
        </w:rPr>
        <w:t>Celeridad Judicial</w:t>
      </w:r>
      <w:r w:rsidRPr="00C847FC">
        <w:rPr>
          <w:rFonts w:ascii="Arial Narrow" w:eastAsia="Calibri" w:hAnsi="Arial Narrow"/>
          <w:b/>
          <w:bCs/>
          <w:sz w:val="22"/>
          <w:szCs w:val="22"/>
          <w:lang w:eastAsia="en-US"/>
        </w:rPr>
        <w:t xml:space="preserve"> y su cumplimiento para el 20</w:t>
      </w:r>
      <w:r>
        <w:rPr>
          <w:rFonts w:ascii="Arial Narrow" w:eastAsia="Calibri" w:hAnsi="Arial Narrow"/>
          <w:b/>
          <w:bCs/>
          <w:sz w:val="22"/>
          <w:szCs w:val="22"/>
          <w:lang w:eastAsia="en-US"/>
        </w:rPr>
        <w:t>21</w:t>
      </w:r>
    </w:p>
    <w:p w14:paraId="21837604" w14:textId="77777777" w:rsidR="00A146A8" w:rsidRDefault="00A146A8" w:rsidP="0033193A">
      <w:pPr>
        <w:spacing w:line="276" w:lineRule="auto"/>
        <w:jc w:val="center"/>
        <w:rPr>
          <w:rFonts w:ascii="Arial Narrow" w:eastAsia="Calibri" w:hAnsi="Arial Narrow"/>
          <w:b/>
          <w:bCs/>
          <w:sz w:val="22"/>
          <w:szCs w:val="22"/>
          <w:lang w:eastAsia="en-US"/>
        </w:rPr>
      </w:pPr>
    </w:p>
    <w:p w14:paraId="78AC5A5E" w14:textId="18BE16E5" w:rsidR="00696737" w:rsidRDefault="00696737" w:rsidP="0033193A">
      <w:pPr>
        <w:spacing w:line="276" w:lineRule="auto"/>
        <w:jc w:val="center"/>
        <w:rPr>
          <w:rFonts w:ascii="Arial Narrow" w:hAnsi="Arial Narrow"/>
        </w:rPr>
      </w:pPr>
      <w:r>
        <w:rPr>
          <w:noProof/>
        </w:rPr>
        <w:drawing>
          <wp:inline distT="0" distB="0" distL="0" distR="0" wp14:anchorId="5A4A1B9B" wp14:editId="6811E9F7">
            <wp:extent cx="5612130" cy="2581910"/>
            <wp:effectExtent l="19050" t="19050" r="26670" b="27940"/>
            <wp:docPr id="30" name="Imagen 3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descr="Tabla&#10;&#10;Descripción generada automáticamente"/>
                    <pic:cNvPicPr/>
                  </pic:nvPicPr>
                  <pic:blipFill>
                    <a:blip r:embed="rId67"/>
                    <a:stretch>
                      <a:fillRect/>
                    </a:stretch>
                  </pic:blipFill>
                  <pic:spPr>
                    <a:xfrm>
                      <a:off x="0" y="0"/>
                      <a:ext cx="5612130" cy="2581910"/>
                    </a:xfrm>
                    <a:prstGeom prst="rect">
                      <a:avLst/>
                    </a:prstGeom>
                    <a:ln w="12700">
                      <a:solidFill>
                        <a:schemeClr val="tx1"/>
                      </a:solidFill>
                    </a:ln>
                  </pic:spPr>
                </pic:pic>
              </a:graphicData>
            </a:graphic>
          </wp:inline>
        </w:drawing>
      </w:r>
    </w:p>
    <w:p w14:paraId="0713B9D2" w14:textId="09199EC2" w:rsidR="00696737" w:rsidRDefault="00696737" w:rsidP="00B54439">
      <w:pPr>
        <w:spacing w:line="276" w:lineRule="auto"/>
        <w:jc w:val="center"/>
        <w:rPr>
          <w:rFonts w:ascii="Arial Narrow" w:hAnsi="Arial Narrow"/>
          <w:sz w:val="18"/>
          <w:szCs w:val="18"/>
        </w:rPr>
      </w:pPr>
      <w:r w:rsidRPr="00996542">
        <w:rPr>
          <w:rFonts w:ascii="Arial Narrow" w:hAnsi="Arial Narrow"/>
          <w:sz w:val="18"/>
          <w:szCs w:val="18"/>
        </w:rPr>
        <w:t>Fuente: Sistema PEI al 19 de enero del 2022 para el año 2021.</w:t>
      </w:r>
    </w:p>
    <w:p w14:paraId="36EC34DF" w14:textId="77777777" w:rsidR="0033193A" w:rsidRDefault="0033193A" w:rsidP="00696737">
      <w:pPr>
        <w:spacing w:line="276" w:lineRule="auto"/>
        <w:jc w:val="both"/>
        <w:rPr>
          <w:rFonts w:ascii="Arial Narrow" w:hAnsi="Arial Narrow"/>
        </w:rPr>
      </w:pPr>
    </w:p>
    <w:p w14:paraId="1ACC4F89" w14:textId="18C1A858" w:rsidR="00696737" w:rsidRPr="00322D9B" w:rsidRDefault="00696737" w:rsidP="005940C6">
      <w:pPr>
        <w:jc w:val="both"/>
        <w:rPr>
          <w:rFonts w:ascii="Arial Narrow" w:hAnsi="Arial Narrow"/>
          <w:b/>
          <w:bCs/>
        </w:rPr>
      </w:pPr>
      <w:r>
        <w:rPr>
          <w:rFonts w:ascii="Arial Narrow" w:hAnsi="Arial Narrow"/>
        </w:rPr>
        <w:t>Con respecto a la meta de c</w:t>
      </w:r>
      <w:r w:rsidRPr="003A6C9B">
        <w:rPr>
          <w:rFonts w:ascii="Arial Narrow" w:hAnsi="Arial Narrow"/>
        </w:rPr>
        <w:t xml:space="preserve">antidad de casos terminados en materia </w:t>
      </w:r>
      <w:r>
        <w:rPr>
          <w:rFonts w:ascii="Arial Narrow" w:hAnsi="Arial Narrow"/>
        </w:rPr>
        <w:t>Laboral</w:t>
      </w:r>
      <w:r w:rsidRPr="003A6C9B">
        <w:rPr>
          <w:rFonts w:ascii="Arial Narrow" w:hAnsi="Arial Narrow"/>
        </w:rPr>
        <w:t xml:space="preserve"> por año, en primera instancia</w:t>
      </w:r>
      <w:r>
        <w:rPr>
          <w:rFonts w:ascii="Arial Narrow" w:hAnsi="Arial Narrow"/>
        </w:rPr>
        <w:t xml:space="preserve"> se tiene un cumplimiento</w:t>
      </w:r>
      <w:r w:rsidR="009F46FE">
        <w:rPr>
          <w:rFonts w:ascii="Arial Narrow" w:hAnsi="Arial Narrow"/>
        </w:rPr>
        <w:t xml:space="preserve"> medio</w:t>
      </w:r>
      <w:r>
        <w:rPr>
          <w:rFonts w:ascii="Arial Narrow" w:hAnsi="Arial Narrow"/>
        </w:rPr>
        <w:t xml:space="preserve">, por debajo de la meta proyectada, esto debido a que la línea base fue con los datos del 2017, y a partir del </w:t>
      </w:r>
      <w:r w:rsidRPr="00980EAE">
        <w:rPr>
          <w:rFonts w:ascii="Arial Narrow" w:hAnsi="Arial Narrow"/>
        </w:rPr>
        <w:t xml:space="preserve">25 de julio de 2017 entra en vigor la reforma laboral que impactó los datos estadísticos.  </w:t>
      </w:r>
      <w:r w:rsidRPr="00322D9B">
        <w:rPr>
          <w:rFonts w:ascii="Arial Narrow" w:hAnsi="Arial Narrow"/>
          <w:b/>
          <w:bCs/>
        </w:rPr>
        <w:t>Este panorama ya fue contemplado en el oficio 1281-PLA-PE-2021 el cual propone una modificación respecto a los valores esperados de casos terminados</w:t>
      </w:r>
      <w:r w:rsidR="00DD735C" w:rsidRPr="00322D9B">
        <w:rPr>
          <w:rFonts w:ascii="Arial Narrow" w:hAnsi="Arial Narrow"/>
          <w:b/>
          <w:bCs/>
        </w:rPr>
        <w:t>, da</w:t>
      </w:r>
      <w:r w:rsidR="002F5A78" w:rsidRPr="00322D9B">
        <w:rPr>
          <w:rFonts w:ascii="Arial Narrow" w:hAnsi="Arial Narrow"/>
          <w:b/>
          <w:bCs/>
        </w:rPr>
        <w:t>d</w:t>
      </w:r>
      <w:r w:rsidR="00DD735C" w:rsidRPr="00322D9B">
        <w:rPr>
          <w:rFonts w:ascii="Arial Narrow" w:hAnsi="Arial Narrow"/>
          <w:b/>
          <w:bCs/>
        </w:rPr>
        <w:t>o que</w:t>
      </w:r>
      <w:r w:rsidRPr="00322D9B">
        <w:rPr>
          <w:rFonts w:ascii="Arial Narrow" w:hAnsi="Arial Narrow"/>
          <w:b/>
          <w:bCs/>
        </w:rPr>
        <w:t xml:space="preserve"> el parámetro se encuentra más elevado de lo que las oficinas pueden finalizar.  El oficio 1281-PLA-PE-2021 está en proceso de ser conocido por Corte Plena.</w:t>
      </w:r>
    </w:p>
    <w:p w14:paraId="7EB84937" w14:textId="77777777" w:rsidR="005940C6" w:rsidRDefault="005940C6" w:rsidP="005940C6">
      <w:pPr>
        <w:jc w:val="both"/>
        <w:rPr>
          <w:rFonts w:ascii="Arial Narrow" w:hAnsi="Arial Narrow"/>
        </w:rPr>
      </w:pPr>
    </w:p>
    <w:p w14:paraId="2B13EE9F" w14:textId="0BE1EAE0" w:rsidR="00696737" w:rsidRDefault="00696737" w:rsidP="005940C6">
      <w:pPr>
        <w:jc w:val="both"/>
        <w:rPr>
          <w:rFonts w:ascii="Arial Narrow" w:hAnsi="Arial Narrow"/>
        </w:rPr>
      </w:pPr>
      <w:r>
        <w:rPr>
          <w:rFonts w:ascii="Arial Narrow" w:hAnsi="Arial Narrow"/>
        </w:rPr>
        <w:t>Con respecto a la meta de c</w:t>
      </w:r>
      <w:r w:rsidRPr="003A6C9B">
        <w:rPr>
          <w:rFonts w:ascii="Arial Narrow" w:hAnsi="Arial Narrow"/>
        </w:rPr>
        <w:t xml:space="preserve">antidad de casos terminados en materia </w:t>
      </w:r>
      <w:r>
        <w:rPr>
          <w:rFonts w:ascii="Arial Narrow" w:hAnsi="Arial Narrow"/>
        </w:rPr>
        <w:t>Penal</w:t>
      </w:r>
      <w:r w:rsidRPr="003A6C9B">
        <w:rPr>
          <w:rFonts w:ascii="Arial Narrow" w:hAnsi="Arial Narrow"/>
        </w:rPr>
        <w:t xml:space="preserve"> por año, </w:t>
      </w:r>
      <w:r>
        <w:rPr>
          <w:rFonts w:ascii="Arial Narrow" w:hAnsi="Arial Narrow"/>
        </w:rPr>
        <w:t xml:space="preserve">para los Juzgados Penales, se tiene un cumplimiento </w:t>
      </w:r>
      <w:r w:rsidR="00497FC4">
        <w:rPr>
          <w:rFonts w:ascii="Arial Narrow" w:hAnsi="Arial Narrow"/>
        </w:rPr>
        <w:t>medio</w:t>
      </w:r>
      <w:r>
        <w:rPr>
          <w:rFonts w:ascii="Arial Narrow" w:hAnsi="Arial Narrow"/>
        </w:rPr>
        <w:t xml:space="preserve"> para los tres años del PEI, debido a que las cantidades de casos terminados se encuentran un 80% por debajo de lo esperado en la meta formulada.</w:t>
      </w:r>
      <w:r w:rsidRPr="00980EAE">
        <w:rPr>
          <w:rFonts w:ascii="Arial Narrow" w:hAnsi="Arial Narrow"/>
        </w:rPr>
        <w:t xml:space="preserve"> Además, se destaca que, en el 2021, esta materia ha tenido apoyo extraordinario con personas juzgadoras, según el dato provisto por el </w:t>
      </w:r>
      <w:r>
        <w:rPr>
          <w:rFonts w:ascii="Arial Narrow" w:hAnsi="Arial Narrow"/>
        </w:rPr>
        <w:t xml:space="preserve">Centro de Apoyo, Coordinación y Mejoramiento de la Función Jurisdiccional. </w:t>
      </w:r>
    </w:p>
    <w:p w14:paraId="36B617EA" w14:textId="77777777" w:rsidR="00696737" w:rsidRDefault="00696737" w:rsidP="00696737">
      <w:pPr>
        <w:spacing w:line="276" w:lineRule="auto"/>
        <w:jc w:val="both"/>
        <w:rPr>
          <w:rFonts w:ascii="Arial Narrow" w:hAnsi="Arial Narrow"/>
        </w:rPr>
      </w:pPr>
    </w:p>
    <w:p w14:paraId="02C030CC" w14:textId="21A8EFC4" w:rsidR="00696737" w:rsidRDefault="00696737" w:rsidP="00696737">
      <w:pPr>
        <w:spacing w:line="276" w:lineRule="auto"/>
        <w:jc w:val="both"/>
        <w:rPr>
          <w:rFonts w:ascii="Arial Narrow" w:hAnsi="Arial Narrow"/>
        </w:rPr>
      </w:pPr>
    </w:p>
    <w:p w14:paraId="6902E574" w14:textId="1BF36E68" w:rsidR="00B56A16" w:rsidRDefault="00B56A16" w:rsidP="00696737">
      <w:pPr>
        <w:spacing w:line="276" w:lineRule="auto"/>
        <w:jc w:val="both"/>
        <w:rPr>
          <w:rFonts w:ascii="Arial Narrow" w:hAnsi="Arial Narrow"/>
        </w:rPr>
      </w:pPr>
    </w:p>
    <w:p w14:paraId="64DF3AFC" w14:textId="62E6C005" w:rsidR="00A146A8" w:rsidRDefault="00A146A8" w:rsidP="00696737">
      <w:pPr>
        <w:spacing w:line="276" w:lineRule="auto"/>
        <w:jc w:val="both"/>
        <w:rPr>
          <w:rFonts w:ascii="Arial Narrow" w:hAnsi="Arial Narrow"/>
        </w:rPr>
      </w:pPr>
    </w:p>
    <w:p w14:paraId="49615DED" w14:textId="375D2C55" w:rsidR="00A146A8" w:rsidRDefault="00A146A8" w:rsidP="00696737">
      <w:pPr>
        <w:spacing w:line="276" w:lineRule="auto"/>
        <w:jc w:val="both"/>
        <w:rPr>
          <w:rFonts w:ascii="Arial Narrow" w:hAnsi="Arial Narrow"/>
        </w:rPr>
      </w:pPr>
    </w:p>
    <w:p w14:paraId="0C7A8D8D" w14:textId="54951770" w:rsidR="00A146A8" w:rsidRDefault="00A146A8" w:rsidP="00696737">
      <w:pPr>
        <w:spacing w:line="276" w:lineRule="auto"/>
        <w:jc w:val="both"/>
        <w:rPr>
          <w:rFonts w:ascii="Arial Narrow" w:hAnsi="Arial Narrow"/>
        </w:rPr>
      </w:pPr>
    </w:p>
    <w:p w14:paraId="76B10CE2" w14:textId="77777777" w:rsidR="00A146A8" w:rsidRDefault="00A146A8" w:rsidP="00696737">
      <w:pPr>
        <w:spacing w:line="276" w:lineRule="auto"/>
        <w:jc w:val="both"/>
        <w:rPr>
          <w:rFonts w:ascii="Arial Narrow" w:hAnsi="Arial Narrow"/>
        </w:rPr>
      </w:pPr>
    </w:p>
    <w:p w14:paraId="221CABD9" w14:textId="77777777" w:rsidR="00696737" w:rsidRDefault="00696737" w:rsidP="00696737">
      <w:pPr>
        <w:spacing w:line="276" w:lineRule="auto"/>
        <w:jc w:val="both"/>
        <w:rPr>
          <w:rFonts w:ascii="Arial Narrow" w:hAnsi="Arial Narrow"/>
        </w:rPr>
      </w:pPr>
    </w:p>
    <w:p w14:paraId="6EC067C0" w14:textId="77777777" w:rsidR="008D7433" w:rsidRDefault="008D7433" w:rsidP="00B56A16">
      <w:pPr>
        <w:spacing w:line="276" w:lineRule="auto"/>
        <w:jc w:val="center"/>
        <w:rPr>
          <w:rFonts w:ascii="Arial Narrow" w:hAnsi="Arial Narrow"/>
          <w:b/>
          <w:bCs/>
          <w:sz w:val="22"/>
          <w:szCs w:val="22"/>
        </w:rPr>
      </w:pPr>
    </w:p>
    <w:p w14:paraId="0713CE41" w14:textId="77777777" w:rsidR="008D7433" w:rsidRDefault="008D7433" w:rsidP="00B56A16">
      <w:pPr>
        <w:spacing w:line="276" w:lineRule="auto"/>
        <w:jc w:val="center"/>
        <w:rPr>
          <w:rFonts w:ascii="Arial Narrow" w:hAnsi="Arial Narrow"/>
          <w:b/>
          <w:bCs/>
          <w:sz w:val="22"/>
          <w:szCs w:val="22"/>
        </w:rPr>
      </w:pPr>
    </w:p>
    <w:p w14:paraId="52016E5B" w14:textId="66593359" w:rsidR="00A146A8" w:rsidRDefault="00B56A16" w:rsidP="00B56A16">
      <w:pPr>
        <w:spacing w:line="276" w:lineRule="auto"/>
        <w:jc w:val="center"/>
        <w:rPr>
          <w:rFonts w:ascii="Arial Narrow" w:eastAsia="Calibri" w:hAnsi="Arial Narrow"/>
          <w:b/>
          <w:bCs/>
          <w:sz w:val="22"/>
          <w:szCs w:val="22"/>
          <w:lang w:eastAsia="en-US"/>
        </w:rPr>
      </w:pPr>
      <w:r w:rsidRPr="00C847FC">
        <w:rPr>
          <w:rFonts w:ascii="Arial Narrow" w:hAnsi="Arial Narrow"/>
          <w:b/>
          <w:bCs/>
          <w:sz w:val="22"/>
          <w:szCs w:val="22"/>
        </w:rPr>
        <w:t xml:space="preserve">Cuadro  </w:t>
      </w:r>
      <w:r w:rsidRPr="00C847FC">
        <w:rPr>
          <w:rFonts w:ascii="Arial Narrow" w:hAnsi="Arial Narrow"/>
          <w:b/>
          <w:bCs/>
          <w:sz w:val="22"/>
          <w:szCs w:val="22"/>
        </w:rPr>
        <w:fldChar w:fldCharType="begin"/>
      </w:r>
      <w:r w:rsidRPr="00C847FC">
        <w:rPr>
          <w:rFonts w:ascii="Arial Narrow" w:hAnsi="Arial Narrow"/>
          <w:b/>
          <w:bCs/>
          <w:sz w:val="22"/>
          <w:szCs w:val="22"/>
        </w:rPr>
        <w:instrText xml:space="preserve"> SEQ Cuadro_No. \* ARABIC </w:instrText>
      </w:r>
      <w:r w:rsidRPr="00C847FC">
        <w:rPr>
          <w:rFonts w:ascii="Arial Narrow" w:hAnsi="Arial Narrow"/>
          <w:b/>
          <w:bCs/>
          <w:sz w:val="22"/>
          <w:szCs w:val="22"/>
        </w:rPr>
        <w:fldChar w:fldCharType="separate"/>
      </w:r>
      <w:r w:rsidR="002F520A">
        <w:rPr>
          <w:rFonts w:ascii="Arial Narrow" w:hAnsi="Arial Narrow"/>
          <w:b/>
          <w:bCs/>
          <w:noProof/>
          <w:sz w:val="22"/>
          <w:szCs w:val="22"/>
        </w:rPr>
        <w:t>15</w:t>
      </w:r>
      <w:r w:rsidRPr="00C847FC">
        <w:rPr>
          <w:rFonts w:ascii="Arial Narrow" w:hAnsi="Arial Narrow"/>
          <w:b/>
          <w:bCs/>
          <w:sz w:val="22"/>
          <w:szCs w:val="22"/>
        </w:rPr>
        <w:fldChar w:fldCharType="end"/>
      </w:r>
      <w:r w:rsidRPr="00C847FC">
        <w:rPr>
          <w:rFonts w:ascii="Arial Narrow" w:eastAsia="Calibri" w:hAnsi="Arial Narrow"/>
          <w:b/>
          <w:bCs/>
          <w:sz w:val="22"/>
          <w:szCs w:val="22"/>
          <w:lang w:eastAsia="en-US"/>
        </w:rPr>
        <w:t xml:space="preserve"> Metas estratégicas de </w:t>
      </w:r>
      <w:r>
        <w:rPr>
          <w:rFonts w:ascii="Arial Narrow" w:eastAsia="Calibri" w:hAnsi="Arial Narrow"/>
          <w:b/>
          <w:bCs/>
          <w:sz w:val="22"/>
          <w:szCs w:val="22"/>
          <w:lang w:eastAsia="en-US"/>
        </w:rPr>
        <w:t>Celeridad Judicial</w:t>
      </w:r>
      <w:r w:rsidRPr="00C847FC">
        <w:rPr>
          <w:rFonts w:ascii="Arial Narrow" w:eastAsia="Calibri" w:hAnsi="Arial Narrow"/>
          <w:b/>
          <w:bCs/>
          <w:sz w:val="22"/>
          <w:szCs w:val="22"/>
          <w:lang w:eastAsia="en-US"/>
        </w:rPr>
        <w:t xml:space="preserve"> y su cumplimiento para el 20</w:t>
      </w:r>
      <w:r>
        <w:rPr>
          <w:rFonts w:ascii="Arial Narrow" w:eastAsia="Calibri" w:hAnsi="Arial Narrow"/>
          <w:b/>
          <w:bCs/>
          <w:sz w:val="22"/>
          <w:szCs w:val="22"/>
          <w:lang w:eastAsia="en-US"/>
        </w:rPr>
        <w:t>21</w:t>
      </w:r>
    </w:p>
    <w:p w14:paraId="4B141288" w14:textId="77777777" w:rsidR="00A146A8" w:rsidRDefault="00A146A8" w:rsidP="00B56A16">
      <w:pPr>
        <w:spacing w:line="276" w:lineRule="auto"/>
        <w:jc w:val="center"/>
        <w:rPr>
          <w:rFonts w:ascii="Arial Narrow" w:eastAsia="Calibri" w:hAnsi="Arial Narrow"/>
          <w:b/>
          <w:bCs/>
          <w:sz w:val="22"/>
          <w:szCs w:val="22"/>
          <w:lang w:eastAsia="en-US"/>
        </w:rPr>
      </w:pPr>
    </w:p>
    <w:p w14:paraId="77EDB577" w14:textId="4B533412" w:rsidR="00696737" w:rsidRDefault="00696737" w:rsidP="00B56A16">
      <w:pPr>
        <w:spacing w:line="276" w:lineRule="auto"/>
        <w:jc w:val="center"/>
        <w:rPr>
          <w:rFonts w:ascii="Arial Narrow" w:hAnsi="Arial Narrow"/>
        </w:rPr>
      </w:pPr>
      <w:r>
        <w:rPr>
          <w:noProof/>
        </w:rPr>
        <w:drawing>
          <wp:inline distT="0" distB="0" distL="0" distR="0" wp14:anchorId="12498EB6" wp14:editId="2AF497C3">
            <wp:extent cx="5612130" cy="2574290"/>
            <wp:effectExtent l="19050" t="19050" r="26670" b="16510"/>
            <wp:docPr id="40" name="Imagen 4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descr="Tabla&#10;&#10;Descripción generada automáticamente"/>
                    <pic:cNvPicPr/>
                  </pic:nvPicPr>
                  <pic:blipFill>
                    <a:blip r:embed="rId68"/>
                    <a:stretch>
                      <a:fillRect/>
                    </a:stretch>
                  </pic:blipFill>
                  <pic:spPr>
                    <a:xfrm>
                      <a:off x="0" y="0"/>
                      <a:ext cx="5612130" cy="2574290"/>
                    </a:xfrm>
                    <a:prstGeom prst="rect">
                      <a:avLst/>
                    </a:prstGeom>
                    <a:ln w="12700">
                      <a:solidFill>
                        <a:schemeClr val="tx1"/>
                      </a:solidFill>
                    </a:ln>
                  </pic:spPr>
                </pic:pic>
              </a:graphicData>
            </a:graphic>
          </wp:inline>
        </w:drawing>
      </w:r>
    </w:p>
    <w:p w14:paraId="7557869F" w14:textId="77777777" w:rsidR="00696737" w:rsidRDefault="00696737" w:rsidP="00B54439">
      <w:pPr>
        <w:spacing w:line="276" w:lineRule="auto"/>
        <w:jc w:val="center"/>
        <w:rPr>
          <w:rFonts w:ascii="Arial Narrow" w:hAnsi="Arial Narrow"/>
        </w:rPr>
      </w:pPr>
      <w:r w:rsidRPr="00996542">
        <w:rPr>
          <w:rFonts w:ascii="Arial Narrow" w:hAnsi="Arial Narrow"/>
          <w:sz w:val="18"/>
          <w:szCs w:val="18"/>
        </w:rPr>
        <w:t>Fuente: Sistema PEI al 19 de enero del 2022 para el año 2021.</w:t>
      </w:r>
    </w:p>
    <w:p w14:paraId="39D46D49" w14:textId="77777777" w:rsidR="00696737" w:rsidRDefault="00696737" w:rsidP="00696737">
      <w:pPr>
        <w:spacing w:line="276" w:lineRule="auto"/>
        <w:jc w:val="both"/>
        <w:rPr>
          <w:rFonts w:ascii="Arial Narrow" w:hAnsi="Arial Narrow"/>
        </w:rPr>
      </w:pPr>
    </w:p>
    <w:p w14:paraId="2571562C" w14:textId="70C510B7" w:rsidR="00696737" w:rsidRDefault="00696737" w:rsidP="005940C6">
      <w:pPr>
        <w:jc w:val="both"/>
        <w:rPr>
          <w:rFonts w:ascii="Arial Narrow" w:hAnsi="Arial Narrow"/>
        </w:rPr>
      </w:pPr>
      <w:r>
        <w:rPr>
          <w:rFonts w:ascii="Arial Narrow" w:hAnsi="Arial Narrow"/>
        </w:rPr>
        <w:t>Con respecto a los casos terminados d</w:t>
      </w:r>
      <w:r w:rsidRPr="005B1300">
        <w:rPr>
          <w:rFonts w:ascii="Arial Narrow" w:hAnsi="Arial Narrow"/>
        </w:rPr>
        <w:t xml:space="preserve">e la materia civil </w:t>
      </w:r>
      <w:r>
        <w:rPr>
          <w:rFonts w:ascii="Arial Narrow" w:hAnsi="Arial Narrow"/>
        </w:rPr>
        <w:t xml:space="preserve">en primera instancia, se estableció la línea base </w:t>
      </w:r>
      <w:r w:rsidRPr="005B1300">
        <w:rPr>
          <w:rFonts w:ascii="Arial Narrow" w:hAnsi="Arial Narrow"/>
        </w:rPr>
        <w:t xml:space="preserve">en el 2017, </w:t>
      </w:r>
      <w:r>
        <w:rPr>
          <w:rFonts w:ascii="Arial Narrow" w:hAnsi="Arial Narrow"/>
        </w:rPr>
        <w:t>sin embargo,</w:t>
      </w:r>
      <w:r w:rsidRPr="005B1300">
        <w:rPr>
          <w:rFonts w:ascii="Arial Narrow" w:hAnsi="Arial Narrow"/>
        </w:rPr>
        <w:t xml:space="preserve"> la reforma civil entró en vigencia a partir de octubre de 2018. </w:t>
      </w:r>
      <w:r>
        <w:rPr>
          <w:rFonts w:ascii="Arial Narrow" w:hAnsi="Arial Narrow"/>
        </w:rPr>
        <w:t>Esto trajo una necesidad de ajustar lo</w:t>
      </w:r>
      <w:r w:rsidR="005940C6">
        <w:rPr>
          <w:rFonts w:ascii="Arial Narrow" w:hAnsi="Arial Narrow"/>
        </w:rPr>
        <w:t>s</w:t>
      </w:r>
      <w:r>
        <w:rPr>
          <w:rFonts w:ascii="Arial Narrow" w:hAnsi="Arial Narrow"/>
        </w:rPr>
        <w:t xml:space="preserve"> valores para adecuarlos a las diversas realidades de los despachos, dado que presentan una menor de cantidad de casos terminados de lo que fue planificada. </w:t>
      </w:r>
      <w:r w:rsidRPr="00322D9B">
        <w:rPr>
          <w:rFonts w:ascii="Arial Narrow" w:hAnsi="Arial Narrow"/>
          <w:b/>
          <w:bCs/>
        </w:rPr>
        <w:t>Esta situación ya fue contemplada en el oficio 1281-PLA-PE-2021 el cual propone una modificación respecto a los valores esperados de casos terminados porque el parámetro se encuentra más elevado de lo que las oficinas pueden finalizar.  El oficio 1281-PLA-PE-2021 está en proceso de ser conocido por Corte Plena.</w:t>
      </w:r>
    </w:p>
    <w:p w14:paraId="531F1EDC" w14:textId="77777777" w:rsidR="005940C6" w:rsidRDefault="005940C6" w:rsidP="005940C6">
      <w:pPr>
        <w:jc w:val="both"/>
        <w:rPr>
          <w:rFonts w:ascii="Arial Narrow" w:hAnsi="Arial Narrow"/>
        </w:rPr>
      </w:pPr>
    </w:p>
    <w:p w14:paraId="0803A8DC" w14:textId="77777777" w:rsidR="00696737" w:rsidRDefault="00696737" w:rsidP="005940C6">
      <w:pPr>
        <w:jc w:val="both"/>
        <w:rPr>
          <w:rFonts w:ascii="Arial Narrow" w:hAnsi="Arial Narrow"/>
        </w:rPr>
      </w:pPr>
      <w:r>
        <w:rPr>
          <w:rFonts w:ascii="Arial Narrow" w:hAnsi="Arial Narrow"/>
        </w:rPr>
        <w:t>Por su parte, los casos terminados d</w:t>
      </w:r>
      <w:r w:rsidRPr="005B1300">
        <w:rPr>
          <w:rFonts w:ascii="Arial Narrow" w:hAnsi="Arial Narrow"/>
        </w:rPr>
        <w:t xml:space="preserve">e la materia civil </w:t>
      </w:r>
      <w:r>
        <w:rPr>
          <w:rFonts w:ascii="Arial Narrow" w:hAnsi="Arial Narrow"/>
        </w:rPr>
        <w:t>en segunda instancia se tiene un cumplimiento alto que incluso supera la meta esperada para esos despachos. En el periodo de análisis de 3 años se tiene un cumplimiento de 100% e incluso sobrepasa la meta en un 26% de cantidad de casos terminados.</w:t>
      </w:r>
    </w:p>
    <w:p w14:paraId="0F71AF5B" w14:textId="51E095C6" w:rsidR="00696737" w:rsidRDefault="00696737" w:rsidP="00696737">
      <w:pPr>
        <w:spacing w:line="276" w:lineRule="auto"/>
        <w:jc w:val="both"/>
        <w:rPr>
          <w:rFonts w:ascii="Arial Narrow" w:hAnsi="Arial Narrow"/>
        </w:rPr>
      </w:pPr>
    </w:p>
    <w:p w14:paraId="2FDEAFE9" w14:textId="0D0F5577" w:rsidR="00B56A16" w:rsidRDefault="00B56A16" w:rsidP="00696737">
      <w:pPr>
        <w:spacing w:line="276" w:lineRule="auto"/>
        <w:jc w:val="both"/>
        <w:rPr>
          <w:rFonts w:ascii="Arial Narrow" w:hAnsi="Arial Narrow"/>
        </w:rPr>
      </w:pPr>
    </w:p>
    <w:p w14:paraId="204E6536" w14:textId="7A8D9E2F" w:rsidR="00B56A16" w:rsidRDefault="00B56A16" w:rsidP="00696737">
      <w:pPr>
        <w:spacing w:line="276" w:lineRule="auto"/>
        <w:jc w:val="both"/>
        <w:rPr>
          <w:rFonts w:ascii="Arial Narrow" w:hAnsi="Arial Narrow"/>
        </w:rPr>
      </w:pPr>
    </w:p>
    <w:p w14:paraId="25FA5B8D" w14:textId="1096E80C" w:rsidR="00B56A16" w:rsidRDefault="00B56A16" w:rsidP="00696737">
      <w:pPr>
        <w:spacing w:line="276" w:lineRule="auto"/>
        <w:jc w:val="both"/>
        <w:rPr>
          <w:rFonts w:ascii="Arial Narrow" w:hAnsi="Arial Narrow"/>
        </w:rPr>
      </w:pPr>
    </w:p>
    <w:p w14:paraId="0850D434" w14:textId="1FE97914" w:rsidR="00B56A16" w:rsidRDefault="00B56A16" w:rsidP="00696737">
      <w:pPr>
        <w:spacing w:line="276" w:lineRule="auto"/>
        <w:jc w:val="both"/>
        <w:rPr>
          <w:rFonts w:ascii="Arial Narrow" w:hAnsi="Arial Narrow"/>
        </w:rPr>
      </w:pPr>
    </w:p>
    <w:p w14:paraId="5AD6B1DB" w14:textId="7972043C" w:rsidR="00B56A16" w:rsidRDefault="00B56A16" w:rsidP="00696737">
      <w:pPr>
        <w:spacing w:line="276" w:lineRule="auto"/>
        <w:jc w:val="both"/>
        <w:rPr>
          <w:rFonts w:ascii="Arial Narrow" w:hAnsi="Arial Narrow"/>
        </w:rPr>
      </w:pPr>
    </w:p>
    <w:p w14:paraId="26195E4C" w14:textId="77777777" w:rsidR="00B56A16" w:rsidRDefault="00B56A16" w:rsidP="00696737">
      <w:pPr>
        <w:spacing w:line="276" w:lineRule="auto"/>
        <w:jc w:val="both"/>
        <w:rPr>
          <w:rFonts w:ascii="Arial Narrow" w:hAnsi="Arial Narrow"/>
        </w:rPr>
      </w:pPr>
    </w:p>
    <w:p w14:paraId="1760E8B7" w14:textId="77777777" w:rsidR="00696737" w:rsidRDefault="00696737" w:rsidP="00696737">
      <w:pPr>
        <w:spacing w:line="276" w:lineRule="auto"/>
        <w:jc w:val="both"/>
        <w:rPr>
          <w:rFonts w:ascii="Arial Narrow" w:hAnsi="Arial Narrow"/>
        </w:rPr>
      </w:pPr>
    </w:p>
    <w:p w14:paraId="7BCC5FDC" w14:textId="77777777" w:rsidR="00696737" w:rsidRDefault="00696737" w:rsidP="00696737">
      <w:pPr>
        <w:spacing w:line="276" w:lineRule="auto"/>
        <w:jc w:val="both"/>
        <w:rPr>
          <w:rFonts w:ascii="Arial Narrow" w:hAnsi="Arial Narrow"/>
        </w:rPr>
      </w:pPr>
    </w:p>
    <w:p w14:paraId="4CA245A1" w14:textId="510F7F38" w:rsidR="00B56A16" w:rsidRDefault="00B56A16" w:rsidP="00696737">
      <w:pPr>
        <w:spacing w:line="276" w:lineRule="auto"/>
        <w:jc w:val="both"/>
        <w:rPr>
          <w:rFonts w:ascii="Arial Narrow" w:hAnsi="Arial Narrow"/>
          <w:b/>
          <w:bCs/>
        </w:rPr>
      </w:pPr>
    </w:p>
    <w:p w14:paraId="5A907ABB" w14:textId="73C14DA5" w:rsidR="00A146A8" w:rsidRDefault="00A146A8" w:rsidP="00696737">
      <w:pPr>
        <w:spacing w:line="276" w:lineRule="auto"/>
        <w:jc w:val="both"/>
        <w:rPr>
          <w:rFonts w:ascii="Arial Narrow" w:hAnsi="Arial Narrow"/>
          <w:b/>
          <w:bCs/>
        </w:rPr>
      </w:pPr>
    </w:p>
    <w:p w14:paraId="164786EA" w14:textId="061A6466" w:rsidR="00A146A8" w:rsidRDefault="00B56A16" w:rsidP="00B56A16">
      <w:pPr>
        <w:spacing w:line="276" w:lineRule="auto"/>
        <w:jc w:val="center"/>
        <w:rPr>
          <w:rFonts w:ascii="Arial Narrow" w:eastAsia="Calibri" w:hAnsi="Arial Narrow"/>
          <w:b/>
          <w:bCs/>
          <w:sz w:val="22"/>
          <w:szCs w:val="22"/>
          <w:lang w:eastAsia="en-US"/>
        </w:rPr>
      </w:pPr>
      <w:r w:rsidRPr="00C847FC">
        <w:rPr>
          <w:rFonts w:ascii="Arial Narrow" w:hAnsi="Arial Narrow"/>
          <w:b/>
          <w:bCs/>
          <w:sz w:val="22"/>
          <w:szCs w:val="22"/>
        </w:rPr>
        <w:t xml:space="preserve">Cuadro  </w:t>
      </w:r>
      <w:r w:rsidRPr="00C847FC">
        <w:rPr>
          <w:rFonts w:ascii="Arial Narrow" w:hAnsi="Arial Narrow"/>
          <w:b/>
          <w:bCs/>
          <w:sz w:val="22"/>
          <w:szCs w:val="22"/>
        </w:rPr>
        <w:fldChar w:fldCharType="begin"/>
      </w:r>
      <w:r w:rsidRPr="00C847FC">
        <w:rPr>
          <w:rFonts w:ascii="Arial Narrow" w:hAnsi="Arial Narrow"/>
          <w:b/>
          <w:bCs/>
          <w:sz w:val="22"/>
          <w:szCs w:val="22"/>
        </w:rPr>
        <w:instrText xml:space="preserve"> SEQ Cuadro_No. \* ARABIC </w:instrText>
      </w:r>
      <w:r w:rsidRPr="00C847FC">
        <w:rPr>
          <w:rFonts w:ascii="Arial Narrow" w:hAnsi="Arial Narrow"/>
          <w:b/>
          <w:bCs/>
          <w:sz w:val="22"/>
          <w:szCs w:val="22"/>
        </w:rPr>
        <w:fldChar w:fldCharType="separate"/>
      </w:r>
      <w:r w:rsidR="002F520A">
        <w:rPr>
          <w:rFonts w:ascii="Arial Narrow" w:hAnsi="Arial Narrow"/>
          <w:b/>
          <w:bCs/>
          <w:noProof/>
          <w:sz w:val="22"/>
          <w:szCs w:val="22"/>
        </w:rPr>
        <w:t>16</w:t>
      </w:r>
      <w:r w:rsidRPr="00C847FC">
        <w:rPr>
          <w:rFonts w:ascii="Arial Narrow" w:hAnsi="Arial Narrow"/>
          <w:b/>
          <w:bCs/>
          <w:sz w:val="22"/>
          <w:szCs w:val="22"/>
        </w:rPr>
        <w:fldChar w:fldCharType="end"/>
      </w:r>
      <w:r w:rsidRPr="00C847FC">
        <w:rPr>
          <w:rFonts w:ascii="Arial Narrow" w:eastAsia="Calibri" w:hAnsi="Arial Narrow"/>
          <w:b/>
          <w:bCs/>
          <w:sz w:val="22"/>
          <w:szCs w:val="22"/>
          <w:lang w:eastAsia="en-US"/>
        </w:rPr>
        <w:t xml:space="preserve"> Metas estratégicas de </w:t>
      </w:r>
      <w:r>
        <w:rPr>
          <w:rFonts w:ascii="Arial Narrow" w:eastAsia="Calibri" w:hAnsi="Arial Narrow"/>
          <w:b/>
          <w:bCs/>
          <w:sz w:val="22"/>
          <w:szCs w:val="22"/>
          <w:lang w:eastAsia="en-US"/>
        </w:rPr>
        <w:t>Celeridad Judicial</w:t>
      </w:r>
      <w:r w:rsidRPr="00C847FC">
        <w:rPr>
          <w:rFonts w:ascii="Arial Narrow" w:eastAsia="Calibri" w:hAnsi="Arial Narrow"/>
          <w:b/>
          <w:bCs/>
          <w:sz w:val="22"/>
          <w:szCs w:val="22"/>
          <w:lang w:eastAsia="en-US"/>
        </w:rPr>
        <w:t xml:space="preserve"> y su cumplimiento para el 20</w:t>
      </w:r>
      <w:r>
        <w:rPr>
          <w:rFonts w:ascii="Arial Narrow" w:eastAsia="Calibri" w:hAnsi="Arial Narrow"/>
          <w:b/>
          <w:bCs/>
          <w:sz w:val="22"/>
          <w:szCs w:val="22"/>
          <w:lang w:eastAsia="en-US"/>
        </w:rPr>
        <w:t>21</w:t>
      </w:r>
    </w:p>
    <w:p w14:paraId="3D8A4AE9" w14:textId="77777777" w:rsidR="00A146A8" w:rsidRDefault="00A146A8" w:rsidP="00B56A16">
      <w:pPr>
        <w:spacing w:line="276" w:lineRule="auto"/>
        <w:jc w:val="center"/>
        <w:rPr>
          <w:rFonts w:ascii="Arial Narrow" w:eastAsia="Calibri" w:hAnsi="Arial Narrow"/>
          <w:b/>
          <w:bCs/>
          <w:sz w:val="22"/>
          <w:szCs w:val="22"/>
          <w:lang w:eastAsia="en-US"/>
        </w:rPr>
      </w:pPr>
    </w:p>
    <w:p w14:paraId="3925953B" w14:textId="5C17C0AD" w:rsidR="00696737" w:rsidRDefault="00696737" w:rsidP="00B56A16">
      <w:pPr>
        <w:spacing w:line="276" w:lineRule="auto"/>
        <w:jc w:val="center"/>
        <w:rPr>
          <w:rFonts w:ascii="Arial Narrow" w:hAnsi="Arial Narrow"/>
        </w:rPr>
      </w:pPr>
      <w:r>
        <w:rPr>
          <w:noProof/>
        </w:rPr>
        <w:drawing>
          <wp:inline distT="0" distB="0" distL="0" distR="0" wp14:anchorId="046EDDCC" wp14:editId="2C3F994D">
            <wp:extent cx="5612130" cy="2797984"/>
            <wp:effectExtent l="19050" t="19050" r="26670" b="21590"/>
            <wp:docPr id="34" name="Imagen 34" descr="Imagen que contiene gabinet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Imagen que contiene gabinete&#10;&#10;Descripción generada automáticamente"/>
                    <pic:cNvPicPr/>
                  </pic:nvPicPr>
                  <pic:blipFill rotWithShape="1">
                    <a:blip r:embed="rId69"/>
                    <a:srcRect b="1049"/>
                    <a:stretch/>
                  </pic:blipFill>
                  <pic:spPr bwMode="auto">
                    <a:xfrm>
                      <a:off x="0" y="0"/>
                      <a:ext cx="5612130" cy="2797984"/>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1DAB8A5" w14:textId="15213CB4" w:rsidR="00696737" w:rsidRDefault="00696737" w:rsidP="00B54439">
      <w:pPr>
        <w:spacing w:line="276" w:lineRule="auto"/>
        <w:jc w:val="center"/>
        <w:rPr>
          <w:rFonts w:ascii="Arial Narrow" w:hAnsi="Arial Narrow"/>
          <w:sz w:val="18"/>
          <w:szCs w:val="18"/>
        </w:rPr>
      </w:pPr>
      <w:r w:rsidRPr="00996542">
        <w:rPr>
          <w:rFonts w:ascii="Arial Narrow" w:hAnsi="Arial Narrow"/>
          <w:sz w:val="18"/>
          <w:szCs w:val="18"/>
        </w:rPr>
        <w:t>Fuente: Sistema PEI al 19 de enero del 2022 para el año 2021.</w:t>
      </w:r>
    </w:p>
    <w:p w14:paraId="37229185" w14:textId="77777777" w:rsidR="00B56A16" w:rsidRDefault="00B56A16" w:rsidP="00696737">
      <w:pPr>
        <w:spacing w:line="276" w:lineRule="auto"/>
        <w:jc w:val="both"/>
        <w:rPr>
          <w:rFonts w:ascii="Arial Narrow" w:hAnsi="Arial Narrow"/>
        </w:rPr>
      </w:pPr>
    </w:p>
    <w:p w14:paraId="6EEA8554" w14:textId="143CAAC5" w:rsidR="00696737" w:rsidRDefault="00696737" w:rsidP="005940C6">
      <w:pPr>
        <w:jc w:val="both"/>
        <w:rPr>
          <w:rFonts w:ascii="Arial Narrow" w:hAnsi="Arial Narrow"/>
        </w:rPr>
      </w:pPr>
      <w:r>
        <w:rPr>
          <w:rFonts w:ascii="Arial Narrow" w:hAnsi="Arial Narrow"/>
        </w:rPr>
        <w:t>Con respecto a los casos terminados d</w:t>
      </w:r>
      <w:r w:rsidRPr="005B1300">
        <w:rPr>
          <w:rFonts w:ascii="Arial Narrow" w:hAnsi="Arial Narrow"/>
        </w:rPr>
        <w:t xml:space="preserve">e la materia </w:t>
      </w:r>
      <w:r>
        <w:rPr>
          <w:rFonts w:ascii="Arial Narrow" w:hAnsi="Arial Narrow"/>
        </w:rPr>
        <w:t>penal y tribunales penales</w:t>
      </w:r>
      <w:r w:rsidRPr="005B1300">
        <w:rPr>
          <w:rFonts w:ascii="Arial Narrow" w:hAnsi="Arial Narrow"/>
        </w:rPr>
        <w:t xml:space="preserve"> </w:t>
      </w:r>
      <w:r>
        <w:rPr>
          <w:rFonts w:ascii="Arial Narrow" w:hAnsi="Arial Narrow"/>
        </w:rPr>
        <w:t xml:space="preserve">en primera instancia, se establece un cumplimiento de PEI de 100% para el 2021, siendo que de los 3 años del PEI, solamente en el 2020 no se logró alcanzar la meta esperada. El cumplimiento registrado por despachos para el 2021 fue de 87% esto debido a que varios tribunales penales registraron la mitad de los casos terminados de lo que se esperaba para esas oficinas, mientras que otros tribunales lograron completar </w:t>
      </w:r>
      <w:r w:rsidR="005940C6">
        <w:rPr>
          <w:rFonts w:ascii="Arial Narrow" w:hAnsi="Arial Narrow"/>
        </w:rPr>
        <w:t>más</w:t>
      </w:r>
      <w:r>
        <w:rPr>
          <w:rFonts w:ascii="Arial Narrow" w:hAnsi="Arial Narrow"/>
        </w:rPr>
        <w:t xml:space="preserve"> de lo que se proyectó para la meta, y por eso se registra un cumplimiento general a nivel de todos los tribunales. </w:t>
      </w:r>
    </w:p>
    <w:p w14:paraId="18DCBDEA" w14:textId="77777777" w:rsidR="005940C6" w:rsidRDefault="005940C6" w:rsidP="005940C6">
      <w:pPr>
        <w:jc w:val="both"/>
        <w:rPr>
          <w:rFonts w:ascii="Arial Narrow" w:hAnsi="Arial Narrow"/>
        </w:rPr>
      </w:pPr>
    </w:p>
    <w:p w14:paraId="3609DD3B" w14:textId="77777777" w:rsidR="00696737" w:rsidRDefault="00696737" w:rsidP="005940C6">
      <w:pPr>
        <w:jc w:val="both"/>
        <w:rPr>
          <w:rFonts w:ascii="Arial Narrow" w:hAnsi="Arial Narrow"/>
        </w:rPr>
      </w:pPr>
      <w:r w:rsidRPr="00891843">
        <w:rPr>
          <w:rFonts w:ascii="Arial Narrow" w:hAnsi="Arial Narrow"/>
        </w:rPr>
        <w:t>Por su parte, la meta estratégica relacionada a propuestas de mejora, acorde con el modelo de sostenibilidad, para</w:t>
      </w:r>
      <w:r w:rsidRPr="00DC2581">
        <w:rPr>
          <w:rFonts w:ascii="Arial Narrow" w:hAnsi="Arial Narrow"/>
        </w:rPr>
        <w:t xml:space="preserve"> disminuir la cantidad de casos en el circulante activo (que no incluye los casos en fase de Ejecución) de mayor antigüedad en la materia Civil</w:t>
      </w:r>
      <w:r>
        <w:rPr>
          <w:rFonts w:ascii="Arial Narrow" w:hAnsi="Arial Narrow"/>
        </w:rPr>
        <w:t xml:space="preserve"> se tiene un cumplimiento alto de acuerdo con los registrado por parte de las oficinas y acumulado del PEI, lo anterior debido a los esfuerzos que han documentado las oficinas por medio del Sistema PAO, sin embargo no se logró completar la meta debido a que dos oficinas (Juzgado Civil y Trabajo de Quepos y Juzgado Civil, Trabajo y Familia de Puriscal) no alcanzaron el 100%.  Con respecto a la meta estratégica sobre </w:t>
      </w:r>
      <w:r w:rsidRPr="00DC2581">
        <w:rPr>
          <w:rFonts w:ascii="Arial Narrow" w:hAnsi="Arial Narrow"/>
        </w:rPr>
        <w:t>propuesta</w:t>
      </w:r>
      <w:r>
        <w:rPr>
          <w:rFonts w:ascii="Arial Narrow" w:hAnsi="Arial Narrow"/>
        </w:rPr>
        <w:t>s</w:t>
      </w:r>
      <w:r w:rsidRPr="00DC2581">
        <w:rPr>
          <w:rFonts w:ascii="Arial Narrow" w:hAnsi="Arial Narrow"/>
        </w:rPr>
        <w:t xml:space="preserve"> de mejora, acorde con el modelo de sostenibilidad, para disminuir la cantidad de casos en el circulante activo (que no incluye los casos en fase de Ejecución) de mayor antigüedad en la materia </w:t>
      </w:r>
      <w:r>
        <w:rPr>
          <w:rFonts w:ascii="Arial Narrow" w:hAnsi="Arial Narrow"/>
        </w:rPr>
        <w:t>Penal Juvenil también registra un cumplimiento bastante alto, de acuerdo a lo registrado por las oficinas, sin embargo no se logró completar la meta debido a que tres oficinas (Juzgado Penal Juvenil de San Ramón, Penal Juvenil de Turrialba y Juzgado Civil, Trabajo y Familia de Puriscal) no alcanzaron el 100%.</w:t>
      </w:r>
    </w:p>
    <w:p w14:paraId="3378E1B2" w14:textId="77777777" w:rsidR="00696737" w:rsidRDefault="00696737" w:rsidP="00696737">
      <w:pPr>
        <w:spacing w:line="276" w:lineRule="auto"/>
        <w:jc w:val="both"/>
        <w:rPr>
          <w:rFonts w:ascii="Arial Narrow" w:hAnsi="Arial Narrow"/>
        </w:rPr>
      </w:pPr>
    </w:p>
    <w:p w14:paraId="33B929DB" w14:textId="77777777" w:rsidR="00A146A8" w:rsidRDefault="00A146A8" w:rsidP="00B56A16">
      <w:pPr>
        <w:spacing w:line="276" w:lineRule="auto"/>
        <w:jc w:val="center"/>
        <w:rPr>
          <w:rFonts w:ascii="Arial Narrow" w:hAnsi="Arial Narrow"/>
          <w:b/>
          <w:bCs/>
          <w:sz w:val="22"/>
          <w:szCs w:val="22"/>
        </w:rPr>
      </w:pPr>
    </w:p>
    <w:p w14:paraId="288D6CCC" w14:textId="77777777" w:rsidR="00A146A8" w:rsidRDefault="00A146A8" w:rsidP="00B56A16">
      <w:pPr>
        <w:spacing w:line="276" w:lineRule="auto"/>
        <w:jc w:val="center"/>
        <w:rPr>
          <w:rFonts w:ascii="Arial Narrow" w:hAnsi="Arial Narrow"/>
          <w:b/>
          <w:bCs/>
          <w:sz w:val="22"/>
          <w:szCs w:val="22"/>
        </w:rPr>
      </w:pPr>
    </w:p>
    <w:p w14:paraId="251640BF" w14:textId="77777777" w:rsidR="008D7433" w:rsidRDefault="008D7433" w:rsidP="00B56A16">
      <w:pPr>
        <w:spacing w:line="276" w:lineRule="auto"/>
        <w:jc w:val="center"/>
        <w:rPr>
          <w:rFonts w:ascii="Arial Narrow" w:hAnsi="Arial Narrow"/>
          <w:b/>
          <w:bCs/>
          <w:sz w:val="22"/>
          <w:szCs w:val="22"/>
        </w:rPr>
      </w:pPr>
    </w:p>
    <w:p w14:paraId="3DEFBA59" w14:textId="1DDC3CD4" w:rsidR="00A146A8" w:rsidRDefault="00B56A16" w:rsidP="00B56A16">
      <w:pPr>
        <w:spacing w:line="276" w:lineRule="auto"/>
        <w:jc w:val="center"/>
        <w:rPr>
          <w:rFonts w:ascii="Arial Narrow" w:eastAsia="Calibri" w:hAnsi="Arial Narrow"/>
          <w:b/>
          <w:bCs/>
          <w:sz w:val="22"/>
          <w:szCs w:val="22"/>
          <w:lang w:eastAsia="en-US"/>
        </w:rPr>
      </w:pPr>
      <w:r w:rsidRPr="00C847FC">
        <w:rPr>
          <w:rFonts w:ascii="Arial Narrow" w:hAnsi="Arial Narrow"/>
          <w:b/>
          <w:bCs/>
          <w:sz w:val="22"/>
          <w:szCs w:val="22"/>
        </w:rPr>
        <w:t xml:space="preserve">Cuadro  </w:t>
      </w:r>
      <w:r w:rsidRPr="00C847FC">
        <w:rPr>
          <w:rFonts w:ascii="Arial Narrow" w:hAnsi="Arial Narrow"/>
          <w:b/>
          <w:bCs/>
          <w:sz w:val="22"/>
          <w:szCs w:val="22"/>
        </w:rPr>
        <w:fldChar w:fldCharType="begin"/>
      </w:r>
      <w:r w:rsidRPr="00C847FC">
        <w:rPr>
          <w:rFonts w:ascii="Arial Narrow" w:hAnsi="Arial Narrow"/>
          <w:b/>
          <w:bCs/>
          <w:sz w:val="22"/>
          <w:szCs w:val="22"/>
        </w:rPr>
        <w:instrText xml:space="preserve"> SEQ Cuadro_No. \* ARABIC </w:instrText>
      </w:r>
      <w:r w:rsidRPr="00C847FC">
        <w:rPr>
          <w:rFonts w:ascii="Arial Narrow" w:hAnsi="Arial Narrow"/>
          <w:b/>
          <w:bCs/>
          <w:sz w:val="22"/>
          <w:szCs w:val="22"/>
        </w:rPr>
        <w:fldChar w:fldCharType="separate"/>
      </w:r>
      <w:r w:rsidR="002F520A">
        <w:rPr>
          <w:rFonts w:ascii="Arial Narrow" w:hAnsi="Arial Narrow"/>
          <w:b/>
          <w:bCs/>
          <w:noProof/>
          <w:sz w:val="22"/>
          <w:szCs w:val="22"/>
        </w:rPr>
        <w:t>17</w:t>
      </w:r>
      <w:r w:rsidRPr="00C847FC">
        <w:rPr>
          <w:rFonts w:ascii="Arial Narrow" w:hAnsi="Arial Narrow"/>
          <w:b/>
          <w:bCs/>
          <w:sz w:val="22"/>
          <w:szCs w:val="22"/>
        </w:rPr>
        <w:fldChar w:fldCharType="end"/>
      </w:r>
      <w:r w:rsidRPr="00C847FC">
        <w:rPr>
          <w:rFonts w:ascii="Arial Narrow" w:eastAsia="Calibri" w:hAnsi="Arial Narrow"/>
          <w:b/>
          <w:bCs/>
          <w:sz w:val="22"/>
          <w:szCs w:val="22"/>
          <w:lang w:eastAsia="en-US"/>
        </w:rPr>
        <w:t xml:space="preserve"> Metas estratégicas de </w:t>
      </w:r>
      <w:r>
        <w:rPr>
          <w:rFonts w:ascii="Arial Narrow" w:eastAsia="Calibri" w:hAnsi="Arial Narrow"/>
          <w:b/>
          <w:bCs/>
          <w:sz w:val="22"/>
          <w:szCs w:val="22"/>
          <w:lang w:eastAsia="en-US"/>
        </w:rPr>
        <w:t>Celeridad Judicial</w:t>
      </w:r>
      <w:r w:rsidRPr="00C847FC">
        <w:rPr>
          <w:rFonts w:ascii="Arial Narrow" w:eastAsia="Calibri" w:hAnsi="Arial Narrow"/>
          <w:b/>
          <w:bCs/>
          <w:sz w:val="22"/>
          <w:szCs w:val="22"/>
          <w:lang w:eastAsia="en-US"/>
        </w:rPr>
        <w:t xml:space="preserve"> y su cumplimiento para el 20</w:t>
      </w:r>
      <w:r>
        <w:rPr>
          <w:rFonts w:ascii="Arial Narrow" w:eastAsia="Calibri" w:hAnsi="Arial Narrow"/>
          <w:b/>
          <w:bCs/>
          <w:sz w:val="22"/>
          <w:szCs w:val="22"/>
          <w:lang w:eastAsia="en-US"/>
        </w:rPr>
        <w:t>21</w:t>
      </w:r>
    </w:p>
    <w:p w14:paraId="59622D5B" w14:textId="77777777" w:rsidR="00C94431" w:rsidRDefault="00C94431" w:rsidP="00B56A16">
      <w:pPr>
        <w:spacing w:line="276" w:lineRule="auto"/>
        <w:jc w:val="center"/>
        <w:rPr>
          <w:rFonts w:ascii="Arial Narrow" w:eastAsia="Calibri" w:hAnsi="Arial Narrow"/>
          <w:b/>
          <w:bCs/>
          <w:sz w:val="22"/>
          <w:szCs w:val="22"/>
          <w:lang w:eastAsia="en-US"/>
        </w:rPr>
      </w:pPr>
    </w:p>
    <w:p w14:paraId="30FC0C76" w14:textId="54939CB5" w:rsidR="00696737" w:rsidRDefault="00696737" w:rsidP="00B56A16">
      <w:pPr>
        <w:spacing w:line="276" w:lineRule="auto"/>
        <w:jc w:val="center"/>
        <w:rPr>
          <w:rFonts w:ascii="Arial Narrow" w:hAnsi="Arial Narrow"/>
        </w:rPr>
      </w:pPr>
      <w:r>
        <w:rPr>
          <w:noProof/>
        </w:rPr>
        <w:drawing>
          <wp:inline distT="0" distB="0" distL="0" distR="0" wp14:anchorId="1EE8EFAC" wp14:editId="693F6503">
            <wp:extent cx="5612130" cy="2322917"/>
            <wp:effectExtent l="19050" t="19050" r="26670" b="20320"/>
            <wp:docPr id="35" name="Imagen 3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descr="Tabla&#10;&#10;Descripción generada automáticamente"/>
                    <pic:cNvPicPr/>
                  </pic:nvPicPr>
                  <pic:blipFill rotWithShape="1">
                    <a:blip r:embed="rId70"/>
                    <a:srcRect t="1" b="1424"/>
                    <a:stretch/>
                  </pic:blipFill>
                  <pic:spPr bwMode="auto">
                    <a:xfrm>
                      <a:off x="0" y="0"/>
                      <a:ext cx="5612130" cy="232291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076DAD1" w14:textId="77777777" w:rsidR="00696737" w:rsidRDefault="00696737" w:rsidP="00B54439">
      <w:pPr>
        <w:spacing w:line="276" w:lineRule="auto"/>
        <w:jc w:val="center"/>
        <w:rPr>
          <w:rFonts w:ascii="Arial Narrow" w:hAnsi="Arial Narrow"/>
        </w:rPr>
      </w:pPr>
      <w:r w:rsidRPr="00996542">
        <w:rPr>
          <w:rFonts w:ascii="Arial Narrow" w:hAnsi="Arial Narrow"/>
          <w:sz w:val="18"/>
          <w:szCs w:val="18"/>
        </w:rPr>
        <w:t>Fuente: Sistema PEI al 19 de enero del 2022 para el año 2021.</w:t>
      </w:r>
    </w:p>
    <w:p w14:paraId="7AB5567E" w14:textId="77777777" w:rsidR="00696737" w:rsidRDefault="00696737" w:rsidP="00696737">
      <w:pPr>
        <w:spacing w:line="276" w:lineRule="auto"/>
        <w:jc w:val="both"/>
        <w:rPr>
          <w:rFonts w:ascii="Arial Narrow" w:hAnsi="Arial Narrow"/>
        </w:rPr>
      </w:pPr>
    </w:p>
    <w:p w14:paraId="31FF1048" w14:textId="5D76E300" w:rsidR="00AA7D68" w:rsidRDefault="00696737" w:rsidP="005940C6">
      <w:pPr>
        <w:jc w:val="both"/>
        <w:rPr>
          <w:rFonts w:ascii="Arial Narrow" w:hAnsi="Arial Narrow"/>
        </w:rPr>
      </w:pPr>
      <w:r>
        <w:rPr>
          <w:rFonts w:ascii="Arial Narrow" w:hAnsi="Arial Narrow"/>
        </w:rPr>
        <w:t xml:space="preserve">Por su parte, la meta estratégica relacionada a </w:t>
      </w:r>
      <w:r w:rsidRPr="00DC2581">
        <w:rPr>
          <w:rFonts w:ascii="Arial Narrow" w:hAnsi="Arial Narrow"/>
        </w:rPr>
        <w:t>propuesta</w:t>
      </w:r>
      <w:r>
        <w:rPr>
          <w:rFonts w:ascii="Arial Narrow" w:hAnsi="Arial Narrow"/>
        </w:rPr>
        <w:t>s</w:t>
      </w:r>
      <w:r w:rsidRPr="00DC2581">
        <w:rPr>
          <w:rFonts w:ascii="Arial Narrow" w:hAnsi="Arial Narrow"/>
        </w:rPr>
        <w:t xml:space="preserve"> de mejora, acorde con el modelo de sostenibilidad, para disminuir la cantidad de casos en el circulante activo de mayor antigüedad en la materia </w:t>
      </w:r>
      <w:r>
        <w:rPr>
          <w:rFonts w:ascii="Arial Narrow" w:hAnsi="Arial Narrow"/>
        </w:rPr>
        <w:t xml:space="preserve">Contravencional se tiene un cumplimiento alto de acuerdo con los registrado por parte de las oficinas y el acumulado del PEI, lo anterior debido a los esfuerzos que han documentado las oficinas por medio del Sistema PAO, sin embargo no se logró completar la meta debido a que 11 oficinas (Juzgado Contravencional de Jiménez, Juzgado Contravencional de Hatillo, Juzgado Contravencional de Poás, Juzgado Contravencional de Corredores, Juzgado Contravencional de Alajuelita, Juzgado Contravencional de Segundo Circuito San José, Juzgado Contravencional de Zarcero, Juzgado Contravencional de los Chiles, Juzgado Contravencional de Carrillo, Juzgado Contravencional de Abangares y Juzgado Contravencional de Montes de Oro) no alcanzaron el 100%. </w:t>
      </w:r>
    </w:p>
    <w:p w14:paraId="34EF52A3" w14:textId="77777777" w:rsidR="00346FE1" w:rsidRDefault="00346FE1" w:rsidP="005940C6">
      <w:pPr>
        <w:jc w:val="both"/>
        <w:rPr>
          <w:rFonts w:ascii="Arial Narrow" w:hAnsi="Arial Narrow"/>
        </w:rPr>
      </w:pPr>
    </w:p>
    <w:p w14:paraId="19C4266C" w14:textId="74FC456D" w:rsidR="00696737" w:rsidRDefault="00696737" w:rsidP="005940C6">
      <w:pPr>
        <w:jc w:val="both"/>
        <w:rPr>
          <w:rFonts w:ascii="Arial Narrow" w:hAnsi="Arial Narrow"/>
        </w:rPr>
      </w:pPr>
      <w:r>
        <w:rPr>
          <w:rFonts w:ascii="Arial Narrow" w:hAnsi="Arial Narrow"/>
        </w:rPr>
        <w:t xml:space="preserve">Con respecto a la meta estratégica sobre </w:t>
      </w:r>
      <w:r w:rsidRPr="00DC2581">
        <w:rPr>
          <w:rFonts w:ascii="Arial Narrow" w:hAnsi="Arial Narrow"/>
        </w:rPr>
        <w:t>propuesta</w:t>
      </w:r>
      <w:r>
        <w:rPr>
          <w:rFonts w:ascii="Arial Narrow" w:hAnsi="Arial Narrow"/>
        </w:rPr>
        <w:t>s</w:t>
      </w:r>
      <w:r w:rsidRPr="00DC2581">
        <w:rPr>
          <w:rFonts w:ascii="Arial Narrow" w:hAnsi="Arial Narrow"/>
        </w:rPr>
        <w:t xml:space="preserve"> de mejora, acorde con el modelo de sostenibilidad, para disminuir la cantidad de casos en el circulante activo de mayor antigüedad en la materia </w:t>
      </w:r>
      <w:r>
        <w:rPr>
          <w:rFonts w:ascii="Arial Narrow" w:hAnsi="Arial Narrow"/>
        </w:rPr>
        <w:t xml:space="preserve">Tránsito también registra un cumplimiento bastante alto, de acuerdo a lo registrado por las oficinas, sin embargo no se logró completar la meta debido a que nueve oficinas (Juzgado Contravencional de Jiménez, Juzgado Contravencional de Poas, Juzgado Contravencional de Corredores, Juzgado Contravencional de Zarcero, Juzgado Contravencional de los Chiles, Juzgado Contravencional de Abangares, Juzgado de Tránsito de Grecia, Juzgado de Tránsito de Primer Circuito Zona Atlántica, Juzgado de Tránsito de San José) no alcanzaron el 100%. </w:t>
      </w:r>
    </w:p>
    <w:p w14:paraId="2A339117" w14:textId="77777777" w:rsidR="005940C6" w:rsidRDefault="005940C6" w:rsidP="005940C6">
      <w:pPr>
        <w:jc w:val="both"/>
        <w:rPr>
          <w:rFonts w:ascii="Arial Narrow" w:hAnsi="Arial Narrow"/>
        </w:rPr>
      </w:pPr>
    </w:p>
    <w:p w14:paraId="1502C073" w14:textId="77777777" w:rsidR="00696737" w:rsidRDefault="00696737" w:rsidP="005940C6">
      <w:pPr>
        <w:jc w:val="both"/>
        <w:rPr>
          <w:rFonts w:ascii="Arial Narrow" w:hAnsi="Arial Narrow"/>
        </w:rPr>
      </w:pPr>
      <w:r>
        <w:rPr>
          <w:rFonts w:ascii="Arial Narrow" w:hAnsi="Arial Narrow"/>
        </w:rPr>
        <w:t>La meta correspondiente a la Sala Constitucional fue registrada en un 100% por parte de la oficina lo que representa los esfuerzos realizados por disminuir el circulante de mayor antigüedad.</w:t>
      </w:r>
    </w:p>
    <w:p w14:paraId="7735D551" w14:textId="77777777" w:rsidR="00B56A16" w:rsidRDefault="00B56A16" w:rsidP="00696737">
      <w:pPr>
        <w:jc w:val="center"/>
        <w:rPr>
          <w:rFonts w:ascii="Arial Narrow" w:hAnsi="Arial Narrow"/>
          <w:b/>
          <w:bCs/>
        </w:rPr>
      </w:pPr>
    </w:p>
    <w:p w14:paraId="22ECCCF5" w14:textId="77777777" w:rsidR="00C94431" w:rsidRDefault="00C94431" w:rsidP="00696737">
      <w:pPr>
        <w:jc w:val="center"/>
        <w:rPr>
          <w:rFonts w:ascii="Arial Narrow" w:hAnsi="Arial Narrow"/>
          <w:b/>
          <w:bCs/>
          <w:sz w:val="22"/>
          <w:szCs w:val="22"/>
        </w:rPr>
      </w:pPr>
    </w:p>
    <w:p w14:paraId="42D7C961" w14:textId="77777777" w:rsidR="00C94431" w:rsidRDefault="00C94431" w:rsidP="00696737">
      <w:pPr>
        <w:jc w:val="center"/>
        <w:rPr>
          <w:rFonts w:ascii="Arial Narrow" w:hAnsi="Arial Narrow"/>
          <w:b/>
          <w:bCs/>
          <w:sz w:val="22"/>
          <w:szCs w:val="22"/>
        </w:rPr>
      </w:pPr>
    </w:p>
    <w:p w14:paraId="486F42F4" w14:textId="77777777" w:rsidR="00C94431" w:rsidRDefault="00C94431" w:rsidP="00696737">
      <w:pPr>
        <w:jc w:val="center"/>
        <w:rPr>
          <w:rFonts w:ascii="Arial Narrow" w:hAnsi="Arial Narrow"/>
          <w:b/>
          <w:bCs/>
          <w:sz w:val="22"/>
          <w:szCs w:val="22"/>
        </w:rPr>
      </w:pPr>
    </w:p>
    <w:p w14:paraId="6BD6CF04" w14:textId="6F6859FD" w:rsidR="00C94431" w:rsidRDefault="00B56A16" w:rsidP="00696737">
      <w:pPr>
        <w:jc w:val="center"/>
        <w:rPr>
          <w:rFonts w:ascii="Arial Narrow" w:eastAsia="Calibri" w:hAnsi="Arial Narrow"/>
          <w:b/>
          <w:bCs/>
          <w:sz w:val="22"/>
          <w:szCs w:val="22"/>
          <w:lang w:eastAsia="en-US"/>
        </w:rPr>
      </w:pPr>
      <w:r w:rsidRPr="00C847FC">
        <w:rPr>
          <w:rFonts w:ascii="Arial Narrow" w:hAnsi="Arial Narrow"/>
          <w:b/>
          <w:bCs/>
          <w:sz w:val="22"/>
          <w:szCs w:val="22"/>
        </w:rPr>
        <w:t xml:space="preserve">Cuadro  </w:t>
      </w:r>
      <w:r w:rsidRPr="00C847FC">
        <w:rPr>
          <w:rFonts w:ascii="Arial Narrow" w:hAnsi="Arial Narrow"/>
          <w:b/>
          <w:bCs/>
          <w:sz w:val="22"/>
          <w:szCs w:val="22"/>
        </w:rPr>
        <w:fldChar w:fldCharType="begin"/>
      </w:r>
      <w:r w:rsidRPr="00C847FC">
        <w:rPr>
          <w:rFonts w:ascii="Arial Narrow" w:hAnsi="Arial Narrow"/>
          <w:b/>
          <w:bCs/>
          <w:sz w:val="22"/>
          <w:szCs w:val="22"/>
        </w:rPr>
        <w:instrText xml:space="preserve"> SEQ Cuadro_No. \* ARABIC </w:instrText>
      </w:r>
      <w:r w:rsidRPr="00C847FC">
        <w:rPr>
          <w:rFonts w:ascii="Arial Narrow" w:hAnsi="Arial Narrow"/>
          <w:b/>
          <w:bCs/>
          <w:sz w:val="22"/>
          <w:szCs w:val="22"/>
        </w:rPr>
        <w:fldChar w:fldCharType="separate"/>
      </w:r>
      <w:r w:rsidR="002F520A">
        <w:rPr>
          <w:rFonts w:ascii="Arial Narrow" w:hAnsi="Arial Narrow"/>
          <w:b/>
          <w:bCs/>
          <w:noProof/>
          <w:sz w:val="22"/>
          <w:szCs w:val="22"/>
        </w:rPr>
        <w:t>18</w:t>
      </w:r>
      <w:r w:rsidRPr="00C847FC">
        <w:rPr>
          <w:rFonts w:ascii="Arial Narrow" w:hAnsi="Arial Narrow"/>
          <w:b/>
          <w:bCs/>
          <w:sz w:val="22"/>
          <w:szCs w:val="22"/>
        </w:rPr>
        <w:fldChar w:fldCharType="end"/>
      </w:r>
      <w:r w:rsidRPr="00C847FC">
        <w:rPr>
          <w:rFonts w:ascii="Arial Narrow" w:eastAsia="Calibri" w:hAnsi="Arial Narrow"/>
          <w:b/>
          <w:bCs/>
          <w:sz w:val="22"/>
          <w:szCs w:val="22"/>
          <w:lang w:eastAsia="en-US"/>
        </w:rPr>
        <w:t xml:space="preserve"> Metas estratégicas de </w:t>
      </w:r>
      <w:r>
        <w:rPr>
          <w:rFonts w:ascii="Arial Narrow" w:eastAsia="Calibri" w:hAnsi="Arial Narrow"/>
          <w:b/>
          <w:bCs/>
          <w:sz w:val="22"/>
          <w:szCs w:val="22"/>
          <w:lang w:eastAsia="en-US"/>
        </w:rPr>
        <w:t>Celeridad Judicial</w:t>
      </w:r>
      <w:r w:rsidRPr="00C847FC">
        <w:rPr>
          <w:rFonts w:ascii="Arial Narrow" w:eastAsia="Calibri" w:hAnsi="Arial Narrow"/>
          <w:b/>
          <w:bCs/>
          <w:sz w:val="22"/>
          <w:szCs w:val="22"/>
          <w:lang w:eastAsia="en-US"/>
        </w:rPr>
        <w:t xml:space="preserve"> y su cumplimiento para el 20</w:t>
      </w:r>
      <w:r>
        <w:rPr>
          <w:rFonts w:ascii="Arial Narrow" w:eastAsia="Calibri" w:hAnsi="Arial Narrow"/>
          <w:b/>
          <w:bCs/>
          <w:sz w:val="22"/>
          <w:szCs w:val="22"/>
          <w:lang w:eastAsia="en-US"/>
        </w:rPr>
        <w:t>21</w:t>
      </w:r>
    </w:p>
    <w:p w14:paraId="11512677" w14:textId="77777777" w:rsidR="00C94431" w:rsidRDefault="00C94431" w:rsidP="00696737">
      <w:pPr>
        <w:jc w:val="center"/>
        <w:rPr>
          <w:rFonts w:ascii="Arial Narrow" w:eastAsia="Calibri" w:hAnsi="Arial Narrow"/>
          <w:b/>
          <w:bCs/>
          <w:sz w:val="22"/>
          <w:szCs w:val="22"/>
          <w:lang w:eastAsia="en-US"/>
        </w:rPr>
      </w:pPr>
    </w:p>
    <w:p w14:paraId="3BE4A9BD" w14:textId="3EA8C693" w:rsidR="00696737" w:rsidRDefault="00696737" w:rsidP="00696737">
      <w:pPr>
        <w:jc w:val="center"/>
        <w:rPr>
          <w:rFonts w:ascii="Arial Narrow" w:hAnsi="Arial Narrow"/>
        </w:rPr>
      </w:pPr>
      <w:r>
        <w:rPr>
          <w:noProof/>
        </w:rPr>
        <w:drawing>
          <wp:inline distT="0" distB="0" distL="0" distR="0" wp14:anchorId="40130187" wp14:editId="342E5EED">
            <wp:extent cx="5612130" cy="2341245"/>
            <wp:effectExtent l="19050" t="19050" r="26670" b="20955"/>
            <wp:docPr id="36" name="Imagen 3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descr="Tabla&#10;&#10;Descripción generada automáticamente"/>
                    <pic:cNvPicPr/>
                  </pic:nvPicPr>
                  <pic:blipFill>
                    <a:blip r:embed="rId71"/>
                    <a:stretch>
                      <a:fillRect/>
                    </a:stretch>
                  </pic:blipFill>
                  <pic:spPr>
                    <a:xfrm>
                      <a:off x="0" y="0"/>
                      <a:ext cx="5612130" cy="2341245"/>
                    </a:xfrm>
                    <a:prstGeom prst="rect">
                      <a:avLst/>
                    </a:prstGeom>
                    <a:ln w="12700">
                      <a:solidFill>
                        <a:schemeClr val="tx1"/>
                      </a:solidFill>
                    </a:ln>
                  </pic:spPr>
                </pic:pic>
              </a:graphicData>
            </a:graphic>
          </wp:inline>
        </w:drawing>
      </w:r>
    </w:p>
    <w:p w14:paraId="4E5078C6" w14:textId="1751E737" w:rsidR="00696737" w:rsidRDefault="00696737" w:rsidP="00B54439">
      <w:pPr>
        <w:spacing w:line="276" w:lineRule="auto"/>
        <w:jc w:val="center"/>
        <w:rPr>
          <w:rFonts w:ascii="Arial Narrow" w:hAnsi="Arial Narrow"/>
          <w:sz w:val="18"/>
          <w:szCs w:val="18"/>
        </w:rPr>
      </w:pPr>
      <w:r w:rsidRPr="00996542">
        <w:rPr>
          <w:rFonts w:ascii="Arial Narrow" w:hAnsi="Arial Narrow"/>
          <w:sz w:val="18"/>
          <w:szCs w:val="18"/>
        </w:rPr>
        <w:t>Fuente: Sistema PEI al 19 de enero del 2022 para el año 2021.</w:t>
      </w:r>
    </w:p>
    <w:p w14:paraId="3C1FE3E0" w14:textId="2E75D960" w:rsidR="005940C6" w:rsidRDefault="005940C6" w:rsidP="00696737">
      <w:pPr>
        <w:spacing w:line="276" w:lineRule="auto"/>
        <w:jc w:val="both"/>
        <w:rPr>
          <w:rFonts w:ascii="Arial Narrow" w:hAnsi="Arial Narrow"/>
          <w:sz w:val="18"/>
          <w:szCs w:val="18"/>
        </w:rPr>
      </w:pPr>
    </w:p>
    <w:p w14:paraId="7A20F8E9" w14:textId="77777777" w:rsidR="005940C6" w:rsidRDefault="005940C6" w:rsidP="00696737">
      <w:pPr>
        <w:spacing w:line="276" w:lineRule="auto"/>
        <w:jc w:val="both"/>
        <w:rPr>
          <w:rFonts w:ascii="Arial Narrow" w:hAnsi="Arial Narrow"/>
        </w:rPr>
      </w:pPr>
    </w:p>
    <w:p w14:paraId="003617DB" w14:textId="0D004D54" w:rsidR="00696737" w:rsidRDefault="00696737" w:rsidP="005940C6">
      <w:pPr>
        <w:jc w:val="both"/>
        <w:rPr>
          <w:rFonts w:ascii="Arial Narrow" w:hAnsi="Arial Narrow"/>
        </w:rPr>
      </w:pPr>
      <w:r>
        <w:rPr>
          <w:rFonts w:ascii="Arial Narrow" w:hAnsi="Arial Narrow"/>
        </w:rPr>
        <w:t xml:space="preserve">Con respecto a la meta estratégica de implementar </w:t>
      </w:r>
      <w:r w:rsidRPr="00C958E6">
        <w:rPr>
          <w:rFonts w:ascii="Arial Narrow" w:hAnsi="Arial Narrow"/>
        </w:rPr>
        <w:t>propuesta</w:t>
      </w:r>
      <w:r>
        <w:rPr>
          <w:rFonts w:ascii="Arial Narrow" w:hAnsi="Arial Narrow"/>
        </w:rPr>
        <w:t>s</w:t>
      </w:r>
      <w:r w:rsidRPr="00C958E6">
        <w:rPr>
          <w:rFonts w:ascii="Arial Narrow" w:hAnsi="Arial Narrow"/>
        </w:rPr>
        <w:t xml:space="preserve"> de mejora, acorde con el modelo de sostenibilidad, para disminuir la cantidad de casos en el circulante activo de mayor antigüedad en materia Notarial</w:t>
      </w:r>
      <w:r>
        <w:rPr>
          <w:rFonts w:ascii="Arial Narrow" w:hAnsi="Arial Narrow"/>
        </w:rPr>
        <w:t>, se tiene que el Juzgado Notarial registra al finalizar el año que llegó a un 85% de la meta, debido a que se</w:t>
      </w:r>
      <w:r w:rsidRPr="00863964">
        <w:rPr>
          <w:rFonts w:ascii="Arial Narrow" w:hAnsi="Arial Narrow"/>
        </w:rPr>
        <w:t xml:space="preserve"> remite mes a mes el informe de fallo a los jueces para que le den prioridad a los expedientes con mayor antigüedad. Esto se ha realizado; sin embargo, </w:t>
      </w:r>
      <w:r>
        <w:rPr>
          <w:rFonts w:ascii="Arial Narrow" w:hAnsi="Arial Narrow"/>
        </w:rPr>
        <w:t xml:space="preserve">el despacho manifiesta que </w:t>
      </w:r>
      <w:r w:rsidRPr="00863964">
        <w:rPr>
          <w:rFonts w:ascii="Arial Narrow" w:hAnsi="Arial Narrow"/>
        </w:rPr>
        <w:t>se necesita de ayuda externa para cumplir con esta meta</w:t>
      </w:r>
      <w:r>
        <w:rPr>
          <w:rFonts w:ascii="Arial Narrow" w:hAnsi="Arial Narrow"/>
        </w:rPr>
        <w:t xml:space="preserve"> y que, al finalizar del año, no se logró </w:t>
      </w:r>
      <w:r w:rsidRPr="00863964">
        <w:rPr>
          <w:rFonts w:ascii="Arial Narrow" w:hAnsi="Arial Narrow"/>
        </w:rPr>
        <w:t xml:space="preserve">contar con la ayuda solicitada para disminuir </w:t>
      </w:r>
      <w:r w:rsidR="00346FE1" w:rsidRPr="00863964">
        <w:rPr>
          <w:rFonts w:ascii="Arial Narrow" w:hAnsi="Arial Narrow"/>
        </w:rPr>
        <w:t>e</w:t>
      </w:r>
      <w:r w:rsidR="00346FE1">
        <w:rPr>
          <w:rFonts w:ascii="Arial Narrow" w:hAnsi="Arial Narrow"/>
        </w:rPr>
        <w:t>l</w:t>
      </w:r>
      <w:r w:rsidR="00346FE1" w:rsidRPr="00863964">
        <w:rPr>
          <w:rFonts w:ascii="Arial Narrow" w:hAnsi="Arial Narrow"/>
        </w:rPr>
        <w:t xml:space="preserve"> </w:t>
      </w:r>
      <w:r w:rsidRPr="00863964">
        <w:rPr>
          <w:rFonts w:ascii="Arial Narrow" w:hAnsi="Arial Narrow"/>
        </w:rPr>
        <w:t>circulante de expedientes de vieja data</w:t>
      </w:r>
      <w:r>
        <w:rPr>
          <w:rFonts w:ascii="Arial Narrow" w:hAnsi="Arial Narrow"/>
        </w:rPr>
        <w:t>.</w:t>
      </w:r>
    </w:p>
    <w:p w14:paraId="3A2458DB" w14:textId="77777777" w:rsidR="005940C6" w:rsidRDefault="005940C6" w:rsidP="005940C6">
      <w:pPr>
        <w:jc w:val="both"/>
        <w:rPr>
          <w:rFonts w:ascii="Arial Narrow" w:hAnsi="Arial Narrow"/>
        </w:rPr>
      </w:pPr>
    </w:p>
    <w:p w14:paraId="129EC52E" w14:textId="14D2FDCF" w:rsidR="00B56A16" w:rsidRDefault="68EC8F7A" w:rsidP="00322D9B">
      <w:pPr>
        <w:jc w:val="both"/>
        <w:rPr>
          <w:rFonts w:ascii="Arial Narrow" w:hAnsi="Arial Narrow"/>
          <w:b/>
          <w:bCs/>
        </w:rPr>
      </w:pPr>
      <w:r w:rsidRPr="0F07E111">
        <w:rPr>
          <w:rFonts w:ascii="Arial Narrow" w:hAnsi="Arial Narrow"/>
        </w:rPr>
        <w:t xml:space="preserve">Por su parte, la meta estratégica relacionada a propuestas de mejora, acorde con el modelo de sostenibilidad, para disminuir la cantidad de casos en el circulante activo de mayor antigüedad en la materia Cobratoria se tiene un cumplimiento alto de acuerdo con lo registrado por parte de las oficinas y el cumplimiento acumulado del PEI, lo anterior debido a los esfuerzos que han documentado las oficinas por medio del Sistema PAO, sin embargo, no se logró completar la meta debido a que 2 oficinas (Juzgado de Cobro de Alajuela (establecieron </w:t>
      </w:r>
      <w:r w:rsidR="0F07E111" w:rsidRPr="0F07E111">
        <w:rPr>
          <w:rFonts w:ascii="Arial Narrow" w:eastAsia="Arial Narrow" w:hAnsi="Arial Narrow" w:cs="Arial Narrow"/>
          <w:color w:val="242424"/>
          <w:lang w:val="es-ES"/>
        </w:rPr>
        <w:t>planes de trabajo en conjunto con el Juzgado Civil del Primer Circuito Judicial de Alajuela, los cuales cuentan con aprobación del Consejo Superior; los cuales, han atender parte de la entrada de los 10.000 escritos mensuales que ingresan al despacho y sobrepasa la capacidad operativa instalada. Además, mantener estabilizado el plazo de las demandas nuevas entre 1 a 3 meses y reducir el plazo de espera de dictado de sentencia de 109 días)</w:t>
      </w:r>
      <w:r w:rsidR="0F07E111" w:rsidRPr="0F07E111">
        <w:rPr>
          <w:rFonts w:ascii="Arial Narrow" w:hAnsi="Arial Narrow"/>
        </w:rPr>
        <w:t xml:space="preserve"> </w:t>
      </w:r>
      <w:r w:rsidRPr="0F07E111">
        <w:rPr>
          <w:rFonts w:ascii="Arial Narrow" w:hAnsi="Arial Narrow"/>
        </w:rPr>
        <w:t>y Juzgado de Cobro de Santa Cruz) no alcanzaron el 100%. En lo relacionado a la materia Agraria, los despachos registraron diversos planes de mejora, sin embargo, la meta reportada por los despachos quedo en un 86% de cumplimiento, esto debido a que 3 oficinas no alcanzaron el 100% a saber: Juzgado Civil, Trabajo, Agrario, Familia, Penal Juvenil, V</w:t>
      </w:r>
      <w:r w:rsidR="6FA938EA" w:rsidRPr="0F07E111">
        <w:rPr>
          <w:rFonts w:ascii="Arial Narrow" w:hAnsi="Arial Narrow"/>
        </w:rPr>
        <w:t xml:space="preserve">iolencia </w:t>
      </w:r>
      <w:r w:rsidRPr="0F07E111">
        <w:rPr>
          <w:rFonts w:ascii="Arial Narrow" w:hAnsi="Arial Narrow"/>
        </w:rPr>
        <w:t>D</w:t>
      </w:r>
      <w:r w:rsidR="6FA938EA" w:rsidRPr="0F07E111">
        <w:rPr>
          <w:rFonts w:ascii="Arial Narrow" w:hAnsi="Arial Narrow"/>
        </w:rPr>
        <w:t>oméstica</w:t>
      </w:r>
      <w:r w:rsidRPr="0F07E111">
        <w:rPr>
          <w:rFonts w:ascii="Arial Narrow" w:hAnsi="Arial Narrow"/>
        </w:rPr>
        <w:t xml:space="preserve"> de Alajuela, Sede Upala, Juzgado Agrario del Segundo Circuito de Guanacaste y Juzgado Agrario del Primer Circuito de la Zona Atlántica</w:t>
      </w:r>
      <w:r w:rsidRPr="00C94431">
        <w:rPr>
          <w:rFonts w:ascii="Arial Narrow" w:hAnsi="Arial Narrow"/>
        </w:rPr>
        <w:t>.</w:t>
      </w:r>
      <w:r w:rsidRPr="00322D9B">
        <w:rPr>
          <w:rFonts w:ascii="Arial Narrow" w:hAnsi="Arial Narrow"/>
        </w:rPr>
        <w:t xml:space="preserve"> </w:t>
      </w:r>
      <w:r w:rsidRPr="0F07E111">
        <w:rPr>
          <w:rFonts w:ascii="Arial Narrow" w:hAnsi="Arial Narrow"/>
        </w:rPr>
        <w:t xml:space="preserve"> </w:t>
      </w:r>
    </w:p>
    <w:p w14:paraId="6B22AB45" w14:textId="77777777" w:rsidR="008D7433" w:rsidRDefault="008D7433" w:rsidP="00696737">
      <w:pPr>
        <w:jc w:val="center"/>
        <w:rPr>
          <w:rFonts w:ascii="Arial Narrow" w:hAnsi="Arial Narrow"/>
          <w:b/>
          <w:bCs/>
          <w:sz w:val="22"/>
          <w:szCs w:val="22"/>
        </w:rPr>
      </w:pPr>
    </w:p>
    <w:p w14:paraId="3066DB44" w14:textId="77777777" w:rsidR="008D7433" w:rsidRDefault="008D7433" w:rsidP="00696737">
      <w:pPr>
        <w:jc w:val="center"/>
        <w:rPr>
          <w:rFonts w:ascii="Arial Narrow" w:hAnsi="Arial Narrow"/>
          <w:b/>
          <w:bCs/>
          <w:sz w:val="22"/>
          <w:szCs w:val="22"/>
        </w:rPr>
      </w:pPr>
    </w:p>
    <w:p w14:paraId="2FD4F57B" w14:textId="2C1157ED" w:rsidR="00C94431" w:rsidRDefault="00B56A16" w:rsidP="00696737">
      <w:pPr>
        <w:jc w:val="center"/>
        <w:rPr>
          <w:rFonts w:ascii="Arial Narrow" w:eastAsia="Calibri" w:hAnsi="Arial Narrow"/>
          <w:b/>
          <w:bCs/>
          <w:sz w:val="22"/>
          <w:szCs w:val="22"/>
          <w:lang w:eastAsia="en-US"/>
        </w:rPr>
      </w:pPr>
      <w:r w:rsidRPr="00C847FC">
        <w:rPr>
          <w:rFonts w:ascii="Arial Narrow" w:hAnsi="Arial Narrow"/>
          <w:b/>
          <w:bCs/>
          <w:sz w:val="22"/>
          <w:szCs w:val="22"/>
        </w:rPr>
        <w:t xml:space="preserve">Cuadro  </w:t>
      </w:r>
      <w:r w:rsidRPr="00C847FC">
        <w:rPr>
          <w:rFonts w:ascii="Arial Narrow" w:hAnsi="Arial Narrow"/>
          <w:b/>
          <w:bCs/>
          <w:sz w:val="22"/>
          <w:szCs w:val="22"/>
        </w:rPr>
        <w:fldChar w:fldCharType="begin"/>
      </w:r>
      <w:r w:rsidRPr="00C847FC">
        <w:rPr>
          <w:rFonts w:ascii="Arial Narrow" w:hAnsi="Arial Narrow"/>
          <w:b/>
          <w:bCs/>
          <w:sz w:val="22"/>
          <w:szCs w:val="22"/>
        </w:rPr>
        <w:instrText xml:space="preserve"> SEQ Cuadro_No. \* ARABIC </w:instrText>
      </w:r>
      <w:r w:rsidRPr="00C847FC">
        <w:rPr>
          <w:rFonts w:ascii="Arial Narrow" w:hAnsi="Arial Narrow"/>
          <w:b/>
          <w:bCs/>
          <w:sz w:val="22"/>
          <w:szCs w:val="22"/>
        </w:rPr>
        <w:fldChar w:fldCharType="separate"/>
      </w:r>
      <w:r w:rsidR="002F520A">
        <w:rPr>
          <w:rFonts w:ascii="Arial Narrow" w:hAnsi="Arial Narrow"/>
          <w:b/>
          <w:bCs/>
          <w:noProof/>
          <w:sz w:val="22"/>
          <w:szCs w:val="22"/>
        </w:rPr>
        <w:t>19</w:t>
      </w:r>
      <w:r w:rsidRPr="00C847FC">
        <w:rPr>
          <w:rFonts w:ascii="Arial Narrow" w:hAnsi="Arial Narrow"/>
          <w:b/>
          <w:bCs/>
          <w:sz w:val="22"/>
          <w:szCs w:val="22"/>
        </w:rPr>
        <w:fldChar w:fldCharType="end"/>
      </w:r>
      <w:r w:rsidRPr="00C847FC">
        <w:rPr>
          <w:rFonts w:ascii="Arial Narrow" w:eastAsia="Calibri" w:hAnsi="Arial Narrow"/>
          <w:b/>
          <w:bCs/>
          <w:sz w:val="22"/>
          <w:szCs w:val="22"/>
          <w:lang w:eastAsia="en-US"/>
        </w:rPr>
        <w:t xml:space="preserve"> Metas estratégicas de </w:t>
      </w:r>
      <w:r>
        <w:rPr>
          <w:rFonts w:ascii="Arial Narrow" w:eastAsia="Calibri" w:hAnsi="Arial Narrow"/>
          <w:b/>
          <w:bCs/>
          <w:sz w:val="22"/>
          <w:szCs w:val="22"/>
          <w:lang w:eastAsia="en-US"/>
        </w:rPr>
        <w:t>Celeridad Judicial</w:t>
      </w:r>
      <w:r w:rsidRPr="00C847FC">
        <w:rPr>
          <w:rFonts w:ascii="Arial Narrow" w:eastAsia="Calibri" w:hAnsi="Arial Narrow"/>
          <w:b/>
          <w:bCs/>
          <w:sz w:val="22"/>
          <w:szCs w:val="22"/>
          <w:lang w:eastAsia="en-US"/>
        </w:rPr>
        <w:t xml:space="preserve"> y su cumplimiento para el 20</w:t>
      </w:r>
      <w:r>
        <w:rPr>
          <w:rFonts w:ascii="Arial Narrow" w:eastAsia="Calibri" w:hAnsi="Arial Narrow"/>
          <w:b/>
          <w:bCs/>
          <w:sz w:val="22"/>
          <w:szCs w:val="22"/>
          <w:lang w:eastAsia="en-US"/>
        </w:rPr>
        <w:t>21</w:t>
      </w:r>
    </w:p>
    <w:p w14:paraId="2B0179D6" w14:textId="77777777" w:rsidR="00C94431" w:rsidRDefault="00C94431" w:rsidP="00696737">
      <w:pPr>
        <w:jc w:val="center"/>
        <w:rPr>
          <w:rFonts w:ascii="Arial Narrow" w:eastAsia="Calibri" w:hAnsi="Arial Narrow"/>
          <w:b/>
          <w:bCs/>
          <w:sz w:val="22"/>
          <w:szCs w:val="22"/>
          <w:lang w:eastAsia="en-US"/>
        </w:rPr>
      </w:pPr>
    </w:p>
    <w:p w14:paraId="1C2250A0" w14:textId="17DA4122" w:rsidR="00696737" w:rsidRDefault="00696737" w:rsidP="00696737">
      <w:pPr>
        <w:jc w:val="center"/>
        <w:rPr>
          <w:rFonts w:ascii="Arial Narrow" w:hAnsi="Arial Narrow"/>
        </w:rPr>
      </w:pPr>
      <w:r>
        <w:rPr>
          <w:noProof/>
        </w:rPr>
        <w:drawing>
          <wp:inline distT="0" distB="0" distL="0" distR="0" wp14:anchorId="71FC7D7D" wp14:editId="7E672AFA">
            <wp:extent cx="5612130" cy="2353945"/>
            <wp:effectExtent l="19050" t="19050" r="26670" b="27305"/>
            <wp:docPr id="37" name="Imagen 37" descr="Imagen que contiene gabinet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descr="Imagen que contiene gabinete&#10;&#10;Descripción generada automáticamente"/>
                    <pic:cNvPicPr/>
                  </pic:nvPicPr>
                  <pic:blipFill>
                    <a:blip r:embed="rId72"/>
                    <a:stretch>
                      <a:fillRect/>
                    </a:stretch>
                  </pic:blipFill>
                  <pic:spPr>
                    <a:xfrm>
                      <a:off x="0" y="0"/>
                      <a:ext cx="5612130" cy="2353945"/>
                    </a:xfrm>
                    <a:prstGeom prst="rect">
                      <a:avLst/>
                    </a:prstGeom>
                    <a:ln>
                      <a:solidFill>
                        <a:schemeClr val="tx1"/>
                      </a:solidFill>
                    </a:ln>
                  </pic:spPr>
                </pic:pic>
              </a:graphicData>
            </a:graphic>
          </wp:inline>
        </w:drawing>
      </w:r>
    </w:p>
    <w:p w14:paraId="6B7BD5A7" w14:textId="07DA0296" w:rsidR="00696737" w:rsidRDefault="00696737" w:rsidP="00B54439">
      <w:pPr>
        <w:spacing w:line="276" w:lineRule="auto"/>
        <w:jc w:val="center"/>
        <w:rPr>
          <w:rFonts w:ascii="Arial Narrow" w:hAnsi="Arial Narrow"/>
          <w:sz w:val="18"/>
          <w:szCs w:val="18"/>
        </w:rPr>
      </w:pPr>
      <w:r w:rsidRPr="00996542">
        <w:rPr>
          <w:rFonts w:ascii="Arial Narrow" w:hAnsi="Arial Narrow"/>
          <w:sz w:val="18"/>
          <w:szCs w:val="18"/>
        </w:rPr>
        <w:t>Fuente: Sistema PEI al 19 de enero del 2022 para el año 2021.</w:t>
      </w:r>
    </w:p>
    <w:p w14:paraId="51A1F4A1" w14:textId="4D32B0E9" w:rsidR="005940C6" w:rsidRDefault="005940C6" w:rsidP="00696737">
      <w:pPr>
        <w:spacing w:line="276" w:lineRule="auto"/>
        <w:jc w:val="both"/>
        <w:rPr>
          <w:rFonts w:ascii="Arial Narrow" w:hAnsi="Arial Narrow"/>
          <w:sz w:val="18"/>
          <w:szCs w:val="18"/>
        </w:rPr>
      </w:pPr>
    </w:p>
    <w:p w14:paraId="2CB9AE1E" w14:textId="77777777" w:rsidR="005940C6" w:rsidRDefault="005940C6" w:rsidP="00696737">
      <w:pPr>
        <w:spacing w:line="276" w:lineRule="auto"/>
        <w:jc w:val="both"/>
        <w:rPr>
          <w:rFonts w:ascii="Arial Narrow" w:hAnsi="Arial Narrow"/>
        </w:rPr>
      </w:pPr>
    </w:p>
    <w:p w14:paraId="3521E4AA" w14:textId="66F99DC7" w:rsidR="00891843" w:rsidRDefault="00696737" w:rsidP="005940C6">
      <w:pPr>
        <w:jc w:val="both"/>
        <w:rPr>
          <w:rFonts w:ascii="Arial Narrow" w:hAnsi="Arial Narrow"/>
        </w:rPr>
      </w:pPr>
      <w:r>
        <w:rPr>
          <w:rFonts w:ascii="Arial Narrow" w:hAnsi="Arial Narrow"/>
        </w:rPr>
        <w:t xml:space="preserve">Por su parte, la meta estratégica relacionada a </w:t>
      </w:r>
      <w:r w:rsidRPr="00DC2581">
        <w:rPr>
          <w:rFonts w:ascii="Arial Narrow" w:hAnsi="Arial Narrow"/>
        </w:rPr>
        <w:t>propuesta</w:t>
      </w:r>
      <w:r>
        <w:rPr>
          <w:rFonts w:ascii="Arial Narrow" w:hAnsi="Arial Narrow"/>
        </w:rPr>
        <w:t>s</w:t>
      </w:r>
      <w:r w:rsidRPr="00DC2581">
        <w:rPr>
          <w:rFonts w:ascii="Arial Narrow" w:hAnsi="Arial Narrow"/>
        </w:rPr>
        <w:t xml:space="preserve"> de mejora, acorde con el modelo de sostenibilidad, para disminuir la cantidad de casos en el circulante activo de mayor antigüedad en la materia </w:t>
      </w:r>
      <w:r>
        <w:rPr>
          <w:rFonts w:ascii="Arial Narrow" w:hAnsi="Arial Narrow"/>
        </w:rPr>
        <w:t xml:space="preserve">Contenciosa se tiene un cumplimiento alto de 100% de acuerdo con lo registrado por parte de las oficinas Contenciosas, lo anterior documentado por medio del Sistema PAO. </w:t>
      </w:r>
    </w:p>
    <w:p w14:paraId="1126D26F" w14:textId="77777777" w:rsidR="00B84297" w:rsidRDefault="00B84297" w:rsidP="005940C6">
      <w:pPr>
        <w:jc w:val="both"/>
        <w:rPr>
          <w:rFonts w:ascii="Arial Narrow" w:hAnsi="Arial Narrow"/>
        </w:rPr>
      </w:pPr>
    </w:p>
    <w:p w14:paraId="550DA75A" w14:textId="36D210C3" w:rsidR="005940C6" w:rsidRDefault="33DA6F52" w:rsidP="005940C6">
      <w:pPr>
        <w:jc w:val="both"/>
        <w:rPr>
          <w:rFonts w:ascii="Arial Narrow" w:hAnsi="Arial Narrow"/>
        </w:rPr>
      </w:pPr>
      <w:r w:rsidRPr="0F07E111">
        <w:rPr>
          <w:rFonts w:ascii="Arial Narrow" w:hAnsi="Arial Narrow"/>
        </w:rPr>
        <w:t>En lo relacionado a la materia Familia, los despachos registraron diversos planes de mejora, sin embargo, la meta reportada por los despachos quedo en un 94% de cumplimiento, esto debido a que 4 oficinas no alcanzaron el 100% a saber: Juzgado Civil, Trabajo, Agrario, Familia</w:t>
      </w:r>
      <w:r w:rsidRPr="00322D9B">
        <w:rPr>
          <w:rFonts w:ascii="Arial Narrow" w:hAnsi="Arial Narrow"/>
        </w:rPr>
        <w:t xml:space="preserve"> </w:t>
      </w:r>
      <w:r w:rsidRPr="0F07E111">
        <w:rPr>
          <w:rFonts w:ascii="Arial Narrow" w:hAnsi="Arial Narrow"/>
        </w:rPr>
        <w:t xml:space="preserve"> Penal Juvenil, V</w:t>
      </w:r>
      <w:r w:rsidR="4A449290" w:rsidRPr="00322D9B">
        <w:rPr>
          <w:rFonts w:ascii="Arial Narrow" w:hAnsi="Arial Narrow"/>
        </w:rPr>
        <w:t xml:space="preserve">iolencia </w:t>
      </w:r>
      <w:r w:rsidRPr="0F07E111">
        <w:rPr>
          <w:rFonts w:ascii="Arial Narrow" w:hAnsi="Arial Narrow"/>
        </w:rPr>
        <w:t>D</w:t>
      </w:r>
      <w:r w:rsidR="4A449290" w:rsidRPr="00322D9B">
        <w:rPr>
          <w:rFonts w:ascii="Arial Narrow" w:hAnsi="Arial Narrow"/>
        </w:rPr>
        <w:t>oméstica</w:t>
      </w:r>
      <w:r w:rsidRPr="0F07E111">
        <w:rPr>
          <w:rFonts w:ascii="Arial Narrow" w:hAnsi="Arial Narrow"/>
        </w:rPr>
        <w:t xml:space="preserve"> de Alajuela, Sede Upala (</w:t>
      </w:r>
      <w:r w:rsidR="4D575AA9" w:rsidRPr="00322D9B">
        <w:rPr>
          <w:rFonts w:ascii="Arial Narrow" w:hAnsi="Arial Narrow"/>
          <w:lang w:val="es-ES"/>
        </w:rPr>
        <w:t xml:space="preserve">El despacho informa que </w:t>
      </w:r>
      <w:r w:rsidR="4D575AA9" w:rsidRPr="0F07E111">
        <w:rPr>
          <w:rFonts w:ascii="Arial Narrow" w:hAnsi="Arial Narrow"/>
          <w:lang w:val="es-ES"/>
        </w:rPr>
        <w:t xml:space="preserve">efectuó </w:t>
      </w:r>
      <w:r w:rsidR="0F07E111" w:rsidRPr="0F07E111">
        <w:rPr>
          <w:rFonts w:ascii="Arial Narrow" w:eastAsia="Arial Narrow" w:hAnsi="Arial Narrow" w:cs="Arial Narrow"/>
          <w:color w:val="242424"/>
          <w:lang w:val="es-ES"/>
        </w:rPr>
        <w:t>cuatro planes de trabajo enfocados en el trámite y fallo de asuntos, ambos con personal supernumerario del Circuito</w:t>
      </w:r>
      <w:r w:rsidR="0F07E111" w:rsidRPr="0F07E111">
        <w:rPr>
          <w:rFonts w:ascii="Arial Narrow" w:hAnsi="Arial Narrow"/>
          <w:lang w:val="es-ES"/>
        </w:rPr>
        <w:t xml:space="preserve"> </w:t>
      </w:r>
      <w:r w:rsidR="4D575AA9" w:rsidRPr="00322D9B">
        <w:rPr>
          <w:rFonts w:ascii="Arial Narrow" w:hAnsi="Arial Narrow"/>
          <w:lang w:val="es-ES"/>
        </w:rPr>
        <w:t>mes a mes para reducir el circulante)</w:t>
      </w:r>
      <w:r w:rsidRPr="0F07E111">
        <w:rPr>
          <w:rFonts w:ascii="Arial Narrow" w:hAnsi="Arial Narrow"/>
        </w:rPr>
        <w:t xml:space="preserve">, Juzgado Civil, Trabajo y Familia de Puriscal, Juzgado de Familia del Segundo Circuito de San José y Juzgado de Familia del Segundo Circuito de </w:t>
      </w:r>
      <w:r w:rsidR="0088514B" w:rsidRPr="0F07E111">
        <w:rPr>
          <w:rFonts w:ascii="Arial Narrow" w:hAnsi="Arial Narrow"/>
        </w:rPr>
        <w:t>Alajuela, este</w:t>
      </w:r>
      <w:r w:rsidRPr="0F07E111">
        <w:rPr>
          <w:rFonts w:ascii="Arial Narrow" w:hAnsi="Arial Narrow"/>
        </w:rPr>
        <w:t xml:space="preserve"> último</w:t>
      </w:r>
      <w:r w:rsidR="312D0614" w:rsidRPr="0F07E111">
        <w:rPr>
          <w:rFonts w:ascii="Arial Narrow" w:hAnsi="Arial Narrow"/>
        </w:rPr>
        <w:t xml:space="preserve"> como parte del Modelo de Sostenibilidad se informa que </w:t>
      </w:r>
      <w:r w:rsidR="312D0614" w:rsidRPr="0F07E111">
        <w:rPr>
          <w:rFonts w:ascii="Arial Narrow" w:hAnsi="Arial Narrow"/>
          <w:lang w:val="es-ES"/>
        </w:rPr>
        <w:t xml:space="preserve">que si se realizaron </w:t>
      </w:r>
      <w:r w:rsidR="4D575AA9" w:rsidRPr="00322D9B">
        <w:rPr>
          <w:rFonts w:ascii="Arial Narrow" w:hAnsi="Arial Narrow"/>
          <w:lang w:val="es-ES"/>
        </w:rPr>
        <w:t>planes remediales mes a mes para reducir el circulante</w:t>
      </w:r>
      <w:r w:rsidR="312D0614" w:rsidRPr="0F07E111">
        <w:rPr>
          <w:rFonts w:ascii="Arial Narrow" w:hAnsi="Arial Narrow"/>
          <w:lang w:val="es-ES"/>
        </w:rPr>
        <w:t xml:space="preserve">, en este despacho se  realizaron además planes de trabajo en el fallo de asuntos. </w:t>
      </w:r>
    </w:p>
    <w:p w14:paraId="5327E3C4" w14:textId="7D6B0507" w:rsidR="00696737" w:rsidRDefault="00696737" w:rsidP="005940C6">
      <w:pPr>
        <w:jc w:val="both"/>
        <w:rPr>
          <w:rFonts w:ascii="Arial Narrow" w:hAnsi="Arial Narrow"/>
        </w:rPr>
      </w:pPr>
      <w:r>
        <w:rPr>
          <w:rFonts w:ascii="Arial Narrow" w:hAnsi="Arial Narrow"/>
        </w:rPr>
        <w:t xml:space="preserve">Por su parte,  las </w:t>
      </w:r>
      <w:r w:rsidRPr="00DC2581">
        <w:rPr>
          <w:rFonts w:ascii="Arial Narrow" w:hAnsi="Arial Narrow"/>
        </w:rPr>
        <w:t>propuesta</w:t>
      </w:r>
      <w:r>
        <w:rPr>
          <w:rFonts w:ascii="Arial Narrow" w:hAnsi="Arial Narrow"/>
        </w:rPr>
        <w:t>s</w:t>
      </w:r>
      <w:r w:rsidRPr="00DC2581">
        <w:rPr>
          <w:rFonts w:ascii="Arial Narrow" w:hAnsi="Arial Narrow"/>
        </w:rPr>
        <w:t xml:space="preserve"> de mejora</w:t>
      </w:r>
      <w:r>
        <w:rPr>
          <w:rFonts w:ascii="Arial Narrow" w:hAnsi="Arial Narrow"/>
        </w:rPr>
        <w:t xml:space="preserve"> </w:t>
      </w:r>
      <w:r w:rsidRPr="00DC2581">
        <w:rPr>
          <w:rFonts w:ascii="Arial Narrow" w:hAnsi="Arial Narrow"/>
        </w:rPr>
        <w:t xml:space="preserve">para disminuir la cantidad de casos en el circulante activo de mayor antigüedad en la materia </w:t>
      </w:r>
      <w:r>
        <w:rPr>
          <w:rFonts w:ascii="Arial Narrow" w:hAnsi="Arial Narrow"/>
        </w:rPr>
        <w:t xml:space="preserve">de Pensiones Alimentarias, los despachos registraron por medio del Sistema PAO diversos planes de mejora, sin embargo, la meta reportada por las oficinas quedó en un 98% de cumplimiento, debido a que 9 oficinas no completaron en su totalidad la meta operativa (Juzgado Contravencional y Pensiones Alimentarias del Primer Circuito de Guanacaste, Juzgado Contravencional de Poás, Juzgado Contravencional de Corredores, Juzgado Contravencional de Alajuelita, Juzgado Contravencional de Cañas, Juzgado Contravencional de los Chiles, Juzgado Contravencional de Abangares, Juzgado Contravencional de Montes de Oro, Juzgado de Pensiones, Violencia Domestica de Escazú). </w:t>
      </w:r>
    </w:p>
    <w:p w14:paraId="0DACE804" w14:textId="46A3D43D" w:rsidR="00C94431" w:rsidRDefault="00C94431" w:rsidP="005940C6">
      <w:pPr>
        <w:jc w:val="both"/>
        <w:rPr>
          <w:rFonts w:ascii="Arial Narrow" w:hAnsi="Arial Narrow"/>
        </w:rPr>
      </w:pPr>
    </w:p>
    <w:p w14:paraId="16120141" w14:textId="77777777" w:rsidR="0088514B" w:rsidRDefault="0088514B" w:rsidP="005940C6">
      <w:pPr>
        <w:jc w:val="both"/>
        <w:rPr>
          <w:rFonts w:ascii="Arial Narrow" w:hAnsi="Arial Narrow"/>
        </w:rPr>
      </w:pPr>
    </w:p>
    <w:p w14:paraId="46F04482" w14:textId="77777777" w:rsidR="00C94431" w:rsidRDefault="00B56A16" w:rsidP="00696737">
      <w:pPr>
        <w:jc w:val="center"/>
        <w:rPr>
          <w:rFonts w:ascii="Arial Narrow" w:eastAsia="Calibri" w:hAnsi="Arial Narrow"/>
          <w:b/>
          <w:bCs/>
          <w:sz w:val="22"/>
          <w:szCs w:val="22"/>
          <w:lang w:eastAsia="en-US"/>
        </w:rPr>
      </w:pPr>
      <w:r w:rsidRPr="00C847FC">
        <w:rPr>
          <w:rFonts w:ascii="Arial Narrow" w:hAnsi="Arial Narrow"/>
          <w:b/>
          <w:bCs/>
          <w:sz w:val="22"/>
          <w:szCs w:val="22"/>
        </w:rPr>
        <w:t xml:space="preserve">Cuadro  </w:t>
      </w:r>
      <w:r w:rsidRPr="00C847FC">
        <w:rPr>
          <w:rFonts w:ascii="Arial Narrow" w:hAnsi="Arial Narrow"/>
          <w:b/>
          <w:bCs/>
          <w:sz w:val="22"/>
          <w:szCs w:val="22"/>
        </w:rPr>
        <w:fldChar w:fldCharType="begin"/>
      </w:r>
      <w:r w:rsidRPr="00C847FC">
        <w:rPr>
          <w:rFonts w:ascii="Arial Narrow" w:hAnsi="Arial Narrow"/>
          <w:b/>
          <w:bCs/>
          <w:sz w:val="22"/>
          <w:szCs w:val="22"/>
        </w:rPr>
        <w:instrText xml:space="preserve"> SEQ Cuadro_No. \* ARABIC </w:instrText>
      </w:r>
      <w:r w:rsidRPr="00C847FC">
        <w:rPr>
          <w:rFonts w:ascii="Arial Narrow" w:hAnsi="Arial Narrow"/>
          <w:b/>
          <w:bCs/>
          <w:sz w:val="22"/>
          <w:szCs w:val="22"/>
        </w:rPr>
        <w:fldChar w:fldCharType="separate"/>
      </w:r>
      <w:r w:rsidR="002F520A">
        <w:rPr>
          <w:rFonts w:ascii="Arial Narrow" w:hAnsi="Arial Narrow"/>
          <w:b/>
          <w:bCs/>
          <w:noProof/>
          <w:sz w:val="22"/>
          <w:szCs w:val="22"/>
        </w:rPr>
        <w:t>20</w:t>
      </w:r>
      <w:r w:rsidRPr="00C847FC">
        <w:rPr>
          <w:rFonts w:ascii="Arial Narrow" w:hAnsi="Arial Narrow"/>
          <w:b/>
          <w:bCs/>
          <w:sz w:val="22"/>
          <w:szCs w:val="22"/>
        </w:rPr>
        <w:fldChar w:fldCharType="end"/>
      </w:r>
      <w:r w:rsidRPr="00C847FC">
        <w:rPr>
          <w:rFonts w:ascii="Arial Narrow" w:eastAsia="Calibri" w:hAnsi="Arial Narrow"/>
          <w:b/>
          <w:bCs/>
          <w:sz w:val="22"/>
          <w:szCs w:val="22"/>
          <w:lang w:eastAsia="en-US"/>
        </w:rPr>
        <w:t xml:space="preserve"> Metas estratégicas de </w:t>
      </w:r>
      <w:r>
        <w:rPr>
          <w:rFonts w:ascii="Arial Narrow" w:eastAsia="Calibri" w:hAnsi="Arial Narrow"/>
          <w:b/>
          <w:bCs/>
          <w:sz w:val="22"/>
          <w:szCs w:val="22"/>
          <w:lang w:eastAsia="en-US"/>
        </w:rPr>
        <w:t>Celeridad Judicial</w:t>
      </w:r>
      <w:r w:rsidRPr="00C847FC">
        <w:rPr>
          <w:rFonts w:ascii="Arial Narrow" w:eastAsia="Calibri" w:hAnsi="Arial Narrow"/>
          <w:b/>
          <w:bCs/>
          <w:sz w:val="22"/>
          <w:szCs w:val="22"/>
          <w:lang w:eastAsia="en-US"/>
        </w:rPr>
        <w:t xml:space="preserve"> y su cumplimiento para el 20</w:t>
      </w:r>
      <w:r>
        <w:rPr>
          <w:rFonts w:ascii="Arial Narrow" w:eastAsia="Calibri" w:hAnsi="Arial Narrow"/>
          <w:b/>
          <w:bCs/>
          <w:sz w:val="22"/>
          <w:szCs w:val="22"/>
          <w:lang w:eastAsia="en-US"/>
        </w:rPr>
        <w:t>21</w:t>
      </w:r>
    </w:p>
    <w:p w14:paraId="12C7288B" w14:textId="77777777" w:rsidR="00C94431" w:rsidRDefault="00C94431" w:rsidP="00696737">
      <w:pPr>
        <w:jc w:val="center"/>
        <w:rPr>
          <w:rFonts w:ascii="Arial Narrow" w:eastAsia="Calibri" w:hAnsi="Arial Narrow"/>
          <w:b/>
          <w:bCs/>
          <w:sz w:val="22"/>
          <w:szCs w:val="22"/>
          <w:lang w:eastAsia="en-US"/>
        </w:rPr>
      </w:pPr>
    </w:p>
    <w:p w14:paraId="0259C9C0" w14:textId="0A8105C6" w:rsidR="00696737" w:rsidRDefault="00696737" w:rsidP="00696737">
      <w:pPr>
        <w:jc w:val="center"/>
        <w:rPr>
          <w:rFonts w:ascii="Arial Narrow" w:hAnsi="Arial Narrow"/>
        </w:rPr>
      </w:pPr>
      <w:r>
        <w:rPr>
          <w:noProof/>
        </w:rPr>
        <w:drawing>
          <wp:inline distT="0" distB="0" distL="0" distR="0" wp14:anchorId="56E8C1B7" wp14:editId="3A5C5DED">
            <wp:extent cx="5575260" cy="2667635"/>
            <wp:effectExtent l="19050" t="19050" r="26035" b="18415"/>
            <wp:docPr id="38" name="Imagen 38" descr="Una captura de pantalla de un celular con letra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descr="Una captura de pantalla de un celular con letras&#10;&#10;Descripción generada automáticamente con confianza baja"/>
                    <pic:cNvPicPr/>
                  </pic:nvPicPr>
                  <pic:blipFill rotWithShape="1">
                    <a:blip r:embed="rId73"/>
                    <a:srcRect r="657"/>
                    <a:stretch/>
                  </pic:blipFill>
                  <pic:spPr bwMode="auto">
                    <a:xfrm>
                      <a:off x="0" y="0"/>
                      <a:ext cx="5575260" cy="266763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99D753C" w14:textId="6F2A5089" w:rsidR="00696737" w:rsidRDefault="00696737" w:rsidP="00B54439">
      <w:pPr>
        <w:spacing w:line="276" w:lineRule="auto"/>
        <w:jc w:val="center"/>
        <w:rPr>
          <w:rFonts w:ascii="Arial Narrow" w:hAnsi="Arial Narrow"/>
          <w:sz w:val="18"/>
          <w:szCs w:val="18"/>
        </w:rPr>
      </w:pPr>
      <w:r w:rsidRPr="00996542">
        <w:rPr>
          <w:rFonts w:ascii="Arial Narrow" w:hAnsi="Arial Narrow"/>
          <w:sz w:val="18"/>
          <w:szCs w:val="18"/>
        </w:rPr>
        <w:t>Fuente: Sistema PEI al 19 de enero del 2022 para el año 2021.</w:t>
      </w:r>
    </w:p>
    <w:p w14:paraId="45609905" w14:textId="77777777" w:rsidR="005940C6" w:rsidRDefault="005940C6" w:rsidP="00696737">
      <w:pPr>
        <w:spacing w:line="276" w:lineRule="auto"/>
        <w:jc w:val="both"/>
        <w:rPr>
          <w:rFonts w:ascii="Arial Narrow" w:hAnsi="Arial Narrow"/>
        </w:rPr>
      </w:pPr>
    </w:p>
    <w:p w14:paraId="7A04B161" w14:textId="78852E93" w:rsidR="00891843" w:rsidRPr="00322D9B" w:rsidRDefault="3A32CC9C" w:rsidP="0F07E111">
      <w:pPr>
        <w:spacing w:line="257" w:lineRule="auto"/>
        <w:jc w:val="both"/>
        <w:rPr>
          <w:rFonts w:ascii="Arial Narrow" w:hAnsi="Arial Narrow"/>
        </w:rPr>
      </w:pPr>
      <w:r w:rsidRPr="0F07E111">
        <w:rPr>
          <w:rFonts w:ascii="Arial Narrow" w:hAnsi="Arial Narrow"/>
        </w:rPr>
        <w:t>Por su parte, la meta estratégica relacionada a propuestas de mejora, acorde con el modelo de sostenibilidad, para disminuir la cantidad de casos en el circulante activo de mayor antigüedad en la materia Laboral se tiene un cumplimiento alto de 94% de acuerdo con lo registrado por parte de las oficinas competentes en trabajo, lo anterior documentado por medio del Sistema PAO. Las oficinas que no lograron completar el 100% fueron: Juzgado Contravencional de Bribri</w:t>
      </w:r>
      <w:r w:rsidRPr="00322D9B">
        <w:rPr>
          <w:rFonts w:ascii="Arial Narrow" w:hAnsi="Arial Narrow"/>
        </w:rPr>
        <w:t xml:space="preserve"> (se </w:t>
      </w:r>
      <w:r w:rsidR="0F07E111" w:rsidRPr="00322D9B">
        <w:rPr>
          <w:rFonts w:ascii="Arial Narrow" w:hAnsi="Arial Narrow"/>
        </w:rPr>
        <w:t>formularon un total de 13 planes de trabajo (incluye modificaciones del plan) que contemplaban: fallo en Pensiones Alimentarias, depuración de expedientes para reducir el circulante, toma de denuncias, trámite, apremios, actualización de tarjetas en el SDJ, atención de llamadas telefónicas y puesto de manifestación</w:t>
      </w:r>
      <w:r w:rsidRPr="00322D9B">
        <w:rPr>
          <w:rFonts w:ascii="Arial Narrow" w:hAnsi="Arial Narrow"/>
        </w:rPr>
        <w:t>)</w:t>
      </w:r>
      <w:r w:rsidRPr="0F07E111">
        <w:rPr>
          <w:rFonts w:ascii="Arial Narrow" w:hAnsi="Arial Narrow"/>
        </w:rPr>
        <w:t xml:space="preserve">, Juzgado de Trabajo del Segundo Circuito de San José, Juzgado Contravencional de los Chiles, Juzgado Contravencional de Abangares, Juzgado Contravencional de Siquirres, Juzgado de Trabajo del Primer Circuito Zona </w:t>
      </w:r>
      <w:r w:rsidR="0088514B" w:rsidRPr="0F07E111">
        <w:rPr>
          <w:rFonts w:ascii="Arial Narrow" w:hAnsi="Arial Narrow"/>
        </w:rPr>
        <w:t>Atlántica</w:t>
      </w:r>
      <w:r w:rsidR="0088514B" w:rsidRPr="00D52359">
        <w:rPr>
          <w:rFonts w:ascii="Arial Narrow" w:hAnsi="Arial Narrow"/>
        </w:rPr>
        <w:t>, como</w:t>
      </w:r>
      <w:r w:rsidR="338F0FC1" w:rsidRPr="00322D9B">
        <w:rPr>
          <w:rFonts w:ascii="Arial Narrow" w:hAnsi="Arial Narrow"/>
        </w:rPr>
        <w:t xml:space="preserve"> parte del Modelo de Sostenibilidad se </w:t>
      </w:r>
      <w:r w:rsidR="7C506C51" w:rsidRPr="00322D9B">
        <w:rPr>
          <w:rFonts w:ascii="Arial Narrow" w:hAnsi="Arial Narrow"/>
        </w:rPr>
        <w:t>formul</w:t>
      </w:r>
      <w:r w:rsidR="338F0FC1" w:rsidRPr="00322D9B">
        <w:rPr>
          <w:rFonts w:ascii="Arial Narrow" w:hAnsi="Arial Narrow"/>
        </w:rPr>
        <w:t>ó</w:t>
      </w:r>
      <w:r w:rsidR="7C506C51" w:rsidRPr="00322D9B">
        <w:rPr>
          <w:rFonts w:ascii="Arial Narrow" w:hAnsi="Arial Narrow"/>
        </w:rPr>
        <w:t xml:space="preserve"> un plan con la Gestoría para expedientes antiguos los cuales son muy complejos y con abundante prueba y se encuentra en </w:t>
      </w:r>
      <w:r w:rsidR="0088514B" w:rsidRPr="00322D9B">
        <w:rPr>
          <w:rFonts w:ascii="Arial Narrow" w:hAnsi="Arial Narrow"/>
        </w:rPr>
        <w:t>proceso, se</w:t>
      </w:r>
      <w:r w:rsidR="0F07E111" w:rsidRPr="00322D9B">
        <w:rPr>
          <w:rFonts w:ascii="Arial Narrow" w:hAnsi="Arial Narrow"/>
        </w:rPr>
        <w:t xml:space="preserve"> hicieron un total de 17 planes de trabajo (incluye modificaciones del Plan), para atención de llamadas, realización de audiencia y dictado de sentencia, trámite, actualización de los sistemas.</w:t>
      </w:r>
      <w:r w:rsidR="7C506C51" w:rsidRPr="00322D9B">
        <w:rPr>
          <w:rFonts w:ascii="Arial Narrow" w:hAnsi="Arial Narrow"/>
        </w:rPr>
        <w:t>)</w:t>
      </w:r>
      <w:r w:rsidRPr="0F07E111">
        <w:rPr>
          <w:rFonts w:ascii="Arial Narrow" w:hAnsi="Arial Narrow"/>
        </w:rPr>
        <w:t xml:space="preserve">, Juzgado Trabajo de Santa Cruz, Juzgado Civil, Trabajo, Agrario, Familia, Penal Juvenil, </w:t>
      </w:r>
      <w:r w:rsidR="3360BD5D" w:rsidRPr="00322D9B">
        <w:rPr>
          <w:rFonts w:ascii="Arial Narrow" w:hAnsi="Arial Narrow"/>
        </w:rPr>
        <w:t xml:space="preserve">Violencia Doméstica </w:t>
      </w:r>
      <w:r w:rsidRPr="0F07E111">
        <w:rPr>
          <w:rFonts w:ascii="Arial Narrow" w:hAnsi="Arial Narrow"/>
        </w:rPr>
        <w:t xml:space="preserve"> de Alajuela, Sede </w:t>
      </w:r>
      <w:r w:rsidR="338F0FC1" w:rsidRPr="0F07E111">
        <w:rPr>
          <w:rFonts w:ascii="Arial Narrow" w:hAnsi="Arial Narrow"/>
        </w:rPr>
        <w:t>Upala, como parte del Modelo de Sostenibilidad se informa que</w:t>
      </w:r>
      <w:r w:rsidR="00B00484">
        <w:rPr>
          <w:rFonts w:ascii="Arial Narrow" w:hAnsi="Arial Narrow"/>
        </w:rPr>
        <w:t>,</w:t>
      </w:r>
      <w:r w:rsidR="338F0FC1" w:rsidRPr="0F07E111">
        <w:rPr>
          <w:rFonts w:ascii="Arial Narrow" w:hAnsi="Arial Narrow"/>
        </w:rPr>
        <w:t xml:space="preserve"> </w:t>
      </w:r>
      <w:r w:rsidR="338F0FC1" w:rsidRPr="00322D9B">
        <w:rPr>
          <w:rFonts w:ascii="Arial Narrow" w:hAnsi="Arial Narrow"/>
        </w:rPr>
        <w:t xml:space="preserve">si se realizaron planes remediales mes a mes para reducir el circulante </w:t>
      </w:r>
    </w:p>
    <w:p w14:paraId="4C9CBB22" w14:textId="7FDB21CA" w:rsidR="00891843" w:rsidRDefault="3A32CC9C" w:rsidP="03BF0815">
      <w:pPr>
        <w:jc w:val="both"/>
        <w:rPr>
          <w:rFonts w:ascii="Arial Narrow" w:hAnsi="Arial Narrow"/>
        </w:rPr>
      </w:pPr>
      <w:r w:rsidRPr="0F07E111">
        <w:rPr>
          <w:rFonts w:ascii="Arial Narrow" w:hAnsi="Arial Narrow"/>
        </w:rPr>
        <w:t xml:space="preserve">, Juzgado Civil, Trabajo, Penal Juvenil, VD de Puriscal). </w:t>
      </w:r>
      <w:r w:rsidR="7789219C" w:rsidRPr="0F07E111">
        <w:rPr>
          <w:rFonts w:ascii="Arial Narrow" w:hAnsi="Arial Narrow"/>
        </w:rPr>
        <w:t xml:space="preserve"> </w:t>
      </w:r>
    </w:p>
    <w:p w14:paraId="56D30875" w14:textId="77777777" w:rsidR="00891843" w:rsidRDefault="00891843" w:rsidP="005940C6">
      <w:pPr>
        <w:jc w:val="both"/>
        <w:rPr>
          <w:rFonts w:ascii="Arial Narrow" w:hAnsi="Arial Narrow"/>
        </w:rPr>
      </w:pPr>
    </w:p>
    <w:p w14:paraId="072216D7" w14:textId="44C4E684" w:rsidR="0088514B" w:rsidRDefault="3C2435A8" w:rsidP="0F07E111">
      <w:pPr>
        <w:jc w:val="both"/>
        <w:rPr>
          <w:rFonts w:ascii="Arial Narrow" w:hAnsi="Arial Narrow"/>
        </w:rPr>
      </w:pPr>
      <w:r w:rsidRPr="0F07E111">
        <w:rPr>
          <w:rFonts w:ascii="Arial Narrow" w:hAnsi="Arial Narrow"/>
        </w:rPr>
        <w:t>En lo relacionado a la materia penal, los despachos registraron diversos planes de mejora, sin embargo, la meta reportada por los despachos quedo en un 94% de cumplimiento, esto debido a que 7 oficinas no alcanzaron el 100% a saber: Juzgado Penal de Hatillo, Juzgado Penal del Primer Circuito de San José, Juzgado Penal de Primer Circuito de Zona Atlántica, Juzgado Penal de Pavas, Juzgado Penal del Segundo Circuito de Guanacaste, Juzgado Penal de Garabito, Juzgado Penal del Primer Circuito de Guanacaste</w:t>
      </w:r>
      <w:r w:rsidR="0F07E111" w:rsidRPr="00322D9B">
        <w:rPr>
          <w:rFonts w:ascii="Arial Narrow" w:hAnsi="Arial Narrow"/>
        </w:rPr>
        <w:t xml:space="preserve"> (Se implementó el trámite de asuntos rezagados en los escritorios de cada persona técnica judicial. Asimismo, se efectuó un cambio de personal, sustancialmente en el caso del recurso juzgador, por lo cual han estado retomando los temas administrativos por parte de la nueva persona juzgadora en coordinación para brindar la atención de las tareas solicitada)</w:t>
      </w:r>
      <w:r w:rsidR="0088514B">
        <w:rPr>
          <w:rFonts w:ascii="Arial Narrow" w:hAnsi="Arial Narrow"/>
        </w:rPr>
        <w:t>.</w:t>
      </w:r>
    </w:p>
    <w:p w14:paraId="3124E322" w14:textId="77777777" w:rsidR="005940C6" w:rsidRDefault="005940C6" w:rsidP="005940C6">
      <w:pPr>
        <w:jc w:val="both"/>
        <w:rPr>
          <w:rFonts w:ascii="Arial Narrow" w:hAnsi="Arial Narrow"/>
        </w:rPr>
      </w:pPr>
    </w:p>
    <w:p w14:paraId="06F1EE8A" w14:textId="6E43C281" w:rsidR="00696737" w:rsidRDefault="68EC8F7A" w:rsidP="0F07E111">
      <w:pPr>
        <w:jc w:val="both"/>
        <w:rPr>
          <w:rFonts w:ascii="Arial Narrow" w:hAnsi="Arial Narrow"/>
        </w:rPr>
      </w:pPr>
      <w:r w:rsidRPr="0F07E111">
        <w:rPr>
          <w:rFonts w:ascii="Arial Narrow" w:hAnsi="Arial Narrow"/>
        </w:rPr>
        <w:t>Por su parte, los tribunales penales registraron un cumplimiento superior de 96% y debido a que solamente 3 oficinas no alcanzaron la meta de 100%, los cuales fueron Tribunal Penal del Primer Circuito de Zona Atlántica</w:t>
      </w:r>
      <w:r w:rsidRPr="00322D9B">
        <w:rPr>
          <w:rFonts w:ascii="Arial Narrow" w:hAnsi="Arial Narrow"/>
        </w:rPr>
        <w:t xml:space="preserve"> (s</w:t>
      </w:r>
      <w:r w:rsidR="0F07E111" w:rsidRPr="00322D9B">
        <w:rPr>
          <w:rFonts w:ascii="Arial Narrow" w:hAnsi="Arial Narrow"/>
        </w:rPr>
        <w:t xml:space="preserve">e hicieron 25 planes de trabajo que eran para el puesto de manifestación, técnico de trámite, debido a una plaza de apoyo de Juez en </w:t>
      </w:r>
      <w:r w:rsidR="00B00484" w:rsidRPr="00322D9B">
        <w:rPr>
          <w:rFonts w:ascii="Arial Narrow" w:hAnsi="Arial Narrow"/>
        </w:rPr>
        <w:t>Bribri</w:t>
      </w:r>
      <w:r w:rsidR="0F07E111" w:rsidRPr="00322D9B">
        <w:rPr>
          <w:rFonts w:ascii="Arial Narrow" w:hAnsi="Arial Narrow"/>
        </w:rPr>
        <w:t xml:space="preserve"> para atender el Circulante y reducir el mismo en dicha zona y persona técnica para la depuración de evidencias y juez de trámite para señalamientos)</w:t>
      </w:r>
      <w:r w:rsidRPr="0F07E111">
        <w:rPr>
          <w:rFonts w:ascii="Arial Narrow" w:hAnsi="Arial Narrow"/>
        </w:rPr>
        <w:t>, Tribunal Penal del Tercer Circuito de San José, Sede Suroeste y Tribunal Penal del Tercer Circuito de Alajuela (San Ramón).</w:t>
      </w:r>
      <w:r w:rsidR="084CDB19" w:rsidRPr="0F07E111">
        <w:rPr>
          <w:rFonts w:ascii="Arial Narrow" w:hAnsi="Arial Narrow"/>
        </w:rPr>
        <w:t xml:space="preserve"> </w:t>
      </w:r>
    </w:p>
    <w:p w14:paraId="653F215B" w14:textId="77777777" w:rsidR="00B56A16" w:rsidRDefault="00B56A16" w:rsidP="00696737">
      <w:pPr>
        <w:spacing w:line="360" w:lineRule="auto"/>
        <w:jc w:val="both"/>
        <w:rPr>
          <w:rFonts w:ascii="Arial Narrow" w:hAnsi="Arial Narrow"/>
        </w:rPr>
      </w:pPr>
    </w:p>
    <w:p w14:paraId="627455DC" w14:textId="77777777" w:rsidR="00C94431" w:rsidRDefault="00B56A16" w:rsidP="00696737">
      <w:pPr>
        <w:jc w:val="center"/>
        <w:rPr>
          <w:rFonts w:ascii="Arial Narrow" w:eastAsia="Calibri" w:hAnsi="Arial Narrow"/>
          <w:b/>
          <w:bCs/>
          <w:sz w:val="22"/>
          <w:szCs w:val="22"/>
          <w:lang w:eastAsia="en-US"/>
        </w:rPr>
      </w:pPr>
      <w:r w:rsidRPr="00C847FC">
        <w:rPr>
          <w:rFonts w:ascii="Arial Narrow" w:hAnsi="Arial Narrow"/>
          <w:b/>
          <w:bCs/>
          <w:sz w:val="22"/>
          <w:szCs w:val="22"/>
        </w:rPr>
        <w:t xml:space="preserve">Cuadro  </w:t>
      </w:r>
      <w:r w:rsidRPr="00C847FC">
        <w:rPr>
          <w:rFonts w:ascii="Arial Narrow" w:hAnsi="Arial Narrow"/>
          <w:b/>
          <w:bCs/>
          <w:sz w:val="22"/>
          <w:szCs w:val="22"/>
        </w:rPr>
        <w:fldChar w:fldCharType="begin"/>
      </w:r>
      <w:r w:rsidRPr="00C847FC">
        <w:rPr>
          <w:rFonts w:ascii="Arial Narrow" w:hAnsi="Arial Narrow"/>
          <w:b/>
          <w:bCs/>
          <w:sz w:val="22"/>
          <w:szCs w:val="22"/>
        </w:rPr>
        <w:instrText xml:space="preserve"> SEQ Cuadro_No. \* ARABIC </w:instrText>
      </w:r>
      <w:r w:rsidRPr="00C847FC">
        <w:rPr>
          <w:rFonts w:ascii="Arial Narrow" w:hAnsi="Arial Narrow"/>
          <w:b/>
          <w:bCs/>
          <w:sz w:val="22"/>
          <w:szCs w:val="22"/>
        </w:rPr>
        <w:fldChar w:fldCharType="separate"/>
      </w:r>
      <w:r w:rsidR="002F520A">
        <w:rPr>
          <w:rFonts w:ascii="Arial Narrow" w:hAnsi="Arial Narrow"/>
          <w:b/>
          <w:bCs/>
          <w:noProof/>
          <w:sz w:val="22"/>
          <w:szCs w:val="22"/>
        </w:rPr>
        <w:t>21</w:t>
      </w:r>
      <w:r w:rsidRPr="00C847FC">
        <w:rPr>
          <w:rFonts w:ascii="Arial Narrow" w:hAnsi="Arial Narrow"/>
          <w:b/>
          <w:bCs/>
          <w:sz w:val="22"/>
          <w:szCs w:val="22"/>
        </w:rPr>
        <w:fldChar w:fldCharType="end"/>
      </w:r>
      <w:r w:rsidRPr="00C847FC">
        <w:rPr>
          <w:rFonts w:ascii="Arial Narrow" w:eastAsia="Calibri" w:hAnsi="Arial Narrow"/>
          <w:b/>
          <w:bCs/>
          <w:sz w:val="22"/>
          <w:szCs w:val="22"/>
          <w:lang w:eastAsia="en-US"/>
        </w:rPr>
        <w:t xml:space="preserve"> Metas estratégicas de </w:t>
      </w:r>
      <w:r>
        <w:rPr>
          <w:rFonts w:ascii="Arial Narrow" w:eastAsia="Calibri" w:hAnsi="Arial Narrow"/>
          <w:b/>
          <w:bCs/>
          <w:sz w:val="22"/>
          <w:szCs w:val="22"/>
          <w:lang w:eastAsia="en-US"/>
        </w:rPr>
        <w:t>Celeridad Judicial</w:t>
      </w:r>
      <w:r w:rsidRPr="00C847FC">
        <w:rPr>
          <w:rFonts w:ascii="Arial Narrow" w:eastAsia="Calibri" w:hAnsi="Arial Narrow"/>
          <w:b/>
          <w:bCs/>
          <w:sz w:val="22"/>
          <w:szCs w:val="22"/>
          <w:lang w:eastAsia="en-US"/>
        </w:rPr>
        <w:t xml:space="preserve"> y su cumplimiento para el 20</w:t>
      </w:r>
      <w:r>
        <w:rPr>
          <w:rFonts w:ascii="Arial Narrow" w:eastAsia="Calibri" w:hAnsi="Arial Narrow"/>
          <w:b/>
          <w:bCs/>
          <w:sz w:val="22"/>
          <w:szCs w:val="22"/>
          <w:lang w:eastAsia="en-US"/>
        </w:rPr>
        <w:t>21</w:t>
      </w:r>
    </w:p>
    <w:p w14:paraId="6320722F" w14:textId="77777777" w:rsidR="00C94431" w:rsidRDefault="00C94431" w:rsidP="00696737">
      <w:pPr>
        <w:jc w:val="center"/>
        <w:rPr>
          <w:rFonts w:ascii="Arial Narrow" w:eastAsia="Calibri" w:hAnsi="Arial Narrow"/>
          <w:b/>
          <w:bCs/>
          <w:sz w:val="22"/>
          <w:szCs w:val="22"/>
          <w:lang w:eastAsia="en-US"/>
        </w:rPr>
      </w:pPr>
    </w:p>
    <w:p w14:paraId="36DD3A2D" w14:textId="240EB41D" w:rsidR="00696737" w:rsidRDefault="00696737" w:rsidP="00696737">
      <w:pPr>
        <w:jc w:val="center"/>
        <w:rPr>
          <w:rFonts w:ascii="Arial Narrow" w:hAnsi="Arial Narrow"/>
        </w:rPr>
      </w:pPr>
      <w:r>
        <w:rPr>
          <w:noProof/>
        </w:rPr>
        <w:drawing>
          <wp:inline distT="0" distB="0" distL="0" distR="0" wp14:anchorId="048C1BC7" wp14:editId="0E124A22">
            <wp:extent cx="5612130" cy="2339340"/>
            <wp:effectExtent l="19050" t="19050" r="26670" b="22860"/>
            <wp:docPr id="22" name="Imagen 2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descr="Tabla&#10;&#10;Descripción generada automáticamente"/>
                    <pic:cNvPicPr/>
                  </pic:nvPicPr>
                  <pic:blipFill>
                    <a:blip r:embed="rId74"/>
                    <a:stretch>
                      <a:fillRect/>
                    </a:stretch>
                  </pic:blipFill>
                  <pic:spPr>
                    <a:xfrm>
                      <a:off x="0" y="0"/>
                      <a:ext cx="5612130" cy="2339340"/>
                    </a:xfrm>
                    <a:prstGeom prst="rect">
                      <a:avLst/>
                    </a:prstGeom>
                    <a:ln w="12700">
                      <a:solidFill>
                        <a:schemeClr val="tx1"/>
                      </a:solidFill>
                    </a:ln>
                  </pic:spPr>
                </pic:pic>
              </a:graphicData>
            </a:graphic>
          </wp:inline>
        </w:drawing>
      </w:r>
    </w:p>
    <w:p w14:paraId="600DAFA8" w14:textId="77777777" w:rsidR="00696737" w:rsidRDefault="00696737" w:rsidP="00B54439">
      <w:pPr>
        <w:spacing w:line="276" w:lineRule="auto"/>
        <w:jc w:val="center"/>
        <w:rPr>
          <w:rFonts w:ascii="Arial Narrow" w:hAnsi="Arial Narrow"/>
        </w:rPr>
      </w:pPr>
      <w:r w:rsidRPr="00996542">
        <w:rPr>
          <w:rFonts w:ascii="Arial Narrow" w:hAnsi="Arial Narrow"/>
          <w:sz w:val="18"/>
          <w:szCs w:val="18"/>
        </w:rPr>
        <w:t>Fuente: Sistema PEI al 19 de enero del 2022 para el año 2021.</w:t>
      </w:r>
    </w:p>
    <w:p w14:paraId="08189BAC" w14:textId="77777777" w:rsidR="00696737" w:rsidRDefault="00696737" w:rsidP="00696737">
      <w:pPr>
        <w:spacing w:line="276" w:lineRule="auto"/>
        <w:jc w:val="both"/>
        <w:rPr>
          <w:rFonts w:ascii="Arial Narrow" w:hAnsi="Arial Narrow"/>
        </w:rPr>
      </w:pPr>
    </w:p>
    <w:p w14:paraId="3318CE95" w14:textId="18A3F955" w:rsidR="00696737" w:rsidRDefault="33DA6F52" w:rsidP="009B34F4">
      <w:pPr>
        <w:jc w:val="both"/>
        <w:rPr>
          <w:rFonts w:ascii="Arial Narrow" w:hAnsi="Arial Narrow"/>
        </w:rPr>
      </w:pPr>
      <w:r w:rsidRPr="0F07E111">
        <w:rPr>
          <w:rFonts w:ascii="Arial Narrow" w:hAnsi="Arial Narrow"/>
        </w:rPr>
        <w:t xml:space="preserve">Con respecto a la meta sobre la cantidad de informes periciales elaborados o rendidos en las oficinas del Departamento de Trabajo Social y Psicología por año, se tiene que para el 2019 se concluyeron 15.747 informes periciales, y para el 2020 fueron 15.905 casos, por lo que las metas anuales fueron superadas logrando un 100%, para el 2021 se registra el dato </w:t>
      </w:r>
      <w:r w:rsidR="7EC1466D" w:rsidRPr="0F07E111">
        <w:rPr>
          <w:rFonts w:ascii="Arial Narrow" w:hAnsi="Arial Narrow"/>
        </w:rPr>
        <w:t>más</w:t>
      </w:r>
      <w:r w:rsidRPr="0F07E111">
        <w:rPr>
          <w:rFonts w:ascii="Arial Narrow" w:hAnsi="Arial Narrow"/>
        </w:rPr>
        <w:t xml:space="preserve"> alto del periodo con 16.584 informes periciales elaborados o rendidos en las oficinas, lo que representa de igual manera un cumplimiento del 100%. Cabe destacar que solamente 4 oficinas no lograron el 100%, las cuales son Oficina Trabajo Social y Psicología de San Ramón, Oficina Trabajo Social y Psicología Pérez Zeledón,</w:t>
      </w:r>
      <w:r w:rsidR="00980D6E" w:rsidRPr="00980D6E">
        <w:rPr>
          <w:rFonts w:ascii="Arial Narrow" w:hAnsi="Arial Narrow"/>
        </w:rPr>
        <w:t xml:space="preserve"> </w:t>
      </w:r>
      <w:r w:rsidR="00980D6E" w:rsidRPr="0F07E111">
        <w:rPr>
          <w:rFonts w:ascii="Arial Narrow" w:hAnsi="Arial Narrow"/>
        </w:rPr>
        <w:t xml:space="preserve">Oficina Trabajo Social y Psicología del I Circuito Judicial de </w:t>
      </w:r>
      <w:r w:rsidR="00A1357F" w:rsidRPr="0F07E111">
        <w:rPr>
          <w:rFonts w:ascii="Arial Narrow" w:hAnsi="Arial Narrow"/>
        </w:rPr>
        <w:t>Guanacaste</w:t>
      </w:r>
      <w:r w:rsidR="00A1357F">
        <w:rPr>
          <w:rFonts w:ascii="Arial Narrow" w:hAnsi="Arial Narrow"/>
        </w:rPr>
        <w:t>,</w:t>
      </w:r>
      <w:r w:rsidR="00A1357F" w:rsidRPr="0F07E111">
        <w:rPr>
          <w:rFonts w:ascii="Arial Narrow" w:hAnsi="Arial Narrow"/>
        </w:rPr>
        <w:t xml:space="preserve"> Oficina</w:t>
      </w:r>
      <w:r w:rsidRPr="0F07E111">
        <w:rPr>
          <w:rFonts w:ascii="Arial Narrow" w:hAnsi="Arial Narrow"/>
        </w:rPr>
        <w:t xml:space="preserve"> Trabajo Social y Psicología de San Carlos (</w:t>
      </w:r>
      <w:r w:rsidR="4D575AA9" w:rsidRPr="00322D9B">
        <w:rPr>
          <w:rFonts w:ascii="Arial Narrow" w:hAnsi="Arial Narrow"/>
        </w:rPr>
        <w:t>no se da el cumplimento a debido a que, en varias ocasiones de incapacidad, ascensos u otros no se contó con la sustitución requerida, generando una disminución en la cantidad de informes realizados</w:t>
      </w:r>
      <w:r w:rsidR="00260BD2">
        <w:rPr>
          <w:rFonts w:ascii="Arial Narrow" w:hAnsi="Arial Narrow"/>
        </w:rPr>
        <w:t>,</w:t>
      </w:r>
      <w:r w:rsidR="00260BD2" w:rsidRPr="00345B2C">
        <w:rPr>
          <w:rFonts w:ascii="Arial Narrow" w:hAnsi="Arial Narrow"/>
        </w:rPr>
        <w:t xml:space="preserve"> adicionalmente se </w:t>
      </w:r>
      <w:r w:rsidR="00260BD2">
        <w:rPr>
          <w:rFonts w:ascii="Arial Narrow" w:hAnsi="Arial Narrow"/>
        </w:rPr>
        <w:t>presentaron</w:t>
      </w:r>
      <w:r w:rsidR="00416954">
        <w:rPr>
          <w:rFonts w:ascii="Arial Narrow" w:hAnsi="Arial Narrow"/>
        </w:rPr>
        <w:t xml:space="preserve"> </w:t>
      </w:r>
      <w:r w:rsidR="00260BD2" w:rsidRPr="00345B2C">
        <w:rPr>
          <w:rFonts w:ascii="Arial Narrow" w:hAnsi="Arial Narrow"/>
        </w:rPr>
        <w:t>cierres de la oficina para limpieza por casos sospechosos o confirmados por COVID-19, lo que generó suspensión del servicio y reprogramación de citas. Asimismo, algunas de las incapacidades o ascensos</w:t>
      </w:r>
      <w:r w:rsidR="00526C2C">
        <w:rPr>
          <w:rFonts w:ascii="Arial Narrow" w:hAnsi="Arial Narrow"/>
        </w:rPr>
        <w:t xml:space="preserve"> </w:t>
      </w:r>
      <w:r w:rsidR="00260BD2" w:rsidRPr="00345B2C">
        <w:rPr>
          <w:rFonts w:ascii="Arial Narrow" w:hAnsi="Arial Narrow"/>
        </w:rPr>
        <w:t xml:space="preserve">no se pudieron sustituir </w:t>
      </w:r>
      <w:r w:rsidR="00526C2C">
        <w:rPr>
          <w:rFonts w:ascii="Arial Narrow" w:hAnsi="Arial Narrow"/>
        </w:rPr>
        <w:t xml:space="preserve">debido a </w:t>
      </w:r>
      <w:r w:rsidR="00260BD2" w:rsidRPr="00345B2C">
        <w:rPr>
          <w:rFonts w:ascii="Arial Narrow" w:hAnsi="Arial Narrow"/>
        </w:rPr>
        <w:t>la cantidad de días</w:t>
      </w:r>
      <w:r w:rsidR="00526C2C">
        <w:rPr>
          <w:rFonts w:ascii="Arial Narrow" w:hAnsi="Arial Narrow"/>
        </w:rPr>
        <w:t xml:space="preserve"> que no cumplian con el plazo establecido de sustitución de</w:t>
      </w:r>
      <w:r w:rsidR="00260BD2" w:rsidRPr="00345B2C">
        <w:rPr>
          <w:rFonts w:ascii="Arial Narrow" w:hAnsi="Arial Narrow"/>
        </w:rPr>
        <w:t xml:space="preserve"> 7 hábiles de conformidad con el Plan de Vacaciones Institucional.</w:t>
      </w:r>
      <w:r w:rsidR="4D575AA9" w:rsidRPr="00322D9B">
        <w:rPr>
          <w:rFonts w:ascii="Arial Narrow" w:hAnsi="Arial Narrow"/>
        </w:rPr>
        <w:t>)</w:t>
      </w:r>
      <w:r w:rsidR="00980D6E">
        <w:rPr>
          <w:rFonts w:ascii="Arial Narrow" w:hAnsi="Arial Narrow"/>
        </w:rPr>
        <w:t xml:space="preserve"> </w:t>
      </w:r>
      <w:r w:rsidRPr="0F07E111">
        <w:rPr>
          <w:rFonts w:ascii="Arial Narrow" w:hAnsi="Arial Narrow"/>
        </w:rPr>
        <w:t xml:space="preserve"> </w:t>
      </w:r>
    </w:p>
    <w:p w14:paraId="73AC41CA" w14:textId="01CA1757" w:rsidR="005940C6" w:rsidRDefault="005940C6">
      <w:pPr>
        <w:jc w:val="both"/>
        <w:rPr>
          <w:rFonts w:ascii="Arial Narrow" w:hAnsi="Arial Narrow"/>
        </w:rPr>
      </w:pPr>
    </w:p>
    <w:p w14:paraId="40EE24D2" w14:textId="0B075952" w:rsidR="00237A94" w:rsidRDefault="00237A94">
      <w:pPr>
        <w:jc w:val="both"/>
        <w:rPr>
          <w:rFonts w:ascii="Arial Narrow" w:hAnsi="Arial Narrow"/>
        </w:rPr>
      </w:pPr>
    </w:p>
    <w:p w14:paraId="2712D6C8" w14:textId="266E90DA" w:rsidR="00237A94" w:rsidRDefault="00237A94" w:rsidP="00345B2C">
      <w:pPr>
        <w:jc w:val="both"/>
        <w:rPr>
          <w:rFonts w:ascii="Arial Narrow" w:hAnsi="Arial Narrow"/>
        </w:rPr>
      </w:pPr>
      <w:r>
        <w:rPr>
          <w:rFonts w:ascii="Arial Narrow" w:hAnsi="Arial Narrow"/>
        </w:rPr>
        <w:t>Con respecto al 97% reportado por</w:t>
      </w:r>
      <w:r w:rsidR="009B34F4">
        <w:rPr>
          <w:rFonts w:ascii="Arial Narrow" w:hAnsi="Arial Narrow"/>
        </w:rPr>
        <w:t xml:space="preserve"> </w:t>
      </w:r>
      <w:r w:rsidR="00770453">
        <w:rPr>
          <w:rFonts w:ascii="Arial Narrow" w:hAnsi="Arial Narrow"/>
        </w:rPr>
        <w:t xml:space="preserve">el Departamento de Trabajo Social y Psicología para el año </w:t>
      </w:r>
      <w:r w:rsidR="009B34F4">
        <w:rPr>
          <w:rFonts w:ascii="Arial Narrow" w:hAnsi="Arial Narrow"/>
        </w:rPr>
        <w:t>2021,</w:t>
      </w:r>
      <w:r>
        <w:rPr>
          <w:rFonts w:ascii="Arial Narrow" w:hAnsi="Arial Narrow"/>
        </w:rPr>
        <w:t xml:space="preserve"> se debe a que </w:t>
      </w:r>
      <w:r w:rsidR="00770453">
        <w:rPr>
          <w:rFonts w:ascii="Arial Narrow" w:hAnsi="Arial Narrow"/>
        </w:rPr>
        <w:t>cuatro</w:t>
      </w:r>
      <w:r>
        <w:rPr>
          <w:rFonts w:ascii="Arial Narrow" w:hAnsi="Arial Narrow"/>
        </w:rPr>
        <w:t xml:space="preserve"> </w:t>
      </w:r>
      <w:r w:rsidR="002C518D">
        <w:rPr>
          <w:rFonts w:ascii="Arial Narrow" w:hAnsi="Arial Narrow"/>
        </w:rPr>
        <w:t>oficinas indicadas anteriormente</w:t>
      </w:r>
      <w:r>
        <w:rPr>
          <w:rFonts w:ascii="Arial Narrow" w:hAnsi="Arial Narrow"/>
        </w:rPr>
        <w:t xml:space="preserve"> no lograron cumplir la meta en su </w:t>
      </w:r>
      <w:r w:rsidR="009B34F4">
        <w:rPr>
          <w:rFonts w:ascii="Arial Narrow" w:hAnsi="Arial Narrow"/>
        </w:rPr>
        <w:t>totalidad. Cabe</w:t>
      </w:r>
      <w:r>
        <w:rPr>
          <w:rFonts w:ascii="Arial Narrow" w:hAnsi="Arial Narrow"/>
        </w:rPr>
        <w:t xml:space="preserve"> aclarar que </w:t>
      </w:r>
      <w:r w:rsidR="002C518D">
        <w:rPr>
          <w:rFonts w:ascii="Arial Narrow" w:hAnsi="Arial Narrow"/>
        </w:rPr>
        <w:t>este Departamento</w:t>
      </w:r>
      <w:r>
        <w:rPr>
          <w:rFonts w:ascii="Arial Narrow" w:hAnsi="Arial Narrow"/>
        </w:rPr>
        <w:t xml:space="preserve"> para el 2021 logró sobrepasar la meta esperada en un </w:t>
      </w:r>
      <w:r w:rsidR="00904AF1">
        <w:rPr>
          <w:rFonts w:ascii="Arial Narrow" w:hAnsi="Arial Narrow"/>
        </w:rPr>
        <w:t>4</w:t>
      </w:r>
      <w:r>
        <w:rPr>
          <w:rFonts w:ascii="Arial Narrow" w:hAnsi="Arial Narrow"/>
        </w:rPr>
        <w:t xml:space="preserve">%, sin embargo, al no darse </w:t>
      </w:r>
      <w:r w:rsidR="00904AF1">
        <w:rPr>
          <w:rFonts w:ascii="Arial Narrow" w:hAnsi="Arial Narrow"/>
        </w:rPr>
        <w:t xml:space="preserve">el </w:t>
      </w:r>
      <w:r>
        <w:rPr>
          <w:rFonts w:ascii="Arial Narrow" w:hAnsi="Arial Narrow"/>
        </w:rPr>
        <w:t xml:space="preserve">cumplimiento por parte de esas </w:t>
      </w:r>
      <w:r w:rsidR="00904AF1">
        <w:rPr>
          <w:rFonts w:ascii="Arial Narrow" w:hAnsi="Arial Narrow"/>
        </w:rPr>
        <w:t>cuatro</w:t>
      </w:r>
      <w:r>
        <w:rPr>
          <w:rFonts w:ascii="Arial Narrow" w:hAnsi="Arial Narrow"/>
        </w:rPr>
        <w:t xml:space="preserve"> oficinas la meta estratégica vinculada directamente al sistema reflejó un 9</w:t>
      </w:r>
      <w:r w:rsidR="009B34F4">
        <w:rPr>
          <w:rFonts w:ascii="Arial Narrow" w:hAnsi="Arial Narrow"/>
        </w:rPr>
        <w:t>7</w:t>
      </w:r>
      <w:r>
        <w:rPr>
          <w:rFonts w:ascii="Arial Narrow" w:hAnsi="Arial Narrow"/>
        </w:rPr>
        <w:t xml:space="preserve">% equivalente al cumplimiento anual del PEI para el año 2021 (el cumplimiento acumulado si </w:t>
      </w:r>
      <w:r w:rsidR="009B34F4">
        <w:rPr>
          <w:rFonts w:ascii="Arial Narrow" w:hAnsi="Arial Narrow"/>
        </w:rPr>
        <w:t>refleja</w:t>
      </w:r>
      <w:r>
        <w:rPr>
          <w:rFonts w:ascii="Arial Narrow" w:hAnsi="Arial Narrow"/>
        </w:rPr>
        <w:t xml:space="preserve"> a un 100%).</w:t>
      </w:r>
    </w:p>
    <w:p w14:paraId="33FA5EC7" w14:textId="77777777" w:rsidR="00237A94" w:rsidRDefault="00237A94" w:rsidP="005940C6">
      <w:pPr>
        <w:jc w:val="both"/>
        <w:rPr>
          <w:rFonts w:ascii="Arial Narrow" w:hAnsi="Arial Narrow"/>
        </w:rPr>
      </w:pPr>
    </w:p>
    <w:p w14:paraId="78B4FC6E" w14:textId="77777777" w:rsidR="0088514B" w:rsidRPr="00B04DE2" w:rsidRDefault="0088514B" w:rsidP="005940C6">
      <w:pPr>
        <w:jc w:val="both"/>
        <w:rPr>
          <w:rFonts w:ascii="Arial Narrow" w:hAnsi="Arial Narrow"/>
        </w:rPr>
      </w:pPr>
    </w:p>
    <w:p w14:paraId="59B9ED57" w14:textId="3264C5F7" w:rsidR="00696737" w:rsidRDefault="00696737" w:rsidP="005940C6">
      <w:pPr>
        <w:jc w:val="both"/>
        <w:rPr>
          <w:rFonts w:ascii="Arial Narrow" w:hAnsi="Arial Narrow"/>
        </w:rPr>
      </w:pPr>
      <w:r>
        <w:rPr>
          <w:rFonts w:ascii="Arial Narrow" w:hAnsi="Arial Narrow"/>
        </w:rPr>
        <w:t>Por su parte,</w:t>
      </w:r>
      <w:r w:rsidRPr="00B04DE2">
        <w:rPr>
          <w:rFonts w:ascii="Arial Narrow" w:hAnsi="Arial Narrow"/>
        </w:rPr>
        <w:t xml:space="preserve"> la meta relacionada </w:t>
      </w:r>
      <w:r>
        <w:rPr>
          <w:rFonts w:ascii="Arial Narrow" w:hAnsi="Arial Narrow"/>
        </w:rPr>
        <w:t>con incrementar la cantidad de</w:t>
      </w:r>
      <w:r w:rsidRPr="00B04DE2">
        <w:rPr>
          <w:rFonts w:ascii="Arial Narrow" w:hAnsi="Arial Narrow"/>
        </w:rPr>
        <w:t xml:space="preserve"> </w:t>
      </w:r>
      <w:r>
        <w:rPr>
          <w:rFonts w:ascii="Arial Narrow" w:hAnsi="Arial Narrow"/>
        </w:rPr>
        <w:t xml:space="preserve">las </w:t>
      </w:r>
      <w:r w:rsidRPr="00275AD2">
        <w:rPr>
          <w:rFonts w:ascii="Arial Narrow" w:hAnsi="Arial Narrow"/>
        </w:rPr>
        <w:t xml:space="preserve">comunicaciones judiciales diligenciadas por las oficinas de comunicaciones judiciales </w:t>
      </w:r>
      <w:r>
        <w:rPr>
          <w:rFonts w:ascii="Arial Narrow" w:hAnsi="Arial Narrow"/>
        </w:rPr>
        <w:t>al</w:t>
      </w:r>
      <w:r w:rsidRPr="00275AD2">
        <w:rPr>
          <w:rFonts w:ascii="Arial Narrow" w:hAnsi="Arial Narrow"/>
        </w:rPr>
        <w:t xml:space="preserve"> año</w:t>
      </w:r>
      <w:r>
        <w:rPr>
          <w:rFonts w:ascii="Arial Narrow" w:hAnsi="Arial Narrow"/>
        </w:rPr>
        <w:t>, estas oficinas registraron un cumplimiento del 99%, sin embargo, a nivel estadístico, los cuadros y datos del 2021 aún no se encuentran disponibles porque están en proceso de elaboración por parte del Subproceso de Estadística, por lo tanto, no es factible corroborar lo informado por las oficinas versus los datos oficiales. Se informa que solamente una oficina no logró la meta, la cual es la O</w:t>
      </w:r>
      <w:r w:rsidRPr="00275AD2">
        <w:rPr>
          <w:rFonts w:ascii="Arial Narrow" w:hAnsi="Arial Narrow"/>
        </w:rPr>
        <w:t xml:space="preserve">ficina de </w:t>
      </w:r>
      <w:r>
        <w:rPr>
          <w:rFonts w:ascii="Arial Narrow" w:hAnsi="Arial Narrow"/>
        </w:rPr>
        <w:t>C</w:t>
      </w:r>
      <w:r w:rsidRPr="00275AD2">
        <w:rPr>
          <w:rFonts w:ascii="Arial Narrow" w:hAnsi="Arial Narrow"/>
        </w:rPr>
        <w:t xml:space="preserve">omunicaciones </w:t>
      </w:r>
      <w:r>
        <w:rPr>
          <w:rFonts w:ascii="Arial Narrow" w:hAnsi="Arial Narrow"/>
        </w:rPr>
        <w:t>Ju</w:t>
      </w:r>
      <w:r w:rsidRPr="00275AD2">
        <w:rPr>
          <w:rFonts w:ascii="Arial Narrow" w:hAnsi="Arial Narrow"/>
        </w:rPr>
        <w:t xml:space="preserve">diciales </w:t>
      </w:r>
      <w:r>
        <w:rPr>
          <w:rFonts w:ascii="Arial Narrow" w:hAnsi="Arial Narrow"/>
        </w:rPr>
        <w:t>del Segundo Circuito Judicial de Guanacaste.</w:t>
      </w:r>
    </w:p>
    <w:p w14:paraId="5F0B57A4" w14:textId="77777777" w:rsidR="005940C6" w:rsidRPr="00322D9B" w:rsidRDefault="005940C6" w:rsidP="005940C6">
      <w:pPr>
        <w:jc w:val="both"/>
        <w:rPr>
          <w:rFonts w:ascii="Arial Narrow" w:hAnsi="Arial Narrow"/>
        </w:rPr>
      </w:pPr>
    </w:p>
    <w:p w14:paraId="4CD2F9D2" w14:textId="77777777" w:rsidR="00696737" w:rsidRDefault="00696737" w:rsidP="005940C6">
      <w:pPr>
        <w:jc w:val="both"/>
        <w:rPr>
          <w:rFonts w:ascii="Arial Narrow" w:hAnsi="Arial Narrow"/>
        </w:rPr>
      </w:pPr>
      <w:r>
        <w:rPr>
          <w:rFonts w:ascii="Arial Narrow" w:hAnsi="Arial Narrow"/>
        </w:rPr>
        <w:t>En relación con</w:t>
      </w:r>
      <w:r w:rsidRPr="00275AD2">
        <w:rPr>
          <w:rFonts w:ascii="Arial Narrow" w:hAnsi="Arial Narrow"/>
        </w:rPr>
        <w:t xml:space="preserve"> la meta de </w:t>
      </w:r>
      <w:r>
        <w:rPr>
          <w:rFonts w:ascii="Arial Narrow" w:hAnsi="Arial Narrow"/>
        </w:rPr>
        <w:t xml:space="preserve">elaboración de </w:t>
      </w:r>
      <w:r w:rsidRPr="00275AD2">
        <w:rPr>
          <w:rFonts w:ascii="Arial Narrow" w:hAnsi="Arial Narrow"/>
        </w:rPr>
        <w:t>informes cuantitativos sobre la cantidad de nulidades por materia producto de la aplicación de los medios de impugnación, dictadas en los tribunales superiores que conocen las apelaciones y las salas de casación</w:t>
      </w:r>
      <w:r>
        <w:rPr>
          <w:rFonts w:ascii="Arial Narrow" w:hAnsi="Arial Narrow"/>
        </w:rPr>
        <w:t>, se tiene que el</w:t>
      </w:r>
      <w:r w:rsidRPr="00275AD2">
        <w:rPr>
          <w:rFonts w:ascii="Arial Narrow" w:hAnsi="Arial Narrow"/>
        </w:rPr>
        <w:t xml:space="preserve"> Centro de Apoyo, Coordinación y Mejoramiento de la Función Jurisdiccional</w:t>
      </w:r>
      <w:r>
        <w:rPr>
          <w:rFonts w:ascii="Arial Narrow" w:hAnsi="Arial Narrow"/>
        </w:rPr>
        <w:t xml:space="preserve"> completó la meta, debido a que se</w:t>
      </w:r>
      <w:r w:rsidRPr="00275AD2">
        <w:rPr>
          <w:rFonts w:ascii="Arial Narrow" w:hAnsi="Arial Narrow"/>
        </w:rPr>
        <w:t xml:space="preserve"> presenta</w:t>
      </w:r>
      <w:r>
        <w:rPr>
          <w:rFonts w:ascii="Arial Narrow" w:hAnsi="Arial Narrow"/>
        </w:rPr>
        <w:t>ron en el 2021</w:t>
      </w:r>
      <w:r w:rsidRPr="00275AD2">
        <w:rPr>
          <w:rFonts w:ascii="Arial Narrow" w:hAnsi="Arial Narrow"/>
        </w:rPr>
        <w:t xml:space="preserve"> el informe 002-CACMFJ-JEF-202 informe de nulidades de los Tribunales de Apelación Civiles,</w:t>
      </w:r>
      <w:r>
        <w:rPr>
          <w:rFonts w:ascii="Arial Narrow" w:hAnsi="Arial Narrow"/>
        </w:rPr>
        <w:t xml:space="preserve"> el i</w:t>
      </w:r>
      <w:r w:rsidRPr="00275AD2">
        <w:rPr>
          <w:rFonts w:ascii="Arial Narrow" w:hAnsi="Arial Narrow"/>
        </w:rPr>
        <w:t>nforme 137-CACMFJ-JEF-2021 nulidades</w:t>
      </w:r>
      <w:r>
        <w:rPr>
          <w:rFonts w:ascii="Arial Narrow" w:hAnsi="Arial Narrow"/>
        </w:rPr>
        <w:t xml:space="preserve"> de los </w:t>
      </w:r>
      <w:r w:rsidRPr="00275AD2">
        <w:rPr>
          <w:rFonts w:ascii="Arial Narrow" w:hAnsi="Arial Narrow"/>
        </w:rPr>
        <w:t>T</w:t>
      </w:r>
      <w:r>
        <w:rPr>
          <w:rFonts w:ascii="Arial Narrow" w:hAnsi="Arial Narrow"/>
        </w:rPr>
        <w:t xml:space="preserve">ribunales de </w:t>
      </w:r>
      <w:r w:rsidRPr="00275AD2">
        <w:rPr>
          <w:rFonts w:ascii="Arial Narrow" w:hAnsi="Arial Narrow"/>
        </w:rPr>
        <w:t>A</w:t>
      </w:r>
      <w:r>
        <w:rPr>
          <w:rFonts w:ascii="Arial Narrow" w:hAnsi="Arial Narrow"/>
        </w:rPr>
        <w:t>pelación</w:t>
      </w:r>
      <w:r w:rsidRPr="00275AD2">
        <w:rPr>
          <w:rFonts w:ascii="Arial Narrow" w:hAnsi="Arial Narrow"/>
        </w:rPr>
        <w:t xml:space="preserve"> Laborales, </w:t>
      </w:r>
      <w:r>
        <w:rPr>
          <w:rFonts w:ascii="Arial Narrow" w:hAnsi="Arial Narrow"/>
        </w:rPr>
        <w:t>así como el i</w:t>
      </w:r>
      <w:r w:rsidRPr="00275AD2">
        <w:rPr>
          <w:rFonts w:ascii="Arial Narrow" w:hAnsi="Arial Narrow"/>
        </w:rPr>
        <w:t>nforme 279-CACMFJ-JEF-2021</w:t>
      </w:r>
      <w:r>
        <w:rPr>
          <w:rFonts w:ascii="Arial Narrow" w:hAnsi="Arial Narrow"/>
        </w:rPr>
        <w:t xml:space="preserve">, el informe </w:t>
      </w:r>
      <w:r w:rsidRPr="00275AD2">
        <w:rPr>
          <w:rFonts w:ascii="Arial Narrow" w:hAnsi="Arial Narrow"/>
        </w:rPr>
        <w:t>094-CACMFJ-JEF-2021 de la Materia Agraria</w:t>
      </w:r>
      <w:r>
        <w:rPr>
          <w:rFonts w:ascii="Arial Narrow" w:hAnsi="Arial Narrow"/>
        </w:rPr>
        <w:t>, las nulidades</w:t>
      </w:r>
      <w:r w:rsidRPr="00275AD2">
        <w:rPr>
          <w:rFonts w:ascii="Arial Narrow" w:hAnsi="Arial Narrow"/>
        </w:rPr>
        <w:t xml:space="preserve"> del 2016 al 2020 y </w:t>
      </w:r>
      <w:r>
        <w:rPr>
          <w:rFonts w:ascii="Arial Narrow" w:hAnsi="Arial Narrow"/>
        </w:rPr>
        <w:t xml:space="preserve">el informe </w:t>
      </w:r>
      <w:r w:rsidRPr="00275AD2">
        <w:rPr>
          <w:rFonts w:ascii="Arial Narrow" w:hAnsi="Arial Narrow"/>
        </w:rPr>
        <w:t>095-CACMFJ-JEF-2021 de la Materia Contencioso Administrativ</w:t>
      </w:r>
      <w:r>
        <w:rPr>
          <w:rFonts w:ascii="Arial Narrow" w:hAnsi="Arial Narrow"/>
        </w:rPr>
        <w:t>o</w:t>
      </w:r>
      <w:r w:rsidRPr="00275AD2">
        <w:rPr>
          <w:rFonts w:ascii="Arial Narrow" w:hAnsi="Arial Narrow"/>
        </w:rPr>
        <w:t xml:space="preserve"> y Civil de Hacienda</w:t>
      </w:r>
      <w:r>
        <w:rPr>
          <w:rFonts w:ascii="Arial Narrow" w:hAnsi="Arial Narrow"/>
        </w:rPr>
        <w:t>, nulidades</w:t>
      </w:r>
      <w:r w:rsidRPr="00275AD2">
        <w:rPr>
          <w:rFonts w:ascii="Arial Narrow" w:hAnsi="Arial Narrow"/>
        </w:rPr>
        <w:t xml:space="preserve"> del 2016 al 2020.</w:t>
      </w:r>
      <w:r>
        <w:rPr>
          <w:rFonts w:ascii="Arial Narrow" w:hAnsi="Arial Narrow"/>
        </w:rPr>
        <w:t xml:space="preserve"> Finalmente, el informe </w:t>
      </w:r>
      <w:r w:rsidRPr="00275AD2">
        <w:rPr>
          <w:rFonts w:ascii="Arial Narrow" w:hAnsi="Arial Narrow"/>
        </w:rPr>
        <w:t>008-CACMFJ-REF-2022 informe de nulidades del Tribunal de Familia 2021</w:t>
      </w:r>
      <w:r>
        <w:rPr>
          <w:rFonts w:ascii="Arial Narrow" w:hAnsi="Arial Narrow"/>
        </w:rPr>
        <w:t>.</w:t>
      </w:r>
    </w:p>
    <w:p w14:paraId="54C6D79D" w14:textId="77777777" w:rsidR="00696737" w:rsidRDefault="00696737" w:rsidP="00696737">
      <w:pPr>
        <w:spacing w:line="276" w:lineRule="auto"/>
        <w:jc w:val="both"/>
        <w:rPr>
          <w:rFonts w:ascii="Arial Narrow" w:hAnsi="Arial Narrow"/>
        </w:rPr>
      </w:pPr>
    </w:p>
    <w:p w14:paraId="074B2492" w14:textId="77777777" w:rsidR="00696737" w:rsidRDefault="00696737" w:rsidP="00696737">
      <w:pPr>
        <w:spacing w:line="276" w:lineRule="auto"/>
        <w:jc w:val="both"/>
        <w:rPr>
          <w:rFonts w:ascii="Arial Narrow" w:hAnsi="Arial Narrow"/>
        </w:rPr>
      </w:pPr>
    </w:p>
    <w:p w14:paraId="3C35B50F" w14:textId="77777777" w:rsidR="00C94431" w:rsidRDefault="00B56A16" w:rsidP="00696737">
      <w:pPr>
        <w:jc w:val="center"/>
        <w:rPr>
          <w:rFonts w:ascii="Arial Narrow" w:eastAsia="Calibri" w:hAnsi="Arial Narrow"/>
          <w:b/>
          <w:bCs/>
          <w:sz w:val="22"/>
          <w:szCs w:val="22"/>
          <w:lang w:eastAsia="en-US"/>
        </w:rPr>
      </w:pPr>
      <w:r w:rsidRPr="00C847FC">
        <w:rPr>
          <w:rFonts w:ascii="Arial Narrow" w:hAnsi="Arial Narrow"/>
          <w:b/>
          <w:bCs/>
          <w:sz w:val="22"/>
          <w:szCs w:val="22"/>
        </w:rPr>
        <w:t xml:space="preserve">Cuadro  </w:t>
      </w:r>
      <w:r w:rsidRPr="00C847FC">
        <w:rPr>
          <w:rFonts w:ascii="Arial Narrow" w:hAnsi="Arial Narrow"/>
          <w:b/>
          <w:bCs/>
          <w:sz w:val="22"/>
          <w:szCs w:val="22"/>
        </w:rPr>
        <w:fldChar w:fldCharType="begin"/>
      </w:r>
      <w:r w:rsidRPr="00C847FC">
        <w:rPr>
          <w:rFonts w:ascii="Arial Narrow" w:hAnsi="Arial Narrow"/>
          <w:b/>
          <w:bCs/>
          <w:sz w:val="22"/>
          <w:szCs w:val="22"/>
        </w:rPr>
        <w:instrText xml:space="preserve"> SEQ Cuadro_No. \* ARABIC </w:instrText>
      </w:r>
      <w:r w:rsidRPr="00C847FC">
        <w:rPr>
          <w:rFonts w:ascii="Arial Narrow" w:hAnsi="Arial Narrow"/>
          <w:b/>
          <w:bCs/>
          <w:sz w:val="22"/>
          <w:szCs w:val="22"/>
        </w:rPr>
        <w:fldChar w:fldCharType="separate"/>
      </w:r>
      <w:r w:rsidR="002F520A">
        <w:rPr>
          <w:rFonts w:ascii="Arial Narrow" w:hAnsi="Arial Narrow"/>
          <w:b/>
          <w:bCs/>
          <w:noProof/>
          <w:sz w:val="22"/>
          <w:szCs w:val="22"/>
        </w:rPr>
        <w:t>22</w:t>
      </w:r>
      <w:r w:rsidRPr="00C847FC">
        <w:rPr>
          <w:rFonts w:ascii="Arial Narrow" w:hAnsi="Arial Narrow"/>
          <w:b/>
          <w:bCs/>
          <w:sz w:val="22"/>
          <w:szCs w:val="22"/>
        </w:rPr>
        <w:fldChar w:fldCharType="end"/>
      </w:r>
      <w:r w:rsidRPr="00C847FC">
        <w:rPr>
          <w:rFonts w:ascii="Arial Narrow" w:eastAsia="Calibri" w:hAnsi="Arial Narrow"/>
          <w:b/>
          <w:bCs/>
          <w:sz w:val="22"/>
          <w:szCs w:val="22"/>
          <w:lang w:eastAsia="en-US"/>
        </w:rPr>
        <w:t xml:space="preserve"> Metas estratégicas de </w:t>
      </w:r>
      <w:r>
        <w:rPr>
          <w:rFonts w:ascii="Arial Narrow" w:eastAsia="Calibri" w:hAnsi="Arial Narrow"/>
          <w:b/>
          <w:bCs/>
          <w:sz w:val="22"/>
          <w:szCs w:val="22"/>
          <w:lang w:eastAsia="en-US"/>
        </w:rPr>
        <w:t>Celeridad Judicial</w:t>
      </w:r>
      <w:r w:rsidRPr="00C847FC">
        <w:rPr>
          <w:rFonts w:ascii="Arial Narrow" w:eastAsia="Calibri" w:hAnsi="Arial Narrow"/>
          <w:b/>
          <w:bCs/>
          <w:sz w:val="22"/>
          <w:szCs w:val="22"/>
          <w:lang w:eastAsia="en-US"/>
        </w:rPr>
        <w:t xml:space="preserve"> y su cumplimiento para el 20</w:t>
      </w:r>
      <w:r>
        <w:rPr>
          <w:rFonts w:ascii="Arial Narrow" w:eastAsia="Calibri" w:hAnsi="Arial Narrow"/>
          <w:b/>
          <w:bCs/>
          <w:sz w:val="22"/>
          <w:szCs w:val="22"/>
          <w:lang w:eastAsia="en-US"/>
        </w:rPr>
        <w:t>21</w:t>
      </w:r>
    </w:p>
    <w:p w14:paraId="24FF1B97" w14:textId="77777777" w:rsidR="00C94431" w:rsidRDefault="00C94431" w:rsidP="00696737">
      <w:pPr>
        <w:jc w:val="center"/>
        <w:rPr>
          <w:rFonts w:ascii="Arial Narrow" w:eastAsia="Calibri" w:hAnsi="Arial Narrow"/>
          <w:b/>
          <w:bCs/>
          <w:sz w:val="22"/>
          <w:szCs w:val="22"/>
          <w:lang w:eastAsia="en-US"/>
        </w:rPr>
      </w:pPr>
    </w:p>
    <w:p w14:paraId="198F15EC" w14:textId="736FD9B0" w:rsidR="00696737" w:rsidRDefault="00696737" w:rsidP="00696737">
      <w:pPr>
        <w:jc w:val="center"/>
        <w:rPr>
          <w:rFonts w:ascii="Arial Narrow" w:hAnsi="Arial Narrow"/>
        </w:rPr>
      </w:pPr>
      <w:r>
        <w:rPr>
          <w:noProof/>
        </w:rPr>
        <w:drawing>
          <wp:inline distT="0" distB="0" distL="0" distR="0" wp14:anchorId="6EB2AD9A" wp14:editId="57BAD013">
            <wp:extent cx="5612130" cy="1626235"/>
            <wp:effectExtent l="19050" t="19050" r="26670" b="12065"/>
            <wp:docPr id="41" name="Imagen 41" descr="Imagen que contiene gabinet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1" descr="Imagen que contiene gabinete&#10;&#10;Descripción generada automáticamente"/>
                    <pic:cNvPicPr/>
                  </pic:nvPicPr>
                  <pic:blipFill>
                    <a:blip r:embed="rId75"/>
                    <a:stretch>
                      <a:fillRect/>
                    </a:stretch>
                  </pic:blipFill>
                  <pic:spPr>
                    <a:xfrm>
                      <a:off x="0" y="0"/>
                      <a:ext cx="5612130" cy="1626235"/>
                    </a:xfrm>
                    <a:prstGeom prst="rect">
                      <a:avLst/>
                    </a:prstGeom>
                    <a:ln>
                      <a:solidFill>
                        <a:schemeClr val="tx1"/>
                      </a:solidFill>
                    </a:ln>
                  </pic:spPr>
                </pic:pic>
              </a:graphicData>
            </a:graphic>
          </wp:inline>
        </w:drawing>
      </w:r>
    </w:p>
    <w:p w14:paraId="2148C4A5" w14:textId="3742BEFF" w:rsidR="00696737" w:rsidRDefault="00696737" w:rsidP="00B54439">
      <w:pPr>
        <w:spacing w:line="276" w:lineRule="auto"/>
        <w:jc w:val="center"/>
        <w:rPr>
          <w:rFonts w:ascii="Arial Narrow" w:hAnsi="Arial Narrow"/>
          <w:sz w:val="18"/>
          <w:szCs w:val="18"/>
        </w:rPr>
      </w:pPr>
      <w:r w:rsidRPr="00996542">
        <w:rPr>
          <w:rFonts w:ascii="Arial Narrow" w:hAnsi="Arial Narrow"/>
          <w:sz w:val="18"/>
          <w:szCs w:val="18"/>
        </w:rPr>
        <w:t>Fuente: Sistema PEI al 19 de enero del 2022 para el año 2021.</w:t>
      </w:r>
    </w:p>
    <w:p w14:paraId="16A6114F" w14:textId="77777777" w:rsidR="00E1651C" w:rsidRDefault="00E1651C" w:rsidP="00696737">
      <w:pPr>
        <w:spacing w:line="276" w:lineRule="auto"/>
        <w:jc w:val="both"/>
        <w:rPr>
          <w:rFonts w:ascii="Arial Narrow" w:hAnsi="Arial Narrow"/>
        </w:rPr>
      </w:pPr>
    </w:p>
    <w:p w14:paraId="7FACB379" w14:textId="7BF2C0EA" w:rsidR="00696737" w:rsidRDefault="00696737" w:rsidP="00696737">
      <w:pPr>
        <w:spacing w:line="276" w:lineRule="auto"/>
        <w:jc w:val="both"/>
        <w:rPr>
          <w:rFonts w:ascii="Arial Narrow" w:hAnsi="Arial Narrow"/>
        </w:rPr>
      </w:pPr>
      <w:r>
        <w:rPr>
          <w:rFonts w:ascii="Arial Narrow" w:hAnsi="Arial Narrow"/>
        </w:rPr>
        <w:t>Con respecto a la meta sobre aprobar</w:t>
      </w:r>
      <w:r w:rsidRPr="009E7818">
        <w:rPr>
          <w:rFonts w:ascii="Arial Narrow" w:hAnsi="Arial Narrow"/>
        </w:rPr>
        <w:t xml:space="preserve"> estrategias, planes de trabajo, requerimientos de recursos humanos y presupuestarios, para la efectiva gestión institucional, en aras de mejorar la celeridad y la resolución oportuna de los procesos judiciales</w:t>
      </w:r>
      <w:r>
        <w:rPr>
          <w:rFonts w:ascii="Arial Narrow" w:hAnsi="Arial Narrow"/>
        </w:rPr>
        <w:t xml:space="preserve">, se tiene que el Consejo Superior para el 2021 registra un cumplimiento del 100% sobre aprobar los </w:t>
      </w:r>
      <w:r w:rsidRPr="00247DB7">
        <w:rPr>
          <w:rFonts w:ascii="Arial Narrow" w:hAnsi="Arial Narrow"/>
        </w:rPr>
        <w:t>planes de descongestionamiento y los recursos humanos y presupuestarios requeridos</w:t>
      </w:r>
      <w:r>
        <w:rPr>
          <w:rFonts w:ascii="Arial Narrow" w:hAnsi="Arial Narrow"/>
        </w:rPr>
        <w:t xml:space="preserve">. Efectivamente, el Consejo Superior ha aprobado los informes de los </w:t>
      </w:r>
      <w:r w:rsidRPr="0058622A">
        <w:rPr>
          <w:rFonts w:ascii="Arial Narrow" w:hAnsi="Arial Narrow"/>
        </w:rPr>
        <w:t xml:space="preserve">requerimientos de los permisos con goce de salario y sustitución para los diferentes trimestres del 2021, de acuerdo con lo presentado para los diferentes proyectos estratégicos </w:t>
      </w:r>
      <w:r>
        <w:rPr>
          <w:rFonts w:ascii="Arial Narrow" w:hAnsi="Arial Narrow"/>
        </w:rPr>
        <w:t>que reportan sus informes de avance</w:t>
      </w:r>
      <w:r w:rsidRPr="0058622A">
        <w:rPr>
          <w:rFonts w:ascii="Arial Narrow" w:hAnsi="Arial Narrow"/>
        </w:rPr>
        <w:t xml:space="preserve"> </w:t>
      </w:r>
      <w:r>
        <w:rPr>
          <w:rFonts w:ascii="Arial Narrow" w:hAnsi="Arial Narrow"/>
        </w:rPr>
        <w:t>para respaldar los resultados de los proyectos implementados.</w:t>
      </w:r>
    </w:p>
    <w:p w14:paraId="0D188F81" w14:textId="77777777" w:rsidR="00E1651C" w:rsidRDefault="00E1651C" w:rsidP="00696737">
      <w:pPr>
        <w:spacing w:line="276" w:lineRule="auto"/>
        <w:jc w:val="both"/>
        <w:rPr>
          <w:rFonts w:ascii="Arial Narrow" w:hAnsi="Arial Narrow"/>
        </w:rPr>
      </w:pPr>
    </w:p>
    <w:p w14:paraId="1F6E1861" w14:textId="65A0EABF" w:rsidR="00696737" w:rsidRDefault="00696737" w:rsidP="00696737">
      <w:pPr>
        <w:spacing w:line="276" w:lineRule="auto"/>
        <w:jc w:val="both"/>
        <w:rPr>
          <w:rFonts w:ascii="Arial Narrow" w:hAnsi="Arial Narrow"/>
        </w:rPr>
      </w:pPr>
      <w:r>
        <w:rPr>
          <w:rFonts w:ascii="Arial Narrow" w:hAnsi="Arial Narrow"/>
        </w:rPr>
        <w:t xml:space="preserve">Por su parte, con respecto al incremento en la cantidad de casos salidos por el Organismo de Investigación Judicial se tiene un cumplimiento total del 100% debido a que se cumplió la meta esperada de 89.446 casos e incluso se sobrepasó llegando a </w:t>
      </w:r>
      <w:r w:rsidRPr="009E7818">
        <w:rPr>
          <w:rFonts w:ascii="Arial Narrow" w:hAnsi="Arial Narrow"/>
        </w:rPr>
        <w:t>94.149</w:t>
      </w:r>
      <w:r w:rsidR="00E1651C">
        <w:rPr>
          <w:rFonts w:ascii="Arial Narrow" w:hAnsi="Arial Narrow"/>
        </w:rPr>
        <w:t xml:space="preserve"> casos</w:t>
      </w:r>
      <w:r>
        <w:rPr>
          <w:rFonts w:ascii="Arial Narrow" w:hAnsi="Arial Narrow"/>
        </w:rPr>
        <w:t xml:space="preserve">. Con respecto al 99% reportado por parte de las oficinas, se debe a que dos </w:t>
      </w:r>
      <w:r w:rsidR="00E1651C">
        <w:rPr>
          <w:rFonts w:ascii="Arial Narrow" w:hAnsi="Arial Narrow"/>
        </w:rPr>
        <w:t>despachos</w:t>
      </w:r>
      <w:r>
        <w:rPr>
          <w:rFonts w:ascii="Arial Narrow" w:hAnsi="Arial Narrow"/>
        </w:rPr>
        <w:t xml:space="preserve"> no lograron cumplir la meta en su totalidad, las cuales son: Delegación Regional de Limón</w:t>
      </w:r>
      <w:r w:rsidR="008834FB">
        <w:rPr>
          <w:rFonts w:ascii="Arial Narrow" w:hAnsi="Arial Narrow"/>
        </w:rPr>
        <w:t xml:space="preserve"> (90% de cumplimiento)</w:t>
      </w:r>
      <w:r>
        <w:rPr>
          <w:rFonts w:ascii="Arial Narrow" w:hAnsi="Arial Narrow"/>
        </w:rPr>
        <w:t xml:space="preserve"> y Subdelegación Regional de </w:t>
      </w:r>
      <w:r w:rsidR="0004005C">
        <w:rPr>
          <w:rFonts w:ascii="Arial Narrow" w:hAnsi="Arial Narrow"/>
        </w:rPr>
        <w:t>Quepos (</w:t>
      </w:r>
      <w:r w:rsidR="008834FB">
        <w:rPr>
          <w:rFonts w:ascii="Arial Narrow" w:hAnsi="Arial Narrow"/>
        </w:rPr>
        <w:t>86% de cumplimiento)</w:t>
      </w:r>
      <w:r>
        <w:rPr>
          <w:rFonts w:ascii="Arial Narrow" w:hAnsi="Arial Narrow"/>
        </w:rPr>
        <w:t>.</w:t>
      </w:r>
      <w:r w:rsidR="0004005C">
        <w:rPr>
          <w:rFonts w:ascii="Arial Narrow" w:hAnsi="Arial Narrow"/>
        </w:rPr>
        <w:t xml:space="preserve"> Cabe aclarar que </w:t>
      </w:r>
      <w:r w:rsidR="00541C05">
        <w:rPr>
          <w:rFonts w:ascii="Arial Narrow" w:hAnsi="Arial Narrow"/>
        </w:rPr>
        <w:t xml:space="preserve">el OIJ para el 2021 logró sobrepasar la meta esperada </w:t>
      </w:r>
      <w:r w:rsidR="001849A2">
        <w:rPr>
          <w:rFonts w:ascii="Arial Narrow" w:hAnsi="Arial Narrow"/>
        </w:rPr>
        <w:t>en un 5%, sin embargo, al no darse la actualización</w:t>
      </w:r>
      <w:r w:rsidR="00B302C1">
        <w:rPr>
          <w:rFonts w:ascii="Arial Narrow" w:hAnsi="Arial Narrow"/>
        </w:rPr>
        <w:t xml:space="preserve"> o cumplimiento</w:t>
      </w:r>
      <w:r w:rsidR="001849A2">
        <w:rPr>
          <w:rFonts w:ascii="Arial Narrow" w:hAnsi="Arial Narrow"/>
        </w:rPr>
        <w:t xml:space="preserve"> por parte de esas dos oficinas </w:t>
      </w:r>
      <w:r w:rsidR="00B302C1">
        <w:rPr>
          <w:rFonts w:ascii="Arial Narrow" w:hAnsi="Arial Narrow"/>
        </w:rPr>
        <w:t>la meta estratégica vinculada directamente al sistema reflejó un 99%</w:t>
      </w:r>
      <w:r w:rsidR="00A46086">
        <w:rPr>
          <w:rFonts w:ascii="Arial Narrow" w:hAnsi="Arial Narrow"/>
        </w:rPr>
        <w:t xml:space="preserve"> equivalente al cumplimiento anual del PEI para el año 20</w:t>
      </w:r>
      <w:r w:rsidR="00B83291">
        <w:rPr>
          <w:rFonts w:ascii="Arial Narrow" w:hAnsi="Arial Narrow"/>
        </w:rPr>
        <w:t xml:space="preserve">21 </w:t>
      </w:r>
      <w:r w:rsidR="00A46086">
        <w:rPr>
          <w:rFonts w:ascii="Arial Narrow" w:hAnsi="Arial Narrow"/>
        </w:rPr>
        <w:t>(el cumplimiento acumulado si equivale a un 100%).</w:t>
      </w:r>
    </w:p>
    <w:p w14:paraId="4F2E17CA" w14:textId="77777777" w:rsidR="00E1651C" w:rsidRDefault="00E1651C" w:rsidP="00696737">
      <w:pPr>
        <w:spacing w:line="276" w:lineRule="auto"/>
        <w:jc w:val="both"/>
        <w:rPr>
          <w:rFonts w:ascii="Arial Narrow" w:hAnsi="Arial Narrow"/>
        </w:rPr>
      </w:pPr>
    </w:p>
    <w:p w14:paraId="1885860F" w14:textId="23B879A5" w:rsidR="00E1651C" w:rsidRDefault="00E1651C" w:rsidP="00696737">
      <w:pPr>
        <w:spacing w:line="276" w:lineRule="auto"/>
        <w:jc w:val="both"/>
        <w:rPr>
          <w:rFonts w:ascii="Arial Narrow" w:eastAsia="Calibri" w:hAnsi="Arial Narrow"/>
        </w:rPr>
      </w:pPr>
      <w:r>
        <w:rPr>
          <w:rFonts w:ascii="Arial Narrow" w:hAnsi="Arial Narrow"/>
        </w:rPr>
        <w:t xml:space="preserve">Cabe rescatar que se recibió oficio </w:t>
      </w:r>
      <w:r w:rsidRPr="00E1651C">
        <w:rPr>
          <w:rFonts w:ascii="Arial Narrow" w:hAnsi="Arial Narrow"/>
        </w:rPr>
        <w:t>008-INF/UAOIP-2022</w:t>
      </w:r>
      <w:r>
        <w:rPr>
          <w:rFonts w:ascii="Arial Narrow" w:hAnsi="Arial Narrow"/>
        </w:rPr>
        <w:t xml:space="preserve"> del Organismo de Investigación Judicial con fecha del </w:t>
      </w:r>
      <w:r w:rsidRPr="00E1651C">
        <w:rPr>
          <w:rFonts w:ascii="Arial Narrow" w:hAnsi="Arial Narrow"/>
        </w:rPr>
        <w:t>07 de febrero del 2022</w:t>
      </w:r>
      <w:r>
        <w:rPr>
          <w:rFonts w:ascii="Arial Narrow" w:hAnsi="Arial Narrow"/>
        </w:rPr>
        <w:t xml:space="preserve">, suscrito por Walter Espinoza donde realizan la observación de que </w:t>
      </w:r>
      <w:r w:rsidRPr="00E1651C">
        <w:rPr>
          <w:rFonts w:ascii="Arial Narrow" w:hAnsi="Arial Narrow"/>
        </w:rPr>
        <w:t xml:space="preserve">la Dirección de Planificación </w:t>
      </w:r>
      <w:r>
        <w:rPr>
          <w:rFonts w:ascii="Arial Narrow" w:hAnsi="Arial Narrow"/>
        </w:rPr>
        <w:t xml:space="preserve">se </w:t>
      </w:r>
      <w:r w:rsidRPr="00E1651C">
        <w:rPr>
          <w:rFonts w:ascii="Arial Narrow" w:hAnsi="Arial Narrow"/>
        </w:rPr>
        <w:t>refiere sobre aspectos de incremento en la salida de casos para el Organismo de Investigación Judicial, sin embargo tal y como se explicó a inicios del año 2020 y la solicitud de cambio ante la Dirección de Planificación, por temas de Pandemia del Covid-19, este objetivo es materialmente imposible de cumplir, ya que se ha detectado una disminución en casi un 20 o 30% de los casos ingresados a nivel nacional, situación que ha generado un impacto en la meta requerida de incrementar los casos salidos. </w:t>
      </w:r>
      <w:r>
        <w:rPr>
          <w:rFonts w:ascii="Arial Narrow" w:hAnsi="Arial Narrow"/>
        </w:rPr>
        <w:t>Sin embargo, al realizar el presente análisis, se determina que p</w:t>
      </w:r>
      <w:r w:rsidRPr="00555B73">
        <w:rPr>
          <w:rFonts w:ascii="Arial Narrow" w:eastAsia="Calibri" w:hAnsi="Arial Narrow"/>
        </w:rPr>
        <w:t xml:space="preserve">ara el 2020, se esperaba concluir </w:t>
      </w:r>
      <w:r>
        <w:rPr>
          <w:rFonts w:ascii="Arial Narrow" w:eastAsia="Calibri" w:hAnsi="Arial Narrow"/>
        </w:rPr>
        <w:t>88.580</w:t>
      </w:r>
      <w:r w:rsidRPr="00555B73">
        <w:rPr>
          <w:rFonts w:ascii="Arial Narrow" w:eastAsia="Calibri" w:hAnsi="Arial Narrow"/>
        </w:rPr>
        <w:t xml:space="preserve"> casos, sin embargo, la meta fue sobrepasada en gran manera al registrarse 147.443 casos salidos</w:t>
      </w:r>
      <w:r>
        <w:rPr>
          <w:rFonts w:ascii="Arial Narrow" w:eastAsia="Calibri" w:hAnsi="Arial Narrow"/>
        </w:rPr>
        <w:t>, según el Sistema ECU, por lo que se logra</w:t>
      </w:r>
      <w:r w:rsidRPr="00555B73">
        <w:rPr>
          <w:rFonts w:ascii="Arial Narrow" w:eastAsia="Calibri" w:hAnsi="Arial Narrow"/>
        </w:rPr>
        <w:t xml:space="preserve"> superar el 100% esperado</w:t>
      </w:r>
      <w:r>
        <w:rPr>
          <w:rFonts w:ascii="Arial Narrow" w:eastAsia="Calibri" w:hAnsi="Arial Narrow"/>
        </w:rPr>
        <w:t xml:space="preserve"> y para el 2021, de igual manera la meta fue ampliamente sobrepasada, por lo que se concluye que no sería necesario realizar un ajuste al valor esperado debido a la holgura con la que el OIJ </w:t>
      </w:r>
      <w:r w:rsidR="005940C6">
        <w:rPr>
          <w:rFonts w:ascii="Arial Narrow" w:eastAsia="Calibri" w:hAnsi="Arial Narrow"/>
        </w:rPr>
        <w:t>está</w:t>
      </w:r>
      <w:r>
        <w:rPr>
          <w:rFonts w:ascii="Arial Narrow" w:eastAsia="Calibri" w:hAnsi="Arial Narrow"/>
        </w:rPr>
        <w:t xml:space="preserve"> alcanzando la meta.</w:t>
      </w:r>
    </w:p>
    <w:p w14:paraId="771F6E2E" w14:textId="0BD2C03E" w:rsidR="00BC7C45" w:rsidRDefault="00BC7C45" w:rsidP="00696737">
      <w:pPr>
        <w:spacing w:line="276" w:lineRule="auto"/>
        <w:jc w:val="both"/>
        <w:rPr>
          <w:rFonts w:ascii="Arial Narrow" w:eastAsia="Calibri" w:hAnsi="Arial Narrow"/>
        </w:rPr>
      </w:pPr>
    </w:p>
    <w:p w14:paraId="2F25C2CC" w14:textId="56AECF65" w:rsidR="00BC7C45" w:rsidRDefault="00BC7C45" w:rsidP="00696737">
      <w:pPr>
        <w:spacing w:line="276" w:lineRule="auto"/>
        <w:jc w:val="both"/>
        <w:rPr>
          <w:rFonts w:ascii="Arial Narrow" w:eastAsia="Calibri" w:hAnsi="Arial Narrow"/>
        </w:rPr>
      </w:pPr>
    </w:p>
    <w:p w14:paraId="0B5733E1" w14:textId="77777777" w:rsidR="00BC7C45" w:rsidRDefault="00BC7C45" w:rsidP="00696737">
      <w:pPr>
        <w:spacing w:line="276" w:lineRule="auto"/>
        <w:jc w:val="both"/>
        <w:rPr>
          <w:rFonts w:ascii="Arial Narrow" w:hAnsi="Arial Narrow"/>
        </w:rPr>
      </w:pPr>
    </w:p>
    <w:p w14:paraId="004BE0FA" w14:textId="77777777" w:rsidR="00FB7FE4" w:rsidRDefault="00FB7FE4" w:rsidP="00FB7FE4">
      <w:pPr>
        <w:rPr>
          <w:rFonts w:eastAsia="Calibri"/>
          <w:lang w:val="en-US" w:eastAsia="en-US"/>
        </w:rPr>
      </w:pPr>
    </w:p>
    <w:p w14:paraId="7A0298D4" w14:textId="1ECDFF72" w:rsidR="00FB7FE4" w:rsidRPr="00322D9B" w:rsidRDefault="00D52359" w:rsidP="00322D9B">
      <w:pPr>
        <w:pStyle w:val="Ttulo3"/>
        <w:numPr>
          <w:ilvl w:val="2"/>
          <w:numId w:val="106"/>
        </w:numPr>
        <w:rPr>
          <w:rFonts w:ascii="Arial Narrow" w:eastAsia="Calibri" w:hAnsi="Arial Narrow"/>
        </w:rPr>
      </w:pPr>
      <w:bookmarkStart w:id="31" w:name="_Toc106355269"/>
      <w:r w:rsidRPr="00322D9B">
        <w:rPr>
          <w:rFonts w:ascii="Arial Narrow" w:eastAsia="Calibri" w:hAnsi="Arial Narrow"/>
        </w:rPr>
        <w:t>Medidas</w:t>
      </w:r>
      <w:r w:rsidR="00FB7FE4" w:rsidRPr="00322D9B">
        <w:rPr>
          <w:rFonts w:ascii="Arial Narrow" w:eastAsia="Calibri" w:hAnsi="Arial Narrow"/>
        </w:rPr>
        <w:t xml:space="preserve"> alternas</w:t>
      </w:r>
      <w:bookmarkEnd w:id="31"/>
    </w:p>
    <w:p w14:paraId="56E3E1A8" w14:textId="77777777" w:rsidR="00F5427D" w:rsidRDefault="00F5427D" w:rsidP="00F5427D">
      <w:pPr>
        <w:jc w:val="both"/>
        <w:rPr>
          <w:noProof/>
        </w:rPr>
      </w:pPr>
    </w:p>
    <w:p w14:paraId="1AD836DC" w14:textId="61EB7AA7" w:rsidR="00F5427D" w:rsidRDefault="00F5427D" w:rsidP="00E1651C">
      <w:pPr>
        <w:spacing w:line="276" w:lineRule="auto"/>
        <w:jc w:val="both"/>
        <w:rPr>
          <w:rFonts w:ascii="Arial Narrow" w:hAnsi="Arial Narrow"/>
          <w:noProof/>
        </w:rPr>
      </w:pPr>
      <w:r w:rsidRPr="00F5427D">
        <w:rPr>
          <w:rFonts w:ascii="Arial Narrow" w:hAnsi="Arial Narrow"/>
          <w:noProof/>
        </w:rPr>
        <w:t xml:space="preserve">Se </w:t>
      </w:r>
      <w:r w:rsidRPr="00945244">
        <w:rPr>
          <w:rFonts w:ascii="Arial Narrow" w:hAnsi="Arial Narrow"/>
          <w:noProof/>
        </w:rPr>
        <w:t xml:space="preserve">observan </w:t>
      </w:r>
      <w:r w:rsidR="00EA6ACA" w:rsidRPr="00945244">
        <w:rPr>
          <w:rFonts w:ascii="Arial Narrow" w:hAnsi="Arial Narrow"/>
          <w:noProof/>
        </w:rPr>
        <w:t>18</w:t>
      </w:r>
      <w:r w:rsidRPr="00945244">
        <w:rPr>
          <w:rFonts w:ascii="Arial Narrow" w:hAnsi="Arial Narrow"/>
          <w:noProof/>
        </w:rPr>
        <w:t xml:space="preserve"> metas estratégicas de las cuales</w:t>
      </w:r>
      <w:r w:rsidR="00EA6ACA" w:rsidRPr="00945244">
        <w:rPr>
          <w:rFonts w:ascii="Arial Narrow" w:hAnsi="Arial Narrow"/>
          <w:noProof/>
        </w:rPr>
        <w:t xml:space="preserve"> </w:t>
      </w:r>
      <w:r w:rsidR="00204E45" w:rsidRPr="00945244">
        <w:rPr>
          <w:rFonts w:ascii="Arial Narrow" w:hAnsi="Arial Narrow"/>
          <w:noProof/>
        </w:rPr>
        <w:t>7</w:t>
      </w:r>
      <w:r w:rsidRPr="00945244">
        <w:rPr>
          <w:rFonts w:ascii="Arial Narrow" w:hAnsi="Arial Narrow"/>
          <w:noProof/>
        </w:rPr>
        <w:t xml:space="preserve"> muestran una ejecución alta en su cumplimiento. Por otro lado, hay </w:t>
      </w:r>
      <w:r w:rsidR="00204E45" w:rsidRPr="00945244">
        <w:rPr>
          <w:rFonts w:ascii="Arial Narrow" w:hAnsi="Arial Narrow"/>
          <w:noProof/>
        </w:rPr>
        <w:t>9</w:t>
      </w:r>
      <w:r w:rsidRPr="00945244">
        <w:rPr>
          <w:rFonts w:ascii="Arial Narrow" w:hAnsi="Arial Narrow"/>
          <w:noProof/>
        </w:rPr>
        <w:t xml:space="preserve"> metas que registran un cumplimiento medio</w:t>
      </w:r>
      <w:r w:rsidR="00204E45" w:rsidRPr="00945244">
        <w:rPr>
          <w:rFonts w:ascii="Arial Narrow" w:hAnsi="Arial Narrow"/>
          <w:noProof/>
        </w:rPr>
        <w:t xml:space="preserve"> y 2 metas con un cumplimiento </w:t>
      </w:r>
      <w:r w:rsidR="00945244" w:rsidRPr="00945244">
        <w:rPr>
          <w:rFonts w:ascii="Arial Narrow" w:hAnsi="Arial Narrow"/>
          <w:noProof/>
        </w:rPr>
        <w:t>bajo</w:t>
      </w:r>
      <w:r w:rsidRPr="00945244">
        <w:rPr>
          <w:rFonts w:ascii="Arial Narrow" w:hAnsi="Arial Narrow"/>
          <w:noProof/>
        </w:rPr>
        <w:t>. Se detalla a continuación las metas estratégicas y su cumplimiento para el 2021</w:t>
      </w:r>
      <w:r w:rsidR="00D75A72">
        <w:rPr>
          <w:rFonts w:ascii="Arial Narrow" w:hAnsi="Arial Narrow"/>
          <w:noProof/>
        </w:rPr>
        <w:t>.</w:t>
      </w:r>
    </w:p>
    <w:p w14:paraId="21CD556D" w14:textId="77777777" w:rsidR="00B84297" w:rsidRDefault="00B84297" w:rsidP="00E1651C">
      <w:pPr>
        <w:spacing w:line="276" w:lineRule="auto"/>
        <w:jc w:val="both"/>
        <w:rPr>
          <w:rFonts w:ascii="Arial Narrow" w:hAnsi="Arial Narrow"/>
          <w:noProof/>
        </w:rPr>
      </w:pPr>
    </w:p>
    <w:p w14:paraId="14122E44" w14:textId="496391C6" w:rsidR="00D75A72" w:rsidRDefault="00D75A72" w:rsidP="00D75A72">
      <w:pPr>
        <w:jc w:val="both"/>
        <w:rPr>
          <w:rFonts w:ascii="Arial Narrow" w:eastAsia="Calibri" w:hAnsi="Arial Narrow"/>
        </w:rPr>
      </w:pPr>
      <w:r>
        <w:rPr>
          <w:rFonts w:ascii="Arial Narrow" w:eastAsia="Calibri" w:hAnsi="Arial Narrow"/>
        </w:rPr>
        <w:t>Con respecto a esta acción estratégica de Medidas Alternas, se efectuó una mejora en el Sistema PAO para el 2021, que permitía vincular el SIGMA (sistema de estadísticas judiciales) con las diferentes metas de los despachos judiciales relacionadas con los casos terminados mediante medidas alternas (esto aplicaría solo para materias jurisdiccionales). Esto facilitó que las personas encargadas de los avances no tuvieran que registrarlos de forma manual, sino que se actualiza automáticamente mes a mes con cargas ya preconfiguradas. Esto también demuestra que los datos de casos terminados mediante medidas alternas son datos fidedignos y fehacientes.</w:t>
      </w:r>
    </w:p>
    <w:p w14:paraId="4E1B9AE5" w14:textId="77777777" w:rsidR="00D75A72" w:rsidRPr="00F5427D" w:rsidRDefault="00D75A72" w:rsidP="00E1651C">
      <w:pPr>
        <w:spacing w:line="276" w:lineRule="auto"/>
        <w:jc w:val="both"/>
        <w:rPr>
          <w:rFonts w:ascii="Arial Narrow" w:hAnsi="Arial Narrow"/>
          <w:noProof/>
        </w:rPr>
      </w:pPr>
    </w:p>
    <w:p w14:paraId="4273002C" w14:textId="0D38FB41" w:rsidR="00F5427D" w:rsidRDefault="00F5427D" w:rsidP="008A7BDD">
      <w:pPr>
        <w:rPr>
          <w:noProof/>
        </w:rPr>
      </w:pPr>
    </w:p>
    <w:p w14:paraId="5E0B9C0B" w14:textId="7E6E2B02" w:rsidR="00D52359" w:rsidRDefault="00D52359" w:rsidP="008A7BDD">
      <w:pPr>
        <w:rPr>
          <w:noProof/>
        </w:rPr>
      </w:pPr>
    </w:p>
    <w:p w14:paraId="6374E3D6" w14:textId="47065B3E" w:rsidR="00D52359" w:rsidRDefault="00D52359" w:rsidP="008A7BDD">
      <w:pPr>
        <w:rPr>
          <w:noProof/>
        </w:rPr>
      </w:pPr>
    </w:p>
    <w:p w14:paraId="59E7225A" w14:textId="7CCDC663" w:rsidR="00D52359" w:rsidRDefault="00D52359" w:rsidP="008A7BDD">
      <w:pPr>
        <w:rPr>
          <w:noProof/>
        </w:rPr>
      </w:pPr>
    </w:p>
    <w:p w14:paraId="7D40AFEF" w14:textId="77777777" w:rsidR="00D52359" w:rsidRDefault="00D52359" w:rsidP="008A7BDD">
      <w:pPr>
        <w:rPr>
          <w:noProof/>
        </w:rPr>
      </w:pPr>
    </w:p>
    <w:p w14:paraId="03A0A58A" w14:textId="72A08C17" w:rsidR="00E440B1" w:rsidRDefault="00F5427D" w:rsidP="00E440B1">
      <w:pPr>
        <w:pStyle w:val="Descripcin"/>
        <w:jc w:val="center"/>
        <w:rPr>
          <w:rFonts w:ascii="Arial Narrow" w:eastAsia="Calibri" w:hAnsi="Arial Narrow"/>
          <w:sz w:val="24"/>
          <w:szCs w:val="24"/>
          <w:lang w:eastAsia="en-US"/>
        </w:rPr>
      </w:pPr>
      <w:bookmarkStart w:id="32" w:name="_Toc76062241"/>
      <w:r w:rsidRPr="00704B08">
        <w:rPr>
          <w:rFonts w:ascii="Arial Narrow" w:hAnsi="Arial Narrow"/>
          <w:sz w:val="24"/>
          <w:szCs w:val="24"/>
        </w:rPr>
        <w:t xml:space="preserve">Cuadro </w:t>
      </w:r>
      <w:r w:rsidRPr="00704B08">
        <w:rPr>
          <w:rFonts w:ascii="Arial Narrow" w:hAnsi="Arial Narrow"/>
          <w:sz w:val="24"/>
          <w:szCs w:val="24"/>
        </w:rPr>
        <w:fldChar w:fldCharType="begin"/>
      </w:r>
      <w:r w:rsidRPr="00704B08">
        <w:rPr>
          <w:rFonts w:ascii="Arial Narrow" w:hAnsi="Arial Narrow"/>
          <w:sz w:val="24"/>
          <w:szCs w:val="24"/>
        </w:rPr>
        <w:instrText xml:space="preserve"> SEQ Cuadro_No. \* ARABIC </w:instrText>
      </w:r>
      <w:r w:rsidRPr="00704B08">
        <w:rPr>
          <w:rFonts w:ascii="Arial Narrow" w:hAnsi="Arial Narrow"/>
          <w:sz w:val="24"/>
          <w:szCs w:val="24"/>
        </w:rPr>
        <w:fldChar w:fldCharType="separate"/>
      </w:r>
      <w:r w:rsidR="002F520A">
        <w:rPr>
          <w:rFonts w:ascii="Arial Narrow" w:hAnsi="Arial Narrow"/>
          <w:noProof/>
          <w:sz w:val="24"/>
          <w:szCs w:val="24"/>
        </w:rPr>
        <w:t>23</w:t>
      </w:r>
      <w:r w:rsidRPr="00704B08">
        <w:rPr>
          <w:rFonts w:ascii="Arial Narrow" w:hAnsi="Arial Narrow"/>
          <w:sz w:val="24"/>
          <w:szCs w:val="24"/>
        </w:rPr>
        <w:fldChar w:fldCharType="end"/>
      </w:r>
      <w:r w:rsidRPr="00704B08">
        <w:rPr>
          <w:rFonts w:ascii="Arial Narrow" w:hAnsi="Arial Narrow"/>
          <w:sz w:val="24"/>
          <w:szCs w:val="24"/>
        </w:rPr>
        <w:t xml:space="preserve"> </w:t>
      </w:r>
      <w:r w:rsidRPr="00704B08">
        <w:rPr>
          <w:rFonts w:ascii="Arial Narrow" w:eastAsia="Calibri" w:hAnsi="Arial Narrow"/>
          <w:sz w:val="24"/>
          <w:szCs w:val="24"/>
          <w:lang w:eastAsia="en-US"/>
        </w:rPr>
        <w:t>Metas</w:t>
      </w:r>
      <w:r w:rsidRPr="009D5823">
        <w:rPr>
          <w:rFonts w:ascii="Arial Narrow" w:eastAsia="Calibri" w:hAnsi="Arial Narrow"/>
          <w:sz w:val="24"/>
          <w:szCs w:val="24"/>
          <w:lang w:eastAsia="en-US"/>
        </w:rPr>
        <w:t xml:space="preserve"> estratégicas</w:t>
      </w:r>
      <w:r w:rsidRPr="00665D61">
        <w:rPr>
          <w:rFonts w:ascii="Arial Narrow" w:eastAsia="Calibri" w:hAnsi="Arial Narrow"/>
          <w:sz w:val="24"/>
          <w:szCs w:val="24"/>
          <w:lang w:eastAsia="en-US"/>
        </w:rPr>
        <w:t xml:space="preserve"> de Medidas Alternas y su cumplimiento para el 20</w:t>
      </w:r>
      <w:bookmarkEnd w:id="32"/>
      <w:r>
        <w:rPr>
          <w:rFonts w:ascii="Arial Narrow" w:eastAsia="Calibri" w:hAnsi="Arial Narrow"/>
          <w:sz w:val="24"/>
          <w:szCs w:val="24"/>
          <w:lang w:eastAsia="en-US"/>
        </w:rPr>
        <w:t>21</w:t>
      </w:r>
      <w:r w:rsidR="00E440B1">
        <w:rPr>
          <w:rFonts w:ascii="Arial Narrow" w:eastAsia="Calibri" w:hAnsi="Arial Narrow"/>
          <w:sz w:val="24"/>
          <w:szCs w:val="24"/>
          <w:lang w:eastAsia="en-US"/>
        </w:rPr>
        <w:t>.</w:t>
      </w:r>
    </w:p>
    <w:p w14:paraId="56AE66E3" w14:textId="7BADFC69" w:rsidR="00945244" w:rsidRDefault="00945244" w:rsidP="00945244">
      <w:pPr>
        <w:rPr>
          <w:rFonts w:eastAsia="Calibri"/>
          <w:lang w:eastAsia="en-US"/>
        </w:rPr>
      </w:pPr>
    </w:p>
    <w:p w14:paraId="5CB94234" w14:textId="7EDB6DE5" w:rsidR="00945244" w:rsidRPr="00945244" w:rsidRDefault="00945244" w:rsidP="00945244">
      <w:pPr>
        <w:rPr>
          <w:rFonts w:eastAsia="Calibri"/>
          <w:lang w:eastAsia="en-US"/>
        </w:rPr>
      </w:pPr>
      <w:r>
        <w:rPr>
          <w:noProof/>
        </w:rPr>
        <w:drawing>
          <wp:inline distT="0" distB="0" distL="0" distR="0" wp14:anchorId="4313E6F3" wp14:editId="2DFE70CC">
            <wp:extent cx="5974080" cy="2685415"/>
            <wp:effectExtent l="57150" t="57150" r="102870" b="9588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74080" cy="268541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C67A50A" w14:textId="06743BFD" w:rsidR="00F5427D" w:rsidRPr="00A618D8" w:rsidRDefault="00F5427D" w:rsidP="00025C8D">
      <w:pPr>
        <w:jc w:val="center"/>
        <w:rPr>
          <w:rFonts w:eastAsia="Calibri"/>
          <w:b/>
          <w:bCs/>
        </w:rPr>
      </w:pPr>
      <w:r w:rsidRPr="004619C9">
        <w:rPr>
          <w:rFonts w:ascii="Arial Narrow" w:eastAsia="Calibri" w:hAnsi="Arial Narrow"/>
          <w:b/>
          <w:bCs/>
          <w:sz w:val="18"/>
          <w:szCs w:val="18"/>
          <w:lang w:eastAsia="en-US"/>
        </w:rPr>
        <w:t>Fuente:</w:t>
      </w:r>
      <w:r w:rsidRPr="000B4845">
        <w:rPr>
          <w:rFonts w:ascii="Arial Narrow" w:eastAsia="Calibri" w:hAnsi="Arial Narrow"/>
          <w:sz w:val="18"/>
          <w:szCs w:val="18"/>
          <w:lang w:eastAsia="en-US"/>
        </w:rPr>
        <w:t xml:space="preserve"> Sistema PEI al </w:t>
      </w:r>
      <w:r>
        <w:rPr>
          <w:rFonts w:ascii="Arial Narrow" w:eastAsia="Calibri" w:hAnsi="Arial Narrow"/>
          <w:sz w:val="18"/>
          <w:szCs w:val="18"/>
          <w:lang w:eastAsia="en-US"/>
        </w:rPr>
        <w:t>19</w:t>
      </w:r>
      <w:r w:rsidRPr="000B4845">
        <w:rPr>
          <w:rFonts w:ascii="Arial Narrow" w:eastAsia="Calibri" w:hAnsi="Arial Narrow"/>
          <w:sz w:val="18"/>
          <w:szCs w:val="18"/>
          <w:lang w:eastAsia="en-US"/>
        </w:rPr>
        <w:t xml:space="preserve"> de enero del </w:t>
      </w:r>
      <w:r>
        <w:rPr>
          <w:rFonts w:ascii="Arial Narrow" w:eastAsia="Calibri" w:hAnsi="Arial Narrow"/>
          <w:sz w:val="18"/>
          <w:szCs w:val="18"/>
          <w:lang w:eastAsia="en-US"/>
        </w:rPr>
        <w:t>2022 para el año 2021.</w:t>
      </w:r>
    </w:p>
    <w:p w14:paraId="0A590786" w14:textId="00D632B8" w:rsidR="00F5427D" w:rsidRDefault="00F5427D" w:rsidP="008A7BDD">
      <w:pPr>
        <w:rPr>
          <w:rFonts w:eastAsia="Calibri"/>
          <w:lang w:val="en-US" w:eastAsia="en-US"/>
        </w:rPr>
      </w:pPr>
    </w:p>
    <w:p w14:paraId="5365EFFE" w14:textId="77777777" w:rsidR="00B84297" w:rsidRDefault="00B84297" w:rsidP="000102B8">
      <w:pPr>
        <w:spacing w:line="276" w:lineRule="auto"/>
        <w:jc w:val="both"/>
        <w:rPr>
          <w:rFonts w:ascii="Arial Narrow" w:eastAsiaTheme="minorHAnsi" w:hAnsi="Arial Narrow" w:cstheme="minorBidi"/>
          <w:lang w:val="es-CR" w:eastAsia="en-US"/>
        </w:rPr>
      </w:pPr>
    </w:p>
    <w:p w14:paraId="1A34E2C9" w14:textId="77777777" w:rsidR="00B84297" w:rsidRDefault="00B84297" w:rsidP="000102B8">
      <w:pPr>
        <w:spacing w:line="276" w:lineRule="auto"/>
        <w:jc w:val="both"/>
        <w:rPr>
          <w:rFonts w:ascii="Arial Narrow" w:eastAsiaTheme="minorHAnsi" w:hAnsi="Arial Narrow" w:cstheme="minorBidi"/>
          <w:lang w:val="es-CR" w:eastAsia="en-US"/>
        </w:rPr>
      </w:pPr>
    </w:p>
    <w:p w14:paraId="3C084970" w14:textId="08B4C6A2" w:rsidR="000102B8" w:rsidRPr="000102B8" w:rsidRDefault="00535A53" w:rsidP="000102B8">
      <w:pPr>
        <w:spacing w:line="276" w:lineRule="auto"/>
        <w:jc w:val="both"/>
        <w:rPr>
          <w:rFonts w:ascii="Arial Narrow" w:eastAsiaTheme="minorHAnsi" w:hAnsi="Arial Narrow" w:cstheme="minorBidi"/>
          <w:lang w:val="es-CR" w:eastAsia="en-US"/>
        </w:rPr>
      </w:pPr>
      <w:r w:rsidRPr="00535A53">
        <w:rPr>
          <w:rFonts w:ascii="Arial Narrow" w:eastAsiaTheme="minorHAnsi" w:hAnsi="Arial Narrow" w:cstheme="minorBidi"/>
          <w:lang w:val="es-CR" w:eastAsia="en-US"/>
        </w:rPr>
        <w:t>Con respecto a la meta de casos terminados mediante medidas alternas en la materia laboral</w:t>
      </w:r>
      <w:r w:rsidR="00B51B6E">
        <w:rPr>
          <w:rFonts w:ascii="Arial Narrow" w:eastAsiaTheme="minorHAnsi" w:hAnsi="Arial Narrow" w:cstheme="minorBidi"/>
          <w:lang w:val="es-CR" w:eastAsia="en-US"/>
        </w:rPr>
        <w:t xml:space="preserve"> en primera Instancia</w:t>
      </w:r>
      <w:r w:rsidRPr="00535A53">
        <w:rPr>
          <w:rFonts w:ascii="Arial Narrow" w:eastAsiaTheme="minorHAnsi" w:hAnsi="Arial Narrow" w:cstheme="minorBidi"/>
          <w:lang w:val="es-CR" w:eastAsia="en-US"/>
        </w:rPr>
        <w:t xml:space="preserve">, se tiene un </w:t>
      </w:r>
      <w:r w:rsidR="006E3FA1">
        <w:rPr>
          <w:rFonts w:ascii="Arial Narrow" w:eastAsiaTheme="minorHAnsi" w:hAnsi="Arial Narrow" w:cstheme="minorBidi"/>
          <w:lang w:val="es-CR" w:eastAsia="en-US"/>
        </w:rPr>
        <w:t xml:space="preserve">decrecimiento de un </w:t>
      </w:r>
      <w:r w:rsidR="00446454">
        <w:rPr>
          <w:rFonts w:ascii="Arial Narrow" w:eastAsiaTheme="minorHAnsi" w:hAnsi="Arial Narrow" w:cstheme="minorBidi"/>
          <w:lang w:val="es-CR" w:eastAsia="en-US"/>
        </w:rPr>
        <w:t xml:space="preserve">5,50% </w:t>
      </w:r>
      <w:r w:rsidR="00446454">
        <w:rPr>
          <w:rFonts w:ascii="Arial Narrow" w:hAnsi="Arial Narrow"/>
        </w:rPr>
        <w:t>desde el 2019 que registró 6112 casos al 2021 que se reportaron 5793 expedientes.</w:t>
      </w:r>
      <w:r w:rsidR="000102B8" w:rsidRPr="000102B8">
        <w:rPr>
          <w:rFonts w:ascii="Arial Narrow" w:hAnsi="Arial Narrow"/>
        </w:rPr>
        <w:t xml:space="preserve"> </w:t>
      </w:r>
      <w:r w:rsidR="000102B8">
        <w:rPr>
          <w:rFonts w:ascii="Arial Narrow" w:hAnsi="Arial Narrow"/>
        </w:rPr>
        <w:t>El porcentaje de cumplimiento es de un 100% para los 3 años con respecto a la meta esperada.</w:t>
      </w:r>
      <w:r w:rsidR="000102B8" w:rsidRPr="000102B8">
        <w:rPr>
          <w:rFonts w:ascii="Arial Narrow" w:eastAsiaTheme="minorHAnsi" w:hAnsi="Arial Narrow" w:cstheme="minorBidi"/>
          <w:b/>
          <w:bCs/>
          <w:lang w:val="es-CR" w:eastAsia="en-US"/>
        </w:rPr>
        <w:t xml:space="preserve"> </w:t>
      </w:r>
      <w:r w:rsidR="000102B8">
        <w:rPr>
          <w:rFonts w:ascii="Arial Narrow" w:eastAsiaTheme="minorHAnsi" w:hAnsi="Arial Narrow" w:cstheme="minorBidi"/>
          <w:b/>
          <w:bCs/>
          <w:lang w:val="es-CR" w:eastAsia="en-US"/>
        </w:rPr>
        <w:t>Sin embargo, s</w:t>
      </w:r>
      <w:r w:rsidR="000102B8" w:rsidRPr="000102B8">
        <w:rPr>
          <w:rFonts w:ascii="Arial Narrow" w:eastAsiaTheme="minorHAnsi" w:hAnsi="Arial Narrow" w:cstheme="minorBidi"/>
          <w:b/>
          <w:bCs/>
          <w:lang w:val="es-CR" w:eastAsia="en-US"/>
        </w:rPr>
        <w:t xml:space="preserve">e sugiere modificar el valor esperado de la meta y adecuarlo a las realidades de las oficinas competentes en </w:t>
      </w:r>
      <w:r w:rsidR="000102B8">
        <w:rPr>
          <w:rFonts w:ascii="Arial Narrow" w:eastAsiaTheme="minorHAnsi" w:hAnsi="Arial Narrow" w:cstheme="minorBidi"/>
          <w:b/>
          <w:bCs/>
          <w:lang w:val="es-CR" w:eastAsia="en-US"/>
        </w:rPr>
        <w:t>la materia Laboral</w:t>
      </w:r>
      <w:r w:rsidR="000102B8" w:rsidRPr="000102B8">
        <w:rPr>
          <w:rFonts w:ascii="Arial Narrow" w:eastAsiaTheme="minorHAnsi" w:hAnsi="Arial Narrow" w:cstheme="minorBidi"/>
          <w:b/>
          <w:bCs/>
          <w:lang w:val="es-CR" w:eastAsia="en-US"/>
        </w:rPr>
        <w:t xml:space="preserve">, </w:t>
      </w:r>
      <w:bookmarkStart w:id="33" w:name="_Hlk99364709"/>
      <w:r w:rsidR="000102B8" w:rsidRPr="000102B8">
        <w:rPr>
          <w:rFonts w:ascii="Arial Narrow" w:eastAsiaTheme="minorHAnsi" w:hAnsi="Arial Narrow" w:cstheme="minorBidi"/>
          <w:b/>
          <w:bCs/>
          <w:lang w:val="es-CR" w:eastAsia="en-US"/>
        </w:rPr>
        <w:t>las cuales están en capacidad de terminar más expedientes de lo que fue planeado, según la revisión de los 3 años del PEI</w:t>
      </w:r>
      <w:r w:rsidR="000102B8" w:rsidRPr="000102B8">
        <w:rPr>
          <w:rFonts w:ascii="Arial Narrow" w:eastAsiaTheme="minorHAnsi" w:hAnsi="Arial Narrow" w:cstheme="minorBidi"/>
          <w:lang w:val="es-CR" w:eastAsia="en-US"/>
        </w:rPr>
        <w:t>.</w:t>
      </w:r>
    </w:p>
    <w:bookmarkEnd w:id="33"/>
    <w:p w14:paraId="063010DD" w14:textId="77777777" w:rsidR="00D75A72" w:rsidRDefault="00D75A72" w:rsidP="006E3FA1">
      <w:pPr>
        <w:spacing w:after="160" w:line="276" w:lineRule="auto"/>
        <w:jc w:val="both"/>
        <w:rPr>
          <w:rFonts w:ascii="Arial Narrow" w:eastAsiaTheme="minorHAnsi" w:hAnsi="Arial Narrow" w:cstheme="minorBidi"/>
          <w:lang w:val="es-CR" w:eastAsia="en-US"/>
        </w:rPr>
      </w:pPr>
    </w:p>
    <w:p w14:paraId="4C8CD18E" w14:textId="40C38127" w:rsidR="00917518" w:rsidRDefault="00A37200" w:rsidP="005940C6">
      <w:pPr>
        <w:jc w:val="both"/>
        <w:rPr>
          <w:rFonts w:ascii="Arial Narrow" w:hAnsi="Arial Narrow"/>
          <w:b/>
          <w:bCs/>
        </w:rPr>
      </w:pPr>
      <w:r>
        <w:rPr>
          <w:rFonts w:ascii="Arial Narrow" w:eastAsiaTheme="minorHAnsi" w:hAnsi="Arial Narrow" w:cstheme="minorBidi"/>
          <w:lang w:val="es-CR" w:eastAsia="en-US"/>
        </w:rPr>
        <w:t>En cuanto a la meta de casos terminados mediante medidas alternas en los Juzgados Penales</w:t>
      </w:r>
      <w:r w:rsidR="00B51B6E">
        <w:rPr>
          <w:rFonts w:ascii="Arial Narrow" w:eastAsiaTheme="minorHAnsi" w:hAnsi="Arial Narrow" w:cstheme="minorBidi"/>
          <w:lang w:val="es-CR" w:eastAsia="en-US"/>
        </w:rPr>
        <w:t xml:space="preserve"> en primera Instancia</w:t>
      </w:r>
      <w:r w:rsidR="00917518">
        <w:rPr>
          <w:rFonts w:ascii="Arial Narrow" w:hAnsi="Arial Narrow"/>
        </w:rPr>
        <w:t xml:space="preserve">, se tiene que para el 2019 se registraron 3733 asuntos, para el 2020 la cantidad fue de 3200 y para </w:t>
      </w:r>
      <w:r w:rsidR="00917518" w:rsidRPr="00945244">
        <w:rPr>
          <w:rFonts w:ascii="Arial Narrow" w:hAnsi="Arial Narrow"/>
        </w:rPr>
        <w:t xml:space="preserve">el 2021 se registraron 3733 casos, lo que significa un decrecimiento </w:t>
      </w:r>
      <w:r w:rsidR="00917518" w:rsidRPr="00945244">
        <w:rPr>
          <w:rFonts w:ascii="Arial Narrow" w:eastAsiaTheme="minorHAnsi" w:hAnsi="Arial Narrow" w:cstheme="minorBidi"/>
          <w:lang w:val="es-CR" w:eastAsia="en-US"/>
        </w:rPr>
        <w:t>4,36% para el año 2021 con respecto al 2019</w:t>
      </w:r>
      <w:r w:rsidR="00917518" w:rsidRPr="00945244">
        <w:rPr>
          <w:rFonts w:ascii="Arial Narrow" w:hAnsi="Arial Narrow"/>
        </w:rPr>
        <w:t xml:space="preserve">. </w:t>
      </w:r>
      <w:r w:rsidR="00917518" w:rsidRPr="00945244">
        <w:rPr>
          <w:rFonts w:ascii="Arial Narrow" w:hAnsi="Arial Narrow"/>
          <w:b/>
          <w:bCs/>
        </w:rPr>
        <w:t>Esta meta debe ser revisada con respecto a sus valores esperados de casos terminados dado</w:t>
      </w:r>
      <w:r w:rsidR="00D80E30" w:rsidRPr="00945244">
        <w:rPr>
          <w:rFonts w:ascii="Arial Narrow" w:hAnsi="Arial Narrow"/>
          <w:b/>
          <w:bCs/>
        </w:rPr>
        <w:t xml:space="preserve"> que </w:t>
      </w:r>
      <w:r w:rsidR="00F9381B" w:rsidRPr="00945244">
        <w:rPr>
          <w:rFonts w:ascii="Arial Narrow" w:hAnsi="Arial Narrow"/>
          <w:b/>
          <w:bCs/>
        </w:rPr>
        <w:t xml:space="preserve">en la revisión efectuada </w:t>
      </w:r>
      <w:r w:rsidR="00D80E30" w:rsidRPr="00945244">
        <w:rPr>
          <w:rFonts w:ascii="Arial Narrow" w:hAnsi="Arial Narrow"/>
          <w:b/>
          <w:bCs/>
        </w:rPr>
        <w:t xml:space="preserve">los Juzgados Penales </w:t>
      </w:r>
      <w:r w:rsidR="00F9381B" w:rsidRPr="00945244">
        <w:rPr>
          <w:rFonts w:ascii="Arial Narrow" w:hAnsi="Arial Narrow"/>
          <w:b/>
          <w:bCs/>
        </w:rPr>
        <w:t xml:space="preserve">no cuentan con </w:t>
      </w:r>
      <w:r w:rsidR="00945244" w:rsidRPr="00945244">
        <w:rPr>
          <w:rFonts w:ascii="Arial Narrow" w:hAnsi="Arial Narrow"/>
          <w:b/>
          <w:bCs/>
        </w:rPr>
        <w:t>parámetro</w:t>
      </w:r>
      <w:r w:rsidR="00F9381B" w:rsidRPr="00945244">
        <w:rPr>
          <w:rFonts w:ascii="Arial Narrow" w:hAnsi="Arial Narrow"/>
          <w:b/>
          <w:bCs/>
        </w:rPr>
        <w:t>.</w:t>
      </w:r>
      <w:r w:rsidR="00F9381B">
        <w:rPr>
          <w:rFonts w:ascii="Arial Narrow" w:hAnsi="Arial Narrow"/>
          <w:b/>
          <w:bCs/>
        </w:rPr>
        <w:t xml:space="preserve"> </w:t>
      </w:r>
    </w:p>
    <w:p w14:paraId="38519D68" w14:textId="08F05B75" w:rsidR="00D80E30" w:rsidRDefault="00D80E30" w:rsidP="00D80E30">
      <w:pPr>
        <w:rPr>
          <w:noProof/>
        </w:rPr>
      </w:pPr>
    </w:p>
    <w:p w14:paraId="2B38C39F" w14:textId="2B6DFE94" w:rsidR="00B54439" w:rsidRDefault="00B54439">
      <w:pPr>
        <w:rPr>
          <w:rFonts w:ascii="Arial Narrow" w:hAnsi="Arial Narrow"/>
          <w:b/>
          <w:bCs/>
        </w:rPr>
      </w:pPr>
    </w:p>
    <w:p w14:paraId="2E10745A" w14:textId="5C4DAED3" w:rsidR="00D80E30" w:rsidRDefault="00D80E30" w:rsidP="00D80E30">
      <w:pPr>
        <w:pStyle w:val="Descripcin"/>
        <w:jc w:val="center"/>
        <w:rPr>
          <w:rFonts w:ascii="Arial Narrow" w:eastAsia="Calibri" w:hAnsi="Arial Narrow"/>
          <w:sz w:val="24"/>
          <w:szCs w:val="24"/>
          <w:lang w:eastAsia="en-US"/>
        </w:rPr>
      </w:pPr>
      <w:r w:rsidRPr="00704B08">
        <w:rPr>
          <w:rFonts w:ascii="Arial Narrow" w:hAnsi="Arial Narrow"/>
          <w:sz w:val="24"/>
          <w:szCs w:val="24"/>
        </w:rPr>
        <w:t xml:space="preserve">Cuadro </w:t>
      </w:r>
      <w:r w:rsidRPr="00704B08">
        <w:rPr>
          <w:rFonts w:ascii="Arial Narrow" w:hAnsi="Arial Narrow"/>
          <w:sz w:val="24"/>
          <w:szCs w:val="24"/>
        </w:rPr>
        <w:fldChar w:fldCharType="begin"/>
      </w:r>
      <w:r w:rsidRPr="00704B08">
        <w:rPr>
          <w:rFonts w:ascii="Arial Narrow" w:hAnsi="Arial Narrow"/>
          <w:sz w:val="24"/>
          <w:szCs w:val="24"/>
        </w:rPr>
        <w:instrText xml:space="preserve"> SEQ Cuadro_No. \* ARABIC </w:instrText>
      </w:r>
      <w:r w:rsidRPr="00704B08">
        <w:rPr>
          <w:rFonts w:ascii="Arial Narrow" w:hAnsi="Arial Narrow"/>
          <w:sz w:val="24"/>
          <w:szCs w:val="24"/>
        </w:rPr>
        <w:fldChar w:fldCharType="separate"/>
      </w:r>
      <w:r w:rsidR="002F520A">
        <w:rPr>
          <w:rFonts w:ascii="Arial Narrow" w:hAnsi="Arial Narrow"/>
          <w:noProof/>
          <w:sz w:val="24"/>
          <w:szCs w:val="24"/>
        </w:rPr>
        <w:t>24</w:t>
      </w:r>
      <w:r w:rsidRPr="00704B08">
        <w:rPr>
          <w:rFonts w:ascii="Arial Narrow" w:hAnsi="Arial Narrow"/>
          <w:sz w:val="24"/>
          <w:szCs w:val="24"/>
        </w:rPr>
        <w:fldChar w:fldCharType="end"/>
      </w:r>
      <w:r w:rsidRPr="00704B08">
        <w:rPr>
          <w:rFonts w:ascii="Arial Narrow" w:hAnsi="Arial Narrow"/>
          <w:sz w:val="24"/>
          <w:szCs w:val="24"/>
        </w:rPr>
        <w:t xml:space="preserve"> </w:t>
      </w:r>
      <w:r w:rsidRPr="00704B08">
        <w:rPr>
          <w:rFonts w:ascii="Arial Narrow" w:eastAsia="Calibri" w:hAnsi="Arial Narrow"/>
          <w:sz w:val="24"/>
          <w:szCs w:val="24"/>
          <w:lang w:eastAsia="en-US"/>
        </w:rPr>
        <w:t>Metas</w:t>
      </w:r>
      <w:r w:rsidRPr="009D5823">
        <w:rPr>
          <w:rFonts w:ascii="Arial Narrow" w:eastAsia="Calibri" w:hAnsi="Arial Narrow"/>
          <w:sz w:val="24"/>
          <w:szCs w:val="24"/>
          <w:lang w:eastAsia="en-US"/>
        </w:rPr>
        <w:t xml:space="preserve"> estratégicas</w:t>
      </w:r>
      <w:r w:rsidRPr="00665D61">
        <w:rPr>
          <w:rFonts w:ascii="Arial Narrow" w:eastAsia="Calibri" w:hAnsi="Arial Narrow"/>
          <w:sz w:val="24"/>
          <w:szCs w:val="24"/>
          <w:lang w:eastAsia="en-US"/>
        </w:rPr>
        <w:t xml:space="preserve"> de Medidas Alternas y su cumplimiento para el 20</w:t>
      </w:r>
      <w:r>
        <w:rPr>
          <w:rFonts w:ascii="Arial Narrow" w:eastAsia="Calibri" w:hAnsi="Arial Narrow"/>
          <w:sz w:val="24"/>
          <w:szCs w:val="24"/>
          <w:lang w:eastAsia="en-US"/>
        </w:rPr>
        <w:t>21.</w:t>
      </w:r>
    </w:p>
    <w:p w14:paraId="35C410F2" w14:textId="3DCAF326" w:rsidR="00D80E30" w:rsidRDefault="00D80E30" w:rsidP="008A7BDD">
      <w:pPr>
        <w:rPr>
          <w:rFonts w:eastAsia="Calibri"/>
          <w:lang w:val="es-CR" w:eastAsia="en-US"/>
        </w:rPr>
      </w:pPr>
    </w:p>
    <w:p w14:paraId="2DDECD7A" w14:textId="0E192482" w:rsidR="00D80E30" w:rsidRDefault="006F6388" w:rsidP="008A7BDD">
      <w:pPr>
        <w:rPr>
          <w:rFonts w:eastAsia="Calibri"/>
          <w:lang w:val="es-CR" w:eastAsia="en-US"/>
        </w:rPr>
      </w:pPr>
      <w:r>
        <w:rPr>
          <w:noProof/>
        </w:rPr>
        <w:drawing>
          <wp:inline distT="0" distB="0" distL="0" distR="0" wp14:anchorId="759A4279" wp14:editId="608066BA">
            <wp:extent cx="5974080" cy="2447925"/>
            <wp:effectExtent l="57150" t="57150" r="102870" b="10477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74080" cy="244792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9B313C2" w14:textId="26DB7711" w:rsidR="006F6388" w:rsidRPr="00A618D8" w:rsidRDefault="006F6388" w:rsidP="00025C8D">
      <w:pPr>
        <w:jc w:val="center"/>
        <w:rPr>
          <w:rFonts w:eastAsia="Calibri"/>
          <w:b/>
          <w:bCs/>
        </w:rPr>
      </w:pPr>
      <w:r w:rsidRPr="004619C9">
        <w:rPr>
          <w:rFonts w:ascii="Arial Narrow" w:eastAsia="Calibri" w:hAnsi="Arial Narrow"/>
          <w:b/>
          <w:bCs/>
          <w:sz w:val="18"/>
          <w:szCs w:val="18"/>
          <w:lang w:eastAsia="en-US"/>
        </w:rPr>
        <w:t>Fuente:</w:t>
      </w:r>
      <w:r w:rsidRPr="000B4845">
        <w:rPr>
          <w:rFonts w:ascii="Arial Narrow" w:eastAsia="Calibri" w:hAnsi="Arial Narrow"/>
          <w:sz w:val="18"/>
          <w:szCs w:val="18"/>
          <w:lang w:eastAsia="en-US"/>
        </w:rPr>
        <w:t xml:space="preserve"> Sistema PEI al </w:t>
      </w:r>
      <w:r>
        <w:rPr>
          <w:rFonts w:ascii="Arial Narrow" w:eastAsia="Calibri" w:hAnsi="Arial Narrow"/>
          <w:sz w:val="18"/>
          <w:szCs w:val="18"/>
          <w:lang w:eastAsia="en-US"/>
        </w:rPr>
        <w:t>19</w:t>
      </w:r>
      <w:r w:rsidRPr="000B4845">
        <w:rPr>
          <w:rFonts w:ascii="Arial Narrow" w:eastAsia="Calibri" w:hAnsi="Arial Narrow"/>
          <w:sz w:val="18"/>
          <w:szCs w:val="18"/>
          <w:lang w:eastAsia="en-US"/>
        </w:rPr>
        <w:t xml:space="preserve"> de enero del </w:t>
      </w:r>
      <w:r>
        <w:rPr>
          <w:rFonts w:ascii="Arial Narrow" w:eastAsia="Calibri" w:hAnsi="Arial Narrow"/>
          <w:sz w:val="18"/>
          <w:szCs w:val="18"/>
          <w:lang w:eastAsia="en-US"/>
        </w:rPr>
        <w:t>2022 para el año 2021.</w:t>
      </w:r>
    </w:p>
    <w:p w14:paraId="0FC49DF3" w14:textId="04EC1B38" w:rsidR="00D80E30" w:rsidRDefault="00D80E30" w:rsidP="008A7BDD">
      <w:pPr>
        <w:rPr>
          <w:rFonts w:eastAsia="Calibri"/>
          <w:lang w:val="es-CR" w:eastAsia="en-US"/>
        </w:rPr>
      </w:pPr>
    </w:p>
    <w:p w14:paraId="6E3B8637" w14:textId="7C98EA4E" w:rsidR="00D80E30" w:rsidRDefault="00D80E30" w:rsidP="008A7BDD">
      <w:pPr>
        <w:rPr>
          <w:rFonts w:eastAsia="Calibri"/>
          <w:lang w:val="es-CR" w:eastAsia="en-US"/>
        </w:rPr>
      </w:pPr>
    </w:p>
    <w:p w14:paraId="60B7CAB6" w14:textId="015078FD" w:rsidR="006F6388" w:rsidRPr="006F6388" w:rsidRDefault="006F6388" w:rsidP="005940C6">
      <w:pPr>
        <w:spacing w:after="160"/>
        <w:jc w:val="both"/>
        <w:rPr>
          <w:rFonts w:ascii="Arial Narrow" w:eastAsiaTheme="minorHAnsi" w:hAnsi="Arial Narrow" w:cstheme="minorBidi"/>
          <w:lang w:val="es-CR" w:eastAsia="en-US"/>
        </w:rPr>
      </w:pPr>
      <w:bookmarkStart w:id="34" w:name="_Hlk99389562"/>
      <w:r w:rsidRPr="006F6388">
        <w:rPr>
          <w:rFonts w:ascii="Arial Narrow" w:eastAsiaTheme="minorHAnsi" w:hAnsi="Arial Narrow" w:cstheme="minorBidi"/>
          <w:lang w:val="es-CR" w:eastAsia="en-US"/>
        </w:rPr>
        <w:t xml:space="preserve">Con respecto a la meta de casos terminados </w:t>
      </w:r>
      <w:r>
        <w:rPr>
          <w:rFonts w:ascii="Arial Narrow" w:eastAsiaTheme="minorHAnsi" w:hAnsi="Arial Narrow" w:cstheme="minorBidi"/>
          <w:lang w:val="es-CR" w:eastAsia="en-US"/>
        </w:rPr>
        <w:t xml:space="preserve">mediante la aplicación de medidas alternas </w:t>
      </w:r>
      <w:r w:rsidR="002E6FE5">
        <w:rPr>
          <w:rFonts w:ascii="Arial Narrow" w:eastAsiaTheme="minorHAnsi" w:hAnsi="Arial Narrow" w:cstheme="minorBidi"/>
          <w:lang w:val="es-CR" w:eastAsia="en-US"/>
        </w:rPr>
        <w:t>en materia de Penal Juvenil</w:t>
      </w:r>
      <w:r w:rsidR="00B51B6E">
        <w:rPr>
          <w:rFonts w:ascii="Arial Narrow" w:eastAsiaTheme="minorHAnsi" w:hAnsi="Arial Narrow" w:cstheme="minorBidi"/>
          <w:lang w:val="es-CR" w:eastAsia="en-US"/>
        </w:rPr>
        <w:t xml:space="preserve"> en primera Instancia</w:t>
      </w:r>
      <w:r w:rsidRPr="006F6388">
        <w:rPr>
          <w:rFonts w:ascii="Arial Narrow" w:eastAsiaTheme="minorHAnsi" w:hAnsi="Arial Narrow" w:cstheme="minorBidi"/>
          <w:lang w:val="es-CR" w:eastAsia="en-US"/>
        </w:rPr>
        <w:t xml:space="preserve">, se tiene un cumplimiento general </w:t>
      </w:r>
      <w:r w:rsidR="002E6FE5">
        <w:rPr>
          <w:rFonts w:ascii="Arial Narrow" w:eastAsiaTheme="minorHAnsi" w:hAnsi="Arial Narrow" w:cstheme="minorBidi"/>
          <w:lang w:val="es-CR" w:eastAsia="en-US"/>
        </w:rPr>
        <w:t xml:space="preserve">acumulado </w:t>
      </w:r>
      <w:r w:rsidRPr="006F6388">
        <w:rPr>
          <w:rFonts w:ascii="Arial Narrow" w:eastAsiaTheme="minorHAnsi" w:hAnsi="Arial Narrow" w:cstheme="minorBidi"/>
          <w:lang w:val="es-CR" w:eastAsia="en-US"/>
        </w:rPr>
        <w:t>del 100% para los 3 años</w:t>
      </w:r>
      <w:r w:rsidR="00BD6ACF">
        <w:rPr>
          <w:rFonts w:ascii="Arial Narrow" w:eastAsiaTheme="minorHAnsi" w:hAnsi="Arial Narrow" w:cstheme="minorBidi"/>
          <w:lang w:val="es-CR" w:eastAsia="en-US"/>
        </w:rPr>
        <w:t xml:space="preserve"> </w:t>
      </w:r>
      <w:r w:rsidRPr="006F6388">
        <w:rPr>
          <w:rFonts w:ascii="Arial Narrow" w:eastAsiaTheme="minorHAnsi" w:hAnsi="Arial Narrow" w:cstheme="minorBidi"/>
          <w:lang w:val="es-CR" w:eastAsia="en-US"/>
        </w:rPr>
        <w:t xml:space="preserve">en el </w:t>
      </w:r>
      <w:r w:rsidR="00BD6ACF">
        <w:rPr>
          <w:rFonts w:ascii="Arial Narrow" w:eastAsiaTheme="minorHAnsi" w:hAnsi="Arial Narrow" w:cstheme="minorBidi"/>
          <w:lang w:val="es-CR" w:eastAsia="en-US"/>
        </w:rPr>
        <w:t xml:space="preserve">sistema </w:t>
      </w:r>
      <w:r w:rsidRPr="006F6388">
        <w:rPr>
          <w:rFonts w:ascii="Arial Narrow" w:eastAsiaTheme="minorHAnsi" w:hAnsi="Arial Narrow" w:cstheme="minorBidi"/>
          <w:lang w:val="es-CR" w:eastAsia="en-US"/>
        </w:rPr>
        <w:t>PEI. Al evidenciar los casos terminados se observa que siempre han superado</w:t>
      </w:r>
      <w:r w:rsidR="00BD6ACF">
        <w:rPr>
          <w:rFonts w:ascii="Arial Narrow" w:eastAsiaTheme="minorHAnsi" w:hAnsi="Arial Narrow" w:cstheme="minorBidi"/>
          <w:lang w:val="es-CR" w:eastAsia="en-US"/>
        </w:rPr>
        <w:t xml:space="preserve"> </w:t>
      </w:r>
      <w:r w:rsidRPr="006F6388">
        <w:rPr>
          <w:rFonts w:ascii="Arial Narrow" w:eastAsiaTheme="minorHAnsi" w:hAnsi="Arial Narrow" w:cstheme="minorBidi"/>
          <w:lang w:val="es-CR" w:eastAsia="en-US"/>
        </w:rPr>
        <w:t xml:space="preserve">la meta esperada, logrando completar hasta </w:t>
      </w:r>
      <w:r w:rsidR="005A64DE">
        <w:rPr>
          <w:rFonts w:ascii="Arial Narrow" w:eastAsiaTheme="minorHAnsi" w:hAnsi="Arial Narrow" w:cstheme="minorBidi"/>
          <w:lang w:val="es-CR" w:eastAsia="en-US"/>
        </w:rPr>
        <w:t xml:space="preserve">1532 </w:t>
      </w:r>
      <w:r w:rsidRPr="006F6388">
        <w:rPr>
          <w:rFonts w:ascii="Arial Narrow" w:eastAsiaTheme="minorHAnsi" w:hAnsi="Arial Narrow" w:cstheme="minorBidi"/>
          <w:lang w:val="es-CR" w:eastAsia="en-US"/>
        </w:rPr>
        <w:t xml:space="preserve">casos </w:t>
      </w:r>
      <w:r w:rsidR="005A64DE">
        <w:rPr>
          <w:rFonts w:ascii="Arial Narrow" w:eastAsiaTheme="minorHAnsi" w:hAnsi="Arial Narrow" w:cstheme="minorBidi"/>
          <w:lang w:val="es-CR" w:eastAsia="en-US"/>
        </w:rPr>
        <w:t xml:space="preserve">más de lo esperado </w:t>
      </w:r>
      <w:r w:rsidRPr="006F6388">
        <w:rPr>
          <w:rFonts w:ascii="Arial Narrow" w:eastAsiaTheme="minorHAnsi" w:hAnsi="Arial Narrow" w:cstheme="minorBidi"/>
          <w:lang w:val="es-CR" w:eastAsia="en-US"/>
        </w:rPr>
        <w:t xml:space="preserve">en el 2021, </w:t>
      </w:r>
      <w:r w:rsidR="005A64DE">
        <w:rPr>
          <w:rFonts w:ascii="Arial Narrow" w:eastAsiaTheme="minorHAnsi" w:hAnsi="Arial Narrow" w:cstheme="minorBidi"/>
          <w:lang w:val="es-CR" w:eastAsia="en-US"/>
        </w:rPr>
        <w:t xml:space="preserve">siendo </w:t>
      </w:r>
      <w:r w:rsidRPr="006F6388">
        <w:rPr>
          <w:rFonts w:ascii="Arial Narrow" w:eastAsiaTheme="minorHAnsi" w:hAnsi="Arial Narrow" w:cstheme="minorBidi"/>
          <w:lang w:val="es-CR" w:eastAsia="en-US"/>
        </w:rPr>
        <w:t xml:space="preserve">el año más alto con respecto al cumplimiento del periodo PEI hasta el momento. </w:t>
      </w:r>
      <w:r w:rsidR="005A64DE" w:rsidRPr="005A64DE">
        <w:rPr>
          <w:rFonts w:ascii="Arial Narrow" w:eastAsiaTheme="minorHAnsi" w:hAnsi="Arial Narrow" w:cstheme="minorBidi"/>
          <w:b/>
          <w:bCs/>
          <w:lang w:val="es-CR" w:eastAsia="en-US"/>
        </w:rPr>
        <w:t>Es por lo anterior, que se sugiere</w:t>
      </w:r>
      <w:r w:rsidR="005A64DE" w:rsidRPr="00EC7621">
        <w:rPr>
          <w:rFonts w:ascii="Arial Narrow" w:hAnsi="Arial Narrow"/>
          <w:b/>
          <w:bCs/>
        </w:rPr>
        <w:t xml:space="preserve"> modificar el valor esperado de la meta y adecuarlo a las realidades de las oficinas las cuales están en capacidad de terminar más expedientes de lo que fue planeado</w:t>
      </w:r>
      <w:r w:rsidR="005A64DE">
        <w:rPr>
          <w:rFonts w:ascii="Arial Narrow" w:hAnsi="Arial Narrow"/>
        </w:rPr>
        <w:t>.</w:t>
      </w:r>
    </w:p>
    <w:bookmarkEnd w:id="34"/>
    <w:p w14:paraId="1161BC22" w14:textId="6D7B1953" w:rsidR="00D80E30" w:rsidRDefault="00D80E30" w:rsidP="005940C6">
      <w:pPr>
        <w:rPr>
          <w:rFonts w:eastAsia="Calibri"/>
          <w:lang w:val="es-CR" w:eastAsia="en-US"/>
        </w:rPr>
      </w:pPr>
    </w:p>
    <w:p w14:paraId="70395A67" w14:textId="5C8CBA71" w:rsidR="007D15C4" w:rsidRPr="007D15C4" w:rsidRDefault="005A64DE" w:rsidP="005940C6">
      <w:pPr>
        <w:jc w:val="both"/>
        <w:rPr>
          <w:rFonts w:ascii="Book Antiqua" w:hAnsi="Book Antiqua"/>
          <w:lang w:val="es-CR"/>
        </w:rPr>
      </w:pPr>
      <w:r w:rsidRPr="00B51B6E">
        <w:rPr>
          <w:rFonts w:ascii="Arial Narrow" w:eastAsiaTheme="minorHAnsi" w:hAnsi="Arial Narrow" w:cstheme="minorBidi"/>
          <w:lang w:val="es-CR" w:eastAsia="en-US"/>
        </w:rPr>
        <w:t xml:space="preserve">En cuanto a la meta </w:t>
      </w:r>
      <w:r w:rsidR="00B51B6E" w:rsidRPr="00B51B6E">
        <w:rPr>
          <w:rFonts w:ascii="Arial Narrow" w:eastAsiaTheme="minorHAnsi" w:hAnsi="Arial Narrow" w:cstheme="minorBidi"/>
          <w:lang w:val="es-CR" w:eastAsia="en-US"/>
        </w:rPr>
        <w:t xml:space="preserve">de casos terminados mediante medidas alternas en la materia Contravencional </w:t>
      </w:r>
      <w:r w:rsidR="00B51B6E">
        <w:rPr>
          <w:rFonts w:ascii="Arial Narrow" w:eastAsiaTheme="minorHAnsi" w:hAnsi="Arial Narrow" w:cstheme="minorBidi"/>
          <w:lang w:val="es-CR" w:eastAsia="en-US"/>
        </w:rPr>
        <w:t>en primera Instancia, se tiene un</w:t>
      </w:r>
      <w:r w:rsidR="001D7C42">
        <w:rPr>
          <w:rFonts w:ascii="Arial Narrow" w:eastAsiaTheme="minorHAnsi" w:hAnsi="Arial Narrow" w:cstheme="minorBidi"/>
          <w:lang w:val="es-CR" w:eastAsia="en-US"/>
        </w:rPr>
        <w:t xml:space="preserve">a leve disminución </w:t>
      </w:r>
      <w:r w:rsidR="00306749">
        <w:rPr>
          <w:rFonts w:ascii="Arial Narrow" w:eastAsiaTheme="minorHAnsi" w:hAnsi="Arial Narrow" w:cstheme="minorBidi"/>
          <w:lang w:val="es-CR" w:eastAsia="en-US"/>
        </w:rPr>
        <w:t>de</w:t>
      </w:r>
      <w:r w:rsidR="007D15C4">
        <w:rPr>
          <w:rFonts w:ascii="Arial Narrow" w:eastAsiaTheme="minorHAnsi" w:hAnsi="Arial Narrow" w:cstheme="minorBidi"/>
          <w:lang w:val="es-CR" w:eastAsia="en-US"/>
        </w:rPr>
        <w:t xml:space="preserve"> 208</w:t>
      </w:r>
      <w:r w:rsidR="001D7C42">
        <w:rPr>
          <w:rFonts w:ascii="Arial Narrow" w:eastAsiaTheme="minorHAnsi" w:hAnsi="Arial Narrow" w:cstheme="minorBidi"/>
          <w:lang w:val="es-CR" w:eastAsia="en-US"/>
        </w:rPr>
        <w:t xml:space="preserve"> </w:t>
      </w:r>
      <w:r w:rsidR="007D15C4">
        <w:rPr>
          <w:rFonts w:ascii="Arial Narrow" w:eastAsiaTheme="minorHAnsi" w:hAnsi="Arial Narrow" w:cstheme="minorBidi"/>
          <w:lang w:val="es-CR" w:eastAsia="en-US"/>
        </w:rPr>
        <w:t xml:space="preserve">asuntos </w:t>
      </w:r>
      <w:r w:rsidR="00390BC8">
        <w:rPr>
          <w:rFonts w:ascii="Arial Narrow" w:eastAsiaTheme="minorHAnsi" w:hAnsi="Arial Narrow" w:cstheme="minorBidi"/>
          <w:lang w:val="es-CR" w:eastAsia="en-US"/>
        </w:rPr>
        <w:t>del 2019 con relación al 2021</w:t>
      </w:r>
      <w:r w:rsidR="007D15C4" w:rsidRPr="007D15C4">
        <w:rPr>
          <w:rFonts w:ascii="Arial Narrow" w:eastAsiaTheme="minorHAnsi" w:hAnsi="Arial Narrow" w:cstheme="minorBidi"/>
          <w:lang w:val="es-CR" w:eastAsia="en-US"/>
        </w:rPr>
        <w:t xml:space="preserve">, lo que representa un </w:t>
      </w:r>
      <w:r w:rsidR="007D15C4">
        <w:rPr>
          <w:rFonts w:ascii="Arial Narrow" w:eastAsiaTheme="minorHAnsi" w:hAnsi="Arial Narrow" w:cstheme="minorBidi"/>
          <w:lang w:val="es-CR" w:eastAsia="en-US"/>
        </w:rPr>
        <w:t>decrecimiento</w:t>
      </w:r>
      <w:r w:rsidR="007D15C4" w:rsidRPr="007D15C4">
        <w:rPr>
          <w:rFonts w:ascii="Arial Narrow" w:eastAsiaTheme="minorHAnsi" w:hAnsi="Arial Narrow" w:cstheme="minorBidi"/>
          <w:lang w:val="es-CR" w:eastAsia="en-US"/>
        </w:rPr>
        <w:t xml:space="preserve"> del </w:t>
      </w:r>
      <w:r w:rsidR="007D15C4">
        <w:rPr>
          <w:rFonts w:ascii="Arial Narrow" w:eastAsiaTheme="minorHAnsi" w:hAnsi="Arial Narrow" w:cstheme="minorBidi"/>
          <w:lang w:val="es-CR" w:eastAsia="en-US"/>
        </w:rPr>
        <w:t>3,27</w:t>
      </w:r>
      <w:r w:rsidR="007D15C4" w:rsidRPr="007D15C4">
        <w:rPr>
          <w:rFonts w:ascii="Arial Narrow" w:eastAsiaTheme="minorHAnsi" w:hAnsi="Arial Narrow" w:cstheme="minorBidi"/>
          <w:lang w:val="es-CR" w:eastAsia="en-US"/>
        </w:rPr>
        <w:t>% en la resolución de asuntos.</w:t>
      </w:r>
      <w:r w:rsidR="007D15C4">
        <w:rPr>
          <w:rFonts w:ascii="Arial Narrow" w:eastAsiaTheme="minorHAnsi" w:hAnsi="Arial Narrow" w:cstheme="minorBidi"/>
          <w:lang w:val="es-CR" w:eastAsia="en-US"/>
        </w:rPr>
        <w:t xml:space="preserve"> Una vez analizada la cantidad de casos terminados en el año 2021 con el valor esperado para ese año se obtiene que, </w:t>
      </w:r>
      <w:r w:rsidR="00C619D0">
        <w:rPr>
          <w:rFonts w:ascii="Arial Narrow" w:eastAsiaTheme="minorHAnsi" w:hAnsi="Arial Narrow" w:cstheme="minorBidi"/>
          <w:lang w:val="es-CR" w:eastAsia="en-US"/>
        </w:rPr>
        <w:t>se resolvieron 1098 casos más de lo esperado (5258 asuntos</w:t>
      </w:r>
      <w:r w:rsidR="00C619D0" w:rsidRPr="00C619D0">
        <w:rPr>
          <w:rFonts w:ascii="Arial Narrow" w:eastAsiaTheme="minorHAnsi" w:hAnsi="Arial Narrow" w:cstheme="minorBidi"/>
          <w:b/>
          <w:bCs/>
          <w:lang w:val="es-CR" w:eastAsia="en-US"/>
        </w:rPr>
        <w:t>) por lo que propone</w:t>
      </w:r>
      <w:r w:rsidR="00C619D0">
        <w:rPr>
          <w:rFonts w:ascii="Arial Narrow" w:eastAsiaTheme="minorHAnsi" w:hAnsi="Arial Narrow" w:cstheme="minorBidi"/>
          <w:lang w:val="es-CR" w:eastAsia="en-US"/>
        </w:rPr>
        <w:t xml:space="preserve"> </w:t>
      </w:r>
      <w:r w:rsidR="00C619D0" w:rsidRPr="00EC7621">
        <w:rPr>
          <w:rFonts w:ascii="Arial Narrow" w:hAnsi="Arial Narrow"/>
          <w:b/>
          <w:bCs/>
        </w:rPr>
        <w:t>modificar el valor esperado de la meta y adecuarlo a las realidades de las oficinas las cuales están en capacidad de terminar más expedientes de lo que fue planeado</w:t>
      </w:r>
      <w:r w:rsidR="00C619D0">
        <w:rPr>
          <w:rFonts w:ascii="Arial Narrow" w:hAnsi="Arial Narrow"/>
        </w:rPr>
        <w:t>.</w:t>
      </w:r>
    </w:p>
    <w:p w14:paraId="26876F1A" w14:textId="5A9AFD06" w:rsidR="00D80E30" w:rsidRPr="00B51B6E" w:rsidRDefault="00D80E30" w:rsidP="008A7BDD">
      <w:pPr>
        <w:rPr>
          <w:rFonts w:ascii="Arial Narrow" w:eastAsiaTheme="minorHAnsi" w:hAnsi="Arial Narrow" w:cstheme="minorBidi"/>
          <w:lang w:val="es-CR" w:eastAsia="en-US"/>
        </w:rPr>
      </w:pPr>
    </w:p>
    <w:p w14:paraId="042DE5BC" w14:textId="6FD31232" w:rsidR="00D52359" w:rsidRDefault="00D52359" w:rsidP="008A7BDD">
      <w:pPr>
        <w:rPr>
          <w:rFonts w:ascii="Arial Narrow" w:eastAsia="Calibri" w:hAnsi="Arial Narrow"/>
          <w:lang w:val="es-CR" w:eastAsia="en-US"/>
        </w:rPr>
      </w:pPr>
    </w:p>
    <w:p w14:paraId="44461331" w14:textId="77777777" w:rsidR="00D52359" w:rsidRPr="00B51B6E" w:rsidRDefault="00D52359" w:rsidP="008A7BDD">
      <w:pPr>
        <w:rPr>
          <w:rFonts w:ascii="Arial Narrow" w:eastAsia="Calibri" w:hAnsi="Arial Narrow"/>
          <w:lang w:val="es-CR" w:eastAsia="en-US"/>
        </w:rPr>
      </w:pPr>
    </w:p>
    <w:p w14:paraId="69F7608E" w14:textId="5737FEED" w:rsidR="00090B5B" w:rsidRPr="00090B5B" w:rsidRDefault="00C631E9" w:rsidP="00322D9B">
      <w:pPr>
        <w:pStyle w:val="Descripcin"/>
        <w:jc w:val="center"/>
        <w:rPr>
          <w:rFonts w:eastAsia="Calibri"/>
          <w:lang w:eastAsia="en-US"/>
        </w:rPr>
      </w:pPr>
      <w:r w:rsidRPr="00704B08">
        <w:rPr>
          <w:rFonts w:ascii="Arial Narrow" w:hAnsi="Arial Narrow"/>
          <w:sz w:val="24"/>
          <w:szCs w:val="24"/>
        </w:rPr>
        <w:t xml:space="preserve">Cuadro </w:t>
      </w:r>
      <w:r w:rsidRPr="00704B08">
        <w:rPr>
          <w:rFonts w:ascii="Arial Narrow" w:hAnsi="Arial Narrow"/>
          <w:b w:val="0"/>
          <w:bCs w:val="0"/>
        </w:rPr>
        <w:fldChar w:fldCharType="begin"/>
      </w:r>
      <w:r w:rsidRPr="00704B08">
        <w:rPr>
          <w:rFonts w:ascii="Arial Narrow" w:hAnsi="Arial Narrow"/>
          <w:sz w:val="24"/>
          <w:szCs w:val="24"/>
        </w:rPr>
        <w:instrText xml:space="preserve"> SEQ Cuadro_No. \* ARABIC </w:instrText>
      </w:r>
      <w:r w:rsidRPr="00704B08">
        <w:rPr>
          <w:rFonts w:ascii="Arial Narrow" w:hAnsi="Arial Narrow"/>
          <w:b w:val="0"/>
          <w:bCs w:val="0"/>
        </w:rPr>
        <w:fldChar w:fldCharType="separate"/>
      </w:r>
      <w:r w:rsidR="002F520A">
        <w:rPr>
          <w:rFonts w:ascii="Arial Narrow" w:hAnsi="Arial Narrow"/>
          <w:noProof/>
          <w:sz w:val="24"/>
          <w:szCs w:val="24"/>
        </w:rPr>
        <w:t>25</w:t>
      </w:r>
      <w:r w:rsidRPr="00704B08">
        <w:rPr>
          <w:rFonts w:ascii="Arial Narrow" w:hAnsi="Arial Narrow"/>
          <w:b w:val="0"/>
          <w:bCs w:val="0"/>
        </w:rPr>
        <w:fldChar w:fldCharType="end"/>
      </w:r>
      <w:r w:rsidRPr="00704B08">
        <w:rPr>
          <w:rFonts w:ascii="Arial Narrow" w:hAnsi="Arial Narrow"/>
          <w:sz w:val="24"/>
          <w:szCs w:val="24"/>
        </w:rPr>
        <w:t xml:space="preserve"> </w:t>
      </w:r>
      <w:r w:rsidRPr="00704B08">
        <w:rPr>
          <w:rFonts w:ascii="Arial Narrow" w:eastAsia="Calibri" w:hAnsi="Arial Narrow"/>
          <w:sz w:val="24"/>
          <w:szCs w:val="24"/>
          <w:lang w:eastAsia="en-US"/>
        </w:rPr>
        <w:t>Metas</w:t>
      </w:r>
      <w:r w:rsidRPr="009D5823">
        <w:rPr>
          <w:rFonts w:ascii="Arial Narrow" w:eastAsia="Calibri" w:hAnsi="Arial Narrow"/>
          <w:sz w:val="24"/>
          <w:szCs w:val="24"/>
          <w:lang w:eastAsia="en-US"/>
        </w:rPr>
        <w:t xml:space="preserve"> estratégicas</w:t>
      </w:r>
      <w:r w:rsidRPr="00665D61">
        <w:rPr>
          <w:rFonts w:ascii="Arial Narrow" w:eastAsia="Calibri" w:hAnsi="Arial Narrow"/>
          <w:sz w:val="24"/>
          <w:szCs w:val="24"/>
          <w:lang w:eastAsia="en-US"/>
        </w:rPr>
        <w:t xml:space="preserve"> de Medidas Alternas y su cumplimiento para el 20</w:t>
      </w:r>
      <w:r>
        <w:rPr>
          <w:rFonts w:ascii="Arial Narrow" w:eastAsia="Calibri" w:hAnsi="Arial Narrow"/>
          <w:sz w:val="24"/>
          <w:szCs w:val="24"/>
          <w:lang w:eastAsia="en-US"/>
        </w:rPr>
        <w:t>21.</w:t>
      </w:r>
    </w:p>
    <w:p w14:paraId="55AF9DCE" w14:textId="0181D77E" w:rsidR="00C631E9" w:rsidRPr="004C5319" w:rsidRDefault="00090B5B" w:rsidP="00C631E9">
      <w:pPr>
        <w:rPr>
          <w:rFonts w:ascii="Arial Narrow" w:eastAsia="Calibri" w:hAnsi="Arial Narrow"/>
          <w:lang w:val="es-CR" w:eastAsia="en-US"/>
        </w:rPr>
      </w:pPr>
      <w:r>
        <w:rPr>
          <w:noProof/>
        </w:rPr>
        <w:drawing>
          <wp:inline distT="0" distB="0" distL="0" distR="0" wp14:anchorId="12A70049" wp14:editId="4E60D8D9">
            <wp:extent cx="5974080" cy="2001520"/>
            <wp:effectExtent l="57150" t="57150" r="102870" b="9398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74080" cy="200152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D45D874" w14:textId="794FFC9B" w:rsidR="00C631E9" w:rsidRPr="00A618D8" w:rsidRDefault="00C631E9" w:rsidP="00025C8D">
      <w:pPr>
        <w:jc w:val="center"/>
        <w:rPr>
          <w:rFonts w:eastAsia="Calibri"/>
          <w:b/>
          <w:bCs/>
        </w:rPr>
      </w:pPr>
      <w:r w:rsidRPr="004619C9">
        <w:rPr>
          <w:rFonts w:ascii="Arial Narrow" w:eastAsia="Calibri" w:hAnsi="Arial Narrow"/>
          <w:b/>
          <w:bCs/>
          <w:sz w:val="18"/>
          <w:szCs w:val="18"/>
          <w:lang w:eastAsia="en-US"/>
        </w:rPr>
        <w:t>Fuente:</w:t>
      </w:r>
      <w:r w:rsidRPr="000B4845">
        <w:rPr>
          <w:rFonts w:ascii="Arial Narrow" w:eastAsia="Calibri" w:hAnsi="Arial Narrow"/>
          <w:sz w:val="18"/>
          <w:szCs w:val="18"/>
          <w:lang w:eastAsia="en-US"/>
        </w:rPr>
        <w:t xml:space="preserve"> Sistema PEI al </w:t>
      </w:r>
      <w:r>
        <w:rPr>
          <w:rFonts w:ascii="Arial Narrow" w:eastAsia="Calibri" w:hAnsi="Arial Narrow"/>
          <w:sz w:val="18"/>
          <w:szCs w:val="18"/>
          <w:lang w:eastAsia="en-US"/>
        </w:rPr>
        <w:t>19</w:t>
      </w:r>
      <w:r w:rsidRPr="000B4845">
        <w:rPr>
          <w:rFonts w:ascii="Arial Narrow" w:eastAsia="Calibri" w:hAnsi="Arial Narrow"/>
          <w:sz w:val="18"/>
          <w:szCs w:val="18"/>
          <w:lang w:eastAsia="en-US"/>
        </w:rPr>
        <w:t xml:space="preserve"> de enero del </w:t>
      </w:r>
      <w:r>
        <w:rPr>
          <w:rFonts w:ascii="Arial Narrow" w:eastAsia="Calibri" w:hAnsi="Arial Narrow"/>
          <w:sz w:val="18"/>
          <w:szCs w:val="18"/>
          <w:lang w:eastAsia="en-US"/>
        </w:rPr>
        <w:t>2022 para el año 2021.</w:t>
      </w:r>
    </w:p>
    <w:p w14:paraId="719A3FEF" w14:textId="4593B4C7" w:rsidR="00D80E30" w:rsidRPr="00B51B6E" w:rsidRDefault="00D80E30" w:rsidP="008A7BDD">
      <w:pPr>
        <w:rPr>
          <w:rFonts w:ascii="Arial Narrow" w:eastAsia="Calibri" w:hAnsi="Arial Narrow"/>
          <w:lang w:val="es-CR" w:eastAsia="en-US"/>
        </w:rPr>
      </w:pPr>
    </w:p>
    <w:p w14:paraId="5BBBC3A7" w14:textId="4D4DD34E" w:rsidR="00D80E30" w:rsidRPr="00C631E9" w:rsidRDefault="00D80E30" w:rsidP="00C631E9">
      <w:pPr>
        <w:rPr>
          <w:rFonts w:ascii="Arial Narrow" w:eastAsia="Calibri" w:hAnsi="Arial Narrow"/>
          <w:lang w:val="es-CR" w:eastAsia="en-US"/>
        </w:rPr>
      </w:pPr>
    </w:p>
    <w:p w14:paraId="5C3A4DA0" w14:textId="6EA5C01F" w:rsidR="0049772D" w:rsidRPr="0049772D" w:rsidRDefault="00C631E9" w:rsidP="00B17348">
      <w:pPr>
        <w:jc w:val="both"/>
        <w:rPr>
          <w:rFonts w:ascii="Arial Narrow" w:eastAsiaTheme="minorHAnsi" w:hAnsi="Arial Narrow" w:cstheme="minorBidi"/>
          <w:lang w:val="es-CR" w:eastAsia="en-US"/>
        </w:rPr>
      </w:pPr>
      <w:r w:rsidRPr="00C631E9">
        <w:rPr>
          <w:rFonts w:ascii="Arial Narrow" w:hAnsi="Arial Narrow"/>
        </w:rPr>
        <w:t xml:space="preserve">Con respecto a la meta de casos terminados mediante la aplicación de medidas alternas, en materia de tránsito en primera instancia se observa que el año 2021 fue el que presentó una mayor salida de asuntos contando con un total de 9801 asuntos, seguido de este se ubica con 9422 casos el año 2020. </w:t>
      </w:r>
      <w:r w:rsidR="0049772D">
        <w:rPr>
          <w:rFonts w:ascii="Arial Narrow" w:hAnsi="Arial Narrow"/>
        </w:rPr>
        <w:t>A</w:t>
      </w:r>
      <w:r w:rsidR="0049772D" w:rsidRPr="009D27BE">
        <w:rPr>
          <w:rFonts w:ascii="Arial Narrow" w:eastAsia="Calibri" w:hAnsi="Arial Narrow"/>
        </w:rPr>
        <w:t>l confrontar</w:t>
      </w:r>
      <w:r w:rsidR="0049772D">
        <w:rPr>
          <w:rFonts w:ascii="Arial Narrow" w:eastAsia="Calibri" w:hAnsi="Arial Narrow"/>
        </w:rPr>
        <w:t xml:space="preserve"> el dato del año 2021 contra lo esperado para ese año, se tiene un cumplimiento alto (100%) ya que la cantidad de casos esperados es de 384 </w:t>
      </w:r>
      <w:r w:rsidR="0049772D" w:rsidRPr="0049772D">
        <w:rPr>
          <w:rFonts w:ascii="Arial Narrow" w:eastAsia="Calibri" w:hAnsi="Arial Narrow"/>
          <w:b/>
          <w:bCs/>
        </w:rPr>
        <w:t>por lo que sugiere que e</w:t>
      </w:r>
      <w:r w:rsidR="0049772D" w:rsidRPr="0049772D">
        <w:rPr>
          <w:rFonts w:ascii="Arial Narrow" w:hAnsi="Arial Narrow"/>
          <w:b/>
          <w:bCs/>
        </w:rPr>
        <w:t xml:space="preserve">sta meta debe ser revisada con respecto a sus valores esperados de casos terminados </w:t>
      </w:r>
      <w:r w:rsidR="0049772D" w:rsidRPr="0049772D">
        <w:rPr>
          <w:rFonts w:ascii="Arial Narrow" w:eastAsiaTheme="minorHAnsi" w:hAnsi="Arial Narrow" w:cstheme="minorBidi"/>
          <w:b/>
          <w:bCs/>
          <w:lang w:val="es-CR" w:eastAsia="en-US"/>
        </w:rPr>
        <w:t xml:space="preserve">y adecuarlo a las realidades de la </w:t>
      </w:r>
      <w:r w:rsidR="00535FE5">
        <w:rPr>
          <w:rFonts w:ascii="Arial Narrow" w:eastAsiaTheme="minorHAnsi" w:hAnsi="Arial Narrow" w:cstheme="minorBidi"/>
          <w:b/>
          <w:bCs/>
          <w:lang w:val="es-CR" w:eastAsia="en-US"/>
        </w:rPr>
        <w:t>materia de Tránsito</w:t>
      </w:r>
      <w:r w:rsidR="0049772D" w:rsidRPr="0049772D">
        <w:rPr>
          <w:rFonts w:ascii="Arial Narrow" w:eastAsiaTheme="minorHAnsi" w:hAnsi="Arial Narrow" w:cstheme="minorBidi"/>
          <w:b/>
          <w:bCs/>
          <w:lang w:val="es-CR" w:eastAsia="en-US"/>
        </w:rPr>
        <w:t>, la cual está en capacidad de terminar más expedientes de lo que fue planeado, según la revisión de los 3 años del PEI</w:t>
      </w:r>
      <w:r w:rsidR="0049772D" w:rsidRPr="0049772D">
        <w:rPr>
          <w:rFonts w:ascii="Arial Narrow" w:eastAsiaTheme="minorHAnsi" w:hAnsi="Arial Narrow" w:cstheme="minorBidi"/>
          <w:lang w:val="es-CR" w:eastAsia="en-US"/>
        </w:rPr>
        <w:t>.</w:t>
      </w:r>
    </w:p>
    <w:p w14:paraId="2FCD9C5E" w14:textId="43C0C792" w:rsidR="00D80E30" w:rsidRPr="0049772D" w:rsidRDefault="00D80E30" w:rsidP="008A7BDD">
      <w:pPr>
        <w:rPr>
          <w:rFonts w:ascii="Arial Narrow" w:eastAsia="Calibri" w:hAnsi="Arial Narrow"/>
          <w:b/>
          <w:bCs/>
          <w:lang w:val="es-CR" w:eastAsia="en-US"/>
        </w:rPr>
      </w:pPr>
    </w:p>
    <w:p w14:paraId="05FE9A56" w14:textId="35D3A943" w:rsidR="00E41145" w:rsidRPr="00B17348" w:rsidRDefault="00E41145" w:rsidP="00B17348">
      <w:pPr>
        <w:jc w:val="both"/>
        <w:rPr>
          <w:rFonts w:ascii="Arial Narrow" w:eastAsia="Calibri" w:hAnsi="Arial Narrow"/>
        </w:rPr>
      </w:pPr>
      <w:r w:rsidRPr="00B17348">
        <w:rPr>
          <w:rFonts w:ascii="Arial Narrow" w:eastAsia="Calibri" w:hAnsi="Arial Narrow"/>
        </w:rPr>
        <w:t xml:space="preserve">Se tiene que en el 2021 se reporta por parte de 9 Centros de Conciliación un cumplimiento de 87%, este cumplimiento parcial se debe a que por parte de los Centros de Conciliación de San Ramón, Santa Cruz, Primero y Segundo Circuito Judicial de Alajuela, no lograron completar sus metas operativas </w:t>
      </w:r>
      <w:r w:rsidR="005940C6" w:rsidRPr="00B17348">
        <w:rPr>
          <w:rFonts w:ascii="Arial Narrow" w:eastAsia="Calibri" w:hAnsi="Arial Narrow"/>
        </w:rPr>
        <w:t>y,</w:t>
      </w:r>
      <w:r w:rsidRPr="00B17348">
        <w:rPr>
          <w:rFonts w:ascii="Arial Narrow" w:eastAsia="Calibri" w:hAnsi="Arial Narrow"/>
        </w:rPr>
        <w:t xml:space="preserve"> por lo tanto, esto impact</w:t>
      </w:r>
      <w:r w:rsidR="004849D9">
        <w:rPr>
          <w:rFonts w:ascii="Arial Narrow" w:eastAsia="Calibri" w:hAnsi="Arial Narrow"/>
        </w:rPr>
        <w:t>ó</w:t>
      </w:r>
      <w:r w:rsidRPr="00B17348">
        <w:rPr>
          <w:rFonts w:ascii="Arial Narrow" w:eastAsia="Calibri" w:hAnsi="Arial Narrow"/>
        </w:rPr>
        <w:t xml:space="preserve"> el cumplimiento de la meta estratégica. </w:t>
      </w:r>
    </w:p>
    <w:p w14:paraId="29D5F0D0" w14:textId="14E13353" w:rsidR="00535FE5" w:rsidRDefault="00535FE5" w:rsidP="008A7BDD">
      <w:pPr>
        <w:rPr>
          <w:rFonts w:ascii="Arial Narrow" w:eastAsia="Calibri" w:hAnsi="Arial Narrow"/>
          <w:b/>
          <w:bCs/>
          <w:lang w:val="es-CR" w:eastAsia="en-US"/>
        </w:rPr>
      </w:pPr>
    </w:p>
    <w:p w14:paraId="1E7AC53B" w14:textId="77777777" w:rsidR="00532B98" w:rsidRDefault="00532B98" w:rsidP="008A7BDD">
      <w:pPr>
        <w:rPr>
          <w:rFonts w:ascii="Arial Narrow" w:eastAsia="Calibri" w:hAnsi="Arial Narrow"/>
          <w:b/>
          <w:bCs/>
          <w:lang w:val="es-CR" w:eastAsia="en-US"/>
        </w:rPr>
      </w:pPr>
    </w:p>
    <w:p w14:paraId="55533115" w14:textId="1D2EB11E" w:rsidR="007628E4" w:rsidRDefault="007628E4" w:rsidP="007628E4">
      <w:pPr>
        <w:rPr>
          <w:rFonts w:ascii="Arial Narrow" w:eastAsia="Calibri" w:hAnsi="Arial Narrow"/>
          <w:lang w:val="es-CR" w:eastAsia="en-US"/>
        </w:rPr>
      </w:pPr>
    </w:p>
    <w:p w14:paraId="738EE0FF" w14:textId="04A8EC9F" w:rsidR="007628E4" w:rsidRDefault="007628E4" w:rsidP="007628E4">
      <w:pPr>
        <w:pStyle w:val="Descripcin"/>
        <w:jc w:val="center"/>
        <w:rPr>
          <w:rFonts w:ascii="Arial Narrow" w:eastAsia="Calibri" w:hAnsi="Arial Narrow"/>
          <w:sz w:val="24"/>
          <w:szCs w:val="24"/>
          <w:lang w:eastAsia="en-US"/>
        </w:rPr>
      </w:pPr>
      <w:r w:rsidRPr="00704B08">
        <w:rPr>
          <w:rFonts w:ascii="Arial Narrow" w:hAnsi="Arial Narrow"/>
          <w:sz w:val="24"/>
          <w:szCs w:val="24"/>
        </w:rPr>
        <w:t xml:space="preserve">Cuadro </w:t>
      </w:r>
      <w:r w:rsidRPr="00704B08">
        <w:rPr>
          <w:rFonts w:ascii="Arial Narrow" w:hAnsi="Arial Narrow"/>
          <w:sz w:val="24"/>
          <w:szCs w:val="24"/>
        </w:rPr>
        <w:fldChar w:fldCharType="begin"/>
      </w:r>
      <w:r w:rsidRPr="00704B08">
        <w:rPr>
          <w:rFonts w:ascii="Arial Narrow" w:hAnsi="Arial Narrow"/>
          <w:sz w:val="24"/>
          <w:szCs w:val="24"/>
        </w:rPr>
        <w:instrText xml:space="preserve"> SEQ Cuadro_No. \* ARABIC </w:instrText>
      </w:r>
      <w:r w:rsidRPr="00704B08">
        <w:rPr>
          <w:rFonts w:ascii="Arial Narrow" w:hAnsi="Arial Narrow"/>
          <w:sz w:val="24"/>
          <w:szCs w:val="24"/>
        </w:rPr>
        <w:fldChar w:fldCharType="separate"/>
      </w:r>
      <w:r w:rsidR="002F520A">
        <w:rPr>
          <w:rFonts w:ascii="Arial Narrow" w:hAnsi="Arial Narrow"/>
          <w:noProof/>
          <w:sz w:val="24"/>
          <w:szCs w:val="24"/>
        </w:rPr>
        <w:t>26</w:t>
      </w:r>
      <w:r w:rsidRPr="00704B08">
        <w:rPr>
          <w:rFonts w:ascii="Arial Narrow" w:hAnsi="Arial Narrow"/>
          <w:sz w:val="24"/>
          <w:szCs w:val="24"/>
        </w:rPr>
        <w:fldChar w:fldCharType="end"/>
      </w:r>
      <w:r w:rsidRPr="00704B08">
        <w:rPr>
          <w:rFonts w:ascii="Arial Narrow" w:hAnsi="Arial Narrow"/>
          <w:sz w:val="24"/>
          <w:szCs w:val="24"/>
        </w:rPr>
        <w:t xml:space="preserve"> </w:t>
      </w:r>
      <w:r w:rsidRPr="00704B08">
        <w:rPr>
          <w:rFonts w:ascii="Arial Narrow" w:eastAsia="Calibri" w:hAnsi="Arial Narrow"/>
          <w:sz w:val="24"/>
          <w:szCs w:val="24"/>
          <w:lang w:eastAsia="en-US"/>
        </w:rPr>
        <w:t>Metas</w:t>
      </w:r>
      <w:r w:rsidRPr="009D5823">
        <w:rPr>
          <w:rFonts w:ascii="Arial Narrow" w:eastAsia="Calibri" w:hAnsi="Arial Narrow"/>
          <w:sz w:val="24"/>
          <w:szCs w:val="24"/>
          <w:lang w:eastAsia="en-US"/>
        </w:rPr>
        <w:t xml:space="preserve"> estratégicas</w:t>
      </w:r>
      <w:r w:rsidRPr="00665D61">
        <w:rPr>
          <w:rFonts w:ascii="Arial Narrow" w:eastAsia="Calibri" w:hAnsi="Arial Narrow"/>
          <w:sz w:val="24"/>
          <w:szCs w:val="24"/>
          <w:lang w:eastAsia="en-US"/>
        </w:rPr>
        <w:t xml:space="preserve"> de Medidas Alternas y su cumplimiento para el 20</w:t>
      </w:r>
      <w:r>
        <w:rPr>
          <w:rFonts w:ascii="Arial Narrow" w:eastAsia="Calibri" w:hAnsi="Arial Narrow"/>
          <w:sz w:val="24"/>
          <w:szCs w:val="24"/>
          <w:lang w:eastAsia="en-US"/>
        </w:rPr>
        <w:t>21.</w:t>
      </w:r>
    </w:p>
    <w:p w14:paraId="5F8A34DA" w14:textId="77777777" w:rsidR="00C94431" w:rsidRPr="00322D9B" w:rsidRDefault="00C94431" w:rsidP="00322D9B">
      <w:pPr>
        <w:rPr>
          <w:rFonts w:eastAsia="Calibri"/>
          <w:lang w:eastAsia="en-US"/>
        </w:rPr>
      </w:pPr>
    </w:p>
    <w:p w14:paraId="5C581B9D" w14:textId="27925023" w:rsidR="00535FE5" w:rsidRDefault="007628E4" w:rsidP="008A7BDD">
      <w:pPr>
        <w:rPr>
          <w:rFonts w:ascii="Arial Narrow" w:eastAsia="Calibri" w:hAnsi="Arial Narrow"/>
          <w:lang w:val="es-CR" w:eastAsia="en-US"/>
        </w:rPr>
      </w:pPr>
      <w:r>
        <w:rPr>
          <w:noProof/>
        </w:rPr>
        <w:drawing>
          <wp:inline distT="0" distB="0" distL="0" distR="0" wp14:anchorId="33191E71" wp14:editId="1F007792">
            <wp:extent cx="5942330" cy="1517015"/>
            <wp:effectExtent l="57150" t="57150" r="96520" b="102235"/>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531" t="2210"/>
                    <a:stretch/>
                  </pic:blipFill>
                  <pic:spPr bwMode="auto">
                    <a:xfrm>
                      <a:off x="0" y="0"/>
                      <a:ext cx="5942330" cy="1517015"/>
                    </a:xfrm>
                    <a:prstGeom prst="rect">
                      <a:avLst/>
                    </a:prstGeom>
                    <a:ln w="127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BC35865" w14:textId="6ACD0522" w:rsidR="00535FE5" w:rsidRDefault="007628E4" w:rsidP="00B54439">
      <w:pPr>
        <w:jc w:val="center"/>
        <w:rPr>
          <w:rFonts w:ascii="Arial Narrow" w:eastAsia="Calibri" w:hAnsi="Arial Narrow"/>
          <w:lang w:val="es-CR" w:eastAsia="en-US"/>
        </w:rPr>
      </w:pPr>
      <w:bookmarkStart w:id="35" w:name="_Hlk99462716"/>
      <w:r w:rsidRPr="004619C9">
        <w:rPr>
          <w:rFonts w:ascii="Arial Narrow" w:eastAsia="Calibri" w:hAnsi="Arial Narrow"/>
          <w:b/>
          <w:bCs/>
          <w:sz w:val="18"/>
          <w:szCs w:val="18"/>
          <w:lang w:eastAsia="en-US"/>
        </w:rPr>
        <w:t>Fuente:</w:t>
      </w:r>
      <w:r w:rsidRPr="000B4845">
        <w:rPr>
          <w:rFonts w:ascii="Arial Narrow" w:eastAsia="Calibri" w:hAnsi="Arial Narrow"/>
          <w:sz w:val="18"/>
          <w:szCs w:val="18"/>
          <w:lang w:eastAsia="en-US"/>
        </w:rPr>
        <w:t xml:space="preserve"> Sistema PEI al </w:t>
      </w:r>
      <w:r>
        <w:rPr>
          <w:rFonts w:ascii="Arial Narrow" w:eastAsia="Calibri" w:hAnsi="Arial Narrow"/>
          <w:sz w:val="18"/>
          <w:szCs w:val="18"/>
          <w:lang w:eastAsia="en-US"/>
        </w:rPr>
        <w:t>19</w:t>
      </w:r>
      <w:r w:rsidRPr="000B4845">
        <w:rPr>
          <w:rFonts w:ascii="Arial Narrow" w:eastAsia="Calibri" w:hAnsi="Arial Narrow"/>
          <w:sz w:val="18"/>
          <w:szCs w:val="18"/>
          <w:lang w:eastAsia="en-US"/>
        </w:rPr>
        <w:t xml:space="preserve"> de enero del </w:t>
      </w:r>
      <w:r>
        <w:rPr>
          <w:rFonts w:ascii="Arial Narrow" w:eastAsia="Calibri" w:hAnsi="Arial Narrow"/>
          <w:sz w:val="18"/>
          <w:szCs w:val="18"/>
          <w:lang w:eastAsia="en-US"/>
        </w:rPr>
        <w:t>2022 para el año 2021.</w:t>
      </w:r>
    </w:p>
    <w:bookmarkEnd w:id="35"/>
    <w:p w14:paraId="041B1AA6" w14:textId="77777777" w:rsidR="001F55C5" w:rsidRPr="00A649EE" w:rsidRDefault="001F55C5" w:rsidP="0073265F">
      <w:pPr>
        <w:jc w:val="both"/>
        <w:rPr>
          <w:rFonts w:ascii="Arial Narrow" w:eastAsia="Calibri" w:hAnsi="Arial Narrow"/>
        </w:rPr>
      </w:pPr>
    </w:p>
    <w:p w14:paraId="1DCFD946" w14:textId="0C753699" w:rsidR="0073265F" w:rsidRDefault="001F55C5" w:rsidP="0073265F">
      <w:pPr>
        <w:jc w:val="both"/>
      </w:pPr>
      <w:r w:rsidRPr="00A649EE">
        <w:rPr>
          <w:rFonts w:ascii="Arial Narrow" w:eastAsia="Calibri" w:hAnsi="Arial Narrow"/>
        </w:rPr>
        <w:t xml:space="preserve">De cuadro anterior, se tiene la meta estratégica </w:t>
      </w:r>
      <w:r w:rsidRPr="00A649EE">
        <w:rPr>
          <w:rFonts w:ascii="Arial Narrow" w:eastAsia="Calibri" w:hAnsi="Arial Narrow"/>
          <w:i/>
          <w:iCs/>
        </w:rPr>
        <w:t>“Que al finalizar el 2024,  se haya diseñado, validado y aprobado una política institucional integral sobre el tratamiento de los diferentes métodos alternos de resolución de conflictos”</w:t>
      </w:r>
      <w:r w:rsidRPr="00A649EE">
        <w:rPr>
          <w:rFonts w:ascii="Arial Narrow" w:eastAsia="Calibri" w:hAnsi="Arial Narrow"/>
        </w:rPr>
        <w:t xml:space="preserve">, </w:t>
      </w:r>
      <w:r>
        <w:rPr>
          <w:rFonts w:ascii="Arial Narrow" w:eastAsia="Calibri" w:hAnsi="Arial Narrow"/>
        </w:rPr>
        <w:t xml:space="preserve">se tiene que en el 2021 se reporta por parte del Centro de Conciliación un cumplimiento total de los esfuerzos para ese año, donde se indica que se realizó un análisis  </w:t>
      </w:r>
      <w:r w:rsidRPr="0073265F">
        <w:rPr>
          <w:rFonts w:ascii="Arial Narrow" w:eastAsia="Calibri" w:hAnsi="Arial Narrow"/>
        </w:rPr>
        <w:t xml:space="preserve">un análisis de la necesidad de viabilidad de continuar con la </w:t>
      </w:r>
      <w:r w:rsidR="0073265F" w:rsidRPr="0073265F">
        <w:rPr>
          <w:rFonts w:ascii="Arial Narrow" w:eastAsia="Calibri" w:hAnsi="Arial Narrow"/>
        </w:rPr>
        <w:t>Política RAC , donde concluyeron que se iba a continuar pero tenía que hacerse un nuevo análisis y enfoque. A raíz de lo anterior el Centro de Conciliación elaboró la nueva propuesta de la Política RAC y fue presentada a la Comisión RAC para solicitar a Corte Plena el visto bueno y continuar con la construcción de la misma según el cronograma planteado.</w:t>
      </w:r>
    </w:p>
    <w:p w14:paraId="62F2B2D7" w14:textId="77777777" w:rsidR="001F55C5" w:rsidRDefault="001F55C5" w:rsidP="001F55C5">
      <w:pPr>
        <w:spacing w:line="360" w:lineRule="auto"/>
        <w:jc w:val="both"/>
        <w:rPr>
          <w:rFonts w:ascii="Arial Narrow" w:eastAsia="Calibri" w:hAnsi="Arial Narrow"/>
        </w:rPr>
      </w:pPr>
    </w:p>
    <w:p w14:paraId="5952AA76" w14:textId="1CBC71E7" w:rsidR="001F55C5" w:rsidRDefault="0073265F" w:rsidP="00606DFA">
      <w:pPr>
        <w:jc w:val="both"/>
        <w:rPr>
          <w:rFonts w:ascii="Arial Narrow" w:eastAsia="Calibri" w:hAnsi="Arial Narrow"/>
        </w:rPr>
      </w:pPr>
      <w:r>
        <w:rPr>
          <w:rFonts w:ascii="Arial Narrow" w:eastAsia="Calibri" w:hAnsi="Arial Narrow"/>
        </w:rPr>
        <w:t>Por otra parte,</w:t>
      </w:r>
      <w:r w:rsidR="00606DFA">
        <w:rPr>
          <w:rFonts w:ascii="Arial Narrow" w:eastAsia="Calibri" w:hAnsi="Arial Narrow"/>
        </w:rPr>
        <w:t xml:space="preserve"> en el año 2021 se reporta por parte de la Unidad de Capacitación del Ministerio Público los esfuerzos de d</w:t>
      </w:r>
      <w:r w:rsidR="00606DFA" w:rsidRPr="002E0B96">
        <w:rPr>
          <w:rFonts w:ascii="Arial Narrow" w:eastAsia="Calibri" w:hAnsi="Arial Narrow"/>
        </w:rPr>
        <w:t xml:space="preserve">esarrollar </w:t>
      </w:r>
      <w:r w:rsidR="00273753" w:rsidRPr="00606DFA">
        <w:rPr>
          <w:rFonts w:ascii="Arial Narrow" w:eastAsia="Calibri" w:hAnsi="Arial Narrow"/>
        </w:rPr>
        <w:t xml:space="preserve">el Programa de Formación en Justicia Restaurativa-Justicia Alternativa, para ello se finalizó el rediseño del curso especializado, dando como resultado el rediseño de los 4 productos académicos, los cuales son: Guía de la persona participante, Guía de la persona facilitadora, Diseño Curricular y, Secuencia </w:t>
      </w:r>
      <w:r w:rsidR="00606DFA" w:rsidRPr="00606DFA">
        <w:rPr>
          <w:rFonts w:ascii="Arial Narrow" w:eastAsia="Calibri" w:hAnsi="Arial Narrow"/>
        </w:rPr>
        <w:t>didáctica. Importante</w:t>
      </w:r>
      <w:r w:rsidR="00273753" w:rsidRPr="00606DFA">
        <w:rPr>
          <w:rFonts w:ascii="Arial Narrow" w:eastAsia="Calibri" w:hAnsi="Arial Narrow"/>
        </w:rPr>
        <w:t xml:space="preserve"> rescatar que, producto de la emergencia sanitaria que se está viviendo a nivel nacional por el COVID-19, </w:t>
      </w:r>
      <w:r w:rsidR="00606DFA">
        <w:rPr>
          <w:rFonts w:ascii="Arial Narrow" w:eastAsia="Calibri" w:hAnsi="Arial Narrow"/>
        </w:rPr>
        <w:t>se llevaron</w:t>
      </w:r>
      <w:r w:rsidR="00273753" w:rsidRPr="00606DFA">
        <w:rPr>
          <w:rFonts w:ascii="Arial Narrow" w:eastAsia="Calibri" w:hAnsi="Arial Narrow"/>
        </w:rPr>
        <w:t xml:space="preserve"> a cabo reuniones bajo la modalidad virtual, con el equipo de trabajo, así como sesiones individuales con cada invitado especial, en las que se trabajó el desarrollo de los contenidos de la capacitación. Aunado a lo anterior, se planificó la ejecución, para dos grupos más, del Curso básico de “Acercamiento a la Justicia Restaurativa”, con el objetivo de aumentar la cantidad de personas capacitadas.</w:t>
      </w:r>
    </w:p>
    <w:p w14:paraId="02F1C3BD" w14:textId="0F04A0FC" w:rsidR="00D80E30" w:rsidRDefault="0073265F" w:rsidP="00606DFA">
      <w:pPr>
        <w:rPr>
          <w:rFonts w:eastAsia="Calibri"/>
          <w:lang w:val="es-CR" w:eastAsia="en-US"/>
        </w:rPr>
      </w:pPr>
      <w:r>
        <w:rPr>
          <w:rFonts w:eastAsia="Calibri"/>
          <w:lang w:val="es-CR" w:eastAsia="en-US"/>
        </w:rPr>
        <w:t xml:space="preserve"> </w:t>
      </w:r>
    </w:p>
    <w:p w14:paraId="3999501A" w14:textId="66ED263F" w:rsidR="00B17348" w:rsidRDefault="00B17348" w:rsidP="00606DFA"/>
    <w:p w14:paraId="32E13978" w14:textId="056690BB" w:rsidR="00532B98" w:rsidRDefault="00532B98" w:rsidP="00606DFA"/>
    <w:p w14:paraId="4ACB0B22" w14:textId="6A76EFD7" w:rsidR="00532B98" w:rsidRDefault="00532B98" w:rsidP="00606DFA"/>
    <w:p w14:paraId="6FDBF8CC" w14:textId="64E4A750" w:rsidR="00532B98" w:rsidRDefault="00532B98" w:rsidP="00606DFA"/>
    <w:p w14:paraId="32F395FC" w14:textId="45CDA9EE" w:rsidR="00532B98" w:rsidRDefault="00532B98" w:rsidP="00606DFA"/>
    <w:p w14:paraId="7DFCF0F0" w14:textId="6BB43373" w:rsidR="00532B98" w:rsidRDefault="00532B98" w:rsidP="00606DFA"/>
    <w:p w14:paraId="7B26C42D" w14:textId="1940E6DD" w:rsidR="00532B98" w:rsidRDefault="00532B98" w:rsidP="00606DFA"/>
    <w:p w14:paraId="69E57124" w14:textId="77777777" w:rsidR="00532B98" w:rsidRDefault="00532B98" w:rsidP="00606DFA"/>
    <w:p w14:paraId="7FA41F47" w14:textId="77777777" w:rsidR="00A34EED" w:rsidRDefault="00A34EED" w:rsidP="00606DFA"/>
    <w:p w14:paraId="784BAADD" w14:textId="541A65A9" w:rsidR="00606DFA" w:rsidRDefault="00606DFA" w:rsidP="00606DFA">
      <w:pPr>
        <w:pStyle w:val="Descripcin"/>
        <w:jc w:val="center"/>
        <w:rPr>
          <w:rFonts w:ascii="Arial Narrow" w:eastAsia="Calibri" w:hAnsi="Arial Narrow"/>
          <w:sz w:val="24"/>
          <w:szCs w:val="24"/>
          <w:lang w:eastAsia="en-US"/>
        </w:rPr>
      </w:pPr>
      <w:r w:rsidRPr="00704B08">
        <w:rPr>
          <w:rFonts w:ascii="Arial Narrow" w:hAnsi="Arial Narrow"/>
          <w:sz w:val="24"/>
          <w:szCs w:val="24"/>
        </w:rPr>
        <w:t xml:space="preserve">Cuadro </w:t>
      </w:r>
      <w:r w:rsidRPr="00704B08">
        <w:rPr>
          <w:rFonts w:ascii="Arial Narrow" w:hAnsi="Arial Narrow"/>
          <w:sz w:val="24"/>
          <w:szCs w:val="24"/>
        </w:rPr>
        <w:fldChar w:fldCharType="begin"/>
      </w:r>
      <w:r w:rsidRPr="00704B08">
        <w:rPr>
          <w:rFonts w:ascii="Arial Narrow" w:hAnsi="Arial Narrow"/>
          <w:sz w:val="24"/>
          <w:szCs w:val="24"/>
        </w:rPr>
        <w:instrText xml:space="preserve"> SEQ Cuadro_No. \* ARABIC </w:instrText>
      </w:r>
      <w:r w:rsidRPr="00704B08">
        <w:rPr>
          <w:rFonts w:ascii="Arial Narrow" w:hAnsi="Arial Narrow"/>
          <w:sz w:val="24"/>
          <w:szCs w:val="24"/>
        </w:rPr>
        <w:fldChar w:fldCharType="separate"/>
      </w:r>
      <w:r w:rsidR="002F520A">
        <w:rPr>
          <w:rFonts w:ascii="Arial Narrow" w:hAnsi="Arial Narrow"/>
          <w:noProof/>
          <w:sz w:val="24"/>
          <w:szCs w:val="24"/>
        </w:rPr>
        <w:t>27</w:t>
      </w:r>
      <w:r w:rsidRPr="00704B08">
        <w:rPr>
          <w:rFonts w:ascii="Arial Narrow" w:hAnsi="Arial Narrow"/>
          <w:sz w:val="24"/>
          <w:szCs w:val="24"/>
        </w:rPr>
        <w:fldChar w:fldCharType="end"/>
      </w:r>
      <w:r w:rsidRPr="00704B08">
        <w:rPr>
          <w:rFonts w:ascii="Arial Narrow" w:hAnsi="Arial Narrow"/>
          <w:sz w:val="24"/>
          <w:szCs w:val="24"/>
        </w:rPr>
        <w:t xml:space="preserve"> </w:t>
      </w:r>
      <w:r w:rsidRPr="00704B08">
        <w:rPr>
          <w:rFonts w:ascii="Arial Narrow" w:eastAsia="Calibri" w:hAnsi="Arial Narrow"/>
          <w:sz w:val="24"/>
          <w:szCs w:val="24"/>
          <w:lang w:eastAsia="en-US"/>
        </w:rPr>
        <w:t>Metas</w:t>
      </w:r>
      <w:r w:rsidRPr="009D5823">
        <w:rPr>
          <w:rFonts w:ascii="Arial Narrow" w:eastAsia="Calibri" w:hAnsi="Arial Narrow"/>
          <w:sz w:val="24"/>
          <w:szCs w:val="24"/>
          <w:lang w:eastAsia="en-US"/>
        </w:rPr>
        <w:t xml:space="preserve"> estratégicas</w:t>
      </w:r>
      <w:r w:rsidRPr="00665D61">
        <w:rPr>
          <w:rFonts w:ascii="Arial Narrow" w:eastAsia="Calibri" w:hAnsi="Arial Narrow"/>
          <w:sz w:val="24"/>
          <w:szCs w:val="24"/>
          <w:lang w:eastAsia="en-US"/>
        </w:rPr>
        <w:t xml:space="preserve"> de Medidas Alternas y su cumplimiento para el 20</w:t>
      </w:r>
      <w:r>
        <w:rPr>
          <w:rFonts w:ascii="Arial Narrow" w:eastAsia="Calibri" w:hAnsi="Arial Narrow"/>
          <w:sz w:val="24"/>
          <w:szCs w:val="24"/>
          <w:lang w:eastAsia="en-US"/>
        </w:rPr>
        <w:t>21.</w:t>
      </w:r>
    </w:p>
    <w:p w14:paraId="13BAF5C4" w14:textId="77777777" w:rsidR="00C94431" w:rsidRPr="00322D9B" w:rsidRDefault="00C94431" w:rsidP="00322D9B">
      <w:pPr>
        <w:rPr>
          <w:rFonts w:eastAsia="Calibri"/>
          <w:lang w:eastAsia="en-US"/>
        </w:rPr>
      </w:pPr>
    </w:p>
    <w:p w14:paraId="4896D032" w14:textId="7DBC8DEC" w:rsidR="006E387B" w:rsidRDefault="0057279C" w:rsidP="0057279C">
      <w:pPr>
        <w:jc w:val="center"/>
        <w:rPr>
          <w:rFonts w:eastAsia="Calibri"/>
          <w:lang w:val="es-CR" w:eastAsia="en-US"/>
        </w:rPr>
      </w:pPr>
      <w:r>
        <w:rPr>
          <w:noProof/>
        </w:rPr>
        <w:drawing>
          <wp:inline distT="0" distB="0" distL="0" distR="0" wp14:anchorId="459D9B35" wp14:editId="057A4805">
            <wp:extent cx="5939017" cy="1974649"/>
            <wp:effectExtent l="57150" t="57150" r="100330" b="102235"/>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374" r="201"/>
                    <a:stretch/>
                  </pic:blipFill>
                  <pic:spPr bwMode="auto">
                    <a:xfrm>
                      <a:off x="0" y="0"/>
                      <a:ext cx="5939623" cy="1974850"/>
                    </a:xfrm>
                    <a:prstGeom prst="rect">
                      <a:avLst/>
                    </a:prstGeom>
                    <a:ln w="127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EC6C59D" w14:textId="77777777" w:rsidR="007F40B0" w:rsidRDefault="007F40B0" w:rsidP="00B54439">
      <w:pPr>
        <w:jc w:val="center"/>
        <w:rPr>
          <w:rFonts w:ascii="Arial Narrow" w:eastAsia="Calibri" w:hAnsi="Arial Narrow"/>
          <w:lang w:val="es-CR" w:eastAsia="en-US"/>
        </w:rPr>
      </w:pPr>
      <w:r w:rsidRPr="004619C9">
        <w:rPr>
          <w:rFonts w:ascii="Arial Narrow" w:eastAsia="Calibri" w:hAnsi="Arial Narrow"/>
          <w:b/>
          <w:bCs/>
          <w:sz w:val="18"/>
          <w:szCs w:val="18"/>
          <w:lang w:eastAsia="en-US"/>
        </w:rPr>
        <w:t>Fuente:</w:t>
      </w:r>
      <w:r w:rsidRPr="000B4845">
        <w:rPr>
          <w:rFonts w:ascii="Arial Narrow" w:eastAsia="Calibri" w:hAnsi="Arial Narrow"/>
          <w:sz w:val="18"/>
          <w:szCs w:val="18"/>
          <w:lang w:eastAsia="en-US"/>
        </w:rPr>
        <w:t xml:space="preserve"> Sistema PEI al </w:t>
      </w:r>
      <w:r>
        <w:rPr>
          <w:rFonts w:ascii="Arial Narrow" w:eastAsia="Calibri" w:hAnsi="Arial Narrow"/>
          <w:sz w:val="18"/>
          <w:szCs w:val="18"/>
          <w:lang w:eastAsia="en-US"/>
        </w:rPr>
        <w:t>19</w:t>
      </w:r>
      <w:r w:rsidRPr="000B4845">
        <w:rPr>
          <w:rFonts w:ascii="Arial Narrow" w:eastAsia="Calibri" w:hAnsi="Arial Narrow"/>
          <w:sz w:val="18"/>
          <w:szCs w:val="18"/>
          <w:lang w:eastAsia="en-US"/>
        </w:rPr>
        <w:t xml:space="preserve"> de enero del </w:t>
      </w:r>
      <w:r>
        <w:rPr>
          <w:rFonts w:ascii="Arial Narrow" w:eastAsia="Calibri" w:hAnsi="Arial Narrow"/>
          <w:sz w:val="18"/>
          <w:szCs w:val="18"/>
          <w:lang w:eastAsia="en-US"/>
        </w:rPr>
        <w:t>2022 para el año 2021.</w:t>
      </w:r>
    </w:p>
    <w:p w14:paraId="32765BA8" w14:textId="01A70FE1" w:rsidR="00FE4277" w:rsidRDefault="00FE4277" w:rsidP="00A649EE">
      <w:pPr>
        <w:jc w:val="both"/>
        <w:rPr>
          <w:rFonts w:eastAsia="Calibri"/>
          <w:lang w:val="es-CR" w:eastAsia="en-US"/>
        </w:rPr>
      </w:pPr>
    </w:p>
    <w:p w14:paraId="0118E809" w14:textId="57F5F118" w:rsidR="00FE4277" w:rsidRDefault="00FE4277" w:rsidP="00A649EE">
      <w:pPr>
        <w:jc w:val="both"/>
        <w:rPr>
          <w:rFonts w:eastAsia="Calibri"/>
          <w:lang w:val="es-CR" w:eastAsia="en-US"/>
        </w:rPr>
      </w:pPr>
    </w:p>
    <w:p w14:paraId="2327EAB9" w14:textId="331F325A" w:rsidR="00A649EE" w:rsidRPr="0057279C" w:rsidRDefault="00B218F5" w:rsidP="0057279C">
      <w:pPr>
        <w:jc w:val="both"/>
        <w:rPr>
          <w:rFonts w:ascii="Arial Narrow" w:eastAsia="Calibri" w:hAnsi="Arial Narrow"/>
          <w:b/>
          <w:bCs/>
        </w:rPr>
      </w:pPr>
      <w:r w:rsidRPr="0057279C">
        <w:rPr>
          <w:rFonts w:ascii="Arial Narrow" w:eastAsia="Calibri" w:hAnsi="Arial Narrow"/>
        </w:rPr>
        <w:t xml:space="preserve">Por otra parte, la meta estratégica </w:t>
      </w:r>
      <w:r w:rsidRPr="0057279C">
        <w:rPr>
          <w:rFonts w:ascii="Arial Narrow" w:eastAsia="Calibri" w:hAnsi="Arial Narrow"/>
          <w:b/>
          <w:bCs/>
        </w:rPr>
        <w:t>“</w:t>
      </w:r>
      <w:r w:rsidRPr="0057279C">
        <w:rPr>
          <w:rFonts w:ascii="Arial Narrow" w:eastAsia="Calibri" w:hAnsi="Arial Narrow"/>
        </w:rPr>
        <w:t xml:space="preserve">Que al finalizar el 2024, se haya incrementado anualmente la cantidad casos terminados mediante la aplicación de las medidas alternas (audiencias tempranas, salidas alternas, justicia restaurativa) de la Fiscalía”, se tiene en 2019 un cumplimiento de 93% quedando pendiente por parte de diversas Fiscalías, entre las que se pueden mencionar las que no lograron el 100%: </w:t>
      </w:r>
      <w:r w:rsidR="00A649EE" w:rsidRPr="0057279C">
        <w:rPr>
          <w:rFonts w:ascii="Arial Narrow" w:eastAsia="Calibri" w:hAnsi="Arial Narrow"/>
        </w:rPr>
        <w:t>Fiscalía</w:t>
      </w:r>
      <w:r w:rsidRPr="0057279C">
        <w:rPr>
          <w:rFonts w:ascii="Arial Narrow" w:eastAsia="Calibri" w:hAnsi="Arial Narrow"/>
        </w:rPr>
        <w:t xml:space="preserve"> </w:t>
      </w:r>
      <w:r w:rsidR="00A649EE" w:rsidRPr="0057279C">
        <w:rPr>
          <w:rFonts w:ascii="Arial Narrow" w:eastAsia="Calibri" w:hAnsi="Arial Narrow"/>
        </w:rPr>
        <w:t xml:space="preserve">Adjunta del primer Circuito Judicial </w:t>
      </w:r>
      <w:r w:rsidRPr="0057279C">
        <w:rPr>
          <w:rFonts w:ascii="Arial Narrow" w:eastAsia="Calibri" w:hAnsi="Arial Narrow"/>
        </w:rPr>
        <w:t xml:space="preserve">de </w:t>
      </w:r>
      <w:r w:rsidR="00A649EE" w:rsidRPr="0057279C">
        <w:rPr>
          <w:rFonts w:ascii="Arial Narrow" w:eastAsia="Calibri" w:hAnsi="Arial Narrow"/>
        </w:rPr>
        <w:t xml:space="preserve">la </w:t>
      </w:r>
      <w:r w:rsidRPr="0057279C">
        <w:rPr>
          <w:rFonts w:ascii="Arial Narrow" w:eastAsia="Calibri" w:hAnsi="Arial Narrow"/>
        </w:rPr>
        <w:t>zona Sur</w:t>
      </w:r>
      <w:r w:rsidR="00A649EE" w:rsidRPr="0057279C">
        <w:rPr>
          <w:rFonts w:ascii="Arial Narrow" w:eastAsia="Calibri" w:hAnsi="Arial Narrow"/>
        </w:rPr>
        <w:t xml:space="preserve">, Fiscalía adjunta de Cartago, Fiscalía de Buenos Aires, Fiscalía Adjunta de Fraudes, Fiscalía Adjunta de Heredia, Fiscalía de San Joaquín de Flores, Fiscalía Adjunta de Puntarenas, Fiscalía de la Unión y Fiscalía Adjunta de Pavas. </w:t>
      </w:r>
      <w:r w:rsidR="00A649EE" w:rsidRPr="0057279C">
        <w:rPr>
          <w:rFonts w:ascii="Arial Narrow" w:eastAsia="Calibri" w:hAnsi="Arial Narrow"/>
          <w:b/>
          <w:bCs/>
        </w:rPr>
        <w:t>Se sugiere r</w:t>
      </w:r>
      <w:r w:rsidR="00016898" w:rsidRPr="0057279C">
        <w:rPr>
          <w:rFonts w:ascii="Arial Narrow" w:eastAsia="Calibri" w:hAnsi="Arial Narrow"/>
          <w:b/>
          <w:bCs/>
        </w:rPr>
        <w:t>e</w:t>
      </w:r>
      <w:r w:rsidR="00A649EE" w:rsidRPr="0057279C">
        <w:rPr>
          <w:rFonts w:ascii="Arial Narrow" w:eastAsia="Calibri" w:hAnsi="Arial Narrow"/>
          <w:b/>
          <w:bCs/>
        </w:rPr>
        <w:t xml:space="preserve">visar los valores </w:t>
      </w:r>
      <w:r w:rsidR="00016898" w:rsidRPr="0057279C">
        <w:rPr>
          <w:rFonts w:ascii="Arial Narrow" w:eastAsia="Calibri" w:hAnsi="Arial Narrow"/>
          <w:b/>
          <w:bCs/>
        </w:rPr>
        <w:t>esperados para esta meta.</w:t>
      </w:r>
    </w:p>
    <w:p w14:paraId="1A7AA9FB" w14:textId="6ED7CFA8" w:rsidR="007F40B0" w:rsidRPr="003915DC" w:rsidRDefault="007F40B0" w:rsidP="008A7BDD">
      <w:pPr>
        <w:rPr>
          <w:rFonts w:ascii="Arial Narrow" w:eastAsia="Calibri" w:hAnsi="Arial Narrow"/>
        </w:rPr>
      </w:pPr>
    </w:p>
    <w:p w14:paraId="68465930" w14:textId="71CA12A6" w:rsidR="007F40B0" w:rsidRPr="003915DC" w:rsidRDefault="003915DC" w:rsidP="008A7BDD">
      <w:pPr>
        <w:rPr>
          <w:rFonts w:ascii="Arial Narrow" w:eastAsia="Calibri" w:hAnsi="Arial Narrow"/>
        </w:rPr>
      </w:pPr>
      <w:r w:rsidRPr="003915DC">
        <w:rPr>
          <w:rFonts w:ascii="Arial Narrow" w:eastAsia="Calibri" w:hAnsi="Arial Narrow"/>
        </w:rPr>
        <w:t>En cuanto al cumplimiento de los casos terminados mediante medidas alternas en la Defensa Pública para el año 2021 registra un cumplimiento de 100%</w:t>
      </w:r>
      <w:r>
        <w:rPr>
          <w:rFonts w:ascii="Arial Narrow" w:eastAsia="Calibri" w:hAnsi="Arial Narrow"/>
        </w:rPr>
        <w:t xml:space="preserve">. </w:t>
      </w:r>
    </w:p>
    <w:p w14:paraId="3BA74D5D" w14:textId="1C4FCBC5" w:rsidR="0057279C" w:rsidRDefault="0057279C" w:rsidP="008A7BDD">
      <w:pPr>
        <w:rPr>
          <w:rFonts w:eastAsia="Calibri"/>
          <w:lang w:val="es-CR" w:eastAsia="en-US"/>
        </w:rPr>
      </w:pPr>
    </w:p>
    <w:p w14:paraId="3C48F605" w14:textId="22326F83" w:rsidR="0057279C" w:rsidRDefault="0057279C" w:rsidP="008A7BDD">
      <w:pPr>
        <w:rPr>
          <w:rFonts w:eastAsia="Calibri"/>
          <w:lang w:val="es-CR" w:eastAsia="en-US"/>
        </w:rPr>
      </w:pPr>
    </w:p>
    <w:p w14:paraId="03ECAA9E" w14:textId="295A2174" w:rsidR="00532B98" w:rsidRDefault="00532B98" w:rsidP="008A7BDD">
      <w:pPr>
        <w:rPr>
          <w:rFonts w:eastAsia="Calibri"/>
          <w:lang w:val="es-CR" w:eastAsia="en-US"/>
        </w:rPr>
      </w:pPr>
    </w:p>
    <w:p w14:paraId="01C21F82" w14:textId="0F3F72D4" w:rsidR="00532B98" w:rsidRDefault="00532B98" w:rsidP="008A7BDD">
      <w:pPr>
        <w:rPr>
          <w:rFonts w:eastAsia="Calibri"/>
          <w:lang w:val="es-CR" w:eastAsia="en-US"/>
        </w:rPr>
      </w:pPr>
    </w:p>
    <w:p w14:paraId="1024F621" w14:textId="75030290" w:rsidR="00532B98" w:rsidRDefault="00532B98" w:rsidP="008A7BDD">
      <w:pPr>
        <w:rPr>
          <w:rFonts w:eastAsia="Calibri"/>
          <w:lang w:val="es-CR" w:eastAsia="en-US"/>
        </w:rPr>
      </w:pPr>
    </w:p>
    <w:p w14:paraId="0F863F75" w14:textId="2C3D29C5" w:rsidR="00532B98" w:rsidRDefault="00532B98" w:rsidP="008A7BDD">
      <w:pPr>
        <w:rPr>
          <w:rFonts w:eastAsia="Calibri"/>
          <w:lang w:val="es-CR" w:eastAsia="en-US"/>
        </w:rPr>
      </w:pPr>
    </w:p>
    <w:p w14:paraId="4178423C" w14:textId="3D91BF34" w:rsidR="00532B98" w:rsidRDefault="00532B98" w:rsidP="008A7BDD">
      <w:pPr>
        <w:rPr>
          <w:rFonts w:eastAsia="Calibri"/>
          <w:lang w:val="es-CR" w:eastAsia="en-US"/>
        </w:rPr>
      </w:pPr>
    </w:p>
    <w:p w14:paraId="1B610BB4" w14:textId="750ABBC0" w:rsidR="00532B98" w:rsidRDefault="00532B98" w:rsidP="008A7BDD">
      <w:pPr>
        <w:rPr>
          <w:rFonts w:eastAsia="Calibri"/>
          <w:lang w:val="es-CR" w:eastAsia="en-US"/>
        </w:rPr>
      </w:pPr>
    </w:p>
    <w:p w14:paraId="37D199E7" w14:textId="7F0A1525" w:rsidR="00532B98" w:rsidRDefault="00532B98" w:rsidP="008A7BDD">
      <w:pPr>
        <w:rPr>
          <w:rFonts w:eastAsia="Calibri"/>
          <w:lang w:val="es-CR" w:eastAsia="en-US"/>
        </w:rPr>
      </w:pPr>
    </w:p>
    <w:p w14:paraId="40DA31AA" w14:textId="0DB01F1A" w:rsidR="00532B98" w:rsidRDefault="00532B98" w:rsidP="008A7BDD">
      <w:pPr>
        <w:rPr>
          <w:rFonts w:eastAsia="Calibri"/>
          <w:lang w:val="es-CR" w:eastAsia="en-US"/>
        </w:rPr>
      </w:pPr>
    </w:p>
    <w:p w14:paraId="38A5E1D7" w14:textId="4ED5D430" w:rsidR="00532B98" w:rsidRDefault="00532B98" w:rsidP="008A7BDD">
      <w:pPr>
        <w:rPr>
          <w:rFonts w:eastAsia="Calibri"/>
          <w:lang w:val="es-CR" w:eastAsia="en-US"/>
        </w:rPr>
      </w:pPr>
    </w:p>
    <w:p w14:paraId="7C3A2288" w14:textId="5D4BA73A" w:rsidR="00532B98" w:rsidRDefault="00532B98" w:rsidP="008A7BDD">
      <w:pPr>
        <w:rPr>
          <w:rFonts w:eastAsia="Calibri"/>
          <w:lang w:val="es-CR" w:eastAsia="en-US"/>
        </w:rPr>
      </w:pPr>
    </w:p>
    <w:p w14:paraId="3A5B4499" w14:textId="5A6363F8" w:rsidR="00532B98" w:rsidRDefault="00532B98" w:rsidP="008A7BDD">
      <w:pPr>
        <w:rPr>
          <w:rFonts w:eastAsia="Calibri"/>
          <w:lang w:val="es-CR" w:eastAsia="en-US"/>
        </w:rPr>
      </w:pPr>
    </w:p>
    <w:p w14:paraId="31FEF863" w14:textId="77777777" w:rsidR="00532B98" w:rsidRDefault="00532B98" w:rsidP="008A7BDD">
      <w:pPr>
        <w:rPr>
          <w:rFonts w:eastAsia="Calibri"/>
          <w:lang w:val="es-CR" w:eastAsia="en-US"/>
        </w:rPr>
      </w:pPr>
    </w:p>
    <w:p w14:paraId="58D6A3D3" w14:textId="032BD8FD" w:rsidR="007F40B0" w:rsidRDefault="007F40B0" w:rsidP="007F40B0">
      <w:pPr>
        <w:pStyle w:val="Descripcin"/>
        <w:jc w:val="center"/>
        <w:rPr>
          <w:rFonts w:ascii="Arial Narrow" w:eastAsia="Calibri" w:hAnsi="Arial Narrow"/>
          <w:sz w:val="24"/>
          <w:szCs w:val="24"/>
          <w:lang w:eastAsia="en-US"/>
        </w:rPr>
      </w:pPr>
      <w:r w:rsidRPr="00704B08">
        <w:rPr>
          <w:rFonts w:ascii="Arial Narrow" w:hAnsi="Arial Narrow"/>
          <w:sz w:val="24"/>
          <w:szCs w:val="24"/>
        </w:rPr>
        <w:t xml:space="preserve">Cuadro </w:t>
      </w:r>
      <w:r w:rsidRPr="00704B08">
        <w:rPr>
          <w:rFonts w:ascii="Arial Narrow" w:hAnsi="Arial Narrow"/>
          <w:sz w:val="24"/>
          <w:szCs w:val="24"/>
        </w:rPr>
        <w:fldChar w:fldCharType="begin"/>
      </w:r>
      <w:r w:rsidRPr="00704B08">
        <w:rPr>
          <w:rFonts w:ascii="Arial Narrow" w:hAnsi="Arial Narrow"/>
          <w:sz w:val="24"/>
          <w:szCs w:val="24"/>
        </w:rPr>
        <w:instrText xml:space="preserve"> SEQ Cuadro_No. \* ARABIC </w:instrText>
      </w:r>
      <w:r w:rsidRPr="00704B08">
        <w:rPr>
          <w:rFonts w:ascii="Arial Narrow" w:hAnsi="Arial Narrow"/>
          <w:sz w:val="24"/>
          <w:szCs w:val="24"/>
        </w:rPr>
        <w:fldChar w:fldCharType="separate"/>
      </w:r>
      <w:r w:rsidR="002F520A">
        <w:rPr>
          <w:rFonts w:ascii="Arial Narrow" w:hAnsi="Arial Narrow"/>
          <w:noProof/>
          <w:sz w:val="24"/>
          <w:szCs w:val="24"/>
        </w:rPr>
        <w:t>28</w:t>
      </w:r>
      <w:r w:rsidRPr="00704B08">
        <w:rPr>
          <w:rFonts w:ascii="Arial Narrow" w:hAnsi="Arial Narrow"/>
          <w:sz w:val="24"/>
          <w:szCs w:val="24"/>
        </w:rPr>
        <w:fldChar w:fldCharType="end"/>
      </w:r>
      <w:r w:rsidRPr="00704B08">
        <w:rPr>
          <w:rFonts w:ascii="Arial Narrow" w:hAnsi="Arial Narrow"/>
          <w:sz w:val="24"/>
          <w:szCs w:val="24"/>
        </w:rPr>
        <w:t xml:space="preserve"> </w:t>
      </w:r>
      <w:r w:rsidRPr="00704B08">
        <w:rPr>
          <w:rFonts w:ascii="Arial Narrow" w:eastAsia="Calibri" w:hAnsi="Arial Narrow"/>
          <w:sz w:val="24"/>
          <w:szCs w:val="24"/>
          <w:lang w:eastAsia="en-US"/>
        </w:rPr>
        <w:t>Metas</w:t>
      </w:r>
      <w:r w:rsidRPr="009D5823">
        <w:rPr>
          <w:rFonts w:ascii="Arial Narrow" w:eastAsia="Calibri" w:hAnsi="Arial Narrow"/>
          <w:sz w:val="24"/>
          <w:szCs w:val="24"/>
          <w:lang w:eastAsia="en-US"/>
        </w:rPr>
        <w:t xml:space="preserve"> estratégicas</w:t>
      </w:r>
      <w:r w:rsidRPr="00665D61">
        <w:rPr>
          <w:rFonts w:ascii="Arial Narrow" w:eastAsia="Calibri" w:hAnsi="Arial Narrow"/>
          <w:sz w:val="24"/>
          <w:szCs w:val="24"/>
          <w:lang w:eastAsia="en-US"/>
        </w:rPr>
        <w:t xml:space="preserve"> de Medidas Alternas y su cumplimiento para el 20</w:t>
      </w:r>
      <w:r>
        <w:rPr>
          <w:rFonts w:ascii="Arial Narrow" w:eastAsia="Calibri" w:hAnsi="Arial Narrow"/>
          <w:sz w:val="24"/>
          <w:szCs w:val="24"/>
          <w:lang w:eastAsia="en-US"/>
        </w:rPr>
        <w:t>21.</w:t>
      </w:r>
    </w:p>
    <w:p w14:paraId="7C5C4C1B" w14:textId="7BE0A3F6" w:rsidR="00FA09D3" w:rsidRDefault="00FA09D3" w:rsidP="00FA09D3">
      <w:pPr>
        <w:rPr>
          <w:rFonts w:eastAsia="Calibri"/>
          <w:lang w:eastAsia="en-US"/>
        </w:rPr>
      </w:pPr>
    </w:p>
    <w:p w14:paraId="7EE72419" w14:textId="580D00AC" w:rsidR="006E387B" w:rsidRPr="00FA09D3" w:rsidRDefault="00FA09D3" w:rsidP="008A7BDD">
      <w:pPr>
        <w:rPr>
          <w:rFonts w:eastAsia="Calibri"/>
          <w:lang w:eastAsia="en-US"/>
        </w:rPr>
      </w:pPr>
      <w:r>
        <w:rPr>
          <w:noProof/>
        </w:rPr>
        <w:drawing>
          <wp:inline distT="0" distB="0" distL="0" distR="0" wp14:anchorId="348D8B9C" wp14:editId="41E37940">
            <wp:extent cx="5974080" cy="2432050"/>
            <wp:effectExtent l="57150" t="57150" r="102870" b="101600"/>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t="-1" b="1187"/>
                    <a:stretch/>
                  </pic:blipFill>
                  <pic:spPr bwMode="auto">
                    <a:xfrm>
                      <a:off x="0" y="0"/>
                      <a:ext cx="5974080" cy="2432050"/>
                    </a:xfrm>
                    <a:prstGeom prst="rect">
                      <a:avLst/>
                    </a:prstGeom>
                    <a:ln w="127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B75D1BC" w14:textId="77777777" w:rsidR="007F40B0" w:rsidRDefault="007F40B0" w:rsidP="00B54439">
      <w:pPr>
        <w:jc w:val="center"/>
        <w:rPr>
          <w:rFonts w:ascii="Arial Narrow" w:eastAsia="Calibri" w:hAnsi="Arial Narrow"/>
          <w:lang w:val="es-CR" w:eastAsia="en-US"/>
        </w:rPr>
      </w:pPr>
      <w:bookmarkStart w:id="36" w:name="_Hlk99465531"/>
      <w:r w:rsidRPr="004619C9">
        <w:rPr>
          <w:rFonts w:ascii="Arial Narrow" w:eastAsia="Calibri" w:hAnsi="Arial Narrow"/>
          <w:b/>
          <w:bCs/>
          <w:sz w:val="18"/>
          <w:szCs w:val="18"/>
          <w:lang w:eastAsia="en-US"/>
        </w:rPr>
        <w:t>Fuente:</w:t>
      </w:r>
      <w:r w:rsidRPr="000B4845">
        <w:rPr>
          <w:rFonts w:ascii="Arial Narrow" w:eastAsia="Calibri" w:hAnsi="Arial Narrow"/>
          <w:sz w:val="18"/>
          <w:szCs w:val="18"/>
          <w:lang w:eastAsia="en-US"/>
        </w:rPr>
        <w:t xml:space="preserve"> Sistema PEI al </w:t>
      </w:r>
      <w:r>
        <w:rPr>
          <w:rFonts w:ascii="Arial Narrow" w:eastAsia="Calibri" w:hAnsi="Arial Narrow"/>
          <w:sz w:val="18"/>
          <w:szCs w:val="18"/>
          <w:lang w:eastAsia="en-US"/>
        </w:rPr>
        <w:t>19</w:t>
      </w:r>
      <w:r w:rsidRPr="000B4845">
        <w:rPr>
          <w:rFonts w:ascii="Arial Narrow" w:eastAsia="Calibri" w:hAnsi="Arial Narrow"/>
          <w:sz w:val="18"/>
          <w:szCs w:val="18"/>
          <w:lang w:eastAsia="en-US"/>
        </w:rPr>
        <w:t xml:space="preserve"> de enero del </w:t>
      </w:r>
      <w:r>
        <w:rPr>
          <w:rFonts w:ascii="Arial Narrow" w:eastAsia="Calibri" w:hAnsi="Arial Narrow"/>
          <w:sz w:val="18"/>
          <w:szCs w:val="18"/>
          <w:lang w:eastAsia="en-US"/>
        </w:rPr>
        <w:t>2022 para el año 2021.</w:t>
      </w:r>
    </w:p>
    <w:bookmarkEnd w:id="36"/>
    <w:p w14:paraId="623EF90D" w14:textId="24E5471C" w:rsidR="007F40B0" w:rsidRPr="007F40B0" w:rsidRDefault="007F40B0" w:rsidP="007F40B0">
      <w:pPr>
        <w:jc w:val="both"/>
        <w:rPr>
          <w:rFonts w:ascii="Arial Narrow" w:eastAsia="Calibri" w:hAnsi="Arial Narrow"/>
          <w:lang w:val="es-CR" w:eastAsia="en-US"/>
        </w:rPr>
      </w:pPr>
    </w:p>
    <w:p w14:paraId="0DE9AF43" w14:textId="02F6F3E9" w:rsidR="00AC6F0F" w:rsidRPr="0002353C" w:rsidRDefault="386AA7E9" w:rsidP="005940C6">
      <w:pPr>
        <w:jc w:val="both"/>
        <w:rPr>
          <w:rFonts w:ascii="Arial Narrow" w:hAnsi="Arial Narrow"/>
          <w:lang w:val="es-CR"/>
        </w:rPr>
      </w:pPr>
      <w:r w:rsidRPr="0F07E111">
        <w:rPr>
          <w:rFonts w:ascii="Arial Narrow" w:hAnsi="Arial Narrow"/>
        </w:rPr>
        <w:t xml:space="preserve">En relación con los casos terminados mediante la aplicación de Medidas alternas, en la materia </w:t>
      </w:r>
      <w:r w:rsidR="7742E6F7" w:rsidRPr="0F07E111">
        <w:rPr>
          <w:rFonts w:ascii="Arial Narrow" w:hAnsi="Arial Narrow"/>
        </w:rPr>
        <w:t>agraria</w:t>
      </w:r>
      <w:r w:rsidRPr="0F07E111">
        <w:rPr>
          <w:rFonts w:ascii="Arial Narrow" w:hAnsi="Arial Narrow"/>
        </w:rPr>
        <w:t>, se</w:t>
      </w:r>
      <w:r w:rsidR="5C87642F" w:rsidRPr="0F07E111">
        <w:rPr>
          <w:rFonts w:ascii="Arial Narrow" w:hAnsi="Arial Narrow"/>
        </w:rPr>
        <w:t xml:space="preserve"> t</w:t>
      </w:r>
      <w:r w:rsidR="796DAAEA" w:rsidRPr="0F07E111">
        <w:rPr>
          <w:rFonts w:ascii="Arial Narrow" w:hAnsi="Arial Narrow"/>
          <w:lang w:val="es-CR"/>
        </w:rPr>
        <w:t>tiene</w:t>
      </w:r>
      <w:r w:rsidR="4340ADC9" w:rsidRPr="0F07E111">
        <w:rPr>
          <w:rFonts w:ascii="Arial Narrow" w:hAnsi="Arial Narrow"/>
          <w:lang w:val="es-CR"/>
        </w:rPr>
        <w:t xml:space="preserve"> que ha experimentado una disminución de los casos terminados en el período de análisis, siendo que en el año 2019 se situaba en 353 casos, y para el año 2021 el resultado obtenido es de 313 casos, lo que equivale a una disminución del 11,33</w:t>
      </w:r>
      <w:r w:rsidR="6C8D2BBA" w:rsidRPr="0F07E111">
        <w:rPr>
          <w:rFonts w:ascii="Arial Narrow" w:hAnsi="Arial Narrow"/>
          <w:lang w:val="es-CR"/>
        </w:rPr>
        <w:t>%.</w:t>
      </w:r>
      <w:r w:rsidR="6C8D2BBA" w:rsidRPr="0F07E111">
        <w:rPr>
          <w:rFonts w:ascii="Arial Narrow" w:eastAsiaTheme="minorEastAsia" w:hAnsi="Arial Narrow" w:cstheme="minorBidi"/>
          <w:b/>
          <w:bCs/>
          <w:lang w:val="es-CR" w:eastAsia="en-US"/>
        </w:rPr>
        <w:t xml:space="preserve"> Se</w:t>
      </w:r>
      <w:r w:rsidR="099CB81F" w:rsidRPr="0F07E111">
        <w:rPr>
          <w:rFonts w:ascii="Arial Narrow" w:eastAsiaTheme="minorEastAsia" w:hAnsi="Arial Narrow" w:cstheme="minorBidi"/>
          <w:b/>
          <w:bCs/>
          <w:lang w:val="es-CR" w:eastAsia="en-US"/>
        </w:rPr>
        <w:t xml:space="preserve"> sugiere modificar el valor esperado de la meta y adecuarlo a las realidades de las oficinas las cuales están en capacidad de terminar más expedientes de lo que fue planeado</w:t>
      </w:r>
      <w:r w:rsidR="099CB81F" w:rsidRPr="0F07E111">
        <w:rPr>
          <w:rFonts w:ascii="Arial Narrow" w:eastAsiaTheme="minorEastAsia" w:hAnsi="Arial Narrow" w:cstheme="minorBidi"/>
          <w:lang w:val="es-CR" w:eastAsia="en-US"/>
        </w:rPr>
        <w:t xml:space="preserve">. </w:t>
      </w:r>
    </w:p>
    <w:p w14:paraId="58F54653" w14:textId="77777777" w:rsidR="00AC6F0F" w:rsidRPr="00AC6F0F" w:rsidRDefault="00AC6F0F" w:rsidP="005940C6">
      <w:pPr>
        <w:jc w:val="both"/>
        <w:rPr>
          <w:rFonts w:ascii="Arial Narrow" w:hAnsi="Arial Narrow"/>
        </w:rPr>
      </w:pPr>
    </w:p>
    <w:p w14:paraId="281FABDC" w14:textId="0BBC068E" w:rsidR="00C51FFC" w:rsidRPr="0049772D" w:rsidRDefault="00D27E0F" w:rsidP="005940C6">
      <w:pPr>
        <w:jc w:val="both"/>
        <w:rPr>
          <w:rFonts w:ascii="Arial Narrow" w:eastAsiaTheme="minorHAnsi" w:hAnsi="Arial Narrow" w:cstheme="minorBidi"/>
          <w:lang w:val="es-CR" w:eastAsia="en-US"/>
        </w:rPr>
      </w:pPr>
      <w:r w:rsidRPr="00C51FFC">
        <w:rPr>
          <w:rFonts w:ascii="Arial Narrow" w:hAnsi="Arial Narrow"/>
        </w:rPr>
        <w:t>Como se puede observar en la información contenida en el cuadro anterior, en cuanto a los casos terminados en la materia contenciosa administrativa existe una tendencia a la baja del 2019 con respecto al 2021, que pasó de 1042 asuntos a 67, lo anterior implica una disminución de</w:t>
      </w:r>
      <w:r w:rsidR="00C51FFC" w:rsidRPr="00C51FFC">
        <w:rPr>
          <w:rFonts w:ascii="Arial Narrow" w:hAnsi="Arial Narrow"/>
        </w:rPr>
        <w:t xml:space="preserve"> 975 casos</w:t>
      </w:r>
      <w:r w:rsidR="00897DB6">
        <w:rPr>
          <w:rFonts w:ascii="Arial Narrow" w:hAnsi="Arial Narrow"/>
        </w:rPr>
        <w:t xml:space="preserve">, </w:t>
      </w:r>
      <w:r w:rsidR="00C51FFC" w:rsidRPr="0049772D">
        <w:rPr>
          <w:rFonts w:ascii="Arial Narrow" w:eastAsia="Calibri" w:hAnsi="Arial Narrow"/>
          <w:b/>
          <w:bCs/>
        </w:rPr>
        <w:t>por lo que sugiere que e</w:t>
      </w:r>
      <w:r w:rsidR="00C51FFC" w:rsidRPr="0049772D">
        <w:rPr>
          <w:rFonts w:ascii="Arial Narrow" w:hAnsi="Arial Narrow"/>
          <w:b/>
          <w:bCs/>
        </w:rPr>
        <w:t xml:space="preserve">sta meta debe ser revisada con respecto a sus valores esperados de casos terminados </w:t>
      </w:r>
      <w:r w:rsidR="00C51FFC" w:rsidRPr="0049772D">
        <w:rPr>
          <w:rFonts w:ascii="Arial Narrow" w:eastAsiaTheme="minorHAnsi" w:hAnsi="Arial Narrow" w:cstheme="minorBidi"/>
          <w:b/>
          <w:bCs/>
          <w:lang w:val="es-CR" w:eastAsia="en-US"/>
        </w:rPr>
        <w:t xml:space="preserve">y adecuarlo a las realidades de la </w:t>
      </w:r>
      <w:r w:rsidR="00C51FFC">
        <w:rPr>
          <w:rFonts w:ascii="Arial Narrow" w:eastAsiaTheme="minorHAnsi" w:hAnsi="Arial Narrow" w:cstheme="minorBidi"/>
          <w:b/>
          <w:bCs/>
          <w:lang w:val="es-CR" w:eastAsia="en-US"/>
        </w:rPr>
        <w:t xml:space="preserve">materia de </w:t>
      </w:r>
      <w:r w:rsidR="00897DB6">
        <w:rPr>
          <w:rFonts w:ascii="Arial Narrow" w:eastAsiaTheme="minorHAnsi" w:hAnsi="Arial Narrow" w:cstheme="minorBidi"/>
          <w:b/>
          <w:bCs/>
          <w:lang w:val="es-CR" w:eastAsia="en-US"/>
        </w:rPr>
        <w:t>Contenciosa Administrativa</w:t>
      </w:r>
      <w:r w:rsidR="00C51FFC" w:rsidRPr="0049772D">
        <w:rPr>
          <w:rFonts w:ascii="Arial Narrow" w:eastAsiaTheme="minorHAnsi" w:hAnsi="Arial Narrow" w:cstheme="minorBidi"/>
          <w:b/>
          <w:bCs/>
          <w:lang w:val="es-CR" w:eastAsia="en-US"/>
        </w:rPr>
        <w:t>, la cual está termina</w:t>
      </w:r>
      <w:r w:rsidR="00897DB6">
        <w:rPr>
          <w:rFonts w:ascii="Arial Narrow" w:eastAsiaTheme="minorHAnsi" w:hAnsi="Arial Narrow" w:cstheme="minorBidi"/>
          <w:b/>
          <w:bCs/>
          <w:lang w:val="es-CR" w:eastAsia="en-US"/>
        </w:rPr>
        <w:t>ndo</w:t>
      </w:r>
      <w:r w:rsidR="00C51FFC" w:rsidRPr="0049772D">
        <w:rPr>
          <w:rFonts w:ascii="Arial Narrow" w:eastAsiaTheme="minorHAnsi" w:hAnsi="Arial Narrow" w:cstheme="minorBidi"/>
          <w:b/>
          <w:bCs/>
          <w:lang w:val="es-CR" w:eastAsia="en-US"/>
        </w:rPr>
        <w:t xml:space="preserve"> m</w:t>
      </w:r>
      <w:r w:rsidR="00897DB6">
        <w:rPr>
          <w:rFonts w:ascii="Arial Narrow" w:eastAsiaTheme="minorHAnsi" w:hAnsi="Arial Narrow" w:cstheme="minorBidi"/>
          <w:b/>
          <w:bCs/>
          <w:lang w:val="es-CR" w:eastAsia="en-US"/>
        </w:rPr>
        <w:t>enos</w:t>
      </w:r>
      <w:r w:rsidR="00C51FFC" w:rsidRPr="0049772D">
        <w:rPr>
          <w:rFonts w:ascii="Arial Narrow" w:eastAsiaTheme="minorHAnsi" w:hAnsi="Arial Narrow" w:cstheme="minorBidi"/>
          <w:b/>
          <w:bCs/>
          <w:lang w:val="es-CR" w:eastAsia="en-US"/>
        </w:rPr>
        <w:t xml:space="preserve"> expedientes de lo que fue planeado, según la revisión de los 3 años del PEI</w:t>
      </w:r>
      <w:r w:rsidR="00C51FFC" w:rsidRPr="0049772D">
        <w:rPr>
          <w:rFonts w:ascii="Arial Narrow" w:eastAsiaTheme="minorHAnsi" w:hAnsi="Arial Narrow" w:cstheme="minorBidi"/>
          <w:lang w:val="es-CR" w:eastAsia="en-US"/>
        </w:rPr>
        <w:t>.</w:t>
      </w:r>
    </w:p>
    <w:p w14:paraId="6F2EBE64" w14:textId="6210EF09" w:rsidR="007F40B0" w:rsidRPr="00C51FFC" w:rsidRDefault="007F40B0" w:rsidP="007F40B0">
      <w:pPr>
        <w:jc w:val="both"/>
        <w:rPr>
          <w:rFonts w:ascii="Arial Narrow" w:hAnsi="Arial Narrow"/>
        </w:rPr>
      </w:pPr>
    </w:p>
    <w:p w14:paraId="2A81FA9B" w14:textId="1D8BB8E5" w:rsidR="007F40B0" w:rsidRDefault="007F40B0" w:rsidP="008A7BDD">
      <w:pPr>
        <w:rPr>
          <w:rFonts w:eastAsia="Calibri"/>
          <w:lang w:val="es-CR" w:eastAsia="en-US"/>
        </w:rPr>
      </w:pPr>
    </w:p>
    <w:p w14:paraId="1440F53F" w14:textId="1B0D3360" w:rsidR="00532B98" w:rsidRDefault="00532B98" w:rsidP="008A7BDD">
      <w:pPr>
        <w:rPr>
          <w:rFonts w:eastAsia="Calibri"/>
          <w:lang w:val="es-CR" w:eastAsia="en-US"/>
        </w:rPr>
      </w:pPr>
    </w:p>
    <w:p w14:paraId="6478BA45" w14:textId="068EE574" w:rsidR="00532B98" w:rsidRDefault="00532B98" w:rsidP="008A7BDD">
      <w:pPr>
        <w:rPr>
          <w:rFonts w:eastAsia="Calibri"/>
          <w:lang w:val="es-CR" w:eastAsia="en-US"/>
        </w:rPr>
      </w:pPr>
    </w:p>
    <w:p w14:paraId="33053456" w14:textId="69B58CA0" w:rsidR="00532B98" w:rsidRDefault="00532B98" w:rsidP="008A7BDD">
      <w:pPr>
        <w:rPr>
          <w:rFonts w:eastAsia="Calibri"/>
          <w:lang w:val="es-CR" w:eastAsia="en-US"/>
        </w:rPr>
      </w:pPr>
    </w:p>
    <w:p w14:paraId="74E0B79B" w14:textId="6BF09B35" w:rsidR="00532B98" w:rsidRDefault="00532B98" w:rsidP="008A7BDD">
      <w:pPr>
        <w:rPr>
          <w:rFonts w:eastAsia="Calibri"/>
          <w:lang w:val="es-CR" w:eastAsia="en-US"/>
        </w:rPr>
      </w:pPr>
    </w:p>
    <w:p w14:paraId="087F41A9" w14:textId="1506982F" w:rsidR="00532B98" w:rsidRDefault="00532B98" w:rsidP="008A7BDD">
      <w:pPr>
        <w:rPr>
          <w:rFonts w:eastAsia="Calibri"/>
          <w:lang w:val="es-CR" w:eastAsia="en-US"/>
        </w:rPr>
      </w:pPr>
    </w:p>
    <w:p w14:paraId="390907DC" w14:textId="2A7F5306" w:rsidR="00532B98" w:rsidRDefault="00532B98" w:rsidP="008A7BDD">
      <w:pPr>
        <w:rPr>
          <w:rFonts w:eastAsia="Calibri"/>
          <w:lang w:val="es-CR" w:eastAsia="en-US"/>
        </w:rPr>
      </w:pPr>
    </w:p>
    <w:p w14:paraId="71A0C752" w14:textId="400B9332" w:rsidR="00532B98" w:rsidRDefault="00532B98" w:rsidP="008A7BDD">
      <w:pPr>
        <w:rPr>
          <w:rFonts w:eastAsia="Calibri"/>
          <w:lang w:val="es-CR" w:eastAsia="en-US"/>
        </w:rPr>
      </w:pPr>
    </w:p>
    <w:p w14:paraId="171AA920" w14:textId="77777777" w:rsidR="00532B98" w:rsidRDefault="00532B98" w:rsidP="008A7BDD">
      <w:pPr>
        <w:rPr>
          <w:rFonts w:eastAsia="Calibri"/>
          <w:lang w:val="es-CR" w:eastAsia="en-US"/>
        </w:rPr>
      </w:pPr>
    </w:p>
    <w:p w14:paraId="01CC6718" w14:textId="199BAF68" w:rsidR="00897DB6" w:rsidRDefault="00897DB6" w:rsidP="008A7BDD">
      <w:pPr>
        <w:rPr>
          <w:rFonts w:eastAsia="Calibri"/>
          <w:lang w:val="es-CR" w:eastAsia="en-US"/>
        </w:rPr>
      </w:pPr>
    </w:p>
    <w:p w14:paraId="45ECFDA1" w14:textId="6E130641" w:rsidR="00897DB6" w:rsidRDefault="00897DB6" w:rsidP="00897DB6">
      <w:pPr>
        <w:pStyle w:val="Descripcin"/>
        <w:jc w:val="center"/>
        <w:rPr>
          <w:rFonts w:ascii="Arial Narrow" w:eastAsia="Calibri" w:hAnsi="Arial Narrow"/>
          <w:sz w:val="24"/>
          <w:szCs w:val="24"/>
          <w:lang w:eastAsia="en-US"/>
        </w:rPr>
      </w:pPr>
      <w:r w:rsidRPr="00704B08">
        <w:rPr>
          <w:rFonts w:ascii="Arial Narrow" w:hAnsi="Arial Narrow"/>
          <w:sz w:val="24"/>
          <w:szCs w:val="24"/>
        </w:rPr>
        <w:t xml:space="preserve">Cuadro </w:t>
      </w:r>
      <w:r w:rsidRPr="00704B08">
        <w:rPr>
          <w:rFonts w:ascii="Arial Narrow" w:hAnsi="Arial Narrow"/>
          <w:sz w:val="24"/>
          <w:szCs w:val="24"/>
        </w:rPr>
        <w:fldChar w:fldCharType="begin"/>
      </w:r>
      <w:r w:rsidRPr="00704B08">
        <w:rPr>
          <w:rFonts w:ascii="Arial Narrow" w:hAnsi="Arial Narrow"/>
          <w:sz w:val="24"/>
          <w:szCs w:val="24"/>
        </w:rPr>
        <w:instrText xml:space="preserve"> SEQ Cuadro_No. \* ARABIC </w:instrText>
      </w:r>
      <w:r w:rsidRPr="00704B08">
        <w:rPr>
          <w:rFonts w:ascii="Arial Narrow" w:hAnsi="Arial Narrow"/>
          <w:sz w:val="24"/>
          <w:szCs w:val="24"/>
        </w:rPr>
        <w:fldChar w:fldCharType="separate"/>
      </w:r>
      <w:r w:rsidR="002F520A">
        <w:rPr>
          <w:rFonts w:ascii="Arial Narrow" w:hAnsi="Arial Narrow"/>
          <w:noProof/>
          <w:sz w:val="24"/>
          <w:szCs w:val="24"/>
        </w:rPr>
        <w:t>29</w:t>
      </w:r>
      <w:r w:rsidRPr="00704B08">
        <w:rPr>
          <w:rFonts w:ascii="Arial Narrow" w:hAnsi="Arial Narrow"/>
          <w:sz w:val="24"/>
          <w:szCs w:val="24"/>
        </w:rPr>
        <w:fldChar w:fldCharType="end"/>
      </w:r>
      <w:r w:rsidRPr="00704B08">
        <w:rPr>
          <w:rFonts w:ascii="Arial Narrow" w:hAnsi="Arial Narrow"/>
          <w:sz w:val="24"/>
          <w:szCs w:val="24"/>
        </w:rPr>
        <w:t xml:space="preserve"> </w:t>
      </w:r>
      <w:r w:rsidRPr="00704B08">
        <w:rPr>
          <w:rFonts w:ascii="Arial Narrow" w:eastAsia="Calibri" w:hAnsi="Arial Narrow"/>
          <w:sz w:val="24"/>
          <w:szCs w:val="24"/>
          <w:lang w:eastAsia="en-US"/>
        </w:rPr>
        <w:t>Metas</w:t>
      </w:r>
      <w:r w:rsidRPr="009D5823">
        <w:rPr>
          <w:rFonts w:ascii="Arial Narrow" w:eastAsia="Calibri" w:hAnsi="Arial Narrow"/>
          <w:sz w:val="24"/>
          <w:szCs w:val="24"/>
          <w:lang w:eastAsia="en-US"/>
        </w:rPr>
        <w:t xml:space="preserve"> estratégicas</w:t>
      </w:r>
      <w:r w:rsidRPr="00665D61">
        <w:rPr>
          <w:rFonts w:ascii="Arial Narrow" w:eastAsia="Calibri" w:hAnsi="Arial Narrow"/>
          <w:sz w:val="24"/>
          <w:szCs w:val="24"/>
          <w:lang w:eastAsia="en-US"/>
        </w:rPr>
        <w:t xml:space="preserve"> de Medidas Alternas y su cumplimiento para el 20</w:t>
      </w:r>
      <w:r>
        <w:rPr>
          <w:rFonts w:ascii="Arial Narrow" w:eastAsia="Calibri" w:hAnsi="Arial Narrow"/>
          <w:sz w:val="24"/>
          <w:szCs w:val="24"/>
          <w:lang w:eastAsia="en-US"/>
        </w:rPr>
        <w:t>21.</w:t>
      </w:r>
    </w:p>
    <w:p w14:paraId="6AE3E48C" w14:textId="77777777" w:rsidR="00C42A42" w:rsidRPr="00322D9B" w:rsidRDefault="00C42A42" w:rsidP="00322D9B">
      <w:pPr>
        <w:rPr>
          <w:rFonts w:eastAsia="Calibri"/>
          <w:lang w:eastAsia="en-US"/>
        </w:rPr>
      </w:pPr>
    </w:p>
    <w:p w14:paraId="2E02466D" w14:textId="74655E5B" w:rsidR="00897DB6" w:rsidRDefault="00897DB6" w:rsidP="008A7BDD">
      <w:pPr>
        <w:rPr>
          <w:rFonts w:eastAsia="Calibri"/>
          <w:lang w:val="es-CR" w:eastAsia="en-US"/>
        </w:rPr>
      </w:pPr>
      <w:r>
        <w:rPr>
          <w:noProof/>
        </w:rPr>
        <w:drawing>
          <wp:inline distT="0" distB="0" distL="0" distR="0" wp14:anchorId="6FE1CDE8" wp14:editId="20566DA1">
            <wp:extent cx="5961380" cy="2432050"/>
            <wp:effectExtent l="57150" t="57150" r="96520" b="10160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213" r="-1" b="700"/>
                    <a:stretch/>
                  </pic:blipFill>
                  <pic:spPr bwMode="auto">
                    <a:xfrm>
                      <a:off x="0" y="0"/>
                      <a:ext cx="5961380" cy="2432050"/>
                    </a:xfrm>
                    <a:prstGeom prst="rect">
                      <a:avLst/>
                    </a:prstGeom>
                    <a:ln w="127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BB0A155" w14:textId="77777777" w:rsidR="00897DB6" w:rsidRDefault="00897DB6" w:rsidP="00B54439">
      <w:pPr>
        <w:jc w:val="center"/>
        <w:rPr>
          <w:rFonts w:ascii="Arial Narrow" w:eastAsia="Calibri" w:hAnsi="Arial Narrow"/>
          <w:lang w:val="es-CR" w:eastAsia="en-US"/>
        </w:rPr>
      </w:pPr>
      <w:r w:rsidRPr="004619C9">
        <w:rPr>
          <w:rFonts w:ascii="Arial Narrow" w:eastAsia="Calibri" w:hAnsi="Arial Narrow"/>
          <w:b/>
          <w:bCs/>
          <w:sz w:val="18"/>
          <w:szCs w:val="18"/>
          <w:lang w:eastAsia="en-US"/>
        </w:rPr>
        <w:t>Fuente:</w:t>
      </w:r>
      <w:r w:rsidRPr="000B4845">
        <w:rPr>
          <w:rFonts w:ascii="Arial Narrow" w:eastAsia="Calibri" w:hAnsi="Arial Narrow"/>
          <w:sz w:val="18"/>
          <w:szCs w:val="18"/>
          <w:lang w:eastAsia="en-US"/>
        </w:rPr>
        <w:t xml:space="preserve"> Sistema PEI al </w:t>
      </w:r>
      <w:r>
        <w:rPr>
          <w:rFonts w:ascii="Arial Narrow" w:eastAsia="Calibri" w:hAnsi="Arial Narrow"/>
          <w:sz w:val="18"/>
          <w:szCs w:val="18"/>
          <w:lang w:eastAsia="en-US"/>
        </w:rPr>
        <w:t>19</w:t>
      </w:r>
      <w:r w:rsidRPr="000B4845">
        <w:rPr>
          <w:rFonts w:ascii="Arial Narrow" w:eastAsia="Calibri" w:hAnsi="Arial Narrow"/>
          <w:sz w:val="18"/>
          <w:szCs w:val="18"/>
          <w:lang w:eastAsia="en-US"/>
        </w:rPr>
        <w:t xml:space="preserve"> de enero del </w:t>
      </w:r>
      <w:r>
        <w:rPr>
          <w:rFonts w:ascii="Arial Narrow" w:eastAsia="Calibri" w:hAnsi="Arial Narrow"/>
          <w:sz w:val="18"/>
          <w:szCs w:val="18"/>
          <w:lang w:eastAsia="en-US"/>
        </w:rPr>
        <w:t>2022 para el año 2021.</w:t>
      </w:r>
    </w:p>
    <w:p w14:paraId="5C7B2636" w14:textId="1229FB25" w:rsidR="007F40B0" w:rsidRDefault="007F40B0" w:rsidP="008A7BDD">
      <w:pPr>
        <w:rPr>
          <w:rFonts w:eastAsia="Calibri"/>
          <w:lang w:val="es-CR" w:eastAsia="en-US"/>
        </w:rPr>
      </w:pPr>
    </w:p>
    <w:p w14:paraId="3A7F3915" w14:textId="2F544D34" w:rsidR="001E1391" w:rsidRPr="0002353C" w:rsidRDefault="00897DB6" w:rsidP="005940C6">
      <w:pPr>
        <w:jc w:val="both"/>
        <w:rPr>
          <w:rFonts w:ascii="Arial Narrow" w:hAnsi="Arial Narrow"/>
          <w:lang w:val="es-CR"/>
        </w:rPr>
      </w:pPr>
      <w:r w:rsidRPr="00897DB6">
        <w:rPr>
          <w:rFonts w:ascii="Arial Narrow" w:hAnsi="Arial Narrow"/>
          <w:lang w:val="es-CR"/>
        </w:rPr>
        <w:t xml:space="preserve">De lo anterior se desprende que, </w:t>
      </w:r>
      <w:r w:rsidR="001E1391" w:rsidRPr="001E1391">
        <w:rPr>
          <w:rFonts w:ascii="Arial Narrow" w:hAnsi="Arial Narrow"/>
          <w:lang w:val="es-CR"/>
        </w:rPr>
        <w:t>los casos terminados por medidas alternas en la materia de Familia presentan</w:t>
      </w:r>
      <w:r w:rsidRPr="00897DB6">
        <w:rPr>
          <w:rFonts w:ascii="Arial Narrow" w:hAnsi="Arial Narrow"/>
          <w:lang w:val="es-CR"/>
        </w:rPr>
        <w:t xml:space="preserve"> un comportamiento creciente de forma constante a partir de</w:t>
      </w:r>
      <w:r w:rsidR="001E1391" w:rsidRPr="001E1391">
        <w:rPr>
          <w:rFonts w:ascii="Arial Narrow" w:hAnsi="Arial Narrow"/>
          <w:lang w:val="es-CR"/>
        </w:rPr>
        <w:t>l año 2019</w:t>
      </w:r>
      <w:r w:rsidRPr="00897DB6">
        <w:rPr>
          <w:rFonts w:ascii="Arial Narrow" w:hAnsi="Arial Narrow"/>
          <w:lang w:val="es-CR"/>
        </w:rPr>
        <w:t xml:space="preserve">, lo que equivale a un </w:t>
      </w:r>
      <w:r w:rsidR="001E1391" w:rsidRPr="001E1391">
        <w:rPr>
          <w:rFonts w:ascii="Arial Narrow" w:hAnsi="Arial Narrow"/>
          <w:lang w:val="es-CR"/>
        </w:rPr>
        <w:t>73,21</w:t>
      </w:r>
      <w:r w:rsidRPr="00897DB6">
        <w:rPr>
          <w:rFonts w:ascii="Arial Narrow" w:hAnsi="Arial Narrow"/>
          <w:lang w:val="es-CR"/>
        </w:rPr>
        <w:t xml:space="preserve">% más en </w:t>
      </w:r>
      <w:r w:rsidR="001E1391" w:rsidRPr="001E1391">
        <w:rPr>
          <w:rFonts w:ascii="Arial Narrow" w:hAnsi="Arial Narrow"/>
          <w:lang w:val="es-CR"/>
        </w:rPr>
        <w:t xml:space="preserve">el </w:t>
      </w:r>
      <w:r w:rsidRPr="00897DB6">
        <w:rPr>
          <w:rFonts w:ascii="Arial Narrow" w:hAnsi="Arial Narrow"/>
          <w:lang w:val="es-CR"/>
        </w:rPr>
        <w:t>20</w:t>
      </w:r>
      <w:r w:rsidR="001E1391" w:rsidRPr="001E1391">
        <w:rPr>
          <w:rFonts w:ascii="Arial Narrow" w:hAnsi="Arial Narrow"/>
          <w:lang w:val="es-CR"/>
        </w:rPr>
        <w:t>21</w:t>
      </w:r>
      <w:r w:rsidRPr="00897DB6">
        <w:rPr>
          <w:rFonts w:ascii="Arial Narrow" w:hAnsi="Arial Narrow"/>
          <w:lang w:val="es-CR"/>
        </w:rPr>
        <w:t xml:space="preserve"> con respecto al 20</w:t>
      </w:r>
      <w:r w:rsidR="001E1391" w:rsidRPr="001E1391">
        <w:rPr>
          <w:rFonts w:ascii="Arial Narrow" w:hAnsi="Arial Narrow"/>
          <w:lang w:val="es-CR"/>
        </w:rPr>
        <w:t>19</w:t>
      </w:r>
      <w:r w:rsidRPr="00897DB6">
        <w:rPr>
          <w:rFonts w:ascii="Arial Narrow" w:hAnsi="Arial Narrow"/>
          <w:lang w:val="es-CR"/>
        </w:rPr>
        <w:t>.</w:t>
      </w:r>
      <w:r w:rsidR="001E1391" w:rsidRPr="001E1391">
        <w:rPr>
          <w:rFonts w:ascii="Arial Narrow" w:eastAsiaTheme="minorHAnsi" w:hAnsi="Arial Narrow" w:cstheme="minorBidi"/>
          <w:b/>
          <w:bCs/>
          <w:lang w:val="es-CR" w:eastAsia="en-US"/>
        </w:rPr>
        <w:t xml:space="preserve"> </w:t>
      </w:r>
      <w:r w:rsidR="001E1391" w:rsidRPr="00AC6F0F">
        <w:rPr>
          <w:rFonts w:ascii="Arial Narrow" w:eastAsiaTheme="minorHAnsi" w:hAnsi="Arial Narrow" w:cstheme="minorBidi"/>
          <w:b/>
          <w:bCs/>
          <w:lang w:val="es-CR" w:eastAsia="en-US"/>
        </w:rPr>
        <w:t>Se sugiere modificar el valor esperado de la meta y adecuarlo a las realidades de las oficinas las cuales están en capacidad de terminar más expedientes de lo que fue planeado</w:t>
      </w:r>
      <w:r w:rsidR="001E1391" w:rsidRPr="00AC6F0F">
        <w:rPr>
          <w:rFonts w:ascii="Arial Narrow" w:eastAsiaTheme="minorHAnsi" w:hAnsi="Arial Narrow" w:cstheme="minorBidi"/>
          <w:lang w:val="es-CR" w:eastAsia="en-US"/>
        </w:rPr>
        <w:t xml:space="preserve">. </w:t>
      </w:r>
    </w:p>
    <w:p w14:paraId="6F9475EF" w14:textId="2D7D3435" w:rsidR="00897DB6" w:rsidRDefault="00897DB6" w:rsidP="005940C6">
      <w:pPr>
        <w:rPr>
          <w:rFonts w:eastAsia="Calibri"/>
          <w:lang w:val="es-CR" w:eastAsia="en-US"/>
        </w:rPr>
      </w:pPr>
    </w:p>
    <w:p w14:paraId="1580B42B" w14:textId="70FFD999" w:rsidR="00D013F6" w:rsidRPr="00D013F6" w:rsidRDefault="00D013F6" w:rsidP="005940C6">
      <w:pPr>
        <w:spacing w:after="160"/>
        <w:jc w:val="both"/>
        <w:rPr>
          <w:rFonts w:ascii="Arial Narrow" w:eastAsiaTheme="minorHAnsi" w:hAnsi="Arial Narrow" w:cstheme="minorBidi"/>
          <w:lang w:val="es-CR" w:eastAsia="en-US"/>
        </w:rPr>
      </w:pPr>
      <w:r w:rsidRPr="00D013F6">
        <w:rPr>
          <w:rFonts w:ascii="Arial Narrow" w:eastAsiaTheme="minorHAnsi" w:hAnsi="Arial Narrow" w:cstheme="minorBidi"/>
          <w:lang w:val="es-CR" w:eastAsia="en-US"/>
        </w:rPr>
        <w:t xml:space="preserve">Con respecto a la meta de casos terminados </w:t>
      </w:r>
      <w:r>
        <w:rPr>
          <w:rFonts w:ascii="Arial Narrow" w:eastAsiaTheme="minorHAnsi" w:hAnsi="Arial Narrow" w:cstheme="minorBidi"/>
          <w:lang w:val="es-CR" w:eastAsia="en-US"/>
        </w:rPr>
        <w:t xml:space="preserve">de medidas alternas </w:t>
      </w:r>
      <w:r w:rsidRPr="00D013F6">
        <w:rPr>
          <w:rFonts w:ascii="Arial Narrow" w:eastAsiaTheme="minorHAnsi" w:hAnsi="Arial Narrow" w:cstheme="minorBidi"/>
          <w:lang w:val="es-CR" w:eastAsia="en-US"/>
        </w:rPr>
        <w:t xml:space="preserve">en materia </w:t>
      </w:r>
      <w:r>
        <w:rPr>
          <w:rFonts w:ascii="Arial Narrow" w:eastAsiaTheme="minorHAnsi" w:hAnsi="Arial Narrow" w:cstheme="minorBidi"/>
          <w:lang w:val="es-CR" w:eastAsia="en-US"/>
        </w:rPr>
        <w:t>Pensiones Alimentarias</w:t>
      </w:r>
      <w:r w:rsidRPr="00D013F6">
        <w:rPr>
          <w:rFonts w:ascii="Arial Narrow" w:eastAsiaTheme="minorHAnsi" w:hAnsi="Arial Narrow" w:cstheme="minorBidi"/>
          <w:lang w:val="es-CR" w:eastAsia="en-US"/>
        </w:rPr>
        <w:t xml:space="preserve">, primera instancia se tiene un cumplimiento general del 100% para los 3 años a nivel PEI, esto debido a que a nivel de oficina si se han presentado leves variaciones de cumplimiento. Al evidenciar los casos terminados se observa que en promedio se solicita terminar </w:t>
      </w:r>
      <w:r>
        <w:rPr>
          <w:rFonts w:ascii="Arial Narrow" w:eastAsiaTheme="minorHAnsi" w:hAnsi="Arial Narrow" w:cstheme="minorBidi"/>
          <w:lang w:val="es-CR" w:eastAsia="en-US"/>
        </w:rPr>
        <w:t>1</w:t>
      </w:r>
      <w:r w:rsidR="009826B3">
        <w:rPr>
          <w:rFonts w:ascii="Arial Narrow" w:eastAsiaTheme="minorHAnsi" w:hAnsi="Arial Narrow" w:cstheme="minorBidi"/>
          <w:lang w:val="es-CR" w:eastAsia="en-US"/>
        </w:rPr>
        <w:t>6</w:t>
      </w:r>
      <w:r w:rsidRPr="00D013F6">
        <w:rPr>
          <w:rFonts w:ascii="Arial Narrow" w:eastAsiaTheme="minorHAnsi" w:hAnsi="Arial Narrow" w:cstheme="minorBidi"/>
          <w:lang w:val="es-CR" w:eastAsia="en-US"/>
        </w:rPr>
        <w:t xml:space="preserve"> casos terminados en promedio anual, sin embargo, en conjunto, todos los despachos de cobro terminan 1</w:t>
      </w:r>
      <w:r w:rsidR="009826B3">
        <w:rPr>
          <w:rFonts w:ascii="Arial Narrow" w:eastAsiaTheme="minorHAnsi" w:hAnsi="Arial Narrow" w:cstheme="minorBidi"/>
          <w:lang w:val="es-CR" w:eastAsia="en-US"/>
        </w:rPr>
        <w:t>208</w:t>
      </w:r>
      <w:r w:rsidRPr="00D013F6">
        <w:rPr>
          <w:rFonts w:ascii="Arial Narrow" w:eastAsiaTheme="minorHAnsi" w:hAnsi="Arial Narrow" w:cstheme="minorBidi"/>
          <w:lang w:val="es-CR" w:eastAsia="en-US"/>
        </w:rPr>
        <w:t xml:space="preserve"> casos al año en promedio. </w:t>
      </w:r>
      <w:bookmarkStart w:id="37" w:name="_Hlk99469702"/>
      <w:r w:rsidRPr="00D013F6">
        <w:rPr>
          <w:rFonts w:ascii="Arial Narrow" w:eastAsiaTheme="minorHAnsi" w:hAnsi="Arial Narrow" w:cstheme="minorBidi"/>
          <w:b/>
          <w:bCs/>
          <w:lang w:val="es-CR" w:eastAsia="en-US"/>
        </w:rPr>
        <w:t xml:space="preserve">Se sugiere modificar el valor esperado de la meta y adecuarlo a las realidades de las oficinas competentes en </w:t>
      </w:r>
      <w:r w:rsidR="009826B3">
        <w:rPr>
          <w:rFonts w:ascii="Arial Narrow" w:eastAsiaTheme="minorHAnsi" w:hAnsi="Arial Narrow" w:cstheme="minorBidi"/>
          <w:b/>
          <w:bCs/>
          <w:lang w:val="es-CR" w:eastAsia="en-US"/>
        </w:rPr>
        <w:t>Pensiones Alimentarias</w:t>
      </w:r>
      <w:r w:rsidRPr="00D013F6">
        <w:rPr>
          <w:rFonts w:ascii="Arial Narrow" w:eastAsiaTheme="minorHAnsi" w:hAnsi="Arial Narrow" w:cstheme="minorBidi"/>
          <w:b/>
          <w:bCs/>
          <w:lang w:val="es-CR" w:eastAsia="en-US"/>
        </w:rPr>
        <w:t>, las cuales están en capacidad de terminar más expedientes de lo que fue planeado, según la revisión de los 3 años del PEI</w:t>
      </w:r>
      <w:r w:rsidRPr="00D013F6">
        <w:rPr>
          <w:rFonts w:ascii="Arial Narrow" w:eastAsiaTheme="minorHAnsi" w:hAnsi="Arial Narrow" w:cstheme="minorBidi"/>
          <w:lang w:val="es-CR" w:eastAsia="en-US"/>
        </w:rPr>
        <w:t>.</w:t>
      </w:r>
    </w:p>
    <w:bookmarkEnd w:id="37"/>
    <w:p w14:paraId="37489BC3" w14:textId="778C5EC1" w:rsidR="00897DB6" w:rsidRDefault="00897DB6" w:rsidP="008A7BDD">
      <w:pPr>
        <w:rPr>
          <w:rFonts w:eastAsia="Calibri"/>
          <w:lang w:val="es-CR" w:eastAsia="en-US"/>
        </w:rPr>
      </w:pPr>
    </w:p>
    <w:p w14:paraId="5F1C06ED" w14:textId="514292D4" w:rsidR="00897DB6" w:rsidRDefault="00897DB6" w:rsidP="008A7BDD">
      <w:pPr>
        <w:rPr>
          <w:rFonts w:eastAsia="Calibri"/>
          <w:lang w:val="es-CR" w:eastAsia="en-US"/>
        </w:rPr>
      </w:pPr>
    </w:p>
    <w:p w14:paraId="0207BBF7" w14:textId="7DC2AA40" w:rsidR="00897DB6" w:rsidRDefault="00897DB6" w:rsidP="008A7BDD">
      <w:pPr>
        <w:rPr>
          <w:rFonts w:eastAsia="Calibri"/>
          <w:lang w:val="es-CR" w:eastAsia="en-US"/>
        </w:rPr>
      </w:pPr>
    </w:p>
    <w:p w14:paraId="300A49F2" w14:textId="6BD76AC7" w:rsidR="00897DB6" w:rsidRDefault="00897DB6" w:rsidP="008A7BDD">
      <w:pPr>
        <w:rPr>
          <w:rFonts w:eastAsia="Calibri"/>
          <w:lang w:val="es-CR" w:eastAsia="en-US"/>
        </w:rPr>
      </w:pPr>
    </w:p>
    <w:p w14:paraId="42283493" w14:textId="1B75D4FB" w:rsidR="005940C6" w:rsidRDefault="005940C6" w:rsidP="008A7BDD">
      <w:pPr>
        <w:rPr>
          <w:rFonts w:eastAsia="Calibri"/>
          <w:lang w:val="es-CR" w:eastAsia="en-US"/>
        </w:rPr>
      </w:pPr>
    </w:p>
    <w:p w14:paraId="1278520A" w14:textId="2CF00D98" w:rsidR="005940C6" w:rsidRDefault="005940C6" w:rsidP="008A7BDD">
      <w:pPr>
        <w:rPr>
          <w:rFonts w:eastAsia="Calibri"/>
          <w:lang w:val="es-CR" w:eastAsia="en-US"/>
        </w:rPr>
      </w:pPr>
    </w:p>
    <w:p w14:paraId="10465065" w14:textId="7486F3CD" w:rsidR="005940C6" w:rsidRDefault="005940C6" w:rsidP="008A7BDD">
      <w:pPr>
        <w:rPr>
          <w:rFonts w:eastAsia="Calibri"/>
          <w:lang w:val="es-CR" w:eastAsia="en-US"/>
        </w:rPr>
      </w:pPr>
    </w:p>
    <w:p w14:paraId="7843F9C1" w14:textId="74D700CC" w:rsidR="005940C6" w:rsidRDefault="005940C6" w:rsidP="008A7BDD">
      <w:pPr>
        <w:rPr>
          <w:rFonts w:eastAsia="Calibri"/>
          <w:lang w:val="es-CR" w:eastAsia="en-US"/>
        </w:rPr>
      </w:pPr>
    </w:p>
    <w:p w14:paraId="77467995" w14:textId="77777777" w:rsidR="00532B98" w:rsidRDefault="00532B98" w:rsidP="008A7BDD">
      <w:pPr>
        <w:rPr>
          <w:rFonts w:eastAsia="Calibri"/>
          <w:lang w:val="es-CR" w:eastAsia="en-US"/>
        </w:rPr>
      </w:pPr>
    </w:p>
    <w:p w14:paraId="1253576C" w14:textId="77777777" w:rsidR="005940C6" w:rsidRDefault="005940C6" w:rsidP="008A7BDD">
      <w:pPr>
        <w:rPr>
          <w:rFonts w:eastAsia="Calibri"/>
          <w:lang w:val="es-CR" w:eastAsia="en-US"/>
        </w:rPr>
      </w:pPr>
    </w:p>
    <w:p w14:paraId="1C1860A0" w14:textId="43C3AF4B" w:rsidR="00A12692" w:rsidRDefault="00A12692" w:rsidP="00A12692">
      <w:pPr>
        <w:pStyle w:val="Descripcin"/>
        <w:jc w:val="center"/>
        <w:rPr>
          <w:rFonts w:ascii="Arial Narrow" w:eastAsia="Calibri" w:hAnsi="Arial Narrow"/>
          <w:sz w:val="24"/>
          <w:szCs w:val="24"/>
          <w:lang w:eastAsia="en-US"/>
        </w:rPr>
      </w:pPr>
      <w:r w:rsidRPr="00704B08">
        <w:rPr>
          <w:rFonts w:ascii="Arial Narrow" w:hAnsi="Arial Narrow"/>
          <w:sz w:val="24"/>
          <w:szCs w:val="24"/>
        </w:rPr>
        <w:t xml:space="preserve">Cuadro </w:t>
      </w:r>
      <w:r w:rsidRPr="00704B08">
        <w:rPr>
          <w:rFonts w:ascii="Arial Narrow" w:hAnsi="Arial Narrow"/>
          <w:sz w:val="24"/>
          <w:szCs w:val="24"/>
        </w:rPr>
        <w:fldChar w:fldCharType="begin"/>
      </w:r>
      <w:r w:rsidRPr="00704B08">
        <w:rPr>
          <w:rFonts w:ascii="Arial Narrow" w:hAnsi="Arial Narrow"/>
          <w:sz w:val="24"/>
          <w:szCs w:val="24"/>
        </w:rPr>
        <w:instrText xml:space="preserve"> SEQ Cuadro_No. \* ARABIC </w:instrText>
      </w:r>
      <w:r w:rsidRPr="00704B08">
        <w:rPr>
          <w:rFonts w:ascii="Arial Narrow" w:hAnsi="Arial Narrow"/>
          <w:sz w:val="24"/>
          <w:szCs w:val="24"/>
        </w:rPr>
        <w:fldChar w:fldCharType="separate"/>
      </w:r>
      <w:r w:rsidR="002F520A">
        <w:rPr>
          <w:rFonts w:ascii="Arial Narrow" w:hAnsi="Arial Narrow"/>
          <w:noProof/>
          <w:sz w:val="24"/>
          <w:szCs w:val="24"/>
        </w:rPr>
        <w:t>30</w:t>
      </w:r>
      <w:r w:rsidRPr="00704B08">
        <w:rPr>
          <w:rFonts w:ascii="Arial Narrow" w:hAnsi="Arial Narrow"/>
          <w:sz w:val="24"/>
          <w:szCs w:val="24"/>
        </w:rPr>
        <w:fldChar w:fldCharType="end"/>
      </w:r>
      <w:r w:rsidRPr="00704B08">
        <w:rPr>
          <w:rFonts w:ascii="Arial Narrow" w:hAnsi="Arial Narrow"/>
          <w:sz w:val="24"/>
          <w:szCs w:val="24"/>
        </w:rPr>
        <w:t xml:space="preserve"> </w:t>
      </w:r>
      <w:r w:rsidRPr="00704B08">
        <w:rPr>
          <w:rFonts w:ascii="Arial Narrow" w:eastAsia="Calibri" w:hAnsi="Arial Narrow"/>
          <w:sz w:val="24"/>
          <w:szCs w:val="24"/>
          <w:lang w:eastAsia="en-US"/>
        </w:rPr>
        <w:t>Metas</w:t>
      </w:r>
      <w:r w:rsidRPr="009D5823">
        <w:rPr>
          <w:rFonts w:ascii="Arial Narrow" w:eastAsia="Calibri" w:hAnsi="Arial Narrow"/>
          <w:sz w:val="24"/>
          <w:szCs w:val="24"/>
          <w:lang w:eastAsia="en-US"/>
        </w:rPr>
        <w:t xml:space="preserve"> estratégicas</w:t>
      </w:r>
      <w:r w:rsidRPr="00665D61">
        <w:rPr>
          <w:rFonts w:ascii="Arial Narrow" w:eastAsia="Calibri" w:hAnsi="Arial Narrow"/>
          <w:sz w:val="24"/>
          <w:szCs w:val="24"/>
          <w:lang w:eastAsia="en-US"/>
        </w:rPr>
        <w:t xml:space="preserve"> de Medidas Alternas y su cumplimiento para el 20</w:t>
      </w:r>
      <w:r>
        <w:rPr>
          <w:rFonts w:ascii="Arial Narrow" w:eastAsia="Calibri" w:hAnsi="Arial Narrow"/>
          <w:sz w:val="24"/>
          <w:szCs w:val="24"/>
          <w:lang w:eastAsia="en-US"/>
        </w:rPr>
        <w:t>21.</w:t>
      </w:r>
    </w:p>
    <w:p w14:paraId="4528A165" w14:textId="77777777" w:rsidR="00C42A42" w:rsidRPr="00322D9B" w:rsidRDefault="00C42A42" w:rsidP="00322D9B">
      <w:pPr>
        <w:rPr>
          <w:rFonts w:eastAsia="Calibri"/>
          <w:lang w:eastAsia="en-US"/>
        </w:rPr>
      </w:pPr>
    </w:p>
    <w:p w14:paraId="6E3F8C8D" w14:textId="2CE5E422" w:rsidR="00A12692" w:rsidRDefault="00020113" w:rsidP="00A12692">
      <w:pPr>
        <w:rPr>
          <w:rFonts w:eastAsia="Calibri"/>
          <w:lang w:eastAsia="en-US"/>
        </w:rPr>
      </w:pPr>
      <w:r>
        <w:rPr>
          <w:noProof/>
        </w:rPr>
        <w:drawing>
          <wp:inline distT="0" distB="0" distL="0" distR="0" wp14:anchorId="0A6DB39D" wp14:editId="1E1B8CD3">
            <wp:extent cx="5974080" cy="1979875"/>
            <wp:effectExtent l="57150" t="57150" r="102870" b="97155"/>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b="640"/>
                    <a:stretch/>
                  </pic:blipFill>
                  <pic:spPr bwMode="auto">
                    <a:xfrm>
                      <a:off x="0" y="0"/>
                      <a:ext cx="5974080" cy="197987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151A251" w14:textId="77777777" w:rsidR="00A12692" w:rsidRDefault="00A12692" w:rsidP="00B54439">
      <w:pPr>
        <w:jc w:val="center"/>
        <w:rPr>
          <w:rFonts w:ascii="Arial Narrow" w:eastAsia="Calibri" w:hAnsi="Arial Narrow"/>
          <w:lang w:val="es-CR" w:eastAsia="en-US"/>
        </w:rPr>
      </w:pPr>
      <w:r w:rsidRPr="004619C9">
        <w:rPr>
          <w:rFonts w:ascii="Arial Narrow" w:eastAsia="Calibri" w:hAnsi="Arial Narrow"/>
          <w:b/>
          <w:bCs/>
          <w:sz w:val="18"/>
          <w:szCs w:val="18"/>
          <w:lang w:eastAsia="en-US"/>
        </w:rPr>
        <w:t>Fuente:</w:t>
      </w:r>
      <w:r w:rsidRPr="000B4845">
        <w:rPr>
          <w:rFonts w:ascii="Arial Narrow" w:eastAsia="Calibri" w:hAnsi="Arial Narrow"/>
          <w:sz w:val="18"/>
          <w:szCs w:val="18"/>
          <w:lang w:eastAsia="en-US"/>
        </w:rPr>
        <w:t xml:space="preserve"> Sistema PEI al </w:t>
      </w:r>
      <w:r>
        <w:rPr>
          <w:rFonts w:ascii="Arial Narrow" w:eastAsia="Calibri" w:hAnsi="Arial Narrow"/>
          <w:sz w:val="18"/>
          <w:szCs w:val="18"/>
          <w:lang w:eastAsia="en-US"/>
        </w:rPr>
        <w:t>19</w:t>
      </w:r>
      <w:r w:rsidRPr="000B4845">
        <w:rPr>
          <w:rFonts w:ascii="Arial Narrow" w:eastAsia="Calibri" w:hAnsi="Arial Narrow"/>
          <w:sz w:val="18"/>
          <w:szCs w:val="18"/>
          <w:lang w:eastAsia="en-US"/>
        </w:rPr>
        <w:t xml:space="preserve"> de enero del </w:t>
      </w:r>
      <w:r>
        <w:rPr>
          <w:rFonts w:ascii="Arial Narrow" w:eastAsia="Calibri" w:hAnsi="Arial Narrow"/>
          <w:sz w:val="18"/>
          <w:szCs w:val="18"/>
          <w:lang w:eastAsia="en-US"/>
        </w:rPr>
        <w:t>2022 para el año 2021.</w:t>
      </w:r>
    </w:p>
    <w:p w14:paraId="03293C7E" w14:textId="60026A64" w:rsidR="00A12692" w:rsidRDefault="00A12692" w:rsidP="008A7BDD">
      <w:pPr>
        <w:rPr>
          <w:rFonts w:eastAsia="Calibri"/>
          <w:lang w:val="es-CR" w:eastAsia="en-US"/>
        </w:rPr>
      </w:pPr>
    </w:p>
    <w:p w14:paraId="4DBB0E17" w14:textId="77777777" w:rsidR="00A12692" w:rsidRDefault="00A12692" w:rsidP="008A7BDD">
      <w:pPr>
        <w:rPr>
          <w:rFonts w:eastAsia="Calibri"/>
          <w:lang w:val="es-CR" w:eastAsia="en-US"/>
        </w:rPr>
      </w:pPr>
    </w:p>
    <w:p w14:paraId="0C1125C1" w14:textId="08E22739" w:rsidR="00897DB6" w:rsidRPr="00020113" w:rsidRDefault="00897DB6" w:rsidP="008A7BDD">
      <w:pPr>
        <w:rPr>
          <w:rFonts w:eastAsia="Calibri"/>
          <w:lang w:val="es-CR" w:eastAsia="en-US"/>
        </w:rPr>
      </w:pPr>
    </w:p>
    <w:p w14:paraId="5E982191" w14:textId="4F14FE79" w:rsidR="00897DB6" w:rsidRPr="006660F3" w:rsidRDefault="006660F3" w:rsidP="005940C6">
      <w:pPr>
        <w:jc w:val="both"/>
        <w:rPr>
          <w:rFonts w:ascii="Arial Narrow" w:eastAsia="Calibri" w:hAnsi="Arial Narrow"/>
          <w:lang w:val="es-CR" w:eastAsia="en-US"/>
        </w:rPr>
      </w:pPr>
      <w:r w:rsidRPr="00020113">
        <w:rPr>
          <w:rFonts w:ascii="Arial Narrow" w:eastAsia="Calibri" w:hAnsi="Arial Narrow"/>
        </w:rPr>
        <w:t>La meta estratégica “Que al finalizar el 2024, se implemente en todas las fiscalías del país, un sistema de gestión integrado, que permita el seguimiento y monitoreo de las medidas alternas, mediante el uso de tecnologías de la información”</w:t>
      </w:r>
      <w:r w:rsidRPr="006660F3">
        <w:rPr>
          <w:rFonts w:ascii="Arial Narrow" w:eastAsia="Calibri" w:hAnsi="Arial Narrow"/>
          <w:lang w:val="es-CR" w:eastAsia="en-US"/>
        </w:rPr>
        <w:t xml:space="preserve"> p</w:t>
      </w:r>
      <w:r w:rsidR="00060F98" w:rsidRPr="006660F3">
        <w:rPr>
          <w:rFonts w:ascii="Arial Narrow" w:eastAsia="Calibri" w:hAnsi="Arial Narrow"/>
        </w:rPr>
        <w:t xml:space="preserve">or parte de la </w:t>
      </w:r>
      <w:r w:rsidR="00FE6961" w:rsidRPr="006660F3">
        <w:rPr>
          <w:rFonts w:ascii="Arial Narrow" w:eastAsia="Calibri" w:hAnsi="Arial Narrow"/>
        </w:rPr>
        <w:t>Fiscalía General</w:t>
      </w:r>
      <w:r w:rsidRPr="006660F3">
        <w:rPr>
          <w:rFonts w:ascii="Arial Narrow" w:eastAsia="Calibri" w:hAnsi="Arial Narrow"/>
        </w:rPr>
        <w:t xml:space="preserve"> se registra un cumplimiento del 100% al informar</w:t>
      </w:r>
      <w:r w:rsidR="00060F98" w:rsidRPr="006660F3">
        <w:rPr>
          <w:rFonts w:ascii="Arial Narrow" w:eastAsia="Calibri" w:hAnsi="Arial Narrow"/>
        </w:rPr>
        <w:t xml:space="preserve"> que se realizaron</w:t>
      </w:r>
      <w:r w:rsidR="00FE6961" w:rsidRPr="006660F3">
        <w:rPr>
          <w:rFonts w:ascii="Arial Narrow" w:eastAsia="Calibri" w:hAnsi="Arial Narrow"/>
        </w:rPr>
        <w:t xml:space="preserve"> seguimientos a los </w:t>
      </w:r>
      <w:r w:rsidR="00060F98" w:rsidRPr="006660F3">
        <w:rPr>
          <w:rFonts w:ascii="Arial Narrow" w:eastAsia="Calibri" w:hAnsi="Arial Narrow"/>
        </w:rPr>
        <w:t xml:space="preserve">requerimientos </w:t>
      </w:r>
      <w:r w:rsidR="00FE6961" w:rsidRPr="006660F3">
        <w:rPr>
          <w:rFonts w:ascii="Arial Narrow" w:eastAsia="Calibri" w:hAnsi="Arial Narrow"/>
        </w:rPr>
        <w:t xml:space="preserve">solicitados a la Dirección de Tecnología por medio del oficio </w:t>
      </w:r>
      <w:r w:rsidR="00FE6961" w:rsidRPr="006660F3">
        <w:rPr>
          <w:rFonts w:ascii="Arial Narrow" w:hAnsi="Arial Narrow"/>
        </w:rPr>
        <w:t>002-OJA-2021</w:t>
      </w:r>
      <w:r w:rsidRPr="006660F3">
        <w:rPr>
          <w:rFonts w:ascii="Arial Narrow" w:hAnsi="Arial Narrow"/>
        </w:rPr>
        <w:t xml:space="preserve"> para el control de seguimiento de medidas alternas del Ministerio Público.</w:t>
      </w:r>
    </w:p>
    <w:p w14:paraId="61EAFEC7" w14:textId="0F3CFD00" w:rsidR="00FE6961" w:rsidRPr="00864DAE" w:rsidRDefault="00FE6961" w:rsidP="005940C6">
      <w:pPr>
        <w:jc w:val="both"/>
        <w:rPr>
          <w:rFonts w:ascii="Arial Narrow" w:hAnsi="Arial Narrow"/>
        </w:rPr>
      </w:pPr>
    </w:p>
    <w:p w14:paraId="1E642DAF" w14:textId="5725E203" w:rsidR="00864DAE" w:rsidRDefault="00864DAE" w:rsidP="005940C6">
      <w:pPr>
        <w:jc w:val="both"/>
        <w:rPr>
          <w:rFonts w:ascii="Arial Narrow" w:hAnsi="Arial Narrow"/>
          <w:b/>
          <w:bCs/>
        </w:rPr>
      </w:pPr>
      <w:r w:rsidRPr="00864DAE">
        <w:rPr>
          <w:rFonts w:ascii="Arial Narrow" w:hAnsi="Arial Narrow"/>
        </w:rPr>
        <w:t xml:space="preserve">Por otra parte, se tiene un reporte de cumplimiento por parte de los 39 tribunales penales con metas asignadas un </w:t>
      </w:r>
      <w:r>
        <w:rPr>
          <w:rFonts w:ascii="Arial Narrow" w:hAnsi="Arial Narrow"/>
        </w:rPr>
        <w:t>73</w:t>
      </w:r>
      <w:r w:rsidRPr="00864DAE">
        <w:rPr>
          <w:rFonts w:ascii="Arial Narrow" w:hAnsi="Arial Narrow"/>
        </w:rPr>
        <w:t>%</w:t>
      </w:r>
      <w:r>
        <w:rPr>
          <w:rFonts w:ascii="Arial Narrow" w:hAnsi="Arial Narrow"/>
        </w:rPr>
        <w:t xml:space="preserve"> para el año 2021</w:t>
      </w:r>
      <w:r w:rsidRPr="00864DAE">
        <w:rPr>
          <w:rFonts w:ascii="Arial Narrow" w:hAnsi="Arial Narrow"/>
        </w:rPr>
        <w:t>, al confrontar este dato contra los terminados oficiales para ese año, se registran 4</w:t>
      </w:r>
      <w:r>
        <w:rPr>
          <w:rFonts w:ascii="Arial Narrow" w:hAnsi="Arial Narrow"/>
        </w:rPr>
        <w:t>346</w:t>
      </w:r>
      <w:r w:rsidRPr="00864DAE">
        <w:rPr>
          <w:rFonts w:ascii="Arial Narrow" w:hAnsi="Arial Narrow"/>
        </w:rPr>
        <w:t xml:space="preserve"> asuntos terminados mediante medidas alternas. Al no tener una meta definida se le consigna el cumplimiento parcial porque el registro de avance se consigna en </w:t>
      </w:r>
      <w:r>
        <w:rPr>
          <w:rFonts w:ascii="Arial Narrow" w:hAnsi="Arial Narrow"/>
        </w:rPr>
        <w:t>el sistema es de un 73</w:t>
      </w:r>
      <w:r w:rsidRPr="00864DAE">
        <w:rPr>
          <w:rFonts w:ascii="Arial Narrow" w:hAnsi="Arial Narrow"/>
        </w:rPr>
        <w:t>%.</w:t>
      </w:r>
      <w:r w:rsidRPr="00864DAE">
        <w:rPr>
          <w:rFonts w:ascii="Arial Narrow" w:hAnsi="Arial Narrow"/>
          <w:b/>
          <w:bCs/>
        </w:rPr>
        <w:t xml:space="preserve"> </w:t>
      </w:r>
      <w:bookmarkStart w:id="38" w:name="_Hlk99469729"/>
      <w:r w:rsidRPr="00864DAE">
        <w:rPr>
          <w:rFonts w:ascii="Arial Narrow" w:hAnsi="Arial Narrow"/>
          <w:b/>
          <w:bCs/>
        </w:rPr>
        <w:t xml:space="preserve">Esta meta debe ser revisada con respecto a sus valores esperados de casos terminados por medidas alternas dado que en la revisión efectuada los Tribunales Penales no cuentan con el </w:t>
      </w:r>
      <w:r w:rsidR="00A34EED">
        <w:rPr>
          <w:rFonts w:ascii="Arial Narrow" w:hAnsi="Arial Narrow"/>
          <w:b/>
          <w:bCs/>
        </w:rPr>
        <w:t>parámetro</w:t>
      </w:r>
      <w:r w:rsidRPr="00864DAE">
        <w:rPr>
          <w:rFonts w:ascii="Arial Narrow" w:hAnsi="Arial Narrow"/>
          <w:b/>
          <w:bCs/>
        </w:rPr>
        <w:t>.</w:t>
      </w:r>
      <w:r>
        <w:rPr>
          <w:rFonts w:ascii="Arial Narrow" w:hAnsi="Arial Narrow"/>
          <w:b/>
          <w:bCs/>
        </w:rPr>
        <w:t xml:space="preserve"> </w:t>
      </w:r>
    </w:p>
    <w:bookmarkEnd w:id="38"/>
    <w:p w14:paraId="31C2A146" w14:textId="09F2518A" w:rsidR="00FE6961" w:rsidRDefault="00FE6961" w:rsidP="00864DAE">
      <w:pPr>
        <w:jc w:val="both"/>
      </w:pPr>
    </w:p>
    <w:p w14:paraId="457E1540" w14:textId="11021C6F" w:rsidR="002048D4" w:rsidRDefault="002048D4" w:rsidP="00864DAE">
      <w:pPr>
        <w:jc w:val="both"/>
      </w:pPr>
    </w:p>
    <w:p w14:paraId="42D4F144" w14:textId="77777777" w:rsidR="00D15AE9" w:rsidRDefault="00D15AE9">
      <w:pPr>
        <w:rPr>
          <w:rFonts w:ascii="Arial Narrow" w:hAnsi="Arial Narrow"/>
          <w:b/>
          <w:bCs/>
        </w:rPr>
      </w:pPr>
      <w:r>
        <w:rPr>
          <w:rFonts w:ascii="Arial Narrow" w:hAnsi="Arial Narrow"/>
        </w:rPr>
        <w:br w:type="page"/>
      </w:r>
    </w:p>
    <w:p w14:paraId="4B51A963" w14:textId="2B85B09B" w:rsidR="002048D4" w:rsidRDefault="002048D4" w:rsidP="002048D4">
      <w:pPr>
        <w:pStyle w:val="Descripcin"/>
        <w:jc w:val="center"/>
        <w:rPr>
          <w:rFonts w:ascii="Arial Narrow" w:eastAsia="Calibri" w:hAnsi="Arial Narrow"/>
          <w:sz w:val="24"/>
          <w:szCs w:val="24"/>
          <w:lang w:eastAsia="en-US"/>
        </w:rPr>
      </w:pPr>
      <w:r w:rsidRPr="00704B08">
        <w:rPr>
          <w:rFonts w:ascii="Arial Narrow" w:hAnsi="Arial Narrow"/>
          <w:sz w:val="24"/>
          <w:szCs w:val="24"/>
        </w:rPr>
        <w:t xml:space="preserve">Cuadro </w:t>
      </w:r>
      <w:r w:rsidRPr="00704B08">
        <w:rPr>
          <w:rFonts w:ascii="Arial Narrow" w:hAnsi="Arial Narrow"/>
          <w:sz w:val="24"/>
          <w:szCs w:val="24"/>
        </w:rPr>
        <w:fldChar w:fldCharType="begin"/>
      </w:r>
      <w:r w:rsidRPr="00704B08">
        <w:rPr>
          <w:rFonts w:ascii="Arial Narrow" w:hAnsi="Arial Narrow"/>
          <w:sz w:val="24"/>
          <w:szCs w:val="24"/>
        </w:rPr>
        <w:instrText xml:space="preserve"> SEQ Cuadro_No. \* ARABIC </w:instrText>
      </w:r>
      <w:r w:rsidRPr="00704B08">
        <w:rPr>
          <w:rFonts w:ascii="Arial Narrow" w:hAnsi="Arial Narrow"/>
          <w:sz w:val="24"/>
          <w:szCs w:val="24"/>
        </w:rPr>
        <w:fldChar w:fldCharType="separate"/>
      </w:r>
      <w:r w:rsidR="002F520A">
        <w:rPr>
          <w:rFonts w:ascii="Arial Narrow" w:hAnsi="Arial Narrow"/>
          <w:noProof/>
          <w:sz w:val="24"/>
          <w:szCs w:val="24"/>
        </w:rPr>
        <w:t>31</w:t>
      </w:r>
      <w:r w:rsidRPr="00704B08">
        <w:rPr>
          <w:rFonts w:ascii="Arial Narrow" w:hAnsi="Arial Narrow"/>
          <w:sz w:val="24"/>
          <w:szCs w:val="24"/>
        </w:rPr>
        <w:fldChar w:fldCharType="end"/>
      </w:r>
      <w:r w:rsidRPr="00704B08">
        <w:rPr>
          <w:rFonts w:ascii="Arial Narrow" w:hAnsi="Arial Narrow"/>
          <w:sz w:val="24"/>
          <w:szCs w:val="24"/>
        </w:rPr>
        <w:t xml:space="preserve"> </w:t>
      </w:r>
      <w:r w:rsidRPr="00704B08">
        <w:rPr>
          <w:rFonts w:ascii="Arial Narrow" w:eastAsia="Calibri" w:hAnsi="Arial Narrow"/>
          <w:sz w:val="24"/>
          <w:szCs w:val="24"/>
          <w:lang w:eastAsia="en-US"/>
        </w:rPr>
        <w:t>Metas</w:t>
      </w:r>
      <w:r w:rsidRPr="009D5823">
        <w:rPr>
          <w:rFonts w:ascii="Arial Narrow" w:eastAsia="Calibri" w:hAnsi="Arial Narrow"/>
          <w:sz w:val="24"/>
          <w:szCs w:val="24"/>
          <w:lang w:eastAsia="en-US"/>
        </w:rPr>
        <w:t xml:space="preserve"> estratégicas</w:t>
      </w:r>
      <w:r w:rsidRPr="00665D61">
        <w:rPr>
          <w:rFonts w:ascii="Arial Narrow" w:eastAsia="Calibri" w:hAnsi="Arial Narrow"/>
          <w:sz w:val="24"/>
          <w:szCs w:val="24"/>
          <w:lang w:eastAsia="en-US"/>
        </w:rPr>
        <w:t xml:space="preserve"> de Medidas Alternas y su cumplimiento para el 20</w:t>
      </w:r>
      <w:r>
        <w:rPr>
          <w:rFonts w:ascii="Arial Narrow" w:eastAsia="Calibri" w:hAnsi="Arial Narrow"/>
          <w:sz w:val="24"/>
          <w:szCs w:val="24"/>
          <w:lang w:eastAsia="en-US"/>
        </w:rPr>
        <w:t>21.</w:t>
      </w:r>
    </w:p>
    <w:p w14:paraId="17CA9CBD" w14:textId="77777777" w:rsidR="00823634" w:rsidRPr="00322D9B" w:rsidRDefault="00823634" w:rsidP="00322D9B">
      <w:pPr>
        <w:rPr>
          <w:rFonts w:eastAsia="Calibri"/>
          <w:lang w:eastAsia="en-US"/>
        </w:rPr>
      </w:pPr>
    </w:p>
    <w:p w14:paraId="04D65AD6" w14:textId="0D9F34E2" w:rsidR="00C42A42" w:rsidRPr="00823634" w:rsidRDefault="00823634" w:rsidP="00823634">
      <w:pPr>
        <w:rPr>
          <w:rFonts w:eastAsia="Calibri"/>
          <w:lang w:eastAsia="en-US"/>
        </w:rPr>
      </w:pPr>
      <w:r>
        <w:rPr>
          <w:noProof/>
        </w:rPr>
        <w:drawing>
          <wp:inline distT="0" distB="0" distL="0" distR="0" wp14:anchorId="2FBC6B04" wp14:editId="788F4637">
            <wp:extent cx="5776717" cy="1895475"/>
            <wp:effectExtent l="57150" t="57150" r="90805" b="8572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791317" cy="1900266"/>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268E7AD" w14:textId="3DBB38F9" w:rsidR="002048D4" w:rsidRDefault="002048D4" w:rsidP="00B54439">
      <w:pPr>
        <w:jc w:val="center"/>
        <w:rPr>
          <w:rFonts w:ascii="Arial Narrow" w:eastAsia="Calibri" w:hAnsi="Arial Narrow"/>
          <w:lang w:val="es-CR" w:eastAsia="en-US"/>
        </w:rPr>
      </w:pPr>
      <w:r w:rsidRPr="004619C9">
        <w:rPr>
          <w:rFonts w:ascii="Arial Narrow" w:eastAsia="Calibri" w:hAnsi="Arial Narrow"/>
          <w:b/>
          <w:bCs/>
          <w:sz w:val="18"/>
          <w:szCs w:val="18"/>
          <w:lang w:eastAsia="en-US"/>
        </w:rPr>
        <w:t>Fuente:</w:t>
      </w:r>
      <w:r w:rsidRPr="000B4845">
        <w:rPr>
          <w:rFonts w:ascii="Arial Narrow" w:eastAsia="Calibri" w:hAnsi="Arial Narrow"/>
          <w:sz w:val="18"/>
          <w:szCs w:val="18"/>
          <w:lang w:eastAsia="en-US"/>
        </w:rPr>
        <w:t xml:space="preserve"> Sistema PEI al </w:t>
      </w:r>
      <w:r>
        <w:rPr>
          <w:rFonts w:ascii="Arial Narrow" w:eastAsia="Calibri" w:hAnsi="Arial Narrow"/>
          <w:sz w:val="18"/>
          <w:szCs w:val="18"/>
          <w:lang w:eastAsia="en-US"/>
        </w:rPr>
        <w:t>19</w:t>
      </w:r>
      <w:r w:rsidRPr="000B4845">
        <w:rPr>
          <w:rFonts w:ascii="Arial Narrow" w:eastAsia="Calibri" w:hAnsi="Arial Narrow"/>
          <w:sz w:val="18"/>
          <w:szCs w:val="18"/>
          <w:lang w:eastAsia="en-US"/>
        </w:rPr>
        <w:t xml:space="preserve"> de enero del </w:t>
      </w:r>
      <w:r>
        <w:rPr>
          <w:rFonts w:ascii="Arial Narrow" w:eastAsia="Calibri" w:hAnsi="Arial Narrow"/>
          <w:sz w:val="18"/>
          <w:szCs w:val="18"/>
          <w:lang w:eastAsia="en-US"/>
        </w:rPr>
        <w:t>2022 para el año 2021.</w:t>
      </w:r>
    </w:p>
    <w:p w14:paraId="3CCAE120" w14:textId="4E2B51C1" w:rsidR="00864DAE" w:rsidRPr="002048D4" w:rsidRDefault="00864DAE" w:rsidP="002048D4">
      <w:pPr>
        <w:jc w:val="both"/>
        <w:rPr>
          <w:rFonts w:ascii="Arial Narrow" w:eastAsia="Calibri" w:hAnsi="Arial Narrow"/>
        </w:rPr>
      </w:pPr>
    </w:p>
    <w:p w14:paraId="2642D648" w14:textId="77777777" w:rsidR="002263CD" w:rsidRPr="00322D9B" w:rsidRDefault="16FC03F9" w:rsidP="03BF0815">
      <w:pPr>
        <w:jc w:val="both"/>
        <w:rPr>
          <w:rFonts w:ascii="Arial Narrow" w:eastAsia="Calibri" w:hAnsi="Arial Narrow"/>
        </w:rPr>
      </w:pPr>
      <w:r w:rsidRPr="00EB662A">
        <w:rPr>
          <w:rFonts w:ascii="Arial Narrow" w:eastAsia="Calibri" w:hAnsi="Arial Narrow"/>
        </w:rPr>
        <w:t>La meta estratégica</w:t>
      </w:r>
      <w:r w:rsidRPr="00322D9B">
        <w:rPr>
          <w:rFonts w:ascii="Arial Narrow" w:eastAsia="Calibri" w:hAnsi="Arial Narrow"/>
        </w:rPr>
        <w:t xml:space="preserve"> de </w:t>
      </w:r>
      <w:r w:rsidRPr="002263CD">
        <w:rPr>
          <w:rFonts w:ascii="Arial Narrow" w:eastAsia="Calibri" w:hAnsi="Arial Narrow"/>
        </w:rPr>
        <w:t xml:space="preserve">casos terminados, mediante la aplicación de medidas alternas, en materia </w:t>
      </w:r>
      <w:r w:rsidR="25148191" w:rsidRPr="002263CD">
        <w:rPr>
          <w:rFonts w:ascii="Arial Narrow" w:eastAsia="Calibri" w:hAnsi="Arial Narrow"/>
        </w:rPr>
        <w:t>Cobro, en</w:t>
      </w:r>
      <w:r w:rsidRPr="002263CD">
        <w:rPr>
          <w:rFonts w:ascii="Arial Narrow" w:eastAsia="Calibri" w:hAnsi="Arial Narrow"/>
        </w:rPr>
        <w:t xml:space="preserve"> primera instancia, para el 2021, se tiene un reporte de cumplimiento por parte de los juzgados de Cobro con metas asignadas un 37%</w:t>
      </w:r>
      <w:r w:rsidR="182C077E" w:rsidRPr="002263CD">
        <w:rPr>
          <w:rFonts w:ascii="Arial Narrow" w:eastAsia="Calibri" w:hAnsi="Arial Narrow"/>
        </w:rPr>
        <w:t xml:space="preserve">. </w:t>
      </w:r>
      <w:r w:rsidR="182C077E" w:rsidRPr="00322D9B">
        <w:rPr>
          <w:rFonts w:ascii="Arial Narrow" w:eastAsia="Calibri" w:hAnsi="Arial Narrow"/>
        </w:rPr>
        <w:t xml:space="preserve">Es importante mencionar, que por la naturaleza de la materia </w:t>
      </w:r>
      <w:r w:rsidR="44AFA1BF" w:rsidRPr="00322D9B">
        <w:rPr>
          <w:rFonts w:ascii="Arial Narrow" w:eastAsia="Calibri" w:hAnsi="Arial Narrow"/>
        </w:rPr>
        <w:t>C</w:t>
      </w:r>
      <w:r w:rsidR="182C077E" w:rsidRPr="00322D9B">
        <w:rPr>
          <w:rFonts w:ascii="Arial Narrow" w:eastAsia="Calibri" w:hAnsi="Arial Narrow"/>
        </w:rPr>
        <w:t xml:space="preserve">obro </w:t>
      </w:r>
      <w:r w:rsidR="44AFA1BF" w:rsidRPr="00322D9B">
        <w:rPr>
          <w:rFonts w:ascii="Arial Narrow" w:eastAsia="Calibri" w:hAnsi="Arial Narrow"/>
        </w:rPr>
        <w:t xml:space="preserve">no terminan medidas Alternas al no realizar sentencias conciliadas y por tal motivo se reporta un porcentaje bajo de cumplimiento, por lo que se sugiere valorar excluir esta materia del cumplimiento de casos terminados por medidas alternas. </w:t>
      </w:r>
    </w:p>
    <w:p w14:paraId="7F7687B2" w14:textId="77777777" w:rsidR="002263CD" w:rsidRPr="00322D9B" w:rsidRDefault="002263CD" w:rsidP="03BF0815">
      <w:pPr>
        <w:jc w:val="both"/>
        <w:rPr>
          <w:rFonts w:ascii="Arial Narrow" w:eastAsia="Calibri" w:hAnsi="Arial Narrow"/>
        </w:rPr>
      </w:pPr>
    </w:p>
    <w:p w14:paraId="4B31DCE5" w14:textId="02101D0B" w:rsidR="009E4C23" w:rsidRPr="00322D9B" w:rsidRDefault="44AFA1BF" w:rsidP="03BF0815">
      <w:pPr>
        <w:jc w:val="both"/>
        <w:rPr>
          <w:rFonts w:ascii="Arial Narrow" w:eastAsia="Calibri" w:hAnsi="Arial Narrow"/>
        </w:rPr>
      </w:pPr>
      <w:r w:rsidRPr="00322D9B">
        <w:rPr>
          <w:rFonts w:ascii="Arial Narrow" w:eastAsia="Calibri" w:hAnsi="Arial Narrow"/>
        </w:rPr>
        <w:t xml:space="preserve">Con respecto a esta meta se presentó una incorporación de las variables de medidas alternas para materia de </w:t>
      </w:r>
      <w:r w:rsidR="00D52359" w:rsidRPr="00D52359">
        <w:rPr>
          <w:rFonts w:ascii="Arial Narrow" w:eastAsia="Calibri" w:hAnsi="Arial Narrow"/>
        </w:rPr>
        <w:t>Cobro,</w:t>
      </w:r>
      <w:r w:rsidRPr="00322D9B">
        <w:rPr>
          <w:rFonts w:ascii="Arial Narrow" w:eastAsia="Calibri" w:hAnsi="Arial Narrow"/>
        </w:rPr>
        <w:t xml:space="preserve"> pero esto se dio por error, debido a que al revisar </w:t>
      </w:r>
      <w:r w:rsidR="03BF0815" w:rsidRPr="00322D9B">
        <w:rPr>
          <w:rFonts w:ascii="Arial Narrow" w:eastAsia="Calibri" w:hAnsi="Arial Narrow"/>
        </w:rPr>
        <w:t xml:space="preserve">lo aprobado en el PEI 2019-2024 por la Corte Plena, se identificó que la meta estratégica asociada a medidas alternas en materia cobratoria no fue aprobada. De esta manera, a partir del 2022 se excluyeron los objetivos operativos asociados a esta meta para </w:t>
      </w:r>
      <w:r w:rsidR="002263CD" w:rsidRPr="00322D9B">
        <w:rPr>
          <w:rFonts w:ascii="Arial Narrow" w:eastAsia="Calibri" w:hAnsi="Arial Narrow"/>
        </w:rPr>
        <w:t>futuros reportes no generen información sobre esta variable</w:t>
      </w:r>
      <w:r w:rsidR="03BF0815" w:rsidRPr="00322D9B">
        <w:rPr>
          <w:rFonts w:ascii="Arial Narrow" w:eastAsia="Calibri" w:hAnsi="Arial Narrow"/>
        </w:rPr>
        <w:t xml:space="preserve">. </w:t>
      </w:r>
    </w:p>
    <w:p w14:paraId="0053288C" w14:textId="77777777" w:rsidR="002263CD" w:rsidRDefault="002263CD" w:rsidP="005940C6">
      <w:pPr>
        <w:jc w:val="both"/>
        <w:rPr>
          <w:rFonts w:ascii="Arial Narrow" w:eastAsia="Calibri" w:hAnsi="Arial Narrow"/>
        </w:rPr>
      </w:pPr>
    </w:p>
    <w:p w14:paraId="2E4842E3" w14:textId="2640002B" w:rsidR="001D15BA" w:rsidRPr="00D013F6" w:rsidRDefault="002048D4" w:rsidP="005940C6">
      <w:pPr>
        <w:jc w:val="both"/>
        <w:rPr>
          <w:rFonts w:ascii="Arial Narrow" w:eastAsia="Calibri" w:hAnsi="Arial Narrow"/>
        </w:rPr>
      </w:pPr>
      <w:r>
        <w:rPr>
          <w:rFonts w:ascii="Arial Narrow" w:eastAsia="Calibri" w:hAnsi="Arial Narrow"/>
        </w:rPr>
        <w:t>Po</w:t>
      </w:r>
      <w:r w:rsidRPr="001D15BA">
        <w:rPr>
          <w:rFonts w:ascii="Arial Narrow" w:eastAsia="Calibri" w:hAnsi="Arial Narrow"/>
        </w:rPr>
        <w:t>r otra parte, la meta estratégica</w:t>
      </w:r>
      <w:r w:rsidRPr="001D15BA">
        <w:rPr>
          <w:rFonts w:ascii="Arial Narrow" w:hAnsi="Arial Narrow"/>
        </w:rPr>
        <w:t xml:space="preserve"> </w:t>
      </w:r>
      <w:r w:rsidRPr="001D15BA">
        <w:rPr>
          <w:rFonts w:ascii="Arial Narrow" w:eastAsia="Calibri" w:hAnsi="Arial Narrow"/>
        </w:rPr>
        <w:t>de cantidad de casos terminados, mediante la aplicación de medidas alternas, en materia civil, en primera instancia”, para el 2021, se tiene un reporte de cumplimiento por parte de los juzgados civiles con metas asignadas un 78%, al confrontar este dato contra los terminados oficiales para ese año, se registran 501 asuntos terminados mediante medidas alternas. Al confrontar el dato contra la meta definida de 7 asuntos, se le consigna el cumplimiento alto porque se sobrepasa la meta esperada de acuerdo con el dato real.</w:t>
      </w:r>
      <w:r w:rsidR="001D15BA">
        <w:rPr>
          <w:rFonts w:ascii="Arial Narrow" w:eastAsia="Calibri" w:hAnsi="Arial Narrow"/>
        </w:rPr>
        <w:t xml:space="preserve"> </w:t>
      </w:r>
      <w:r>
        <w:rPr>
          <w:rFonts w:ascii="Arial Narrow" w:eastAsia="Calibri" w:hAnsi="Arial Narrow"/>
        </w:rPr>
        <w:t xml:space="preserve">Finalmente, </w:t>
      </w:r>
      <w:r w:rsidRPr="001D15BA">
        <w:rPr>
          <w:rFonts w:ascii="Arial Narrow" w:eastAsia="Calibri" w:hAnsi="Arial Narrow"/>
          <w:b/>
          <w:bCs/>
        </w:rPr>
        <w:t>se</w:t>
      </w:r>
      <w:r w:rsidR="001D15BA" w:rsidRPr="00D013F6">
        <w:rPr>
          <w:rFonts w:ascii="Arial Narrow" w:eastAsiaTheme="minorHAnsi" w:hAnsi="Arial Narrow" w:cstheme="minorBidi"/>
          <w:b/>
          <w:bCs/>
          <w:lang w:val="es-CR" w:eastAsia="en-US"/>
        </w:rPr>
        <w:t xml:space="preserve"> sugiere modificar el valor esperado de la meta y adecuarlo a las realidades de las oficinas competentes en </w:t>
      </w:r>
      <w:r w:rsidR="001D15BA">
        <w:rPr>
          <w:rFonts w:ascii="Arial Narrow" w:eastAsiaTheme="minorHAnsi" w:hAnsi="Arial Narrow" w:cstheme="minorBidi"/>
          <w:b/>
          <w:bCs/>
          <w:lang w:val="es-CR" w:eastAsia="en-US"/>
        </w:rPr>
        <w:t>la materia Civil</w:t>
      </w:r>
      <w:r w:rsidR="001D15BA" w:rsidRPr="00D013F6">
        <w:rPr>
          <w:rFonts w:ascii="Arial Narrow" w:eastAsiaTheme="minorHAnsi" w:hAnsi="Arial Narrow" w:cstheme="minorBidi"/>
          <w:b/>
          <w:bCs/>
          <w:lang w:val="es-CR" w:eastAsia="en-US"/>
        </w:rPr>
        <w:t>, las cuales están en capacidad de terminar más expedientes de lo que fue planeado, según la revisión de los 3 años del PEI</w:t>
      </w:r>
      <w:r w:rsidR="001D15BA" w:rsidRPr="00D013F6">
        <w:rPr>
          <w:rFonts w:ascii="Arial Narrow" w:eastAsiaTheme="minorHAnsi" w:hAnsi="Arial Narrow" w:cstheme="minorBidi"/>
          <w:lang w:val="es-CR" w:eastAsia="en-US"/>
        </w:rPr>
        <w:t>.</w:t>
      </w:r>
    </w:p>
    <w:p w14:paraId="1E8E42DC" w14:textId="4A33C519" w:rsidR="00864DAE" w:rsidRDefault="00864DAE" w:rsidP="00FE6961">
      <w:pPr>
        <w:spacing w:line="360" w:lineRule="auto"/>
        <w:jc w:val="both"/>
        <w:rPr>
          <w:rFonts w:ascii="Arial Narrow" w:eastAsia="Calibri" w:hAnsi="Arial Narrow"/>
        </w:rPr>
      </w:pPr>
    </w:p>
    <w:p w14:paraId="3F1D2221" w14:textId="74F69412" w:rsidR="00AD3147" w:rsidRDefault="00AD3147" w:rsidP="00FE6961">
      <w:pPr>
        <w:spacing w:line="360" w:lineRule="auto"/>
        <w:jc w:val="both"/>
        <w:rPr>
          <w:rFonts w:ascii="Arial Narrow" w:eastAsia="Calibri" w:hAnsi="Arial Narrow"/>
        </w:rPr>
      </w:pPr>
    </w:p>
    <w:p w14:paraId="329B649C" w14:textId="77777777" w:rsidR="008D7433" w:rsidRDefault="008D7433" w:rsidP="00FE6961">
      <w:pPr>
        <w:spacing w:line="360" w:lineRule="auto"/>
        <w:jc w:val="both"/>
        <w:rPr>
          <w:rFonts w:ascii="Arial Narrow" w:eastAsia="Calibri" w:hAnsi="Arial Narrow"/>
        </w:rPr>
      </w:pPr>
    </w:p>
    <w:p w14:paraId="108C4804" w14:textId="3F71BE58" w:rsidR="008A7BDD" w:rsidRPr="00322D9B" w:rsidRDefault="008A7BDD" w:rsidP="00322D9B">
      <w:pPr>
        <w:pStyle w:val="Ttulo3"/>
        <w:numPr>
          <w:ilvl w:val="2"/>
          <w:numId w:val="106"/>
        </w:numPr>
        <w:rPr>
          <w:rFonts w:ascii="Arial Narrow" w:eastAsia="Calibri" w:hAnsi="Arial Narrow"/>
        </w:rPr>
      </w:pPr>
      <w:bookmarkStart w:id="39" w:name="_Toc106355270"/>
      <w:r w:rsidRPr="00322D9B">
        <w:rPr>
          <w:rFonts w:ascii="Arial Narrow" w:eastAsia="Calibri" w:hAnsi="Arial Narrow"/>
        </w:rPr>
        <w:t>Justicia Restaurativa</w:t>
      </w:r>
      <w:bookmarkEnd w:id="39"/>
    </w:p>
    <w:p w14:paraId="7197F830" w14:textId="5B603746" w:rsidR="008A7BDD" w:rsidRDefault="008A7BDD" w:rsidP="008A7BDD">
      <w:pPr>
        <w:rPr>
          <w:rFonts w:eastAsia="Calibri"/>
          <w:lang w:val="es-CR" w:eastAsia="en-US"/>
        </w:rPr>
      </w:pPr>
    </w:p>
    <w:p w14:paraId="153569CD" w14:textId="3D288A21" w:rsidR="005940C6" w:rsidRDefault="005940C6" w:rsidP="008A7BDD">
      <w:pPr>
        <w:rPr>
          <w:rFonts w:eastAsia="Calibri"/>
          <w:lang w:val="es-CR" w:eastAsia="en-US"/>
        </w:rPr>
      </w:pPr>
    </w:p>
    <w:p w14:paraId="1C13578C" w14:textId="004F67DB" w:rsidR="005940C6" w:rsidRPr="00A12CF5" w:rsidRDefault="005940C6" w:rsidP="005940C6">
      <w:pPr>
        <w:jc w:val="both"/>
        <w:rPr>
          <w:rFonts w:ascii="Arial Narrow" w:eastAsia="Calibri" w:hAnsi="Arial Narrow"/>
        </w:rPr>
      </w:pPr>
      <w:r w:rsidRPr="00A12CF5">
        <w:rPr>
          <w:rFonts w:ascii="Arial Narrow" w:eastAsia="Calibri" w:hAnsi="Arial Narrow"/>
        </w:rPr>
        <w:t xml:space="preserve">Con respecto a la acción estratégica </w:t>
      </w:r>
      <w:r>
        <w:rPr>
          <w:rFonts w:ascii="Arial Narrow" w:eastAsia="Calibri" w:hAnsi="Arial Narrow"/>
        </w:rPr>
        <w:t>Justicia Restaurativa</w:t>
      </w:r>
      <w:r w:rsidRPr="00A12CF5">
        <w:rPr>
          <w:rFonts w:ascii="Arial Narrow" w:eastAsia="Calibri" w:hAnsi="Arial Narrow"/>
        </w:rPr>
        <w:t xml:space="preserve"> se tiene un cumplimiento de </w:t>
      </w:r>
      <w:r>
        <w:rPr>
          <w:rFonts w:ascii="Arial Narrow" w:eastAsia="Calibri" w:hAnsi="Arial Narrow"/>
        </w:rPr>
        <w:t>1</w:t>
      </w:r>
      <w:r w:rsidRPr="00A12CF5">
        <w:rPr>
          <w:rFonts w:ascii="Arial Narrow" w:eastAsia="Calibri" w:hAnsi="Arial Narrow"/>
        </w:rPr>
        <w:t xml:space="preserve"> meta</w:t>
      </w:r>
      <w:r>
        <w:rPr>
          <w:rFonts w:ascii="Arial Narrow" w:eastAsia="Calibri" w:hAnsi="Arial Narrow"/>
        </w:rPr>
        <w:t xml:space="preserve"> </w:t>
      </w:r>
      <w:r w:rsidRPr="00A12CF5">
        <w:rPr>
          <w:rFonts w:ascii="Arial Narrow" w:eastAsia="Calibri" w:hAnsi="Arial Narrow"/>
        </w:rPr>
        <w:t xml:space="preserve">estratégica al 100%. Esto es un aspecto positivo en el cumplimiento del PEI, se muestra el compromiso </w:t>
      </w:r>
      <w:r>
        <w:rPr>
          <w:rFonts w:ascii="Arial Narrow" w:eastAsia="Calibri" w:hAnsi="Arial Narrow"/>
        </w:rPr>
        <w:t>del Programa de Justicia Restaurativa por replicarlo en todo el país.</w:t>
      </w:r>
      <w:r w:rsidRPr="00A12CF5">
        <w:rPr>
          <w:rFonts w:ascii="Arial Narrow" w:eastAsia="Calibri" w:hAnsi="Arial Narrow"/>
        </w:rPr>
        <w:t xml:space="preserve"> </w:t>
      </w:r>
    </w:p>
    <w:p w14:paraId="2D12472A" w14:textId="77777777" w:rsidR="005940C6" w:rsidRPr="00A12CF5" w:rsidRDefault="005940C6" w:rsidP="005940C6">
      <w:pPr>
        <w:jc w:val="both"/>
        <w:rPr>
          <w:rFonts w:ascii="Arial Narrow" w:eastAsia="Calibri" w:hAnsi="Arial Narrow"/>
        </w:rPr>
      </w:pPr>
    </w:p>
    <w:p w14:paraId="3140DDAA" w14:textId="6FFB9DAA" w:rsidR="005940C6" w:rsidRDefault="005940C6" w:rsidP="005940C6">
      <w:pPr>
        <w:jc w:val="both"/>
        <w:rPr>
          <w:rFonts w:ascii="Arial Narrow" w:eastAsia="Calibri" w:hAnsi="Arial Narrow"/>
        </w:rPr>
      </w:pPr>
      <w:r w:rsidRPr="00A12CF5">
        <w:rPr>
          <w:rFonts w:ascii="Arial Narrow" w:eastAsia="Calibri" w:hAnsi="Arial Narrow"/>
        </w:rPr>
        <w:t>A continuación, se muestran la meta estratégica y su cumplimiento para el 2021:</w:t>
      </w:r>
    </w:p>
    <w:p w14:paraId="5747F7B7" w14:textId="7EF71E9D" w:rsidR="005940C6" w:rsidRDefault="005940C6" w:rsidP="008A7BDD">
      <w:pPr>
        <w:rPr>
          <w:rFonts w:eastAsia="Calibri"/>
          <w:lang w:val="es-CR" w:eastAsia="en-US"/>
        </w:rPr>
      </w:pPr>
    </w:p>
    <w:p w14:paraId="1B30D71E" w14:textId="0EA59C53" w:rsidR="00B15CA3" w:rsidRDefault="00B15CA3" w:rsidP="008A7BDD">
      <w:pPr>
        <w:rPr>
          <w:rFonts w:eastAsia="Calibri"/>
          <w:lang w:val="es-CR" w:eastAsia="en-US"/>
        </w:rPr>
      </w:pPr>
    </w:p>
    <w:p w14:paraId="26A553B1" w14:textId="7B352406" w:rsidR="00B56A16" w:rsidRDefault="00B56A16" w:rsidP="00B56A16">
      <w:pPr>
        <w:pStyle w:val="Descripcin"/>
        <w:jc w:val="center"/>
        <w:rPr>
          <w:rFonts w:ascii="Arial Narrow" w:eastAsia="Calibri" w:hAnsi="Arial Narrow"/>
          <w:sz w:val="24"/>
          <w:szCs w:val="24"/>
          <w:lang w:eastAsia="en-US"/>
        </w:rPr>
      </w:pPr>
      <w:r w:rsidRPr="00704B08">
        <w:rPr>
          <w:rFonts w:ascii="Arial Narrow" w:hAnsi="Arial Narrow"/>
          <w:sz w:val="24"/>
          <w:szCs w:val="24"/>
        </w:rPr>
        <w:t xml:space="preserve">Cuadro </w:t>
      </w:r>
      <w:r w:rsidRPr="00704B08">
        <w:rPr>
          <w:rFonts w:ascii="Arial Narrow" w:hAnsi="Arial Narrow"/>
          <w:sz w:val="24"/>
          <w:szCs w:val="24"/>
        </w:rPr>
        <w:fldChar w:fldCharType="begin"/>
      </w:r>
      <w:r w:rsidRPr="00704B08">
        <w:rPr>
          <w:rFonts w:ascii="Arial Narrow" w:hAnsi="Arial Narrow"/>
          <w:sz w:val="24"/>
          <w:szCs w:val="24"/>
        </w:rPr>
        <w:instrText xml:space="preserve"> SEQ Cuadro_No. \* ARABIC </w:instrText>
      </w:r>
      <w:r w:rsidRPr="00704B08">
        <w:rPr>
          <w:rFonts w:ascii="Arial Narrow" w:hAnsi="Arial Narrow"/>
          <w:sz w:val="24"/>
          <w:szCs w:val="24"/>
        </w:rPr>
        <w:fldChar w:fldCharType="separate"/>
      </w:r>
      <w:r w:rsidR="002F520A">
        <w:rPr>
          <w:rFonts w:ascii="Arial Narrow" w:hAnsi="Arial Narrow"/>
          <w:noProof/>
          <w:sz w:val="24"/>
          <w:szCs w:val="24"/>
        </w:rPr>
        <w:t>32</w:t>
      </w:r>
      <w:r w:rsidRPr="00704B08">
        <w:rPr>
          <w:rFonts w:ascii="Arial Narrow" w:hAnsi="Arial Narrow"/>
          <w:sz w:val="24"/>
          <w:szCs w:val="24"/>
        </w:rPr>
        <w:fldChar w:fldCharType="end"/>
      </w:r>
      <w:r w:rsidRPr="00704B08">
        <w:rPr>
          <w:rFonts w:ascii="Arial Narrow" w:hAnsi="Arial Narrow"/>
          <w:sz w:val="24"/>
          <w:szCs w:val="24"/>
        </w:rPr>
        <w:t xml:space="preserve"> </w:t>
      </w:r>
      <w:r w:rsidRPr="00704B08">
        <w:rPr>
          <w:rFonts w:ascii="Arial Narrow" w:eastAsia="Calibri" w:hAnsi="Arial Narrow"/>
          <w:sz w:val="24"/>
          <w:szCs w:val="24"/>
          <w:lang w:eastAsia="en-US"/>
        </w:rPr>
        <w:t>Metas</w:t>
      </w:r>
      <w:r w:rsidRPr="009D5823">
        <w:rPr>
          <w:rFonts w:ascii="Arial Narrow" w:eastAsia="Calibri" w:hAnsi="Arial Narrow"/>
          <w:sz w:val="24"/>
          <w:szCs w:val="24"/>
          <w:lang w:eastAsia="en-US"/>
        </w:rPr>
        <w:t xml:space="preserve"> estratégicas</w:t>
      </w:r>
      <w:r w:rsidRPr="00665D61">
        <w:rPr>
          <w:rFonts w:ascii="Arial Narrow" w:eastAsia="Calibri" w:hAnsi="Arial Narrow"/>
          <w:sz w:val="24"/>
          <w:szCs w:val="24"/>
          <w:lang w:eastAsia="en-US"/>
        </w:rPr>
        <w:t xml:space="preserve"> de </w:t>
      </w:r>
      <w:r>
        <w:rPr>
          <w:rFonts w:ascii="Arial Narrow" w:eastAsia="Calibri" w:hAnsi="Arial Narrow"/>
          <w:sz w:val="24"/>
          <w:szCs w:val="24"/>
          <w:lang w:eastAsia="en-US"/>
        </w:rPr>
        <w:t>Justicia Restaurativa</w:t>
      </w:r>
      <w:r w:rsidRPr="00665D61">
        <w:rPr>
          <w:rFonts w:ascii="Arial Narrow" w:eastAsia="Calibri" w:hAnsi="Arial Narrow"/>
          <w:sz w:val="24"/>
          <w:szCs w:val="24"/>
          <w:lang w:eastAsia="en-US"/>
        </w:rPr>
        <w:t xml:space="preserve"> y su cumplimiento para el 20</w:t>
      </w:r>
      <w:r>
        <w:rPr>
          <w:rFonts w:ascii="Arial Narrow" w:eastAsia="Calibri" w:hAnsi="Arial Narrow"/>
          <w:sz w:val="24"/>
          <w:szCs w:val="24"/>
          <w:lang w:eastAsia="en-US"/>
        </w:rPr>
        <w:t>21.</w:t>
      </w:r>
    </w:p>
    <w:p w14:paraId="40B3FBCE" w14:textId="77777777" w:rsidR="00823634" w:rsidRPr="00322D9B" w:rsidRDefault="00823634" w:rsidP="00322D9B">
      <w:pPr>
        <w:rPr>
          <w:rFonts w:eastAsia="Calibri"/>
          <w:lang w:eastAsia="en-US"/>
        </w:rPr>
      </w:pPr>
    </w:p>
    <w:p w14:paraId="40510B64" w14:textId="77777777" w:rsidR="00696737" w:rsidRDefault="00696737" w:rsidP="00696737">
      <w:pPr>
        <w:jc w:val="center"/>
        <w:rPr>
          <w:rFonts w:ascii="Arial Narrow" w:hAnsi="Arial Narrow"/>
        </w:rPr>
      </w:pPr>
      <w:r>
        <w:rPr>
          <w:noProof/>
        </w:rPr>
        <w:drawing>
          <wp:inline distT="0" distB="0" distL="0" distR="0" wp14:anchorId="492C0D9C" wp14:editId="5FEAC843">
            <wp:extent cx="5612130" cy="881548"/>
            <wp:effectExtent l="19050" t="19050" r="26670" b="13970"/>
            <wp:docPr id="32" name="Imagen 32" descr="Gráfic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descr="Gráfico&#10;&#10;Descripción generada automáticamente con confianza baja"/>
                    <pic:cNvPicPr/>
                  </pic:nvPicPr>
                  <pic:blipFill rotWithShape="1">
                    <a:blip r:embed="rId85"/>
                    <a:srcRect b="3324"/>
                    <a:stretch/>
                  </pic:blipFill>
                  <pic:spPr bwMode="auto">
                    <a:xfrm>
                      <a:off x="0" y="0"/>
                      <a:ext cx="5612130" cy="881548"/>
                    </a:xfrm>
                    <a:prstGeom prst="rect">
                      <a:avLst/>
                    </a:prstGeom>
                    <a:ln w="9525" cap="flat" cmpd="sng" algn="ctr">
                      <a:solidFill>
                        <a:schemeClr val="tx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02EC151" w14:textId="51B10772" w:rsidR="00696737" w:rsidRDefault="00696737" w:rsidP="00B54439">
      <w:pPr>
        <w:spacing w:line="276" w:lineRule="auto"/>
        <w:jc w:val="center"/>
        <w:rPr>
          <w:rFonts w:ascii="Arial Narrow" w:hAnsi="Arial Narrow"/>
          <w:sz w:val="18"/>
          <w:szCs w:val="18"/>
        </w:rPr>
      </w:pPr>
      <w:r w:rsidRPr="00996542">
        <w:rPr>
          <w:rFonts w:ascii="Arial Narrow" w:hAnsi="Arial Narrow"/>
          <w:sz w:val="18"/>
          <w:szCs w:val="18"/>
        </w:rPr>
        <w:t>Fuente: Sistema PEI al 19 de enero del 2022 para el año 2021.</w:t>
      </w:r>
    </w:p>
    <w:p w14:paraId="0F777529" w14:textId="77777777" w:rsidR="00696737" w:rsidRDefault="00696737" w:rsidP="00696737">
      <w:pPr>
        <w:spacing w:line="276" w:lineRule="auto"/>
        <w:jc w:val="both"/>
        <w:rPr>
          <w:rFonts w:ascii="Arial Narrow" w:hAnsi="Arial Narrow"/>
        </w:rPr>
      </w:pPr>
    </w:p>
    <w:p w14:paraId="1CBAE691" w14:textId="695A9C6B" w:rsidR="00696737" w:rsidRDefault="00696737" w:rsidP="00696737">
      <w:pPr>
        <w:spacing w:line="276" w:lineRule="auto"/>
        <w:jc w:val="both"/>
        <w:rPr>
          <w:rFonts w:ascii="Arial Narrow" w:hAnsi="Arial Narrow"/>
        </w:rPr>
      </w:pPr>
      <w:r>
        <w:rPr>
          <w:rFonts w:ascii="Arial Narrow" w:hAnsi="Arial Narrow"/>
        </w:rPr>
        <w:t xml:space="preserve">Con respecto a la meta estratégica de </w:t>
      </w:r>
      <w:r w:rsidRPr="004215C9">
        <w:rPr>
          <w:rFonts w:ascii="Arial Narrow" w:hAnsi="Arial Narrow"/>
        </w:rPr>
        <w:t>implementa</w:t>
      </w:r>
      <w:r>
        <w:rPr>
          <w:rFonts w:ascii="Arial Narrow" w:hAnsi="Arial Narrow"/>
        </w:rPr>
        <w:t>r</w:t>
      </w:r>
      <w:r w:rsidRPr="004215C9">
        <w:rPr>
          <w:rFonts w:ascii="Arial Narrow" w:hAnsi="Arial Narrow"/>
        </w:rPr>
        <w:t xml:space="preserve"> a nivel nacional la Justicia Restaurativa de conformidad con la ley</w:t>
      </w:r>
      <w:r>
        <w:rPr>
          <w:rFonts w:ascii="Arial Narrow" w:hAnsi="Arial Narrow"/>
        </w:rPr>
        <w:t xml:space="preserve">, se tienen importantes esfuerzos para el año 2021, debido a que se trabajó en la </w:t>
      </w:r>
      <w:r w:rsidRPr="004215C9">
        <w:rPr>
          <w:rFonts w:ascii="Arial Narrow" w:hAnsi="Arial Narrow"/>
        </w:rPr>
        <w:t>creación de los perfiles competenciales del personal de la Dirección de Justicia Restaurativa, se implement</w:t>
      </w:r>
      <w:r>
        <w:rPr>
          <w:rFonts w:ascii="Arial Narrow" w:hAnsi="Arial Narrow"/>
        </w:rPr>
        <w:t>ó</w:t>
      </w:r>
      <w:r w:rsidRPr="004215C9">
        <w:rPr>
          <w:rFonts w:ascii="Arial Narrow" w:hAnsi="Arial Narrow"/>
        </w:rPr>
        <w:t xml:space="preserve"> en dos oficinas judiciales la Justicia Restaurativa</w:t>
      </w:r>
      <w:r>
        <w:rPr>
          <w:rFonts w:ascii="Arial Narrow" w:hAnsi="Arial Narrow"/>
        </w:rPr>
        <w:t xml:space="preserve"> (Segundo Circuito de la Zona Sur y Primer Circuito de Guanacaste)</w:t>
      </w:r>
      <w:r w:rsidRPr="004215C9">
        <w:rPr>
          <w:rFonts w:ascii="Arial Narrow" w:hAnsi="Arial Narrow"/>
        </w:rPr>
        <w:t>, se ha trabajado con la Dirección de Tecnología de la Información y Comunicaciones para los requerimientos para la mejora a los sistemas informáticos, así como el seguimiento que han realizado a las oficinas que ya tienen el Programa de Justicia Restaurativa. De igual manera, realizaron un proceso de rendición de cuentas de los resultados de las oficinas con Justicia Restaurativa</w:t>
      </w:r>
      <w:r>
        <w:rPr>
          <w:rFonts w:ascii="Arial Narrow" w:hAnsi="Arial Narrow"/>
        </w:rPr>
        <w:t xml:space="preserve"> (</w:t>
      </w:r>
      <w:r w:rsidRPr="002A6352">
        <w:rPr>
          <w:rFonts w:ascii="Arial Narrow" w:hAnsi="Arial Narrow"/>
        </w:rPr>
        <w:t>se realizaron las actividades de rendición de cuentas en 19 equipos interdisciplinarios</w:t>
      </w:r>
      <w:r w:rsidR="000F5AD5">
        <w:rPr>
          <w:rFonts w:ascii="Arial Narrow" w:hAnsi="Arial Narrow"/>
        </w:rPr>
        <w:t>). Por</w:t>
      </w:r>
      <w:r w:rsidR="00795CA6">
        <w:rPr>
          <w:rFonts w:ascii="Arial Narrow" w:hAnsi="Arial Narrow"/>
        </w:rPr>
        <w:t xml:space="preserve"> parte de la Oficina de Justicia Restaurativa </w:t>
      </w:r>
      <w:r w:rsidR="00795CA6" w:rsidRPr="00795CA6">
        <w:rPr>
          <w:rFonts w:ascii="Arial Narrow" w:hAnsi="Arial Narrow"/>
        </w:rPr>
        <w:t>se están tomando las acciones para cumplir</w:t>
      </w:r>
      <w:r w:rsidR="00795CA6">
        <w:rPr>
          <w:rFonts w:ascii="Arial Narrow" w:hAnsi="Arial Narrow"/>
        </w:rPr>
        <w:t xml:space="preserve"> con esta meta. </w:t>
      </w:r>
    </w:p>
    <w:p w14:paraId="53A87632" w14:textId="00CB3675" w:rsidR="00B15CA3" w:rsidRPr="00535A53" w:rsidRDefault="00B15CA3" w:rsidP="008A7BDD">
      <w:pPr>
        <w:rPr>
          <w:rFonts w:eastAsia="Calibri"/>
          <w:lang w:val="es-CR" w:eastAsia="en-US"/>
        </w:rPr>
      </w:pPr>
    </w:p>
    <w:p w14:paraId="49FD76F9" w14:textId="0F0F1EC1" w:rsidR="00C35E8D" w:rsidRPr="00C35E8D" w:rsidRDefault="00C35E8D" w:rsidP="00C35E8D">
      <w:pPr>
        <w:spacing w:after="160"/>
        <w:jc w:val="both"/>
        <w:rPr>
          <w:rFonts w:ascii="Arial Narrow" w:eastAsiaTheme="minorHAnsi" w:hAnsi="Arial Narrow" w:cstheme="minorBidi"/>
          <w:lang w:val="es-CR" w:eastAsia="en-US"/>
        </w:rPr>
      </w:pPr>
      <w:r w:rsidRPr="00C35E8D">
        <w:rPr>
          <w:rFonts w:ascii="Arial Narrow" w:eastAsiaTheme="minorHAnsi" w:hAnsi="Arial Narrow" w:cstheme="minorBidi"/>
          <w:lang w:val="es-CR" w:eastAsia="en-US"/>
        </w:rPr>
        <w:t xml:space="preserve">Finalmente, con respecto al tema Estratégico de </w:t>
      </w:r>
      <w:r>
        <w:rPr>
          <w:rFonts w:ascii="Arial Narrow" w:eastAsiaTheme="minorHAnsi" w:hAnsi="Arial Narrow" w:cstheme="minorBidi"/>
          <w:b/>
          <w:bCs/>
          <w:lang w:val="es-CR" w:eastAsia="en-US"/>
        </w:rPr>
        <w:t xml:space="preserve">Resolución Oportuna </w:t>
      </w:r>
      <w:r w:rsidRPr="00696737">
        <w:rPr>
          <w:rFonts w:ascii="Arial Narrow" w:eastAsiaTheme="minorHAnsi" w:hAnsi="Arial Narrow" w:cstheme="minorBidi"/>
          <w:b/>
          <w:bCs/>
          <w:lang w:val="es-CR" w:eastAsia="en-US"/>
        </w:rPr>
        <w:t>de Conflictos</w:t>
      </w:r>
      <w:r w:rsidRPr="00696737">
        <w:rPr>
          <w:rFonts w:ascii="Arial Narrow" w:eastAsiaTheme="minorHAnsi" w:hAnsi="Arial Narrow" w:cstheme="minorBidi"/>
          <w:lang w:val="es-CR" w:eastAsia="en-US"/>
        </w:rPr>
        <w:t xml:space="preserve"> se tienen </w:t>
      </w:r>
      <w:r w:rsidR="00696737" w:rsidRPr="00696737">
        <w:rPr>
          <w:rFonts w:ascii="Arial Narrow" w:eastAsiaTheme="minorHAnsi" w:hAnsi="Arial Narrow" w:cstheme="minorBidi"/>
          <w:lang w:val="es-CR" w:eastAsia="en-US"/>
        </w:rPr>
        <w:t>2</w:t>
      </w:r>
      <w:r w:rsidRPr="00696737">
        <w:rPr>
          <w:rFonts w:ascii="Arial Narrow" w:eastAsiaTheme="minorHAnsi" w:hAnsi="Arial Narrow" w:cstheme="minorBidi"/>
          <w:lang w:val="es-CR" w:eastAsia="en-US"/>
        </w:rPr>
        <w:t xml:space="preserve"> metas</w:t>
      </w:r>
      <w:r w:rsidRPr="00C35E8D">
        <w:rPr>
          <w:rFonts w:ascii="Arial Narrow" w:eastAsiaTheme="minorHAnsi" w:hAnsi="Arial Narrow" w:cstheme="minorBidi"/>
          <w:lang w:val="es-CR" w:eastAsia="en-US"/>
        </w:rPr>
        <w:t xml:space="preserve"> estratégicas que presentan </w:t>
      </w:r>
      <w:r w:rsidR="00696737">
        <w:rPr>
          <w:rFonts w:ascii="Arial Narrow" w:eastAsiaTheme="minorHAnsi" w:hAnsi="Arial Narrow" w:cstheme="minorBidi"/>
          <w:lang w:val="es-CR" w:eastAsia="en-US"/>
        </w:rPr>
        <w:t>la</w:t>
      </w:r>
      <w:r w:rsidRPr="00C35E8D">
        <w:rPr>
          <w:rFonts w:ascii="Arial Narrow" w:eastAsiaTheme="minorHAnsi" w:hAnsi="Arial Narrow" w:cstheme="minorBidi"/>
          <w:lang w:val="es-CR" w:eastAsia="en-US"/>
        </w:rPr>
        <w:t xml:space="preserve"> situaci</w:t>
      </w:r>
      <w:r w:rsidR="00696737">
        <w:rPr>
          <w:rFonts w:ascii="Arial Narrow" w:eastAsiaTheme="minorHAnsi" w:hAnsi="Arial Narrow" w:cstheme="minorBidi"/>
          <w:lang w:val="es-CR" w:eastAsia="en-US"/>
        </w:rPr>
        <w:t>ón de qu</w:t>
      </w:r>
      <w:r w:rsidRPr="00C35E8D">
        <w:rPr>
          <w:rFonts w:ascii="Arial Narrow" w:eastAsiaTheme="minorHAnsi" w:hAnsi="Arial Narrow" w:cstheme="minorBidi"/>
          <w:lang w:val="es-CR" w:eastAsia="en-US"/>
        </w:rPr>
        <w:t>e se desarrollaron de manera operativa en los años 2019 y 2020 y para el 2021 las metas no presenta</w:t>
      </w:r>
      <w:r w:rsidR="00FC269B">
        <w:rPr>
          <w:rFonts w:ascii="Arial Narrow" w:eastAsiaTheme="minorHAnsi" w:hAnsi="Arial Narrow" w:cstheme="minorBidi"/>
          <w:lang w:val="es-CR" w:eastAsia="en-US"/>
        </w:rPr>
        <w:t>ro</w:t>
      </w:r>
      <w:r w:rsidRPr="00C35E8D">
        <w:rPr>
          <w:rFonts w:ascii="Arial Narrow" w:eastAsiaTheme="minorHAnsi" w:hAnsi="Arial Narrow" w:cstheme="minorBidi"/>
          <w:lang w:val="es-CR" w:eastAsia="en-US"/>
        </w:rPr>
        <w:t>n ava</w:t>
      </w:r>
      <w:r w:rsidRPr="00823634">
        <w:rPr>
          <w:rFonts w:ascii="Arial Narrow" w:eastAsiaTheme="minorHAnsi" w:hAnsi="Arial Narrow" w:cstheme="minorBidi"/>
          <w:lang w:val="es-CR" w:eastAsia="en-US"/>
        </w:rPr>
        <w:t>nces</w:t>
      </w:r>
      <w:r w:rsidR="004552A3" w:rsidRPr="00823634">
        <w:rPr>
          <w:rFonts w:ascii="Arial Narrow" w:eastAsiaTheme="minorHAnsi" w:hAnsi="Arial Narrow" w:cstheme="minorBidi"/>
          <w:lang w:val="es-CR" w:eastAsia="en-US"/>
        </w:rPr>
        <w:t>.</w:t>
      </w:r>
      <w:r w:rsidRPr="00C35E8D">
        <w:rPr>
          <w:rFonts w:ascii="Arial Narrow" w:eastAsiaTheme="minorHAnsi" w:hAnsi="Arial Narrow" w:cstheme="minorBidi"/>
          <w:lang w:val="es-CR" w:eastAsia="en-US"/>
        </w:rPr>
        <w:t xml:space="preserve"> </w:t>
      </w:r>
    </w:p>
    <w:p w14:paraId="6B5C197B" w14:textId="77777777" w:rsidR="00823634" w:rsidRDefault="00823634" w:rsidP="00C35E8D">
      <w:pPr>
        <w:spacing w:after="160"/>
        <w:jc w:val="both"/>
        <w:rPr>
          <w:rFonts w:ascii="Arial Narrow" w:eastAsiaTheme="minorHAnsi" w:hAnsi="Arial Narrow" w:cstheme="minorBidi"/>
          <w:lang w:val="es-CR" w:eastAsia="en-US"/>
        </w:rPr>
      </w:pPr>
    </w:p>
    <w:p w14:paraId="1BCA08C0" w14:textId="03C70D53" w:rsidR="00D15AE9" w:rsidRDefault="00C35E8D" w:rsidP="00C35E8D">
      <w:pPr>
        <w:spacing w:after="160"/>
        <w:jc w:val="both"/>
        <w:rPr>
          <w:rFonts w:ascii="Arial Narrow" w:eastAsiaTheme="minorHAnsi" w:hAnsi="Arial Narrow" w:cstheme="minorBidi"/>
          <w:lang w:val="es-CR" w:eastAsia="en-US"/>
        </w:rPr>
      </w:pPr>
      <w:r w:rsidRPr="00C35E8D">
        <w:rPr>
          <w:rFonts w:ascii="Arial Narrow" w:eastAsiaTheme="minorHAnsi" w:hAnsi="Arial Narrow" w:cstheme="minorBidi"/>
          <w:lang w:val="es-CR" w:eastAsia="en-US"/>
        </w:rPr>
        <w:t>Se detallan las metas según la situación presentada.</w:t>
      </w:r>
    </w:p>
    <w:p w14:paraId="0656DA9C" w14:textId="77777777" w:rsidR="00D15AE9" w:rsidRDefault="00D15AE9">
      <w:pPr>
        <w:rPr>
          <w:rFonts w:ascii="Arial Narrow" w:eastAsiaTheme="minorHAnsi" w:hAnsi="Arial Narrow" w:cstheme="minorBidi"/>
          <w:lang w:val="es-CR" w:eastAsia="en-US"/>
        </w:rPr>
      </w:pPr>
      <w:r>
        <w:rPr>
          <w:rFonts w:ascii="Arial Narrow" w:eastAsiaTheme="minorHAnsi" w:hAnsi="Arial Narrow" w:cstheme="minorBidi"/>
          <w:lang w:val="es-CR" w:eastAsia="en-US"/>
        </w:rPr>
        <w:br w:type="page"/>
      </w:r>
    </w:p>
    <w:p w14:paraId="30BE5C82" w14:textId="788EBD2D" w:rsidR="00C35E8D" w:rsidRPr="00C35E8D" w:rsidRDefault="00696737" w:rsidP="00C35E8D">
      <w:pPr>
        <w:numPr>
          <w:ilvl w:val="0"/>
          <w:numId w:val="34"/>
        </w:numPr>
        <w:spacing w:after="160" w:line="259" w:lineRule="auto"/>
        <w:contextualSpacing/>
        <w:jc w:val="both"/>
        <w:rPr>
          <w:rFonts w:ascii="Arial Narrow" w:eastAsiaTheme="minorHAnsi" w:hAnsi="Arial Narrow" w:cstheme="minorBidi"/>
          <w:b/>
          <w:bCs/>
          <w:lang w:val="es-CR" w:eastAsia="en-US"/>
        </w:rPr>
      </w:pPr>
      <w:r w:rsidRPr="00696737">
        <w:rPr>
          <w:rFonts w:ascii="Arial Narrow" w:eastAsiaTheme="minorHAnsi" w:hAnsi="Arial Narrow" w:cstheme="minorBidi"/>
          <w:b/>
          <w:bCs/>
          <w:lang w:val="es-CR" w:eastAsia="en-US"/>
        </w:rPr>
        <w:t>2</w:t>
      </w:r>
      <w:r w:rsidR="00C35E8D" w:rsidRPr="00696737">
        <w:rPr>
          <w:rFonts w:ascii="Arial Narrow" w:eastAsiaTheme="minorHAnsi" w:hAnsi="Arial Narrow" w:cstheme="minorBidi"/>
          <w:b/>
          <w:bCs/>
          <w:lang w:val="es-CR" w:eastAsia="en-US"/>
        </w:rPr>
        <w:t xml:space="preserve"> metas estratégicas</w:t>
      </w:r>
      <w:r w:rsidR="00C35E8D" w:rsidRPr="00C35E8D">
        <w:rPr>
          <w:rFonts w:ascii="Arial Narrow" w:eastAsiaTheme="minorHAnsi" w:hAnsi="Arial Narrow" w:cstheme="minorBidi"/>
          <w:b/>
          <w:bCs/>
          <w:lang w:val="es-CR" w:eastAsia="en-US"/>
        </w:rPr>
        <w:t xml:space="preserve"> reportaban datos para 2019 y 2020, pero ya para el 2021 no aparecen con avance estratégico. </w:t>
      </w:r>
      <w:r w:rsidR="00C35E8D" w:rsidRPr="00C35E8D">
        <w:rPr>
          <w:rFonts w:ascii="Arial Narrow" w:eastAsiaTheme="minorHAnsi" w:hAnsi="Arial Narrow" w:cstheme="minorBidi"/>
          <w:b/>
          <w:bCs/>
          <w:u w:val="single"/>
          <w:lang w:val="es-CR" w:eastAsia="en-US"/>
        </w:rPr>
        <w:t>Estas metas no son consideradas dentro de esta evaluación puesto que no registran datos para el año 2021.</w:t>
      </w:r>
    </w:p>
    <w:p w14:paraId="3EF2FE57" w14:textId="0B1414D8" w:rsidR="00B15CA3" w:rsidRPr="00535A53" w:rsidRDefault="00B15CA3" w:rsidP="008A7BDD">
      <w:pPr>
        <w:rPr>
          <w:rFonts w:eastAsia="Calibri"/>
          <w:lang w:val="es-CR" w:eastAsia="en-US"/>
        </w:rPr>
      </w:pPr>
    </w:p>
    <w:tbl>
      <w:tblPr>
        <w:tblW w:w="8828" w:type="dxa"/>
        <w:jc w:val="center"/>
        <w:tblCellMar>
          <w:left w:w="70" w:type="dxa"/>
          <w:right w:w="70" w:type="dxa"/>
        </w:tblCellMar>
        <w:tblLook w:val="04A0" w:firstRow="1" w:lastRow="0" w:firstColumn="1" w:lastColumn="0" w:noHBand="0" w:noVBand="1"/>
      </w:tblPr>
      <w:tblGrid>
        <w:gridCol w:w="4561"/>
        <w:gridCol w:w="4267"/>
      </w:tblGrid>
      <w:tr w:rsidR="00337047" w:rsidRPr="00337047" w14:paraId="38C9D552" w14:textId="77777777" w:rsidTr="2EE460D2">
        <w:trPr>
          <w:trHeight w:val="560"/>
          <w:jc w:val="center"/>
        </w:trPr>
        <w:tc>
          <w:tcPr>
            <w:tcW w:w="4561"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788709AA" w14:textId="77777777" w:rsidR="00337047" w:rsidRPr="00337047" w:rsidRDefault="00337047" w:rsidP="00337047">
            <w:pPr>
              <w:jc w:val="center"/>
              <w:rPr>
                <w:rFonts w:ascii="Arial Narrow" w:hAnsi="Arial Narrow" w:cs="Calibri"/>
                <w:b/>
                <w:bCs/>
                <w:color w:val="000000"/>
                <w:sz w:val="22"/>
                <w:szCs w:val="22"/>
                <w:lang w:val="es-CR" w:eastAsia="es-CR"/>
              </w:rPr>
            </w:pPr>
            <w:r w:rsidRPr="00337047">
              <w:rPr>
                <w:rFonts w:ascii="Arial Narrow" w:hAnsi="Arial Narrow" w:cs="Calibri"/>
                <w:b/>
                <w:bCs/>
                <w:color w:val="000000"/>
                <w:sz w:val="22"/>
                <w:szCs w:val="22"/>
                <w:lang w:val="es-CR" w:eastAsia="es-CR"/>
              </w:rPr>
              <w:t>Meta estratégica</w:t>
            </w:r>
          </w:p>
        </w:tc>
        <w:tc>
          <w:tcPr>
            <w:tcW w:w="4267"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6F8ABEE2" w14:textId="77777777" w:rsidR="00337047" w:rsidRPr="00337047" w:rsidRDefault="00337047" w:rsidP="00337047">
            <w:pPr>
              <w:jc w:val="center"/>
              <w:rPr>
                <w:rFonts w:ascii="Arial Narrow" w:hAnsi="Arial Narrow" w:cs="Calibri"/>
                <w:b/>
                <w:bCs/>
                <w:color w:val="000000"/>
                <w:sz w:val="22"/>
                <w:szCs w:val="22"/>
                <w:lang w:val="es-CR" w:eastAsia="es-CR"/>
              </w:rPr>
            </w:pPr>
            <w:r w:rsidRPr="00337047">
              <w:rPr>
                <w:rFonts w:ascii="Arial Narrow" w:hAnsi="Arial Narrow" w:cs="Calibri"/>
                <w:b/>
                <w:bCs/>
                <w:color w:val="000000"/>
                <w:sz w:val="22"/>
                <w:szCs w:val="22"/>
                <w:lang w:val="es-CR" w:eastAsia="es-CR"/>
              </w:rPr>
              <w:t>Justificación</w:t>
            </w:r>
          </w:p>
        </w:tc>
      </w:tr>
      <w:tr w:rsidR="00337047" w:rsidRPr="00337047" w14:paraId="5B6D6276" w14:textId="77777777" w:rsidTr="2EE460D2">
        <w:trPr>
          <w:trHeight w:val="290"/>
          <w:jc w:val="center"/>
        </w:trPr>
        <w:tc>
          <w:tcPr>
            <w:tcW w:w="45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BD8EEE" w14:textId="77777777" w:rsidR="00696737" w:rsidRDefault="00696737" w:rsidP="00696737">
            <w:pPr>
              <w:jc w:val="both"/>
              <w:rPr>
                <w:rFonts w:ascii="Arial Narrow" w:hAnsi="Arial Narrow" w:cs="Calibri"/>
                <w:color w:val="000000"/>
                <w:sz w:val="22"/>
                <w:szCs w:val="22"/>
                <w:lang w:val="es-CR" w:eastAsia="es-CR"/>
              </w:rPr>
            </w:pPr>
          </w:p>
          <w:p w14:paraId="53FFB29D" w14:textId="137417B1" w:rsidR="00337047" w:rsidRDefault="00337047" w:rsidP="00696737">
            <w:pPr>
              <w:jc w:val="both"/>
              <w:rPr>
                <w:rFonts w:ascii="Arial Narrow" w:hAnsi="Arial Narrow" w:cs="Calibri"/>
                <w:color w:val="000000"/>
                <w:sz w:val="22"/>
                <w:szCs w:val="22"/>
                <w:lang w:val="es-CR" w:eastAsia="es-CR"/>
              </w:rPr>
            </w:pPr>
            <w:r w:rsidRPr="00337047">
              <w:rPr>
                <w:rFonts w:ascii="Arial Narrow" w:hAnsi="Arial Narrow" w:cs="Calibri"/>
                <w:color w:val="000000"/>
                <w:sz w:val="22"/>
                <w:szCs w:val="22"/>
                <w:lang w:val="es-CR" w:eastAsia="es-CR"/>
              </w:rPr>
              <w:t>Que al finalizar el 2024, se haya desarrollado e implementado un modelo de gestión (diagnóstico, diseño, implementación, seguimiento y evaluación) en el abordaje de los casos penales de crimen organizado</w:t>
            </w:r>
            <w:r w:rsidR="00696737">
              <w:rPr>
                <w:rFonts w:ascii="Arial Narrow" w:hAnsi="Arial Narrow" w:cs="Calibri"/>
                <w:color w:val="000000"/>
                <w:sz w:val="22"/>
                <w:szCs w:val="22"/>
                <w:lang w:val="es-CR" w:eastAsia="es-CR"/>
              </w:rPr>
              <w:t>.</w:t>
            </w:r>
          </w:p>
          <w:p w14:paraId="32096FF3" w14:textId="5371E8E0" w:rsidR="00696737" w:rsidRPr="00337047" w:rsidRDefault="00696737" w:rsidP="00696737">
            <w:pPr>
              <w:jc w:val="both"/>
              <w:rPr>
                <w:rFonts w:ascii="Arial Narrow" w:hAnsi="Arial Narrow" w:cs="Calibri"/>
                <w:color w:val="000000"/>
                <w:sz w:val="22"/>
                <w:szCs w:val="22"/>
                <w:lang w:val="es-CR" w:eastAsia="es-CR"/>
              </w:rPr>
            </w:pPr>
          </w:p>
        </w:tc>
        <w:tc>
          <w:tcPr>
            <w:tcW w:w="4267" w:type="dxa"/>
            <w:tcBorders>
              <w:top w:val="single" w:sz="4" w:space="0" w:color="auto"/>
              <w:left w:val="nil"/>
              <w:bottom w:val="single" w:sz="4" w:space="0" w:color="auto"/>
              <w:right w:val="single" w:sz="4" w:space="0" w:color="auto"/>
            </w:tcBorders>
            <w:shd w:val="clear" w:color="auto" w:fill="auto"/>
            <w:noWrap/>
            <w:vAlign w:val="center"/>
            <w:hideMark/>
          </w:tcPr>
          <w:p w14:paraId="2F1889DB" w14:textId="057FD372" w:rsidR="00337047" w:rsidRPr="00322D9B" w:rsidRDefault="6165B38C" w:rsidP="03BF0815">
            <w:pPr>
              <w:jc w:val="both"/>
              <w:rPr>
                <w:rFonts w:ascii="Arial Narrow" w:hAnsi="Arial Narrow" w:cs="Calibri"/>
                <w:color w:val="000000"/>
                <w:sz w:val="22"/>
                <w:szCs w:val="22"/>
                <w:lang w:val="es-CR" w:eastAsia="es-CR"/>
              </w:rPr>
            </w:pPr>
            <w:r w:rsidRPr="00322D9B">
              <w:rPr>
                <w:rFonts w:ascii="Arial Narrow" w:hAnsi="Arial Narrow" w:cs="Calibri"/>
                <w:color w:val="000000" w:themeColor="text1"/>
                <w:sz w:val="22"/>
                <w:szCs w:val="22"/>
                <w:lang w:val="es-CR" w:eastAsia="es-CR"/>
              </w:rPr>
              <w:t>Con respecto a esta meta se tiene que p</w:t>
            </w:r>
            <w:r w:rsidRPr="001409FD">
              <w:rPr>
                <w:rFonts w:ascii="Arial Narrow" w:hAnsi="Arial Narrow" w:cs="Calibri"/>
                <w:color w:val="000000" w:themeColor="text1"/>
                <w:sz w:val="22"/>
                <w:szCs w:val="22"/>
                <w:lang w:val="es-CR" w:eastAsia="es-CR"/>
              </w:rPr>
              <w:t xml:space="preserve">or falta de asignación presupuestaria </w:t>
            </w:r>
            <w:r w:rsidRPr="00322D9B">
              <w:rPr>
                <w:rFonts w:ascii="Arial Narrow" w:hAnsi="Arial Narrow" w:cs="Calibri"/>
                <w:color w:val="000000" w:themeColor="text1"/>
                <w:sz w:val="22"/>
                <w:szCs w:val="22"/>
                <w:lang w:val="es-CR" w:eastAsia="es-CR"/>
              </w:rPr>
              <w:t xml:space="preserve">la Fiscalía </w:t>
            </w:r>
            <w:r w:rsidR="00A33632" w:rsidRPr="00322D9B">
              <w:rPr>
                <w:rFonts w:ascii="Arial Narrow" w:hAnsi="Arial Narrow" w:cs="Calibri"/>
                <w:color w:val="000000" w:themeColor="text1"/>
                <w:sz w:val="22"/>
                <w:szCs w:val="22"/>
                <w:lang w:val="es-CR" w:eastAsia="es-CR"/>
              </w:rPr>
              <w:t>General solicitó</w:t>
            </w:r>
            <w:r w:rsidRPr="00322D9B">
              <w:rPr>
                <w:rFonts w:ascii="Arial Narrow" w:hAnsi="Arial Narrow" w:cs="Calibri"/>
                <w:color w:val="000000" w:themeColor="text1"/>
                <w:sz w:val="22"/>
                <w:szCs w:val="22"/>
                <w:lang w:val="es-CR" w:eastAsia="es-CR"/>
              </w:rPr>
              <w:t xml:space="preserve"> posponer el </w:t>
            </w:r>
            <w:r w:rsidR="00A33632" w:rsidRPr="00322D9B">
              <w:rPr>
                <w:rFonts w:ascii="Arial Narrow" w:hAnsi="Arial Narrow" w:cs="Calibri"/>
                <w:color w:val="000000" w:themeColor="text1"/>
                <w:sz w:val="22"/>
                <w:szCs w:val="22"/>
                <w:lang w:val="es-CR" w:eastAsia="es-CR"/>
              </w:rPr>
              <w:t>proyecto, y</w:t>
            </w:r>
            <w:r w:rsidRPr="00322D9B">
              <w:rPr>
                <w:rFonts w:ascii="Arial Narrow" w:hAnsi="Arial Narrow" w:cs="Calibri"/>
                <w:color w:val="000000" w:themeColor="text1"/>
                <w:sz w:val="22"/>
                <w:szCs w:val="22"/>
                <w:lang w:val="es-CR" w:eastAsia="es-CR"/>
              </w:rPr>
              <w:t xml:space="preserve"> por lo tanto </w:t>
            </w:r>
            <w:r w:rsidRPr="001409FD">
              <w:rPr>
                <w:rFonts w:ascii="Arial Narrow" w:hAnsi="Arial Narrow" w:cs="Calibri"/>
                <w:color w:val="000000" w:themeColor="text1"/>
                <w:sz w:val="22"/>
                <w:szCs w:val="22"/>
                <w:lang w:val="es-CR" w:eastAsia="es-CR"/>
              </w:rPr>
              <w:t xml:space="preserve">para el </w:t>
            </w:r>
            <w:r w:rsidRPr="00322D9B">
              <w:rPr>
                <w:rFonts w:ascii="Arial Narrow" w:hAnsi="Arial Narrow" w:cs="Calibri"/>
                <w:color w:val="000000" w:themeColor="text1"/>
                <w:sz w:val="22"/>
                <w:szCs w:val="22"/>
                <w:lang w:val="es-CR" w:eastAsia="es-CR"/>
              </w:rPr>
              <w:t xml:space="preserve">año </w:t>
            </w:r>
            <w:r w:rsidRPr="001409FD">
              <w:rPr>
                <w:rFonts w:ascii="Arial Narrow" w:hAnsi="Arial Narrow" w:cs="Calibri"/>
                <w:color w:val="000000" w:themeColor="text1"/>
                <w:sz w:val="22"/>
                <w:szCs w:val="22"/>
                <w:lang w:val="es-CR" w:eastAsia="es-CR"/>
              </w:rPr>
              <w:t xml:space="preserve">2021 </w:t>
            </w:r>
            <w:r w:rsidRPr="00322D9B">
              <w:rPr>
                <w:rFonts w:ascii="Arial Narrow" w:hAnsi="Arial Narrow" w:cs="Calibri"/>
                <w:color w:val="000000" w:themeColor="text1"/>
                <w:sz w:val="22"/>
                <w:szCs w:val="22"/>
                <w:lang w:val="es-CR" w:eastAsia="es-CR"/>
              </w:rPr>
              <w:t xml:space="preserve">la Fiscalía General como responsable </w:t>
            </w:r>
            <w:r w:rsidR="00A33632" w:rsidRPr="00322D9B">
              <w:rPr>
                <w:rFonts w:ascii="Arial Narrow" w:hAnsi="Arial Narrow" w:cs="Calibri"/>
                <w:color w:val="000000" w:themeColor="text1"/>
                <w:sz w:val="22"/>
                <w:szCs w:val="22"/>
                <w:lang w:val="es-CR" w:eastAsia="es-CR"/>
              </w:rPr>
              <w:t>estratégico no</w:t>
            </w:r>
            <w:r w:rsidR="00D52359" w:rsidRPr="00322D9B">
              <w:rPr>
                <w:rFonts w:ascii="Arial Narrow" w:hAnsi="Arial Narrow" w:cs="Calibri"/>
                <w:color w:val="000000" w:themeColor="text1"/>
                <w:sz w:val="22"/>
                <w:szCs w:val="22"/>
                <w:lang w:val="es-CR" w:eastAsia="es-CR"/>
              </w:rPr>
              <w:t xml:space="preserve"> vinculó metas </w:t>
            </w:r>
            <w:r w:rsidR="00A33632" w:rsidRPr="00322D9B">
              <w:rPr>
                <w:rFonts w:ascii="Arial Narrow" w:hAnsi="Arial Narrow" w:cs="Calibri"/>
                <w:color w:val="000000" w:themeColor="text1"/>
                <w:sz w:val="22"/>
                <w:szCs w:val="22"/>
                <w:lang w:val="es-CR" w:eastAsia="es-CR"/>
              </w:rPr>
              <w:t>operativas a</w:t>
            </w:r>
            <w:r w:rsidR="00D52359" w:rsidRPr="00322D9B">
              <w:rPr>
                <w:rFonts w:ascii="Arial Narrow" w:hAnsi="Arial Narrow" w:cs="Calibri"/>
                <w:color w:val="000000" w:themeColor="text1"/>
                <w:sz w:val="22"/>
                <w:szCs w:val="22"/>
                <w:lang w:val="es-CR" w:eastAsia="es-CR"/>
              </w:rPr>
              <w:t xml:space="preserve"> </w:t>
            </w:r>
            <w:r w:rsidRPr="00322D9B">
              <w:rPr>
                <w:rFonts w:ascii="Arial Narrow" w:hAnsi="Arial Narrow" w:cs="Calibri"/>
                <w:color w:val="000000" w:themeColor="text1"/>
                <w:sz w:val="22"/>
                <w:szCs w:val="22"/>
                <w:lang w:val="es-CR" w:eastAsia="es-CR"/>
              </w:rPr>
              <w:t xml:space="preserve">esta meta </w:t>
            </w:r>
            <w:r w:rsidR="7C2291C6" w:rsidRPr="00322D9B">
              <w:rPr>
                <w:rFonts w:ascii="Arial Narrow" w:hAnsi="Arial Narrow" w:cs="Calibri"/>
                <w:color w:val="000000" w:themeColor="text1"/>
                <w:sz w:val="22"/>
                <w:szCs w:val="22"/>
                <w:lang w:val="es-CR" w:eastAsia="es-CR"/>
              </w:rPr>
              <w:t>estratégica</w:t>
            </w:r>
            <w:r w:rsidRPr="00322D9B">
              <w:rPr>
                <w:rFonts w:ascii="Arial Narrow" w:hAnsi="Arial Narrow" w:cs="Calibri"/>
                <w:color w:val="000000" w:themeColor="text1"/>
                <w:sz w:val="22"/>
                <w:szCs w:val="22"/>
                <w:lang w:val="es-CR" w:eastAsia="es-CR"/>
              </w:rPr>
              <w:t xml:space="preserve">; sin embargo, </w:t>
            </w:r>
            <w:r w:rsidRPr="001409FD">
              <w:rPr>
                <w:rFonts w:ascii="Arial Narrow" w:hAnsi="Arial Narrow" w:cs="Calibri"/>
                <w:color w:val="000000" w:themeColor="text1"/>
                <w:sz w:val="22"/>
                <w:szCs w:val="22"/>
                <w:lang w:val="es-CR" w:eastAsia="es-CR"/>
              </w:rPr>
              <w:t>para el 2022 - 2023 s</w:t>
            </w:r>
            <w:r w:rsidR="7C2291C6" w:rsidRPr="00322D9B">
              <w:rPr>
                <w:rFonts w:ascii="Arial Narrow" w:hAnsi="Arial Narrow" w:cs="Calibri"/>
                <w:color w:val="000000" w:themeColor="text1"/>
                <w:sz w:val="22"/>
                <w:szCs w:val="22"/>
                <w:lang w:val="es-CR" w:eastAsia="es-CR"/>
              </w:rPr>
              <w:t>e</w:t>
            </w:r>
            <w:r w:rsidRPr="00322D9B">
              <w:rPr>
                <w:rFonts w:ascii="Arial Narrow" w:hAnsi="Arial Narrow" w:cs="Calibri"/>
                <w:color w:val="000000" w:themeColor="text1"/>
                <w:sz w:val="22"/>
                <w:szCs w:val="22"/>
                <w:lang w:val="es-CR" w:eastAsia="es-CR"/>
              </w:rPr>
              <w:t xml:space="preserve"> </w:t>
            </w:r>
            <w:r w:rsidR="7C2291C6" w:rsidRPr="00322D9B">
              <w:rPr>
                <w:rFonts w:ascii="Arial Narrow" w:hAnsi="Arial Narrow" w:cs="Calibri"/>
                <w:color w:val="000000" w:themeColor="text1"/>
                <w:sz w:val="22"/>
                <w:szCs w:val="22"/>
                <w:lang w:val="es-CR" w:eastAsia="es-CR"/>
              </w:rPr>
              <w:t xml:space="preserve">aprobó </w:t>
            </w:r>
            <w:r w:rsidRPr="00322D9B">
              <w:rPr>
                <w:rFonts w:ascii="Arial Narrow" w:hAnsi="Arial Narrow" w:cs="Calibri"/>
                <w:color w:val="000000" w:themeColor="text1"/>
                <w:sz w:val="22"/>
                <w:szCs w:val="22"/>
                <w:lang w:val="es-CR" w:eastAsia="es-CR"/>
              </w:rPr>
              <w:t xml:space="preserve">presupuesto y se está a espera de efectuar una </w:t>
            </w:r>
            <w:r w:rsidRPr="001409FD">
              <w:rPr>
                <w:rFonts w:ascii="Arial Narrow" w:hAnsi="Arial Narrow" w:cs="Calibri"/>
                <w:color w:val="000000" w:themeColor="text1"/>
                <w:sz w:val="22"/>
                <w:szCs w:val="22"/>
                <w:lang w:val="es-CR" w:eastAsia="es-CR"/>
              </w:rPr>
              <w:t>reunión para iniciar la formulación</w:t>
            </w:r>
            <w:r w:rsidRPr="00322D9B">
              <w:rPr>
                <w:rFonts w:ascii="Arial Narrow" w:hAnsi="Arial Narrow" w:cs="Calibri"/>
                <w:color w:val="000000" w:themeColor="text1"/>
                <w:sz w:val="22"/>
                <w:szCs w:val="22"/>
                <w:lang w:val="es-CR" w:eastAsia="es-CR"/>
              </w:rPr>
              <w:t xml:space="preserve"> </w:t>
            </w:r>
            <w:r w:rsidR="00D52359" w:rsidRPr="00322D9B">
              <w:rPr>
                <w:rFonts w:ascii="Arial Narrow" w:hAnsi="Arial Narrow" w:cs="Calibri"/>
                <w:color w:val="000000" w:themeColor="text1"/>
                <w:sz w:val="22"/>
                <w:szCs w:val="22"/>
                <w:lang w:val="es-CR" w:eastAsia="es-CR"/>
              </w:rPr>
              <w:t>correspondiente.</w:t>
            </w:r>
            <w:r w:rsidR="7C2291C6" w:rsidRPr="001409FD">
              <w:rPr>
                <w:rFonts w:ascii="Arial Narrow" w:hAnsi="Arial Narrow" w:cs="Calibri"/>
                <w:color w:val="000000" w:themeColor="text1"/>
                <w:sz w:val="22"/>
                <w:szCs w:val="22"/>
                <w:lang w:val="es-CR" w:eastAsia="es-CR"/>
              </w:rPr>
              <w:t xml:space="preserve"> </w:t>
            </w:r>
          </w:p>
        </w:tc>
      </w:tr>
      <w:tr w:rsidR="00696737" w:rsidRPr="00337047" w14:paraId="1EBD7CAE" w14:textId="77777777" w:rsidTr="2EE460D2">
        <w:trPr>
          <w:trHeight w:val="290"/>
          <w:jc w:val="center"/>
        </w:trPr>
        <w:tc>
          <w:tcPr>
            <w:tcW w:w="45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09A7EB" w14:textId="5962D3BE" w:rsidR="00696737" w:rsidRPr="00337047" w:rsidRDefault="00696737" w:rsidP="00696737">
            <w:pPr>
              <w:jc w:val="both"/>
              <w:rPr>
                <w:rFonts w:ascii="Arial Narrow" w:hAnsi="Arial Narrow" w:cs="Calibri"/>
                <w:color w:val="000000"/>
                <w:sz w:val="22"/>
                <w:szCs w:val="22"/>
                <w:lang w:val="es-CR" w:eastAsia="es-CR"/>
              </w:rPr>
            </w:pPr>
            <w:r w:rsidRPr="00696737">
              <w:rPr>
                <w:rFonts w:ascii="Arial Narrow" w:hAnsi="Arial Narrow" w:cs="Calibri"/>
                <w:color w:val="000000"/>
                <w:sz w:val="22"/>
                <w:szCs w:val="22"/>
                <w:lang w:val="es-CR" w:eastAsia="es-CR"/>
              </w:rPr>
              <w:t>Que al finalizar el 2024, se haya finalizado la ejecución del Proyecto Regional de Fortalecimiento de la Justicia Restaurativa.</w:t>
            </w:r>
          </w:p>
        </w:tc>
        <w:tc>
          <w:tcPr>
            <w:tcW w:w="4267" w:type="dxa"/>
            <w:tcBorders>
              <w:top w:val="single" w:sz="4" w:space="0" w:color="auto"/>
              <w:left w:val="nil"/>
              <w:bottom w:val="single" w:sz="4" w:space="0" w:color="auto"/>
              <w:right w:val="single" w:sz="4" w:space="0" w:color="auto"/>
            </w:tcBorders>
            <w:shd w:val="clear" w:color="auto" w:fill="auto"/>
            <w:noWrap/>
            <w:vAlign w:val="center"/>
          </w:tcPr>
          <w:p w14:paraId="3AE9DF1F" w14:textId="63FFC823" w:rsidR="00696737" w:rsidRPr="00322D9B" w:rsidRDefault="621726C5" w:rsidP="2EE460D2">
            <w:pPr>
              <w:spacing w:line="276" w:lineRule="auto"/>
              <w:jc w:val="both"/>
              <w:rPr>
                <w:rFonts w:ascii="Arial Narrow" w:hAnsi="Arial Narrow" w:cs="Calibri"/>
                <w:color w:val="000000" w:themeColor="text1"/>
                <w:sz w:val="22"/>
                <w:szCs w:val="22"/>
                <w:lang w:val="es-CR" w:eastAsia="es-CR"/>
              </w:rPr>
            </w:pPr>
            <w:r w:rsidRPr="001409FD">
              <w:rPr>
                <w:rFonts w:ascii="Arial Narrow" w:hAnsi="Arial Narrow" w:cs="Calibri"/>
                <w:color w:val="000000" w:themeColor="text1"/>
                <w:sz w:val="22"/>
                <w:szCs w:val="22"/>
                <w:lang w:val="es-CR" w:eastAsia="es-CR"/>
              </w:rPr>
              <w:t xml:space="preserve">Para los años 2019 y 2020 </w:t>
            </w:r>
            <w:r w:rsidRPr="00322D9B">
              <w:rPr>
                <w:rFonts w:ascii="Arial Narrow" w:hAnsi="Arial Narrow" w:cs="Calibri"/>
                <w:color w:val="000000" w:themeColor="text1"/>
                <w:sz w:val="22"/>
                <w:szCs w:val="22"/>
                <w:lang w:val="es-CR" w:eastAsia="es-CR"/>
              </w:rPr>
              <w:t xml:space="preserve">esta meta </w:t>
            </w:r>
            <w:r w:rsidRPr="001409FD">
              <w:rPr>
                <w:rFonts w:ascii="Arial Narrow" w:hAnsi="Arial Narrow" w:cs="Calibri"/>
                <w:color w:val="000000" w:themeColor="text1"/>
                <w:sz w:val="22"/>
                <w:szCs w:val="22"/>
                <w:lang w:val="es-CR" w:eastAsia="es-CR"/>
              </w:rPr>
              <w:t xml:space="preserve">registró </w:t>
            </w:r>
            <w:r w:rsidRPr="00322D9B">
              <w:rPr>
                <w:rFonts w:ascii="Arial Narrow" w:hAnsi="Arial Narrow" w:cs="Calibri"/>
                <w:color w:val="000000" w:themeColor="text1"/>
                <w:sz w:val="22"/>
                <w:szCs w:val="22"/>
                <w:lang w:val="es-CR" w:eastAsia="es-CR"/>
              </w:rPr>
              <w:t xml:space="preserve">un </w:t>
            </w:r>
            <w:r w:rsidRPr="001409FD">
              <w:rPr>
                <w:rFonts w:ascii="Arial Narrow" w:hAnsi="Arial Narrow" w:cs="Calibri"/>
                <w:color w:val="000000" w:themeColor="text1"/>
                <w:sz w:val="22"/>
                <w:szCs w:val="22"/>
                <w:lang w:val="es-CR" w:eastAsia="es-CR"/>
              </w:rPr>
              <w:t>cumplimiento</w:t>
            </w:r>
            <w:r w:rsidRPr="00322D9B">
              <w:rPr>
                <w:rFonts w:ascii="Arial Narrow" w:hAnsi="Arial Narrow" w:cs="Calibri"/>
                <w:color w:val="000000" w:themeColor="text1"/>
                <w:sz w:val="22"/>
                <w:szCs w:val="22"/>
                <w:lang w:val="es-CR" w:eastAsia="es-CR"/>
              </w:rPr>
              <w:t xml:space="preserve"> de 100% y 90% </w:t>
            </w:r>
            <w:r w:rsidR="00A33632" w:rsidRPr="00322D9B">
              <w:rPr>
                <w:rFonts w:ascii="Arial Narrow" w:hAnsi="Arial Narrow" w:cs="Calibri"/>
                <w:color w:val="000000" w:themeColor="text1"/>
                <w:sz w:val="22"/>
                <w:szCs w:val="22"/>
                <w:lang w:val="es-CR" w:eastAsia="es-CR"/>
              </w:rPr>
              <w:t>respectivamente,</w:t>
            </w:r>
            <w:r w:rsidRPr="00322D9B">
              <w:rPr>
                <w:rFonts w:ascii="Arial Narrow" w:hAnsi="Arial Narrow" w:cs="Calibri"/>
                <w:color w:val="000000" w:themeColor="text1"/>
                <w:sz w:val="22"/>
                <w:szCs w:val="22"/>
                <w:lang w:val="es-CR" w:eastAsia="es-CR"/>
              </w:rPr>
              <w:t xml:space="preserve"> pero para el 2021 se indica por parte de la oficina Rectora de Justicia </w:t>
            </w:r>
            <w:r w:rsidR="00A33632" w:rsidRPr="00322D9B">
              <w:rPr>
                <w:rFonts w:ascii="Arial Narrow" w:hAnsi="Arial Narrow" w:cs="Calibri"/>
                <w:color w:val="000000" w:themeColor="text1"/>
                <w:sz w:val="22"/>
                <w:szCs w:val="22"/>
                <w:lang w:val="es-CR" w:eastAsia="es-CR"/>
              </w:rPr>
              <w:t>Restaurativa que</w:t>
            </w:r>
            <w:r w:rsidR="00D52359" w:rsidRPr="00322D9B">
              <w:rPr>
                <w:rFonts w:ascii="Arial Narrow" w:hAnsi="Arial Narrow" w:cs="Calibri"/>
                <w:color w:val="000000" w:themeColor="text1"/>
                <w:sz w:val="22"/>
                <w:szCs w:val="22"/>
                <w:lang w:val="es-CR" w:eastAsia="es-CR"/>
              </w:rPr>
              <w:t xml:space="preserve"> </w:t>
            </w:r>
            <w:r w:rsidRPr="00322D9B">
              <w:rPr>
                <w:rFonts w:ascii="Arial Narrow" w:hAnsi="Arial Narrow" w:cs="Calibri"/>
                <w:color w:val="000000" w:themeColor="text1"/>
                <w:sz w:val="22"/>
                <w:szCs w:val="22"/>
                <w:lang w:val="es-CR" w:eastAsia="es-CR"/>
              </w:rPr>
              <w:t xml:space="preserve">dicha meta </w:t>
            </w:r>
            <w:r w:rsidR="00A33632" w:rsidRPr="00322D9B">
              <w:rPr>
                <w:rFonts w:ascii="Arial Narrow" w:hAnsi="Arial Narrow" w:cs="Calibri"/>
                <w:color w:val="000000" w:themeColor="text1"/>
                <w:sz w:val="22"/>
                <w:szCs w:val="22"/>
                <w:lang w:val="es-CR" w:eastAsia="es-CR"/>
              </w:rPr>
              <w:t>ya está</w:t>
            </w:r>
            <w:r w:rsidR="7DD703A7" w:rsidRPr="00322D9B">
              <w:rPr>
                <w:rFonts w:ascii="Arial Narrow" w:hAnsi="Arial Narrow" w:cs="Calibri"/>
                <w:color w:val="000000" w:themeColor="text1"/>
                <w:sz w:val="22"/>
                <w:szCs w:val="22"/>
                <w:lang w:val="es-CR" w:eastAsia="es-CR"/>
              </w:rPr>
              <w:t xml:space="preserve"> </w:t>
            </w:r>
            <w:r w:rsidRPr="00322D9B">
              <w:rPr>
                <w:rFonts w:ascii="Arial Narrow" w:hAnsi="Arial Narrow" w:cs="Calibri"/>
                <w:color w:val="000000" w:themeColor="text1"/>
                <w:sz w:val="22"/>
                <w:szCs w:val="22"/>
                <w:lang w:val="es-CR" w:eastAsia="es-CR"/>
              </w:rPr>
              <w:t>completada y por tal motivo no se formuló en el año 2021</w:t>
            </w:r>
            <w:r w:rsidRPr="001409FD">
              <w:rPr>
                <w:rFonts w:ascii="Arial Narrow" w:hAnsi="Arial Narrow" w:cs="Calibri"/>
                <w:color w:val="000000" w:themeColor="text1"/>
                <w:sz w:val="22"/>
                <w:szCs w:val="22"/>
                <w:lang w:val="es-CR" w:eastAsia="es-CR"/>
              </w:rPr>
              <w:t>.</w:t>
            </w:r>
          </w:p>
          <w:p w14:paraId="12FD089E" w14:textId="3871A7EA" w:rsidR="00696737" w:rsidRPr="00322D9B" w:rsidRDefault="00696737" w:rsidP="2EE460D2">
            <w:pPr>
              <w:spacing w:line="276" w:lineRule="auto"/>
              <w:jc w:val="both"/>
              <w:rPr>
                <w:rFonts w:ascii="Arial Narrow" w:hAnsi="Arial Narrow" w:cs="Calibri"/>
                <w:color w:val="000000" w:themeColor="text1"/>
                <w:sz w:val="22"/>
                <w:szCs w:val="22"/>
                <w:lang w:val="es-CR" w:eastAsia="es-CR"/>
              </w:rPr>
            </w:pPr>
          </w:p>
          <w:p w14:paraId="11D44DD0" w14:textId="3A4D7D50" w:rsidR="00696737" w:rsidRPr="00322D9B" w:rsidRDefault="621726C5" w:rsidP="00696737">
            <w:pPr>
              <w:jc w:val="both"/>
              <w:rPr>
                <w:rFonts w:ascii="Arial Narrow" w:hAnsi="Arial Narrow" w:cs="Calibri"/>
                <w:color w:val="000000"/>
                <w:sz w:val="22"/>
                <w:szCs w:val="22"/>
                <w:lang w:val="es-CR" w:eastAsia="es-CR"/>
              </w:rPr>
            </w:pPr>
            <w:r w:rsidRPr="00322D9B">
              <w:rPr>
                <w:rFonts w:ascii="Arial Narrow" w:hAnsi="Arial Narrow" w:cs="Calibri"/>
                <w:color w:val="000000" w:themeColor="text1"/>
                <w:sz w:val="22"/>
                <w:szCs w:val="22"/>
                <w:lang w:val="es-CR" w:eastAsia="es-CR"/>
              </w:rPr>
              <w:t xml:space="preserve">Por lo </w:t>
            </w:r>
            <w:r w:rsidR="00D52359" w:rsidRPr="00322D9B">
              <w:rPr>
                <w:rFonts w:ascii="Arial Narrow" w:hAnsi="Arial Narrow" w:cs="Calibri"/>
                <w:color w:val="000000" w:themeColor="text1"/>
                <w:sz w:val="22"/>
                <w:szCs w:val="22"/>
                <w:lang w:val="es-CR" w:eastAsia="es-CR"/>
              </w:rPr>
              <w:t>anterior, la</w:t>
            </w:r>
            <w:r w:rsidRPr="001409FD">
              <w:rPr>
                <w:rFonts w:ascii="Arial Narrow" w:hAnsi="Arial Narrow" w:cs="Calibri"/>
                <w:color w:val="000000" w:themeColor="text1"/>
                <w:sz w:val="22"/>
                <w:szCs w:val="22"/>
                <w:lang w:val="es-CR" w:eastAsia="es-CR"/>
              </w:rPr>
              <w:t xml:space="preserve"> oficina</w:t>
            </w:r>
            <w:r w:rsidRPr="00322D9B">
              <w:rPr>
                <w:rFonts w:ascii="Arial Narrow" w:hAnsi="Arial Narrow" w:cs="Calibri"/>
                <w:color w:val="000000" w:themeColor="text1"/>
                <w:sz w:val="22"/>
                <w:szCs w:val="22"/>
                <w:lang w:val="es-CR" w:eastAsia="es-CR"/>
              </w:rPr>
              <w:t xml:space="preserve"> Rectora de Justicia </w:t>
            </w:r>
            <w:r w:rsidR="00A33632" w:rsidRPr="00322D9B">
              <w:rPr>
                <w:rFonts w:ascii="Arial Narrow" w:hAnsi="Arial Narrow" w:cs="Calibri"/>
                <w:color w:val="000000" w:themeColor="text1"/>
                <w:sz w:val="22"/>
                <w:szCs w:val="22"/>
                <w:lang w:val="es-CR" w:eastAsia="es-CR"/>
              </w:rPr>
              <w:t>Restaurativa comunica</w:t>
            </w:r>
            <w:r w:rsidRPr="00322D9B">
              <w:rPr>
                <w:rFonts w:ascii="Arial Narrow" w:hAnsi="Arial Narrow" w:cs="Calibri"/>
                <w:color w:val="000000" w:themeColor="text1"/>
                <w:sz w:val="22"/>
                <w:szCs w:val="22"/>
                <w:lang w:val="es-CR" w:eastAsia="es-CR"/>
              </w:rPr>
              <w:t xml:space="preserve"> </w:t>
            </w:r>
            <w:r w:rsidR="00D52359" w:rsidRPr="00322D9B">
              <w:rPr>
                <w:rFonts w:ascii="Arial Narrow" w:hAnsi="Arial Narrow" w:cs="Calibri"/>
                <w:color w:val="000000" w:themeColor="text1"/>
                <w:sz w:val="22"/>
                <w:szCs w:val="22"/>
                <w:lang w:val="es-CR" w:eastAsia="es-CR"/>
              </w:rPr>
              <w:t>que se</w:t>
            </w:r>
            <w:r w:rsidRPr="001409FD">
              <w:rPr>
                <w:rFonts w:ascii="Arial Narrow" w:hAnsi="Arial Narrow" w:cs="Calibri"/>
                <w:color w:val="000000" w:themeColor="text1"/>
                <w:sz w:val="22"/>
                <w:szCs w:val="22"/>
                <w:lang w:val="es-CR" w:eastAsia="es-CR"/>
              </w:rPr>
              <w:t xml:space="preserve"> encuentra en </w:t>
            </w:r>
            <w:r w:rsidRPr="00322D9B">
              <w:rPr>
                <w:rFonts w:ascii="Arial Narrow" w:hAnsi="Arial Narrow" w:cs="Calibri"/>
                <w:color w:val="000000" w:themeColor="text1"/>
                <w:sz w:val="22"/>
                <w:szCs w:val="22"/>
                <w:lang w:val="es-CR" w:eastAsia="es-CR"/>
              </w:rPr>
              <w:t xml:space="preserve">proceso de </w:t>
            </w:r>
            <w:r w:rsidRPr="001409FD">
              <w:rPr>
                <w:rFonts w:ascii="Arial Narrow" w:hAnsi="Arial Narrow" w:cs="Calibri"/>
                <w:color w:val="000000" w:themeColor="text1"/>
                <w:sz w:val="22"/>
                <w:szCs w:val="22"/>
                <w:lang w:val="es-CR" w:eastAsia="es-CR"/>
              </w:rPr>
              <w:t>elaboración de</w:t>
            </w:r>
            <w:r w:rsidRPr="00322D9B">
              <w:rPr>
                <w:rFonts w:ascii="Arial Narrow" w:hAnsi="Arial Narrow" w:cs="Calibri"/>
                <w:color w:val="000000" w:themeColor="text1"/>
                <w:sz w:val="22"/>
                <w:szCs w:val="22"/>
                <w:lang w:val="es-CR" w:eastAsia="es-CR"/>
              </w:rPr>
              <w:t xml:space="preserve"> un oficio con la justificación </w:t>
            </w:r>
            <w:r w:rsidRPr="001409FD">
              <w:rPr>
                <w:rFonts w:ascii="Arial Narrow" w:hAnsi="Arial Narrow" w:cs="Calibri"/>
                <w:color w:val="000000" w:themeColor="text1"/>
                <w:sz w:val="22"/>
                <w:szCs w:val="22"/>
                <w:lang w:val="es-CR" w:eastAsia="es-CR"/>
              </w:rPr>
              <w:t>del cumplimiento de la meta, debido a que el proyecto terminó y no se volvió a formular para 2021</w:t>
            </w:r>
            <w:r w:rsidRPr="00322D9B">
              <w:rPr>
                <w:rFonts w:ascii="Arial Narrow" w:hAnsi="Arial Narrow" w:cs="Calibri"/>
                <w:color w:val="000000" w:themeColor="text1"/>
                <w:sz w:val="22"/>
                <w:szCs w:val="22"/>
                <w:lang w:val="es-CR" w:eastAsia="es-CR"/>
              </w:rPr>
              <w:t xml:space="preserve">. </w:t>
            </w:r>
          </w:p>
          <w:p w14:paraId="0B7B92DA" w14:textId="56BFA972" w:rsidR="00696737" w:rsidRPr="00322D9B" w:rsidRDefault="00696737" w:rsidP="00696737">
            <w:pPr>
              <w:jc w:val="both"/>
              <w:rPr>
                <w:rFonts w:ascii="Arial Narrow" w:hAnsi="Arial Narrow" w:cs="Calibri"/>
                <w:color w:val="000000"/>
                <w:sz w:val="22"/>
                <w:szCs w:val="22"/>
                <w:lang w:val="es-CR" w:eastAsia="es-CR"/>
              </w:rPr>
            </w:pPr>
          </w:p>
        </w:tc>
      </w:tr>
    </w:tbl>
    <w:p w14:paraId="4EB6A84A" w14:textId="77777777" w:rsidR="00025C8D" w:rsidRPr="008F0B82" w:rsidRDefault="00025C8D" w:rsidP="00025C8D">
      <w:pPr>
        <w:jc w:val="center"/>
        <w:rPr>
          <w:rFonts w:ascii="Arial Narrow" w:eastAsia="Batang" w:hAnsi="Arial Narrow"/>
          <w:sz w:val="18"/>
          <w:szCs w:val="18"/>
          <w:lang w:eastAsia="en-US"/>
        </w:rPr>
      </w:pPr>
      <w:r w:rsidRPr="008F0B82">
        <w:rPr>
          <w:rFonts w:ascii="Arial Narrow" w:eastAsia="Batang" w:hAnsi="Arial Narrow"/>
          <w:sz w:val="18"/>
          <w:szCs w:val="18"/>
          <w:lang w:eastAsia="en-US"/>
        </w:rPr>
        <w:t>Fuente: elaboración propia con base en el análisis de hallazgos de la evaluación.</w:t>
      </w:r>
    </w:p>
    <w:p w14:paraId="5062F0DB" w14:textId="77777777" w:rsidR="00025C8D" w:rsidRPr="008F0B82" w:rsidRDefault="00025C8D" w:rsidP="00025C8D">
      <w:pPr>
        <w:ind w:left="720"/>
        <w:jc w:val="both"/>
        <w:rPr>
          <w:rFonts w:ascii="Arial Narrow" w:eastAsia="Batang" w:hAnsi="Arial Narrow"/>
          <w:sz w:val="18"/>
          <w:szCs w:val="18"/>
          <w:lang w:eastAsia="en-US"/>
        </w:rPr>
      </w:pPr>
    </w:p>
    <w:p w14:paraId="1C704FA7" w14:textId="1BAC8174" w:rsidR="00B15CA3" w:rsidRPr="00535A53" w:rsidRDefault="00B15CA3" w:rsidP="008A7BDD">
      <w:pPr>
        <w:rPr>
          <w:rFonts w:eastAsia="Calibri"/>
          <w:lang w:val="es-CR" w:eastAsia="en-US"/>
        </w:rPr>
      </w:pPr>
    </w:p>
    <w:p w14:paraId="0C69E8B1" w14:textId="54E43F55" w:rsidR="006358B6" w:rsidRDefault="006358B6" w:rsidP="006358B6">
      <w:pPr>
        <w:jc w:val="both"/>
        <w:rPr>
          <w:rFonts w:ascii="Arial Narrow" w:eastAsia="Calibri" w:hAnsi="Arial Narrow"/>
          <w:lang w:val="es-CR"/>
        </w:rPr>
      </w:pPr>
      <w:r w:rsidRPr="006358B6">
        <w:rPr>
          <w:rFonts w:ascii="Arial Narrow" w:eastAsia="Calibri" w:hAnsi="Arial Narrow"/>
          <w:lang w:val="es-CR"/>
        </w:rPr>
        <w:t xml:space="preserve">Las oficinas y despachos que reporten metas </w:t>
      </w:r>
      <w:r w:rsidR="005940C6" w:rsidRPr="006358B6">
        <w:rPr>
          <w:rFonts w:ascii="Arial Narrow" w:eastAsia="Calibri" w:hAnsi="Arial Narrow"/>
          <w:lang w:val="es-CR"/>
        </w:rPr>
        <w:t>completadas</w:t>
      </w:r>
      <w:r w:rsidRPr="006358B6">
        <w:rPr>
          <w:rFonts w:ascii="Arial Narrow" w:eastAsia="Calibri" w:hAnsi="Arial Narrow"/>
          <w:lang w:val="es-CR"/>
        </w:rPr>
        <w:t xml:space="preserve"> deben seguir</w:t>
      </w:r>
      <w:r>
        <w:rPr>
          <w:rFonts w:ascii="Arial Narrow" w:eastAsia="Calibri" w:hAnsi="Arial Narrow"/>
          <w:lang w:val="es-CR"/>
        </w:rPr>
        <w:t xml:space="preserve"> el procedimiento aprobado para reportar que una meta estratégica ha sido debidamente completada, esto de acuerdo con la sesión de Consejo Superior 14-2022 del 17 de febrero del 2022, art</w:t>
      </w:r>
      <w:r w:rsidR="00792BB6">
        <w:rPr>
          <w:rFonts w:ascii="Arial Narrow" w:eastAsia="Calibri" w:hAnsi="Arial Narrow"/>
          <w:lang w:val="es-CR"/>
        </w:rPr>
        <w:t>í</w:t>
      </w:r>
      <w:r>
        <w:rPr>
          <w:rFonts w:ascii="Arial Narrow" w:eastAsia="Calibri" w:hAnsi="Arial Narrow"/>
          <w:lang w:val="es-CR"/>
        </w:rPr>
        <w:t>culo</w:t>
      </w:r>
      <w:r w:rsidRPr="006358B6">
        <w:rPr>
          <w:rFonts w:ascii="Arial Narrow" w:eastAsia="Calibri" w:hAnsi="Arial Narrow"/>
          <w:lang w:val="es-CR"/>
        </w:rPr>
        <w:t xml:space="preserve"> XLVIII</w:t>
      </w:r>
      <w:r>
        <w:rPr>
          <w:rFonts w:ascii="Arial Narrow" w:eastAsia="Calibri" w:hAnsi="Arial Narrow"/>
          <w:lang w:val="es-CR"/>
        </w:rPr>
        <w:t xml:space="preserve"> que acuerda:</w:t>
      </w:r>
    </w:p>
    <w:p w14:paraId="56108A8B" w14:textId="77777777" w:rsidR="006358B6" w:rsidRDefault="006358B6" w:rsidP="006358B6">
      <w:pPr>
        <w:jc w:val="both"/>
        <w:rPr>
          <w:rFonts w:ascii="Arial Narrow" w:eastAsia="Calibri" w:hAnsi="Arial Narrow"/>
          <w:lang w:val="es-CR"/>
        </w:rPr>
      </w:pPr>
    </w:p>
    <w:p w14:paraId="539FD1D5" w14:textId="77777777" w:rsidR="006358B6" w:rsidRPr="006358B6" w:rsidRDefault="006358B6" w:rsidP="006358B6">
      <w:pPr>
        <w:ind w:left="993" w:right="1700"/>
        <w:jc w:val="both"/>
        <w:rPr>
          <w:rFonts w:ascii="Arial Narrow" w:eastAsia="Calibri" w:hAnsi="Arial Narrow"/>
          <w:i/>
          <w:iCs/>
          <w:lang w:val="es-CR"/>
        </w:rPr>
      </w:pPr>
      <w:r>
        <w:rPr>
          <w:rFonts w:ascii="Arial Narrow" w:eastAsia="Calibri" w:hAnsi="Arial Narrow"/>
          <w:i/>
          <w:iCs/>
          <w:lang w:val="es-CR"/>
        </w:rPr>
        <w:t>“1)</w:t>
      </w:r>
      <w:r w:rsidRPr="006358B6">
        <w:rPr>
          <w:rFonts w:ascii="Arial Narrow" w:eastAsia="Calibri" w:hAnsi="Arial Narrow"/>
          <w:i/>
          <w:iCs/>
          <w:lang w:val="es-CR"/>
        </w:rPr>
        <w:t>Tener por rendido el Informe N°91-PLA-PE-2022 de la Dirección de Planificación, relacionado con “el Modelo de Gestión Estratégica que forma parte del Plan Estratégico Institucional 2019-2024 (PEI 2019-2024).” 2) Aprobar la propuesta para la gestión de los alineamientos estratégicos (procedimiento asociado al Subproceso de la Gestión de Solicitudes de Alineamiento Estratégico), el cual define las actividades que se desarrollan a partir del momento en que una oficina o despacho judicial plantea una solicitud de alineamiento estratégico, que implica la valoración para los ajustes a cualquiera de los componentes del Plan Estratégico Institucional (PEI), hasta el momento en que la Corte Plena conoce y aprueba la solicitud del alineamiento estratégico planteado y su ejecución</w:t>
      </w:r>
      <w:r>
        <w:rPr>
          <w:rFonts w:ascii="Arial Narrow" w:eastAsia="Calibri" w:hAnsi="Arial Narrow"/>
          <w:i/>
          <w:iCs/>
          <w:lang w:val="es-CR"/>
        </w:rPr>
        <w:t>”.</w:t>
      </w:r>
    </w:p>
    <w:p w14:paraId="46A03DA6" w14:textId="77777777" w:rsidR="006358B6" w:rsidRPr="00535A53" w:rsidRDefault="006358B6" w:rsidP="008A7BDD">
      <w:pPr>
        <w:rPr>
          <w:rFonts w:eastAsia="Calibri"/>
          <w:lang w:val="es-CR" w:eastAsia="en-US"/>
        </w:rPr>
      </w:pPr>
    </w:p>
    <w:p w14:paraId="5942404F" w14:textId="635CD5BA" w:rsidR="008A7BDD" w:rsidRPr="00535A53" w:rsidRDefault="008A7BDD" w:rsidP="008A7BDD">
      <w:pPr>
        <w:rPr>
          <w:rFonts w:eastAsia="Calibri"/>
          <w:lang w:val="es-CR" w:eastAsia="en-US"/>
        </w:rPr>
      </w:pPr>
    </w:p>
    <w:p w14:paraId="7E6AA9D4" w14:textId="5FD51A7B" w:rsidR="008A7BDD" w:rsidRPr="00A34EED" w:rsidRDefault="008A7BDD" w:rsidP="00322D9B">
      <w:pPr>
        <w:pStyle w:val="Ttulo2"/>
      </w:pPr>
      <w:bookmarkStart w:id="40" w:name="_Toc106355271"/>
      <w:r w:rsidRPr="00A34EED">
        <w:t>Tema estratégico: Confianza y Probidad en la Justicia</w:t>
      </w:r>
      <w:bookmarkEnd w:id="40"/>
      <w:r w:rsidR="00D73200" w:rsidRPr="00A34EED">
        <w:t xml:space="preserve">  </w:t>
      </w:r>
    </w:p>
    <w:p w14:paraId="1A8DBBAA" w14:textId="77777777" w:rsidR="00943591" w:rsidRPr="00535A53" w:rsidRDefault="00943591" w:rsidP="008A7BDD">
      <w:pPr>
        <w:rPr>
          <w:rFonts w:eastAsia="Calibri"/>
          <w:lang w:val="es-CR" w:eastAsia="en-US"/>
        </w:rPr>
      </w:pPr>
    </w:p>
    <w:p w14:paraId="7B802725" w14:textId="62881B57" w:rsidR="008A7BDD" w:rsidRPr="00535A53" w:rsidRDefault="00943591" w:rsidP="00943591">
      <w:pPr>
        <w:jc w:val="both"/>
        <w:rPr>
          <w:rFonts w:ascii="Arial Narrow" w:eastAsia="Calibri" w:hAnsi="Arial Narrow"/>
          <w:lang w:val="es-CR" w:eastAsia="en-US"/>
        </w:rPr>
      </w:pPr>
      <w:r w:rsidRPr="00535A53">
        <w:rPr>
          <w:rFonts w:ascii="Arial Narrow" w:eastAsia="Calibri" w:hAnsi="Arial Narrow"/>
          <w:lang w:val="es-CR" w:eastAsia="en-US"/>
        </w:rPr>
        <w:t>Este tema consiste en fortalecer la confianza de la sociedad con probidad en el servicio de justicia, para contribuir con el desarrollo integral y sostenible del país. Presenta las siguientes acciones estratégicas:</w:t>
      </w:r>
    </w:p>
    <w:p w14:paraId="00022662" w14:textId="77777777" w:rsidR="00943591" w:rsidRPr="00535A53" w:rsidRDefault="00943591" w:rsidP="00A00E43">
      <w:pPr>
        <w:rPr>
          <w:rFonts w:eastAsia="Calibri"/>
          <w:lang w:val="es-CR" w:eastAsia="en-US"/>
        </w:rPr>
      </w:pPr>
    </w:p>
    <w:p w14:paraId="48A7B8F0" w14:textId="77777777" w:rsidR="008A7BDD" w:rsidRPr="00535A53" w:rsidRDefault="008A7BDD" w:rsidP="00A00E43">
      <w:pPr>
        <w:pStyle w:val="Prrafodelista"/>
        <w:numPr>
          <w:ilvl w:val="0"/>
          <w:numId w:val="17"/>
        </w:numPr>
        <w:jc w:val="both"/>
        <w:rPr>
          <w:rFonts w:ascii="Arial Narrow" w:eastAsia="Calibri" w:hAnsi="Arial Narrow"/>
          <w:lang w:val="es-CR" w:eastAsia="en-US"/>
        </w:rPr>
      </w:pPr>
      <w:r w:rsidRPr="00535A53">
        <w:rPr>
          <w:rFonts w:ascii="Arial Narrow" w:eastAsia="Calibri" w:hAnsi="Arial Narrow"/>
          <w:b/>
          <w:bCs/>
          <w:lang w:val="es-CR" w:eastAsia="en-US"/>
        </w:rPr>
        <w:t>Transparencia y rendición de cuentas:</w:t>
      </w:r>
      <w:r w:rsidRPr="00535A53">
        <w:rPr>
          <w:rFonts w:ascii="Arial Narrow" w:eastAsia="Calibri" w:hAnsi="Arial Narrow"/>
          <w:lang w:val="es-CR" w:eastAsia="en-US"/>
        </w:rPr>
        <w:t xml:space="preserve"> Desarrollar procesos de rendición de cuentas y transparencia institucional, que permitan el derecho de acceso y la comprensión de la información pública, sin mayores limitaciones que aquellas expresamente establecidas por las leyes, haciendo uso de soluciones tecnológicas novedosas.</w:t>
      </w:r>
    </w:p>
    <w:p w14:paraId="656EBC0E" w14:textId="77777777" w:rsidR="008A7BDD" w:rsidRPr="00535A53" w:rsidRDefault="008A7BDD" w:rsidP="00A00E43">
      <w:pPr>
        <w:pStyle w:val="Prrafodelista"/>
        <w:numPr>
          <w:ilvl w:val="0"/>
          <w:numId w:val="17"/>
        </w:numPr>
        <w:jc w:val="both"/>
        <w:rPr>
          <w:rFonts w:ascii="Arial Narrow" w:eastAsia="Calibri" w:hAnsi="Arial Narrow"/>
          <w:lang w:val="es-CR" w:eastAsia="en-US"/>
        </w:rPr>
      </w:pPr>
      <w:r w:rsidRPr="00535A53">
        <w:rPr>
          <w:rFonts w:ascii="Arial Narrow" w:eastAsia="Calibri" w:hAnsi="Arial Narrow"/>
          <w:b/>
          <w:bCs/>
          <w:lang w:val="es-CR" w:eastAsia="en-US"/>
        </w:rPr>
        <w:t>Probidad y anticorrupción</w:t>
      </w:r>
      <w:r w:rsidRPr="00535A53">
        <w:rPr>
          <w:rFonts w:ascii="Arial Narrow" w:eastAsia="Calibri" w:hAnsi="Arial Narrow"/>
          <w:lang w:val="es-CR" w:eastAsia="en-US"/>
        </w:rPr>
        <w:t xml:space="preserve">: Diseñar estrategias que permitan la prevención y abordaje de los delitos de probidad y corrupción en la gestión judicial. </w:t>
      </w:r>
    </w:p>
    <w:p w14:paraId="6431625D" w14:textId="77777777" w:rsidR="008A7BDD" w:rsidRPr="00CC279A" w:rsidRDefault="008A7BDD" w:rsidP="00A00E43">
      <w:pPr>
        <w:pStyle w:val="Prrafodelista"/>
        <w:numPr>
          <w:ilvl w:val="0"/>
          <w:numId w:val="17"/>
        </w:numPr>
        <w:jc w:val="both"/>
        <w:rPr>
          <w:rFonts w:ascii="Arial Narrow" w:eastAsia="Calibri" w:hAnsi="Arial Narrow"/>
          <w:lang w:eastAsia="en-US"/>
        </w:rPr>
      </w:pPr>
      <w:r w:rsidRPr="00535A53">
        <w:rPr>
          <w:rFonts w:ascii="Arial Narrow" w:eastAsia="Calibri" w:hAnsi="Arial Narrow"/>
          <w:b/>
          <w:bCs/>
          <w:lang w:val="es-CR" w:eastAsia="en-US"/>
        </w:rPr>
        <w:t>Colaboración interna y externa</w:t>
      </w:r>
      <w:r w:rsidRPr="00535A53">
        <w:rPr>
          <w:rFonts w:ascii="Arial Narrow" w:eastAsia="Calibri" w:hAnsi="Arial Narrow"/>
          <w:lang w:val="es-CR" w:eastAsia="en-US"/>
        </w:rPr>
        <w:t>: Optimizar y desarrollar procesos estandarizados para la gestión técnica y administrativa que involucren a distintos actores sociales en el diseño, ejecución y evaluación de políticas, programas, proyectos, planes y otras acciones del Poder</w:t>
      </w:r>
      <w:r w:rsidRPr="00CC279A">
        <w:rPr>
          <w:rFonts w:ascii="Arial Narrow" w:eastAsia="Calibri" w:hAnsi="Arial Narrow"/>
          <w:lang w:eastAsia="en-US"/>
        </w:rPr>
        <w:t xml:space="preserve"> Judicial, mediante alianzas, la creación y las redes de trabajo y apoyo, con el fin de mejorar la calidad del servicio público que se brinda. </w:t>
      </w:r>
    </w:p>
    <w:p w14:paraId="55977E99" w14:textId="77777777" w:rsidR="008A7BDD" w:rsidRPr="00CC279A" w:rsidRDefault="008A7BDD" w:rsidP="00A00E43">
      <w:pPr>
        <w:pStyle w:val="Prrafodelista"/>
        <w:numPr>
          <w:ilvl w:val="0"/>
          <w:numId w:val="17"/>
        </w:numPr>
        <w:jc w:val="both"/>
        <w:rPr>
          <w:rFonts w:ascii="Arial Narrow" w:eastAsia="Calibri" w:hAnsi="Arial Narrow"/>
          <w:lang w:eastAsia="en-US"/>
        </w:rPr>
      </w:pPr>
      <w:r w:rsidRPr="00CC279A">
        <w:rPr>
          <w:rFonts w:ascii="Arial Narrow" w:eastAsia="Calibri" w:hAnsi="Arial Narrow"/>
          <w:b/>
          <w:bCs/>
          <w:lang w:eastAsia="en-US"/>
        </w:rPr>
        <w:t>Comunicación y proyección institucional</w:t>
      </w:r>
      <w:r w:rsidRPr="00CC279A">
        <w:rPr>
          <w:rFonts w:ascii="Arial Narrow" w:eastAsia="Calibri" w:hAnsi="Arial Narrow"/>
          <w:lang w:eastAsia="en-US"/>
        </w:rPr>
        <w:t xml:space="preserve">: Proyectar la imagen del Poder Judicial mediante la divulgación del quehacer institucional, en la comunidad nacional e internacional. </w:t>
      </w:r>
    </w:p>
    <w:p w14:paraId="2FE0943E" w14:textId="0DA0C03C" w:rsidR="008A7BDD" w:rsidRDefault="008A7BDD" w:rsidP="00A00E43">
      <w:pPr>
        <w:pStyle w:val="Prrafodelista"/>
        <w:numPr>
          <w:ilvl w:val="0"/>
          <w:numId w:val="17"/>
        </w:numPr>
        <w:jc w:val="both"/>
        <w:rPr>
          <w:rFonts w:ascii="Arial Narrow" w:eastAsia="Calibri" w:hAnsi="Arial Narrow"/>
          <w:lang w:eastAsia="en-US"/>
        </w:rPr>
      </w:pPr>
      <w:r w:rsidRPr="00CC279A">
        <w:rPr>
          <w:rFonts w:ascii="Arial Narrow" w:eastAsia="Calibri" w:hAnsi="Arial Narrow"/>
          <w:b/>
          <w:bCs/>
          <w:lang w:eastAsia="en-US"/>
        </w:rPr>
        <w:t>Participación ciudadana</w:t>
      </w:r>
      <w:r w:rsidRPr="00CC279A">
        <w:rPr>
          <w:rFonts w:ascii="Arial Narrow" w:eastAsia="Calibri" w:hAnsi="Arial Narrow"/>
          <w:lang w:eastAsia="en-US"/>
        </w:rPr>
        <w:t>: Desarrollar estrategias de participación ciudadana responsables, activas y sostenibles, que contribuya en la toma de decisiones del Poder Judicial y mejoramiento del servicio público.</w:t>
      </w:r>
    </w:p>
    <w:p w14:paraId="6AFB7BC3" w14:textId="77777777" w:rsidR="00176CB1" w:rsidRDefault="00176CB1" w:rsidP="00A00E43">
      <w:pPr>
        <w:pStyle w:val="Prrafodelista"/>
        <w:ind w:left="720"/>
        <w:jc w:val="both"/>
        <w:rPr>
          <w:rFonts w:ascii="Arial Narrow" w:eastAsia="Calibri" w:hAnsi="Arial Narrow"/>
          <w:lang w:eastAsia="en-US"/>
        </w:rPr>
      </w:pPr>
    </w:p>
    <w:p w14:paraId="4540EBEE" w14:textId="7ED76790" w:rsidR="00B15CA3" w:rsidRDefault="00176CB1" w:rsidP="00A00E43">
      <w:pPr>
        <w:jc w:val="both"/>
        <w:rPr>
          <w:rFonts w:ascii="Arial Narrow" w:eastAsia="Calibri" w:hAnsi="Arial Narrow"/>
          <w:lang w:eastAsia="en-US"/>
        </w:rPr>
      </w:pPr>
      <w:r w:rsidRPr="00176CB1">
        <w:rPr>
          <w:rFonts w:ascii="Arial Narrow" w:eastAsia="Calibri" w:hAnsi="Arial Narrow"/>
          <w:lang w:eastAsia="en-US"/>
        </w:rPr>
        <w:t>Se presenta el análisis de metas estratégicas agrupadas por la acción estratégica a la que pertenecen:</w:t>
      </w:r>
    </w:p>
    <w:p w14:paraId="28AD0583" w14:textId="58215EB2" w:rsidR="00C8209D" w:rsidRDefault="00C8209D" w:rsidP="00A00E43">
      <w:pPr>
        <w:jc w:val="both"/>
        <w:rPr>
          <w:rFonts w:ascii="Arial Narrow" w:eastAsia="Calibri" w:hAnsi="Arial Narrow"/>
          <w:lang w:eastAsia="en-US"/>
        </w:rPr>
      </w:pPr>
    </w:p>
    <w:p w14:paraId="133AC1B6" w14:textId="77777777" w:rsidR="00C8209D" w:rsidRDefault="00C8209D" w:rsidP="00A00E43">
      <w:pPr>
        <w:jc w:val="both"/>
        <w:rPr>
          <w:rFonts w:ascii="Arial Narrow" w:eastAsia="Calibri" w:hAnsi="Arial Narrow"/>
          <w:lang w:eastAsia="en-US"/>
        </w:rPr>
      </w:pPr>
    </w:p>
    <w:p w14:paraId="59F4FB35" w14:textId="365B09E5" w:rsidR="006B6861" w:rsidRPr="00322D9B" w:rsidRDefault="006B6861" w:rsidP="00322D9B">
      <w:pPr>
        <w:pStyle w:val="Ttulo3"/>
        <w:numPr>
          <w:ilvl w:val="2"/>
          <w:numId w:val="123"/>
        </w:numPr>
        <w:rPr>
          <w:rFonts w:ascii="Arial Narrow" w:eastAsia="Calibri" w:hAnsi="Arial Narrow"/>
          <w:szCs w:val="24"/>
        </w:rPr>
      </w:pPr>
      <w:bookmarkStart w:id="41" w:name="_Toc106355272"/>
      <w:r w:rsidRPr="00322D9B">
        <w:rPr>
          <w:rFonts w:ascii="Arial Narrow" w:eastAsia="Calibri" w:hAnsi="Arial Narrow"/>
          <w:iCs/>
          <w:szCs w:val="24"/>
          <w:lang w:val="es-CR"/>
        </w:rPr>
        <w:t>Transpare</w:t>
      </w:r>
      <w:r w:rsidRPr="00322D9B">
        <w:rPr>
          <w:rFonts w:ascii="Arial Narrow" w:eastAsia="Calibri" w:hAnsi="Arial Narrow"/>
          <w:szCs w:val="24"/>
        </w:rPr>
        <w:t>ncia y rendición de cuentas</w:t>
      </w:r>
      <w:bookmarkEnd w:id="41"/>
    </w:p>
    <w:p w14:paraId="02101D54" w14:textId="04A49163" w:rsidR="006B6861" w:rsidRPr="00A12CF5" w:rsidRDefault="006B6861" w:rsidP="00A12CF5">
      <w:pPr>
        <w:pStyle w:val="Prrafodelista"/>
        <w:ind w:left="720"/>
        <w:jc w:val="both"/>
        <w:rPr>
          <w:rFonts w:ascii="Arial Narrow" w:eastAsia="Calibri" w:hAnsi="Arial Narrow"/>
          <w:b/>
          <w:bCs/>
          <w:lang w:eastAsia="en-US"/>
        </w:rPr>
      </w:pPr>
    </w:p>
    <w:p w14:paraId="4EB51CB6" w14:textId="6F122B8E" w:rsidR="00A12CF5" w:rsidRPr="00A12CF5" w:rsidRDefault="00A12CF5" w:rsidP="00A12CF5">
      <w:pPr>
        <w:jc w:val="both"/>
        <w:rPr>
          <w:rFonts w:ascii="Arial Narrow" w:eastAsia="Calibri" w:hAnsi="Arial Narrow"/>
        </w:rPr>
      </w:pPr>
      <w:r w:rsidRPr="00A12CF5">
        <w:rPr>
          <w:rFonts w:ascii="Arial Narrow" w:eastAsia="Calibri" w:hAnsi="Arial Narrow"/>
        </w:rPr>
        <w:t>Con respecto a la acción estratégica Transparencia y rendición de cuentas se tiene un cumplimiento de las</w:t>
      </w:r>
      <w:r w:rsidR="00194C7D">
        <w:rPr>
          <w:rFonts w:ascii="Arial Narrow" w:eastAsia="Calibri" w:hAnsi="Arial Narrow"/>
        </w:rPr>
        <w:t xml:space="preserve"> </w:t>
      </w:r>
      <w:r w:rsidR="007E364C">
        <w:rPr>
          <w:rFonts w:ascii="Arial Narrow" w:eastAsia="Calibri" w:hAnsi="Arial Narrow"/>
        </w:rPr>
        <w:t>9</w:t>
      </w:r>
      <w:r w:rsidRPr="00A12CF5">
        <w:rPr>
          <w:rFonts w:ascii="Arial Narrow" w:eastAsia="Calibri" w:hAnsi="Arial Narrow"/>
        </w:rPr>
        <w:t xml:space="preserve"> metas estratégicas al 100%. Esto es un aspecto positivo en el cumplimiento del PEI, se muestra el compromiso en rendir cuentas por parte de los diferentes órganos y ser transparentes en la rendición de la información. </w:t>
      </w:r>
    </w:p>
    <w:p w14:paraId="7325A437" w14:textId="77777777" w:rsidR="00A12CF5" w:rsidRPr="00A12CF5" w:rsidRDefault="00A12CF5" w:rsidP="00A12CF5">
      <w:pPr>
        <w:jc w:val="both"/>
        <w:rPr>
          <w:rFonts w:ascii="Arial Narrow" w:eastAsia="Calibri" w:hAnsi="Arial Narrow"/>
        </w:rPr>
      </w:pPr>
    </w:p>
    <w:p w14:paraId="151B5061" w14:textId="7A9A5BA1" w:rsidR="00A12CF5" w:rsidRDefault="00A12CF5" w:rsidP="00A12CF5">
      <w:pPr>
        <w:jc w:val="both"/>
        <w:rPr>
          <w:rFonts w:ascii="Arial Narrow" w:eastAsia="Calibri" w:hAnsi="Arial Narrow"/>
        </w:rPr>
      </w:pPr>
      <w:r w:rsidRPr="00A12CF5">
        <w:rPr>
          <w:rFonts w:ascii="Arial Narrow" w:eastAsia="Calibri" w:hAnsi="Arial Narrow"/>
        </w:rPr>
        <w:t>A continuación, se muestran las metas estratégicas y su cumplimiento para el 2021:</w:t>
      </w:r>
    </w:p>
    <w:p w14:paraId="4F684560" w14:textId="6E3A580D" w:rsidR="0051168B" w:rsidRDefault="0051168B" w:rsidP="00A12CF5">
      <w:pPr>
        <w:jc w:val="both"/>
        <w:rPr>
          <w:rFonts w:ascii="Arial Narrow" w:eastAsia="Calibri" w:hAnsi="Arial Narrow"/>
        </w:rPr>
      </w:pPr>
    </w:p>
    <w:p w14:paraId="67C3D462" w14:textId="65B3437C" w:rsidR="008D7433" w:rsidRDefault="008D7433" w:rsidP="00A00E43">
      <w:pPr>
        <w:pStyle w:val="Descripcin"/>
        <w:jc w:val="center"/>
        <w:rPr>
          <w:rFonts w:ascii="Arial Narrow" w:hAnsi="Arial Narrow"/>
          <w:sz w:val="24"/>
          <w:szCs w:val="24"/>
        </w:rPr>
      </w:pPr>
      <w:bookmarkStart w:id="42" w:name="_Toc76062248"/>
    </w:p>
    <w:p w14:paraId="2930DDB7" w14:textId="77777777" w:rsidR="00532B98" w:rsidRPr="00532B98" w:rsidRDefault="00532B98" w:rsidP="00532B98"/>
    <w:p w14:paraId="1F11106E" w14:textId="0E6F8812" w:rsidR="006B6861" w:rsidRDefault="006B6861" w:rsidP="00A00E43">
      <w:pPr>
        <w:pStyle w:val="Descripcin"/>
        <w:jc w:val="center"/>
        <w:rPr>
          <w:rFonts w:ascii="Arial Narrow" w:eastAsia="Calibri" w:hAnsi="Arial Narrow"/>
          <w:sz w:val="24"/>
          <w:szCs w:val="24"/>
        </w:rPr>
      </w:pPr>
      <w:r w:rsidRPr="00CE3290">
        <w:rPr>
          <w:rFonts w:ascii="Arial Narrow" w:hAnsi="Arial Narrow"/>
          <w:sz w:val="24"/>
          <w:szCs w:val="24"/>
        </w:rPr>
        <w:t>Cuadro</w:t>
      </w:r>
      <w:r>
        <w:rPr>
          <w:rFonts w:ascii="Arial Narrow" w:hAnsi="Arial Narrow"/>
          <w:sz w:val="24"/>
          <w:szCs w:val="24"/>
        </w:rPr>
        <w:t xml:space="preserve"> </w:t>
      </w:r>
      <w:r w:rsidRPr="00CE3290">
        <w:rPr>
          <w:rFonts w:ascii="Arial Narrow" w:hAnsi="Arial Narrow"/>
          <w:sz w:val="24"/>
          <w:szCs w:val="24"/>
        </w:rPr>
        <w:fldChar w:fldCharType="begin"/>
      </w:r>
      <w:r w:rsidRPr="00CE3290">
        <w:rPr>
          <w:rFonts w:ascii="Arial Narrow" w:hAnsi="Arial Narrow"/>
          <w:sz w:val="24"/>
          <w:szCs w:val="24"/>
        </w:rPr>
        <w:instrText xml:space="preserve"> SEQ Cuadro_No. \* ARABIC </w:instrText>
      </w:r>
      <w:r w:rsidRPr="00CE3290">
        <w:rPr>
          <w:rFonts w:ascii="Arial Narrow" w:hAnsi="Arial Narrow"/>
          <w:sz w:val="24"/>
          <w:szCs w:val="24"/>
        </w:rPr>
        <w:fldChar w:fldCharType="separate"/>
      </w:r>
      <w:r w:rsidR="002F520A">
        <w:rPr>
          <w:rFonts w:ascii="Arial Narrow" w:hAnsi="Arial Narrow"/>
          <w:noProof/>
          <w:sz w:val="24"/>
          <w:szCs w:val="24"/>
        </w:rPr>
        <w:t>33</w:t>
      </w:r>
      <w:r w:rsidRPr="00CE3290">
        <w:rPr>
          <w:rFonts w:ascii="Arial Narrow" w:hAnsi="Arial Narrow"/>
          <w:sz w:val="24"/>
          <w:szCs w:val="24"/>
        </w:rPr>
        <w:fldChar w:fldCharType="end"/>
      </w:r>
      <w:r w:rsidRPr="00CE3290">
        <w:rPr>
          <w:rFonts w:ascii="Arial Narrow" w:hAnsi="Arial Narrow"/>
          <w:sz w:val="24"/>
          <w:szCs w:val="24"/>
        </w:rPr>
        <w:t xml:space="preserve"> </w:t>
      </w:r>
      <w:r w:rsidRPr="00CE3290">
        <w:rPr>
          <w:rFonts w:ascii="Arial Narrow" w:eastAsia="Calibri" w:hAnsi="Arial Narrow"/>
          <w:sz w:val="24"/>
          <w:szCs w:val="24"/>
        </w:rPr>
        <w:t xml:space="preserve">Metas estratégicas de Transparencia y rendición de cuentas y su cumplimiento para el </w:t>
      </w:r>
      <w:bookmarkEnd w:id="42"/>
      <w:r>
        <w:rPr>
          <w:rFonts w:ascii="Arial Narrow" w:eastAsia="Calibri" w:hAnsi="Arial Narrow"/>
          <w:sz w:val="24"/>
          <w:szCs w:val="24"/>
        </w:rPr>
        <w:t>2021</w:t>
      </w:r>
    </w:p>
    <w:p w14:paraId="7931A547" w14:textId="009E9899" w:rsidR="00253301" w:rsidRDefault="00253301" w:rsidP="00253301">
      <w:pPr>
        <w:rPr>
          <w:rFonts w:eastAsia="Calibri"/>
        </w:rPr>
      </w:pPr>
    </w:p>
    <w:p w14:paraId="32179BBF" w14:textId="09A28615" w:rsidR="004619C9" w:rsidRPr="00E43F7B" w:rsidRDefault="00253301" w:rsidP="00E43F7B">
      <w:pPr>
        <w:rPr>
          <w:rFonts w:eastAsia="Calibri"/>
        </w:rPr>
      </w:pPr>
      <w:r>
        <w:rPr>
          <w:noProof/>
        </w:rPr>
        <w:drawing>
          <wp:inline distT="0" distB="0" distL="0" distR="0" wp14:anchorId="4C5AFFC0" wp14:editId="5F37A9AE">
            <wp:extent cx="5974080" cy="2620645"/>
            <wp:effectExtent l="57150" t="57150" r="102870" b="103505"/>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74080" cy="262064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51FDB06" w14:textId="51769ECB" w:rsidR="004619C9" w:rsidRPr="00A618D8" w:rsidRDefault="004619C9" w:rsidP="00025C8D">
      <w:pPr>
        <w:jc w:val="center"/>
        <w:rPr>
          <w:rFonts w:eastAsia="Calibri"/>
          <w:b/>
          <w:bCs/>
        </w:rPr>
      </w:pPr>
      <w:r w:rsidRPr="004619C9">
        <w:rPr>
          <w:rFonts w:ascii="Arial Narrow" w:eastAsia="Calibri" w:hAnsi="Arial Narrow"/>
          <w:b/>
          <w:bCs/>
          <w:sz w:val="18"/>
          <w:szCs w:val="18"/>
          <w:lang w:eastAsia="en-US"/>
        </w:rPr>
        <w:t>Fuente:</w:t>
      </w:r>
      <w:r w:rsidRPr="000B4845">
        <w:rPr>
          <w:rFonts w:ascii="Arial Narrow" w:eastAsia="Calibri" w:hAnsi="Arial Narrow"/>
          <w:sz w:val="18"/>
          <w:szCs w:val="18"/>
          <w:lang w:eastAsia="en-US"/>
        </w:rPr>
        <w:t xml:space="preserve"> Sistema PEI al </w:t>
      </w:r>
      <w:r>
        <w:rPr>
          <w:rFonts w:ascii="Arial Narrow" w:eastAsia="Calibri" w:hAnsi="Arial Narrow"/>
          <w:sz w:val="18"/>
          <w:szCs w:val="18"/>
          <w:lang w:eastAsia="en-US"/>
        </w:rPr>
        <w:t>19</w:t>
      </w:r>
      <w:r w:rsidRPr="000B4845">
        <w:rPr>
          <w:rFonts w:ascii="Arial Narrow" w:eastAsia="Calibri" w:hAnsi="Arial Narrow"/>
          <w:sz w:val="18"/>
          <w:szCs w:val="18"/>
          <w:lang w:eastAsia="en-US"/>
        </w:rPr>
        <w:t xml:space="preserve"> de enero del </w:t>
      </w:r>
      <w:r>
        <w:rPr>
          <w:rFonts w:ascii="Arial Narrow" w:eastAsia="Calibri" w:hAnsi="Arial Narrow"/>
          <w:sz w:val="18"/>
          <w:szCs w:val="18"/>
          <w:lang w:eastAsia="en-US"/>
        </w:rPr>
        <w:t>2022 para el año 2021.</w:t>
      </w:r>
    </w:p>
    <w:p w14:paraId="02C2B1DE" w14:textId="022E3146" w:rsidR="008A5378" w:rsidRPr="004619C9" w:rsidRDefault="008A5378" w:rsidP="00A00E43">
      <w:pPr>
        <w:jc w:val="both"/>
        <w:rPr>
          <w:rFonts w:ascii="Arial Narrow" w:eastAsia="Calibri" w:hAnsi="Arial Narrow"/>
          <w:lang w:eastAsia="en-US"/>
        </w:rPr>
      </w:pPr>
    </w:p>
    <w:p w14:paraId="52835D9E" w14:textId="0D4035DC" w:rsidR="00E43F7B" w:rsidRDefault="00E43F7B" w:rsidP="00E43F7B">
      <w:pPr>
        <w:pStyle w:val="Prrafodelista"/>
        <w:ind w:left="0"/>
        <w:jc w:val="both"/>
        <w:rPr>
          <w:rFonts w:ascii="Arial Narrow" w:eastAsia="Calibri" w:hAnsi="Arial Narrow"/>
          <w:lang w:eastAsia="en-US"/>
        </w:rPr>
      </w:pPr>
    </w:p>
    <w:p w14:paraId="735EF490" w14:textId="77777777" w:rsidR="00464D7C" w:rsidRDefault="00464D7C" w:rsidP="00E43F7B">
      <w:pPr>
        <w:pStyle w:val="Prrafodelista"/>
        <w:ind w:left="0"/>
        <w:jc w:val="both"/>
        <w:rPr>
          <w:rFonts w:ascii="Arial Narrow" w:eastAsia="Calibri" w:hAnsi="Arial Narrow"/>
          <w:lang w:eastAsia="en-US"/>
        </w:rPr>
      </w:pPr>
    </w:p>
    <w:p w14:paraId="62BFEF4C" w14:textId="535E9165" w:rsidR="00464D7C" w:rsidRDefault="008A5378" w:rsidP="00E43F7B">
      <w:pPr>
        <w:pStyle w:val="Prrafodelista"/>
        <w:ind w:left="0"/>
        <w:jc w:val="both"/>
        <w:rPr>
          <w:rFonts w:ascii="Arial Narrow" w:eastAsia="Calibri" w:hAnsi="Arial Narrow"/>
          <w:lang w:eastAsia="en-US"/>
        </w:rPr>
      </w:pPr>
      <w:r w:rsidRPr="00066B2F">
        <w:rPr>
          <w:rFonts w:ascii="Arial Narrow" w:eastAsia="Calibri" w:hAnsi="Arial Narrow"/>
          <w:lang w:eastAsia="en-US"/>
        </w:rPr>
        <w:t>Como principales resultados de las metas contenidas en el cuadro anterior, se tiene</w:t>
      </w:r>
      <w:r w:rsidR="006B6861" w:rsidRPr="00066B2F">
        <w:rPr>
          <w:rFonts w:ascii="Arial Narrow" w:eastAsia="Calibri" w:hAnsi="Arial Narrow"/>
          <w:lang w:eastAsia="en-US"/>
        </w:rPr>
        <w:t xml:space="preserve"> que la Oficina de Control interno </w:t>
      </w:r>
      <w:r w:rsidR="00066B2F">
        <w:rPr>
          <w:rFonts w:ascii="Arial Narrow" w:eastAsia="Calibri" w:hAnsi="Arial Narrow"/>
          <w:lang w:eastAsia="en-US"/>
        </w:rPr>
        <w:t>m</w:t>
      </w:r>
      <w:r w:rsidR="00066B2F" w:rsidRPr="00066B2F">
        <w:rPr>
          <w:rFonts w:ascii="Arial Narrow" w:eastAsia="Calibri" w:hAnsi="Arial Narrow"/>
          <w:lang w:eastAsia="en-US"/>
        </w:rPr>
        <w:t xml:space="preserve">ediante </w:t>
      </w:r>
      <w:r w:rsidR="00066B2F">
        <w:rPr>
          <w:rFonts w:ascii="Arial Narrow" w:eastAsia="Calibri" w:hAnsi="Arial Narrow"/>
          <w:lang w:eastAsia="en-US"/>
        </w:rPr>
        <w:t xml:space="preserve">el </w:t>
      </w:r>
      <w:r w:rsidR="00066B2F" w:rsidRPr="00066B2F">
        <w:rPr>
          <w:rFonts w:ascii="Arial Narrow" w:eastAsia="Calibri" w:hAnsi="Arial Narrow"/>
          <w:lang w:eastAsia="en-US"/>
        </w:rPr>
        <w:t xml:space="preserve">oficio 55-OC-2021 </w:t>
      </w:r>
      <w:r w:rsidR="00066B2F">
        <w:rPr>
          <w:rFonts w:ascii="Arial Narrow" w:eastAsia="Calibri" w:hAnsi="Arial Narrow"/>
          <w:lang w:eastAsia="en-US"/>
        </w:rPr>
        <w:t>gestionó</w:t>
      </w:r>
      <w:r w:rsidR="00066B2F" w:rsidRPr="00066B2F">
        <w:rPr>
          <w:rFonts w:ascii="Arial Narrow" w:eastAsia="Calibri" w:hAnsi="Arial Narrow"/>
          <w:lang w:eastAsia="en-US"/>
        </w:rPr>
        <w:t xml:space="preserve"> a la embajada de USA la propuesta de solicitud de cooperación internacional denominado "Programa Integral de Fortalecimiento Anticorrupción", donde</w:t>
      </w:r>
      <w:r w:rsidR="00066B2F">
        <w:rPr>
          <w:rFonts w:ascii="Arial Narrow" w:eastAsia="Calibri" w:hAnsi="Arial Narrow"/>
          <w:lang w:eastAsia="en-US"/>
        </w:rPr>
        <w:t xml:space="preserve"> plantearon </w:t>
      </w:r>
      <w:r w:rsidR="00066B2F" w:rsidRPr="00066B2F">
        <w:rPr>
          <w:rFonts w:ascii="Arial Narrow" w:eastAsia="Calibri" w:hAnsi="Arial Narrow"/>
          <w:lang w:eastAsia="en-US"/>
        </w:rPr>
        <w:t xml:space="preserve">como requerimiento una Metodología de Rendición de cuentas para la gobernanza democrática e integridad judicial a nivel de órganos superiores. </w:t>
      </w:r>
    </w:p>
    <w:p w14:paraId="550F0542" w14:textId="77777777" w:rsidR="00FC269B" w:rsidRDefault="00FC269B" w:rsidP="00E43F7B">
      <w:pPr>
        <w:pStyle w:val="Prrafodelista"/>
        <w:ind w:left="0"/>
        <w:jc w:val="both"/>
        <w:rPr>
          <w:rFonts w:ascii="Arial Narrow" w:eastAsia="Calibri" w:hAnsi="Arial Narrow"/>
          <w:lang w:eastAsia="en-US"/>
        </w:rPr>
      </w:pPr>
    </w:p>
    <w:p w14:paraId="3D186D0A" w14:textId="6DFCB0A5" w:rsidR="008A5378" w:rsidRPr="00B15CA3" w:rsidRDefault="00792BB6" w:rsidP="00132A44">
      <w:pPr>
        <w:pStyle w:val="Prrafodelista"/>
        <w:ind w:left="0"/>
        <w:jc w:val="both"/>
        <w:rPr>
          <w:rFonts w:ascii="Arial Narrow" w:eastAsia="Calibri" w:hAnsi="Arial Narrow"/>
          <w:lang w:eastAsia="en-US"/>
        </w:rPr>
      </w:pPr>
      <w:r>
        <w:rPr>
          <w:rFonts w:ascii="Arial Narrow" w:eastAsia="Calibri" w:hAnsi="Arial Narrow"/>
          <w:lang w:eastAsia="en-US"/>
        </w:rPr>
        <w:t>P</w:t>
      </w:r>
      <w:r w:rsidR="00680FF2">
        <w:rPr>
          <w:rFonts w:ascii="Arial Narrow" w:eastAsia="Calibri" w:hAnsi="Arial Narrow"/>
          <w:lang w:eastAsia="en-US"/>
        </w:rPr>
        <w:t>or otra parte, la Dirección de Tecnología d</w:t>
      </w:r>
      <w:r w:rsidR="00680FF2" w:rsidRPr="00680FF2">
        <w:rPr>
          <w:rFonts w:ascii="Arial Narrow" w:eastAsia="Calibri" w:hAnsi="Arial Narrow"/>
          <w:lang w:eastAsia="en-US"/>
        </w:rPr>
        <w:t>urante el primer trimestre del 2021</w:t>
      </w:r>
      <w:r w:rsidR="00464D7C">
        <w:rPr>
          <w:rFonts w:ascii="Arial Narrow" w:eastAsia="Calibri" w:hAnsi="Arial Narrow"/>
          <w:lang w:eastAsia="en-US"/>
        </w:rPr>
        <w:t>,</w:t>
      </w:r>
      <w:r w:rsidR="00680FF2" w:rsidRPr="00680FF2">
        <w:rPr>
          <w:rFonts w:ascii="Arial Narrow" w:eastAsia="Calibri" w:hAnsi="Arial Narrow"/>
          <w:lang w:eastAsia="en-US"/>
        </w:rPr>
        <w:t xml:space="preserve"> instaló en producción el sitio web de </w:t>
      </w:r>
      <w:r w:rsidR="00680FF2">
        <w:rPr>
          <w:rFonts w:ascii="Arial Narrow" w:eastAsia="Calibri" w:hAnsi="Arial Narrow"/>
          <w:lang w:eastAsia="en-US"/>
        </w:rPr>
        <w:t>la Dirección de P</w:t>
      </w:r>
      <w:r w:rsidR="00680FF2" w:rsidRPr="00680FF2">
        <w:rPr>
          <w:rFonts w:ascii="Arial Narrow" w:eastAsia="Calibri" w:hAnsi="Arial Narrow"/>
          <w:lang w:eastAsia="en-US"/>
        </w:rPr>
        <w:t>lanificación, el cual es un sitio accesible. Esto además de otras labores relacionadas a otros subsitios del portal Web</w:t>
      </w:r>
      <w:r w:rsidR="00680FF2">
        <w:rPr>
          <w:rFonts w:ascii="Arial Narrow" w:eastAsia="Calibri" w:hAnsi="Arial Narrow"/>
          <w:lang w:eastAsia="en-US"/>
        </w:rPr>
        <w:t xml:space="preserve"> de dicha Dirección. </w:t>
      </w:r>
      <w:r w:rsidR="00B15CA3">
        <w:rPr>
          <w:rFonts w:ascii="Arial Narrow" w:eastAsia="Calibri" w:hAnsi="Arial Narrow"/>
          <w:lang w:eastAsia="en-US"/>
        </w:rPr>
        <w:t>Además</w:t>
      </w:r>
      <w:r w:rsidR="00B15CA3" w:rsidRPr="00B15CA3">
        <w:rPr>
          <w:rFonts w:ascii="Arial Narrow" w:eastAsia="Calibri" w:hAnsi="Arial Narrow"/>
        </w:rPr>
        <w:t xml:space="preserve">, se tienen que </w:t>
      </w:r>
      <w:r w:rsidR="00680FF2" w:rsidRPr="00B15CA3">
        <w:rPr>
          <w:rFonts w:ascii="Arial Narrow" w:eastAsia="Calibri" w:hAnsi="Arial Narrow"/>
        </w:rPr>
        <w:t xml:space="preserve">el Subproceso de Organización Institucional de la Dirección de Planificación procedió a </w:t>
      </w:r>
      <w:r w:rsidR="00680FF2" w:rsidRPr="00B15CA3">
        <w:rPr>
          <w:rFonts w:ascii="Arial Narrow" w:hAnsi="Arial Narrow"/>
        </w:rPr>
        <w:t xml:space="preserve">realizar el 50% solicitado en la meta operativa de estudios de competencias territoriales y a la vez </w:t>
      </w:r>
      <w:r w:rsidR="00B15CA3" w:rsidRPr="00B15CA3">
        <w:rPr>
          <w:rFonts w:ascii="Arial Narrow" w:hAnsi="Arial Narrow"/>
        </w:rPr>
        <w:t xml:space="preserve">realizaron </w:t>
      </w:r>
      <w:r w:rsidR="00680FF2" w:rsidRPr="00B15CA3">
        <w:rPr>
          <w:rFonts w:ascii="Arial Narrow" w:hAnsi="Arial Narrow"/>
        </w:rPr>
        <w:t xml:space="preserve">las actualizaciones de competencias territoriales en el Sistema de Competencias Territoriales y Estadísticas Judiciales (SAIG) y el Sistema de Información Georeferencial del Poder Judicial (SIGPJ) </w:t>
      </w:r>
      <w:r w:rsidR="00680FF2" w:rsidRPr="00B15CA3">
        <w:rPr>
          <w:rFonts w:ascii="Arial Narrow" w:eastAsia="Calibri" w:hAnsi="Arial Narrow"/>
        </w:rPr>
        <w:t>cumpliendo a cabalidad con la meta estratégica asignada</w:t>
      </w:r>
      <w:r w:rsidR="00B15CA3" w:rsidRPr="00B15CA3">
        <w:rPr>
          <w:rFonts w:ascii="Arial Narrow" w:eastAsia="Calibri" w:hAnsi="Arial Narrow"/>
        </w:rPr>
        <w:t>.</w:t>
      </w:r>
    </w:p>
    <w:p w14:paraId="64390CBD" w14:textId="6448E709" w:rsidR="008A5378" w:rsidRDefault="008A5378" w:rsidP="007918F3">
      <w:pPr>
        <w:pStyle w:val="Prrafodelista"/>
        <w:ind w:left="720"/>
        <w:jc w:val="both"/>
        <w:rPr>
          <w:rFonts w:ascii="Arial Narrow" w:eastAsia="Calibri" w:hAnsi="Arial Narrow"/>
          <w:lang w:eastAsia="en-US"/>
        </w:rPr>
      </w:pPr>
    </w:p>
    <w:p w14:paraId="5F00AF6A" w14:textId="3306BEA4" w:rsidR="004619C9" w:rsidRPr="004619C9" w:rsidRDefault="00B15CA3">
      <w:pPr>
        <w:pStyle w:val="Prrafodelista"/>
        <w:ind w:left="0"/>
        <w:jc w:val="both"/>
        <w:rPr>
          <w:rFonts w:ascii="Arial Narrow" w:eastAsia="Calibri" w:hAnsi="Arial Narrow"/>
          <w:lang w:eastAsia="en-US"/>
        </w:rPr>
      </w:pPr>
      <w:r>
        <w:rPr>
          <w:rFonts w:ascii="Arial Narrow" w:eastAsia="Calibri" w:hAnsi="Arial Narrow"/>
          <w:lang w:eastAsia="en-US"/>
        </w:rPr>
        <w:t>Finalmente</w:t>
      </w:r>
      <w:r w:rsidR="004619C9">
        <w:rPr>
          <w:rFonts w:ascii="Arial Narrow" w:eastAsia="Calibri" w:hAnsi="Arial Narrow"/>
          <w:lang w:eastAsia="en-US"/>
        </w:rPr>
        <w:t xml:space="preserve">, la Comisión de Transparencia Institucional </w:t>
      </w:r>
      <w:r w:rsidR="007A625C" w:rsidRPr="004619C9">
        <w:rPr>
          <w:rFonts w:ascii="Arial Narrow" w:eastAsia="Calibri" w:hAnsi="Arial Narrow"/>
          <w:lang w:eastAsia="en-US"/>
        </w:rPr>
        <w:t>realiz</w:t>
      </w:r>
      <w:r w:rsidR="007A625C">
        <w:rPr>
          <w:rFonts w:ascii="Arial Narrow" w:eastAsia="Calibri" w:hAnsi="Arial Narrow"/>
          <w:lang w:eastAsia="en-US"/>
        </w:rPr>
        <w:t>ó</w:t>
      </w:r>
      <w:r w:rsidR="007A625C" w:rsidRPr="004619C9">
        <w:rPr>
          <w:rFonts w:ascii="Arial Narrow" w:eastAsia="Calibri" w:hAnsi="Arial Narrow"/>
          <w:lang w:eastAsia="en-US"/>
        </w:rPr>
        <w:t xml:space="preserve"> </w:t>
      </w:r>
      <w:r w:rsidR="004619C9" w:rsidRPr="004619C9">
        <w:rPr>
          <w:rFonts w:ascii="Arial Narrow" w:eastAsia="Calibri" w:hAnsi="Arial Narrow"/>
          <w:lang w:eastAsia="en-US"/>
        </w:rPr>
        <w:t xml:space="preserve">acciones que corresponde al plan </w:t>
      </w:r>
    </w:p>
    <w:p w14:paraId="5BD4309D" w14:textId="0DA97764" w:rsidR="00B15CA3" w:rsidRPr="004619C9" w:rsidRDefault="004619C9">
      <w:pPr>
        <w:pStyle w:val="Prrafodelista"/>
        <w:ind w:left="0"/>
        <w:jc w:val="both"/>
        <w:rPr>
          <w:rFonts w:ascii="Arial Narrow" w:eastAsia="Calibri" w:hAnsi="Arial Narrow"/>
          <w:lang w:eastAsia="en-US"/>
        </w:rPr>
      </w:pPr>
      <w:r w:rsidRPr="004619C9">
        <w:rPr>
          <w:rFonts w:ascii="Arial Narrow" w:eastAsia="Calibri" w:hAnsi="Arial Narrow"/>
          <w:lang w:eastAsia="en-US"/>
        </w:rPr>
        <w:t>de acción del Principio de Transparencia de la Política de Justicia Abierta</w:t>
      </w:r>
      <w:r>
        <w:rPr>
          <w:rFonts w:ascii="Arial Narrow" w:eastAsia="Calibri" w:hAnsi="Arial Narrow"/>
          <w:lang w:eastAsia="en-US"/>
        </w:rPr>
        <w:t xml:space="preserve"> entre ellas el </w:t>
      </w:r>
      <w:r w:rsidRPr="004619C9">
        <w:rPr>
          <w:rFonts w:ascii="Arial Narrow" w:eastAsia="Calibri" w:hAnsi="Arial Narrow"/>
          <w:lang w:eastAsia="en-US"/>
        </w:rPr>
        <w:t>acompaña</w:t>
      </w:r>
      <w:r>
        <w:rPr>
          <w:rFonts w:ascii="Arial Narrow" w:eastAsia="Calibri" w:hAnsi="Arial Narrow"/>
          <w:lang w:eastAsia="en-US"/>
        </w:rPr>
        <w:t xml:space="preserve">miento en los </w:t>
      </w:r>
      <w:r w:rsidRPr="004619C9">
        <w:rPr>
          <w:rFonts w:ascii="Arial Narrow" w:eastAsia="Calibri" w:hAnsi="Arial Narrow"/>
          <w:lang w:eastAsia="en-US"/>
        </w:rPr>
        <w:t>procesos de rendición de cuentas</w:t>
      </w:r>
      <w:r>
        <w:rPr>
          <w:rFonts w:ascii="Arial Narrow" w:eastAsia="Calibri" w:hAnsi="Arial Narrow"/>
          <w:lang w:eastAsia="en-US"/>
        </w:rPr>
        <w:t xml:space="preserve"> en</w:t>
      </w:r>
      <w:r w:rsidRPr="004619C9">
        <w:rPr>
          <w:rFonts w:ascii="Arial Narrow" w:eastAsia="Calibri" w:hAnsi="Arial Narrow"/>
          <w:lang w:eastAsia="en-US"/>
        </w:rPr>
        <w:t xml:space="preserve"> el Consejo Ampliado de Cartago</w:t>
      </w:r>
      <w:r>
        <w:rPr>
          <w:rFonts w:ascii="Arial Narrow" w:eastAsia="Calibri" w:hAnsi="Arial Narrow"/>
          <w:lang w:eastAsia="en-US"/>
        </w:rPr>
        <w:t xml:space="preserve">; el </w:t>
      </w:r>
      <w:r w:rsidRPr="004619C9">
        <w:rPr>
          <w:rFonts w:ascii="Arial Narrow" w:eastAsia="Calibri" w:hAnsi="Arial Narrow"/>
          <w:lang w:eastAsia="en-US"/>
        </w:rPr>
        <w:t>apoyo en la apertura de datos abiertos, así como en el desarrollo del Observatorio Judicial.</w:t>
      </w:r>
    </w:p>
    <w:p w14:paraId="0AFE482A" w14:textId="77777777" w:rsidR="00E43F7B" w:rsidRPr="001B00FB" w:rsidRDefault="00E43F7B" w:rsidP="001B00FB">
      <w:pPr>
        <w:spacing w:line="360" w:lineRule="auto"/>
        <w:jc w:val="both"/>
        <w:rPr>
          <w:rFonts w:ascii="Arial Narrow" w:eastAsia="Calibri" w:hAnsi="Arial Narrow"/>
          <w:b/>
          <w:bCs/>
          <w:lang w:eastAsia="en-US"/>
        </w:rPr>
      </w:pPr>
    </w:p>
    <w:p w14:paraId="2B16B715" w14:textId="0BE1AF78" w:rsidR="001B00FB" w:rsidRDefault="001B00FB" w:rsidP="00A00E43">
      <w:pPr>
        <w:pStyle w:val="Descripcin"/>
        <w:jc w:val="center"/>
        <w:rPr>
          <w:rFonts w:ascii="Arial Narrow" w:eastAsia="Calibri" w:hAnsi="Arial Narrow"/>
          <w:sz w:val="24"/>
          <w:szCs w:val="24"/>
        </w:rPr>
      </w:pPr>
      <w:r w:rsidRPr="00CE3290">
        <w:rPr>
          <w:rFonts w:ascii="Arial Narrow" w:hAnsi="Arial Narrow"/>
          <w:sz w:val="24"/>
          <w:szCs w:val="24"/>
        </w:rPr>
        <w:t>Cuadro</w:t>
      </w:r>
      <w:r>
        <w:rPr>
          <w:rFonts w:ascii="Arial Narrow" w:hAnsi="Arial Narrow"/>
          <w:sz w:val="24"/>
          <w:szCs w:val="24"/>
        </w:rPr>
        <w:t xml:space="preserve"> </w:t>
      </w:r>
      <w:r w:rsidRPr="00CE3290">
        <w:rPr>
          <w:rFonts w:ascii="Arial Narrow" w:hAnsi="Arial Narrow"/>
          <w:sz w:val="24"/>
          <w:szCs w:val="24"/>
        </w:rPr>
        <w:fldChar w:fldCharType="begin"/>
      </w:r>
      <w:r w:rsidRPr="00CE3290">
        <w:rPr>
          <w:rFonts w:ascii="Arial Narrow" w:hAnsi="Arial Narrow"/>
          <w:sz w:val="24"/>
          <w:szCs w:val="24"/>
        </w:rPr>
        <w:instrText xml:space="preserve"> SEQ Cuadro_No. \* ARABIC </w:instrText>
      </w:r>
      <w:r w:rsidRPr="00CE3290">
        <w:rPr>
          <w:rFonts w:ascii="Arial Narrow" w:hAnsi="Arial Narrow"/>
          <w:sz w:val="24"/>
          <w:szCs w:val="24"/>
        </w:rPr>
        <w:fldChar w:fldCharType="separate"/>
      </w:r>
      <w:r w:rsidR="002F520A">
        <w:rPr>
          <w:rFonts w:ascii="Arial Narrow" w:hAnsi="Arial Narrow"/>
          <w:noProof/>
          <w:sz w:val="24"/>
          <w:szCs w:val="24"/>
        </w:rPr>
        <w:t>34</w:t>
      </w:r>
      <w:r w:rsidRPr="00CE3290">
        <w:rPr>
          <w:rFonts w:ascii="Arial Narrow" w:hAnsi="Arial Narrow"/>
          <w:sz w:val="24"/>
          <w:szCs w:val="24"/>
        </w:rPr>
        <w:fldChar w:fldCharType="end"/>
      </w:r>
      <w:r w:rsidRPr="00CE3290">
        <w:rPr>
          <w:rFonts w:ascii="Arial Narrow" w:hAnsi="Arial Narrow"/>
          <w:sz w:val="24"/>
          <w:szCs w:val="24"/>
        </w:rPr>
        <w:t xml:space="preserve"> </w:t>
      </w:r>
      <w:r w:rsidRPr="00CE3290">
        <w:rPr>
          <w:rFonts w:ascii="Arial Narrow" w:eastAsia="Calibri" w:hAnsi="Arial Narrow"/>
          <w:sz w:val="24"/>
          <w:szCs w:val="24"/>
        </w:rPr>
        <w:t xml:space="preserve">Metas estratégicas de Transparencia y rendición de cuentas y su cumplimiento para el </w:t>
      </w:r>
      <w:r>
        <w:rPr>
          <w:rFonts w:ascii="Arial Narrow" w:eastAsia="Calibri" w:hAnsi="Arial Narrow"/>
          <w:sz w:val="24"/>
          <w:szCs w:val="24"/>
        </w:rPr>
        <w:t>2021</w:t>
      </w:r>
    </w:p>
    <w:p w14:paraId="0095C70F" w14:textId="4B4B44DC" w:rsidR="002B6256" w:rsidRPr="002875C0" w:rsidRDefault="002875C0" w:rsidP="002875C0">
      <w:pPr>
        <w:rPr>
          <w:rFonts w:eastAsia="Calibri"/>
        </w:rPr>
      </w:pPr>
      <w:r>
        <w:rPr>
          <w:noProof/>
        </w:rPr>
        <w:drawing>
          <wp:inline distT="0" distB="0" distL="0" distR="0" wp14:anchorId="7E6E38E1" wp14:editId="12E61520">
            <wp:extent cx="5940498" cy="2627427"/>
            <wp:effectExtent l="57150" t="57150" r="98425" b="97155"/>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104" r="449"/>
                    <a:stretch/>
                  </pic:blipFill>
                  <pic:spPr bwMode="auto">
                    <a:xfrm>
                      <a:off x="0" y="0"/>
                      <a:ext cx="5940957" cy="2627630"/>
                    </a:xfrm>
                    <a:prstGeom prst="rect">
                      <a:avLst/>
                    </a:prstGeom>
                    <a:ln w="127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D4E9BD9" w14:textId="52856D3E" w:rsidR="00C86204" w:rsidRPr="00A618D8" w:rsidRDefault="00C86204" w:rsidP="00B54439">
      <w:pPr>
        <w:jc w:val="center"/>
        <w:rPr>
          <w:rFonts w:eastAsia="Calibri"/>
          <w:b/>
          <w:bCs/>
        </w:rPr>
      </w:pPr>
      <w:r w:rsidRPr="004619C9">
        <w:rPr>
          <w:rFonts w:ascii="Arial Narrow" w:eastAsia="Calibri" w:hAnsi="Arial Narrow"/>
          <w:b/>
          <w:bCs/>
          <w:sz w:val="18"/>
          <w:szCs w:val="18"/>
          <w:lang w:eastAsia="en-US"/>
        </w:rPr>
        <w:t>Fuente:</w:t>
      </w:r>
      <w:r w:rsidRPr="000B4845">
        <w:rPr>
          <w:rFonts w:ascii="Arial Narrow" w:eastAsia="Calibri" w:hAnsi="Arial Narrow"/>
          <w:sz w:val="18"/>
          <w:szCs w:val="18"/>
          <w:lang w:eastAsia="en-US"/>
        </w:rPr>
        <w:t xml:space="preserve"> Sistema PEI al </w:t>
      </w:r>
      <w:r>
        <w:rPr>
          <w:rFonts w:ascii="Arial Narrow" w:eastAsia="Calibri" w:hAnsi="Arial Narrow"/>
          <w:sz w:val="18"/>
          <w:szCs w:val="18"/>
          <w:lang w:eastAsia="en-US"/>
        </w:rPr>
        <w:t>19</w:t>
      </w:r>
      <w:r w:rsidRPr="000B4845">
        <w:rPr>
          <w:rFonts w:ascii="Arial Narrow" w:eastAsia="Calibri" w:hAnsi="Arial Narrow"/>
          <w:sz w:val="18"/>
          <w:szCs w:val="18"/>
          <w:lang w:eastAsia="en-US"/>
        </w:rPr>
        <w:t xml:space="preserve"> de enero del </w:t>
      </w:r>
      <w:r>
        <w:rPr>
          <w:rFonts w:ascii="Arial Narrow" w:eastAsia="Calibri" w:hAnsi="Arial Narrow"/>
          <w:sz w:val="18"/>
          <w:szCs w:val="18"/>
          <w:lang w:eastAsia="en-US"/>
        </w:rPr>
        <w:t>2022 para el año 2021.</w:t>
      </w:r>
    </w:p>
    <w:p w14:paraId="291FE982" w14:textId="2BBDB71D" w:rsidR="002B6256" w:rsidRDefault="002B6256" w:rsidP="00736477">
      <w:pPr>
        <w:jc w:val="both"/>
        <w:rPr>
          <w:rFonts w:ascii="Arial Narrow" w:eastAsiaTheme="minorHAnsi" w:hAnsi="Arial Narrow" w:cstheme="minorBidi"/>
          <w:lang w:val="es-CR" w:eastAsia="en-US"/>
        </w:rPr>
      </w:pPr>
    </w:p>
    <w:p w14:paraId="2826A0DD" w14:textId="77777777" w:rsidR="00C86204" w:rsidRDefault="00C86204" w:rsidP="00736477">
      <w:pPr>
        <w:jc w:val="both"/>
        <w:rPr>
          <w:rFonts w:ascii="Arial Narrow" w:eastAsiaTheme="minorHAnsi" w:hAnsi="Arial Narrow" w:cstheme="minorBidi"/>
          <w:lang w:val="es-CR" w:eastAsia="en-US"/>
        </w:rPr>
      </w:pPr>
    </w:p>
    <w:p w14:paraId="0E0950A8" w14:textId="0D0237B6" w:rsidR="00266E45" w:rsidRPr="00266E45" w:rsidRDefault="00266E45" w:rsidP="00736477">
      <w:pPr>
        <w:jc w:val="both"/>
        <w:rPr>
          <w:rFonts w:ascii="Arial Narrow" w:eastAsiaTheme="minorHAnsi" w:hAnsi="Arial Narrow" w:cstheme="minorBidi"/>
          <w:lang w:val="es-CR" w:eastAsia="en-US"/>
        </w:rPr>
      </w:pPr>
      <w:r w:rsidRPr="00266E45">
        <w:rPr>
          <w:rFonts w:ascii="Arial Narrow" w:eastAsiaTheme="minorHAnsi" w:hAnsi="Arial Narrow" w:cstheme="minorBidi"/>
          <w:lang w:val="es-CR" w:eastAsia="en-US"/>
        </w:rPr>
        <w:t>El Ministerio Público ha realizado esfuerzos en el 2021 para cumplir con la estrategia de rendición de cuentas por medio del oficio 712-FAPTA-2021</w:t>
      </w:r>
      <w:r>
        <w:rPr>
          <w:rFonts w:ascii="Arial Narrow" w:eastAsiaTheme="minorHAnsi" w:hAnsi="Arial Narrow" w:cstheme="minorBidi"/>
          <w:lang w:val="es-CR" w:eastAsia="en-US"/>
        </w:rPr>
        <w:t xml:space="preserve"> </w:t>
      </w:r>
      <w:r w:rsidRPr="00266E45">
        <w:rPr>
          <w:rFonts w:ascii="Arial Narrow" w:eastAsiaTheme="minorHAnsi" w:hAnsi="Arial Narrow" w:cstheme="minorBidi"/>
          <w:lang w:val="es-CR" w:eastAsia="en-US"/>
        </w:rPr>
        <w:t xml:space="preserve">se informa </w:t>
      </w:r>
      <w:r>
        <w:rPr>
          <w:rFonts w:ascii="Arial Narrow" w:eastAsiaTheme="minorHAnsi" w:hAnsi="Arial Narrow" w:cstheme="minorBidi"/>
          <w:lang w:val="es-CR" w:eastAsia="en-US"/>
        </w:rPr>
        <w:t>que s</w:t>
      </w:r>
      <w:r w:rsidRPr="00266E45">
        <w:rPr>
          <w:rFonts w:ascii="Arial Narrow" w:eastAsiaTheme="minorHAnsi" w:hAnsi="Arial Narrow" w:cstheme="minorBidi"/>
          <w:lang w:val="es-CR" w:eastAsia="en-US"/>
        </w:rPr>
        <w:t xml:space="preserve">e </w:t>
      </w:r>
      <w:r>
        <w:rPr>
          <w:rFonts w:ascii="Arial Narrow" w:eastAsiaTheme="minorHAnsi" w:hAnsi="Arial Narrow" w:cstheme="minorBidi"/>
          <w:lang w:val="es-CR" w:eastAsia="en-US"/>
        </w:rPr>
        <w:t>determinó</w:t>
      </w:r>
      <w:r w:rsidRPr="00266E45">
        <w:rPr>
          <w:rFonts w:ascii="Arial Narrow" w:eastAsiaTheme="minorHAnsi" w:hAnsi="Arial Narrow" w:cstheme="minorBidi"/>
          <w:lang w:val="es-CR" w:eastAsia="en-US"/>
        </w:rPr>
        <w:t xml:space="preserve"> el equipo responsable del procesamiento y análisis de la información cuantitativa y cualitativa, siendo una labor que se realizó en conjunto el Área de Transparencia y la Unidad de Monitoreo y Gestión de Fiscalías. </w:t>
      </w:r>
      <w:r>
        <w:rPr>
          <w:rFonts w:ascii="Arial Narrow" w:eastAsiaTheme="minorHAnsi" w:hAnsi="Arial Narrow" w:cstheme="minorBidi"/>
          <w:lang w:val="es-CR" w:eastAsia="en-US"/>
        </w:rPr>
        <w:t xml:space="preserve">Además, se indica que </w:t>
      </w:r>
      <w:r w:rsidRPr="00266E45">
        <w:rPr>
          <w:rFonts w:ascii="Arial Narrow" w:eastAsiaTheme="minorHAnsi" w:hAnsi="Arial Narrow" w:cstheme="minorBidi"/>
          <w:lang w:val="es-CR" w:eastAsia="en-US"/>
        </w:rPr>
        <w:t xml:space="preserve">se trabajó en la elaboración de una guía metodológica </w:t>
      </w:r>
      <w:r>
        <w:rPr>
          <w:rFonts w:ascii="Arial Narrow" w:eastAsiaTheme="minorHAnsi" w:hAnsi="Arial Narrow" w:cstheme="minorBidi"/>
          <w:lang w:val="es-CR" w:eastAsia="en-US"/>
        </w:rPr>
        <w:t xml:space="preserve">para orientar </w:t>
      </w:r>
      <w:r w:rsidRPr="00266E45">
        <w:rPr>
          <w:rFonts w:ascii="Arial Narrow" w:eastAsiaTheme="minorHAnsi" w:hAnsi="Arial Narrow" w:cstheme="minorBidi"/>
          <w:lang w:val="es-CR" w:eastAsia="en-US"/>
        </w:rPr>
        <w:t>conceptualmente el proceso, así como un manual para aspectos de protocolo y comunicación</w:t>
      </w:r>
      <w:r>
        <w:rPr>
          <w:rFonts w:ascii="Arial Narrow" w:eastAsiaTheme="minorHAnsi" w:hAnsi="Arial Narrow" w:cstheme="minorBidi"/>
          <w:lang w:val="es-CR" w:eastAsia="en-US"/>
        </w:rPr>
        <w:t>.</w:t>
      </w:r>
    </w:p>
    <w:p w14:paraId="1A1784AB" w14:textId="1667E605" w:rsidR="00266E45" w:rsidRDefault="00266E45" w:rsidP="00736477">
      <w:pPr>
        <w:jc w:val="both"/>
        <w:rPr>
          <w:rFonts w:ascii="Times New Roman" w:hAnsi="Times New Roman"/>
          <w:bCs/>
          <w:lang w:val="es-CR" w:eastAsia="en-US"/>
        </w:rPr>
      </w:pPr>
    </w:p>
    <w:p w14:paraId="623837E2" w14:textId="6F1658DB" w:rsidR="00E45B74" w:rsidRPr="00736477" w:rsidRDefault="00736477" w:rsidP="00736477">
      <w:pPr>
        <w:jc w:val="both"/>
        <w:rPr>
          <w:rFonts w:ascii="Arial Narrow" w:eastAsiaTheme="minorHAnsi" w:hAnsi="Arial Narrow" w:cstheme="minorBidi"/>
          <w:lang w:val="es-CR" w:eastAsia="en-US"/>
        </w:rPr>
      </w:pPr>
      <w:r w:rsidRPr="00736477">
        <w:rPr>
          <w:rFonts w:ascii="Arial Narrow" w:eastAsiaTheme="minorHAnsi" w:hAnsi="Arial Narrow" w:cstheme="minorBidi"/>
          <w:lang w:val="es-CR" w:eastAsia="en-US"/>
        </w:rPr>
        <w:t>De acuerdo con la información brindada en sistema PAO por la Defensa Pública se observa que para el año 2021 se definieron diferentes estrategias de rendición de cuentas, tales como: videos y cápsulas informativas, con respecto a la importancia de los datos estadísticos, Informes de rendición de cuentas</w:t>
      </w:r>
      <w:r>
        <w:rPr>
          <w:rFonts w:ascii="Arial Narrow" w:eastAsiaTheme="minorHAnsi" w:hAnsi="Arial Narrow" w:cstheme="minorBidi"/>
          <w:lang w:val="es-CR" w:eastAsia="en-US"/>
        </w:rPr>
        <w:t xml:space="preserve">, </w:t>
      </w:r>
      <w:r w:rsidRPr="00736477">
        <w:rPr>
          <w:rFonts w:ascii="Arial Narrow" w:eastAsiaTheme="minorHAnsi" w:hAnsi="Arial Narrow" w:cstheme="minorBidi"/>
          <w:lang w:val="es-CR" w:eastAsia="en-US"/>
        </w:rPr>
        <w:t>apoyo en el proceso del Observatorio Judicial, en el cual se están registrando los datos en materia penal</w:t>
      </w:r>
      <w:r>
        <w:rPr>
          <w:rFonts w:ascii="Arial Narrow" w:eastAsiaTheme="minorHAnsi" w:hAnsi="Arial Narrow" w:cstheme="minorBidi"/>
          <w:lang w:val="es-CR" w:eastAsia="en-US"/>
        </w:rPr>
        <w:t xml:space="preserve"> y la elaboración de una </w:t>
      </w:r>
      <w:r w:rsidRPr="002A5CA1">
        <w:rPr>
          <w:rFonts w:ascii="Arial Narrow" w:eastAsiaTheme="minorHAnsi" w:hAnsi="Arial Narrow" w:cstheme="minorBidi"/>
          <w:lang w:val="es-CR" w:eastAsia="en-US"/>
        </w:rPr>
        <w:t>revista digital de la Defensa Pública, con varias notas informativas relacionadas con las labores de la Defensa Pública</w:t>
      </w:r>
      <w:r w:rsidR="002A5CA1" w:rsidRPr="002A5CA1">
        <w:rPr>
          <w:rFonts w:ascii="Arial Narrow" w:eastAsiaTheme="minorHAnsi" w:hAnsi="Arial Narrow" w:cstheme="minorBidi"/>
          <w:lang w:val="es-CR" w:eastAsia="en-US"/>
        </w:rPr>
        <w:t>.</w:t>
      </w:r>
    </w:p>
    <w:p w14:paraId="7E56C78F" w14:textId="6232A30C" w:rsidR="002A5CA1" w:rsidRPr="001B00FB" w:rsidRDefault="002A5CA1" w:rsidP="00AB5922">
      <w:pPr>
        <w:rPr>
          <w:rFonts w:ascii="Arial Narrow" w:eastAsiaTheme="minorHAnsi" w:hAnsi="Arial Narrow" w:cstheme="minorBidi"/>
          <w:lang w:val="es-CR" w:eastAsia="en-US"/>
        </w:rPr>
      </w:pPr>
    </w:p>
    <w:p w14:paraId="7D19B7B3" w14:textId="014CB208" w:rsidR="001B00FB" w:rsidRPr="001B00FB" w:rsidRDefault="001B00FB" w:rsidP="002875C0">
      <w:pPr>
        <w:jc w:val="both"/>
        <w:rPr>
          <w:rFonts w:ascii="Arial Narrow" w:eastAsiaTheme="minorHAnsi" w:hAnsi="Arial Narrow" w:cstheme="minorBidi"/>
          <w:lang w:val="es-CR" w:eastAsia="en-US"/>
        </w:rPr>
      </w:pPr>
      <w:r w:rsidRPr="001B00FB">
        <w:rPr>
          <w:rFonts w:ascii="Arial Narrow" w:eastAsiaTheme="minorHAnsi" w:hAnsi="Arial Narrow" w:cstheme="minorBidi"/>
          <w:lang w:val="es-CR" w:eastAsia="en-US"/>
        </w:rPr>
        <w:t xml:space="preserve">Por su parte, la meta estratégica “Que al finalizar el 2024, se haya implementado la estrategia de rendición de cuentas definida por la Oficina de Atención de Víctimas del Delito y la Unidad de Protección de Víctimas.” registra </w:t>
      </w:r>
      <w:r>
        <w:rPr>
          <w:rFonts w:ascii="Arial Narrow" w:eastAsiaTheme="minorHAnsi" w:hAnsi="Arial Narrow" w:cstheme="minorBidi"/>
          <w:lang w:val="es-CR" w:eastAsia="en-US"/>
        </w:rPr>
        <w:t>para el año 2021</w:t>
      </w:r>
      <w:r w:rsidRPr="001B00FB">
        <w:rPr>
          <w:rFonts w:ascii="Arial Narrow" w:eastAsiaTheme="minorHAnsi" w:hAnsi="Arial Narrow" w:cstheme="minorBidi"/>
          <w:lang w:val="es-CR" w:eastAsia="en-US"/>
        </w:rPr>
        <w:t xml:space="preserve"> por medio del sistema PAO que se ha definido una estrategia para elaborar rendición de cuentas sobre los servicios que presta la OAPVD y UPROV a la población por lo cual se da por cumplido con lo solicitado en la meta estratégica reflejando un cumplimiento del 100% y un cumplimiento acumulado del </w:t>
      </w:r>
      <w:r>
        <w:rPr>
          <w:rFonts w:ascii="Arial Narrow" w:eastAsiaTheme="minorHAnsi" w:hAnsi="Arial Narrow" w:cstheme="minorBidi"/>
          <w:lang w:val="es-CR" w:eastAsia="en-US"/>
        </w:rPr>
        <w:t>4</w:t>
      </w:r>
      <w:r w:rsidRPr="001B00FB">
        <w:rPr>
          <w:rFonts w:ascii="Arial Narrow" w:eastAsiaTheme="minorHAnsi" w:hAnsi="Arial Narrow" w:cstheme="minorBidi"/>
          <w:lang w:val="es-CR" w:eastAsia="en-US"/>
        </w:rPr>
        <w:t>0%.</w:t>
      </w:r>
    </w:p>
    <w:p w14:paraId="6DDB5181" w14:textId="5CCC14CB" w:rsidR="00A00E43" w:rsidRDefault="00A00E43" w:rsidP="00C86204">
      <w:pPr>
        <w:spacing w:line="360" w:lineRule="auto"/>
        <w:jc w:val="both"/>
        <w:rPr>
          <w:rFonts w:ascii="Arial Narrow" w:eastAsia="Calibri" w:hAnsi="Arial Narrow"/>
          <w:b/>
          <w:bCs/>
          <w:lang w:eastAsia="en-US"/>
        </w:rPr>
      </w:pPr>
    </w:p>
    <w:p w14:paraId="1C468AC9" w14:textId="59470F18" w:rsidR="0074155E" w:rsidRDefault="0074155E" w:rsidP="00C86204">
      <w:pPr>
        <w:spacing w:line="360" w:lineRule="auto"/>
        <w:jc w:val="both"/>
        <w:rPr>
          <w:rFonts w:ascii="Arial Narrow" w:eastAsia="Calibri" w:hAnsi="Arial Narrow"/>
          <w:b/>
          <w:bCs/>
          <w:lang w:eastAsia="en-US"/>
        </w:rPr>
      </w:pPr>
    </w:p>
    <w:p w14:paraId="62C80FF7" w14:textId="2B4E11B7" w:rsidR="002875C0" w:rsidRDefault="00C86204" w:rsidP="002875C0">
      <w:pPr>
        <w:pStyle w:val="Descripcin"/>
        <w:jc w:val="center"/>
        <w:rPr>
          <w:rFonts w:ascii="Arial Narrow" w:eastAsia="Calibri" w:hAnsi="Arial Narrow"/>
          <w:sz w:val="24"/>
          <w:szCs w:val="24"/>
        </w:rPr>
      </w:pPr>
      <w:r w:rsidRPr="00CE3290">
        <w:rPr>
          <w:rFonts w:ascii="Arial Narrow" w:hAnsi="Arial Narrow"/>
          <w:sz w:val="24"/>
          <w:szCs w:val="24"/>
        </w:rPr>
        <w:t>Cuadro</w:t>
      </w:r>
      <w:r>
        <w:rPr>
          <w:rFonts w:ascii="Arial Narrow" w:hAnsi="Arial Narrow"/>
          <w:sz w:val="24"/>
          <w:szCs w:val="24"/>
        </w:rPr>
        <w:t xml:space="preserve"> </w:t>
      </w:r>
      <w:r w:rsidRPr="00CE3290">
        <w:rPr>
          <w:rFonts w:ascii="Arial Narrow" w:hAnsi="Arial Narrow"/>
          <w:sz w:val="24"/>
          <w:szCs w:val="24"/>
        </w:rPr>
        <w:fldChar w:fldCharType="begin"/>
      </w:r>
      <w:r w:rsidRPr="00CE3290">
        <w:rPr>
          <w:rFonts w:ascii="Arial Narrow" w:hAnsi="Arial Narrow"/>
          <w:sz w:val="24"/>
          <w:szCs w:val="24"/>
        </w:rPr>
        <w:instrText xml:space="preserve"> SEQ Cuadro_No. \* ARABIC </w:instrText>
      </w:r>
      <w:r w:rsidRPr="00CE3290">
        <w:rPr>
          <w:rFonts w:ascii="Arial Narrow" w:hAnsi="Arial Narrow"/>
          <w:sz w:val="24"/>
          <w:szCs w:val="24"/>
        </w:rPr>
        <w:fldChar w:fldCharType="separate"/>
      </w:r>
      <w:r w:rsidR="002F520A">
        <w:rPr>
          <w:rFonts w:ascii="Arial Narrow" w:hAnsi="Arial Narrow"/>
          <w:noProof/>
          <w:sz w:val="24"/>
          <w:szCs w:val="24"/>
        </w:rPr>
        <w:t>35</w:t>
      </w:r>
      <w:r w:rsidRPr="00CE3290">
        <w:rPr>
          <w:rFonts w:ascii="Arial Narrow" w:hAnsi="Arial Narrow"/>
          <w:sz w:val="24"/>
          <w:szCs w:val="24"/>
        </w:rPr>
        <w:fldChar w:fldCharType="end"/>
      </w:r>
      <w:r w:rsidRPr="00CE3290">
        <w:rPr>
          <w:rFonts w:ascii="Arial Narrow" w:hAnsi="Arial Narrow"/>
          <w:sz w:val="24"/>
          <w:szCs w:val="24"/>
        </w:rPr>
        <w:t xml:space="preserve"> </w:t>
      </w:r>
      <w:r w:rsidRPr="00CE3290">
        <w:rPr>
          <w:rFonts w:ascii="Arial Narrow" w:eastAsia="Calibri" w:hAnsi="Arial Narrow"/>
          <w:sz w:val="24"/>
          <w:szCs w:val="24"/>
        </w:rPr>
        <w:t xml:space="preserve">Metas estratégicas de Transparencia y rendición de cuentas y su cumplimiento para el </w:t>
      </w:r>
      <w:r>
        <w:rPr>
          <w:rFonts w:ascii="Arial Narrow" w:eastAsia="Calibri" w:hAnsi="Arial Narrow"/>
          <w:sz w:val="24"/>
          <w:szCs w:val="24"/>
        </w:rPr>
        <w:t>2021</w:t>
      </w:r>
    </w:p>
    <w:p w14:paraId="007A47EF" w14:textId="77777777" w:rsidR="002875C0" w:rsidRPr="002875C0" w:rsidRDefault="002875C0" w:rsidP="002875C0">
      <w:pPr>
        <w:rPr>
          <w:rFonts w:eastAsia="Calibri"/>
        </w:rPr>
      </w:pPr>
    </w:p>
    <w:p w14:paraId="79032BBB" w14:textId="143BF389" w:rsidR="001B00FB" w:rsidRPr="00A00E43" w:rsidRDefault="002875C0" w:rsidP="002875C0">
      <w:pPr>
        <w:jc w:val="center"/>
        <w:rPr>
          <w:rFonts w:eastAsia="Calibri"/>
        </w:rPr>
      </w:pPr>
      <w:r>
        <w:rPr>
          <w:noProof/>
        </w:rPr>
        <w:drawing>
          <wp:inline distT="0" distB="0" distL="0" distR="0" wp14:anchorId="6CEB56D7" wp14:editId="0A238F7A">
            <wp:extent cx="5974080" cy="2599690"/>
            <wp:effectExtent l="57150" t="57150" r="102870" b="86360"/>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74080" cy="259969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5B94CC4" w14:textId="63BCB39F" w:rsidR="00C86204" w:rsidRPr="00A618D8" w:rsidRDefault="00C86204" w:rsidP="00B54439">
      <w:pPr>
        <w:jc w:val="center"/>
        <w:rPr>
          <w:rFonts w:eastAsia="Calibri"/>
          <w:b/>
          <w:bCs/>
        </w:rPr>
      </w:pPr>
      <w:r w:rsidRPr="004619C9">
        <w:rPr>
          <w:rFonts w:ascii="Arial Narrow" w:eastAsia="Calibri" w:hAnsi="Arial Narrow"/>
          <w:b/>
          <w:bCs/>
          <w:sz w:val="18"/>
          <w:szCs w:val="18"/>
          <w:lang w:eastAsia="en-US"/>
        </w:rPr>
        <w:t>Fuente:</w:t>
      </w:r>
      <w:r w:rsidRPr="000B4845">
        <w:rPr>
          <w:rFonts w:ascii="Arial Narrow" w:eastAsia="Calibri" w:hAnsi="Arial Narrow"/>
          <w:sz w:val="18"/>
          <w:szCs w:val="18"/>
          <w:lang w:eastAsia="en-US"/>
        </w:rPr>
        <w:t xml:space="preserve"> Sistema PEI al </w:t>
      </w:r>
      <w:r>
        <w:rPr>
          <w:rFonts w:ascii="Arial Narrow" w:eastAsia="Calibri" w:hAnsi="Arial Narrow"/>
          <w:sz w:val="18"/>
          <w:szCs w:val="18"/>
          <w:lang w:eastAsia="en-US"/>
        </w:rPr>
        <w:t>19</w:t>
      </w:r>
      <w:r w:rsidRPr="000B4845">
        <w:rPr>
          <w:rFonts w:ascii="Arial Narrow" w:eastAsia="Calibri" w:hAnsi="Arial Narrow"/>
          <w:sz w:val="18"/>
          <w:szCs w:val="18"/>
          <w:lang w:eastAsia="en-US"/>
        </w:rPr>
        <w:t xml:space="preserve"> de enero del </w:t>
      </w:r>
      <w:r>
        <w:rPr>
          <w:rFonts w:ascii="Arial Narrow" w:eastAsia="Calibri" w:hAnsi="Arial Narrow"/>
          <w:sz w:val="18"/>
          <w:szCs w:val="18"/>
          <w:lang w:eastAsia="en-US"/>
        </w:rPr>
        <w:t>2022 para el año 2021.</w:t>
      </w:r>
    </w:p>
    <w:p w14:paraId="5B3A2570" w14:textId="4D48A6E0" w:rsidR="00C86204" w:rsidRDefault="00C86204" w:rsidP="00AB5922">
      <w:pPr>
        <w:rPr>
          <w:rFonts w:ascii="Arial Narrow" w:eastAsia="Calibri" w:hAnsi="Arial Narrow"/>
          <w:lang w:val="es-CR"/>
        </w:rPr>
      </w:pPr>
    </w:p>
    <w:p w14:paraId="25D1E137" w14:textId="25C75974" w:rsidR="00931790" w:rsidRDefault="00C86204" w:rsidP="008A6FB7">
      <w:pPr>
        <w:jc w:val="both"/>
        <w:rPr>
          <w:rFonts w:ascii="Arial Narrow" w:eastAsia="Calibri" w:hAnsi="Arial Narrow"/>
          <w:lang w:val="es-CR"/>
        </w:rPr>
      </w:pPr>
      <w:r>
        <w:rPr>
          <w:rFonts w:ascii="Arial Narrow" w:eastAsia="Calibri" w:hAnsi="Arial Narrow"/>
          <w:lang w:val="es-CR"/>
        </w:rPr>
        <w:t xml:space="preserve">Para el año 2021, el Organismo de Investigación Judicial realizó diferentes sesiones de trabajo para la rendición de cuentas con las oficinas que tiene a su cargo. </w:t>
      </w:r>
      <w:r w:rsidR="00931790">
        <w:rPr>
          <w:rFonts w:ascii="Arial Narrow" w:eastAsia="Calibri" w:hAnsi="Arial Narrow"/>
          <w:lang w:val="es-CR"/>
        </w:rPr>
        <w:t xml:space="preserve">Aunado a lo anterior, dentro de la documentación brindada en el sistema PAO, se tiene que el </w:t>
      </w:r>
      <w:r w:rsidR="007C5313">
        <w:rPr>
          <w:rFonts w:ascii="Arial Narrow" w:eastAsia="Calibri" w:hAnsi="Arial Narrow"/>
          <w:lang w:val="es-CR"/>
        </w:rPr>
        <w:t>OIJ realizó</w:t>
      </w:r>
      <w:r w:rsidR="00931790">
        <w:rPr>
          <w:rFonts w:ascii="Arial Narrow" w:eastAsia="Calibri" w:hAnsi="Arial Narrow"/>
          <w:lang w:val="es-CR"/>
        </w:rPr>
        <w:t xml:space="preserve"> una guía para la rendición de cuentas. En cuanto a la rendición de cuentas a las comunidades, por medio del oficio </w:t>
      </w:r>
      <w:r w:rsidR="00931790" w:rsidRPr="00931790">
        <w:rPr>
          <w:rFonts w:ascii="Arial Narrow" w:eastAsia="Calibri" w:hAnsi="Arial Narrow"/>
          <w:lang w:val="es-CR"/>
        </w:rPr>
        <w:t xml:space="preserve">066-UNACC/UAOIP-2021 se comunica que para el año 2021 por la situación de la pandemia </w:t>
      </w:r>
      <w:r w:rsidR="00931790">
        <w:rPr>
          <w:rFonts w:ascii="Arial Narrow" w:eastAsia="Calibri" w:hAnsi="Arial Narrow"/>
          <w:lang w:val="es-CR"/>
        </w:rPr>
        <w:t>del</w:t>
      </w:r>
      <w:r w:rsidR="00931790" w:rsidRPr="00931790">
        <w:rPr>
          <w:rFonts w:ascii="Arial Narrow" w:eastAsia="Calibri" w:hAnsi="Arial Narrow"/>
          <w:lang w:val="es-CR"/>
        </w:rPr>
        <w:t xml:space="preserve"> COVID-19 y teniendo en cuenta la necesidad de preservar la salud del personal y las personas usuarias, se decidió no </w:t>
      </w:r>
      <w:r w:rsidR="00931790">
        <w:rPr>
          <w:rFonts w:ascii="Arial Narrow" w:eastAsia="Calibri" w:hAnsi="Arial Narrow"/>
          <w:lang w:val="es-CR"/>
        </w:rPr>
        <w:t xml:space="preserve">realizar las actividades que año a año se han realizado. </w:t>
      </w:r>
    </w:p>
    <w:p w14:paraId="6BBF8FC7" w14:textId="77777777" w:rsidR="006358B6" w:rsidRDefault="006358B6" w:rsidP="008A6FB7">
      <w:pPr>
        <w:jc w:val="both"/>
        <w:rPr>
          <w:rFonts w:ascii="Arial Narrow" w:eastAsia="Calibri" w:hAnsi="Arial Narrow"/>
          <w:lang w:val="es-CR"/>
        </w:rPr>
      </w:pPr>
    </w:p>
    <w:p w14:paraId="728F7EE1" w14:textId="24CC6B07" w:rsidR="006358B6" w:rsidRDefault="006358B6" w:rsidP="008A6FB7">
      <w:pPr>
        <w:jc w:val="both"/>
        <w:rPr>
          <w:rFonts w:ascii="Arial Narrow" w:eastAsia="Calibri" w:hAnsi="Arial Narrow"/>
          <w:lang w:val="es-CR"/>
        </w:rPr>
      </w:pPr>
      <w:r>
        <w:rPr>
          <w:rFonts w:ascii="Arial Narrow" w:hAnsi="Arial Narrow"/>
        </w:rPr>
        <w:t xml:space="preserve">Cabe rescatar que se recibió oficio </w:t>
      </w:r>
      <w:r w:rsidRPr="00E1651C">
        <w:rPr>
          <w:rFonts w:ascii="Arial Narrow" w:hAnsi="Arial Narrow"/>
        </w:rPr>
        <w:t>008-INF/UAOIP-2022</w:t>
      </w:r>
      <w:r>
        <w:rPr>
          <w:rFonts w:ascii="Arial Narrow" w:hAnsi="Arial Narrow"/>
        </w:rPr>
        <w:t xml:space="preserve"> del Organismo de </w:t>
      </w:r>
      <w:r w:rsidRPr="006358B6">
        <w:rPr>
          <w:rFonts w:ascii="Arial Narrow" w:eastAsia="Calibri" w:hAnsi="Arial Narrow"/>
          <w:lang w:val="es-CR"/>
        </w:rPr>
        <w:t xml:space="preserve">Investigación Judicial con fecha del 07 de febrero del 2022, suscrito por Walter Espinoza donde realizan la observación </w:t>
      </w:r>
      <w:r>
        <w:rPr>
          <w:rFonts w:ascii="Arial Narrow" w:eastAsia="Calibri" w:hAnsi="Arial Narrow"/>
          <w:lang w:val="es-CR"/>
        </w:rPr>
        <w:t>de que l</w:t>
      </w:r>
      <w:r w:rsidRPr="006358B6">
        <w:rPr>
          <w:rFonts w:ascii="Arial Narrow" w:eastAsia="Calibri" w:hAnsi="Arial Narrow"/>
          <w:lang w:val="es-CR"/>
        </w:rPr>
        <w:t>a estrategia de Rendición de Cuentas mencionada en la Meta para el OIJ tiene un 100% de cumplimiento en la actualidad, no ha sido eliminada por parte de la Dirección de Planificación, pese al cumplimiento, entendiéndose que a pesar que el PEI es hasta el 2024, algunas metas se logran cumplir antes del año o tiempo establecido, para lo cual es contradictorio que se siga tomando en cuenta por temas de cumplimiento, en otras palabras cuando se agota el Indicador por el cumplimiento de las Metas, se debería dar por finalizado, incluso se ve reflejado en el Sistema PAO de la Oficina de Planes y Operaciones</w:t>
      </w:r>
      <w:r>
        <w:rPr>
          <w:rFonts w:ascii="Arial Narrow" w:eastAsia="Calibri" w:hAnsi="Arial Narrow"/>
          <w:lang w:val="es-CR"/>
        </w:rPr>
        <w:t>.</w:t>
      </w:r>
    </w:p>
    <w:p w14:paraId="30A897C2" w14:textId="77777777" w:rsidR="00761151" w:rsidRDefault="00761151" w:rsidP="006358B6">
      <w:pPr>
        <w:jc w:val="both"/>
        <w:rPr>
          <w:rFonts w:ascii="Arial Narrow" w:eastAsia="Calibri" w:hAnsi="Arial Narrow"/>
          <w:lang w:val="es-CR"/>
        </w:rPr>
      </w:pPr>
    </w:p>
    <w:p w14:paraId="3F1F405C" w14:textId="52B67E03" w:rsidR="006358B6" w:rsidRDefault="006358B6" w:rsidP="006358B6">
      <w:pPr>
        <w:jc w:val="both"/>
        <w:rPr>
          <w:rFonts w:ascii="Arial Narrow" w:eastAsia="Calibri" w:hAnsi="Arial Narrow"/>
          <w:lang w:val="es-CR"/>
        </w:rPr>
      </w:pPr>
      <w:r>
        <w:rPr>
          <w:rFonts w:ascii="Arial Narrow" w:eastAsia="Calibri" w:hAnsi="Arial Narrow"/>
          <w:lang w:val="es-CR"/>
        </w:rPr>
        <w:t>Respecto a lo anterior, se debe seguir el procedimiento aprobado para reportar que una meta estratégica ha sido debidamente completada, esto de acuerdo con la sesión de Consejo Superior 14-2022 del 17 de febrero del 2022, articul</w:t>
      </w:r>
      <w:bookmarkStart w:id="43" w:name="_Toc96002943"/>
      <w:r>
        <w:rPr>
          <w:rFonts w:ascii="Arial Narrow" w:eastAsia="Calibri" w:hAnsi="Arial Narrow"/>
          <w:lang w:val="es-CR"/>
        </w:rPr>
        <w:t>o</w:t>
      </w:r>
      <w:r w:rsidRPr="006358B6">
        <w:rPr>
          <w:rFonts w:ascii="Arial Narrow" w:eastAsia="Calibri" w:hAnsi="Arial Narrow"/>
          <w:lang w:val="es-CR"/>
        </w:rPr>
        <w:t xml:space="preserve"> XLVIII</w:t>
      </w:r>
      <w:bookmarkEnd w:id="43"/>
      <w:r>
        <w:rPr>
          <w:rFonts w:ascii="Arial Narrow" w:eastAsia="Calibri" w:hAnsi="Arial Narrow"/>
          <w:lang w:val="es-CR"/>
        </w:rPr>
        <w:t xml:space="preserve"> que acuerda:</w:t>
      </w:r>
    </w:p>
    <w:p w14:paraId="3E0D0C56" w14:textId="77777777" w:rsidR="00532B98" w:rsidRDefault="00532B98" w:rsidP="006358B6">
      <w:pPr>
        <w:jc w:val="both"/>
        <w:rPr>
          <w:rFonts w:ascii="Arial Narrow" w:eastAsia="Calibri" w:hAnsi="Arial Narrow"/>
          <w:lang w:val="es-CR"/>
        </w:rPr>
      </w:pPr>
    </w:p>
    <w:p w14:paraId="77B64022" w14:textId="77777777" w:rsidR="006358B6" w:rsidRDefault="006358B6" w:rsidP="006358B6">
      <w:pPr>
        <w:jc w:val="both"/>
        <w:rPr>
          <w:rFonts w:ascii="Arial Narrow" w:eastAsia="Calibri" w:hAnsi="Arial Narrow"/>
          <w:lang w:val="es-CR"/>
        </w:rPr>
      </w:pPr>
    </w:p>
    <w:p w14:paraId="70F7AC22" w14:textId="01AD1AF5" w:rsidR="006358B6" w:rsidRPr="006358B6" w:rsidRDefault="006358B6" w:rsidP="006358B6">
      <w:pPr>
        <w:ind w:left="993" w:right="1700"/>
        <w:jc w:val="both"/>
        <w:rPr>
          <w:rFonts w:ascii="Arial Narrow" w:eastAsia="Calibri" w:hAnsi="Arial Narrow"/>
          <w:i/>
          <w:iCs/>
          <w:lang w:val="es-CR"/>
        </w:rPr>
      </w:pPr>
      <w:r>
        <w:rPr>
          <w:rFonts w:ascii="Arial Narrow" w:eastAsia="Calibri" w:hAnsi="Arial Narrow"/>
          <w:i/>
          <w:iCs/>
          <w:lang w:val="es-CR"/>
        </w:rPr>
        <w:t>“1)</w:t>
      </w:r>
      <w:r w:rsidRPr="006358B6">
        <w:rPr>
          <w:rFonts w:ascii="Arial Narrow" w:eastAsia="Calibri" w:hAnsi="Arial Narrow"/>
          <w:i/>
          <w:iCs/>
          <w:lang w:val="es-CR"/>
        </w:rPr>
        <w:t>Tener por rendido el Informe N°91-PLA-PE-2022 de la Dirección de Planificación, relacionado con “el Modelo de Gestión Estratégica que forma parte del Plan Estratégico Institucional 2019-2024 (PEI 2019-2024).” 2) Aprobar la propuesta para la gestión de los alineamientos estratégicos (procedimiento asociado al Subproceso de la Gestión de Solicitudes de Alineamiento Estratégico), el cual define las actividades que se desarrollan a partir del momento en que una oficina o despacho judicial plantea una solicitud de alineamiento estratégico, que implica la valoración para los ajustes a cualquiera de los componentes del Plan Estratégico Institucional (PEI), hasta el momento en que la Corte Plena conoce y aprueba la solicitud del alineamiento estratégico planteado y su ejecución</w:t>
      </w:r>
      <w:r>
        <w:rPr>
          <w:rFonts w:ascii="Arial Narrow" w:eastAsia="Calibri" w:hAnsi="Arial Narrow"/>
          <w:i/>
          <w:iCs/>
          <w:lang w:val="es-CR"/>
        </w:rPr>
        <w:t>”.</w:t>
      </w:r>
    </w:p>
    <w:p w14:paraId="5785AEBE" w14:textId="4211DB30" w:rsidR="006358B6" w:rsidRDefault="006358B6" w:rsidP="008A6FB7">
      <w:pPr>
        <w:jc w:val="both"/>
        <w:rPr>
          <w:rFonts w:ascii="Arial Narrow" w:eastAsia="Calibri" w:hAnsi="Arial Narrow"/>
          <w:lang w:val="es-CR"/>
        </w:rPr>
      </w:pPr>
      <w:r w:rsidRPr="006358B6">
        <w:rPr>
          <w:rFonts w:ascii="Arial Narrow" w:eastAsia="Calibri" w:hAnsi="Arial Narrow"/>
          <w:lang w:val="es-CR"/>
        </w:rPr>
        <w:t> </w:t>
      </w:r>
    </w:p>
    <w:p w14:paraId="5C2D3E4D" w14:textId="77777777" w:rsidR="007D246D" w:rsidRDefault="007D246D" w:rsidP="00AB5922">
      <w:pPr>
        <w:rPr>
          <w:rFonts w:ascii="Arial Narrow" w:eastAsia="Calibri" w:hAnsi="Arial Narrow"/>
          <w:lang w:val="es-CR"/>
        </w:rPr>
      </w:pPr>
    </w:p>
    <w:p w14:paraId="756DBF63" w14:textId="62A06C82" w:rsidR="008A6FB7" w:rsidRDefault="29AA4CDA" w:rsidP="008A6FB7">
      <w:pPr>
        <w:jc w:val="both"/>
        <w:rPr>
          <w:rFonts w:ascii="Arial Narrow" w:hAnsi="Arial Narrow" w:cs="Segoe UI"/>
          <w:color w:val="212529"/>
          <w:lang w:val="es-CR" w:eastAsia="es-CR"/>
        </w:rPr>
      </w:pPr>
      <w:r w:rsidRPr="006F0FFB">
        <w:rPr>
          <w:rFonts w:ascii="Arial Narrow" w:eastAsia="Calibri" w:hAnsi="Arial Narrow"/>
          <w:lang w:val="es-CR"/>
        </w:rPr>
        <w:t>Por otra parte,</w:t>
      </w:r>
      <w:r w:rsidR="7D1AAE60" w:rsidRPr="006F0FFB">
        <w:rPr>
          <w:rFonts w:ascii="Arial Narrow" w:eastAsia="Calibri" w:hAnsi="Arial Narrow"/>
          <w:lang w:val="es-CR"/>
        </w:rPr>
        <w:t xml:space="preserve"> </w:t>
      </w:r>
      <w:r w:rsidRPr="17C79F93">
        <w:rPr>
          <w:rFonts w:ascii="Arial Narrow" w:eastAsia="Calibri" w:hAnsi="Arial Narrow"/>
          <w:lang w:val="es-CR"/>
        </w:rPr>
        <w:t xml:space="preserve">con respecto a la meta </w:t>
      </w:r>
      <w:r w:rsidRPr="00322D9B">
        <w:rPr>
          <w:rFonts w:ascii="Arial Narrow" w:eastAsia="Calibri" w:hAnsi="Arial Narrow"/>
          <w:b/>
          <w:bCs/>
          <w:i/>
          <w:iCs/>
          <w:lang w:val="es-CR"/>
        </w:rPr>
        <w:t>“</w:t>
      </w:r>
      <w:r w:rsidR="17C79F93" w:rsidRPr="00322D9B">
        <w:rPr>
          <w:rFonts w:ascii="Arial Narrow" w:eastAsia="Calibri" w:hAnsi="Arial Narrow"/>
          <w:b/>
          <w:bCs/>
          <w:i/>
          <w:iCs/>
          <w:lang w:val="es-CR"/>
        </w:rPr>
        <w:t xml:space="preserve">Que al finalizar el 2024, se haya formulado e implementado una estrategia sobre el acceso y uso de estadísticas judiciales, que suministre al público externo </w:t>
      </w:r>
      <w:r w:rsidR="00A33632" w:rsidRPr="00322D9B">
        <w:rPr>
          <w:rFonts w:ascii="Arial Narrow" w:eastAsia="Calibri" w:hAnsi="Arial Narrow"/>
          <w:b/>
          <w:bCs/>
          <w:i/>
          <w:iCs/>
          <w:lang w:val="es-CR"/>
        </w:rPr>
        <w:t>e</w:t>
      </w:r>
      <w:r w:rsidR="17C79F93" w:rsidRPr="00322D9B">
        <w:rPr>
          <w:rFonts w:ascii="Arial Narrow" w:eastAsia="Calibri" w:hAnsi="Arial Narrow"/>
          <w:b/>
          <w:bCs/>
          <w:i/>
          <w:iCs/>
          <w:lang w:val="es-CR"/>
        </w:rPr>
        <w:t xml:space="preserve"> interno, información clara y oportuna</w:t>
      </w:r>
      <w:r w:rsidR="17C79F93" w:rsidRPr="17C79F93">
        <w:rPr>
          <w:rFonts w:ascii="Arial Narrow" w:eastAsia="Calibri" w:hAnsi="Arial Narrow"/>
          <w:lang w:val="es-CR"/>
        </w:rPr>
        <w:t>” l</w:t>
      </w:r>
      <w:r w:rsidRPr="17C79F93">
        <w:rPr>
          <w:rFonts w:ascii="Arial Narrow" w:eastAsia="Calibri" w:hAnsi="Arial Narrow"/>
          <w:lang w:val="es-CR"/>
        </w:rPr>
        <w:t xml:space="preserve">a Dirección de Planificación en el Subproceso de Estadística ha implementado una estrategia sobre el acceso y uso de las estadísticas el cual consiste en brindar continuamente datos para uso de la ciudadanía, investigadores, otras instituciones, prensa y personas interesadas.  Los esfuerzos llevados a cabo con el objetivo de facilitar el acceso de la información estadística consisten en una herramienta de inteligencia de negocio, mediante el software Power BI de Microsoft, que permite visualizar la información histórica del compendio de indicadores del Poder Judicial. Además, se actualiza cada año la información de la herramienta para brindar los indicadores correspondientes a cada año judicial. La información histórica ha sido recopilada y se ha organizado de tal forma que permita su fácil uso y administración. La herramienta cuenta con un menú de navegación, indicadores de costos y presupuestos, personal y cobertura, carga de trabajo, litigiosidad, duración, productividad, herramientas adicionales, documentos descargables y créditos. </w:t>
      </w:r>
      <w:r w:rsidRPr="17C79F93">
        <w:rPr>
          <w:rFonts w:ascii="Arial Narrow" w:hAnsi="Arial Narrow" w:cs="Segoe UI"/>
          <w:color w:val="212529"/>
          <w:lang w:val="es-CR" w:eastAsia="es-CR"/>
        </w:rPr>
        <w:t>La inf</w:t>
      </w:r>
      <w:r w:rsidRPr="17C79F93">
        <w:rPr>
          <w:rFonts w:ascii="Arial Narrow" w:eastAsia="Calibri" w:hAnsi="Arial Narrow"/>
          <w:lang w:val="es-CR"/>
        </w:rPr>
        <w:t xml:space="preserve">ormación se obtiene por medio de la página </w:t>
      </w:r>
      <w:r w:rsidRPr="17C79F93">
        <w:rPr>
          <w:rFonts w:ascii="Arial Narrow" w:hAnsi="Arial Narrow" w:cs="Segoe UI"/>
          <w:color w:val="212529"/>
          <w:lang w:val="es-CR" w:eastAsia="es-CR"/>
        </w:rPr>
        <w:t xml:space="preserve">de la Dirección de Planificación del Poder Judicial </w:t>
      </w:r>
      <w:hyperlink r:id="rId89">
        <w:r w:rsidRPr="17C79F93">
          <w:rPr>
            <w:rStyle w:val="Hipervnculo"/>
            <w:rFonts w:ascii="Arial Narrow" w:hAnsi="Arial Narrow" w:cs="Segoe UI"/>
            <w:lang w:val="es-CR" w:eastAsia="es-CR"/>
          </w:rPr>
          <w:t>https://planificacion.poder-judicial.go.cr/</w:t>
        </w:r>
      </w:hyperlink>
      <w:r w:rsidRPr="17C79F93">
        <w:rPr>
          <w:rFonts w:ascii="Arial Narrow" w:hAnsi="Arial Narrow" w:cs="Segoe UI"/>
          <w:color w:val="212529"/>
          <w:lang w:val="es-CR" w:eastAsia="es-CR"/>
        </w:rPr>
        <w:t>.</w:t>
      </w:r>
    </w:p>
    <w:p w14:paraId="53CDADE4" w14:textId="6E263D9D" w:rsidR="008A6FB7" w:rsidRDefault="008A6FB7" w:rsidP="008A6FB7">
      <w:pPr>
        <w:jc w:val="both"/>
        <w:rPr>
          <w:rFonts w:ascii="Arial Narrow" w:hAnsi="Arial Narrow" w:cs="Segoe UI"/>
          <w:color w:val="212529"/>
          <w:lang w:val="es-CR" w:eastAsia="es-CR"/>
        </w:rPr>
      </w:pPr>
    </w:p>
    <w:p w14:paraId="4C16AD2B" w14:textId="77777777" w:rsidR="002875C0" w:rsidRDefault="002875C0" w:rsidP="008A6FB7">
      <w:pPr>
        <w:jc w:val="both"/>
        <w:rPr>
          <w:rFonts w:ascii="Arial Narrow" w:hAnsi="Arial Narrow" w:cs="Segoe UI"/>
          <w:color w:val="212529"/>
          <w:lang w:val="es-CR" w:eastAsia="es-CR"/>
        </w:rPr>
      </w:pPr>
    </w:p>
    <w:p w14:paraId="4740AF32" w14:textId="79BF2D66" w:rsidR="008A6FB7" w:rsidRDefault="00F03A42" w:rsidP="00F03A42">
      <w:pPr>
        <w:jc w:val="both"/>
        <w:rPr>
          <w:rFonts w:ascii="Arial Narrow" w:eastAsia="Calibri" w:hAnsi="Arial Narrow"/>
        </w:rPr>
      </w:pPr>
      <w:r>
        <w:rPr>
          <w:rFonts w:ascii="Arial Narrow" w:eastAsia="Calibri" w:hAnsi="Arial Narrow"/>
        </w:rPr>
        <w:t>Con respecto a la</w:t>
      </w:r>
      <w:r w:rsidRPr="002E0B96">
        <w:rPr>
          <w:rFonts w:ascii="Arial Narrow" w:eastAsia="Calibri" w:hAnsi="Arial Narrow"/>
        </w:rPr>
        <w:t xml:space="preserve"> meta estratégica</w:t>
      </w:r>
      <w:r>
        <w:rPr>
          <w:rFonts w:ascii="Arial Narrow" w:eastAsia="Calibri" w:hAnsi="Arial Narrow"/>
        </w:rPr>
        <w:t xml:space="preserve"> “</w:t>
      </w:r>
      <w:r w:rsidRPr="00704B08">
        <w:rPr>
          <w:rFonts w:ascii="Arial Narrow" w:eastAsia="Calibri" w:hAnsi="Arial Narrow"/>
          <w:b/>
          <w:bCs/>
          <w:i/>
          <w:iCs/>
        </w:rPr>
        <w:t>Que al finalizar el 2024, se desarrolle e implemente la estrategia para la creación de mecanismos que fortalezcan el acceso a la información judicial</w:t>
      </w:r>
      <w:r>
        <w:rPr>
          <w:rFonts w:ascii="Arial Narrow" w:eastAsia="Calibri" w:hAnsi="Arial Narrow"/>
          <w:b/>
          <w:bCs/>
        </w:rPr>
        <w:t xml:space="preserve">”, </w:t>
      </w:r>
      <w:r>
        <w:rPr>
          <w:rFonts w:ascii="Arial Narrow" w:eastAsia="Calibri" w:hAnsi="Arial Narrow"/>
        </w:rPr>
        <w:t>s</w:t>
      </w:r>
      <w:r w:rsidRPr="002A3649">
        <w:rPr>
          <w:rFonts w:ascii="Arial Narrow" w:eastAsia="Calibri" w:hAnsi="Arial Narrow"/>
        </w:rPr>
        <w:t>egún los</w:t>
      </w:r>
      <w:r>
        <w:rPr>
          <w:rFonts w:ascii="Arial Narrow" w:eastAsia="Calibri" w:hAnsi="Arial Narrow"/>
        </w:rPr>
        <w:t xml:space="preserve"> registros para el año 2021 el Centro Electrónico de Información Jurisprudencial </w:t>
      </w:r>
      <w:r w:rsidRPr="00F03A42">
        <w:rPr>
          <w:rFonts w:ascii="Arial Narrow" w:eastAsia="Calibri" w:hAnsi="Arial Narrow"/>
        </w:rPr>
        <w:t>Coordin</w:t>
      </w:r>
      <w:r>
        <w:rPr>
          <w:rFonts w:ascii="Arial Narrow" w:eastAsia="Calibri" w:hAnsi="Arial Narrow"/>
        </w:rPr>
        <w:t>ó</w:t>
      </w:r>
      <w:r w:rsidRPr="00F03A42">
        <w:rPr>
          <w:rFonts w:ascii="Arial Narrow" w:eastAsia="Calibri" w:hAnsi="Arial Narrow"/>
        </w:rPr>
        <w:t xml:space="preserve"> con la Dirección de Tecnología de la Información e</w:t>
      </w:r>
      <w:r>
        <w:rPr>
          <w:rFonts w:ascii="Arial Narrow" w:eastAsia="Calibri" w:hAnsi="Arial Narrow"/>
        </w:rPr>
        <w:t>n el</w:t>
      </w:r>
      <w:r w:rsidRPr="00F03A42">
        <w:rPr>
          <w:rFonts w:ascii="Arial Narrow" w:eastAsia="Calibri" w:hAnsi="Arial Narrow"/>
        </w:rPr>
        <w:t xml:space="preserve"> desarrollo de </w:t>
      </w:r>
      <w:r>
        <w:rPr>
          <w:rFonts w:ascii="Arial Narrow" w:eastAsia="Calibri" w:hAnsi="Arial Narrow"/>
        </w:rPr>
        <w:t>una</w:t>
      </w:r>
      <w:r w:rsidRPr="00F03A42">
        <w:rPr>
          <w:rFonts w:ascii="Arial Narrow" w:eastAsia="Calibri" w:hAnsi="Arial Narrow"/>
        </w:rPr>
        <w:t xml:space="preserve"> herramienta que permita el acceso, el análisis, la clasificación y la visualización de las grabaciones de las sentencias dictadas de forma oral.</w:t>
      </w:r>
    </w:p>
    <w:p w14:paraId="66062DE4" w14:textId="77777777" w:rsidR="00D11572" w:rsidRPr="008A6FB7" w:rsidRDefault="00D11572" w:rsidP="00F03A42">
      <w:pPr>
        <w:jc w:val="both"/>
        <w:rPr>
          <w:rFonts w:ascii="Arial Narrow" w:eastAsia="Calibri" w:hAnsi="Arial Narrow"/>
          <w:lang w:val="es-CR"/>
        </w:rPr>
      </w:pPr>
    </w:p>
    <w:p w14:paraId="256CB3E6" w14:textId="03DC6991" w:rsidR="00FE5A60" w:rsidRPr="00322D9B" w:rsidRDefault="00FE5A60" w:rsidP="00322D9B">
      <w:pPr>
        <w:pStyle w:val="Ttulo3"/>
        <w:numPr>
          <w:ilvl w:val="2"/>
          <w:numId w:val="123"/>
        </w:numPr>
        <w:rPr>
          <w:rFonts w:ascii="Arial Narrow" w:eastAsia="Calibri" w:hAnsi="Arial Narrow"/>
          <w:iCs/>
          <w:szCs w:val="24"/>
          <w:lang w:val="es-CR"/>
        </w:rPr>
      </w:pPr>
      <w:bookmarkStart w:id="44" w:name="_Toc106355273"/>
      <w:r w:rsidRPr="00322D9B">
        <w:rPr>
          <w:rFonts w:ascii="Arial Narrow" w:eastAsia="Calibri" w:hAnsi="Arial Narrow"/>
          <w:iCs/>
          <w:szCs w:val="24"/>
          <w:lang w:val="es-CR"/>
        </w:rPr>
        <w:t>Probidad y Anticorrupción</w:t>
      </w:r>
      <w:bookmarkEnd w:id="44"/>
    </w:p>
    <w:p w14:paraId="217FDACA" w14:textId="6850BD75" w:rsidR="00C86204" w:rsidRDefault="00C86204" w:rsidP="00F03A42">
      <w:pPr>
        <w:rPr>
          <w:rFonts w:ascii="Arial Narrow" w:eastAsia="Calibri" w:hAnsi="Arial Narrow"/>
          <w:lang w:val="es-CR"/>
        </w:rPr>
      </w:pPr>
    </w:p>
    <w:p w14:paraId="250C12DE" w14:textId="12134D22" w:rsidR="00A00E43" w:rsidRPr="00D72581" w:rsidRDefault="00A00E43" w:rsidP="00A00E43">
      <w:pPr>
        <w:spacing w:line="360" w:lineRule="auto"/>
        <w:jc w:val="both"/>
        <w:rPr>
          <w:rFonts w:ascii="Arial Narrow" w:eastAsia="Calibri" w:hAnsi="Arial Narrow"/>
        </w:rPr>
      </w:pPr>
      <w:bookmarkStart w:id="45" w:name="_Hlk96935862"/>
      <w:r w:rsidRPr="007E364C">
        <w:rPr>
          <w:rFonts w:ascii="Arial Narrow" w:hAnsi="Arial Narrow"/>
          <w:noProof/>
        </w:rPr>
        <w:t>Se observan 9 metas estrategicas</w:t>
      </w:r>
      <w:r w:rsidRPr="00704B08">
        <w:rPr>
          <w:rFonts w:ascii="Arial Narrow" w:hAnsi="Arial Narrow"/>
          <w:noProof/>
        </w:rPr>
        <w:t xml:space="preserve"> de las cuales todas las acciones estratégicas fueron exitosamente completadas.</w:t>
      </w:r>
      <w:r>
        <w:rPr>
          <w:rFonts w:ascii="Arial Narrow" w:hAnsi="Arial Narrow"/>
          <w:noProof/>
        </w:rPr>
        <w:t xml:space="preserve"> A continuación s</w:t>
      </w:r>
      <w:r w:rsidRPr="00D72581">
        <w:rPr>
          <w:rFonts w:ascii="Arial Narrow" w:eastAsia="Calibri" w:hAnsi="Arial Narrow"/>
        </w:rPr>
        <w:t>e muestran las metas estratégicas y su cumplimiento para el 20</w:t>
      </w:r>
      <w:r w:rsidR="00550000">
        <w:rPr>
          <w:rFonts w:ascii="Arial Narrow" w:eastAsia="Calibri" w:hAnsi="Arial Narrow"/>
        </w:rPr>
        <w:t>21</w:t>
      </w:r>
      <w:r w:rsidRPr="00D72581">
        <w:rPr>
          <w:rFonts w:ascii="Arial Narrow" w:eastAsia="Calibri" w:hAnsi="Arial Narrow"/>
        </w:rPr>
        <w:t>:</w:t>
      </w:r>
    </w:p>
    <w:p w14:paraId="7C810D36" w14:textId="7DE4DD67" w:rsidR="00E6327A" w:rsidRDefault="00E6327A" w:rsidP="00F03A42">
      <w:pPr>
        <w:rPr>
          <w:rFonts w:ascii="Arial Narrow" w:eastAsia="Calibri" w:hAnsi="Arial Narrow"/>
          <w:lang w:val="es-CR"/>
        </w:rPr>
      </w:pPr>
    </w:p>
    <w:p w14:paraId="44076AB9" w14:textId="77777777" w:rsidR="008D7433" w:rsidRDefault="008D7433" w:rsidP="00550000">
      <w:pPr>
        <w:pStyle w:val="Descripcin"/>
        <w:jc w:val="center"/>
        <w:rPr>
          <w:rFonts w:ascii="Arial Narrow" w:hAnsi="Arial Narrow"/>
          <w:sz w:val="24"/>
          <w:szCs w:val="24"/>
        </w:rPr>
      </w:pPr>
      <w:bookmarkStart w:id="46" w:name="_Toc76062252"/>
      <w:bookmarkEnd w:id="45"/>
    </w:p>
    <w:p w14:paraId="74FA9E53" w14:textId="77777777" w:rsidR="008D7433" w:rsidRDefault="008D7433" w:rsidP="00550000">
      <w:pPr>
        <w:pStyle w:val="Descripcin"/>
        <w:jc w:val="center"/>
        <w:rPr>
          <w:rFonts w:ascii="Arial Narrow" w:hAnsi="Arial Narrow"/>
          <w:sz w:val="24"/>
          <w:szCs w:val="24"/>
        </w:rPr>
      </w:pPr>
    </w:p>
    <w:p w14:paraId="4A34220C" w14:textId="6B9602E9" w:rsidR="00550000" w:rsidRDefault="00550000" w:rsidP="00550000">
      <w:pPr>
        <w:pStyle w:val="Descripcin"/>
        <w:jc w:val="center"/>
        <w:rPr>
          <w:rFonts w:ascii="Arial Narrow" w:eastAsia="Calibri" w:hAnsi="Arial Narrow"/>
          <w:sz w:val="24"/>
          <w:szCs w:val="24"/>
        </w:rPr>
      </w:pPr>
      <w:r w:rsidRPr="00484CC1">
        <w:rPr>
          <w:rFonts w:ascii="Arial Narrow" w:hAnsi="Arial Narrow"/>
          <w:sz w:val="24"/>
          <w:szCs w:val="24"/>
        </w:rPr>
        <w:t>Cuadro</w:t>
      </w:r>
      <w:r>
        <w:rPr>
          <w:rFonts w:ascii="Arial Narrow" w:hAnsi="Arial Narrow"/>
          <w:sz w:val="24"/>
          <w:szCs w:val="24"/>
        </w:rPr>
        <w:t xml:space="preserve">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2F520A">
        <w:rPr>
          <w:rFonts w:ascii="Arial Narrow" w:hAnsi="Arial Narrow"/>
          <w:noProof/>
          <w:sz w:val="24"/>
          <w:szCs w:val="24"/>
        </w:rPr>
        <w:t>36</w:t>
      </w:r>
      <w:r w:rsidRPr="00484CC1">
        <w:rPr>
          <w:rFonts w:ascii="Arial Narrow" w:hAnsi="Arial Narrow"/>
          <w:sz w:val="24"/>
          <w:szCs w:val="24"/>
        </w:rPr>
        <w:fldChar w:fldCharType="end"/>
      </w:r>
      <w:r w:rsidRPr="00484CC1">
        <w:rPr>
          <w:rFonts w:ascii="Arial Narrow" w:hAnsi="Arial Narrow"/>
          <w:sz w:val="24"/>
          <w:szCs w:val="24"/>
        </w:rPr>
        <w:t xml:space="preserve"> </w:t>
      </w:r>
      <w:r w:rsidRPr="00D657CE">
        <w:rPr>
          <w:rFonts w:ascii="Arial Narrow" w:eastAsia="Calibri" w:hAnsi="Arial Narrow"/>
          <w:sz w:val="24"/>
          <w:szCs w:val="24"/>
        </w:rPr>
        <w:t xml:space="preserve">Metas estratégicas de </w:t>
      </w:r>
      <w:r>
        <w:rPr>
          <w:rFonts w:ascii="Arial Narrow" w:eastAsia="Calibri" w:hAnsi="Arial Narrow"/>
          <w:sz w:val="24"/>
          <w:szCs w:val="24"/>
        </w:rPr>
        <w:t xml:space="preserve">Probidad y anticorrupción </w:t>
      </w:r>
      <w:r w:rsidRPr="00D657CE">
        <w:rPr>
          <w:rFonts w:ascii="Arial Narrow" w:eastAsia="Calibri" w:hAnsi="Arial Narrow"/>
          <w:sz w:val="24"/>
          <w:szCs w:val="24"/>
        </w:rPr>
        <w:t>y su cumplimiento para el 20</w:t>
      </w:r>
      <w:r>
        <w:rPr>
          <w:rFonts w:ascii="Arial Narrow" w:eastAsia="Calibri" w:hAnsi="Arial Narrow"/>
          <w:sz w:val="24"/>
          <w:szCs w:val="24"/>
        </w:rPr>
        <w:t>21.</w:t>
      </w:r>
      <w:bookmarkEnd w:id="46"/>
    </w:p>
    <w:p w14:paraId="296C5355" w14:textId="3BC5BED8" w:rsidR="00550000" w:rsidRDefault="00550000" w:rsidP="00550000">
      <w:pPr>
        <w:rPr>
          <w:rFonts w:eastAsia="Calibri"/>
        </w:rPr>
      </w:pPr>
    </w:p>
    <w:p w14:paraId="5FC0F2FB" w14:textId="3184514D" w:rsidR="007F05D7" w:rsidRPr="00550000" w:rsidRDefault="002875C0" w:rsidP="00550000">
      <w:pPr>
        <w:rPr>
          <w:rFonts w:eastAsia="Calibri"/>
        </w:rPr>
      </w:pPr>
      <w:r>
        <w:rPr>
          <w:noProof/>
        </w:rPr>
        <w:drawing>
          <wp:inline distT="0" distB="0" distL="0" distR="0" wp14:anchorId="3C2FC3B3" wp14:editId="60CFC438">
            <wp:extent cx="5974080" cy="2630170"/>
            <wp:effectExtent l="57150" t="57150" r="102870" b="93980"/>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74080" cy="263017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48B45D5" w14:textId="5943BB45" w:rsidR="00E6327A" w:rsidRPr="00A618D8" w:rsidRDefault="00E6327A" w:rsidP="00B54439">
      <w:pPr>
        <w:jc w:val="center"/>
        <w:rPr>
          <w:rFonts w:eastAsia="Calibri"/>
          <w:b/>
          <w:bCs/>
        </w:rPr>
      </w:pPr>
      <w:r w:rsidRPr="004619C9">
        <w:rPr>
          <w:rFonts w:ascii="Arial Narrow" w:eastAsia="Calibri" w:hAnsi="Arial Narrow"/>
          <w:b/>
          <w:bCs/>
          <w:sz w:val="18"/>
          <w:szCs w:val="18"/>
          <w:lang w:eastAsia="en-US"/>
        </w:rPr>
        <w:t>Fuente:</w:t>
      </w:r>
      <w:r w:rsidRPr="000B4845">
        <w:rPr>
          <w:rFonts w:ascii="Arial Narrow" w:eastAsia="Calibri" w:hAnsi="Arial Narrow"/>
          <w:sz w:val="18"/>
          <w:szCs w:val="18"/>
          <w:lang w:eastAsia="en-US"/>
        </w:rPr>
        <w:t xml:space="preserve"> Sistema PEI al </w:t>
      </w:r>
      <w:r>
        <w:rPr>
          <w:rFonts w:ascii="Arial Narrow" w:eastAsia="Calibri" w:hAnsi="Arial Narrow"/>
          <w:sz w:val="18"/>
          <w:szCs w:val="18"/>
          <w:lang w:eastAsia="en-US"/>
        </w:rPr>
        <w:t>19</w:t>
      </w:r>
      <w:r w:rsidRPr="000B4845">
        <w:rPr>
          <w:rFonts w:ascii="Arial Narrow" w:eastAsia="Calibri" w:hAnsi="Arial Narrow"/>
          <w:sz w:val="18"/>
          <w:szCs w:val="18"/>
          <w:lang w:eastAsia="en-US"/>
        </w:rPr>
        <w:t xml:space="preserve"> de enero del </w:t>
      </w:r>
      <w:r>
        <w:rPr>
          <w:rFonts w:ascii="Arial Narrow" w:eastAsia="Calibri" w:hAnsi="Arial Narrow"/>
          <w:sz w:val="18"/>
          <w:szCs w:val="18"/>
          <w:lang w:eastAsia="en-US"/>
        </w:rPr>
        <w:t>2022 para el año 2021.</w:t>
      </w:r>
    </w:p>
    <w:p w14:paraId="4705BDCE" w14:textId="424F6246" w:rsidR="00E6327A" w:rsidRDefault="00E6327A" w:rsidP="00C75038">
      <w:pPr>
        <w:jc w:val="both"/>
        <w:rPr>
          <w:rFonts w:ascii="Arial Narrow" w:hAnsi="Arial Narrow"/>
        </w:rPr>
      </w:pPr>
    </w:p>
    <w:p w14:paraId="7A79FA7B" w14:textId="77777777" w:rsidR="00E6327A" w:rsidRPr="00C75038" w:rsidRDefault="00E6327A" w:rsidP="00C75038">
      <w:pPr>
        <w:jc w:val="both"/>
        <w:rPr>
          <w:rFonts w:ascii="Arial Narrow" w:hAnsi="Arial Narrow"/>
        </w:rPr>
      </w:pPr>
    </w:p>
    <w:p w14:paraId="75691B4A" w14:textId="1211ABCC" w:rsidR="00E6327A" w:rsidRDefault="00C75038" w:rsidP="003356C2">
      <w:pPr>
        <w:jc w:val="both"/>
        <w:rPr>
          <w:rFonts w:ascii="Arial Narrow" w:hAnsi="Arial Narrow"/>
        </w:rPr>
      </w:pPr>
      <w:r>
        <w:rPr>
          <w:rFonts w:ascii="Arial Narrow" w:hAnsi="Arial Narrow"/>
        </w:rPr>
        <w:t xml:space="preserve">El </w:t>
      </w:r>
      <w:r w:rsidR="007D246D" w:rsidRPr="00704B08">
        <w:rPr>
          <w:rFonts w:ascii="Arial Narrow" w:hAnsi="Arial Narrow"/>
        </w:rPr>
        <w:t>Ministerio Público</w:t>
      </w:r>
      <w:r w:rsidR="007D246D">
        <w:rPr>
          <w:rFonts w:ascii="Arial Narrow" w:hAnsi="Arial Narrow"/>
        </w:rPr>
        <w:t xml:space="preserve"> </w:t>
      </w:r>
      <w:r w:rsidR="00792BB6">
        <w:rPr>
          <w:rFonts w:ascii="Arial Narrow" w:hAnsi="Arial Narrow"/>
        </w:rPr>
        <w:t>p</w:t>
      </w:r>
      <w:r w:rsidR="003356C2">
        <w:rPr>
          <w:rFonts w:ascii="Arial Narrow" w:hAnsi="Arial Narrow"/>
        </w:rPr>
        <w:t xml:space="preserve">ara el año 2021 </w:t>
      </w:r>
      <w:r w:rsidR="00E6327A" w:rsidRPr="00E6327A">
        <w:rPr>
          <w:rFonts w:ascii="Arial Narrow" w:hAnsi="Arial Narrow"/>
        </w:rPr>
        <w:t xml:space="preserve">realizó actividades </w:t>
      </w:r>
      <w:r w:rsidR="003356C2">
        <w:rPr>
          <w:rFonts w:ascii="Arial Narrow" w:hAnsi="Arial Narrow"/>
        </w:rPr>
        <w:t>relacionadas</w:t>
      </w:r>
      <w:r w:rsidR="00E6327A" w:rsidRPr="00E6327A">
        <w:rPr>
          <w:rFonts w:ascii="Arial Narrow" w:hAnsi="Arial Narrow"/>
        </w:rPr>
        <w:t xml:space="preserve"> al seguimiento en las mejoras estadísticas, la publicación de la campaña de valores, el análisis del impacto generado por la campaña y el informe de cierre del proyecto</w:t>
      </w:r>
      <w:r w:rsidR="003356C2">
        <w:rPr>
          <w:rFonts w:ascii="Arial Narrow" w:hAnsi="Arial Narrow"/>
        </w:rPr>
        <w:t>. U</w:t>
      </w:r>
      <w:r w:rsidR="00E6327A" w:rsidRPr="00E6327A">
        <w:rPr>
          <w:rFonts w:ascii="Arial Narrow" w:hAnsi="Arial Narrow"/>
        </w:rPr>
        <w:t>na vez concluidas las actividades programadas</w:t>
      </w:r>
      <w:r w:rsidR="003356C2">
        <w:rPr>
          <w:rFonts w:ascii="Arial Narrow" w:hAnsi="Arial Narrow"/>
        </w:rPr>
        <w:t>, t</w:t>
      </w:r>
      <w:r w:rsidR="00E6327A" w:rsidRPr="00E6327A">
        <w:rPr>
          <w:rFonts w:ascii="Arial Narrow" w:hAnsi="Arial Narrow"/>
        </w:rPr>
        <w:t>ambién</w:t>
      </w:r>
      <w:r w:rsidR="003356C2">
        <w:rPr>
          <w:rFonts w:ascii="Arial Narrow" w:hAnsi="Arial Narrow"/>
        </w:rPr>
        <w:t xml:space="preserve"> </w:t>
      </w:r>
      <w:r w:rsidR="00E6327A" w:rsidRPr="00E6327A">
        <w:rPr>
          <w:rFonts w:ascii="Arial Narrow" w:hAnsi="Arial Narrow"/>
        </w:rPr>
        <w:t xml:space="preserve">trabajó en </w:t>
      </w:r>
      <w:r w:rsidR="003356C2">
        <w:rPr>
          <w:rFonts w:ascii="Arial Narrow" w:hAnsi="Arial Narrow"/>
        </w:rPr>
        <w:t>un</w:t>
      </w:r>
      <w:r w:rsidR="00E6327A" w:rsidRPr="00E6327A">
        <w:rPr>
          <w:rFonts w:ascii="Arial Narrow" w:hAnsi="Arial Narrow"/>
        </w:rPr>
        <w:t xml:space="preserve"> cuestionario, para medir el impacto generado, por la divulgación de la campaña de valores. </w:t>
      </w:r>
    </w:p>
    <w:p w14:paraId="7B570FEC" w14:textId="09AD5BB9" w:rsidR="007D246D" w:rsidRPr="00E6327A" w:rsidRDefault="007D246D" w:rsidP="00E6327A">
      <w:pPr>
        <w:rPr>
          <w:rFonts w:ascii="Arial Narrow" w:hAnsi="Arial Narrow"/>
        </w:rPr>
      </w:pPr>
    </w:p>
    <w:p w14:paraId="2667B943" w14:textId="1238DF81" w:rsidR="00E6327A" w:rsidRPr="00E6327A" w:rsidRDefault="00E6327A" w:rsidP="00E6327A">
      <w:pPr>
        <w:autoSpaceDE w:val="0"/>
        <w:autoSpaceDN w:val="0"/>
        <w:adjustRightInd w:val="0"/>
        <w:jc w:val="both"/>
        <w:rPr>
          <w:rFonts w:ascii="Arial Narrow" w:hAnsi="Arial Narrow"/>
        </w:rPr>
      </w:pPr>
      <w:r w:rsidRPr="00E6327A">
        <w:rPr>
          <w:rFonts w:ascii="Arial Narrow" w:hAnsi="Arial Narrow"/>
        </w:rPr>
        <w:t xml:space="preserve">Aunado a lo anterior, la </w:t>
      </w:r>
      <w:r w:rsidR="00717FCC">
        <w:rPr>
          <w:rFonts w:ascii="Arial Narrow" w:hAnsi="Arial Narrow"/>
        </w:rPr>
        <w:t>F</w:t>
      </w:r>
      <w:r w:rsidRPr="00E6327A">
        <w:rPr>
          <w:rFonts w:ascii="Arial Narrow" w:hAnsi="Arial Narrow"/>
        </w:rPr>
        <w:t xml:space="preserve">iscalía general realizó las siguientes actividades: coordinó con el </w:t>
      </w:r>
      <w:r w:rsidR="00FF62EE">
        <w:rPr>
          <w:rFonts w:ascii="Arial Narrow" w:hAnsi="Arial Narrow"/>
        </w:rPr>
        <w:t>S</w:t>
      </w:r>
      <w:r w:rsidRPr="00E6327A">
        <w:rPr>
          <w:rFonts w:ascii="Arial Narrow" w:hAnsi="Arial Narrow"/>
        </w:rPr>
        <w:t>ubproceso de Estadística de la Dirección de Planificación</w:t>
      </w:r>
      <w:r w:rsidR="00FF62EE">
        <w:rPr>
          <w:rFonts w:ascii="Arial Narrow" w:hAnsi="Arial Narrow"/>
        </w:rPr>
        <w:t>,</w:t>
      </w:r>
      <w:r w:rsidRPr="00E6327A">
        <w:rPr>
          <w:rFonts w:ascii="Arial Narrow" w:hAnsi="Arial Narrow"/>
        </w:rPr>
        <w:t xml:space="preserve"> diferentes sesiones de trabajo, esto con el fin de dar seguimiento a las fórmulas estadística, actualizó la página </w:t>
      </w:r>
      <w:r w:rsidR="00792BB6">
        <w:rPr>
          <w:rFonts w:ascii="Arial Narrow" w:hAnsi="Arial Narrow"/>
        </w:rPr>
        <w:t>web</w:t>
      </w:r>
      <w:r w:rsidR="00792BB6" w:rsidRPr="00E6327A">
        <w:rPr>
          <w:rFonts w:ascii="Arial Narrow" w:hAnsi="Arial Narrow"/>
        </w:rPr>
        <w:t xml:space="preserve"> </w:t>
      </w:r>
      <w:r w:rsidRPr="00E6327A">
        <w:rPr>
          <w:rFonts w:ascii="Arial Narrow" w:hAnsi="Arial Narrow"/>
        </w:rPr>
        <w:t>de la Unidad de Inspección Fiscal y, se incluyó en el banner inicial, un anuncio para las personas usuarias, el cual, remite al apartado de la Unidad de Inspección Fiscal, en donde tienen la posibilidad de presentar inconformidades, sobre la atención recibida en el Ministerio Público, como parte del fin preventivo, del Régimen de Consecuencias y para mejorar los canales de denuncia digital.</w:t>
      </w:r>
    </w:p>
    <w:p w14:paraId="2E560D68" w14:textId="559CB078" w:rsidR="007D246D" w:rsidRPr="00E6327A" w:rsidRDefault="007D246D" w:rsidP="00F03A42">
      <w:pPr>
        <w:rPr>
          <w:rFonts w:ascii="Arial Narrow" w:hAnsi="Arial Narrow"/>
        </w:rPr>
      </w:pPr>
    </w:p>
    <w:p w14:paraId="10EDFC96" w14:textId="2AE32544" w:rsidR="003D680E" w:rsidRDefault="000A757C" w:rsidP="000A757C">
      <w:pPr>
        <w:jc w:val="both"/>
        <w:rPr>
          <w:rFonts w:ascii="Arial Narrow" w:hAnsi="Arial Narrow"/>
          <w:lang w:val="es-CR" w:eastAsia="es-CR"/>
        </w:rPr>
      </w:pPr>
      <w:r>
        <w:rPr>
          <w:rFonts w:ascii="Arial Narrow" w:hAnsi="Arial Narrow"/>
          <w:lang w:val="es-CR" w:eastAsia="es-CR"/>
        </w:rPr>
        <w:t xml:space="preserve">Por otra parte, </w:t>
      </w:r>
      <w:r w:rsidR="002A56C9" w:rsidRPr="00704B08">
        <w:rPr>
          <w:rFonts w:ascii="Arial Narrow" w:hAnsi="Arial Narrow"/>
          <w:lang w:val="es-CR" w:eastAsia="es-CR"/>
        </w:rPr>
        <w:t xml:space="preserve">la Unidad de la Inspección Judicial comunica </w:t>
      </w:r>
      <w:r>
        <w:rPr>
          <w:rFonts w:ascii="Arial Narrow" w:hAnsi="Arial Narrow"/>
          <w:lang w:val="es-CR" w:eastAsia="es-CR"/>
        </w:rPr>
        <w:t xml:space="preserve">que </w:t>
      </w:r>
      <w:r w:rsidR="005A49C7">
        <w:rPr>
          <w:rFonts w:ascii="Arial Narrow" w:hAnsi="Arial Narrow"/>
          <w:lang w:val="es-CR" w:eastAsia="es-CR"/>
        </w:rPr>
        <w:t>c</w:t>
      </w:r>
      <w:r w:rsidR="002A56C9" w:rsidRPr="002A56C9">
        <w:rPr>
          <w:rFonts w:ascii="Arial Narrow" w:hAnsi="Arial Narrow"/>
          <w:lang w:val="es-CR" w:eastAsia="es-CR"/>
        </w:rPr>
        <w:t>on el objetivo de m</w:t>
      </w:r>
      <w:r w:rsidR="003D680E" w:rsidRPr="002A56C9">
        <w:rPr>
          <w:rFonts w:ascii="Arial Narrow" w:hAnsi="Arial Narrow"/>
          <w:lang w:val="es-CR" w:eastAsia="es-CR"/>
        </w:rPr>
        <w:t>ejora</w:t>
      </w:r>
      <w:r w:rsidR="002A56C9" w:rsidRPr="002A56C9">
        <w:rPr>
          <w:rFonts w:ascii="Arial Narrow" w:hAnsi="Arial Narrow"/>
          <w:lang w:val="es-CR" w:eastAsia="es-CR"/>
        </w:rPr>
        <w:t>r</w:t>
      </w:r>
      <w:r w:rsidR="003D680E" w:rsidRPr="002A56C9">
        <w:rPr>
          <w:rFonts w:ascii="Arial Narrow" w:hAnsi="Arial Narrow"/>
          <w:lang w:val="es-CR" w:eastAsia="es-CR"/>
        </w:rPr>
        <w:t xml:space="preserve"> la prestación del servicio </w:t>
      </w:r>
      <w:r>
        <w:rPr>
          <w:rFonts w:ascii="Arial Narrow" w:hAnsi="Arial Narrow"/>
          <w:lang w:val="es-CR" w:eastAsia="es-CR"/>
        </w:rPr>
        <w:t xml:space="preserve">público </w:t>
      </w:r>
      <w:r w:rsidR="002A56C9" w:rsidRPr="002A56C9">
        <w:rPr>
          <w:rFonts w:ascii="Arial Narrow" w:hAnsi="Arial Narrow"/>
          <w:lang w:val="es-CR" w:eastAsia="es-CR"/>
        </w:rPr>
        <w:t xml:space="preserve">y </w:t>
      </w:r>
      <w:r w:rsidR="003D680E" w:rsidRPr="002A56C9">
        <w:rPr>
          <w:rFonts w:ascii="Arial Narrow" w:hAnsi="Arial Narrow"/>
          <w:lang w:val="es-CR" w:eastAsia="es-CR"/>
        </w:rPr>
        <w:t>como parte del fin preventivo y orientador</w:t>
      </w:r>
      <w:r w:rsidR="00FF62EE">
        <w:rPr>
          <w:rFonts w:ascii="Arial Narrow" w:hAnsi="Arial Narrow"/>
          <w:lang w:val="es-CR" w:eastAsia="es-CR"/>
        </w:rPr>
        <w:t>,</w:t>
      </w:r>
      <w:r w:rsidR="002A56C9" w:rsidRPr="002A56C9">
        <w:rPr>
          <w:rFonts w:ascii="Arial Narrow" w:hAnsi="Arial Narrow"/>
          <w:lang w:val="es-CR" w:eastAsia="es-CR"/>
        </w:rPr>
        <w:t xml:space="preserve"> se realizaron </w:t>
      </w:r>
      <w:r w:rsidR="003D680E" w:rsidRPr="003D680E">
        <w:rPr>
          <w:rFonts w:ascii="Arial Narrow" w:hAnsi="Arial Narrow"/>
          <w:lang w:val="es-CR" w:eastAsia="es-CR"/>
        </w:rPr>
        <w:t>entre</w:t>
      </w:r>
      <w:r>
        <w:rPr>
          <w:rFonts w:ascii="Arial Narrow" w:hAnsi="Arial Narrow"/>
          <w:lang w:val="es-CR" w:eastAsia="es-CR"/>
        </w:rPr>
        <w:t xml:space="preserve"> </w:t>
      </w:r>
      <w:r w:rsidR="003D680E" w:rsidRPr="003D680E">
        <w:rPr>
          <w:rFonts w:ascii="Arial Narrow" w:hAnsi="Arial Narrow"/>
          <w:lang w:val="es-CR" w:eastAsia="es-CR"/>
        </w:rPr>
        <w:t xml:space="preserve">visitas y seguimiento de visitas </w:t>
      </w:r>
      <w:r w:rsidR="00FF62EE" w:rsidRPr="002A56C9">
        <w:rPr>
          <w:rFonts w:ascii="Arial Narrow" w:hAnsi="Arial Narrow"/>
          <w:lang w:val="es-CR" w:eastAsia="es-CR"/>
        </w:rPr>
        <w:t xml:space="preserve">un total de </w:t>
      </w:r>
      <w:r w:rsidR="00FF62EE" w:rsidRPr="003D680E">
        <w:rPr>
          <w:rFonts w:ascii="Arial Narrow" w:hAnsi="Arial Narrow"/>
          <w:lang w:val="es-CR" w:eastAsia="es-CR"/>
        </w:rPr>
        <w:t xml:space="preserve">15 </w:t>
      </w:r>
      <w:r w:rsidR="003D680E" w:rsidRPr="003D680E">
        <w:rPr>
          <w:rFonts w:ascii="Arial Narrow" w:hAnsi="Arial Narrow"/>
          <w:lang w:val="es-CR" w:eastAsia="es-CR"/>
        </w:rPr>
        <w:t xml:space="preserve">en las siguientes Fiscalías: Atenas, Batán, Corredores, Fortuna, Fraudes, Golfito, Grecia, Hatillo, Heredia, II Circuito Judicial de San José, La Unión, Osa, Pavas, San Vito y </w:t>
      </w:r>
      <w:r w:rsidR="00717FCC" w:rsidRPr="003D680E">
        <w:rPr>
          <w:rFonts w:ascii="Arial Narrow" w:hAnsi="Arial Narrow"/>
          <w:lang w:val="es-CR" w:eastAsia="es-CR"/>
        </w:rPr>
        <w:t>Sarapiquí</w:t>
      </w:r>
      <w:r w:rsidR="005A49C7">
        <w:rPr>
          <w:rFonts w:ascii="Arial Narrow" w:hAnsi="Arial Narrow"/>
          <w:lang w:val="es-CR" w:eastAsia="es-CR"/>
        </w:rPr>
        <w:t>.</w:t>
      </w:r>
    </w:p>
    <w:p w14:paraId="40820F93" w14:textId="77777777" w:rsidR="00F41E1C" w:rsidRDefault="00F41E1C" w:rsidP="00F41E1C">
      <w:pPr>
        <w:rPr>
          <w:rFonts w:ascii="Arial Narrow" w:eastAsia="Calibri" w:hAnsi="Arial Narrow"/>
          <w:lang w:val="es-CR"/>
        </w:rPr>
      </w:pPr>
    </w:p>
    <w:p w14:paraId="6A54231C" w14:textId="77777777" w:rsidR="00550000" w:rsidRDefault="00550000" w:rsidP="00550000">
      <w:pPr>
        <w:rPr>
          <w:rFonts w:ascii="Arial Narrow" w:eastAsia="Calibri" w:hAnsi="Arial Narrow"/>
          <w:lang w:val="es-CR"/>
        </w:rPr>
      </w:pPr>
    </w:p>
    <w:p w14:paraId="7B4D33D6" w14:textId="77777777" w:rsidR="008D7433" w:rsidRDefault="008D7433" w:rsidP="00550000">
      <w:pPr>
        <w:pStyle w:val="Descripcin"/>
        <w:jc w:val="center"/>
        <w:rPr>
          <w:rFonts w:ascii="Arial Narrow" w:hAnsi="Arial Narrow"/>
          <w:sz w:val="24"/>
          <w:szCs w:val="24"/>
        </w:rPr>
      </w:pPr>
    </w:p>
    <w:p w14:paraId="06856BCD" w14:textId="77777777" w:rsidR="008D7433" w:rsidRDefault="008D7433" w:rsidP="00550000">
      <w:pPr>
        <w:pStyle w:val="Descripcin"/>
        <w:jc w:val="center"/>
        <w:rPr>
          <w:rFonts w:ascii="Arial Narrow" w:hAnsi="Arial Narrow"/>
          <w:sz w:val="24"/>
          <w:szCs w:val="24"/>
        </w:rPr>
      </w:pPr>
    </w:p>
    <w:p w14:paraId="5E1ACF26" w14:textId="77777777" w:rsidR="008D7433" w:rsidRDefault="008D7433" w:rsidP="00550000">
      <w:pPr>
        <w:pStyle w:val="Descripcin"/>
        <w:jc w:val="center"/>
        <w:rPr>
          <w:rFonts w:ascii="Arial Narrow" w:hAnsi="Arial Narrow"/>
          <w:sz w:val="24"/>
          <w:szCs w:val="24"/>
        </w:rPr>
      </w:pPr>
    </w:p>
    <w:p w14:paraId="51F8DF61" w14:textId="77777777" w:rsidR="008D7433" w:rsidRDefault="008D7433" w:rsidP="00550000">
      <w:pPr>
        <w:pStyle w:val="Descripcin"/>
        <w:jc w:val="center"/>
        <w:rPr>
          <w:rFonts w:ascii="Arial Narrow" w:hAnsi="Arial Narrow"/>
          <w:sz w:val="24"/>
          <w:szCs w:val="24"/>
        </w:rPr>
      </w:pPr>
    </w:p>
    <w:p w14:paraId="38D3C70F" w14:textId="4589C935" w:rsidR="00550000" w:rsidRDefault="00550000" w:rsidP="00550000">
      <w:pPr>
        <w:pStyle w:val="Descripcin"/>
        <w:jc w:val="center"/>
        <w:rPr>
          <w:rFonts w:ascii="Arial Narrow" w:eastAsia="Calibri" w:hAnsi="Arial Narrow"/>
          <w:sz w:val="24"/>
          <w:szCs w:val="24"/>
        </w:rPr>
      </w:pPr>
      <w:r w:rsidRPr="00484CC1">
        <w:rPr>
          <w:rFonts w:ascii="Arial Narrow" w:hAnsi="Arial Narrow"/>
          <w:sz w:val="24"/>
          <w:szCs w:val="24"/>
        </w:rPr>
        <w:t>Cuadro</w:t>
      </w:r>
      <w:r>
        <w:rPr>
          <w:rFonts w:ascii="Arial Narrow" w:hAnsi="Arial Narrow"/>
          <w:sz w:val="24"/>
          <w:szCs w:val="24"/>
        </w:rPr>
        <w:t xml:space="preserve">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2F520A">
        <w:rPr>
          <w:rFonts w:ascii="Arial Narrow" w:hAnsi="Arial Narrow"/>
          <w:noProof/>
          <w:sz w:val="24"/>
          <w:szCs w:val="24"/>
        </w:rPr>
        <w:t>37</w:t>
      </w:r>
      <w:r w:rsidRPr="00484CC1">
        <w:rPr>
          <w:rFonts w:ascii="Arial Narrow" w:hAnsi="Arial Narrow"/>
          <w:sz w:val="24"/>
          <w:szCs w:val="24"/>
        </w:rPr>
        <w:fldChar w:fldCharType="end"/>
      </w:r>
      <w:r w:rsidRPr="00484CC1">
        <w:rPr>
          <w:rFonts w:ascii="Arial Narrow" w:hAnsi="Arial Narrow"/>
          <w:sz w:val="24"/>
          <w:szCs w:val="24"/>
        </w:rPr>
        <w:t xml:space="preserve"> </w:t>
      </w:r>
      <w:r w:rsidRPr="00D657CE">
        <w:rPr>
          <w:rFonts w:ascii="Arial Narrow" w:eastAsia="Calibri" w:hAnsi="Arial Narrow"/>
          <w:sz w:val="24"/>
          <w:szCs w:val="24"/>
        </w:rPr>
        <w:t xml:space="preserve">Metas estratégicas de </w:t>
      </w:r>
      <w:r>
        <w:rPr>
          <w:rFonts w:ascii="Arial Narrow" w:eastAsia="Calibri" w:hAnsi="Arial Narrow"/>
          <w:sz w:val="24"/>
          <w:szCs w:val="24"/>
        </w:rPr>
        <w:t xml:space="preserve">Probidad y anticorrupción </w:t>
      </w:r>
      <w:r w:rsidRPr="00D657CE">
        <w:rPr>
          <w:rFonts w:ascii="Arial Narrow" w:eastAsia="Calibri" w:hAnsi="Arial Narrow"/>
          <w:sz w:val="24"/>
          <w:szCs w:val="24"/>
        </w:rPr>
        <w:t>y su cumplimiento para el 20</w:t>
      </w:r>
      <w:r>
        <w:rPr>
          <w:rFonts w:ascii="Arial Narrow" w:eastAsia="Calibri" w:hAnsi="Arial Narrow"/>
          <w:sz w:val="24"/>
          <w:szCs w:val="24"/>
        </w:rPr>
        <w:t>21.</w:t>
      </w:r>
    </w:p>
    <w:p w14:paraId="7D669260" w14:textId="77777777" w:rsidR="002875C0" w:rsidRPr="002875C0" w:rsidRDefault="002875C0" w:rsidP="002875C0">
      <w:pPr>
        <w:rPr>
          <w:rFonts w:eastAsia="Calibri"/>
        </w:rPr>
      </w:pPr>
    </w:p>
    <w:p w14:paraId="05B6FB6A" w14:textId="7438C9D8" w:rsidR="000A757C" w:rsidRPr="00550000" w:rsidRDefault="002875C0" w:rsidP="002875C0">
      <w:pPr>
        <w:jc w:val="center"/>
        <w:rPr>
          <w:rFonts w:eastAsia="Calibri"/>
        </w:rPr>
      </w:pPr>
      <w:r>
        <w:rPr>
          <w:noProof/>
        </w:rPr>
        <w:drawing>
          <wp:inline distT="0" distB="0" distL="0" distR="0" wp14:anchorId="7013E615" wp14:editId="4667D89F">
            <wp:extent cx="5974080" cy="2618105"/>
            <wp:effectExtent l="57150" t="57150" r="102870" b="86995"/>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74080" cy="261810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6A70200" w14:textId="16741E1C" w:rsidR="00A63CEB" w:rsidRPr="00A618D8" w:rsidRDefault="00A63CEB" w:rsidP="00B54439">
      <w:pPr>
        <w:jc w:val="center"/>
        <w:rPr>
          <w:rFonts w:eastAsia="Calibri"/>
          <w:b/>
          <w:bCs/>
        </w:rPr>
      </w:pPr>
      <w:r w:rsidRPr="004619C9">
        <w:rPr>
          <w:rFonts w:ascii="Arial Narrow" w:eastAsia="Calibri" w:hAnsi="Arial Narrow"/>
          <w:b/>
          <w:bCs/>
          <w:sz w:val="18"/>
          <w:szCs w:val="18"/>
          <w:lang w:eastAsia="en-US"/>
        </w:rPr>
        <w:t>Fuente:</w:t>
      </w:r>
      <w:r w:rsidRPr="000B4845">
        <w:rPr>
          <w:rFonts w:ascii="Arial Narrow" w:eastAsia="Calibri" w:hAnsi="Arial Narrow"/>
          <w:sz w:val="18"/>
          <w:szCs w:val="18"/>
          <w:lang w:eastAsia="en-US"/>
        </w:rPr>
        <w:t xml:space="preserve"> Sistema PEI al </w:t>
      </w:r>
      <w:r>
        <w:rPr>
          <w:rFonts w:ascii="Arial Narrow" w:eastAsia="Calibri" w:hAnsi="Arial Narrow"/>
          <w:sz w:val="18"/>
          <w:szCs w:val="18"/>
          <w:lang w:eastAsia="en-US"/>
        </w:rPr>
        <w:t>19</w:t>
      </w:r>
      <w:r w:rsidRPr="000B4845">
        <w:rPr>
          <w:rFonts w:ascii="Arial Narrow" w:eastAsia="Calibri" w:hAnsi="Arial Narrow"/>
          <w:sz w:val="18"/>
          <w:szCs w:val="18"/>
          <w:lang w:eastAsia="en-US"/>
        </w:rPr>
        <w:t xml:space="preserve"> de enero del </w:t>
      </w:r>
      <w:r>
        <w:rPr>
          <w:rFonts w:ascii="Arial Narrow" w:eastAsia="Calibri" w:hAnsi="Arial Narrow"/>
          <w:sz w:val="18"/>
          <w:szCs w:val="18"/>
          <w:lang w:eastAsia="en-US"/>
        </w:rPr>
        <w:t>2022 para el año 2021.</w:t>
      </w:r>
    </w:p>
    <w:p w14:paraId="0D7014EB" w14:textId="77777777" w:rsidR="000A757C" w:rsidRPr="003D680E" w:rsidRDefault="000A757C" w:rsidP="000A757C">
      <w:pPr>
        <w:jc w:val="both"/>
        <w:rPr>
          <w:rFonts w:ascii="Times New Roman" w:hAnsi="Times New Roman"/>
          <w:lang w:val="es-ES"/>
        </w:rPr>
      </w:pPr>
    </w:p>
    <w:p w14:paraId="7A89EA47" w14:textId="247EEC1A" w:rsidR="0097070C" w:rsidRDefault="0097070C" w:rsidP="00A63CEB">
      <w:pPr>
        <w:jc w:val="both"/>
        <w:rPr>
          <w:rFonts w:ascii="Arial Narrow" w:hAnsi="Arial Narrow"/>
          <w:lang w:val="es-CR" w:eastAsia="es-CR"/>
        </w:rPr>
      </w:pPr>
    </w:p>
    <w:p w14:paraId="16ED072E" w14:textId="5C0217E5" w:rsidR="0097070C" w:rsidRDefault="0097070C" w:rsidP="00550000">
      <w:pPr>
        <w:jc w:val="both"/>
        <w:rPr>
          <w:rFonts w:ascii="Arial Narrow" w:hAnsi="Arial Narrow"/>
          <w:lang w:val="es-CR" w:eastAsia="es-CR"/>
        </w:rPr>
      </w:pPr>
      <w:r w:rsidRPr="00A63CEB">
        <w:rPr>
          <w:rFonts w:ascii="Arial Narrow" w:hAnsi="Arial Narrow"/>
          <w:lang w:val="es-CR" w:eastAsia="es-CR"/>
        </w:rPr>
        <w:t>S</w:t>
      </w:r>
      <w:r w:rsidRPr="002A3649">
        <w:rPr>
          <w:rFonts w:ascii="Arial Narrow" w:hAnsi="Arial Narrow"/>
          <w:lang w:val="es-CR" w:eastAsia="es-CR"/>
        </w:rPr>
        <w:t>e</w:t>
      </w:r>
      <w:r w:rsidRPr="00704B08">
        <w:rPr>
          <w:rFonts w:ascii="Arial Narrow" w:hAnsi="Arial Narrow"/>
          <w:lang w:val="es-CR" w:eastAsia="es-CR"/>
        </w:rPr>
        <w:t xml:space="preserve"> observa que </w:t>
      </w:r>
      <w:r>
        <w:rPr>
          <w:rFonts w:ascii="Arial Narrow" w:hAnsi="Arial Narrow"/>
          <w:lang w:val="es-CR" w:eastAsia="es-CR"/>
        </w:rPr>
        <w:t>e</w:t>
      </w:r>
      <w:r w:rsidRPr="002A3649">
        <w:rPr>
          <w:rFonts w:ascii="Arial Narrow" w:hAnsi="Arial Narrow"/>
          <w:lang w:val="es-CR" w:eastAsia="es-CR"/>
        </w:rPr>
        <w:t xml:space="preserve">l Organismo de Investigación </w:t>
      </w:r>
      <w:r w:rsidRPr="0026099A">
        <w:rPr>
          <w:rFonts w:ascii="Arial Narrow" w:hAnsi="Arial Narrow"/>
          <w:lang w:val="es-CR" w:eastAsia="es-CR"/>
        </w:rPr>
        <w:t>Judicial cuenta</w:t>
      </w:r>
      <w:r w:rsidRPr="00704B08">
        <w:rPr>
          <w:rFonts w:ascii="Arial Narrow" w:hAnsi="Arial Narrow"/>
          <w:lang w:val="es-CR" w:eastAsia="es-CR"/>
        </w:rPr>
        <w:t xml:space="preserve"> con la información</w:t>
      </w:r>
      <w:r w:rsidRPr="0097070C">
        <w:rPr>
          <w:rFonts w:ascii="Arial Narrow" w:hAnsi="Arial Narrow"/>
          <w:lang w:val="es-CR" w:eastAsia="es-CR"/>
        </w:rPr>
        <w:t xml:space="preserve"> </w:t>
      </w:r>
      <w:r w:rsidRPr="0026099A">
        <w:rPr>
          <w:rFonts w:ascii="Arial Narrow" w:hAnsi="Arial Narrow"/>
          <w:lang w:val="es-CR" w:eastAsia="es-CR"/>
        </w:rPr>
        <w:t>Al respecto</w:t>
      </w:r>
      <w:r>
        <w:rPr>
          <w:rFonts w:ascii="Arial Narrow" w:hAnsi="Arial Narrow"/>
          <w:lang w:val="es-CR" w:eastAsia="es-CR"/>
        </w:rPr>
        <w:t>,</w:t>
      </w:r>
      <w:r w:rsidRPr="0026099A">
        <w:rPr>
          <w:rFonts w:ascii="Arial Narrow" w:hAnsi="Arial Narrow"/>
          <w:lang w:val="es-CR" w:eastAsia="es-CR"/>
        </w:rPr>
        <w:t xml:space="preserve"> se tiene el </w:t>
      </w:r>
      <w:r w:rsidRPr="00704B08">
        <w:rPr>
          <w:rFonts w:ascii="Arial Narrow" w:hAnsi="Arial Narrow"/>
          <w:lang w:val="es-CR" w:eastAsia="es-CR"/>
        </w:rPr>
        <w:t>diseñ</w:t>
      </w:r>
      <w:r w:rsidRPr="002A3649">
        <w:rPr>
          <w:rFonts w:ascii="Arial Narrow" w:hAnsi="Arial Narrow"/>
          <w:lang w:val="es-CR" w:eastAsia="es-CR"/>
        </w:rPr>
        <w:t>o d</w:t>
      </w:r>
      <w:r w:rsidRPr="0026099A">
        <w:rPr>
          <w:rFonts w:ascii="Arial Narrow" w:hAnsi="Arial Narrow"/>
          <w:lang w:val="es-CR" w:eastAsia="es-CR"/>
        </w:rPr>
        <w:t>el p</w:t>
      </w:r>
      <w:r w:rsidRPr="00704B08">
        <w:rPr>
          <w:rFonts w:ascii="Arial Narrow" w:hAnsi="Arial Narrow"/>
          <w:lang w:val="es-CR" w:eastAsia="es-CR"/>
        </w:rPr>
        <w:t>lan</w:t>
      </w:r>
      <w:r w:rsidRPr="002A3649">
        <w:rPr>
          <w:rFonts w:ascii="Arial Narrow" w:hAnsi="Arial Narrow"/>
          <w:lang w:val="es-CR" w:eastAsia="es-CR"/>
        </w:rPr>
        <w:t xml:space="preserve"> de</w:t>
      </w:r>
      <w:r w:rsidRPr="00704B08">
        <w:rPr>
          <w:rFonts w:ascii="Arial Narrow" w:hAnsi="Arial Narrow"/>
          <w:lang w:val="es-CR" w:eastAsia="es-CR"/>
        </w:rPr>
        <w:t xml:space="preserve"> Anticorrupción de</w:t>
      </w:r>
      <w:r>
        <w:rPr>
          <w:rFonts w:ascii="Arial Narrow" w:hAnsi="Arial Narrow"/>
          <w:lang w:val="es-CR" w:eastAsia="es-CR"/>
        </w:rPr>
        <w:t>l</w:t>
      </w:r>
      <w:r w:rsidRPr="00704B08">
        <w:rPr>
          <w:rFonts w:ascii="Arial Narrow" w:hAnsi="Arial Narrow"/>
          <w:lang w:val="es-CR" w:eastAsia="es-CR"/>
        </w:rPr>
        <w:t xml:space="preserve"> OIJ</w:t>
      </w:r>
      <w:r>
        <w:rPr>
          <w:rFonts w:ascii="Arial Narrow" w:hAnsi="Arial Narrow"/>
          <w:lang w:val="es-CR" w:eastAsia="es-CR"/>
        </w:rPr>
        <w:t xml:space="preserve"> </w:t>
      </w:r>
      <w:r w:rsidRPr="0026099A">
        <w:rPr>
          <w:rFonts w:ascii="Arial Narrow" w:hAnsi="Arial Narrow"/>
          <w:lang w:val="es-CR" w:eastAsia="es-CR"/>
        </w:rPr>
        <w:t>2020</w:t>
      </w:r>
      <w:r w:rsidRPr="00704B08">
        <w:rPr>
          <w:rFonts w:ascii="Arial Narrow" w:hAnsi="Arial Narrow"/>
          <w:lang w:val="es-CR" w:eastAsia="es-CR"/>
        </w:rPr>
        <w:t xml:space="preserve">-2021, el cual </w:t>
      </w:r>
      <w:r w:rsidRPr="002A3649">
        <w:rPr>
          <w:rFonts w:ascii="Arial Narrow" w:hAnsi="Arial Narrow"/>
          <w:lang w:val="es-CR" w:eastAsia="es-CR"/>
        </w:rPr>
        <w:t>fue</w:t>
      </w:r>
      <w:r w:rsidRPr="00704B08">
        <w:rPr>
          <w:rFonts w:ascii="Arial Narrow" w:hAnsi="Arial Narrow"/>
          <w:lang w:val="es-CR" w:eastAsia="es-CR"/>
        </w:rPr>
        <w:t xml:space="preserve"> socializado por </w:t>
      </w:r>
      <w:r w:rsidRPr="002A3649">
        <w:rPr>
          <w:rFonts w:ascii="Arial Narrow" w:hAnsi="Arial Narrow"/>
          <w:lang w:val="es-CR" w:eastAsia="es-CR"/>
        </w:rPr>
        <w:t>dicha Dirección de</w:t>
      </w:r>
      <w:r w:rsidRPr="00704B08">
        <w:rPr>
          <w:rFonts w:ascii="Arial Narrow" w:hAnsi="Arial Narrow"/>
          <w:lang w:val="es-CR" w:eastAsia="es-CR"/>
        </w:rPr>
        <w:t xml:space="preserve"> manera digital para todas las dependencias de la institución.</w:t>
      </w:r>
      <w:r w:rsidRPr="0097070C">
        <w:rPr>
          <w:rFonts w:ascii="Arial Narrow" w:hAnsi="Arial Narrow"/>
          <w:lang w:val="es-CR" w:eastAsia="es-CR"/>
        </w:rPr>
        <w:t xml:space="preserve"> </w:t>
      </w:r>
      <w:r w:rsidRPr="00A63CEB">
        <w:rPr>
          <w:rFonts w:ascii="Arial Narrow" w:hAnsi="Arial Narrow"/>
          <w:lang w:val="es-CR" w:eastAsia="es-CR"/>
        </w:rPr>
        <w:t xml:space="preserve">Además, como parte de los mecanismos definidos para mejorar los procesos de control sobre el tema de corrupción, tráfico de influencias y conflictos de intereses la oficina de Información y Prensa  colaboró en  diferentes </w:t>
      </w:r>
      <w:r w:rsidRPr="0097070C">
        <w:rPr>
          <w:rFonts w:ascii="Arial Narrow" w:hAnsi="Arial Narrow"/>
          <w:lang w:val="es-CR" w:eastAsia="es-CR"/>
        </w:rPr>
        <w:t xml:space="preserve">talleres para los representantes del Programa de Transparencia y Anticorrupción del </w:t>
      </w:r>
      <w:r w:rsidR="00C9308F" w:rsidRPr="0097070C">
        <w:rPr>
          <w:rFonts w:ascii="Arial Narrow" w:hAnsi="Arial Narrow"/>
          <w:lang w:val="es-CR" w:eastAsia="es-CR"/>
        </w:rPr>
        <w:t>OIJ</w:t>
      </w:r>
      <w:r w:rsidR="00C9308F">
        <w:rPr>
          <w:rFonts w:ascii="Arial Narrow" w:hAnsi="Arial Narrow"/>
          <w:lang w:val="es-CR" w:eastAsia="es-CR"/>
        </w:rPr>
        <w:t>,</w:t>
      </w:r>
      <w:r w:rsidR="00C9308F" w:rsidRPr="00A63CEB">
        <w:rPr>
          <w:rFonts w:ascii="Arial Narrow" w:hAnsi="Arial Narrow"/>
          <w:lang w:val="es-CR" w:eastAsia="es-CR"/>
        </w:rPr>
        <w:t xml:space="preserve"> publicaron</w:t>
      </w:r>
      <w:r w:rsidR="00A63CEB" w:rsidRPr="00A63CEB">
        <w:rPr>
          <w:rFonts w:ascii="Arial Narrow" w:hAnsi="Arial Narrow"/>
          <w:lang w:val="es-CR" w:eastAsia="es-CR"/>
        </w:rPr>
        <w:t xml:space="preserve"> afiches relacionados con el PRIT, se crearon 6 videos para capacitación para representantes del PRIT en anticorrupción, colaboró con el taller organizado por Naciones Unidas y se promovió el tema en la prensa nacional.</w:t>
      </w:r>
    </w:p>
    <w:p w14:paraId="561E44BB" w14:textId="77777777" w:rsidR="002875C0" w:rsidRDefault="002875C0" w:rsidP="00C33A56">
      <w:pPr>
        <w:jc w:val="both"/>
        <w:rPr>
          <w:rFonts w:ascii="Arial Narrow" w:hAnsi="Arial Narrow"/>
          <w:lang w:val="es-CR" w:eastAsia="es-CR"/>
        </w:rPr>
      </w:pPr>
    </w:p>
    <w:p w14:paraId="2556F031" w14:textId="40BA5692" w:rsidR="0097070C" w:rsidRDefault="004C7BCE" w:rsidP="00C33A56">
      <w:pPr>
        <w:jc w:val="both"/>
        <w:rPr>
          <w:rFonts w:ascii="Arial Narrow" w:eastAsia="Calibri" w:hAnsi="Arial Narrow"/>
        </w:rPr>
      </w:pPr>
      <w:r>
        <w:rPr>
          <w:rFonts w:ascii="Arial Narrow" w:hAnsi="Arial Narrow"/>
          <w:lang w:val="es-CR" w:eastAsia="es-CR"/>
        </w:rPr>
        <w:t xml:space="preserve">Por otra parte, </w:t>
      </w:r>
      <w:r w:rsidRPr="0053129A">
        <w:rPr>
          <w:rFonts w:ascii="Arial Narrow" w:eastAsia="Calibri" w:hAnsi="Arial Narrow"/>
        </w:rPr>
        <w:t xml:space="preserve">se tiene que la Oficina de Cumplimiento </w:t>
      </w:r>
      <w:r>
        <w:rPr>
          <w:rFonts w:ascii="Arial Narrow" w:eastAsia="Calibri" w:hAnsi="Arial Narrow"/>
        </w:rPr>
        <w:t>e</w:t>
      </w:r>
      <w:r w:rsidRPr="004C7BCE">
        <w:rPr>
          <w:rFonts w:ascii="Arial Narrow" w:eastAsia="Calibri" w:hAnsi="Arial Narrow"/>
        </w:rPr>
        <w:t>n conjunto con la consultoría contratada por Nacional Center of State Courts (NCSC), profesionales de Gestión Humana y la Dirección de Tecnología de la Información se logró el desarrollo de la Herramienta de Simulación en Conflicto de Interés</w:t>
      </w:r>
      <w:r>
        <w:rPr>
          <w:rFonts w:ascii="Arial Narrow" w:eastAsia="Calibri" w:hAnsi="Arial Narrow"/>
        </w:rPr>
        <w:t xml:space="preserve">. Como evidencia la Oficina de Cumplimento adjunta en el sistema PAO pantallazos del sistema.  </w:t>
      </w:r>
    </w:p>
    <w:p w14:paraId="0B351040" w14:textId="0DBD1F26" w:rsidR="004C7BCE" w:rsidRDefault="004C7BCE" w:rsidP="00F03A42">
      <w:pPr>
        <w:rPr>
          <w:rFonts w:ascii="Arial Narrow" w:eastAsia="Calibri" w:hAnsi="Arial Narrow"/>
        </w:rPr>
      </w:pPr>
    </w:p>
    <w:p w14:paraId="2B60BB9D" w14:textId="49A51037" w:rsidR="004C7BCE" w:rsidRDefault="00270C0D" w:rsidP="00132A44">
      <w:pPr>
        <w:jc w:val="both"/>
        <w:rPr>
          <w:rFonts w:ascii="Arial Narrow" w:hAnsi="Arial Narrow"/>
          <w:lang w:val="es-CR" w:eastAsia="es-CR"/>
        </w:rPr>
      </w:pPr>
      <w:r w:rsidRPr="00704B08">
        <w:rPr>
          <w:rFonts w:ascii="Arial Narrow" w:eastAsia="Calibri" w:hAnsi="Arial Narrow"/>
          <w:color w:val="000000"/>
          <w:lang w:val="es-ES"/>
        </w:rPr>
        <w:t>En cuanto al año 202</w:t>
      </w:r>
      <w:r>
        <w:rPr>
          <w:rFonts w:ascii="Arial Narrow" w:eastAsia="Calibri" w:hAnsi="Arial Narrow"/>
          <w:color w:val="000000"/>
          <w:lang w:val="es-ES"/>
        </w:rPr>
        <w:t>1</w:t>
      </w:r>
      <w:r w:rsidRPr="00704B08">
        <w:rPr>
          <w:rFonts w:ascii="Arial Narrow" w:eastAsia="Calibri" w:hAnsi="Arial Narrow"/>
          <w:color w:val="000000"/>
          <w:lang w:val="es-ES"/>
        </w:rPr>
        <w:t xml:space="preserve"> </w:t>
      </w:r>
      <w:r w:rsidRPr="005C4C02">
        <w:rPr>
          <w:rFonts w:ascii="Arial Narrow" w:eastAsia="Calibri" w:hAnsi="Arial Narrow"/>
          <w:color w:val="000000"/>
          <w:lang w:val="es-ES"/>
        </w:rPr>
        <w:t xml:space="preserve">el Despacho de la </w:t>
      </w:r>
      <w:r w:rsidRPr="00132A44">
        <w:rPr>
          <w:rFonts w:ascii="Arial Narrow" w:eastAsia="Calibri" w:hAnsi="Arial Narrow"/>
        </w:rPr>
        <w:t>Presidencia por medio del oficio DP-304-2021 que adjunta en el sistema PAO indica</w:t>
      </w:r>
      <w:r>
        <w:rPr>
          <w:rFonts w:ascii="Arial Narrow" w:eastAsia="Calibri" w:hAnsi="Arial Narrow"/>
        </w:rPr>
        <w:t xml:space="preserve"> que en el mes de junio del 2021 </w:t>
      </w:r>
      <w:r w:rsidRPr="00132A44">
        <w:rPr>
          <w:rFonts w:ascii="Arial Narrow" w:eastAsia="Calibri" w:hAnsi="Arial Narrow"/>
        </w:rPr>
        <w:t>se actualizó la reforma legal sobre régimen disciplinario para Magistrados y Magistradas.</w:t>
      </w:r>
    </w:p>
    <w:p w14:paraId="7BE9B933" w14:textId="4067D14E" w:rsidR="0097070C" w:rsidRDefault="0097070C" w:rsidP="00F03A42">
      <w:pPr>
        <w:rPr>
          <w:rFonts w:ascii="Arial Narrow" w:hAnsi="Arial Narrow"/>
          <w:lang w:val="es-CR" w:eastAsia="es-CR"/>
        </w:rPr>
      </w:pPr>
    </w:p>
    <w:p w14:paraId="49F168DD" w14:textId="306903EF" w:rsidR="0097070C" w:rsidRDefault="004C7BCE" w:rsidP="00F03A42">
      <w:pPr>
        <w:rPr>
          <w:rFonts w:ascii="Arial Narrow" w:hAnsi="Arial Narrow"/>
          <w:lang w:val="es-CR" w:eastAsia="es-CR"/>
        </w:rPr>
      </w:pPr>
      <w:r>
        <w:rPr>
          <w:rFonts w:ascii="Arial Narrow" w:hAnsi="Arial Narrow"/>
          <w:lang w:val="es-CR" w:eastAsia="es-CR"/>
        </w:rPr>
        <w:t>De</w:t>
      </w:r>
      <w:r w:rsidR="00550000">
        <w:rPr>
          <w:rFonts w:ascii="Arial Narrow" w:hAnsi="Arial Narrow"/>
          <w:lang w:val="es-CR" w:eastAsia="es-CR"/>
        </w:rPr>
        <w:t>l</w:t>
      </w:r>
      <w:r>
        <w:rPr>
          <w:rFonts w:ascii="Arial Narrow" w:hAnsi="Arial Narrow"/>
          <w:lang w:val="es-CR" w:eastAsia="es-CR"/>
        </w:rPr>
        <w:t xml:space="preserve"> cuadro anterior, se observa que todas metas tienen un cumplimento del 100% para el año 2021.</w:t>
      </w:r>
    </w:p>
    <w:p w14:paraId="6C9DDD41" w14:textId="77777777" w:rsidR="00550000" w:rsidRDefault="00550000" w:rsidP="007E364C">
      <w:pPr>
        <w:pStyle w:val="Descripcin"/>
        <w:rPr>
          <w:rFonts w:ascii="Arial Narrow" w:hAnsi="Arial Narrow"/>
          <w:sz w:val="24"/>
          <w:szCs w:val="24"/>
        </w:rPr>
      </w:pPr>
    </w:p>
    <w:p w14:paraId="3BAC556A" w14:textId="77777777" w:rsidR="00CB5AE6" w:rsidRPr="00CB5AE6" w:rsidRDefault="00CB5AE6" w:rsidP="00CB5AE6"/>
    <w:p w14:paraId="7DD60969" w14:textId="77777777" w:rsidR="008D7433" w:rsidRDefault="008D7433" w:rsidP="00550000">
      <w:pPr>
        <w:jc w:val="center"/>
        <w:rPr>
          <w:rFonts w:ascii="Arial Narrow" w:hAnsi="Arial Narrow"/>
          <w:b/>
          <w:bCs/>
        </w:rPr>
      </w:pPr>
    </w:p>
    <w:p w14:paraId="3F5B7991" w14:textId="77777777" w:rsidR="008D7433" w:rsidRDefault="008D7433" w:rsidP="00550000">
      <w:pPr>
        <w:jc w:val="center"/>
        <w:rPr>
          <w:rFonts w:ascii="Arial Narrow" w:hAnsi="Arial Narrow"/>
          <w:b/>
          <w:bCs/>
        </w:rPr>
      </w:pPr>
    </w:p>
    <w:p w14:paraId="0841CF9F" w14:textId="1733F570" w:rsidR="004B4F8B" w:rsidRDefault="00550000" w:rsidP="00550000">
      <w:pPr>
        <w:jc w:val="center"/>
        <w:rPr>
          <w:rFonts w:ascii="Arial Narrow" w:eastAsia="Calibri" w:hAnsi="Arial Narrow"/>
          <w:b/>
          <w:bCs/>
        </w:rPr>
      </w:pPr>
      <w:r w:rsidRPr="00550000">
        <w:rPr>
          <w:rFonts w:ascii="Arial Narrow" w:hAnsi="Arial Narrow"/>
          <w:b/>
          <w:bCs/>
        </w:rPr>
        <w:t xml:space="preserve">Cuadro </w:t>
      </w:r>
      <w:r w:rsidRPr="00550000">
        <w:rPr>
          <w:rFonts w:ascii="Arial Narrow" w:hAnsi="Arial Narrow"/>
          <w:b/>
          <w:bCs/>
        </w:rPr>
        <w:fldChar w:fldCharType="begin"/>
      </w:r>
      <w:r w:rsidRPr="00550000">
        <w:rPr>
          <w:rFonts w:ascii="Arial Narrow" w:hAnsi="Arial Narrow"/>
          <w:b/>
          <w:bCs/>
        </w:rPr>
        <w:instrText xml:space="preserve"> SEQ Cuadro_No. \* ARABIC </w:instrText>
      </w:r>
      <w:r w:rsidRPr="00550000">
        <w:rPr>
          <w:rFonts w:ascii="Arial Narrow" w:hAnsi="Arial Narrow"/>
          <w:b/>
          <w:bCs/>
        </w:rPr>
        <w:fldChar w:fldCharType="separate"/>
      </w:r>
      <w:r w:rsidR="002F520A">
        <w:rPr>
          <w:rFonts w:ascii="Arial Narrow" w:hAnsi="Arial Narrow"/>
          <w:b/>
          <w:bCs/>
          <w:noProof/>
        </w:rPr>
        <w:t>38</w:t>
      </w:r>
      <w:r w:rsidRPr="00550000">
        <w:rPr>
          <w:rFonts w:ascii="Arial Narrow" w:hAnsi="Arial Narrow"/>
          <w:b/>
          <w:bCs/>
        </w:rPr>
        <w:fldChar w:fldCharType="end"/>
      </w:r>
      <w:r w:rsidRPr="00550000">
        <w:rPr>
          <w:rFonts w:ascii="Arial Narrow" w:hAnsi="Arial Narrow"/>
          <w:b/>
          <w:bCs/>
        </w:rPr>
        <w:t xml:space="preserve"> </w:t>
      </w:r>
      <w:r w:rsidRPr="00550000">
        <w:rPr>
          <w:rFonts w:ascii="Arial Narrow" w:eastAsia="Calibri" w:hAnsi="Arial Narrow"/>
          <w:b/>
          <w:bCs/>
        </w:rPr>
        <w:t>Metas estratégicas de Probidad y anticorrupción y su cumplimiento para el 2021.</w:t>
      </w:r>
    </w:p>
    <w:p w14:paraId="5BDCB29E" w14:textId="3CBD4578" w:rsidR="00BD48D2" w:rsidRDefault="00BD48D2" w:rsidP="00550000">
      <w:pPr>
        <w:jc w:val="center"/>
        <w:rPr>
          <w:rFonts w:ascii="Arial Narrow" w:eastAsia="Calibri" w:hAnsi="Arial Narrow"/>
          <w:b/>
          <w:bCs/>
        </w:rPr>
      </w:pPr>
    </w:p>
    <w:p w14:paraId="497E6E6C" w14:textId="4ECC01A1" w:rsidR="00157E64" w:rsidRPr="00BD48D2" w:rsidRDefault="00BD48D2" w:rsidP="00BD48D2">
      <w:pPr>
        <w:jc w:val="center"/>
        <w:rPr>
          <w:rFonts w:ascii="Arial Narrow" w:eastAsia="Calibri" w:hAnsi="Arial Narrow"/>
          <w:b/>
          <w:bCs/>
        </w:rPr>
      </w:pPr>
      <w:r>
        <w:rPr>
          <w:noProof/>
        </w:rPr>
        <w:drawing>
          <wp:inline distT="0" distB="0" distL="0" distR="0" wp14:anchorId="1604D511" wp14:editId="2D3F1149">
            <wp:extent cx="5956814" cy="2605405"/>
            <wp:effectExtent l="57150" t="57150" r="101600" b="99695"/>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t="1" r="275" b="975"/>
                    <a:stretch/>
                  </pic:blipFill>
                  <pic:spPr bwMode="auto">
                    <a:xfrm>
                      <a:off x="0" y="0"/>
                      <a:ext cx="5957660" cy="260577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1ADD910" w14:textId="7FB3DC0E" w:rsidR="00F41E1C" w:rsidRPr="00A618D8" w:rsidRDefault="00F41E1C" w:rsidP="00B54439">
      <w:pPr>
        <w:jc w:val="center"/>
        <w:rPr>
          <w:rFonts w:eastAsia="Calibri"/>
          <w:b/>
          <w:bCs/>
        </w:rPr>
      </w:pPr>
      <w:bookmarkStart w:id="47" w:name="_Hlk96946680"/>
      <w:r w:rsidRPr="004619C9">
        <w:rPr>
          <w:rFonts w:ascii="Arial Narrow" w:eastAsia="Calibri" w:hAnsi="Arial Narrow"/>
          <w:b/>
          <w:bCs/>
          <w:sz w:val="18"/>
          <w:szCs w:val="18"/>
          <w:lang w:eastAsia="en-US"/>
        </w:rPr>
        <w:t>Fuente:</w:t>
      </w:r>
      <w:r w:rsidRPr="000B4845">
        <w:rPr>
          <w:rFonts w:ascii="Arial Narrow" w:eastAsia="Calibri" w:hAnsi="Arial Narrow"/>
          <w:sz w:val="18"/>
          <w:szCs w:val="18"/>
          <w:lang w:eastAsia="en-US"/>
        </w:rPr>
        <w:t xml:space="preserve"> Sistema PEI al </w:t>
      </w:r>
      <w:r>
        <w:rPr>
          <w:rFonts w:ascii="Arial Narrow" w:eastAsia="Calibri" w:hAnsi="Arial Narrow"/>
          <w:sz w:val="18"/>
          <w:szCs w:val="18"/>
          <w:lang w:eastAsia="en-US"/>
        </w:rPr>
        <w:t>19</w:t>
      </w:r>
      <w:r w:rsidRPr="000B4845">
        <w:rPr>
          <w:rFonts w:ascii="Arial Narrow" w:eastAsia="Calibri" w:hAnsi="Arial Narrow"/>
          <w:sz w:val="18"/>
          <w:szCs w:val="18"/>
          <w:lang w:eastAsia="en-US"/>
        </w:rPr>
        <w:t xml:space="preserve"> de enero del </w:t>
      </w:r>
      <w:r>
        <w:rPr>
          <w:rFonts w:ascii="Arial Narrow" w:eastAsia="Calibri" w:hAnsi="Arial Narrow"/>
          <w:sz w:val="18"/>
          <w:szCs w:val="18"/>
          <w:lang w:eastAsia="en-US"/>
        </w:rPr>
        <w:t>2022 para el año 2021.</w:t>
      </w:r>
    </w:p>
    <w:bookmarkEnd w:id="47"/>
    <w:p w14:paraId="50F61407" w14:textId="036759A7" w:rsidR="00481057" w:rsidRDefault="00481057" w:rsidP="00157E64">
      <w:pPr>
        <w:jc w:val="both"/>
        <w:rPr>
          <w:rFonts w:ascii="Arial Narrow" w:eastAsia="Calibri" w:hAnsi="Arial Narrow"/>
          <w:color w:val="000000"/>
          <w:lang w:val="es-ES"/>
        </w:rPr>
      </w:pPr>
    </w:p>
    <w:p w14:paraId="2EE71F2E" w14:textId="77777777" w:rsidR="00BD48D2" w:rsidRDefault="00BD48D2" w:rsidP="00157E64">
      <w:pPr>
        <w:jc w:val="both"/>
        <w:rPr>
          <w:rFonts w:ascii="Arial Narrow" w:eastAsia="Calibri" w:hAnsi="Arial Narrow"/>
          <w:color w:val="000000"/>
          <w:lang w:val="es-ES"/>
        </w:rPr>
      </w:pPr>
    </w:p>
    <w:p w14:paraId="3455C5F9" w14:textId="7CC08093" w:rsidR="00157E64" w:rsidRPr="002F10E3" w:rsidRDefault="00157E64" w:rsidP="00157E64">
      <w:pPr>
        <w:jc w:val="both"/>
        <w:rPr>
          <w:rFonts w:ascii="Arial Narrow" w:eastAsia="Calibri" w:hAnsi="Arial Narrow"/>
          <w:color w:val="000000"/>
          <w:lang w:val="es-ES"/>
        </w:rPr>
      </w:pPr>
      <w:r w:rsidRPr="002F10E3">
        <w:rPr>
          <w:rFonts w:ascii="Arial Narrow" w:eastAsia="Calibri" w:hAnsi="Arial Narrow"/>
          <w:color w:val="000000"/>
          <w:lang w:val="es-ES"/>
        </w:rPr>
        <w:t xml:space="preserve">La Oficina de Cumplimiento indica en los avances del sistema PAO que </w:t>
      </w:r>
      <w:r w:rsidRPr="00157E64">
        <w:rPr>
          <w:rFonts w:ascii="Arial Narrow" w:eastAsia="Calibri" w:hAnsi="Arial Narrow"/>
          <w:color w:val="000000"/>
          <w:lang w:val="es-ES"/>
        </w:rPr>
        <w:t xml:space="preserve">por acuerdo de la Comisión de Transparencia se aprobó en Corte Plena </w:t>
      </w:r>
      <w:r>
        <w:rPr>
          <w:rFonts w:ascii="Arial Narrow" w:eastAsia="Calibri" w:hAnsi="Arial Narrow"/>
          <w:color w:val="000000"/>
          <w:lang w:val="es-ES"/>
        </w:rPr>
        <w:t xml:space="preserve">el oficio </w:t>
      </w:r>
      <w:r w:rsidRPr="002F10E3">
        <w:rPr>
          <w:rFonts w:ascii="Arial Narrow" w:eastAsia="Calibri" w:hAnsi="Arial Narrow"/>
          <w:color w:val="000000"/>
          <w:lang w:val="es-ES"/>
        </w:rPr>
        <w:t xml:space="preserve">N° 008-CT-2021 </w:t>
      </w:r>
      <w:r w:rsidRPr="00157E64">
        <w:rPr>
          <w:rFonts w:ascii="Arial Narrow" w:eastAsia="Calibri" w:hAnsi="Arial Narrow"/>
          <w:color w:val="000000"/>
          <w:lang w:val="es-ES"/>
        </w:rPr>
        <w:t xml:space="preserve">en </w:t>
      </w:r>
      <w:r>
        <w:rPr>
          <w:rFonts w:ascii="Arial Narrow" w:eastAsia="Calibri" w:hAnsi="Arial Narrow"/>
          <w:color w:val="000000"/>
          <w:lang w:val="es-ES"/>
        </w:rPr>
        <w:t xml:space="preserve">la </w:t>
      </w:r>
      <w:r w:rsidRPr="00157E64">
        <w:rPr>
          <w:rFonts w:ascii="Arial Narrow" w:eastAsia="Calibri" w:hAnsi="Arial Narrow"/>
          <w:color w:val="000000"/>
          <w:lang w:val="es-ES"/>
        </w:rPr>
        <w:t>sesión 26-2021, art. X</w:t>
      </w:r>
      <w:r>
        <w:rPr>
          <w:rFonts w:ascii="Arial Narrow" w:eastAsia="Calibri" w:hAnsi="Arial Narrow"/>
          <w:color w:val="000000"/>
          <w:lang w:val="es-ES"/>
        </w:rPr>
        <w:t>,</w:t>
      </w:r>
      <w:r w:rsidRPr="00157E64">
        <w:rPr>
          <w:rFonts w:ascii="Arial Narrow" w:eastAsia="Calibri" w:hAnsi="Arial Narrow"/>
          <w:color w:val="000000"/>
          <w:lang w:val="es-ES"/>
        </w:rPr>
        <w:t xml:space="preserve"> la revisión del Reglamento de Conflicto de interés con la finalidad de proponer las reformas que se estimen necesarias para actualizarlo y complementarlo.</w:t>
      </w:r>
      <w:r w:rsidRPr="002F10E3">
        <w:rPr>
          <w:rFonts w:ascii="Arial Narrow" w:eastAsia="Calibri" w:hAnsi="Arial Narrow"/>
          <w:color w:val="000000"/>
          <w:lang w:val="es-ES"/>
        </w:rPr>
        <w:t xml:space="preserve"> Se da un cumplimiento </w:t>
      </w:r>
      <w:r w:rsidR="00F41E1C">
        <w:rPr>
          <w:rFonts w:ascii="Arial Narrow" w:eastAsia="Calibri" w:hAnsi="Arial Narrow"/>
          <w:color w:val="000000"/>
          <w:lang w:val="es-ES"/>
        </w:rPr>
        <w:t>del 100%</w:t>
      </w:r>
      <w:r w:rsidRPr="002F10E3">
        <w:rPr>
          <w:rFonts w:ascii="Arial Narrow" w:eastAsia="Calibri" w:hAnsi="Arial Narrow"/>
          <w:color w:val="000000"/>
          <w:lang w:val="es-ES"/>
        </w:rPr>
        <w:t xml:space="preserve"> de la meta estratégica para </w:t>
      </w:r>
      <w:r w:rsidR="006D49DE">
        <w:rPr>
          <w:rFonts w:ascii="Arial Narrow" w:eastAsia="Calibri" w:hAnsi="Arial Narrow"/>
          <w:color w:val="000000"/>
          <w:lang w:val="es-ES"/>
        </w:rPr>
        <w:t xml:space="preserve">el año </w:t>
      </w:r>
      <w:r w:rsidRPr="002F10E3">
        <w:rPr>
          <w:rFonts w:ascii="Arial Narrow" w:eastAsia="Calibri" w:hAnsi="Arial Narrow"/>
          <w:color w:val="000000"/>
          <w:lang w:val="es-ES"/>
        </w:rPr>
        <w:t>2021</w:t>
      </w:r>
      <w:r w:rsidR="00F41E1C">
        <w:rPr>
          <w:rFonts w:ascii="Arial Narrow" w:eastAsia="Calibri" w:hAnsi="Arial Narrow"/>
          <w:color w:val="000000"/>
          <w:lang w:val="es-ES"/>
        </w:rPr>
        <w:t>.</w:t>
      </w:r>
    </w:p>
    <w:p w14:paraId="067AF97D" w14:textId="142994A1" w:rsidR="00D330C0" w:rsidRPr="00157E64" w:rsidRDefault="00D330C0" w:rsidP="00157E64">
      <w:pPr>
        <w:jc w:val="both"/>
        <w:rPr>
          <w:rFonts w:ascii="Arial Narrow" w:eastAsia="Calibri" w:hAnsi="Arial Narrow"/>
          <w:color w:val="000000"/>
          <w:lang w:val="es-ES"/>
        </w:rPr>
      </w:pPr>
    </w:p>
    <w:p w14:paraId="67434094" w14:textId="67196D87" w:rsidR="00E07D3C" w:rsidRPr="00F41E1C" w:rsidRDefault="004170DB" w:rsidP="00E4426B">
      <w:pPr>
        <w:jc w:val="both"/>
        <w:rPr>
          <w:rFonts w:ascii="Arial Narrow" w:eastAsia="Calibri" w:hAnsi="Arial Narrow"/>
          <w:lang w:val="es-CR"/>
        </w:rPr>
      </w:pPr>
      <w:r w:rsidRPr="00704B08">
        <w:rPr>
          <w:rFonts w:ascii="Arial Narrow" w:eastAsia="Calibri" w:hAnsi="Arial Narrow"/>
        </w:rPr>
        <w:t>Por otra parte</w:t>
      </w:r>
      <w:r>
        <w:rPr>
          <w:rFonts w:ascii="Arial Narrow" w:eastAsia="Calibri" w:hAnsi="Arial Narrow"/>
        </w:rPr>
        <w:t>, p</w:t>
      </w:r>
      <w:r w:rsidRPr="00A618D8">
        <w:rPr>
          <w:rFonts w:ascii="Arial Narrow" w:eastAsia="Book Antiqua" w:hAnsi="Arial Narrow" w:cs="Book Antiqua"/>
          <w:color w:val="000000" w:themeColor="text1"/>
          <w:lang w:val="es-CR"/>
        </w:rPr>
        <w:t xml:space="preserve">ara </w:t>
      </w:r>
      <w:r>
        <w:rPr>
          <w:rFonts w:ascii="Arial Narrow" w:eastAsia="Book Antiqua" w:hAnsi="Arial Narrow" w:cs="Book Antiqua"/>
          <w:color w:val="000000" w:themeColor="text1"/>
          <w:lang w:val="es-CR"/>
        </w:rPr>
        <w:t>la</w:t>
      </w:r>
      <w:r w:rsidRPr="00A618D8">
        <w:rPr>
          <w:rFonts w:ascii="Arial Narrow" w:eastAsia="Book Antiqua" w:hAnsi="Arial Narrow" w:cs="Book Antiqua"/>
          <w:color w:val="000000" w:themeColor="text1"/>
          <w:lang w:val="es-CR"/>
        </w:rPr>
        <w:t xml:space="preserve"> meta </w:t>
      </w:r>
      <w:r w:rsidRPr="00792BB6">
        <w:rPr>
          <w:rFonts w:ascii="Arial Narrow" w:eastAsia="Book Antiqua" w:hAnsi="Arial Narrow" w:cs="Book Antiqua"/>
          <w:color w:val="000000" w:themeColor="text1"/>
          <w:lang w:val="es-CR"/>
        </w:rPr>
        <w:t>estratégica “</w:t>
      </w:r>
      <w:r w:rsidRPr="00132A44">
        <w:rPr>
          <w:rFonts w:ascii="Arial Narrow" w:eastAsia="Calibri" w:hAnsi="Arial Narrow"/>
          <w:i/>
          <w:iCs/>
        </w:rPr>
        <w:t>Que al finalizar el 2024, se haya implementado el plan definido de la política axiológica</w:t>
      </w:r>
      <w:r w:rsidRPr="00132A44">
        <w:rPr>
          <w:rFonts w:ascii="Arial Narrow" w:eastAsia="Calibri" w:hAnsi="Arial Narrow"/>
        </w:rPr>
        <w:t xml:space="preserve">” </w:t>
      </w:r>
      <w:r w:rsidRPr="00792BB6">
        <w:rPr>
          <w:rFonts w:ascii="Arial Narrow" w:eastAsia="Calibri" w:hAnsi="Arial Narrow"/>
        </w:rPr>
        <w:t>se</w:t>
      </w:r>
      <w:r w:rsidRPr="004170DB">
        <w:rPr>
          <w:rFonts w:ascii="Arial Narrow" w:eastAsia="Calibri" w:hAnsi="Arial Narrow"/>
        </w:rPr>
        <w:t xml:space="preserve"> </w:t>
      </w:r>
      <w:r w:rsidR="00792BB6">
        <w:rPr>
          <w:rFonts w:ascii="Arial Narrow" w:eastAsia="Calibri" w:hAnsi="Arial Narrow"/>
        </w:rPr>
        <w:t>determina</w:t>
      </w:r>
      <w:r w:rsidR="00792BB6" w:rsidRPr="004170DB">
        <w:rPr>
          <w:rFonts w:ascii="Arial Narrow" w:eastAsia="Calibri" w:hAnsi="Arial Narrow"/>
        </w:rPr>
        <w:t xml:space="preserve"> </w:t>
      </w:r>
      <w:r w:rsidRPr="004170DB">
        <w:rPr>
          <w:rFonts w:ascii="Arial Narrow" w:eastAsia="Calibri" w:hAnsi="Arial Narrow"/>
        </w:rPr>
        <w:t>por medio del sistema PAO</w:t>
      </w:r>
      <w:r>
        <w:rPr>
          <w:rFonts w:ascii="Arial Narrow" w:eastAsia="Calibri" w:hAnsi="Arial Narrow"/>
        </w:rPr>
        <w:t xml:space="preserve"> que los diferentes responsables operativos </w:t>
      </w:r>
      <w:r w:rsidRPr="00F41E1C">
        <w:rPr>
          <w:rFonts w:ascii="Arial Narrow" w:eastAsia="Calibri" w:hAnsi="Arial Narrow"/>
          <w:color w:val="000000"/>
          <w:lang w:val="es-ES"/>
        </w:rPr>
        <w:t>han cumplido con esta meta</w:t>
      </w:r>
      <w:r w:rsidR="00F41E1C" w:rsidRPr="00F41E1C">
        <w:rPr>
          <w:rFonts w:ascii="Arial Narrow" w:eastAsia="Calibri" w:hAnsi="Arial Narrow"/>
          <w:color w:val="000000"/>
          <w:lang w:val="es-ES"/>
        </w:rPr>
        <w:t xml:space="preserve"> a cabalidad. E</w:t>
      </w:r>
      <w:r w:rsidRPr="00F41E1C">
        <w:rPr>
          <w:rFonts w:ascii="Arial Narrow" w:eastAsia="Calibri" w:hAnsi="Arial Narrow"/>
          <w:color w:val="000000"/>
          <w:lang w:val="es-ES"/>
        </w:rPr>
        <w:t>ntre las actividades realizadas se encuentran: la elaboración de</w:t>
      </w:r>
      <w:r w:rsidR="00E07D3C" w:rsidRPr="00F41E1C">
        <w:rPr>
          <w:rFonts w:ascii="Arial Narrow" w:eastAsia="Calibri" w:hAnsi="Arial Narrow"/>
          <w:color w:val="000000"/>
          <w:lang w:val="es-ES"/>
        </w:rPr>
        <w:t xml:space="preserve"> </w:t>
      </w:r>
      <w:r w:rsidR="00DD08E9">
        <w:rPr>
          <w:rFonts w:ascii="Arial Narrow" w:eastAsia="Calibri" w:hAnsi="Arial Narrow"/>
          <w:color w:val="000000"/>
          <w:lang w:val="es-ES"/>
        </w:rPr>
        <w:t>cuatro</w:t>
      </w:r>
      <w:r w:rsidR="00E07D3C" w:rsidRPr="00F41E1C">
        <w:rPr>
          <w:rFonts w:ascii="Arial Narrow" w:eastAsia="Calibri" w:hAnsi="Arial Narrow"/>
          <w:color w:val="000000"/>
          <w:lang w:val="es-ES"/>
        </w:rPr>
        <w:t xml:space="preserve"> informes sociodemográficos</w:t>
      </w:r>
      <w:r w:rsidRPr="00F41E1C">
        <w:rPr>
          <w:rFonts w:ascii="Arial Narrow" w:eastAsia="Calibri" w:hAnsi="Arial Narrow"/>
          <w:color w:val="000000"/>
          <w:lang w:val="es-ES"/>
        </w:rPr>
        <w:t xml:space="preserve"> donde s</w:t>
      </w:r>
      <w:r w:rsidR="00E4426B" w:rsidRPr="00F41E1C">
        <w:rPr>
          <w:rFonts w:ascii="Arial Narrow" w:eastAsia="Calibri" w:hAnsi="Arial Narrow"/>
          <w:color w:val="000000"/>
          <w:lang w:val="es-ES"/>
        </w:rPr>
        <w:t>e</w:t>
      </w:r>
      <w:r w:rsidR="00E07D3C" w:rsidRPr="00F41E1C">
        <w:rPr>
          <w:rFonts w:ascii="Arial Narrow" w:eastAsia="Calibri" w:hAnsi="Arial Narrow"/>
          <w:color w:val="000000"/>
          <w:lang w:val="es-ES"/>
        </w:rPr>
        <w:t xml:space="preserve"> brinda información sobre la población a la cual se le </w:t>
      </w:r>
      <w:r w:rsidRPr="00F41E1C">
        <w:rPr>
          <w:rFonts w:ascii="Arial Narrow" w:eastAsia="Calibri" w:hAnsi="Arial Narrow"/>
          <w:color w:val="000000"/>
          <w:lang w:val="es-ES"/>
        </w:rPr>
        <w:t>ofrece</w:t>
      </w:r>
      <w:r w:rsidR="00E07D3C" w:rsidRPr="00F41E1C">
        <w:rPr>
          <w:rFonts w:ascii="Arial Narrow" w:eastAsia="Calibri" w:hAnsi="Arial Narrow"/>
          <w:color w:val="000000"/>
          <w:lang w:val="es-ES"/>
        </w:rPr>
        <w:t xml:space="preserve"> el servicio, detallando sus características socio demográficas lo que ayuda a comprender sus condiciones y particularidades cuando se definen medidas de tipo organizaciona</w:t>
      </w:r>
      <w:r w:rsidR="00E4426B" w:rsidRPr="00F41E1C">
        <w:rPr>
          <w:rFonts w:ascii="Arial Narrow" w:eastAsia="Calibri" w:hAnsi="Arial Narrow"/>
          <w:color w:val="000000"/>
          <w:lang w:val="es-ES"/>
        </w:rPr>
        <w:t>l</w:t>
      </w:r>
      <w:r w:rsidRPr="00F41E1C">
        <w:rPr>
          <w:rFonts w:ascii="Arial Narrow" w:eastAsia="Calibri" w:hAnsi="Arial Narrow"/>
          <w:color w:val="000000"/>
          <w:lang w:val="es-ES"/>
        </w:rPr>
        <w:t xml:space="preserve">, </w:t>
      </w:r>
      <w:r w:rsidR="00F41E1C" w:rsidRPr="00F41E1C">
        <w:rPr>
          <w:rFonts w:ascii="Arial Narrow" w:eastAsia="Calibri" w:hAnsi="Arial Narrow"/>
          <w:color w:val="000000"/>
          <w:lang w:val="es-ES"/>
        </w:rPr>
        <w:t xml:space="preserve">la preparación de una </w:t>
      </w:r>
      <w:r w:rsidR="00E07D3C" w:rsidRPr="00F41E1C">
        <w:rPr>
          <w:rFonts w:ascii="Arial Narrow" w:eastAsia="Calibri" w:hAnsi="Arial Narrow"/>
          <w:color w:val="000000"/>
          <w:lang w:val="es-ES"/>
        </w:rPr>
        <w:t>charla</w:t>
      </w:r>
      <w:r w:rsidR="00F41E1C" w:rsidRPr="00F41E1C">
        <w:rPr>
          <w:rFonts w:ascii="Arial Narrow" w:eastAsia="Calibri" w:hAnsi="Arial Narrow"/>
          <w:color w:val="000000"/>
          <w:lang w:val="es-ES"/>
        </w:rPr>
        <w:t xml:space="preserve"> sobre la</w:t>
      </w:r>
      <w:r w:rsidR="00E07D3C" w:rsidRPr="00F41E1C">
        <w:rPr>
          <w:rFonts w:ascii="Arial Narrow" w:eastAsia="Calibri" w:hAnsi="Arial Narrow"/>
          <w:color w:val="000000"/>
          <w:lang w:val="es-ES"/>
        </w:rPr>
        <w:t xml:space="preserve"> construcción tradicional de la paternidad, con temas de conciencia sobre roles de género y paternidad desconstrucción de la paternidad nuevas formas de masculinidad y ejercicio de la </w:t>
      </w:r>
      <w:r w:rsidR="00E4426B" w:rsidRPr="00F41E1C">
        <w:rPr>
          <w:rFonts w:ascii="Arial Narrow" w:eastAsia="Calibri" w:hAnsi="Arial Narrow"/>
          <w:color w:val="000000"/>
          <w:lang w:val="es-ES"/>
        </w:rPr>
        <w:t>paternidad,</w:t>
      </w:r>
      <w:r w:rsidR="00E07D3C" w:rsidRPr="00F41E1C">
        <w:rPr>
          <w:rFonts w:ascii="Arial Narrow" w:eastAsia="Calibri" w:hAnsi="Arial Narrow"/>
          <w:color w:val="000000"/>
          <w:lang w:val="es-ES"/>
        </w:rPr>
        <w:t xml:space="preserve"> en resumen: </w:t>
      </w:r>
      <w:r w:rsidR="00F41E1C" w:rsidRPr="00F41E1C">
        <w:rPr>
          <w:rFonts w:ascii="Arial Narrow" w:eastAsia="Calibri" w:hAnsi="Arial Narrow"/>
          <w:color w:val="000000"/>
          <w:lang w:val="es-ES"/>
        </w:rPr>
        <w:t>“cómo</w:t>
      </w:r>
      <w:r w:rsidR="00E07D3C" w:rsidRPr="00F41E1C">
        <w:rPr>
          <w:rFonts w:ascii="Arial Narrow" w:eastAsia="Calibri" w:hAnsi="Arial Narrow"/>
          <w:color w:val="000000"/>
          <w:lang w:val="es-ES"/>
        </w:rPr>
        <w:t xml:space="preserve"> tratar de ser mejores papás, por medio de relaciones participativas, con empatía, escuchando y externando sentimientos</w:t>
      </w:r>
      <w:r w:rsidR="00F41E1C" w:rsidRPr="00F41E1C">
        <w:rPr>
          <w:rFonts w:ascii="Arial Narrow" w:eastAsia="Calibri" w:hAnsi="Arial Narrow"/>
          <w:color w:val="000000"/>
          <w:lang w:val="es-ES"/>
        </w:rPr>
        <w:t xml:space="preserve">”, la divulgación del boletín llamado “SOMOS” que </w:t>
      </w:r>
      <w:r w:rsidR="00E07D3C" w:rsidRPr="00F41E1C">
        <w:rPr>
          <w:rFonts w:ascii="Arial Narrow" w:eastAsia="Calibri" w:hAnsi="Arial Narrow"/>
          <w:color w:val="000000"/>
          <w:lang w:val="es-ES"/>
        </w:rPr>
        <w:t>rescata los valores de responsabilidad, disciplina, compromiso, honestidad, transparencia, de muchos de los funcionarios y servidores de la Sala Constitucional</w:t>
      </w:r>
      <w:r w:rsidR="00F41E1C" w:rsidRPr="00F41E1C">
        <w:rPr>
          <w:rFonts w:ascii="Arial Narrow" w:eastAsia="Calibri" w:hAnsi="Arial Narrow"/>
          <w:color w:val="000000"/>
          <w:lang w:val="es-ES"/>
        </w:rPr>
        <w:t>, entre otros.</w:t>
      </w:r>
    </w:p>
    <w:p w14:paraId="3A9F45DE" w14:textId="77777777" w:rsidR="00125CC8" w:rsidRDefault="00125CC8" w:rsidP="00481D79">
      <w:pPr>
        <w:jc w:val="both"/>
      </w:pPr>
    </w:p>
    <w:p w14:paraId="0D528C55" w14:textId="26BB4E91" w:rsidR="004124F9" w:rsidRDefault="005E0483" w:rsidP="00125CC8">
      <w:pPr>
        <w:jc w:val="both"/>
        <w:rPr>
          <w:rFonts w:ascii="Arial Narrow" w:eastAsia="Calibri" w:hAnsi="Arial Narrow"/>
          <w:color w:val="000000"/>
          <w:lang w:val="es-ES"/>
        </w:rPr>
      </w:pPr>
      <w:r>
        <w:rPr>
          <w:rFonts w:ascii="Arial Narrow" w:eastAsia="Calibri" w:hAnsi="Arial Narrow"/>
          <w:color w:val="000000"/>
          <w:lang w:val="es-ES"/>
        </w:rPr>
        <w:t>Seguido</w:t>
      </w:r>
      <w:r w:rsidR="00481D79" w:rsidRPr="00481D79">
        <w:rPr>
          <w:rFonts w:ascii="Arial Narrow" w:eastAsia="Calibri" w:hAnsi="Arial Narrow"/>
          <w:color w:val="000000"/>
          <w:lang w:val="es-ES"/>
        </w:rPr>
        <w:t>, se tiene que el Consejo Superior para el año 2021 gestion</w:t>
      </w:r>
      <w:r w:rsidR="00481D79">
        <w:rPr>
          <w:rFonts w:ascii="Arial Narrow" w:eastAsia="Calibri" w:hAnsi="Arial Narrow"/>
          <w:color w:val="000000"/>
          <w:lang w:val="es-ES"/>
        </w:rPr>
        <w:t>ó</w:t>
      </w:r>
      <w:r w:rsidR="00481D79" w:rsidRPr="00481D79">
        <w:rPr>
          <w:rFonts w:ascii="Arial Narrow" w:eastAsia="Calibri" w:hAnsi="Arial Narrow"/>
          <w:color w:val="000000"/>
          <w:lang w:val="es-ES"/>
        </w:rPr>
        <w:t xml:space="preserve"> una campaña para la divulgación de las directrices, lineamientos o reglamentos relacionados con el sistema ético y disciplinario, en procura de contribuir con la excelencia y compromiso de las personas servidoras judiciales. Además, </w:t>
      </w:r>
      <w:r w:rsidR="00481D79">
        <w:rPr>
          <w:rFonts w:ascii="Arial Narrow" w:eastAsia="Calibri" w:hAnsi="Arial Narrow"/>
          <w:color w:val="000000"/>
          <w:lang w:val="es-ES"/>
        </w:rPr>
        <w:t xml:space="preserve">para contribuir con el cumplimiento de la meta estratégica </w:t>
      </w:r>
      <w:r w:rsidR="00481D79" w:rsidRPr="00481D79">
        <w:rPr>
          <w:rFonts w:ascii="Arial Narrow" w:eastAsia="Calibri" w:hAnsi="Arial Narrow"/>
          <w:color w:val="000000"/>
          <w:lang w:val="es-ES"/>
        </w:rPr>
        <w:t>conoció</w:t>
      </w:r>
      <w:r w:rsidR="00481D79">
        <w:rPr>
          <w:rFonts w:ascii="Arial Narrow" w:eastAsia="Calibri" w:hAnsi="Arial Narrow"/>
          <w:color w:val="000000"/>
          <w:lang w:val="es-ES"/>
        </w:rPr>
        <w:t xml:space="preserve"> </w:t>
      </w:r>
      <w:r w:rsidR="00481D79" w:rsidRPr="00481D79">
        <w:rPr>
          <w:rFonts w:ascii="Arial Narrow" w:eastAsia="Calibri" w:hAnsi="Arial Narrow"/>
          <w:color w:val="000000"/>
          <w:lang w:val="es-ES"/>
        </w:rPr>
        <w:t xml:space="preserve">y aprobó asuntos disciplinarios originados en la Inspección Judicial. </w:t>
      </w:r>
      <w:bookmarkStart w:id="48" w:name="_Hlk54877880"/>
      <w:bookmarkStart w:id="49" w:name="_Hlk53475160"/>
    </w:p>
    <w:p w14:paraId="7AC1C9EB" w14:textId="7B12E176" w:rsidR="00C8209D" w:rsidRDefault="00C8209D" w:rsidP="00125CC8">
      <w:pPr>
        <w:jc w:val="both"/>
        <w:rPr>
          <w:rFonts w:ascii="Arial Narrow" w:eastAsia="Calibri" w:hAnsi="Arial Narrow"/>
          <w:color w:val="000000"/>
          <w:lang w:val="es-ES"/>
        </w:rPr>
      </w:pPr>
    </w:p>
    <w:p w14:paraId="1E6076DD" w14:textId="6DCE4688" w:rsidR="00C8209D" w:rsidRDefault="00C8209D" w:rsidP="00125CC8">
      <w:pPr>
        <w:jc w:val="both"/>
        <w:rPr>
          <w:rFonts w:ascii="Arial Narrow" w:eastAsia="Calibri" w:hAnsi="Arial Narrow"/>
          <w:color w:val="000000"/>
          <w:lang w:val="es-ES"/>
        </w:rPr>
      </w:pPr>
    </w:p>
    <w:p w14:paraId="1D74C98B" w14:textId="77777777" w:rsidR="00C8209D" w:rsidRPr="00125CC8" w:rsidRDefault="00C8209D" w:rsidP="00125CC8">
      <w:pPr>
        <w:jc w:val="both"/>
        <w:rPr>
          <w:rFonts w:ascii="Arial Narrow" w:eastAsia="Calibri" w:hAnsi="Arial Narrow"/>
          <w:color w:val="000000"/>
          <w:lang w:val="es-ES"/>
        </w:rPr>
      </w:pPr>
    </w:p>
    <w:p w14:paraId="32DE599E" w14:textId="7439C640" w:rsidR="004124F9" w:rsidRPr="00322D9B" w:rsidRDefault="004124F9" w:rsidP="00322D9B">
      <w:pPr>
        <w:pStyle w:val="Ttulo3"/>
        <w:numPr>
          <w:ilvl w:val="2"/>
          <w:numId w:val="123"/>
        </w:numPr>
        <w:rPr>
          <w:rFonts w:ascii="Arial Narrow" w:eastAsia="Calibri" w:hAnsi="Arial Narrow"/>
          <w:iCs/>
          <w:szCs w:val="24"/>
          <w:lang w:val="es-CR"/>
        </w:rPr>
      </w:pPr>
      <w:bookmarkStart w:id="50" w:name="_Toc52979164"/>
      <w:bookmarkEnd w:id="48"/>
      <w:bookmarkEnd w:id="49"/>
      <w:bookmarkEnd w:id="50"/>
      <w:r w:rsidRPr="00322D9B">
        <w:rPr>
          <w:rFonts w:ascii="Arial Narrow" w:eastAsia="Calibri" w:hAnsi="Arial Narrow"/>
          <w:iCs/>
          <w:szCs w:val="24"/>
          <w:lang w:val="es-CR"/>
        </w:rPr>
        <w:t xml:space="preserve"> </w:t>
      </w:r>
      <w:bookmarkStart w:id="51" w:name="_Toc106355274"/>
      <w:r w:rsidRPr="00322D9B">
        <w:rPr>
          <w:rFonts w:ascii="Arial Narrow" w:eastAsia="Calibri" w:hAnsi="Arial Narrow"/>
          <w:iCs/>
          <w:szCs w:val="24"/>
          <w:lang w:val="es-CR"/>
        </w:rPr>
        <w:t>Colaboración interna y externa</w:t>
      </w:r>
      <w:bookmarkEnd w:id="51"/>
    </w:p>
    <w:p w14:paraId="005ED58C" w14:textId="77777777" w:rsidR="00581C62" w:rsidRDefault="00581C62" w:rsidP="00132A44">
      <w:pPr>
        <w:jc w:val="both"/>
        <w:rPr>
          <w:rFonts w:ascii="Arial Narrow" w:eastAsia="Calibri" w:hAnsi="Arial Narrow"/>
        </w:rPr>
      </w:pPr>
    </w:p>
    <w:p w14:paraId="49502F13" w14:textId="0420FB8C" w:rsidR="00D07B55" w:rsidRDefault="004124F9" w:rsidP="00132A44">
      <w:pPr>
        <w:jc w:val="both"/>
        <w:rPr>
          <w:rFonts w:ascii="Arial Narrow" w:eastAsia="Calibri" w:hAnsi="Arial Narrow"/>
        </w:rPr>
      </w:pPr>
      <w:r w:rsidRPr="00272F17">
        <w:rPr>
          <w:rFonts w:ascii="Arial Narrow" w:eastAsia="Calibri" w:hAnsi="Arial Narrow"/>
        </w:rPr>
        <w:t xml:space="preserve">Sobre la acción estratégica de Colaboración Interna y Externa, se </w:t>
      </w:r>
      <w:r w:rsidRPr="00CB5AE6">
        <w:rPr>
          <w:rFonts w:ascii="Arial Narrow" w:eastAsia="Calibri" w:hAnsi="Arial Narrow"/>
        </w:rPr>
        <w:t xml:space="preserve">tienen </w:t>
      </w:r>
      <w:r w:rsidR="00DD08E9">
        <w:rPr>
          <w:rFonts w:ascii="Arial Narrow" w:eastAsia="Calibri" w:hAnsi="Arial Narrow"/>
        </w:rPr>
        <w:t>cinco</w:t>
      </w:r>
      <w:r w:rsidRPr="00CB5AE6">
        <w:rPr>
          <w:rFonts w:ascii="Arial Narrow" w:eastAsia="Calibri" w:hAnsi="Arial Narrow"/>
        </w:rPr>
        <w:t xml:space="preserve"> metas estratégicas asociadas</w:t>
      </w:r>
      <w:r w:rsidRPr="00272F17">
        <w:rPr>
          <w:rFonts w:ascii="Arial Narrow" w:eastAsia="Calibri" w:hAnsi="Arial Narrow"/>
        </w:rPr>
        <w:t>, de las</w:t>
      </w:r>
      <w:r>
        <w:rPr>
          <w:rFonts w:ascii="Arial Narrow" w:eastAsia="Calibri" w:hAnsi="Arial Narrow"/>
        </w:rPr>
        <w:t xml:space="preserve"> una fue</w:t>
      </w:r>
      <w:r w:rsidRPr="00272F17">
        <w:rPr>
          <w:rFonts w:ascii="Arial Narrow" w:eastAsia="Calibri" w:hAnsi="Arial Narrow"/>
        </w:rPr>
        <w:t xml:space="preserve"> completada</w:t>
      </w:r>
      <w:r>
        <w:rPr>
          <w:rFonts w:ascii="Arial Narrow" w:eastAsia="Calibri" w:hAnsi="Arial Narrow"/>
        </w:rPr>
        <w:t xml:space="preserve"> parcialmente</w:t>
      </w:r>
      <w:r w:rsidRPr="00272F17">
        <w:rPr>
          <w:rFonts w:ascii="Arial Narrow" w:eastAsia="Calibri" w:hAnsi="Arial Narrow"/>
        </w:rPr>
        <w:t xml:space="preserve">. </w:t>
      </w:r>
      <w:r>
        <w:rPr>
          <w:rFonts w:ascii="Arial Narrow" w:eastAsia="Calibri" w:hAnsi="Arial Narrow"/>
        </w:rPr>
        <w:t>A continuación, s</w:t>
      </w:r>
      <w:r w:rsidRPr="000B4845">
        <w:rPr>
          <w:rFonts w:ascii="Arial Narrow" w:eastAsia="Calibri" w:hAnsi="Arial Narrow"/>
        </w:rPr>
        <w:t>e muestran las metas estratégicas y su</w:t>
      </w:r>
      <w:r>
        <w:rPr>
          <w:rFonts w:ascii="Arial Narrow" w:eastAsia="Calibri" w:hAnsi="Arial Narrow"/>
        </w:rPr>
        <w:t xml:space="preserve"> </w:t>
      </w:r>
      <w:r w:rsidRPr="000B4845">
        <w:rPr>
          <w:rFonts w:ascii="Arial Narrow" w:eastAsia="Calibri" w:hAnsi="Arial Narrow"/>
        </w:rPr>
        <w:t>cumplimiento para el 20</w:t>
      </w:r>
      <w:r>
        <w:rPr>
          <w:rFonts w:ascii="Arial Narrow" w:eastAsia="Calibri" w:hAnsi="Arial Narrow"/>
        </w:rPr>
        <w:t>21:</w:t>
      </w:r>
    </w:p>
    <w:p w14:paraId="122D7C86" w14:textId="51330B5D" w:rsidR="00BD48D2" w:rsidRDefault="00BD48D2" w:rsidP="004124F9">
      <w:pPr>
        <w:spacing w:line="360" w:lineRule="auto"/>
        <w:jc w:val="both"/>
        <w:rPr>
          <w:rFonts w:ascii="Arial Narrow" w:eastAsia="Calibri" w:hAnsi="Arial Narrow"/>
        </w:rPr>
      </w:pPr>
    </w:p>
    <w:p w14:paraId="2E47CEC5" w14:textId="77777777" w:rsidR="00581C62" w:rsidRDefault="00581C62" w:rsidP="004124F9">
      <w:pPr>
        <w:spacing w:line="360" w:lineRule="auto"/>
        <w:jc w:val="both"/>
        <w:rPr>
          <w:rFonts w:ascii="Arial Narrow" w:eastAsia="Calibri" w:hAnsi="Arial Narrow"/>
        </w:rPr>
      </w:pPr>
    </w:p>
    <w:p w14:paraId="355B8D37" w14:textId="376CEF7A" w:rsidR="00D07B55" w:rsidRDefault="00D07B55" w:rsidP="00D07B55">
      <w:pPr>
        <w:pStyle w:val="Descripcin"/>
        <w:jc w:val="center"/>
        <w:rPr>
          <w:rFonts w:ascii="Arial Narrow" w:eastAsia="Calibri" w:hAnsi="Arial Narrow"/>
          <w:sz w:val="24"/>
          <w:szCs w:val="24"/>
        </w:rPr>
      </w:pPr>
      <w:bookmarkStart w:id="52" w:name="_Toc76062256"/>
      <w:r w:rsidRPr="00484CC1">
        <w:rPr>
          <w:rFonts w:ascii="Arial Narrow" w:hAnsi="Arial Narrow"/>
          <w:sz w:val="24"/>
          <w:szCs w:val="24"/>
        </w:rPr>
        <w:t xml:space="preserve">Cuadro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2F520A">
        <w:rPr>
          <w:rFonts w:ascii="Arial Narrow" w:hAnsi="Arial Narrow"/>
          <w:noProof/>
          <w:sz w:val="24"/>
          <w:szCs w:val="24"/>
        </w:rPr>
        <w:t>39</w:t>
      </w:r>
      <w:r w:rsidRPr="00484CC1">
        <w:rPr>
          <w:rFonts w:ascii="Arial Narrow" w:hAnsi="Arial Narrow"/>
          <w:sz w:val="24"/>
          <w:szCs w:val="24"/>
        </w:rPr>
        <w:fldChar w:fldCharType="end"/>
      </w:r>
      <w:r w:rsidRPr="00484CC1">
        <w:rPr>
          <w:rFonts w:ascii="Arial Narrow" w:hAnsi="Arial Narrow"/>
          <w:sz w:val="24"/>
          <w:szCs w:val="24"/>
        </w:rPr>
        <w:t xml:space="preserve"> </w:t>
      </w:r>
      <w:r w:rsidRPr="00D657CE">
        <w:rPr>
          <w:rFonts w:ascii="Arial Narrow" w:eastAsia="Calibri" w:hAnsi="Arial Narrow"/>
          <w:sz w:val="24"/>
          <w:szCs w:val="24"/>
        </w:rPr>
        <w:t xml:space="preserve">Metas estratégicas de Colaboración interna y externa, y su cumplimiento para el </w:t>
      </w:r>
      <w:r>
        <w:rPr>
          <w:rFonts w:ascii="Arial Narrow" w:eastAsia="Calibri" w:hAnsi="Arial Narrow"/>
          <w:sz w:val="24"/>
          <w:szCs w:val="24"/>
        </w:rPr>
        <w:t>2021.</w:t>
      </w:r>
      <w:bookmarkEnd w:id="52"/>
    </w:p>
    <w:p w14:paraId="31B31FE1" w14:textId="3DCF7ACA" w:rsidR="00D07B55" w:rsidRDefault="00D07B55" w:rsidP="00D07B55">
      <w:pPr>
        <w:rPr>
          <w:rFonts w:eastAsia="Calibri"/>
        </w:rPr>
      </w:pPr>
    </w:p>
    <w:p w14:paraId="576A4122" w14:textId="7413C537" w:rsidR="00365F01" w:rsidRPr="00BD48D2" w:rsidRDefault="00BD48D2" w:rsidP="00BD48D2">
      <w:pPr>
        <w:rPr>
          <w:rFonts w:eastAsia="Calibri"/>
        </w:rPr>
      </w:pPr>
      <w:r>
        <w:rPr>
          <w:noProof/>
        </w:rPr>
        <w:drawing>
          <wp:inline distT="0" distB="0" distL="0" distR="0" wp14:anchorId="202D8F90" wp14:editId="27109E94">
            <wp:extent cx="5974080" cy="2639060"/>
            <wp:effectExtent l="57150" t="57150" r="102870" b="104140"/>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74080" cy="263906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251A333" w14:textId="2AAC02EC" w:rsidR="00365F01" w:rsidRPr="00A618D8" w:rsidRDefault="00365F01" w:rsidP="00B54439">
      <w:pPr>
        <w:jc w:val="center"/>
        <w:rPr>
          <w:rFonts w:eastAsia="Calibri"/>
          <w:b/>
          <w:bCs/>
        </w:rPr>
      </w:pPr>
      <w:r w:rsidRPr="004619C9">
        <w:rPr>
          <w:rFonts w:ascii="Arial Narrow" w:eastAsia="Calibri" w:hAnsi="Arial Narrow"/>
          <w:b/>
          <w:bCs/>
          <w:sz w:val="18"/>
          <w:szCs w:val="18"/>
          <w:lang w:eastAsia="en-US"/>
        </w:rPr>
        <w:t>Fuente:</w:t>
      </w:r>
      <w:r w:rsidRPr="000B4845">
        <w:rPr>
          <w:rFonts w:ascii="Arial Narrow" w:eastAsia="Calibri" w:hAnsi="Arial Narrow"/>
          <w:sz w:val="18"/>
          <w:szCs w:val="18"/>
          <w:lang w:eastAsia="en-US"/>
        </w:rPr>
        <w:t xml:space="preserve"> Sistema PEI al </w:t>
      </w:r>
      <w:r>
        <w:rPr>
          <w:rFonts w:ascii="Arial Narrow" w:eastAsia="Calibri" w:hAnsi="Arial Narrow"/>
          <w:sz w:val="18"/>
          <w:szCs w:val="18"/>
          <w:lang w:eastAsia="en-US"/>
        </w:rPr>
        <w:t>19</w:t>
      </w:r>
      <w:r w:rsidRPr="000B4845">
        <w:rPr>
          <w:rFonts w:ascii="Arial Narrow" w:eastAsia="Calibri" w:hAnsi="Arial Narrow"/>
          <w:sz w:val="18"/>
          <w:szCs w:val="18"/>
          <w:lang w:eastAsia="en-US"/>
        </w:rPr>
        <w:t xml:space="preserve"> de enero del </w:t>
      </w:r>
      <w:r>
        <w:rPr>
          <w:rFonts w:ascii="Arial Narrow" w:eastAsia="Calibri" w:hAnsi="Arial Narrow"/>
          <w:sz w:val="18"/>
          <w:szCs w:val="18"/>
          <w:lang w:eastAsia="en-US"/>
        </w:rPr>
        <w:t>2022 para el año 2021.</w:t>
      </w:r>
    </w:p>
    <w:p w14:paraId="6F7B94D0" w14:textId="77777777" w:rsidR="0074155E" w:rsidRDefault="0074155E" w:rsidP="004124F9">
      <w:pPr>
        <w:spacing w:line="360" w:lineRule="auto"/>
        <w:jc w:val="both"/>
        <w:rPr>
          <w:rFonts w:ascii="Arial Narrow" w:eastAsia="Calibri" w:hAnsi="Arial Narrow"/>
        </w:rPr>
      </w:pPr>
    </w:p>
    <w:p w14:paraId="3A06456C" w14:textId="280BD4CD" w:rsidR="0074155E" w:rsidRPr="00322D9B" w:rsidRDefault="043509A8" w:rsidP="0F07E111">
      <w:pPr>
        <w:jc w:val="both"/>
        <w:rPr>
          <w:rFonts w:ascii="Segoe UI" w:eastAsia="Segoe UI" w:hAnsi="Segoe UI" w:cs="Segoe UI"/>
          <w:noProof/>
          <w:color w:val="333333"/>
          <w:sz w:val="18"/>
          <w:szCs w:val="18"/>
          <w:lang w:val="es-ES"/>
        </w:rPr>
      </w:pPr>
      <w:r w:rsidRPr="00D46B66">
        <w:rPr>
          <w:rFonts w:ascii="Arial Narrow" w:eastAsia="Book Antiqua" w:hAnsi="Arial Narrow" w:cs="Book Antiqua"/>
          <w:color w:val="000000" w:themeColor="text1"/>
          <w:lang w:val="es-CR"/>
        </w:rPr>
        <w:t xml:space="preserve">Dentro de las acciones </w:t>
      </w:r>
      <w:r w:rsidRPr="003F7AB4">
        <w:rPr>
          <w:rFonts w:ascii="Arial Narrow" w:hAnsi="Arial Narrow"/>
          <w:noProof/>
        </w:rPr>
        <w:t xml:space="preserve">definidas correspondientes </w:t>
      </w:r>
      <w:r w:rsidRPr="003F7AB4">
        <w:rPr>
          <w:rFonts w:ascii="Arial Narrow" w:hAnsi="Arial Narrow"/>
          <w:b/>
          <w:bCs/>
          <w:noProof/>
        </w:rPr>
        <w:t xml:space="preserve">al principio de Colaboración de la Política de Justicia Abierta </w:t>
      </w:r>
      <w:r w:rsidR="55FD90E6" w:rsidRPr="00D46B66">
        <w:rPr>
          <w:rFonts w:ascii="Arial Narrow" w:hAnsi="Arial Narrow"/>
          <w:noProof/>
        </w:rPr>
        <w:t>para el año 2021 la Secretar</w:t>
      </w:r>
      <w:r w:rsidR="34B9E7AD" w:rsidRPr="00D46B66">
        <w:rPr>
          <w:rFonts w:ascii="Arial Narrow" w:hAnsi="Arial Narrow"/>
          <w:noProof/>
        </w:rPr>
        <w:t>í</w:t>
      </w:r>
      <w:r w:rsidR="55FD90E6" w:rsidRPr="00D46B66">
        <w:rPr>
          <w:rFonts w:ascii="Arial Narrow" w:hAnsi="Arial Narrow"/>
          <w:noProof/>
        </w:rPr>
        <w:t>a T</w:t>
      </w:r>
      <w:r w:rsidR="34B9E7AD" w:rsidRPr="00D46B66">
        <w:rPr>
          <w:rFonts w:ascii="Arial Narrow" w:hAnsi="Arial Narrow"/>
          <w:noProof/>
        </w:rPr>
        <w:t>é</w:t>
      </w:r>
      <w:r w:rsidR="55FD90E6" w:rsidRPr="00D46B66">
        <w:rPr>
          <w:rFonts w:ascii="Arial Narrow" w:hAnsi="Arial Narrow"/>
          <w:noProof/>
        </w:rPr>
        <w:t>cnica de G</w:t>
      </w:r>
      <w:r w:rsidR="34B9E7AD" w:rsidRPr="00D46B66">
        <w:rPr>
          <w:rFonts w:ascii="Arial Narrow" w:hAnsi="Arial Narrow"/>
          <w:noProof/>
        </w:rPr>
        <w:t>é</w:t>
      </w:r>
      <w:r w:rsidR="55FD90E6" w:rsidRPr="00D46B66">
        <w:rPr>
          <w:rFonts w:ascii="Arial Narrow" w:hAnsi="Arial Narrow"/>
          <w:noProof/>
        </w:rPr>
        <w:t xml:space="preserve">nero y </w:t>
      </w:r>
      <w:r w:rsidR="34B9E7AD" w:rsidRPr="00D46B66">
        <w:rPr>
          <w:rFonts w:ascii="Arial Narrow" w:hAnsi="Arial Narrow"/>
          <w:noProof/>
        </w:rPr>
        <w:t xml:space="preserve">Acceso </w:t>
      </w:r>
      <w:r w:rsidR="55FD90E6" w:rsidRPr="00D46B66">
        <w:rPr>
          <w:rFonts w:ascii="Arial Narrow" w:hAnsi="Arial Narrow"/>
          <w:noProof/>
        </w:rPr>
        <w:t xml:space="preserve">a la </w:t>
      </w:r>
      <w:r w:rsidR="0E85B610" w:rsidRPr="00D46B66">
        <w:rPr>
          <w:rFonts w:ascii="Arial Narrow" w:hAnsi="Arial Narrow"/>
          <w:noProof/>
        </w:rPr>
        <w:t>J</w:t>
      </w:r>
      <w:r w:rsidR="55FD90E6" w:rsidRPr="00D46B66">
        <w:rPr>
          <w:rFonts w:ascii="Arial Narrow" w:hAnsi="Arial Narrow"/>
          <w:noProof/>
        </w:rPr>
        <w:t xml:space="preserve">usticia </w:t>
      </w:r>
      <w:r w:rsidRPr="00D46B66">
        <w:rPr>
          <w:rFonts w:ascii="Arial Narrow" w:hAnsi="Arial Narrow"/>
          <w:noProof/>
        </w:rPr>
        <w:t>con el  objetivo de f</w:t>
      </w:r>
      <w:r w:rsidR="400002EB" w:rsidRPr="00D46B66">
        <w:rPr>
          <w:rFonts w:ascii="Arial Narrow" w:hAnsi="Arial Narrow"/>
          <w:noProof/>
        </w:rPr>
        <w:t xml:space="preserve">ortalecer la transparencia y la rendición de cuentas de la gestión judicial por medio de la sensibilización e información de la participación ciudadana </w:t>
      </w:r>
      <w:r w:rsidR="0E85B610" w:rsidRPr="00D46B66">
        <w:rPr>
          <w:rFonts w:ascii="Arial Narrow" w:hAnsi="Arial Narrow"/>
          <w:noProof/>
        </w:rPr>
        <w:t xml:space="preserve">en </w:t>
      </w:r>
      <w:r w:rsidR="400002EB" w:rsidRPr="00D46B66">
        <w:rPr>
          <w:rFonts w:ascii="Arial Narrow" w:hAnsi="Arial Narrow"/>
          <w:noProof/>
        </w:rPr>
        <w:t>materia de conflictos de interés</w:t>
      </w:r>
      <w:r w:rsidR="34B9E7AD" w:rsidRPr="00D46B66">
        <w:rPr>
          <w:rFonts w:ascii="Arial Narrow" w:hAnsi="Arial Narrow"/>
          <w:noProof/>
        </w:rPr>
        <w:t>,</w:t>
      </w:r>
      <w:r w:rsidR="55FD90E6" w:rsidRPr="00D46B66">
        <w:rPr>
          <w:rFonts w:ascii="Arial Narrow" w:hAnsi="Arial Narrow"/>
          <w:noProof/>
        </w:rPr>
        <w:t xml:space="preserve"> </w:t>
      </w:r>
      <w:r w:rsidR="400002EB" w:rsidRPr="00D46B66">
        <w:rPr>
          <w:rFonts w:ascii="Arial Narrow" w:hAnsi="Arial Narrow"/>
          <w:noProof/>
        </w:rPr>
        <w:t>realiz</w:t>
      </w:r>
      <w:r w:rsidR="0E85B610" w:rsidRPr="00D46B66">
        <w:rPr>
          <w:rFonts w:ascii="Arial Narrow" w:hAnsi="Arial Narrow"/>
          <w:noProof/>
        </w:rPr>
        <w:t>ó</w:t>
      </w:r>
      <w:r w:rsidR="400002EB" w:rsidRPr="00D46B66">
        <w:rPr>
          <w:rFonts w:ascii="Arial Narrow" w:hAnsi="Arial Narrow"/>
          <w:noProof/>
        </w:rPr>
        <w:t xml:space="preserve"> una campaña para la sociedad civil sobre el Reglamento de conflicto de interés en el Poder Judicial</w:t>
      </w:r>
      <w:r w:rsidRPr="00D46B66">
        <w:rPr>
          <w:rFonts w:ascii="Arial Narrow" w:hAnsi="Arial Narrow"/>
          <w:noProof/>
        </w:rPr>
        <w:t>.</w:t>
      </w:r>
      <w:r w:rsidR="00F4009D" w:rsidRPr="00345B2C">
        <w:rPr>
          <w:rFonts w:ascii="Arial Narrow" w:hAnsi="Arial Narrow"/>
          <w:noProof/>
        </w:rPr>
        <w:t>Ademas,</w:t>
      </w:r>
      <w:r w:rsidR="00F4009D" w:rsidRPr="00D46B66">
        <w:rPr>
          <w:rFonts w:ascii="Arial Narrow" w:hAnsi="Arial Narrow"/>
          <w:noProof/>
        </w:rPr>
        <w:t xml:space="preserve"> </w:t>
      </w:r>
      <w:r w:rsidR="00F4009D" w:rsidRPr="003F7AB4">
        <w:rPr>
          <w:rFonts w:ascii="Arial Narrow" w:hAnsi="Arial Narrow"/>
          <w:noProof/>
        </w:rPr>
        <w:t>esta S</w:t>
      </w:r>
      <w:r w:rsidR="00887AFE" w:rsidRPr="003F7AB4">
        <w:rPr>
          <w:rFonts w:ascii="Arial Narrow" w:hAnsi="Arial Narrow"/>
          <w:noProof/>
        </w:rPr>
        <w:t>eceretaría desarrollo las sigui</w:t>
      </w:r>
      <w:r w:rsidR="00887AFE" w:rsidRPr="00D46B66">
        <w:rPr>
          <w:rFonts w:ascii="Arial Narrow" w:hAnsi="Arial Narrow"/>
          <w:noProof/>
        </w:rPr>
        <w:t xml:space="preserve">entes actividades durante el año 2021: </w:t>
      </w:r>
      <w:r w:rsidR="00F4009D" w:rsidRPr="00D46B66">
        <w:rPr>
          <w:rFonts w:ascii="Arial Narrow" w:hAnsi="Arial Narrow"/>
          <w:noProof/>
        </w:rPr>
        <w:t>a) Desarrollo de una estrategia de comunicación para dar a conocer el programa de Equipos de Respuesta Rápida a Víctimas de Violación, con el fin de que las personas tengan conocimiento de los mecanismos que tienen disponibles al acceder a la justicia y evitar ser revictimizadas y b) Mejora sostenida del sitio web dela STGAJ que permita la actualización y difusión de las acciones desarrolladas por la Comisión y la STGAJ.</w:t>
      </w:r>
      <w:r w:rsidR="55FD90E6" w:rsidRPr="00D46B66">
        <w:rPr>
          <w:rFonts w:ascii="Arial Narrow" w:hAnsi="Arial Narrow"/>
          <w:noProof/>
        </w:rPr>
        <w:t xml:space="preserve"> Por otra parte, para mejorar </w:t>
      </w:r>
      <w:r w:rsidRPr="00D46B66">
        <w:rPr>
          <w:rFonts w:ascii="Arial Narrow" w:hAnsi="Arial Narrow"/>
          <w:noProof/>
        </w:rPr>
        <w:t xml:space="preserve">el servicio que brinda la Defensa </w:t>
      </w:r>
      <w:r w:rsidR="55FD90E6" w:rsidRPr="00D46B66">
        <w:rPr>
          <w:rFonts w:ascii="Arial Narrow" w:hAnsi="Arial Narrow"/>
          <w:noProof/>
        </w:rPr>
        <w:t xml:space="preserve">Pública, dicha oficina </w:t>
      </w:r>
      <w:r w:rsidR="400002EB" w:rsidRPr="00D46B66">
        <w:rPr>
          <w:rFonts w:ascii="Arial Narrow" w:hAnsi="Arial Narrow"/>
          <w:noProof/>
        </w:rPr>
        <w:t>elabor</w:t>
      </w:r>
      <w:r w:rsidR="55FD90E6" w:rsidRPr="00D46B66">
        <w:rPr>
          <w:rFonts w:ascii="Arial Narrow" w:hAnsi="Arial Narrow"/>
          <w:noProof/>
        </w:rPr>
        <w:t>ó</w:t>
      </w:r>
      <w:r w:rsidR="400002EB" w:rsidRPr="00D46B66">
        <w:rPr>
          <w:rFonts w:ascii="Arial Narrow" w:hAnsi="Arial Narrow"/>
          <w:noProof/>
        </w:rPr>
        <w:t xml:space="preserve"> una propuesta de requerimientos </w:t>
      </w:r>
      <w:r w:rsidR="55FD90E6" w:rsidRPr="00D46B66">
        <w:rPr>
          <w:rFonts w:ascii="Arial Narrow" w:hAnsi="Arial Narrow"/>
          <w:noProof/>
        </w:rPr>
        <w:t>para</w:t>
      </w:r>
      <w:r w:rsidR="400002EB" w:rsidRPr="00D46B66">
        <w:rPr>
          <w:rFonts w:ascii="Arial Narrow" w:hAnsi="Arial Narrow"/>
          <w:noProof/>
        </w:rPr>
        <w:t xml:space="preserve"> desarrollar una aplicación para teléfonos móviles inteligentes y Tabletas (APP) exclusiva para la Defensa Pública</w:t>
      </w:r>
      <w:r w:rsidR="55FD90E6" w:rsidRPr="00D46B66">
        <w:rPr>
          <w:rFonts w:ascii="Arial Narrow" w:hAnsi="Arial Narrow"/>
          <w:noProof/>
        </w:rPr>
        <w:t>.</w:t>
      </w:r>
      <w:r w:rsidR="0F07E111" w:rsidRPr="00D46B66">
        <w:rPr>
          <w:rFonts w:ascii="Arial Narrow" w:hAnsi="Arial Narrow"/>
          <w:noProof/>
          <w:lang w:val="es-ES"/>
        </w:rPr>
        <w:t xml:space="preserve"> Esta meta estratégica cuenta para el año 2021 con 19 metas operativas de las cuales solamente 1 no reportó (responsable operativo es el CACMFJ reportó un 90%</w:t>
      </w:r>
      <w:r w:rsidR="00CB07C4" w:rsidRPr="00345B2C">
        <w:rPr>
          <w:rFonts w:ascii="Arial Narrow" w:hAnsi="Arial Narrow"/>
          <w:noProof/>
          <w:lang w:val="es-ES"/>
        </w:rPr>
        <w:t>)</w:t>
      </w:r>
      <w:r w:rsidR="0074155E" w:rsidRPr="00D46B66">
        <w:rPr>
          <w:rFonts w:ascii="Segoe UI" w:eastAsia="Segoe UI" w:hAnsi="Segoe UI" w:cs="Segoe UI"/>
          <w:noProof/>
          <w:color w:val="333333"/>
          <w:sz w:val="18"/>
          <w:szCs w:val="18"/>
          <w:lang w:val="es-ES"/>
        </w:rPr>
        <w:t xml:space="preserve"> </w:t>
      </w:r>
      <w:r w:rsidR="0F07E111" w:rsidRPr="003F7AB4">
        <w:rPr>
          <w:rFonts w:ascii="Arial Narrow" w:hAnsi="Arial Narrow"/>
          <w:noProof/>
          <w:lang w:val="es-ES"/>
        </w:rPr>
        <w:t>un cumplimiento del 100% lo que impactó el cumplimiento general de la meta.</w:t>
      </w:r>
    </w:p>
    <w:p w14:paraId="6B979CFA" w14:textId="77777777" w:rsidR="00125CC8" w:rsidRDefault="00125CC8" w:rsidP="00D07B55">
      <w:pPr>
        <w:jc w:val="both"/>
        <w:rPr>
          <w:rFonts w:ascii="Arial Narrow" w:eastAsia="Calibri" w:hAnsi="Arial Narrow"/>
        </w:rPr>
      </w:pPr>
    </w:p>
    <w:p w14:paraId="45ED854E" w14:textId="3F6FB51B" w:rsidR="00CE33C1" w:rsidRPr="00D07B55" w:rsidRDefault="002B5417" w:rsidP="00D07B55">
      <w:pPr>
        <w:jc w:val="both"/>
        <w:rPr>
          <w:rFonts w:ascii="Arial Narrow" w:hAnsi="Arial Narrow"/>
        </w:rPr>
      </w:pPr>
      <w:r>
        <w:rPr>
          <w:rFonts w:ascii="Arial Narrow" w:hAnsi="Arial Narrow"/>
        </w:rPr>
        <w:t xml:space="preserve">Por otra parte, </w:t>
      </w:r>
      <w:r w:rsidRPr="00AC5F48">
        <w:rPr>
          <w:rFonts w:ascii="Arial Narrow" w:hAnsi="Arial Narrow"/>
        </w:rPr>
        <w:t>la</w:t>
      </w:r>
      <w:r w:rsidR="00D37585" w:rsidRPr="00AC5F48">
        <w:rPr>
          <w:rFonts w:ascii="Arial Narrow" w:hAnsi="Arial Narrow"/>
        </w:rPr>
        <w:t xml:space="preserve"> Fiscalía General </w:t>
      </w:r>
      <w:r w:rsidR="00B5126A" w:rsidRPr="00AC5F48">
        <w:rPr>
          <w:rFonts w:ascii="Arial Narrow" w:hAnsi="Arial Narrow"/>
        </w:rPr>
        <w:t>e</w:t>
      </w:r>
      <w:r w:rsidR="00BF0722" w:rsidRPr="00AC5F48">
        <w:rPr>
          <w:rFonts w:ascii="Arial Narrow" w:hAnsi="Arial Narrow"/>
        </w:rPr>
        <w:t>n coordinación con la Oficina de Prensa del Ministerio Público</w:t>
      </w:r>
      <w:r w:rsidR="001B627C" w:rsidRPr="00AC5F48">
        <w:rPr>
          <w:rFonts w:ascii="Arial Narrow" w:hAnsi="Arial Narrow"/>
        </w:rPr>
        <w:t xml:space="preserve"> para el cumplimiento de la meta estratégica </w:t>
      </w:r>
      <w:r w:rsidR="00BF0722" w:rsidRPr="00AC5F48">
        <w:rPr>
          <w:rFonts w:ascii="Arial Narrow" w:hAnsi="Arial Narrow"/>
        </w:rPr>
        <w:t xml:space="preserve">participó en el Programa de Radio Frecuencia MP </w:t>
      </w:r>
      <w:r w:rsidR="001B627C" w:rsidRPr="00AC5F48">
        <w:rPr>
          <w:rFonts w:ascii="Arial Narrow" w:hAnsi="Arial Narrow"/>
        </w:rPr>
        <w:t xml:space="preserve">para dialogar </w:t>
      </w:r>
      <w:r w:rsidR="00BF0722" w:rsidRPr="00AC5F48">
        <w:rPr>
          <w:rFonts w:ascii="Arial Narrow" w:hAnsi="Arial Narrow"/>
        </w:rPr>
        <w:t xml:space="preserve">sobre el tema de: </w:t>
      </w:r>
      <w:r w:rsidR="00BF0722" w:rsidRPr="00322D9B">
        <w:rPr>
          <w:rFonts w:ascii="Arial Narrow" w:hAnsi="Arial Narrow"/>
          <w:i/>
          <w:iCs/>
        </w:rPr>
        <w:t>“¿Cómo</w:t>
      </w:r>
      <w:r w:rsidR="00D07B55" w:rsidRPr="00322D9B">
        <w:rPr>
          <w:rFonts w:ascii="Arial Narrow" w:hAnsi="Arial Narrow"/>
          <w:i/>
          <w:iCs/>
        </w:rPr>
        <w:t xml:space="preserve"> </w:t>
      </w:r>
      <w:r w:rsidR="00BF0722" w:rsidRPr="00322D9B">
        <w:rPr>
          <w:rFonts w:ascii="Arial Narrow" w:hAnsi="Arial Narrow"/>
          <w:i/>
          <w:iCs/>
        </w:rPr>
        <w:t>se obtiene la Prueba Internacional en Procesos Penales y Cuál es su Valor?”</w:t>
      </w:r>
      <w:r w:rsidR="00AC5F48" w:rsidRPr="00322D9B">
        <w:rPr>
          <w:rFonts w:ascii="Arial Narrow" w:hAnsi="Arial Narrow"/>
          <w:i/>
          <w:iCs/>
        </w:rPr>
        <w:t>.</w:t>
      </w:r>
      <w:r w:rsidR="00BF0722" w:rsidRPr="00322D9B">
        <w:rPr>
          <w:rFonts w:ascii="Arial Narrow" w:hAnsi="Arial Narrow"/>
          <w:i/>
          <w:iCs/>
        </w:rPr>
        <w:t xml:space="preserve"> </w:t>
      </w:r>
      <w:r w:rsidR="00AC5F48" w:rsidRPr="00AC5F48">
        <w:rPr>
          <w:rFonts w:ascii="Arial Narrow" w:hAnsi="Arial Narrow"/>
        </w:rPr>
        <w:t>Además</w:t>
      </w:r>
      <w:r w:rsidR="001B627C" w:rsidRPr="00AC5F48">
        <w:rPr>
          <w:rFonts w:ascii="Arial Narrow" w:hAnsi="Arial Narrow"/>
        </w:rPr>
        <w:t>, realizó</w:t>
      </w:r>
      <w:r w:rsidR="00BF0722" w:rsidRPr="00AC5F48">
        <w:rPr>
          <w:rFonts w:ascii="Arial Narrow" w:hAnsi="Arial Narrow"/>
        </w:rPr>
        <w:t xml:space="preserve"> </w:t>
      </w:r>
      <w:r w:rsidR="001B627C" w:rsidRPr="00AC5F48">
        <w:rPr>
          <w:rFonts w:ascii="Arial Narrow" w:hAnsi="Arial Narrow"/>
        </w:rPr>
        <w:t xml:space="preserve">y </w:t>
      </w:r>
      <w:r w:rsidR="00BF0722" w:rsidRPr="00AC5F48">
        <w:rPr>
          <w:rFonts w:ascii="Arial Narrow" w:hAnsi="Arial Narrow"/>
        </w:rPr>
        <w:t xml:space="preserve">publicó una </w:t>
      </w:r>
      <w:r w:rsidR="007A625C" w:rsidRPr="00AC5F48">
        <w:rPr>
          <w:rFonts w:ascii="Arial Narrow" w:hAnsi="Arial Narrow"/>
        </w:rPr>
        <w:t>c</w:t>
      </w:r>
      <w:r w:rsidR="007A625C">
        <w:rPr>
          <w:rFonts w:ascii="Arial Narrow" w:hAnsi="Arial Narrow"/>
        </w:rPr>
        <w:t>á</w:t>
      </w:r>
      <w:r w:rsidR="007A625C" w:rsidRPr="00AC5F48">
        <w:rPr>
          <w:rFonts w:ascii="Arial Narrow" w:hAnsi="Arial Narrow"/>
        </w:rPr>
        <w:t xml:space="preserve">psula </w:t>
      </w:r>
      <w:r w:rsidR="00BF0722" w:rsidRPr="00AC5F48">
        <w:rPr>
          <w:rFonts w:ascii="Arial Narrow" w:hAnsi="Arial Narrow"/>
        </w:rPr>
        <w:t>informativa sobre e</w:t>
      </w:r>
      <w:r w:rsidR="001B627C" w:rsidRPr="00AC5F48">
        <w:rPr>
          <w:rFonts w:ascii="Arial Narrow" w:hAnsi="Arial Narrow"/>
        </w:rPr>
        <w:t xml:space="preserve">ste </w:t>
      </w:r>
      <w:r w:rsidR="00BF0722" w:rsidRPr="00AC5F48">
        <w:rPr>
          <w:rFonts w:ascii="Arial Narrow" w:hAnsi="Arial Narrow"/>
        </w:rPr>
        <w:t xml:space="preserve">mismo tema. </w:t>
      </w:r>
      <w:r w:rsidR="001B627C" w:rsidRPr="00AC5F48">
        <w:rPr>
          <w:rFonts w:ascii="Arial Narrow" w:hAnsi="Arial Narrow"/>
        </w:rPr>
        <w:t>Por otra parte,</w:t>
      </w:r>
      <w:r w:rsidR="00B5126A" w:rsidRPr="00AC5F48">
        <w:rPr>
          <w:rFonts w:ascii="Arial Narrow" w:hAnsi="Arial Narrow"/>
        </w:rPr>
        <w:t xml:space="preserve"> </w:t>
      </w:r>
      <w:r w:rsidR="00AC5F48">
        <w:rPr>
          <w:rFonts w:ascii="Arial Narrow" w:hAnsi="Arial Narrow"/>
        </w:rPr>
        <w:t xml:space="preserve">para </w:t>
      </w:r>
      <w:r w:rsidR="00B5126A" w:rsidRPr="00AC5F48">
        <w:rPr>
          <w:rFonts w:ascii="Arial Narrow" w:hAnsi="Arial Narrow"/>
        </w:rPr>
        <w:t>fortalecer el tema de la cooperación internacional dentro de</w:t>
      </w:r>
      <w:r w:rsidR="001B627C" w:rsidRPr="00AC5F48">
        <w:rPr>
          <w:rFonts w:ascii="Arial Narrow" w:hAnsi="Arial Narrow"/>
        </w:rPr>
        <w:t>l Ministerio Público</w:t>
      </w:r>
      <w:r w:rsidR="00B5126A" w:rsidRPr="00AC5F48">
        <w:rPr>
          <w:rFonts w:ascii="Arial Narrow" w:hAnsi="Arial Narrow"/>
        </w:rPr>
        <w:t xml:space="preserve">, </w:t>
      </w:r>
      <w:r w:rsidR="001B627C" w:rsidRPr="00AC5F48">
        <w:rPr>
          <w:rFonts w:ascii="Arial Narrow" w:hAnsi="Arial Narrow"/>
        </w:rPr>
        <w:t>se</w:t>
      </w:r>
      <w:r w:rsidR="00B5126A" w:rsidRPr="00AC5F48">
        <w:rPr>
          <w:rFonts w:ascii="Arial Narrow" w:hAnsi="Arial Narrow"/>
        </w:rPr>
        <w:t xml:space="preserve"> desig</w:t>
      </w:r>
      <w:r w:rsidR="00AC5F48">
        <w:rPr>
          <w:rFonts w:ascii="Arial Narrow" w:hAnsi="Arial Narrow"/>
        </w:rPr>
        <w:t>nó</w:t>
      </w:r>
      <w:r w:rsidR="00B5126A" w:rsidRPr="00AC5F48">
        <w:rPr>
          <w:rFonts w:ascii="Arial Narrow" w:hAnsi="Arial Narrow"/>
        </w:rPr>
        <w:t xml:space="preserve"> a</w:t>
      </w:r>
      <w:r w:rsidR="001B627C" w:rsidRPr="00AC5F48">
        <w:rPr>
          <w:rFonts w:ascii="Arial Narrow" w:hAnsi="Arial Narrow"/>
        </w:rPr>
        <w:t xml:space="preserve"> una</w:t>
      </w:r>
      <w:r w:rsidR="00B5126A" w:rsidRPr="00AC5F48">
        <w:rPr>
          <w:rFonts w:ascii="Arial Narrow" w:hAnsi="Arial Narrow"/>
        </w:rPr>
        <w:t xml:space="preserve"> Fiscala Adjunta,</w:t>
      </w:r>
      <w:r w:rsidR="001B627C" w:rsidRPr="00AC5F48">
        <w:rPr>
          <w:rFonts w:ascii="Arial Narrow" w:hAnsi="Arial Narrow"/>
        </w:rPr>
        <w:t xml:space="preserve"> </w:t>
      </w:r>
      <w:r w:rsidR="00B5126A" w:rsidRPr="00AC5F48">
        <w:rPr>
          <w:rFonts w:ascii="Arial Narrow" w:hAnsi="Arial Narrow"/>
        </w:rPr>
        <w:t>como el punto de contacto entre el Ministerio Público de Costa Rica, las Corte Suprema de Justicia, el Sistema de Integración</w:t>
      </w:r>
      <w:r>
        <w:rPr>
          <w:rFonts w:ascii="Arial Narrow" w:hAnsi="Arial Narrow"/>
        </w:rPr>
        <w:t xml:space="preserve"> </w:t>
      </w:r>
      <w:r w:rsidR="00B5126A" w:rsidRPr="00D07B55">
        <w:rPr>
          <w:rFonts w:ascii="Arial Narrow" w:hAnsi="Arial Narrow"/>
        </w:rPr>
        <w:t>Centroamericano (SICA), la Red Iberoamericana de Cooperación Jurídica Internacional (IberRed), la Asociación Iberoamericana de Ministerios Públicos (AIAMP), el Consejo de Europa, el Programa de Asistencia Técnica, la Unión Europea, y América Latina (el PACTO), las Naciones Unidas, la Organización de Estados Americanos, el M</w:t>
      </w:r>
      <w:r w:rsidR="00206BDA" w:rsidRPr="00D07B55">
        <w:rPr>
          <w:rFonts w:ascii="Arial Narrow" w:hAnsi="Arial Narrow"/>
        </w:rPr>
        <w:t>i</w:t>
      </w:r>
      <w:r w:rsidR="00B5126A" w:rsidRPr="00D07B55">
        <w:rPr>
          <w:rFonts w:ascii="Arial Narrow" w:hAnsi="Arial Narrow"/>
        </w:rPr>
        <w:t>nisterio de Relaciones Exteriores y Culto, el cuerpo diplomático y los organismos internacionales en general, para atender todas las gestiones de carácter internacional que sean requeridas</w:t>
      </w:r>
      <w:r w:rsidR="001B627C" w:rsidRPr="00D07B55">
        <w:rPr>
          <w:rFonts w:ascii="Arial Narrow" w:hAnsi="Arial Narrow"/>
        </w:rPr>
        <w:t>.</w:t>
      </w:r>
      <w:r w:rsidR="00206BDA" w:rsidRPr="00D07B55">
        <w:rPr>
          <w:rFonts w:ascii="Arial Narrow" w:eastAsiaTheme="minorHAnsi" w:hAnsi="Arial Narrow" w:cs="Calibri"/>
          <w:lang w:val="es-CR" w:eastAsia="es-CR"/>
        </w:rPr>
        <w:t xml:space="preserve"> Finalmente, se verifica los porcentajes de avance y se tiene que para el año 2021 se dio un cumplimiento del 100% y un 40% en el cumplimiento acumulado.</w:t>
      </w:r>
    </w:p>
    <w:p w14:paraId="5B79FB68" w14:textId="77777777" w:rsidR="0032029D" w:rsidRPr="00D07B55" w:rsidRDefault="0032029D" w:rsidP="00D07B55">
      <w:pPr>
        <w:spacing w:after="60"/>
        <w:jc w:val="both"/>
        <w:rPr>
          <w:rFonts w:ascii="Arial Narrow" w:hAnsi="Arial Narrow"/>
        </w:rPr>
      </w:pPr>
    </w:p>
    <w:p w14:paraId="318C3D5E" w14:textId="542F9873" w:rsidR="0032029D" w:rsidRPr="00D07B55" w:rsidRDefault="007613B3" w:rsidP="00D07B55">
      <w:pPr>
        <w:tabs>
          <w:tab w:val="left" w:pos="1430"/>
        </w:tabs>
        <w:jc w:val="both"/>
        <w:rPr>
          <w:rFonts w:ascii="Arial Narrow" w:hAnsi="Arial Narrow"/>
        </w:rPr>
      </w:pPr>
      <w:r w:rsidRPr="00D07B55">
        <w:rPr>
          <w:rFonts w:ascii="Arial Narrow" w:hAnsi="Arial Narrow"/>
        </w:rPr>
        <w:t xml:space="preserve">En atención al elevado porcentaje de personas privadas de libertad que resultan asistidas por la Defensa Pública, la necesidad de mantener un monitoreo continuo y una inspección permanente, mediante diversos instrumentos y prácticas, sobre la situación estructural y coyuntural de las cárceles y otros espacios de encierro, y del estado de cumplimiento de los derechos de </w:t>
      </w:r>
      <w:r w:rsidR="00F5403E">
        <w:rPr>
          <w:rFonts w:ascii="Arial Narrow" w:hAnsi="Arial Narrow"/>
        </w:rPr>
        <w:t>las personas internas</w:t>
      </w:r>
      <w:r w:rsidR="00A276B3">
        <w:rPr>
          <w:rFonts w:ascii="Arial Narrow" w:hAnsi="Arial Narrow"/>
        </w:rPr>
        <w:t xml:space="preserve"> se tiene que </w:t>
      </w:r>
      <w:r w:rsidR="00CE33C1" w:rsidRPr="00D07B55">
        <w:rPr>
          <w:rFonts w:ascii="Arial Narrow" w:hAnsi="Arial Narrow"/>
        </w:rPr>
        <w:t xml:space="preserve"> por medio del proyecto de Redes de Apoyo de la Defensa Pública se ha socializado a 54 organizaciones, entre instituciones públicas y Organizaciones no gubernamentales, en las cuales se ha venido realizando acercamientos con la mayoría de ellas, a través de correos electrónicos y reuniones virtuales</w:t>
      </w:r>
      <w:r w:rsidR="0032029D" w:rsidRPr="00D07B55">
        <w:rPr>
          <w:rFonts w:ascii="Arial Narrow" w:hAnsi="Arial Narrow"/>
        </w:rPr>
        <w:t xml:space="preserve"> por medio de las plataforma Teams y plataforma Moodle. De acuerdo los avances reportados por medio del sistema PEI y PAO se obtiene un cumplimiento del 100% de cumplimiento y un 40% en el porcentaje acumulado. </w:t>
      </w:r>
    </w:p>
    <w:p w14:paraId="00B28D3A" w14:textId="04351485" w:rsidR="00206BDA" w:rsidRDefault="00206BDA" w:rsidP="0032029D">
      <w:pPr>
        <w:spacing w:after="60"/>
        <w:jc w:val="both"/>
        <w:rPr>
          <w:rFonts w:ascii="Arial Narrow" w:hAnsi="Arial Narrow"/>
        </w:rPr>
      </w:pPr>
    </w:p>
    <w:p w14:paraId="1644A3A2" w14:textId="159F1184" w:rsidR="007A625C" w:rsidRDefault="007A625C">
      <w:pPr>
        <w:rPr>
          <w:rFonts w:ascii="Arial Narrow" w:hAnsi="Arial Narrow"/>
          <w:b/>
          <w:bCs/>
        </w:rPr>
      </w:pPr>
    </w:p>
    <w:p w14:paraId="126FB95E" w14:textId="6326F867" w:rsidR="00532B98" w:rsidRDefault="00532B98">
      <w:pPr>
        <w:rPr>
          <w:rFonts w:ascii="Arial Narrow" w:hAnsi="Arial Narrow"/>
          <w:b/>
          <w:bCs/>
        </w:rPr>
      </w:pPr>
    </w:p>
    <w:p w14:paraId="69147C87" w14:textId="51FA4393" w:rsidR="00532B98" w:rsidRDefault="00532B98">
      <w:pPr>
        <w:rPr>
          <w:rFonts w:ascii="Arial Narrow" w:hAnsi="Arial Narrow"/>
          <w:b/>
          <w:bCs/>
        </w:rPr>
      </w:pPr>
    </w:p>
    <w:p w14:paraId="08FF33E6" w14:textId="4176BBB2" w:rsidR="00532B98" w:rsidRDefault="00532B98">
      <w:pPr>
        <w:rPr>
          <w:rFonts w:ascii="Arial Narrow" w:hAnsi="Arial Narrow"/>
          <w:b/>
          <w:bCs/>
        </w:rPr>
      </w:pPr>
    </w:p>
    <w:p w14:paraId="030B7DE6" w14:textId="6AE9990C" w:rsidR="00532B98" w:rsidRDefault="00532B98">
      <w:pPr>
        <w:rPr>
          <w:rFonts w:ascii="Arial Narrow" w:hAnsi="Arial Narrow"/>
          <w:b/>
          <w:bCs/>
        </w:rPr>
      </w:pPr>
    </w:p>
    <w:p w14:paraId="1EA15FEB" w14:textId="2FE97CD5" w:rsidR="00532B98" w:rsidRDefault="00532B98">
      <w:pPr>
        <w:rPr>
          <w:rFonts w:ascii="Arial Narrow" w:hAnsi="Arial Narrow"/>
          <w:b/>
          <w:bCs/>
        </w:rPr>
      </w:pPr>
    </w:p>
    <w:p w14:paraId="2B66D5A4" w14:textId="231EBB63" w:rsidR="00532B98" w:rsidRDefault="00532B98">
      <w:pPr>
        <w:rPr>
          <w:rFonts w:ascii="Arial Narrow" w:hAnsi="Arial Narrow"/>
          <w:b/>
          <w:bCs/>
        </w:rPr>
      </w:pPr>
    </w:p>
    <w:p w14:paraId="6D079164" w14:textId="56618DA8" w:rsidR="00532B98" w:rsidRDefault="00532B98">
      <w:pPr>
        <w:rPr>
          <w:rFonts w:ascii="Arial Narrow" w:hAnsi="Arial Narrow"/>
          <w:b/>
          <w:bCs/>
        </w:rPr>
      </w:pPr>
    </w:p>
    <w:p w14:paraId="77844842" w14:textId="28D51133" w:rsidR="00532B98" w:rsidRDefault="00532B98">
      <w:pPr>
        <w:rPr>
          <w:rFonts w:ascii="Arial Narrow" w:hAnsi="Arial Narrow"/>
          <w:b/>
          <w:bCs/>
        </w:rPr>
      </w:pPr>
    </w:p>
    <w:p w14:paraId="1101A9DF" w14:textId="07DE8969" w:rsidR="00532B98" w:rsidRDefault="00532B98">
      <w:pPr>
        <w:rPr>
          <w:rFonts w:ascii="Arial Narrow" w:hAnsi="Arial Narrow"/>
          <w:b/>
          <w:bCs/>
        </w:rPr>
      </w:pPr>
    </w:p>
    <w:p w14:paraId="7F4A39DD" w14:textId="77777777" w:rsidR="00532B98" w:rsidRDefault="00532B98">
      <w:pPr>
        <w:rPr>
          <w:rFonts w:ascii="Arial Narrow" w:hAnsi="Arial Narrow"/>
          <w:b/>
          <w:bCs/>
        </w:rPr>
      </w:pPr>
    </w:p>
    <w:p w14:paraId="7C5D3F3C" w14:textId="22DF3ACD" w:rsidR="00D07B55" w:rsidRDefault="00D07B55" w:rsidP="00D07B55">
      <w:pPr>
        <w:pStyle w:val="Descripcin"/>
        <w:jc w:val="center"/>
        <w:rPr>
          <w:rFonts w:ascii="Arial Narrow" w:eastAsia="Calibri" w:hAnsi="Arial Narrow"/>
          <w:sz w:val="24"/>
          <w:szCs w:val="24"/>
        </w:rPr>
      </w:pPr>
      <w:r w:rsidRPr="00484CC1">
        <w:rPr>
          <w:rFonts w:ascii="Arial Narrow" w:hAnsi="Arial Narrow"/>
          <w:sz w:val="24"/>
          <w:szCs w:val="24"/>
        </w:rPr>
        <w:t xml:space="preserve">Cuadro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2F520A">
        <w:rPr>
          <w:rFonts w:ascii="Arial Narrow" w:hAnsi="Arial Narrow"/>
          <w:noProof/>
          <w:sz w:val="24"/>
          <w:szCs w:val="24"/>
        </w:rPr>
        <w:t>40</w:t>
      </w:r>
      <w:r w:rsidRPr="00484CC1">
        <w:rPr>
          <w:rFonts w:ascii="Arial Narrow" w:hAnsi="Arial Narrow"/>
          <w:sz w:val="24"/>
          <w:szCs w:val="24"/>
        </w:rPr>
        <w:fldChar w:fldCharType="end"/>
      </w:r>
      <w:r w:rsidRPr="00484CC1">
        <w:rPr>
          <w:rFonts w:ascii="Arial Narrow" w:hAnsi="Arial Narrow"/>
          <w:sz w:val="24"/>
          <w:szCs w:val="24"/>
        </w:rPr>
        <w:t xml:space="preserve"> </w:t>
      </w:r>
      <w:r w:rsidRPr="00D657CE">
        <w:rPr>
          <w:rFonts w:ascii="Arial Narrow" w:eastAsia="Calibri" w:hAnsi="Arial Narrow"/>
          <w:sz w:val="24"/>
          <w:szCs w:val="24"/>
        </w:rPr>
        <w:t xml:space="preserve">Metas estratégicas de Colaboración interna y externa, y su cumplimiento para el </w:t>
      </w:r>
      <w:r>
        <w:rPr>
          <w:rFonts w:ascii="Arial Narrow" w:eastAsia="Calibri" w:hAnsi="Arial Narrow"/>
          <w:sz w:val="24"/>
          <w:szCs w:val="24"/>
        </w:rPr>
        <w:t>2021.</w:t>
      </w:r>
    </w:p>
    <w:p w14:paraId="308A048F" w14:textId="700781E0" w:rsidR="00FA38BE" w:rsidRDefault="00FA38BE" w:rsidP="00FA38BE">
      <w:pPr>
        <w:rPr>
          <w:rFonts w:eastAsia="Calibri"/>
        </w:rPr>
      </w:pPr>
    </w:p>
    <w:p w14:paraId="7927929D" w14:textId="1D9310CA" w:rsidR="00125CC8" w:rsidRPr="00FA38BE" w:rsidRDefault="00A276B3" w:rsidP="00FA38BE">
      <w:pPr>
        <w:rPr>
          <w:rFonts w:eastAsia="Calibri"/>
        </w:rPr>
      </w:pPr>
      <w:r>
        <w:rPr>
          <w:noProof/>
        </w:rPr>
        <w:drawing>
          <wp:inline distT="0" distB="0" distL="0" distR="0" wp14:anchorId="4836E528" wp14:editId="4F84AB98">
            <wp:extent cx="5973473" cy="1802185"/>
            <wp:effectExtent l="57150" t="57150" r="103505" b="102870"/>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t="2550" b="773"/>
                    <a:stretch/>
                  </pic:blipFill>
                  <pic:spPr bwMode="auto">
                    <a:xfrm>
                      <a:off x="0" y="0"/>
                      <a:ext cx="5974080" cy="1802368"/>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E3088FE" w14:textId="23F8F266" w:rsidR="00125CC8" w:rsidRPr="00A618D8" w:rsidRDefault="00125CC8" w:rsidP="00B54439">
      <w:pPr>
        <w:jc w:val="center"/>
        <w:rPr>
          <w:rFonts w:eastAsia="Calibri"/>
          <w:b/>
          <w:bCs/>
        </w:rPr>
      </w:pPr>
      <w:r w:rsidRPr="004619C9">
        <w:rPr>
          <w:rFonts w:ascii="Arial Narrow" w:eastAsia="Calibri" w:hAnsi="Arial Narrow"/>
          <w:b/>
          <w:bCs/>
          <w:sz w:val="18"/>
          <w:szCs w:val="18"/>
          <w:lang w:eastAsia="en-US"/>
        </w:rPr>
        <w:t>Fuente:</w:t>
      </w:r>
      <w:r w:rsidRPr="000B4845">
        <w:rPr>
          <w:rFonts w:ascii="Arial Narrow" w:eastAsia="Calibri" w:hAnsi="Arial Narrow"/>
          <w:sz w:val="18"/>
          <w:szCs w:val="18"/>
          <w:lang w:eastAsia="en-US"/>
        </w:rPr>
        <w:t xml:space="preserve"> Sistema PEI al </w:t>
      </w:r>
      <w:r>
        <w:rPr>
          <w:rFonts w:ascii="Arial Narrow" w:eastAsia="Calibri" w:hAnsi="Arial Narrow"/>
          <w:sz w:val="18"/>
          <w:szCs w:val="18"/>
          <w:lang w:eastAsia="en-US"/>
        </w:rPr>
        <w:t>19</w:t>
      </w:r>
      <w:r w:rsidRPr="000B4845">
        <w:rPr>
          <w:rFonts w:ascii="Arial Narrow" w:eastAsia="Calibri" w:hAnsi="Arial Narrow"/>
          <w:sz w:val="18"/>
          <w:szCs w:val="18"/>
          <w:lang w:eastAsia="en-US"/>
        </w:rPr>
        <w:t xml:space="preserve"> de enero del </w:t>
      </w:r>
      <w:r>
        <w:rPr>
          <w:rFonts w:ascii="Arial Narrow" w:eastAsia="Calibri" w:hAnsi="Arial Narrow"/>
          <w:sz w:val="18"/>
          <w:szCs w:val="18"/>
          <w:lang w:eastAsia="en-US"/>
        </w:rPr>
        <w:t>2022 para el año 2021.</w:t>
      </w:r>
    </w:p>
    <w:p w14:paraId="7074FEBD" w14:textId="77777777" w:rsidR="00125CC8" w:rsidRDefault="00125CC8" w:rsidP="0032029D">
      <w:pPr>
        <w:spacing w:after="60"/>
        <w:jc w:val="both"/>
        <w:rPr>
          <w:rFonts w:ascii="Arial Narrow" w:hAnsi="Arial Narrow"/>
        </w:rPr>
      </w:pPr>
    </w:p>
    <w:p w14:paraId="0A190C30" w14:textId="04DBC162" w:rsidR="00696A32" w:rsidRDefault="410F83AA" w:rsidP="00280EFE">
      <w:pPr>
        <w:widowControl w:val="0"/>
        <w:suppressAutoHyphens/>
        <w:jc w:val="both"/>
        <w:rPr>
          <w:rFonts w:ascii="Times New Roman" w:hAnsi="Times New Roman"/>
          <w:lang w:val="es-CR" w:eastAsia="zh-CN"/>
        </w:rPr>
      </w:pPr>
      <w:r w:rsidRPr="0F07E111">
        <w:rPr>
          <w:rFonts w:ascii="Arial Narrow" w:hAnsi="Arial Narrow"/>
        </w:rPr>
        <w:t>La Oficina de Atención y Protección a la Víctima de Delitos en el año 2020 gestionó una carta de entendimiento con la Casa de Derechos de la Municipalidad de Desamparados, para el año 2021 ejecutó varias de las actividades acordadas entre ellas: una charla virtual a la OFIM de Acosta y personal de la Caja Costarricense de Seguro Social, Coordinación con la Fiscalía de Desamparados para remisión de casos a Casa de Derechos,</w:t>
      </w:r>
      <w:r w:rsidR="3FD60570" w:rsidRPr="0F07E111">
        <w:rPr>
          <w:rFonts w:ascii="Arial Narrow" w:hAnsi="Arial Narrow"/>
        </w:rPr>
        <w:t xml:space="preserve"> línea telefónica colocada en la OAPVD para la atención de  Casa de Derechos, seguimiento de la publicidad de la OAPVD  en la página web de la Municipalidad de Desamparados.</w:t>
      </w:r>
      <w:r w:rsidR="4953F698" w:rsidRPr="0F07E111">
        <w:rPr>
          <w:rFonts w:ascii="Arial Narrow" w:hAnsi="Arial Narrow"/>
        </w:rPr>
        <w:t xml:space="preserve"> </w:t>
      </w:r>
    </w:p>
    <w:p w14:paraId="44D7E3E2" w14:textId="1D59CC19" w:rsidR="00696A32" w:rsidRPr="00280EFE" w:rsidRDefault="00696A32" w:rsidP="00280EFE">
      <w:pPr>
        <w:spacing w:after="60"/>
        <w:jc w:val="both"/>
        <w:rPr>
          <w:rFonts w:ascii="Arial Narrow" w:hAnsi="Arial Narrow"/>
        </w:rPr>
      </w:pPr>
    </w:p>
    <w:p w14:paraId="77AD0DCA" w14:textId="0F0A6FFB" w:rsidR="00183314" w:rsidRPr="00FA38BE" w:rsidRDefault="3F58F14A" w:rsidP="00FA38BE">
      <w:pPr>
        <w:jc w:val="both"/>
        <w:rPr>
          <w:rFonts w:eastAsia="Calibri"/>
        </w:rPr>
      </w:pPr>
      <w:r w:rsidRPr="03BF0815">
        <w:rPr>
          <w:rFonts w:ascii="Arial Narrow" w:hAnsi="Arial Narrow"/>
          <w:lang w:val="es-CR" w:eastAsia="es-CR"/>
        </w:rPr>
        <w:t xml:space="preserve">Para </w:t>
      </w:r>
      <w:r w:rsidRPr="03BF0815">
        <w:rPr>
          <w:rFonts w:ascii="Arial Narrow" w:eastAsia="Calibri" w:hAnsi="Arial Narrow"/>
        </w:rPr>
        <w:t>la</w:t>
      </w:r>
      <w:r w:rsidRPr="03BF0815">
        <w:rPr>
          <w:rFonts w:ascii="Arial Narrow" w:eastAsia="Book Antiqua" w:hAnsi="Arial Narrow" w:cs="Book Antiqua"/>
          <w:color w:val="000000" w:themeColor="text1"/>
          <w:lang w:val="es-CR"/>
        </w:rPr>
        <w:t xml:space="preserve"> meta estratégica “</w:t>
      </w:r>
      <w:r w:rsidRPr="03BF0815">
        <w:rPr>
          <w:rFonts w:ascii="Arial Narrow" w:eastAsia="Calibri" w:hAnsi="Arial Narrow"/>
          <w:i/>
          <w:iCs/>
        </w:rPr>
        <w:t xml:space="preserve">Que al finalizar el 2024, se desarrollen e implementen estrategias institucionales de cooperación nacional e internacional, que propicien el intercambio de buenas prácticas y jurisprudencia innovadora relacionada con estándares internacionales de gestión ambiental y resolución de conflictos asociados a los recursos naturales” se tiene que en </w:t>
      </w:r>
      <w:r w:rsidRPr="03BF0815">
        <w:rPr>
          <w:rFonts w:ascii="Arial Narrow" w:hAnsi="Arial Narrow"/>
          <w:lang w:val="es-CR" w:eastAsia="es-CR"/>
        </w:rPr>
        <w:t>el año 2021</w:t>
      </w:r>
      <w:r w:rsidR="25C6CD44" w:rsidRPr="03BF0815">
        <w:rPr>
          <w:rFonts w:ascii="Arial Narrow" w:hAnsi="Arial Narrow"/>
          <w:lang w:val="es-CR" w:eastAsia="es-CR"/>
        </w:rPr>
        <w:t xml:space="preserve"> reporta un cumplimiento de 50% en </w:t>
      </w:r>
      <w:r w:rsidRPr="03BF0815">
        <w:rPr>
          <w:rFonts w:ascii="Arial Narrow" w:hAnsi="Arial Narrow"/>
          <w:lang w:val="es-CR" w:eastAsia="es-CR"/>
        </w:rPr>
        <w:t xml:space="preserve">donde la </w:t>
      </w:r>
      <w:r w:rsidRPr="03BF0815">
        <w:rPr>
          <w:rFonts w:ascii="Arial Narrow" w:eastAsia="Calibri" w:hAnsi="Arial Narrow"/>
        </w:rPr>
        <w:t xml:space="preserve">Comisión de Gestión Ambiental Institucional </w:t>
      </w:r>
      <w:r w:rsidR="25C6CD44" w:rsidRPr="03BF0815">
        <w:rPr>
          <w:rFonts w:ascii="Arial Narrow" w:eastAsia="Calibri" w:hAnsi="Arial Narrow"/>
        </w:rPr>
        <w:t xml:space="preserve">comunica por medio del sistema PAO que </w:t>
      </w:r>
      <w:r w:rsidRPr="03BF0815">
        <w:rPr>
          <w:rFonts w:ascii="Arial Narrow" w:hAnsi="Arial Narrow"/>
          <w:lang w:val="es-CR" w:eastAsia="es-CR"/>
        </w:rPr>
        <w:t>realizó campañas de implementación de estrategia de plásticos de un solo uso en el Poder Judicial con el Departamento de Prensa y Comunicación.</w:t>
      </w:r>
    </w:p>
    <w:p w14:paraId="35A94824" w14:textId="77777777" w:rsidR="00C1238D" w:rsidRPr="000B4845" w:rsidRDefault="00C1238D" w:rsidP="00C1238D">
      <w:pPr>
        <w:spacing w:line="360" w:lineRule="auto"/>
        <w:jc w:val="both"/>
        <w:rPr>
          <w:rFonts w:ascii="Arial Narrow" w:eastAsia="Calibri" w:hAnsi="Arial Narrow"/>
        </w:rPr>
      </w:pPr>
    </w:p>
    <w:p w14:paraId="3A416186" w14:textId="70111E61" w:rsidR="00C1238D" w:rsidRPr="00322D9B" w:rsidRDefault="0074155E" w:rsidP="00322D9B">
      <w:pPr>
        <w:pStyle w:val="Ttulo3"/>
        <w:numPr>
          <w:ilvl w:val="2"/>
          <w:numId w:val="123"/>
        </w:numPr>
        <w:rPr>
          <w:rFonts w:ascii="Arial Narrow" w:eastAsia="Calibri" w:hAnsi="Arial Narrow"/>
          <w:iCs/>
          <w:szCs w:val="24"/>
          <w:lang w:val="es-CR"/>
        </w:rPr>
      </w:pPr>
      <w:bookmarkStart w:id="53" w:name="_Toc106355275"/>
      <w:r w:rsidRPr="00322D9B">
        <w:rPr>
          <w:rFonts w:ascii="Arial Narrow" w:eastAsia="Calibri" w:hAnsi="Arial Narrow"/>
          <w:iCs/>
          <w:szCs w:val="24"/>
          <w:lang w:val="es-CR"/>
        </w:rPr>
        <w:t>Comunicación</w:t>
      </w:r>
      <w:r w:rsidR="00C1238D" w:rsidRPr="00322D9B">
        <w:rPr>
          <w:rFonts w:ascii="Arial Narrow" w:eastAsia="Calibri" w:hAnsi="Arial Narrow"/>
          <w:iCs/>
          <w:szCs w:val="24"/>
          <w:lang w:val="es-CR"/>
        </w:rPr>
        <w:t xml:space="preserve"> y proyección Institucional</w:t>
      </w:r>
      <w:bookmarkEnd w:id="53"/>
    </w:p>
    <w:p w14:paraId="60127AE8" w14:textId="77777777" w:rsidR="00FA38BE" w:rsidRDefault="00FA38BE" w:rsidP="00FA38BE">
      <w:pPr>
        <w:spacing w:after="60"/>
        <w:jc w:val="both"/>
        <w:rPr>
          <w:rFonts w:ascii="Arial Narrow" w:eastAsia="Calibri" w:hAnsi="Arial Narrow"/>
        </w:rPr>
      </w:pPr>
    </w:p>
    <w:p w14:paraId="5FB1EBB2" w14:textId="67662E3C" w:rsidR="00183314" w:rsidRDefault="00FA38BE" w:rsidP="00FA38BE">
      <w:pPr>
        <w:spacing w:after="60"/>
        <w:jc w:val="both"/>
        <w:rPr>
          <w:rFonts w:ascii="Arial Narrow" w:eastAsia="Calibri" w:hAnsi="Arial Narrow"/>
        </w:rPr>
      </w:pPr>
      <w:r w:rsidRPr="00704B08">
        <w:rPr>
          <w:rFonts w:ascii="Arial Narrow" w:eastAsia="Calibri" w:hAnsi="Arial Narrow"/>
        </w:rPr>
        <w:t xml:space="preserve">Sobre esta acción </w:t>
      </w:r>
      <w:r w:rsidRPr="00AD2EF4">
        <w:rPr>
          <w:rFonts w:ascii="Arial Narrow" w:eastAsia="Calibri" w:hAnsi="Arial Narrow"/>
        </w:rPr>
        <w:t xml:space="preserve">estratégica, se tienen </w:t>
      </w:r>
      <w:r w:rsidR="00DD08E9">
        <w:rPr>
          <w:rFonts w:ascii="Arial Narrow" w:eastAsia="Calibri" w:hAnsi="Arial Narrow"/>
        </w:rPr>
        <w:t>cinco</w:t>
      </w:r>
      <w:r w:rsidRPr="00AD2EF4">
        <w:rPr>
          <w:rFonts w:ascii="Arial Narrow" w:eastAsia="Calibri" w:hAnsi="Arial Narrow"/>
        </w:rPr>
        <w:t xml:space="preserve"> metas estratégicas asociadas en el 2021</w:t>
      </w:r>
      <w:r w:rsidR="002F2521">
        <w:rPr>
          <w:rFonts w:ascii="Arial Narrow" w:eastAsia="Calibri" w:hAnsi="Arial Narrow"/>
        </w:rPr>
        <w:t xml:space="preserve">, de las cuales </w:t>
      </w:r>
      <w:r w:rsidR="00DD08E9">
        <w:rPr>
          <w:rFonts w:ascii="Arial Narrow" w:eastAsia="Calibri" w:hAnsi="Arial Narrow"/>
        </w:rPr>
        <w:t>cuatro</w:t>
      </w:r>
      <w:r w:rsidR="002F2521">
        <w:rPr>
          <w:rFonts w:ascii="Arial Narrow" w:eastAsia="Calibri" w:hAnsi="Arial Narrow"/>
        </w:rPr>
        <w:t xml:space="preserve"> representan un 100% de cumplimiento y solamente una registra un cumplimiento por debajo del 50%.</w:t>
      </w:r>
    </w:p>
    <w:p w14:paraId="6C9DE266" w14:textId="00034D88" w:rsidR="00162437" w:rsidRDefault="00162437" w:rsidP="00FA38BE">
      <w:pPr>
        <w:spacing w:after="60"/>
        <w:jc w:val="both"/>
        <w:rPr>
          <w:rFonts w:ascii="Arial Narrow" w:eastAsia="Calibri" w:hAnsi="Arial Narrow"/>
        </w:rPr>
      </w:pPr>
    </w:p>
    <w:p w14:paraId="47689C83" w14:textId="5D9AC061" w:rsidR="00581C62" w:rsidRDefault="00581C62" w:rsidP="00FA38BE">
      <w:pPr>
        <w:jc w:val="center"/>
        <w:rPr>
          <w:rFonts w:ascii="Arial Narrow" w:hAnsi="Arial Narrow"/>
          <w:b/>
          <w:bCs/>
        </w:rPr>
      </w:pPr>
      <w:bookmarkStart w:id="54" w:name="_Toc76062259"/>
    </w:p>
    <w:p w14:paraId="14D33510" w14:textId="05A768E7" w:rsidR="00532B98" w:rsidRDefault="00532B98" w:rsidP="00FA38BE">
      <w:pPr>
        <w:jc w:val="center"/>
        <w:rPr>
          <w:rFonts w:ascii="Arial Narrow" w:hAnsi="Arial Narrow"/>
          <w:b/>
          <w:bCs/>
        </w:rPr>
      </w:pPr>
    </w:p>
    <w:p w14:paraId="02702157" w14:textId="22BBBBA8" w:rsidR="00532B98" w:rsidRDefault="00532B98" w:rsidP="00FA38BE">
      <w:pPr>
        <w:jc w:val="center"/>
        <w:rPr>
          <w:rFonts w:ascii="Arial Narrow" w:hAnsi="Arial Narrow"/>
          <w:b/>
          <w:bCs/>
        </w:rPr>
      </w:pPr>
    </w:p>
    <w:p w14:paraId="171AE697" w14:textId="77777777" w:rsidR="00532B98" w:rsidRDefault="00532B98" w:rsidP="00FA38BE">
      <w:pPr>
        <w:jc w:val="center"/>
        <w:rPr>
          <w:rFonts w:ascii="Arial Narrow" w:hAnsi="Arial Narrow"/>
          <w:b/>
          <w:bCs/>
        </w:rPr>
      </w:pPr>
    </w:p>
    <w:p w14:paraId="6CFF33CB" w14:textId="7172425B" w:rsidR="00FA38BE" w:rsidRDefault="00FA38BE" w:rsidP="00FA38BE">
      <w:pPr>
        <w:jc w:val="center"/>
        <w:rPr>
          <w:rFonts w:ascii="Arial Narrow" w:eastAsia="Calibri" w:hAnsi="Arial Narrow"/>
          <w:b/>
          <w:bCs/>
        </w:rPr>
      </w:pPr>
      <w:r w:rsidRPr="00704B08">
        <w:rPr>
          <w:rFonts w:ascii="Arial Narrow" w:hAnsi="Arial Narrow"/>
          <w:b/>
          <w:bCs/>
        </w:rPr>
        <w:t xml:space="preserve">Cuadro </w:t>
      </w:r>
      <w:r w:rsidRPr="00704B08">
        <w:rPr>
          <w:rFonts w:ascii="Arial Narrow" w:hAnsi="Arial Narrow"/>
          <w:b/>
          <w:bCs/>
        </w:rPr>
        <w:fldChar w:fldCharType="begin"/>
      </w:r>
      <w:r w:rsidRPr="00704B08">
        <w:rPr>
          <w:rFonts w:ascii="Arial Narrow" w:hAnsi="Arial Narrow"/>
          <w:b/>
          <w:bCs/>
        </w:rPr>
        <w:instrText xml:space="preserve"> SEQ Cuadro_No. \* ARABIC </w:instrText>
      </w:r>
      <w:r w:rsidRPr="00704B08">
        <w:rPr>
          <w:rFonts w:ascii="Arial Narrow" w:hAnsi="Arial Narrow"/>
          <w:b/>
          <w:bCs/>
        </w:rPr>
        <w:fldChar w:fldCharType="separate"/>
      </w:r>
      <w:r w:rsidR="002F520A">
        <w:rPr>
          <w:rFonts w:ascii="Arial Narrow" w:hAnsi="Arial Narrow"/>
          <w:b/>
          <w:bCs/>
          <w:noProof/>
        </w:rPr>
        <w:t>41</w:t>
      </w:r>
      <w:r w:rsidRPr="00704B08">
        <w:rPr>
          <w:rFonts w:ascii="Arial Narrow" w:hAnsi="Arial Narrow"/>
          <w:b/>
          <w:bCs/>
        </w:rPr>
        <w:fldChar w:fldCharType="end"/>
      </w:r>
      <w:r w:rsidRPr="00704B08">
        <w:rPr>
          <w:rFonts w:ascii="Arial Narrow" w:hAnsi="Arial Narrow"/>
          <w:b/>
          <w:bCs/>
        </w:rPr>
        <w:t xml:space="preserve"> </w:t>
      </w:r>
      <w:r w:rsidRPr="00704B08">
        <w:rPr>
          <w:rFonts w:ascii="Arial Narrow" w:eastAsia="Calibri" w:hAnsi="Arial Narrow"/>
          <w:b/>
          <w:bCs/>
        </w:rPr>
        <w:t>Metas estratégicas de Comunicación y proyección institucional, y su cumplimiento para el 20</w:t>
      </w:r>
      <w:bookmarkEnd w:id="54"/>
      <w:r>
        <w:rPr>
          <w:rFonts w:ascii="Arial Narrow" w:eastAsia="Calibri" w:hAnsi="Arial Narrow"/>
          <w:b/>
          <w:bCs/>
        </w:rPr>
        <w:t>21.</w:t>
      </w:r>
    </w:p>
    <w:p w14:paraId="150358CE" w14:textId="77777777" w:rsidR="00162437" w:rsidRDefault="00162437" w:rsidP="00FA38BE">
      <w:pPr>
        <w:jc w:val="center"/>
        <w:rPr>
          <w:rFonts w:ascii="Arial Narrow" w:eastAsia="Calibri" w:hAnsi="Arial Narrow"/>
          <w:b/>
          <w:bCs/>
        </w:rPr>
      </w:pPr>
    </w:p>
    <w:p w14:paraId="56D29DD6" w14:textId="21284949" w:rsidR="00183314" w:rsidRPr="00F25D79" w:rsidRDefault="00F25D79" w:rsidP="00F25D79">
      <w:pPr>
        <w:jc w:val="center"/>
        <w:rPr>
          <w:rFonts w:ascii="Arial Narrow" w:eastAsia="Calibri" w:hAnsi="Arial Narrow"/>
          <w:b/>
          <w:bCs/>
        </w:rPr>
      </w:pPr>
      <w:r>
        <w:rPr>
          <w:noProof/>
        </w:rPr>
        <w:drawing>
          <wp:inline distT="0" distB="0" distL="0" distR="0" wp14:anchorId="44E247F6" wp14:editId="16CD72D3">
            <wp:extent cx="5791200" cy="2532092"/>
            <wp:effectExtent l="57150" t="57150" r="95250" b="97155"/>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b="448"/>
                    <a:stretch/>
                  </pic:blipFill>
                  <pic:spPr bwMode="auto">
                    <a:xfrm>
                      <a:off x="0" y="0"/>
                      <a:ext cx="5795750" cy="2534081"/>
                    </a:xfrm>
                    <a:prstGeom prst="rect">
                      <a:avLst/>
                    </a:prstGeom>
                    <a:ln w="127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0E1F234" w14:textId="207804A7" w:rsidR="00183314" w:rsidRPr="00A618D8" w:rsidRDefault="00183314" w:rsidP="00B54439">
      <w:pPr>
        <w:jc w:val="center"/>
        <w:rPr>
          <w:rFonts w:eastAsia="Calibri"/>
          <w:b/>
          <w:bCs/>
        </w:rPr>
      </w:pPr>
      <w:r w:rsidRPr="004619C9">
        <w:rPr>
          <w:rFonts w:ascii="Arial Narrow" w:eastAsia="Calibri" w:hAnsi="Arial Narrow"/>
          <w:b/>
          <w:bCs/>
          <w:sz w:val="18"/>
          <w:szCs w:val="18"/>
          <w:lang w:eastAsia="en-US"/>
        </w:rPr>
        <w:t>Fuente:</w:t>
      </w:r>
      <w:r w:rsidRPr="000B4845">
        <w:rPr>
          <w:rFonts w:ascii="Arial Narrow" w:eastAsia="Calibri" w:hAnsi="Arial Narrow"/>
          <w:sz w:val="18"/>
          <w:szCs w:val="18"/>
          <w:lang w:eastAsia="en-US"/>
        </w:rPr>
        <w:t xml:space="preserve"> Sistema PEI al </w:t>
      </w:r>
      <w:r>
        <w:rPr>
          <w:rFonts w:ascii="Arial Narrow" w:eastAsia="Calibri" w:hAnsi="Arial Narrow"/>
          <w:sz w:val="18"/>
          <w:szCs w:val="18"/>
          <w:lang w:eastAsia="en-US"/>
        </w:rPr>
        <w:t>19</w:t>
      </w:r>
      <w:r w:rsidRPr="000B4845">
        <w:rPr>
          <w:rFonts w:ascii="Arial Narrow" w:eastAsia="Calibri" w:hAnsi="Arial Narrow"/>
          <w:sz w:val="18"/>
          <w:szCs w:val="18"/>
          <w:lang w:eastAsia="en-US"/>
        </w:rPr>
        <w:t xml:space="preserve"> de enero del </w:t>
      </w:r>
      <w:r>
        <w:rPr>
          <w:rFonts w:ascii="Arial Narrow" w:eastAsia="Calibri" w:hAnsi="Arial Narrow"/>
          <w:sz w:val="18"/>
          <w:szCs w:val="18"/>
          <w:lang w:eastAsia="en-US"/>
        </w:rPr>
        <w:t>2022 para el año 2021.</w:t>
      </w:r>
    </w:p>
    <w:p w14:paraId="7A653737" w14:textId="5E34DD63" w:rsidR="00470A41" w:rsidRDefault="20923F93" w:rsidP="007B3A2B">
      <w:pPr>
        <w:jc w:val="both"/>
        <w:rPr>
          <w:rFonts w:ascii="Arial Narrow" w:hAnsi="Arial Narrow"/>
        </w:rPr>
      </w:pPr>
      <w:r w:rsidRPr="7F5490C3">
        <w:rPr>
          <w:rFonts w:ascii="Arial Narrow" w:hAnsi="Arial Narrow"/>
        </w:rPr>
        <w:t>El Departamento de Prensa y Comunicación</w:t>
      </w:r>
      <w:r w:rsidR="2825F03A" w:rsidRPr="7F5490C3">
        <w:rPr>
          <w:rFonts w:ascii="Arial Narrow" w:hAnsi="Arial Narrow"/>
        </w:rPr>
        <w:t xml:space="preserve"> Institucional para el cumplimiento de la meta realizó la </w:t>
      </w:r>
      <w:r w:rsidR="7394CC10" w:rsidRPr="7F5490C3">
        <w:rPr>
          <w:rFonts w:ascii="Arial Narrow" w:hAnsi="Arial Narrow"/>
        </w:rPr>
        <w:t>divul</w:t>
      </w:r>
      <w:r w:rsidR="2825F03A" w:rsidRPr="7F5490C3">
        <w:rPr>
          <w:rFonts w:ascii="Arial Narrow" w:hAnsi="Arial Narrow"/>
        </w:rPr>
        <w:t>gación de</w:t>
      </w:r>
      <w:r w:rsidR="7394CC10" w:rsidRPr="7F5490C3">
        <w:rPr>
          <w:rFonts w:ascii="Arial Narrow" w:hAnsi="Arial Narrow"/>
        </w:rPr>
        <w:t xml:space="preserve"> todos los acuerdos sobre </w:t>
      </w:r>
      <w:r w:rsidR="2825F03A" w:rsidRPr="7F5490C3">
        <w:rPr>
          <w:rFonts w:ascii="Arial Narrow" w:hAnsi="Arial Narrow"/>
        </w:rPr>
        <w:t xml:space="preserve">el COVID19 </w:t>
      </w:r>
      <w:r w:rsidR="7394CC10" w:rsidRPr="7F5490C3">
        <w:rPr>
          <w:rFonts w:ascii="Arial Narrow" w:hAnsi="Arial Narrow"/>
        </w:rPr>
        <w:t xml:space="preserve">y se </w:t>
      </w:r>
      <w:r w:rsidR="19CA67E3" w:rsidRPr="7F5490C3">
        <w:rPr>
          <w:rFonts w:ascii="Arial Narrow" w:hAnsi="Arial Narrow"/>
        </w:rPr>
        <w:t>hicieron</w:t>
      </w:r>
      <w:r w:rsidR="7394CC10" w:rsidRPr="7F5490C3">
        <w:rPr>
          <w:rFonts w:ascii="Arial Narrow" w:hAnsi="Arial Narrow"/>
        </w:rPr>
        <w:t xml:space="preserve"> todas las campañas solicitadas por Corte Plena, Consejo Superior, Comisión de </w:t>
      </w:r>
      <w:r w:rsidR="19CA67E3" w:rsidRPr="7F5490C3">
        <w:rPr>
          <w:rFonts w:ascii="Arial Narrow" w:hAnsi="Arial Narrow"/>
        </w:rPr>
        <w:t>Emergencias</w:t>
      </w:r>
      <w:r w:rsidR="7394CC10" w:rsidRPr="7F5490C3">
        <w:rPr>
          <w:rFonts w:ascii="Arial Narrow" w:hAnsi="Arial Narrow"/>
        </w:rPr>
        <w:t xml:space="preserve"> y demás instancias </w:t>
      </w:r>
      <w:r w:rsidR="19CA67E3" w:rsidRPr="7F5490C3">
        <w:rPr>
          <w:rFonts w:ascii="Arial Narrow" w:hAnsi="Arial Narrow"/>
        </w:rPr>
        <w:t>relacionadas</w:t>
      </w:r>
      <w:r w:rsidR="7394CC10" w:rsidRPr="7F5490C3">
        <w:rPr>
          <w:rFonts w:ascii="Arial Narrow" w:hAnsi="Arial Narrow"/>
        </w:rPr>
        <w:t xml:space="preserve"> con </w:t>
      </w:r>
      <w:r w:rsidR="2825F03A" w:rsidRPr="7F5490C3">
        <w:rPr>
          <w:rFonts w:ascii="Arial Narrow" w:hAnsi="Arial Narrow"/>
        </w:rPr>
        <w:t>este tema</w:t>
      </w:r>
      <w:r w:rsidR="7394CC10" w:rsidRPr="7F5490C3">
        <w:rPr>
          <w:rFonts w:ascii="Arial Narrow" w:hAnsi="Arial Narrow"/>
        </w:rPr>
        <w:t xml:space="preserve">. </w:t>
      </w:r>
      <w:r w:rsidR="16895DC7" w:rsidRPr="7F5490C3">
        <w:rPr>
          <w:rFonts w:ascii="Arial Narrow" w:hAnsi="Arial Narrow"/>
        </w:rPr>
        <w:t>Además, s</w:t>
      </w:r>
      <w:r w:rsidR="7394CC10" w:rsidRPr="7F5490C3">
        <w:rPr>
          <w:rFonts w:ascii="Arial Narrow" w:hAnsi="Arial Narrow"/>
        </w:rPr>
        <w:t xml:space="preserve">e trabajaron múltiples campañas para </w:t>
      </w:r>
      <w:r w:rsidR="19CA67E3" w:rsidRPr="7F5490C3">
        <w:rPr>
          <w:rFonts w:ascii="Arial Narrow" w:hAnsi="Arial Narrow"/>
        </w:rPr>
        <w:t>prevención</w:t>
      </w:r>
      <w:r w:rsidR="7394CC10" w:rsidRPr="7F5490C3">
        <w:rPr>
          <w:rFonts w:ascii="Arial Narrow" w:hAnsi="Arial Narrow"/>
        </w:rPr>
        <w:t>, tanto de medidas de seguridad, como para el proceso de vacunación del personal</w:t>
      </w:r>
      <w:r w:rsidR="16895DC7" w:rsidRPr="7F5490C3">
        <w:rPr>
          <w:rFonts w:ascii="Arial Narrow" w:hAnsi="Arial Narrow"/>
        </w:rPr>
        <w:t>. Por otra parte, el Departamento de Prensa y Comunicación</w:t>
      </w:r>
      <w:r w:rsidR="6D855500" w:rsidRPr="7F5490C3">
        <w:rPr>
          <w:rFonts w:ascii="Arial Narrow" w:hAnsi="Arial Narrow"/>
          <w:color w:val="000000" w:themeColor="text1"/>
        </w:rPr>
        <w:t xml:space="preserve"> </w:t>
      </w:r>
      <w:r w:rsidR="16895DC7" w:rsidRPr="7F5490C3">
        <w:rPr>
          <w:rFonts w:ascii="Arial Narrow" w:hAnsi="Arial Narrow"/>
          <w:color w:val="000000" w:themeColor="text1"/>
        </w:rPr>
        <w:t>colocó</w:t>
      </w:r>
      <w:r w:rsidR="6D855500" w:rsidRPr="7F5490C3">
        <w:rPr>
          <w:rFonts w:ascii="Arial Narrow" w:hAnsi="Arial Narrow"/>
          <w:color w:val="000000" w:themeColor="text1"/>
        </w:rPr>
        <w:t xml:space="preserve"> un banner en la página principal de Facebook de la institución, referente a la campaña de valores, con el fin de </w:t>
      </w:r>
      <w:r w:rsidR="6D855500" w:rsidRPr="7F5490C3">
        <w:rPr>
          <w:rFonts w:ascii="Arial Narrow" w:hAnsi="Arial Narrow"/>
        </w:rPr>
        <w:t xml:space="preserve">incrementar su </w:t>
      </w:r>
      <w:r w:rsidR="233BC0E4" w:rsidRPr="7F5490C3">
        <w:rPr>
          <w:rFonts w:ascii="Arial Narrow" w:hAnsi="Arial Narrow"/>
        </w:rPr>
        <w:t>viralización,</w:t>
      </w:r>
      <w:r w:rsidR="16895DC7" w:rsidRPr="7F5490C3">
        <w:rPr>
          <w:rFonts w:ascii="Arial Narrow" w:hAnsi="Arial Narrow"/>
        </w:rPr>
        <w:t xml:space="preserve"> así como también realizó una </w:t>
      </w:r>
      <w:r w:rsidRPr="7F5490C3">
        <w:rPr>
          <w:rFonts w:ascii="Arial Narrow" w:hAnsi="Arial Narrow"/>
        </w:rPr>
        <w:t>Campaña coordinada con la Oficina de Cumplimiento.</w:t>
      </w:r>
      <w:r w:rsidR="16895DC7" w:rsidRPr="7F5490C3">
        <w:rPr>
          <w:rFonts w:ascii="Arial Narrow" w:hAnsi="Arial Narrow"/>
        </w:rPr>
        <w:t xml:space="preserve"> Sobre el </w:t>
      </w:r>
      <w:r w:rsidRPr="7F5490C3">
        <w:rPr>
          <w:rFonts w:ascii="Arial Narrow" w:hAnsi="Arial Narrow"/>
        </w:rPr>
        <w:t>Reglamento de conflictos de interés.</w:t>
      </w:r>
    </w:p>
    <w:p w14:paraId="569AB7CF" w14:textId="77777777" w:rsidR="00C479CA" w:rsidRDefault="00C479CA" w:rsidP="00300223">
      <w:pPr>
        <w:jc w:val="both"/>
        <w:rPr>
          <w:rFonts w:ascii="Arial Narrow" w:hAnsi="Arial Narrow"/>
        </w:rPr>
      </w:pPr>
    </w:p>
    <w:p w14:paraId="5FB67BE5" w14:textId="1A49AE24" w:rsidR="00300223" w:rsidRPr="00300223" w:rsidRDefault="49E6CA4D" w:rsidP="00300223">
      <w:pPr>
        <w:jc w:val="both"/>
        <w:rPr>
          <w:rFonts w:ascii="Arial Narrow" w:hAnsi="Arial Narrow"/>
        </w:rPr>
      </w:pPr>
      <w:r w:rsidRPr="7F5490C3">
        <w:rPr>
          <w:rFonts w:ascii="Arial Narrow" w:hAnsi="Arial Narrow"/>
        </w:rPr>
        <w:t xml:space="preserve">Por otra parte, la Fiscalía General </w:t>
      </w:r>
      <w:r w:rsidR="71509EE6" w:rsidRPr="7F5490C3">
        <w:rPr>
          <w:rFonts w:ascii="Arial Narrow" w:hAnsi="Arial Narrow"/>
        </w:rPr>
        <w:t xml:space="preserve">por medio de los oficios </w:t>
      </w:r>
      <w:r w:rsidR="71509EE6" w:rsidRPr="00322D9B">
        <w:rPr>
          <w:rFonts w:ascii="Arial Narrow" w:hAnsi="Arial Narrow"/>
        </w:rPr>
        <w:t xml:space="preserve">OPMP-15-2021 y OPMP-09-2021 </w:t>
      </w:r>
      <w:r w:rsidR="5ED4F851" w:rsidRPr="00322D9B">
        <w:rPr>
          <w:rFonts w:ascii="Arial Narrow" w:hAnsi="Arial Narrow"/>
        </w:rPr>
        <w:t xml:space="preserve">indica que </w:t>
      </w:r>
      <w:r w:rsidRPr="7F5490C3">
        <w:rPr>
          <w:rFonts w:ascii="Arial Narrow" w:hAnsi="Arial Narrow"/>
        </w:rPr>
        <w:t>realizó la actualización de la “Estrategia para mejorar la proyección y gestión del Ministerio Público”</w:t>
      </w:r>
      <w:r w:rsidR="71509EE6" w:rsidRPr="7F5490C3">
        <w:rPr>
          <w:rFonts w:ascii="Arial Narrow" w:hAnsi="Arial Narrow"/>
        </w:rPr>
        <w:t xml:space="preserve"> y ejecutó</w:t>
      </w:r>
      <w:r w:rsidRPr="7F5490C3">
        <w:rPr>
          <w:rFonts w:ascii="Arial Narrow" w:hAnsi="Arial Narrow"/>
        </w:rPr>
        <w:t>14 acciones</w:t>
      </w:r>
      <w:r w:rsidR="5ED4F851" w:rsidRPr="7F5490C3">
        <w:rPr>
          <w:rFonts w:ascii="Arial Narrow" w:hAnsi="Arial Narrow"/>
        </w:rPr>
        <w:t xml:space="preserve"> durante el año 2021</w:t>
      </w:r>
      <w:r w:rsidRPr="7F5490C3">
        <w:rPr>
          <w:rFonts w:ascii="Arial Narrow" w:hAnsi="Arial Narrow"/>
        </w:rPr>
        <w:t xml:space="preserve">. Es por lo anterior que se obtiene un cumplimiento del 100% y un </w:t>
      </w:r>
      <w:r w:rsidR="3F55451A" w:rsidRPr="7F5490C3">
        <w:rPr>
          <w:rFonts w:ascii="Arial Narrow" w:hAnsi="Arial Narrow"/>
        </w:rPr>
        <w:t>4</w:t>
      </w:r>
      <w:r w:rsidRPr="7F5490C3">
        <w:rPr>
          <w:rFonts w:ascii="Arial Narrow" w:hAnsi="Arial Narrow"/>
        </w:rPr>
        <w:t>0% del cumplimiento acumulado</w:t>
      </w:r>
      <w:r w:rsidR="3F55451A" w:rsidRPr="7F5490C3">
        <w:rPr>
          <w:rFonts w:ascii="Arial Narrow" w:hAnsi="Arial Narrow"/>
        </w:rPr>
        <w:t xml:space="preserve"> para el año 2021. </w:t>
      </w:r>
    </w:p>
    <w:p w14:paraId="2C21AFF1" w14:textId="76BBF95A" w:rsidR="00300223" w:rsidRPr="00300223" w:rsidRDefault="00300223" w:rsidP="00300223">
      <w:pPr>
        <w:jc w:val="both"/>
        <w:rPr>
          <w:rFonts w:ascii="Arial Narrow" w:hAnsi="Arial Narrow"/>
        </w:rPr>
      </w:pPr>
    </w:p>
    <w:p w14:paraId="7E0F2343" w14:textId="7670FB2B" w:rsidR="00090B00" w:rsidRPr="00483903" w:rsidRDefault="00090B00" w:rsidP="00090B00">
      <w:pPr>
        <w:jc w:val="both"/>
        <w:rPr>
          <w:rFonts w:ascii="Arial Narrow" w:hAnsi="Arial Narrow"/>
          <w:lang w:val="es-CR" w:eastAsia="es-CR"/>
        </w:rPr>
      </w:pPr>
      <w:r w:rsidRPr="00483903">
        <w:rPr>
          <w:rFonts w:ascii="Arial Narrow" w:eastAsia="Calibri" w:hAnsi="Arial Narrow"/>
        </w:rPr>
        <w:t>Se muestra p</w:t>
      </w:r>
      <w:r w:rsidRPr="00483903">
        <w:rPr>
          <w:rFonts w:ascii="Arial Narrow" w:hAnsi="Arial Narrow"/>
          <w:shd w:val="clear" w:color="auto" w:fill="FFFFFF"/>
        </w:rPr>
        <w:t>ara el año 2021 que la Defensa Pública</w:t>
      </w:r>
      <w:r w:rsidRPr="00483903">
        <w:rPr>
          <w:rFonts w:ascii="Arial Narrow" w:hAnsi="Arial Narrow"/>
        </w:rPr>
        <w:t xml:space="preserve"> ejecutó diferentes tareas de comunicación y divulgación del quehacer institucional, previamente establecidas en el plan de comunicación del 2021.</w:t>
      </w:r>
      <w:r w:rsidRPr="00483903">
        <w:rPr>
          <w:rFonts w:ascii="Arial Narrow" w:hAnsi="Arial Narrow"/>
          <w:shd w:val="clear" w:color="auto" w:fill="FFFFFF"/>
        </w:rPr>
        <w:t xml:space="preserve">Ademas se observa por medio del sistema PAO que Dicha oficina </w:t>
      </w:r>
      <w:r w:rsidRPr="00BB0806">
        <w:rPr>
          <w:rFonts w:ascii="Arial Narrow" w:hAnsi="Arial Narrow"/>
          <w:lang w:val="es-CR" w:eastAsia="es-CR"/>
        </w:rPr>
        <w:t xml:space="preserve">diseñó y publicó </w:t>
      </w:r>
      <w:r w:rsidRPr="00483903">
        <w:rPr>
          <w:rFonts w:ascii="Arial Narrow" w:hAnsi="Arial Narrow"/>
          <w:shd w:val="clear" w:color="auto" w:fill="FFFFFF"/>
        </w:rPr>
        <w:t xml:space="preserve">una </w:t>
      </w:r>
      <w:r w:rsidRPr="00483903">
        <w:rPr>
          <w:rFonts w:ascii="Arial Narrow" w:hAnsi="Arial Narrow"/>
          <w:lang w:val="es-CR" w:eastAsia="es-CR"/>
        </w:rPr>
        <w:t>campaña</w:t>
      </w:r>
      <w:r w:rsidRPr="00BB0806">
        <w:rPr>
          <w:rFonts w:ascii="Arial Narrow" w:hAnsi="Arial Narrow"/>
          <w:lang w:val="es-CR" w:eastAsia="es-CR"/>
        </w:rPr>
        <w:t xml:space="preserve"> de comunicación por distintos medios.</w:t>
      </w:r>
      <w:r w:rsidRPr="00483903">
        <w:rPr>
          <w:rFonts w:ascii="Arial Narrow" w:hAnsi="Arial Narrow"/>
          <w:lang w:val="es-CR" w:eastAsia="es-CR"/>
        </w:rPr>
        <w:t xml:space="preserve"> </w:t>
      </w:r>
      <w:r w:rsidRPr="00BB0806">
        <w:rPr>
          <w:rFonts w:ascii="Arial Narrow" w:hAnsi="Arial Narrow"/>
          <w:lang w:val="es-CR" w:eastAsia="es-CR"/>
        </w:rPr>
        <w:t>Así mismo</w:t>
      </w:r>
      <w:r w:rsidRPr="00483903">
        <w:rPr>
          <w:rFonts w:ascii="Arial Narrow" w:hAnsi="Arial Narrow"/>
          <w:lang w:val="es-CR" w:eastAsia="es-CR"/>
        </w:rPr>
        <w:t xml:space="preserve"> se indica que</w:t>
      </w:r>
      <w:r w:rsidRPr="00BB0806">
        <w:rPr>
          <w:rFonts w:ascii="Arial Narrow" w:hAnsi="Arial Narrow"/>
          <w:lang w:val="es-CR" w:eastAsia="es-CR"/>
        </w:rPr>
        <w:t xml:space="preserve"> </w:t>
      </w:r>
      <w:r w:rsidRPr="00483903">
        <w:rPr>
          <w:rFonts w:ascii="Arial Narrow" w:hAnsi="Arial Narrow"/>
          <w:lang w:val="es-CR" w:eastAsia="es-CR"/>
        </w:rPr>
        <w:t xml:space="preserve">esta campaña </w:t>
      </w:r>
      <w:r w:rsidRPr="00BB0806">
        <w:rPr>
          <w:rFonts w:ascii="Arial Narrow" w:hAnsi="Arial Narrow"/>
          <w:lang w:val="es-CR" w:eastAsia="es-CR"/>
        </w:rPr>
        <w:t>puede ser consultad</w:t>
      </w:r>
      <w:r w:rsidRPr="00483903">
        <w:rPr>
          <w:rFonts w:ascii="Arial Narrow" w:hAnsi="Arial Narrow"/>
          <w:lang w:val="es-CR" w:eastAsia="es-CR"/>
        </w:rPr>
        <w:t>a</w:t>
      </w:r>
      <w:r w:rsidRPr="00BB0806">
        <w:rPr>
          <w:rFonts w:ascii="Arial Narrow" w:hAnsi="Arial Narrow"/>
          <w:lang w:val="es-CR" w:eastAsia="es-CR"/>
        </w:rPr>
        <w:t xml:space="preserve"> en la página web de la Defensa Pública. </w:t>
      </w:r>
      <w:hyperlink r:id="rId96" w:history="1">
        <w:r w:rsidRPr="00BB0806">
          <w:rPr>
            <w:rStyle w:val="Hipervnculo"/>
            <w:rFonts w:ascii="Arial Narrow" w:hAnsi="Arial Narrow"/>
            <w:lang w:val="es-CR" w:eastAsia="es-CR"/>
          </w:rPr>
          <w:t>https://defensapublica.poder-judicial.go.cr/index.php/noticias-generales</w:t>
        </w:r>
      </w:hyperlink>
      <w:r w:rsidRPr="00483903">
        <w:rPr>
          <w:rFonts w:ascii="Arial Narrow" w:hAnsi="Arial Narrow"/>
          <w:lang w:val="es-CR" w:eastAsia="es-CR"/>
        </w:rPr>
        <w:t xml:space="preserve">. </w:t>
      </w:r>
    </w:p>
    <w:p w14:paraId="2AE935F3" w14:textId="77777777" w:rsidR="00B37CDE" w:rsidRPr="00C479CA" w:rsidRDefault="00B37CDE" w:rsidP="007B3A2B">
      <w:pPr>
        <w:jc w:val="both"/>
        <w:rPr>
          <w:rFonts w:ascii="Arial Narrow" w:hAnsi="Arial Narrow"/>
        </w:rPr>
      </w:pPr>
    </w:p>
    <w:p w14:paraId="23490AC4" w14:textId="0EA73F28" w:rsidR="00300223" w:rsidRDefault="00300223" w:rsidP="00F03A42">
      <w:pPr>
        <w:rPr>
          <w:rFonts w:ascii="Arial Narrow" w:eastAsia="Calibri" w:hAnsi="Arial Narrow"/>
          <w:lang w:val="es-CR"/>
        </w:rPr>
      </w:pPr>
    </w:p>
    <w:p w14:paraId="412EA138" w14:textId="77777777" w:rsidR="00F25D79" w:rsidRDefault="00F25D79" w:rsidP="00F03A42">
      <w:pPr>
        <w:rPr>
          <w:rFonts w:ascii="Arial Narrow" w:eastAsia="Calibri" w:hAnsi="Arial Narrow"/>
          <w:lang w:val="es-CR"/>
        </w:rPr>
      </w:pPr>
    </w:p>
    <w:p w14:paraId="0B514824" w14:textId="3C7294E1" w:rsidR="00F25D79" w:rsidRDefault="1143C8EC" w:rsidP="003A4EE6">
      <w:pPr>
        <w:pStyle w:val="Descripcin"/>
        <w:jc w:val="center"/>
        <w:rPr>
          <w:rFonts w:ascii="Arial Narrow" w:eastAsia="Calibri" w:hAnsi="Arial Narrow"/>
          <w:sz w:val="24"/>
          <w:szCs w:val="24"/>
        </w:rPr>
      </w:pPr>
      <w:r w:rsidRPr="03BF0815">
        <w:rPr>
          <w:rFonts w:ascii="Arial Narrow" w:hAnsi="Arial Narrow"/>
          <w:sz w:val="24"/>
          <w:szCs w:val="24"/>
        </w:rPr>
        <w:t xml:space="preserve">Cuadro </w:t>
      </w:r>
      <w:r w:rsidR="00BB0806" w:rsidRPr="03BF0815">
        <w:rPr>
          <w:rFonts w:ascii="Arial Narrow" w:hAnsi="Arial Narrow"/>
          <w:b w:val="0"/>
          <w:bCs w:val="0"/>
        </w:rPr>
        <w:fldChar w:fldCharType="begin"/>
      </w:r>
      <w:r w:rsidR="00BB0806" w:rsidRPr="03BF0815">
        <w:rPr>
          <w:rFonts w:ascii="Arial Narrow" w:hAnsi="Arial Narrow"/>
          <w:sz w:val="24"/>
          <w:szCs w:val="24"/>
        </w:rPr>
        <w:instrText xml:space="preserve"> SEQ Cuadro_No. \* ARABIC </w:instrText>
      </w:r>
      <w:r w:rsidR="00BB0806" w:rsidRPr="03BF0815">
        <w:rPr>
          <w:rFonts w:ascii="Arial Narrow" w:hAnsi="Arial Narrow"/>
          <w:b w:val="0"/>
          <w:bCs w:val="0"/>
        </w:rPr>
        <w:fldChar w:fldCharType="separate"/>
      </w:r>
      <w:r w:rsidR="48832C10" w:rsidRPr="03BF0815">
        <w:rPr>
          <w:rFonts w:ascii="Arial Narrow" w:hAnsi="Arial Narrow"/>
          <w:noProof/>
          <w:sz w:val="24"/>
          <w:szCs w:val="24"/>
        </w:rPr>
        <w:t>42</w:t>
      </w:r>
      <w:r w:rsidR="00BB0806" w:rsidRPr="03BF0815">
        <w:rPr>
          <w:rFonts w:ascii="Arial Narrow" w:hAnsi="Arial Narrow"/>
          <w:b w:val="0"/>
          <w:bCs w:val="0"/>
        </w:rPr>
        <w:fldChar w:fldCharType="end"/>
      </w:r>
      <w:r w:rsidRPr="03BF0815">
        <w:rPr>
          <w:rFonts w:ascii="Arial Narrow" w:hAnsi="Arial Narrow"/>
          <w:sz w:val="24"/>
          <w:szCs w:val="24"/>
        </w:rPr>
        <w:t xml:space="preserve"> </w:t>
      </w:r>
      <w:r w:rsidRPr="03BF0815">
        <w:rPr>
          <w:rFonts w:ascii="Arial Narrow" w:eastAsia="Calibri" w:hAnsi="Arial Narrow"/>
          <w:sz w:val="24"/>
          <w:szCs w:val="24"/>
        </w:rPr>
        <w:t xml:space="preserve">Metas estratégicas de </w:t>
      </w:r>
      <w:r w:rsidR="3A870BAC" w:rsidRPr="00322D9B">
        <w:rPr>
          <w:rFonts w:ascii="Arial Narrow" w:eastAsia="Calibri" w:hAnsi="Arial Narrow"/>
          <w:sz w:val="24"/>
          <w:szCs w:val="24"/>
        </w:rPr>
        <w:t>Comunicación y proyección institucional, y su cumplimiento para el 2021.</w:t>
      </w:r>
    </w:p>
    <w:p w14:paraId="12C63E81" w14:textId="77777777" w:rsidR="00162437" w:rsidRPr="00162437" w:rsidRDefault="00162437" w:rsidP="00322D9B">
      <w:pPr>
        <w:rPr>
          <w:rFonts w:eastAsia="Calibri"/>
        </w:rPr>
      </w:pPr>
    </w:p>
    <w:p w14:paraId="547C407D" w14:textId="1C6A1EEC" w:rsidR="00BB0806" w:rsidRPr="00F25D79" w:rsidRDefault="00F25D79" w:rsidP="00F03A42">
      <w:pPr>
        <w:rPr>
          <w:rFonts w:eastAsia="Calibri"/>
        </w:rPr>
      </w:pPr>
      <w:r>
        <w:rPr>
          <w:noProof/>
        </w:rPr>
        <w:drawing>
          <wp:inline distT="0" distB="0" distL="0" distR="0" wp14:anchorId="2A2387A7" wp14:editId="3B7A762C">
            <wp:extent cx="5974080" cy="1824990"/>
            <wp:effectExtent l="57150" t="57150" r="102870" b="99060"/>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74080" cy="182499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bookmarkStart w:id="55" w:name="_Hlk97671965"/>
    </w:p>
    <w:p w14:paraId="53A17C33" w14:textId="37574D17" w:rsidR="00BB0806" w:rsidRPr="00A618D8" w:rsidRDefault="00BB0806" w:rsidP="00B54439">
      <w:pPr>
        <w:jc w:val="center"/>
        <w:rPr>
          <w:rFonts w:eastAsia="Calibri"/>
          <w:b/>
          <w:bCs/>
        </w:rPr>
      </w:pPr>
      <w:r w:rsidRPr="004619C9">
        <w:rPr>
          <w:rFonts w:ascii="Arial Narrow" w:eastAsia="Calibri" w:hAnsi="Arial Narrow"/>
          <w:b/>
          <w:bCs/>
          <w:sz w:val="18"/>
          <w:szCs w:val="18"/>
          <w:lang w:eastAsia="en-US"/>
        </w:rPr>
        <w:t>Fuente:</w:t>
      </w:r>
      <w:r w:rsidRPr="000B4845">
        <w:rPr>
          <w:rFonts w:ascii="Arial Narrow" w:eastAsia="Calibri" w:hAnsi="Arial Narrow"/>
          <w:sz w:val="18"/>
          <w:szCs w:val="18"/>
          <w:lang w:eastAsia="en-US"/>
        </w:rPr>
        <w:t xml:space="preserve"> Sistema PEI al </w:t>
      </w:r>
      <w:r>
        <w:rPr>
          <w:rFonts w:ascii="Arial Narrow" w:eastAsia="Calibri" w:hAnsi="Arial Narrow"/>
          <w:sz w:val="18"/>
          <w:szCs w:val="18"/>
          <w:lang w:eastAsia="en-US"/>
        </w:rPr>
        <w:t>19</w:t>
      </w:r>
      <w:r w:rsidRPr="000B4845">
        <w:rPr>
          <w:rFonts w:ascii="Arial Narrow" w:eastAsia="Calibri" w:hAnsi="Arial Narrow"/>
          <w:sz w:val="18"/>
          <w:szCs w:val="18"/>
          <w:lang w:eastAsia="en-US"/>
        </w:rPr>
        <w:t xml:space="preserve"> de enero del </w:t>
      </w:r>
      <w:r>
        <w:rPr>
          <w:rFonts w:ascii="Arial Narrow" w:eastAsia="Calibri" w:hAnsi="Arial Narrow"/>
          <w:sz w:val="18"/>
          <w:szCs w:val="18"/>
          <w:lang w:eastAsia="en-US"/>
        </w:rPr>
        <w:t>2022 para el año 2021.</w:t>
      </w:r>
    </w:p>
    <w:bookmarkEnd w:id="55"/>
    <w:p w14:paraId="53A49188" w14:textId="75268844" w:rsidR="00300223" w:rsidRDefault="00300223" w:rsidP="00F03A42">
      <w:pPr>
        <w:rPr>
          <w:rFonts w:ascii="Arial Narrow" w:eastAsia="Calibri" w:hAnsi="Arial Narrow"/>
          <w:lang w:val="es-CR"/>
        </w:rPr>
      </w:pPr>
    </w:p>
    <w:p w14:paraId="57C9F977" w14:textId="77777777" w:rsidR="008E7190" w:rsidRDefault="008E7190" w:rsidP="00F03A42"/>
    <w:p w14:paraId="3E65B176" w14:textId="70F2E839" w:rsidR="00FE6CF6" w:rsidRDefault="008F3829" w:rsidP="00090B00">
      <w:pPr>
        <w:jc w:val="both"/>
        <w:rPr>
          <w:rFonts w:ascii="Arial Narrow" w:hAnsi="Arial Narrow"/>
          <w:lang w:val="es-CR" w:eastAsia="es-CR"/>
        </w:rPr>
      </w:pPr>
      <w:r w:rsidRPr="00E4223C">
        <w:rPr>
          <w:rFonts w:ascii="Arial Narrow" w:hAnsi="Arial Narrow"/>
        </w:rPr>
        <w:t>Seguido,</w:t>
      </w:r>
      <w:r w:rsidR="006D4C5B" w:rsidRPr="00E4223C">
        <w:rPr>
          <w:rFonts w:ascii="Arial Narrow" w:hAnsi="Arial Narrow"/>
        </w:rPr>
        <w:t xml:space="preserve"> </w:t>
      </w:r>
      <w:r w:rsidRPr="00E4223C">
        <w:rPr>
          <w:rFonts w:ascii="Arial Narrow" w:eastAsia="Calibri" w:hAnsi="Arial Narrow"/>
        </w:rPr>
        <w:t>s</w:t>
      </w:r>
      <w:r w:rsidRPr="00E4223C">
        <w:rPr>
          <w:rFonts w:ascii="Arial Narrow" w:hAnsi="Arial Narrow" w:cs="Calibri"/>
          <w:color w:val="000000"/>
          <w:lang w:val="es-CR" w:eastAsia="es-CR"/>
        </w:rPr>
        <w:t xml:space="preserve">e verificó por medio del sistema PAO los avances reportados por el </w:t>
      </w:r>
      <w:r w:rsidRPr="00E4223C">
        <w:rPr>
          <w:rFonts w:ascii="Arial Narrow" w:eastAsia="Calibri" w:hAnsi="Arial Narrow"/>
        </w:rPr>
        <w:t xml:space="preserve">Organismo de Investigación Judicial </w:t>
      </w:r>
      <w:r w:rsidRPr="00E4223C">
        <w:rPr>
          <w:rFonts w:ascii="Arial Narrow" w:hAnsi="Arial Narrow" w:cs="Calibri"/>
          <w:color w:val="000000"/>
          <w:lang w:val="es-CR" w:eastAsia="es-CR"/>
        </w:rPr>
        <w:t xml:space="preserve">en el </w:t>
      </w:r>
      <w:r w:rsidR="00E4223C" w:rsidRPr="00E4223C">
        <w:rPr>
          <w:rFonts w:ascii="Arial Narrow" w:hAnsi="Arial Narrow" w:cs="Calibri"/>
          <w:color w:val="000000"/>
          <w:lang w:val="es-CR" w:eastAsia="es-CR"/>
        </w:rPr>
        <w:t>año 2021</w:t>
      </w:r>
      <w:r w:rsidRPr="00E4223C">
        <w:rPr>
          <w:rFonts w:ascii="Arial Narrow" w:hAnsi="Arial Narrow" w:cs="Calibri"/>
          <w:color w:val="000000"/>
          <w:lang w:val="es-CR" w:eastAsia="es-CR"/>
        </w:rPr>
        <w:t xml:space="preserve"> y se observa que realizó talleres </w:t>
      </w:r>
      <w:r w:rsidRPr="00E4223C">
        <w:rPr>
          <w:rFonts w:ascii="Arial Narrow" w:hAnsi="Arial Narrow"/>
        </w:rPr>
        <w:t xml:space="preserve">alrededor de 50 actividades de proyección a la comunidad entre las 19 secciones adscritas al Departamento de Investigaciones </w:t>
      </w:r>
      <w:r w:rsidR="00E4223C" w:rsidRPr="00E4223C">
        <w:rPr>
          <w:rFonts w:ascii="Arial Narrow" w:hAnsi="Arial Narrow"/>
        </w:rPr>
        <w:t>Criminales, así como también la elaboración de una</w:t>
      </w:r>
      <w:r w:rsidR="006D4C5B" w:rsidRPr="0042271D">
        <w:rPr>
          <w:rFonts w:ascii="Arial Narrow" w:hAnsi="Arial Narrow"/>
          <w:lang w:val="es-CR" w:eastAsia="es-CR"/>
        </w:rPr>
        <w:t xml:space="preserve"> estrategia de marketing digital.</w:t>
      </w:r>
      <w:r w:rsidR="00FE6CF6" w:rsidRPr="00FE6CF6">
        <w:rPr>
          <w:rFonts w:ascii="Arial Narrow" w:hAnsi="Arial Narrow"/>
          <w:lang w:val="es-CR" w:eastAsia="es-CR"/>
        </w:rPr>
        <w:t xml:space="preserve"> </w:t>
      </w:r>
      <w:r w:rsidR="00FE6CF6">
        <w:rPr>
          <w:rFonts w:ascii="Arial Narrow" w:hAnsi="Arial Narrow"/>
          <w:lang w:val="es-CR" w:eastAsia="es-CR"/>
        </w:rPr>
        <w:t>Es por lo anterior que se refleja un avance del 100% para los dos años analizados y un cumplimiento acumulado el 20%.</w:t>
      </w:r>
    </w:p>
    <w:p w14:paraId="06EC2BF4" w14:textId="5E55C1D9" w:rsidR="006D4C5B" w:rsidRPr="00E4223C" w:rsidRDefault="006D4C5B" w:rsidP="00090B00">
      <w:pPr>
        <w:jc w:val="both"/>
        <w:rPr>
          <w:rFonts w:ascii="Arial Narrow" w:hAnsi="Arial Narrow"/>
        </w:rPr>
      </w:pPr>
    </w:p>
    <w:p w14:paraId="0606A930" w14:textId="0461DCED" w:rsidR="00FE6DBB" w:rsidRDefault="7BFC50FF" w:rsidP="03BF0815">
      <w:pPr>
        <w:spacing w:line="257" w:lineRule="auto"/>
        <w:jc w:val="both"/>
        <w:rPr>
          <w:rFonts w:ascii="Arial Narrow" w:hAnsi="Arial Narrow"/>
          <w:lang w:val="es-ES"/>
        </w:rPr>
      </w:pPr>
      <w:r w:rsidRPr="03BF0815">
        <w:rPr>
          <w:rFonts w:ascii="Arial Narrow" w:eastAsia="Calibri" w:hAnsi="Arial Narrow"/>
        </w:rPr>
        <w:t xml:space="preserve">Para la meta estratégica </w:t>
      </w:r>
      <w:r w:rsidRPr="03BF0815">
        <w:rPr>
          <w:rFonts w:ascii="Arial Narrow" w:eastAsia="Calibri" w:hAnsi="Arial Narrow"/>
          <w:b/>
          <w:bCs/>
        </w:rPr>
        <w:t>“</w:t>
      </w:r>
      <w:r w:rsidRPr="03BF0815">
        <w:rPr>
          <w:rFonts w:ascii="Arial Narrow" w:eastAsia="Calibri" w:hAnsi="Arial Narrow"/>
          <w:b/>
          <w:bCs/>
          <w:i/>
          <w:iCs/>
        </w:rPr>
        <w:t>Que al finalizar el 2024, se haya aprobado la Política de Comunicación Organizacional</w:t>
      </w:r>
      <w:r w:rsidRPr="03BF0815">
        <w:rPr>
          <w:rFonts w:ascii="Arial Narrow" w:eastAsia="Calibri" w:hAnsi="Arial Narrow"/>
          <w:b/>
          <w:bCs/>
        </w:rPr>
        <w:t xml:space="preserve">”, </w:t>
      </w:r>
      <w:r w:rsidRPr="03BF0815">
        <w:rPr>
          <w:rFonts w:ascii="Arial Narrow" w:eastAsia="Calibri" w:hAnsi="Arial Narrow"/>
        </w:rPr>
        <w:t>se informa por parte d</w:t>
      </w:r>
      <w:r w:rsidRPr="03BF0815">
        <w:rPr>
          <w:rFonts w:ascii="Arial Narrow" w:hAnsi="Arial Narrow" w:cs="Arial"/>
          <w:color w:val="000000" w:themeColor="text1"/>
          <w:lang w:val="es-CR" w:eastAsia="es-CR"/>
        </w:rPr>
        <w:t xml:space="preserve">el Departamento de Prensa Comunicación Institucional por medio del sistema PAO que este </w:t>
      </w:r>
      <w:r w:rsidRPr="03BF0815">
        <w:rPr>
          <w:rFonts w:ascii="Arial Narrow" w:hAnsi="Arial Narrow"/>
        </w:rPr>
        <w:t xml:space="preserve">proyecto ha estado impulsado por la Presidencia de la Corte  Suprema de Justicia desde el año 2011 al ser calificado como de interés institucional, en donde la propuesta inicial de políticas finalizó en el año 2013  con la colaboración de la Comisión para el Mejoramiento de la Administración de Justicia (Conamaj), la Oficina de Prensa del Organismo de Investigación Judicial, Oficina de Prensa del Ministerio Público y la persona encargada de atender la prensa en la Sala Constitucional. Posteriormente, esta propuesta se incluyó en la agenda de Corte Plena en el año 2016 y se acordó que debía posponerse hasta que se nombrara a una persona en la jefatura del Departamento de Prensa y Comunicación Organizacional, al finalizar el año 2021 el nombramiento aún se encuentra en condición </w:t>
      </w:r>
      <w:r w:rsidR="770E2355" w:rsidRPr="03BF0815">
        <w:rPr>
          <w:rFonts w:ascii="Arial Narrow" w:hAnsi="Arial Narrow"/>
        </w:rPr>
        <w:t>interino. Seguido</w:t>
      </w:r>
      <w:r w:rsidRPr="03BF0815">
        <w:rPr>
          <w:rFonts w:ascii="Arial Narrow" w:hAnsi="Arial Narrow"/>
        </w:rPr>
        <w:t xml:space="preserve">, en el año 2019, la Presidencia de la Corte retoma el tema y despliega los esfuerzos necesarios para que mediante cooperación financiera se revisara y actualizara la propuesta inicial planteada en el año 2013. </w:t>
      </w:r>
      <w:r w:rsidR="03BF0815" w:rsidRPr="00322D9B">
        <w:rPr>
          <w:rFonts w:ascii="Arial Narrow" w:hAnsi="Arial Narrow"/>
          <w:lang w:val="es-ES"/>
        </w:rPr>
        <w:t>Para el año 2021 el Departamento de Prensa y Comunicación indica por medio del sistema PAO que para cumplir con esta meta se dependía del apoyo de cooperación internacional, gestión que realizó la Oficina de Cooperación Internacional, pero por el tema de pandemia el apoyo quedó pendiente, así en el 2021 la institución presentó nuevamente un proyecto ante la Embajada de Estados Unidos</w:t>
      </w:r>
      <w:r w:rsidR="03BF0815" w:rsidRPr="03BF0815">
        <w:rPr>
          <w:rFonts w:ascii="Arial Narrow" w:hAnsi="Arial Narrow"/>
          <w:lang w:val="es-ES"/>
        </w:rPr>
        <w:t>.</w:t>
      </w:r>
    </w:p>
    <w:p w14:paraId="39652885" w14:textId="77777777" w:rsidR="0074155E" w:rsidRPr="0083446E" w:rsidRDefault="0074155E" w:rsidP="03BF0815">
      <w:pPr>
        <w:spacing w:line="257" w:lineRule="auto"/>
        <w:jc w:val="both"/>
        <w:rPr>
          <w:rFonts w:ascii="Arial Narrow" w:hAnsi="Arial Narrow"/>
          <w:lang w:val="es-ES"/>
        </w:rPr>
      </w:pPr>
    </w:p>
    <w:p w14:paraId="50CA9554" w14:textId="0FF062DC" w:rsidR="00FE6DBB" w:rsidRPr="0083446E" w:rsidRDefault="7BFC50FF" w:rsidP="0083446E">
      <w:pPr>
        <w:jc w:val="both"/>
        <w:rPr>
          <w:rFonts w:ascii="Arial Narrow" w:hAnsi="Arial Narrow"/>
        </w:rPr>
      </w:pPr>
      <w:r w:rsidRPr="03BF0815">
        <w:rPr>
          <w:rFonts w:ascii="Arial Narrow" w:hAnsi="Arial Narrow"/>
        </w:rPr>
        <w:t xml:space="preserve"> Sin embargo, se retomó el tema y se indica que </w:t>
      </w:r>
      <w:r w:rsidR="770E2355" w:rsidRPr="03BF0815">
        <w:rPr>
          <w:rFonts w:ascii="Arial Narrow" w:hAnsi="Arial Narrow"/>
        </w:rPr>
        <w:t xml:space="preserve">al finalizar el 2021 se encuentra aún </w:t>
      </w:r>
      <w:r w:rsidRPr="03BF0815">
        <w:rPr>
          <w:rFonts w:ascii="Arial Narrow" w:hAnsi="Arial Narrow"/>
        </w:rPr>
        <w:t>para valoración</w:t>
      </w:r>
      <w:r w:rsidR="770E2355" w:rsidRPr="03BF0815">
        <w:rPr>
          <w:rFonts w:ascii="Arial Narrow" w:hAnsi="Arial Narrow"/>
        </w:rPr>
        <w:t xml:space="preserve">. Finalmente, se tiene que pese a todas las gestiones que se han realizado, no ha sido posible concretar la colaboración que permita el diseño de la </w:t>
      </w:r>
      <w:r w:rsidR="430E145A" w:rsidRPr="03BF0815">
        <w:rPr>
          <w:rFonts w:ascii="Arial Narrow" w:hAnsi="Arial Narrow"/>
        </w:rPr>
        <w:t>p</w:t>
      </w:r>
      <w:r w:rsidR="770E2355" w:rsidRPr="03BF0815">
        <w:rPr>
          <w:rFonts w:ascii="Arial Narrow" w:hAnsi="Arial Narrow"/>
        </w:rPr>
        <w:t xml:space="preserve">olítica institucional de comunicación debido a la situación de la pandemia por Covid-19 y por lo tanto reporta un incumplimiento para para el 2021 de 25% y un cumplimiento acumulado del 9,3%. </w:t>
      </w:r>
    </w:p>
    <w:p w14:paraId="70C5F6B2" w14:textId="77777777" w:rsidR="000E4B54" w:rsidRPr="00FE6DBB" w:rsidRDefault="000E4B54" w:rsidP="0083446E">
      <w:pPr>
        <w:spacing w:line="360" w:lineRule="auto"/>
        <w:jc w:val="both"/>
        <w:rPr>
          <w:rFonts w:ascii="Arial Narrow" w:hAnsi="Arial Narrow"/>
        </w:rPr>
      </w:pPr>
    </w:p>
    <w:p w14:paraId="16B36443" w14:textId="5EB5CE7F" w:rsidR="0083446E" w:rsidRPr="00322D9B" w:rsidRDefault="0083446E" w:rsidP="00322D9B">
      <w:pPr>
        <w:pStyle w:val="Ttulo3"/>
        <w:numPr>
          <w:ilvl w:val="2"/>
          <w:numId w:val="123"/>
        </w:numPr>
        <w:rPr>
          <w:rFonts w:ascii="Arial Narrow" w:eastAsia="Calibri" w:hAnsi="Arial Narrow"/>
          <w:iCs/>
          <w:szCs w:val="24"/>
          <w:lang w:val="es-CR"/>
        </w:rPr>
      </w:pPr>
      <w:bookmarkStart w:id="56" w:name="_Toc106355276"/>
      <w:r w:rsidRPr="00322D9B">
        <w:rPr>
          <w:rFonts w:ascii="Arial Narrow" w:eastAsia="Calibri" w:hAnsi="Arial Narrow"/>
          <w:iCs/>
          <w:szCs w:val="24"/>
          <w:lang w:val="es-CR"/>
        </w:rPr>
        <w:t>Participación ciudadana</w:t>
      </w:r>
      <w:bookmarkEnd w:id="56"/>
    </w:p>
    <w:p w14:paraId="03E4E8F4" w14:textId="77777777" w:rsidR="002926F1" w:rsidRDefault="002926F1" w:rsidP="00F03A42">
      <w:pPr>
        <w:rPr>
          <w:rFonts w:ascii="Times New Roman" w:hAnsi="Times New Roman"/>
          <w:lang w:val="es-CR" w:eastAsia="es-CR"/>
        </w:rPr>
      </w:pPr>
    </w:p>
    <w:p w14:paraId="78523A71" w14:textId="77777777" w:rsidR="00581C62" w:rsidRDefault="00581C62" w:rsidP="002926F1">
      <w:pPr>
        <w:jc w:val="both"/>
        <w:rPr>
          <w:rFonts w:ascii="Arial Narrow" w:hAnsi="Arial Narrow"/>
          <w:lang w:val="es-CR" w:eastAsia="es-CR"/>
        </w:rPr>
      </w:pPr>
    </w:p>
    <w:p w14:paraId="2D66BA1F" w14:textId="13492662" w:rsidR="006D4C5B" w:rsidRDefault="3249B591" w:rsidP="002926F1">
      <w:pPr>
        <w:jc w:val="both"/>
        <w:rPr>
          <w:rFonts w:ascii="Arial Narrow" w:hAnsi="Arial Narrow"/>
          <w:lang w:val="es-CR" w:eastAsia="es-CR"/>
        </w:rPr>
      </w:pPr>
      <w:r w:rsidRPr="17C79F93">
        <w:rPr>
          <w:rFonts w:ascii="Arial Narrow" w:hAnsi="Arial Narrow"/>
          <w:lang w:val="es-CR" w:eastAsia="es-CR"/>
        </w:rPr>
        <w:t>Se observan</w:t>
      </w:r>
      <w:r w:rsidR="0074155E">
        <w:rPr>
          <w:rFonts w:ascii="Arial Narrow" w:hAnsi="Arial Narrow"/>
          <w:lang w:val="es-CR" w:eastAsia="es-CR"/>
        </w:rPr>
        <w:t xml:space="preserve"> </w:t>
      </w:r>
      <w:r w:rsidRPr="17C79F93">
        <w:rPr>
          <w:rFonts w:ascii="Arial Narrow" w:hAnsi="Arial Narrow"/>
          <w:lang w:val="es-CR" w:eastAsia="es-CR"/>
        </w:rPr>
        <w:t>cuatro metas estratégicas las cuales reflejan una ejecución total en su cumplimiento. Se muestra a continuación el detalle de las metas estratégicas y su cumplimiento para el 2021.</w:t>
      </w:r>
    </w:p>
    <w:p w14:paraId="43C3E18C" w14:textId="77777777" w:rsidR="00FE5A60" w:rsidRPr="002926F1" w:rsidRDefault="00FE5A60" w:rsidP="002926F1">
      <w:pPr>
        <w:jc w:val="both"/>
        <w:rPr>
          <w:rFonts w:ascii="Arial Narrow" w:hAnsi="Arial Narrow"/>
          <w:lang w:val="es-CR" w:eastAsia="es-CR"/>
        </w:rPr>
      </w:pPr>
    </w:p>
    <w:p w14:paraId="38106839" w14:textId="77777777" w:rsidR="0083446E" w:rsidRDefault="0083446E" w:rsidP="0083446E">
      <w:pPr>
        <w:rPr>
          <w:rFonts w:ascii="Arial Narrow" w:eastAsia="Calibri" w:hAnsi="Arial Narrow"/>
          <w:lang w:val="es-CR"/>
        </w:rPr>
      </w:pPr>
    </w:p>
    <w:p w14:paraId="31D5BAE5" w14:textId="77777777" w:rsidR="00D15AE9" w:rsidRDefault="00D15AE9">
      <w:pPr>
        <w:rPr>
          <w:rFonts w:ascii="Arial Narrow" w:hAnsi="Arial Narrow"/>
          <w:b/>
          <w:bCs/>
        </w:rPr>
      </w:pPr>
      <w:bookmarkStart w:id="57" w:name="_Toc76062260"/>
      <w:r>
        <w:rPr>
          <w:rFonts w:ascii="Arial Narrow" w:hAnsi="Arial Narrow"/>
        </w:rPr>
        <w:br w:type="page"/>
      </w:r>
    </w:p>
    <w:p w14:paraId="339D75E8" w14:textId="62BAC2F2" w:rsidR="002926F1" w:rsidRDefault="002926F1" w:rsidP="002926F1">
      <w:pPr>
        <w:pStyle w:val="Descripcin"/>
        <w:jc w:val="center"/>
        <w:rPr>
          <w:rFonts w:ascii="Arial Narrow" w:eastAsia="Calibri" w:hAnsi="Arial Narrow"/>
          <w:sz w:val="24"/>
          <w:szCs w:val="24"/>
        </w:rPr>
      </w:pPr>
      <w:r w:rsidRPr="005E067A">
        <w:rPr>
          <w:rFonts w:ascii="Arial Narrow" w:hAnsi="Arial Narrow"/>
          <w:sz w:val="24"/>
          <w:szCs w:val="24"/>
        </w:rPr>
        <w:t xml:space="preserve">Cuadro </w:t>
      </w:r>
      <w:r w:rsidRPr="005E067A">
        <w:rPr>
          <w:rFonts w:ascii="Arial Narrow" w:hAnsi="Arial Narrow"/>
          <w:sz w:val="24"/>
          <w:szCs w:val="24"/>
        </w:rPr>
        <w:fldChar w:fldCharType="begin"/>
      </w:r>
      <w:r w:rsidRPr="005E067A">
        <w:rPr>
          <w:rFonts w:ascii="Arial Narrow" w:hAnsi="Arial Narrow"/>
          <w:sz w:val="24"/>
          <w:szCs w:val="24"/>
        </w:rPr>
        <w:instrText xml:space="preserve"> SEQ Cuadro_No. \* ARABIC </w:instrText>
      </w:r>
      <w:r w:rsidRPr="005E067A">
        <w:rPr>
          <w:rFonts w:ascii="Arial Narrow" w:hAnsi="Arial Narrow"/>
          <w:sz w:val="24"/>
          <w:szCs w:val="24"/>
        </w:rPr>
        <w:fldChar w:fldCharType="separate"/>
      </w:r>
      <w:r w:rsidR="002F520A">
        <w:rPr>
          <w:rFonts w:ascii="Arial Narrow" w:hAnsi="Arial Narrow"/>
          <w:noProof/>
          <w:sz w:val="24"/>
          <w:szCs w:val="24"/>
        </w:rPr>
        <w:t>43</w:t>
      </w:r>
      <w:r w:rsidRPr="005E067A">
        <w:rPr>
          <w:rFonts w:ascii="Arial Narrow" w:hAnsi="Arial Narrow"/>
          <w:sz w:val="24"/>
          <w:szCs w:val="24"/>
        </w:rPr>
        <w:fldChar w:fldCharType="end"/>
      </w:r>
      <w:r w:rsidRPr="005E067A">
        <w:rPr>
          <w:rFonts w:ascii="Arial Narrow" w:hAnsi="Arial Narrow"/>
          <w:sz w:val="24"/>
          <w:szCs w:val="24"/>
        </w:rPr>
        <w:t xml:space="preserve"> </w:t>
      </w:r>
      <w:r w:rsidRPr="005E067A">
        <w:rPr>
          <w:rFonts w:ascii="Arial Narrow" w:eastAsia="Calibri" w:hAnsi="Arial Narrow"/>
          <w:sz w:val="24"/>
          <w:szCs w:val="24"/>
        </w:rPr>
        <w:t>Metas estratégicas de Participación Ciudadana, y su cumplimiento para el 20</w:t>
      </w:r>
      <w:bookmarkEnd w:id="57"/>
      <w:r>
        <w:rPr>
          <w:rFonts w:ascii="Arial Narrow" w:eastAsia="Calibri" w:hAnsi="Arial Narrow"/>
          <w:sz w:val="24"/>
          <w:szCs w:val="24"/>
        </w:rPr>
        <w:t>21</w:t>
      </w:r>
    </w:p>
    <w:p w14:paraId="11709BC2" w14:textId="77777777" w:rsidR="00162437" w:rsidRPr="00322D9B" w:rsidRDefault="00162437" w:rsidP="00322D9B">
      <w:pPr>
        <w:rPr>
          <w:rFonts w:eastAsia="Calibri"/>
        </w:rPr>
      </w:pPr>
    </w:p>
    <w:p w14:paraId="29952AF5" w14:textId="6A41123A" w:rsidR="0083446E" w:rsidRPr="00557C90" w:rsidRDefault="00557C90" w:rsidP="00557C90">
      <w:pPr>
        <w:jc w:val="center"/>
        <w:rPr>
          <w:rFonts w:eastAsia="Calibri"/>
        </w:rPr>
      </w:pPr>
      <w:r>
        <w:rPr>
          <w:noProof/>
        </w:rPr>
        <w:drawing>
          <wp:inline distT="0" distB="0" distL="0" distR="0" wp14:anchorId="27019988" wp14:editId="1B1991C2">
            <wp:extent cx="5968376" cy="3417570"/>
            <wp:effectExtent l="57150" t="57150" r="89535" b="87630"/>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r="96"/>
                    <a:stretch/>
                  </pic:blipFill>
                  <pic:spPr bwMode="auto">
                    <a:xfrm>
                      <a:off x="0" y="0"/>
                      <a:ext cx="5968376" cy="3417570"/>
                    </a:xfrm>
                    <a:prstGeom prst="rect">
                      <a:avLst/>
                    </a:prstGeom>
                    <a:ln w="127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A9DB878" w14:textId="62AD514C" w:rsidR="0083446E" w:rsidRPr="00A618D8" w:rsidRDefault="0083446E" w:rsidP="00B54439">
      <w:pPr>
        <w:jc w:val="center"/>
        <w:rPr>
          <w:rFonts w:eastAsia="Calibri"/>
          <w:b/>
          <w:bCs/>
        </w:rPr>
      </w:pPr>
      <w:r w:rsidRPr="004619C9">
        <w:rPr>
          <w:rFonts w:ascii="Arial Narrow" w:eastAsia="Calibri" w:hAnsi="Arial Narrow"/>
          <w:b/>
          <w:bCs/>
          <w:sz w:val="18"/>
          <w:szCs w:val="18"/>
          <w:lang w:eastAsia="en-US"/>
        </w:rPr>
        <w:t>Fuente:</w:t>
      </w:r>
      <w:r w:rsidRPr="000B4845">
        <w:rPr>
          <w:rFonts w:ascii="Arial Narrow" w:eastAsia="Calibri" w:hAnsi="Arial Narrow"/>
          <w:sz w:val="18"/>
          <w:szCs w:val="18"/>
          <w:lang w:eastAsia="en-US"/>
        </w:rPr>
        <w:t xml:space="preserve"> Sistema PEI al </w:t>
      </w:r>
      <w:r>
        <w:rPr>
          <w:rFonts w:ascii="Arial Narrow" w:eastAsia="Calibri" w:hAnsi="Arial Narrow"/>
          <w:sz w:val="18"/>
          <w:szCs w:val="18"/>
          <w:lang w:eastAsia="en-US"/>
        </w:rPr>
        <w:t>19</w:t>
      </w:r>
      <w:r w:rsidRPr="000B4845">
        <w:rPr>
          <w:rFonts w:ascii="Arial Narrow" w:eastAsia="Calibri" w:hAnsi="Arial Narrow"/>
          <w:sz w:val="18"/>
          <w:szCs w:val="18"/>
          <w:lang w:eastAsia="en-US"/>
        </w:rPr>
        <w:t xml:space="preserve"> de enero del </w:t>
      </w:r>
      <w:r>
        <w:rPr>
          <w:rFonts w:ascii="Arial Narrow" w:eastAsia="Calibri" w:hAnsi="Arial Narrow"/>
          <w:sz w:val="18"/>
          <w:szCs w:val="18"/>
          <w:lang w:eastAsia="en-US"/>
        </w:rPr>
        <w:t>2022 para el año 2021.</w:t>
      </w:r>
    </w:p>
    <w:p w14:paraId="11ABF843" w14:textId="3188392D" w:rsidR="00BB0806" w:rsidRDefault="00BB0806" w:rsidP="00F03A42">
      <w:pPr>
        <w:rPr>
          <w:rFonts w:ascii="Arial Narrow" w:eastAsia="Calibri" w:hAnsi="Arial Narrow"/>
          <w:lang w:val="es-CR"/>
        </w:rPr>
      </w:pPr>
    </w:p>
    <w:p w14:paraId="08C772EF" w14:textId="77777777" w:rsidR="0074155E" w:rsidRDefault="0074155E" w:rsidP="00245262">
      <w:pPr>
        <w:jc w:val="both"/>
        <w:rPr>
          <w:rFonts w:ascii="Arial Narrow" w:eastAsia="Calibri" w:hAnsi="Arial Narrow"/>
        </w:rPr>
      </w:pPr>
    </w:p>
    <w:p w14:paraId="188220F5" w14:textId="519FCBFF" w:rsidR="0083446E" w:rsidRDefault="00245262" w:rsidP="00245262">
      <w:pPr>
        <w:jc w:val="both"/>
        <w:rPr>
          <w:rFonts w:ascii="Arial Narrow" w:hAnsi="Arial Narrow" w:cs="Calibri"/>
          <w:color w:val="000000"/>
          <w:lang w:val="es-CR" w:eastAsia="es-CR"/>
        </w:rPr>
      </w:pPr>
      <w:r>
        <w:rPr>
          <w:rFonts w:ascii="Arial Narrow" w:eastAsia="Calibri" w:hAnsi="Arial Narrow"/>
        </w:rPr>
        <w:t>E</w:t>
      </w:r>
      <w:r w:rsidRPr="003D06EB">
        <w:rPr>
          <w:rFonts w:ascii="Arial Narrow" w:eastAsia="Calibri" w:hAnsi="Arial Narrow"/>
        </w:rPr>
        <w:t>l Despacho de la Presidencia indica por medio del sistema PAO</w:t>
      </w:r>
      <w:r>
        <w:rPr>
          <w:rFonts w:ascii="Arial Narrow" w:hAnsi="Arial Narrow" w:cs="Calibri"/>
          <w:color w:val="000000"/>
          <w:lang w:val="es-CR" w:eastAsia="es-CR"/>
        </w:rPr>
        <w:t xml:space="preserve"> que para el año 2021 se </w:t>
      </w:r>
      <w:r w:rsidRPr="00704B08">
        <w:rPr>
          <w:rFonts w:ascii="Arial Narrow" w:hAnsi="Arial Narrow" w:cs="Calibri"/>
          <w:color w:val="000000"/>
          <w:lang w:val="es-CR" w:eastAsia="es-CR"/>
        </w:rPr>
        <w:t>realizaron seguimientos sobre la elaboración del procedimiento para un diálogo permanente con la sociedad civil y su presentación al órgano aprobador</w:t>
      </w:r>
      <w:r>
        <w:rPr>
          <w:rFonts w:ascii="Arial Narrow" w:hAnsi="Arial Narrow" w:cs="Calibri"/>
          <w:color w:val="000000"/>
          <w:lang w:val="es-CR" w:eastAsia="es-CR"/>
        </w:rPr>
        <w:t>.</w:t>
      </w:r>
    </w:p>
    <w:p w14:paraId="7F0E1CB1" w14:textId="5B6FBFFD" w:rsidR="00245262" w:rsidRDefault="00245262" w:rsidP="00245262">
      <w:pPr>
        <w:jc w:val="both"/>
        <w:rPr>
          <w:rFonts w:ascii="Arial Narrow" w:hAnsi="Arial Narrow" w:cs="Calibri"/>
          <w:color w:val="000000"/>
          <w:lang w:val="es-CR" w:eastAsia="es-CR"/>
        </w:rPr>
      </w:pPr>
    </w:p>
    <w:p w14:paraId="69253954" w14:textId="723C38F4" w:rsidR="00245262" w:rsidRPr="003E5A2C" w:rsidRDefault="00C66B60" w:rsidP="00245262">
      <w:pPr>
        <w:jc w:val="both"/>
        <w:rPr>
          <w:rFonts w:ascii="Arial Narrow" w:eastAsia="Calibri" w:hAnsi="Arial Narrow"/>
        </w:rPr>
      </w:pPr>
      <w:r>
        <w:rPr>
          <w:rFonts w:ascii="Arial Narrow" w:eastAsia="Calibri" w:hAnsi="Arial Narrow"/>
        </w:rPr>
        <w:t>Se registran acciones ejecutadas</w:t>
      </w:r>
      <w:r w:rsidRPr="000B4845">
        <w:rPr>
          <w:rFonts w:ascii="Arial Narrow" w:eastAsia="Calibri" w:hAnsi="Arial Narrow"/>
        </w:rPr>
        <w:t xml:space="preserve"> </w:t>
      </w:r>
      <w:r>
        <w:rPr>
          <w:rFonts w:ascii="Arial Narrow" w:eastAsia="Calibri" w:hAnsi="Arial Narrow"/>
        </w:rPr>
        <w:t xml:space="preserve">por parte de la </w:t>
      </w:r>
      <w:r w:rsidR="00245262" w:rsidRPr="003E5A2C">
        <w:rPr>
          <w:rFonts w:ascii="Arial Narrow" w:eastAsia="Calibri" w:hAnsi="Arial Narrow"/>
        </w:rPr>
        <w:t>Comisión Nacional para el Mejoramiento de la Administración de Justicia</w:t>
      </w:r>
      <w:r>
        <w:rPr>
          <w:rFonts w:ascii="Arial Narrow" w:eastAsia="Calibri" w:hAnsi="Arial Narrow"/>
        </w:rPr>
        <w:t xml:space="preserve"> entre ellas: </w:t>
      </w:r>
      <w:r w:rsidRPr="000B4845">
        <w:rPr>
          <w:rFonts w:ascii="Arial Narrow" w:eastAsia="Calibri" w:hAnsi="Arial Narrow"/>
        </w:rPr>
        <w:t xml:space="preserve">las actividades programadas en el plan de acción de la Política de Participación </w:t>
      </w:r>
      <w:r w:rsidR="00CE0D0A" w:rsidRPr="000B4845">
        <w:rPr>
          <w:rFonts w:ascii="Arial Narrow" w:eastAsia="Calibri" w:hAnsi="Arial Narrow"/>
        </w:rPr>
        <w:t>Ciudadana,</w:t>
      </w:r>
      <w:r w:rsidR="003E5A2C">
        <w:rPr>
          <w:rFonts w:ascii="Arial Narrow" w:eastAsia="Calibri" w:hAnsi="Arial Narrow"/>
        </w:rPr>
        <w:t xml:space="preserve"> así como también </w:t>
      </w:r>
      <w:r w:rsidRPr="003E5A2C">
        <w:rPr>
          <w:rFonts w:ascii="Arial Narrow" w:eastAsia="Calibri" w:hAnsi="Arial Narrow"/>
        </w:rPr>
        <w:t>capacitaciones en procesos participativos a la población judicial en diferentes zonas del país</w:t>
      </w:r>
      <w:r w:rsidR="003E5A2C" w:rsidRPr="003E5A2C">
        <w:rPr>
          <w:rFonts w:ascii="Arial Narrow" w:eastAsia="Calibri" w:hAnsi="Arial Narrow"/>
        </w:rPr>
        <w:t xml:space="preserve">. </w:t>
      </w:r>
    </w:p>
    <w:p w14:paraId="56124739" w14:textId="16434C3F" w:rsidR="008540D1" w:rsidRPr="004D1089" w:rsidRDefault="008540D1" w:rsidP="004D1089">
      <w:pPr>
        <w:jc w:val="both"/>
        <w:rPr>
          <w:rFonts w:ascii="Arial Narrow" w:hAnsi="Arial Narrow" w:cs="Calibri"/>
          <w:color w:val="000000"/>
          <w:lang w:val="es-CR" w:eastAsia="es-CR"/>
        </w:rPr>
      </w:pPr>
    </w:p>
    <w:p w14:paraId="7ED656E7" w14:textId="561C69AB" w:rsidR="00003A11" w:rsidRDefault="00003A11" w:rsidP="004D1089">
      <w:pPr>
        <w:jc w:val="both"/>
        <w:rPr>
          <w:rFonts w:ascii="Arial Narrow" w:hAnsi="Arial Narrow" w:cs="Calibri"/>
          <w:color w:val="000000"/>
          <w:lang w:val="es-CR" w:eastAsia="es-CR"/>
        </w:rPr>
      </w:pPr>
      <w:r w:rsidRPr="004D1089">
        <w:rPr>
          <w:rFonts w:ascii="Arial Narrow" w:hAnsi="Arial Narrow" w:cs="Calibri"/>
          <w:color w:val="000000"/>
          <w:lang w:val="es-CR" w:eastAsia="es-CR"/>
        </w:rPr>
        <w:t xml:space="preserve">Por otra parte, la Contraloría de Servicios, sede Central con respecto a la implementación de  una metodología que permita medir la percepción y el grado de confianza de la sociedad sobre el Poder Judicial, para el año 2021 implementó </w:t>
      </w:r>
      <w:r w:rsidR="008540D1" w:rsidRPr="004D1089">
        <w:rPr>
          <w:rFonts w:ascii="Arial Narrow" w:hAnsi="Arial Narrow" w:cs="Calibri"/>
          <w:color w:val="000000"/>
          <w:lang w:val="es-CR" w:eastAsia="es-CR"/>
        </w:rPr>
        <w:t>un sistema para el registro y categorización de las consultas atendidas por la línea gratuita 8008003000 orientadas a la prestación de los servicios durante la emergencia por COVID 19</w:t>
      </w:r>
      <w:r w:rsidRPr="004D1089">
        <w:rPr>
          <w:rFonts w:ascii="Arial Narrow" w:hAnsi="Arial Narrow" w:cs="Calibri"/>
          <w:color w:val="000000"/>
          <w:lang w:val="es-CR" w:eastAsia="es-CR"/>
        </w:rPr>
        <w:t xml:space="preserve">, </w:t>
      </w:r>
      <w:r w:rsidR="004D1089" w:rsidRPr="004D1089">
        <w:rPr>
          <w:rFonts w:ascii="Arial Narrow" w:hAnsi="Arial Narrow" w:cs="Calibri"/>
          <w:color w:val="000000"/>
          <w:lang w:val="es-CR" w:eastAsia="es-CR"/>
        </w:rPr>
        <w:t>así</w:t>
      </w:r>
      <w:r w:rsidRPr="004D1089">
        <w:rPr>
          <w:rFonts w:ascii="Arial Narrow" w:hAnsi="Arial Narrow" w:cs="Calibri"/>
          <w:color w:val="000000"/>
          <w:lang w:val="es-CR" w:eastAsia="es-CR"/>
        </w:rPr>
        <w:t xml:space="preserve"> com</w:t>
      </w:r>
      <w:r w:rsidR="004D1089">
        <w:rPr>
          <w:rFonts w:ascii="Arial Narrow" w:hAnsi="Arial Narrow" w:cs="Calibri"/>
          <w:color w:val="000000"/>
          <w:lang w:val="es-CR" w:eastAsia="es-CR"/>
        </w:rPr>
        <w:t>o</w:t>
      </w:r>
      <w:r w:rsidRPr="004D1089">
        <w:rPr>
          <w:rFonts w:ascii="Arial Narrow" w:hAnsi="Arial Narrow" w:cs="Calibri"/>
          <w:color w:val="000000"/>
          <w:lang w:val="es-CR" w:eastAsia="es-CR"/>
        </w:rPr>
        <w:t xml:space="preserve"> también elaboró </w:t>
      </w:r>
      <w:r w:rsidR="004D1089" w:rsidRPr="004D1089">
        <w:rPr>
          <w:rFonts w:ascii="Arial Narrow" w:hAnsi="Arial Narrow" w:cs="Calibri"/>
          <w:color w:val="000000"/>
          <w:lang w:val="es-CR" w:eastAsia="es-CR"/>
        </w:rPr>
        <w:t>el informe CSJ-530-2021 relacionado con el  seguimiento de la atención telefónica del Poder Judicial y Líneas IP.</w:t>
      </w:r>
    </w:p>
    <w:p w14:paraId="6353768A" w14:textId="32475265" w:rsidR="004D1089" w:rsidRDefault="004D1089" w:rsidP="004D1089">
      <w:pPr>
        <w:jc w:val="both"/>
        <w:rPr>
          <w:rFonts w:ascii="Arial Narrow" w:hAnsi="Arial Narrow" w:cs="Calibri"/>
          <w:color w:val="000000"/>
          <w:lang w:val="es-CR" w:eastAsia="es-CR"/>
        </w:rPr>
      </w:pPr>
    </w:p>
    <w:p w14:paraId="4BF7C07C" w14:textId="0E5D681C" w:rsidR="004D1089" w:rsidRDefault="00A2578E" w:rsidP="004D1089">
      <w:pPr>
        <w:jc w:val="both"/>
        <w:rPr>
          <w:rFonts w:ascii="Arial Narrow" w:hAnsi="Arial Narrow" w:cs="Calibri"/>
          <w:color w:val="000000"/>
          <w:lang w:val="es-CR" w:eastAsia="es-CR"/>
        </w:rPr>
      </w:pPr>
      <w:r>
        <w:rPr>
          <w:rFonts w:ascii="Arial Narrow" w:hAnsi="Arial Narrow" w:cs="Calibri"/>
          <w:color w:val="000000"/>
          <w:lang w:val="es-CR" w:eastAsia="es-CR"/>
        </w:rPr>
        <w:t>Para meta “</w:t>
      </w:r>
      <w:r w:rsidRPr="00A2578E">
        <w:rPr>
          <w:rFonts w:ascii="Arial Narrow" w:hAnsi="Arial Narrow" w:cs="Calibri"/>
          <w:color w:val="000000"/>
          <w:lang w:val="es-CR" w:eastAsia="es-CR"/>
        </w:rPr>
        <w:t>Que al finalizar el 2024, se hayan implementado las acciones definidas en el plan de acción de la Política de Participación Ciudadana</w:t>
      </w:r>
      <w:r>
        <w:rPr>
          <w:rFonts w:ascii="Arial Narrow" w:hAnsi="Arial Narrow" w:cs="Calibri"/>
          <w:color w:val="000000"/>
          <w:lang w:val="es-CR" w:eastAsia="es-CR"/>
        </w:rPr>
        <w:t xml:space="preserve">” la </w:t>
      </w:r>
      <w:r w:rsidRPr="004D1089">
        <w:rPr>
          <w:rFonts w:ascii="Arial Narrow" w:hAnsi="Arial Narrow" w:cs="Calibri"/>
          <w:color w:val="000000"/>
          <w:lang w:val="es-CR" w:eastAsia="es-CR"/>
        </w:rPr>
        <w:t>Contraloría de Servicios, sede Central</w:t>
      </w:r>
      <w:r>
        <w:rPr>
          <w:rFonts w:ascii="Arial Narrow" w:hAnsi="Arial Narrow" w:cs="Calibri"/>
          <w:color w:val="000000"/>
          <w:lang w:val="es-CR" w:eastAsia="es-CR"/>
        </w:rPr>
        <w:t>,</w:t>
      </w:r>
      <w:r w:rsidRPr="004D1089">
        <w:rPr>
          <w:rFonts w:ascii="Arial Narrow" w:hAnsi="Arial Narrow" w:cs="Calibri"/>
          <w:color w:val="000000"/>
          <w:lang w:val="es-CR" w:eastAsia="es-CR"/>
        </w:rPr>
        <w:t xml:space="preserve"> </w:t>
      </w:r>
      <w:r>
        <w:rPr>
          <w:rFonts w:ascii="Arial Narrow" w:hAnsi="Arial Narrow" w:cs="Calibri"/>
          <w:color w:val="000000"/>
          <w:lang w:val="es-CR" w:eastAsia="es-CR"/>
        </w:rPr>
        <w:t xml:space="preserve">realizó </w:t>
      </w:r>
      <w:r w:rsidR="00057206" w:rsidRPr="00704B08">
        <w:rPr>
          <w:rFonts w:ascii="Arial Narrow" w:hAnsi="Arial Narrow" w:cs="Calibri"/>
          <w:color w:val="000000"/>
          <w:lang w:val="es-CR" w:eastAsia="es-CR"/>
        </w:rPr>
        <w:t>plan</w:t>
      </w:r>
      <w:r w:rsidR="00057206">
        <w:rPr>
          <w:rFonts w:ascii="Arial Narrow" w:hAnsi="Arial Narrow" w:cs="Calibri"/>
          <w:color w:val="000000"/>
          <w:lang w:val="es-CR" w:eastAsia="es-CR"/>
        </w:rPr>
        <w:t>es</w:t>
      </w:r>
      <w:r w:rsidR="00057206" w:rsidRPr="00704B08">
        <w:rPr>
          <w:rFonts w:ascii="Arial Narrow" w:hAnsi="Arial Narrow" w:cs="Calibri"/>
          <w:color w:val="000000"/>
          <w:lang w:val="es-CR" w:eastAsia="es-CR"/>
        </w:rPr>
        <w:t xml:space="preserve"> de trabajo congruente</w:t>
      </w:r>
      <w:r w:rsidR="00057206">
        <w:rPr>
          <w:rFonts w:ascii="Arial Narrow" w:hAnsi="Arial Narrow" w:cs="Calibri"/>
          <w:color w:val="000000"/>
          <w:lang w:val="es-CR" w:eastAsia="es-CR"/>
        </w:rPr>
        <w:t>s</w:t>
      </w:r>
      <w:r w:rsidR="00057206" w:rsidRPr="00704B08">
        <w:rPr>
          <w:rFonts w:ascii="Arial Narrow" w:hAnsi="Arial Narrow" w:cs="Calibri"/>
          <w:color w:val="000000"/>
          <w:lang w:val="es-CR" w:eastAsia="es-CR"/>
        </w:rPr>
        <w:t xml:space="preserve"> con el plan de acción de la política de participación ciudadana, actividades programadas en el plan de acción de la política de participación </w:t>
      </w:r>
      <w:r w:rsidRPr="00704B08">
        <w:rPr>
          <w:rFonts w:ascii="Arial Narrow" w:hAnsi="Arial Narrow" w:cs="Calibri"/>
          <w:color w:val="000000"/>
          <w:lang w:val="es-CR" w:eastAsia="es-CR"/>
        </w:rPr>
        <w:t>ciudadana,</w:t>
      </w:r>
      <w:r>
        <w:rPr>
          <w:rFonts w:ascii="Arial Narrow" w:hAnsi="Arial Narrow" w:cs="Calibri"/>
          <w:color w:val="000000"/>
          <w:lang w:val="es-CR" w:eastAsia="es-CR"/>
        </w:rPr>
        <w:t xml:space="preserve"> así como una </w:t>
      </w:r>
      <w:r w:rsidR="00057206" w:rsidRPr="00A2578E">
        <w:rPr>
          <w:rFonts w:ascii="Arial Narrow" w:hAnsi="Arial Narrow" w:cs="Calibri"/>
          <w:color w:val="000000"/>
          <w:lang w:val="es-CR" w:eastAsia="es-CR"/>
        </w:rPr>
        <w:t>propuesta de reforma del Reglamento de las Comisiones de Personas Usuarias del Poder Judicial</w:t>
      </w:r>
      <w:r>
        <w:rPr>
          <w:rFonts w:ascii="Arial Narrow" w:hAnsi="Arial Narrow" w:cs="Calibri"/>
          <w:color w:val="000000"/>
          <w:lang w:val="es-CR" w:eastAsia="es-CR"/>
        </w:rPr>
        <w:t xml:space="preserve">. </w:t>
      </w:r>
    </w:p>
    <w:p w14:paraId="50B8335E" w14:textId="4597751D" w:rsidR="00A2578E" w:rsidRDefault="00A2578E" w:rsidP="004D1089">
      <w:pPr>
        <w:jc w:val="both"/>
        <w:rPr>
          <w:rFonts w:ascii="Arial Narrow" w:hAnsi="Arial Narrow" w:cs="Calibri"/>
          <w:color w:val="000000"/>
          <w:lang w:val="es-CR" w:eastAsia="es-CR"/>
        </w:rPr>
      </w:pPr>
    </w:p>
    <w:p w14:paraId="57670366" w14:textId="571E5FC6" w:rsidR="002926F1" w:rsidRPr="002926F1" w:rsidRDefault="002926F1" w:rsidP="002926F1">
      <w:pPr>
        <w:spacing w:after="160"/>
        <w:jc w:val="both"/>
        <w:rPr>
          <w:rFonts w:ascii="Arial Narrow" w:eastAsiaTheme="minorHAnsi" w:hAnsi="Arial Narrow" w:cstheme="minorBidi"/>
          <w:lang w:val="es-CR" w:eastAsia="en-US"/>
        </w:rPr>
      </w:pPr>
      <w:r w:rsidRPr="002926F1">
        <w:rPr>
          <w:rFonts w:ascii="Arial Narrow" w:eastAsiaTheme="minorHAnsi" w:hAnsi="Arial Narrow" w:cstheme="minorBidi"/>
          <w:lang w:val="es-CR" w:eastAsia="en-US"/>
        </w:rPr>
        <w:t xml:space="preserve">Finalmente, con respecto al tema Estratégico de </w:t>
      </w:r>
      <w:r w:rsidR="003A3319" w:rsidRPr="003A3319">
        <w:rPr>
          <w:rFonts w:ascii="Arial Narrow" w:eastAsiaTheme="minorHAnsi" w:hAnsi="Arial Narrow" w:cstheme="minorBidi"/>
          <w:b/>
          <w:bCs/>
          <w:lang w:val="es-CR" w:eastAsia="en-US"/>
        </w:rPr>
        <w:t>Confianza y probidad en la Justicia</w:t>
      </w:r>
      <w:r w:rsidRPr="002926F1">
        <w:rPr>
          <w:rFonts w:ascii="Arial Narrow" w:eastAsiaTheme="minorHAnsi" w:hAnsi="Arial Narrow" w:cstheme="minorBidi"/>
          <w:lang w:val="es-CR" w:eastAsia="en-US"/>
        </w:rPr>
        <w:t xml:space="preserve"> se tienen </w:t>
      </w:r>
      <w:r w:rsidR="003A3319" w:rsidRPr="003A3319">
        <w:rPr>
          <w:rFonts w:ascii="Arial Narrow" w:eastAsiaTheme="minorHAnsi" w:hAnsi="Arial Narrow" w:cstheme="minorBidi"/>
          <w:lang w:val="es-CR" w:eastAsia="en-US"/>
        </w:rPr>
        <w:t>3</w:t>
      </w:r>
      <w:r w:rsidRPr="002926F1">
        <w:rPr>
          <w:rFonts w:ascii="Arial Narrow" w:eastAsiaTheme="minorHAnsi" w:hAnsi="Arial Narrow" w:cstheme="minorBidi"/>
          <w:lang w:val="es-CR" w:eastAsia="en-US"/>
        </w:rPr>
        <w:t xml:space="preserve"> metas estratégicas que presentan diversas situaciones: las metas fueron de reciente aprobación y por ende fueron incluidas y trabajadas hasta en el 2021 (años anteriores no se consideraron), y otro posible escenario es que se desarrollaron de manera operativa en los años 2019 y 2020 y para el 2021 las metas no presentan avances. </w:t>
      </w:r>
    </w:p>
    <w:p w14:paraId="25FA577E" w14:textId="77777777" w:rsidR="002926F1" w:rsidRPr="002926F1" w:rsidRDefault="002926F1" w:rsidP="002926F1">
      <w:pPr>
        <w:spacing w:after="160"/>
        <w:jc w:val="both"/>
        <w:rPr>
          <w:rFonts w:ascii="Arial Narrow" w:eastAsiaTheme="minorHAnsi" w:hAnsi="Arial Narrow" w:cstheme="minorBidi"/>
          <w:lang w:val="es-CR" w:eastAsia="en-US"/>
        </w:rPr>
      </w:pPr>
      <w:r w:rsidRPr="002926F1">
        <w:rPr>
          <w:rFonts w:ascii="Arial Narrow" w:eastAsiaTheme="minorHAnsi" w:hAnsi="Arial Narrow" w:cstheme="minorBidi"/>
          <w:lang w:val="es-CR" w:eastAsia="en-US"/>
        </w:rPr>
        <w:t>Se detallan las metas según la situación presentada.</w:t>
      </w:r>
    </w:p>
    <w:p w14:paraId="46112D6A" w14:textId="44865051" w:rsidR="002453C9" w:rsidRPr="00557C90" w:rsidRDefault="003A3319" w:rsidP="002926F1">
      <w:pPr>
        <w:numPr>
          <w:ilvl w:val="0"/>
          <w:numId w:val="34"/>
        </w:numPr>
        <w:spacing w:after="160" w:line="259" w:lineRule="auto"/>
        <w:contextualSpacing/>
        <w:jc w:val="both"/>
        <w:rPr>
          <w:rFonts w:ascii="Arial Narrow" w:eastAsiaTheme="minorHAnsi" w:hAnsi="Arial Narrow" w:cstheme="minorBidi"/>
          <w:b/>
          <w:bCs/>
          <w:lang w:val="es-CR" w:eastAsia="en-US"/>
        </w:rPr>
      </w:pPr>
      <w:r w:rsidRPr="003A3319">
        <w:rPr>
          <w:rFonts w:ascii="Arial Narrow" w:eastAsiaTheme="minorHAnsi" w:hAnsi="Arial Narrow" w:cstheme="minorBidi"/>
          <w:b/>
          <w:bCs/>
          <w:lang w:val="es-CR" w:eastAsia="en-US"/>
        </w:rPr>
        <w:t xml:space="preserve">2 </w:t>
      </w:r>
      <w:r w:rsidR="002926F1" w:rsidRPr="002926F1">
        <w:rPr>
          <w:rFonts w:ascii="Arial Narrow" w:eastAsiaTheme="minorHAnsi" w:hAnsi="Arial Narrow" w:cstheme="minorBidi"/>
          <w:b/>
          <w:bCs/>
          <w:lang w:val="es-CR" w:eastAsia="en-US"/>
        </w:rPr>
        <w:t xml:space="preserve">metas estratégicas reportaban datos para 2019 y 2020, pero ya para el 2021 no aparecen con avance estratégico. </w:t>
      </w:r>
      <w:r w:rsidR="002926F1" w:rsidRPr="002926F1">
        <w:rPr>
          <w:rFonts w:ascii="Arial Narrow" w:eastAsiaTheme="minorHAnsi" w:hAnsi="Arial Narrow" w:cstheme="minorBidi"/>
          <w:b/>
          <w:bCs/>
          <w:u w:val="single"/>
          <w:lang w:val="es-CR" w:eastAsia="en-US"/>
        </w:rPr>
        <w:t>Estas metas no son consideradas dentro de esta evaluación puesto que no registran datos para el año 2021.</w:t>
      </w:r>
    </w:p>
    <w:p w14:paraId="5E74BCD0" w14:textId="77777777" w:rsidR="00A2578E" w:rsidRPr="004D1089" w:rsidRDefault="00A2578E" w:rsidP="004D1089">
      <w:pPr>
        <w:jc w:val="both"/>
        <w:rPr>
          <w:rFonts w:ascii="Arial Narrow" w:hAnsi="Arial Narrow" w:cs="Calibri"/>
          <w:color w:val="000000"/>
          <w:lang w:val="es-CR" w:eastAsia="es-CR"/>
        </w:rPr>
      </w:pPr>
    </w:p>
    <w:tbl>
      <w:tblPr>
        <w:tblW w:w="72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61"/>
        <w:gridCol w:w="2604"/>
      </w:tblGrid>
      <w:tr w:rsidR="009F69FF" w:rsidRPr="009F69FF" w14:paraId="5EE32500" w14:textId="77777777" w:rsidTr="4C982065">
        <w:trPr>
          <w:trHeight w:val="281"/>
          <w:jc w:val="center"/>
        </w:trPr>
        <w:tc>
          <w:tcPr>
            <w:tcW w:w="4661" w:type="dxa"/>
            <w:shd w:val="clear" w:color="auto" w:fill="8EAADB" w:themeFill="accent1" w:themeFillTint="99"/>
            <w:vAlign w:val="center"/>
            <w:hideMark/>
          </w:tcPr>
          <w:p w14:paraId="7B2B75C5" w14:textId="77777777" w:rsidR="009F69FF" w:rsidRPr="009F69FF" w:rsidRDefault="009F69FF" w:rsidP="002453C9">
            <w:pPr>
              <w:jc w:val="center"/>
              <w:rPr>
                <w:rFonts w:ascii="Arial Narrow" w:hAnsi="Arial Narrow" w:cs="Calibri"/>
                <w:b/>
                <w:bCs/>
                <w:color w:val="000000"/>
                <w:lang w:val="es-CR" w:eastAsia="es-CR"/>
              </w:rPr>
            </w:pPr>
            <w:r w:rsidRPr="009F69FF">
              <w:rPr>
                <w:rFonts w:ascii="Arial Narrow" w:hAnsi="Arial Narrow" w:cs="Calibri"/>
                <w:b/>
                <w:bCs/>
                <w:color w:val="000000"/>
                <w:lang w:val="es-CR" w:eastAsia="es-CR"/>
              </w:rPr>
              <w:t>Meta estratégica</w:t>
            </w:r>
          </w:p>
        </w:tc>
        <w:tc>
          <w:tcPr>
            <w:tcW w:w="2604" w:type="dxa"/>
            <w:shd w:val="clear" w:color="auto" w:fill="8EAADB" w:themeFill="accent1" w:themeFillTint="99"/>
            <w:vAlign w:val="center"/>
            <w:hideMark/>
          </w:tcPr>
          <w:p w14:paraId="4D5206FE" w14:textId="77777777" w:rsidR="009F69FF" w:rsidRPr="009F69FF" w:rsidRDefault="009F69FF" w:rsidP="002453C9">
            <w:pPr>
              <w:jc w:val="center"/>
              <w:rPr>
                <w:rFonts w:ascii="Arial Narrow" w:hAnsi="Arial Narrow" w:cs="Calibri"/>
                <w:b/>
                <w:bCs/>
                <w:color w:val="000000"/>
                <w:lang w:val="es-CR" w:eastAsia="es-CR"/>
              </w:rPr>
            </w:pPr>
            <w:r w:rsidRPr="009F69FF">
              <w:rPr>
                <w:rFonts w:ascii="Arial Narrow" w:hAnsi="Arial Narrow" w:cs="Calibri"/>
                <w:b/>
                <w:bCs/>
                <w:lang w:val="es-CR" w:eastAsia="es-CR"/>
              </w:rPr>
              <w:t>Justificación</w:t>
            </w:r>
          </w:p>
        </w:tc>
      </w:tr>
      <w:tr w:rsidR="009F69FF" w:rsidRPr="009F69FF" w14:paraId="0EA03F0C" w14:textId="77777777" w:rsidTr="00B56A16">
        <w:trPr>
          <w:trHeight w:val="1724"/>
          <w:jc w:val="center"/>
        </w:trPr>
        <w:tc>
          <w:tcPr>
            <w:tcW w:w="4661" w:type="dxa"/>
            <w:shd w:val="clear" w:color="auto" w:fill="auto"/>
            <w:vAlign w:val="center"/>
            <w:hideMark/>
          </w:tcPr>
          <w:p w14:paraId="4B0F4BF6" w14:textId="77777777" w:rsidR="009F69FF" w:rsidRPr="009F69FF" w:rsidRDefault="009F69FF" w:rsidP="002453C9">
            <w:pPr>
              <w:jc w:val="both"/>
              <w:rPr>
                <w:rFonts w:ascii="Arial Narrow" w:hAnsi="Arial Narrow" w:cs="Arial"/>
                <w:color w:val="000000"/>
                <w:lang w:val="es-CR" w:eastAsia="es-CR"/>
              </w:rPr>
            </w:pPr>
            <w:r w:rsidRPr="009F69FF">
              <w:rPr>
                <w:rFonts w:ascii="Arial Narrow" w:hAnsi="Arial Narrow" w:cs="Arial"/>
                <w:color w:val="000000"/>
                <w:lang w:val="es-CR" w:eastAsia="es-CR"/>
              </w:rPr>
              <w:t>OE.1.5.6.1 - Que al finalizar el 2024, se haya implementado un plan para la creación de alianzas y convenios de cooperación para implantar una red informática segura entre instituciones (Interoperabilidad), que faciliten la integración de la información y acceso a los servicios estatales.</w:t>
            </w:r>
          </w:p>
        </w:tc>
        <w:tc>
          <w:tcPr>
            <w:tcW w:w="2604" w:type="dxa"/>
            <w:shd w:val="clear" w:color="auto" w:fill="auto"/>
            <w:vAlign w:val="center"/>
            <w:hideMark/>
          </w:tcPr>
          <w:p w14:paraId="24E209D7" w14:textId="77777777" w:rsidR="009F69FF" w:rsidRPr="009F69FF" w:rsidRDefault="009F69FF" w:rsidP="002453C9">
            <w:pPr>
              <w:jc w:val="both"/>
              <w:rPr>
                <w:rFonts w:ascii="Arial Narrow" w:hAnsi="Arial Narrow" w:cs="Arial"/>
                <w:color w:val="000000"/>
                <w:lang w:val="es-CR" w:eastAsia="es-CR"/>
              </w:rPr>
            </w:pPr>
            <w:r w:rsidRPr="009F69FF">
              <w:rPr>
                <w:rFonts w:ascii="Arial Narrow" w:hAnsi="Arial Narrow" w:cs="Arial"/>
                <w:color w:val="000000"/>
                <w:lang w:val="es-CR" w:eastAsia="es-CR"/>
              </w:rPr>
              <w:t xml:space="preserve">La oficina indica que la meta está completada y se encuentra en elaboración del oficio de cumplimiento de la meta </w:t>
            </w:r>
          </w:p>
        </w:tc>
      </w:tr>
      <w:tr w:rsidR="009F69FF" w:rsidRPr="009F69FF" w14:paraId="489A0DA5" w14:textId="77777777" w:rsidTr="00B56A16">
        <w:trPr>
          <w:trHeight w:val="1808"/>
          <w:jc w:val="center"/>
        </w:trPr>
        <w:tc>
          <w:tcPr>
            <w:tcW w:w="4661" w:type="dxa"/>
            <w:shd w:val="clear" w:color="auto" w:fill="auto"/>
            <w:vAlign w:val="center"/>
            <w:hideMark/>
          </w:tcPr>
          <w:p w14:paraId="349F5CD8" w14:textId="77777777" w:rsidR="009F69FF" w:rsidRPr="009F69FF" w:rsidRDefault="009F69FF" w:rsidP="002453C9">
            <w:pPr>
              <w:jc w:val="both"/>
              <w:rPr>
                <w:rFonts w:ascii="Arial Narrow" w:hAnsi="Arial Narrow" w:cs="Arial"/>
                <w:color w:val="000000"/>
                <w:lang w:val="es-CR" w:eastAsia="es-CR"/>
              </w:rPr>
            </w:pPr>
            <w:r w:rsidRPr="009F69FF">
              <w:rPr>
                <w:rFonts w:ascii="Arial Narrow" w:hAnsi="Arial Narrow" w:cs="Arial"/>
                <w:color w:val="000000"/>
                <w:lang w:val="es-CR" w:eastAsia="es-CR"/>
              </w:rPr>
              <w:t>OE.1.4.5.1 - Que al finalizar el 2024, se haya implementado la estrategia de comunicación y divulgación de los servicios la Oficina de Atención a la Víctima de Delitos y la Unidad de Protección de Víctimas y Testigos.</w:t>
            </w:r>
          </w:p>
        </w:tc>
        <w:tc>
          <w:tcPr>
            <w:tcW w:w="2604" w:type="dxa"/>
            <w:shd w:val="clear" w:color="auto" w:fill="auto"/>
            <w:vAlign w:val="center"/>
            <w:hideMark/>
          </w:tcPr>
          <w:p w14:paraId="60B987C2" w14:textId="77777777" w:rsidR="009F69FF" w:rsidRPr="009F69FF" w:rsidRDefault="009F69FF" w:rsidP="002453C9">
            <w:pPr>
              <w:jc w:val="both"/>
              <w:rPr>
                <w:rFonts w:ascii="Arial Narrow" w:hAnsi="Arial Narrow" w:cs="Arial"/>
                <w:color w:val="000000"/>
                <w:lang w:val="es-CR" w:eastAsia="es-CR"/>
              </w:rPr>
            </w:pPr>
            <w:r w:rsidRPr="009F69FF">
              <w:rPr>
                <w:rFonts w:ascii="Arial Narrow" w:hAnsi="Arial Narrow" w:cs="Arial"/>
                <w:color w:val="000000"/>
                <w:lang w:val="es-CR" w:eastAsia="es-CR"/>
              </w:rPr>
              <w:t xml:space="preserve">Ante la emergencia nacional por el COVID-19 la oficina solicitó excluir el objetivo operativo para el 2021 y que fueran trasladados al 2022.  </w:t>
            </w:r>
            <w:r w:rsidRPr="009F69FF">
              <w:rPr>
                <w:rFonts w:ascii="Arial Narrow" w:hAnsi="Arial Narrow" w:cs="Calibri"/>
                <w:color w:val="FF0000"/>
                <w:lang w:val="es-CR" w:eastAsia="es-CR"/>
              </w:rPr>
              <w:t xml:space="preserve"> </w:t>
            </w:r>
          </w:p>
        </w:tc>
      </w:tr>
    </w:tbl>
    <w:p w14:paraId="0B197197" w14:textId="77777777" w:rsidR="00025C8D" w:rsidRPr="008F0B82" w:rsidRDefault="00025C8D" w:rsidP="00025C8D">
      <w:pPr>
        <w:jc w:val="center"/>
        <w:rPr>
          <w:rFonts w:ascii="Arial Narrow" w:eastAsia="Batang" w:hAnsi="Arial Narrow"/>
          <w:sz w:val="18"/>
          <w:szCs w:val="18"/>
          <w:lang w:eastAsia="en-US"/>
        </w:rPr>
      </w:pPr>
      <w:r w:rsidRPr="008F0B82">
        <w:rPr>
          <w:rFonts w:ascii="Arial Narrow" w:eastAsia="Batang" w:hAnsi="Arial Narrow"/>
          <w:sz w:val="18"/>
          <w:szCs w:val="18"/>
          <w:lang w:eastAsia="en-US"/>
        </w:rPr>
        <w:t>Fuente: elaboración propia con base en el análisis de hallazgos de la evaluación.</w:t>
      </w:r>
    </w:p>
    <w:p w14:paraId="6A277256" w14:textId="77777777" w:rsidR="00025C8D" w:rsidRPr="008F0B82" w:rsidRDefault="00025C8D" w:rsidP="00025C8D">
      <w:pPr>
        <w:ind w:left="720"/>
        <w:jc w:val="both"/>
        <w:rPr>
          <w:rFonts w:ascii="Arial Narrow" w:eastAsia="Batang" w:hAnsi="Arial Narrow"/>
          <w:sz w:val="18"/>
          <w:szCs w:val="18"/>
          <w:lang w:eastAsia="en-US"/>
        </w:rPr>
      </w:pPr>
    </w:p>
    <w:p w14:paraId="5DDB37A1" w14:textId="5991929A" w:rsidR="4C982065" w:rsidRDefault="4C982065"/>
    <w:p w14:paraId="51809D43" w14:textId="77777777" w:rsidR="00D15AE9" w:rsidRDefault="003A3319" w:rsidP="003A3319">
      <w:pPr>
        <w:numPr>
          <w:ilvl w:val="0"/>
          <w:numId w:val="34"/>
        </w:numPr>
        <w:spacing w:after="160" w:line="259" w:lineRule="auto"/>
        <w:contextualSpacing/>
        <w:jc w:val="both"/>
        <w:rPr>
          <w:rFonts w:ascii="Arial Narrow" w:eastAsiaTheme="minorHAnsi" w:hAnsi="Arial Narrow" w:cstheme="minorBidi"/>
          <w:lang w:val="es-CR" w:eastAsia="en-US"/>
        </w:rPr>
      </w:pPr>
      <w:r>
        <w:rPr>
          <w:rFonts w:ascii="Arial Narrow" w:eastAsiaTheme="minorHAnsi" w:hAnsi="Arial Narrow" w:cstheme="minorBidi"/>
          <w:lang w:val="es-CR" w:eastAsia="en-US"/>
        </w:rPr>
        <w:t>1</w:t>
      </w:r>
      <w:r w:rsidRPr="003A3319">
        <w:rPr>
          <w:rFonts w:ascii="Arial Narrow" w:eastAsiaTheme="minorHAnsi" w:hAnsi="Arial Narrow" w:cstheme="minorBidi"/>
          <w:lang w:val="es-CR" w:eastAsia="en-US"/>
        </w:rPr>
        <w:t xml:space="preserve"> meta estratégica</w:t>
      </w:r>
      <w:r w:rsidR="002453C9">
        <w:rPr>
          <w:rFonts w:ascii="Arial Narrow" w:eastAsiaTheme="minorHAnsi" w:hAnsi="Arial Narrow" w:cstheme="minorBidi"/>
          <w:lang w:val="es-CR" w:eastAsia="en-US"/>
        </w:rPr>
        <w:t xml:space="preserve"> </w:t>
      </w:r>
      <w:r>
        <w:rPr>
          <w:rFonts w:ascii="Arial Narrow" w:eastAsiaTheme="minorHAnsi" w:hAnsi="Arial Narrow" w:cstheme="minorBidi"/>
          <w:lang w:val="es-CR" w:eastAsia="en-US"/>
        </w:rPr>
        <w:t>es</w:t>
      </w:r>
      <w:r w:rsidRPr="003A3319">
        <w:rPr>
          <w:rFonts w:ascii="Arial Narrow" w:eastAsiaTheme="minorHAnsi" w:hAnsi="Arial Narrow" w:cstheme="minorBidi"/>
          <w:lang w:val="es-CR" w:eastAsia="en-US"/>
        </w:rPr>
        <w:t xml:space="preserve"> incorporada para la evaluación del 2021, dado que los años anteriores, no reportaron avances estratégicos y no fueron sujetas de evaluación para esos años. </w:t>
      </w:r>
    </w:p>
    <w:p w14:paraId="6D296EFE" w14:textId="77777777" w:rsidR="00D15AE9" w:rsidRDefault="00D15AE9">
      <w:pPr>
        <w:rPr>
          <w:rFonts w:ascii="Arial Narrow" w:eastAsiaTheme="minorHAnsi" w:hAnsi="Arial Narrow" w:cstheme="minorBidi"/>
          <w:lang w:val="es-CR" w:eastAsia="en-US"/>
        </w:rPr>
      </w:pPr>
      <w:r>
        <w:rPr>
          <w:rFonts w:ascii="Arial Narrow" w:eastAsiaTheme="minorHAnsi" w:hAnsi="Arial Narrow" w:cstheme="minorBidi"/>
          <w:lang w:val="es-CR" w:eastAsia="en-US"/>
        </w:rPr>
        <w:br w:type="page"/>
      </w:r>
    </w:p>
    <w:p w14:paraId="3A70261E" w14:textId="4E1DED67" w:rsidR="003A3319" w:rsidRPr="00557C90" w:rsidRDefault="003A3319" w:rsidP="00D15AE9">
      <w:pPr>
        <w:spacing w:after="160" w:line="259" w:lineRule="auto"/>
        <w:ind w:left="720"/>
        <w:contextualSpacing/>
        <w:jc w:val="both"/>
        <w:rPr>
          <w:rFonts w:ascii="Arial Narrow" w:eastAsiaTheme="minorHAnsi" w:hAnsi="Arial Narrow" w:cstheme="minorBidi"/>
          <w:lang w:val="es-CR" w:eastAsia="en-US"/>
        </w:rPr>
      </w:pPr>
      <w:r>
        <w:rPr>
          <w:rFonts w:ascii="Arial Narrow" w:eastAsiaTheme="minorHAnsi" w:hAnsi="Arial Narrow" w:cstheme="minorBidi"/>
          <w:b/>
          <w:bCs/>
          <w:lang w:val="es-CR" w:eastAsia="en-US"/>
        </w:rPr>
        <w:t>Esta</w:t>
      </w:r>
      <w:r w:rsidRPr="003A3319">
        <w:rPr>
          <w:rFonts w:ascii="Arial Narrow" w:eastAsiaTheme="minorHAnsi" w:hAnsi="Arial Narrow" w:cstheme="minorBidi"/>
          <w:b/>
          <w:bCs/>
          <w:lang w:val="es-CR" w:eastAsia="en-US"/>
        </w:rPr>
        <w:t xml:space="preserve"> meta logr</w:t>
      </w:r>
      <w:r>
        <w:rPr>
          <w:rFonts w:ascii="Arial Narrow" w:eastAsiaTheme="minorHAnsi" w:hAnsi="Arial Narrow" w:cstheme="minorBidi"/>
          <w:b/>
          <w:bCs/>
          <w:lang w:val="es-CR" w:eastAsia="en-US"/>
        </w:rPr>
        <w:t>ó</w:t>
      </w:r>
      <w:r w:rsidRPr="003A3319">
        <w:rPr>
          <w:rFonts w:ascii="Arial Narrow" w:eastAsiaTheme="minorHAnsi" w:hAnsi="Arial Narrow" w:cstheme="minorBidi"/>
          <w:b/>
          <w:bCs/>
          <w:lang w:val="es-CR" w:eastAsia="en-US"/>
        </w:rPr>
        <w:t xml:space="preserve"> un cumplimiento anual del 100%, sin embargo, aún no tienen cumplimiento acumulado del PEI puesto que hasta el 2021 se registran datos.</w:t>
      </w:r>
    </w:p>
    <w:p w14:paraId="4CD6970D" w14:textId="5F6DA6A9" w:rsidR="00557C90" w:rsidRDefault="00557C90" w:rsidP="00557C90">
      <w:pPr>
        <w:spacing w:after="160" w:line="259" w:lineRule="auto"/>
        <w:contextualSpacing/>
        <w:jc w:val="both"/>
        <w:rPr>
          <w:rFonts w:ascii="Arial Narrow" w:eastAsiaTheme="minorHAnsi" w:hAnsi="Arial Narrow" w:cstheme="minorBidi"/>
          <w:b/>
          <w:bCs/>
          <w:lang w:val="es-CR" w:eastAsia="en-US"/>
        </w:rPr>
      </w:pPr>
    </w:p>
    <w:tbl>
      <w:tblPr>
        <w:tblW w:w="83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397"/>
        <w:gridCol w:w="1843"/>
        <w:gridCol w:w="3088"/>
      </w:tblGrid>
      <w:tr w:rsidR="002453C9" w:rsidRPr="002453C9" w14:paraId="1B2BD50E" w14:textId="77777777" w:rsidTr="4C982065">
        <w:trPr>
          <w:trHeight w:val="581"/>
          <w:jc w:val="center"/>
        </w:trPr>
        <w:tc>
          <w:tcPr>
            <w:tcW w:w="3397" w:type="dxa"/>
            <w:shd w:val="clear" w:color="auto" w:fill="8EAADB" w:themeFill="accent1" w:themeFillTint="99"/>
            <w:vAlign w:val="center"/>
            <w:hideMark/>
          </w:tcPr>
          <w:p w14:paraId="210F0382" w14:textId="77777777" w:rsidR="002453C9" w:rsidRPr="002453C9" w:rsidRDefault="002453C9" w:rsidP="002453C9">
            <w:pPr>
              <w:jc w:val="center"/>
              <w:rPr>
                <w:rFonts w:ascii="Arial Narrow" w:hAnsi="Arial Narrow" w:cs="Calibri"/>
                <w:b/>
                <w:bCs/>
                <w:color w:val="000000"/>
                <w:lang w:val="es-CR" w:eastAsia="es-CR"/>
              </w:rPr>
            </w:pPr>
            <w:r w:rsidRPr="002453C9">
              <w:rPr>
                <w:rFonts w:ascii="Arial Narrow" w:hAnsi="Arial Narrow" w:cs="Calibri"/>
                <w:b/>
                <w:bCs/>
                <w:color w:val="000000"/>
                <w:lang w:val="es-CR" w:eastAsia="es-CR"/>
              </w:rPr>
              <w:t>Meta estratégica</w:t>
            </w:r>
          </w:p>
        </w:tc>
        <w:tc>
          <w:tcPr>
            <w:tcW w:w="1843" w:type="dxa"/>
            <w:shd w:val="clear" w:color="auto" w:fill="8EAADB" w:themeFill="accent1" w:themeFillTint="99"/>
            <w:vAlign w:val="center"/>
            <w:hideMark/>
          </w:tcPr>
          <w:p w14:paraId="58065224" w14:textId="77777777" w:rsidR="002453C9" w:rsidRPr="002453C9" w:rsidRDefault="002453C9" w:rsidP="002453C9">
            <w:pPr>
              <w:jc w:val="center"/>
              <w:rPr>
                <w:rFonts w:ascii="Arial Narrow" w:hAnsi="Arial Narrow" w:cs="Calibri"/>
                <w:b/>
                <w:bCs/>
                <w:color w:val="000000"/>
                <w:lang w:val="es-CR" w:eastAsia="es-CR"/>
              </w:rPr>
            </w:pPr>
            <w:r w:rsidRPr="002453C9">
              <w:rPr>
                <w:rFonts w:ascii="Arial Narrow" w:hAnsi="Arial Narrow" w:cs="Calibri"/>
                <w:b/>
                <w:bCs/>
                <w:lang w:val="es-CR" w:eastAsia="es-CR"/>
              </w:rPr>
              <w:t>Justificación del 2019 y 2020</w:t>
            </w:r>
          </w:p>
        </w:tc>
        <w:tc>
          <w:tcPr>
            <w:tcW w:w="3088" w:type="dxa"/>
            <w:shd w:val="clear" w:color="auto" w:fill="8EAADB" w:themeFill="accent1" w:themeFillTint="99"/>
            <w:vAlign w:val="center"/>
            <w:hideMark/>
          </w:tcPr>
          <w:p w14:paraId="058A0699" w14:textId="77777777" w:rsidR="002453C9" w:rsidRPr="002453C9" w:rsidRDefault="002453C9" w:rsidP="002453C9">
            <w:pPr>
              <w:jc w:val="center"/>
              <w:rPr>
                <w:rFonts w:ascii="Arial Narrow" w:hAnsi="Arial Narrow" w:cs="Calibri"/>
                <w:b/>
                <w:bCs/>
                <w:color w:val="000000"/>
                <w:lang w:val="es-CR" w:eastAsia="es-CR"/>
              </w:rPr>
            </w:pPr>
            <w:r w:rsidRPr="002453C9">
              <w:rPr>
                <w:rFonts w:ascii="Arial Narrow" w:hAnsi="Arial Narrow" w:cs="Calibri"/>
                <w:b/>
                <w:bCs/>
                <w:lang w:val="es-CR" w:eastAsia="es-CR"/>
              </w:rPr>
              <w:t>Cumplimiento del 2021</w:t>
            </w:r>
          </w:p>
        </w:tc>
      </w:tr>
      <w:tr w:rsidR="002453C9" w:rsidRPr="002453C9" w14:paraId="530D9055" w14:textId="77777777" w:rsidTr="00B56A16">
        <w:trPr>
          <w:trHeight w:val="2816"/>
          <w:jc w:val="center"/>
        </w:trPr>
        <w:tc>
          <w:tcPr>
            <w:tcW w:w="3397" w:type="dxa"/>
            <w:shd w:val="clear" w:color="auto" w:fill="auto"/>
            <w:vAlign w:val="center"/>
            <w:hideMark/>
          </w:tcPr>
          <w:p w14:paraId="7B9939C6" w14:textId="7ADD6362" w:rsidR="002453C9" w:rsidRPr="002453C9" w:rsidRDefault="002453C9" w:rsidP="002453C9">
            <w:pPr>
              <w:jc w:val="both"/>
              <w:rPr>
                <w:rFonts w:ascii="Arial Narrow" w:hAnsi="Arial Narrow" w:cs="Arial"/>
                <w:color w:val="000000"/>
                <w:lang w:val="es-CR" w:eastAsia="es-CR"/>
              </w:rPr>
            </w:pPr>
            <w:r w:rsidRPr="002453C9">
              <w:rPr>
                <w:rFonts w:ascii="Arial Narrow" w:hAnsi="Arial Narrow" w:cs="Arial"/>
                <w:color w:val="000000"/>
                <w:lang w:val="es-CR" w:eastAsia="es-CR"/>
              </w:rPr>
              <w:t>OE.1.4.3.1 - Que al finalizar el 2024, se haya implementado una estrategia de proyección comunitaria interinstitucional e institucional del Ministerio Público.</w:t>
            </w:r>
          </w:p>
        </w:tc>
        <w:tc>
          <w:tcPr>
            <w:tcW w:w="1843" w:type="dxa"/>
            <w:shd w:val="clear" w:color="auto" w:fill="auto"/>
            <w:vAlign w:val="center"/>
            <w:hideMark/>
          </w:tcPr>
          <w:p w14:paraId="404A49E8" w14:textId="447D37DB" w:rsidR="002453C9" w:rsidRPr="002453C9" w:rsidRDefault="002453C9" w:rsidP="002453C9">
            <w:pPr>
              <w:jc w:val="both"/>
              <w:rPr>
                <w:rFonts w:ascii="Arial Narrow" w:hAnsi="Arial Narrow" w:cs="Arial"/>
                <w:color w:val="000000"/>
                <w:lang w:val="es-CR" w:eastAsia="es-CR"/>
              </w:rPr>
            </w:pPr>
            <w:r w:rsidRPr="002453C9">
              <w:rPr>
                <w:rFonts w:ascii="Arial Narrow" w:hAnsi="Arial Narrow" w:cs="Arial"/>
                <w:color w:val="000000"/>
                <w:lang w:val="es-CR" w:eastAsia="es-CR"/>
              </w:rPr>
              <w:t xml:space="preserve">Aparece en el Sistema PEI 2021, pero no para </w:t>
            </w:r>
            <w:r w:rsidR="00B56A16">
              <w:rPr>
                <w:rFonts w:ascii="Arial Narrow" w:hAnsi="Arial Narrow" w:cs="Arial"/>
                <w:color w:val="000000"/>
                <w:lang w:val="es-CR" w:eastAsia="es-CR"/>
              </w:rPr>
              <w:t>los años</w:t>
            </w:r>
            <w:r w:rsidRPr="002453C9">
              <w:rPr>
                <w:rFonts w:ascii="Arial Narrow" w:hAnsi="Arial Narrow" w:cs="Arial"/>
                <w:color w:val="000000"/>
                <w:lang w:val="es-CR" w:eastAsia="es-CR"/>
              </w:rPr>
              <w:t xml:space="preserve"> 2019 y 2020</w:t>
            </w:r>
          </w:p>
        </w:tc>
        <w:tc>
          <w:tcPr>
            <w:tcW w:w="3088" w:type="dxa"/>
            <w:shd w:val="clear" w:color="auto" w:fill="auto"/>
            <w:vAlign w:val="center"/>
            <w:hideMark/>
          </w:tcPr>
          <w:p w14:paraId="7D020F30" w14:textId="77777777" w:rsidR="002453C9" w:rsidRPr="002453C9" w:rsidRDefault="002453C9" w:rsidP="002453C9">
            <w:pPr>
              <w:jc w:val="both"/>
              <w:rPr>
                <w:rFonts w:ascii="Arial Narrow" w:hAnsi="Arial Narrow" w:cs="Arial"/>
                <w:color w:val="000000"/>
                <w:lang w:val="es-CR" w:eastAsia="es-CR"/>
              </w:rPr>
            </w:pPr>
            <w:r w:rsidRPr="002453C9">
              <w:rPr>
                <w:rFonts w:ascii="Arial Narrow" w:hAnsi="Arial Narrow" w:cs="Arial"/>
                <w:color w:val="000000"/>
                <w:lang w:val="es-CR" w:eastAsia="es-CR"/>
              </w:rPr>
              <w:t xml:space="preserve">La Fiscalía General realizó a lo largo del año 2021 diferentes talleres de formación ciudadana abarcando temas como: el estado de derecho y la Constitución Política, la denuncia penal de actos de corrupción, estructura y funciones del Poder Judicial y del Ministerio Público entre otros. </w:t>
            </w:r>
          </w:p>
        </w:tc>
      </w:tr>
    </w:tbl>
    <w:p w14:paraId="3A3F2BC8" w14:textId="77777777" w:rsidR="00025C8D" w:rsidRPr="008F0B82" w:rsidRDefault="00025C8D" w:rsidP="00025C8D">
      <w:pPr>
        <w:jc w:val="center"/>
        <w:rPr>
          <w:rFonts w:ascii="Arial Narrow" w:eastAsia="Batang" w:hAnsi="Arial Narrow"/>
          <w:sz w:val="18"/>
          <w:szCs w:val="18"/>
          <w:lang w:eastAsia="en-US"/>
        </w:rPr>
      </w:pPr>
      <w:r w:rsidRPr="008F0B82">
        <w:rPr>
          <w:rFonts w:ascii="Arial Narrow" w:eastAsia="Batang" w:hAnsi="Arial Narrow"/>
          <w:sz w:val="18"/>
          <w:szCs w:val="18"/>
          <w:lang w:eastAsia="en-US"/>
        </w:rPr>
        <w:t>Fuente: elaboración propia con base en el análisis de hallazgos de la evaluación.</w:t>
      </w:r>
    </w:p>
    <w:p w14:paraId="247F79D0" w14:textId="77777777" w:rsidR="00025C8D" w:rsidRPr="008F0B82" w:rsidRDefault="00025C8D" w:rsidP="00025C8D">
      <w:pPr>
        <w:ind w:left="720"/>
        <w:jc w:val="both"/>
        <w:rPr>
          <w:rFonts w:ascii="Arial Narrow" w:eastAsia="Batang" w:hAnsi="Arial Narrow"/>
          <w:sz w:val="18"/>
          <w:szCs w:val="18"/>
          <w:lang w:eastAsia="en-US"/>
        </w:rPr>
      </w:pPr>
    </w:p>
    <w:p w14:paraId="7A44BFCE" w14:textId="74FAEC75" w:rsidR="4C982065" w:rsidRDefault="4C982065"/>
    <w:p w14:paraId="35886795" w14:textId="608A79D5" w:rsidR="003A3319" w:rsidRDefault="003A3319" w:rsidP="00003A11">
      <w:pPr>
        <w:rPr>
          <w:rFonts w:ascii="Arial Narrow" w:eastAsia="Calibri" w:hAnsi="Arial Narrow"/>
          <w:lang w:val="es-CR"/>
        </w:rPr>
      </w:pPr>
    </w:p>
    <w:p w14:paraId="2F802253" w14:textId="5727A81B" w:rsidR="00D73200" w:rsidRPr="00132A44" w:rsidRDefault="00D73200" w:rsidP="00322D9B">
      <w:pPr>
        <w:pStyle w:val="Ttulo2"/>
      </w:pPr>
      <w:bookmarkStart w:id="58" w:name="_Toc106355277"/>
      <w:r w:rsidRPr="009915C4">
        <w:t>Tema estratégico: Optimización e innovación de los servicios judiciales</w:t>
      </w:r>
      <w:bookmarkEnd w:id="58"/>
      <w:r w:rsidRPr="006E3CA1">
        <w:t xml:space="preserve">  </w:t>
      </w:r>
    </w:p>
    <w:p w14:paraId="61B1880B" w14:textId="77777777" w:rsidR="00D73200" w:rsidRDefault="00D73200" w:rsidP="00D73200">
      <w:pPr>
        <w:rPr>
          <w:rFonts w:eastAsia="Calibri"/>
          <w:lang w:eastAsia="en-US"/>
        </w:rPr>
      </w:pPr>
    </w:p>
    <w:p w14:paraId="72BCE92E" w14:textId="77777777" w:rsidR="00D73200" w:rsidRPr="000B4845" w:rsidRDefault="00D73200" w:rsidP="00D73200">
      <w:pPr>
        <w:rPr>
          <w:rFonts w:eastAsia="Calibri"/>
          <w:lang w:eastAsia="en-US"/>
        </w:rPr>
      </w:pPr>
    </w:p>
    <w:p w14:paraId="544A8C16" w14:textId="77777777" w:rsidR="00D73200" w:rsidRDefault="00D73200" w:rsidP="00D73200">
      <w:pPr>
        <w:spacing w:line="360" w:lineRule="auto"/>
        <w:jc w:val="both"/>
        <w:rPr>
          <w:rFonts w:ascii="Arial Narrow" w:eastAsia="Calibri" w:hAnsi="Arial Narrow"/>
          <w:lang w:eastAsia="en-US"/>
        </w:rPr>
      </w:pPr>
      <w:r w:rsidRPr="000B4845">
        <w:rPr>
          <w:rFonts w:ascii="Arial Narrow" w:eastAsia="Calibri" w:hAnsi="Arial Narrow"/>
          <w:lang w:eastAsia="en-US"/>
        </w:rPr>
        <w:t xml:space="preserve">Este tema está relacionado con optimizar los recursos institucionales e impulsar la innovación de los procesos judiciales, para agilizar los servicios de justicia. Sobre las acciones estratégicas relacionadas son: </w:t>
      </w:r>
    </w:p>
    <w:p w14:paraId="4AED03EE" w14:textId="77777777" w:rsidR="00D73200" w:rsidRPr="000B4845" w:rsidRDefault="00D73200" w:rsidP="00D73200">
      <w:pPr>
        <w:spacing w:line="360" w:lineRule="auto"/>
        <w:jc w:val="both"/>
        <w:rPr>
          <w:rFonts w:ascii="Arial Narrow" w:eastAsia="Calibri" w:hAnsi="Arial Narrow"/>
          <w:lang w:eastAsia="en-US"/>
        </w:rPr>
      </w:pPr>
    </w:p>
    <w:p w14:paraId="01BC966F" w14:textId="77777777" w:rsidR="00D73200" w:rsidRPr="000B4845" w:rsidRDefault="00D73200" w:rsidP="00D73200">
      <w:pPr>
        <w:pStyle w:val="Prrafodelista"/>
        <w:numPr>
          <w:ilvl w:val="0"/>
          <w:numId w:val="27"/>
        </w:numPr>
        <w:spacing w:line="360" w:lineRule="auto"/>
        <w:jc w:val="both"/>
        <w:rPr>
          <w:rFonts w:ascii="Arial Narrow" w:eastAsia="Calibri" w:hAnsi="Arial Narrow"/>
          <w:lang w:eastAsia="en-US"/>
        </w:rPr>
      </w:pPr>
      <w:r w:rsidRPr="000B4845">
        <w:rPr>
          <w:rFonts w:ascii="Arial Narrow" w:eastAsia="Calibri" w:hAnsi="Arial Narrow"/>
          <w:b/>
          <w:bCs/>
          <w:lang w:eastAsia="en-US"/>
        </w:rPr>
        <w:t>Desarrollo y optimización de servicios y procesos judiciales</w:t>
      </w:r>
      <w:r w:rsidRPr="000B4845">
        <w:rPr>
          <w:rFonts w:ascii="Arial Narrow" w:eastAsia="Calibri" w:hAnsi="Arial Narrow"/>
          <w:lang w:eastAsia="en-US"/>
        </w:rPr>
        <w:t>: Implementar procesos estandarizados para la gestión judicial, técnica y administrativa, que agilicen y faciliten el trámite de los asuntos con el fin de mejorar el servicio de justicia brindado.</w:t>
      </w:r>
    </w:p>
    <w:p w14:paraId="3AE3D30D" w14:textId="77777777" w:rsidR="00D73200" w:rsidRPr="000B4845" w:rsidRDefault="00D73200" w:rsidP="00D73200">
      <w:pPr>
        <w:pStyle w:val="Prrafodelista"/>
        <w:numPr>
          <w:ilvl w:val="0"/>
          <w:numId w:val="27"/>
        </w:numPr>
        <w:spacing w:line="360" w:lineRule="auto"/>
        <w:jc w:val="both"/>
        <w:rPr>
          <w:rFonts w:ascii="Arial Narrow" w:eastAsia="Calibri" w:hAnsi="Arial Narrow"/>
          <w:lang w:eastAsia="en-US"/>
        </w:rPr>
      </w:pPr>
      <w:r w:rsidRPr="000B4845">
        <w:rPr>
          <w:rFonts w:ascii="Arial Narrow" w:eastAsia="Calibri" w:hAnsi="Arial Narrow"/>
          <w:b/>
          <w:bCs/>
          <w:lang w:eastAsia="en-US"/>
        </w:rPr>
        <w:t>Servicios tecnológicos</w:t>
      </w:r>
      <w:r w:rsidRPr="000B4845">
        <w:rPr>
          <w:rFonts w:ascii="Arial Narrow" w:eastAsia="Calibri" w:hAnsi="Arial Narrow"/>
          <w:lang w:eastAsia="en-US"/>
        </w:rPr>
        <w:t>: Implementar soluciones tecnológicas estandarizadas, innovadoras e integrales para una gestión judicial, técnica y administrativa eficiente.</w:t>
      </w:r>
    </w:p>
    <w:p w14:paraId="51247270" w14:textId="77777777" w:rsidR="00D73200" w:rsidRPr="000B4845" w:rsidRDefault="00D73200" w:rsidP="00D73200">
      <w:pPr>
        <w:pStyle w:val="Prrafodelista"/>
        <w:numPr>
          <w:ilvl w:val="0"/>
          <w:numId w:val="27"/>
        </w:numPr>
        <w:spacing w:line="360" w:lineRule="auto"/>
        <w:jc w:val="both"/>
        <w:rPr>
          <w:rFonts w:ascii="Arial Narrow" w:eastAsia="Calibri" w:hAnsi="Arial Narrow"/>
          <w:lang w:eastAsia="en-US"/>
        </w:rPr>
      </w:pPr>
      <w:r w:rsidRPr="000B4845">
        <w:rPr>
          <w:rFonts w:ascii="Arial Narrow" w:eastAsia="Calibri" w:hAnsi="Arial Narrow"/>
          <w:b/>
          <w:bCs/>
          <w:lang w:eastAsia="en-US"/>
        </w:rPr>
        <w:t>Leyes y reformas:</w:t>
      </w:r>
      <w:r w:rsidRPr="000B4845">
        <w:rPr>
          <w:rFonts w:ascii="Arial Narrow" w:eastAsia="Calibri" w:hAnsi="Arial Narrow"/>
          <w:lang w:eastAsia="en-US"/>
        </w:rPr>
        <w:t xml:space="preserve"> Impulsar la aprobación y revisión de proyectos y reformas de Ley, así como normativa interna que impacten el funcionamiento y estructura del Poder Judicial y sus dependencias.</w:t>
      </w:r>
    </w:p>
    <w:p w14:paraId="7E4725EC" w14:textId="77777777" w:rsidR="00D73200" w:rsidRPr="000B4845" w:rsidRDefault="00D73200" w:rsidP="00D73200">
      <w:pPr>
        <w:pStyle w:val="Prrafodelista"/>
        <w:numPr>
          <w:ilvl w:val="0"/>
          <w:numId w:val="27"/>
        </w:numPr>
        <w:spacing w:line="360" w:lineRule="auto"/>
        <w:jc w:val="both"/>
        <w:rPr>
          <w:rFonts w:ascii="Arial Narrow" w:eastAsia="Calibri" w:hAnsi="Arial Narrow"/>
          <w:lang w:eastAsia="en-US"/>
        </w:rPr>
      </w:pPr>
      <w:r w:rsidRPr="000B4845">
        <w:rPr>
          <w:rFonts w:ascii="Arial Narrow" w:eastAsia="Calibri" w:hAnsi="Arial Narrow"/>
          <w:b/>
          <w:bCs/>
          <w:lang w:eastAsia="en-US"/>
        </w:rPr>
        <w:t>Modalidades alternativas de trabajo:</w:t>
      </w:r>
      <w:r w:rsidRPr="000B4845">
        <w:rPr>
          <w:rFonts w:ascii="Arial Narrow" w:eastAsia="Calibri" w:hAnsi="Arial Narrow"/>
          <w:lang w:eastAsia="en-US"/>
        </w:rPr>
        <w:t xml:space="preserve"> Contar con diferentes modalidades alternas de trabajo que permitan alcanzar los objetivos institucionales y brindar un servicio público de calidad.</w:t>
      </w:r>
    </w:p>
    <w:p w14:paraId="0A86DCE0" w14:textId="77777777" w:rsidR="00D73200" w:rsidRPr="000B4845" w:rsidRDefault="00D73200" w:rsidP="00D73200">
      <w:pPr>
        <w:pStyle w:val="Prrafodelista"/>
        <w:numPr>
          <w:ilvl w:val="0"/>
          <w:numId w:val="27"/>
        </w:numPr>
        <w:spacing w:line="360" w:lineRule="auto"/>
        <w:jc w:val="both"/>
        <w:rPr>
          <w:rFonts w:ascii="Arial Narrow" w:eastAsia="Calibri" w:hAnsi="Arial Narrow"/>
          <w:lang w:eastAsia="en-US"/>
        </w:rPr>
      </w:pPr>
      <w:r w:rsidRPr="000B4845">
        <w:rPr>
          <w:rFonts w:ascii="Arial Narrow" w:eastAsia="Calibri" w:hAnsi="Arial Narrow"/>
          <w:b/>
          <w:bCs/>
          <w:lang w:eastAsia="en-US"/>
        </w:rPr>
        <w:t>Buenas prácticas:</w:t>
      </w:r>
      <w:r w:rsidRPr="000B4845">
        <w:rPr>
          <w:rFonts w:ascii="Arial Narrow" w:eastAsia="Calibri" w:hAnsi="Arial Narrow"/>
          <w:lang w:eastAsia="en-US"/>
        </w:rPr>
        <w:t xml:space="preserve"> Participar e involucrar a las oficinas judiciales en el Programa de Buenas Prácticas, con el fin de innovar y mejorar los servicios de justicia.</w:t>
      </w:r>
    </w:p>
    <w:p w14:paraId="3DA2F43A" w14:textId="77777777" w:rsidR="00D73200" w:rsidRPr="000B4845" w:rsidRDefault="00D73200" w:rsidP="00AB5922">
      <w:pPr>
        <w:rPr>
          <w:rFonts w:ascii="Arial Narrow" w:eastAsia="Calibri" w:hAnsi="Arial Narrow"/>
          <w:lang w:eastAsia="en-US"/>
        </w:rPr>
      </w:pPr>
    </w:p>
    <w:p w14:paraId="6729A14A" w14:textId="1430341B" w:rsidR="00AB5922" w:rsidRDefault="00AB5922" w:rsidP="00AB5922">
      <w:pPr>
        <w:rPr>
          <w:rFonts w:ascii="Arial Narrow" w:eastAsia="Calibri" w:hAnsi="Arial Narrow"/>
          <w:lang w:eastAsia="en-US"/>
        </w:rPr>
      </w:pPr>
    </w:p>
    <w:p w14:paraId="419386B0" w14:textId="53E618A6" w:rsidR="00696737" w:rsidRPr="001274D3" w:rsidRDefault="00696737" w:rsidP="00696737">
      <w:pPr>
        <w:spacing w:line="360" w:lineRule="auto"/>
        <w:jc w:val="both"/>
        <w:rPr>
          <w:color w:val="FF0000"/>
        </w:rPr>
      </w:pPr>
      <w:r w:rsidRPr="00395D0A">
        <w:rPr>
          <w:rFonts w:ascii="Arial Narrow" w:hAnsi="Arial Narrow"/>
        </w:rPr>
        <w:t xml:space="preserve">Con respecto al tema estratégico de </w:t>
      </w:r>
      <w:r w:rsidRPr="00974712">
        <w:rPr>
          <w:rFonts w:ascii="Arial Narrow" w:hAnsi="Arial Narrow"/>
        </w:rPr>
        <w:t xml:space="preserve">Optimización e </w:t>
      </w:r>
      <w:r w:rsidR="00792BB6">
        <w:rPr>
          <w:rFonts w:ascii="Arial Narrow" w:hAnsi="Arial Narrow"/>
        </w:rPr>
        <w:t>I</w:t>
      </w:r>
      <w:r w:rsidRPr="00974712">
        <w:rPr>
          <w:rFonts w:ascii="Arial Narrow" w:hAnsi="Arial Narrow"/>
        </w:rPr>
        <w:t xml:space="preserve">nnovación de los </w:t>
      </w:r>
      <w:r w:rsidR="00792BB6">
        <w:rPr>
          <w:rFonts w:ascii="Arial Narrow" w:hAnsi="Arial Narrow"/>
        </w:rPr>
        <w:t>S</w:t>
      </w:r>
      <w:r w:rsidRPr="00974712">
        <w:rPr>
          <w:rFonts w:ascii="Arial Narrow" w:hAnsi="Arial Narrow"/>
        </w:rPr>
        <w:t xml:space="preserve">ervicios </w:t>
      </w:r>
      <w:r w:rsidR="00792BB6">
        <w:rPr>
          <w:rFonts w:ascii="Arial Narrow" w:hAnsi="Arial Narrow"/>
        </w:rPr>
        <w:t>J</w:t>
      </w:r>
      <w:r w:rsidRPr="00974712">
        <w:rPr>
          <w:rFonts w:ascii="Arial Narrow" w:hAnsi="Arial Narrow"/>
        </w:rPr>
        <w:t>udiciales</w:t>
      </w:r>
      <w:r>
        <w:rPr>
          <w:rFonts w:ascii="Arial Narrow" w:hAnsi="Arial Narrow"/>
        </w:rPr>
        <w:t xml:space="preserve"> </w:t>
      </w:r>
      <w:r w:rsidRPr="00395D0A">
        <w:rPr>
          <w:rFonts w:ascii="Arial Narrow" w:hAnsi="Arial Narrow"/>
        </w:rPr>
        <w:t xml:space="preserve">cuenta con </w:t>
      </w:r>
      <w:r>
        <w:rPr>
          <w:rFonts w:ascii="Arial Narrow" w:hAnsi="Arial Narrow"/>
        </w:rPr>
        <w:t>46</w:t>
      </w:r>
      <w:r w:rsidRPr="00395D0A">
        <w:rPr>
          <w:rFonts w:ascii="Arial Narrow" w:hAnsi="Arial Narrow"/>
        </w:rPr>
        <w:t xml:space="preserve"> metas</w:t>
      </w:r>
      <w:r>
        <w:rPr>
          <w:rFonts w:ascii="Arial Narrow" w:hAnsi="Arial Narrow"/>
        </w:rPr>
        <w:t xml:space="preserve"> estratégicas</w:t>
      </w:r>
      <w:r w:rsidRPr="00395D0A">
        <w:rPr>
          <w:rFonts w:ascii="Arial Narrow" w:hAnsi="Arial Narrow"/>
        </w:rPr>
        <w:t xml:space="preserve"> de las cuales, </w:t>
      </w:r>
      <w:r>
        <w:rPr>
          <w:rFonts w:ascii="Arial Narrow" w:hAnsi="Arial Narrow"/>
        </w:rPr>
        <w:t>Desarrollo y Optimización de Servicios y procesos judiciales</w:t>
      </w:r>
      <w:r w:rsidRPr="00395D0A">
        <w:rPr>
          <w:rFonts w:ascii="Arial Narrow" w:hAnsi="Arial Narrow"/>
        </w:rPr>
        <w:t xml:space="preserve"> tiene </w:t>
      </w:r>
      <w:r>
        <w:rPr>
          <w:rFonts w:ascii="Arial Narrow" w:hAnsi="Arial Narrow"/>
        </w:rPr>
        <w:t xml:space="preserve">24 </w:t>
      </w:r>
      <w:r w:rsidRPr="00395D0A">
        <w:rPr>
          <w:rFonts w:ascii="Arial Narrow" w:hAnsi="Arial Narrow"/>
        </w:rPr>
        <w:t>metas, de</w:t>
      </w:r>
      <w:r>
        <w:rPr>
          <w:rFonts w:ascii="Arial Narrow" w:hAnsi="Arial Narrow"/>
        </w:rPr>
        <w:t xml:space="preserve"> la acción estratégica de</w:t>
      </w:r>
      <w:r w:rsidRPr="00395D0A">
        <w:rPr>
          <w:rFonts w:ascii="Arial Narrow" w:hAnsi="Arial Narrow"/>
        </w:rPr>
        <w:t xml:space="preserve"> </w:t>
      </w:r>
      <w:r>
        <w:rPr>
          <w:rFonts w:ascii="Arial Narrow" w:hAnsi="Arial Narrow"/>
        </w:rPr>
        <w:t>Servicios tecnológicos</w:t>
      </w:r>
      <w:r w:rsidRPr="00395D0A">
        <w:rPr>
          <w:rFonts w:ascii="Arial Narrow" w:hAnsi="Arial Narrow"/>
        </w:rPr>
        <w:t xml:space="preserve"> hay 1</w:t>
      </w:r>
      <w:r>
        <w:rPr>
          <w:rFonts w:ascii="Arial Narrow" w:hAnsi="Arial Narrow"/>
        </w:rPr>
        <w:t xml:space="preserve">0 </w:t>
      </w:r>
      <w:r w:rsidRPr="00395D0A">
        <w:rPr>
          <w:rFonts w:ascii="Arial Narrow" w:hAnsi="Arial Narrow"/>
        </w:rPr>
        <w:t>met</w:t>
      </w:r>
      <w:r>
        <w:rPr>
          <w:rFonts w:ascii="Arial Narrow" w:hAnsi="Arial Narrow"/>
        </w:rPr>
        <w:t>as</w:t>
      </w:r>
      <w:r w:rsidRPr="00395D0A">
        <w:rPr>
          <w:rFonts w:ascii="Arial Narrow" w:hAnsi="Arial Narrow"/>
        </w:rPr>
        <w:t xml:space="preserve"> </w:t>
      </w:r>
      <w:r>
        <w:rPr>
          <w:rFonts w:ascii="Arial Narrow" w:hAnsi="Arial Narrow"/>
        </w:rPr>
        <w:t>vinculadas, de la acción Leyes y Reformas hay 7 metas estratégicas, sobre la acción de Modalidades alternativas hay 3 metas estratégicas y de Buenas prácticas hay 2 metas estratégicas</w:t>
      </w:r>
      <w:r w:rsidRPr="00395D0A">
        <w:rPr>
          <w:rFonts w:ascii="Arial Narrow" w:hAnsi="Arial Narrow"/>
        </w:rPr>
        <w:t>.</w:t>
      </w:r>
      <w:r>
        <w:rPr>
          <w:rFonts w:ascii="Arial Narrow" w:hAnsi="Arial Narrow"/>
        </w:rPr>
        <w:t xml:space="preserve"> Este tema presento variaciones para el 2021, por lo que al finalizar el apartado se indican ciertas aclaraciones relacionadas con metas estratégicas que presentaron ciertas variaciones en el periodo 2019-2021</w:t>
      </w:r>
    </w:p>
    <w:p w14:paraId="53A2E993" w14:textId="77777777" w:rsidR="00696737" w:rsidRDefault="00696737" w:rsidP="00696737">
      <w:pPr>
        <w:jc w:val="both"/>
        <w:rPr>
          <w:rFonts w:ascii="Arial Narrow" w:hAnsi="Arial Narrow"/>
          <w:b/>
          <w:bCs/>
        </w:rPr>
      </w:pPr>
    </w:p>
    <w:p w14:paraId="70F2FBB9" w14:textId="5AE01CE5" w:rsidR="00696737" w:rsidRPr="00696737" w:rsidRDefault="00696737" w:rsidP="00322D9B">
      <w:pPr>
        <w:pStyle w:val="Ttulo3"/>
        <w:numPr>
          <w:ilvl w:val="2"/>
          <w:numId w:val="124"/>
        </w:numPr>
        <w:rPr>
          <w:rFonts w:eastAsia="Calibri"/>
        </w:rPr>
      </w:pPr>
      <w:bookmarkStart w:id="59" w:name="_Toc106355278"/>
      <w:r w:rsidRPr="00696737">
        <w:rPr>
          <w:rFonts w:eastAsia="Calibri"/>
        </w:rPr>
        <w:t xml:space="preserve">Desarrollo </w:t>
      </w:r>
      <w:r>
        <w:rPr>
          <w:rFonts w:eastAsia="Calibri"/>
        </w:rPr>
        <w:t>y</w:t>
      </w:r>
      <w:r w:rsidRPr="00696737">
        <w:rPr>
          <w:rFonts w:eastAsia="Calibri"/>
        </w:rPr>
        <w:t xml:space="preserve"> Optimización </w:t>
      </w:r>
      <w:r>
        <w:rPr>
          <w:rFonts w:eastAsia="Calibri"/>
        </w:rPr>
        <w:t>d</w:t>
      </w:r>
      <w:r w:rsidRPr="00696737">
        <w:rPr>
          <w:rFonts w:eastAsia="Calibri"/>
        </w:rPr>
        <w:t xml:space="preserve">e Servicios </w:t>
      </w:r>
      <w:r>
        <w:rPr>
          <w:rFonts w:eastAsia="Calibri"/>
        </w:rPr>
        <w:t>y</w:t>
      </w:r>
      <w:r w:rsidRPr="00696737">
        <w:rPr>
          <w:rFonts w:eastAsia="Calibri"/>
        </w:rPr>
        <w:t xml:space="preserve"> Procesos Judiciales</w:t>
      </w:r>
      <w:bookmarkEnd w:id="59"/>
    </w:p>
    <w:p w14:paraId="25EFDAF3" w14:textId="77777777" w:rsidR="00792BB6" w:rsidRDefault="00792BB6" w:rsidP="00792BB6">
      <w:pPr>
        <w:spacing w:line="360" w:lineRule="auto"/>
        <w:jc w:val="both"/>
        <w:rPr>
          <w:rFonts w:ascii="Arial Narrow" w:hAnsi="Arial Narrow"/>
        </w:rPr>
      </w:pPr>
    </w:p>
    <w:p w14:paraId="5B00BF15" w14:textId="3CD98E1B" w:rsidR="00792BB6" w:rsidRPr="007B5DAD" w:rsidRDefault="00792BB6" w:rsidP="00132A44">
      <w:pPr>
        <w:spacing w:line="360" w:lineRule="auto"/>
        <w:jc w:val="both"/>
      </w:pPr>
      <w:r w:rsidRPr="00132A44">
        <w:rPr>
          <w:rFonts w:ascii="Arial Narrow" w:hAnsi="Arial Narrow"/>
        </w:rPr>
        <w:t xml:space="preserve">Se observan </w:t>
      </w:r>
      <w:r>
        <w:rPr>
          <w:rFonts w:ascii="Arial Narrow" w:hAnsi="Arial Narrow"/>
        </w:rPr>
        <w:t>2</w:t>
      </w:r>
      <w:r w:rsidRPr="00132A44">
        <w:rPr>
          <w:rFonts w:ascii="Arial Narrow" w:hAnsi="Arial Narrow"/>
        </w:rPr>
        <w:t xml:space="preserve">4 metas estratégicas de las cuales </w:t>
      </w:r>
      <w:r>
        <w:rPr>
          <w:rFonts w:ascii="Arial Narrow" w:hAnsi="Arial Narrow"/>
        </w:rPr>
        <w:t>23</w:t>
      </w:r>
      <w:r w:rsidRPr="00132A44">
        <w:rPr>
          <w:rFonts w:ascii="Arial Narrow" w:hAnsi="Arial Narrow"/>
        </w:rPr>
        <w:t xml:space="preserve"> muestran una ejecución alta en su cumplimiento</w:t>
      </w:r>
      <w:r>
        <w:rPr>
          <w:rFonts w:ascii="Arial Narrow" w:hAnsi="Arial Narrow"/>
        </w:rPr>
        <w:t xml:space="preserve"> y sola una meta con cumplimiento bajo</w:t>
      </w:r>
      <w:r w:rsidRPr="00132A44">
        <w:rPr>
          <w:rFonts w:ascii="Arial Narrow" w:hAnsi="Arial Narrow"/>
        </w:rPr>
        <w:t>. Se detalla a continuación las metas estratégicas y su cumplimiento para el 2021:</w:t>
      </w:r>
    </w:p>
    <w:p w14:paraId="012F77BA" w14:textId="77777777" w:rsidR="00B56A16" w:rsidRDefault="00B56A16" w:rsidP="00696737">
      <w:pPr>
        <w:jc w:val="center"/>
        <w:rPr>
          <w:rFonts w:ascii="Arial Narrow" w:hAnsi="Arial Narrow"/>
          <w:b/>
          <w:bCs/>
        </w:rPr>
      </w:pPr>
    </w:p>
    <w:p w14:paraId="177ED3C3" w14:textId="6993F9A9" w:rsidR="00B56A16" w:rsidRDefault="00B56A16" w:rsidP="00B56A16">
      <w:pPr>
        <w:pStyle w:val="Descripcin"/>
        <w:jc w:val="center"/>
        <w:rPr>
          <w:rFonts w:ascii="Arial Narrow" w:eastAsia="Calibri" w:hAnsi="Arial Narrow"/>
          <w:sz w:val="24"/>
          <w:szCs w:val="24"/>
        </w:rPr>
      </w:pPr>
      <w:r w:rsidRPr="005E067A">
        <w:rPr>
          <w:rFonts w:ascii="Arial Narrow" w:hAnsi="Arial Narrow"/>
          <w:sz w:val="24"/>
          <w:szCs w:val="24"/>
        </w:rPr>
        <w:t xml:space="preserve">Cuadro </w:t>
      </w:r>
      <w:r w:rsidRPr="005E067A">
        <w:rPr>
          <w:rFonts w:ascii="Arial Narrow" w:hAnsi="Arial Narrow"/>
          <w:sz w:val="24"/>
          <w:szCs w:val="24"/>
        </w:rPr>
        <w:fldChar w:fldCharType="begin"/>
      </w:r>
      <w:r w:rsidRPr="005E067A">
        <w:rPr>
          <w:rFonts w:ascii="Arial Narrow" w:hAnsi="Arial Narrow"/>
          <w:sz w:val="24"/>
          <w:szCs w:val="24"/>
        </w:rPr>
        <w:instrText xml:space="preserve"> SEQ Cuadro_No. \* ARABIC </w:instrText>
      </w:r>
      <w:r w:rsidRPr="005E067A">
        <w:rPr>
          <w:rFonts w:ascii="Arial Narrow" w:hAnsi="Arial Narrow"/>
          <w:sz w:val="24"/>
          <w:szCs w:val="24"/>
        </w:rPr>
        <w:fldChar w:fldCharType="separate"/>
      </w:r>
      <w:r w:rsidR="002F520A">
        <w:rPr>
          <w:rFonts w:ascii="Arial Narrow" w:hAnsi="Arial Narrow"/>
          <w:noProof/>
          <w:sz w:val="24"/>
          <w:szCs w:val="24"/>
        </w:rPr>
        <w:t>44</w:t>
      </w:r>
      <w:r w:rsidRPr="005E067A">
        <w:rPr>
          <w:rFonts w:ascii="Arial Narrow" w:hAnsi="Arial Narrow"/>
          <w:sz w:val="24"/>
          <w:szCs w:val="24"/>
        </w:rPr>
        <w:fldChar w:fldCharType="end"/>
      </w:r>
      <w:r w:rsidRPr="005E067A">
        <w:rPr>
          <w:rFonts w:ascii="Arial Narrow" w:hAnsi="Arial Narrow"/>
          <w:sz w:val="24"/>
          <w:szCs w:val="24"/>
        </w:rPr>
        <w:t xml:space="preserve"> </w:t>
      </w:r>
      <w:r w:rsidRPr="005E067A">
        <w:rPr>
          <w:rFonts w:ascii="Arial Narrow" w:eastAsia="Calibri" w:hAnsi="Arial Narrow"/>
          <w:sz w:val="24"/>
          <w:szCs w:val="24"/>
        </w:rPr>
        <w:t xml:space="preserve">Metas estratégicas de </w:t>
      </w:r>
      <w:r>
        <w:rPr>
          <w:rFonts w:ascii="Arial Narrow" w:eastAsia="Calibri" w:hAnsi="Arial Narrow"/>
          <w:sz w:val="24"/>
          <w:szCs w:val="24"/>
        </w:rPr>
        <w:t>Desarrollo y Optimización de Servicios y Procesos judiciales</w:t>
      </w:r>
      <w:r w:rsidRPr="005E067A">
        <w:rPr>
          <w:rFonts w:ascii="Arial Narrow" w:eastAsia="Calibri" w:hAnsi="Arial Narrow"/>
          <w:sz w:val="24"/>
          <w:szCs w:val="24"/>
        </w:rPr>
        <w:t>, y su cumplimiento para el 20</w:t>
      </w:r>
      <w:r>
        <w:rPr>
          <w:rFonts w:ascii="Arial Narrow" w:eastAsia="Calibri" w:hAnsi="Arial Narrow"/>
          <w:sz w:val="24"/>
          <w:szCs w:val="24"/>
        </w:rPr>
        <w:t>21</w:t>
      </w:r>
    </w:p>
    <w:p w14:paraId="23AB9AE1" w14:textId="77777777" w:rsidR="00162437" w:rsidRPr="00322D9B" w:rsidRDefault="00162437" w:rsidP="00322D9B">
      <w:pPr>
        <w:rPr>
          <w:rFonts w:eastAsia="Calibri"/>
        </w:rPr>
      </w:pPr>
    </w:p>
    <w:p w14:paraId="25E70778" w14:textId="77777777" w:rsidR="00696737" w:rsidRDefault="00696737" w:rsidP="00696737">
      <w:r>
        <w:rPr>
          <w:noProof/>
        </w:rPr>
        <w:drawing>
          <wp:inline distT="0" distB="0" distL="0" distR="0" wp14:anchorId="12D94FE5" wp14:editId="2AF1452F">
            <wp:extent cx="5829300" cy="2460625"/>
            <wp:effectExtent l="19050" t="19050" r="19050" b="15875"/>
            <wp:docPr id="39" name="Imagen 39"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Tabla&#10;&#10;Descripción generada automáticamente"/>
                    <pic:cNvPicPr/>
                  </pic:nvPicPr>
                  <pic:blipFill rotWithShape="1">
                    <a:blip r:embed="rId99"/>
                    <a:srcRect b="1435"/>
                    <a:stretch/>
                  </pic:blipFill>
                  <pic:spPr bwMode="auto">
                    <a:xfrm>
                      <a:off x="0" y="0"/>
                      <a:ext cx="5837801" cy="2464213"/>
                    </a:xfrm>
                    <a:prstGeom prst="rect">
                      <a:avLst/>
                    </a:prstGeom>
                    <a:ln w="12700" cap="flat" cmpd="sng" algn="ctr">
                      <a:solidFill>
                        <a:schemeClr val="tx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B165AE4" w14:textId="77777777" w:rsidR="00696737" w:rsidRPr="00996542" w:rsidRDefault="00696737" w:rsidP="00B54439">
      <w:pPr>
        <w:jc w:val="center"/>
        <w:rPr>
          <w:rFonts w:ascii="Arial Narrow" w:hAnsi="Arial Narrow"/>
          <w:sz w:val="18"/>
          <w:szCs w:val="18"/>
        </w:rPr>
      </w:pPr>
      <w:r w:rsidRPr="00996542">
        <w:rPr>
          <w:rFonts w:ascii="Arial Narrow" w:hAnsi="Arial Narrow"/>
          <w:sz w:val="18"/>
          <w:szCs w:val="18"/>
        </w:rPr>
        <w:t>Fuente: Sistema PEI al 19 de enero del 2022 para el año 2021.</w:t>
      </w:r>
    </w:p>
    <w:p w14:paraId="13A99D92" w14:textId="63250203" w:rsidR="00696737" w:rsidRDefault="00696737" w:rsidP="00696737">
      <w:pPr>
        <w:jc w:val="both"/>
        <w:rPr>
          <w:rFonts w:ascii="Arial Narrow" w:hAnsi="Arial Narrow"/>
        </w:rPr>
      </w:pPr>
      <w:r w:rsidRPr="00C21017">
        <w:rPr>
          <w:rFonts w:ascii="Arial Narrow" w:hAnsi="Arial Narrow"/>
        </w:rPr>
        <w:t>El Ministerio P</w:t>
      </w:r>
      <w:r>
        <w:rPr>
          <w:rFonts w:ascii="Arial Narrow" w:hAnsi="Arial Narrow"/>
        </w:rPr>
        <w:t>ú</w:t>
      </w:r>
      <w:r w:rsidRPr="00C21017">
        <w:rPr>
          <w:rFonts w:ascii="Arial Narrow" w:hAnsi="Arial Narrow"/>
        </w:rPr>
        <w:t xml:space="preserve">blico ha realizado esfuerzos </w:t>
      </w:r>
      <w:r>
        <w:rPr>
          <w:rFonts w:ascii="Arial Narrow" w:hAnsi="Arial Narrow"/>
        </w:rPr>
        <w:t xml:space="preserve">en el 2021 </w:t>
      </w:r>
      <w:r w:rsidRPr="00C21017">
        <w:rPr>
          <w:rFonts w:ascii="Arial Narrow" w:hAnsi="Arial Narrow"/>
        </w:rPr>
        <w:t xml:space="preserve">para cumplir con </w:t>
      </w:r>
      <w:r w:rsidRPr="00067D58">
        <w:rPr>
          <w:rFonts w:ascii="Arial Narrow" w:hAnsi="Arial Narrow"/>
        </w:rPr>
        <w:t xml:space="preserve">la implementación de procesos estandarizados por medio del oficio FGR-130-2021 y del oficio 1793-UAMP-2021 se informa del análisis de las fiscalías territoriales del país, </w:t>
      </w:r>
      <w:r>
        <w:rPr>
          <w:rFonts w:ascii="Arial Narrow" w:hAnsi="Arial Narrow"/>
        </w:rPr>
        <w:t xml:space="preserve">por medio del cual </w:t>
      </w:r>
      <w:r w:rsidRPr="00067D58">
        <w:rPr>
          <w:rFonts w:ascii="Arial Narrow" w:hAnsi="Arial Narrow"/>
        </w:rPr>
        <w:t xml:space="preserve">se resume la información en 171 procedimientos los cuales fueron agrupados en 10 grandes áreas o subprocesos, por lo que el </w:t>
      </w:r>
      <w:r>
        <w:rPr>
          <w:rFonts w:ascii="Arial Narrow" w:hAnsi="Arial Narrow"/>
        </w:rPr>
        <w:t>Ministerio Público</w:t>
      </w:r>
      <w:r w:rsidRPr="00067D58">
        <w:rPr>
          <w:rFonts w:ascii="Arial Narrow" w:hAnsi="Arial Narrow"/>
        </w:rPr>
        <w:t xml:space="preserve"> está trabajando</w:t>
      </w:r>
      <w:r w:rsidRPr="00C21017">
        <w:rPr>
          <w:rFonts w:ascii="Arial Narrow" w:hAnsi="Arial Narrow"/>
        </w:rPr>
        <w:t xml:space="preserve"> en el seguimiento y el mapeo de los procedimientos administrativos en las fiscalías territoriales, conforme el trabajo de investigación realizado por la Unidad Administrativa.</w:t>
      </w:r>
    </w:p>
    <w:p w14:paraId="1DCB1C96" w14:textId="77777777" w:rsidR="009915C4" w:rsidRPr="00C21017" w:rsidRDefault="009915C4" w:rsidP="00696737">
      <w:pPr>
        <w:jc w:val="both"/>
        <w:rPr>
          <w:rFonts w:ascii="Arial Narrow" w:hAnsi="Arial Narrow"/>
        </w:rPr>
      </w:pPr>
    </w:p>
    <w:p w14:paraId="6D0E9B1D" w14:textId="77777777" w:rsidR="00696737" w:rsidRDefault="00696737" w:rsidP="00696737">
      <w:pPr>
        <w:jc w:val="both"/>
        <w:rPr>
          <w:rFonts w:ascii="Arial Narrow" w:hAnsi="Arial Narrow"/>
        </w:rPr>
      </w:pPr>
      <w:r>
        <w:rPr>
          <w:rFonts w:ascii="Arial Narrow" w:hAnsi="Arial Narrow"/>
        </w:rPr>
        <w:t xml:space="preserve">El </w:t>
      </w:r>
      <w:r w:rsidRPr="00C21017">
        <w:rPr>
          <w:rFonts w:ascii="Arial Narrow" w:hAnsi="Arial Narrow"/>
        </w:rPr>
        <w:t>O</w:t>
      </w:r>
      <w:r>
        <w:rPr>
          <w:rFonts w:ascii="Arial Narrow" w:hAnsi="Arial Narrow"/>
        </w:rPr>
        <w:t xml:space="preserve">rganismo de </w:t>
      </w:r>
      <w:r w:rsidRPr="00C21017">
        <w:rPr>
          <w:rFonts w:ascii="Arial Narrow" w:hAnsi="Arial Narrow"/>
        </w:rPr>
        <w:t>I</w:t>
      </w:r>
      <w:r>
        <w:rPr>
          <w:rFonts w:ascii="Arial Narrow" w:hAnsi="Arial Narrow"/>
        </w:rPr>
        <w:t xml:space="preserve">nvestigación </w:t>
      </w:r>
      <w:r w:rsidRPr="00C21017">
        <w:rPr>
          <w:rFonts w:ascii="Arial Narrow" w:hAnsi="Arial Narrow"/>
        </w:rPr>
        <w:t>J</w:t>
      </w:r>
      <w:r>
        <w:rPr>
          <w:rFonts w:ascii="Arial Narrow" w:hAnsi="Arial Narrow"/>
        </w:rPr>
        <w:t>udicial</w:t>
      </w:r>
      <w:r w:rsidRPr="00C21017">
        <w:rPr>
          <w:rFonts w:ascii="Arial Narrow" w:hAnsi="Arial Narrow"/>
        </w:rPr>
        <w:t xml:space="preserve"> ha desarrollado el proyecto de custodios y se tiene el cronograma de trabajo </w:t>
      </w:r>
      <w:r>
        <w:rPr>
          <w:rFonts w:ascii="Arial Narrow" w:hAnsi="Arial Narrow"/>
        </w:rPr>
        <w:t xml:space="preserve">con un 18% de cumplimiento al 31 de octubre del 2021. Se han desarrollado todas las </w:t>
      </w:r>
      <w:r w:rsidRPr="00C21017">
        <w:rPr>
          <w:rFonts w:ascii="Arial Narrow" w:hAnsi="Arial Narrow"/>
        </w:rPr>
        <w:t>actividade</w:t>
      </w:r>
      <w:r>
        <w:rPr>
          <w:rFonts w:ascii="Arial Narrow" w:hAnsi="Arial Narrow"/>
        </w:rPr>
        <w:t>s correspondientes a las fases de inicio y planeación</w:t>
      </w:r>
      <w:r w:rsidRPr="00C21017">
        <w:rPr>
          <w:rFonts w:ascii="Arial Narrow" w:hAnsi="Arial Narrow"/>
        </w:rPr>
        <w:t xml:space="preserve">, </w:t>
      </w:r>
      <w:r>
        <w:rPr>
          <w:rFonts w:ascii="Arial Narrow" w:hAnsi="Arial Narrow"/>
        </w:rPr>
        <w:t xml:space="preserve">y se ha completado actividades como toma de requerimientos y elaboración de prototipo no funcional. Adicionalmente, </w:t>
      </w:r>
      <w:r w:rsidRPr="00C21017">
        <w:rPr>
          <w:rFonts w:ascii="Arial Narrow" w:hAnsi="Arial Narrow"/>
        </w:rPr>
        <w:t xml:space="preserve">se rinde el informe 1167-OIJ-P04-MAPDTI-003 </w:t>
      </w:r>
      <w:r>
        <w:rPr>
          <w:rFonts w:ascii="Arial Narrow" w:hAnsi="Arial Narrow"/>
        </w:rPr>
        <w:t xml:space="preserve">que contiene </w:t>
      </w:r>
      <w:r w:rsidRPr="00C21017">
        <w:rPr>
          <w:rFonts w:ascii="Arial Narrow" w:hAnsi="Arial Narrow"/>
        </w:rPr>
        <w:t>el estudio de factibilidad de</w:t>
      </w:r>
      <w:r>
        <w:rPr>
          <w:rFonts w:ascii="Arial Narrow" w:hAnsi="Arial Narrow"/>
        </w:rPr>
        <w:t>l Sistema de la</w:t>
      </w:r>
      <w:r w:rsidRPr="00C21017">
        <w:rPr>
          <w:rFonts w:ascii="Arial Narrow" w:hAnsi="Arial Narrow"/>
        </w:rPr>
        <w:t xml:space="preserve"> Sección de Cárceles (SIGEC).</w:t>
      </w:r>
    </w:p>
    <w:p w14:paraId="6461A6C3" w14:textId="141464C3" w:rsidR="00696737" w:rsidRDefault="00696737" w:rsidP="00696737">
      <w:pPr>
        <w:jc w:val="both"/>
        <w:rPr>
          <w:rFonts w:ascii="Arial Narrow" w:hAnsi="Arial Narrow"/>
        </w:rPr>
      </w:pPr>
      <w:r w:rsidRPr="00C21017">
        <w:rPr>
          <w:rFonts w:ascii="Arial Narrow" w:hAnsi="Arial Narrow"/>
        </w:rPr>
        <w:t>Adicionalmente, el O</w:t>
      </w:r>
      <w:r>
        <w:rPr>
          <w:rFonts w:ascii="Arial Narrow" w:hAnsi="Arial Narrow"/>
        </w:rPr>
        <w:t xml:space="preserve">rganismo de </w:t>
      </w:r>
      <w:r w:rsidRPr="00C21017">
        <w:rPr>
          <w:rFonts w:ascii="Arial Narrow" w:hAnsi="Arial Narrow"/>
        </w:rPr>
        <w:t>I</w:t>
      </w:r>
      <w:r>
        <w:rPr>
          <w:rFonts w:ascii="Arial Narrow" w:hAnsi="Arial Narrow"/>
        </w:rPr>
        <w:t xml:space="preserve">nvestigación </w:t>
      </w:r>
      <w:r w:rsidRPr="00C21017">
        <w:rPr>
          <w:rFonts w:ascii="Arial Narrow" w:hAnsi="Arial Narrow"/>
        </w:rPr>
        <w:t>J</w:t>
      </w:r>
      <w:r>
        <w:rPr>
          <w:rFonts w:ascii="Arial Narrow" w:hAnsi="Arial Narrow"/>
        </w:rPr>
        <w:t>udicial</w:t>
      </w:r>
      <w:r w:rsidRPr="00C21017">
        <w:rPr>
          <w:rFonts w:ascii="Arial Narrow" w:hAnsi="Arial Narrow"/>
        </w:rPr>
        <w:t xml:space="preserve"> ha aplicado exitosamente un abordaje de las bitácoras que los investigadores generaban con respecto a las investigaciones que realizaban, encontrándose inconsistencias en los criterios que aplicaban en el registro a nivel nacional, lo que el insumo principal no es suficiente para generar la métrica de cargas. Se procedió a analizar causas y posibles soluciones para el problema actual encontrado en el proyecto. Para esto se puso en práctica un mejoramiento de los registros en Alajuela, con el fin de analizar posibles aristas con respecto al cálculo de cargas, resultados que se verían reflejados en el proyecto estratégico “Correlación de cargas de trabajo y recurso humano del OIJ” con código 1167-OIJ-P05</w:t>
      </w:r>
      <w:r>
        <w:rPr>
          <w:rFonts w:ascii="Arial Narrow" w:hAnsi="Arial Narrow"/>
        </w:rPr>
        <w:t>.</w:t>
      </w:r>
      <w:r w:rsidRPr="00C21017">
        <w:rPr>
          <w:rFonts w:ascii="Arial Narrow" w:hAnsi="Arial Narrow"/>
        </w:rPr>
        <w:t xml:space="preserve"> Adicionalmente, se encontraron nuevos elementos de consideración en la toma de métricas que antes no se contemplaban pues solo se analizaban las denuncias que ingresaban y ahora se analizan las demás funciones que realizan los investigadores y el personal administrativo y de custodia.  </w:t>
      </w:r>
      <w:r>
        <w:rPr>
          <w:rFonts w:ascii="Arial Narrow" w:hAnsi="Arial Narrow"/>
        </w:rPr>
        <w:t xml:space="preserve">A raíz de los anterior se </w:t>
      </w:r>
      <w:r w:rsidRPr="00C21017">
        <w:rPr>
          <w:rFonts w:ascii="Arial Narrow" w:hAnsi="Arial Narrow"/>
        </w:rPr>
        <w:t>generó una modificación</w:t>
      </w:r>
      <w:r>
        <w:rPr>
          <w:rFonts w:ascii="Arial Narrow" w:hAnsi="Arial Narrow"/>
        </w:rPr>
        <w:t xml:space="preserve"> </w:t>
      </w:r>
      <w:r w:rsidRPr="00C21017">
        <w:rPr>
          <w:rFonts w:ascii="Arial Narrow" w:hAnsi="Arial Narrow"/>
        </w:rPr>
        <w:t>en el cronograma del proyecto 1167-OIJ-P05, por lo que no se considera necesaria la implementación de plan piloto en el 2022</w:t>
      </w:r>
      <w:r>
        <w:rPr>
          <w:rFonts w:ascii="Arial Narrow" w:hAnsi="Arial Narrow"/>
        </w:rPr>
        <w:t>.</w:t>
      </w:r>
    </w:p>
    <w:p w14:paraId="6D6A3E24" w14:textId="0598EDC7" w:rsidR="009915C4" w:rsidRDefault="009915C4" w:rsidP="00696737">
      <w:pPr>
        <w:jc w:val="both"/>
        <w:rPr>
          <w:rFonts w:ascii="Arial Narrow" w:hAnsi="Arial Narrow"/>
        </w:rPr>
      </w:pPr>
    </w:p>
    <w:p w14:paraId="56E68DFC" w14:textId="77777777" w:rsidR="00581C62" w:rsidRDefault="00581C62" w:rsidP="00696737">
      <w:pPr>
        <w:jc w:val="both"/>
        <w:rPr>
          <w:rFonts w:ascii="Arial Narrow" w:hAnsi="Arial Narrow"/>
        </w:rPr>
      </w:pPr>
    </w:p>
    <w:p w14:paraId="7F3C002F" w14:textId="2FED23E9" w:rsidR="00B56A16" w:rsidRDefault="00B56A16" w:rsidP="00B56A16">
      <w:pPr>
        <w:pStyle w:val="Descripcin"/>
        <w:jc w:val="center"/>
        <w:rPr>
          <w:rFonts w:ascii="Arial Narrow" w:eastAsia="Calibri" w:hAnsi="Arial Narrow"/>
          <w:sz w:val="24"/>
          <w:szCs w:val="24"/>
        </w:rPr>
      </w:pPr>
      <w:r w:rsidRPr="005E067A">
        <w:rPr>
          <w:rFonts w:ascii="Arial Narrow" w:hAnsi="Arial Narrow"/>
          <w:sz w:val="24"/>
          <w:szCs w:val="24"/>
        </w:rPr>
        <w:t xml:space="preserve">Cuadro </w:t>
      </w:r>
      <w:r w:rsidRPr="005E067A">
        <w:rPr>
          <w:rFonts w:ascii="Arial Narrow" w:hAnsi="Arial Narrow"/>
          <w:sz w:val="24"/>
          <w:szCs w:val="24"/>
        </w:rPr>
        <w:fldChar w:fldCharType="begin"/>
      </w:r>
      <w:r w:rsidRPr="005E067A">
        <w:rPr>
          <w:rFonts w:ascii="Arial Narrow" w:hAnsi="Arial Narrow"/>
          <w:sz w:val="24"/>
          <w:szCs w:val="24"/>
        </w:rPr>
        <w:instrText xml:space="preserve"> SEQ Cuadro_No. \* ARABIC </w:instrText>
      </w:r>
      <w:r w:rsidRPr="005E067A">
        <w:rPr>
          <w:rFonts w:ascii="Arial Narrow" w:hAnsi="Arial Narrow"/>
          <w:sz w:val="24"/>
          <w:szCs w:val="24"/>
        </w:rPr>
        <w:fldChar w:fldCharType="separate"/>
      </w:r>
      <w:r w:rsidR="002F520A">
        <w:rPr>
          <w:rFonts w:ascii="Arial Narrow" w:hAnsi="Arial Narrow"/>
          <w:noProof/>
          <w:sz w:val="24"/>
          <w:szCs w:val="24"/>
        </w:rPr>
        <w:t>45</w:t>
      </w:r>
      <w:r w:rsidRPr="005E067A">
        <w:rPr>
          <w:rFonts w:ascii="Arial Narrow" w:hAnsi="Arial Narrow"/>
          <w:sz w:val="24"/>
          <w:szCs w:val="24"/>
        </w:rPr>
        <w:fldChar w:fldCharType="end"/>
      </w:r>
      <w:r w:rsidRPr="005E067A">
        <w:rPr>
          <w:rFonts w:ascii="Arial Narrow" w:hAnsi="Arial Narrow"/>
          <w:sz w:val="24"/>
          <w:szCs w:val="24"/>
        </w:rPr>
        <w:t xml:space="preserve"> </w:t>
      </w:r>
      <w:r w:rsidRPr="005E067A">
        <w:rPr>
          <w:rFonts w:ascii="Arial Narrow" w:eastAsia="Calibri" w:hAnsi="Arial Narrow"/>
          <w:sz w:val="24"/>
          <w:szCs w:val="24"/>
        </w:rPr>
        <w:t xml:space="preserve">Metas estratégicas de </w:t>
      </w:r>
      <w:r>
        <w:rPr>
          <w:rFonts w:ascii="Arial Narrow" w:eastAsia="Calibri" w:hAnsi="Arial Narrow"/>
          <w:sz w:val="24"/>
          <w:szCs w:val="24"/>
        </w:rPr>
        <w:t>Desarrollo y Optimización de Servicios y Procesos judiciales</w:t>
      </w:r>
      <w:r w:rsidRPr="005E067A">
        <w:rPr>
          <w:rFonts w:ascii="Arial Narrow" w:eastAsia="Calibri" w:hAnsi="Arial Narrow"/>
          <w:sz w:val="24"/>
          <w:szCs w:val="24"/>
        </w:rPr>
        <w:t>, y su cumplimiento para el 20</w:t>
      </w:r>
      <w:r>
        <w:rPr>
          <w:rFonts w:ascii="Arial Narrow" w:eastAsia="Calibri" w:hAnsi="Arial Narrow"/>
          <w:sz w:val="24"/>
          <w:szCs w:val="24"/>
        </w:rPr>
        <w:t>21</w:t>
      </w:r>
      <w:r w:rsidR="00AF4550">
        <w:rPr>
          <w:rFonts w:ascii="Arial Narrow" w:eastAsia="Calibri" w:hAnsi="Arial Narrow"/>
          <w:sz w:val="24"/>
          <w:szCs w:val="24"/>
        </w:rPr>
        <w:t>.</w:t>
      </w:r>
    </w:p>
    <w:p w14:paraId="1D18FBAF" w14:textId="77777777" w:rsidR="00696737" w:rsidRPr="001A5293" w:rsidRDefault="00696737" w:rsidP="00696737">
      <w:pPr>
        <w:jc w:val="center"/>
        <w:rPr>
          <w:rFonts w:ascii="Arial Narrow" w:hAnsi="Arial Narrow"/>
          <w:b/>
          <w:bCs/>
        </w:rPr>
      </w:pPr>
      <w:r>
        <w:rPr>
          <w:noProof/>
        </w:rPr>
        <w:drawing>
          <wp:inline distT="0" distB="0" distL="0" distR="0" wp14:anchorId="241DDD47" wp14:editId="0734FF8B">
            <wp:extent cx="5476875" cy="2228850"/>
            <wp:effectExtent l="57150" t="57150" r="104775" b="95250"/>
            <wp:docPr id="43" name="Imagen 4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Tabla&#10;&#10;Descripción generada automáticamente"/>
                    <pic:cNvPicPr/>
                  </pic:nvPicPr>
                  <pic:blipFill rotWithShape="1">
                    <a:blip r:embed="rId100"/>
                    <a:srcRect r="729"/>
                    <a:stretch/>
                  </pic:blipFill>
                  <pic:spPr bwMode="auto">
                    <a:xfrm>
                      <a:off x="0" y="0"/>
                      <a:ext cx="5488629" cy="2233633"/>
                    </a:xfrm>
                    <a:prstGeom prst="rect">
                      <a:avLst/>
                    </a:prstGeom>
                    <a:ln w="12700" cap="sq" cmpd="sng" algn="ctr">
                      <a:solidFill>
                        <a:schemeClr val="tx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27C33CD" w14:textId="77777777" w:rsidR="00696737" w:rsidRPr="00996542" w:rsidRDefault="00696737" w:rsidP="00B54439">
      <w:pPr>
        <w:jc w:val="center"/>
        <w:rPr>
          <w:rFonts w:ascii="Arial Narrow" w:hAnsi="Arial Narrow"/>
          <w:sz w:val="18"/>
          <w:szCs w:val="18"/>
        </w:rPr>
      </w:pPr>
      <w:r w:rsidRPr="00996542">
        <w:rPr>
          <w:rFonts w:ascii="Arial Narrow" w:hAnsi="Arial Narrow"/>
          <w:sz w:val="18"/>
          <w:szCs w:val="18"/>
        </w:rPr>
        <w:t>Fuente: Sistema PEI al 19 de enero del 2022 para el año 2021.</w:t>
      </w:r>
    </w:p>
    <w:p w14:paraId="51DC2766" w14:textId="64120388" w:rsidR="00696737" w:rsidRDefault="00696737" w:rsidP="00696737">
      <w:pPr>
        <w:jc w:val="both"/>
        <w:rPr>
          <w:rFonts w:ascii="Arial Narrow" w:hAnsi="Arial Narrow"/>
        </w:rPr>
      </w:pPr>
      <w:r>
        <w:rPr>
          <w:rFonts w:ascii="Arial Narrow" w:hAnsi="Arial Narrow"/>
        </w:rPr>
        <w:t>Para el 2021,</w:t>
      </w:r>
      <w:r w:rsidR="0025787B" w:rsidRPr="0025787B">
        <w:rPr>
          <w:rFonts w:ascii="Arial Narrow" w:hAnsi="Arial Narrow"/>
        </w:rPr>
        <w:t xml:space="preserve"> la Secretaría Técnica de Género presentó los resultados de la investigación “Encuesta breve de uso del tiempo en personal judicial durante pandemia”. Por su parte, la Unidad de Acceso a la Justicia ha dado seguimiento a las acciones establecidas en el Plan Acción de las Políticas Institucionales de Acceso a la Justicia, en coordinación con las oficinas responsables. Por otra parte, con respecto a la Política de Igualdad de Género en el Poder Judicial se mantuvo una reunión con la presidenta ejecutiva del PANI para analizar la participación de la institución a su cargo en el acompañamiento de las PME víctimas de delitos sexuales. En el marco del programa Equipos de Respuesta Rápida a Víctimas de Violación (ERRVV)  se realizaron una serie  de capacitaciones por medio de Microsoft Teams dirigidas a personal de  los diferentes Circuitos Judiciales y reuniones de coordinación, a nivel nacional, para una atención especializada a las personas menores de edad víctimas de violación y delitos sexuales.</w:t>
      </w:r>
    </w:p>
    <w:p w14:paraId="000460A4" w14:textId="77777777" w:rsidR="009915C4" w:rsidRPr="00C157F9" w:rsidRDefault="009915C4" w:rsidP="00696737">
      <w:pPr>
        <w:jc w:val="both"/>
        <w:rPr>
          <w:rFonts w:ascii="Arial Narrow" w:hAnsi="Arial Narrow"/>
        </w:rPr>
      </w:pPr>
    </w:p>
    <w:p w14:paraId="05E04B6D" w14:textId="77777777" w:rsidR="00696737" w:rsidRDefault="00696737" w:rsidP="00696737">
      <w:pPr>
        <w:jc w:val="both"/>
        <w:rPr>
          <w:rFonts w:ascii="Arial Narrow" w:hAnsi="Arial Narrow"/>
        </w:rPr>
      </w:pPr>
      <w:r w:rsidRPr="00C157F9">
        <w:rPr>
          <w:rFonts w:ascii="Arial Narrow" w:hAnsi="Arial Narrow"/>
        </w:rPr>
        <w:t>La Contraloría de Servicios también ha realizado importantes esfuerzos con el fin implementar un modelo de atención al público con el fin de mejorar el servicio brindado</w:t>
      </w:r>
      <w:r>
        <w:rPr>
          <w:rFonts w:ascii="Arial Narrow" w:hAnsi="Arial Narrow"/>
        </w:rPr>
        <w:t xml:space="preserve">, se evidencia como parte de la Etapa I del Proyecto estratégico, Caracterización del Modelo Actual: el informe de resultado y análisis de la aplicación de herramientas en el 2021, por lo que se procedió a aplicar encuestas </w:t>
      </w:r>
      <w:r w:rsidRPr="00A33F82">
        <w:rPr>
          <w:rFonts w:ascii="Arial Narrow" w:hAnsi="Arial Narrow"/>
        </w:rPr>
        <w:t>sobre el Modelo de Atención Actual del Poder Judicial desde la Experiencia del Personal Servidor Judicial</w:t>
      </w:r>
      <w:r>
        <w:rPr>
          <w:rFonts w:ascii="Arial Narrow" w:hAnsi="Arial Narrow"/>
        </w:rPr>
        <w:t xml:space="preserve">, por medio de la cual se obtuvieron resultados relevantes para el análisis y mejora del Modelo a futuro. También se procedió a </w:t>
      </w:r>
      <w:r w:rsidRPr="00D13E68">
        <w:rPr>
          <w:rFonts w:ascii="Arial Narrow" w:hAnsi="Arial Narrow"/>
        </w:rPr>
        <w:t>realiz</w:t>
      </w:r>
      <w:r>
        <w:rPr>
          <w:rFonts w:ascii="Arial Narrow" w:hAnsi="Arial Narrow"/>
        </w:rPr>
        <w:t>ar</w:t>
      </w:r>
      <w:r w:rsidRPr="00D13E68">
        <w:rPr>
          <w:rFonts w:ascii="Arial Narrow" w:hAnsi="Arial Narrow"/>
        </w:rPr>
        <w:t xml:space="preserve"> una encuesta telefónica a personas usuarias </w:t>
      </w:r>
      <w:r>
        <w:rPr>
          <w:rFonts w:ascii="Arial Narrow" w:hAnsi="Arial Narrow"/>
        </w:rPr>
        <w:t xml:space="preserve">por parte de la </w:t>
      </w:r>
      <w:r w:rsidRPr="00D13E68">
        <w:rPr>
          <w:rFonts w:ascii="Arial Narrow" w:hAnsi="Arial Narrow"/>
        </w:rPr>
        <w:t>empresa XLTEC</w:t>
      </w:r>
      <w:r>
        <w:rPr>
          <w:rFonts w:ascii="Arial Narrow" w:hAnsi="Arial Narrow"/>
        </w:rPr>
        <w:t xml:space="preserve">, lo que contribuyó a determinar cómo las </w:t>
      </w:r>
      <w:r w:rsidRPr="00D13E68">
        <w:rPr>
          <w:rFonts w:ascii="Arial Narrow" w:hAnsi="Arial Narrow"/>
        </w:rPr>
        <w:t xml:space="preserve">personas usuarias </w:t>
      </w:r>
      <w:r>
        <w:rPr>
          <w:rFonts w:ascii="Arial Narrow" w:hAnsi="Arial Narrow"/>
        </w:rPr>
        <w:t>identifican el servicio actual.</w:t>
      </w:r>
    </w:p>
    <w:p w14:paraId="08BA4022" w14:textId="42FC1944" w:rsidR="00696737" w:rsidRDefault="00696737" w:rsidP="00696737">
      <w:pPr>
        <w:jc w:val="both"/>
        <w:rPr>
          <w:rFonts w:ascii="Arial Narrow" w:hAnsi="Arial Narrow"/>
        </w:rPr>
      </w:pPr>
    </w:p>
    <w:p w14:paraId="5C622D8E" w14:textId="3D7A7ED9" w:rsidR="009915C4" w:rsidRDefault="009915C4" w:rsidP="00696737">
      <w:pPr>
        <w:jc w:val="both"/>
        <w:rPr>
          <w:rFonts w:ascii="Arial Narrow" w:hAnsi="Arial Narrow"/>
        </w:rPr>
      </w:pPr>
    </w:p>
    <w:p w14:paraId="1F6111A4" w14:textId="77777777" w:rsidR="009915C4" w:rsidRDefault="009915C4" w:rsidP="00696737">
      <w:pPr>
        <w:jc w:val="both"/>
        <w:rPr>
          <w:rFonts w:ascii="Arial Narrow" w:hAnsi="Arial Narrow"/>
        </w:rPr>
      </w:pPr>
    </w:p>
    <w:p w14:paraId="6004BE6C" w14:textId="61574FB6" w:rsidR="00B56A16" w:rsidRDefault="00B56A16" w:rsidP="00B56A16">
      <w:pPr>
        <w:pStyle w:val="Descripcin"/>
        <w:jc w:val="center"/>
        <w:rPr>
          <w:rFonts w:ascii="Arial Narrow" w:eastAsia="Calibri" w:hAnsi="Arial Narrow"/>
          <w:sz w:val="24"/>
          <w:szCs w:val="24"/>
        </w:rPr>
      </w:pPr>
      <w:r w:rsidRPr="005E067A">
        <w:rPr>
          <w:rFonts w:ascii="Arial Narrow" w:hAnsi="Arial Narrow"/>
          <w:sz w:val="24"/>
          <w:szCs w:val="24"/>
        </w:rPr>
        <w:t xml:space="preserve">Cuadro </w:t>
      </w:r>
      <w:r w:rsidRPr="005E067A">
        <w:rPr>
          <w:rFonts w:ascii="Arial Narrow" w:hAnsi="Arial Narrow"/>
          <w:sz w:val="24"/>
          <w:szCs w:val="24"/>
        </w:rPr>
        <w:fldChar w:fldCharType="begin"/>
      </w:r>
      <w:r w:rsidRPr="005E067A">
        <w:rPr>
          <w:rFonts w:ascii="Arial Narrow" w:hAnsi="Arial Narrow"/>
          <w:sz w:val="24"/>
          <w:szCs w:val="24"/>
        </w:rPr>
        <w:instrText xml:space="preserve"> SEQ Cuadro_No. \* ARABIC </w:instrText>
      </w:r>
      <w:r w:rsidRPr="005E067A">
        <w:rPr>
          <w:rFonts w:ascii="Arial Narrow" w:hAnsi="Arial Narrow"/>
          <w:sz w:val="24"/>
          <w:szCs w:val="24"/>
        </w:rPr>
        <w:fldChar w:fldCharType="separate"/>
      </w:r>
      <w:r w:rsidR="002F520A">
        <w:rPr>
          <w:rFonts w:ascii="Arial Narrow" w:hAnsi="Arial Narrow"/>
          <w:noProof/>
          <w:sz w:val="24"/>
          <w:szCs w:val="24"/>
        </w:rPr>
        <w:t>46</w:t>
      </w:r>
      <w:r w:rsidRPr="005E067A">
        <w:rPr>
          <w:rFonts w:ascii="Arial Narrow" w:hAnsi="Arial Narrow"/>
          <w:sz w:val="24"/>
          <w:szCs w:val="24"/>
        </w:rPr>
        <w:fldChar w:fldCharType="end"/>
      </w:r>
      <w:r w:rsidRPr="005E067A">
        <w:rPr>
          <w:rFonts w:ascii="Arial Narrow" w:hAnsi="Arial Narrow"/>
          <w:sz w:val="24"/>
          <w:szCs w:val="24"/>
        </w:rPr>
        <w:t xml:space="preserve"> </w:t>
      </w:r>
      <w:r w:rsidRPr="005E067A">
        <w:rPr>
          <w:rFonts w:ascii="Arial Narrow" w:eastAsia="Calibri" w:hAnsi="Arial Narrow"/>
          <w:sz w:val="24"/>
          <w:szCs w:val="24"/>
        </w:rPr>
        <w:t xml:space="preserve">Metas estratégicas de </w:t>
      </w:r>
      <w:r>
        <w:rPr>
          <w:rFonts w:ascii="Arial Narrow" w:eastAsia="Calibri" w:hAnsi="Arial Narrow"/>
          <w:sz w:val="24"/>
          <w:szCs w:val="24"/>
        </w:rPr>
        <w:t>Desarrollo y Optimización de Servicios y Procesos judiciales</w:t>
      </w:r>
      <w:r w:rsidRPr="005E067A">
        <w:rPr>
          <w:rFonts w:ascii="Arial Narrow" w:eastAsia="Calibri" w:hAnsi="Arial Narrow"/>
          <w:sz w:val="24"/>
          <w:szCs w:val="24"/>
        </w:rPr>
        <w:t>, y su cumplimiento para el 20</w:t>
      </w:r>
      <w:r>
        <w:rPr>
          <w:rFonts w:ascii="Arial Narrow" w:eastAsia="Calibri" w:hAnsi="Arial Narrow"/>
          <w:sz w:val="24"/>
          <w:szCs w:val="24"/>
        </w:rPr>
        <w:t>21</w:t>
      </w:r>
    </w:p>
    <w:p w14:paraId="6D99E935" w14:textId="77777777" w:rsidR="00AF4550" w:rsidRPr="00322D9B" w:rsidRDefault="00AF4550" w:rsidP="00322D9B">
      <w:pPr>
        <w:rPr>
          <w:rFonts w:eastAsia="Calibri"/>
        </w:rPr>
      </w:pPr>
    </w:p>
    <w:p w14:paraId="782F468D" w14:textId="77777777" w:rsidR="00696737" w:rsidRDefault="00696737" w:rsidP="00696737">
      <w:pPr>
        <w:jc w:val="both"/>
        <w:rPr>
          <w:rFonts w:ascii="Arial Narrow" w:hAnsi="Arial Narrow"/>
        </w:rPr>
      </w:pPr>
      <w:r>
        <w:rPr>
          <w:noProof/>
        </w:rPr>
        <w:drawing>
          <wp:inline distT="0" distB="0" distL="0" distR="0" wp14:anchorId="34A70246" wp14:editId="7C278D3D">
            <wp:extent cx="5612130" cy="2687320"/>
            <wp:effectExtent l="57150" t="57150" r="102870" b="93980"/>
            <wp:docPr id="44" name="Imagen 4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Tabla&#10;&#10;Descripción generada automáticamente"/>
                    <pic:cNvPicPr/>
                  </pic:nvPicPr>
                  <pic:blipFill>
                    <a:blip r:embed="rId101"/>
                    <a:stretch>
                      <a:fillRect/>
                    </a:stretch>
                  </pic:blipFill>
                  <pic:spPr>
                    <a:xfrm>
                      <a:off x="0" y="0"/>
                      <a:ext cx="5612130" cy="2687320"/>
                    </a:xfrm>
                    <a:prstGeom prst="rect">
                      <a:avLst/>
                    </a:prstGeom>
                    <a:ln w="12700" cap="sq">
                      <a:solidFill>
                        <a:schemeClr val="tx1"/>
                      </a:solidFill>
                      <a:prstDash val="solid"/>
                      <a:miter lim="800000"/>
                    </a:ln>
                    <a:effectLst>
                      <a:outerShdw blurRad="50800" dist="38100" dir="2700000" algn="tl" rotWithShape="0">
                        <a:srgbClr val="000000">
                          <a:alpha val="43000"/>
                        </a:srgbClr>
                      </a:outerShdw>
                    </a:effectLst>
                  </pic:spPr>
                </pic:pic>
              </a:graphicData>
            </a:graphic>
          </wp:inline>
        </w:drawing>
      </w:r>
    </w:p>
    <w:p w14:paraId="48B27DF7" w14:textId="77777777" w:rsidR="00696737" w:rsidRPr="00996542" w:rsidRDefault="00696737" w:rsidP="00B54439">
      <w:pPr>
        <w:jc w:val="center"/>
        <w:rPr>
          <w:rFonts w:ascii="Arial Narrow" w:hAnsi="Arial Narrow"/>
          <w:sz w:val="18"/>
          <w:szCs w:val="18"/>
        </w:rPr>
      </w:pPr>
      <w:r w:rsidRPr="00996542">
        <w:rPr>
          <w:rFonts w:ascii="Arial Narrow" w:hAnsi="Arial Narrow"/>
          <w:sz w:val="18"/>
          <w:szCs w:val="18"/>
        </w:rPr>
        <w:t>Fuente: Sistema PEI al 19 de enero del 2022 para el año 2021.</w:t>
      </w:r>
    </w:p>
    <w:p w14:paraId="7FA443B0" w14:textId="77777777" w:rsidR="009915C4" w:rsidRDefault="009915C4" w:rsidP="00696737">
      <w:pPr>
        <w:jc w:val="both"/>
        <w:rPr>
          <w:rFonts w:ascii="Arial Narrow" w:hAnsi="Arial Narrow"/>
        </w:rPr>
      </w:pPr>
    </w:p>
    <w:p w14:paraId="0297588E" w14:textId="6A511007" w:rsidR="00696737" w:rsidRDefault="00696737" w:rsidP="00696737">
      <w:pPr>
        <w:jc w:val="both"/>
        <w:rPr>
          <w:rFonts w:ascii="Arial Narrow" w:hAnsi="Arial Narrow"/>
        </w:rPr>
      </w:pPr>
      <w:r>
        <w:rPr>
          <w:rFonts w:ascii="Arial Narrow" w:hAnsi="Arial Narrow"/>
        </w:rPr>
        <w:t xml:space="preserve">Para el 2021, la Dirección de Planificación ha desarrollado una propuesta metodológica con el fin de que las oficinas pueden seguir las guías y pasos para aplicar una evaluación por resultados, mediante el informe 1387-PLA-EV-2021, aprobado en sesión de Consejo Superior 11-2022, celebrada el 8 de febrero del 2022, articulo V. Esta propuesta permite que las oficinas apliquen la herramienta e implementen una cultura de evaluación y de conocer los resultados si son los mismos que los planeados. Adicionalmente, </w:t>
      </w:r>
      <w:r w:rsidRPr="007B0099">
        <w:rPr>
          <w:rFonts w:ascii="Arial Narrow" w:hAnsi="Arial Narrow"/>
        </w:rPr>
        <w:t>se rindieron los informes de evaluaciones por resultados que permiten medir el cumplimiento de los objetivos de distintos órganos u oficinas institucionales: Evaluación del PEI 2019-2020 (1206-PLA-EV-2021), informe de Evaluación PAO 2020 (604-PLA-EV-2021) y el informe de Ejecución de presupuesto 2020 (48-PLA-EV-2021).</w:t>
      </w:r>
    </w:p>
    <w:p w14:paraId="4C4EC38B" w14:textId="77777777" w:rsidR="009915C4" w:rsidRDefault="009915C4" w:rsidP="00696737">
      <w:pPr>
        <w:jc w:val="both"/>
        <w:rPr>
          <w:rFonts w:ascii="Arial Narrow" w:hAnsi="Arial Narrow"/>
        </w:rPr>
      </w:pPr>
    </w:p>
    <w:p w14:paraId="032D01AD" w14:textId="434DD5F9" w:rsidR="00696737" w:rsidRDefault="00696737" w:rsidP="00696737">
      <w:pPr>
        <w:jc w:val="both"/>
        <w:rPr>
          <w:rFonts w:ascii="Arial Narrow" w:hAnsi="Arial Narrow"/>
        </w:rPr>
      </w:pPr>
      <w:r>
        <w:rPr>
          <w:rFonts w:ascii="Arial Narrow" w:hAnsi="Arial Narrow"/>
        </w:rPr>
        <w:t xml:space="preserve">Con respecto al </w:t>
      </w:r>
      <w:r w:rsidRPr="008406B2">
        <w:rPr>
          <w:rFonts w:ascii="Arial Narrow" w:hAnsi="Arial Narrow"/>
        </w:rPr>
        <w:t>modelo de mejora en la gestión de los despachos que tramitan la materia de pensiones alimentarias, que promueva la gestión eficiente de los procesos, basado en las experiencias de los Juzgados especializados y el uso de las tecnologías de la información</w:t>
      </w:r>
      <w:r>
        <w:rPr>
          <w:rFonts w:ascii="Arial Narrow" w:hAnsi="Arial Narrow"/>
        </w:rPr>
        <w:t>, se tiene como resultados para el 2021 la</w:t>
      </w:r>
      <w:r w:rsidRPr="00996E85">
        <w:rPr>
          <w:rFonts w:ascii="Arial Narrow" w:hAnsi="Arial Narrow"/>
        </w:rPr>
        <w:t xml:space="preserve"> sostenibilidad de los </w:t>
      </w:r>
      <w:r w:rsidR="00CA4CF1">
        <w:rPr>
          <w:rFonts w:ascii="Arial Narrow" w:hAnsi="Arial Narrow"/>
        </w:rPr>
        <w:t>12</w:t>
      </w:r>
      <w:r w:rsidR="00CA4CF1" w:rsidRPr="00996E85">
        <w:rPr>
          <w:rFonts w:ascii="Arial Narrow" w:hAnsi="Arial Narrow"/>
        </w:rPr>
        <w:t xml:space="preserve"> </w:t>
      </w:r>
      <w:r w:rsidRPr="00996E85">
        <w:rPr>
          <w:rFonts w:ascii="Arial Narrow" w:hAnsi="Arial Narrow"/>
        </w:rPr>
        <w:t xml:space="preserve">Juzgados Especializados de Pensiones Alimentarias como parte del proyecto de Reforma de Familia </w:t>
      </w:r>
      <w:r>
        <w:rPr>
          <w:rFonts w:ascii="Arial Narrow" w:hAnsi="Arial Narrow"/>
        </w:rPr>
        <w:t>y se han rendido al menos</w:t>
      </w:r>
      <w:r w:rsidRPr="00996E85">
        <w:rPr>
          <w:rFonts w:ascii="Arial Narrow" w:hAnsi="Arial Narrow"/>
        </w:rPr>
        <w:t xml:space="preserve"> 22 informes</w:t>
      </w:r>
      <w:r>
        <w:rPr>
          <w:rFonts w:ascii="Arial Narrow" w:hAnsi="Arial Narrow"/>
        </w:rPr>
        <w:t xml:space="preserve"> relacionados a esa materia.</w:t>
      </w:r>
    </w:p>
    <w:p w14:paraId="5CF9959E" w14:textId="6DEDC53B" w:rsidR="006E3CA1" w:rsidRDefault="006E3CA1" w:rsidP="00696737">
      <w:pPr>
        <w:jc w:val="both"/>
        <w:rPr>
          <w:rFonts w:ascii="Arial Narrow" w:hAnsi="Arial Narrow"/>
        </w:rPr>
      </w:pPr>
    </w:p>
    <w:p w14:paraId="55B46BC8" w14:textId="77777777" w:rsidR="006E3CA1" w:rsidRDefault="006E3CA1" w:rsidP="00696737">
      <w:pPr>
        <w:jc w:val="both"/>
        <w:rPr>
          <w:rFonts w:ascii="Arial Narrow" w:hAnsi="Arial Narrow"/>
        </w:rPr>
      </w:pPr>
    </w:p>
    <w:p w14:paraId="70A60544" w14:textId="2749BB86" w:rsidR="00696737" w:rsidRDefault="68EC8F7A" w:rsidP="00696737">
      <w:pPr>
        <w:jc w:val="both"/>
        <w:rPr>
          <w:rFonts w:ascii="Arial Narrow" w:hAnsi="Arial Narrow"/>
        </w:rPr>
      </w:pPr>
      <w:r w:rsidRPr="0F07E111">
        <w:rPr>
          <w:rFonts w:ascii="Arial Narrow" w:hAnsi="Arial Narrow"/>
        </w:rPr>
        <w:t>Finalmente, con respecto a la meta “</w:t>
      </w:r>
      <w:r w:rsidRPr="0F07E111">
        <w:rPr>
          <w:rFonts w:ascii="Arial Narrow" w:hAnsi="Arial Narrow"/>
          <w:b/>
          <w:bCs/>
          <w:i/>
          <w:iCs/>
        </w:rPr>
        <w:t>Que al finalizar el 2024, se haya implementado el proyecto de abordaje a la entrada en vigencia del Código Procesal Agrario</w:t>
      </w:r>
      <w:r w:rsidRPr="0F07E111">
        <w:rPr>
          <w:rFonts w:ascii="Arial Narrow" w:hAnsi="Arial Narrow"/>
        </w:rPr>
        <w:t xml:space="preserve"> si bien es cierto la Dirección de Planificación es el responsable estratégico de la meta, la Comisión de la Jurisdicción Agrario Ambiental fue el responsable operativo del cumplimiento para el 2021 por medio de acciones como: capacitado al 100% de la población definida en el plan de capacitación, capacitación sobre el uso de la herramienta tecnológica “</w:t>
      </w:r>
      <w:r w:rsidRPr="0F07E111">
        <w:rPr>
          <w:rFonts w:ascii="Arial Narrow" w:hAnsi="Arial Narrow"/>
          <w:i/>
          <w:iCs/>
        </w:rPr>
        <w:t>drone</w:t>
      </w:r>
      <w:r w:rsidRPr="0F07E111">
        <w:rPr>
          <w:rFonts w:ascii="Arial Narrow" w:hAnsi="Arial Narrow"/>
        </w:rPr>
        <w:t xml:space="preserve">” al 100% de las personas juzgadoras y al menos 2 personas técnicas de la jurisdicción agraria, así como detectar oportunidades de mejora del Protocolo de Audiencias Virtuales de la Jurisdicción Agraria. Estas actividades no se realizaron principalmente por las razones aportadas por el Dr. Luis </w:t>
      </w:r>
      <w:r w:rsidRPr="0F07E111">
        <w:rPr>
          <w:rFonts w:ascii="Arial Narrow" w:hAnsi="Arial Narrow"/>
          <w:lang w:val="es-CR"/>
        </w:rPr>
        <w:t>Guillermo Rivas Loáiciga, Magistrado Presidente de la Sala Primera, quien manifiesta que el proceso de actualización de PAO fue interrumpido debido a que la jueza Rebeca Salazar cesó en su función de gestionadora o promotora de implementación de la nueva propuesta procesal Agraria, desde final del año 2021, por las propias decisiones administrativas de la Institución. Al cierre del año 2021, no fue posible establecer un gestionador de la propuesta agraria y se encuentra pendiente de aprobación por parte del Consejo Superior.</w:t>
      </w:r>
      <w:r w:rsidRPr="0F07E111">
        <w:rPr>
          <w:rFonts w:ascii="Arial Narrow" w:hAnsi="Arial Narrow"/>
        </w:rPr>
        <w:t xml:space="preserve"> </w:t>
      </w:r>
    </w:p>
    <w:p w14:paraId="1FBA7987" w14:textId="42E11257" w:rsidR="00B56A16" w:rsidRDefault="00B56A16" w:rsidP="00696737">
      <w:pPr>
        <w:jc w:val="both"/>
        <w:rPr>
          <w:rFonts w:ascii="Arial Narrow" w:hAnsi="Arial Narrow"/>
        </w:rPr>
      </w:pPr>
    </w:p>
    <w:p w14:paraId="4F8976E3" w14:textId="77777777" w:rsidR="00581C62" w:rsidRDefault="00581C62" w:rsidP="00696737">
      <w:pPr>
        <w:jc w:val="both"/>
        <w:rPr>
          <w:rFonts w:ascii="Arial Narrow" w:hAnsi="Arial Narrow"/>
        </w:rPr>
      </w:pPr>
    </w:p>
    <w:p w14:paraId="7BCD72AB" w14:textId="77777777" w:rsidR="00D15AE9" w:rsidRDefault="00D15AE9">
      <w:pPr>
        <w:rPr>
          <w:rFonts w:ascii="Arial Narrow" w:hAnsi="Arial Narrow"/>
          <w:b/>
          <w:bCs/>
        </w:rPr>
      </w:pPr>
      <w:r>
        <w:rPr>
          <w:rFonts w:ascii="Arial Narrow" w:hAnsi="Arial Narrow"/>
        </w:rPr>
        <w:br w:type="page"/>
      </w:r>
    </w:p>
    <w:p w14:paraId="56305C65" w14:textId="173C3517" w:rsidR="00B56A16" w:rsidRDefault="00B56A16" w:rsidP="00B56A16">
      <w:pPr>
        <w:pStyle w:val="Descripcin"/>
        <w:jc w:val="center"/>
        <w:rPr>
          <w:rFonts w:ascii="Arial Narrow" w:eastAsia="Calibri" w:hAnsi="Arial Narrow"/>
          <w:sz w:val="24"/>
          <w:szCs w:val="24"/>
        </w:rPr>
      </w:pPr>
      <w:r w:rsidRPr="005E067A">
        <w:rPr>
          <w:rFonts w:ascii="Arial Narrow" w:hAnsi="Arial Narrow"/>
          <w:sz w:val="24"/>
          <w:szCs w:val="24"/>
        </w:rPr>
        <w:t xml:space="preserve">Cuadro </w:t>
      </w:r>
      <w:r w:rsidRPr="005E067A">
        <w:rPr>
          <w:rFonts w:ascii="Arial Narrow" w:hAnsi="Arial Narrow"/>
          <w:sz w:val="24"/>
          <w:szCs w:val="24"/>
        </w:rPr>
        <w:fldChar w:fldCharType="begin"/>
      </w:r>
      <w:r w:rsidRPr="005E067A">
        <w:rPr>
          <w:rFonts w:ascii="Arial Narrow" w:hAnsi="Arial Narrow"/>
          <w:sz w:val="24"/>
          <w:szCs w:val="24"/>
        </w:rPr>
        <w:instrText xml:space="preserve"> SEQ Cuadro_No. \* ARABIC </w:instrText>
      </w:r>
      <w:r w:rsidRPr="005E067A">
        <w:rPr>
          <w:rFonts w:ascii="Arial Narrow" w:hAnsi="Arial Narrow"/>
          <w:sz w:val="24"/>
          <w:szCs w:val="24"/>
        </w:rPr>
        <w:fldChar w:fldCharType="separate"/>
      </w:r>
      <w:r w:rsidR="002F520A">
        <w:rPr>
          <w:rFonts w:ascii="Arial Narrow" w:hAnsi="Arial Narrow"/>
          <w:noProof/>
          <w:sz w:val="24"/>
          <w:szCs w:val="24"/>
        </w:rPr>
        <w:t>47</w:t>
      </w:r>
      <w:r w:rsidRPr="005E067A">
        <w:rPr>
          <w:rFonts w:ascii="Arial Narrow" w:hAnsi="Arial Narrow"/>
          <w:sz w:val="24"/>
          <w:szCs w:val="24"/>
        </w:rPr>
        <w:fldChar w:fldCharType="end"/>
      </w:r>
      <w:r w:rsidRPr="005E067A">
        <w:rPr>
          <w:rFonts w:ascii="Arial Narrow" w:hAnsi="Arial Narrow"/>
          <w:sz w:val="24"/>
          <w:szCs w:val="24"/>
        </w:rPr>
        <w:t xml:space="preserve"> </w:t>
      </w:r>
      <w:r w:rsidRPr="005E067A">
        <w:rPr>
          <w:rFonts w:ascii="Arial Narrow" w:eastAsia="Calibri" w:hAnsi="Arial Narrow"/>
          <w:sz w:val="24"/>
          <w:szCs w:val="24"/>
        </w:rPr>
        <w:t xml:space="preserve">Metas estratégicas de </w:t>
      </w:r>
      <w:r>
        <w:rPr>
          <w:rFonts w:ascii="Arial Narrow" w:eastAsia="Calibri" w:hAnsi="Arial Narrow"/>
          <w:sz w:val="24"/>
          <w:szCs w:val="24"/>
        </w:rPr>
        <w:t>Desarrollo y Optimización de Servicios y Procesos judiciales</w:t>
      </w:r>
      <w:r w:rsidRPr="005E067A">
        <w:rPr>
          <w:rFonts w:ascii="Arial Narrow" w:eastAsia="Calibri" w:hAnsi="Arial Narrow"/>
          <w:sz w:val="24"/>
          <w:szCs w:val="24"/>
        </w:rPr>
        <w:t>, y su cumplimiento para el 20</w:t>
      </w:r>
      <w:r>
        <w:rPr>
          <w:rFonts w:ascii="Arial Narrow" w:eastAsia="Calibri" w:hAnsi="Arial Narrow"/>
          <w:sz w:val="24"/>
          <w:szCs w:val="24"/>
        </w:rPr>
        <w:t>21</w:t>
      </w:r>
    </w:p>
    <w:p w14:paraId="11D5E9D8" w14:textId="77777777" w:rsidR="00AF4550" w:rsidRPr="00322D9B" w:rsidRDefault="00AF4550" w:rsidP="00322D9B">
      <w:pPr>
        <w:rPr>
          <w:rFonts w:eastAsia="Calibri"/>
        </w:rPr>
      </w:pPr>
    </w:p>
    <w:p w14:paraId="7BE5276C" w14:textId="77777777" w:rsidR="00696737" w:rsidRDefault="00696737" w:rsidP="00696737">
      <w:pPr>
        <w:jc w:val="both"/>
        <w:rPr>
          <w:rFonts w:ascii="Arial Narrow" w:hAnsi="Arial Narrow"/>
        </w:rPr>
      </w:pPr>
      <w:r>
        <w:rPr>
          <w:noProof/>
        </w:rPr>
        <w:drawing>
          <wp:inline distT="0" distB="0" distL="0" distR="0" wp14:anchorId="08E2EF17" wp14:editId="39B5526A">
            <wp:extent cx="5612130" cy="2691765"/>
            <wp:effectExtent l="57150" t="57150" r="102870" b="89535"/>
            <wp:docPr id="45" name="Imagen 4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Tabla&#10;&#10;Descripción generada automáticamente"/>
                    <pic:cNvPicPr/>
                  </pic:nvPicPr>
                  <pic:blipFill>
                    <a:blip r:embed="rId102"/>
                    <a:stretch>
                      <a:fillRect/>
                    </a:stretch>
                  </pic:blipFill>
                  <pic:spPr>
                    <a:xfrm>
                      <a:off x="0" y="0"/>
                      <a:ext cx="5612130" cy="2691765"/>
                    </a:xfrm>
                    <a:prstGeom prst="rect">
                      <a:avLst/>
                    </a:prstGeom>
                    <a:ln w="12700" cap="sq">
                      <a:solidFill>
                        <a:schemeClr val="tx1"/>
                      </a:solidFill>
                      <a:prstDash val="solid"/>
                      <a:miter lim="800000"/>
                    </a:ln>
                    <a:effectLst>
                      <a:outerShdw blurRad="50800" dist="38100" dir="2700000" algn="tl" rotWithShape="0">
                        <a:srgbClr val="000000">
                          <a:alpha val="43000"/>
                        </a:srgbClr>
                      </a:outerShdw>
                    </a:effectLst>
                  </pic:spPr>
                </pic:pic>
              </a:graphicData>
            </a:graphic>
          </wp:inline>
        </w:drawing>
      </w:r>
    </w:p>
    <w:p w14:paraId="212650D9" w14:textId="77777777" w:rsidR="00696737" w:rsidRPr="00996542" w:rsidRDefault="00696737" w:rsidP="00B54439">
      <w:pPr>
        <w:jc w:val="center"/>
        <w:rPr>
          <w:rFonts w:ascii="Arial Narrow" w:hAnsi="Arial Narrow"/>
          <w:sz w:val="18"/>
          <w:szCs w:val="18"/>
        </w:rPr>
      </w:pPr>
      <w:r w:rsidRPr="00996542">
        <w:rPr>
          <w:rFonts w:ascii="Arial Narrow" w:hAnsi="Arial Narrow"/>
          <w:sz w:val="18"/>
          <w:szCs w:val="18"/>
        </w:rPr>
        <w:t>Fuente: Sistema PEI al 19 de enero del 2022 para el año 2021.</w:t>
      </w:r>
    </w:p>
    <w:p w14:paraId="29E84B22" w14:textId="77777777" w:rsidR="006E3CA1" w:rsidRDefault="006E3CA1" w:rsidP="00696737">
      <w:pPr>
        <w:jc w:val="both"/>
        <w:rPr>
          <w:rFonts w:ascii="Arial Narrow" w:hAnsi="Arial Narrow"/>
        </w:rPr>
      </w:pPr>
    </w:p>
    <w:p w14:paraId="673EC39A" w14:textId="77777777" w:rsidR="00581C62" w:rsidRDefault="00581C62" w:rsidP="00696737">
      <w:pPr>
        <w:jc w:val="both"/>
        <w:rPr>
          <w:rFonts w:ascii="Arial Narrow" w:hAnsi="Arial Narrow"/>
        </w:rPr>
      </w:pPr>
    </w:p>
    <w:p w14:paraId="55F85CFD" w14:textId="0370A818" w:rsidR="00696737" w:rsidRDefault="00696737" w:rsidP="00696737">
      <w:pPr>
        <w:jc w:val="both"/>
        <w:rPr>
          <w:rFonts w:ascii="Arial Narrow" w:hAnsi="Arial Narrow"/>
        </w:rPr>
      </w:pPr>
      <w:r>
        <w:rPr>
          <w:rFonts w:ascii="Arial Narrow" w:hAnsi="Arial Narrow"/>
        </w:rPr>
        <w:t xml:space="preserve">Sobre los esfuerzos  </w:t>
      </w:r>
      <w:r w:rsidR="00F2522E">
        <w:rPr>
          <w:rFonts w:ascii="Arial Narrow" w:hAnsi="Arial Narrow"/>
        </w:rPr>
        <w:t>de</w:t>
      </w:r>
      <w:r>
        <w:rPr>
          <w:rFonts w:ascii="Arial Narrow" w:hAnsi="Arial Narrow"/>
        </w:rPr>
        <w:t xml:space="preserve"> la Defensa Pública se</w:t>
      </w:r>
      <w:r w:rsidR="00F2522E">
        <w:rPr>
          <w:rFonts w:ascii="Arial Narrow" w:hAnsi="Arial Narrow"/>
        </w:rPr>
        <w:t xml:space="preserve"> tiene que</w:t>
      </w:r>
      <w:r>
        <w:rPr>
          <w:rFonts w:ascii="Arial Narrow" w:hAnsi="Arial Narrow"/>
        </w:rPr>
        <w:t xml:space="preserve"> ha realizado trabajos en a</w:t>
      </w:r>
      <w:r w:rsidRPr="009D73E3">
        <w:rPr>
          <w:rFonts w:ascii="Arial Narrow" w:hAnsi="Arial Narrow"/>
        </w:rPr>
        <w:t>decuar los procesos que se ejecutan en materia de Pensiones Alimentarias, mediante la implementación de estaciones virtuales en las oficinas donde no se brinda el servicio,</w:t>
      </w:r>
      <w:r>
        <w:rPr>
          <w:rFonts w:ascii="Arial Narrow" w:hAnsi="Arial Narrow"/>
        </w:rPr>
        <w:t xml:space="preserve"> como se constata en </w:t>
      </w:r>
      <w:r w:rsidRPr="009D73E3">
        <w:rPr>
          <w:rFonts w:ascii="Arial Narrow" w:hAnsi="Arial Narrow"/>
        </w:rPr>
        <w:t>Oficio 057-JVA-2021</w:t>
      </w:r>
      <w:r>
        <w:rPr>
          <w:rFonts w:ascii="Arial Narrow" w:hAnsi="Arial Narrow"/>
        </w:rPr>
        <w:t xml:space="preserve"> donde la comisión de Familia </w:t>
      </w:r>
      <w:r w:rsidRPr="009D73E3">
        <w:rPr>
          <w:rFonts w:ascii="Arial Narrow" w:hAnsi="Arial Narrow"/>
        </w:rPr>
        <w:t>brinda total apoyo a la Defensa Pública por la iniciativa y las diferentes gestiones que se están realizando en procura de brindar el servicio en materia de pensiones alimentarias por los medios virtuales, especialmente a las personas que se encuentran en zonas alejadas</w:t>
      </w:r>
      <w:r>
        <w:rPr>
          <w:rFonts w:ascii="Arial Narrow" w:hAnsi="Arial Narrow"/>
        </w:rPr>
        <w:t>.</w:t>
      </w:r>
    </w:p>
    <w:p w14:paraId="7646F678" w14:textId="77777777" w:rsidR="006E3CA1" w:rsidRDefault="006E3CA1" w:rsidP="00696737">
      <w:pPr>
        <w:jc w:val="both"/>
        <w:rPr>
          <w:rFonts w:ascii="Arial Narrow" w:hAnsi="Arial Narrow"/>
        </w:rPr>
      </w:pPr>
    </w:p>
    <w:p w14:paraId="34142CAE" w14:textId="1B6A5959" w:rsidR="00696737" w:rsidRDefault="00696737" w:rsidP="00696737">
      <w:pPr>
        <w:jc w:val="both"/>
        <w:rPr>
          <w:rFonts w:ascii="Arial Narrow" w:hAnsi="Arial Narrow"/>
        </w:rPr>
      </w:pPr>
      <w:r>
        <w:rPr>
          <w:rFonts w:ascii="Arial Narrow" w:hAnsi="Arial Narrow"/>
        </w:rPr>
        <w:t xml:space="preserve">Por su parte la Dirección de Planificación ha trabajado en asuntos vinculados a la entrada en vigencia del Código Procesal de Familia, así como el modelo de mejora integral del proceso penal.  Con respecto al </w:t>
      </w:r>
      <w:r w:rsidRPr="009D73E3">
        <w:rPr>
          <w:rFonts w:ascii="Arial Narrow" w:hAnsi="Arial Narrow"/>
        </w:rPr>
        <w:t xml:space="preserve">seguimiento de los indicadores de gestión de los despachos abordados en el proyecto implementación del Código de Familia relacionados a la materia de familia, Pensiones </w:t>
      </w:r>
      <w:r>
        <w:rPr>
          <w:rFonts w:ascii="Arial Narrow" w:hAnsi="Arial Narrow"/>
        </w:rPr>
        <w:t>A</w:t>
      </w:r>
      <w:r w:rsidRPr="009D73E3">
        <w:rPr>
          <w:rFonts w:ascii="Arial Narrow" w:hAnsi="Arial Narrow"/>
        </w:rPr>
        <w:t>limentarias con al menos 170 informes de seguimiento</w:t>
      </w:r>
      <w:r>
        <w:rPr>
          <w:rFonts w:ascii="Arial Narrow" w:hAnsi="Arial Narrow"/>
        </w:rPr>
        <w:t xml:space="preserve">, se tiene que al </w:t>
      </w:r>
      <w:r w:rsidRPr="009D73E3">
        <w:rPr>
          <w:rFonts w:ascii="Arial Narrow" w:hAnsi="Arial Narrow"/>
        </w:rPr>
        <w:t>23 de setiembre del 2021 se llevaban 201 informes de seguimiento, lo que implica un cumplimiento superior al esperado (118%).</w:t>
      </w:r>
    </w:p>
    <w:p w14:paraId="59F279A1" w14:textId="77777777" w:rsidR="006E3CA1" w:rsidRDefault="006E3CA1" w:rsidP="00696737">
      <w:pPr>
        <w:jc w:val="both"/>
        <w:rPr>
          <w:rFonts w:ascii="Arial Narrow" w:hAnsi="Arial Narrow"/>
        </w:rPr>
      </w:pPr>
    </w:p>
    <w:p w14:paraId="0502CFBA" w14:textId="77777777" w:rsidR="00696737" w:rsidRDefault="00696737" w:rsidP="00696737">
      <w:pPr>
        <w:jc w:val="both"/>
        <w:rPr>
          <w:rFonts w:ascii="Arial Narrow" w:hAnsi="Arial Narrow"/>
        </w:rPr>
      </w:pPr>
      <w:r>
        <w:rPr>
          <w:rFonts w:ascii="Arial Narrow" w:hAnsi="Arial Narrow"/>
        </w:rPr>
        <w:t>Con respecto al</w:t>
      </w:r>
      <w:r w:rsidRPr="005D49CB">
        <w:rPr>
          <w:rFonts w:ascii="Arial Narrow" w:hAnsi="Arial Narrow"/>
        </w:rPr>
        <w:t xml:space="preserve"> </w:t>
      </w:r>
      <w:r w:rsidRPr="009D73E3">
        <w:rPr>
          <w:rFonts w:ascii="Arial Narrow" w:hAnsi="Arial Narrow"/>
        </w:rPr>
        <w:t>proyecto de mejora integral del proceso penal</w:t>
      </w:r>
      <w:r>
        <w:rPr>
          <w:rFonts w:ascii="Arial Narrow" w:hAnsi="Arial Narrow"/>
        </w:rPr>
        <w:t xml:space="preserve">, se propuso un </w:t>
      </w:r>
      <w:r w:rsidRPr="009D73E3">
        <w:rPr>
          <w:rFonts w:ascii="Arial Narrow" w:hAnsi="Arial Narrow"/>
        </w:rPr>
        <w:t xml:space="preserve">seguimiento de variables estadísticas de las oficinas abordadas en el Ámbito Auxiliar de Justicia y Ámbito Jurisdiccional </w:t>
      </w:r>
      <w:r>
        <w:rPr>
          <w:rFonts w:ascii="Arial Narrow" w:hAnsi="Arial Narrow"/>
        </w:rPr>
        <w:t xml:space="preserve">en específico, </w:t>
      </w:r>
      <w:r w:rsidRPr="005D49CB">
        <w:rPr>
          <w:rFonts w:ascii="Arial Narrow" w:hAnsi="Arial Narrow"/>
        </w:rPr>
        <w:t>Ministerio Público y Defensa Pública con al menos 144 informes de seguimiento</w:t>
      </w:r>
      <w:r>
        <w:rPr>
          <w:rFonts w:ascii="Arial Narrow" w:hAnsi="Arial Narrow"/>
        </w:rPr>
        <w:t xml:space="preserve"> cada uno, </w:t>
      </w:r>
      <w:r w:rsidRPr="005D49CB">
        <w:rPr>
          <w:rFonts w:ascii="Arial Narrow" w:hAnsi="Arial Narrow"/>
        </w:rPr>
        <w:t>O</w:t>
      </w:r>
      <w:r>
        <w:rPr>
          <w:rFonts w:ascii="Arial Narrow" w:hAnsi="Arial Narrow"/>
        </w:rPr>
        <w:t xml:space="preserve">rganismo de </w:t>
      </w:r>
      <w:r w:rsidRPr="005D49CB">
        <w:rPr>
          <w:rFonts w:ascii="Arial Narrow" w:hAnsi="Arial Narrow"/>
        </w:rPr>
        <w:t>I</w:t>
      </w:r>
      <w:r>
        <w:rPr>
          <w:rFonts w:ascii="Arial Narrow" w:hAnsi="Arial Narrow"/>
        </w:rPr>
        <w:t xml:space="preserve">nvestigación </w:t>
      </w:r>
      <w:r w:rsidRPr="005D49CB">
        <w:rPr>
          <w:rFonts w:ascii="Arial Narrow" w:hAnsi="Arial Narrow"/>
        </w:rPr>
        <w:t>J</w:t>
      </w:r>
      <w:r>
        <w:rPr>
          <w:rFonts w:ascii="Arial Narrow" w:hAnsi="Arial Narrow"/>
        </w:rPr>
        <w:t>udicial</w:t>
      </w:r>
      <w:r w:rsidRPr="005D49CB">
        <w:rPr>
          <w:rFonts w:ascii="Arial Narrow" w:hAnsi="Arial Narrow"/>
        </w:rPr>
        <w:t xml:space="preserve"> con al menos 108 informes de seguimiento y al menos cuatro seguimiento</w:t>
      </w:r>
      <w:r>
        <w:rPr>
          <w:rFonts w:ascii="Arial Narrow" w:hAnsi="Arial Narrow"/>
        </w:rPr>
        <w:t>s</w:t>
      </w:r>
      <w:r w:rsidRPr="005D49CB">
        <w:rPr>
          <w:rFonts w:ascii="Arial Narrow" w:hAnsi="Arial Narrow"/>
        </w:rPr>
        <w:t xml:space="preserve"> de los resultados alcanzados en el Ámbito Jurisdiccional</w:t>
      </w:r>
      <w:r>
        <w:rPr>
          <w:rFonts w:ascii="Arial Narrow" w:hAnsi="Arial Narrow"/>
        </w:rPr>
        <w:t>.</w:t>
      </w:r>
    </w:p>
    <w:p w14:paraId="57E7D51B" w14:textId="77777777" w:rsidR="00696737" w:rsidRDefault="00696737" w:rsidP="00696737">
      <w:pPr>
        <w:jc w:val="both"/>
        <w:rPr>
          <w:rFonts w:ascii="Arial Narrow" w:hAnsi="Arial Narrow"/>
        </w:rPr>
      </w:pPr>
    </w:p>
    <w:p w14:paraId="34F98743" w14:textId="77777777" w:rsidR="00581C62" w:rsidRDefault="00581C62" w:rsidP="00B56A16">
      <w:pPr>
        <w:pStyle w:val="Descripcin"/>
        <w:jc w:val="center"/>
        <w:rPr>
          <w:rFonts w:ascii="Arial Narrow" w:hAnsi="Arial Narrow"/>
          <w:sz w:val="24"/>
          <w:szCs w:val="24"/>
        </w:rPr>
      </w:pPr>
    </w:p>
    <w:p w14:paraId="3F970788" w14:textId="6DE2E85F" w:rsidR="00B56A16" w:rsidRDefault="00B56A16" w:rsidP="00B56A16">
      <w:pPr>
        <w:pStyle w:val="Descripcin"/>
        <w:jc w:val="center"/>
        <w:rPr>
          <w:rFonts w:ascii="Arial Narrow" w:eastAsia="Calibri" w:hAnsi="Arial Narrow"/>
          <w:sz w:val="24"/>
          <w:szCs w:val="24"/>
        </w:rPr>
      </w:pPr>
      <w:r w:rsidRPr="005E067A">
        <w:rPr>
          <w:rFonts w:ascii="Arial Narrow" w:hAnsi="Arial Narrow"/>
          <w:sz w:val="24"/>
          <w:szCs w:val="24"/>
        </w:rPr>
        <w:t xml:space="preserve">Cuadro </w:t>
      </w:r>
      <w:r w:rsidRPr="005E067A">
        <w:rPr>
          <w:rFonts w:ascii="Arial Narrow" w:hAnsi="Arial Narrow"/>
          <w:sz w:val="24"/>
          <w:szCs w:val="24"/>
        </w:rPr>
        <w:fldChar w:fldCharType="begin"/>
      </w:r>
      <w:r w:rsidRPr="005E067A">
        <w:rPr>
          <w:rFonts w:ascii="Arial Narrow" w:hAnsi="Arial Narrow"/>
          <w:sz w:val="24"/>
          <w:szCs w:val="24"/>
        </w:rPr>
        <w:instrText xml:space="preserve"> SEQ Cuadro_No. \* ARABIC </w:instrText>
      </w:r>
      <w:r w:rsidRPr="005E067A">
        <w:rPr>
          <w:rFonts w:ascii="Arial Narrow" w:hAnsi="Arial Narrow"/>
          <w:sz w:val="24"/>
          <w:szCs w:val="24"/>
        </w:rPr>
        <w:fldChar w:fldCharType="separate"/>
      </w:r>
      <w:r w:rsidR="002F520A">
        <w:rPr>
          <w:rFonts w:ascii="Arial Narrow" w:hAnsi="Arial Narrow"/>
          <w:noProof/>
          <w:sz w:val="24"/>
          <w:szCs w:val="24"/>
        </w:rPr>
        <w:t>48</w:t>
      </w:r>
      <w:r w:rsidRPr="005E067A">
        <w:rPr>
          <w:rFonts w:ascii="Arial Narrow" w:hAnsi="Arial Narrow"/>
          <w:sz w:val="24"/>
          <w:szCs w:val="24"/>
        </w:rPr>
        <w:fldChar w:fldCharType="end"/>
      </w:r>
      <w:r w:rsidRPr="005E067A">
        <w:rPr>
          <w:rFonts w:ascii="Arial Narrow" w:hAnsi="Arial Narrow"/>
          <w:sz w:val="24"/>
          <w:szCs w:val="24"/>
        </w:rPr>
        <w:t xml:space="preserve"> </w:t>
      </w:r>
      <w:r w:rsidRPr="005E067A">
        <w:rPr>
          <w:rFonts w:ascii="Arial Narrow" w:eastAsia="Calibri" w:hAnsi="Arial Narrow"/>
          <w:sz w:val="24"/>
          <w:szCs w:val="24"/>
        </w:rPr>
        <w:t xml:space="preserve">Metas estratégicas de </w:t>
      </w:r>
      <w:r>
        <w:rPr>
          <w:rFonts w:ascii="Arial Narrow" w:eastAsia="Calibri" w:hAnsi="Arial Narrow"/>
          <w:sz w:val="24"/>
          <w:szCs w:val="24"/>
        </w:rPr>
        <w:t>Desarrollo y Optimización de Servicios y Procesos judiciales</w:t>
      </w:r>
      <w:r w:rsidRPr="005E067A">
        <w:rPr>
          <w:rFonts w:ascii="Arial Narrow" w:eastAsia="Calibri" w:hAnsi="Arial Narrow"/>
          <w:sz w:val="24"/>
          <w:szCs w:val="24"/>
        </w:rPr>
        <w:t>, y su cumplimiento para el 20</w:t>
      </w:r>
      <w:r>
        <w:rPr>
          <w:rFonts w:ascii="Arial Narrow" w:eastAsia="Calibri" w:hAnsi="Arial Narrow"/>
          <w:sz w:val="24"/>
          <w:szCs w:val="24"/>
        </w:rPr>
        <w:t>21</w:t>
      </w:r>
    </w:p>
    <w:p w14:paraId="033C72BF" w14:textId="77777777" w:rsidR="00696737" w:rsidRDefault="00696737" w:rsidP="00696737">
      <w:pPr>
        <w:jc w:val="both"/>
        <w:rPr>
          <w:rFonts w:ascii="Arial Narrow" w:hAnsi="Arial Narrow"/>
        </w:rPr>
      </w:pPr>
    </w:p>
    <w:p w14:paraId="410AAB68" w14:textId="77777777" w:rsidR="00696737" w:rsidRDefault="00696737" w:rsidP="00696737">
      <w:pPr>
        <w:jc w:val="both"/>
        <w:rPr>
          <w:rFonts w:ascii="Arial Narrow" w:hAnsi="Arial Narrow"/>
        </w:rPr>
      </w:pPr>
      <w:r>
        <w:rPr>
          <w:noProof/>
        </w:rPr>
        <w:drawing>
          <wp:inline distT="0" distB="0" distL="0" distR="0" wp14:anchorId="2B681235" wp14:editId="05737753">
            <wp:extent cx="5612130" cy="2658745"/>
            <wp:effectExtent l="19050" t="19050" r="26670" b="27305"/>
            <wp:docPr id="46" name="Imagen 4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Tabla&#10;&#10;Descripción generada automáticamente"/>
                    <pic:cNvPicPr/>
                  </pic:nvPicPr>
                  <pic:blipFill>
                    <a:blip r:embed="rId103"/>
                    <a:stretch>
                      <a:fillRect/>
                    </a:stretch>
                  </pic:blipFill>
                  <pic:spPr>
                    <a:xfrm>
                      <a:off x="0" y="0"/>
                      <a:ext cx="5612130" cy="2658745"/>
                    </a:xfrm>
                    <a:prstGeom prst="rect">
                      <a:avLst/>
                    </a:prstGeom>
                    <a:ln w="12700">
                      <a:solidFill>
                        <a:schemeClr val="tx1"/>
                      </a:solidFill>
                    </a:ln>
                  </pic:spPr>
                </pic:pic>
              </a:graphicData>
            </a:graphic>
          </wp:inline>
        </w:drawing>
      </w:r>
    </w:p>
    <w:p w14:paraId="515E7A17" w14:textId="163D7C29" w:rsidR="00696737" w:rsidRDefault="00696737" w:rsidP="00B54439">
      <w:pPr>
        <w:jc w:val="center"/>
        <w:rPr>
          <w:rFonts w:ascii="Arial Narrow" w:hAnsi="Arial Narrow"/>
          <w:sz w:val="18"/>
          <w:szCs w:val="18"/>
        </w:rPr>
      </w:pPr>
      <w:r w:rsidRPr="00996542">
        <w:rPr>
          <w:rFonts w:ascii="Arial Narrow" w:hAnsi="Arial Narrow"/>
          <w:sz w:val="18"/>
          <w:szCs w:val="18"/>
        </w:rPr>
        <w:t>Fuente: Sistema PEI al 19 de enero del 2022 para el año 2021.</w:t>
      </w:r>
    </w:p>
    <w:p w14:paraId="4FD0DC21" w14:textId="77777777" w:rsidR="00B56A16" w:rsidRPr="00996542" w:rsidRDefault="00B56A16" w:rsidP="00696737">
      <w:pPr>
        <w:jc w:val="both"/>
        <w:rPr>
          <w:rFonts w:ascii="Arial Narrow" w:hAnsi="Arial Narrow"/>
          <w:sz w:val="18"/>
          <w:szCs w:val="18"/>
        </w:rPr>
      </w:pPr>
    </w:p>
    <w:p w14:paraId="619ECBB5" w14:textId="77777777" w:rsidR="00581C62" w:rsidRDefault="00581C62" w:rsidP="00696737">
      <w:pPr>
        <w:jc w:val="both"/>
        <w:rPr>
          <w:rFonts w:ascii="Arial Narrow" w:hAnsi="Arial Narrow"/>
        </w:rPr>
      </w:pPr>
    </w:p>
    <w:p w14:paraId="307EB5E0" w14:textId="63C6EDD4" w:rsidR="00696737" w:rsidRDefault="00696737" w:rsidP="00696737">
      <w:pPr>
        <w:jc w:val="both"/>
        <w:rPr>
          <w:rFonts w:ascii="Arial Narrow" w:hAnsi="Arial Narrow"/>
        </w:rPr>
      </w:pPr>
      <w:r>
        <w:rPr>
          <w:rFonts w:ascii="Arial Narrow" w:hAnsi="Arial Narrow"/>
        </w:rPr>
        <w:t xml:space="preserve">Con respecto a la meta estratégica vinculada al </w:t>
      </w:r>
      <w:r w:rsidRPr="005D49CB">
        <w:rPr>
          <w:rFonts w:ascii="Arial Narrow" w:hAnsi="Arial Narrow"/>
        </w:rPr>
        <w:t xml:space="preserve">proyecto de rediseño en al menos </w:t>
      </w:r>
      <w:r w:rsidR="00061CF7">
        <w:rPr>
          <w:rFonts w:ascii="Arial Narrow" w:hAnsi="Arial Narrow"/>
        </w:rPr>
        <w:t>siete</w:t>
      </w:r>
      <w:r w:rsidRPr="005D49CB">
        <w:rPr>
          <w:rFonts w:ascii="Arial Narrow" w:hAnsi="Arial Narrow"/>
        </w:rPr>
        <w:t xml:space="preserve"> circuitos judiciales, que involucre el ámbito jurisdiccional, auxiliar de justic</w:t>
      </w:r>
      <w:r>
        <w:rPr>
          <w:rFonts w:ascii="Arial Narrow" w:hAnsi="Arial Narrow"/>
        </w:rPr>
        <w:t>i</w:t>
      </w:r>
      <w:r w:rsidRPr="005D49CB">
        <w:rPr>
          <w:rFonts w:ascii="Arial Narrow" w:hAnsi="Arial Narrow"/>
        </w:rPr>
        <w:t>a y administrativo</w:t>
      </w:r>
      <w:r>
        <w:rPr>
          <w:rFonts w:ascii="Arial Narrow" w:hAnsi="Arial Narrow"/>
        </w:rPr>
        <w:t xml:space="preserve"> se tiene que, de acuerdo con la materia laboral, se desarrollaron al </w:t>
      </w:r>
      <w:r w:rsidRPr="005D49CB">
        <w:rPr>
          <w:rFonts w:ascii="Arial Narrow" w:hAnsi="Arial Narrow"/>
        </w:rPr>
        <w:t xml:space="preserve">30 de junio del 2021 la rendición de </w:t>
      </w:r>
      <w:r w:rsidR="00CA4CF1">
        <w:rPr>
          <w:rFonts w:ascii="Arial Narrow" w:hAnsi="Arial Narrow"/>
        </w:rPr>
        <w:t>cuatro</w:t>
      </w:r>
      <w:r w:rsidRPr="005D49CB">
        <w:rPr>
          <w:rFonts w:ascii="Arial Narrow" w:hAnsi="Arial Narrow"/>
        </w:rPr>
        <w:t xml:space="preserve"> informes por lo que se superó la meta (167-PLA-MI-2021, 556-PLA-MI-2021, 659-PLA-MI-2021, 673-PLA-MI-2021).</w:t>
      </w:r>
      <w:r>
        <w:rPr>
          <w:rFonts w:ascii="Arial Narrow" w:hAnsi="Arial Narrow"/>
        </w:rPr>
        <w:t xml:space="preserve"> Por su parte la materia penal, se cumplió en un 100% debido a que </w:t>
      </w:r>
      <w:r w:rsidRPr="005D49CB">
        <w:rPr>
          <w:rFonts w:ascii="Arial Narrow" w:hAnsi="Arial Narrow"/>
        </w:rPr>
        <w:t>se realizó el segundo ejercicio de seguimiento de los planes de descongestionamiento en junio d</w:t>
      </w:r>
      <w:r>
        <w:rPr>
          <w:rFonts w:ascii="Arial Narrow" w:hAnsi="Arial Narrow"/>
        </w:rPr>
        <w:t>e 2021</w:t>
      </w:r>
      <w:r w:rsidRPr="005D49CB">
        <w:rPr>
          <w:rFonts w:ascii="Arial Narrow" w:hAnsi="Arial Narrow"/>
        </w:rPr>
        <w:t>, el cual fue conocido por Consejo Superior en sesión del 29 de junio de 2021, artículo LXI, en el cual se prorrogaron los permisos con goce de salario y sustitución</w:t>
      </w:r>
      <w:r>
        <w:rPr>
          <w:rFonts w:ascii="Arial Narrow" w:hAnsi="Arial Narrow"/>
        </w:rPr>
        <w:t>.</w:t>
      </w:r>
    </w:p>
    <w:p w14:paraId="6308E542" w14:textId="148F71B2" w:rsidR="006E3CA1" w:rsidRDefault="006E3CA1" w:rsidP="00696737">
      <w:pPr>
        <w:jc w:val="both"/>
        <w:rPr>
          <w:rFonts w:ascii="Arial Narrow" w:hAnsi="Arial Narrow"/>
        </w:rPr>
      </w:pPr>
    </w:p>
    <w:p w14:paraId="5E096F9C" w14:textId="77777777" w:rsidR="004853EA" w:rsidRDefault="004853EA" w:rsidP="00696737">
      <w:pPr>
        <w:jc w:val="both"/>
        <w:rPr>
          <w:rFonts w:ascii="Arial Narrow" w:hAnsi="Arial Narrow"/>
        </w:rPr>
      </w:pPr>
    </w:p>
    <w:p w14:paraId="08140CF9" w14:textId="3AB8299D" w:rsidR="00696737" w:rsidRDefault="3F878E40" w:rsidP="00696737">
      <w:pPr>
        <w:jc w:val="both"/>
        <w:rPr>
          <w:rFonts w:ascii="Arial Narrow" w:hAnsi="Arial Narrow"/>
        </w:rPr>
      </w:pPr>
      <w:r w:rsidRPr="17C79F93">
        <w:rPr>
          <w:rFonts w:ascii="Arial Narrow" w:hAnsi="Arial Narrow"/>
        </w:rPr>
        <w:t xml:space="preserve">Por su parte, el modelo de sostenibilidad se ha expandido a </w:t>
      </w:r>
      <w:r w:rsidR="24B1B48A" w:rsidRPr="17C79F93">
        <w:rPr>
          <w:rFonts w:ascii="Arial Narrow" w:hAnsi="Arial Narrow"/>
        </w:rPr>
        <w:t>ocho</w:t>
      </w:r>
      <w:r w:rsidRPr="17C79F93">
        <w:rPr>
          <w:rFonts w:ascii="Arial Narrow" w:hAnsi="Arial Narrow"/>
        </w:rPr>
        <w:t xml:space="preserve"> Circuitos Judiciales</w:t>
      </w:r>
      <w:r w:rsidR="004853EA">
        <w:rPr>
          <w:rFonts w:ascii="Arial Narrow" w:hAnsi="Arial Narrow"/>
        </w:rPr>
        <w:t xml:space="preserve"> </w:t>
      </w:r>
      <w:r w:rsidRPr="17C79F93">
        <w:rPr>
          <w:rFonts w:ascii="Arial Narrow" w:hAnsi="Arial Narrow"/>
        </w:rPr>
        <w:t xml:space="preserve">(Primero y Segundo Circuito Judicial de </w:t>
      </w:r>
      <w:r w:rsidR="004853EA" w:rsidRPr="17C79F93">
        <w:rPr>
          <w:rFonts w:ascii="Arial Narrow" w:hAnsi="Arial Narrow"/>
        </w:rPr>
        <w:t>Alajuela, Circuito</w:t>
      </w:r>
      <w:r w:rsidRPr="17C79F93">
        <w:rPr>
          <w:rFonts w:ascii="Arial Narrow" w:hAnsi="Arial Narrow"/>
        </w:rPr>
        <w:t xml:space="preserve"> Judicial de Heredia,</w:t>
      </w:r>
      <w:r w:rsidR="00996F32">
        <w:rPr>
          <w:rFonts w:ascii="Arial Narrow" w:hAnsi="Arial Narrow"/>
        </w:rPr>
        <w:t xml:space="preserve"> </w:t>
      </w:r>
      <w:r w:rsidRPr="17C79F93">
        <w:rPr>
          <w:rFonts w:ascii="Arial Narrow" w:hAnsi="Arial Narrow"/>
        </w:rPr>
        <w:t>Circuito Judicial de Cartago, Primer Circuito Judicial de Puntarenas, Primer Circuito Judicial Zona Atl</w:t>
      </w:r>
      <w:r w:rsidR="00996F32">
        <w:rPr>
          <w:rFonts w:ascii="Arial Narrow" w:hAnsi="Arial Narrow"/>
        </w:rPr>
        <w:t>á</w:t>
      </w:r>
      <w:r w:rsidRPr="17C79F93">
        <w:rPr>
          <w:rFonts w:ascii="Arial Narrow" w:hAnsi="Arial Narrow"/>
        </w:rPr>
        <w:t>ntica, Primer Circu</w:t>
      </w:r>
      <w:r w:rsidR="004853EA">
        <w:rPr>
          <w:rFonts w:ascii="Arial Narrow" w:hAnsi="Arial Narrow"/>
        </w:rPr>
        <w:t>i</w:t>
      </w:r>
      <w:r w:rsidRPr="17C79F93">
        <w:rPr>
          <w:rFonts w:ascii="Arial Narrow" w:hAnsi="Arial Narrow"/>
        </w:rPr>
        <w:t>to Judicial Zona Sur); a partir del Modelo establecido por la Dirección de Planificación en los Circuitos Judiciales de Cartago</w:t>
      </w:r>
      <w:r w:rsidR="24B1B48A" w:rsidRPr="17C79F93">
        <w:rPr>
          <w:rFonts w:ascii="Arial Narrow" w:hAnsi="Arial Narrow"/>
        </w:rPr>
        <w:t>,</w:t>
      </w:r>
      <w:r w:rsidRPr="17C79F93">
        <w:rPr>
          <w:rFonts w:ascii="Arial Narrow" w:hAnsi="Arial Narrow"/>
        </w:rPr>
        <w:t xml:space="preserve"> San Carlos</w:t>
      </w:r>
      <w:r w:rsidR="00C32507">
        <w:rPr>
          <w:rFonts w:ascii="Arial Narrow" w:hAnsi="Arial Narrow"/>
        </w:rPr>
        <w:t>.</w:t>
      </w:r>
      <w:r w:rsidR="24B1B48A" w:rsidRPr="17C79F93">
        <w:rPr>
          <w:rFonts w:ascii="Arial Narrow" w:hAnsi="Arial Narrow"/>
        </w:rPr>
        <w:t xml:space="preserve"> </w:t>
      </w:r>
      <w:r w:rsidRPr="17C79F93">
        <w:rPr>
          <w:rFonts w:ascii="Arial Narrow" w:hAnsi="Arial Narrow"/>
        </w:rPr>
        <w:t>De igual manera, se ha brindado direcciones funcionales a los profesionales que serán parte de la implementación del Modelo de Sostenibilidad en los Circuitos del Primero y Segundo de San José, PISAV y Tránsito a nivel nacional, así como el seguimiento anual, para 7 materias jurisdiccionales (Civil, Laboral, Contravenciones, Familia y Pensiones Alimentarias, Agrario, Violencia Doméstica y Cobros). Se realizaron al menos dos realimentaciones a oficinas de los 7 circuitos de manera anual, en donde se establecen planes de acción de mejora en conjunto con la Administración para ejecución y seguimiento de los Consejos de Administración, tomando en cuenta el impacto y afectación del COVID19.</w:t>
      </w:r>
    </w:p>
    <w:p w14:paraId="7FE5EF1D" w14:textId="77777777" w:rsidR="004853EA" w:rsidRDefault="004853EA" w:rsidP="00696737">
      <w:pPr>
        <w:jc w:val="both"/>
        <w:rPr>
          <w:rFonts w:ascii="Arial Narrow" w:hAnsi="Arial Narrow"/>
        </w:rPr>
      </w:pPr>
    </w:p>
    <w:p w14:paraId="04426196" w14:textId="46214713" w:rsidR="00696737" w:rsidRDefault="00696737" w:rsidP="00696737">
      <w:pPr>
        <w:jc w:val="both"/>
        <w:rPr>
          <w:rFonts w:ascii="Arial Narrow" w:hAnsi="Arial Narrow"/>
        </w:rPr>
      </w:pPr>
      <w:r>
        <w:rPr>
          <w:rFonts w:ascii="Arial Narrow" w:hAnsi="Arial Narrow"/>
        </w:rPr>
        <w:t>Con respecto al</w:t>
      </w:r>
      <w:r w:rsidRPr="00F44E60">
        <w:rPr>
          <w:rFonts w:ascii="Arial Narrow" w:hAnsi="Arial Narrow"/>
        </w:rPr>
        <w:t xml:space="preserve"> plan de trabajo para la adquisición de los bienes, muebles e inmuebles, así como los insumos, suministros, herramientas, laboratorios y equipos analítico</w:t>
      </w:r>
      <w:r>
        <w:rPr>
          <w:rFonts w:ascii="Arial Narrow" w:hAnsi="Arial Narrow"/>
        </w:rPr>
        <w:t>-</w:t>
      </w:r>
      <w:r w:rsidRPr="00F44E60">
        <w:rPr>
          <w:rFonts w:ascii="Arial Narrow" w:hAnsi="Arial Narrow"/>
        </w:rPr>
        <w:t>instrumental, entre otros, para el Organismo de Investigación Judicial</w:t>
      </w:r>
      <w:r>
        <w:rPr>
          <w:rFonts w:ascii="Arial Narrow" w:hAnsi="Arial Narrow"/>
        </w:rPr>
        <w:t xml:space="preserve"> se tienen los esfuerzos hechos por la </w:t>
      </w:r>
      <w:r w:rsidR="00AF5B3C">
        <w:rPr>
          <w:rFonts w:ascii="Arial Narrow" w:hAnsi="Arial Narrow"/>
        </w:rPr>
        <w:t>Sección</w:t>
      </w:r>
      <w:r>
        <w:rPr>
          <w:rFonts w:ascii="Arial Narrow" w:hAnsi="Arial Narrow"/>
        </w:rPr>
        <w:t xml:space="preserve"> de patología Forense con respecto a m</w:t>
      </w:r>
      <w:r w:rsidRPr="009E6770">
        <w:rPr>
          <w:rFonts w:ascii="Arial Narrow" w:hAnsi="Arial Narrow"/>
        </w:rPr>
        <w:t>antener el seguimiento del proyecto para modernizar la infraestructura y equipamiento del área de autopsias y baños</w:t>
      </w:r>
      <w:r>
        <w:rPr>
          <w:rFonts w:ascii="Arial Narrow" w:hAnsi="Arial Narrow"/>
        </w:rPr>
        <w:t xml:space="preserve">, por medio del proyecto 1167-OIJ-2021, donde se establece el plan de gestión del proyecto, así como el estudio de factibilidad, esto fue debidamente revisado por la Unidad de Gestión de Calidad 2021 del </w:t>
      </w:r>
      <w:r w:rsidRPr="00F44E60">
        <w:rPr>
          <w:rFonts w:ascii="Arial Narrow" w:hAnsi="Arial Narrow"/>
        </w:rPr>
        <w:t>Organismo de Investigación Judicial</w:t>
      </w:r>
      <w:r>
        <w:rPr>
          <w:rFonts w:ascii="Arial Narrow" w:hAnsi="Arial Narrow"/>
        </w:rPr>
        <w:t>.</w:t>
      </w:r>
    </w:p>
    <w:p w14:paraId="01A62CCC" w14:textId="77777777" w:rsidR="006E3CA1" w:rsidRDefault="006E3CA1" w:rsidP="00696737">
      <w:pPr>
        <w:jc w:val="both"/>
        <w:rPr>
          <w:rFonts w:ascii="Arial Narrow" w:hAnsi="Arial Narrow"/>
        </w:rPr>
      </w:pPr>
    </w:p>
    <w:p w14:paraId="01A662A8" w14:textId="77777777" w:rsidR="00696737" w:rsidRDefault="00696737" w:rsidP="00696737">
      <w:pPr>
        <w:jc w:val="both"/>
        <w:rPr>
          <w:rFonts w:ascii="Arial Narrow" w:hAnsi="Arial Narrow"/>
        </w:rPr>
      </w:pPr>
    </w:p>
    <w:p w14:paraId="1A99B069" w14:textId="7E301EA1" w:rsidR="00B56A16" w:rsidRDefault="00B56A16" w:rsidP="00B56A16">
      <w:pPr>
        <w:pStyle w:val="Descripcin"/>
        <w:jc w:val="center"/>
        <w:rPr>
          <w:rFonts w:ascii="Arial Narrow" w:eastAsia="Calibri" w:hAnsi="Arial Narrow"/>
          <w:sz w:val="24"/>
          <w:szCs w:val="24"/>
        </w:rPr>
      </w:pPr>
      <w:r w:rsidRPr="005E067A">
        <w:rPr>
          <w:rFonts w:ascii="Arial Narrow" w:hAnsi="Arial Narrow"/>
          <w:sz w:val="24"/>
          <w:szCs w:val="24"/>
        </w:rPr>
        <w:t xml:space="preserve">Cuadro </w:t>
      </w:r>
      <w:r w:rsidRPr="005E067A">
        <w:rPr>
          <w:rFonts w:ascii="Arial Narrow" w:hAnsi="Arial Narrow"/>
          <w:sz w:val="24"/>
          <w:szCs w:val="24"/>
        </w:rPr>
        <w:fldChar w:fldCharType="begin"/>
      </w:r>
      <w:r w:rsidRPr="005E067A">
        <w:rPr>
          <w:rFonts w:ascii="Arial Narrow" w:hAnsi="Arial Narrow"/>
          <w:sz w:val="24"/>
          <w:szCs w:val="24"/>
        </w:rPr>
        <w:instrText xml:space="preserve"> SEQ Cuadro_No. \* ARABIC </w:instrText>
      </w:r>
      <w:r w:rsidRPr="005E067A">
        <w:rPr>
          <w:rFonts w:ascii="Arial Narrow" w:hAnsi="Arial Narrow"/>
          <w:sz w:val="24"/>
          <w:szCs w:val="24"/>
        </w:rPr>
        <w:fldChar w:fldCharType="separate"/>
      </w:r>
      <w:r w:rsidR="002F520A">
        <w:rPr>
          <w:rFonts w:ascii="Arial Narrow" w:hAnsi="Arial Narrow"/>
          <w:noProof/>
          <w:sz w:val="24"/>
          <w:szCs w:val="24"/>
        </w:rPr>
        <w:t>49</w:t>
      </w:r>
      <w:r w:rsidRPr="005E067A">
        <w:rPr>
          <w:rFonts w:ascii="Arial Narrow" w:hAnsi="Arial Narrow"/>
          <w:sz w:val="24"/>
          <w:szCs w:val="24"/>
        </w:rPr>
        <w:fldChar w:fldCharType="end"/>
      </w:r>
      <w:r w:rsidRPr="005E067A">
        <w:rPr>
          <w:rFonts w:ascii="Arial Narrow" w:hAnsi="Arial Narrow"/>
          <w:sz w:val="24"/>
          <w:szCs w:val="24"/>
        </w:rPr>
        <w:t xml:space="preserve"> </w:t>
      </w:r>
      <w:r w:rsidRPr="005E067A">
        <w:rPr>
          <w:rFonts w:ascii="Arial Narrow" w:eastAsia="Calibri" w:hAnsi="Arial Narrow"/>
          <w:sz w:val="24"/>
          <w:szCs w:val="24"/>
        </w:rPr>
        <w:t xml:space="preserve">Metas estratégicas de </w:t>
      </w:r>
      <w:r>
        <w:rPr>
          <w:rFonts w:ascii="Arial Narrow" w:eastAsia="Calibri" w:hAnsi="Arial Narrow"/>
          <w:sz w:val="24"/>
          <w:szCs w:val="24"/>
        </w:rPr>
        <w:t>Desarrollo y Optimización de Servicios y Procesos judiciales</w:t>
      </w:r>
      <w:r w:rsidRPr="005E067A">
        <w:rPr>
          <w:rFonts w:ascii="Arial Narrow" w:eastAsia="Calibri" w:hAnsi="Arial Narrow"/>
          <w:sz w:val="24"/>
          <w:szCs w:val="24"/>
        </w:rPr>
        <w:t>, y su cumplimiento para el 20</w:t>
      </w:r>
      <w:r>
        <w:rPr>
          <w:rFonts w:ascii="Arial Narrow" w:eastAsia="Calibri" w:hAnsi="Arial Narrow"/>
          <w:sz w:val="24"/>
          <w:szCs w:val="24"/>
        </w:rPr>
        <w:t>21</w:t>
      </w:r>
    </w:p>
    <w:p w14:paraId="171407E4" w14:textId="77777777" w:rsidR="004853EA" w:rsidRPr="00322D9B" w:rsidRDefault="004853EA" w:rsidP="00322D9B">
      <w:pPr>
        <w:rPr>
          <w:rFonts w:eastAsia="Calibri"/>
        </w:rPr>
      </w:pPr>
    </w:p>
    <w:p w14:paraId="3E505767" w14:textId="77777777" w:rsidR="00696737" w:rsidRDefault="00696737" w:rsidP="00696737">
      <w:pPr>
        <w:jc w:val="both"/>
        <w:rPr>
          <w:rFonts w:ascii="Arial Narrow" w:hAnsi="Arial Narrow"/>
        </w:rPr>
      </w:pPr>
      <w:r>
        <w:rPr>
          <w:noProof/>
        </w:rPr>
        <w:drawing>
          <wp:inline distT="0" distB="0" distL="0" distR="0" wp14:anchorId="5D986438" wp14:editId="5D7E2F9A">
            <wp:extent cx="5686425" cy="2276475"/>
            <wp:effectExtent l="19050" t="19050" r="28575" b="28575"/>
            <wp:docPr id="47" name="Imagen 47" descr="Una captura de pantalla de un celular con texto e imágene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Una captura de pantalla de un celular con texto e imágenes&#10;&#10;Descripción generada automáticamente con confianza baja"/>
                    <pic:cNvPicPr/>
                  </pic:nvPicPr>
                  <pic:blipFill>
                    <a:blip r:embed="rId104"/>
                    <a:stretch>
                      <a:fillRect/>
                    </a:stretch>
                  </pic:blipFill>
                  <pic:spPr>
                    <a:xfrm>
                      <a:off x="0" y="0"/>
                      <a:ext cx="5695977" cy="2280299"/>
                    </a:xfrm>
                    <a:prstGeom prst="rect">
                      <a:avLst/>
                    </a:prstGeom>
                    <a:ln w="12700">
                      <a:solidFill>
                        <a:schemeClr val="tx1"/>
                      </a:solidFill>
                    </a:ln>
                  </pic:spPr>
                </pic:pic>
              </a:graphicData>
            </a:graphic>
          </wp:inline>
        </w:drawing>
      </w:r>
    </w:p>
    <w:p w14:paraId="2B35D56C" w14:textId="77777777" w:rsidR="00696737" w:rsidRPr="00996542" w:rsidRDefault="00696737" w:rsidP="00B54439">
      <w:pPr>
        <w:jc w:val="center"/>
        <w:rPr>
          <w:rFonts w:ascii="Arial Narrow" w:hAnsi="Arial Narrow"/>
          <w:sz w:val="18"/>
          <w:szCs w:val="18"/>
        </w:rPr>
      </w:pPr>
      <w:r w:rsidRPr="00996542">
        <w:rPr>
          <w:rFonts w:ascii="Arial Narrow" w:hAnsi="Arial Narrow"/>
          <w:sz w:val="18"/>
          <w:szCs w:val="18"/>
        </w:rPr>
        <w:t>Fuente: Sistema PEI al 19 de enero del 2022 para el año 2021.</w:t>
      </w:r>
    </w:p>
    <w:p w14:paraId="4B496341" w14:textId="77777777" w:rsidR="00696737" w:rsidRDefault="00696737" w:rsidP="00696737">
      <w:pPr>
        <w:jc w:val="both"/>
        <w:rPr>
          <w:rFonts w:ascii="Arial Narrow" w:hAnsi="Arial Narrow"/>
        </w:rPr>
      </w:pPr>
    </w:p>
    <w:p w14:paraId="75EE38BD" w14:textId="3D4C773D" w:rsidR="00696737" w:rsidRDefault="00696737" w:rsidP="00696737">
      <w:pPr>
        <w:jc w:val="both"/>
        <w:rPr>
          <w:rFonts w:ascii="Arial Narrow" w:hAnsi="Arial Narrow"/>
        </w:rPr>
      </w:pPr>
      <w:r>
        <w:rPr>
          <w:rFonts w:ascii="Arial Narrow" w:hAnsi="Arial Narrow"/>
        </w:rPr>
        <w:t xml:space="preserve">Con respecto a la </w:t>
      </w:r>
      <w:r w:rsidRPr="009E6770">
        <w:rPr>
          <w:rFonts w:ascii="Arial Narrow" w:hAnsi="Arial Narrow"/>
        </w:rPr>
        <w:t>implementación del plan de gestión ambiental institucional (PGAI)</w:t>
      </w:r>
      <w:r>
        <w:rPr>
          <w:rFonts w:ascii="Arial Narrow" w:hAnsi="Arial Narrow"/>
        </w:rPr>
        <w:t xml:space="preserve"> por parte de la Dirección Ejecutiva, específicamente la C</w:t>
      </w:r>
      <w:r w:rsidRPr="009E6770">
        <w:rPr>
          <w:rFonts w:ascii="Arial Narrow" w:hAnsi="Arial Narrow"/>
        </w:rPr>
        <w:t>omisi</w:t>
      </w:r>
      <w:r>
        <w:rPr>
          <w:rFonts w:ascii="Arial Narrow" w:hAnsi="Arial Narrow"/>
        </w:rPr>
        <w:t>ó</w:t>
      </w:r>
      <w:r w:rsidRPr="009E6770">
        <w:rPr>
          <w:rFonts w:ascii="Arial Narrow" w:hAnsi="Arial Narrow"/>
        </w:rPr>
        <w:t xml:space="preserve">n </w:t>
      </w:r>
      <w:r>
        <w:rPr>
          <w:rFonts w:ascii="Arial Narrow" w:hAnsi="Arial Narrow"/>
        </w:rPr>
        <w:t>d</w:t>
      </w:r>
      <w:r w:rsidRPr="009E6770">
        <w:rPr>
          <w:rFonts w:ascii="Arial Narrow" w:hAnsi="Arial Narrow"/>
        </w:rPr>
        <w:t>e Gesti</w:t>
      </w:r>
      <w:r>
        <w:rPr>
          <w:rFonts w:ascii="Arial Narrow" w:hAnsi="Arial Narrow"/>
        </w:rPr>
        <w:t>ó</w:t>
      </w:r>
      <w:r w:rsidRPr="009E6770">
        <w:rPr>
          <w:rFonts w:ascii="Arial Narrow" w:hAnsi="Arial Narrow"/>
        </w:rPr>
        <w:t>n Ambiental Institucional</w:t>
      </w:r>
      <w:r>
        <w:rPr>
          <w:rFonts w:ascii="Arial Narrow" w:hAnsi="Arial Narrow"/>
        </w:rPr>
        <w:t xml:space="preserve"> </w:t>
      </w:r>
      <w:r w:rsidRPr="009E6770">
        <w:rPr>
          <w:rFonts w:ascii="Arial Narrow" w:hAnsi="Arial Narrow"/>
        </w:rPr>
        <w:t>haya logrado extender el alcance del PGAI en comparación con el 2020</w:t>
      </w:r>
      <w:r>
        <w:rPr>
          <w:rFonts w:ascii="Arial Narrow" w:hAnsi="Arial Narrow"/>
        </w:rPr>
        <w:t xml:space="preserve">, por lo que se </w:t>
      </w:r>
      <w:r w:rsidRPr="009E6770">
        <w:rPr>
          <w:rFonts w:ascii="Arial Narrow" w:hAnsi="Arial Narrow"/>
        </w:rPr>
        <w:t>logró incluir dentro del alcance del PGAI a los Tribunales de Justicia de Liberia, Tribunales de San Carlos y Tribunales de los Chiles.</w:t>
      </w:r>
      <w:r>
        <w:rPr>
          <w:rFonts w:ascii="Arial Narrow" w:hAnsi="Arial Narrow"/>
        </w:rPr>
        <w:t xml:space="preserve"> Por su parte, se </w:t>
      </w:r>
      <w:r w:rsidRPr="009E6770">
        <w:rPr>
          <w:rFonts w:ascii="Arial Narrow" w:hAnsi="Arial Narrow"/>
        </w:rPr>
        <w:t>realiza</w:t>
      </w:r>
      <w:r>
        <w:rPr>
          <w:rFonts w:ascii="Arial Narrow" w:hAnsi="Arial Narrow"/>
        </w:rPr>
        <w:t>ron</w:t>
      </w:r>
      <w:r w:rsidRPr="009E6770">
        <w:rPr>
          <w:rFonts w:ascii="Arial Narrow" w:hAnsi="Arial Narrow"/>
        </w:rPr>
        <w:t xml:space="preserve"> las gestiones de actualización del plan de gestión ambiental para el periodo 2022-2026 </w:t>
      </w:r>
      <w:r>
        <w:rPr>
          <w:rFonts w:ascii="Arial Narrow" w:hAnsi="Arial Narrow"/>
        </w:rPr>
        <w:t xml:space="preserve">y se compartió como evidencia un plan de acción conteniendo los aspectos ambientas como consumo de energía, agua, de papel, emisiones al aire, etc. </w:t>
      </w:r>
      <w:r w:rsidR="006E3CA1">
        <w:rPr>
          <w:rFonts w:ascii="Arial Narrow" w:hAnsi="Arial Narrow"/>
        </w:rPr>
        <w:t>y</w:t>
      </w:r>
      <w:r>
        <w:rPr>
          <w:rFonts w:ascii="Arial Narrow" w:hAnsi="Arial Narrow"/>
        </w:rPr>
        <w:t xml:space="preserve"> sus respectivos indicadores, metas ambientales, plazos de cumplimiento y responsables.</w:t>
      </w:r>
    </w:p>
    <w:p w14:paraId="361631C2" w14:textId="77777777" w:rsidR="006E3CA1" w:rsidRDefault="006E3CA1" w:rsidP="00696737">
      <w:pPr>
        <w:jc w:val="both"/>
      </w:pPr>
    </w:p>
    <w:p w14:paraId="4F03A385" w14:textId="05B071FB" w:rsidR="00696737" w:rsidRDefault="00696737" w:rsidP="00696737">
      <w:pPr>
        <w:jc w:val="both"/>
        <w:rPr>
          <w:rFonts w:ascii="Arial Narrow" w:hAnsi="Arial Narrow"/>
        </w:rPr>
      </w:pPr>
      <w:r>
        <w:rPr>
          <w:rFonts w:ascii="Arial Narrow" w:hAnsi="Arial Narrow"/>
        </w:rPr>
        <w:t>Sobre la meta estratégica vinculada a la implementación d</w:t>
      </w:r>
      <w:r w:rsidRPr="00734CD9">
        <w:rPr>
          <w:rFonts w:ascii="Arial Narrow" w:hAnsi="Arial Narrow"/>
        </w:rPr>
        <w:t>el plan para optimizar la calidad y capacidad de la respuesta técnica, administrativa y operativa para afrontar las diferentes manifestaciones de la criminalidad</w:t>
      </w:r>
      <w:r>
        <w:rPr>
          <w:rFonts w:ascii="Arial Narrow" w:hAnsi="Arial Narrow"/>
        </w:rPr>
        <w:t xml:space="preserve"> en el Organismo de Investigación Judicial se tiene que por parte de 9 oficinas del OIJ, como </w:t>
      </w:r>
      <w:r w:rsidR="004853EA">
        <w:rPr>
          <w:rFonts w:ascii="Arial Narrow" w:hAnsi="Arial Narrow"/>
        </w:rPr>
        <w:t>Sección</w:t>
      </w:r>
      <w:r>
        <w:rPr>
          <w:rFonts w:ascii="Arial Narrow" w:hAnsi="Arial Narrow"/>
        </w:rPr>
        <w:t xml:space="preserve"> de Fraudes, Robo de Vehículos, Plataforma de Información Policial, Crimen Organizado, entre otras, se ha fomentado</w:t>
      </w:r>
      <w:r w:rsidRPr="00734CD9">
        <w:rPr>
          <w:rFonts w:ascii="Arial Narrow" w:hAnsi="Arial Narrow"/>
        </w:rPr>
        <w:t xml:space="preserve"> el trabajo por objetivos de investigación, relacionado con el crimen organizado, a través del análisis de la incidencia criminal</w:t>
      </w:r>
      <w:r>
        <w:rPr>
          <w:rFonts w:ascii="Arial Narrow" w:hAnsi="Arial Narrow"/>
        </w:rPr>
        <w:t xml:space="preserve">. Se han </w:t>
      </w:r>
      <w:r w:rsidRPr="009B73AD">
        <w:rPr>
          <w:rFonts w:ascii="Arial Narrow" w:hAnsi="Arial Narrow"/>
        </w:rPr>
        <w:t xml:space="preserve">efectuado labores operativas </w:t>
      </w:r>
      <w:r>
        <w:rPr>
          <w:rFonts w:ascii="Arial Narrow" w:hAnsi="Arial Narrow"/>
        </w:rPr>
        <w:t>así como análisis de</w:t>
      </w:r>
      <w:r w:rsidRPr="009B73AD">
        <w:rPr>
          <w:rFonts w:ascii="Arial Narrow" w:hAnsi="Arial Narrow"/>
        </w:rPr>
        <w:t xml:space="preserve"> las agrupaciones y además realizar una retroalimentación por parte de todas y todos por </w:t>
      </w:r>
      <w:r>
        <w:rPr>
          <w:rFonts w:ascii="Arial Narrow" w:hAnsi="Arial Narrow"/>
        </w:rPr>
        <w:t xml:space="preserve">correo </w:t>
      </w:r>
      <w:r w:rsidRPr="009B73AD">
        <w:rPr>
          <w:rFonts w:ascii="Arial Narrow" w:hAnsi="Arial Narrow"/>
        </w:rPr>
        <w:t>o incluso por WhatsApp, ya que hay datos que solamente se recopilan durante la investigación, por ejemplo, nombres de abonados de líneas telefónicas e identificación de posibles encartados, además información adicional que se pueda incluir por investigaciones externas, diferentes a las que se agregan y tamizan</w:t>
      </w:r>
      <w:r>
        <w:rPr>
          <w:rFonts w:ascii="Arial Narrow" w:hAnsi="Arial Narrow"/>
        </w:rPr>
        <w:t xml:space="preserve"> en el Organismo de Investigación Judicial.</w:t>
      </w:r>
    </w:p>
    <w:p w14:paraId="545BC338" w14:textId="77777777" w:rsidR="006E3CA1" w:rsidRDefault="006E3CA1" w:rsidP="00696737">
      <w:pPr>
        <w:jc w:val="both"/>
        <w:rPr>
          <w:rFonts w:ascii="Arial Narrow" w:hAnsi="Arial Narrow"/>
        </w:rPr>
      </w:pPr>
    </w:p>
    <w:p w14:paraId="59A4FEB4" w14:textId="77777777" w:rsidR="00696737" w:rsidRDefault="00696737" w:rsidP="00696737">
      <w:pPr>
        <w:jc w:val="both"/>
        <w:rPr>
          <w:rFonts w:ascii="Arial Narrow" w:hAnsi="Arial Narrow"/>
        </w:rPr>
      </w:pPr>
      <w:r>
        <w:rPr>
          <w:rFonts w:ascii="Arial Narrow" w:hAnsi="Arial Narrow"/>
        </w:rPr>
        <w:t xml:space="preserve">Vinculado a lo anterior, y a la importancia de </w:t>
      </w:r>
      <w:r w:rsidRPr="009B73AD">
        <w:rPr>
          <w:rFonts w:ascii="Arial Narrow" w:hAnsi="Arial Narrow"/>
        </w:rPr>
        <w:t>estandariza</w:t>
      </w:r>
      <w:r>
        <w:rPr>
          <w:rFonts w:ascii="Arial Narrow" w:hAnsi="Arial Narrow"/>
        </w:rPr>
        <w:t>r</w:t>
      </w:r>
      <w:r w:rsidRPr="009B73AD">
        <w:rPr>
          <w:rFonts w:ascii="Arial Narrow" w:hAnsi="Arial Narrow"/>
        </w:rPr>
        <w:t>, sistematiza</w:t>
      </w:r>
      <w:r>
        <w:rPr>
          <w:rFonts w:ascii="Arial Narrow" w:hAnsi="Arial Narrow"/>
        </w:rPr>
        <w:t>r</w:t>
      </w:r>
      <w:r w:rsidRPr="009B73AD">
        <w:rPr>
          <w:rFonts w:ascii="Arial Narrow" w:hAnsi="Arial Narrow"/>
        </w:rPr>
        <w:t xml:space="preserve"> y automatiza</w:t>
      </w:r>
      <w:r>
        <w:rPr>
          <w:rFonts w:ascii="Arial Narrow" w:hAnsi="Arial Narrow"/>
        </w:rPr>
        <w:t>r</w:t>
      </w:r>
      <w:r w:rsidRPr="009B73AD">
        <w:rPr>
          <w:rFonts w:ascii="Arial Narrow" w:hAnsi="Arial Narrow"/>
        </w:rPr>
        <w:t xml:space="preserve"> al menos 3 procesos manuales identificados del Organismo de Investigación Judicial</w:t>
      </w:r>
      <w:r>
        <w:rPr>
          <w:rFonts w:ascii="Arial Narrow" w:hAnsi="Arial Narrow"/>
        </w:rPr>
        <w:t xml:space="preserve">, se han considerado los avances realizados en los </w:t>
      </w:r>
      <w:r w:rsidRPr="009B73AD">
        <w:rPr>
          <w:rFonts w:ascii="Arial Narrow" w:hAnsi="Arial Narrow"/>
        </w:rPr>
        <w:t>proyectos (App Móvil, SICOVE</w:t>
      </w:r>
      <w:r>
        <w:rPr>
          <w:rFonts w:ascii="Arial Narrow" w:hAnsi="Arial Narrow"/>
        </w:rPr>
        <w:t xml:space="preserve"> que es el Sistema de Control de Vehículos</w:t>
      </w:r>
      <w:r w:rsidRPr="009B73AD">
        <w:rPr>
          <w:rFonts w:ascii="Arial Narrow" w:hAnsi="Arial Narrow"/>
        </w:rPr>
        <w:t xml:space="preserve">, SARIM </w:t>
      </w:r>
      <w:r>
        <w:rPr>
          <w:rFonts w:ascii="Arial Narrow" w:hAnsi="Arial Narrow"/>
        </w:rPr>
        <w:t xml:space="preserve">la cual es una </w:t>
      </w:r>
      <w:r w:rsidRPr="009B73AD">
        <w:rPr>
          <w:rFonts w:ascii="Arial Narrow" w:hAnsi="Arial Narrow"/>
        </w:rPr>
        <w:t xml:space="preserve">herramienta informática robusta que permita llevar un mejor control de los tiempos en los procesos de reparaciones que se realizan en el taller y </w:t>
      </w:r>
      <w:r>
        <w:rPr>
          <w:rFonts w:ascii="Arial Narrow" w:hAnsi="Arial Narrow"/>
        </w:rPr>
        <w:t xml:space="preserve">el </w:t>
      </w:r>
      <w:r w:rsidRPr="009B73AD">
        <w:rPr>
          <w:rFonts w:ascii="Arial Narrow" w:hAnsi="Arial Narrow"/>
        </w:rPr>
        <w:t>ECU</w:t>
      </w:r>
      <w:r>
        <w:rPr>
          <w:rFonts w:ascii="Arial Narrow" w:hAnsi="Arial Narrow"/>
        </w:rPr>
        <w:t>, el Sistema del</w:t>
      </w:r>
      <w:r w:rsidRPr="009A5C49">
        <w:rPr>
          <w:rFonts w:ascii="Arial Narrow" w:hAnsi="Arial Narrow"/>
        </w:rPr>
        <w:t xml:space="preserve"> Expediente Criminal Único</w:t>
      </w:r>
      <w:r w:rsidRPr="009B73AD">
        <w:rPr>
          <w:rFonts w:ascii="Arial Narrow" w:hAnsi="Arial Narrow"/>
        </w:rPr>
        <w:t>) dado que se había establecido se haya puesto desarrollado e implementado el 48% de las iniciativas de los sistemas.</w:t>
      </w:r>
      <w:r w:rsidRPr="009B73AD">
        <w:rPr>
          <w:rFonts w:ascii="Arial Narrow" w:hAnsi="Arial Narrow"/>
        </w:rPr>
        <w:tab/>
      </w:r>
      <w:r w:rsidRPr="009B73AD">
        <w:rPr>
          <w:rFonts w:ascii="Arial Narrow" w:hAnsi="Arial Narrow"/>
        </w:rPr>
        <w:tab/>
      </w:r>
      <w:r w:rsidRPr="009B73AD">
        <w:rPr>
          <w:rFonts w:ascii="Arial Narrow" w:hAnsi="Arial Narrow"/>
        </w:rPr>
        <w:tab/>
      </w:r>
    </w:p>
    <w:p w14:paraId="29CC33FB" w14:textId="77777777" w:rsidR="00696737" w:rsidRDefault="00696737" w:rsidP="00696737">
      <w:pPr>
        <w:jc w:val="both"/>
        <w:rPr>
          <w:rFonts w:ascii="Arial Narrow" w:hAnsi="Arial Narrow"/>
        </w:rPr>
      </w:pPr>
    </w:p>
    <w:p w14:paraId="1CBAF77B" w14:textId="4CF51850" w:rsidR="00581C62" w:rsidRDefault="00581C62">
      <w:pPr>
        <w:rPr>
          <w:rFonts w:ascii="Arial Narrow" w:hAnsi="Arial Narrow"/>
          <w:b/>
          <w:bCs/>
        </w:rPr>
      </w:pPr>
    </w:p>
    <w:p w14:paraId="6ECA6232" w14:textId="7A54A7EC" w:rsidR="00AF4550" w:rsidRPr="00AF4550" w:rsidRDefault="00B56A16" w:rsidP="00AF4550">
      <w:pPr>
        <w:pStyle w:val="Descripcin"/>
        <w:jc w:val="center"/>
        <w:rPr>
          <w:rFonts w:ascii="Arial Narrow" w:eastAsia="Calibri" w:hAnsi="Arial Narrow"/>
          <w:sz w:val="24"/>
          <w:szCs w:val="24"/>
        </w:rPr>
      </w:pPr>
      <w:r w:rsidRPr="005E067A">
        <w:rPr>
          <w:rFonts w:ascii="Arial Narrow" w:hAnsi="Arial Narrow"/>
          <w:sz w:val="24"/>
          <w:szCs w:val="24"/>
        </w:rPr>
        <w:t xml:space="preserve">Cuadro </w:t>
      </w:r>
      <w:r w:rsidRPr="005E067A">
        <w:rPr>
          <w:rFonts w:ascii="Arial Narrow" w:hAnsi="Arial Narrow"/>
          <w:sz w:val="24"/>
          <w:szCs w:val="24"/>
        </w:rPr>
        <w:fldChar w:fldCharType="begin"/>
      </w:r>
      <w:r w:rsidRPr="005E067A">
        <w:rPr>
          <w:rFonts w:ascii="Arial Narrow" w:hAnsi="Arial Narrow"/>
          <w:sz w:val="24"/>
          <w:szCs w:val="24"/>
        </w:rPr>
        <w:instrText xml:space="preserve"> SEQ Cuadro_No. \* ARABIC </w:instrText>
      </w:r>
      <w:r w:rsidRPr="005E067A">
        <w:rPr>
          <w:rFonts w:ascii="Arial Narrow" w:hAnsi="Arial Narrow"/>
          <w:sz w:val="24"/>
          <w:szCs w:val="24"/>
        </w:rPr>
        <w:fldChar w:fldCharType="separate"/>
      </w:r>
      <w:r w:rsidR="002F520A">
        <w:rPr>
          <w:rFonts w:ascii="Arial Narrow" w:hAnsi="Arial Narrow"/>
          <w:noProof/>
          <w:sz w:val="24"/>
          <w:szCs w:val="24"/>
        </w:rPr>
        <w:t>50</w:t>
      </w:r>
      <w:r w:rsidRPr="005E067A">
        <w:rPr>
          <w:rFonts w:ascii="Arial Narrow" w:hAnsi="Arial Narrow"/>
          <w:sz w:val="24"/>
          <w:szCs w:val="24"/>
        </w:rPr>
        <w:fldChar w:fldCharType="end"/>
      </w:r>
      <w:r w:rsidRPr="005E067A">
        <w:rPr>
          <w:rFonts w:ascii="Arial Narrow" w:hAnsi="Arial Narrow"/>
          <w:sz w:val="24"/>
          <w:szCs w:val="24"/>
        </w:rPr>
        <w:t xml:space="preserve"> </w:t>
      </w:r>
      <w:r w:rsidRPr="005E067A">
        <w:rPr>
          <w:rFonts w:ascii="Arial Narrow" w:eastAsia="Calibri" w:hAnsi="Arial Narrow"/>
          <w:sz w:val="24"/>
          <w:szCs w:val="24"/>
        </w:rPr>
        <w:t xml:space="preserve">Metas estratégicas de </w:t>
      </w:r>
      <w:r>
        <w:rPr>
          <w:rFonts w:ascii="Arial Narrow" w:eastAsia="Calibri" w:hAnsi="Arial Narrow"/>
          <w:sz w:val="24"/>
          <w:szCs w:val="24"/>
        </w:rPr>
        <w:t>Desarrollo y Optimización de Servicios y Procesos judiciales</w:t>
      </w:r>
      <w:r w:rsidRPr="005E067A">
        <w:rPr>
          <w:rFonts w:ascii="Arial Narrow" w:eastAsia="Calibri" w:hAnsi="Arial Narrow"/>
          <w:sz w:val="24"/>
          <w:szCs w:val="24"/>
        </w:rPr>
        <w:t>, y su cumplimiento para el 20</w:t>
      </w:r>
      <w:r>
        <w:rPr>
          <w:rFonts w:ascii="Arial Narrow" w:eastAsia="Calibri" w:hAnsi="Arial Narrow"/>
          <w:sz w:val="24"/>
          <w:szCs w:val="24"/>
        </w:rPr>
        <w:t>21</w:t>
      </w:r>
    </w:p>
    <w:p w14:paraId="43ECAA24" w14:textId="77777777" w:rsidR="00696737" w:rsidRDefault="00696737" w:rsidP="00696737">
      <w:pPr>
        <w:jc w:val="both"/>
        <w:rPr>
          <w:rFonts w:ascii="Arial Narrow" w:hAnsi="Arial Narrow"/>
        </w:rPr>
      </w:pPr>
      <w:r>
        <w:rPr>
          <w:noProof/>
        </w:rPr>
        <w:drawing>
          <wp:inline distT="0" distB="0" distL="0" distR="0" wp14:anchorId="37007E23" wp14:editId="061FB8B6">
            <wp:extent cx="5612130" cy="2667000"/>
            <wp:effectExtent l="57150" t="57150" r="102870" b="95250"/>
            <wp:docPr id="48" name="Imagen 4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Tabla&#10;&#10;Descripción generada automáticamente"/>
                    <pic:cNvPicPr/>
                  </pic:nvPicPr>
                  <pic:blipFill>
                    <a:blip r:embed="rId105"/>
                    <a:stretch>
                      <a:fillRect/>
                    </a:stretch>
                  </pic:blipFill>
                  <pic:spPr>
                    <a:xfrm>
                      <a:off x="0" y="0"/>
                      <a:ext cx="5612130" cy="266700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947FB98" w14:textId="3BA4F97B" w:rsidR="00696737" w:rsidRDefault="00696737" w:rsidP="00B54439">
      <w:pPr>
        <w:jc w:val="center"/>
        <w:rPr>
          <w:rFonts w:ascii="Arial Narrow" w:hAnsi="Arial Narrow"/>
          <w:sz w:val="18"/>
          <w:szCs w:val="18"/>
        </w:rPr>
      </w:pPr>
      <w:r w:rsidRPr="00996542">
        <w:rPr>
          <w:rFonts w:ascii="Arial Narrow" w:hAnsi="Arial Narrow"/>
          <w:sz w:val="18"/>
          <w:szCs w:val="18"/>
        </w:rPr>
        <w:t>Fuente: Sistema PEI al 19 de enero del 2022 para el año 2021.</w:t>
      </w:r>
    </w:p>
    <w:p w14:paraId="4303AB04" w14:textId="77777777" w:rsidR="00B56A16" w:rsidRPr="00996542" w:rsidRDefault="00B56A16" w:rsidP="00696737">
      <w:pPr>
        <w:jc w:val="both"/>
        <w:rPr>
          <w:rFonts w:ascii="Arial Narrow" w:hAnsi="Arial Narrow"/>
          <w:sz w:val="18"/>
          <w:szCs w:val="18"/>
        </w:rPr>
      </w:pPr>
    </w:p>
    <w:p w14:paraId="69D3C623" w14:textId="77777777" w:rsidR="00581C62" w:rsidRDefault="00581C62" w:rsidP="00696737">
      <w:pPr>
        <w:snapToGrid w:val="0"/>
        <w:jc w:val="both"/>
        <w:rPr>
          <w:rFonts w:ascii="Arial Narrow" w:hAnsi="Arial Narrow"/>
        </w:rPr>
      </w:pPr>
    </w:p>
    <w:p w14:paraId="098BF23B" w14:textId="4ABA0B30" w:rsidR="00696737" w:rsidRDefault="00696737" w:rsidP="00696737">
      <w:pPr>
        <w:snapToGrid w:val="0"/>
        <w:jc w:val="both"/>
        <w:rPr>
          <w:rFonts w:ascii="Arial Narrow" w:hAnsi="Arial Narrow"/>
        </w:rPr>
      </w:pPr>
      <w:r>
        <w:rPr>
          <w:rFonts w:ascii="Arial Narrow" w:hAnsi="Arial Narrow"/>
        </w:rPr>
        <w:t xml:space="preserve">Con respecto a la meta sobre contar con una </w:t>
      </w:r>
      <w:r w:rsidRPr="005C72BE">
        <w:rPr>
          <w:rFonts w:ascii="Arial Narrow" w:hAnsi="Arial Narrow"/>
        </w:rPr>
        <w:t>política rectora para la gestión de las personas que laboran en el Poder Judicial</w:t>
      </w:r>
      <w:r>
        <w:rPr>
          <w:rFonts w:ascii="Arial Narrow" w:hAnsi="Arial Narrow"/>
        </w:rPr>
        <w:t xml:space="preserve">, se han realizado esfuerzos para </w:t>
      </w:r>
      <w:r w:rsidR="00BE28D0">
        <w:rPr>
          <w:rFonts w:ascii="Arial Narrow" w:hAnsi="Arial Narrow"/>
        </w:rPr>
        <w:t>tramitar</w:t>
      </w:r>
      <w:r w:rsidRPr="005C72BE">
        <w:rPr>
          <w:rFonts w:ascii="Arial Narrow" w:hAnsi="Arial Narrow"/>
        </w:rPr>
        <w:t xml:space="preserve"> la aprobación de la política rectora ante la instancia </w:t>
      </w:r>
      <w:r w:rsidR="00BE28D0">
        <w:rPr>
          <w:rFonts w:ascii="Arial Narrow" w:hAnsi="Arial Narrow"/>
        </w:rPr>
        <w:t>Su</w:t>
      </w:r>
      <w:r w:rsidR="00746BAD">
        <w:rPr>
          <w:rFonts w:ascii="Arial Narrow" w:hAnsi="Arial Narrow"/>
        </w:rPr>
        <w:t>per</w:t>
      </w:r>
      <w:r w:rsidR="00BE28D0">
        <w:rPr>
          <w:rFonts w:ascii="Arial Narrow" w:hAnsi="Arial Narrow"/>
        </w:rPr>
        <w:t>ior</w:t>
      </w:r>
      <w:r>
        <w:rPr>
          <w:rFonts w:ascii="Arial Narrow" w:hAnsi="Arial Narrow"/>
        </w:rPr>
        <w:t>, e</w:t>
      </w:r>
      <w:r w:rsidRPr="005C72BE">
        <w:rPr>
          <w:rFonts w:ascii="Arial Narrow" w:hAnsi="Arial Narrow"/>
        </w:rPr>
        <w:t xml:space="preserve">l 10 de junio del 2021 se realizó con las jefaturas, coordinaciones y demás personal de la Dirección de Gestión Humana , el taller </w:t>
      </w:r>
      <w:r>
        <w:rPr>
          <w:rFonts w:ascii="Arial Narrow" w:hAnsi="Arial Narrow"/>
        </w:rPr>
        <w:t xml:space="preserve">No. </w:t>
      </w:r>
      <w:r w:rsidRPr="005C72BE">
        <w:rPr>
          <w:rFonts w:ascii="Arial Narrow" w:hAnsi="Arial Narrow"/>
        </w:rPr>
        <w:t>1 de la Política Rectora de GH, cuyo objetivo es dar a conocer y optimizar el documento de la política rectora y posteriormente</w:t>
      </w:r>
      <w:r>
        <w:rPr>
          <w:rFonts w:ascii="Arial Narrow" w:hAnsi="Arial Narrow"/>
        </w:rPr>
        <w:t xml:space="preserve">, en noviembre </w:t>
      </w:r>
      <w:r w:rsidRPr="005C72BE">
        <w:rPr>
          <w:rFonts w:ascii="Arial Narrow" w:hAnsi="Arial Narrow"/>
        </w:rPr>
        <w:t xml:space="preserve">se acuerda </w:t>
      </w:r>
      <w:r>
        <w:rPr>
          <w:rFonts w:ascii="Arial Narrow" w:hAnsi="Arial Narrow"/>
        </w:rPr>
        <w:t>r</w:t>
      </w:r>
      <w:r w:rsidRPr="005C72BE">
        <w:rPr>
          <w:rFonts w:ascii="Arial Narrow" w:hAnsi="Arial Narrow"/>
        </w:rPr>
        <w:t>ealizar  una propuesta del plan de implementación, seguimiento y evaluación de la política rectora (de forma macro) para la presentación de la política ante el Consejo de Personal y Consejo Superior</w:t>
      </w:r>
      <w:r>
        <w:rPr>
          <w:rFonts w:ascii="Arial Narrow" w:hAnsi="Arial Narrow"/>
        </w:rPr>
        <w:t>.</w:t>
      </w:r>
    </w:p>
    <w:p w14:paraId="1086E34F" w14:textId="21CB187B" w:rsidR="006E3CA1" w:rsidRDefault="006E3CA1" w:rsidP="00696737">
      <w:pPr>
        <w:snapToGrid w:val="0"/>
        <w:jc w:val="both"/>
        <w:rPr>
          <w:rFonts w:ascii="Arial Narrow" w:hAnsi="Arial Narrow"/>
        </w:rPr>
      </w:pPr>
    </w:p>
    <w:p w14:paraId="0776E4CE" w14:textId="77777777" w:rsidR="006E3CA1" w:rsidRDefault="006E3CA1" w:rsidP="00696737">
      <w:pPr>
        <w:snapToGrid w:val="0"/>
        <w:jc w:val="both"/>
        <w:rPr>
          <w:rFonts w:ascii="Arial Narrow" w:hAnsi="Arial Narrow"/>
        </w:rPr>
      </w:pPr>
    </w:p>
    <w:p w14:paraId="58D86626" w14:textId="77345633" w:rsidR="00696737" w:rsidRDefault="00696737" w:rsidP="00696737">
      <w:pPr>
        <w:snapToGrid w:val="0"/>
        <w:jc w:val="both"/>
        <w:rPr>
          <w:rFonts w:ascii="Arial Narrow" w:hAnsi="Arial Narrow"/>
        </w:rPr>
      </w:pPr>
      <w:r>
        <w:rPr>
          <w:rFonts w:ascii="Arial Narrow" w:hAnsi="Arial Narrow"/>
        </w:rPr>
        <w:t xml:space="preserve">Por su parte, los esfuerzos realizados por parte de la </w:t>
      </w:r>
      <w:r w:rsidRPr="005C72BE">
        <w:rPr>
          <w:rFonts w:ascii="Arial Narrow" w:hAnsi="Arial Narrow"/>
        </w:rPr>
        <w:t>Oficina de Atención a la Víctima de Delitos y la Unidad de Protección de Víctimas y Testigos</w:t>
      </w:r>
      <w:r>
        <w:rPr>
          <w:rFonts w:ascii="Arial Narrow" w:hAnsi="Arial Narrow"/>
        </w:rPr>
        <w:t xml:space="preserve"> con respecto a</w:t>
      </w:r>
      <w:r w:rsidRPr="005C72BE">
        <w:rPr>
          <w:rFonts w:ascii="Arial Narrow" w:hAnsi="Arial Narrow"/>
        </w:rPr>
        <w:t xml:space="preserve"> la programación para la estandarización de los procedimientos de </w:t>
      </w:r>
      <w:r>
        <w:rPr>
          <w:rFonts w:ascii="Arial Narrow" w:hAnsi="Arial Narrow"/>
        </w:rPr>
        <w:t>esa oficina, se rinde en agosto del 2021 informe que contiene los manuales de procedimientos de la oficina y lineamientos de coordinación con la Unidad de ese programa.</w:t>
      </w:r>
    </w:p>
    <w:p w14:paraId="2DDBD88A" w14:textId="77777777" w:rsidR="006E3CA1" w:rsidRDefault="006E3CA1" w:rsidP="00696737">
      <w:pPr>
        <w:snapToGrid w:val="0"/>
        <w:jc w:val="both"/>
        <w:rPr>
          <w:rFonts w:ascii="Arial Narrow" w:hAnsi="Arial Narrow"/>
        </w:rPr>
      </w:pPr>
    </w:p>
    <w:p w14:paraId="00D399CC" w14:textId="77777777" w:rsidR="00696737" w:rsidRPr="005C72BE" w:rsidRDefault="00696737" w:rsidP="00696737">
      <w:pPr>
        <w:snapToGrid w:val="0"/>
        <w:jc w:val="both"/>
        <w:rPr>
          <w:rFonts w:ascii="Arial Narrow" w:hAnsi="Arial Narrow"/>
        </w:rPr>
      </w:pPr>
      <w:r>
        <w:rPr>
          <w:rFonts w:ascii="Arial Narrow" w:hAnsi="Arial Narrow"/>
        </w:rPr>
        <w:t xml:space="preserve">Sobre la meta relacionada a la reducción de </w:t>
      </w:r>
      <w:r w:rsidRPr="00E56DCC">
        <w:rPr>
          <w:rFonts w:ascii="Arial Narrow" w:hAnsi="Arial Narrow"/>
        </w:rPr>
        <w:t>tiempo</w:t>
      </w:r>
      <w:r>
        <w:rPr>
          <w:rFonts w:ascii="Arial Narrow" w:hAnsi="Arial Narrow"/>
        </w:rPr>
        <w:t>s</w:t>
      </w:r>
      <w:r w:rsidRPr="00E56DCC">
        <w:rPr>
          <w:rFonts w:ascii="Arial Narrow" w:hAnsi="Arial Narrow"/>
        </w:rPr>
        <w:t xml:space="preserve"> de los procesos y los procedimientos de la ejecución presupuestaria</w:t>
      </w:r>
      <w:r>
        <w:rPr>
          <w:rFonts w:ascii="Arial Narrow" w:hAnsi="Arial Narrow"/>
        </w:rPr>
        <w:t>, se tiene que la Dirección Ejecutiva ha identificado</w:t>
      </w:r>
      <w:r w:rsidRPr="00E56DCC">
        <w:rPr>
          <w:rFonts w:ascii="Arial Narrow" w:hAnsi="Arial Narrow"/>
        </w:rPr>
        <w:t xml:space="preserve"> procedimientos y procesos susceptibles de mejora para reducir plazos en las etapas previas al inicio al procedimiento de contratación, durante el proceso para lograr la adjudicación y durante la ejecución, para lograr la recepción del objeto contractua</w:t>
      </w:r>
      <w:r>
        <w:rPr>
          <w:rFonts w:ascii="Arial Narrow" w:hAnsi="Arial Narrow"/>
        </w:rPr>
        <w:t xml:space="preserve">l, por lo que mediante un </w:t>
      </w:r>
      <w:r w:rsidRPr="00E56DCC">
        <w:rPr>
          <w:rFonts w:ascii="Arial Narrow" w:hAnsi="Arial Narrow"/>
        </w:rPr>
        <w:t>informe ejecutivo que resume las acciones realizadas en el periodo 2021 para optimizar la ejecución presupuestaria institucional, que da por completada la meta, el resultado final en términos materiales e inmateriales, tiene como efecto la provisión de bienes y servicios para prestar el servicio público a la administración de Justicia. Al tratarse del presupuesto; el beneficio se presenta para todas las personas usuarias, tanto internas como externas</w:t>
      </w:r>
      <w:r>
        <w:rPr>
          <w:rFonts w:ascii="Arial Narrow" w:hAnsi="Arial Narrow"/>
        </w:rPr>
        <w:t>.</w:t>
      </w:r>
    </w:p>
    <w:p w14:paraId="50BFE05B" w14:textId="77777777" w:rsidR="00696737" w:rsidRDefault="00696737" w:rsidP="00696737">
      <w:pPr>
        <w:jc w:val="both"/>
        <w:rPr>
          <w:rFonts w:ascii="Arial Narrow" w:hAnsi="Arial Narrow"/>
        </w:rPr>
      </w:pPr>
    </w:p>
    <w:p w14:paraId="0523D9B4" w14:textId="6DB6FBF5" w:rsidR="00B56A16" w:rsidRDefault="00B56A16" w:rsidP="00B56A16">
      <w:pPr>
        <w:pStyle w:val="Descripcin"/>
        <w:jc w:val="center"/>
        <w:rPr>
          <w:rFonts w:ascii="Arial Narrow" w:eastAsia="Calibri" w:hAnsi="Arial Narrow"/>
          <w:sz w:val="24"/>
          <w:szCs w:val="24"/>
        </w:rPr>
      </w:pPr>
      <w:r w:rsidRPr="005E067A">
        <w:rPr>
          <w:rFonts w:ascii="Arial Narrow" w:hAnsi="Arial Narrow"/>
          <w:sz w:val="24"/>
          <w:szCs w:val="24"/>
        </w:rPr>
        <w:t xml:space="preserve">Cuadro </w:t>
      </w:r>
      <w:r w:rsidRPr="005E067A">
        <w:rPr>
          <w:rFonts w:ascii="Arial Narrow" w:hAnsi="Arial Narrow"/>
          <w:sz w:val="24"/>
          <w:szCs w:val="24"/>
        </w:rPr>
        <w:fldChar w:fldCharType="begin"/>
      </w:r>
      <w:r w:rsidRPr="005E067A">
        <w:rPr>
          <w:rFonts w:ascii="Arial Narrow" w:hAnsi="Arial Narrow"/>
          <w:sz w:val="24"/>
          <w:szCs w:val="24"/>
        </w:rPr>
        <w:instrText xml:space="preserve"> SEQ Cuadro_No. \* ARABIC </w:instrText>
      </w:r>
      <w:r w:rsidRPr="005E067A">
        <w:rPr>
          <w:rFonts w:ascii="Arial Narrow" w:hAnsi="Arial Narrow"/>
          <w:sz w:val="24"/>
          <w:szCs w:val="24"/>
        </w:rPr>
        <w:fldChar w:fldCharType="separate"/>
      </w:r>
      <w:r w:rsidR="002F520A">
        <w:rPr>
          <w:rFonts w:ascii="Arial Narrow" w:hAnsi="Arial Narrow"/>
          <w:noProof/>
          <w:sz w:val="24"/>
          <w:szCs w:val="24"/>
        </w:rPr>
        <w:t>51</w:t>
      </w:r>
      <w:r w:rsidRPr="005E067A">
        <w:rPr>
          <w:rFonts w:ascii="Arial Narrow" w:hAnsi="Arial Narrow"/>
          <w:sz w:val="24"/>
          <w:szCs w:val="24"/>
        </w:rPr>
        <w:fldChar w:fldCharType="end"/>
      </w:r>
      <w:r w:rsidRPr="005E067A">
        <w:rPr>
          <w:rFonts w:ascii="Arial Narrow" w:hAnsi="Arial Narrow"/>
          <w:sz w:val="24"/>
          <w:szCs w:val="24"/>
        </w:rPr>
        <w:t xml:space="preserve"> </w:t>
      </w:r>
      <w:r w:rsidRPr="005E067A">
        <w:rPr>
          <w:rFonts w:ascii="Arial Narrow" w:eastAsia="Calibri" w:hAnsi="Arial Narrow"/>
          <w:sz w:val="24"/>
          <w:szCs w:val="24"/>
        </w:rPr>
        <w:t xml:space="preserve">Metas estratégicas de </w:t>
      </w:r>
      <w:r>
        <w:rPr>
          <w:rFonts w:ascii="Arial Narrow" w:eastAsia="Calibri" w:hAnsi="Arial Narrow"/>
          <w:sz w:val="24"/>
          <w:szCs w:val="24"/>
        </w:rPr>
        <w:t>Desarrollo y Optimización de Servicios y Procesos judiciales</w:t>
      </w:r>
      <w:r w:rsidRPr="005E067A">
        <w:rPr>
          <w:rFonts w:ascii="Arial Narrow" w:eastAsia="Calibri" w:hAnsi="Arial Narrow"/>
          <w:sz w:val="24"/>
          <w:szCs w:val="24"/>
        </w:rPr>
        <w:t>, y su cumplimiento para el 20</w:t>
      </w:r>
      <w:r>
        <w:rPr>
          <w:rFonts w:ascii="Arial Narrow" w:eastAsia="Calibri" w:hAnsi="Arial Narrow"/>
          <w:sz w:val="24"/>
          <w:szCs w:val="24"/>
        </w:rPr>
        <w:t>21</w:t>
      </w:r>
    </w:p>
    <w:p w14:paraId="1FECC670" w14:textId="77777777" w:rsidR="00AF4550" w:rsidRPr="00322D9B" w:rsidRDefault="00AF4550" w:rsidP="00322D9B">
      <w:pPr>
        <w:rPr>
          <w:rFonts w:eastAsia="Calibri"/>
        </w:rPr>
      </w:pPr>
    </w:p>
    <w:p w14:paraId="7DFF9C6D" w14:textId="77777777" w:rsidR="00696737" w:rsidRPr="00C157F9" w:rsidRDefault="00696737" w:rsidP="00696737">
      <w:pPr>
        <w:jc w:val="both"/>
        <w:rPr>
          <w:rFonts w:ascii="Arial Narrow" w:hAnsi="Arial Narrow"/>
        </w:rPr>
      </w:pPr>
      <w:r>
        <w:rPr>
          <w:noProof/>
        </w:rPr>
        <w:drawing>
          <wp:inline distT="0" distB="0" distL="0" distR="0" wp14:anchorId="30292E30" wp14:editId="0D656016">
            <wp:extent cx="5612130" cy="2685415"/>
            <wp:effectExtent l="19050" t="19050" r="26670" b="19685"/>
            <wp:docPr id="49" name="Imagen 49" descr="Imagen que contiene gabinet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Imagen que contiene gabinete&#10;&#10;Descripción generada automáticamente"/>
                    <pic:cNvPicPr/>
                  </pic:nvPicPr>
                  <pic:blipFill>
                    <a:blip r:embed="rId106"/>
                    <a:stretch>
                      <a:fillRect/>
                    </a:stretch>
                  </pic:blipFill>
                  <pic:spPr>
                    <a:xfrm>
                      <a:off x="0" y="0"/>
                      <a:ext cx="5612130" cy="2685415"/>
                    </a:xfrm>
                    <a:prstGeom prst="rect">
                      <a:avLst/>
                    </a:prstGeom>
                    <a:ln>
                      <a:solidFill>
                        <a:schemeClr val="tx1"/>
                      </a:solidFill>
                    </a:ln>
                  </pic:spPr>
                </pic:pic>
              </a:graphicData>
            </a:graphic>
          </wp:inline>
        </w:drawing>
      </w:r>
    </w:p>
    <w:p w14:paraId="52210DB6" w14:textId="77777777" w:rsidR="00696737" w:rsidRPr="00996542" w:rsidRDefault="00696737" w:rsidP="00B54439">
      <w:pPr>
        <w:jc w:val="center"/>
        <w:rPr>
          <w:rFonts w:ascii="Arial Narrow" w:hAnsi="Arial Narrow"/>
          <w:sz w:val="18"/>
          <w:szCs w:val="18"/>
        </w:rPr>
      </w:pPr>
      <w:r w:rsidRPr="00996542">
        <w:rPr>
          <w:rFonts w:ascii="Arial Narrow" w:hAnsi="Arial Narrow"/>
          <w:sz w:val="18"/>
          <w:szCs w:val="18"/>
        </w:rPr>
        <w:t>Fuente: Sistema PEI al 19 de enero del 2022 para el año 2021.</w:t>
      </w:r>
    </w:p>
    <w:p w14:paraId="68FD3F70" w14:textId="77777777" w:rsidR="006E3CA1" w:rsidRDefault="006E3CA1" w:rsidP="00696737">
      <w:pPr>
        <w:jc w:val="both"/>
        <w:rPr>
          <w:rFonts w:ascii="Arial Narrow" w:hAnsi="Arial Narrow"/>
        </w:rPr>
      </w:pPr>
    </w:p>
    <w:p w14:paraId="77472086" w14:textId="77777777" w:rsidR="00581C62" w:rsidRDefault="00581C62" w:rsidP="00696737">
      <w:pPr>
        <w:jc w:val="both"/>
        <w:rPr>
          <w:rFonts w:ascii="Arial Narrow" w:hAnsi="Arial Narrow"/>
        </w:rPr>
      </w:pPr>
    </w:p>
    <w:p w14:paraId="5917F2BB" w14:textId="4BB4EF24" w:rsidR="00696737" w:rsidRDefault="00696737" w:rsidP="00696737">
      <w:pPr>
        <w:jc w:val="both"/>
        <w:rPr>
          <w:rFonts w:ascii="Arial Narrow" w:hAnsi="Arial Narrow"/>
        </w:rPr>
      </w:pPr>
      <w:r w:rsidRPr="002455FF">
        <w:rPr>
          <w:rFonts w:ascii="Arial Narrow" w:hAnsi="Arial Narrow"/>
        </w:rPr>
        <w:t xml:space="preserve">Con respecto a la </w:t>
      </w:r>
      <w:r w:rsidRPr="00E56DCC">
        <w:rPr>
          <w:rFonts w:ascii="Arial Narrow" w:hAnsi="Arial Narrow"/>
        </w:rPr>
        <w:t xml:space="preserve">realización </w:t>
      </w:r>
      <w:r>
        <w:rPr>
          <w:rFonts w:ascii="Arial Narrow" w:hAnsi="Arial Narrow"/>
        </w:rPr>
        <w:t xml:space="preserve">de </w:t>
      </w:r>
      <w:r w:rsidRPr="00E56DCC">
        <w:rPr>
          <w:rFonts w:ascii="Arial Narrow" w:hAnsi="Arial Narrow"/>
        </w:rPr>
        <w:t>mediciones que permita</w:t>
      </w:r>
      <w:r>
        <w:rPr>
          <w:rFonts w:ascii="Arial Narrow" w:hAnsi="Arial Narrow"/>
        </w:rPr>
        <w:t>n</w:t>
      </w:r>
      <w:r w:rsidRPr="00E56DCC">
        <w:rPr>
          <w:rFonts w:ascii="Arial Narrow" w:hAnsi="Arial Narrow"/>
        </w:rPr>
        <w:t xml:space="preserve"> obtener el grado de satisfacción en los servicios claves prestados al personal judicial</w:t>
      </w:r>
      <w:r>
        <w:rPr>
          <w:rFonts w:ascii="Arial Narrow" w:hAnsi="Arial Narrow"/>
        </w:rPr>
        <w:t xml:space="preserve">, se ha trabajado por parte de la Dirección de Gestión Humana </w:t>
      </w:r>
      <w:r w:rsidRPr="002455FF">
        <w:rPr>
          <w:rFonts w:ascii="Arial Narrow" w:hAnsi="Arial Narrow"/>
        </w:rPr>
        <w:t>en identificar los servicios de la Dirección de Gestión Humana, por lo que se creó un catálogo o inventario de estos; y se elaboró un documento denominado "</w:t>
      </w:r>
      <w:r w:rsidRPr="002455FF">
        <w:rPr>
          <w:rFonts w:ascii="Arial Narrow" w:hAnsi="Arial Narrow"/>
          <w:i/>
          <w:iCs/>
        </w:rPr>
        <w:t>Guía para la evaluación de los servicios de Gestión Humana</w:t>
      </w:r>
      <w:r w:rsidRPr="002455FF">
        <w:rPr>
          <w:rFonts w:ascii="Arial Narrow" w:hAnsi="Arial Narrow"/>
        </w:rPr>
        <w:t xml:space="preserve"> ", la cual se encuentra en revisión.</w:t>
      </w:r>
      <w:r>
        <w:rPr>
          <w:rFonts w:ascii="Arial Narrow" w:hAnsi="Arial Narrow"/>
        </w:rPr>
        <w:t xml:space="preserve"> Se crea una </w:t>
      </w:r>
      <w:r w:rsidRPr="002455FF">
        <w:rPr>
          <w:rFonts w:ascii="Arial Narrow" w:hAnsi="Arial Narrow"/>
        </w:rPr>
        <w:t xml:space="preserve">ficha para la evaluación y seguimiento de la medición de los servicios claves que presta la </w:t>
      </w:r>
      <w:r>
        <w:rPr>
          <w:rFonts w:ascii="Arial Narrow" w:hAnsi="Arial Narrow"/>
        </w:rPr>
        <w:t>Dirección</w:t>
      </w:r>
      <w:r w:rsidRPr="002455FF">
        <w:rPr>
          <w:rFonts w:ascii="Arial Narrow" w:hAnsi="Arial Narrow"/>
        </w:rPr>
        <w:t xml:space="preserve"> a la población judicial</w:t>
      </w:r>
      <w:r>
        <w:rPr>
          <w:rFonts w:ascii="Arial Narrow" w:hAnsi="Arial Narrow"/>
        </w:rPr>
        <w:t xml:space="preserve">. Por medio del oficio </w:t>
      </w:r>
      <w:r w:rsidRPr="002455FF">
        <w:rPr>
          <w:rFonts w:ascii="Arial Narrow" w:hAnsi="Arial Narrow"/>
        </w:rPr>
        <w:t xml:space="preserve">PJ-DGH-SSS-1427-2021 se reportan los resultados de la encuesta aplicada </w:t>
      </w:r>
      <w:r>
        <w:rPr>
          <w:rFonts w:ascii="Arial Narrow" w:hAnsi="Arial Narrow"/>
        </w:rPr>
        <w:t xml:space="preserve">en </w:t>
      </w:r>
      <w:r w:rsidRPr="002455FF">
        <w:rPr>
          <w:rFonts w:ascii="Arial Narrow" w:hAnsi="Arial Narrow"/>
        </w:rPr>
        <w:t>relación con el servicio de atención que brinda el equipo</w:t>
      </w:r>
      <w:r>
        <w:rPr>
          <w:rFonts w:ascii="Arial Narrow" w:hAnsi="Arial Narrow"/>
        </w:rPr>
        <w:t xml:space="preserve"> de psicología. </w:t>
      </w:r>
    </w:p>
    <w:p w14:paraId="3A5E820D" w14:textId="77777777" w:rsidR="004853EA" w:rsidRDefault="004853EA" w:rsidP="00696737">
      <w:pPr>
        <w:jc w:val="both"/>
        <w:rPr>
          <w:rFonts w:ascii="Arial Narrow" w:hAnsi="Arial Narrow"/>
        </w:rPr>
      </w:pPr>
    </w:p>
    <w:p w14:paraId="06C7D431" w14:textId="56778F91" w:rsidR="00696737" w:rsidRDefault="00696737" w:rsidP="00696737">
      <w:pPr>
        <w:jc w:val="both"/>
        <w:rPr>
          <w:rFonts w:ascii="Arial Narrow" w:hAnsi="Arial Narrow"/>
        </w:rPr>
      </w:pPr>
      <w:r>
        <w:rPr>
          <w:rFonts w:ascii="Arial Narrow" w:hAnsi="Arial Narrow"/>
        </w:rPr>
        <w:t xml:space="preserve">Por su parte, la meta relacionada a la </w:t>
      </w:r>
      <w:r w:rsidRPr="002455FF">
        <w:rPr>
          <w:rFonts w:ascii="Arial Narrow" w:hAnsi="Arial Narrow"/>
        </w:rPr>
        <w:t>implementa</w:t>
      </w:r>
      <w:r>
        <w:rPr>
          <w:rFonts w:ascii="Arial Narrow" w:hAnsi="Arial Narrow"/>
        </w:rPr>
        <w:t>ción de</w:t>
      </w:r>
      <w:r w:rsidRPr="002455FF">
        <w:rPr>
          <w:rFonts w:ascii="Arial Narrow" w:hAnsi="Arial Narrow"/>
        </w:rPr>
        <w:t xml:space="preserve"> medios alternativos para la atención de los servicios de gestión del personal judicial</w:t>
      </w:r>
      <w:r>
        <w:rPr>
          <w:rFonts w:ascii="Arial Narrow" w:hAnsi="Arial Narrow"/>
        </w:rPr>
        <w:t>, se evidencian los esfuerzos de la Unidad de Control de Proceso  sobre d</w:t>
      </w:r>
      <w:r w:rsidRPr="002455FF">
        <w:rPr>
          <w:rFonts w:ascii="Arial Narrow" w:hAnsi="Arial Narrow"/>
        </w:rPr>
        <w:t>esarrollar el plan de trabajo acerca de la propuesta sobre la oferta de los servicios principales por medios alternativos</w:t>
      </w:r>
      <w:r>
        <w:rPr>
          <w:rFonts w:ascii="Arial Narrow" w:hAnsi="Arial Narrow"/>
        </w:rPr>
        <w:t xml:space="preserve"> por lo que las </w:t>
      </w:r>
      <w:r w:rsidRPr="002455FF">
        <w:rPr>
          <w:rFonts w:ascii="Arial Narrow" w:hAnsi="Arial Narrow"/>
        </w:rPr>
        <w:t>mejoras propuestas para la descentralización de funciones, ya se cuenta por parte de la Dirección de Gestión Humana con la autorización para que el desarrollo se realice en la plataforma GH en Línea, pero por el establecimiento de diversas prioridades no ha sido posible desarrollar por parte de la Dirección de Tecnología de la Informaci</w:t>
      </w:r>
      <w:r>
        <w:rPr>
          <w:rFonts w:ascii="Arial Narrow" w:hAnsi="Arial Narrow"/>
        </w:rPr>
        <w:t>ó</w:t>
      </w:r>
      <w:r w:rsidRPr="002455FF">
        <w:rPr>
          <w:rFonts w:ascii="Arial Narrow" w:hAnsi="Arial Narrow"/>
        </w:rPr>
        <w:t>n y Comunicaciones.</w:t>
      </w:r>
    </w:p>
    <w:p w14:paraId="43CB8C63" w14:textId="77777777" w:rsidR="006E3CA1" w:rsidRDefault="006E3CA1" w:rsidP="00696737">
      <w:pPr>
        <w:jc w:val="both"/>
        <w:rPr>
          <w:rFonts w:ascii="Arial Narrow" w:hAnsi="Arial Narrow"/>
        </w:rPr>
      </w:pPr>
    </w:p>
    <w:p w14:paraId="3B2410A0" w14:textId="77777777" w:rsidR="00696737" w:rsidRPr="002455FF" w:rsidRDefault="00696737" w:rsidP="00696737">
      <w:pPr>
        <w:jc w:val="both"/>
        <w:rPr>
          <w:rFonts w:ascii="Arial Narrow" w:hAnsi="Arial Narrow"/>
        </w:rPr>
      </w:pPr>
      <w:r>
        <w:rPr>
          <w:rFonts w:ascii="Arial Narrow" w:hAnsi="Arial Narrow"/>
        </w:rPr>
        <w:t>Con respecto a la</w:t>
      </w:r>
      <w:r w:rsidRPr="002455FF">
        <w:rPr>
          <w:rFonts w:ascii="Arial Narrow" w:hAnsi="Arial Narrow"/>
        </w:rPr>
        <w:t xml:space="preserve"> </w:t>
      </w:r>
      <w:r>
        <w:rPr>
          <w:rFonts w:ascii="Arial Narrow" w:hAnsi="Arial Narrow"/>
        </w:rPr>
        <w:t>implementación de</w:t>
      </w:r>
      <w:r w:rsidRPr="002455FF">
        <w:rPr>
          <w:rFonts w:ascii="Arial Narrow" w:hAnsi="Arial Narrow"/>
        </w:rPr>
        <w:t xml:space="preserve"> un plan de trabajo para efectuar evaluaciones anuales sobre la calidad del servicio brindado a las personas usuarias internas y externas de la Oficina de Atención a la Víctima de Delitos y la Unidad de Protección de Víctimas y Testigos</w:t>
      </w:r>
      <w:r>
        <w:rPr>
          <w:rFonts w:ascii="Arial Narrow" w:hAnsi="Arial Narrow"/>
        </w:rPr>
        <w:t>, se</w:t>
      </w:r>
      <w:r w:rsidRPr="002455FF">
        <w:rPr>
          <w:rFonts w:ascii="Arial Narrow" w:hAnsi="Arial Narrow"/>
        </w:rPr>
        <w:t xml:space="preserve"> trabaja en un taller para recopilación de datos en junio del 2021 por parte del sociólogo, se procedió con la ejecución del taller, trasladando a los participantes el material y solicitando aportes, posteriormente, se rindió un trabajo en  borrador para presentar</w:t>
      </w:r>
      <w:r>
        <w:rPr>
          <w:rFonts w:ascii="Arial Narrow" w:hAnsi="Arial Narrow"/>
        </w:rPr>
        <w:t xml:space="preserve"> el</w:t>
      </w:r>
      <w:r w:rsidRPr="002455FF">
        <w:rPr>
          <w:rFonts w:ascii="Arial Narrow" w:hAnsi="Arial Narrow"/>
        </w:rPr>
        <w:t xml:space="preserve"> resultado a</w:t>
      </w:r>
      <w:r>
        <w:rPr>
          <w:rFonts w:ascii="Arial Narrow" w:hAnsi="Arial Narrow"/>
        </w:rPr>
        <w:t xml:space="preserve"> la</w:t>
      </w:r>
      <w:r w:rsidRPr="002455FF">
        <w:rPr>
          <w:rFonts w:ascii="Arial Narrow" w:hAnsi="Arial Narrow"/>
        </w:rPr>
        <w:t xml:space="preserve"> jefatura.</w:t>
      </w:r>
    </w:p>
    <w:p w14:paraId="69D52D9D" w14:textId="7C6524AC" w:rsidR="00D27B75" w:rsidRDefault="00D27B75" w:rsidP="00D27B75"/>
    <w:p w14:paraId="4F3CD345" w14:textId="77777777" w:rsidR="00581C62" w:rsidRDefault="00581C62" w:rsidP="00D27B75">
      <w:pPr>
        <w:rPr>
          <w:rFonts w:eastAsia="Calibri"/>
          <w:lang w:val="es-CR"/>
        </w:rPr>
      </w:pPr>
    </w:p>
    <w:p w14:paraId="6E5868A6" w14:textId="7FCF9C37" w:rsidR="00696737" w:rsidRPr="00322D9B" w:rsidRDefault="004853EA" w:rsidP="00322D9B">
      <w:pPr>
        <w:pStyle w:val="Ttulo3"/>
        <w:numPr>
          <w:ilvl w:val="2"/>
          <w:numId w:val="124"/>
        </w:numPr>
        <w:rPr>
          <w:rFonts w:eastAsia="Calibri"/>
        </w:rPr>
      </w:pPr>
      <w:bookmarkStart w:id="60" w:name="_Toc106355279"/>
      <w:r w:rsidRPr="00322D9B">
        <w:rPr>
          <w:rFonts w:eastAsia="Calibri"/>
        </w:rPr>
        <w:t>Servicios</w:t>
      </w:r>
      <w:r w:rsidR="00696737" w:rsidRPr="00322D9B">
        <w:rPr>
          <w:rFonts w:eastAsia="Calibri"/>
        </w:rPr>
        <w:t xml:space="preserve"> Tecnológicos</w:t>
      </w:r>
      <w:bookmarkEnd w:id="60"/>
    </w:p>
    <w:p w14:paraId="6E253DE2" w14:textId="77777777" w:rsidR="00581C62" w:rsidRDefault="00581C62" w:rsidP="00792BB6">
      <w:pPr>
        <w:spacing w:line="360" w:lineRule="auto"/>
        <w:jc w:val="both"/>
        <w:rPr>
          <w:rFonts w:ascii="Arial Narrow" w:hAnsi="Arial Narrow"/>
        </w:rPr>
      </w:pPr>
    </w:p>
    <w:p w14:paraId="18DD379B" w14:textId="6B81D069" w:rsidR="00792BB6" w:rsidRPr="00BC692E" w:rsidRDefault="00792BB6" w:rsidP="00792BB6">
      <w:pPr>
        <w:spacing w:line="360" w:lineRule="auto"/>
        <w:jc w:val="both"/>
        <w:rPr>
          <w:rFonts w:ascii="Arial Narrow" w:hAnsi="Arial Narrow"/>
        </w:rPr>
      </w:pPr>
      <w:r w:rsidRPr="00BC692E">
        <w:rPr>
          <w:rFonts w:ascii="Arial Narrow" w:hAnsi="Arial Narrow"/>
        </w:rPr>
        <w:t xml:space="preserve">Se </w:t>
      </w:r>
      <w:r>
        <w:rPr>
          <w:rFonts w:ascii="Arial Narrow" w:hAnsi="Arial Narrow"/>
        </w:rPr>
        <w:t xml:space="preserve">tienen 10 </w:t>
      </w:r>
      <w:r w:rsidRPr="00BC692E">
        <w:rPr>
          <w:rFonts w:ascii="Arial Narrow" w:hAnsi="Arial Narrow"/>
        </w:rPr>
        <w:t xml:space="preserve">metas estratégicas </w:t>
      </w:r>
      <w:r>
        <w:rPr>
          <w:rFonts w:ascii="Arial Narrow" w:hAnsi="Arial Narrow"/>
        </w:rPr>
        <w:t>en esta acción, de</w:t>
      </w:r>
      <w:r w:rsidRPr="00BC692E">
        <w:rPr>
          <w:rFonts w:ascii="Arial Narrow" w:hAnsi="Arial Narrow"/>
        </w:rPr>
        <w:t xml:space="preserve"> las cuales </w:t>
      </w:r>
      <w:r>
        <w:rPr>
          <w:rFonts w:ascii="Arial Narrow" w:hAnsi="Arial Narrow"/>
        </w:rPr>
        <w:t>su totalidad</w:t>
      </w:r>
      <w:r w:rsidRPr="00BC692E">
        <w:rPr>
          <w:rFonts w:ascii="Arial Narrow" w:hAnsi="Arial Narrow"/>
        </w:rPr>
        <w:t xml:space="preserve"> muestran una ejecución alta en su cumplimiento. Se detalla a continuación las metas estratégicas y su cumplimiento para el 2021:</w:t>
      </w:r>
    </w:p>
    <w:p w14:paraId="03C788F1" w14:textId="598587D5" w:rsidR="00792BB6" w:rsidRDefault="00792BB6" w:rsidP="00696737">
      <w:pPr>
        <w:jc w:val="both"/>
      </w:pPr>
    </w:p>
    <w:p w14:paraId="0C7BD74E" w14:textId="3C001AD4" w:rsidR="00B56A16" w:rsidRDefault="00B56A16" w:rsidP="00B56A16">
      <w:pPr>
        <w:pStyle w:val="Descripcin"/>
        <w:jc w:val="center"/>
        <w:rPr>
          <w:rFonts w:ascii="Arial Narrow" w:eastAsia="Calibri" w:hAnsi="Arial Narrow"/>
          <w:sz w:val="24"/>
          <w:szCs w:val="24"/>
        </w:rPr>
      </w:pPr>
      <w:r w:rsidRPr="005E067A">
        <w:rPr>
          <w:rFonts w:ascii="Arial Narrow" w:hAnsi="Arial Narrow"/>
          <w:sz w:val="24"/>
          <w:szCs w:val="24"/>
        </w:rPr>
        <w:t xml:space="preserve">Cuadro </w:t>
      </w:r>
      <w:r w:rsidRPr="005E067A">
        <w:rPr>
          <w:rFonts w:ascii="Arial Narrow" w:hAnsi="Arial Narrow"/>
          <w:sz w:val="24"/>
          <w:szCs w:val="24"/>
        </w:rPr>
        <w:fldChar w:fldCharType="begin"/>
      </w:r>
      <w:r w:rsidRPr="005E067A">
        <w:rPr>
          <w:rFonts w:ascii="Arial Narrow" w:hAnsi="Arial Narrow"/>
          <w:sz w:val="24"/>
          <w:szCs w:val="24"/>
        </w:rPr>
        <w:instrText xml:space="preserve"> SEQ Cuadro_No. \* ARABIC </w:instrText>
      </w:r>
      <w:r w:rsidRPr="005E067A">
        <w:rPr>
          <w:rFonts w:ascii="Arial Narrow" w:hAnsi="Arial Narrow"/>
          <w:sz w:val="24"/>
          <w:szCs w:val="24"/>
        </w:rPr>
        <w:fldChar w:fldCharType="separate"/>
      </w:r>
      <w:r w:rsidR="002F520A">
        <w:rPr>
          <w:rFonts w:ascii="Arial Narrow" w:hAnsi="Arial Narrow"/>
          <w:noProof/>
          <w:sz w:val="24"/>
          <w:szCs w:val="24"/>
        </w:rPr>
        <w:t>52</w:t>
      </w:r>
      <w:r w:rsidRPr="005E067A">
        <w:rPr>
          <w:rFonts w:ascii="Arial Narrow" w:hAnsi="Arial Narrow"/>
          <w:sz w:val="24"/>
          <w:szCs w:val="24"/>
        </w:rPr>
        <w:fldChar w:fldCharType="end"/>
      </w:r>
      <w:r w:rsidRPr="005E067A">
        <w:rPr>
          <w:rFonts w:ascii="Arial Narrow" w:hAnsi="Arial Narrow"/>
          <w:sz w:val="24"/>
          <w:szCs w:val="24"/>
        </w:rPr>
        <w:t xml:space="preserve"> </w:t>
      </w:r>
      <w:r w:rsidRPr="005E067A">
        <w:rPr>
          <w:rFonts w:ascii="Arial Narrow" w:eastAsia="Calibri" w:hAnsi="Arial Narrow"/>
          <w:sz w:val="24"/>
          <w:szCs w:val="24"/>
        </w:rPr>
        <w:t xml:space="preserve">Metas estratégicas de </w:t>
      </w:r>
      <w:r>
        <w:rPr>
          <w:rFonts w:ascii="Arial Narrow" w:eastAsia="Calibri" w:hAnsi="Arial Narrow"/>
          <w:sz w:val="24"/>
          <w:szCs w:val="24"/>
        </w:rPr>
        <w:t>Servicios Tecnológicos</w:t>
      </w:r>
      <w:r w:rsidRPr="005E067A">
        <w:rPr>
          <w:rFonts w:ascii="Arial Narrow" w:eastAsia="Calibri" w:hAnsi="Arial Narrow"/>
          <w:sz w:val="24"/>
          <w:szCs w:val="24"/>
        </w:rPr>
        <w:t>, y su cumplimiento para el 20</w:t>
      </w:r>
      <w:r>
        <w:rPr>
          <w:rFonts w:ascii="Arial Narrow" w:eastAsia="Calibri" w:hAnsi="Arial Narrow"/>
          <w:sz w:val="24"/>
          <w:szCs w:val="24"/>
        </w:rPr>
        <w:t>21</w:t>
      </w:r>
    </w:p>
    <w:p w14:paraId="6B11FC19" w14:textId="77777777" w:rsidR="00AF4550" w:rsidRPr="00322D9B" w:rsidRDefault="00AF4550" w:rsidP="00322D9B">
      <w:pPr>
        <w:rPr>
          <w:rFonts w:eastAsia="Calibri"/>
        </w:rPr>
      </w:pPr>
    </w:p>
    <w:p w14:paraId="5BAD730D" w14:textId="77777777" w:rsidR="00696737" w:rsidRDefault="00696737" w:rsidP="00696737">
      <w:pPr>
        <w:jc w:val="both"/>
      </w:pPr>
      <w:r>
        <w:rPr>
          <w:noProof/>
        </w:rPr>
        <w:drawing>
          <wp:inline distT="0" distB="0" distL="0" distR="0" wp14:anchorId="7332DF23" wp14:editId="0B98AE33">
            <wp:extent cx="5791200" cy="2402205"/>
            <wp:effectExtent l="19050" t="19050" r="19050" b="17145"/>
            <wp:docPr id="50" name="Imagen 5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Tabla&#10;&#10;Descripción generada automáticamente"/>
                    <pic:cNvPicPr/>
                  </pic:nvPicPr>
                  <pic:blipFill>
                    <a:blip r:embed="rId107"/>
                    <a:stretch>
                      <a:fillRect/>
                    </a:stretch>
                  </pic:blipFill>
                  <pic:spPr>
                    <a:xfrm>
                      <a:off x="0" y="0"/>
                      <a:ext cx="5805549" cy="2408157"/>
                    </a:xfrm>
                    <a:prstGeom prst="rect">
                      <a:avLst/>
                    </a:prstGeom>
                    <a:ln w="12700">
                      <a:solidFill>
                        <a:schemeClr val="tx1"/>
                      </a:solidFill>
                    </a:ln>
                  </pic:spPr>
                </pic:pic>
              </a:graphicData>
            </a:graphic>
          </wp:inline>
        </w:drawing>
      </w:r>
    </w:p>
    <w:p w14:paraId="2823A76B" w14:textId="77777777" w:rsidR="00696737" w:rsidRPr="00996542" w:rsidRDefault="00696737" w:rsidP="00B54439">
      <w:pPr>
        <w:jc w:val="center"/>
        <w:rPr>
          <w:rFonts w:ascii="Arial Narrow" w:hAnsi="Arial Narrow"/>
          <w:sz w:val="18"/>
          <w:szCs w:val="18"/>
        </w:rPr>
      </w:pPr>
      <w:r w:rsidRPr="00996542">
        <w:rPr>
          <w:rFonts w:ascii="Arial Narrow" w:hAnsi="Arial Narrow"/>
          <w:sz w:val="18"/>
          <w:szCs w:val="18"/>
        </w:rPr>
        <w:t>Fuente: Sistema PEI al 19 de enero del 2022 para el año 2021.</w:t>
      </w:r>
    </w:p>
    <w:p w14:paraId="7ADA8AB6" w14:textId="25C3FD1E" w:rsidR="00696737" w:rsidRDefault="00696737" w:rsidP="00696737">
      <w:pPr>
        <w:jc w:val="both"/>
        <w:rPr>
          <w:rFonts w:ascii="Arial Narrow" w:hAnsi="Arial Narrow"/>
        </w:rPr>
      </w:pPr>
      <w:r w:rsidRPr="004C5072">
        <w:rPr>
          <w:rFonts w:ascii="Arial Narrow" w:hAnsi="Arial Narrow"/>
        </w:rPr>
        <w:t>Con respecto a la meta relacionada a la implementación de un sistema informático integral, para el trámite efectivo de los asuntos en todas las oficinas de la Defensa Pública, se tiene que por parte de la Dirección de Tecnología de Informaci</w:t>
      </w:r>
      <w:r>
        <w:rPr>
          <w:rFonts w:ascii="Arial Narrow" w:hAnsi="Arial Narrow"/>
        </w:rPr>
        <w:t>ó</w:t>
      </w:r>
      <w:r w:rsidRPr="004C5072">
        <w:rPr>
          <w:rFonts w:ascii="Arial Narrow" w:hAnsi="Arial Narrow"/>
        </w:rPr>
        <w:t xml:space="preserve">n y Comunicaciones se debía analizar los requerimientos planteados por la Defensa Pública, a fin de definir la viabilidad del desarrollo del sistema informático de gestión judicial integral, como parte del desarrollo del nuevo sistema de Gestión, se realizó un ejercicio de determinación y análisis de las historias de usuario de la Defensa Pública, concluyendo con esta actividad. </w:t>
      </w:r>
    </w:p>
    <w:p w14:paraId="43BD29ED" w14:textId="77777777" w:rsidR="00BE17DF" w:rsidRDefault="00BE17DF" w:rsidP="00696737">
      <w:pPr>
        <w:jc w:val="both"/>
        <w:rPr>
          <w:rFonts w:ascii="Arial Narrow" w:hAnsi="Arial Narrow"/>
        </w:rPr>
      </w:pPr>
    </w:p>
    <w:p w14:paraId="2D0855F7" w14:textId="4AFE46C2" w:rsidR="00696737" w:rsidRDefault="00696737" w:rsidP="00696737">
      <w:pPr>
        <w:jc w:val="both"/>
        <w:rPr>
          <w:rFonts w:ascii="Arial Narrow" w:hAnsi="Arial Narrow"/>
        </w:rPr>
      </w:pPr>
      <w:r w:rsidRPr="004C5072">
        <w:rPr>
          <w:rFonts w:ascii="Arial Narrow" w:hAnsi="Arial Narrow"/>
        </w:rPr>
        <w:t>Sobre el tema de la implementación del Sistema de Control de Acceso a la Red, se registra por parte de la Dirección de Tecnología de Información y Comunicaciones los esfuerzos realizados en el 2021 realizados por el Subproceso de Telemática, dado que se fortaleció el Sistema de Control de Acceso NAC, con un diseño redundante y altamente disponible, la inversión inicial fue realizada en el 2020 y en el 2021, se amplió la implantación en más edificios y locales del Primero y Segundo Circuito de San Jose, por lo que fue implantando en 23 edificios.</w:t>
      </w:r>
    </w:p>
    <w:p w14:paraId="17ED5C44" w14:textId="77777777" w:rsidR="00BE17DF" w:rsidRDefault="00BE17DF" w:rsidP="00696737">
      <w:pPr>
        <w:jc w:val="both"/>
        <w:rPr>
          <w:rFonts w:ascii="Arial Narrow" w:hAnsi="Arial Narrow"/>
        </w:rPr>
      </w:pPr>
    </w:p>
    <w:p w14:paraId="33D6A34C" w14:textId="77777777" w:rsidR="00696737" w:rsidRPr="004C5072" w:rsidRDefault="00696737" w:rsidP="00696737">
      <w:pPr>
        <w:jc w:val="both"/>
        <w:rPr>
          <w:rFonts w:ascii="Arial Narrow" w:hAnsi="Arial Narrow"/>
        </w:rPr>
      </w:pPr>
      <w:r>
        <w:rPr>
          <w:rFonts w:ascii="Arial Narrow" w:hAnsi="Arial Narrow"/>
        </w:rPr>
        <w:t xml:space="preserve">Con respecto a los esfuerzos para </w:t>
      </w:r>
      <w:r w:rsidRPr="004C5072">
        <w:rPr>
          <w:rFonts w:ascii="Arial Narrow" w:hAnsi="Arial Narrow"/>
        </w:rPr>
        <w:t>asegurar la continuidad del servicio tecnológico</w:t>
      </w:r>
      <w:r>
        <w:rPr>
          <w:rFonts w:ascii="Arial Narrow" w:hAnsi="Arial Narrow"/>
        </w:rPr>
        <w:t xml:space="preserve"> se tiene el cumplimiento del proyecto </w:t>
      </w:r>
      <w:r w:rsidRPr="004C5072">
        <w:rPr>
          <w:rFonts w:ascii="Arial Narrow" w:hAnsi="Arial Narrow"/>
        </w:rPr>
        <w:t xml:space="preserve">“Contratación </w:t>
      </w:r>
      <w:r>
        <w:rPr>
          <w:rFonts w:ascii="Arial Narrow" w:hAnsi="Arial Narrow"/>
        </w:rPr>
        <w:t>d</w:t>
      </w:r>
      <w:r w:rsidRPr="004C5072">
        <w:rPr>
          <w:rFonts w:ascii="Arial Narrow" w:hAnsi="Arial Narrow"/>
        </w:rPr>
        <w:t xml:space="preserve">e </w:t>
      </w:r>
      <w:r>
        <w:rPr>
          <w:rFonts w:ascii="Arial Narrow" w:hAnsi="Arial Narrow"/>
        </w:rPr>
        <w:t>h</w:t>
      </w:r>
      <w:r w:rsidRPr="004C5072">
        <w:rPr>
          <w:rFonts w:ascii="Arial Narrow" w:hAnsi="Arial Narrow"/>
        </w:rPr>
        <w:t xml:space="preserve">oras </w:t>
      </w:r>
      <w:r>
        <w:rPr>
          <w:rFonts w:ascii="Arial Narrow" w:hAnsi="Arial Narrow"/>
        </w:rPr>
        <w:t>de</w:t>
      </w:r>
      <w:r w:rsidRPr="004C5072">
        <w:rPr>
          <w:rFonts w:ascii="Arial Narrow" w:hAnsi="Arial Narrow"/>
        </w:rPr>
        <w:t xml:space="preserve"> Asesoría Profesional </w:t>
      </w:r>
      <w:r>
        <w:rPr>
          <w:rFonts w:ascii="Arial Narrow" w:hAnsi="Arial Narrow"/>
        </w:rPr>
        <w:t>p</w:t>
      </w:r>
      <w:r w:rsidRPr="004C5072">
        <w:rPr>
          <w:rFonts w:ascii="Arial Narrow" w:hAnsi="Arial Narrow"/>
        </w:rPr>
        <w:t>ara</w:t>
      </w:r>
      <w:r>
        <w:rPr>
          <w:rFonts w:ascii="Arial Narrow" w:hAnsi="Arial Narrow"/>
        </w:rPr>
        <w:t xml:space="preserve"> e</w:t>
      </w:r>
      <w:r w:rsidRPr="004C5072">
        <w:rPr>
          <w:rFonts w:ascii="Arial Narrow" w:hAnsi="Arial Narrow"/>
        </w:rPr>
        <w:t xml:space="preserve">l </w:t>
      </w:r>
      <w:r>
        <w:rPr>
          <w:rFonts w:ascii="Arial Narrow" w:hAnsi="Arial Narrow"/>
        </w:rPr>
        <w:t>d</w:t>
      </w:r>
      <w:r w:rsidRPr="004C5072">
        <w:rPr>
          <w:rFonts w:ascii="Arial Narrow" w:hAnsi="Arial Narrow"/>
        </w:rPr>
        <w:t xml:space="preserve">esarrollo </w:t>
      </w:r>
      <w:r>
        <w:rPr>
          <w:rFonts w:ascii="Arial Narrow" w:hAnsi="Arial Narrow"/>
        </w:rPr>
        <w:t>d</w:t>
      </w:r>
      <w:r w:rsidRPr="004C5072">
        <w:rPr>
          <w:rFonts w:ascii="Arial Narrow" w:hAnsi="Arial Narrow"/>
        </w:rPr>
        <w:t xml:space="preserve">e </w:t>
      </w:r>
      <w:r>
        <w:rPr>
          <w:rFonts w:ascii="Arial Narrow" w:hAnsi="Arial Narrow"/>
        </w:rPr>
        <w:t>l</w:t>
      </w:r>
      <w:r w:rsidRPr="004C5072">
        <w:rPr>
          <w:rFonts w:ascii="Arial Narrow" w:hAnsi="Arial Narrow"/>
        </w:rPr>
        <w:t xml:space="preserve">as Fases </w:t>
      </w:r>
      <w:r>
        <w:rPr>
          <w:rFonts w:ascii="Arial Narrow" w:hAnsi="Arial Narrow"/>
        </w:rPr>
        <w:t>III</w:t>
      </w:r>
      <w:r w:rsidRPr="004C5072">
        <w:rPr>
          <w:rFonts w:ascii="Arial Narrow" w:hAnsi="Arial Narrow"/>
        </w:rPr>
        <w:t>, I</w:t>
      </w:r>
      <w:r>
        <w:rPr>
          <w:rFonts w:ascii="Arial Narrow" w:hAnsi="Arial Narrow"/>
        </w:rPr>
        <w:t>V</w:t>
      </w:r>
      <w:r w:rsidRPr="004C5072">
        <w:rPr>
          <w:rFonts w:ascii="Arial Narrow" w:hAnsi="Arial Narrow"/>
        </w:rPr>
        <w:t xml:space="preserve"> </w:t>
      </w:r>
      <w:r>
        <w:rPr>
          <w:rFonts w:ascii="Arial Narrow" w:hAnsi="Arial Narrow"/>
        </w:rPr>
        <w:t>y</w:t>
      </w:r>
      <w:r w:rsidRPr="004C5072">
        <w:rPr>
          <w:rFonts w:ascii="Arial Narrow" w:hAnsi="Arial Narrow"/>
        </w:rPr>
        <w:t xml:space="preserve"> V </w:t>
      </w:r>
      <w:r>
        <w:rPr>
          <w:rFonts w:ascii="Arial Narrow" w:hAnsi="Arial Narrow"/>
        </w:rPr>
        <w:t>d</w:t>
      </w:r>
      <w:r w:rsidRPr="004C5072">
        <w:rPr>
          <w:rFonts w:ascii="Arial Narrow" w:hAnsi="Arial Narrow"/>
        </w:rPr>
        <w:t xml:space="preserve">el Plan General </w:t>
      </w:r>
      <w:r>
        <w:rPr>
          <w:rFonts w:ascii="Arial Narrow" w:hAnsi="Arial Narrow"/>
        </w:rPr>
        <w:t>d</w:t>
      </w:r>
      <w:r w:rsidRPr="004C5072">
        <w:rPr>
          <w:rFonts w:ascii="Arial Narrow" w:hAnsi="Arial Narrow"/>
        </w:rPr>
        <w:t xml:space="preserve">e Continuidad </w:t>
      </w:r>
      <w:r>
        <w:rPr>
          <w:rFonts w:ascii="Arial Narrow" w:hAnsi="Arial Narrow"/>
        </w:rPr>
        <w:t>d</w:t>
      </w:r>
      <w:r w:rsidRPr="004C5072">
        <w:rPr>
          <w:rFonts w:ascii="Arial Narrow" w:hAnsi="Arial Narrow"/>
        </w:rPr>
        <w:t xml:space="preserve">e Servicio </w:t>
      </w:r>
      <w:r>
        <w:rPr>
          <w:rFonts w:ascii="Arial Narrow" w:hAnsi="Arial Narrow"/>
        </w:rPr>
        <w:t>d</w:t>
      </w:r>
      <w:r w:rsidRPr="004C5072">
        <w:rPr>
          <w:rFonts w:ascii="Arial Narrow" w:hAnsi="Arial Narrow"/>
        </w:rPr>
        <w:t>el Poder Judicial</w:t>
      </w:r>
      <w:r>
        <w:rPr>
          <w:rFonts w:ascii="Arial Narrow" w:hAnsi="Arial Narrow"/>
        </w:rPr>
        <w:t xml:space="preserve">”, </w:t>
      </w:r>
      <w:r w:rsidRPr="0082322D">
        <w:rPr>
          <w:rFonts w:ascii="Arial Narrow" w:hAnsi="Arial Narrow"/>
        </w:rPr>
        <w:t>ese proyecto deja herramientas y un modelo organizado a nivel institucional, para que la nueva estructura continúe como la mejora continua, como lo es el Plan de mantenimiento y el informe de recomendaciones a la política del sistema de gestión de continuidad del servicio, los cuales orientan las acciones</w:t>
      </w:r>
      <w:r>
        <w:rPr>
          <w:rFonts w:ascii="Arial Narrow" w:hAnsi="Arial Narrow"/>
        </w:rPr>
        <w:t>.</w:t>
      </w:r>
    </w:p>
    <w:p w14:paraId="4C4367C9" w14:textId="2C01370E" w:rsidR="00696737" w:rsidRDefault="00696737" w:rsidP="00696737">
      <w:pPr>
        <w:jc w:val="both"/>
      </w:pPr>
    </w:p>
    <w:p w14:paraId="21F98F2C" w14:textId="77777777" w:rsidR="00AF4550" w:rsidRDefault="00AF4550" w:rsidP="00696737">
      <w:pPr>
        <w:jc w:val="both"/>
      </w:pPr>
    </w:p>
    <w:p w14:paraId="5D22380C" w14:textId="303A1580" w:rsidR="00B56A16" w:rsidRDefault="00B56A16" w:rsidP="00B56A16">
      <w:pPr>
        <w:pStyle w:val="Descripcin"/>
        <w:jc w:val="center"/>
        <w:rPr>
          <w:rFonts w:ascii="Arial Narrow" w:eastAsia="Calibri" w:hAnsi="Arial Narrow"/>
          <w:sz w:val="24"/>
          <w:szCs w:val="24"/>
        </w:rPr>
      </w:pPr>
      <w:r w:rsidRPr="005E067A">
        <w:rPr>
          <w:rFonts w:ascii="Arial Narrow" w:hAnsi="Arial Narrow"/>
          <w:sz w:val="24"/>
          <w:szCs w:val="24"/>
        </w:rPr>
        <w:t xml:space="preserve">Cuadro </w:t>
      </w:r>
      <w:r w:rsidRPr="005E067A">
        <w:rPr>
          <w:rFonts w:ascii="Arial Narrow" w:hAnsi="Arial Narrow"/>
          <w:sz w:val="24"/>
          <w:szCs w:val="24"/>
        </w:rPr>
        <w:fldChar w:fldCharType="begin"/>
      </w:r>
      <w:r w:rsidRPr="005E067A">
        <w:rPr>
          <w:rFonts w:ascii="Arial Narrow" w:hAnsi="Arial Narrow"/>
          <w:sz w:val="24"/>
          <w:szCs w:val="24"/>
        </w:rPr>
        <w:instrText xml:space="preserve"> SEQ Cuadro_No. \* ARABIC </w:instrText>
      </w:r>
      <w:r w:rsidRPr="005E067A">
        <w:rPr>
          <w:rFonts w:ascii="Arial Narrow" w:hAnsi="Arial Narrow"/>
          <w:sz w:val="24"/>
          <w:szCs w:val="24"/>
        </w:rPr>
        <w:fldChar w:fldCharType="separate"/>
      </w:r>
      <w:r w:rsidR="002F520A">
        <w:rPr>
          <w:rFonts w:ascii="Arial Narrow" w:hAnsi="Arial Narrow"/>
          <w:noProof/>
          <w:sz w:val="24"/>
          <w:szCs w:val="24"/>
        </w:rPr>
        <w:t>53</w:t>
      </w:r>
      <w:r w:rsidRPr="005E067A">
        <w:rPr>
          <w:rFonts w:ascii="Arial Narrow" w:hAnsi="Arial Narrow"/>
          <w:sz w:val="24"/>
          <w:szCs w:val="24"/>
        </w:rPr>
        <w:fldChar w:fldCharType="end"/>
      </w:r>
      <w:r w:rsidRPr="005E067A">
        <w:rPr>
          <w:rFonts w:ascii="Arial Narrow" w:hAnsi="Arial Narrow"/>
          <w:sz w:val="24"/>
          <w:szCs w:val="24"/>
        </w:rPr>
        <w:t xml:space="preserve"> </w:t>
      </w:r>
      <w:r w:rsidRPr="005E067A">
        <w:rPr>
          <w:rFonts w:ascii="Arial Narrow" w:eastAsia="Calibri" w:hAnsi="Arial Narrow"/>
          <w:sz w:val="24"/>
          <w:szCs w:val="24"/>
        </w:rPr>
        <w:t xml:space="preserve">Metas estratégicas de </w:t>
      </w:r>
      <w:r>
        <w:rPr>
          <w:rFonts w:ascii="Arial Narrow" w:eastAsia="Calibri" w:hAnsi="Arial Narrow"/>
          <w:sz w:val="24"/>
          <w:szCs w:val="24"/>
        </w:rPr>
        <w:t>Servicios Tecnológicos</w:t>
      </w:r>
      <w:r w:rsidRPr="005E067A">
        <w:rPr>
          <w:rFonts w:ascii="Arial Narrow" w:eastAsia="Calibri" w:hAnsi="Arial Narrow"/>
          <w:sz w:val="24"/>
          <w:szCs w:val="24"/>
        </w:rPr>
        <w:t>, y su cumplimiento para el 20</w:t>
      </w:r>
      <w:r>
        <w:rPr>
          <w:rFonts w:ascii="Arial Narrow" w:eastAsia="Calibri" w:hAnsi="Arial Narrow"/>
          <w:sz w:val="24"/>
          <w:szCs w:val="24"/>
        </w:rPr>
        <w:t>21</w:t>
      </w:r>
    </w:p>
    <w:p w14:paraId="130FB7F2" w14:textId="6232E1B1" w:rsidR="00B56A16" w:rsidRDefault="00B56A16" w:rsidP="00696737">
      <w:pPr>
        <w:jc w:val="both"/>
        <w:rPr>
          <w:rFonts w:ascii="Arial Narrow" w:hAnsi="Arial Narrow"/>
          <w:b/>
          <w:bCs/>
        </w:rPr>
      </w:pPr>
    </w:p>
    <w:p w14:paraId="37E06794" w14:textId="01180F4D" w:rsidR="00696737" w:rsidRDefault="00696737" w:rsidP="00696737">
      <w:pPr>
        <w:jc w:val="both"/>
      </w:pPr>
      <w:r>
        <w:rPr>
          <w:noProof/>
        </w:rPr>
        <w:drawing>
          <wp:inline distT="0" distB="0" distL="0" distR="0" wp14:anchorId="05CFC632" wp14:editId="07F963BD">
            <wp:extent cx="5612130" cy="2662555"/>
            <wp:effectExtent l="19050" t="19050" r="26670" b="23495"/>
            <wp:docPr id="51" name="Imagen 51" descr="Una captura de pantalla de un celular con texto e imágene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Una captura de pantalla de un celular con texto e imágenes&#10;&#10;Descripción generada automáticamente con confianza media"/>
                    <pic:cNvPicPr/>
                  </pic:nvPicPr>
                  <pic:blipFill>
                    <a:blip r:embed="rId108"/>
                    <a:stretch>
                      <a:fillRect/>
                    </a:stretch>
                  </pic:blipFill>
                  <pic:spPr>
                    <a:xfrm>
                      <a:off x="0" y="0"/>
                      <a:ext cx="5612130" cy="2662555"/>
                    </a:xfrm>
                    <a:prstGeom prst="rect">
                      <a:avLst/>
                    </a:prstGeom>
                    <a:ln w="12700">
                      <a:solidFill>
                        <a:schemeClr val="tx1"/>
                      </a:solidFill>
                    </a:ln>
                  </pic:spPr>
                </pic:pic>
              </a:graphicData>
            </a:graphic>
          </wp:inline>
        </w:drawing>
      </w:r>
    </w:p>
    <w:p w14:paraId="36F2783A" w14:textId="6A8AD005" w:rsidR="00696737" w:rsidRDefault="00696737" w:rsidP="00B54439">
      <w:pPr>
        <w:jc w:val="center"/>
        <w:rPr>
          <w:rFonts w:ascii="Arial Narrow" w:hAnsi="Arial Narrow"/>
          <w:sz w:val="18"/>
          <w:szCs w:val="18"/>
        </w:rPr>
      </w:pPr>
      <w:r w:rsidRPr="00996542">
        <w:rPr>
          <w:rFonts w:ascii="Arial Narrow" w:hAnsi="Arial Narrow"/>
          <w:sz w:val="18"/>
          <w:szCs w:val="18"/>
        </w:rPr>
        <w:t>Fuente: Sistema PEI al 19 de enero del 2022 para el año 2021.</w:t>
      </w:r>
    </w:p>
    <w:p w14:paraId="6A5B4E38" w14:textId="77777777" w:rsidR="00B56A16" w:rsidRPr="00996542" w:rsidRDefault="00B56A16" w:rsidP="00696737">
      <w:pPr>
        <w:jc w:val="both"/>
        <w:rPr>
          <w:rFonts w:ascii="Arial Narrow" w:hAnsi="Arial Narrow"/>
          <w:sz w:val="18"/>
          <w:szCs w:val="18"/>
        </w:rPr>
      </w:pPr>
    </w:p>
    <w:p w14:paraId="13BC1E97" w14:textId="77777777" w:rsidR="00581C62" w:rsidRDefault="00581C62" w:rsidP="00696737">
      <w:pPr>
        <w:jc w:val="both"/>
        <w:rPr>
          <w:rFonts w:ascii="Arial Narrow" w:hAnsi="Arial Narrow"/>
        </w:rPr>
      </w:pPr>
    </w:p>
    <w:p w14:paraId="0EFB0C49" w14:textId="19EF7DDC" w:rsidR="00696737" w:rsidRDefault="00696737" w:rsidP="00696737">
      <w:pPr>
        <w:jc w:val="both"/>
        <w:rPr>
          <w:rFonts w:ascii="Arial Narrow" w:hAnsi="Arial Narrow"/>
        </w:rPr>
      </w:pPr>
      <w:r w:rsidRPr="00231D6B">
        <w:rPr>
          <w:rFonts w:ascii="Arial Narrow" w:hAnsi="Arial Narrow"/>
        </w:rPr>
        <w:t>Sobre la meta estratégica vinculada a la implementación de una estrategia definida que abarque las mejores prácticas para la gestión de las Tecnologías de la Información en el Poder Judicial, se tienen esfuerzos como los siguientes: durante el primer trimestre del 2021 se implementaron los siguientes procesos: APO03 Gestionar la arquitectura empresarial,  APO11 Gestionar la calidad  y BAI04 Gestionar la disponibilidad y la capacidad, los cuales fueron comunicados por diferentes circulares, entre ellas la Circular 05-CDTI-2021 dirigida a rodo el personal de la Dirección de Tecnología de la Información, Plataforma de Información Policial del OIJ (PIP) y Unidad Tecnológica Informática del OIJ (UTI) sobre la formalización de la puesta en funcionamiento del proceso APO03– Gestionar la arquitectura empresarial.</w:t>
      </w:r>
    </w:p>
    <w:p w14:paraId="5012FD5F" w14:textId="057404A2" w:rsidR="00696737" w:rsidRDefault="00696737" w:rsidP="00696737">
      <w:pPr>
        <w:jc w:val="both"/>
        <w:rPr>
          <w:rFonts w:ascii="Arial Narrow" w:hAnsi="Arial Narrow"/>
        </w:rPr>
      </w:pPr>
      <w:r>
        <w:rPr>
          <w:rFonts w:ascii="Arial Narrow" w:hAnsi="Arial Narrow"/>
        </w:rPr>
        <w:t xml:space="preserve">En relación con el desarrollo de la </w:t>
      </w:r>
      <w:r w:rsidRPr="00231D6B">
        <w:rPr>
          <w:rFonts w:ascii="Arial Narrow" w:hAnsi="Arial Narrow"/>
        </w:rPr>
        <w:t xml:space="preserve">aplicación móvil para el Servicio Nacional de Facilitadoras y Facilitadores Judiciales, que se integre con el Sistema de Gestión para la recopilación de la información </w:t>
      </w:r>
      <w:r>
        <w:rPr>
          <w:rFonts w:ascii="Arial Narrow" w:hAnsi="Arial Narrow"/>
        </w:rPr>
        <w:t xml:space="preserve">se tienen avances sobre </w:t>
      </w:r>
      <w:r w:rsidRPr="00DB305B">
        <w:rPr>
          <w:rFonts w:ascii="Arial Narrow" w:hAnsi="Arial Narrow"/>
        </w:rPr>
        <w:t>la realización de la planificación anual y dos acciones de seguimiento del SNFJ en los Juzgados donde se implementan en los Juzgados contravencionales de Santa Cruz, Liberia, San Carlos, Upala, Sarapiquí, Turrialba, Limón, Nicoya, Puntarenas, Puriscal, Zona Sur, se han realizado varias visitas a los juzgados y reuniones virtuales donde se implementa el SNFJ.</w:t>
      </w:r>
    </w:p>
    <w:p w14:paraId="4EE26C74" w14:textId="20DCD990" w:rsidR="00BE17DF" w:rsidRDefault="00BE17DF" w:rsidP="00696737">
      <w:pPr>
        <w:jc w:val="both"/>
        <w:rPr>
          <w:rFonts w:ascii="Arial Narrow" w:hAnsi="Arial Narrow"/>
        </w:rPr>
      </w:pPr>
    </w:p>
    <w:p w14:paraId="038F0FD7" w14:textId="77777777" w:rsidR="00696737" w:rsidRPr="00231D6B" w:rsidRDefault="00696737" w:rsidP="00696737">
      <w:pPr>
        <w:jc w:val="both"/>
        <w:rPr>
          <w:rFonts w:ascii="Arial Narrow" w:hAnsi="Arial Narrow"/>
        </w:rPr>
      </w:pPr>
      <w:r>
        <w:rPr>
          <w:rFonts w:ascii="Arial Narrow" w:hAnsi="Arial Narrow"/>
        </w:rPr>
        <w:t xml:space="preserve">Con respecto a la </w:t>
      </w:r>
      <w:r w:rsidRPr="00DB305B">
        <w:rPr>
          <w:rFonts w:ascii="Arial Narrow" w:hAnsi="Arial Narrow"/>
        </w:rPr>
        <w:t>estrategia definida que permita contar con sistemas de información innovadores</w:t>
      </w:r>
      <w:r>
        <w:rPr>
          <w:rFonts w:ascii="Arial Narrow" w:hAnsi="Arial Narrow"/>
        </w:rPr>
        <w:t xml:space="preserve"> en el Organismo de Investigación Judicial se tiene una meta establecida para 2021 de </w:t>
      </w:r>
      <w:r w:rsidRPr="00DB305B">
        <w:rPr>
          <w:rFonts w:ascii="Arial Narrow" w:hAnsi="Arial Narrow"/>
        </w:rPr>
        <w:t xml:space="preserve">Que al finalizar </w:t>
      </w:r>
      <w:r>
        <w:rPr>
          <w:rFonts w:ascii="Arial Narrow" w:hAnsi="Arial Narrow"/>
        </w:rPr>
        <w:t>ese año,</w:t>
      </w:r>
      <w:r w:rsidRPr="00DB305B">
        <w:rPr>
          <w:rFonts w:ascii="Arial Narrow" w:hAnsi="Arial Narrow"/>
        </w:rPr>
        <w:t xml:space="preserve"> se haya desarrollado en un 48% la estrategia definida que permita contar con sistemas de información innovadores</w:t>
      </w:r>
      <w:r>
        <w:rPr>
          <w:rFonts w:ascii="Arial Narrow" w:hAnsi="Arial Narrow"/>
        </w:rPr>
        <w:t>, sin embargo, se logró avanzar en</w:t>
      </w:r>
      <w:r w:rsidRPr="00DB305B">
        <w:rPr>
          <w:rFonts w:ascii="Arial Narrow" w:hAnsi="Arial Narrow"/>
        </w:rPr>
        <w:t xml:space="preserve"> un 53% del proyecto, lo cual supera lo planteado</w:t>
      </w:r>
      <w:r>
        <w:rPr>
          <w:rFonts w:ascii="Arial Narrow" w:hAnsi="Arial Narrow"/>
        </w:rPr>
        <w:t xml:space="preserve"> por medio del proyecto “</w:t>
      </w:r>
      <w:r w:rsidRPr="00DB305B">
        <w:rPr>
          <w:rFonts w:ascii="Arial Narrow" w:hAnsi="Arial Narrow"/>
        </w:rPr>
        <w:t>Desarrollo Estudio de Factibilidad y diseño del Proyecto SUPERCOP</w:t>
      </w:r>
      <w:r>
        <w:rPr>
          <w:rFonts w:ascii="Arial Narrow" w:hAnsi="Arial Narrow"/>
        </w:rPr>
        <w:t>”</w:t>
      </w:r>
      <w:r w:rsidRPr="00DB305B">
        <w:rPr>
          <w:rFonts w:ascii="Arial Narrow" w:hAnsi="Arial Narrow"/>
        </w:rPr>
        <w:t xml:space="preserve"> (</w:t>
      </w:r>
      <w:r>
        <w:rPr>
          <w:rFonts w:ascii="Arial Narrow" w:hAnsi="Arial Narrow"/>
        </w:rPr>
        <w:t>código de proyecto</w:t>
      </w:r>
      <w:r w:rsidRPr="00DB305B">
        <w:rPr>
          <w:rFonts w:ascii="Arial Narrow" w:hAnsi="Arial Narrow"/>
        </w:rPr>
        <w:t>1167-OIJ-P24).</w:t>
      </w:r>
    </w:p>
    <w:p w14:paraId="225F54EB" w14:textId="7DF64EDE" w:rsidR="00696737" w:rsidRDefault="00696737" w:rsidP="00696737">
      <w:pPr>
        <w:jc w:val="both"/>
        <w:rPr>
          <w:rFonts w:ascii="Arial Narrow" w:hAnsi="Arial Narrow"/>
        </w:rPr>
      </w:pPr>
    </w:p>
    <w:p w14:paraId="1B7466DB" w14:textId="77777777" w:rsidR="00AF4550" w:rsidRPr="00DB305B" w:rsidRDefault="00AF4550" w:rsidP="00696737">
      <w:pPr>
        <w:jc w:val="both"/>
        <w:rPr>
          <w:rFonts w:ascii="Arial Narrow" w:hAnsi="Arial Narrow"/>
        </w:rPr>
      </w:pPr>
    </w:p>
    <w:p w14:paraId="7002E73A" w14:textId="381B9B5A" w:rsidR="00B56A16" w:rsidRDefault="00B56A16" w:rsidP="00B56A16">
      <w:pPr>
        <w:pStyle w:val="Descripcin"/>
        <w:jc w:val="center"/>
        <w:rPr>
          <w:rFonts w:ascii="Arial Narrow" w:eastAsia="Calibri" w:hAnsi="Arial Narrow"/>
          <w:sz w:val="24"/>
          <w:szCs w:val="24"/>
        </w:rPr>
      </w:pPr>
      <w:r w:rsidRPr="005E067A">
        <w:rPr>
          <w:rFonts w:ascii="Arial Narrow" w:hAnsi="Arial Narrow"/>
          <w:sz w:val="24"/>
          <w:szCs w:val="24"/>
        </w:rPr>
        <w:t xml:space="preserve">Cuadro </w:t>
      </w:r>
      <w:r w:rsidRPr="005E067A">
        <w:rPr>
          <w:rFonts w:ascii="Arial Narrow" w:hAnsi="Arial Narrow"/>
          <w:sz w:val="24"/>
          <w:szCs w:val="24"/>
        </w:rPr>
        <w:fldChar w:fldCharType="begin"/>
      </w:r>
      <w:r w:rsidRPr="005E067A">
        <w:rPr>
          <w:rFonts w:ascii="Arial Narrow" w:hAnsi="Arial Narrow"/>
          <w:sz w:val="24"/>
          <w:szCs w:val="24"/>
        </w:rPr>
        <w:instrText xml:space="preserve"> SEQ Cuadro_No. \* ARABIC </w:instrText>
      </w:r>
      <w:r w:rsidRPr="005E067A">
        <w:rPr>
          <w:rFonts w:ascii="Arial Narrow" w:hAnsi="Arial Narrow"/>
          <w:sz w:val="24"/>
          <w:szCs w:val="24"/>
        </w:rPr>
        <w:fldChar w:fldCharType="separate"/>
      </w:r>
      <w:r w:rsidR="002F520A">
        <w:rPr>
          <w:rFonts w:ascii="Arial Narrow" w:hAnsi="Arial Narrow"/>
          <w:noProof/>
          <w:sz w:val="24"/>
          <w:szCs w:val="24"/>
        </w:rPr>
        <w:t>54</w:t>
      </w:r>
      <w:r w:rsidRPr="005E067A">
        <w:rPr>
          <w:rFonts w:ascii="Arial Narrow" w:hAnsi="Arial Narrow"/>
          <w:sz w:val="24"/>
          <w:szCs w:val="24"/>
        </w:rPr>
        <w:fldChar w:fldCharType="end"/>
      </w:r>
      <w:r w:rsidRPr="005E067A">
        <w:rPr>
          <w:rFonts w:ascii="Arial Narrow" w:hAnsi="Arial Narrow"/>
          <w:sz w:val="24"/>
          <w:szCs w:val="24"/>
        </w:rPr>
        <w:t xml:space="preserve"> </w:t>
      </w:r>
      <w:r w:rsidRPr="005E067A">
        <w:rPr>
          <w:rFonts w:ascii="Arial Narrow" w:eastAsia="Calibri" w:hAnsi="Arial Narrow"/>
          <w:sz w:val="24"/>
          <w:szCs w:val="24"/>
        </w:rPr>
        <w:t xml:space="preserve">Metas estratégicas de </w:t>
      </w:r>
      <w:r>
        <w:rPr>
          <w:rFonts w:ascii="Arial Narrow" w:eastAsia="Calibri" w:hAnsi="Arial Narrow"/>
          <w:sz w:val="24"/>
          <w:szCs w:val="24"/>
        </w:rPr>
        <w:t>Servicios Tecnológicos</w:t>
      </w:r>
      <w:r w:rsidRPr="005E067A">
        <w:rPr>
          <w:rFonts w:ascii="Arial Narrow" w:eastAsia="Calibri" w:hAnsi="Arial Narrow"/>
          <w:sz w:val="24"/>
          <w:szCs w:val="24"/>
        </w:rPr>
        <w:t>, y su cumplimiento para el 20</w:t>
      </w:r>
      <w:r>
        <w:rPr>
          <w:rFonts w:ascii="Arial Narrow" w:eastAsia="Calibri" w:hAnsi="Arial Narrow"/>
          <w:sz w:val="24"/>
          <w:szCs w:val="24"/>
        </w:rPr>
        <w:t>21</w:t>
      </w:r>
    </w:p>
    <w:p w14:paraId="3D01255B" w14:textId="77777777" w:rsidR="00B56A16" w:rsidRDefault="00B56A16" w:rsidP="00696737">
      <w:pPr>
        <w:jc w:val="both"/>
        <w:rPr>
          <w:rFonts w:ascii="Arial Narrow" w:hAnsi="Arial Narrow"/>
          <w:b/>
          <w:bCs/>
        </w:rPr>
      </w:pPr>
    </w:p>
    <w:p w14:paraId="4B49125A" w14:textId="4EFA902E" w:rsidR="00696737" w:rsidRDefault="00696737" w:rsidP="00696737">
      <w:pPr>
        <w:jc w:val="both"/>
      </w:pPr>
      <w:r>
        <w:rPr>
          <w:noProof/>
        </w:rPr>
        <w:drawing>
          <wp:inline distT="0" distB="0" distL="0" distR="0" wp14:anchorId="1EFAE04B" wp14:editId="0AA275C6">
            <wp:extent cx="5619750" cy="3023235"/>
            <wp:effectExtent l="19050" t="19050" r="19050" b="24765"/>
            <wp:docPr id="52" name="Imagen 5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Tabla&#10;&#10;Descripción generada automáticamente"/>
                    <pic:cNvPicPr/>
                  </pic:nvPicPr>
                  <pic:blipFill>
                    <a:blip r:embed="rId109"/>
                    <a:stretch>
                      <a:fillRect/>
                    </a:stretch>
                  </pic:blipFill>
                  <pic:spPr>
                    <a:xfrm>
                      <a:off x="0" y="0"/>
                      <a:ext cx="5635211" cy="3031552"/>
                    </a:xfrm>
                    <a:prstGeom prst="rect">
                      <a:avLst/>
                    </a:prstGeom>
                    <a:ln w="12700">
                      <a:solidFill>
                        <a:schemeClr val="tx1"/>
                      </a:solidFill>
                    </a:ln>
                  </pic:spPr>
                </pic:pic>
              </a:graphicData>
            </a:graphic>
          </wp:inline>
        </w:drawing>
      </w:r>
    </w:p>
    <w:p w14:paraId="4D51F2BE" w14:textId="26DA2877" w:rsidR="00696737" w:rsidRDefault="00696737" w:rsidP="00B54439">
      <w:pPr>
        <w:jc w:val="center"/>
        <w:rPr>
          <w:rFonts w:ascii="Arial Narrow" w:hAnsi="Arial Narrow"/>
          <w:sz w:val="18"/>
          <w:szCs w:val="18"/>
        </w:rPr>
      </w:pPr>
      <w:r w:rsidRPr="00996542">
        <w:rPr>
          <w:rFonts w:ascii="Arial Narrow" w:hAnsi="Arial Narrow"/>
          <w:sz w:val="18"/>
          <w:szCs w:val="18"/>
        </w:rPr>
        <w:t>Fuente: Sistema PEI al 19 de enero del 2022 para el año 2021.</w:t>
      </w:r>
    </w:p>
    <w:p w14:paraId="5BDA3A04" w14:textId="2A034203" w:rsidR="00696737" w:rsidRDefault="00696737" w:rsidP="00696737">
      <w:pPr>
        <w:jc w:val="both"/>
        <w:rPr>
          <w:rFonts w:ascii="Arial Narrow" w:hAnsi="Arial Narrow"/>
        </w:rPr>
      </w:pPr>
      <w:r>
        <w:rPr>
          <w:rFonts w:ascii="Arial Narrow" w:hAnsi="Arial Narrow"/>
        </w:rPr>
        <w:t>Se destaca que la meta estratégica vinculada a l</w:t>
      </w:r>
      <w:r w:rsidRPr="0006309C">
        <w:rPr>
          <w:rFonts w:ascii="Arial Narrow" w:hAnsi="Arial Narrow"/>
        </w:rPr>
        <w:t>a solución tecnológica interinstitucional para la entrega a las personas usuarias, de constancias, certificaciones judiciales y otros servicios</w:t>
      </w:r>
      <w:r>
        <w:rPr>
          <w:rFonts w:ascii="Arial Narrow" w:hAnsi="Arial Narrow"/>
        </w:rPr>
        <w:t xml:space="preserve"> ha presentado resultados como lo son los esfuerzos realizados por la Dirección de Tecnología de la Información y Comunicaciones en el tema de i</w:t>
      </w:r>
      <w:r w:rsidRPr="0006309C">
        <w:rPr>
          <w:rFonts w:ascii="Arial Narrow" w:hAnsi="Arial Narrow"/>
        </w:rPr>
        <w:t>ntegrar el SIGAPJ con el Sistema de Compras Pública (SICOP)</w:t>
      </w:r>
      <w:r>
        <w:rPr>
          <w:rFonts w:ascii="Arial Narrow" w:hAnsi="Arial Narrow"/>
        </w:rPr>
        <w:t xml:space="preserve">, el cual tenía como meta que </w:t>
      </w:r>
      <w:r w:rsidRPr="0006309C">
        <w:rPr>
          <w:rFonts w:ascii="Arial Narrow" w:hAnsi="Arial Narrow"/>
        </w:rPr>
        <w:t>al 31 de diciembre del 2021 se tenga un 15% de avance en la ejecución del proyecto</w:t>
      </w:r>
      <w:r>
        <w:rPr>
          <w:rFonts w:ascii="Arial Narrow" w:hAnsi="Arial Narrow"/>
        </w:rPr>
        <w:t xml:space="preserve">, sin embargo, se logró </w:t>
      </w:r>
      <w:r w:rsidRPr="0006309C">
        <w:rPr>
          <w:rFonts w:ascii="Arial Narrow" w:hAnsi="Arial Narrow"/>
        </w:rPr>
        <w:t>avanzar en un 25% del alcance definido, de acuerdo con el informe de proyecto 0117-DE-P14 Implementación d</w:t>
      </w:r>
      <w:r>
        <w:rPr>
          <w:rFonts w:ascii="Arial Narrow" w:hAnsi="Arial Narrow"/>
        </w:rPr>
        <w:t>e</w:t>
      </w:r>
      <w:r w:rsidRPr="0006309C">
        <w:rPr>
          <w:rFonts w:ascii="Arial Narrow" w:hAnsi="Arial Narrow"/>
        </w:rPr>
        <w:t>l Sistema de Compras Públicas.</w:t>
      </w:r>
    </w:p>
    <w:p w14:paraId="37BB246D" w14:textId="77777777" w:rsidR="00B56A16" w:rsidRDefault="00B56A16" w:rsidP="00696737">
      <w:pPr>
        <w:jc w:val="both"/>
        <w:rPr>
          <w:rFonts w:ascii="Arial Narrow" w:hAnsi="Arial Narrow"/>
        </w:rPr>
      </w:pPr>
    </w:p>
    <w:p w14:paraId="5DF080DF" w14:textId="072091F8" w:rsidR="00696737" w:rsidRDefault="00696737" w:rsidP="00696737">
      <w:pPr>
        <w:jc w:val="both"/>
        <w:rPr>
          <w:rFonts w:ascii="Arial Narrow" w:hAnsi="Arial Narrow"/>
        </w:rPr>
      </w:pPr>
      <w:r>
        <w:rPr>
          <w:rFonts w:ascii="Arial Narrow" w:hAnsi="Arial Narrow"/>
        </w:rPr>
        <w:t xml:space="preserve">Sobre la meta relacionada a la implementación de </w:t>
      </w:r>
      <w:r w:rsidRPr="0006309C">
        <w:rPr>
          <w:rFonts w:ascii="Arial Narrow" w:hAnsi="Arial Narrow"/>
        </w:rPr>
        <w:t>las herramientas ofimáticas de colaboración que soporten las labores diarias del personal judicial tanto en modalidad oficina como teletrabajo</w:t>
      </w:r>
      <w:r>
        <w:rPr>
          <w:rFonts w:ascii="Arial Narrow" w:hAnsi="Arial Narrow"/>
        </w:rPr>
        <w:t xml:space="preserve">, se evidencia el  trabajo </w:t>
      </w:r>
      <w:r w:rsidRPr="0006309C">
        <w:rPr>
          <w:rFonts w:ascii="Arial Narrow" w:hAnsi="Arial Narrow"/>
        </w:rPr>
        <w:t>por parte del Subproceso de Gestión del Servicio e</w:t>
      </w:r>
      <w:r>
        <w:rPr>
          <w:rFonts w:ascii="Arial Narrow" w:hAnsi="Arial Narrow"/>
        </w:rPr>
        <w:t>n relación con e</w:t>
      </w:r>
      <w:r w:rsidRPr="0006309C">
        <w:rPr>
          <w:rFonts w:ascii="Arial Narrow" w:hAnsi="Arial Narrow"/>
        </w:rPr>
        <w:t>l abordaje a las necesidades de actualización por obsolescencia de las licencias de ofimática</w:t>
      </w:r>
      <w:r>
        <w:rPr>
          <w:rFonts w:ascii="Arial Narrow" w:hAnsi="Arial Narrow"/>
        </w:rPr>
        <w:t>, p</w:t>
      </w:r>
      <w:r w:rsidRPr="0006309C">
        <w:rPr>
          <w:rFonts w:ascii="Arial Narrow" w:hAnsi="Arial Narrow"/>
        </w:rPr>
        <w:t>roducto de las diferentes compras realizadas desde el año 2018 hasta</w:t>
      </w:r>
      <w:r>
        <w:rPr>
          <w:rFonts w:ascii="Arial Narrow" w:hAnsi="Arial Narrow"/>
        </w:rPr>
        <w:t xml:space="preserve"> el 2021</w:t>
      </w:r>
      <w:r w:rsidRPr="0006309C">
        <w:rPr>
          <w:rFonts w:ascii="Arial Narrow" w:hAnsi="Arial Narrow"/>
        </w:rPr>
        <w:t>, se han logrado satisfacer una gran parte de las de las necesidades de herramientas ofimáticas a nivel nacional por obsolescencia</w:t>
      </w:r>
      <w:r>
        <w:rPr>
          <w:rFonts w:ascii="Arial Narrow" w:hAnsi="Arial Narrow"/>
        </w:rPr>
        <w:t xml:space="preserve">, </w:t>
      </w:r>
      <w:r w:rsidRPr="00236017">
        <w:rPr>
          <w:rFonts w:ascii="Arial Narrow" w:hAnsi="Arial Narrow"/>
        </w:rPr>
        <w:t>se encuentran instaladas 2252 licencias Microsoft Office en sus diferentes versiones 2016 y 2019, lo que representa un aproximado del 47% de la necesidad inicial, una gran parte de la necesidad se ha visto cubierta con la asignación de 1261 suscripciones Microsoft Office 365 tipo Enterprise Pack (E3), estas suscripciones entre sus recursos cuentan con el paquete ofimático para instalar en el equipo, lo que representa un aproximado del 27% de la necesidad.</w:t>
      </w:r>
    </w:p>
    <w:p w14:paraId="078C8D6C" w14:textId="77777777" w:rsidR="00BE17DF" w:rsidRPr="00CB764A" w:rsidRDefault="00BE17DF" w:rsidP="00696737">
      <w:pPr>
        <w:jc w:val="both"/>
        <w:rPr>
          <w:rFonts w:cs="Arial"/>
          <w:bCs/>
          <w:color w:val="A6A6A6" w:themeColor="background1" w:themeShade="A6"/>
        </w:rPr>
      </w:pPr>
    </w:p>
    <w:p w14:paraId="6E8CC78C" w14:textId="77777777" w:rsidR="00696737" w:rsidRDefault="00696737" w:rsidP="00696737">
      <w:pPr>
        <w:jc w:val="both"/>
        <w:rPr>
          <w:rFonts w:ascii="Arial Narrow" w:hAnsi="Arial Narrow"/>
        </w:rPr>
      </w:pPr>
      <w:r>
        <w:rPr>
          <w:rFonts w:ascii="Arial Narrow" w:hAnsi="Arial Narrow"/>
        </w:rPr>
        <w:t xml:space="preserve">En relación con la </w:t>
      </w:r>
      <w:r w:rsidRPr="00236017">
        <w:rPr>
          <w:rFonts w:ascii="Arial Narrow" w:hAnsi="Arial Narrow"/>
        </w:rPr>
        <w:t xml:space="preserve">nueva versión del sistema de gestión de despachos judiciales, </w:t>
      </w:r>
      <w:r>
        <w:rPr>
          <w:rFonts w:ascii="Arial Narrow" w:hAnsi="Arial Narrow"/>
        </w:rPr>
        <w:t>s</w:t>
      </w:r>
      <w:r w:rsidRPr="00236017">
        <w:rPr>
          <w:rFonts w:ascii="Arial Narrow" w:hAnsi="Arial Narrow"/>
        </w:rPr>
        <w:t xml:space="preserve">e realizó un control de cambios que se documentó en la plataforma correspondiente y se trasladó uno de los pilotos para el año entrante, esto hace que se ajuste el alcance para el año a un piloto (Grecia) y unas actividades previas al II Piloto, todas realizadas en el 2021. </w:t>
      </w:r>
      <w:r>
        <w:rPr>
          <w:rFonts w:ascii="Arial Narrow" w:hAnsi="Arial Narrow"/>
        </w:rPr>
        <w:t xml:space="preserve">Por su parte, en lo concerniente la </w:t>
      </w:r>
      <w:r w:rsidRPr="00236017">
        <w:rPr>
          <w:rFonts w:ascii="Arial Narrow" w:hAnsi="Arial Narrow"/>
        </w:rPr>
        <w:t>implementa</w:t>
      </w:r>
      <w:r>
        <w:rPr>
          <w:rFonts w:ascii="Arial Narrow" w:hAnsi="Arial Narrow"/>
        </w:rPr>
        <w:t>ción de</w:t>
      </w:r>
      <w:r w:rsidRPr="00236017">
        <w:rPr>
          <w:rFonts w:ascii="Arial Narrow" w:hAnsi="Arial Narrow"/>
        </w:rPr>
        <w:t xml:space="preserve"> herramientas de inteligencia artificial y </w:t>
      </w:r>
      <w:r w:rsidRPr="00236017">
        <w:rPr>
          <w:rFonts w:ascii="Arial Narrow" w:hAnsi="Arial Narrow"/>
          <w:i/>
          <w:iCs/>
        </w:rPr>
        <w:t>bots</w:t>
      </w:r>
      <w:r w:rsidRPr="00236017">
        <w:rPr>
          <w:rFonts w:ascii="Arial Narrow" w:hAnsi="Arial Narrow"/>
        </w:rPr>
        <w:t xml:space="preserve"> para apoyar la gestión y tramitación judicial</w:t>
      </w:r>
      <w:r>
        <w:rPr>
          <w:rFonts w:ascii="Arial Narrow" w:hAnsi="Arial Narrow"/>
        </w:rPr>
        <w:t>, se tienen los esfuerzos para r</w:t>
      </w:r>
      <w:r w:rsidRPr="00236017">
        <w:rPr>
          <w:rFonts w:ascii="Arial Narrow" w:hAnsi="Arial Narrow"/>
        </w:rPr>
        <w:t xml:space="preserve">ealizar varios reportes por medio del Power BI, labor ejecutada por la Unidad de Inteligencia de la Información en conjunto con </w:t>
      </w:r>
      <w:r>
        <w:rPr>
          <w:rFonts w:ascii="Arial Narrow" w:hAnsi="Arial Narrow"/>
        </w:rPr>
        <w:t xml:space="preserve">otras </w:t>
      </w:r>
      <w:r w:rsidRPr="00236017">
        <w:rPr>
          <w:rFonts w:ascii="Arial Narrow" w:hAnsi="Arial Narrow"/>
        </w:rPr>
        <w:t>oficinas como la Dirección de Planificación.</w:t>
      </w:r>
    </w:p>
    <w:p w14:paraId="17740598" w14:textId="77777777" w:rsidR="00C03F90" w:rsidRDefault="00C03F90" w:rsidP="00696737">
      <w:pPr>
        <w:jc w:val="both"/>
        <w:rPr>
          <w:rFonts w:ascii="Arial Narrow" w:hAnsi="Arial Narrow"/>
        </w:rPr>
      </w:pPr>
    </w:p>
    <w:p w14:paraId="323CF241" w14:textId="77777777" w:rsidR="00696737" w:rsidRPr="00236017" w:rsidRDefault="00696737" w:rsidP="00696737">
      <w:pPr>
        <w:jc w:val="both"/>
        <w:rPr>
          <w:rFonts w:ascii="Arial Narrow" w:hAnsi="Arial Narrow"/>
        </w:rPr>
      </w:pPr>
    </w:p>
    <w:p w14:paraId="67266AE6" w14:textId="0C10A17D" w:rsidR="00696737" w:rsidRPr="00322D9B" w:rsidRDefault="00696737" w:rsidP="00322D9B">
      <w:pPr>
        <w:pStyle w:val="Ttulo3"/>
        <w:numPr>
          <w:ilvl w:val="2"/>
          <w:numId w:val="124"/>
        </w:numPr>
        <w:rPr>
          <w:rFonts w:eastAsia="Calibri"/>
        </w:rPr>
      </w:pPr>
      <w:bookmarkStart w:id="61" w:name="_Toc106355280"/>
      <w:r w:rsidRPr="00322D9B">
        <w:rPr>
          <w:rFonts w:eastAsia="Calibri"/>
        </w:rPr>
        <w:t>Leyes y Reformas</w:t>
      </w:r>
      <w:bookmarkEnd w:id="61"/>
    </w:p>
    <w:p w14:paraId="1F6B2801" w14:textId="77777777" w:rsidR="00C03F90" w:rsidRDefault="00C03F90" w:rsidP="00C03F90">
      <w:pPr>
        <w:spacing w:line="360" w:lineRule="auto"/>
        <w:jc w:val="both"/>
        <w:rPr>
          <w:rFonts w:ascii="Arial Narrow" w:hAnsi="Arial Narrow"/>
        </w:rPr>
      </w:pPr>
    </w:p>
    <w:p w14:paraId="157CDD44" w14:textId="57AF0DDC" w:rsidR="00BE17DF" w:rsidRDefault="00C03F90" w:rsidP="00132A44">
      <w:pPr>
        <w:spacing w:line="360" w:lineRule="auto"/>
        <w:jc w:val="both"/>
      </w:pPr>
      <w:r w:rsidRPr="00132A44">
        <w:rPr>
          <w:rFonts w:ascii="Arial Narrow" w:hAnsi="Arial Narrow"/>
        </w:rPr>
        <w:t xml:space="preserve">Se tienen </w:t>
      </w:r>
      <w:r>
        <w:rPr>
          <w:rFonts w:ascii="Arial Narrow" w:hAnsi="Arial Narrow"/>
        </w:rPr>
        <w:t>7</w:t>
      </w:r>
      <w:r w:rsidRPr="00132A44">
        <w:rPr>
          <w:rFonts w:ascii="Arial Narrow" w:hAnsi="Arial Narrow"/>
        </w:rPr>
        <w:t xml:space="preserve"> metas estratégicas en esta acción, de las cuales su totalidad muestran una ejecución alta en su cumplimiento. Se detalla a continuación las metas estratégicas y su cumplimiento para el 2021:</w:t>
      </w:r>
    </w:p>
    <w:p w14:paraId="4CB0A9E1" w14:textId="77777777" w:rsidR="00BE17DF" w:rsidRDefault="00BE17DF" w:rsidP="00696737">
      <w:pPr>
        <w:jc w:val="both"/>
      </w:pPr>
    </w:p>
    <w:p w14:paraId="7B122016" w14:textId="77777777" w:rsidR="00581C62" w:rsidRDefault="00581C62">
      <w:pPr>
        <w:rPr>
          <w:rFonts w:ascii="Arial Narrow" w:hAnsi="Arial Narrow"/>
          <w:b/>
          <w:bCs/>
        </w:rPr>
      </w:pPr>
      <w:r>
        <w:rPr>
          <w:rFonts w:ascii="Arial Narrow" w:hAnsi="Arial Narrow"/>
        </w:rPr>
        <w:br w:type="page"/>
      </w:r>
    </w:p>
    <w:p w14:paraId="41786FE1" w14:textId="32EE4D24" w:rsidR="00B56A16" w:rsidRDefault="00B56A16" w:rsidP="00132A44">
      <w:pPr>
        <w:pStyle w:val="Descripcin"/>
        <w:jc w:val="center"/>
        <w:rPr>
          <w:rFonts w:ascii="Arial Narrow" w:eastAsia="Calibri" w:hAnsi="Arial Narrow"/>
          <w:sz w:val="24"/>
          <w:szCs w:val="24"/>
        </w:rPr>
      </w:pPr>
      <w:r w:rsidRPr="005E067A">
        <w:rPr>
          <w:rFonts w:ascii="Arial Narrow" w:hAnsi="Arial Narrow"/>
          <w:sz w:val="24"/>
          <w:szCs w:val="24"/>
        </w:rPr>
        <w:t xml:space="preserve">Cuadro </w:t>
      </w:r>
      <w:r w:rsidRPr="005E067A">
        <w:rPr>
          <w:rFonts w:ascii="Arial Narrow" w:hAnsi="Arial Narrow"/>
          <w:b w:val="0"/>
          <w:bCs w:val="0"/>
        </w:rPr>
        <w:fldChar w:fldCharType="begin"/>
      </w:r>
      <w:r w:rsidRPr="005E067A">
        <w:rPr>
          <w:rFonts w:ascii="Arial Narrow" w:hAnsi="Arial Narrow"/>
          <w:sz w:val="24"/>
          <w:szCs w:val="24"/>
        </w:rPr>
        <w:instrText xml:space="preserve"> SEQ Cuadro_No. \* ARABIC </w:instrText>
      </w:r>
      <w:r w:rsidRPr="005E067A">
        <w:rPr>
          <w:rFonts w:ascii="Arial Narrow" w:hAnsi="Arial Narrow"/>
          <w:b w:val="0"/>
          <w:bCs w:val="0"/>
        </w:rPr>
        <w:fldChar w:fldCharType="separate"/>
      </w:r>
      <w:r w:rsidR="002F520A">
        <w:rPr>
          <w:rFonts w:ascii="Arial Narrow" w:hAnsi="Arial Narrow"/>
          <w:noProof/>
          <w:sz w:val="24"/>
          <w:szCs w:val="24"/>
        </w:rPr>
        <w:t>55</w:t>
      </w:r>
      <w:r w:rsidRPr="005E067A">
        <w:rPr>
          <w:rFonts w:ascii="Arial Narrow" w:hAnsi="Arial Narrow"/>
          <w:b w:val="0"/>
          <w:bCs w:val="0"/>
        </w:rPr>
        <w:fldChar w:fldCharType="end"/>
      </w:r>
      <w:r w:rsidRPr="005E067A">
        <w:rPr>
          <w:rFonts w:ascii="Arial Narrow" w:hAnsi="Arial Narrow"/>
          <w:sz w:val="24"/>
          <w:szCs w:val="24"/>
        </w:rPr>
        <w:t xml:space="preserve"> </w:t>
      </w:r>
      <w:r w:rsidRPr="005E067A">
        <w:rPr>
          <w:rFonts w:ascii="Arial Narrow" w:eastAsia="Calibri" w:hAnsi="Arial Narrow"/>
          <w:sz w:val="24"/>
          <w:szCs w:val="24"/>
        </w:rPr>
        <w:t xml:space="preserve">Metas estratégicas de </w:t>
      </w:r>
      <w:r>
        <w:rPr>
          <w:rFonts w:ascii="Arial Narrow" w:eastAsia="Calibri" w:hAnsi="Arial Narrow"/>
          <w:sz w:val="24"/>
          <w:szCs w:val="24"/>
        </w:rPr>
        <w:t>Leyes y Reformas</w:t>
      </w:r>
      <w:r w:rsidRPr="005E067A">
        <w:rPr>
          <w:rFonts w:ascii="Arial Narrow" w:eastAsia="Calibri" w:hAnsi="Arial Narrow"/>
          <w:sz w:val="24"/>
          <w:szCs w:val="24"/>
        </w:rPr>
        <w:t>, y su cumplimiento para el 20</w:t>
      </w:r>
      <w:r>
        <w:rPr>
          <w:rFonts w:ascii="Arial Narrow" w:eastAsia="Calibri" w:hAnsi="Arial Narrow"/>
          <w:sz w:val="24"/>
          <w:szCs w:val="24"/>
        </w:rPr>
        <w:t>21</w:t>
      </w:r>
    </w:p>
    <w:p w14:paraId="564C37D1" w14:textId="77777777" w:rsidR="00AF4550" w:rsidRPr="00AF4550" w:rsidRDefault="00AF4550" w:rsidP="00322D9B">
      <w:pPr>
        <w:rPr>
          <w:rFonts w:eastAsia="Calibri"/>
        </w:rPr>
      </w:pPr>
    </w:p>
    <w:p w14:paraId="523C7068" w14:textId="77777777" w:rsidR="00696737" w:rsidRDefault="00696737" w:rsidP="00696737">
      <w:pPr>
        <w:jc w:val="both"/>
      </w:pPr>
      <w:r>
        <w:rPr>
          <w:noProof/>
        </w:rPr>
        <w:drawing>
          <wp:inline distT="0" distB="0" distL="0" distR="0" wp14:anchorId="2E3ADBBF" wp14:editId="574D7E87">
            <wp:extent cx="5612130" cy="2686050"/>
            <wp:effectExtent l="19050" t="19050" r="26670" b="19050"/>
            <wp:docPr id="53" name="Imagen 5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descr="Tabla&#10;&#10;Descripción generada automáticamente"/>
                    <pic:cNvPicPr/>
                  </pic:nvPicPr>
                  <pic:blipFill>
                    <a:blip r:embed="rId110"/>
                    <a:stretch>
                      <a:fillRect/>
                    </a:stretch>
                  </pic:blipFill>
                  <pic:spPr>
                    <a:xfrm>
                      <a:off x="0" y="0"/>
                      <a:ext cx="5612130" cy="2686050"/>
                    </a:xfrm>
                    <a:prstGeom prst="rect">
                      <a:avLst/>
                    </a:prstGeom>
                    <a:ln w="12700">
                      <a:solidFill>
                        <a:schemeClr val="tx1"/>
                      </a:solidFill>
                    </a:ln>
                  </pic:spPr>
                </pic:pic>
              </a:graphicData>
            </a:graphic>
          </wp:inline>
        </w:drawing>
      </w:r>
    </w:p>
    <w:p w14:paraId="73B1326D" w14:textId="52FBF7E1" w:rsidR="00696737" w:rsidRPr="00132A44" w:rsidRDefault="00696737" w:rsidP="00B54439">
      <w:pPr>
        <w:jc w:val="center"/>
        <w:rPr>
          <w:rFonts w:ascii="Arial Narrow" w:hAnsi="Arial Narrow"/>
          <w:sz w:val="18"/>
          <w:szCs w:val="18"/>
        </w:rPr>
      </w:pPr>
      <w:r w:rsidRPr="00996542">
        <w:rPr>
          <w:rFonts w:ascii="Arial Narrow" w:hAnsi="Arial Narrow"/>
          <w:sz w:val="18"/>
          <w:szCs w:val="18"/>
        </w:rPr>
        <w:t xml:space="preserve">Fuente: Sistema PEI al 19 de enero del </w:t>
      </w:r>
      <w:r w:rsidRPr="00132A44">
        <w:rPr>
          <w:rFonts w:ascii="Arial Narrow" w:hAnsi="Arial Narrow"/>
          <w:sz w:val="18"/>
          <w:szCs w:val="18"/>
        </w:rPr>
        <w:t>2022 para el año 2021.</w:t>
      </w:r>
    </w:p>
    <w:p w14:paraId="27614FBA" w14:textId="5B3C5601" w:rsidR="00AB67FB" w:rsidRDefault="00AB67FB" w:rsidP="00696737">
      <w:pPr>
        <w:jc w:val="both"/>
        <w:rPr>
          <w:rFonts w:ascii="Arial Narrow" w:hAnsi="Arial Narrow"/>
        </w:rPr>
      </w:pPr>
    </w:p>
    <w:p w14:paraId="34BC507C" w14:textId="77777777" w:rsidR="00AB67FB" w:rsidRPr="00DB3C89" w:rsidRDefault="00AB67FB" w:rsidP="00696737">
      <w:pPr>
        <w:jc w:val="both"/>
        <w:rPr>
          <w:rFonts w:ascii="Arial Narrow" w:hAnsi="Arial Narrow"/>
        </w:rPr>
      </w:pPr>
    </w:p>
    <w:p w14:paraId="6FE867F8" w14:textId="480B8417" w:rsidR="00696737" w:rsidRDefault="00696737" w:rsidP="00696737">
      <w:pPr>
        <w:jc w:val="both"/>
        <w:rPr>
          <w:rFonts w:ascii="Arial Narrow" w:hAnsi="Arial Narrow"/>
        </w:rPr>
      </w:pPr>
      <w:r>
        <w:rPr>
          <w:rFonts w:ascii="Arial Narrow" w:hAnsi="Arial Narrow"/>
        </w:rPr>
        <w:t xml:space="preserve">Sobre la meta relacionada a la reforma legal sobre el sistema penal y corrupción, se tiene el seguimiento </w:t>
      </w:r>
      <w:r w:rsidRPr="00DB3C89">
        <w:rPr>
          <w:rFonts w:ascii="Arial Narrow" w:hAnsi="Arial Narrow"/>
        </w:rPr>
        <w:t>a las recomendaciones emitidas por el órgano aprobador sobre la propuesta de la reforma legal sobre el sistema penal y corrupción</w:t>
      </w:r>
      <w:r>
        <w:rPr>
          <w:rFonts w:ascii="Arial Narrow" w:hAnsi="Arial Narrow"/>
        </w:rPr>
        <w:t xml:space="preserve"> por parte del Despacho de la Presidencia, e</w:t>
      </w:r>
      <w:r w:rsidRPr="00DB3C89">
        <w:rPr>
          <w:rFonts w:ascii="Arial Narrow" w:hAnsi="Arial Narrow"/>
        </w:rPr>
        <w:t>l pasado 16 de junio de 2021 se actualizó el estado de la Reforma al Código Penal a la Ley contra la corrupción mediante oficio DP-308-2021</w:t>
      </w:r>
      <w:r>
        <w:rPr>
          <w:rFonts w:ascii="Arial Narrow" w:hAnsi="Arial Narrow"/>
        </w:rPr>
        <w:t>.</w:t>
      </w:r>
    </w:p>
    <w:p w14:paraId="7CD7492F" w14:textId="77777777" w:rsidR="00AB67FB" w:rsidRDefault="00AB67FB" w:rsidP="00696737">
      <w:pPr>
        <w:jc w:val="both"/>
        <w:rPr>
          <w:rFonts w:ascii="Arial Narrow" w:hAnsi="Arial Narrow"/>
        </w:rPr>
      </w:pPr>
    </w:p>
    <w:p w14:paraId="41E99658" w14:textId="6A1F8051" w:rsidR="00696737" w:rsidRDefault="00696737" w:rsidP="00696737">
      <w:pPr>
        <w:jc w:val="both"/>
        <w:rPr>
          <w:rFonts w:ascii="Arial Narrow" w:hAnsi="Arial Narrow"/>
        </w:rPr>
      </w:pPr>
      <w:r>
        <w:rPr>
          <w:rFonts w:ascii="Arial Narrow" w:hAnsi="Arial Narrow"/>
        </w:rPr>
        <w:t xml:space="preserve">Con respecto a los esfuerzos realizados por la Fiscalia General relacionado a los </w:t>
      </w:r>
      <w:r w:rsidRPr="00DB3C89">
        <w:rPr>
          <w:rFonts w:ascii="Arial Narrow" w:hAnsi="Arial Narrow"/>
        </w:rPr>
        <w:t>proyectos de ley o propuestas de reforma legales que le hayan sido puestos en consulta y que inciden en su funcionamiento, estructura, organización o en la política de persecución penal del Ministerio Público</w:t>
      </w:r>
      <w:r>
        <w:rPr>
          <w:rFonts w:ascii="Arial Narrow" w:hAnsi="Arial Narrow"/>
        </w:rPr>
        <w:t>, se tiene que este órgano</w:t>
      </w:r>
      <w:r w:rsidRPr="00B47AFE">
        <w:rPr>
          <w:rFonts w:ascii="Arial Narrow" w:hAnsi="Arial Narrow"/>
        </w:rPr>
        <w:t xml:space="preserve"> logra mantener vigente y actualizada su estructura, organización y funcionamiento al responder oportunamente a iniciativas de ley que le afectan en esos aspectos, por lo tanto se revisaron 32 proyectos de ley</w:t>
      </w:r>
      <w:r>
        <w:rPr>
          <w:rFonts w:ascii="Arial Narrow" w:hAnsi="Arial Narrow"/>
        </w:rPr>
        <w:t xml:space="preserve">, entre los que se pueden mencionar: </w:t>
      </w:r>
      <w:r w:rsidRPr="00B47AFE">
        <w:rPr>
          <w:rFonts w:ascii="Arial Narrow" w:hAnsi="Arial Narrow"/>
        </w:rPr>
        <w:t xml:space="preserve">Proyecto de Ley 22.575: </w:t>
      </w:r>
      <w:r>
        <w:rPr>
          <w:rFonts w:ascii="Arial Narrow" w:hAnsi="Arial Narrow"/>
        </w:rPr>
        <w:t>R</w:t>
      </w:r>
      <w:r w:rsidRPr="00B47AFE">
        <w:rPr>
          <w:rFonts w:ascii="Arial Narrow" w:hAnsi="Arial Narrow"/>
        </w:rPr>
        <w:t xml:space="preserve">eforma del inciso h) del artículo 244 y el artículo 250 del </w:t>
      </w:r>
      <w:r>
        <w:rPr>
          <w:rFonts w:ascii="Arial Narrow" w:hAnsi="Arial Narrow"/>
        </w:rPr>
        <w:t>C</w:t>
      </w:r>
      <w:r w:rsidRPr="00B47AFE">
        <w:rPr>
          <w:rFonts w:ascii="Arial Narrow" w:hAnsi="Arial Narrow"/>
        </w:rPr>
        <w:t xml:space="preserve">ódigo </w:t>
      </w:r>
      <w:r>
        <w:rPr>
          <w:rFonts w:ascii="Arial Narrow" w:hAnsi="Arial Narrow"/>
        </w:rPr>
        <w:t>P</w:t>
      </w:r>
      <w:r w:rsidRPr="00B47AFE">
        <w:rPr>
          <w:rFonts w:ascii="Arial Narrow" w:hAnsi="Arial Narrow"/>
        </w:rPr>
        <w:t xml:space="preserve">rocesal </w:t>
      </w:r>
      <w:r>
        <w:rPr>
          <w:rFonts w:ascii="Arial Narrow" w:hAnsi="Arial Narrow"/>
        </w:rPr>
        <w:t>P</w:t>
      </w:r>
      <w:r w:rsidRPr="00B47AFE">
        <w:rPr>
          <w:rFonts w:ascii="Arial Narrow" w:hAnsi="Arial Narrow"/>
        </w:rPr>
        <w:t xml:space="preserve">enal </w:t>
      </w:r>
      <w:r>
        <w:rPr>
          <w:rFonts w:ascii="Arial Narrow" w:hAnsi="Arial Narrow"/>
        </w:rPr>
        <w:t>L</w:t>
      </w:r>
      <w:r w:rsidRPr="00B47AFE">
        <w:rPr>
          <w:rFonts w:ascii="Arial Narrow" w:hAnsi="Arial Narrow"/>
        </w:rPr>
        <w:t xml:space="preserve">ey n°7594 del 10 de abril de 1996. </w:t>
      </w:r>
      <w:r>
        <w:rPr>
          <w:rFonts w:ascii="Arial Narrow" w:hAnsi="Arial Narrow"/>
        </w:rPr>
        <w:t>L</w:t>
      </w:r>
      <w:r w:rsidRPr="00B47AFE">
        <w:rPr>
          <w:rFonts w:ascii="Arial Narrow" w:hAnsi="Arial Narrow"/>
        </w:rPr>
        <w:t xml:space="preserve">ey para limitar la caución real como medida cautelar en delitos de corrupción”, </w:t>
      </w:r>
      <w:r>
        <w:rPr>
          <w:rFonts w:ascii="Arial Narrow" w:hAnsi="Arial Narrow"/>
        </w:rPr>
        <w:t>P</w:t>
      </w:r>
      <w:r w:rsidRPr="00B47AFE">
        <w:rPr>
          <w:rFonts w:ascii="Arial Narrow" w:hAnsi="Arial Narrow"/>
        </w:rPr>
        <w:t xml:space="preserve">royecto de </w:t>
      </w:r>
      <w:r>
        <w:rPr>
          <w:rFonts w:ascii="Arial Narrow" w:hAnsi="Arial Narrow"/>
        </w:rPr>
        <w:t>L</w:t>
      </w:r>
      <w:r w:rsidRPr="00B47AFE">
        <w:rPr>
          <w:rFonts w:ascii="Arial Narrow" w:hAnsi="Arial Narrow"/>
        </w:rPr>
        <w:t>ey 22.651: “</w:t>
      </w:r>
      <w:r>
        <w:rPr>
          <w:rFonts w:ascii="Arial Narrow" w:hAnsi="Arial Narrow"/>
        </w:rPr>
        <w:t>R</w:t>
      </w:r>
      <w:r w:rsidRPr="00B47AFE">
        <w:rPr>
          <w:rFonts w:ascii="Arial Narrow" w:hAnsi="Arial Narrow"/>
        </w:rPr>
        <w:t xml:space="preserve">eforma al artículo 191 del </w:t>
      </w:r>
      <w:r>
        <w:rPr>
          <w:rFonts w:ascii="Arial Narrow" w:hAnsi="Arial Narrow"/>
        </w:rPr>
        <w:t>C</w:t>
      </w:r>
      <w:r w:rsidRPr="00B47AFE">
        <w:rPr>
          <w:rFonts w:ascii="Arial Narrow" w:hAnsi="Arial Narrow"/>
        </w:rPr>
        <w:t xml:space="preserve">ódigo </w:t>
      </w:r>
      <w:r>
        <w:rPr>
          <w:rFonts w:ascii="Arial Narrow" w:hAnsi="Arial Narrow"/>
        </w:rPr>
        <w:t>P</w:t>
      </w:r>
      <w:r w:rsidRPr="00B47AFE">
        <w:rPr>
          <w:rFonts w:ascii="Arial Narrow" w:hAnsi="Arial Narrow"/>
        </w:rPr>
        <w:t xml:space="preserve">rocesal </w:t>
      </w:r>
      <w:r>
        <w:rPr>
          <w:rFonts w:ascii="Arial Narrow" w:hAnsi="Arial Narrow"/>
        </w:rPr>
        <w:t>P</w:t>
      </w:r>
      <w:r w:rsidRPr="00B47AFE">
        <w:rPr>
          <w:rFonts w:ascii="Arial Narrow" w:hAnsi="Arial Narrow"/>
        </w:rPr>
        <w:t xml:space="preserve">enal, </w:t>
      </w:r>
      <w:r>
        <w:rPr>
          <w:rFonts w:ascii="Arial Narrow" w:hAnsi="Arial Narrow"/>
        </w:rPr>
        <w:t>Le</w:t>
      </w:r>
      <w:r w:rsidRPr="00B47AFE">
        <w:rPr>
          <w:rFonts w:ascii="Arial Narrow" w:hAnsi="Arial Narrow"/>
        </w:rPr>
        <w:t xml:space="preserve">y 7594 del 10 de abril de 1996 y sus reformas, para fomentar eficiencia en el levantamiento de cadáveres”, </w:t>
      </w:r>
      <w:r>
        <w:rPr>
          <w:rFonts w:ascii="Arial Narrow" w:hAnsi="Arial Narrow"/>
        </w:rPr>
        <w:t>L</w:t>
      </w:r>
      <w:r w:rsidRPr="00B47AFE">
        <w:rPr>
          <w:rFonts w:ascii="Arial Narrow" w:hAnsi="Arial Narrow"/>
        </w:rPr>
        <w:t xml:space="preserve">ey </w:t>
      </w:r>
      <w:r>
        <w:rPr>
          <w:rFonts w:ascii="Arial Narrow" w:hAnsi="Arial Narrow"/>
        </w:rPr>
        <w:t>R</w:t>
      </w:r>
      <w:r w:rsidRPr="00B47AFE">
        <w:rPr>
          <w:rFonts w:ascii="Arial Narrow" w:hAnsi="Arial Narrow"/>
        </w:rPr>
        <w:t xml:space="preserve">eforma del artículo 69 de la </w:t>
      </w:r>
      <w:r>
        <w:rPr>
          <w:rFonts w:ascii="Arial Narrow" w:hAnsi="Arial Narrow"/>
        </w:rPr>
        <w:t>L</w:t>
      </w:r>
      <w:r w:rsidRPr="00B47AFE">
        <w:rPr>
          <w:rFonts w:ascii="Arial Narrow" w:hAnsi="Arial Narrow"/>
        </w:rPr>
        <w:t xml:space="preserve">ey 7786, </w:t>
      </w:r>
      <w:r>
        <w:rPr>
          <w:rFonts w:ascii="Arial Narrow" w:hAnsi="Arial Narrow"/>
        </w:rPr>
        <w:t>“L</w:t>
      </w:r>
      <w:r w:rsidRPr="00B47AFE">
        <w:rPr>
          <w:rFonts w:ascii="Arial Narrow" w:hAnsi="Arial Narrow"/>
        </w:rPr>
        <w:t>ey sobre estupefacientes, sustancias psicotrópicas, drogas de uso no autorizado, actividades conexas, legitimación de capitales y financiamiento al terrorismo</w:t>
      </w:r>
      <w:r>
        <w:rPr>
          <w:rFonts w:ascii="Arial Narrow" w:hAnsi="Arial Narrow"/>
        </w:rPr>
        <w:t>”.</w:t>
      </w:r>
    </w:p>
    <w:p w14:paraId="558A8129" w14:textId="3D89E4A7" w:rsidR="00AB67FB" w:rsidRDefault="00AB67FB" w:rsidP="00696737">
      <w:pPr>
        <w:jc w:val="both"/>
        <w:rPr>
          <w:rFonts w:ascii="Arial Narrow" w:hAnsi="Arial Narrow"/>
        </w:rPr>
      </w:pPr>
    </w:p>
    <w:p w14:paraId="6E159D94" w14:textId="77777777" w:rsidR="00AB67FB" w:rsidRDefault="00AB67FB" w:rsidP="00696737">
      <w:pPr>
        <w:jc w:val="both"/>
        <w:rPr>
          <w:rFonts w:ascii="Arial Narrow" w:hAnsi="Arial Narrow"/>
        </w:rPr>
      </w:pPr>
    </w:p>
    <w:p w14:paraId="3939948C" w14:textId="77777777" w:rsidR="00696737" w:rsidRDefault="00696737" w:rsidP="00696737">
      <w:pPr>
        <w:jc w:val="both"/>
        <w:rPr>
          <w:rFonts w:ascii="Arial Narrow" w:hAnsi="Arial Narrow"/>
        </w:rPr>
      </w:pPr>
      <w:r>
        <w:rPr>
          <w:rFonts w:ascii="Arial Narrow" w:hAnsi="Arial Narrow"/>
        </w:rPr>
        <w:t xml:space="preserve">Sobre los esfuerzos realizados por la </w:t>
      </w:r>
      <w:r w:rsidRPr="00B47AFE">
        <w:rPr>
          <w:rFonts w:ascii="Arial Narrow" w:hAnsi="Arial Narrow"/>
        </w:rPr>
        <w:t xml:space="preserve">Defensa Pública </w:t>
      </w:r>
      <w:r>
        <w:rPr>
          <w:rFonts w:ascii="Arial Narrow" w:hAnsi="Arial Narrow"/>
        </w:rPr>
        <w:t>y su pronunciamiento</w:t>
      </w:r>
      <w:r w:rsidRPr="00B47AFE">
        <w:rPr>
          <w:rFonts w:ascii="Arial Narrow" w:hAnsi="Arial Narrow"/>
        </w:rPr>
        <w:t xml:space="preserve"> sobre la totalidad de los proyectos de ley o propuestas de reforma legales que le hayan sido puestos en consulta y que inciden en su funcionamiento, estructura y organización</w:t>
      </w:r>
      <w:r>
        <w:rPr>
          <w:rFonts w:ascii="Arial Narrow" w:hAnsi="Arial Narrow"/>
        </w:rPr>
        <w:t>, un total de 58 c</w:t>
      </w:r>
      <w:r w:rsidRPr="00B47AFE">
        <w:rPr>
          <w:rFonts w:ascii="Arial Narrow" w:hAnsi="Arial Narrow"/>
        </w:rPr>
        <w:t xml:space="preserve">onsultas </w:t>
      </w:r>
      <w:r>
        <w:rPr>
          <w:rFonts w:ascii="Arial Narrow" w:hAnsi="Arial Narrow"/>
        </w:rPr>
        <w:t xml:space="preserve">de la </w:t>
      </w:r>
      <w:r w:rsidRPr="00B47AFE">
        <w:rPr>
          <w:rFonts w:ascii="Arial Narrow" w:hAnsi="Arial Narrow"/>
        </w:rPr>
        <w:t>Comisión de la Jurisdicción Penal</w:t>
      </w:r>
      <w:r>
        <w:rPr>
          <w:rFonts w:ascii="Arial Narrow" w:hAnsi="Arial Narrow"/>
        </w:rPr>
        <w:t xml:space="preserve"> fueron evacuadas, sobre consultas legislativas, se evacuaron consultas sobre 3 proyectos de ley </w:t>
      </w:r>
      <w:r w:rsidRPr="00B47AFE">
        <w:rPr>
          <w:rFonts w:ascii="Arial Narrow" w:hAnsi="Arial Narrow"/>
        </w:rPr>
        <w:t>21.507, 21.632 y 22.158; y una contestación sobre Recursos de amparo y Hábeas Corpus interpuestos contra la Jefatura de la Defensa Pública</w:t>
      </w:r>
      <w:r>
        <w:rPr>
          <w:rFonts w:ascii="Arial Narrow" w:hAnsi="Arial Narrow"/>
        </w:rPr>
        <w:t>.</w:t>
      </w:r>
    </w:p>
    <w:p w14:paraId="71048BE2" w14:textId="450631DB" w:rsidR="00696737" w:rsidRDefault="00696737" w:rsidP="00696737">
      <w:pPr>
        <w:jc w:val="center"/>
        <w:rPr>
          <w:rFonts w:ascii="Arial Narrow" w:hAnsi="Arial Narrow"/>
          <w:b/>
          <w:bCs/>
        </w:rPr>
      </w:pPr>
    </w:p>
    <w:p w14:paraId="19B36BBD" w14:textId="1338E896" w:rsidR="00AF4550" w:rsidRDefault="00AF4550" w:rsidP="00696737">
      <w:pPr>
        <w:jc w:val="center"/>
        <w:rPr>
          <w:rFonts w:ascii="Arial Narrow" w:hAnsi="Arial Narrow"/>
          <w:b/>
          <w:bCs/>
        </w:rPr>
      </w:pPr>
    </w:p>
    <w:p w14:paraId="4E34C053" w14:textId="55552BAF" w:rsidR="00B56A16" w:rsidRDefault="00B56A16" w:rsidP="00B56A16">
      <w:pPr>
        <w:pStyle w:val="Descripcin"/>
        <w:jc w:val="center"/>
        <w:rPr>
          <w:rFonts w:ascii="Arial Narrow" w:eastAsia="Calibri" w:hAnsi="Arial Narrow"/>
          <w:sz w:val="24"/>
          <w:szCs w:val="24"/>
        </w:rPr>
      </w:pPr>
      <w:r w:rsidRPr="005E067A">
        <w:rPr>
          <w:rFonts w:ascii="Arial Narrow" w:hAnsi="Arial Narrow"/>
          <w:sz w:val="24"/>
          <w:szCs w:val="24"/>
        </w:rPr>
        <w:t xml:space="preserve">Cuadro </w:t>
      </w:r>
      <w:r w:rsidRPr="005E067A">
        <w:rPr>
          <w:rFonts w:ascii="Arial Narrow" w:hAnsi="Arial Narrow"/>
          <w:sz w:val="24"/>
          <w:szCs w:val="24"/>
        </w:rPr>
        <w:fldChar w:fldCharType="begin"/>
      </w:r>
      <w:r w:rsidRPr="005E067A">
        <w:rPr>
          <w:rFonts w:ascii="Arial Narrow" w:hAnsi="Arial Narrow"/>
          <w:sz w:val="24"/>
          <w:szCs w:val="24"/>
        </w:rPr>
        <w:instrText xml:space="preserve"> SEQ Cuadro_No. \* ARABIC </w:instrText>
      </w:r>
      <w:r w:rsidRPr="005E067A">
        <w:rPr>
          <w:rFonts w:ascii="Arial Narrow" w:hAnsi="Arial Narrow"/>
          <w:sz w:val="24"/>
          <w:szCs w:val="24"/>
        </w:rPr>
        <w:fldChar w:fldCharType="separate"/>
      </w:r>
      <w:r w:rsidR="002F520A">
        <w:rPr>
          <w:rFonts w:ascii="Arial Narrow" w:hAnsi="Arial Narrow"/>
          <w:noProof/>
          <w:sz w:val="24"/>
          <w:szCs w:val="24"/>
        </w:rPr>
        <w:t>56</w:t>
      </w:r>
      <w:r w:rsidRPr="005E067A">
        <w:rPr>
          <w:rFonts w:ascii="Arial Narrow" w:hAnsi="Arial Narrow"/>
          <w:sz w:val="24"/>
          <w:szCs w:val="24"/>
        </w:rPr>
        <w:fldChar w:fldCharType="end"/>
      </w:r>
      <w:r w:rsidRPr="005E067A">
        <w:rPr>
          <w:rFonts w:ascii="Arial Narrow" w:hAnsi="Arial Narrow"/>
          <w:sz w:val="24"/>
          <w:szCs w:val="24"/>
        </w:rPr>
        <w:t xml:space="preserve"> </w:t>
      </w:r>
      <w:r w:rsidRPr="005E067A">
        <w:rPr>
          <w:rFonts w:ascii="Arial Narrow" w:eastAsia="Calibri" w:hAnsi="Arial Narrow"/>
          <w:sz w:val="24"/>
          <w:szCs w:val="24"/>
        </w:rPr>
        <w:t xml:space="preserve">Metas estratégicas de </w:t>
      </w:r>
      <w:r>
        <w:rPr>
          <w:rFonts w:ascii="Arial Narrow" w:eastAsia="Calibri" w:hAnsi="Arial Narrow"/>
          <w:sz w:val="24"/>
          <w:szCs w:val="24"/>
        </w:rPr>
        <w:t>Leyes y Reformas</w:t>
      </w:r>
      <w:r w:rsidRPr="005E067A">
        <w:rPr>
          <w:rFonts w:ascii="Arial Narrow" w:eastAsia="Calibri" w:hAnsi="Arial Narrow"/>
          <w:sz w:val="24"/>
          <w:szCs w:val="24"/>
        </w:rPr>
        <w:t>, y su cumplimiento para el 20</w:t>
      </w:r>
      <w:r>
        <w:rPr>
          <w:rFonts w:ascii="Arial Narrow" w:eastAsia="Calibri" w:hAnsi="Arial Narrow"/>
          <w:sz w:val="24"/>
          <w:szCs w:val="24"/>
        </w:rPr>
        <w:t>21</w:t>
      </w:r>
    </w:p>
    <w:p w14:paraId="2E225C4C" w14:textId="77777777" w:rsidR="00696737" w:rsidRDefault="00696737" w:rsidP="00696737">
      <w:pPr>
        <w:jc w:val="both"/>
      </w:pPr>
    </w:p>
    <w:p w14:paraId="773B8BA0" w14:textId="77777777" w:rsidR="00696737" w:rsidRDefault="00696737" w:rsidP="00696737">
      <w:pPr>
        <w:jc w:val="both"/>
      </w:pPr>
      <w:r>
        <w:rPr>
          <w:noProof/>
        </w:rPr>
        <w:drawing>
          <wp:inline distT="0" distB="0" distL="0" distR="0" wp14:anchorId="4332CB13" wp14:editId="0EA56BC0">
            <wp:extent cx="5612130" cy="3505200"/>
            <wp:effectExtent l="19050" t="19050" r="26670" b="19050"/>
            <wp:docPr id="54" name="Imagen 5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descr="Tabla&#10;&#10;Descripción generada automáticamente"/>
                    <pic:cNvPicPr/>
                  </pic:nvPicPr>
                  <pic:blipFill>
                    <a:blip r:embed="rId111"/>
                    <a:stretch>
                      <a:fillRect/>
                    </a:stretch>
                  </pic:blipFill>
                  <pic:spPr>
                    <a:xfrm>
                      <a:off x="0" y="0"/>
                      <a:ext cx="5612130" cy="3505200"/>
                    </a:xfrm>
                    <a:prstGeom prst="rect">
                      <a:avLst/>
                    </a:prstGeom>
                    <a:ln w="12700">
                      <a:solidFill>
                        <a:schemeClr val="tx1"/>
                      </a:solidFill>
                    </a:ln>
                  </pic:spPr>
                </pic:pic>
              </a:graphicData>
            </a:graphic>
          </wp:inline>
        </w:drawing>
      </w:r>
    </w:p>
    <w:p w14:paraId="426865EC" w14:textId="77777777" w:rsidR="00696737" w:rsidRPr="00996542" w:rsidRDefault="00696737" w:rsidP="00B54439">
      <w:pPr>
        <w:jc w:val="center"/>
        <w:rPr>
          <w:rFonts w:ascii="Arial Narrow" w:hAnsi="Arial Narrow"/>
          <w:sz w:val="18"/>
          <w:szCs w:val="18"/>
        </w:rPr>
      </w:pPr>
      <w:r w:rsidRPr="00996542">
        <w:rPr>
          <w:rFonts w:ascii="Arial Narrow" w:hAnsi="Arial Narrow"/>
          <w:sz w:val="18"/>
          <w:szCs w:val="18"/>
        </w:rPr>
        <w:t>Fuente: Sistema PEI al 19 de enero del 2022 para el año 2021.</w:t>
      </w:r>
    </w:p>
    <w:p w14:paraId="3A1ADEAF" w14:textId="77777777" w:rsidR="00696737" w:rsidRDefault="00696737" w:rsidP="00696737">
      <w:pPr>
        <w:jc w:val="both"/>
        <w:rPr>
          <w:rFonts w:ascii="Arial Narrow" w:hAnsi="Arial Narrow"/>
        </w:rPr>
      </w:pPr>
    </w:p>
    <w:p w14:paraId="5A264C0C" w14:textId="77777777" w:rsidR="00AB67FB" w:rsidRDefault="00AB67FB" w:rsidP="00696737">
      <w:pPr>
        <w:jc w:val="both"/>
        <w:rPr>
          <w:rFonts w:ascii="Arial Narrow" w:hAnsi="Arial Narrow"/>
        </w:rPr>
      </w:pPr>
    </w:p>
    <w:p w14:paraId="33DDB225" w14:textId="6EAF6799" w:rsidR="00696737" w:rsidRDefault="00696737" w:rsidP="00696737">
      <w:pPr>
        <w:jc w:val="both"/>
        <w:rPr>
          <w:rFonts w:ascii="Arial Narrow" w:hAnsi="Arial Narrow"/>
        </w:rPr>
      </w:pPr>
      <w:r>
        <w:rPr>
          <w:rFonts w:ascii="Arial Narrow" w:hAnsi="Arial Narrow"/>
        </w:rPr>
        <w:t xml:space="preserve">Con respecto a la meta sobre la </w:t>
      </w:r>
      <w:r w:rsidRPr="00605836">
        <w:rPr>
          <w:rFonts w:ascii="Arial Narrow" w:hAnsi="Arial Narrow"/>
        </w:rPr>
        <w:t>propuesta del reglamento de la Ley 8720: Ley de protección a víctimas, testigos y demás sujetos intervinientes en el proceso penal, reformas y adición al Código Procesal Penal y al Código Penal</w:t>
      </w:r>
      <w:r>
        <w:rPr>
          <w:rFonts w:ascii="Arial Narrow" w:hAnsi="Arial Narrow"/>
        </w:rPr>
        <w:t xml:space="preserve">, </w:t>
      </w:r>
      <w:bookmarkStart w:id="62" w:name="_Hlk99545311"/>
      <w:r>
        <w:rPr>
          <w:rFonts w:ascii="Arial Narrow" w:hAnsi="Arial Narrow"/>
        </w:rPr>
        <w:t>se registra por parte de la Oficina de Atención a la Victima del Delito que s</w:t>
      </w:r>
      <w:r w:rsidRPr="00605836">
        <w:rPr>
          <w:rFonts w:ascii="Arial Narrow" w:hAnsi="Arial Narrow"/>
        </w:rPr>
        <w:t>e confeccionó un borrador de reglamento, luego de ser valorado por Dirección Jurídica recomienda realizar dos reglamentos, uno ejecutivo y uno autónomo. A</w:t>
      </w:r>
      <w:r>
        <w:rPr>
          <w:rFonts w:ascii="Arial Narrow" w:hAnsi="Arial Narrow"/>
        </w:rPr>
        <w:t xml:space="preserve">l finalizar el 2021, </w:t>
      </w:r>
      <w:r w:rsidRPr="00605836">
        <w:rPr>
          <w:rFonts w:ascii="Arial Narrow" w:hAnsi="Arial Narrow"/>
        </w:rPr>
        <w:t xml:space="preserve">la Dirección Jurídica se </w:t>
      </w:r>
      <w:r>
        <w:rPr>
          <w:rFonts w:ascii="Arial Narrow" w:hAnsi="Arial Narrow"/>
        </w:rPr>
        <w:t>encontraba</w:t>
      </w:r>
      <w:r w:rsidRPr="00605836">
        <w:rPr>
          <w:rFonts w:ascii="Arial Narrow" w:hAnsi="Arial Narrow"/>
        </w:rPr>
        <w:t xml:space="preserve"> trabajando </w:t>
      </w:r>
      <w:r>
        <w:rPr>
          <w:rFonts w:ascii="Arial Narrow" w:hAnsi="Arial Narrow"/>
        </w:rPr>
        <w:t>en l</w:t>
      </w:r>
      <w:r w:rsidRPr="00605836">
        <w:rPr>
          <w:rFonts w:ascii="Arial Narrow" w:hAnsi="Arial Narrow"/>
        </w:rPr>
        <w:t xml:space="preserve">a revisión del reglamento para ser luego </w:t>
      </w:r>
      <w:r>
        <w:rPr>
          <w:rFonts w:ascii="Arial Narrow" w:hAnsi="Arial Narrow"/>
        </w:rPr>
        <w:t xml:space="preserve">elevado a las dependencias de Atención y Protección, se provee la </w:t>
      </w:r>
      <w:r w:rsidRPr="00605836">
        <w:rPr>
          <w:rFonts w:ascii="Arial Narrow" w:hAnsi="Arial Narrow"/>
        </w:rPr>
        <w:t xml:space="preserve">nota DJ-AJ-2895-2021 </w:t>
      </w:r>
      <w:r>
        <w:rPr>
          <w:rFonts w:ascii="Arial Narrow" w:hAnsi="Arial Narrow"/>
        </w:rPr>
        <w:t>como</w:t>
      </w:r>
      <w:r w:rsidRPr="00605836">
        <w:rPr>
          <w:rFonts w:ascii="Arial Narrow" w:hAnsi="Arial Narrow"/>
        </w:rPr>
        <w:t xml:space="preserve"> seguimiento.</w:t>
      </w:r>
      <w:r>
        <w:rPr>
          <w:rFonts w:ascii="Arial Narrow" w:hAnsi="Arial Narrow"/>
        </w:rPr>
        <w:t xml:space="preserve"> Debido a lo anterior, la meta estratégica se posiciona en un 62% de avance estratégico para el 2021.</w:t>
      </w:r>
      <w:bookmarkEnd w:id="62"/>
    </w:p>
    <w:p w14:paraId="4F5799AD" w14:textId="77777777" w:rsidR="00AB67FB" w:rsidRPr="00605836" w:rsidRDefault="00AB67FB" w:rsidP="00696737">
      <w:pPr>
        <w:jc w:val="both"/>
        <w:rPr>
          <w:rFonts w:ascii="Arial Narrow" w:hAnsi="Arial Narrow"/>
        </w:rPr>
      </w:pPr>
    </w:p>
    <w:p w14:paraId="5B0815B9" w14:textId="0A403EC1" w:rsidR="00696737" w:rsidRDefault="00696737" w:rsidP="00696737">
      <w:pPr>
        <w:jc w:val="both"/>
        <w:rPr>
          <w:rFonts w:ascii="Arial Narrow" w:hAnsi="Arial Narrow"/>
        </w:rPr>
      </w:pPr>
      <w:r w:rsidRPr="00605836">
        <w:rPr>
          <w:rFonts w:ascii="Arial Narrow" w:hAnsi="Arial Narrow"/>
        </w:rPr>
        <w:t>Sobre la meta: Que al finalizar el 2024, se haya presentado la reforma a la Ley 8720: Ley de protección a víctimas, testigos y demás sujetos intervinientes en el proceso penal, reformas y adición al Código Procesal Penal y al Código Penal, se tienen los avances realizados por medio de oficio 2525-OAPVD-2021 del 01 de noviembre se remitió a Fiscalía General la propuesta de reforma a la Ley 8720. A fin de contribuir a un segmento de la población que por mucho tiempo estuvo proscrito en el ámbito judicial como lo son las personas víctimas y testigos, en el 2009 entró en vigor la Ley 8720 “Ley de Protección a Víctimas, Testigos y demás Sujetos Intervinientes en el Proceso Penal” instrumento jurídico que vino a proteger y regular los derechos de la persona víctimas y testigos en el derecho penal costarricense. Una reforma podrá fortalecer el servicio</w:t>
      </w:r>
      <w:r>
        <w:rPr>
          <w:rFonts w:ascii="Arial Narrow" w:hAnsi="Arial Narrow"/>
        </w:rPr>
        <w:t>.</w:t>
      </w:r>
    </w:p>
    <w:p w14:paraId="5DB43626" w14:textId="77777777" w:rsidR="00AB67FB" w:rsidRDefault="00AB67FB" w:rsidP="00696737">
      <w:pPr>
        <w:jc w:val="both"/>
        <w:rPr>
          <w:rFonts w:ascii="Arial Narrow" w:hAnsi="Arial Narrow"/>
        </w:rPr>
      </w:pPr>
    </w:p>
    <w:p w14:paraId="603643B4" w14:textId="658E26F2" w:rsidR="00696737" w:rsidRDefault="00696737" w:rsidP="00696737">
      <w:pPr>
        <w:jc w:val="both"/>
        <w:rPr>
          <w:rFonts w:ascii="Arial Narrow" w:hAnsi="Arial Narrow"/>
        </w:rPr>
      </w:pPr>
      <w:r>
        <w:rPr>
          <w:rFonts w:ascii="Arial Narrow" w:hAnsi="Arial Narrow"/>
        </w:rPr>
        <w:t xml:space="preserve">Por su parte, sobre el </w:t>
      </w:r>
      <w:r w:rsidRPr="00605836">
        <w:rPr>
          <w:rFonts w:ascii="Arial Narrow" w:hAnsi="Arial Narrow"/>
        </w:rPr>
        <w:t>seguimiento a las recomendaciones emitidas por el órgano aprobador sobre la propuesta del plan para la concentración de Corte Plena en funciones estrictamente de dirección general de la política judicial</w:t>
      </w:r>
      <w:r>
        <w:rPr>
          <w:rFonts w:ascii="Arial Narrow" w:hAnsi="Arial Narrow"/>
        </w:rPr>
        <w:t xml:space="preserve">, se </w:t>
      </w:r>
      <w:r w:rsidRPr="00605836">
        <w:rPr>
          <w:rFonts w:ascii="Arial Narrow" w:hAnsi="Arial Narrow"/>
        </w:rPr>
        <w:t>dio seguimiento a las acciones realizadas y pendientes de realizar mediante oficio DP-307-2021</w:t>
      </w:r>
      <w:r>
        <w:rPr>
          <w:rFonts w:ascii="Arial Narrow" w:hAnsi="Arial Narrow"/>
        </w:rPr>
        <w:t>.</w:t>
      </w:r>
    </w:p>
    <w:p w14:paraId="1978F546" w14:textId="77777777" w:rsidR="00AB67FB" w:rsidRDefault="00AB67FB" w:rsidP="00696737">
      <w:pPr>
        <w:jc w:val="both"/>
        <w:rPr>
          <w:rFonts w:ascii="Arial Narrow" w:hAnsi="Arial Narrow"/>
        </w:rPr>
      </w:pPr>
    </w:p>
    <w:p w14:paraId="1CD04701" w14:textId="7A71FCF7" w:rsidR="00696737" w:rsidRDefault="69B5A766" w:rsidP="00696737">
      <w:pPr>
        <w:jc w:val="both"/>
        <w:rPr>
          <w:rFonts w:ascii="Arial Narrow" w:hAnsi="Arial Narrow"/>
        </w:rPr>
      </w:pPr>
      <w:r w:rsidRPr="03BF0815">
        <w:rPr>
          <w:rFonts w:ascii="Arial Narrow" w:hAnsi="Arial Narrow"/>
        </w:rPr>
        <w:t xml:space="preserve">Con respecto </w:t>
      </w:r>
      <w:r w:rsidRPr="03BF0815">
        <w:rPr>
          <w:rFonts w:ascii="Arial Narrow" w:hAnsi="Arial Narrow"/>
          <w:lang w:val="es-CR"/>
        </w:rPr>
        <w:t>al gestionamiento de la aprobación a la reforma de la ley orgánica del Organismo de Investigación Judicial, se tiene que una</w:t>
      </w:r>
      <w:r w:rsidRPr="03BF0815">
        <w:rPr>
          <w:rFonts w:ascii="Arial Narrow" w:hAnsi="Arial Narrow"/>
        </w:rPr>
        <w:t xml:space="preserve"> vez examinado el proyecto de reforma de la Ley Orgánica del Organismo de Investigación Judicial por parte de Corte Plena, se estableció la importancia y trascendencia del mismo, por lo que resulta necesario y oportuno, poner en conocimiento del Ministerio Público y de la Defensa Pública, de la Comisión de la Jurisdicción Penal y de la sociedad civil con interés relacionado en la propuesta de ley, en coordinación con la CONAMAJ, el proyecto de reforma. Mediante oficio 832-DG-2021 de fecha 12 de octubre 2021 se hizo traslado a la Comisión de Enlace Corte-OIJ la versión actualizada del Proyecto de Reforma a la Ley Orgánica del Organismo de Investigación Judicial.</w:t>
      </w:r>
    </w:p>
    <w:p w14:paraId="5D0537BF" w14:textId="2C38744D" w:rsidR="00696737" w:rsidRDefault="00696737" w:rsidP="00696737">
      <w:pPr>
        <w:jc w:val="both"/>
        <w:rPr>
          <w:rFonts w:ascii="Arial Narrow" w:hAnsi="Arial Narrow"/>
        </w:rPr>
      </w:pPr>
    </w:p>
    <w:p w14:paraId="0CD2869E" w14:textId="77777777" w:rsidR="00696737" w:rsidRDefault="00696737" w:rsidP="00696737">
      <w:pPr>
        <w:jc w:val="both"/>
      </w:pPr>
    </w:p>
    <w:p w14:paraId="7D40B971" w14:textId="36DCFB0F" w:rsidR="00696737" w:rsidRPr="00322D9B" w:rsidRDefault="004853EA" w:rsidP="00322D9B">
      <w:pPr>
        <w:pStyle w:val="Ttulo3"/>
        <w:numPr>
          <w:ilvl w:val="2"/>
          <w:numId w:val="124"/>
        </w:numPr>
        <w:rPr>
          <w:rFonts w:eastAsia="Calibri"/>
        </w:rPr>
      </w:pPr>
      <w:bookmarkStart w:id="63" w:name="_Toc106355281"/>
      <w:r w:rsidRPr="00322D9B">
        <w:rPr>
          <w:rFonts w:eastAsia="Calibri"/>
        </w:rPr>
        <w:t>Modalidades</w:t>
      </w:r>
      <w:r w:rsidR="00696737" w:rsidRPr="00322D9B">
        <w:rPr>
          <w:rFonts w:eastAsia="Calibri"/>
        </w:rPr>
        <w:t xml:space="preserve"> Alternativas de Trabajo</w:t>
      </w:r>
      <w:bookmarkEnd w:id="63"/>
    </w:p>
    <w:p w14:paraId="37171A37" w14:textId="404F47EA" w:rsidR="00696737" w:rsidRDefault="00696737" w:rsidP="00696737">
      <w:pPr>
        <w:jc w:val="both"/>
      </w:pPr>
    </w:p>
    <w:p w14:paraId="3C86A211" w14:textId="0165ED2C" w:rsidR="00B56A16" w:rsidRDefault="00C03F90" w:rsidP="00696737">
      <w:pPr>
        <w:jc w:val="both"/>
      </w:pPr>
      <w:r w:rsidRPr="00BC692E">
        <w:rPr>
          <w:rFonts w:ascii="Arial Narrow" w:hAnsi="Arial Narrow"/>
        </w:rPr>
        <w:t xml:space="preserve">Se tienen </w:t>
      </w:r>
      <w:r>
        <w:rPr>
          <w:rFonts w:ascii="Arial Narrow" w:hAnsi="Arial Narrow"/>
        </w:rPr>
        <w:t>3</w:t>
      </w:r>
      <w:r w:rsidRPr="00BC692E">
        <w:rPr>
          <w:rFonts w:ascii="Arial Narrow" w:hAnsi="Arial Narrow"/>
        </w:rPr>
        <w:t xml:space="preserve"> metas estratégicas en esta acción, de las cuales su totalidad muestran una ejecución alta en su cumplimiento. Se detalla a continuación las metas estratégicas y su cumplimiento para el 2021:</w:t>
      </w:r>
    </w:p>
    <w:p w14:paraId="0124561F" w14:textId="6A089B4E" w:rsidR="00B56A16" w:rsidRDefault="00B56A16" w:rsidP="00696737">
      <w:pPr>
        <w:jc w:val="both"/>
      </w:pPr>
    </w:p>
    <w:p w14:paraId="4C21F976" w14:textId="77777777" w:rsidR="00B56A16" w:rsidRDefault="00B56A16" w:rsidP="00696737">
      <w:pPr>
        <w:jc w:val="both"/>
      </w:pPr>
    </w:p>
    <w:p w14:paraId="4AA5D192" w14:textId="77777777" w:rsidR="00100134" w:rsidRDefault="00100134">
      <w:pPr>
        <w:rPr>
          <w:rFonts w:ascii="Arial Narrow" w:hAnsi="Arial Narrow"/>
          <w:b/>
          <w:bCs/>
        </w:rPr>
      </w:pPr>
      <w:r>
        <w:rPr>
          <w:rFonts w:ascii="Arial Narrow" w:hAnsi="Arial Narrow"/>
        </w:rPr>
        <w:br w:type="page"/>
      </w:r>
    </w:p>
    <w:p w14:paraId="044211DC" w14:textId="6275575F" w:rsidR="00B56A16" w:rsidRDefault="00B56A16" w:rsidP="00B56A16">
      <w:pPr>
        <w:pStyle w:val="Descripcin"/>
        <w:jc w:val="center"/>
        <w:rPr>
          <w:rFonts w:ascii="Arial Narrow" w:eastAsia="Calibri" w:hAnsi="Arial Narrow"/>
          <w:sz w:val="24"/>
          <w:szCs w:val="24"/>
        </w:rPr>
      </w:pPr>
      <w:r w:rsidRPr="005E067A">
        <w:rPr>
          <w:rFonts w:ascii="Arial Narrow" w:hAnsi="Arial Narrow"/>
          <w:sz w:val="24"/>
          <w:szCs w:val="24"/>
        </w:rPr>
        <w:t xml:space="preserve">Cuadro </w:t>
      </w:r>
      <w:r w:rsidRPr="005E067A">
        <w:rPr>
          <w:rFonts w:ascii="Arial Narrow" w:hAnsi="Arial Narrow"/>
          <w:sz w:val="24"/>
          <w:szCs w:val="24"/>
        </w:rPr>
        <w:fldChar w:fldCharType="begin"/>
      </w:r>
      <w:r w:rsidRPr="005E067A">
        <w:rPr>
          <w:rFonts w:ascii="Arial Narrow" w:hAnsi="Arial Narrow"/>
          <w:sz w:val="24"/>
          <w:szCs w:val="24"/>
        </w:rPr>
        <w:instrText xml:space="preserve"> SEQ Cuadro_No. \* ARABIC </w:instrText>
      </w:r>
      <w:r w:rsidRPr="005E067A">
        <w:rPr>
          <w:rFonts w:ascii="Arial Narrow" w:hAnsi="Arial Narrow"/>
          <w:sz w:val="24"/>
          <w:szCs w:val="24"/>
        </w:rPr>
        <w:fldChar w:fldCharType="separate"/>
      </w:r>
      <w:r w:rsidR="002F520A">
        <w:rPr>
          <w:rFonts w:ascii="Arial Narrow" w:hAnsi="Arial Narrow"/>
          <w:noProof/>
          <w:sz w:val="24"/>
          <w:szCs w:val="24"/>
        </w:rPr>
        <w:t>57</w:t>
      </w:r>
      <w:r w:rsidRPr="005E067A">
        <w:rPr>
          <w:rFonts w:ascii="Arial Narrow" w:hAnsi="Arial Narrow"/>
          <w:sz w:val="24"/>
          <w:szCs w:val="24"/>
        </w:rPr>
        <w:fldChar w:fldCharType="end"/>
      </w:r>
      <w:r w:rsidRPr="005E067A">
        <w:rPr>
          <w:rFonts w:ascii="Arial Narrow" w:hAnsi="Arial Narrow"/>
          <w:sz w:val="24"/>
          <w:szCs w:val="24"/>
        </w:rPr>
        <w:t xml:space="preserve"> </w:t>
      </w:r>
      <w:r w:rsidRPr="005E067A">
        <w:rPr>
          <w:rFonts w:ascii="Arial Narrow" w:eastAsia="Calibri" w:hAnsi="Arial Narrow"/>
          <w:sz w:val="24"/>
          <w:szCs w:val="24"/>
        </w:rPr>
        <w:t xml:space="preserve">Metas estratégicas de </w:t>
      </w:r>
      <w:r>
        <w:rPr>
          <w:rFonts w:ascii="Arial Narrow" w:eastAsia="Calibri" w:hAnsi="Arial Narrow"/>
          <w:sz w:val="24"/>
          <w:szCs w:val="24"/>
        </w:rPr>
        <w:t>Modalidades Alternativas del trabajo</w:t>
      </w:r>
      <w:r w:rsidRPr="005E067A">
        <w:rPr>
          <w:rFonts w:ascii="Arial Narrow" w:eastAsia="Calibri" w:hAnsi="Arial Narrow"/>
          <w:sz w:val="24"/>
          <w:szCs w:val="24"/>
        </w:rPr>
        <w:t>,</w:t>
      </w:r>
    </w:p>
    <w:p w14:paraId="1FDB2798" w14:textId="4DFC5F2D" w:rsidR="00696737" w:rsidRDefault="00B56A16" w:rsidP="00D15AE9">
      <w:pPr>
        <w:pStyle w:val="Descripcin"/>
        <w:jc w:val="center"/>
      </w:pPr>
      <w:r w:rsidRPr="005E067A">
        <w:rPr>
          <w:rFonts w:ascii="Arial Narrow" w:eastAsia="Calibri" w:hAnsi="Arial Narrow"/>
          <w:sz w:val="24"/>
          <w:szCs w:val="24"/>
        </w:rPr>
        <w:t xml:space="preserve"> y su cumplimiento para el 20</w:t>
      </w:r>
      <w:r>
        <w:rPr>
          <w:rFonts w:ascii="Arial Narrow" w:eastAsia="Calibri" w:hAnsi="Arial Narrow"/>
          <w:sz w:val="24"/>
          <w:szCs w:val="24"/>
        </w:rPr>
        <w:t>21</w:t>
      </w:r>
      <w:r w:rsidR="00696737">
        <w:rPr>
          <w:noProof/>
        </w:rPr>
        <w:drawing>
          <wp:inline distT="0" distB="0" distL="0" distR="0" wp14:anchorId="7B23620A" wp14:editId="55F52C8C">
            <wp:extent cx="4886325" cy="2341986"/>
            <wp:effectExtent l="19050" t="19050" r="9525" b="20320"/>
            <wp:docPr id="23" name="Imagen 2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Tabla&#10;&#10;Descripción generada automáticamente"/>
                    <pic:cNvPicPr/>
                  </pic:nvPicPr>
                  <pic:blipFill>
                    <a:blip r:embed="rId112"/>
                    <a:stretch>
                      <a:fillRect/>
                    </a:stretch>
                  </pic:blipFill>
                  <pic:spPr>
                    <a:xfrm>
                      <a:off x="0" y="0"/>
                      <a:ext cx="4894010" cy="2345669"/>
                    </a:xfrm>
                    <a:prstGeom prst="rect">
                      <a:avLst/>
                    </a:prstGeom>
                    <a:ln w="12700">
                      <a:solidFill>
                        <a:schemeClr val="tx1"/>
                      </a:solidFill>
                    </a:ln>
                  </pic:spPr>
                </pic:pic>
              </a:graphicData>
            </a:graphic>
          </wp:inline>
        </w:drawing>
      </w:r>
    </w:p>
    <w:p w14:paraId="358AA386" w14:textId="77777777" w:rsidR="00696737" w:rsidRPr="00996542" w:rsidRDefault="00696737" w:rsidP="00B54439">
      <w:pPr>
        <w:jc w:val="center"/>
        <w:rPr>
          <w:rFonts w:ascii="Arial Narrow" w:hAnsi="Arial Narrow"/>
          <w:sz w:val="18"/>
          <w:szCs w:val="18"/>
        </w:rPr>
      </w:pPr>
      <w:r w:rsidRPr="00996542">
        <w:rPr>
          <w:rFonts w:ascii="Arial Narrow" w:hAnsi="Arial Narrow"/>
          <w:sz w:val="18"/>
          <w:szCs w:val="18"/>
        </w:rPr>
        <w:t>Fuente: Sistema PEI al 19 de enero del 2022 para el año 2021.</w:t>
      </w:r>
    </w:p>
    <w:p w14:paraId="22B01317" w14:textId="77777777" w:rsidR="00696737" w:rsidRDefault="00696737" w:rsidP="00696737">
      <w:pPr>
        <w:jc w:val="both"/>
        <w:rPr>
          <w:rFonts w:ascii="Arial Narrow" w:hAnsi="Arial Narrow"/>
        </w:rPr>
      </w:pPr>
    </w:p>
    <w:p w14:paraId="5374C617" w14:textId="77777777" w:rsidR="00581C62" w:rsidRDefault="00581C62" w:rsidP="00696737">
      <w:pPr>
        <w:jc w:val="both"/>
        <w:rPr>
          <w:rFonts w:ascii="Arial Narrow" w:hAnsi="Arial Narrow"/>
        </w:rPr>
      </w:pPr>
    </w:p>
    <w:p w14:paraId="57D910CD" w14:textId="6DB4FDAD" w:rsidR="00696737" w:rsidRDefault="00696737" w:rsidP="00696737">
      <w:pPr>
        <w:jc w:val="both"/>
        <w:rPr>
          <w:rFonts w:ascii="Arial Narrow" w:hAnsi="Arial Narrow"/>
        </w:rPr>
      </w:pPr>
      <w:r>
        <w:rPr>
          <w:rFonts w:ascii="Arial Narrow" w:hAnsi="Arial Narrow"/>
        </w:rPr>
        <w:t>Con respecto a las metas establecidas, así como e</w:t>
      </w:r>
      <w:r w:rsidRPr="008343D5">
        <w:rPr>
          <w:rFonts w:ascii="Arial Narrow" w:hAnsi="Arial Narrow"/>
        </w:rPr>
        <w:t>fectuar un análisis sobre el impacto que ha generado la modalidad de teletrabajo a las personas teletrabajadoras y al Poder Judicial</w:t>
      </w:r>
      <w:r>
        <w:rPr>
          <w:rFonts w:ascii="Arial Narrow" w:hAnsi="Arial Narrow"/>
        </w:rPr>
        <w:t>, por parte de la Sección de Análisis de Puestos</w:t>
      </w:r>
      <w:r w:rsidRPr="002B0045">
        <w:rPr>
          <w:rFonts w:ascii="Arial Narrow" w:hAnsi="Arial Narrow"/>
        </w:rPr>
        <w:t xml:space="preserve"> </w:t>
      </w:r>
      <w:r>
        <w:rPr>
          <w:rFonts w:ascii="Arial Narrow" w:hAnsi="Arial Narrow"/>
        </w:rPr>
        <w:t xml:space="preserve">de la Dirección de Gestión Humana, </w:t>
      </w:r>
      <w:r w:rsidRPr="002B0045">
        <w:rPr>
          <w:rFonts w:ascii="Arial Narrow" w:hAnsi="Arial Narrow"/>
        </w:rPr>
        <w:t xml:space="preserve">se valoró construir un cuestionario para realizar una encuesta a la población judicial teletrabajadora. Para el mes de diciembre se trasladó una encuesta en coordinación con la Comisión de Gestión Ambiental para medir la emisión de </w:t>
      </w:r>
      <w:r>
        <w:rPr>
          <w:rFonts w:ascii="Arial Narrow" w:hAnsi="Arial Narrow"/>
        </w:rPr>
        <w:t>dióxido de carbono. Por parte de la Dirección de Tecnología de la Información y Comunicaciones se trabajó en implementar</w:t>
      </w:r>
      <w:r w:rsidRPr="002B0045">
        <w:rPr>
          <w:rFonts w:ascii="Arial Narrow" w:hAnsi="Arial Narrow"/>
        </w:rPr>
        <w:t xml:space="preserve"> soluciones tecnológicas seguras para la aplicación efectiva de modalidades alternativas de trabajo.</w:t>
      </w:r>
    </w:p>
    <w:p w14:paraId="7AC0AC85" w14:textId="77777777" w:rsidR="00AB67FB" w:rsidRDefault="00AB67FB" w:rsidP="00696737">
      <w:pPr>
        <w:jc w:val="both"/>
        <w:rPr>
          <w:rFonts w:ascii="Arial Narrow" w:hAnsi="Arial Narrow"/>
        </w:rPr>
      </w:pPr>
    </w:p>
    <w:p w14:paraId="3D667232" w14:textId="6450F799" w:rsidR="00696737" w:rsidRPr="002B0045" w:rsidRDefault="00696737" w:rsidP="00696737">
      <w:pPr>
        <w:jc w:val="both"/>
        <w:rPr>
          <w:rFonts w:ascii="Arial Narrow" w:hAnsi="Arial Narrow"/>
        </w:rPr>
      </w:pPr>
      <w:r>
        <w:rPr>
          <w:rFonts w:ascii="Arial Narrow" w:hAnsi="Arial Narrow"/>
        </w:rPr>
        <w:t>Vinculado a lo anterior, la Sección de Análisis de Puestos</w:t>
      </w:r>
      <w:r w:rsidRPr="002B0045">
        <w:rPr>
          <w:rFonts w:ascii="Arial Narrow" w:hAnsi="Arial Narrow"/>
        </w:rPr>
        <w:t xml:space="preserve"> </w:t>
      </w:r>
      <w:r>
        <w:rPr>
          <w:rFonts w:ascii="Arial Narrow" w:hAnsi="Arial Narrow"/>
        </w:rPr>
        <w:t>de la Dirección de Gestión Humana realizó una r</w:t>
      </w:r>
      <w:r w:rsidRPr="002B0045">
        <w:rPr>
          <w:rFonts w:ascii="Arial Narrow" w:hAnsi="Arial Narrow"/>
        </w:rPr>
        <w:t xml:space="preserve">evisión sobre varios temas pendientes por abordar y relacionados con la temática de Teletrabajo, sobre el análisis de determinar la factibilidad de incorporar otra modalidad de trabajo; además del teletrabajo elaborar un documento que retome los distintos acuerdos emitidos por parte de las instancias superiores. Esto será abordado en la construcción de la Política de Teletrabajo por una Comisión especial conformada de Magistrados y algunas personas integrantes de la Comisión Institucional de Teletrabajo; </w:t>
      </w:r>
      <w:r>
        <w:rPr>
          <w:rFonts w:ascii="Arial Narrow" w:hAnsi="Arial Narrow"/>
        </w:rPr>
        <w:t>ya se dispone</w:t>
      </w:r>
      <w:r w:rsidRPr="002B0045">
        <w:rPr>
          <w:rFonts w:ascii="Arial Narrow" w:hAnsi="Arial Narrow"/>
        </w:rPr>
        <w:t xml:space="preserve"> acta de la Comisión Institucional de Teletrabajo donde se conoce el </w:t>
      </w:r>
      <w:r>
        <w:rPr>
          <w:rFonts w:ascii="Arial Narrow" w:hAnsi="Arial Narrow"/>
        </w:rPr>
        <w:t>primer</w:t>
      </w:r>
      <w:r w:rsidRPr="002B0045">
        <w:rPr>
          <w:rFonts w:ascii="Arial Narrow" w:hAnsi="Arial Narrow"/>
        </w:rPr>
        <w:t xml:space="preserve"> avance de dicha Política</w:t>
      </w:r>
      <w:r>
        <w:rPr>
          <w:rFonts w:ascii="Arial Narrow" w:hAnsi="Arial Narrow"/>
        </w:rPr>
        <w:t xml:space="preserve">. Finalmente, se han realizado las comunicaciones necesarias </w:t>
      </w:r>
      <w:r w:rsidRPr="002B0045">
        <w:rPr>
          <w:rFonts w:ascii="Arial Narrow" w:hAnsi="Arial Narrow"/>
        </w:rPr>
        <w:t>a la población judicial mediante cápsulas informáticas sobre el Programa de Teletrabajo</w:t>
      </w:r>
      <w:r>
        <w:rPr>
          <w:rFonts w:ascii="Arial Narrow" w:hAnsi="Arial Narrow"/>
        </w:rPr>
        <w:t>, c</w:t>
      </w:r>
      <w:r w:rsidRPr="002B0045">
        <w:rPr>
          <w:rFonts w:ascii="Arial Narrow" w:hAnsi="Arial Narrow"/>
        </w:rPr>
        <w:t xml:space="preserve">omo por ejemplo la circular </w:t>
      </w:r>
      <w:bookmarkStart w:id="64" w:name="x__Hlk71723868"/>
      <w:r w:rsidRPr="002B0045">
        <w:rPr>
          <w:rFonts w:ascii="Arial Narrow" w:hAnsi="Arial Narrow"/>
        </w:rPr>
        <w:t>PJ-DGH-C-014-2021</w:t>
      </w:r>
      <w:bookmarkEnd w:id="64"/>
      <w:r>
        <w:rPr>
          <w:rFonts w:ascii="Arial Narrow" w:hAnsi="Arial Narrow"/>
        </w:rPr>
        <w:t>, donde se comunica la n</w:t>
      </w:r>
      <w:r w:rsidRPr="002B0045">
        <w:rPr>
          <w:rFonts w:ascii="Arial Narrow" w:hAnsi="Arial Narrow"/>
        </w:rPr>
        <w:t>ueva declaración jurada de condiciones laborales para el Teletrabajo</w:t>
      </w:r>
      <w:r>
        <w:rPr>
          <w:rFonts w:ascii="Arial Narrow" w:hAnsi="Arial Narrow"/>
        </w:rPr>
        <w:t>, entre otras comunicaciones.</w:t>
      </w:r>
    </w:p>
    <w:p w14:paraId="12B33479" w14:textId="5665AF38" w:rsidR="00100134" w:rsidRDefault="00100134">
      <w:pPr>
        <w:rPr>
          <w:rFonts w:eastAsia="Calibri"/>
          <w:lang w:val="es-CR"/>
        </w:rPr>
      </w:pPr>
      <w:r>
        <w:rPr>
          <w:rFonts w:eastAsia="Calibri"/>
          <w:lang w:val="es-CR"/>
        </w:rPr>
        <w:br w:type="page"/>
      </w:r>
    </w:p>
    <w:p w14:paraId="5DCC7E81" w14:textId="71B3C53E" w:rsidR="00696737" w:rsidRPr="00322D9B" w:rsidRDefault="004853EA" w:rsidP="00322D9B">
      <w:pPr>
        <w:pStyle w:val="Ttulo3"/>
        <w:numPr>
          <w:ilvl w:val="2"/>
          <w:numId w:val="124"/>
        </w:numPr>
        <w:rPr>
          <w:rFonts w:eastAsia="Calibri"/>
        </w:rPr>
      </w:pPr>
      <w:bookmarkStart w:id="65" w:name="_Toc106355282"/>
      <w:r w:rsidRPr="00322D9B">
        <w:rPr>
          <w:rFonts w:eastAsia="Calibri"/>
        </w:rPr>
        <w:t>Buenas</w:t>
      </w:r>
      <w:r w:rsidR="7BC224A0" w:rsidRPr="00322D9B">
        <w:rPr>
          <w:rFonts w:eastAsia="Calibri"/>
        </w:rPr>
        <w:t xml:space="preserve"> Prácticas</w:t>
      </w:r>
      <w:bookmarkEnd w:id="65"/>
    </w:p>
    <w:p w14:paraId="510A00AD" w14:textId="77777777" w:rsidR="00C03F90" w:rsidRDefault="00C03F90" w:rsidP="00C03F90">
      <w:pPr>
        <w:jc w:val="both"/>
        <w:rPr>
          <w:rFonts w:ascii="Arial Narrow" w:hAnsi="Arial Narrow"/>
        </w:rPr>
      </w:pPr>
    </w:p>
    <w:p w14:paraId="52BADB1C" w14:textId="77777777" w:rsidR="00581C62" w:rsidRDefault="00581C62" w:rsidP="00132A44">
      <w:pPr>
        <w:jc w:val="both"/>
        <w:rPr>
          <w:rFonts w:ascii="Arial Narrow" w:hAnsi="Arial Narrow"/>
        </w:rPr>
      </w:pPr>
    </w:p>
    <w:p w14:paraId="506C8258" w14:textId="41E03E17" w:rsidR="00C03F90" w:rsidRPr="007B5DAD" w:rsidRDefault="00C03F90" w:rsidP="00132A44">
      <w:pPr>
        <w:jc w:val="both"/>
      </w:pPr>
      <w:r w:rsidRPr="00132A44">
        <w:rPr>
          <w:rFonts w:ascii="Arial Narrow" w:hAnsi="Arial Narrow"/>
        </w:rPr>
        <w:t xml:space="preserve">Se tienen </w:t>
      </w:r>
      <w:r>
        <w:rPr>
          <w:rFonts w:ascii="Arial Narrow" w:hAnsi="Arial Narrow"/>
        </w:rPr>
        <w:t>2</w:t>
      </w:r>
      <w:r w:rsidRPr="00132A44">
        <w:rPr>
          <w:rFonts w:ascii="Arial Narrow" w:hAnsi="Arial Narrow"/>
        </w:rPr>
        <w:t xml:space="preserve"> metas estratégicas en esta acción, de las cuales su totalidad muestran una ejecución alta en su cumplimiento. Se detalla a continuación las metas estratégicas y su cumplimiento para el 2021:</w:t>
      </w:r>
    </w:p>
    <w:p w14:paraId="091E1227" w14:textId="6574AA72" w:rsidR="00696737" w:rsidRDefault="00696737" w:rsidP="00696737">
      <w:pPr>
        <w:jc w:val="both"/>
      </w:pPr>
    </w:p>
    <w:p w14:paraId="47BBB91F" w14:textId="77777777" w:rsidR="00581C62" w:rsidRDefault="00581C62" w:rsidP="00696737">
      <w:pPr>
        <w:jc w:val="both"/>
      </w:pPr>
    </w:p>
    <w:p w14:paraId="5F6315FF" w14:textId="386C5913" w:rsidR="00B56A16" w:rsidRDefault="00B56A16" w:rsidP="00B56A16">
      <w:pPr>
        <w:pStyle w:val="Descripcin"/>
        <w:jc w:val="center"/>
        <w:rPr>
          <w:rFonts w:ascii="Arial Narrow" w:eastAsia="Calibri" w:hAnsi="Arial Narrow"/>
          <w:sz w:val="24"/>
          <w:szCs w:val="24"/>
        </w:rPr>
      </w:pPr>
      <w:r w:rsidRPr="005E067A">
        <w:rPr>
          <w:rFonts w:ascii="Arial Narrow" w:hAnsi="Arial Narrow"/>
          <w:sz w:val="24"/>
          <w:szCs w:val="24"/>
        </w:rPr>
        <w:t xml:space="preserve">Cuadro </w:t>
      </w:r>
      <w:r w:rsidRPr="005E067A">
        <w:rPr>
          <w:rFonts w:ascii="Arial Narrow" w:hAnsi="Arial Narrow"/>
          <w:sz w:val="24"/>
          <w:szCs w:val="24"/>
        </w:rPr>
        <w:fldChar w:fldCharType="begin"/>
      </w:r>
      <w:r w:rsidRPr="005E067A">
        <w:rPr>
          <w:rFonts w:ascii="Arial Narrow" w:hAnsi="Arial Narrow"/>
          <w:sz w:val="24"/>
          <w:szCs w:val="24"/>
        </w:rPr>
        <w:instrText xml:space="preserve"> SEQ Cuadro_No. \* ARABIC </w:instrText>
      </w:r>
      <w:r w:rsidRPr="005E067A">
        <w:rPr>
          <w:rFonts w:ascii="Arial Narrow" w:hAnsi="Arial Narrow"/>
          <w:sz w:val="24"/>
          <w:szCs w:val="24"/>
        </w:rPr>
        <w:fldChar w:fldCharType="separate"/>
      </w:r>
      <w:r w:rsidR="002F520A">
        <w:rPr>
          <w:rFonts w:ascii="Arial Narrow" w:hAnsi="Arial Narrow"/>
          <w:noProof/>
          <w:sz w:val="24"/>
          <w:szCs w:val="24"/>
        </w:rPr>
        <w:t>58</w:t>
      </w:r>
      <w:r w:rsidRPr="005E067A">
        <w:rPr>
          <w:rFonts w:ascii="Arial Narrow" w:hAnsi="Arial Narrow"/>
          <w:sz w:val="24"/>
          <w:szCs w:val="24"/>
        </w:rPr>
        <w:fldChar w:fldCharType="end"/>
      </w:r>
      <w:r w:rsidRPr="005E067A">
        <w:rPr>
          <w:rFonts w:ascii="Arial Narrow" w:hAnsi="Arial Narrow"/>
          <w:sz w:val="24"/>
          <w:szCs w:val="24"/>
        </w:rPr>
        <w:t xml:space="preserve"> </w:t>
      </w:r>
      <w:r w:rsidRPr="005E067A">
        <w:rPr>
          <w:rFonts w:ascii="Arial Narrow" w:eastAsia="Calibri" w:hAnsi="Arial Narrow"/>
          <w:sz w:val="24"/>
          <w:szCs w:val="24"/>
        </w:rPr>
        <w:t xml:space="preserve">Metas estratégicas de </w:t>
      </w:r>
      <w:r>
        <w:rPr>
          <w:rFonts w:ascii="Arial Narrow" w:eastAsia="Calibri" w:hAnsi="Arial Narrow"/>
          <w:sz w:val="24"/>
          <w:szCs w:val="24"/>
        </w:rPr>
        <w:t xml:space="preserve">Buenas </w:t>
      </w:r>
      <w:r w:rsidR="00AB67FB">
        <w:rPr>
          <w:rFonts w:ascii="Arial Narrow" w:eastAsia="Calibri" w:hAnsi="Arial Narrow"/>
          <w:sz w:val="24"/>
          <w:szCs w:val="24"/>
        </w:rPr>
        <w:t>Prácticas</w:t>
      </w:r>
      <w:r w:rsidR="00AB67FB" w:rsidRPr="005E067A">
        <w:rPr>
          <w:rFonts w:ascii="Arial Narrow" w:eastAsia="Calibri" w:hAnsi="Arial Narrow"/>
          <w:sz w:val="24"/>
          <w:szCs w:val="24"/>
        </w:rPr>
        <w:t>,</w:t>
      </w:r>
      <w:r w:rsidR="00AB67FB">
        <w:rPr>
          <w:rFonts w:ascii="Arial Narrow" w:eastAsia="Calibri" w:hAnsi="Arial Narrow"/>
          <w:sz w:val="24"/>
          <w:szCs w:val="24"/>
        </w:rPr>
        <w:t xml:space="preserve"> </w:t>
      </w:r>
      <w:r w:rsidR="00AB67FB" w:rsidRPr="005E067A">
        <w:rPr>
          <w:rFonts w:ascii="Arial Narrow" w:eastAsia="Calibri" w:hAnsi="Arial Narrow"/>
          <w:sz w:val="24"/>
          <w:szCs w:val="24"/>
        </w:rPr>
        <w:t>y</w:t>
      </w:r>
      <w:r w:rsidRPr="005E067A">
        <w:rPr>
          <w:rFonts w:ascii="Arial Narrow" w:eastAsia="Calibri" w:hAnsi="Arial Narrow"/>
          <w:sz w:val="24"/>
          <w:szCs w:val="24"/>
        </w:rPr>
        <w:t xml:space="preserve"> su cumplimiento para el 20</w:t>
      </w:r>
      <w:r>
        <w:rPr>
          <w:rFonts w:ascii="Arial Narrow" w:eastAsia="Calibri" w:hAnsi="Arial Narrow"/>
          <w:sz w:val="24"/>
          <w:szCs w:val="24"/>
        </w:rPr>
        <w:t>21</w:t>
      </w:r>
    </w:p>
    <w:p w14:paraId="1B72C2CE" w14:textId="77777777" w:rsidR="00696737" w:rsidRDefault="00696737" w:rsidP="00696737">
      <w:pPr>
        <w:jc w:val="both"/>
      </w:pPr>
    </w:p>
    <w:p w14:paraId="1CA821BE" w14:textId="77777777" w:rsidR="00696737" w:rsidRDefault="00696737" w:rsidP="00696737">
      <w:pPr>
        <w:jc w:val="both"/>
      </w:pPr>
      <w:r>
        <w:rPr>
          <w:noProof/>
        </w:rPr>
        <w:drawing>
          <wp:inline distT="0" distB="0" distL="0" distR="0" wp14:anchorId="0005D42B" wp14:editId="7AA92F2A">
            <wp:extent cx="5612130" cy="1860550"/>
            <wp:effectExtent l="19050" t="19050" r="26670" b="25400"/>
            <wp:docPr id="24" name="Imagen 2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Tabla&#10;&#10;Descripción generada automáticamente"/>
                    <pic:cNvPicPr/>
                  </pic:nvPicPr>
                  <pic:blipFill>
                    <a:blip r:embed="rId113"/>
                    <a:stretch>
                      <a:fillRect/>
                    </a:stretch>
                  </pic:blipFill>
                  <pic:spPr>
                    <a:xfrm>
                      <a:off x="0" y="0"/>
                      <a:ext cx="5612130" cy="1860550"/>
                    </a:xfrm>
                    <a:prstGeom prst="rect">
                      <a:avLst/>
                    </a:prstGeom>
                    <a:ln w="12700">
                      <a:solidFill>
                        <a:schemeClr val="tx1"/>
                      </a:solidFill>
                    </a:ln>
                  </pic:spPr>
                </pic:pic>
              </a:graphicData>
            </a:graphic>
          </wp:inline>
        </w:drawing>
      </w:r>
    </w:p>
    <w:p w14:paraId="792345BE" w14:textId="77777777" w:rsidR="00696737" w:rsidRPr="00996542" w:rsidRDefault="00696737" w:rsidP="00B54439">
      <w:pPr>
        <w:jc w:val="center"/>
        <w:rPr>
          <w:rFonts w:ascii="Arial Narrow" w:hAnsi="Arial Narrow"/>
          <w:sz w:val="18"/>
          <w:szCs w:val="18"/>
        </w:rPr>
      </w:pPr>
      <w:r w:rsidRPr="00996542">
        <w:rPr>
          <w:rFonts w:ascii="Arial Narrow" w:hAnsi="Arial Narrow"/>
          <w:sz w:val="18"/>
          <w:szCs w:val="18"/>
        </w:rPr>
        <w:t>Fuente: Sistema PEI al 19 de enero del 2022 para el año 2021.</w:t>
      </w:r>
    </w:p>
    <w:p w14:paraId="5937946A" w14:textId="77777777" w:rsidR="00696737" w:rsidRDefault="00696737" w:rsidP="00696737">
      <w:pPr>
        <w:jc w:val="both"/>
        <w:rPr>
          <w:rFonts w:ascii="Arial Narrow" w:hAnsi="Arial Narrow"/>
        </w:rPr>
      </w:pPr>
    </w:p>
    <w:p w14:paraId="3EE87703" w14:textId="77777777" w:rsidR="00AF4550" w:rsidRDefault="00AF4550" w:rsidP="00696737">
      <w:pPr>
        <w:jc w:val="both"/>
        <w:rPr>
          <w:rFonts w:ascii="Arial Narrow" w:hAnsi="Arial Narrow"/>
        </w:rPr>
      </w:pPr>
    </w:p>
    <w:p w14:paraId="4445933B" w14:textId="66394A68" w:rsidR="00696737" w:rsidRDefault="00696737" w:rsidP="00696737">
      <w:pPr>
        <w:jc w:val="both"/>
        <w:rPr>
          <w:rFonts w:ascii="Arial Narrow" w:hAnsi="Arial Narrow"/>
        </w:rPr>
      </w:pPr>
      <w:r>
        <w:rPr>
          <w:rFonts w:ascii="Arial Narrow" w:hAnsi="Arial Narrow"/>
        </w:rPr>
        <w:t>Sobre los esfuerzos realizados para implementar planes de trabajo relacionados con las buenas prácticas institucionales se tiene que</w:t>
      </w:r>
      <w:r w:rsidRPr="009F2E32">
        <w:rPr>
          <w:rFonts w:ascii="Arial Narrow" w:hAnsi="Arial Narrow"/>
        </w:rPr>
        <w:t xml:space="preserve"> </w:t>
      </w:r>
      <w:r>
        <w:rPr>
          <w:rFonts w:ascii="Arial Narrow" w:hAnsi="Arial Narrow"/>
        </w:rPr>
        <w:t>s</w:t>
      </w:r>
      <w:r w:rsidRPr="009F2E32">
        <w:rPr>
          <w:rFonts w:ascii="Arial Narrow" w:hAnsi="Arial Narrow"/>
        </w:rPr>
        <w:t>e realizó charla con</w:t>
      </w:r>
      <w:r>
        <w:rPr>
          <w:rFonts w:ascii="Arial Narrow" w:hAnsi="Arial Narrow"/>
        </w:rPr>
        <w:t xml:space="preserve"> el </w:t>
      </w:r>
      <w:bookmarkStart w:id="66" w:name="_Hlk88668773"/>
      <w:r w:rsidRPr="009F2E32">
        <w:rPr>
          <w:rFonts w:ascii="Arial Narrow" w:hAnsi="Arial Narrow"/>
        </w:rPr>
        <w:t xml:space="preserve">Laboratorio Colaborativo de Innovación Pública </w:t>
      </w:r>
      <w:bookmarkEnd w:id="66"/>
      <w:r w:rsidRPr="009F2E32">
        <w:rPr>
          <w:rFonts w:ascii="Arial Narrow" w:hAnsi="Arial Narrow"/>
        </w:rPr>
        <w:t xml:space="preserve">(INNOVAAP) de la Universidad de Costa Rica el día 13 de diciembre con el nombre </w:t>
      </w:r>
      <w:r w:rsidRPr="009F2E32">
        <w:rPr>
          <w:rFonts w:ascii="Arial Narrow" w:hAnsi="Arial Narrow"/>
          <w:i/>
          <w:iCs/>
        </w:rPr>
        <w:t>Innovación en tiempos de crisis</w:t>
      </w:r>
      <w:r w:rsidRPr="009F2E32">
        <w:rPr>
          <w:rFonts w:ascii="Arial Narrow" w:hAnsi="Arial Narrow"/>
        </w:rPr>
        <w:t xml:space="preserve"> con una participación de 99 personas, </w:t>
      </w:r>
      <w:r>
        <w:rPr>
          <w:rFonts w:ascii="Arial Narrow" w:hAnsi="Arial Narrow"/>
        </w:rPr>
        <w:t>con base en el acuerdo de Consejo Superior, s</w:t>
      </w:r>
      <w:r w:rsidRPr="009F2E32">
        <w:rPr>
          <w:rFonts w:ascii="Arial Narrow" w:hAnsi="Arial Narrow"/>
        </w:rPr>
        <w:t xml:space="preserve">esión N° 106-2021 celebrada el 09 de diciembre de 2021, </w:t>
      </w:r>
      <w:r>
        <w:rPr>
          <w:rFonts w:ascii="Arial Narrow" w:hAnsi="Arial Narrow"/>
        </w:rPr>
        <w:t xml:space="preserve">articulo </w:t>
      </w:r>
      <w:r w:rsidRPr="009F2E32">
        <w:rPr>
          <w:rFonts w:ascii="Arial Narrow" w:hAnsi="Arial Narrow"/>
        </w:rPr>
        <w:t>XXII</w:t>
      </w:r>
      <w:r>
        <w:rPr>
          <w:rFonts w:ascii="Arial Narrow" w:hAnsi="Arial Narrow"/>
        </w:rPr>
        <w:t xml:space="preserve">. </w:t>
      </w:r>
    </w:p>
    <w:p w14:paraId="11037A23" w14:textId="77777777" w:rsidR="00AB67FB" w:rsidRDefault="00AB67FB" w:rsidP="00696737">
      <w:pPr>
        <w:jc w:val="both"/>
        <w:rPr>
          <w:rFonts w:ascii="Arial Narrow" w:hAnsi="Arial Narrow"/>
        </w:rPr>
      </w:pPr>
    </w:p>
    <w:p w14:paraId="3C2E076A" w14:textId="4D7146D0" w:rsidR="00696737" w:rsidRPr="008343D5" w:rsidRDefault="00696737" w:rsidP="00696737">
      <w:pPr>
        <w:jc w:val="both"/>
        <w:rPr>
          <w:rFonts w:ascii="Arial Narrow" w:hAnsi="Arial Narrow"/>
        </w:rPr>
      </w:pPr>
      <w:r>
        <w:rPr>
          <w:rFonts w:ascii="Arial Narrow" w:hAnsi="Arial Narrow"/>
        </w:rPr>
        <w:t>C</w:t>
      </w:r>
      <w:r w:rsidR="00AB67FB">
        <w:rPr>
          <w:rFonts w:ascii="Arial Narrow" w:hAnsi="Arial Narrow"/>
        </w:rPr>
        <w:t>o</w:t>
      </w:r>
      <w:r>
        <w:rPr>
          <w:rFonts w:ascii="Arial Narrow" w:hAnsi="Arial Narrow"/>
        </w:rPr>
        <w:t>n respecto a la cantidad de ideas innovadoras, se comunica el i</w:t>
      </w:r>
      <w:r w:rsidRPr="009F2E32">
        <w:rPr>
          <w:rFonts w:ascii="Arial Narrow" w:hAnsi="Arial Narrow"/>
        </w:rPr>
        <w:t>nforme de Labores del Programa de Buenas Prácticas durante el 2021 (informe 1323-PLA-PE-2021</w:t>
      </w:r>
      <w:r w:rsidRPr="008343D5">
        <w:rPr>
          <w:rFonts w:ascii="Arial Narrow" w:hAnsi="Arial Narrow"/>
        </w:rPr>
        <w:t xml:space="preserve"> del 24 de noviembre de 2021</w:t>
      </w:r>
      <w:r w:rsidRPr="009F2E32">
        <w:rPr>
          <w:rFonts w:ascii="Arial Narrow" w:hAnsi="Arial Narrow"/>
        </w:rPr>
        <w:t>)</w:t>
      </w:r>
      <w:r>
        <w:rPr>
          <w:rFonts w:ascii="Arial Narrow" w:hAnsi="Arial Narrow"/>
        </w:rPr>
        <w:t xml:space="preserve">, </w:t>
      </w:r>
      <w:r w:rsidRPr="008343D5">
        <w:rPr>
          <w:rFonts w:ascii="Arial Narrow" w:hAnsi="Arial Narrow"/>
        </w:rPr>
        <w:t xml:space="preserve">se comunica al Despacho de la Presidencia, </w:t>
      </w:r>
      <w:r>
        <w:rPr>
          <w:rFonts w:ascii="Arial Narrow" w:hAnsi="Arial Narrow"/>
        </w:rPr>
        <w:t xml:space="preserve">donde se informa que la </w:t>
      </w:r>
      <w:r w:rsidRPr="008343D5">
        <w:rPr>
          <w:rFonts w:ascii="Arial Narrow" w:hAnsi="Arial Narrow"/>
        </w:rPr>
        <w:t xml:space="preserve">Comisión de Buenas Prácticas durante el 2021 se reunió de manera virtual dos veces con el objetivo de gestionar el Concurso de Buenas Prácticas 2021 en su VIII Edición. El objetivo principal del Concurso de Buenas Prácticas 2021 es promover la mejora continua del servicio público con la participación de la población judicial, en la búsqueda de una gestión eficiente y un servicio de administración de justicia de calidad.   Por la razón anterior, se definió un cronograma de trabajo a desarrollar durante el 2021 para llevar a cabo la ejecución del Concurso de Buenas Prácticas de manera virtual debido a la pandemia </w:t>
      </w:r>
      <w:r>
        <w:rPr>
          <w:rFonts w:ascii="Arial Narrow" w:hAnsi="Arial Narrow"/>
        </w:rPr>
        <w:t>COVID-</w:t>
      </w:r>
      <w:r w:rsidRPr="008343D5">
        <w:rPr>
          <w:rFonts w:ascii="Arial Narrow" w:hAnsi="Arial Narrow"/>
        </w:rPr>
        <w:t xml:space="preserve">19. En total se realizaron 22 cápsulas informativas para que las oficinas participaran en el concurso de Buenas Prácticas 2021. </w:t>
      </w:r>
      <w:r>
        <w:rPr>
          <w:rFonts w:ascii="Arial Narrow" w:hAnsi="Arial Narrow"/>
        </w:rPr>
        <w:t xml:space="preserve"> </w:t>
      </w:r>
      <w:r w:rsidRPr="008343D5">
        <w:rPr>
          <w:rFonts w:ascii="Arial Narrow" w:hAnsi="Arial Narrow"/>
        </w:rPr>
        <w:t>Con el objetivo de obtener la mayor participación de las oficinas en el concurso de Buenas Prácticas, se solicitó audiencia a los diferentes Consejos de Administración de los Circuitos Judiciales, para motivar la inscripción de buenas prácticas de las diferentes oficinas y despachos judiciales del país</w:t>
      </w:r>
      <w:r>
        <w:rPr>
          <w:rFonts w:ascii="Arial Narrow" w:hAnsi="Arial Narrow"/>
        </w:rPr>
        <w:t>, entre otros esfuerzos realizados en el 2021.</w:t>
      </w:r>
    </w:p>
    <w:p w14:paraId="2C483870" w14:textId="77777777" w:rsidR="00696737" w:rsidRDefault="00696737" w:rsidP="00696737">
      <w:pPr>
        <w:jc w:val="both"/>
        <w:rPr>
          <w:rFonts w:ascii="Arial Narrow" w:hAnsi="Arial Narrow"/>
        </w:rPr>
      </w:pPr>
    </w:p>
    <w:p w14:paraId="69A9E758" w14:textId="0499791B" w:rsidR="00696737" w:rsidRDefault="00696737" w:rsidP="00696737">
      <w:pPr>
        <w:jc w:val="both"/>
        <w:rPr>
          <w:rFonts w:ascii="Arial Narrow" w:hAnsi="Arial Narrow"/>
        </w:rPr>
      </w:pPr>
      <w:bookmarkStart w:id="67" w:name="_Hlk98507802"/>
      <w:r>
        <w:rPr>
          <w:rFonts w:ascii="Arial Narrow" w:hAnsi="Arial Narrow"/>
        </w:rPr>
        <w:t>Finalmente, c</w:t>
      </w:r>
      <w:r w:rsidRPr="00EE6F8D">
        <w:rPr>
          <w:rFonts w:ascii="Arial Narrow" w:hAnsi="Arial Narrow"/>
        </w:rPr>
        <w:t>on respecto a</w:t>
      </w:r>
      <w:r w:rsidR="00061CF7">
        <w:rPr>
          <w:rFonts w:ascii="Arial Narrow" w:hAnsi="Arial Narrow"/>
        </w:rPr>
        <w:t xml:space="preserve"> este</w:t>
      </w:r>
      <w:r w:rsidRPr="00EE6F8D">
        <w:rPr>
          <w:rFonts w:ascii="Arial Narrow" w:hAnsi="Arial Narrow"/>
        </w:rPr>
        <w:t xml:space="preserve"> tema Estratégico de </w:t>
      </w:r>
      <w:r w:rsidRPr="00EE6F8D">
        <w:rPr>
          <w:rFonts w:ascii="Arial Narrow" w:hAnsi="Arial Narrow"/>
          <w:b/>
          <w:bCs/>
        </w:rPr>
        <w:t>Optimización e innovación de los servicios judiciales</w:t>
      </w:r>
      <w:r w:rsidRPr="00EE6F8D">
        <w:rPr>
          <w:rFonts w:ascii="Arial Narrow" w:hAnsi="Arial Narrow"/>
        </w:rPr>
        <w:t xml:space="preserve"> se tienen 15 metas estratégicas que presentan diversas situaciones: las metas fueron de reciente aprobación y por ende fueron incluidas y trabajadas hasta en el 2021 (años anteriores no</w:t>
      </w:r>
      <w:r>
        <w:rPr>
          <w:rFonts w:ascii="Arial Narrow" w:hAnsi="Arial Narrow"/>
        </w:rPr>
        <w:t xml:space="preserve"> se consideraron</w:t>
      </w:r>
      <w:r w:rsidRPr="00EE6F8D">
        <w:rPr>
          <w:rFonts w:ascii="Arial Narrow" w:hAnsi="Arial Narrow"/>
        </w:rPr>
        <w:t xml:space="preserve">), </w:t>
      </w:r>
      <w:r>
        <w:rPr>
          <w:rFonts w:ascii="Arial Narrow" w:hAnsi="Arial Narrow"/>
        </w:rPr>
        <w:t xml:space="preserve">y otro posible escenario es que </w:t>
      </w:r>
      <w:r w:rsidRPr="00EE6F8D">
        <w:rPr>
          <w:rFonts w:ascii="Arial Narrow" w:hAnsi="Arial Narrow"/>
        </w:rPr>
        <w:t>se desarrollaron de manera operativa en los años 2019 y 2020 y para el 2021</w:t>
      </w:r>
      <w:r>
        <w:rPr>
          <w:rFonts w:ascii="Arial Narrow" w:hAnsi="Arial Narrow"/>
        </w:rPr>
        <w:t xml:space="preserve"> las metas</w:t>
      </w:r>
      <w:r w:rsidRPr="00EE6F8D">
        <w:rPr>
          <w:rFonts w:ascii="Arial Narrow" w:hAnsi="Arial Narrow"/>
        </w:rPr>
        <w:t xml:space="preserve"> no presentan avances. </w:t>
      </w:r>
    </w:p>
    <w:p w14:paraId="3A589DC0" w14:textId="77777777" w:rsidR="00B56A16" w:rsidRPr="00EE6F8D" w:rsidRDefault="00B56A16" w:rsidP="00696737">
      <w:pPr>
        <w:jc w:val="both"/>
        <w:rPr>
          <w:rFonts w:ascii="Arial Narrow" w:hAnsi="Arial Narrow"/>
        </w:rPr>
      </w:pPr>
    </w:p>
    <w:p w14:paraId="5A6C1F9A" w14:textId="7CF22D91" w:rsidR="00A27C97" w:rsidRDefault="7B9C6FC8" w:rsidP="00696737">
      <w:pPr>
        <w:jc w:val="both"/>
        <w:rPr>
          <w:rFonts w:ascii="Arial Narrow" w:hAnsi="Arial Narrow"/>
        </w:rPr>
      </w:pPr>
      <w:r w:rsidRPr="0F07E111">
        <w:rPr>
          <w:rFonts w:ascii="Arial Narrow" w:hAnsi="Arial Narrow"/>
        </w:rPr>
        <w:t>Se detallan las metas según la situación presentada.</w:t>
      </w:r>
      <w:r w:rsidR="356F5A0A" w:rsidRPr="0F07E111">
        <w:rPr>
          <w:rFonts w:ascii="Arial Narrow" w:hAnsi="Arial Narrow"/>
        </w:rPr>
        <w:t xml:space="preserve"> </w:t>
      </w:r>
    </w:p>
    <w:p w14:paraId="0441A713" w14:textId="77777777" w:rsidR="00B56A16" w:rsidRPr="00EE6F8D" w:rsidRDefault="00B56A16" w:rsidP="00696737">
      <w:pPr>
        <w:jc w:val="both"/>
        <w:rPr>
          <w:rFonts w:ascii="Arial Narrow" w:hAnsi="Arial Narrow"/>
        </w:rPr>
      </w:pPr>
    </w:p>
    <w:p w14:paraId="118F07DD" w14:textId="77777777" w:rsidR="00696737" w:rsidRPr="00492EB4" w:rsidRDefault="00696737" w:rsidP="00696737">
      <w:pPr>
        <w:pStyle w:val="Prrafodelista"/>
        <w:numPr>
          <w:ilvl w:val="0"/>
          <w:numId w:val="34"/>
        </w:numPr>
        <w:spacing w:after="160"/>
        <w:contextualSpacing/>
        <w:jc w:val="both"/>
        <w:rPr>
          <w:rFonts w:ascii="Arial Narrow" w:hAnsi="Arial Narrow"/>
          <w:b/>
          <w:bCs/>
        </w:rPr>
      </w:pPr>
      <w:r w:rsidRPr="00492EB4">
        <w:rPr>
          <w:rFonts w:ascii="Arial Narrow" w:hAnsi="Arial Narrow"/>
          <w:b/>
          <w:bCs/>
        </w:rPr>
        <w:t xml:space="preserve">7 metas estratégicas reportaban datos para 2019 y 2020, pero ya para el 2021 no aparecen con avance estratégico. </w:t>
      </w:r>
      <w:r w:rsidRPr="006740D9">
        <w:rPr>
          <w:rFonts w:ascii="Arial Narrow" w:hAnsi="Arial Narrow"/>
          <w:b/>
          <w:bCs/>
          <w:u w:val="single"/>
        </w:rPr>
        <w:t>Estas metas no son consideradas dentro de esta evaluación puesto que no registran datos para el año 2021.</w:t>
      </w:r>
    </w:p>
    <w:p w14:paraId="372D6454" w14:textId="77777777" w:rsidR="00696737" w:rsidRPr="00191A62" w:rsidRDefault="00696737" w:rsidP="00696737">
      <w:pPr>
        <w:jc w:val="both"/>
        <w:rPr>
          <w:rFonts w:ascii="Arial Narrow" w:hAnsi="Arial Narrow"/>
        </w:rPr>
      </w:pPr>
    </w:p>
    <w:tbl>
      <w:tblPr>
        <w:tblStyle w:val="Tablaconcuadrcula"/>
        <w:tblW w:w="0" w:type="auto"/>
        <w:tblLook w:val="04A0" w:firstRow="1" w:lastRow="0" w:firstColumn="1" w:lastColumn="0" w:noHBand="0" w:noVBand="1"/>
      </w:tblPr>
      <w:tblGrid>
        <w:gridCol w:w="3681"/>
        <w:gridCol w:w="5147"/>
      </w:tblGrid>
      <w:tr w:rsidR="00696737" w:rsidRPr="00191A62" w14:paraId="405D07E3" w14:textId="77777777" w:rsidTr="00696737">
        <w:tc>
          <w:tcPr>
            <w:tcW w:w="3681" w:type="dxa"/>
            <w:shd w:val="clear" w:color="auto" w:fill="8EAADB" w:themeFill="accent1" w:themeFillTint="99"/>
          </w:tcPr>
          <w:p w14:paraId="636EC973" w14:textId="77777777" w:rsidR="00696737" w:rsidRPr="00191A62" w:rsidRDefault="00696737" w:rsidP="00696737">
            <w:pPr>
              <w:jc w:val="center"/>
              <w:rPr>
                <w:rFonts w:ascii="Arial Narrow" w:hAnsi="Arial Narrow"/>
                <w:b/>
                <w:bCs/>
              </w:rPr>
            </w:pPr>
            <w:r w:rsidRPr="00191A62">
              <w:rPr>
                <w:rFonts w:ascii="Arial Narrow" w:hAnsi="Arial Narrow"/>
                <w:b/>
                <w:bCs/>
              </w:rPr>
              <w:t>Meta estratégica</w:t>
            </w:r>
          </w:p>
        </w:tc>
        <w:tc>
          <w:tcPr>
            <w:tcW w:w="5147" w:type="dxa"/>
            <w:shd w:val="clear" w:color="auto" w:fill="8EAADB" w:themeFill="accent1" w:themeFillTint="99"/>
          </w:tcPr>
          <w:p w14:paraId="2C331FF0" w14:textId="77777777" w:rsidR="00696737" w:rsidRPr="00191A62" w:rsidRDefault="00696737" w:rsidP="00696737">
            <w:pPr>
              <w:jc w:val="center"/>
              <w:rPr>
                <w:rFonts w:ascii="Arial Narrow" w:hAnsi="Arial Narrow"/>
                <w:b/>
                <w:bCs/>
              </w:rPr>
            </w:pPr>
            <w:r w:rsidRPr="00191A62">
              <w:rPr>
                <w:rFonts w:ascii="Arial Narrow" w:hAnsi="Arial Narrow"/>
                <w:b/>
                <w:bCs/>
              </w:rPr>
              <w:t>Justificación</w:t>
            </w:r>
          </w:p>
        </w:tc>
      </w:tr>
      <w:tr w:rsidR="00696737" w:rsidRPr="00191A62" w14:paraId="0F1E56E4" w14:textId="77777777" w:rsidTr="00696737">
        <w:tc>
          <w:tcPr>
            <w:tcW w:w="3681" w:type="dxa"/>
          </w:tcPr>
          <w:p w14:paraId="4C04772A" w14:textId="77777777" w:rsidR="00696737" w:rsidRPr="00191A62" w:rsidRDefault="00696737" w:rsidP="00696737">
            <w:pPr>
              <w:jc w:val="both"/>
              <w:rPr>
                <w:rFonts w:ascii="Arial Narrow" w:hAnsi="Arial Narrow"/>
              </w:rPr>
            </w:pPr>
            <w:r w:rsidRPr="00191A62">
              <w:rPr>
                <w:rFonts w:ascii="Arial Narrow" w:hAnsi="Arial Narrow"/>
              </w:rPr>
              <w:t>OE.1.5.15.1 - Que al finalizar el 2024, se haya implementado una estrategia para ampliar la cobertura geográfica de disponibilidad del personal de la Unidad de Protección de Víctimas y Testigos.</w:t>
            </w:r>
          </w:p>
        </w:tc>
        <w:tc>
          <w:tcPr>
            <w:tcW w:w="5147" w:type="dxa"/>
          </w:tcPr>
          <w:p w14:paraId="625C6F15" w14:textId="77777777" w:rsidR="00696737" w:rsidRPr="00191A62" w:rsidRDefault="00696737" w:rsidP="00696737">
            <w:pPr>
              <w:jc w:val="both"/>
              <w:rPr>
                <w:rFonts w:ascii="Arial Narrow" w:hAnsi="Arial Narrow"/>
              </w:rPr>
            </w:pPr>
            <w:r w:rsidRPr="00191A62">
              <w:rPr>
                <w:rFonts w:ascii="Arial Narrow" w:hAnsi="Arial Narrow"/>
              </w:rPr>
              <w:t>Si se formuló para el 2021, se revisa el Sistema PEI. La meta tiene objetivo operativo en el 2021 sin embargo, no tiene meta operativa. Tiene objetivos en los periodos 2019-2024.</w:t>
            </w:r>
          </w:p>
        </w:tc>
      </w:tr>
      <w:tr w:rsidR="00696737" w:rsidRPr="00191A62" w14:paraId="2DB113E9" w14:textId="77777777" w:rsidTr="00696737">
        <w:tc>
          <w:tcPr>
            <w:tcW w:w="3681" w:type="dxa"/>
          </w:tcPr>
          <w:p w14:paraId="19F82FA3" w14:textId="77777777" w:rsidR="00696737" w:rsidRPr="00191A62" w:rsidRDefault="00696737" w:rsidP="00696737">
            <w:pPr>
              <w:jc w:val="both"/>
              <w:rPr>
                <w:rFonts w:ascii="Arial Narrow" w:hAnsi="Arial Narrow"/>
              </w:rPr>
            </w:pPr>
            <w:r w:rsidRPr="009A1AD7">
              <w:rPr>
                <w:rFonts w:ascii="Arial Narrow" w:hAnsi="Arial Narrow"/>
              </w:rPr>
              <w:t>OE.1.5.18.1 - Que al finalizar el 2024, se haya implementado el proyecto de rediseño de procesos en el Departamento de Medicina Legal.</w:t>
            </w:r>
          </w:p>
        </w:tc>
        <w:tc>
          <w:tcPr>
            <w:tcW w:w="5147" w:type="dxa"/>
          </w:tcPr>
          <w:p w14:paraId="61484CA4" w14:textId="77777777" w:rsidR="00696737" w:rsidRPr="00191A62" w:rsidRDefault="00696737" w:rsidP="00696737">
            <w:pPr>
              <w:jc w:val="both"/>
              <w:rPr>
                <w:rFonts w:ascii="Arial Narrow" w:hAnsi="Arial Narrow"/>
              </w:rPr>
            </w:pPr>
            <w:r w:rsidRPr="00BA1818">
              <w:rPr>
                <w:rFonts w:ascii="Arial Narrow" w:hAnsi="Arial Narrow"/>
              </w:rPr>
              <w:t xml:space="preserve">Según lo indicado en correo electrónico por la Dirección de Planificación este proceso se encuentra pendiente de informe definitivo. Por tanto, se está coordinando con la oficina para la elaboración del PAO en el que se incorpore esta </w:t>
            </w:r>
            <w:r>
              <w:rPr>
                <w:rFonts w:ascii="Arial Narrow" w:hAnsi="Arial Narrow"/>
              </w:rPr>
              <w:t>actividad, la cual sería contemplada en el 2022.</w:t>
            </w:r>
          </w:p>
        </w:tc>
      </w:tr>
      <w:tr w:rsidR="00696737" w:rsidRPr="00191A62" w14:paraId="1EEADF28" w14:textId="77777777" w:rsidTr="00696737">
        <w:tc>
          <w:tcPr>
            <w:tcW w:w="3681" w:type="dxa"/>
          </w:tcPr>
          <w:p w14:paraId="7D558D6F" w14:textId="77777777" w:rsidR="00696737" w:rsidRPr="00191A62" w:rsidRDefault="00696737" w:rsidP="00696737">
            <w:pPr>
              <w:jc w:val="both"/>
              <w:rPr>
                <w:rFonts w:ascii="Arial Narrow" w:hAnsi="Arial Narrow"/>
              </w:rPr>
            </w:pPr>
            <w:r w:rsidRPr="009A1AD7">
              <w:rPr>
                <w:rFonts w:ascii="Arial Narrow" w:hAnsi="Arial Narrow"/>
              </w:rPr>
              <w:t>OE.1.5.27.1 - Que al finalizar el 2024, se haya definido un plan para identificar e implementar aquellos servicios del Organismo de Investigación Judicial que puedan ser realizados en otras zonas del país.</w:t>
            </w:r>
          </w:p>
        </w:tc>
        <w:tc>
          <w:tcPr>
            <w:tcW w:w="5147" w:type="dxa"/>
          </w:tcPr>
          <w:p w14:paraId="561FD994" w14:textId="71CB1659" w:rsidR="00696737" w:rsidRPr="00191A62" w:rsidRDefault="00696737" w:rsidP="00696737">
            <w:pPr>
              <w:jc w:val="both"/>
              <w:rPr>
                <w:rFonts w:ascii="Arial Narrow" w:hAnsi="Arial Narrow"/>
              </w:rPr>
            </w:pPr>
            <w:r w:rsidRPr="00BA1818">
              <w:rPr>
                <w:rFonts w:ascii="Arial Narrow" w:hAnsi="Arial Narrow"/>
              </w:rPr>
              <w:t xml:space="preserve">La Dirección General del OIJ indica sobre la imposibilidad de cumplimiento de esta meta estratégica por cuanto dicha Dirección no aprobó el proyecto estratégico que permitiría la descentralización de los servicios que brinda la OPO. Sin embargo, sí </w:t>
            </w:r>
            <w:r w:rsidR="004853EA" w:rsidRPr="00BA1818">
              <w:rPr>
                <w:rFonts w:ascii="Arial Narrow" w:hAnsi="Arial Narrow"/>
              </w:rPr>
              <w:t>fórmula</w:t>
            </w:r>
            <w:r w:rsidRPr="00BA1818">
              <w:rPr>
                <w:rFonts w:ascii="Arial Narrow" w:hAnsi="Arial Narrow"/>
              </w:rPr>
              <w:t xml:space="preserve"> para los periodos 2022-2024.</w:t>
            </w:r>
          </w:p>
        </w:tc>
      </w:tr>
      <w:tr w:rsidR="00696737" w:rsidRPr="00191A62" w14:paraId="75004985" w14:textId="77777777" w:rsidTr="00696737">
        <w:tc>
          <w:tcPr>
            <w:tcW w:w="3681" w:type="dxa"/>
          </w:tcPr>
          <w:p w14:paraId="337FB396" w14:textId="77777777" w:rsidR="00696737" w:rsidRPr="00191A62" w:rsidRDefault="00696737" w:rsidP="00696737">
            <w:pPr>
              <w:jc w:val="both"/>
              <w:rPr>
                <w:rFonts w:ascii="Arial Narrow" w:hAnsi="Arial Narrow"/>
              </w:rPr>
            </w:pPr>
            <w:r w:rsidRPr="009A1AD7">
              <w:rPr>
                <w:rFonts w:ascii="Arial Narrow" w:hAnsi="Arial Narrow"/>
              </w:rPr>
              <w:t>OE.1.5.32.1 - Que al finalizar el 2024, se haya implementado el proyecto de Rediseño de Procesos en el Departamento de Ciencias Forenses.</w:t>
            </w:r>
          </w:p>
        </w:tc>
        <w:tc>
          <w:tcPr>
            <w:tcW w:w="5147" w:type="dxa"/>
          </w:tcPr>
          <w:p w14:paraId="451941DB" w14:textId="77777777" w:rsidR="00696737" w:rsidRPr="00191A62" w:rsidRDefault="00696737" w:rsidP="00696737">
            <w:pPr>
              <w:jc w:val="both"/>
              <w:rPr>
                <w:rFonts w:ascii="Arial Narrow" w:hAnsi="Arial Narrow"/>
              </w:rPr>
            </w:pPr>
            <w:r w:rsidRPr="00BA1818">
              <w:rPr>
                <w:rFonts w:ascii="Arial Narrow" w:hAnsi="Arial Narrow"/>
              </w:rPr>
              <w:t>Según lo indicado en correo electrónico por la Dirección de Planificación este proceso se encuentra pendiente de informe definitivo. Por tanto, se está coordinando con la oficina para la elaboración del PAO en el que se incorpore esta actividad</w:t>
            </w:r>
            <w:r>
              <w:rPr>
                <w:rFonts w:ascii="Arial Narrow" w:hAnsi="Arial Narrow"/>
              </w:rPr>
              <w:t>, la cual sería contemplada en el 2022</w:t>
            </w:r>
          </w:p>
        </w:tc>
      </w:tr>
      <w:tr w:rsidR="00696737" w:rsidRPr="00191A62" w14:paraId="7D4BE880" w14:textId="77777777" w:rsidTr="00696737">
        <w:tc>
          <w:tcPr>
            <w:tcW w:w="3681" w:type="dxa"/>
          </w:tcPr>
          <w:p w14:paraId="271160CA" w14:textId="77777777" w:rsidR="00696737" w:rsidRPr="00191A62" w:rsidRDefault="00696737" w:rsidP="00696737">
            <w:pPr>
              <w:jc w:val="both"/>
              <w:rPr>
                <w:rFonts w:ascii="Arial Narrow" w:hAnsi="Arial Narrow"/>
              </w:rPr>
            </w:pPr>
            <w:r w:rsidRPr="009A1AD7">
              <w:rPr>
                <w:rFonts w:ascii="Arial Narrow" w:hAnsi="Arial Narrow"/>
              </w:rPr>
              <w:t>OE.1.5.9.1 - Que al finalizar el 2024, haya logrado la acreditación en al menos 3 nuevas áreas avaladas por la Dirección General la reacreditaci</w:t>
            </w:r>
            <w:r>
              <w:rPr>
                <w:rFonts w:ascii="Arial Narrow" w:hAnsi="Arial Narrow"/>
              </w:rPr>
              <w:t>ó</w:t>
            </w:r>
            <w:r w:rsidRPr="009A1AD7">
              <w:rPr>
                <w:rFonts w:ascii="Arial Narrow" w:hAnsi="Arial Narrow"/>
              </w:rPr>
              <w:t>n en los 4 alcances que al 2018 ya se encuentran acreditas.</w:t>
            </w:r>
          </w:p>
        </w:tc>
        <w:tc>
          <w:tcPr>
            <w:tcW w:w="5147" w:type="dxa"/>
          </w:tcPr>
          <w:p w14:paraId="60BAE765" w14:textId="77777777" w:rsidR="00696737" w:rsidRPr="00191A62" w:rsidRDefault="00696737" w:rsidP="00696737">
            <w:pPr>
              <w:jc w:val="both"/>
              <w:rPr>
                <w:rFonts w:ascii="Arial Narrow" w:hAnsi="Arial Narrow"/>
              </w:rPr>
            </w:pPr>
            <w:r w:rsidRPr="00347C3E">
              <w:rPr>
                <w:rFonts w:ascii="Arial Narrow" w:hAnsi="Arial Narrow"/>
              </w:rPr>
              <w:t>La meta correspondiente es: Que al finalizar el 2024, haya logrado la certificación en los sistemas de gestión de calidad correspondientes, en al menos 5 de las oficinas definidas como prioritarias por la Dirección del Organismo de Investigación Judicial.</w:t>
            </w:r>
            <w:r>
              <w:rPr>
                <w:rFonts w:ascii="Arial Narrow" w:hAnsi="Arial Narrow"/>
              </w:rPr>
              <w:t xml:space="preserve"> Por lo tanto, la meta </w:t>
            </w:r>
            <w:r w:rsidRPr="009A1AD7">
              <w:rPr>
                <w:rFonts w:ascii="Arial Narrow" w:hAnsi="Arial Narrow"/>
              </w:rPr>
              <w:t>OE.1.5.9.1</w:t>
            </w:r>
            <w:r>
              <w:rPr>
                <w:rFonts w:ascii="Arial Narrow" w:hAnsi="Arial Narrow"/>
              </w:rPr>
              <w:t xml:space="preserve"> no corresponde.</w:t>
            </w:r>
          </w:p>
        </w:tc>
      </w:tr>
      <w:tr w:rsidR="00696737" w:rsidRPr="00191A62" w14:paraId="7585F3C3" w14:textId="77777777" w:rsidTr="00696737">
        <w:tc>
          <w:tcPr>
            <w:tcW w:w="3681" w:type="dxa"/>
          </w:tcPr>
          <w:p w14:paraId="64237C65" w14:textId="77777777" w:rsidR="00696737" w:rsidRPr="00191A62" w:rsidRDefault="00696737" w:rsidP="00696737">
            <w:pPr>
              <w:jc w:val="both"/>
              <w:rPr>
                <w:rFonts w:ascii="Arial Narrow" w:hAnsi="Arial Narrow"/>
              </w:rPr>
            </w:pPr>
            <w:r w:rsidRPr="009A1AD7">
              <w:rPr>
                <w:rFonts w:ascii="Arial Narrow" w:hAnsi="Arial Narrow"/>
              </w:rPr>
              <w:t>OE.1.4.9.1 - Que al finalizar el 2024, se haya incrementado la actualización de la infraestructura tecnológica por año.</w:t>
            </w:r>
          </w:p>
        </w:tc>
        <w:tc>
          <w:tcPr>
            <w:tcW w:w="5147" w:type="dxa"/>
          </w:tcPr>
          <w:p w14:paraId="40681F4F" w14:textId="77777777" w:rsidR="00696737" w:rsidRPr="005220A5" w:rsidRDefault="00696737" w:rsidP="00696737">
            <w:pPr>
              <w:jc w:val="both"/>
              <w:rPr>
                <w:rFonts w:ascii="Arial Narrow" w:hAnsi="Arial Narrow"/>
              </w:rPr>
            </w:pPr>
            <w:r w:rsidRPr="005220A5">
              <w:rPr>
                <w:rFonts w:ascii="Arial Narrow" w:hAnsi="Arial Narrow"/>
              </w:rPr>
              <w:t>La Dirección de Tecnología de la Información por medio del oficio 640-DTI-2022 comunicó que esta meta ya fue completada, sin embargo, se encuentra en estudio y análisis por parte de la Dirección de Planificación.</w:t>
            </w:r>
          </w:p>
        </w:tc>
      </w:tr>
      <w:tr w:rsidR="00696737" w:rsidRPr="00191A62" w14:paraId="04B49DC7" w14:textId="77777777" w:rsidTr="00696737">
        <w:tc>
          <w:tcPr>
            <w:tcW w:w="3681" w:type="dxa"/>
          </w:tcPr>
          <w:p w14:paraId="2EE5666B" w14:textId="77777777" w:rsidR="00696737" w:rsidRPr="00191A62" w:rsidRDefault="00696737" w:rsidP="00696737">
            <w:pPr>
              <w:jc w:val="both"/>
              <w:rPr>
                <w:rFonts w:ascii="Arial Narrow" w:hAnsi="Arial Narrow"/>
              </w:rPr>
            </w:pPr>
            <w:r w:rsidRPr="009A1AD7">
              <w:rPr>
                <w:rFonts w:ascii="Arial Narrow" w:hAnsi="Arial Narrow"/>
              </w:rPr>
              <w:t>OE.1.6.4.1 - Que al finalizar el 2024, se cuente con las tecnologías de información adecuadas para la implementación de modalidades alternativas de trabajo, considerando los aspectos de seguridad de la información y cumplimiento de la normativa vigente.</w:t>
            </w:r>
          </w:p>
        </w:tc>
        <w:tc>
          <w:tcPr>
            <w:tcW w:w="5147" w:type="dxa"/>
          </w:tcPr>
          <w:p w14:paraId="3196E3F9" w14:textId="77777777" w:rsidR="00696737" w:rsidRPr="005220A5" w:rsidRDefault="00696737" w:rsidP="00696737">
            <w:pPr>
              <w:jc w:val="both"/>
              <w:rPr>
                <w:rFonts w:ascii="Arial Narrow" w:hAnsi="Arial Narrow"/>
              </w:rPr>
            </w:pPr>
            <w:r w:rsidRPr="005220A5">
              <w:rPr>
                <w:rFonts w:ascii="Arial Narrow" w:hAnsi="Arial Narrow"/>
              </w:rPr>
              <w:t>La Dirección de Tecnología de la Información por medio del oficio 640-DTI-2022 comunicó que esta meta ya fue completada, sin embargo, se encuentra en estudio y análisis por parte de la Dirección de Planificación.</w:t>
            </w:r>
          </w:p>
        </w:tc>
      </w:tr>
    </w:tbl>
    <w:p w14:paraId="70BA0793" w14:textId="77777777" w:rsidR="00025C8D" w:rsidRPr="008F0B82" w:rsidRDefault="00025C8D" w:rsidP="00025C8D">
      <w:pPr>
        <w:jc w:val="center"/>
        <w:rPr>
          <w:rFonts w:ascii="Arial Narrow" w:eastAsia="Batang" w:hAnsi="Arial Narrow"/>
          <w:sz w:val="18"/>
          <w:szCs w:val="18"/>
          <w:lang w:eastAsia="en-US"/>
        </w:rPr>
      </w:pPr>
      <w:r w:rsidRPr="008F0B82">
        <w:rPr>
          <w:rFonts w:ascii="Arial Narrow" w:eastAsia="Batang" w:hAnsi="Arial Narrow"/>
          <w:sz w:val="18"/>
          <w:szCs w:val="18"/>
          <w:lang w:eastAsia="en-US"/>
        </w:rPr>
        <w:t>Fuente: elaboración propia con base en el análisis de hallazgos de la evaluación.</w:t>
      </w:r>
    </w:p>
    <w:p w14:paraId="2BC18605" w14:textId="77777777" w:rsidR="00025C8D" w:rsidRPr="008F0B82" w:rsidRDefault="00025C8D" w:rsidP="00025C8D">
      <w:pPr>
        <w:ind w:left="720"/>
        <w:jc w:val="both"/>
        <w:rPr>
          <w:rFonts w:ascii="Arial Narrow" w:eastAsia="Batang" w:hAnsi="Arial Narrow"/>
          <w:sz w:val="18"/>
          <w:szCs w:val="18"/>
          <w:lang w:eastAsia="en-US"/>
        </w:rPr>
      </w:pPr>
    </w:p>
    <w:p w14:paraId="2015985D" w14:textId="77777777" w:rsidR="00696737" w:rsidRPr="00191A62" w:rsidRDefault="00696737" w:rsidP="00696737">
      <w:pPr>
        <w:jc w:val="both"/>
        <w:rPr>
          <w:rFonts w:ascii="Arial Narrow" w:hAnsi="Arial Narrow"/>
        </w:rPr>
      </w:pPr>
    </w:p>
    <w:p w14:paraId="7782DCAE" w14:textId="77777777" w:rsidR="00696737" w:rsidRPr="00191A62" w:rsidRDefault="00696737" w:rsidP="00696737">
      <w:pPr>
        <w:pStyle w:val="Prrafodelista"/>
        <w:jc w:val="both"/>
        <w:rPr>
          <w:rFonts w:ascii="Arial Narrow" w:hAnsi="Arial Narrow"/>
        </w:rPr>
      </w:pPr>
    </w:p>
    <w:p w14:paraId="7259088D" w14:textId="77777777" w:rsidR="00696737" w:rsidRPr="00191A62" w:rsidRDefault="00696737" w:rsidP="00696737">
      <w:pPr>
        <w:pStyle w:val="Prrafodelista"/>
        <w:numPr>
          <w:ilvl w:val="0"/>
          <w:numId w:val="34"/>
        </w:numPr>
        <w:spacing w:after="160"/>
        <w:contextualSpacing/>
        <w:jc w:val="both"/>
        <w:rPr>
          <w:rFonts w:ascii="Arial Narrow" w:hAnsi="Arial Narrow"/>
        </w:rPr>
      </w:pPr>
      <w:r w:rsidRPr="00191A62">
        <w:rPr>
          <w:rFonts w:ascii="Arial Narrow" w:hAnsi="Arial Narrow"/>
        </w:rPr>
        <w:t>8 metas estratégicas son incorporadas para la evaluación del 2021, dado que los años anteriores, no reportaron avances estratégicos</w:t>
      </w:r>
      <w:r>
        <w:rPr>
          <w:rFonts w:ascii="Arial Narrow" w:hAnsi="Arial Narrow"/>
        </w:rPr>
        <w:t xml:space="preserve"> y no fueron sujetas de evaluación para esos años</w:t>
      </w:r>
      <w:r w:rsidRPr="00191A62">
        <w:rPr>
          <w:rFonts w:ascii="Arial Narrow" w:hAnsi="Arial Narrow"/>
        </w:rPr>
        <w:t xml:space="preserve">. </w:t>
      </w:r>
      <w:r w:rsidRPr="00191A62">
        <w:rPr>
          <w:rFonts w:ascii="Arial Narrow" w:hAnsi="Arial Narrow"/>
          <w:b/>
          <w:bCs/>
        </w:rPr>
        <w:t>Las 8 metas lograron un cumplimiento anual del 100%, sin embargo, aún no tienen cumplimiento acumulado del PEI puesto que hasta el 2021 se registran datos.</w:t>
      </w:r>
    </w:p>
    <w:p w14:paraId="5CAA077A" w14:textId="77777777" w:rsidR="00696737" w:rsidRPr="00191A62" w:rsidRDefault="00696737" w:rsidP="00696737">
      <w:pPr>
        <w:jc w:val="both"/>
        <w:rPr>
          <w:rFonts w:ascii="Arial Narrow" w:hAnsi="Arial Narrow"/>
        </w:rPr>
      </w:pPr>
      <w:r w:rsidRPr="00191A62">
        <w:rPr>
          <w:rFonts w:ascii="Arial Narrow" w:hAnsi="Arial Narrow"/>
        </w:rPr>
        <w:t xml:space="preserve"> </w:t>
      </w:r>
    </w:p>
    <w:tbl>
      <w:tblPr>
        <w:tblStyle w:val="Tablaconcuadrcula"/>
        <w:tblW w:w="0" w:type="auto"/>
        <w:tblLook w:val="04A0" w:firstRow="1" w:lastRow="0" w:firstColumn="1" w:lastColumn="0" w:noHBand="0" w:noVBand="1"/>
      </w:tblPr>
      <w:tblGrid>
        <w:gridCol w:w="2405"/>
        <w:gridCol w:w="2552"/>
        <w:gridCol w:w="3871"/>
      </w:tblGrid>
      <w:tr w:rsidR="00696737" w:rsidRPr="00191A62" w14:paraId="2407634D" w14:textId="77777777" w:rsidTr="00696737">
        <w:tc>
          <w:tcPr>
            <w:tcW w:w="2405" w:type="dxa"/>
            <w:shd w:val="clear" w:color="auto" w:fill="8EAADB" w:themeFill="accent1" w:themeFillTint="99"/>
            <w:vAlign w:val="center"/>
          </w:tcPr>
          <w:p w14:paraId="01EDAFB6" w14:textId="77777777" w:rsidR="00696737" w:rsidRPr="00191A62" w:rsidRDefault="00696737" w:rsidP="00696737">
            <w:pPr>
              <w:jc w:val="center"/>
              <w:rPr>
                <w:rFonts w:ascii="Arial Narrow" w:hAnsi="Arial Narrow"/>
                <w:b/>
                <w:bCs/>
              </w:rPr>
            </w:pPr>
            <w:r w:rsidRPr="00191A62">
              <w:rPr>
                <w:rFonts w:ascii="Arial Narrow" w:hAnsi="Arial Narrow"/>
                <w:b/>
                <w:bCs/>
              </w:rPr>
              <w:t>Meta estratégica</w:t>
            </w:r>
          </w:p>
        </w:tc>
        <w:tc>
          <w:tcPr>
            <w:tcW w:w="2552" w:type="dxa"/>
            <w:shd w:val="clear" w:color="auto" w:fill="8EAADB" w:themeFill="accent1" w:themeFillTint="99"/>
            <w:vAlign w:val="center"/>
          </w:tcPr>
          <w:p w14:paraId="167A8B2C" w14:textId="77777777" w:rsidR="00696737" w:rsidRPr="00191A62" w:rsidRDefault="00696737" w:rsidP="00696737">
            <w:pPr>
              <w:jc w:val="center"/>
              <w:rPr>
                <w:rFonts w:ascii="Arial Narrow" w:hAnsi="Arial Narrow"/>
                <w:b/>
                <w:bCs/>
              </w:rPr>
            </w:pPr>
            <w:r w:rsidRPr="00191A62">
              <w:rPr>
                <w:rFonts w:ascii="Arial Narrow" w:hAnsi="Arial Narrow"/>
                <w:b/>
                <w:bCs/>
              </w:rPr>
              <w:t>Justificación</w:t>
            </w:r>
            <w:r>
              <w:rPr>
                <w:rFonts w:ascii="Arial Narrow" w:hAnsi="Arial Narrow"/>
                <w:b/>
                <w:bCs/>
              </w:rPr>
              <w:t xml:space="preserve"> del 2019 y 2020</w:t>
            </w:r>
          </w:p>
        </w:tc>
        <w:tc>
          <w:tcPr>
            <w:tcW w:w="3871" w:type="dxa"/>
            <w:shd w:val="clear" w:color="auto" w:fill="8EAADB" w:themeFill="accent1" w:themeFillTint="99"/>
            <w:vAlign w:val="center"/>
          </w:tcPr>
          <w:p w14:paraId="7639D759" w14:textId="77777777" w:rsidR="00696737" w:rsidRPr="00191A62" w:rsidRDefault="00696737" w:rsidP="00696737">
            <w:pPr>
              <w:jc w:val="center"/>
              <w:rPr>
                <w:rFonts w:ascii="Arial Narrow" w:hAnsi="Arial Narrow"/>
                <w:b/>
                <w:bCs/>
              </w:rPr>
            </w:pPr>
            <w:r>
              <w:rPr>
                <w:rFonts w:ascii="Arial Narrow" w:hAnsi="Arial Narrow"/>
                <w:b/>
                <w:bCs/>
              </w:rPr>
              <w:t>Cumplimiento del 2021</w:t>
            </w:r>
          </w:p>
        </w:tc>
      </w:tr>
      <w:tr w:rsidR="00696737" w:rsidRPr="00191A62" w14:paraId="6EA296A3" w14:textId="77777777" w:rsidTr="00696737">
        <w:tc>
          <w:tcPr>
            <w:tcW w:w="2405" w:type="dxa"/>
            <w:vAlign w:val="center"/>
          </w:tcPr>
          <w:p w14:paraId="4A793F17" w14:textId="77777777" w:rsidR="00696737" w:rsidRPr="00191A62" w:rsidRDefault="00696737" w:rsidP="00696737">
            <w:pPr>
              <w:jc w:val="both"/>
              <w:rPr>
                <w:rFonts w:ascii="Arial Narrow" w:hAnsi="Arial Narrow"/>
              </w:rPr>
            </w:pPr>
            <w:r w:rsidRPr="00191A62">
              <w:rPr>
                <w:rFonts w:ascii="Arial Narrow" w:hAnsi="Arial Narrow"/>
              </w:rPr>
              <w:t>OE.1.5.24.1 - Que al finalizar el 2024, se haya ejecutado un plan de acción para la eliminación de la brecha de implementación del escritorio virtual en todas las materias.</w:t>
            </w:r>
          </w:p>
        </w:tc>
        <w:tc>
          <w:tcPr>
            <w:tcW w:w="2552" w:type="dxa"/>
            <w:vAlign w:val="center"/>
          </w:tcPr>
          <w:p w14:paraId="28761F16" w14:textId="77777777" w:rsidR="00696737" w:rsidRPr="00191A62" w:rsidRDefault="00696737" w:rsidP="00696737">
            <w:pPr>
              <w:jc w:val="both"/>
              <w:rPr>
                <w:rFonts w:ascii="Arial Narrow" w:hAnsi="Arial Narrow"/>
              </w:rPr>
            </w:pPr>
            <w:r w:rsidRPr="008D1AEB">
              <w:rPr>
                <w:rFonts w:ascii="Arial Narrow" w:hAnsi="Arial Narrow"/>
              </w:rPr>
              <w:t xml:space="preserve">Si se formuló para el 2019, </w:t>
            </w:r>
            <w:r w:rsidRPr="00191A62">
              <w:rPr>
                <w:rFonts w:ascii="Arial Narrow" w:hAnsi="Arial Narrow"/>
              </w:rPr>
              <w:t>sin embargo, fue cancelada desde la meta operativa. P</w:t>
            </w:r>
            <w:r w:rsidRPr="008D1AEB">
              <w:rPr>
                <w:rFonts w:ascii="Arial Narrow" w:hAnsi="Arial Narrow"/>
              </w:rPr>
              <w:t>ara el 2020</w:t>
            </w:r>
            <w:r w:rsidRPr="00191A62">
              <w:rPr>
                <w:rFonts w:ascii="Arial Narrow" w:hAnsi="Arial Narrow"/>
              </w:rPr>
              <w:t xml:space="preserve"> no se formuló. </w:t>
            </w:r>
            <w:r w:rsidRPr="008D1AEB">
              <w:rPr>
                <w:rFonts w:ascii="Arial Narrow" w:hAnsi="Arial Narrow"/>
              </w:rPr>
              <w:t>Tiene objetivos en los periodos 2019-2024 con excepción del 2020</w:t>
            </w:r>
            <w:r w:rsidRPr="00191A62">
              <w:rPr>
                <w:rFonts w:ascii="Arial Narrow" w:hAnsi="Arial Narrow"/>
              </w:rPr>
              <w:t>.</w:t>
            </w:r>
          </w:p>
        </w:tc>
        <w:tc>
          <w:tcPr>
            <w:tcW w:w="3871" w:type="dxa"/>
            <w:vAlign w:val="center"/>
          </w:tcPr>
          <w:p w14:paraId="56935EA4" w14:textId="77777777" w:rsidR="00696737" w:rsidRPr="008D1AEB" w:rsidRDefault="00696737" w:rsidP="00696737">
            <w:pPr>
              <w:jc w:val="both"/>
              <w:rPr>
                <w:rFonts w:ascii="Arial Narrow" w:hAnsi="Arial Narrow"/>
              </w:rPr>
            </w:pPr>
            <w:r>
              <w:rPr>
                <w:rFonts w:ascii="Arial Narrow" w:hAnsi="Arial Narrow"/>
              </w:rPr>
              <w:t xml:space="preserve">Se cumple con el objetivo operativo de </w:t>
            </w:r>
            <w:r w:rsidRPr="0098380B">
              <w:rPr>
                <w:rFonts w:ascii="Arial Narrow" w:hAnsi="Arial Narrow"/>
              </w:rPr>
              <w:t>Implementar el plan de acción para la eliminación de la brecha de implementación del escritorio virtual en todas las materia</w:t>
            </w:r>
            <w:r>
              <w:rPr>
                <w:rFonts w:ascii="Arial Narrow" w:hAnsi="Arial Narrow"/>
              </w:rPr>
              <w:t>s, por lo tanto, se logra f</w:t>
            </w:r>
            <w:r w:rsidRPr="0098380B">
              <w:rPr>
                <w:rFonts w:ascii="Arial Narrow" w:hAnsi="Arial Narrow"/>
              </w:rPr>
              <w:t xml:space="preserve">inalizar las capacitaciones del Escritorio Virtual al personal de: Fiscalía de Siquirres, Juzgado Penal y Tribunal Penal de Puntarenas, Tribunal Penal de Pavas, Tribunal Penal del I Circuito Judicial de Guanacaste (Liberia), Tribunal de Flagrancia de Goicoechea. </w:t>
            </w:r>
            <w:r>
              <w:rPr>
                <w:rFonts w:ascii="Arial Narrow" w:hAnsi="Arial Narrow"/>
              </w:rPr>
              <w:t>Además, se implanta</w:t>
            </w:r>
            <w:r w:rsidRPr="0098380B">
              <w:rPr>
                <w:rFonts w:ascii="Arial Narrow" w:hAnsi="Arial Narrow"/>
              </w:rPr>
              <w:t xml:space="preserve"> el sistema de Escritorio Virtual en las siguientes oficinas: Juzgado Notarial, Juzgado Transito I Circuito Judicial Alajuela, Juzgado Tránsito Puntarenas</w:t>
            </w:r>
            <w:r>
              <w:rPr>
                <w:rFonts w:ascii="Arial Narrow" w:hAnsi="Arial Narrow"/>
              </w:rPr>
              <w:t>.</w:t>
            </w:r>
          </w:p>
        </w:tc>
      </w:tr>
      <w:tr w:rsidR="00696737" w14:paraId="128C2CAF" w14:textId="77777777" w:rsidTr="00696737">
        <w:tc>
          <w:tcPr>
            <w:tcW w:w="2405" w:type="dxa"/>
            <w:vAlign w:val="center"/>
          </w:tcPr>
          <w:p w14:paraId="6E79DBFB" w14:textId="77777777" w:rsidR="00696737" w:rsidRPr="00EE6F8D" w:rsidRDefault="00696737" w:rsidP="00696737">
            <w:pPr>
              <w:jc w:val="both"/>
              <w:rPr>
                <w:rFonts w:ascii="Arial Narrow" w:hAnsi="Arial Narrow"/>
              </w:rPr>
            </w:pPr>
            <w:r w:rsidRPr="009A1AD7">
              <w:rPr>
                <w:rFonts w:ascii="Arial Narrow" w:hAnsi="Arial Narrow"/>
              </w:rPr>
              <w:t>OE.1.5.29.1 - Que al finalizar el 2024, se haya desarrollado y aprobado el reglamento que rija las funciones y competencias del Centro de Apoyo, Coordinación y Mejoramiento de la Función Jurisdiccional.</w:t>
            </w:r>
          </w:p>
        </w:tc>
        <w:tc>
          <w:tcPr>
            <w:tcW w:w="2552" w:type="dxa"/>
            <w:vAlign w:val="center"/>
          </w:tcPr>
          <w:p w14:paraId="53F91442" w14:textId="77777777" w:rsidR="00696737" w:rsidRPr="00EE6F8D" w:rsidRDefault="00696737" w:rsidP="00696737">
            <w:pPr>
              <w:jc w:val="both"/>
              <w:rPr>
                <w:rFonts w:ascii="Arial Narrow" w:hAnsi="Arial Narrow"/>
              </w:rPr>
            </w:pPr>
            <w:r w:rsidRPr="00AE6518">
              <w:rPr>
                <w:rFonts w:ascii="Arial Narrow" w:hAnsi="Arial Narrow"/>
              </w:rPr>
              <w:t>Si se formuló para el 2019, no para el 2020.  Tiene objetivos para los periodos 2019-2023, con excepción del 2020.</w:t>
            </w:r>
          </w:p>
        </w:tc>
        <w:tc>
          <w:tcPr>
            <w:tcW w:w="3871" w:type="dxa"/>
            <w:vAlign w:val="center"/>
          </w:tcPr>
          <w:p w14:paraId="158B0D5C" w14:textId="77777777" w:rsidR="00696737" w:rsidRPr="00EE6F8D" w:rsidRDefault="00696737" w:rsidP="00696737">
            <w:pPr>
              <w:jc w:val="both"/>
              <w:rPr>
                <w:rFonts w:ascii="Arial Narrow" w:hAnsi="Arial Narrow"/>
              </w:rPr>
            </w:pPr>
            <w:r>
              <w:rPr>
                <w:rFonts w:ascii="Arial Narrow" w:hAnsi="Arial Narrow"/>
              </w:rPr>
              <w:t xml:space="preserve">Se tiene que para el 2021 se trabajó en el reglamento por parte del </w:t>
            </w:r>
            <w:r w:rsidRPr="009A1AD7">
              <w:rPr>
                <w:rFonts w:ascii="Arial Narrow" w:hAnsi="Arial Narrow"/>
              </w:rPr>
              <w:t>Centro de Apoyo, Coordinación y Mejoramiento de la Función Jurisdiccional</w:t>
            </w:r>
            <w:r>
              <w:rPr>
                <w:rFonts w:ascii="Arial Narrow" w:hAnsi="Arial Narrow"/>
              </w:rPr>
              <w:t>, el cual se remite por parte del</w:t>
            </w:r>
            <w:r w:rsidRPr="002F41F1">
              <w:rPr>
                <w:rFonts w:ascii="Arial Narrow" w:hAnsi="Arial Narrow"/>
              </w:rPr>
              <w:t xml:space="preserve"> Despacho de la Presidencia a la Dirección Jurídica para análisis (tiene la referencia 165-2021, y está en estudio por parte de los abogados de la Dirección Jurídica y se encuentra en trámite. Oficio DP-051-2021 del Reglamento CACMFJ.</w:t>
            </w:r>
          </w:p>
        </w:tc>
      </w:tr>
      <w:tr w:rsidR="00696737" w14:paraId="3EF45F16" w14:textId="77777777" w:rsidTr="00696737">
        <w:tc>
          <w:tcPr>
            <w:tcW w:w="2405" w:type="dxa"/>
            <w:vAlign w:val="center"/>
          </w:tcPr>
          <w:p w14:paraId="269AFA23" w14:textId="77777777" w:rsidR="00696737" w:rsidRPr="00EE6F8D" w:rsidRDefault="00696737" w:rsidP="00696737">
            <w:pPr>
              <w:jc w:val="both"/>
              <w:rPr>
                <w:rFonts w:ascii="Arial Narrow" w:hAnsi="Arial Narrow"/>
              </w:rPr>
            </w:pPr>
            <w:r w:rsidRPr="009A1AD7">
              <w:rPr>
                <w:rFonts w:ascii="Arial Narrow" w:hAnsi="Arial Narrow"/>
              </w:rPr>
              <w:t>OE.1.5.33.1 - Que al finalizar el 2024, se implementado los procesos constitucionales, procedimientos administrativos, disciplinarios, de responsabilidad civil y sancionatorios de contratación administrativa, competencia de la Dirección Jurídica.</w:t>
            </w:r>
          </w:p>
        </w:tc>
        <w:tc>
          <w:tcPr>
            <w:tcW w:w="2552" w:type="dxa"/>
            <w:vAlign w:val="center"/>
          </w:tcPr>
          <w:p w14:paraId="227ACBE9" w14:textId="77777777" w:rsidR="00696737" w:rsidRPr="00EE6F8D" w:rsidRDefault="00696737" w:rsidP="00696737">
            <w:pPr>
              <w:jc w:val="both"/>
              <w:rPr>
                <w:rFonts w:ascii="Arial Narrow" w:hAnsi="Arial Narrow"/>
              </w:rPr>
            </w:pPr>
            <w:r w:rsidRPr="00347C3E">
              <w:rPr>
                <w:rFonts w:ascii="Arial Narrow" w:hAnsi="Arial Narrow"/>
              </w:rPr>
              <w:t xml:space="preserve">Es una meta nueva de la Dirección Jurídica, se ajusta con la redacción aprobada en la versión 8.0 : </w:t>
            </w:r>
            <w:r w:rsidRPr="002F41F1">
              <w:rPr>
                <w:rFonts w:ascii="Arial Narrow" w:hAnsi="Arial Narrow"/>
                <w:i/>
                <w:iCs/>
              </w:rPr>
              <w:t>OE.1.5.33.1 - Que al finalizar el 2024, se haya gestionado los procesos constitucionales, procedimientos administrativos, disciplinarios, de responsabilidad civil y sancionatorios de contratación administrativa, competencia de la Dirección Jurídica</w:t>
            </w:r>
            <w:r w:rsidRPr="00347C3E">
              <w:rPr>
                <w:rFonts w:ascii="Arial Narrow" w:hAnsi="Arial Narrow"/>
              </w:rPr>
              <w:t>.</w:t>
            </w:r>
          </w:p>
        </w:tc>
        <w:tc>
          <w:tcPr>
            <w:tcW w:w="3871" w:type="dxa"/>
            <w:vAlign w:val="center"/>
          </w:tcPr>
          <w:p w14:paraId="5BED7027" w14:textId="77777777" w:rsidR="00696737" w:rsidRPr="00EE6F8D" w:rsidRDefault="00696737" w:rsidP="00696737">
            <w:pPr>
              <w:jc w:val="both"/>
              <w:rPr>
                <w:rFonts w:ascii="Arial Narrow" w:hAnsi="Arial Narrow"/>
              </w:rPr>
            </w:pPr>
            <w:r>
              <w:rPr>
                <w:rFonts w:ascii="Arial Narrow" w:hAnsi="Arial Narrow"/>
              </w:rPr>
              <w:t xml:space="preserve">Mediante oficio del </w:t>
            </w:r>
            <w:r w:rsidRPr="002F41F1">
              <w:rPr>
                <w:rFonts w:ascii="Arial Narrow" w:hAnsi="Arial Narrow"/>
              </w:rPr>
              <w:t>18 de noviembre de 2021</w:t>
            </w:r>
            <w:r>
              <w:rPr>
                <w:rFonts w:ascii="Arial Narrow" w:hAnsi="Arial Narrow"/>
              </w:rPr>
              <w:t xml:space="preserve">, la Dirección Jurídica </w:t>
            </w:r>
            <w:r w:rsidRPr="00847D98">
              <w:rPr>
                <w:rFonts w:ascii="Arial Narrow" w:hAnsi="Arial Narrow"/>
              </w:rPr>
              <w:t>detalla el informe de labores del Área de Procedimientos Disciplinarios y Jurisdiccionales de la Dirección Jurídica por medio del cual se detallan los procedimientos administrativos por quejas o denuncias que se presentan contra el Poder Judicial en otras instancias del Estado, como es el caso de las Órdenes Sanitarias ante el Ministerio de Salud, Informes de Inspección ante la CCSS</w:t>
            </w:r>
            <w:r>
              <w:rPr>
                <w:rFonts w:ascii="Arial Narrow" w:hAnsi="Arial Narrow"/>
              </w:rPr>
              <w:t xml:space="preserve">, así como sus actuaciones como </w:t>
            </w:r>
            <w:r w:rsidRPr="00847D98">
              <w:rPr>
                <w:rFonts w:ascii="Arial Narrow" w:hAnsi="Arial Narrow"/>
              </w:rPr>
              <w:t>órgano director del procedimiento en los procesos administrativos de nulidad absoluta evidente y manifiesta, y en las causas disciplinarias seguidas contra las personas que se desempeñan como Auxiliares de Justicia</w:t>
            </w:r>
            <w:r>
              <w:rPr>
                <w:rFonts w:ascii="Arial Narrow" w:hAnsi="Arial Narrow"/>
              </w:rPr>
              <w:t>.</w:t>
            </w:r>
          </w:p>
        </w:tc>
      </w:tr>
      <w:tr w:rsidR="00696737" w14:paraId="480650F1" w14:textId="77777777" w:rsidTr="00696737">
        <w:tc>
          <w:tcPr>
            <w:tcW w:w="2405" w:type="dxa"/>
            <w:vAlign w:val="center"/>
          </w:tcPr>
          <w:p w14:paraId="3FF09D71" w14:textId="77777777" w:rsidR="00696737" w:rsidRPr="00EE6F8D" w:rsidRDefault="00696737" w:rsidP="00696737">
            <w:pPr>
              <w:jc w:val="both"/>
              <w:rPr>
                <w:rFonts w:ascii="Arial Narrow" w:hAnsi="Arial Narrow"/>
              </w:rPr>
            </w:pPr>
            <w:r w:rsidRPr="009A1AD7">
              <w:rPr>
                <w:rFonts w:ascii="Arial Narrow" w:hAnsi="Arial Narrow"/>
              </w:rPr>
              <w:t>OE.1.5.5.1 - Que al finalizar el 2024, se haya reducido el tiempo de los procesos y los procedimientos de la ejecución presupuestaria.</w:t>
            </w:r>
          </w:p>
        </w:tc>
        <w:tc>
          <w:tcPr>
            <w:tcW w:w="2552" w:type="dxa"/>
            <w:vAlign w:val="center"/>
          </w:tcPr>
          <w:p w14:paraId="0CD4D8B6" w14:textId="77777777" w:rsidR="00696737" w:rsidRPr="00EE6F8D" w:rsidRDefault="00696737" w:rsidP="00696737">
            <w:pPr>
              <w:jc w:val="both"/>
              <w:rPr>
                <w:rFonts w:ascii="Arial Narrow" w:hAnsi="Arial Narrow"/>
              </w:rPr>
            </w:pPr>
            <w:r>
              <w:rPr>
                <w:rFonts w:ascii="Arial Narrow" w:hAnsi="Arial Narrow"/>
              </w:rPr>
              <w:t>N</w:t>
            </w:r>
            <w:r w:rsidRPr="00347C3E">
              <w:rPr>
                <w:rFonts w:ascii="Arial Narrow" w:hAnsi="Arial Narrow"/>
              </w:rPr>
              <w:t>o coincidía la meta entre el PEI y la versión 8.0, se realizó el ajuste según lo aprobado en la versión 8.0</w:t>
            </w:r>
            <w:r>
              <w:rPr>
                <w:rFonts w:ascii="Arial Narrow" w:hAnsi="Arial Narrow"/>
              </w:rPr>
              <w:t xml:space="preserve"> y en el 2021 se evidencian los esfuerzos realizados.</w:t>
            </w:r>
          </w:p>
        </w:tc>
        <w:tc>
          <w:tcPr>
            <w:tcW w:w="3871" w:type="dxa"/>
            <w:vAlign w:val="center"/>
          </w:tcPr>
          <w:p w14:paraId="5C8A7DBB" w14:textId="77777777" w:rsidR="00696737" w:rsidRPr="00EE6F8D" w:rsidRDefault="00696737" w:rsidP="00696737">
            <w:pPr>
              <w:jc w:val="both"/>
              <w:rPr>
                <w:rFonts w:ascii="Arial Narrow" w:hAnsi="Arial Narrow"/>
              </w:rPr>
            </w:pPr>
            <w:r>
              <w:rPr>
                <w:rFonts w:ascii="Arial Narrow" w:hAnsi="Arial Narrow"/>
              </w:rPr>
              <w:t xml:space="preserve">Se detalla por parte de la Dirección Ejecutiva que </w:t>
            </w:r>
            <w:r w:rsidRPr="00847D98">
              <w:rPr>
                <w:rFonts w:ascii="Arial Narrow" w:hAnsi="Arial Narrow"/>
              </w:rPr>
              <w:t>La ejecución fue del 97,26% en los recursos devengados, más el 1,29% de los recursos comprometidos; al cierre del periodo se logró una ejecución de 98,55%. Resultado final: en términos materiales e inmateriales, tiene como efecto la provisión de bienes y servicios para prestar el servicio público a la Administ</w:t>
            </w:r>
            <w:r>
              <w:rPr>
                <w:rFonts w:ascii="Arial Narrow" w:hAnsi="Arial Narrow"/>
              </w:rPr>
              <w:t>ración</w:t>
            </w:r>
            <w:r w:rsidRPr="00847D98">
              <w:rPr>
                <w:rFonts w:ascii="Arial Narrow" w:hAnsi="Arial Narrow"/>
              </w:rPr>
              <w:t xml:space="preserve"> de Justicia. Al tratarse del </w:t>
            </w:r>
            <w:r>
              <w:rPr>
                <w:rFonts w:ascii="Arial Narrow" w:hAnsi="Arial Narrow"/>
              </w:rPr>
              <w:t>presupuesto</w:t>
            </w:r>
            <w:r w:rsidRPr="00847D98">
              <w:rPr>
                <w:rFonts w:ascii="Arial Narrow" w:hAnsi="Arial Narrow"/>
              </w:rPr>
              <w:t xml:space="preserve"> instituc</w:t>
            </w:r>
            <w:r>
              <w:rPr>
                <w:rFonts w:ascii="Arial Narrow" w:hAnsi="Arial Narrow"/>
              </w:rPr>
              <w:t>ional</w:t>
            </w:r>
            <w:r w:rsidRPr="00847D98">
              <w:rPr>
                <w:rFonts w:ascii="Arial Narrow" w:hAnsi="Arial Narrow"/>
              </w:rPr>
              <w:t>; el beneficio se presenta para todas las personas usuarias, tanto internas como externas y el fortalecimiento del PJ como pilar de la democracia.</w:t>
            </w:r>
          </w:p>
        </w:tc>
      </w:tr>
      <w:tr w:rsidR="00696737" w14:paraId="52F91591" w14:textId="77777777" w:rsidTr="00696737">
        <w:tc>
          <w:tcPr>
            <w:tcW w:w="2405" w:type="dxa"/>
            <w:vAlign w:val="center"/>
          </w:tcPr>
          <w:p w14:paraId="355BF782" w14:textId="77777777" w:rsidR="00696737" w:rsidRPr="00EE6F8D" w:rsidRDefault="00696737" w:rsidP="00696737">
            <w:pPr>
              <w:jc w:val="both"/>
              <w:rPr>
                <w:rFonts w:ascii="Arial Narrow" w:hAnsi="Arial Narrow"/>
              </w:rPr>
            </w:pPr>
            <w:r w:rsidRPr="009A1AD7">
              <w:rPr>
                <w:rFonts w:ascii="Arial Narrow" w:hAnsi="Arial Narrow"/>
              </w:rPr>
              <w:t>OE.1.5.9.1 - Que al finalizar el 2024, haya logrado la certificación en los sistemas de gestión de calidad correspondientes, en al menos 5 de las oficinas definidas como prioritarias por la Dirección del Organismo de Investigación Judicial.</w:t>
            </w:r>
          </w:p>
        </w:tc>
        <w:tc>
          <w:tcPr>
            <w:tcW w:w="2552" w:type="dxa"/>
            <w:vAlign w:val="center"/>
          </w:tcPr>
          <w:p w14:paraId="2432F46B" w14:textId="77777777" w:rsidR="00696737" w:rsidRPr="00EE6F8D" w:rsidRDefault="00696737" w:rsidP="00696737">
            <w:pPr>
              <w:jc w:val="both"/>
              <w:rPr>
                <w:rFonts w:ascii="Arial Narrow" w:hAnsi="Arial Narrow"/>
              </w:rPr>
            </w:pPr>
            <w:r>
              <w:rPr>
                <w:rFonts w:ascii="Arial Narrow" w:hAnsi="Arial Narrow"/>
              </w:rPr>
              <w:t xml:space="preserve">La meta fue ajustada en su redacción, antes se leía: </w:t>
            </w:r>
            <w:r w:rsidRPr="009A1AD7">
              <w:rPr>
                <w:rFonts w:ascii="Arial Narrow" w:hAnsi="Arial Narrow"/>
              </w:rPr>
              <w:t>OE.1.5.9.1 - Que al finalizar el 2024, haya logrado la acreditación en al menos 3 nuevas áreas avaladas por la Dirección General la reacreditaci</w:t>
            </w:r>
            <w:r>
              <w:rPr>
                <w:rFonts w:ascii="Arial Narrow" w:hAnsi="Arial Narrow"/>
              </w:rPr>
              <w:t>ó</w:t>
            </w:r>
            <w:r w:rsidRPr="009A1AD7">
              <w:rPr>
                <w:rFonts w:ascii="Arial Narrow" w:hAnsi="Arial Narrow"/>
              </w:rPr>
              <w:t>n en los 4 alcances que al 2018 ya se encuentran acreditas.</w:t>
            </w:r>
            <w:r>
              <w:rPr>
                <w:rFonts w:ascii="Arial Narrow" w:hAnsi="Arial Narrow"/>
              </w:rPr>
              <w:t xml:space="preserve"> Para el 2021 registran cumplimientos los cuales se consignan.</w:t>
            </w:r>
          </w:p>
        </w:tc>
        <w:tc>
          <w:tcPr>
            <w:tcW w:w="3871" w:type="dxa"/>
            <w:vAlign w:val="center"/>
          </w:tcPr>
          <w:p w14:paraId="51D77D91" w14:textId="77777777" w:rsidR="00696737" w:rsidRPr="00EE6F8D" w:rsidRDefault="00696737" w:rsidP="00696737">
            <w:pPr>
              <w:jc w:val="both"/>
              <w:rPr>
                <w:rFonts w:ascii="Arial Narrow" w:hAnsi="Arial Narrow"/>
              </w:rPr>
            </w:pPr>
            <w:r>
              <w:rPr>
                <w:rFonts w:ascii="Arial Narrow" w:hAnsi="Arial Narrow"/>
              </w:rPr>
              <w:t xml:space="preserve">Como parte de los resultados obtenidos en el 2021 se llevó a cabo </w:t>
            </w:r>
            <w:r w:rsidRPr="00847D98">
              <w:rPr>
                <w:rFonts w:ascii="Arial Narrow" w:hAnsi="Arial Narrow"/>
              </w:rPr>
              <w:t xml:space="preserve">la auditoría en el Departamento de Ciencias Forenses en la semana del 20 al 24 de setiembre del </w:t>
            </w:r>
            <w:r>
              <w:rPr>
                <w:rFonts w:ascii="Arial Narrow" w:hAnsi="Arial Narrow"/>
              </w:rPr>
              <w:t>2021</w:t>
            </w:r>
            <w:r w:rsidRPr="00847D98">
              <w:rPr>
                <w:rFonts w:ascii="Arial Narrow" w:hAnsi="Arial Narrow"/>
              </w:rPr>
              <w:t xml:space="preserve">. Dicha semana se terminó la evaluación práctica del proceso de reacreditación de alcances en el Departamento de Ciencias Forenses, </w:t>
            </w:r>
            <w:r>
              <w:rPr>
                <w:rFonts w:ascii="Arial Narrow" w:hAnsi="Arial Narrow"/>
              </w:rPr>
              <w:t>se mantuvo una</w:t>
            </w:r>
            <w:r w:rsidRPr="00847D98">
              <w:rPr>
                <w:rFonts w:ascii="Arial Narrow" w:hAnsi="Arial Narrow"/>
              </w:rPr>
              <w:t xml:space="preserve"> reunión de cierre entre personal del Departamento y el equipo de asesores, se indicó de manera verbal el resultado obtenido, el cual fue positivo al no encontrarse no conformidades</w:t>
            </w:r>
            <w:r>
              <w:rPr>
                <w:rFonts w:ascii="Arial Narrow" w:hAnsi="Arial Narrow"/>
              </w:rPr>
              <w:t xml:space="preserve">. A su vez, se presentaron </w:t>
            </w:r>
            <w:r w:rsidRPr="0074319D">
              <w:rPr>
                <w:rFonts w:ascii="Arial Narrow" w:hAnsi="Arial Narrow"/>
              </w:rPr>
              <w:t>informes a la Unidad de Gestión de Calidad del D</w:t>
            </w:r>
            <w:r>
              <w:rPr>
                <w:rFonts w:ascii="Arial Narrow" w:hAnsi="Arial Narrow"/>
              </w:rPr>
              <w:t xml:space="preserve">epartamento de </w:t>
            </w:r>
            <w:r w:rsidRPr="0074319D">
              <w:rPr>
                <w:rFonts w:ascii="Arial Narrow" w:hAnsi="Arial Narrow"/>
              </w:rPr>
              <w:t>M</w:t>
            </w:r>
            <w:r>
              <w:rPr>
                <w:rFonts w:ascii="Arial Narrow" w:hAnsi="Arial Narrow"/>
              </w:rPr>
              <w:t xml:space="preserve">edicina </w:t>
            </w:r>
            <w:r w:rsidRPr="0074319D">
              <w:rPr>
                <w:rFonts w:ascii="Arial Narrow" w:hAnsi="Arial Narrow"/>
              </w:rPr>
              <w:t>L</w:t>
            </w:r>
            <w:r>
              <w:rPr>
                <w:rFonts w:ascii="Arial Narrow" w:hAnsi="Arial Narrow"/>
              </w:rPr>
              <w:t>egal</w:t>
            </w:r>
            <w:r w:rsidRPr="0074319D">
              <w:rPr>
                <w:rFonts w:ascii="Arial Narrow" w:hAnsi="Arial Narrow"/>
              </w:rPr>
              <w:t xml:space="preserve"> donde se document</w:t>
            </w:r>
            <w:r>
              <w:rPr>
                <w:rFonts w:ascii="Arial Narrow" w:hAnsi="Arial Narrow"/>
              </w:rPr>
              <w:t>a</w:t>
            </w:r>
            <w:r w:rsidRPr="0074319D">
              <w:rPr>
                <w:rFonts w:ascii="Arial Narrow" w:hAnsi="Arial Narrow"/>
              </w:rPr>
              <w:t xml:space="preserve"> el avance de los requerimientos</w:t>
            </w:r>
            <w:r>
              <w:rPr>
                <w:rFonts w:ascii="Arial Narrow" w:hAnsi="Arial Narrow"/>
              </w:rPr>
              <w:t>.</w:t>
            </w:r>
          </w:p>
        </w:tc>
      </w:tr>
      <w:tr w:rsidR="00696737" w14:paraId="4EB7FBB7" w14:textId="77777777" w:rsidTr="00696737">
        <w:tc>
          <w:tcPr>
            <w:tcW w:w="2405" w:type="dxa"/>
            <w:vAlign w:val="center"/>
          </w:tcPr>
          <w:p w14:paraId="38BD391D" w14:textId="77777777" w:rsidR="00696737" w:rsidRPr="00EE6F8D" w:rsidRDefault="00696737" w:rsidP="00696737">
            <w:pPr>
              <w:jc w:val="center"/>
              <w:rPr>
                <w:rFonts w:ascii="Arial Narrow" w:hAnsi="Arial Narrow"/>
              </w:rPr>
            </w:pPr>
            <w:r w:rsidRPr="009A1AD7">
              <w:rPr>
                <w:rFonts w:ascii="Arial Narrow" w:hAnsi="Arial Narrow"/>
              </w:rPr>
              <w:t>OE.1.4.19.1 - Que al finalizar el 2024, se haya implementado el Centro de Operaciones de Red.</w:t>
            </w:r>
          </w:p>
        </w:tc>
        <w:tc>
          <w:tcPr>
            <w:tcW w:w="2552" w:type="dxa"/>
            <w:vAlign w:val="center"/>
          </w:tcPr>
          <w:p w14:paraId="4E44D46B" w14:textId="77777777" w:rsidR="00696737" w:rsidRPr="00EE6F8D" w:rsidRDefault="00696737" w:rsidP="00696737">
            <w:pPr>
              <w:jc w:val="both"/>
              <w:rPr>
                <w:rFonts w:ascii="Arial Narrow" w:hAnsi="Arial Narrow"/>
              </w:rPr>
            </w:pPr>
            <w:r w:rsidRPr="00347C3E">
              <w:rPr>
                <w:rFonts w:ascii="Arial Narrow" w:hAnsi="Arial Narrow"/>
              </w:rPr>
              <w:t>Se trabajó de una manera más operativa en el 2019-2020 y a partir del 2021 se trabaja a nivel estratégico</w:t>
            </w:r>
            <w:r>
              <w:rPr>
                <w:rFonts w:ascii="Arial Narrow" w:hAnsi="Arial Narrow"/>
              </w:rPr>
              <w:t>.</w:t>
            </w:r>
          </w:p>
        </w:tc>
        <w:tc>
          <w:tcPr>
            <w:tcW w:w="3871" w:type="dxa"/>
            <w:vAlign w:val="center"/>
          </w:tcPr>
          <w:p w14:paraId="4195E044" w14:textId="77777777" w:rsidR="00696737" w:rsidRDefault="00696737" w:rsidP="00696737">
            <w:pPr>
              <w:jc w:val="both"/>
              <w:rPr>
                <w:rFonts w:ascii="Arial Narrow" w:hAnsi="Arial Narrow"/>
              </w:rPr>
            </w:pPr>
          </w:p>
          <w:p w14:paraId="2DC970EA" w14:textId="77777777" w:rsidR="00696737" w:rsidRPr="00EE6F8D" w:rsidRDefault="00696737" w:rsidP="00696737">
            <w:pPr>
              <w:jc w:val="both"/>
              <w:rPr>
                <w:rFonts w:ascii="Arial Narrow" w:hAnsi="Arial Narrow"/>
              </w:rPr>
            </w:pPr>
            <w:r>
              <w:rPr>
                <w:rFonts w:ascii="Arial Narrow" w:hAnsi="Arial Narrow"/>
              </w:rPr>
              <w:t>Los esfuerzos hechos por la Unidad de Monitoreo por medio de la implementación de un m</w:t>
            </w:r>
            <w:r w:rsidRPr="0074319D">
              <w:rPr>
                <w:rFonts w:ascii="Arial Narrow" w:hAnsi="Arial Narrow"/>
              </w:rPr>
              <w:t>onitoreo de Servicios en la Nube ampliando la capacidad del Centro de Operaciones de Red</w:t>
            </w:r>
            <w:r>
              <w:rPr>
                <w:rFonts w:ascii="Arial Narrow" w:hAnsi="Arial Narrow"/>
              </w:rPr>
              <w:t xml:space="preserve">, se detalla por medio del </w:t>
            </w:r>
            <w:r w:rsidRPr="0074319D">
              <w:rPr>
                <w:rFonts w:ascii="Arial Narrow" w:hAnsi="Arial Narrow"/>
              </w:rPr>
              <w:t>plan de monitoreo y continuidad</w:t>
            </w:r>
            <w:r>
              <w:rPr>
                <w:rFonts w:ascii="Arial Narrow" w:hAnsi="Arial Narrow"/>
              </w:rPr>
              <w:t>, este trabajo p</w:t>
            </w:r>
            <w:r w:rsidRPr="0074319D">
              <w:rPr>
                <w:rFonts w:ascii="Arial Narrow" w:hAnsi="Arial Narrow"/>
              </w:rPr>
              <w:t xml:space="preserve">ermite mantener disponibles los servicios de monitoreo y por ende la continuidad de los servicios TI o las acciones correctivas en caso de caídas o degradaciones, lo que mejora el servicio interno y externo. </w:t>
            </w:r>
          </w:p>
          <w:p w14:paraId="23FD7D2D" w14:textId="77777777" w:rsidR="00696737" w:rsidRPr="00EE6F8D" w:rsidRDefault="00696737" w:rsidP="00696737">
            <w:pPr>
              <w:jc w:val="both"/>
              <w:rPr>
                <w:rFonts w:ascii="Arial Narrow" w:hAnsi="Arial Narrow"/>
              </w:rPr>
            </w:pPr>
          </w:p>
        </w:tc>
      </w:tr>
      <w:tr w:rsidR="00696737" w14:paraId="472A43F4" w14:textId="77777777" w:rsidTr="00696737">
        <w:tc>
          <w:tcPr>
            <w:tcW w:w="2405" w:type="dxa"/>
            <w:vAlign w:val="center"/>
          </w:tcPr>
          <w:p w14:paraId="0340898E" w14:textId="77777777" w:rsidR="00696737" w:rsidRPr="00EE6F8D" w:rsidRDefault="00696737" w:rsidP="00696737">
            <w:pPr>
              <w:jc w:val="both"/>
              <w:rPr>
                <w:rFonts w:ascii="Arial Narrow" w:hAnsi="Arial Narrow"/>
              </w:rPr>
            </w:pPr>
            <w:r w:rsidRPr="009A1AD7">
              <w:rPr>
                <w:rFonts w:ascii="Arial Narrow" w:hAnsi="Arial Narrow"/>
              </w:rPr>
              <w:t>OE.1.1.9.1 - Que al finalizar el 2024, se haya pronunciado sobre la totalidad de los proyectos de ley o propuestas de reformas legales que le hayan sido puestos a consulta al Poder Judicial por parte del Poder Legislativo.</w:t>
            </w:r>
          </w:p>
        </w:tc>
        <w:tc>
          <w:tcPr>
            <w:tcW w:w="2552" w:type="dxa"/>
            <w:vAlign w:val="center"/>
          </w:tcPr>
          <w:p w14:paraId="5DE9B98B" w14:textId="77777777" w:rsidR="00696737" w:rsidRPr="00EE6F8D" w:rsidRDefault="00696737" w:rsidP="00696737">
            <w:pPr>
              <w:jc w:val="both"/>
              <w:rPr>
                <w:rFonts w:ascii="Arial Narrow" w:hAnsi="Arial Narrow"/>
              </w:rPr>
            </w:pPr>
            <w:r>
              <w:rPr>
                <w:rFonts w:ascii="Arial Narrow" w:hAnsi="Arial Narrow"/>
              </w:rPr>
              <w:t>Es una meta estratégica nueva. Para el 2021 se detallan los esfuerzos realizados.</w:t>
            </w:r>
          </w:p>
        </w:tc>
        <w:tc>
          <w:tcPr>
            <w:tcW w:w="3871" w:type="dxa"/>
            <w:vAlign w:val="center"/>
          </w:tcPr>
          <w:p w14:paraId="6A7FE2BC" w14:textId="77777777" w:rsidR="00696737" w:rsidRPr="00EE6F8D" w:rsidRDefault="00696737" w:rsidP="00696737">
            <w:pPr>
              <w:jc w:val="both"/>
              <w:rPr>
                <w:rFonts w:ascii="Arial Narrow" w:hAnsi="Arial Narrow"/>
              </w:rPr>
            </w:pPr>
            <w:r>
              <w:rPr>
                <w:rFonts w:ascii="Arial Narrow" w:hAnsi="Arial Narrow"/>
              </w:rPr>
              <w:t>Según se señala por parte de la Dirección Jurídica, t</w:t>
            </w:r>
            <w:r w:rsidRPr="00AE6518">
              <w:rPr>
                <w:rFonts w:ascii="Arial Narrow" w:hAnsi="Arial Narrow"/>
              </w:rPr>
              <w:t>odos los asuntos de proyectos de ley que ingresan se atienden de manera inmediata.</w:t>
            </w:r>
          </w:p>
        </w:tc>
      </w:tr>
      <w:tr w:rsidR="00696737" w14:paraId="6AD8C2A6" w14:textId="77777777" w:rsidTr="00696737">
        <w:tc>
          <w:tcPr>
            <w:tcW w:w="2405" w:type="dxa"/>
            <w:vAlign w:val="center"/>
          </w:tcPr>
          <w:p w14:paraId="3B7DB292" w14:textId="77777777" w:rsidR="00696737" w:rsidRPr="00EE6F8D" w:rsidRDefault="00696737" w:rsidP="00696737">
            <w:pPr>
              <w:jc w:val="both"/>
              <w:rPr>
                <w:rFonts w:ascii="Arial Narrow" w:hAnsi="Arial Narrow"/>
              </w:rPr>
            </w:pPr>
            <w:r w:rsidRPr="009A1AD7">
              <w:rPr>
                <w:rFonts w:ascii="Arial Narrow" w:hAnsi="Arial Narrow"/>
              </w:rPr>
              <w:t>OE.1.4.2.1 - Que al finalizar el 2024, se haya implementado en las oficinas de los servicios de atención y protección de víctimas y testigos, un sistema que permita una efectiva gestión técnica y administrativa, que agilicen y faciliten los procesos y procedimientos, con el fin de mejorar el servicio público que se brinda.</w:t>
            </w:r>
          </w:p>
        </w:tc>
        <w:tc>
          <w:tcPr>
            <w:tcW w:w="2552" w:type="dxa"/>
            <w:vAlign w:val="center"/>
          </w:tcPr>
          <w:p w14:paraId="60385717" w14:textId="77777777" w:rsidR="00696737" w:rsidRPr="00EE6F8D" w:rsidRDefault="00696737" w:rsidP="00696737">
            <w:pPr>
              <w:jc w:val="both"/>
              <w:rPr>
                <w:rFonts w:ascii="Arial Narrow" w:hAnsi="Arial Narrow"/>
              </w:rPr>
            </w:pPr>
            <w:r w:rsidRPr="00347C3E">
              <w:rPr>
                <w:rFonts w:ascii="Arial Narrow" w:hAnsi="Arial Narrow"/>
              </w:rPr>
              <w:t xml:space="preserve">Si se </w:t>
            </w:r>
            <w:r w:rsidRPr="00AE6518">
              <w:rPr>
                <w:rFonts w:ascii="Arial Narrow" w:hAnsi="Arial Narrow"/>
              </w:rPr>
              <w:t>formuló para el 2019, no para el 2020, y aparece en el 2021.</w:t>
            </w:r>
          </w:p>
        </w:tc>
        <w:tc>
          <w:tcPr>
            <w:tcW w:w="3871" w:type="dxa"/>
            <w:vAlign w:val="center"/>
          </w:tcPr>
          <w:p w14:paraId="6C71F534" w14:textId="77777777" w:rsidR="00696737" w:rsidRPr="00EE6F8D" w:rsidRDefault="00696737" w:rsidP="00696737">
            <w:pPr>
              <w:jc w:val="both"/>
              <w:rPr>
                <w:rFonts w:ascii="Arial Narrow" w:hAnsi="Arial Narrow"/>
              </w:rPr>
            </w:pPr>
            <w:r w:rsidRPr="00AE6518">
              <w:rPr>
                <w:rFonts w:ascii="Arial Narrow" w:hAnsi="Arial Narrow"/>
              </w:rPr>
              <w:t xml:space="preserve">A fin de enlistar las necesidades con que cuenta la </w:t>
            </w:r>
            <w:r>
              <w:rPr>
                <w:rFonts w:ascii="Arial Narrow" w:hAnsi="Arial Narrow"/>
              </w:rPr>
              <w:t xml:space="preserve">Oficina de </w:t>
            </w:r>
            <w:r w:rsidRPr="00AE6518">
              <w:rPr>
                <w:rFonts w:ascii="Arial Narrow" w:hAnsi="Arial Narrow"/>
              </w:rPr>
              <w:t xml:space="preserve">Atención y Protección de la Víctima de Delitos en temas de tecnología de la información en febrero </w:t>
            </w:r>
            <w:r>
              <w:rPr>
                <w:rFonts w:ascii="Arial Narrow" w:hAnsi="Arial Narrow"/>
              </w:rPr>
              <w:t>del 2021,</w:t>
            </w:r>
            <w:r w:rsidRPr="00AE6518">
              <w:rPr>
                <w:rFonts w:ascii="Arial Narrow" w:hAnsi="Arial Narrow"/>
              </w:rPr>
              <w:t xml:space="preserve"> se realizaron dos reuniones con </w:t>
            </w:r>
            <w:r>
              <w:rPr>
                <w:rFonts w:ascii="Arial Narrow" w:hAnsi="Arial Narrow"/>
              </w:rPr>
              <w:t xml:space="preserve">la Dirección </w:t>
            </w:r>
            <w:r w:rsidRPr="00AE6518">
              <w:rPr>
                <w:rFonts w:ascii="Arial Narrow" w:hAnsi="Arial Narrow"/>
              </w:rPr>
              <w:t xml:space="preserve">de Tecnología de la Información, en dichas reuniones se propuso por parte de T.I analizar la posibilidad de habilitar a la Administración de la </w:t>
            </w:r>
            <w:r>
              <w:rPr>
                <w:rFonts w:ascii="Arial Narrow" w:hAnsi="Arial Narrow"/>
              </w:rPr>
              <w:t xml:space="preserve">Oficina de </w:t>
            </w:r>
            <w:r w:rsidRPr="00AE6518">
              <w:rPr>
                <w:rFonts w:ascii="Arial Narrow" w:hAnsi="Arial Narrow"/>
              </w:rPr>
              <w:t>Atención y Protección de la Víctima de Delitos en sistemas institucionales en las áreas de Talento Humano, proveeduría y Financiero contable a fin de fortalecer la labor de dicha área</w:t>
            </w:r>
            <w:r>
              <w:rPr>
                <w:rFonts w:ascii="Arial Narrow" w:hAnsi="Arial Narrow"/>
              </w:rPr>
              <w:t>.</w:t>
            </w:r>
          </w:p>
        </w:tc>
      </w:tr>
    </w:tbl>
    <w:p w14:paraId="68CEC012" w14:textId="77777777" w:rsidR="00025C8D" w:rsidRPr="008F0B82" w:rsidRDefault="00025C8D" w:rsidP="00025C8D">
      <w:pPr>
        <w:jc w:val="center"/>
        <w:rPr>
          <w:rFonts w:ascii="Arial Narrow" w:eastAsia="Batang" w:hAnsi="Arial Narrow"/>
          <w:sz w:val="18"/>
          <w:szCs w:val="18"/>
          <w:lang w:eastAsia="en-US"/>
        </w:rPr>
      </w:pPr>
      <w:r w:rsidRPr="008F0B82">
        <w:rPr>
          <w:rFonts w:ascii="Arial Narrow" w:eastAsia="Batang" w:hAnsi="Arial Narrow"/>
          <w:sz w:val="18"/>
          <w:szCs w:val="18"/>
          <w:lang w:eastAsia="en-US"/>
        </w:rPr>
        <w:t>Fuente: elaboración propia con base en el análisis de hallazgos de la evaluación.</w:t>
      </w:r>
    </w:p>
    <w:p w14:paraId="5EAB67CD" w14:textId="77777777" w:rsidR="00025C8D" w:rsidRPr="008F0B82" w:rsidRDefault="00025C8D" w:rsidP="00025C8D">
      <w:pPr>
        <w:ind w:left="720"/>
        <w:jc w:val="both"/>
        <w:rPr>
          <w:rFonts w:ascii="Arial Narrow" w:eastAsia="Batang" w:hAnsi="Arial Narrow"/>
          <w:sz w:val="18"/>
          <w:szCs w:val="18"/>
          <w:lang w:eastAsia="en-US"/>
        </w:rPr>
      </w:pPr>
    </w:p>
    <w:p w14:paraId="607ED69A" w14:textId="3A8EE256" w:rsidR="4C982065" w:rsidRDefault="4C982065"/>
    <w:p w14:paraId="29B7EF8B" w14:textId="1CFF6C58" w:rsidR="7F5490C3" w:rsidRDefault="7F5490C3" w:rsidP="7F5490C3"/>
    <w:p w14:paraId="699EE898" w14:textId="17254C25" w:rsidR="7F5490C3" w:rsidRPr="00322D9B" w:rsidRDefault="7F5490C3" w:rsidP="00322D9B">
      <w:pPr>
        <w:pStyle w:val="Prrafodelista"/>
        <w:numPr>
          <w:ilvl w:val="0"/>
          <w:numId w:val="4"/>
        </w:numPr>
        <w:spacing w:line="360" w:lineRule="auto"/>
        <w:jc w:val="both"/>
        <w:rPr>
          <w:rFonts w:ascii="Arial Narrow" w:eastAsia="Calibri" w:hAnsi="Arial Narrow"/>
          <w:b/>
          <w:bCs/>
          <w:lang w:eastAsia="en-US"/>
        </w:rPr>
      </w:pPr>
      <w:r w:rsidRPr="00322D9B">
        <w:rPr>
          <w:rFonts w:ascii="Arial Narrow" w:eastAsia="Calibri" w:hAnsi="Arial Narrow"/>
          <w:b/>
          <w:bCs/>
          <w:lang w:eastAsia="en-US"/>
        </w:rPr>
        <w:t xml:space="preserve">Sobre el realineamiento estratégico de las metas </w:t>
      </w:r>
      <w:r w:rsidRPr="7F5490C3">
        <w:rPr>
          <w:rFonts w:ascii="Arial Narrow" w:eastAsia="Calibri" w:hAnsi="Arial Narrow"/>
          <w:b/>
          <w:bCs/>
          <w:lang w:eastAsia="en-US"/>
        </w:rPr>
        <w:t xml:space="preserve">señaladas </w:t>
      </w:r>
      <w:r w:rsidR="00996F32" w:rsidRPr="7F5490C3">
        <w:rPr>
          <w:rFonts w:ascii="Arial Narrow" w:eastAsia="Calibri" w:hAnsi="Arial Narrow"/>
          <w:b/>
          <w:bCs/>
          <w:lang w:eastAsia="en-US"/>
        </w:rPr>
        <w:t>anteriormente</w:t>
      </w:r>
      <w:r w:rsidRPr="00322D9B">
        <w:rPr>
          <w:rFonts w:ascii="Arial Narrow" w:eastAsia="Calibri" w:hAnsi="Arial Narrow"/>
          <w:b/>
          <w:bCs/>
          <w:lang w:eastAsia="en-US"/>
        </w:rPr>
        <w:t>:</w:t>
      </w:r>
    </w:p>
    <w:p w14:paraId="61A2BA35" w14:textId="622A2F16" w:rsidR="7F5490C3" w:rsidRDefault="7F5490C3" w:rsidP="7F5490C3"/>
    <w:p w14:paraId="0C2B6152" w14:textId="11F89D8F" w:rsidR="7F5490C3" w:rsidRPr="00322D9B" w:rsidRDefault="7F5490C3" w:rsidP="00322D9B">
      <w:pPr>
        <w:spacing w:line="259" w:lineRule="auto"/>
        <w:ind w:firstLine="708"/>
        <w:jc w:val="both"/>
        <w:rPr>
          <w:rFonts w:ascii="Arial Narrow" w:eastAsia="Calibri" w:hAnsi="Arial Narrow"/>
          <w:lang w:val="es-MX" w:eastAsia="en-US"/>
        </w:rPr>
      </w:pPr>
      <w:r w:rsidRPr="00322D9B">
        <w:rPr>
          <w:rFonts w:ascii="Arial Narrow" w:eastAsia="Calibri" w:hAnsi="Arial Narrow"/>
          <w:lang w:eastAsia="en-US"/>
        </w:rPr>
        <w:t>Con respecto a las metas</w:t>
      </w:r>
      <w:r w:rsidRPr="7F5490C3">
        <w:rPr>
          <w:rFonts w:ascii="Arial Narrow" w:eastAsia="Calibri" w:hAnsi="Arial Narrow"/>
          <w:lang w:eastAsia="en-US"/>
        </w:rPr>
        <w:t xml:space="preserve"> </w:t>
      </w:r>
      <w:r w:rsidR="00996F32" w:rsidRPr="7F5490C3">
        <w:rPr>
          <w:rFonts w:ascii="Arial Narrow" w:eastAsia="Calibri" w:hAnsi="Arial Narrow"/>
          <w:lang w:eastAsia="en-US"/>
        </w:rPr>
        <w:t>estratégicas</w:t>
      </w:r>
      <w:r w:rsidRPr="7F5490C3">
        <w:rPr>
          <w:rFonts w:ascii="Arial Narrow" w:eastAsia="Calibri" w:hAnsi="Arial Narrow"/>
          <w:lang w:eastAsia="en-US"/>
        </w:rPr>
        <w:t xml:space="preserve"> que las oficinas responsables </w:t>
      </w:r>
      <w:r w:rsidR="004853EA" w:rsidRPr="7F5490C3">
        <w:rPr>
          <w:rFonts w:ascii="Arial Narrow" w:eastAsia="Calibri" w:hAnsi="Arial Narrow"/>
          <w:lang w:eastAsia="en-US"/>
        </w:rPr>
        <w:t>tienen</w:t>
      </w:r>
      <w:r w:rsidRPr="7F5490C3">
        <w:rPr>
          <w:rFonts w:ascii="Arial Narrow" w:eastAsia="Calibri" w:hAnsi="Arial Narrow"/>
          <w:lang w:eastAsia="en-US"/>
        </w:rPr>
        <w:t xml:space="preserve"> a cargo, y consideran que ya fueron completadas en su totalidad se dispone de un procedimiento contenido en el </w:t>
      </w:r>
      <w:r w:rsidRPr="00322D9B">
        <w:rPr>
          <w:rFonts w:ascii="Arial Narrow" w:eastAsia="Calibri" w:hAnsi="Arial Narrow"/>
          <w:lang w:val="es" w:eastAsia="en-US"/>
        </w:rPr>
        <w:t xml:space="preserve">° 91-PLA-PE-2022 del 28 de enero de 2022, aprobado </w:t>
      </w:r>
      <w:r w:rsidRPr="7F5490C3">
        <w:rPr>
          <w:rFonts w:ascii="Arial Narrow" w:eastAsia="Calibri" w:hAnsi="Arial Narrow"/>
          <w:lang w:val="es" w:eastAsia="en-US"/>
        </w:rPr>
        <w:t xml:space="preserve">en sesión </w:t>
      </w:r>
      <w:r w:rsidRPr="00322D9B">
        <w:rPr>
          <w:rFonts w:ascii="Arial Narrow" w:eastAsia="Calibri" w:hAnsi="Arial Narrow"/>
          <w:lang w:val="es" w:eastAsia="en-US"/>
        </w:rPr>
        <w:t xml:space="preserve">N° 14-2022 celebrada el 17 de febrero del 2022, </w:t>
      </w:r>
      <w:r w:rsidRPr="7F5490C3">
        <w:rPr>
          <w:rFonts w:ascii="Arial Narrow" w:eastAsia="Calibri" w:hAnsi="Arial Narrow"/>
          <w:lang w:val="es" w:eastAsia="en-US"/>
        </w:rPr>
        <w:t>articulo X</w:t>
      </w:r>
      <w:r w:rsidRPr="00322D9B">
        <w:rPr>
          <w:rFonts w:ascii="Arial Narrow" w:eastAsia="Calibri" w:hAnsi="Arial Narrow"/>
          <w:lang w:val="es" w:eastAsia="en-US"/>
        </w:rPr>
        <w:t>LVIII</w:t>
      </w:r>
      <w:r w:rsidRPr="7F5490C3">
        <w:rPr>
          <w:rFonts w:ascii="Arial Narrow" w:eastAsia="Calibri" w:hAnsi="Arial Narrow"/>
          <w:lang w:val="es" w:eastAsia="en-US"/>
        </w:rPr>
        <w:t>, por medio del cual se aprueba</w:t>
      </w:r>
      <w:r w:rsidRPr="00322D9B">
        <w:rPr>
          <w:rFonts w:ascii="Arial Narrow" w:eastAsia="Calibri" w:hAnsi="Arial Narrow"/>
          <w:lang w:val="es" w:eastAsia="en-US"/>
        </w:rPr>
        <w:t xml:space="preserve"> la propuesta para la gestión de los alineamientos estratégicos (procedimiento asociado al Subproceso de la Gestión de Solicitudes de Alineamiento Estratégico), el cual </w:t>
      </w:r>
      <w:r w:rsidRPr="00322D9B">
        <w:rPr>
          <w:rFonts w:ascii="Arial Narrow" w:eastAsia="Calibri" w:hAnsi="Arial Narrow"/>
          <w:lang w:val="es-MX" w:eastAsia="en-US"/>
        </w:rPr>
        <w:t>define las actividades que se desarrollan a partir del momento en que una oficina o despacho judicial plantea una solicitud de alineamiento estratégico, que implica la valoración para los ajustes a cualquiera de los componentes del Plan Estratégico Institucional (PEI), hasta el momento en que la Corte Plena conoce y aprueba la solicitud del alineamiento estratégico planteado y su ejecución</w:t>
      </w:r>
      <w:r w:rsidRPr="7F5490C3">
        <w:rPr>
          <w:rFonts w:ascii="Arial Narrow" w:eastAsia="Calibri" w:hAnsi="Arial Narrow"/>
          <w:lang w:val="es-MX" w:eastAsia="en-US"/>
        </w:rPr>
        <w:t>.</w:t>
      </w:r>
    </w:p>
    <w:p w14:paraId="1A069F7A" w14:textId="39F4940B" w:rsidR="7F5490C3" w:rsidRDefault="7F5490C3" w:rsidP="7F5490C3">
      <w:pPr>
        <w:spacing w:line="360" w:lineRule="auto"/>
        <w:jc w:val="both"/>
        <w:rPr>
          <w:rFonts w:ascii="Times New Roman" w:hAnsi="Times New Roman"/>
          <w:sz w:val="22"/>
          <w:szCs w:val="22"/>
          <w:lang w:val="es"/>
        </w:rPr>
      </w:pPr>
    </w:p>
    <w:p w14:paraId="3BC65BB1" w14:textId="49A6CB3B" w:rsidR="7F5490C3" w:rsidRDefault="7F5490C3" w:rsidP="00322D9B">
      <w:pPr>
        <w:spacing w:line="259" w:lineRule="auto"/>
        <w:jc w:val="both"/>
        <w:rPr>
          <w:rFonts w:ascii="Arial Narrow" w:eastAsia="Calibri" w:hAnsi="Arial Narrow"/>
          <w:lang w:val="es" w:eastAsia="en-US"/>
        </w:rPr>
      </w:pPr>
      <w:r w:rsidRPr="7F5490C3">
        <w:rPr>
          <w:rFonts w:ascii="Arial Narrow" w:hAnsi="Arial Narrow"/>
        </w:rPr>
        <w:t xml:space="preserve">Debido a lo </w:t>
      </w:r>
      <w:r w:rsidR="004853EA" w:rsidRPr="7F5490C3">
        <w:rPr>
          <w:rFonts w:ascii="Arial Narrow" w:hAnsi="Arial Narrow"/>
        </w:rPr>
        <w:t>anterior, las</w:t>
      </w:r>
      <w:r w:rsidRPr="7F5490C3">
        <w:rPr>
          <w:rFonts w:ascii="Arial Narrow" w:hAnsi="Arial Narrow"/>
        </w:rPr>
        <w:t xml:space="preserve"> </w:t>
      </w:r>
      <w:r w:rsidR="00996F32">
        <w:rPr>
          <w:rFonts w:ascii="Arial Narrow" w:hAnsi="Arial Narrow"/>
        </w:rPr>
        <w:t>siete</w:t>
      </w:r>
      <w:r w:rsidR="7BC224A0" w:rsidRPr="7F5490C3">
        <w:rPr>
          <w:rFonts w:ascii="Arial Narrow" w:hAnsi="Arial Narrow"/>
          <w:b/>
          <w:bCs/>
        </w:rPr>
        <w:t xml:space="preserve"> metas estratégicas del Tema </w:t>
      </w:r>
      <w:r w:rsidR="00996F32" w:rsidRPr="7F5490C3">
        <w:rPr>
          <w:rFonts w:ascii="Arial Narrow" w:hAnsi="Arial Narrow"/>
          <w:b/>
          <w:bCs/>
        </w:rPr>
        <w:t>Optimización</w:t>
      </w:r>
      <w:r w:rsidR="7BC224A0" w:rsidRPr="7F5490C3">
        <w:rPr>
          <w:rFonts w:ascii="Arial Narrow" w:hAnsi="Arial Narrow"/>
          <w:b/>
          <w:bCs/>
        </w:rPr>
        <w:t xml:space="preserve"> e </w:t>
      </w:r>
      <w:r w:rsidR="00996F32" w:rsidRPr="7F5490C3">
        <w:rPr>
          <w:rFonts w:ascii="Arial Narrow" w:hAnsi="Arial Narrow"/>
          <w:b/>
          <w:bCs/>
        </w:rPr>
        <w:t>innovación</w:t>
      </w:r>
      <w:r w:rsidR="7BC224A0" w:rsidRPr="7F5490C3">
        <w:rPr>
          <w:rFonts w:ascii="Arial Narrow" w:hAnsi="Arial Narrow"/>
          <w:b/>
          <w:bCs/>
        </w:rPr>
        <w:t xml:space="preserve"> de los servicios judiciales las cuales reportaban datos para 2019 y 2020, pero ya para el 2021 no aparecen con avance estratégico, deben ser analizadas con base en lo aprobado </w:t>
      </w:r>
      <w:r w:rsidRPr="7F5490C3">
        <w:rPr>
          <w:rFonts w:ascii="Arial Narrow" w:eastAsia="Calibri" w:hAnsi="Arial Narrow"/>
          <w:lang w:val="es" w:eastAsia="en-US"/>
        </w:rPr>
        <w:t>en sesión N° 14-2022 celebrada el 17 de febrero del 2022, articulo XLVIII.</w:t>
      </w:r>
    </w:p>
    <w:p w14:paraId="5D346F3F" w14:textId="2E3263F0" w:rsidR="7F5490C3" w:rsidRDefault="7F5490C3" w:rsidP="7F5490C3">
      <w:pPr>
        <w:spacing w:line="259" w:lineRule="auto"/>
        <w:jc w:val="both"/>
        <w:rPr>
          <w:rFonts w:ascii="Arial Narrow" w:hAnsi="Arial Narrow"/>
        </w:rPr>
      </w:pPr>
    </w:p>
    <w:p w14:paraId="5E30BA77" w14:textId="3EC6F322" w:rsidR="00D27B75" w:rsidRDefault="00D27B75" w:rsidP="7F5490C3">
      <w:pPr>
        <w:spacing w:line="259" w:lineRule="auto"/>
        <w:jc w:val="both"/>
        <w:rPr>
          <w:rFonts w:ascii="Arial Narrow" w:hAnsi="Arial Narrow"/>
        </w:rPr>
      </w:pPr>
    </w:p>
    <w:p w14:paraId="4DF9FA0C" w14:textId="77777777" w:rsidR="00D27B75" w:rsidRDefault="00D27B75" w:rsidP="7F5490C3">
      <w:pPr>
        <w:spacing w:line="259" w:lineRule="auto"/>
        <w:jc w:val="both"/>
        <w:rPr>
          <w:rFonts w:ascii="Arial Narrow" w:hAnsi="Arial Narrow"/>
        </w:rPr>
      </w:pPr>
    </w:p>
    <w:p w14:paraId="5D081BDA" w14:textId="3D856AB1" w:rsidR="00AB5922" w:rsidRPr="0002575E" w:rsidRDefault="00AB5922" w:rsidP="00322D9B">
      <w:pPr>
        <w:pStyle w:val="Ttulo2"/>
      </w:pPr>
      <w:bookmarkStart w:id="68" w:name="_Toc104979116"/>
      <w:bookmarkStart w:id="69" w:name="_Toc104979117"/>
      <w:bookmarkStart w:id="70" w:name="_Toc106355283"/>
      <w:bookmarkEnd w:id="67"/>
      <w:bookmarkEnd w:id="68"/>
      <w:bookmarkEnd w:id="69"/>
      <w:r w:rsidRPr="0002575E">
        <w:t>Tema estratégico: Gestión del Personal</w:t>
      </w:r>
      <w:bookmarkEnd w:id="70"/>
      <w:r w:rsidR="00D73200" w:rsidRPr="0002575E">
        <w:t xml:space="preserve">   </w:t>
      </w:r>
    </w:p>
    <w:p w14:paraId="1B21753B" w14:textId="77777777" w:rsidR="00AB5922" w:rsidRPr="002E0B96" w:rsidRDefault="00AB5922" w:rsidP="00AB5922">
      <w:pPr>
        <w:rPr>
          <w:rFonts w:ascii="Arial Narrow" w:eastAsia="Calibri" w:hAnsi="Arial Narrow"/>
          <w:lang w:eastAsia="en-US"/>
        </w:rPr>
      </w:pPr>
    </w:p>
    <w:p w14:paraId="4D798195" w14:textId="77777777" w:rsidR="00581C62" w:rsidRDefault="00581C62" w:rsidP="00AB5922">
      <w:pPr>
        <w:spacing w:line="360" w:lineRule="auto"/>
        <w:jc w:val="both"/>
        <w:rPr>
          <w:rFonts w:ascii="Arial Narrow" w:eastAsia="Calibri" w:hAnsi="Arial Narrow"/>
          <w:lang w:eastAsia="en-US"/>
        </w:rPr>
      </w:pPr>
    </w:p>
    <w:p w14:paraId="6D9B15A6" w14:textId="5E325F29" w:rsidR="00AB5922" w:rsidRPr="002E0B96" w:rsidRDefault="00AB5922" w:rsidP="00AB5922">
      <w:pPr>
        <w:spacing w:line="360" w:lineRule="auto"/>
        <w:jc w:val="both"/>
        <w:rPr>
          <w:rFonts w:ascii="Arial Narrow" w:eastAsia="Calibri" w:hAnsi="Arial Narrow"/>
          <w:lang w:eastAsia="en-US"/>
        </w:rPr>
      </w:pPr>
      <w:r w:rsidRPr="002E0B96">
        <w:rPr>
          <w:rFonts w:ascii="Arial Narrow" w:eastAsia="Calibri" w:hAnsi="Arial Narrow"/>
          <w:lang w:eastAsia="en-US"/>
        </w:rPr>
        <w:t xml:space="preserve">Sobre la Gestión del </w:t>
      </w:r>
      <w:r>
        <w:rPr>
          <w:rFonts w:ascii="Arial Narrow" w:eastAsia="Calibri" w:hAnsi="Arial Narrow"/>
          <w:lang w:eastAsia="en-US"/>
        </w:rPr>
        <w:t>P</w:t>
      </w:r>
      <w:r w:rsidRPr="002E0B96">
        <w:rPr>
          <w:rFonts w:ascii="Arial Narrow" w:eastAsia="Calibri" w:hAnsi="Arial Narrow"/>
          <w:lang w:eastAsia="en-US"/>
        </w:rPr>
        <w:t>ersonal se tiene que se busca mejorar la idoneidad competencial, el compromiso y el bienestar del personal judicial, con el fin de alcanzar la excelencia en la Administración de Justicia. Las acciones estratégicas que lo integran son:</w:t>
      </w:r>
    </w:p>
    <w:p w14:paraId="719A6A80" w14:textId="77777777" w:rsidR="00AB5922" w:rsidRPr="002E0B96" w:rsidRDefault="00AB5922" w:rsidP="00AB5922">
      <w:pPr>
        <w:spacing w:line="360" w:lineRule="auto"/>
        <w:jc w:val="both"/>
        <w:rPr>
          <w:rFonts w:ascii="Arial Narrow" w:eastAsia="Calibri" w:hAnsi="Arial Narrow"/>
          <w:lang w:eastAsia="en-US"/>
        </w:rPr>
      </w:pPr>
    </w:p>
    <w:p w14:paraId="4BF4B19A" w14:textId="77777777" w:rsidR="00AB5922" w:rsidRPr="002E0B96" w:rsidRDefault="00AB5922" w:rsidP="004C54E1">
      <w:pPr>
        <w:pStyle w:val="Prrafodelista"/>
        <w:numPr>
          <w:ilvl w:val="0"/>
          <w:numId w:val="10"/>
        </w:numPr>
        <w:spacing w:line="360" w:lineRule="auto"/>
        <w:jc w:val="both"/>
        <w:rPr>
          <w:rFonts w:ascii="Arial Narrow" w:eastAsia="Calibri" w:hAnsi="Arial Narrow"/>
          <w:lang w:eastAsia="en-US"/>
        </w:rPr>
      </w:pPr>
      <w:r w:rsidRPr="002E0B96">
        <w:rPr>
          <w:rFonts w:ascii="Arial Narrow" w:eastAsia="Calibri" w:hAnsi="Arial Narrow"/>
          <w:b/>
          <w:bCs/>
          <w:lang w:eastAsia="en-US"/>
        </w:rPr>
        <w:t>Evaluación del desempeño</w:t>
      </w:r>
      <w:r w:rsidRPr="002E0B96">
        <w:rPr>
          <w:rFonts w:ascii="Arial Narrow" w:eastAsia="Calibri" w:hAnsi="Arial Narrow"/>
          <w:lang w:eastAsia="en-US"/>
        </w:rPr>
        <w:t xml:space="preserve">: Implementar el sistema integrado de evaluación del desempeño, que permita la mejora en el desempeño integral del personal judicial. </w:t>
      </w:r>
    </w:p>
    <w:p w14:paraId="054E3997" w14:textId="77777777" w:rsidR="00AB5922" w:rsidRPr="002E0B96" w:rsidRDefault="00AB5922" w:rsidP="004C54E1">
      <w:pPr>
        <w:pStyle w:val="Prrafodelista"/>
        <w:numPr>
          <w:ilvl w:val="0"/>
          <w:numId w:val="10"/>
        </w:numPr>
        <w:spacing w:line="360" w:lineRule="auto"/>
        <w:jc w:val="both"/>
        <w:rPr>
          <w:rFonts w:ascii="Arial Narrow" w:eastAsia="Calibri" w:hAnsi="Arial Narrow"/>
          <w:lang w:eastAsia="en-US"/>
        </w:rPr>
      </w:pPr>
      <w:r w:rsidRPr="002E0B96">
        <w:rPr>
          <w:rFonts w:ascii="Arial Narrow" w:eastAsia="Calibri" w:hAnsi="Arial Narrow"/>
          <w:b/>
          <w:bCs/>
          <w:lang w:eastAsia="en-US"/>
        </w:rPr>
        <w:t>Reclutamiento y selección</w:t>
      </w:r>
      <w:r w:rsidRPr="002E0B96">
        <w:rPr>
          <w:rFonts w:ascii="Arial Narrow" w:eastAsia="Calibri" w:hAnsi="Arial Narrow"/>
          <w:lang w:eastAsia="en-US"/>
        </w:rPr>
        <w:t>: Mejorar los procesos de reclutamiento y selección con el fin de lograr mayor eficacia en el desempeño de las funciones en los puestos de trabajo.</w:t>
      </w:r>
    </w:p>
    <w:p w14:paraId="250404C3" w14:textId="77777777" w:rsidR="00AB5922" w:rsidRPr="002E0B96" w:rsidRDefault="00AB5922" w:rsidP="004C54E1">
      <w:pPr>
        <w:pStyle w:val="Prrafodelista"/>
        <w:numPr>
          <w:ilvl w:val="0"/>
          <w:numId w:val="10"/>
        </w:numPr>
        <w:spacing w:line="360" w:lineRule="auto"/>
        <w:jc w:val="both"/>
        <w:rPr>
          <w:rFonts w:ascii="Arial Narrow" w:eastAsia="Calibri" w:hAnsi="Arial Narrow"/>
          <w:lang w:eastAsia="en-US"/>
        </w:rPr>
      </w:pPr>
      <w:r w:rsidRPr="002E0B96">
        <w:rPr>
          <w:rFonts w:ascii="Arial Narrow" w:eastAsia="Calibri" w:hAnsi="Arial Narrow"/>
          <w:b/>
          <w:bCs/>
          <w:lang w:eastAsia="en-US"/>
        </w:rPr>
        <w:t>Capacitación</w:t>
      </w:r>
      <w:r w:rsidRPr="002E0B96">
        <w:rPr>
          <w:rFonts w:ascii="Arial Narrow" w:eastAsia="Calibri" w:hAnsi="Arial Narrow"/>
          <w:lang w:eastAsia="en-US"/>
        </w:rPr>
        <w:t>: Implementar estrategias de capacitación y formación para mejorar las habilidades y conocimientos del personal en el desempeño de sus funciones, acorde a las necesidades, valores y ejes institucionales.</w:t>
      </w:r>
    </w:p>
    <w:p w14:paraId="26377B71" w14:textId="77777777" w:rsidR="00AB5922" w:rsidRPr="002E0B96" w:rsidRDefault="00AB5922" w:rsidP="004C54E1">
      <w:pPr>
        <w:pStyle w:val="Prrafodelista"/>
        <w:numPr>
          <w:ilvl w:val="0"/>
          <w:numId w:val="10"/>
        </w:numPr>
        <w:spacing w:line="360" w:lineRule="auto"/>
        <w:jc w:val="both"/>
        <w:rPr>
          <w:rFonts w:ascii="Arial Narrow" w:eastAsia="Calibri" w:hAnsi="Arial Narrow"/>
          <w:lang w:eastAsia="en-US"/>
        </w:rPr>
      </w:pPr>
      <w:r w:rsidRPr="002E0B96">
        <w:rPr>
          <w:rFonts w:ascii="Arial Narrow" w:eastAsia="Calibri" w:hAnsi="Arial Narrow"/>
          <w:b/>
          <w:bCs/>
          <w:lang w:eastAsia="en-US"/>
        </w:rPr>
        <w:t>Carrera</w:t>
      </w:r>
      <w:r w:rsidRPr="002E0B96">
        <w:rPr>
          <w:rFonts w:ascii="Arial Narrow" w:eastAsia="Calibri" w:hAnsi="Arial Narrow"/>
          <w:lang w:eastAsia="en-US"/>
        </w:rPr>
        <w:t>: Diseñar el modelo de carrera escalonada dirigido al personal de los diferentes ámbitos, considerando la condición de género y vulnerabilidad del personal.</w:t>
      </w:r>
    </w:p>
    <w:p w14:paraId="39876648" w14:textId="77777777" w:rsidR="00AB5922" w:rsidRPr="000B4845" w:rsidRDefault="00AB5922" w:rsidP="004C54E1">
      <w:pPr>
        <w:pStyle w:val="Prrafodelista"/>
        <w:numPr>
          <w:ilvl w:val="0"/>
          <w:numId w:val="10"/>
        </w:numPr>
        <w:spacing w:line="360" w:lineRule="auto"/>
        <w:jc w:val="both"/>
        <w:rPr>
          <w:rFonts w:ascii="Arial Narrow" w:eastAsia="Calibri" w:hAnsi="Arial Narrow"/>
          <w:lang w:eastAsia="en-US"/>
        </w:rPr>
      </w:pPr>
      <w:r w:rsidRPr="002E0B96">
        <w:rPr>
          <w:rFonts w:ascii="Arial Narrow" w:eastAsia="Calibri" w:hAnsi="Arial Narrow"/>
          <w:b/>
          <w:bCs/>
          <w:lang w:eastAsia="en-US"/>
        </w:rPr>
        <w:t>Bienestar y salud:</w:t>
      </w:r>
      <w:r w:rsidRPr="002E0B96">
        <w:rPr>
          <w:rFonts w:ascii="Arial Narrow" w:eastAsia="Calibri" w:hAnsi="Arial Narrow"/>
          <w:lang w:eastAsia="en-US"/>
        </w:rPr>
        <w:t xml:space="preserve"> Mejorar el</w:t>
      </w:r>
      <w:r w:rsidRPr="000B4845">
        <w:rPr>
          <w:rFonts w:ascii="Arial Narrow" w:eastAsia="Calibri" w:hAnsi="Arial Narrow"/>
          <w:lang w:eastAsia="en-US"/>
        </w:rPr>
        <w:t xml:space="preserve"> cumplimiento de los objetivos organizacionales, por medio de la conciliación de la vida personal, familiar y laboral del personal judicial.</w:t>
      </w:r>
    </w:p>
    <w:p w14:paraId="280CE4DF" w14:textId="77777777" w:rsidR="009D24A3" w:rsidRDefault="009D24A3" w:rsidP="00AB5922">
      <w:pPr>
        <w:rPr>
          <w:rFonts w:ascii="Arial Narrow" w:eastAsia="Calibri" w:hAnsi="Arial Narrow"/>
          <w:lang w:eastAsia="en-US"/>
        </w:rPr>
      </w:pPr>
    </w:p>
    <w:p w14:paraId="1A6BB5E5" w14:textId="6A7866CE" w:rsidR="00AB5922" w:rsidRDefault="00AB5922" w:rsidP="00AB5922">
      <w:pPr>
        <w:rPr>
          <w:rFonts w:ascii="Arial Narrow" w:eastAsia="Calibri" w:hAnsi="Arial Narrow"/>
          <w:lang w:eastAsia="en-US"/>
        </w:rPr>
      </w:pPr>
      <w:r>
        <w:rPr>
          <w:rFonts w:ascii="Arial Narrow" w:eastAsia="Calibri" w:hAnsi="Arial Narrow"/>
          <w:lang w:eastAsia="en-US"/>
        </w:rPr>
        <w:t>Se presenta el análisis de metas estratégicas agrupadas por la acción estratégica a la que pertenecen:</w:t>
      </w:r>
    </w:p>
    <w:p w14:paraId="3C70F30A" w14:textId="772A71E6" w:rsidR="009D24A3" w:rsidRDefault="009D24A3" w:rsidP="00AB5922">
      <w:pPr>
        <w:rPr>
          <w:rFonts w:ascii="Arial Narrow" w:eastAsia="Calibri" w:hAnsi="Arial Narrow"/>
          <w:lang w:eastAsia="en-US"/>
        </w:rPr>
      </w:pPr>
    </w:p>
    <w:p w14:paraId="4BB9B7A3" w14:textId="77777777" w:rsidR="00AF4550" w:rsidRDefault="00AF4550" w:rsidP="00AB5922">
      <w:pPr>
        <w:rPr>
          <w:rFonts w:ascii="Arial Narrow" w:eastAsia="Calibri" w:hAnsi="Arial Narrow"/>
          <w:lang w:eastAsia="en-US"/>
        </w:rPr>
      </w:pPr>
    </w:p>
    <w:p w14:paraId="312DCE96" w14:textId="522BD07A" w:rsidR="00AB5922" w:rsidRPr="00704B08" w:rsidRDefault="00AB5922" w:rsidP="00322D9B">
      <w:pPr>
        <w:pStyle w:val="Ttulo3"/>
        <w:numPr>
          <w:ilvl w:val="2"/>
          <w:numId w:val="125"/>
        </w:numPr>
        <w:rPr>
          <w:rFonts w:eastAsia="Calibri"/>
        </w:rPr>
      </w:pPr>
      <w:bookmarkStart w:id="71" w:name="_Toc106355284"/>
      <w:r w:rsidRPr="00704B08">
        <w:rPr>
          <w:rFonts w:eastAsia="Calibri"/>
        </w:rPr>
        <w:t>Evaluación del</w:t>
      </w:r>
      <w:r w:rsidRPr="00322D9B">
        <w:rPr>
          <w:rFonts w:eastAsia="Calibri"/>
        </w:rPr>
        <w:t xml:space="preserve"> Desempeño</w:t>
      </w:r>
      <w:bookmarkEnd w:id="71"/>
    </w:p>
    <w:p w14:paraId="2F6AE8B7" w14:textId="42AB2255" w:rsidR="002B55E1" w:rsidRDefault="002B55E1" w:rsidP="002B55E1">
      <w:pPr>
        <w:rPr>
          <w:rFonts w:ascii="Arial Narrow" w:eastAsia="Calibri" w:hAnsi="Arial Narrow"/>
        </w:rPr>
      </w:pPr>
    </w:p>
    <w:p w14:paraId="3CB176C1" w14:textId="5E8F424D" w:rsidR="009D24A3" w:rsidRPr="00704B08" w:rsidRDefault="009D24A3" w:rsidP="009D24A3">
      <w:pPr>
        <w:spacing w:line="360" w:lineRule="auto"/>
        <w:jc w:val="both"/>
        <w:rPr>
          <w:rFonts w:ascii="Arial Narrow" w:hAnsi="Arial Narrow" w:cs="Segoe UI"/>
          <w:sz w:val="21"/>
          <w:szCs w:val="21"/>
          <w:lang w:val="es-CR" w:eastAsia="es-CR"/>
        </w:rPr>
      </w:pPr>
      <w:r w:rsidRPr="00704B08">
        <w:rPr>
          <w:rFonts w:ascii="Arial Narrow" w:hAnsi="Arial Narrow" w:cs="Segoe UI"/>
          <w:lang w:eastAsia="es-CR"/>
        </w:rPr>
        <w:t xml:space="preserve">Se observan 7 metas estratégicas de las cuales </w:t>
      </w:r>
      <w:r>
        <w:rPr>
          <w:rFonts w:ascii="Arial Narrow" w:hAnsi="Arial Narrow" w:cs="Segoe UI"/>
          <w:lang w:eastAsia="es-CR"/>
        </w:rPr>
        <w:t>todas</w:t>
      </w:r>
      <w:r w:rsidRPr="00704B08">
        <w:rPr>
          <w:rFonts w:ascii="Arial Narrow" w:hAnsi="Arial Narrow" w:cs="Segoe UI"/>
          <w:lang w:eastAsia="es-CR"/>
        </w:rPr>
        <w:t xml:space="preserve"> muestran una ejecución alta en su cumplimiento. Se detalla a continuación las metas estratégicas y su cumplimiento para el 20</w:t>
      </w:r>
      <w:r>
        <w:rPr>
          <w:rFonts w:ascii="Arial Narrow" w:hAnsi="Arial Narrow" w:cs="Segoe UI"/>
          <w:lang w:eastAsia="es-CR"/>
        </w:rPr>
        <w:t>21</w:t>
      </w:r>
      <w:r w:rsidRPr="00704B08">
        <w:rPr>
          <w:rFonts w:ascii="Arial Narrow" w:hAnsi="Arial Narrow" w:cs="Segoe UI"/>
          <w:lang w:eastAsia="es-CR"/>
        </w:rPr>
        <w:t>:</w:t>
      </w:r>
    </w:p>
    <w:p w14:paraId="3A50E747" w14:textId="4CC564CF" w:rsidR="009D24A3" w:rsidRDefault="009D24A3" w:rsidP="002B55E1">
      <w:pPr>
        <w:rPr>
          <w:rFonts w:ascii="Arial Narrow" w:eastAsia="Calibri" w:hAnsi="Arial Narrow"/>
        </w:rPr>
      </w:pPr>
    </w:p>
    <w:p w14:paraId="336E90A5" w14:textId="496D1B3A" w:rsidR="002B55E1" w:rsidRDefault="002B55E1" w:rsidP="002B55E1">
      <w:pPr>
        <w:pStyle w:val="Descripcin"/>
        <w:jc w:val="center"/>
        <w:rPr>
          <w:rFonts w:ascii="Arial Narrow" w:eastAsia="Calibri" w:hAnsi="Arial Narrow"/>
          <w:sz w:val="24"/>
          <w:szCs w:val="24"/>
        </w:rPr>
      </w:pPr>
      <w:bookmarkStart w:id="72" w:name="_Toc76062287"/>
      <w:r w:rsidRPr="00704B08">
        <w:rPr>
          <w:rFonts w:ascii="Arial Narrow" w:hAnsi="Arial Narrow"/>
          <w:sz w:val="24"/>
          <w:szCs w:val="24"/>
        </w:rPr>
        <w:t xml:space="preserve">Cuadro </w:t>
      </w:r>
      <w:r w:rsidRPr="00704B08">
        <w:rPr>
          <w:rFonts w:ascii="Arial Narrow" w:hAnsi="Arial Narrow"/>
          <w:sz w:val="24"/>
          <w:szCs w:val="24"/>
        </w:rPr>
        <w:fldChar w:fldCharType="begin"/>
      </w:r>
      <w:r w:rsidRPr="00704B08">
        <w:rPr>
          <w:rFonts w:ascii="Arial Narrow" w:hAnsi="Arial Narrow"/>
          <w:sz w:val="24"/>
          <w:szCs w:val="24"/>
        </w:rPr>
        <w:instrText xml:space="preserve"> SEQ Cuadro_No. \* ARABIC </w:instrText>
      </w:r>
      <w:r w:rsidRPr="00704B08">
        <w:rPr>
          <w:rFonts w:ascii="Arial Narrow" w:hAnsi="Arial Narrow"/>
          <w:sz w:val="24"/>
          <w:szCs w:val="24"/>
        </w:rPr>
        <w:fldChar w:fldCharType="separate"/>
      </w:r>
      <w:r w:rsidR="002F520A">
        <w:rPr>
          <w:rFonts w:ascii="Arial Narrow" w:hAnsi="Arial Narrow"/>
          <w:noProof/>
          <w:sz w:val="24"/>
          <w:szCs w:val="24"/>
        </w:rPr>
        <w:t>59</w:t>
      </w:r>
      <w:r w:rsidRPr="00704B08">
        <w:rPr>
          <w:rFonts w:ascii="Arial Narrow" w:hAnsi="Arial Narrow"/>
          <w:sz w:val="24"/>
          <w:szCs w:val="24"/>
        </w:rPr>
        <w:fldChar w:fldCharType="end"/>
      </w:r>
      <w:r w:rsidRPr="009D5823">
        <w:rPr>
          <w:rFonts w:ascii="Arial Narrow" w:hAnsi="Arial Narrow"/>
          <w:sz w:val="24"/>
          <w:szCs w:val="24"/>
        </w:rPr>
        <w:t xml:space="preserve"> </w:t>
      </w:r>
      <w:r w:rsidRPr="009D5823">
        <w:rPr>
          <w:rFonts w:ascii="Arial Narrow" w:eastAsia="Calibri" w:hAnsi="Arial Narrow"/>
          <w:sz w:val="24"/>
          <w:szCs w:val="24"/>
        </w:rPr>
        <w:t>Metas estratégicas</w:t>
      </w:r>
      <w:r w:rsidRPr="00211B03">
        <w:rPr>
          <w:rFonts w:ascii="Arial Narrow" w:eastAsia="Calibri" w:hAnsi="Arial Narrow"/>
          <w:sz w:val="24"/>
          <w:szCs w:val="24"/>
        </w:rPr>
        <w:t xml:space="preserve"> de </w:t>
      </w:r>
      <w:r>
        <w:rPr>
          <w:rFonts w:ascii="Arial Narrow" w:eastAsia="Calibri" w:hAnsi="Arial Narrow"/>
          <w:sz w:val="24"/>
          <w:szCs w:val="24"/>
        </w:rPr>
        <w:t>Evaluación del Desempeño</w:t>
      </w:r>
      <w:r w:rsidRPr="00211B03">
        <w:rPr>
          <w:rFonts w:ascii="Arial Narrow" w:eastAsia="Calibri" w:hAnsi="Arial Narrow"/>
          <w:sz w:val="24"/>
          <w:szCs w:val="24"/>
        </w:rPr>
        <w:t>, y su cumplimiento para el 20</w:t>
      </w:r>
      <w:bookmarkEnd w:id="72"/>
      <w:r>
        <w:rPr>
          <w:rFonts w:ascii="Arial Narrow" w:eastAsia="Calibri" w:hAnsi="Arial Narrow"/>
          <w:sz w:val="24"/>
          <w:szCs w:val="24"/>
        </w:rPr>
        <w:t>21.</w:t>
      </w:r>
    </w:p>
    <w:p w14:paraId="04CF6680" w14:textId="630CA0A3" w:rsidR="004369FB" w:rsidRDefault="00557C90" w:rsidP="00E24953">
      <w:pPr>
        <w:rPr>
          <w:rFonts w:eastAsia="Calibri"/>
        </w:rPr>
      </w:pPr>
      <w:r>
        <w:rPr>
          <w:noProof/>
        </w:rPr>
        <w:drawing>
          <wp:inline distT="0" distB="0" distL="0" distR="0" wp14:anchorId="70B1BE14" wp14:editId="1F8E99B9">
            <wp:extent cx="5686425" cy="2289810"/>
            <wp:effectExtent l="57150" t="57150" r="104775" b="91440"/>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r="184"/>
                    <a:stretch/>
                  </pic:blipFill>
                  <pic:spPr bwMode="auto">
                    <a:xfrm>
                      <a:off x="0" y="0"/>
                      <a:ext cx="5705664" cy="2297557"/>
                    </a:xfrm>
                    <a:prstGeom prst="rect">
                      <a:avLst/>
                    </a:prstGeom>
                    <a:ln w="127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931C7AB" w14:textId="2E14C99F" w:rsidR="004369FB" w:rsidRPr="00A618D8" w:rsidRDefault="004369FB" w:rsidP="00B54439">
      <w:pPr>
        <w:jc w:val="center"/>
        <w:rPr>
          <w:rFonts w:eastAsia="Calibri"/>
          <w:b/>
          <w:bCs/>
        </w:rPr>
      </w:pPr>
      <w:bookmarkStart w:id="73" w:name="_Hlk98918634"/>
      <w:r w:rsidRPr="004619C9">
        <w:rPr>
          <w:rFonts w:ascii="Arial Narrow" w:eastAsia="Calibri" w:hAnsi="Arial Narrow"/>
          <w:b/>
          <w:bCs/>
          <w:sz w:val="18"/>
          <w:szCs w:val="18"/>
          <w:lang w:eastAsia="en-US"/>
        </w:rPr>
        <w:t>Fuente:</w:t>
      </w:r>
      <w:r w:rsidRPr="000B4845">
        <w:rPr>
          <w:rFonts w:ascii="Arial Narrow" w:eastAsia="Calibri" w:hAnsi="Arial Narrow"/>
          <w:sz w:val="18"/>
          <w:szCs w:val="18"/>
          <w:lang w:eastAsia="en-US"/>
        </w:rPr>
        <w:t xml:space="preserve"> Sistema PEI al </w:t>
      </w:r>
      <w:r>
        <w:rPr>
          <w:rFonts w:ascii="Arial Narrow" w:eastAsia="Calibri" w:hAnsi="Arial Narrow"/>
          <w:sz w:val="18"/>
          <w:szCs w:val="18"/>
          <w:lang w:eastAsia="en-US"/>
        </w:rPr>
        <w:t>19</w:t>
      </w:r>
      <w:r w:rsidRPr="000B4845">
        <w:rPr>
          <w:rFonts w:ascii="Arial Narrow" w:eastAsia="Calibri" w:hAnsi="Arial Narrow"/>
          <w:sz w:val="18"/>
          <w:szCs w:val="18"/>
          <w:lang w:eastAsia="en-US"/>
        </w:rPr>
        <w:t xml:space="preserve"> de enero del </w:t>
      </w:r>
      <w:r>
        <w:rPr>
          <w:rFonts w:ascii="Arial Narrow" w:eastAsia="Calibri" w:hAnsi="Arial Narrow"/>
          <w:sz w:val="18"/>
          <w:szCs w:val="18"/>
          <w:lang w:eastAsia="en-US"/>
        </w:rPr>
        <w:t>2022 para el año 2021.</w:t>
      </w:r>
    </w:p>
    <w:bookmarkEnd w:id="73"/>
    <w:p w14:paraId="73A4326C" w14:textId="0605022B" w:rsidR="004369FB" w:rsidRPr="00CE2C54" w:rsidRDefault="00C808B5" w:rsidP="00470575">
      <w:pPr>
        <w:jc w:val="both"/>
        <w:rPr>
          <w:rFonts w:ascii="Arial Narrow" w:hAnsi="Arial Narrow"/>
        </w:rPr>
      </w:pPr>
      <w:r w:rsidRPr="00CE2C54">
        <w:rPr>
          <w:rFonts w:ascii="Arial Narrow" w:eastAsia="Calibri" w:hAnsi="Arial Narrow"/>
          <w:lang w:eastAsia="en-US"/>
        </w:rPr>
        <w:t xml:space="preserve">El Despacho de la Presidencia </w:t>
      </w:r>
      <w:r w:rsidR="008C3F0A" w:rsidRPr="00CE2C54">
        <w:rPr>
          <w:rFonts w:ascii="Arial Narrow" w:eastAsia="Calibri" w:hAnsi="Arial Narrow"/>
          <w:lang w:eastAsia="en-US"/>
        </w:rPr>
        <w:t>con el objetivo de d</w:t>
      </w:r>
      <w:r w:rsidR="00F40EEE" w:rsidRPr="00CE2C54">
        <w:rPr>
          <w:rFonts w:ascii="Arial Narrow" w:eastAsia="Calibri" w:hAnsi="Arial Narrow"/>
          <w:lang w:eastAsia="en-US"/>
        </w:rPr>
        <w:t xml:space="preserve">ar seguimiento a las recomendaciones emitidas por </w:t>
      </w:r>
      <w:r w:rsidR="0046471B" w:rsidRPr="00CE2C54">
        <w:rPr>
          <w:rFonts w:ascii="Arial Narrow" w:eastAsia="Calibri" w:hAnsi="Arial Narrow"/>
          <w:lang w:eastAsia="en-US"/>
        </w:rPr>
        <w:t>l</w:t>
      </w:r>
      <w:r w:rsidR="00F40EEE" w:rsidRPr="00CE2C54">
        <w:rPr>
          <w:rFonts w:ascii="Arial Narrow" w:eastAsia="Calibri" w:hAnsi="Arial Narrow"/>
          <w:lang w:eastAsia="en-US"/>
        </w:rPr>
        <w:t>a Contraloría General de la República</w:t>
      </w:r>
      <w:r w:rsidR="008C3F0A" w:rsidRPr="00CE2C54">
        <w:rPr>
          <w:rFonts w:ascii="Arial Narrow" w:eastAsia="Calibri" w:hAnsi="Arial Narrow"/>
          <w:lang w:eastAsia="en-US"/>
        </w:rPr>
        <w:t xml:space="preserve"> en el i</w:t>
      </w:r>
      <w:r w:rsidR="008C3F0A" w:rsidRPr="00CE2C54">
        <w:rPr>
          <w:rFonts w:ascii="Arial Narrow" w:hAnsi="Arial Narrow"/>
        </w:rPr>
        <w:t xml:space="preserve">nforme N° DFOE-PG-IF-00015-2020 </w:t>
      </w:r>
      <w:r w:rsidR="00F40EEE" w:rsidRPr="00CE2C54">
        <w:rPr>
          <w:rFonts w:ascii="Arial Narrow" w:eastAsia="Calibri" w:hAnsi="Arial Narrow"/>
          <w:lang w:eastAsia="en-US"/>
        </w:rPr>
        <w:t>sobre el proceso de evaluación del desempeño en el Poder J</w:t>
      </w:r>
      <w:r w:rsidR="004853EA" w:rsidRPr="00CE2C54">
        <w:rPr>
          <w:rFonts w:ascii="Arial Narrow" w:eastAsia="Calibri" w:hAnsi="Arial Narrow"/>
          <w:lang w:val="es-CR" w:eastAsia="en-US"/>
        </w:rPr>
        <w:t>udicial</w:t>
      </w:r>
      <w:r w:rsidR="008C3F0A" w:rsidRPr="00CE2C54">
        <w:rPr>
          <w:rFonts w:ascii="Arial Narrow" w:eastAsia="Calibri" w:hAnsi="Arial Narrow"/>
          <w:lang w:val="es-CR" w:eastAsia="en-US"/>
        </w:rPr>
        <w:t>,</w:t>
      </w:r>
      <w:r w:rsidR="0046471B" w:rsidRPr="00CE2C54">
        <w:rPr>
          <w:rFonts w:ascii="Arial Narrow" w:eastAsia="Calibri" w:hAnsi="Arial Narrow"/>
          <w:lang w:val="es-CR" w:eastAsia="en-US"/>
        </w:rPr>
        <w:t xml:space="preserve"> </w:t>
      </w:r>
      <w:r w:rsidR="008C3F0A" w:rsidRPr="00CE2C54">
        <w:rPr>
          <w:rFonts w:ascii="Arial Narrow" w:eastAsia="Calibri" w:hAnsi="Arial Narrow"/>
          <w:lang w:val="es-CR" w:eastAsia="en-US"/>
        </w:rPr>
        <w:t xml:space="preserve">realizó </w:t>
      </w:r>
      <w:r w:rsidR="0046471B" w:rsidRPr="00CE2C54">
        <w:rPr>
          <w:rFonts w:ascii="Arial Narrow" w:eastAsia="Calibri" w:hAnsi="Arial Narrow"/>
          <w:lang w:val="es-CR" w:eastAsia="en-US"/>
        </w:rPr>
        <w:t>un</w:t>
      </w:r>
      <w:r w:rsidR="008C3F0A" w:rsidRPr="00CE2C54">
        <w:rPr>
          <w:rFonts w:ascii="Arial Narrow" w:eastAsia="Calibri" w:hAnsi="Arial Narrow"/>
          <w:lang w:val="es-CR" w:eastAsia="en-US"/>
        </w:rPr>
        <w:t xml:space="preserve"> informe </w:t>
      </w:r>
      <w:r w:rsidR="0046471B" w:rsidRPr="00CE2C54">
        <w:rPr>
          <w:rFonts w:ascii="Arial Narrow" w:eastAsia="Calibri" w:hAnsi="Arial Narrow"/>
          <w:lang w:val="es-CR" w:eastAsia="en-US"/>
        </w:rPr>
        <w:t xml:space="preserve">de </w:t>
      </w:r>
      <w:r w:rsidR="00F40EEE" w:rsidRPr="00CE2C54">
        <w:rPr>
          <w:rFonts w:ascii="Arial Narrow" w:hAnsi="Arial Narrow"/>
          <w:lang w:val="es-CR"/>
        </w:rPr>
        <w:t>seguimiento, aplicado en el Subproceso de Gestión del Desempeño</w:t>
      </w:r>
      <w:r w:rsidR="00941095">
        <w:rPr>
          <w:rFonts w:ascii="Arial Narrow" w:hAnsi="Arial Narrow"/>
          <w:lang w:val="es-CR"/>
        </w:rPr>
        <w:t xml:space="preserve"> de la Dirección de Gestión Humana</w:t>
      </w:r>
      <w:r w:rsidR="0046471B" w:rsidRPr="00CE2C54">
        <w:rPr>
          <w:rFonts w:ascii="Arial Narrow" w:hAnsi="Arial Narrow"/>
          <w:lang w:val="es-CR"/>
        </w:rPr>
        <w:t>.</w:t>
      </w:r>
      <w:r w:rsidR="00597E2B" w:rsidRPr="00CE2C54">
        <w:rPr>
          <w:rFonts w:ascii="Arial Narrow" w:hAnsi="Arial Narrow"/>
          <w:lang w:val="es-CR"/>
        </w:rPr>
        <w:t xml:space="preserve"> </w:t>
      </w:r>
      <w:r w:rsidR="00CE2C54" w:rsidRPr="00CE2C54">
        <w:rPr>
          <w:rFonts w:ascii="Arial Narrow" w:hAnsi="Arial Narrow"/>
          <w:lang w:val="es-CR"/>
        </w:rPr>
        <w:t xml:space="preserve">Además, se tiene que se </w:t>
      </w:r>
      <w:r w:rsidR="00CE2C54" w:rsidRPr="00CE2C54">
        <w:rPr>
          <w:rFonts w:ascii="Arial Narrow" w:hAnsi="Arial Narrow" w:cs="Arial"/>
          <w:color w:val="201F1E"/>
          <w:bdr w:val="none" w:sz="0" w:space="0" w:color="auto" w:frame="1"/>
          <w:lang w:val="es-CR" w:eastAsia="es-CR"/>
        </w:rPr>
        <w:t xml:space="preserve">desarrollaron </w:t>
      </w:r>
      <w:r w:rsidR="00CE2C54" w:rsidRPr="00CE2C54">
        <w:rPr>
          <w:rFonts w:ascii="Arial Narrow" w:hAnsi="Arial Narrow" w:cs="Arial"/>
          <w:color w:val="000000" w:themeColor="text1"/>
          <w:bdr w:val="none" w:sz="0" w:space="0" w:color="auto" w:frame="1"/>
          <w:lang w:val="es-CR" w:eastAsia="es-CR"/>
        </w:rPr>
        <w:t xml:space="preserve">talleres virtuales, por medio de la herramienta </w:t>
      </w:r>
      <w:r w:rsidR="00CE2C54" w:rsidRPr="00132A44">
        <w:rPr>
          <w:rFonts w:ascii="Arial Narrow" w:hAnsi="Arial Narrow" w:cs="Arial"/>
          <w:i/>
          <w:iCs/>
          <w:color w:val="000000" w:themeColor="text1"/>
          <w:bdr w:val="none" w:sz="0" w:space="0" w:color="auto" w:frame="1"/>
          <w:lang w:val="es-CR" w:eastAsia="es-CR"/>
        </w:rPr>
        <w:t>teams</w:t>
      </w:r>
      <w:r w:rsidR="00CE2C54" w:rsidRPr="00CE2C54">
        <w:rPr>
          <w:rFonts w:ascii="Arial Narrow" w:hAnsi="Arial Narrow" w:cs="Arial"/>
          <w:color w:val="000000" w:themeColor="text1"/>
          <w:bdr w:val="none" w:sz="0" w:space="0" w:color="auto" w:frame="1"/>
          <w:lang w:val="es-CR" w:eastAsia="es-CR"/>
        </w:rPr>
        <w:t xml:space="preserve">, donde participaron </w:t>
      </w:r>
      <w:r w:rsidR="00594AD5">
        <w:rPr>
          <w:rFonts w:ascii="Arial Narrow" w:hAnsi="Arial Narrow" w:cs="Arial"/>
          <w:color w:val="000000" w:themeColor="text1"/>
          <w:bdr w:val="none" w:sz="0" w:space="0" w:color="auto" w:frame="1"/>
          <w:lang w:val="es-CR" w:eastAsia="es-CR"/>
        </w:rPr>
        <w:t xml:space="preserve">personas </w:t>
      </w:r>
      <w:r w:rsidR="00CE2C54" w:rsidRPr="00CE2C54">
        <w:rPr>
          <w:rFonts w:ascii="Arial Narrow" w:hAnsi="Arial Narrow" w:cs="Arial"/>
          <w:color w:val="000000" w:themeColor="text1"/>
          <w:bdr w:val="none" w:sz="0" w:space="0" w:color="auto" w:frame="1"/>
          <w:lang w:val="es-CR" w:eastAsia="es-CR"/>
        </w:rPr>
        <w:t xml:space="preserve">servidoras judiciales de los ámbitos del OIJ, Defensa </w:t>
      </w:r>
      <w:r w:rsidR="00594AD5">
        <w:rPr>
          <w:rFonts w:ascii="Arial Narrow" w:hAnsi="Arial Narrow" w:cs="Arial"/>
          <w:color w:val="000000" w:themeColor="text1"/>
          <w:bdr w:val="none" w:sz="0" w:space="0" w:color="auto" w:frame="1"/>
          <w:lang w:val="es-CR" w:eastAsia="es-CR"/>
        </w:rPr>
        <w:t xml:space="preserve">Pública </w:t>
      </w:r>
      <w:r w:rsidR="00CE2C54" w:rsidRPr="00CE2C54">
        <w:rPr>
          <w:rFonts w:ascii="Arial Narrow" w:hAnsi="Arial Narrow" w:cs="Arial"/>
          <w:color w:val="000000" w:themeColor="text1"/>
          <w:bdr w:val="none" w:sz="0" w:space="0" w:color="auto" w:frame="1"/>
          <w:lang w:val="es-CR" w:eastAsia="es-CR"/>
        </w:rPr>
        <w:t xml:space="preserve">y Judicatura. </w:t>
      </w:r>
    </w:p>
    <w:p w14:paraId="03EFF127" w14:textId="77777777" w:rsidR="00941095" w:rsidRDefault="00941095" w:rsidP="00594AD5">
      <w:pPr>
        <w:jc w:val="both"/>
      </w:pPr>
    </w:p>
    <w:p w14:paraId="2C680FB2" w14:textId="56E8253D" w:rsidR="00060F3F" w:rsidRPr="00594AD5" w:rsidRDefault="00597E2B" w:rsidP="00470575">
      <w:pPr>
        <w:jc w:val="both"/>
        <w:rPr>
          <w:rFonts w:ascii="Arial Narrow" w:eastAsia="Calibri" w:hAnsi="Arial Narrow"/>
          <w:lang w:eastAsia="en-US"/>
        </w:rPr>
      </w:pPr>
      <w:r w:rsidRPr="00594AD5">
        <w:rPr>
          <w:rFonts w:ascii="Arial Narrow" w:eastAsia="Calibri" w:hAnsi="Arial Narrow"/>
          <w:lang w:eastAsia="en-US"/>
        </w:rPr>
        <w:t xml:space="preserve">En lo respecta a la Dirección de Gestión Humana, </w:t>
      </w:r>
      <w:r w:rsidR="00060F3F" w:rsidRPr="00594AD5">
        <w:rPr>
          <w:rFonts w:ascii="Arial Narrow" w:eastAsia="Calibri" w:hAnsi="Arial Narrow"/>
          <w:lang w:eastAsia="en-US"/>
        </w:rPr>
        <w:t xml:space="preserve">durante el primer trimestre de 2021, facilitó el taller de metas de desempeño y se facilitaron capacitaciones en todos los </w:t>
      </w:r>
      <w:r w:rsidR="0026287C" w:rsidRPr="00594AD5">
        <w:rPr>
          <w:rFonts w:ascii="Arial Narrow" w:eastAsia="Calibri" w:hAnsi="Arial Narrow"/>
          <w:lang w:eastAsia="en-US"/>
        </w:rPr>
        <w:t>ámbitos, se coordinó con la Dirección de Tecnología de la Información, la generación de las tablas de análisis de la información</w:t>
      </w:r>
      <w:r w:rsidR="00594AD5" w:rsidRPr="00594AD5">
        <w:rPr>
          <w:rFonts w:ascii="Arial Narrow" w:eastAsia="Calibri" w:hAnsi="Arial Narrow"/>
          <w:lang w:eastAsia="en-US"/>
        </w:rPr>
        <w:t xml:space="preserve">. </w:t>
      </w:r>
      <w:r w:rsidR="00060F3F" w:rsidRPr="00594AD5">
        <w:rPr>
          <w:rFonts w:ascii="Arial Narrow" w:eastAsia="Calibri" w:hAnsi="Arial Narrow"/>
          <w:lang w:eastAsia="en-US"/>
        </w:rPr>
        <w:t>Además, mediante informe PJ-DGH-SGD-109-2021 presentó el análisis de los resultados del año 2020.</w:t>
      </w:r>
    </w:p>
    <w:p w14:paraId="371C58CC" w14:textId="7BF78C1B" w:rsidR="00597E2B" w:rsidRPr="0057595F" w:rsidRDefault="00597E2B" w:rsidP="00470575">
      <w:pPr>
        <w:jc w:val="both"/>
      </w:pPr>
    </w:p>
    <w:p w14:paraId="62C6D5BA" w14:textId="054A9CF9" w:rsidR="00594AD5" w:rsidRDefault="0057595F" w:rsidP="00470575">
      <w:pPr>
        <w:jc w:val="both"/>
        <w:rPr>
          <w:rFonts w:ascii="Arial Narrow" w:eastAsia="Calibri" w:hAnsi="Arial Narrow"/>
        </w:rPr>
      </w:pPr>
      <w:r w:rsidRPr="0057595F">
        <w:rPr>
          <w:rFonts w:ascii="Arial Narrow" w:eastAsia="Calibri" w:hAnsi="Arial Narrow"/>
          <w:lang w:eastAsia="en-US"/>
        </w:rPr>
        <w:t>En atención a los lineamientos institucionales la O</w:t>
      </w:r>
      <w:r w:rsidR="00941095">
        <w:rPr>
          <w:rFonts w:ascii="Arial Narrow" w:eastAsia="Calibri" w:hAnsi="Arial Narrow"/>
          <w:lang w:eastAsia="en-US"/>
        </w:rPr>
        <w:t>ficina de Atención a la Víctima de Delitos</w:t>
      </w:r>
      <w:r w:rsidRPr="0057595F">
        <w:rPr>
          <w:rFonts w:ascii="Arial Narrow" w:eastAsia="Calibri" w:hAnsi="Arial Narrow"/>
          <w:lang w:eastAsia="en-US"/>
        </w:rPr>
        <w:t xml:space="preserve"> procedió a trabajar la evaluación del desempeño de seguimiento la cual comprende el periodo de marzo a julio 2021</w:t>
      </w:r>
      <w:r w:rsidR="00470575">
        <w:rPr>
          <w:rFonts w:ascii="Arial Narrow" w:eastAsia="Calibri" w:hAnsi="Arial Narrow"/>
          <w:lang w:eastAsia="en-US"/>
        </w:rPr>
        <w:t xml:space="preserve"> en donde</w:t>
      </w:r>
      <w:r w:rsidR="00470575" w:rsidRPr="00470575">
        <w:rPr>
          <w:rFonts w:ascii="Arial Narrow" w:eastAsia="Calibri" w:hAnsi="Arial Narrow"/>
        </w:rPr>
        <w:t xml:space="preserve"> </w:t>
      </w:r>
      <w:r w:rsidR="00470575">
        <w:rPr>
          <w:rFonts w:ascii="Arial Narrow" w:eastAsia="Calibri" w:hAnsi="Arial Narrow"/>
        </w:rPr>
        <w:t>se redactaron</w:t>
      </w:r>
      <w:r w:rsidR="00470575" w:rsidRPr="002E0B96">
        <w:rPr>
          <w:rFonts w:ascii="Arial Narrow" w:eastAsia="Calibri" w:hAnsi="Arial Narrow"/>
        </w:rPr>
        <w:t xml:space="preserve"> las metas para cada colaborador, </w:t>
      </w:r>
      <w:r w:rsidR="00470575">
        <w:rPr>
          <w:rFonts w:ascii="Arial Narrow" w:eastAsia="Calibri" w:hAnsi="Arial Narrow"/>
        </w:rPr>
        <w:t xml:space="preserve">se </w:t>
      </w:r>
      <w:r w:rsidR="00470575" w:rsidRPr="002E0B96">
        <w:rPr>
          <w:rFonts w:ascii="Arial Narrow" w:eastAsia="Calibri" w:hAnsi="Arial Narrow"/>
        </w:rPr>
        <w:t xml:space="preserve">realizó reuniones y notificó los planes a cada persona, </w:t>
      </w:r>
      <w:r w:rsidR="00470575">
        <w:rPr>
          <w:rFonts w:ascii="Arial Narrow" w:eastAsia="Calibri" w:hAnsi="Arial Narrow"/>
        </w:rPr>
        <w:t>así como el</w:t>
      </w:r>
      <w:r w:rsidR="00470575" w:rsidRPr="002E0B96">
        <w:rPr>
          <w:rFonts w:ascii="Arial Narrow" w:eastAsia="Calibri" w:hAnsi="Arial Narrow"/>
        </w:rPr>
        <w:t xml:space="preserve"> control de los documentos que respaldan la evaluación.</w:t>
      </w:r>
    </w:p>
    <w:p w14:paraId="5B61B45E" w14:textId="77777777" w:rsidR="00470575" w:rsidRDefault="00470575" w:rsidP="00470575">
      <w:pPr>
        <w:spacing w:line="360" w:lineRule="auto"/>
        <w:jc w:val="both"/>
        <w:rPr>
          <w:rFonts w:eastAsia="Calibri"/>
          <w:lang w:eastAsia="en-US"/>
        </w:rPr>
      </w:pPr>
    </w:p>
    <w:p w14:paraId="644A7B31" w14:textId="7E4303DD" w:rsidR="00E24953" w:rsidRDefault="00E24953" w:rsidP="00E24953">
      <w:pPr>
        <w:pStyle w:val="Descripcin"/>
        <w:jc w:val="center"/>
        <w:rPr>
          <w:rFonts w:ascii="Arial Narrow" w:eastAsia="Calibri" w:hAnsi="Arial Narrow"/>
          <w:sz w:val="24"/>
          <w:szCs w:val="24"/>
        </w:rPr>
      </w:pPr>
      <w:r w:rsidRPr="00704B08">
        <w:rPr>
          <w:rFonts w:ascii="Arial Narrow" w:hAnsi="Arial Narrow"/>
          <w:sz w:val="24"/>
          <w:szCs w:val="24"/>
        </w:rPr>
        <w:t xml:space="preserve">Cuadro </w:t>
      </w:r>
      <w:r w:rsidRPr="00704B08">
        <w:rPr>
          <w:rFonts w:ascii="Arial Narrow" w:hAnsi="Arial Narrow"/>
          <w:sz w:val="24"/>
          <w:szCs w:val="24"/>
        </w:rPr>
        <w:fldChar w:fldCharType="begin"/>
      </w:r>
      <w:r w:rsidRPr="00704B08">
        <w:rPr>
          <w:rFonts w:ascii="Arial Narrow" w:hAnsi="Arial Narrow"/>
          <w:sz w:val="24"/>
          <w:szCs w:val="24"/>
        </w:rPr>
        <w:instrText xml:space="preserve"> SEQ Cuadro_No. \* ARABIC </w:instrText>
      </w:r>
      <w:r w:rsidRPr="00704B08">
        <w:rPr>
          <w:rFonts w:ascii="Arial Narrow" w:hAnsi="Arial Narrow"/>
          <w:sz w:val="24"/>
          <w:szCs w:val="24"/>
        </w:rPr>
        <w:fldChar w:fldCharType="separate"/>
      </w:r>
      <w:r w:rsidR="002F520A">
        <w:rPr>
          <w:rFonts w:ascii="Arial Narrow" w:hAnsi="Arial Narrow"/>
          <w:noProof/>
          <w:sz w:val="24"/>
          <w:szCs w:val="24"/>
        </w:rPr>
        <w:t>60</w:t>
      </w:r>
      <w:r w:rsidRPr="00704B08">
        <w:rPr>
          <w:rFonts w:ascii="Arial Narrow" w:hAnsi="Arial Narrow"/>
          <w:sz w:val="24"/>
          <w:szCs w:val="24"/>
        </w:rPr>
        <w:fldChar w:fldCharType="end"/>
      </w:r>
      <w:r w:rsidRPr="009D5823">
        <w:rPr>
          <w:rFonts w:ascii="Arial Narrow" w:hAnsi="Arial Narrow"/>
          <w:sz w:val="24"/>
          <w:szCs w:val="24"/>
        </w:rPr>
        <w:t xml:space="preserve"> </w:t>
      </w:r>
      <w:r w:rsidRPr="009D5823">
        <w:rPr>
          <w:rFonts w:ascii="Arial Narrow" w:eastAsia="Calibri" w:hAnsi="Arial Narrow"/>
          <w:sz w:val="24"/>
          <w:szCs w:val="24"/>
        </w:rPr>
        <w:t>Metas estratégicas</w:t>
      </w:r>
      <w:r w:rsidRPr="00211B03">
        <w:rPr>
          <w:rFonts w:ascii="Arial Narrow" w:eastAsia="Calibri" w:hAnsi="Arial Narrow"/>
          <w:sz w:val="24"/>
          <w:szCs w:val="24"/>
        </w:rPr>
        <w:t xml:space="preserve"> de </w:t>
      </w:r>
      <w:r>
        <w:rPr>
          <w:rFonts w:ascii="Arial Narrow" w:eastAsia="Calibri" w:hAnsi="Arial Narrow"/>
          <w:sz w:val="24"/>
          <w:szCs w:val="24"/>
        </w:rPr>
        <w:t>Evaluación del Desempeño</w:t>
      </w:r>
      <w:r w:rsidRPr="00211B03">
        <w:rPr>
          <w:rFonts w:ascii="Arial Narrow" w:eastAsia="Calibri" w:hAnsi="Arial Narrow"/>
          <w:sz w:val="24"/>
          <w:szCs w:val="24"/>
        </w:rPr>
        <w:t>, y su cumplimiento para el 20</w:t>
      </w:r>
      <w:r>
        <w:rPr>
          <w:rFonts w:ascii="Arial Narrow" w:eastAsia="Calibri" w:hAnsi="Arial Narrow"/>
          <w:sz w:val="24"/>
          <w:szCs w:val="24"/>
        </w:rPr>
        <w:t>21.</w:t>
      </w:r>
    </w:p>
    <w:p w14:paraId="571ED124" w14:textId="77777777" w:rsidR="00E43F7B" w:rsidRPr="00E43F7B" w:rsidRDefault="00E43F7B" w:rsidP="00E43F7B">
      <w:pPr>
        <w:rPr>
          <w:rFonts w:eastAsia="Calibri"/>
        </w:rPr>
      </w:pPr>
    </w:p>
    <w:p w14:paraId="4B6DE0C7" w14:textId="225E8EDC" w:rsidR="00594AD5" w:rsidRPr="00E24953" w:rsidRDefault="00557C90" w:rsidP="00557C90">
      <w:pPr>
        <w:rPr>
          <w:rFonts w:eastAsia="Calibri"/>
        </w:rPr>
      </w:pPr>
      <w:r>
        <w:rPr>
          <w:noProof/>
        </w:rPr>
        <w:drawing>
          <wp:inline distT="0" distB="0" distL="0" distR="0" wp14:anchorId="20A1059F" wp14:editId="67E0B95A">
            <wp:extent cx="5956300" cy="3803650"/>
            <wp:effectExtent l="57150" t="57150" r="101600" b="101600"/>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r="298" b="383"/>
                    <a:stretch/>
                  </pic:blipFill>
                  <pic:spPr bwMode="auto">
                    <a:xfrm>
                      <a:off x="0" y="0"/>
                      <a:ext cx="5956300" cy="3803650"/>
                    </a:xfrm>
                    <a:prstGeom prst="rect">
                      <a:avLst/>
                    </a:prstGeom>
                    <a:ln w="127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7F003C7" w14:textId="02157F79" w:rsidR="00594AD5" w:rsidRDefault="00470575" w:rsidP="00E24953">
      <w:pPr>
        <w:spacing w:line="360" w:lineRule="auto"/>
        <w:ind w:firstLine="708"/>
        <w:jc w:val="both"/>
        <w:rPr>
          <w:rFonts w:ascii="Arial Narrow" w:eastAsia="Calibri" w:hAnsi="Arial Narrow"/>
          <w:sz w:val="18"/>
          <w:szCs w:val="18"/>
          <w:lang w:eastAsia="en-US"/>
        </w:rPr>
      </w:pPr>
      <w:r w:rsidRPr="004619C9">
        <w:rPr>
          <w:rFonts w:ascii="Arial Narrow" w:eastAsia="Calibri" w:hAnsi="Arial Narrow"/>
          <w:b/>
          <w:bCs/>
          <w:sz w:val="18"/>
          <w:szCs w:val="18"/>
          <w:lang w:eastAsia="en-US"/>
        </w:rPr>
        <w:t>Fuente:</w:t>
      </w:r>
      <w:r w:rsidRPr="000B4845">
        <w:rPr>
          <w:rFonts w:ascii="Arial Narrow" w:eastAsia="Calibri" w:hAnsi="Arial Narrow"/>
          <w:sz w:val="18"/>
          <w:szCs w:val="18"/>
          <w:lang w:eastAsia="en-US"/>
        </w:rPr>
        <w:t xml:space="preserve"> Sistema PEI al </w:t>
      </w:r>
      <w:r>
        <w:rPr>
          <w:rFonts w:ascii="Arial Narrow" w:eastAsia="Calibri" w:hAnsi="Arial Narrow"/>
          <w:sz w:val="18"/>
          <w:szCs w:val="18"/>
          <w:lang w:eastAsia="en-US"/>
        </w:rPr>
        <w:t>19</w:t>
      </w:r>
      <w:r w:rsidRPr="000B4845">
        <w:rPr>
          <w:rFonts w:ascii="Arial Narrow" w:eastAsia="Calibri" w:hAnsi="Arial Narrow"/>
          <w:sz w:val="18"/>
          <w:szCs w:val="18"/>
          <w:lang w:eastAsia="en-US"/>
        </w:rPr>
        <w:t xml:space="preserve"> de enero del </w:t>
      </w:r>
      <w:r>
        <w:rPr>
          <w:rFonts w:ascii="Arial Narrow" w:eastAsia="Calibri" w:hAnsi="Arial Narrow"/>
          <w:sz w:val="18"/>
          <w:szCs w:val="18"/>
          <w:lang w:eastAsia="en-US"/>
        </w:rPr>
        <w:t>2022 para el año 2021.</w:t>
      </w:r>
    </w:p>
    <w:p w14:paraId="42C64DD6" w14:textId="5E4C10F2" w:rsidR="006358B6" w:rsidRPr="00A502A4" w:rsidRDefault="008A37ED" w:rsidP="006358B6">
      <w:pPr>
        <w:jc w:val="both"/>
        <w:rPr>
          <w:rFonts w:ascii="Arial Narrow" w:hAnsi="Arial Narrow"/>
        </w:rPr>
      </w:pPr>
      <w:r w:rsidRPr="00A502A4">
        <w:rPr>
          <w:rFonts w:ascii="Arial Narrow" w:hAnsi="Arial Narrow"/>
        </w:rPr>
        <w:t xml:space="preserve">El Organismo de Investigación Judicial </w:t>
      </w:r>
      <w:r w:rsidR="006F3970" w:rsidRPr="00A502A4">
        <w:rPr>
          <w:rFonts w:ascii="Arial Narrow" w:hAnsi="Arial Narrow"/>
        </w:rPr>
        <w:t>de acuerdo con la revisión efectuada registra un cumplimiento alto de 100% para el año 2021</w:t>
      </w:r>
      <w:r w:rsidR="006C475F" w:rsidRPr="00A502A4">
        <w:rPr>
          <w:rFonts w:ascii="Arial Narrow" w:hAnsi="Arial Narrow"/>
        </w:rPr>
        <w:t xml:space="preserve"> donde se observa que procedió con la evaluación del desempeño de </w:t>
      </w:r>
      <w:r w:rsidR="00A502A4" w:rsidRPr="00A502A4">
        <w:rPr>
          <w:rFonts w:ascii="Arial Narrow" w:hAnsi="Arial Narrow"/>
        </w:rPr>
        <w:t>las oficinas</w:t>
      </w:r>
      <w:r w:rsidR="006C475F" w:rsidRPr="00A502A4">
        <w:rPr>
          <w:rFonts w:ascii="Arial Narrow" w:hAnsi="Arial Narrow"/>
        </w:rPr>
        <w:t xml:space="preserve"> a su cargo</w:t>
      </w:r>
      <w:r w:rsidR="00A502A4" w:rsidRPr="00A502A4">
        <w:rPr>
          <w:rFonts w:ascii="Arial Narrow" w:hAnsi="Arial Narrow"/>
        </w:rPr>
        <w:t>,</w:t>
      </w:r>
      <w:r w:rsidR="006C475F" w:rsidRPr="00A502A4">
        <w:rPr>
          <w:rFonts w:ascii="Arial Narrow" w:hAnsi="Arial Narrow"/>
        </w:rPr>
        <w:t xml:space="preserve"> así como también </w:t>
      </w:r>
      <w:r w:rsidR="00A502A4" w:rsidRPr="00A502A4">
        <w:rPr>
          <w:rFonts w:ascii="Arial Narrow" w:hAnsi="Arial Narrow"/>
        </w:rPr>
        <w:t xml:space="preserve">brindó 3 talleres de rendimiento de Evaluación del </w:t>
      </w:r>
      <w:r w:rsidR="00A502A4" w:rsidRPr="006358B6">
        <w:rPr>
          <w:rFonts w:ascii="Arial Narrow" w:hAnsi="Arial Narrow"/>
        </w:rPr>
        <w:t xml:space="preserve">desempeño. </w:t>
      </w:r>
      <w:r w:rsidR="00733BF3" w:rsidRPr="006358B6">
        <w:rPr>
          <w:rFonts w:ascii="Arial Narrow" w:hAnsi="Arial Narrow"/>
        </w:rPr>
        <w:t xml:space="preserve">Es importante mencionar, que </w:t>
      </w:r>
      <w:r w:rsidR="006358B6" w:rsidRPr="006358B6">
        <w:rPr>
          <w:rFonts w:ascii="Arial Narrow" w:hAnsi="Arial Narrow"/>
        </w:rPr>
        <w:t xml:space="preserve">sobre esta meta se recibió oficio 008-INF/UAOIP-2022 del Organismos de </w:t>
      </w:r>
      <w:r w:rsidR="006358B6" w:rsidRPr="006358B6">
        <w:rPr>
          <w:rFonts w:ascii="Arial Narrow" w:eastAsia="Calibri" w:hAnsi="Arial Narrow"/>
          <w:lang w:val="es-CR"/>
        </w:rPr>
        <w:t xml:space="preserve">Investigación Judicial con fecha del 07 de febrero del 2022, suscrito por Walter Espinoza donde </w:t>
      </w:r>
      <w:r w:rsidR="006358B6" w:rsidRPr="006358B6">
        <w:rPr>
          <w:rFonts w:ascii="Arial Narrow" w:hAnsi="Arial Narrow"/>
        </w:rPr>
        <w:t>indica que el Modelo de Evaluación del Desempeño no es resorte del Organismo de Investigación Judicial, sino de la Dirección de Gestión Humana, siendo que es inconcebible que se continúe replicando la misma Meta año tras año, ya que la Competencia dada por la Corte Suprema de Justicia es clara en asignar el proceso a Gestión Humana, misma que lo ha ejercido desde el año 2020. Por lo tanto</w:t>
      </w:r>
      <w:r w:rsidR="006358B6">
        <w:rPr>
          <w:rFonts w:ascii="Arial Narrow" w:hAnsi="Arial Narrow"/>
        </w:rPr>
        <w:t>,</w:t>
      </w:r>
      <w:r w:rsidR="006358B6" w:rsidRPr="006358B6">
        <w:rPr>
          <w:rFonts w:ascii="Arial Narrow" w:hAnsi="Arial Narrow"/>
        </w:rPr>
        <w:t xml:space="preserve"> la meta e indicador no se deberían tomar en cuenta para ninguna de las oficinas del OIJ.</w:t>
      </w:r>
    </w:p>
    <w:p w14:paraId="076C0E12" w14:textId="2EC6B385" w:rsidR="00941095" w:rsidRDefault="00941095" w:rsidP="006358B6">
      <w:pPr>
        <w:jc w:val="both"/>
        <w:rPr>
          <w:rFonts w:ascii="Arial Narrow" w:hAnsi="Arial Narrow"/>
        </w:rPr>
      </w:pPr>
    </w:p>
    <w:p w14:paraId="17E1BDDA" w14:textId="77777777" w:rsidR="00AF4550" w:rsidRDefault="00AF4550" w:rsidP="006358B6">
      <w:pPr>
        <w:jc w:val="both"/>
        <w:rPr>
          <w:rFonts w:ascii="Arial Narrow" w:hAnsi="Arial Narrow"/>
        </w:rPr>
      </w:pPr>
    </w:p>
    <w:p w14:paraId="4CAC4D86" w14:textId="1A74A1B3" w:rsidR="006358B6" w:rsidRPr="006358B6" w:rsidRDefault="006358B6" w:rsidP="006358B6">
      <w:pPr>
        <w:jc w:val="both"/>
        <w:rPr>
          <w:rFonts w:ascii="Arial Narrow" w:hAnsi="Arial Narrow"/>
        </w:rPr>
      </w:pPr>
      <w:r w:rsidRPr="006358B6">
        <w:rPr>
          <w:rFonts w:ascii="Arial Narrow" w:hAnsi="Arial Narrow"/>
        </w:rPr>
        <w:t xml:space="preserve">Debido a lo </w:t>
      </w:r>
      <w:r>
        <w:rPr>
          <w:rFonts w:ascii="Arial Narrow" w:hAnsi="Arial Narrow"/>
        </w:rPr>
        <w:t xml:space="preserve">anterior, se le informa al </w:t>
      </w:r>
      <w:r w:rsidRPr="006358B6">
        <w:rPr>
          <w:rFonts w:ascii="Arial Narrow" w:hAnsi="Arial Narrow"/>
        </w:rPr>
        <w:t>Organismo de Investigación Judicial</w:t>
      </w:r>
      <w:r>
        <w:rPr>
          <w:rFonts w:ascii="Arial Narrow" w:hAnsi="Arial Narrow"/>
        </w:rPr>
        <w:t xml:space="preserve"> que este comentario se traslada al Subproceso de Planificación Estratégica de la Dirección de Planificación, para que realice el respectivo análisis, esto en concordancia con el acuerdo </w:t>
      </w:r>
      <w:r>
        <w:rPr>
          <w:rFonts w:ascii="Arial Narrow" w:eastAsia="Calibri" w:hAnsi="Arial Narrow"/>
          <w:lang w:val="es-CR"/>
        </w:rPr>
        <w:t xml:space="preserve">de la sesión de Consejo Superior 14-2022 del 17 de febrero del 2022, </w:t>
      </w:r>
      <w:r w:rsidRPr="006358B6">
        <w:rPr>
          <w:rFonts w:ascii="Arial Narrow" w:hAnsi="Arial Narrow"/>
        </w:rPr>
        <w:t xml:space="preserve">articulo XLVIII donde tienen </w:t>
      </w:r>
      <w:r>
        <w:rPr>
          <w:rFonts w:ascii="Arial Narrow" w:hAnsi="Arial Narrow"/>
        </w:rPr>
        <w:t>p</w:t>
      </w:r>
      <w:r w:rsidRPr="006358B6">
        <w:rPr>
          <w:rFonts w:ascii="Arial Narrow" w:hAnsi="Arial Narrow"/>
        </w:rPr>
        <w:t xml:space="preserve">or rendido el </w:t>
      </w:r>
      <w:r>
        <w:rPr>
          <w:rFonts w:ascii="Arial Narrow" w:hAnsi="Arial Narrow"/>
        </w:rPr>
        <w:t>i</w:t>
      </w:r>
      <w:r w:rsidRPr="006358B6">
        <w:rPr>
          <w:rFonts w:ascii="Arial Narrow" w:hAnsi="Arial Narrow"/>
        </w:rPr>
        <w:t xml:space="preserve">nforme N°91-PLA-PE-2022 de la Dirección de Planificación, relacionado con “el Modelo de Gestión Estratégica que forma parte del Plan Estratégico Institucional 2019-2024 </w:t>
      </w:r>
      <w:r>
        <w:rPr>
          <w:rFonts w:ascii="Arial Narrow" w:hAnsi="Arial Narrow"/>
        </w:rPr>
        <w:t>que incluye</w:t>
      </w:r>
      <w:r w:rsidRPr="006358B6">
        <w:rPr>
          <w:rFonts w:ascii="Arial Narrow" w:hAnsi="Arial Narrow"/>
        </w:rPr>
        <w:t xml:space="preserve"> la propuesta para la gestión de los alineamientos estratégicos (procedimiento asociado al Subproceso de la Gestión de Solicitudes de Alineamiento Estratégico)</w:t>
      </w:r>
      <w:r>
        <w:rPr>
          <w:rFonts w:ascii="Arial Narrow" w:hAnsi="Arial Narrow"/>
        </w:rPr>
        <w:t>.</w:t>
      </w:r>
    </w:p>
    <w:p w14:paraId="46A3244A" w14:textId="77777777" w:rsidR="006358B6" w:rsidRDefault="006358B6" w:rsidP="00AD2BF7">
      <w:pPr>
        <w:jc w:val="both"/>
        <w:rPr>
          <w:rFonts w:ascii="Arial Narrow" w:hAnsi="Arial Narrow"/>
        </w:rPr>
      </w:pPr>
    </w:p>
    <w:p w14:paraId="369A1490" w14:textId="2085C354" w:rsidR="00470575" w:rsidRDefault="00AD2BF7" w:rsidP="00AD2BF7">
      <w:pPr>
        <w:jc w:val="both"/>
        <w:rPr>
          <w:rFonts w:ascii="Arial Narrow" w:hAnsi="Arial Narrow"/>
        </w:rPr>
      </w:pPr>
      <w:r>
        <w:rPr>
          <w:rFonts w:ascii="Arial Narrow" w:hAnsi="Arial Narrow"/>
        </w:rPr>
        <w:t xml:space="preserve">Por otra parte, </w:t>
      </w:r>
      <w:r w:rsidRPr="00AD2BF7">
        <w:rPr>
          <w:rFonts w:ascii="Arial Narrow" w:hAnsi="Arial Narrow"/>
        </w:rPr>
        <w:t>el Ministerio Público por medio de la Oficina de Prensa del Ministerio Público, emitió el oficio OPMP-23-2021, donde indica que se realizaron diferentes publicaciones a todo el personal del Ministerio Público, vía correo electrónico, acerca del Proyecto de Evaluación de Desempeño.</w:t>
      </w:r>
    </w:p>
    <w:p w14:paraId="499C2C0F" w14:textId="77777777" w:rsidR="00AD2BF7" w:rsidRPr="00AD2BF7" w:rsidRDefault="00AD2BF7" w:rsidP="00AD2BF7">
      <w:pPr>
        <w:jc w:val="both"/>
        <w:rPr>
          <w:rFonts w:ascii="Arial Narrow" w:hAnsi="Arial Narrow"/>
        </w:rPr>
      </w:pPr>
    </w:p>
    <w:p w14:paraId="1D28050B" w14:textId="117AED17" w:rsidR="00470575" w:rsidRPr="00635967" w:rsidRDefault="00635967" w:rsidP="00187018">
      <w:pPr>
        <w:jc w:val="both"/>
        <w:rPr>
          <w:rFonts w:ascii="Arial Narrow" w:hAnsi="Arial Narrow"/>
        </w:rPr>
      </w:pPr>
      <w:r>
        <w:rPr>
          <w:rFonts w:ascii="Arial Narrow" w:hAnsi="Arial Narrow"/>
        </w:rPr>
        <w:t>Para la meta estratégica “</w:t>
      </w:r>
      <w:r w:rsidRPr="00635967">
        <w:rPr>
          <w:rFonts w:ascii="Arial Narrow" w:hAnsi="Arial Narrow"/>
        </w:rPr>
        <w:t>OE.1.4.3.1 - Que al finalizar el 2024, se hayan implementado el plan de integración de los módulos relacionados con el módulo SIGA</w:t>
      </w:r>
      <w:r>
        <w:rPr>
          <w:rFonts w:ascii="Arial Narrow" w:hAnsi="Arial Narrow"/>
        </w:rPr>
        <w:t>” se relacionó las metas operativas “</w:t>
      </w:r>
      <w:r w:rsidRPr="00635967">
        <w:rPr>
          <w:rFonts w:ascii="Arial Narrow" w:hAnsi="Arial Narrow"/>
        </w:rPr>
        <w:t>Al 31 de diciembre de 2021, se hayan realizados los ajustes en el módulo de Evaluación del Desempeño, que integre los componentes que definió MIDEPLAN</w:t>
      </w:r>
      <w:r>
        <w:rPr>
          <w:rFonts w:ascii="Arial Narrow" w:hAnsi="Arial Narrow"/>
        </w:rPr>
        <w:t>” y “</w:t>
      </w:r>
      <w:r w:rsidRPr="00635967">
        <w:rPr>
          <w:rFonts w:ascii="Arial Narrow" w:hAnsi="Arial Narrow"/>
        </w:rPr>
        <w:t>Que a diciembre de 2021  se haya integrado al menos uno de los módulos definidos en el plan de integración</w:t>
      </w:r>
      <w:r>
        <w:rPr>
          <w:rFonts w:ascii="Arial Narrow" w:hAnsi="Arial Narrow"/>
        </w:rPr>
        <w:t>”</w:t>
      </w:r>
      <w:r w:rsidR="00187018">
        <w:rPr>
          <w:rFonts w:ascii="Arial Narrow" w:hAnsi="Arial Narrow"/>
        </w:rPr>
        <w:t xml:space="preserve"> y como resultados se tiene que se</w:t>
      </w:r>
      <w:r w:rsidR="00DA326A" w:rsidRPr="00635967">
        <w:rPr>
          <w:rFonts w:ascii="Arial Narrow" w:hAnsi="Arial Narrow"/>
        </w:rPr>
        <w:t xml:space="preserve"> cumplió con los productos acordados y se realizaron varias solicitudes de cambio al cronograma y los </w:t>
      </w:r>
      <w:r w:rsidRPr="00635967">
        <w:rPr>
          <w:rFonts w:ascii="Arial Narrow" w:hAnsi="Arial Narrow"/>
        </w:rPr>
        <w:t>entregables, en</w:t>
      </w:r>
      <w:r w:rsidR="00DA326A" w:rsidRPr="00635967">
        <w:rPr>
          <w:rFonts w:ascii="Arial Narrow" w:hAnsi="Arial Narrow"/>
        </w:rPr>
        <w:t xml:space="preserve"> el último trimestre del año</w:t>
      </w:r>
      <w:r w:rsidR="00187018">
        <w:rPr>
          <w:rFonts w:ascii="Arial Narrow" w:hAnsi="Arial Narrow"/>
        </w:rPr>
        <w:t xml:space="preserve"> 2021</w:t>
      </w:r>
      <w:r w:rsidR="00DA326A" w:rsidRPr="00635967">
        <w:rPr>
          <w:rFonts w:ascii="Arial Narrow" w:hAnsi="Arial Narrow"/>
        </w:rPr>
        <w:t>, según consta en informe PJ-DGH-SGD-166-</w:t>
      </w:r>
      <w:r w:rsidRPr="00635967">
        <w:rPr>
          <w:rFonts w:ascii="Arial Narrow" w:hAnsi="Arial Narrow"/>
        </w:rPr>
        <w:t>2021</w:t>
      </w:r>
      <w:r w:rsidR="00187018">
        <w:rPr>
          <w:rFonts w:ascii="Arial Narrow" w:hAnsi="Arial Narrow"/>
        </w:rPr>
        <w:t xml:space="preserve">, así como también  se realizaron </w:t>
      </w:r>
      <w:r w:rsidR="00187018" w:rsidRPr="00187018">
        <w:rPr>
          <w:rFonts w:ascii="Arial Narrow" w:hAnsi="Arial Narrow"/>
        </w:rPr>
        <w:t>reuni</w:t>
      </w:r>
      <w:r w:rsidR="00187018">
        <w:rPr>
          <w:rFonts w:ascii="Arial Narrow" w:hAnsi="Arial Narrow"/>
        </w:rPr>
        <w:t>ones</w:t>
      </w:r>
      <w:r w:rsidR="00187018" w:rsidRPr="00187018">
        <w:rPr>
          <w:rFonts w:ascii="Arial Narrow" w:hAnsi="Arial Narrow"/>
        </w:rPr>
        <w:t xml:space="preserve"> de seguimiento proyecto Ley 9635 del 8 de febrero de 202</w:t>
      </w:r>
      <w:r w:rsidR="00187018">
        <w:rPr>
          <w:rFonts w:ascii="Arial Narrow" w:hAnsi="Arial Narrow"/>
        </w:rPr>
        <w:t>1.</w:t>
      </w:r>
    </w:p>
    <w:p w14:paraId="623E0158" w14:textId="7FC676B0" w:rsidR="002F7761" w:rsidRPr="005747DF" w:rsidRDefault="002F7761" w:rsidP="005747DF">
      <w:pPr>
        <w:jc w:val="both"/>
        <w:rPr>
          <w:rFonts w:ascii="Arial Narrow" w:hAnsi="Arial Narrow"/>
          <w:lang w:val="es-CR" w:eastAsia="es-CR"/>
        </w:rPr>
      </w:pPr>
    </w:p>
    <w:p w14:paraId="459ED294" w14:textId="3B7CFF7A" w:rsidR="005747DF" w:rsidRDefault="002F7761" w:rsidP="005747DF">
      <w:pPr>
        <w:jc w:val="both"/>
        <w:rPr>
          <w:rFonts w:ascii="Arial Narrow" w:hAnsi="Arial Narrow"/>
          <w:lang w:val="es-CR" w:eastAsia="es-CR"/>
        </w:rPr>
      </w:pPr>
      <w:r w:rsidRPr="005747DF">
        <w:rPr>
          <w:rFonts w:ascii="Arial Narrow" w:eastAsia="Calibri" w:hAnsi="Arial Narrow"/>
        </w:rPr>
        <w:t>Se destaca que la Defensa Pública realizó los esfuerzos de divulgar</w:t>
      </w:r>
      <w:r w:rsidR="005747DF" w:rsidRPr="005747DF">
        <w:rPr>
          <w:rFonts w:ascii="Arial Narrow" w:eastAsia="Calibri" w:hAnsi="Arial Narrow"/>
        </w:rPr>
        <w:t xml:space="preserve"> la circular de la Dirección de Gestión Humana NºPJ-DGH-C-002-2021 s</w:t>
      </w:r>
      <w:r w:rsidRPr="005747DF">
        <w:rPr>
          <w:rFonts w:ascii="Arial Narrow" w:eastAsia="Calibri" w:hAnsi="Arial Narrow"/>
        </w:rPr>
        <w:t xml:space="preserve">obre la Evaluación del Desempeño a toda la Defensa Pública, donde se </w:t>
      </w:r>
      <w:r w:rsidR="005747DF" w:rsidRPr="005747DF">
        <w:rPr>
          <w:rFonts w:ascii="Arial Narrow" w:eastAsia="Calibri" w:hAnsi="Arial Narrow"/>
        </w:rPr>
        <w:t>menciona</w:t>
      </w:r>
      <w:r w:rsidRPr="005747DF">
        <w:rPr>
          <w:rFonts w:ascii="Arial Narrow" w:eastAsia="Calibri" w:hAnsi="Arial Narrow"/>
        </w:rPr>
        <w:t xml:space="preserve"> </w:t>
      </w:r>
      <w:r w:rsidR="005747DF" w:rsidRPr="005747DF">
        <w:rPr>
          <w:rFonts w:ascii="Arial Narrow" w:hAnsi="Arial Narrow"/>
        </w:rPr>
        <w:t xml:space="preserve">la aplicación de la evaluación del desempeño, según lo establecido en los artículos: 8, 9, 10, 11 y 12 del Reglamento del Sistema Integrado de Evaluación del Desempeño del Poder Judicial para el año 2021. Además, se observa que esta oficina envió </w:t>
      </w:r>
      <w:r w:rsidR="005747DF" w:rsidRPr="002F7761">
        <w:rPr>
          <w:rFonts w:ascii="Arial Narrow" w:hAnsi="Arial Narrow"/>
          <w:lang w:val="es-CR" w:eastAsia="es-CR"/>
        </w:rPr>
        <w:t xml:space="preserve">cápsulas informativas e invitaciones a los talleres sobre el </w:t>
      </w:r>
      <w:r w:rsidR="005747DF" w:rsidRPr="005747DF">
        <w:rPr>
          <w:rFonts w:ascii="Arial Narrow" w:hAnsi="Arial Narrow"/>
          <w:lang w:val="es-CR" w:eastAsia="es-CR"/>
        </w:rPr>
        <w:t>método</w:t>
      </w:r>
      <w:r w:rsidR="005747DF" w:rsidRPr="002F7761">
        <w:rPr>
          <w:rFonts w:ascii="Arial Narrow" w:hAnsi="Arial Narrow"/>
          <w:lang w:val="es-CR" w:eastAsia="es-CR"/>
        </w:rPr>
        <w:t xml:space="preserve"> para la </w:t>
      </w:r>
      <w:r w:rsidR="005747DF" w:rsidRPr="005747DF">
        <w:rPr>
          <w:rFonts w:ascii="Arial Narrow" w:hAnsi="Arial Narrow"/>
          <w:lang w:val="es-CR" w:eastAsia="es-CR"/>
        </w:rPr>
        <w:t>evaluación</w:t>
      </w:r>
      <w:r w:rsidR="005747DF" w:rsidRPr="002F7761">
        <w:rPr>
          <w:rFonts w:ascii="Arial Narrow" w:hAnsi="Arial Narrow"/>
          <w:lang w:val="es-CR" w:eastAsia="es-CR"/>
        </w:rPr>
        <w:t xml:space="preserve"> del desempeño</w:t>
      </w:r>
      <w:r w:rsidR="005747DF" w:rsidRPr="005747DF">
        <w:rPr>
          <w:rFonts w:ascii="Arial Narrow" w:hAnsi="Arial Narrow"/>
          <w:lang w:val="es-CR" w:eastAsia="es-CR"/>
        </w:rPr>
        <w:t xml:space="preserve"> al personal a su cargo. </w:t>
      </w:r>
    </w:p>
    <w:p w14:paraId="4561B3ED" w14:textId="09590EC5" w:rsidR="00510ABD" w:rsidRDefault="00510ABD" w:rsidP="005747DF">
      <w:pPr>
        <w:jc w:val="both"/>
        <w:rPr>
          <w:rFonts w:ascii="Arial Narrow" w:hAnsi="Arial Narrow"/>
          <w:lang w:val="es-CR" w:eastAsia="es-CR"/>
        </w:rPr>
      </w:pPr>
    </w:p>
    <w:p w14:paraId="3898454D" w14:textId="77777777" w:rsidR="00510ABD" w:rsidRPr="005747DF" w:rsidRDefault="00510ABD" w:rsidP="005747DF">
      <w:pPr>
        <w:jc w:val="both"/>
        <w:rPr>
          <w:rFonts w:ascii="Arial Narrow" w:hAnsi="Arial Narrow"/>
          <w:lang w:val="es-CR" w:eastAsia="es-CR"/>
        </w:rPr>
      </w:pPr>
    </w:p>
    <w:p w14:paraId="52043820" w14:textId="357AF645" w:rsidR="00AB5922" w:rsidRPr="00322D9B" w:rsidRDefault="00AB5922" w:rsidP="00322D9B">
      <w:pPr>
        <w:pStyle w:val="Ttulo3"/>
        <w:numPr>
          <w:ilvl w:val="2"/>
          <w:numId w:val="125"/>
        </w:numPr>
        <w:rPr>
          <w:rFonts w:eastAsia="Calibri"/>
        </w:rPr>
      </w:pPr>
      <w:bookmarkStart w:id="74" w:name="_Toc106355285"/>
      <w:r w:rsidRPr="00322D9B">
        <w:rPr>
          <w:rFonts w:eastAsia="Calibri"/>
        </w:rPr>
        <w:t>Reclutamiento y Selección</w:t>
      </w:r>
      <w:bookmarkEnd w:id="74"/>
    </w:p>
    <w:p w14:paraId="41E4EC69" w14:textId="77777777" w:rsidR="00ED6A5E" w:rsidRPr="00ED6A5E" w:rsidRDefault="00ED6A5E" w:rsidP="00ED6A5E">
      <w:pPr>
        <w:spacing w:line="360" w:lineRule="auto"/>
        <w:jc w:val="both"/>
        <w:rPr>
          <w:rFonts w:eastAsia="Calibri"/>
          <w:lang w:eastAsia="en-US"/>
        </w:rPr>
      </w:pPr>
    </w:p>
    <w:p w14:paraId="30B934EF" w14:textId="1102A4B1" w:rsidR="0009117C" w:rsidRPr="00ED6A5E" w:rsidRDefault="00ED6A5E" w:rsidP="00ED6A5E">
      <w:pPr>
        <w:jc w:val="both"/>
        <w:rPr>
          <w:rFonts w:ascii="Arial Narrow" w:eastAsia="Calibri" w:hAnsi="Arial Narrow"/>
          <w:lang w:eastAsia="en-US"/>
        </w:rPr>
      </w:pPr>
      <w:r w:rsidRPr="00ED6A5E">
        <w:rPr>
          <w:rFonts w:ascii="Arial Narrow" w:eastAsia="Calibri" w:hAnsi="Arial Narrow"/>
          <w:lang w:eastAsia="en-US"/>
        </w:rPr>
        <w:t xml:space="preserve">Se </w:t>
      </w:r>
      <w:r w:rsidRPr="009D24A3">
        <w:rPr>
          <w:rFonts w:ascii="Arial Narrow" w:eastAsia="Calibri" w:hAnsi="Arial Narrow"/>
          <w:lang w:eastAsia="en-US"/>
        </w:rPr>
        <w:t>tienen 7 metas estratégicas para esta acción, de las cuales todas muestran una ejecución alta en su cumplimiento. Se detalla a continuación las metas estratégicas y su cumplimiento para el 2021:</w:t>
      </w:r>
    </w:p>
    <w:p w14:paraId="6C37A474" w14:textId="4A3D0114" w:rsidR="00510ABD" w:rsidRDefault="00510ABD" w:rsidP="00090EA9">
      <w:pPr>
        <w:pStyle w:val="Descripcin"/>
        <w:jc w:val="center"/>
        <w:rPr>
          <w:rFonts w:ascii="Arial Narrow" w:hAnsi="Arial Narrow"/>
          <w:sz w:val="24"/>
          <w:szCs w:val="24"/>
        </w:rPr>
      </w:pPr>
      <w:bookmarkStart w:id="75" w:name="_Toc76062289"/>
    </w:p>
    <w:p w14:paraId="215F2E8A" w14:textId="5B89288A" w:rsidR="00AF4550" w:rsidRDefault="00AF4550" w:rsidP="00AF4550"/>
    <w:p w14:paraId="1FAE377E" w14:textId="2B205A0E" w:rsidR="00EB6429" w:rsidRDefault="00ED6A5E" w:rsidP="00090EA9">
      <w:pPr>
        <w:pStyle w:val="Descripcin"/>
        <w:jc w:val="center"/>
        <w:rPr>
          <w:rFonts w:ascii="Arial Narrow" w:eastAsia="Calibri" w:hAnsi="Arial Narrow"/>
          <w:sz w:val="24"/>
          <w:szCs w:val="24"/>
        </w:rPr>
      </w:pPr>
      <w:r w:rsidRPr="00484CC1">
        <w:rPr>
          <w:rFonts w:ascii="Arial Narrow" w:hAnsi="Arial Narrow"/>
          <w:sz w:val="24"/>
          <w:szCs w:val="24"/>
        </w:rPr>
        <w:t>Cuadro</w:t>
      </w:r>
      <w:r>
        <w:rPr>
          <w:rFonts w:ascii="Arial Narrow" w:hAnsi="Arial Narrow"/>
          <w:sz w:val="24"/>
          <w:szCs w:val="24"/>
        </w:rPr>
        <w:t xml:space="preserve">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2F520A">
        <w:rPr>
          <w:rFonts w:ascii="Arial Narrow" w:hAnsi="Arial Narrow"/>
          <w:noProof/>
          <w:sz w:val="24"/>
          <w:szCs w:val="24"/>
        </w:rPr>
        <w:t>61</w:t>
      </w:r>
      <w:r w:rsidRPr="00484CC1">
        <w:rPr>
          <w:rFonts w:ascii="Arial Narrow" w:hAnsi="Arial Narrow"/>
          <w:sz w:val="24"/>
          <w:szCs w:val="24"/>
        </w:rPr>
        <w:fldChar w:fldCharType="end"/>
      </w:r>
      <w:r w:rsidRPr="00484CC1">
        <w:rPr>
          <w:rFonts w:ascii="Arial Narrow" w:hAnsi="Arial Narrow"/>
          <w:sz w:val="24"/>
          <w:szCs w:val="24"/>
        </w:rPr>
        <w:t xml:space="preserve"> </w:t>
      </w:r>
      <w:r w:rsidRPr="00211B03">
        <w:rPr>
          <w:rFonts w:ascii="Arial Narrow" w:eastAsia="Calibri" w:hAnsi="Arial Narrow"/>
          <w:sz w:val="24"/>
          <w:szCs w:val="24"/>
        </w:rPr>
        <w:t>Metas estratégicas de Reclutamiento y selección, y su cumplimiento para el 2</w:t>
      </w:r>
      <w:bookmarkEnd w:id="75"/>
      <w:r>
        <w:rPr>
          <w:rFonts w:ascii="Arial Narrow" w:eastAsia="Calibri" w:hAnsi="Arial Narrow"/>
          <w:sz w:val="24"/>
          <w:szCs w:val="24"/>
        </w:rPr>
        <w:t>021.</w:t>
      </w:r>
    </w:p>
    <w:p w14:paraId="38E10D8E" w14:textId="77777777" w:rsidR="00AF4550" w:rsidRPr="00322D9B" w:rsidRDefault="00AF4550" w:rsidP="00322D9B">
      <w:pPr>
        <w:rPr>
          <w:rFonts w:eastAsia="Calibri"/>
        </w:rPr>
      </w:pPr>
    </w:p>
    <w:p w14:paraId="304AB3CE" w14:textId="3D03E3A6" w:rsidR="00EB6429" w:rsidRPr="00EB6429" w:rsidRDefault="00EB6429" w:rsidP="00EB6429">
      <w:pPr>
        <w:rPr>
          <w:rFonts w:eastAsia="Calibri"/>
        </w:rPr>
      </w:pPr>
      <w:r>
        <w:rPr>
          <w:noProof/>
        </w:rPr>
        <w:drawing>
          <wp:inline distT="0" distB="0" distL="0" distR="0" wp14:anchorId="59412322" wp14:editId="7F2E3094">
            <wp:extent cx="5829300" cy="2845741"/>
            <wp:effectExtent l="57150" t="57150" r="95250" b="88265"/>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r="192"/>
                    <a:stretch/>
                  </pic:blipFill>
                  <pic:spPr bwMode="auto">
                    <a:xfrm>
                      <a:off x="0" y="0"/>
                      <a:ext cx="5830916" cy="2846530"/>
                    </a:xfrm>
                    <a:prstGeom prst="rect">
                      <a:avLst/>
                    </a:prstGeom>
                    <a:ln w="127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16AA015" w14:textId="77777777" w:rsidR="0009117C" w:rsidRDefault="0009117C" w:rsidP="00B54439">
      <w:pPr>
        <w:spacing w:line="360" w:lineRule="auto"/>
        <w:jc w:val="center"/>
        <w:rPr>
          <w:rFonts w:ascii="Arial Narrow" w:eastAsia="Calibri" w:hAnsi="Arial Narrow"/>
          <w:sz w:val="18"/>
          <w:szCs w:val="18"/>
          <w:lang w:eastAsia="en-US"/>
        </w:rPr>
      </w:pPr>
      <w:r w:rsidRPr="004619C9">
        <w:rPr>
          <w:rFonts w:ascii="Arial Narrow" w:eastAsia="Calibri" w:hAnsi="Arial Narrow"/>
          <w:b/>
          <w:bCs/>
          <w:sz w:val="18"/>
          <w:szCs w:val="18"/>
          <w:lang w:eastAsia="en-US"/>
        </w:rPr>
        <w:t>Fuente:</w:t>
      </w:r>
      <w:r w:rsidRPr="000B4845">
        <w:rPr>
          <w:rFonts w:ascii="Arial Narrow" w:eastAsia="Calibri" w:hAnsi="Arial Narrow"/>
          <w:sz w:val="18"/>
          <w:szCs w:val="18"/>
          <w:lang w:eastAsia="en-US"/>
        </w:rPr>
        <w:t xml:space="preserve"> Sistema PEI al </w:t>
      </w:r>
      <w:r>
        <w:rPr>
          <w:rFonts w:ascii="Arial Narrow" w:eastAsia="Calibri" w:hAnsi="Arial Narrow"/>
          <w:sz w:val="18"/>
          <w:szCs w:val="18"/>
          <w:lang w:eastAsia="en-US"/>
        </w:rPr>
        <w:t>19</w:t>
      </w:r>
      <w:r w:rsidRPr="000B4845">
        <w:rPr>
          <w:rFonts w:ascii="Arial Narrow" w:eastAsia="Calibri" w:hAnsi="Arial Narrow"/>
          <w:sz w:val="18"/>
          <w:szCs w:val="18"/>
          <w:lang w:eastAsia="en-US"/>
        </w:rPr>
        <w:t xml:space="preserve"> de enero del </w:t>
      </w:r>
      <w:r>
        <w:rPr>
          <w:rFonts w:ascii="Arial Narrow" w:eastAsia="Calibri" w:hAnsi="Arial Narrow"/>
          <w:sz w:val="18"/>
          <w:szCs w:val="18"/>
          <w:lang w:eastAsia="en-US"/>
        </w:rPr>
        <w:t>2022 para el año 2021.</w:t>
      </w:r>
    </w:p>
    <w:p w14:paraId="3BC04A83" w14:textId="5AF75975" w:rsidR="0009117C" w:rsidRPr="00CA4E77" w:rsidRDefault="0009117C" w:rsidP="00CA4E77">
      <w:pPr>
        <w:jc w:val="both"/>
        <w:rPr>
          <w:rFonts w:ascii="Arial Narrow" w:eastAsia="Calibri" w:hAnsi="Arial Narrow"/>
        </w:rPr>
      </w:pPr>
    </w:p>
    <w:p w14:paraId="46668217" w14:textId="77777777" w:rsidR="00BD191F" w:rsidRDefault="00BD191F" w:rsidP="00CA4E77">
      <w:pPr>
        <w:jc w:val="both"/>
        <w:rPr>
          <w:rFonts w:ascii="Arial Narrow" w:eastAsia="Calibri" w:hAnsi="Arial Narrow"/>
        </w:rPr>
      </w:pPr>
    </w:p>
    <w:p w14:paraId="2E9261CD" w14:textId="4582F5A1" w:rsidR="0009117C" w:rsidRPr="00CA4E77" w:rsidRDefault="006D4F10" w:rsidP="00CA4E77">
      <w:pPr>
        <w:jc w:val="both"/>
        <w:rPr>
          <w:rFonts w:ascii="Arial Narrow" w:hAnsi="Arial Narrow"/>
        </w:rPr>
      </w:pPr>
      <w:r w:rsidRPr="00CA4E77">
        <w:rPr>
          <w:rFonts w:ascii="Arial Narrow" w:eastAsia="Calibri" w:hAnsi="Arial Narrow"/>
        </w:rPr>
        <w:t xml:space="preserve">El Despacho de la Presidencia </w:t>
      </w:r>
      <w:r w:rsidR="00C83030" w:rsidRPr="00CA4E77">
        <w:rPr>
          <w:rFonts w:ascii="Arial Narrow" w:eastAsia="Calibri" w:hAnsi="Arial Narrow"/>
        </w:rPr>
        <w:t xml:space="preserve">registra por medio del sistema PAO </w:t>
      </w:r>
      <w:r w:rsidR="00FB6908" w:rsidRPr="00CA4E77">
        <w:rPr>
          <w:rFonts w:ascii="Arial Narrow" w:eastAsia="Calibri" w:hAnsi="Arial Narrow"/>
        </w:rPr>
        <w:t xml:space="preserve">como </w:t>
      </w:r>
      <w:r w:rsidR="00840E44" w:rsidRPr="00CA4E77">
        <w:rPr>
          <w:rFonts w:ascii="Arial Narrow" w:eastAsia="Calibri" w:hAnsi="Arial Narrow"/>
        </w:rPr>
        <w:t>avance, el</w:t>
      </w:r>
      <w:r w:rsidR="00FB6908" w:rsidRPr="00CA4E77">
        <w:rPr>
          <w:rFonts w:ascii="Arial Narrow" w:eastAsia="Calibri" w:hAnsi="Arial Narrow"/>
        </w:rPr>
        <w:t xml:space="preserve"> acuerdo de Corte Plena realizado </w:t>
      </w:r>
      <w:r w:rsidR="00FB6908" w:rsidRPr="00CA4E77">
        <w:rPr>
          <w:rFonts w:ascii="Arial Narrow" w:hAnsi="Arial Narrow"/>
        </w:rPr>
        <w:t xml:space="preserve">en la </w:t>
      </w:r>
      <w:r w:rsidR="00A33632" w:rsidRPr="00CA4E77">
        <w:rPr>
          <w:rFonts w:ascii="Arial Narrow" w:hAnsi="Arial Narrow"/>
        </w:rPr>
        <w:t>sesión 34</w:t>
      </w:r>
      <w:r w:rsidR="00FB6908" w:rsidRPr="00CA4E77">
        <w:rPr>
          <w:rFonts w:ascii="Arial Narrow" w:hAnsi="Arial Narrow"/>
        </w:rPr>
        <w:t xml:space="preserve">- 2021 el día 16 de agosto de 2021, articulo XV relacionado con </w:t>
      </w:r>
      <w:r w:rsidR="00C83030" w:rsidRPr="00CA4E77">
        <w:rPr>
          <w:rFonts w:ascii="Arial Narrow" w:hAnsi="Arial Narrow"/>
        </w:rPr>
        <w:t>el procedimiento y requisitos para selección de magistrados propietarios y suplentes a fin de garantizar su plena independencia e idoneidad técnica y ética</w:t>
      </w:r>
      <w:r w:rsidR="00FB6908" w:rsidRPr="00CA4E77">
        <w:rPr>
          <w:rFonts w:ascii="Arial Narrow" w:hAnsi="Arial Narrow"/>
        </w:rPr>
        <w:t>.</w:t>
      </w:r>
    </w:p>
    <w:p w14:paraId="32548ED7" w14:textId="70F8962F" w:rsidR="00FB6908" w:rsidRDefault="00FB6908" w:rsidP="00AB5922">
      <w:pPr>
        <w:spacing w:line="360" w:lineRule="auto"/>
        <w:jc w:val="both"/>
      </w:pPr>
    </w:p>
    <w:p w14:paraId="4659E9A2" w14:textId="0C038426" w:rsidR="00853DF3" w:rsidRPr="00853DF3" w:rsidRDefault="00853DF3" w:rsidP="00CA4E77">
      <w:pPr>
        <w:jc w:val="both"/>
        <w:rPr>
          <w:rFonts w:ascii="Arial Narrow" w:hAnsi="Arial Narrow"/>
        </w:rPr>
      </w:pPr>
      <w:r w:rsidRPr="00CA4E77">
        <w:rPr>
          <w:rFonts w:ascii="Arial Narrow" w:hAnsi="Arial Narrow"/>
        </w:rPr>
        <w:t xml:space="preserve">Con respecto a la meta “OE.1.3.2.1 - Que al finalizar el 2024, se haya implementado un sistema integral automatizado para la gestión del proceso de reclutamiento y selección de personal”  la Dirección de Gestión Humana </w:t>
      </w:r>
      <w:r w:rsidR="001D2422" w:rsidRPr="00CA4E77">
        <w:rPr>
          <w:rFonts w:ascii="Arial Narrow" w:hAnsi="Arial Narrow"/>
        </w:rPr>
        <w:t>indica por medio del sistema PAO</w:t>
      </w:r>
      <w:r w:rsidR="00941095">
        <w:rPr>
          <w:rFonts w:ascii="Arial Narrow" w:hAnsi="Arial Narrow"/>
        </w:rPr>
        <w:t>,</w:t>
      </w:r>
      <w:r w:rsidR="001D2422" w:rsidRPr="00CA4E77">
        <w:rPr>
          <w:rFonts w:ascii="Arial Narrow" w:hAnsi="Arial Narrow"/>
        </w:rPr>
        <w:t xml:space="preserve"> que por medio del proyecto “0134-DGH-P06 Modernización del proceso de evaluación Psicológica de personas oferentes a puestos de Judicatura en todas las categorías y materias” se elaboró un </w:t>
      </w:r>
      <w:r w:rsidRPr="00853DF3">
        <w:rPr>
          <w:rFonts w:ascii="Arial Narrow" w:hAnsi="Arial Narrow"/>
        </w:rPr>
        <w:t xml:space="preserve">sistema </w:t>
      </w:r>
      <w:r w:rsidR="00CA4E77" w:rsidRPr="00853DF3">
        <w:rPr>
          <w:rFonts w:ascii="Arial Narrow" w:hAnsi="Arial Narrow"/>
        </w:rPr>
        <w:t>informático</w:t>
      </w:r>
      <w:r w:rsidR="00CA4E77" w:rsidRPr="00CA4E77">
        <w:rPr>
          <w:rFonts w:ascii="Arial Narrow" w:hAnsi="Arial Narrow"/>
        </w:rPr>
        <w:t>, en</w:t>
      </w:r>
      <w:r w:rsidRPr="00853DF3">
        <w:rPr>
          <w:rFonts w:ascii="Arial Narrow" w:hAnsi="Arial Narrow"/>
        </w:rPr>
        <w:t xml:space="preserve"> donde se está realizando la inclusión de los aspectos técnicos para poder realizar el procesamiento de los datos de evaluación, de todas las categorías y materias evaluables para puestos de la judicatura</w:t>
      </w:r>
      <w:r w:rsidR="001D2422" w:rsidRPr="00CA4E77">
        <w:rPr>
          <w:rFonts w:ascii="Arial Narrow" w:hAnsi="Arial Narrow"/>
        </w:rPr>
        <w:t xml:space="preserve">. Además, se tiene que </w:t>
      </w:r>
      <w:r w:rsidRPr="00853DF3">
        <w:rPr>
          <w:rFonts w:ascii="Arial Narrow" w:hAnsi="Arial Narrow"/>
        </w:rPr>
        <w:t>la Unidad Interdisciplinaria implementó la modalidad virtual para la atención de los oferentes en aspectos relativos a las entrevistas y aplicación de pruebas en los casos que requiere bajo esta modalidad.</w:t>
      </w:r>
    </w:p>
    <w:p w14:paraId="748A1F92" w14:textId="77777777" w:rsidR="00CA4E77" w:rsidRPr="00D803A7" w:rsidRDefault="00CA4E77" w:rsidP="00D803A7">
      <w:pPr>
        <w:jc w:val="both"/>
        <w:rPr>
          <w:rFonts w:ascii="Arial Narrow" w:hAnsi="Arial Narrow"/>
        </w:rPr>
      </w:pPr>
    </w:p>
    <w:p w14:paraId="45E22EBE" w14:textId="6841D247" w:rsidR="00B12E40" w:rsidRDefault="00D803A7" w:rsidP="00D803A7">
      <w:pPr>
        <w:jc w:val="both"/>
        <w:rPr>
          <w:rFonts w:ascii="Arial Narrow" w:hAnsi="Arial Narrow"/>
        </w:rPr>
      </w:pPr>
      <w:r w:rsidRPr="00D803A7">
        <w:rPr>
          <w:rFonts w:ascii="Arial Narrow" w:hAnsi="Arial Narrow"/>
        </w:rPr>
        <w:t xml:space="preserve">Por otra parte, se tiene que la Dirección de Gestión Humana </w:t>
      </w:r>
      <w:r w:rsidR="00B12E40" w:rsidRPr="00D803A7">
        <w:rPr>
          <w:rFonts w:ascii="Arial Narrow" w:hAnsi="Arial Narrow"/>
        </w:rPr>
        <w:t>integró mediante una plantilla</w:t>
      </w:r>
      <w:r>
        <w:rPr>
          <w:rFonts w:ascii="Arial Narrow" w:hAnsi="Arial Narrow"/>
        </w:rPr>
        <w:t xml:space="preserve"> en excel</w:t>
      </w:r>
      <w:r w:rsidR="00B12E40" w:rsidRPr="00D803A7">
        <w:rPr>
          <w:rFonts w:ascii="Arial Narrow" w:hAnsi="Arial Narrow"/>
        </w:rPr>
        <w:t xml:space="preserve">, la </w:t>
      </w:r>
      <w:r w:rsidRPr="00D803A7">
        <w:rPr>
          <w:rFonts w:ascii="Arial Narrow" w:hAnsi="Arial Narrow"/>
        </w:rPr>
        <w:t>normativa relacionada al reclutamiento y selección del personal en el Poder Judicial</w:t>
      </w:r>
      <w:r>
        <w:rPr>
          <w:rFonts w:ascii="Arial Narrow" w:hAnsi="Arial Narrow"/>
        </w:rPr>
        <w:t xml:space="preserve"> </w:t>
      </w:r>
      <w:r w:rsidR="00B12E40" w:rsidRPr="00D803A7">
        <w:rPr>
          <w:rFonts w:ascii="Arial Narrow" w:hAnsi="Arial Narrow"/>
        </w:rPr>
        <w:t xml:space="preserve">(leyes, reglamentos, lineamientos, circulares, otros) que incide en los procesos selectivos de la Institución. Esta herramienta permite tener a la vista para cada apartado de normativa, las herramientas tecnológicas que se proponen implementar desde el </w:t>
      </w:r>
      <w:r>
        <w:rPr>
          <w:rFonts w:ascii="Arial Narrow" w:hAnsi="Arial Narrow"/>
        </w:rPr>
        <w:t>S</w:t>
      </w:r>
      <w:r w:rsidR="00B12E40" w:rsidRPr="00D803A7">
        <w:rPr>
          <w:rFonts w:ascii="Arial Narrow" w:hAnsi="Arial Narrow"/>
        </w:rPr>
        <w:t>ubproceso</w:t>
      </w:r>
      <w:r w:rsidRPr="00D803A7">
        <w:rPr>
          <w:rFonts w:ascii="Arial Narrow" w:hAnsi="Arial Narrow"/>
        </w:rPr>
        <w:t xml:space="preserve"> de Reclutamiento y Selección</w:t>
      </w:r>
      <w:r w:rsidR="00B12E40" w:rsidRPr="00D803A7">
        <w:rPr>
          <w:rFonts w:ascii="Arial Narrow" w:hAnsi="Arial Narrow"/>
        </w:rPr>
        <w:t xml:space="preserve">, para la consulta de los usuarios tanto internos como externos. </w:t>
      </w:r>
      <w:r w:rsidRPr="00D803A7">
        <w:rPr>
          <w:rFonts w:ascii="Arial Narrow" w:hAnsi="Arial Narrow"/>
        </w:rPr>
        <w:t>Además,</w:t>
      </w:r>
      <w:r w:rsidR="00B12E40" w:rsidRPr="00D803A7">
        <w:rPr>
          <w:rFonts w:ascii="Arial Narrow" w:hAnsi="Arial Narrow"/>
        </w:rPr>
        <w:t xml:space="preserve"> se tienen mejor control de la búsqueda de información relevante y necesaria para el desarrollo de las sesiones de trabajo y para el cumplimiento de las metas.</w:t>
      </w:r>
    </w:p>
    <w:p w14:paraId="402CD618" w14:textId="131E2A91" w:rsidR="009D24A3" w:rsidRDefault="009D24A3" w:rsidP="00D803A7">
      <w:pPr>
        <w:jc w:val="both"/>
        <w:rPr>
          <w:rFonts w:ascii="Arial Narrow" w:hAnsi="Arial Narrow"/>
        </w:rPr>
      </w:pPr>
    </w:p>
    <w:p w14:paraId="1DAB4EE2" w14:textId="77777777" w:rsidR="009D24A3" w:rsidRPr="00D803A7" w:rsidRDefault="009D24A3" w:rsidP="00D803A7">
      <w:pPr>
        <w:jc w:val="both"/>
        <w:rPr>
          <w:rFonts w:ascii="Arial Narrow" w:hAnsi="Arial Narrow"/>
        </w:rPr>
      </w:pPr>
    </w:p>
    <w:p w14:paraId="6310E688" w14:textId="2CD1C85E" w:rsidR="00ED6A5E" w:rsidRDefault="00ED6A5E" w:rsidP="00ED6A5E">
      <w:pPr>
        <w:pStyle w:val="Descripcin"/>
        <w:jc w:val="center"/>
        <w:rPr>
          <w:rFonts w:ascii="Arial Narrow" w:eastAsia="Calibri" w:hAnsi="Arial Narrow"/>
          <w:sz w:val="24"/>
          <w:szCs w:val="24"/>
        </w:rPr>
      </w:pPr>
      <w:r w:rsidRPr="00484CC1">
        <w:rPr>
          <w:rFonts w:ascii="Arial Narrow" w:hAnsi="Arial Narrow"/>
          <w:sz w:val="24"/>
          <w:szCs w:val="24"/>
        </w:rPr>
        <w:t>Cuadro</w:t>
      </w:r>
      <w:r>
        <w:rPr>
          <w:rFonts w:ascii="Arial Narrow" w:hAnsi="Arial Narrow"/>
          <w:sz w:val="24"/>
          <w:szCs w:val="24"/>
        </w:rPr>
        <w:t xml:space="preserve">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2F520A">
        <w:rPr>
          <w:rFonts w:ascii="Arial Narrow" w:hAnsi="Arial Narrow"/>
          <w:noProof/>
          <w:sz w:val="24"/>
          <w:szCs w:val="24"/>
        </w:rPr>
        <w:t>62</w:t>
      </w:r>
      <w:r w:rsidRPr="00484CC1">
        <w:rPr>
          <w:rFonts w:ascii="Arial Narrow" w:hAnsi="Arial Narrow"/>
          <w:sz w:val="24"/>
          <w:szCs w:val="24"/>
        </w:rPr>
        <w:fldChar w:fldCharType="end"/>
      </w:r>
      <w:r w:rsidRPr="00484CC1">
        <w:rPr>
          <w:rFonts w:ascii="Arial Narrow" w:hAnsi="Arial Narrow"/>
          <w:sz w:val="24"/>
          <w:szCs w:val="24"/>
        </w:rPr>
        <w:t xml:space="preserve"> </w:t>
      </w:r>
      <w:r w:rsidRPr="00211B03">
        <w:rPr>
          <w:rFonts w:ascii="Arial Narrow" w:eastAsia="Calibri" w:hAnsi="Arial Narrow"/>
          <w:sz w:val="24"/>
          <w:szCs w:val="24"/>
        </w:rPr>
        <w:t>Metas estratégicas de Reclutamiento y selección, y su cumplimiento para el 2</w:t>
      </w:r>
      <w:r>
        <w:rPr>
          <w:rFonts w:ascii="Arial Narrow" w:eastAsia="Calibri" w:hAnsi="Arial Narrow"/>
          <w:sz w:val="24"/>
          <w:szCs w:val="24"/>
        </w:rPr>
        <w:t>021.</w:t>
      </w:r>
    </w:p>
    <w:p w14:paraId="07009871" w14:textId="77777777" w:rsidR="00AF4550" w:rsidRPr="00322D9B" w:rsidRDefault="00AF4550" w:rsidP="00322D9B">
      <w:pPr>
        <w:rPr>
          <w:rFonts w:eastAsia="Calibri"/>
        </w:rPr>
      </w:pPr>
    </w:p>
    <w:p w14:paraId="4A52DC27" w14:textId="5A20AD78" w:rsidR="00B12E40" w:rsidRPr="00EB6429" w:rsidRDefault="00EB6429" w:rsidP="00EB6429">
      <w:pPr>
        <w:rPr>
          <w:rFonts w:eastAsia="Calibri"/>
        </w:rPr>
      </w:pPr>
      <w:r>
        <w:rPr>
          <w:noProof/>
        </w:rPr>
        <w:drawing>
          <wp:inline distT="0" distB="0" distL="0" distR="0" wp14:anchorId="2E7661A9" wp14:editId="0D47C8B6">
            <wp:extent cx="5956300" cy="3829050"/>
            <wp:effectExtent l="57150" t="57150" r="101600" b="95250"/>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r="298"/>
                    <a:stretch/>
                  </pic:blipFill>
                  <pic:spPr bwMode="auto">
                    <a:xfrm>
                      <a:off x="0" y="0"/>
                      <a:ext cx="5956300" cy="3829050"/>
                    </a:xfrm>
                    <a:prstGeom prst="rect">
                      <a:avLst/>
                    </a:prstGeom>
                    <a:ln w="127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3EDD5F3" w14:textId="77777777" w:rsidR="00CA68A1" w:rsidRDefault="00CA68A1" w:rsidP="00B54439">
      <w:pPr>
        <w:spacing w:line="360" w:lineRule="auto"/>
        <w:jc w:val="center"/>
        <w:rPr>
          <w:rFonts w:ascii="Arial Narrow" w:eastAsia="Calibri" w:hAnsi="Arial Narrow"/>
          <w:sz w:val="18"/>
          <w:szCs w:val="18"/>
          <w:lang w:eastAsia="en-US"/>
        </w:rPr>
      </w:pPr>
      <w:r w:rsidRPr="004619C9">
        <w:rPr>
          <w:rFonts w:ascii="Arial Narrow" w:eastAsia="Calibri" w:hAnsi="Arial Narrow"/>
          <w:b/>
          <w:bCs/>
          <w:sz w:val="18"/>
          <w:szCs w:val="18"/>
          <w:lang w:eastAsia="en-US"/>
        </w:rPr>
        <w:t>Fuente:</w:t>
      </w:r>
      <w:r w:rsidRPr="000B4845">
        <w:rPr>
          <w:rFonts w:ascii="Arial Narrow" w:eastAsia="Calibri" w:hAnsi="Arial Narrow"/>
          <w:sz w:val="18"/>
          <w:szCs w:val="18"/>
          <w:lang w:eastAsia="en-US"/>
        </w:rPr>
        <w:t xml:space="preserve"> Sistema PEI al </w:t>
      </w:r>
      <w:r>
        <w:rPr>
          <w:rFonts w:ascii="Arial Narrow" w:eastAsia="Calibri" w:hAnsi="Arial Narrow"/>
          <w:sz w:val="18"/>
          <w:szCs w:val="18"/>
          <w:lang w:eastAsia="en-US"/>
        </w:rPr>
        <w:t>19</w:t>
      </w:r>
      <w:r w:rsidRPr="000B4845">
        <w:rPr>
          <w:rFonts w:ascii="Arial Narrow" w:eastAsia="Calibri" w:hAnsi="Arial Narrow"/>
          <w:sz w:val="18"/>
          <w:szCs w:val="18"/>
          <w:lang w:eastAsia="en-US"/>
        </w:rPr>
        <w:t xml:space="preserve"> de enero del </w:t>
      </w:r>
      <w:r>
        <w:rPr>
          <w:rFonts w:ascii="Arial Narrow" w:eastAsia="Calibri" w:hAnsi="Arial Narrow"/>
          <w:sz w:val="18"/>
          <w:szCs w:val="18"/>
          <w:lang w:eastAsia="en-US"/>
        </w:rPr>
        <w:t>2022 para el año 2021.</w:t>
      </w:r>
    </w:p>
    <w:p w14:paraId="2975BDB3" w14:textId="24FB3905" w:rsidR="00CA68A1" w:rsidRDefault="00CA68A1" w:rsidP="00AB5922">
      <w:pPr>
        <w:spacing w:line="360" w:lineRule="auto"/>
        <w:jc w:val="both"/>
        <w:rPr>
          <w:rFonts w:ascii="Arial Narrow" w:eastAsia="Calibri" w:hAnsi="Arial Narrow"/>
        </w:rPr>
      </w:pPr>
    </w:p>
    <w:p w14:paraId="0EDEF0A6" w14:textId="0DACF185" w:rsidR="00090EA9" w:rsidRPr="006C213A" w:rsidRDefault="00907875" w:rsidP="00ED5BF2">
      <w:pPr>
        <w:jc w:val="both"/>
        <w:rPr>
          <w:rFonts w:ascii="Arial Narrow" w:eastAsia="Calibri" w:hAnsi="Arial Narrow"/>
        </w:rPr>
      </w:pPr>
      <w:r>
        <w:rPr>
          <w:rFonts w:ascii="Arial Narrow" w:hAnsi="Arial Narrow"/>
        </w:rPr>
        <w:t xml:space="preserve">La Dirección de Gestión Humana </w:t>
      </w:r>
      <w:r w:rsidR="00481957" w:rsidRPr="00481957">
        <w:rPr>
          <w:rFonts w:ascii="Arial Narrow" w:hAnsi="Arial Narrow"/>
        </w:rPr>
        <w:t xml:space="preserve">ha venido desarrollando en diferentes fases, por medio de los objetivos </w:t>
      </w:r>
      <w:r>
        <w:rPr>
          <w:rFonts w:ascii="Arial Narrow" w:hAnsi="Arial Narrow"/>
        </w:rPr>
        <w:t xml:space="preserve">operativos </w:t>
      </w:r>
      <w:r w:rsidR="00481957" w:rsidRPr="00481957">
        <w:rPr>
          <w:rFonts w:ascii="Arial Narrow" w:hAnsi="Arial Narrow"/>
        </w:rPr>
        <w:t>del</w:t>
      </w:r>
      <w:r>
        <w:rPr>
          <w:rFonts w:ascii="Arial Narrow" w:hAnsi="Arial Narrow"/>
        </w:rPr>
        <w:t xml:space="preserve"> </w:t>
      </w:r>
      <w:r w:rsidR="00481957" w:rsidRPr="00481957">
        <w:rPr>
          <w:rFonts w:ascii="Arial Narrow" w:hAnsi="Arial Narrow"/>
        </w:rPr>
        <w:t xml:space="preserve">PAO. Específicamente, para </w:t>
      </w:r>
      <w:r>
        <w:rPr>
          <w:rFonts w:ascii="Arial Narrow" w:hAnsi="Arial Narrow"/>
        </w:rPr>
        <w:t>la meta estratégica</w:t>
      </w:r>
      <w:r w:rsidRPr="00907875">
        <w:t xml:space="preserve"> </w:t>
      </w:r>
      <w:r>
        <w:t>“OE</w:t>
      </w:r>
      <w:r w:rsidRPr="00907875">
        <w:rPr>
          <w:rFonts w:ascii="Arial Narrow" w:hAnsi="Arial Narrow"/>
        </w:rPr>
        <w:t>.1.3.4.1 - Que al finalizar el 2024, se presente una propuesta de estructura para el Subproceso de Reclutamiento y Selección al órgano aprobador.</w:t>
      </w:r>
      <w:r>
        <w:rPr>
          <w:rFonts w:ascii="Arial Narrow" w:hAnsi="Arial Narrow"/>
        </w:rPr>
        <w:t>”</w:t>
      </w:r>
      <w:r w:rsidR="00481957" w:rsidRPr="00481957">
        <w:rPr>
          <w:rFonts w:ascii="Arial Narrow" w:hAnsi="Arial Narrow"/>
        </w:rPr>
        <w:t xml:space="preserve">, se tuvo como primera etapa, la aplicación de dos talleres en los cuales participaron todos los colaboradores de la Sección y se recopiló información esencial para las valoraciones correspondiente.  La información recopilada fue tabulada y clasificada para el respectivo análisis. </w:t>
      </w:r>
      <w:r w:rsidRPr="00481957">
        <w:rPr>
          <w:rFonts w:ascii="Arial Narrow" w:hAnsi="Arial Narrow"/>
        </w:rPr>
        <w:t>Sin embargo, su ejecución se ve modificada por estudio de Auditoría "Evaluación operativa en la Sección de Reclutamiento y Selección de la Dirección de Gestión Humana"</w:t>
      </w:r>
      <w:r w:rsidR="00727C75">
        <w:rPr>
          <w:rFonts w:ascii="Arial Narrow" w:hAnsi="Arial Narrow"/>
        </w:rPr>
        <w:t xml:space="preserve"> por lo cual el Subproceso de Reclutamiento y Selección </w:t>
      </w:r>
      <w:r w:rsidR="00727C75" w:rsidRPr="00481957">
        <w:rPr>
          <w:rFonts w:ascii="Arial Narrow" w:hAnsi="Arial Narrow"/>
        </w:rPr>
        <w:t>remitió</w:t>
      </w:r>
      <w:r w:rsidR="00727C75">
        <w:rPr>
          <w:rFonts w:ascii="Arial Narrow" w:hAnsi="Arial Narrow"/>
        </w:rPr>
        <w:t xml:space="preserve"> un </w:t>
      </w:r>
      <w:r w:rsidRPr="00481957">
        <w:rPr>
          <w:rFonts w:ascii="Arial Narrow" w:hAnsi="Arial Narrow"/>
        </w:rPr>
        <w:t>oficio formal a los superiores para validación.</w:t>
      </w:r>
    </w:p>
    <w:p w14:paraId="60285DF7" w14:textId="77777777" w:rsidR="00090EA9" w:rsidRPr="00ED5BF2" w:rsidRDefault="00090EA9" w:rsidP="00ED5BF2">
      <w:pPr>
        <w:jc w:val="both"/>
        <w:rPr>
          <w:rFonts w:ascii="Arial Narrow" w:hAnsi="Arial Narrow"/>
        </w:rPr>
      </w:pPr>
    </w:p>
    <w:p w14:paraId="2DAF7B2E" w14:textId="74CAA484" w:rsidR="00481957" w:rsidRDefault="001B5A52" w:rsidP="00ED5BF2">
      <w:pPr>
        <w:jc w:val="both"/>
        <w:rPr>
          <w:rFonts w:ascii="Arial Narrow" w:hAnsi="Arial Narrow"/>
        </w:rPr>
      </w:pPr>
      <w:r>
        <w:rPr>
          <w:rFonts w:ascii="Arial Narrow" w:hAnsi="Arial Narrow"/>
        </w:rPr>
        <w:t>Seguido,</w:t>
      </w:r>
      <w:r w:rsidR="00C12C81" w:rsidRPr="00B01427">
        <w:rPr>
          <w:rFonts w:ascii="Arial Narrow" w:hAnsi="Arial Narrow"/>
        </w:rPr>
        <w:t xml:space="preserve"> la Sección de Reclutamiento y Selección, informa que emitieron </w:t>
      </w:r>
      <w:r w:rsidR="00727C75" w:rsidRPr="00727C75">
        <w:rPr>
          <w:rFonts w:ascii="Arial Narrow" w:hAnsi="Arial Narrow"/>
        </w:rPr>
        <w:t xml:space="preserve">el primer y segundo avance del proyecto de estandarización, el cual es avalado por la jefatura de la Sección, así como la Subdirección de Administración Humana. </w:t>
      </w:r>
      <w:r w:rsidR="00C4589E">
        <w:rPr>
          <w:rFonts w:ascii="Arial Narrow" w:hAnsi="Arial Narrow"/>
        </w:rPr>
        <w:t xml:space="preserve">Además, indica que </w:t>
      </w:r>
      <w:r w:rsidR="00B01427" w:rsidRPr="00727C75">
        <w:rPr>
          <w:rFonts w:ascii="Arial Narrow" w:hAnsi="Arial Narrow"/>
        </w:rPr>
        <w:t>el porcentaje de avance</w:t>
      </w:r>
      <w:r w:rsidR="00B01427">
        <w:rPr>
          <w:rFonts w:ascii="Arial Narrow" w:hAnsi="Arial Narrow"/>
        </w:rPr>
        <w:t xml:space="preserve"> </w:t>
      </w:r>
      <w:r w:rsidR="00C4589E">
        <w:rPr>
          <w:rFonts w:ascii="Arial Narrow" w:hAnsi="Arial Narrow"/>
        </w:rPr>
        <w:t>s</w:t>
      </w:r>
      <w:r w:rsidR="00727C75" w:rsidRPr="00727C75">
        <w:rPr>
          <w:rFonts w:ascii="Arial Narrow" w:hAnsi="Arial Narrow"/>
        </w:rPr>
        <w:t>e modifica</w:t>
      </w:r>
      <w:r w:rsidR="00B01427">
        <w:rPr>
          <w:rFonts w:ascii="Arial Narrow" w:hAnsi="Arial Narrow"/>
        </w:rPr>
        <w:t xml:space="preserve"> d</w:t>
      </w:r>
      <w:r w:rsidR="00ED5BF2">
        <w:rPr>
          <w:rFonts w:ascii="Arial Narrow" w:hAnsi="Arial Narrow"/>
        </w:rPr>
        <w:t>e</w:t>
      </w:r>
      <w:r w:rsidR="00B01427">
        <w:rPr>
          <w:rFonts w:ascii="Arial Narrow" w:hAnsi="Arial Narrow"/>
        </w:rPr>
        <w:t xml:space="preserve"> manera semestral de </w:t>
      </w:r>
      <w:r w:rsidR="00ED5BF2">
        <w:rPr>
          <w:rFonts w:ascii="Arial Narrow" w:hAnsi="Arial Narrow"/>
        </w:rPr>
        <w:t>a</w:t>
      </w:r>
      <w:r w:rsidR="00B01427">
        <w:rPr>
          <w:rFonts w:ascii="Arial Narrow" w:hAnsi="Arial Narrow"/>
        </w:rPr>
        <w:t xml:space="preserve">cuerdo con los establecido </w:t>
      </w:r>
      <w:r w:rsidR="00B01427" w:rsidRPr="00727C75">
        <w:rPr>
          <w:rFonts w:ascii="Arial Narrow" w:hAnsi="Arial Narrow"/>
        </w:rPr>
        <w:t>por</w:t>
      </w:r>
      <w:r w:rsidR="00727C75" w:rsidRPr="00727C75">
        <w:rPr>
          <w:rFonts w:ascii="Arial Narrow" w:hAnsi="Arial Narrow"/>
        </w:rPr>
        <w:t xml:space="preserve"> la Dirección de Planificación</w:t>
      </w:r>
      <w:r w:rsidR="00B01427">
        <w:rPr>
          <w:rFonts w:ascii="Arial Narrow" w:hAnsi="Arial Narrow"/>
        </w:rPr>
        <w:t xml:space="preserve"> en el portafolio de proyectos del Poder Judicial.</w:t>
      </w:r>
    </w:p>
    <w:p w14:paraId="6064601B" w14:textId="05C7DD37" w:rsidR="00B01427" w:rsidRDefault="00B01427" w:rsidP="00C12C81">
      <w:pPr>
        <w:spacing w:line="360" w:lineRule="auto"/>
        <w:jc w:val="both"/>
        <w:rPr>
          <w:rFonts w:ascii="Arial Narrow" w:hAnsi="Arial Narrow"/>
        </w:rPr>
      </w:pPr>
    </w:p>
    <w:p w14:paraId="5F7E4A44" w14:textId="01194C5C" w:rsidR="00B01427" w:rsidRPr="001822D8" w:rsidRDefault="00D3669C" w:rsidP="001822D8">
      <w:pPr>
        <w:jc w:val="both"/>
        <w:rPr>
          <w:rFonts w:ascii="Arial Narrow" w:eastAsia="Calibri" w:hAnsi="Arial Narrow"/>
        </w:rPr>
      </w:pPr>
      <w:r w:rsidRPr="001822D8">
        <w:rPr>
          <w:rFonts w:ascii="Arial Narrow" w:eastAsia="Calibri" w:hAnsi="Arial Narrow"/>
        </w:rPr>
        <w:t xml:space="preserve">Por otra parte, de acuerdo con la revisión efectuada se tiene que </w:t>
      </w:r>
      <w:r w:rsidR="00286485" w:rsidRPr="001822D8">
        <w:rPr>
          <w:rFonts w:ascii="Arial Narrow" w:eastAsia="Calibri" w:hAnsi="Arial Narrow"/>
        </w:rPr>
        <w:t>la Administración del</w:t>
      </w:r>
      <w:r w:rsidRPr="001822D8">
        <w:rPr>
          <w:rFonts w:ascii="Arial Narrow" w:eastAsia="Calibri" w:hAnsi="Arial Narrow"/>
        </w:rPr>
        <w:t xml:space="preserve"> Organismo de Investigación Judicial</w:t>
      </w:r>
      <w:r w:rsidR="001822D8" w:rsidRPr="001822D8">
        <w:rPr>
          <w:rFonts w:ascii="Arial Narrow" w:eastAsia="Calibri" w:hAnsi="Arial Narrow"/>
        </w:rPr>
        <w:t xml:space="preserve">, </w:t>
      </w:r>
      <w:r w:rsidR="000410A9" w:rsidRPr="001822D8">
        <w:rPr>
          <w:rFonts w:ascii="Arial Narrow" w:eastAsia="Calibri" w:hAnsi="Arial Narrow"/>
        </w:rPr>
        <w:t>con el objetivo de d</w:t>
      </w:r>
      <w:r w:rsidR="00293EF7" w:rsidRPr="001822D8">
        <w:rPr>
          <w:rFonts w:ascii="Arial Narrow" w:eastAsia="Calibri" w:hAnsi="Arial Narrow"/>
        </w:rPr>
        <w:t>ar continuidad al proceso de selección de oferentes del ámbito policial,</w:t>
      </w:r>
      <w:r w:rsidR="000410A9" w:rsidRPr="001822D8">
        <w:rPr>
          <w:rFonts w:ascii="Arial Narrow" w:eastAsia="Calibri" w:hAnsi="Arial Narrow"/>
        </w:rPr>
        <w:t xml:space="preserve"> </w:t>
      </w:r>
      <w:r w:rsidR="001822D8" w:rsidRPr="001822D8">
        <w:rPr>
          <w:rFonts w:ascii="Arial Narrow" w:eastAsia="Calibri" w:hAnsi="Arial Narrow"/>
        </w:rPr>
        <w:t>efectuó en</w:t>
      </w:r>
      <w:r w:rsidR="000410A9" w:rsidRPr="001822D8">
        <w:rPr>
          <w:rFonts w:ascii="Arial Narrow" w:eastAsia="Calibri" w:hAnsi="Arial Narrow"/>
        </w:rPr>
        <w:t xml:space="preserve"> conjunto con la Dirección de Gestión Humana concursos para el puesto de Investigador </w:t>
      </w:r>
      <w:r w:rsidR="001822D8" w:rsidRPr="001822D8">
        <w:rPr>
          <w:rFonts w:ascii="Arial Narrow" w:eastAsia="Calibri" w:hAnsi="Arial Narrow"/>
        </w:rPr>
        <w:t>1 durante el año 2021. Es por lo anterior, que se logra un cumplimiento de la meta estratégica del 100% para el 2021.</w:t>
      </w:r>
    </w:p>
    <w:p w14:paraId="2F579968" w14:textId="4EA4F615" w:rsidR="001822D8" w:rsidRDefault="001822D8" w:rsidP="00C12C81">
      <w:pPr>
        <w:spacing w:line="360" w:lineRule="auto"/>
        <w:jc w:val="both"/>
        <w:rPr>
          <w:rFonts w:ascii="Arial Narrow" w:eastAsia="Calibri" w:hAnsi="Arial Narrow"/>
        </w:rPr>
      </w:pPr>
    </w:p>
    <w:p w14:paraId="409E3D63" w14:textId="7660EA97" w:rsidR="00A82AB0" w:rsidRDefault="00941095" w:rsidP="00A82AB0">
      <w:pPr>
        <w:jc w:val="both"/>
        <w:rPr>
          <w:rFonts w:ascii="Arial Narrow" w:hAnsi="Arial Narrow"/>
        </w:rPr>
      </w:pPr>
      <w:r>
        <w:rPr>
          <w:rFonts w:ascii="Arial Narrow" w:hAnsi="Arial Narrow"/>
        </w:rPr>
        <w:t>Finalmente</w:t>
      </w:r>
      <w:r w:rsidR="007C56BE">
        <w:rPr>
          <w:rFonts w:ascii="Arial Narrow" w:hAnsi="Arial Narrow"/>
        </w:rPr>
        <w:t>,</w:t>
      </w:r>
      <w:r w:rsidR="00C367EA" w:rsidRPr="00C367EA">
        <w:rPr>
          <w:rFonts w:ascii="Arial Narrow" w:eastAsia="Calibri" w:hAnsi="Arial Narrow"/>
        </w:rPr>
        <w:t xml:space="preserve"> </w:t>
      </w:r>
      <w:r w:rsidR="00D060DA">
        <w:rPr>
          <w:rFonts w:ascii="Arial Narrow" w:eastAsia="Calibri" w:hAnsi="Arial Narrow"/>
        </w:rPr>
        <w:t xml:space="preserve">se tiene que </w:t>
      </w:r>
      <w:r w:rsidR="00C367EA">
        <w:rPr>
          <w:rFonts w:ascii="Arial Narrow" w:eastAsia="Calibri" w:hAnsi="Arial Narrow"/>
        </w:rPr>
        <w:t xml:space="preserve">la Sección de Análisis de Puestos de la Dirección de Gestión Humana en el año 2021 </w:t>
      </w:r>
      <w:r w:rsidR="000339FB" w:rsidRPr="002E0B96">
        <w:rPr>
          <w:rFonts w:ascii="Arial Narrow" w:eastAsia="Calibri" w:hAnsi="Arial Narrow"/>
        </w:rPr>
        <w:t>elabora</w:t>
      </w:r>
      <w:r w:rsidR="00C367EA">
        <w:rPr>
          <w:rFonts w:ascii="Arial Narrow" w:eastAsia="Calibri" w:hAnsi="Arial Narrow"/>
        </w:rPr>
        <w:t>ron</w:t>
      </w:r>
      <w:r w:rsidR="000339FB" w:rsidRPr="002E0B96">
        <w:rPr>
          <w:rFonts w:ascii="Arial Narrow" w:eastAsia="Calibri" w:hAnsi="Arial Narrow"/>
        </w:rPr>
        <w:t xml:space="preserve"> y actualiza</w:t>
      </w:r>
      <w:r w:rsidR="00C367EA">
        <w:rPr>
          <w:rFonts w:ascii="Arial Narrow" w:eastAsia="Calibri" w:hAnsi="Arial Narrow"/>
        </w:rPr>
        <w:t>ron</w:t>
      </w:r>
      <w:r w:rsidR="000339FB" w:rsidRPr="002E0B96">
        <w:rPr>
          <w:rFonts w:ascii="Arial Narrow" w:eastAsia="Calibri" w:hAnsi="Arial Narrow"/>
        </w:rPr>
        <w:t xml:space="preserve"> las descripciones de clases de puestos</w:t>
      </w:r>
      <w:r w:rsidR="000339FB">
        <w:rPr>
          <w:rFonts w:ascii="Arial Narrow" w:eastAsia="Calibri" w:hAnsi="Arial Narrow"/>
        </w:rPr>
        <w:t xml:space="preserve"> </w:t>
      </w:r>
      <w:r w:rsidR="000339FB">
        <w:rPr>
          <w:rFonts w:ascii="Arial Narrow" w:hAnsi="Arial Narrow"/>
        </w:rPr>
        <w:t>c</w:t>
      </w:r>
      <w:r w:rsidR="00997C19" w:rsidRPr="00997C19">
        <w:rPr>
          <w:rFonts w:ascii="Arial Narrow" w:hAnsi="Arial Narrow"/>
        </w:rPr>
        <w:t>onforme los estudios técnicos realizados</w:t>
      </w:r>
      <w:r w:rsidR="000339FB">
        <w:rPr>
          <w:rFonts w:ascii="Arial Narrow" w:hAnsi="Arial Narrow"/>
        </w:rPr>
        <w:t xml:space="preserve">: </w:t>
      </w:r>
      <w:r w:rsidR="00997C19" w:rsidRPr="00997C19">
        <w:rPr>
          <w:rFonts w:ascii="Arial Narrow" w:hAnsi="Arial Narrow"/>
        </w:rPr>
        <w:t>FAPTA</w:t>
      </w:r>
      <w:r w:rsidR="00C367EA">
        <w:rPr>
          <w:rFonts w:ascii="Arial Narrow" w:hAnsi="Arial Narrow"/>
        </w:rPr>
        <w:t>,</w:t>
      </w:r>
      <w:r w:rsidR="00C367EA" w:rsidRPr="00997C19">
        <w:rPr>
          <w:rFonts w:ascii="Arial Narrow" w:hAnsi="Arial Narrow"/>
        </w:rPr>
        <w:t xml:space="preserve"> Justicia</w:t>
      </w:r>
      <w:r w:rsidR="00997C19" w:rsidRPr="00997C19">
        <w:rPr>
          <w:rFonts w:ascii="Arial Narrow" w:hAnsi="Arial Narrow"/>
        </w:rPr>
        <w:t xml:space="preserve"> R</w:t>
      </w:r>
      <w:r w:rsidR="00C367EA">
        <w:rPr>
          <w:rFonts w:ascii="Arial Narrow" w:hAnsi="Arial Narrow"/>
        </w:rPr>
        <w:t xml:space="preserve">estaurativa, </w:t>
      </w:r>
      <w:r w:rsidR="00997C19" w:rsidRPr="00997C19">
        <w:rPr>
          <w:rFonts w:ascii="Arial Narrow" w:hAnsi="Arial Narrow"/>
        </w:rPr>
        <w:t>A</w:t>
      </w:r>
      <w:r w:rsidR="00C367EA">
        <w:rPr>
          <w:rFonts w:ascii="Arial Narrow" w:hAnsi="Arial Narrow"/>
        </w:rPr>
        <w:t xml:space="preserve">grario, </w:t>
      </w:r>
      <w:r w:rsidR="00997C19" w:rsidRPr="00997C19">
        <w:rPr>
          <w:rFonts w:ascii="Arial Narrow" w:hAnsi="Arial Narrow"/>
        </w:rPr>
        <w:t>F</w:t>
      </w:r>
      <w:r w:rsidR="00C367EA">
        <w:rPr>
          <w:rFonts w:ascii="Arial Narrow" w:hAnsi="Arial Narrow"/>
        </w:rPr>
        <w:t xml:space="preserve">amilia; para un total de 30 </w:t>
      </w:r>
      <w:r w:rsidR="00ED393D">
        <w:rPr>
          <w:rFonts w:ascii="Arial Narrow" w:hAnsi="Arial Narrow"/>
        </w:rPr>
        <w:t>descripciones de clases de puesto.</w:t>
      </w:r>
      <w:r w:rsidR="00853672">
        <w:rPr>
          <w:rFonts w:ascii="Arial Narrow" w:hAnsi="Arial Narrow"/>
        </w:rPr>
        <w:t xml:space="preserve"> </w:t>
      </w:r>
    </w:p>
    <w:p w14:paraId="3D60B747" w14:textId="77777777" w:rsidR="00941095" w:rsidRPr="00A82AB0" w:rsidRDefault="00941095" w:rsidP="00A82AB0">
      <w:pPr>
        <w:jc w:val="both"/>
        <w:rPr>
          <w:rFonts w:ascii="Arial Narrow" w:hAnsi="Arial Narrow"/>
        </w:rPr>
      </w:pPr>
    </w:p>
    <w:p w14:paraId="6EA8A22D" w14:textId="367D18E0" w:rsidR="00AB5922" w:rsidRPr="00322D9B" w:rsidRDefault="00AB5922" w:rsidP="00322D9B">
      <w:pPr>
        <w:pStyle w:val="Ttulo3"/>
        <w:numPr>
          <w:ilvl w:val="2"/>
          <w:numId w:val="125"/>
        </w:numPr>
        <w:rPr>
          <w:rFonts w:eastAsia="Calibri"/>
        </w:rPr>
      </w:pPr>
      <w:bookmarkStart w:id="76" w:name="_Toc106355286"/>
      <w:r w:rsidRPr="00322D9B">
        <w:rPr>
          <w:rFonts w:eastAsia="Calibri"/>
        </w:rPr>
        <w:t>Capacitación</w:t>
      </w:r>
      <w:bookmarkEnd w:id="76"/>
    </w:p>
    <w:p w14:paraId="7145B8C7" w14:textId="77777777" w:rsidR="00ED6A5E" w:rsidRPr="001223A8" w:rsidRDefault="00ED6A5E" w:rsidP="001223A8">
      <w:pPr>
        <w:rPr>
          <w:rFonts w:ascii="Arial Narrow" w:eastAsia="Calibri" w:hAnsi="Arial Narrow"/>
        </w:rPr>
      </w:pPr>
    </w:p>
    <w:p w14:paraId="56629853" w14:textId="4263EBE5" w:rsidR="00AB5922" w:rsidRDefault="00ED6A5E" w:rsidP="001223A8">
      <w:pPr>
        <w:rPr>
          <w:rFonts w:ascii="Arial Narrow" w:eastAsia="Calibri" w:hAnsi="Arial Narrow"/>
        </w:rPr>
      </w:pPr>
      <w:r w:rsidRPr="001223A8">
        <w:rPr>
          <w:rFonts w:ascii="Arial Narrow" w:eastAsia="Calibri" w:hAnsi="Arial Narrow"/>
        </w:rPr>
        <w:t>Se observan 29 metas estratégicas, de las cuales 2</w:t>
      </w:r>
      <w:r w:rsidR="00B01769">
        <w:rPr>
          <w:rFonts w:ascii="Arial Narrow" w:eastAsia="Calibri" w:hAnsi="Arial Narrow"/>
        </w:rPr>
        <w:t>8</w:t>
      </w:r>
      <w:r w:rsidRPr="001223A8">
        <w:rPr>
          <w:rFonts w:ascii="Arial Narrow" w:eastAsia="Calibri" w:hAnsi="Arial Narrow"/>
        </w:rPr>
        <w:t xml:space="preserve"> muestran una ejecución alta en su cumplimiento. Por otro lado, </w:t>
      </w:r>
      <w:r w:rsidR="00B01769">
        <w:rPr>
          <w:rFonts w:ascii="Arial Narrow" w:eastAsia="Calibri" w:hAnsi="Arial Narrow"/>
        </w:rPr>
        <w:t xml:space="preserve">solamente </w:t>
      </w:r>
      <w:r w:rsidRPr="001223A8">
        <w:rPr>
          <w:rFonts w:ascii="Arial Narrow" w:eastAsia="Calibri" w:hAnsi="Arial Narrow"/>
        </w:rPr>
        <w:t xml:space="preserve">hay </w:t>
      </w:r>
      <w:r w:rsidR="00B01769">
        <w:rPr>
          <w:rFonts w:ascii="Arial Narrow" w:eastAsia="Calibri" w:hAnsi="Arial Narrow"/>
        </w:rPr>
        <w:t>1</w:t>
      </w:r>
      <w:r w:rsidRPr="001223A8">
        <w:rPr>
          <w:rFonts w:ascii="Arial Narrow" w:eastAsia="Calibri" w:hAnsi="Arial Narrow"/>
        </w:rPr>
        <w:t xml:space="preserve"> meta que registra un cumplimiento medio. Se detalla a continuación las metas estratégicas y su cumplimiento para el 20</w:t>
      </w:r>
      <w:r w:rsidR="001223A8" w:rsidRPr="001223A8">
        <w:rPr>
          <w:rFonts w:ascii="Arial Narrow" w:eastAsia="Calibri" w:hAnsi="Arial Narrow"/>
        </w:rPr>
        <w:t>21</w:t>
      </w:r>
      <w:r w:rsidRPr="001223A8">
        <w:rPr>
          <w:rFonts w:ascii="Arial Narrow" w:eastAsia="Calibri" w:hAnsi="Arial Narrow"/>
        </w:rPr>
        <w:t>:</w:t>
      </w:r>
    </w:p>
    <w:p w14:paraId="1138644C" w14:textId="3B6C743A" w:rsidR="00941095" w:rsidRDefault="00941095" w:rsidP="001223A8">
      <w:pPr>
        <w:rPr>
          <w:rFonts w:ascii="Arial Narrow" w:eastAsia="Calibri" w:hAnsi="Arial Narrow"/>
        </w:rPr>
      </w:pPr>
    </w:p>
    <w:p w14:paraId="0160A147" w14:textId="0533329B" w:rsidR="00EB6429" w:rsidRDefault="001223A8" w:rsidP="00A82AB0">
      <w:pPr>
        <w:pStyle w:val="Descripcin"/>
        <w:jc w:val="center"/>
        <w:rPr>
          <w:rFonts w:ascii="Arial Narrow" w:eastAsia="Calibri" w:hAnsi="Arial Narrow"/>
          <w:sz w:val="24"/>
          <w:szCs w:val="24"/>
        </w:rPr>
      </w:pPr>
      <w:bookmarkStart w:id="77" w:name="_Toc76062291"/>
      <w:bookmarkStart w:id="78" w:name="_Hlk98921506"/>
      <w:r w:rsidRPr="00484CC1">
        <w:rPr>
          <w:rFonts w:ascii="Arial Narrow" w:hAnsi="Arial Narrow"/>
          <w:sz w:val="24"/>
          <w:szCs w:val="24"/>
        </w:rPr>
        <w:t>Cuadro</w:t>
      </w:r>
      <w:r>
        <w:rPr>
          <w:rFonts w:ascii="Arial Narrow" w:hAnsi="Arial Narrow"/>
          <w:sz w:val="24"/>
          <w:szCs w:val="24"/>
        </w:rPr>
        <w:t xml:space="preserve">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2F520A">
        <w:rPr>
          <w:rFonts w:ascii="Arial Narrow" w:hAnsi="Arial Narrow"/>
          <w:noProof/>
          <w:sz w:val="24"/>
          <w:szCs w:val="24"/>
        </w:rPr>
        <w:t>63</w:t>
      </w:r>
      <w:r w:rsidRPr="00484CC1">
        <w:rPr>
          <w:rFonts w:ascii="Arial Narrow" w:hAnsi="Arial Narrow"/>
          <w:sz w:val="24"/>
          <w:szCs w:val="24"/>
        </w:rPr>
        <w:fldChar w:fldCharType="end"/>
      </w:r>
      <w:r w:rsidRPr="00484CC1">
        <w:rPr>
          <w:rFonts w:ascii="Arial Narrow" w:hAnsi="Arial Narrow"/>
          <w:sz w:val="24"/>
          <w:szCs w:val="24"/>
        </w:rPr>
        <w:t xml:space="preserve"> </w:t>
      </w:r>
      <w:r w:rsidRPr="00211B03">
        <w:rPr>
          <w:rFonts w:ascii="Arial Narrow" w:eastAsia="Calibri" w:hAnsi="Arial Narrow"/>
          <w:sz w:val="24"/>
          <w:szCs w:val="24"/>
        </w:rPr>
        <w:t xml:space="preserve">Metas estratégicas de </w:t>
      </w:r>
      <w:r>
        <w:rPr>
          <w:rFonts w:ascii="Arial Narrow" w:eastAsia="Calibri" w:hAnsi="Arial Narrow"/>
          <w:sz w:val="24"/>
          <w:szCs w:val="24"/>
        </w:rPr>
        <w:t>Capacitación</w:t>
      </w:r>
      <w:r w:rsidRPr="00211B03">
        <w:rPr>
          <w:rFonts w:ascii="Arial Narrow" w:eastAsia="Calibri" w:hAnsi="Arial Narrow"/>
          <w:sz w:val="24"/>
          <w:szCs w:val="24"/>
        </w:rPr>
        <w:t>, y su cumplimiento para el 20</w:t>
      </w:r>
      <w:bookmarkEnd w:id="77"/>
      <w:r>
        <w:rPr>
          <w:rFonts w:ascii="Arial Narrow" w:eastAsia="Calibri" w:hAnsi="Arial Narrow"/>
          <w:sz w:val="24"/>
          <w:szCs w:val="24"/>
        </w:rPr>
        <w:t xml:space="preserve">21. </w:t>
      </w:r>
    </w:p>
    <w:bookmarkEnd w:id="78"/>
    <w:p w14:paraId="17FE9919" w14:textId="3CB24851" w:rsidR="007F21CD" w:rsidRPr="001223A8" w:rsidRDefault="00EB6429" w:rsidP="001223A8">
      <w:pPr>
        <w:rPr>
          <w:rFonts w:eastAsia="Calibri"/>
        </w:rPr>
      </w:pPr>
      <w:r>
        <w:rPr>
          <w:noProof/>
        </w:rPr>
        <w:drawing>
          <wp:inline distT="0" distB="0" distL="0" distR="0" wp14:anchorId="4DD4C43E" wp14:editId="50597E4B">
            <wp:extent cx="5457825" cy="2058670"/>
            <wp:effectExtent l="57150" t="57150" r="104775" b="93980"/>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r="404"/>
                    <a:stretch/>
                  </pic:blipFill>
                  <pic:spPr bwMode="auto">
                    <a:xfrm>
                      <a:off x="0" y="0"/>
                      <a:ext cx="5485392" cy="2069068"/>
                    </a:xfrm>
                    <a:prstGeom prst="rect">
                      <a:avLst/>
                    </a:prstGeom>
                    <a:ln w="127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D440F47" w14:textId="77777777" w:rsidR="007F21CD" w:rsidRDefault="007F21CD" w:rsidP="00B54439">
      <w:pPr>
        <w:spacing w:line="360" w:lineRule="auto"/>
        <w:jc w:val="center"/>
        <w:rPr>
          <w:rFonts w:ascii="Arial Narrow" w:eastAsia="Calibri" w:hAnsi="Arial Narrow"/>
          <w:sz w:val="18"/>
          <w:szCs w:val="18"/>
          <w:lang w:eastAsia="en-US"/>
        </w:rPr>
      </w:pPr>
      <w:r w:rsidRPr="004619C9">
        <w:rPr>
          <w:rFonts w:ascii="Arial Narrow" w:eastAsia="Calibri" w:hAnsi="Arial Narrow"/>
          <w:b/>
          <w:bCs/>
          <w:sz w:val="18"/>
          <w:szCs w:val="18"/>
          <w:lang w:eastAsia="en-US"/>
        </w:rPr>
        <w:t>Fuente:</w:t>
      </w:r>
      <w:r w:rsidRPr="000B4845">
        <w:rPr>
          <w:rFonts w:ascii="Arial Narrow" w:eastAsia="Calibri" w:hAnsi="Arial Narrow"/>
          <w:sz w:val="18"/>
          <w:szCs w:val="18"/>
          <w:lang w:eastAsia="en-US"/>
        </w:rPr>
        <w:t xml:space="preserve"> Sistema PEI al </w:t>
      </w:r>
      <w:r>
        <w:rPr>
          <w:rFonts w:ascii="Arial Narrow" w:eastAsia="Calibri" w:hAnsi="Arial Narrow"/>
          <w:sz w:val="18"/>
          <w:szCs w:val="18"/>
          <w:lang w:eastAsia="en-US"/>
        </w:rPr>
        <w:t>19</w:t>
      </w:r>
      <w:r w:rsidRPr="000B4845">
        <w:rPr>
          <w:rFonts w:ascii="Arial Narrow" w:eastAsia="Calibri" w:hAnsi="Arial Narrow"/>
          <w:sz w:val="18"/>
          <w:szCs w:val="18"/>
          <w:lang w:eastAsia="en-US"/>
        </w:rPr>
        <w:t xml:space="preserve"> de enero del </w:t>
      </w:r>
      <w:r>
        <w:rPr>
          <w:rFonts w:ascii="Arial Narrow" w:eastAsia="Calibri" w:hAnsi="Arial Narrow"/>
          <w:sz w:val="18"/>
          <w:szCs w:val="18"/>
          <w:lang w:eastAsia="en-US"/>
        </w:rPr>
        <w:t>2022 para el año 2021.</w:t>
      </w:r>
    </w:p>
    <w:p w14:paraId="7DCC88B5" w14:textId="32E6D927" w:rsidR="00B32375" w:rsidRDefault="00C77A73" w:rsidP="00B32375">
      <w:pPr>
        <w:pStyle w:val="Descripcin"/>
        <w:jc w:val="both"/>
        <w:rPr>
          <w:rFonts w:ascii="Arial Narrow" w:eastAsia="Calibri" w:hAnsi="Arial Narrow"/>
          <w:b w:val="0"/>
          <w:bCs w:val="0"/>
          <w:sz w:val="24"/>
          <w:szCs w:val="24"/>
        </w:rPr>
      </w:pPr>
      <w:r w:rsidRPr="00B32375">
        <w:rPr>
          <w:rFonts w:ascii="Arial Narrow" w:eastAsia="Calibri" w:hAnsi="Arial Narrow"/>
          <w:b w:val="0"/>
          <w:bCs w:val="0"/>
          <w:sz w:val="24"/>
          <w:szCs w:val="24"/>
        </w:rPr>
        <w:t xml:space="preserve">La Defensa Pública con el objetivo de actualizar los conocimientos de los especialistas en materia agraria con respecto de la normativa nacional e internacional sobre la protección y eficacia de los derechos humanos de las personas en </w:t>
      </w:r>
      <w:r w:rsidR="001223A8" w:rsidRPr="00B32375">
        <w:rPr>
          <w:rFonts w:ascii="Arial Narrow" w:eastAsia="Calibri" w:hAnsi="Arial Narrow"/>
          <w:b w:val="0"/>
          <w:bCs w:val="0"/>
          <w:sz w:val="24"/>
          <w:szCs w:val="24"/>
        </w:rPr>
        <w:t xml:space="preserve">situación </w:t>
      </w:r>
      <w:r w:rsidRPr="00B32375">
        <w:rPr>
          <w:rFonts w:ascii="Arial Narrow" w:eastAsia="Calibri" w:hAnsi="Arial Narrow"/>
          <w:b w:val="0"/>
          <w:bCs w:val="0"/>
          <w:sz w:val="24"/>
          <w:szCs w:val="24"/>
        </w:rPr>
        <w:t>de vulnerabilidad, para el año 2021 se realizó una capacitación donde abarcó e</w:t>
      </w:r>
      <w:r w:rsidR="00721B6C" w:rsidRPr="00B32375">
        <w:rPr>
          <w:rFonts w:ascii="Arial Narrow" w:eastAsia="Calibri" w:hAnsi="Arial Narrow"/>
          <w:b w:val="0"/>
          <w:bCs w:val="0"/>
          <w:sz w:val="24"/>
          <w:szCs w:val="24"/>
        </w:rPr>
        <w:t xml:space="preserve">l tema “Lineamientos mínimos de atención para pueblos </w:t>
      </w:r>
      <w:r w:rsidR="002130D1" w:rsidRPr="00B32375">
        <w:rPr>
          <w:rFonts w:ascii="Arial Narrow" w:eastAsia="Calibri" w:hAnsi="Arial Narrow"/>
          <w:b w:val="0"/>
          <w:bCs w:val="0"/>
          <w:sz w:val="24"/>
          <w:szCs w:val="24"/>
        </w:rPr>
        <w:t>indígenas”. Adicionalmente, la Unidad de Capacitación y Supervisión de la Defensa Pública indica que se procedieron a realizar un documento d</w:t>
      </w:r>
      <w:r w:rsidR="00836695" w:rsidRPr="00B32375">
        <w:rPr>
          <w:rFonts w:ascii="Arial Narrow" w:eastAsia="Calibri" w:hAnsi="Arial Narrow"/>
          <w:b w:val="0"/>
          <w:bCs w:val="0"/>
          <w:sz w:val="24"/>
          <w:szCs w:val="24"/>
        </w:rPr>
        <w:t xml:space="preserve">onde enuncia las líneas de acción que guiarán el cumplimiento del proyecto denominado: </w:t>
      </w:r>
      <w:r w:rsidR="00B32375">
        <w:rPr>
          <w:rFonts w:ascii="Arial Narrow" w:eastAsia="Calibri" w:hAnsi="Arial Narrow"/>
          <w:b w:val="0"/>
          <w:bCs w:val="0"/>
          <w:sz w:val="24"/>
          <w:szCs w:val="24"/>
        </w:rPr>
        <w:t>Diseño de una estrategia de capacitación para la Defensa Publica,</w:t>
      </w:r>
      <w:r w:rsidR="00B32375" w:rsidRPr="00B32375">
        <w:rPr>
          <w:rFonts w:ascii="Arial Narrow" w:eastAsia="Calibri" w:hAnsi="Arial Narrow"/>
          <w:b w:val="0"/>
          <w:bCs w:val="0"/>
          <w:sz w:val="24"/>
          <w:szCs w:val="24"/>
        </w:rPr>
        <w:t xml:space="preserve"> cuyo objetivo se establece en su plan de gestión como: Definir, implementar y dar seguimiento a la Estrategia de capacitación para la Defensa Pública en el período 2019-2024, las cuales fueron consensuadas con quienes integran el Proceso d Proceso de gestión del conocimiento mediante la técnica denominada: “Círculos de aprendizaje”</w:t>
      </w:r>
      <w:r w:rsidR="00B32375">
        <w:rPr>
          <w:rFonts w:ascii="Arial Narrow" w:eastAsia="Calibri" w:hAnsi="Arial Narrow"/>
          <w:b w:val="0"/>
          <w:bCs w:val="0"/>
          <w:sz w:val="24"/>
          <w:szCs w:val="24"/>
        </w:rPr>
        <w:t>.</w:t>
      </w:r>
      <w:r w:rsidR="00B32375" w:rsidRPr="00B32375">
        <w:rPr>
          <w:rFonts w:ascii="Arial Narrow" w:eastAsia="Calibri" w:hAnsi="Arial Narrow"/>
          <w:b w:val="0"/>
          <w:bCs w:val="0"/>
          <w:sz w:val="24"/>
          <w:szCs w:val="24"/>
        </w:rPr>
        <w:t xml:space="preserve"> Lo anterior de acuerdo con la revisión efectuada por medio del sistema PAO reflejando un cumplimiento del 100</w:t>
      </w:r>
      <w:r w:rsidR="00C03F90" w:rsidRPr="00B32375">
        <w:rPr>
          <w:rFonts w:ascii="Arial Narrow" w:eastAsia="Calibri" w:hAnsi="Arial Narrow"/>
          <w:b w:val="0"/>
          <w:bCs w:val="0"/>
          <w:sz w:val="24"/>
          <w:szCs w:val="24"/>
        </w:rPr>
        <w:t>%.</w:t>
      </w:r>
    </w:p>
    <w:p w14:paraId="32729AEF" w14:textId="77777777" w:rsidR="00721B6C" w:rsidRDefault="00721B6C" w:rsidP="00721B6C">
      <w:pPr>
        <w:jc w:val="both"/>
        <w:rPr>
          <w:rFonts w:ascii="Arial Narrow" w:eastAsia="Calibri" w:hAnsi="Arial Narrow"/>
        </w:rPr>
      </w:pPr>
    </w:p>
    <w:p w14:paraId="770F33ED" w14:textId="6FB402F7" w:rsidR="00CF2AF3" w:rsidRPr="00CF2AF3" w:rsidRDefault="0051596B" w:rsidP="00CF2AF3">
      <w:pPr>
        <w:jc w:val="both"/>
        <w:rPr>
          <w:rFonts w:ascii="Arial Narrow" w:eastAsia="Calibri" w:hAnsi="Arial Narrow"/>
        </w:rPr>
      </w:pPr>
      <w:r>
        <w:rPr>
          <w:rFonts w:ascii="Arial Narrow" w:eastAsia="Calibri" w:hAnsi="Arial Narrow"/>
        </w:rPr>
        <w:t>En cuanto al Ministerio Público</w:t>
      </w:r>
      <w:r w:rsidR="00B32375">
        <w:rPr>
          <w:rFonts w:ascii="Arial Narrow" w:eastAsia="Calibri" w:hAnsi="Arial Narrow"/>
        </w:rPr>
        <w:t>,</w:t>
      </w:r>
      <w:r>
        <w:rPr>
          <w:rFonts w:ascii="Arial Narrow" w:eastAsia="Calibri" w:hAnsi="Arial Narrow"/>
        </w:rPr>
        <w:t xml:space="preserve"> se informa por medio de los avances </w:t>
      </w:r>
      <w:r w:rsidR="00050152">
        <w:rPr>
          <w:rFonts w:ascii="Arial Narrow" w:eastAsia="Calibri" w:hAnsi="Arial Narrow"/>
        </w:rPr>
        <w:t>efectuados</w:t>
      </w:r>
      <w:r>
        <w:rPr>
          <w:rFonts w:ascii="Arial Narrow" w:eastAsia="Calibri" w:hAnsi="Arial Narrow"/>
        </w:rPr>
        <w:t xml:space="preserve"> en el sistema </w:t>
      </w:r>
      <w:r w:rsidR="00050152">
        <w:rPr>
          <w:rFonts w:ascii="Arial Narrow" w:eastAsia="Calibri" w:hAnsi="Arial Narrow"/>
        </w:rPr>
        <w:t>PAO que</w:t>
      </w:r>
      <w:r>
        <w:rPr>
          <w:rFonts w:ascii="Arial Narrow" w:eastAsia="Calibri" w:hAnsi="Arial Narrow"/>
        </w:rPr>
        <w:t xml:space="preserve"> </w:t>
      </w:r>
      <w:r w:rsidR="00050152">
        <w:rPr>
          <w:rFonts w:ascii="Arial Narrow" w:eastAsia="Calibri" w:hAnsi="Arial Narrow"/>
        </w:rPr>
        <w:t xml:space="preserve">la Unidad de Capacitación y Supervisión del Ministerio Público </w:t>
      </w:r>
      <w:r w:rsidR="00CF2AF3" w:rsidRPr="00CF2AF3">
        <w:rPr>
          <w:rFonts w:ascii="Arial Narrow" w:eastAsia="Calibri" w:hAnsi="Arial Narrow"/>
        </w:rPr>
        <w:t xml:space="preserve">diseñó la Estrategia de Capacitación del MP, </w:t>
      </w:r>
      <w:r w:rsidR="00B32375">
        <w:rPr>
          <w:rFonts w:ascii="Arial Narrow" w:eastAsia="Calibri" w:hAnsi="Arial Narrow"/>
        </w:rPr>
        <w:t>la cual</w:t>
      </w:r>
      <w:r w:rsidR="00CF2AF3" w:rsidRPr="00CF2AF3">
        <w:rPr>
          <w:rFonts w:ascii="Arial Narrow" w:eastAsia="Calibri" w:hAnsi="Arial Narrow"/>
        </w:rPr>
        <w:t xml:space="preserve"> fue aprobada por la Dra. Mayra Campos Zúñiga, Fiscala Adjunta 2 de la </w:t>
      </w:r>
      <w:r w:rsidR="00CF2AF3">
        <w:rPr>
          <w:rFonts w:ascii="Arial Narrow" w:eastAsia="Calibri" w:hAnsi="Arial Narrow"/>
        </w:rPr>
        <w:t>F</w:t>
      </w:r>
      <w:r w:rsidR="00CF2AF3" w:rsidRPr="00CF2AF3">
        <w:rPr>
          <w:rFonts w:ascii="Arial Narrow" w:eastAsia="Calibri" w:hAnsi="Arial Narrow"/>
        </w:rPr>
        <w:t xml:space="preserve">iscalía </w:t>
      </w:r>
      <w:r w:rsidR="00CF2AF3">
        <w:rPr>
          <w:rFonts w:ascii="Arial Narrow" w:eastAsia="Calibri" w:hAnsi="Arial Narrow"/>
        </w:rPr>
        <w:t>G</w:t>
      </w:r>
      <w:r w:rsidR="00CF2AF3" w:rsidRPr="00CF2AF3">
        <w:rPr>
          <w:rFonts w:ascii="Arial Narrow" w:eastAsia="Calibri" w:hAnsi="Arial Narrow"/>
        </w:rPr>
        <w:t>eneral de la República, y se inició el proceso de revisión curricular de los Programas de Formación y Capacitación Profesional del Ministerio Público.</w:t>
      </w:r>
    </w:p>
    <w:p w14:paraId="412F1390" w14:textId="77777777" w:rsidR="00941095" w:rsidRDefault="00941095" w:rsidP="002A1107">
      <w:pPr>
        <w:jc w:val="both"/>
        <w:rPr>
          <w:rFonts w:ascii="Arial Narrow" w:eastAsia="Calibri" w:hAnsi="Arial Narrow"/>
        </w:rPr>
      </w:pPr>
    </w:p>
    <w:p w14:paraId="45478216" w14:textId="6E2D0CC5" w:rsidR="002A1107" w:rsidRPr="002A1107" w:rsidRDefault="002A1107" w:rsidP="002A1107">
      <w:pPr>
        <w:suppressAutoHyphens/>
        <w:jc w:val="both"/>
        <w:rPr>
          <w:rFonts w:ascii="Arial Narrow" w:eastAsia="Calibri" w:hAnsi="Arial Narrow"/>
        </w:rPr>
      </w:pPr>
      <w:r>
        <w:rPr>
          <w:rFonts w:ascii="Arial Narrow" w:eastAsia="Calibri" w:hAnsi="Arial Narrow"/>
        </w:rPr>
        <w:t>Por otra parte, e</w:t>
      </w:r>
      <w:r w:rsidRPr="002A1107">
        <w:rPr>
          <w:rFonts w:ascii="Arial Narrow" w:eastAsia="Calibri" w:hAnsi="Arial Narrow"/>
        </w:rPr>
        <w:t xml:space="preserve">l Subproceso Gestión de la Capacitación de la Dirección de Gestión Humana se vio forzado a replantear las estrategias de capacitación que normalmente venía utilizando, </w:t>
      </w:r>
      <w:r>
        <w:rPr>
          <w:rFonts w:ascii="Arial Narrow" w:eastAsia="Calibri" w:hAnsi="Arial Narrow"/>
        </w:rPr>
        <w:t>esto</w:t>
      </w:r>
      <w:r w:rsidRPr="002A1107">
        <w:rPr>
          <w:rFonts w:ascii="Arial Narrow" w:eastAsia="Calibri" w:hAnsi="Arial Narrow"/>
        </w:rPr>
        <w:t xml:space="preserve"> con ocasión al distanciamiento social que provoca la pandemia Covid-19, lo anterior haciendo uso de la innovación, la tecnología remota y las nuevas metodologías de aprendizaje ajustadas a las nuevas necesidades. Con fines de mejoramiento y para medir el grado de beneficio del servicio se practicó una encuesta en línea denominada “Evaluación de la estrategia de capacitación, Subproceso Gestión de la Capacitación de la Dirección de Gestión Humana, período 2020-2021”.</w:t>
      </w:r>
    </w:p>
    <w:p w14:paraId="3C23A804" w14:textId="3CE4D5CE" w:rsidR="00343A4D" w:rsidRDefault="00343A4D" w:rsidP="00721B6C">
      <w:pPr>
        <w:jc w:val="both"/>
        <w:rPr>
          <w:rFonts w:ascii="Arial Narrow" w:eastAsia="Calibri" w:hAnsi="Arial Narrow"/>
        </w:rPr>
      </w:pPr>
    </w:p>
    <w:p w14:paraId="21B2D97C" w14:textId="776477FA" w:rsidR="00343A4D" w:rsidRDefault="00343A4D" w:rsidP="00EA4726">
      <w:pPr>
        <w:pStyle w:val="Descripcin"/>
        <w:jc w:val="center"/>
        <w:rPr>
          <w:rFonts w:ascii="Arial Narrow" w:eastAsia="Calibri" w:hAnsi="Arial Narrow"/>
          <w:sz w:val="24"/>
          <w:szCs w:val="24"/>
        </w:rPr>
      </w:pPr>
      <w:r w:rsidRPr="00484CC1">
        <w:rPr>
          <w:rFonts w:ascii="Arial Narrow" w:hAnsi="Arial Narrow"/>
          <w:sz w:val="24"/>
          <w:szCs w:val="24"/>
        </w:rPr>
        <w:t>Cuadro</w:t>
      </w:r>
      <w:r>
        <w:rPr>
          <w:rFonts w:ascii="Arial Narrow" w:hAnsi="Arial Narrow"/>
          <w:sz w:val="24"/>
          <w:szCs w:val="24"/>
        </w:rPr>
        <w:t xml:space="preserve">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2F520A">
        <w:rPr>
          <w:rFonts w:ascii="Arial Narrow" w:hAnsi="Arial Narrow"/>
          <w:noProof/>
          <w:sz w:val="24"/>
          <w:szCs w:val="24"/>
        </w:rPr>
        <w:t>64</w:t>
      </w:r>
      <w:r w:rsidRPr="00484CC1">
        <w:rPr>
          <w:rFonts w:ascii="Arial Narrow" w:hAnsi="Arial Narrow"/>
          <w:sz w:val="24"/>
          <w:szCs w:val="24"/>
        </w:rPr>
        <w:fldChar w:fldCharType="end"/>
      </w:r>
      <w:r w:rsidRPr="00484CC1">
        <w:rPr>
          <w:rFonts w:ascii="Arial Narrow" w:hAnsi="Arial Narrow"/>
          <w:sz w:val="24"/>
          <w:szCs w:val="24"/>
        </w:rPr>
        <w:t xml:space="preserve"> </w:t>
      </w:r>
      <w:r w:rsidRPr="00211B03">
        <w:rPr>
          <w:rFonts w:ascii="Arial Narrow" w:eastAsia="Calibri" w:hAnsi="Arial Narrow"/>
          <w:sz w:val="24"/>
          <w:szCs w:val="24"/>
        </w:rPr>
        <w:t xml:space="preserve">Metas estratégicas de </w:t>
      </w:r>
      <w:r>
        <w:rPr>
          <w:rFonts w:ascii="Arial Narrow" w:eastAsia="Calibri" w:hAnsi="Arial Narrow"/>
          <w:sz w:val="24"/>
          <w:szCs w:val="24"/>
        </w:rPr>
        <w:t>Capacitación</w:t>
      </w:r>
      <w:r w:rsidRPr="00211B03">
        <w:rPr>
          <w:rFonts w:ascii="Arial Narrow" w:eastAsia="Calibri" w:hAnsi="Arial Narrow"/>
          <w:sz w:val="24"/>
          <w:szCs w:val="24"/>
        </w:rPr>
        <w:t>, y su cumplimiento para el 20</w:t>
      </w:r>
      <w:r>
        <w:rPr>
          <w:rFonts w:ascii="Arial Narrow" w:eastAsia="Calibri" w:hAnsi="Arial Narrow"/>
          <w:sz w:val="24"/>
          <w:szCs w:val="24"/>
        </w:rPr>
        <w:t xml:space="preserve">21. </w:t>
      </w:r>
    </w:p>
    <w:p w14:paraId="060703CF" w14:textId="24726F18" w:rsidR="002A1107" w:rsidRPr="00A82AB0" w:rsidRDefault="00EB6429" w:rsidP="00A82AB0">
      <w:pPr>
        <w:rPr>
          <w:rFonts w:eastAsia="Calibri"/>
        </w:rPr>
      </w:pPr>
      <w:r>
        <w:rPr>
          <w:noProof/>
        </w:rPr>
        <w:drawing>
          <wp:inline distT="0" distB="0" distL="0" distR="0" wp14:anchorId="2AD67BBC" wp14:editId="728E971A">
            <wp:extent cx="5734050" cy="2339340"/>
            <wp:effectExtent l="57150" t="57150" r="95250" b="99060"/>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r="192"/>
                    <a:stretch/>
                  </pic:blipFill>
                  <pic:spPr bwMode="auto">
                    <a:xfrm>
                      <a:off x="0" y="0"/>
                      <a:ext cx="5738766" cy="2341264"/>
                    </a:xfrm>
                    <a:prstGeom prst="rect">
                      <a:avLst/>
                    </a:prstGeom>
                    <a:ln w="127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B47E72B" w14:textId="77777777" w:rsidR="001223A8" w:rsidRDefault="001223A8" w:rsidP="00B54439">
      <w:pPr>
        <w:spacing w:line="360" w:lineRule="auto"/>
        <w:jc w:val="center"/>
        <w:rPr>
          <w:rFonts w:ascii="Arial Narrow" w:eastAsia="Calibri" w:hAnsi="Arial Narrow"/>
          <w:sz w:val="18"/>
          <w:szCs w:val="18"/>
          <w:lang w:eastAsia="en-US"/>
        </w:rPr>
      </w:pPr>
      <w:bookmarkStart w:id="79" w:name="_Hlk98921520"/>
      <w:r w:rsidRPr="004619C9">
        <w:rPr>
          <w:rFonts w:ascii="Arial Narrow" w:eastAsia="Calibri" w:hAnsi="Arial Narrow"/>
          <w:b/>
          <w:bCs/>
          <w:sz w:val="18"/>
          <w:szCs w:val="18"/>
          <w:lang w:eastAsia="en-US"/>
        </w:rPr>
        <w:t>Fuente:</w:t>
      </w:r>
      <w:r w:rsidRPr="000B4845">
        <w:rPr>
          <w:rFonts w:ascii="Arial Narrow" w:eastAsia="Calibri" w:hAnsi="Arial Narrow"/>
          <w:sz w:val="18"/>
          <w:szCs w:val="18"/>
          <w:lang w:eastAsia="en-US"/>
        </w:rPr>
        <w:t xml:space="preserve"> Sistema PEI al </w:t>
      </w:r>
      <w:r>
        <w:rPr>
          <w:rFonts w:ascii="Arial Narrow" w:eastAsia="Calibri" w:hAnsi="Arial Narrow"/>
          <w:sz w:val="18"/>
          <w:szCs w:val="18"/>
          <w:lang w:eastAsia="en-US"/>
        </w:rPr>
        <w:t>19</w:t>
      </w:r>
      <w:r w:rsidRPr="000B4845">
        <w:rPr>
          <w:rFonts w:ascii="Arial Narrow" w:eastAsia="Calibri" w:hAnsi="Arial Narrow"/>
          <w:sz w:val="18"/>
          <w:szCs w:val="18"/>
          <w:lang w:eastAsia="en-US"/>
        </w:rPr>
        <w:t xml:space="preserve"> de enero del </w:t>
      </w:r>
      <w:r>
        <w:rPr>
          <w:rFonts w:ascii="Arial Narrow" w:eastAsia="Calibri" w:hAnsi="Arial Narrow"/>
          <w:sz w:val="18"/>
          <w:szCs w:val="18"/>
          <w:lang w:eastAsia="en-US"/>
        </w:rPr>
        <w:t>2022 para el año 2021.</w:t>
      </w:r>
    </w:p>
    <w:bookmarkEnd w:id="79"/>
    <w:p w14:paraId="08EAF76F" w14:textId="07BDC909" w:rsidR="006358B6" w:rsidRPr="00345B2C" w:rsidRDefault="00302826" w:rsidP="00721B6C">
      <w:pPr>
        <w:jc w:val="both"/>
        <w:rPr>
          <w:rFonts w:ascii="Arial Narrow" w:eastAsia="Calibri" w:hAnsi="Arial Narrow"/>
        </w:rPr>
      </w:pPr>
      <w:r w:rsidRPr="00302826">
        <w:rPr>
          <w:rFonts w:ascii="Arial Narrow" w:eastAsia="Calibri" w:hAnsi="Arial Narrow"/>
        </w:rPr>
        <w:t>Para le meta</w:t>
      </w:r>
      <w:r w:rsidRPr="00302826">
        <w:rPr>
          <w:rFonts w:ascii="Arial Narrow" w:eastAsia="Calibri" w:hAnsi="Arial Narrow"/>
          <w:i/>
          <w:iCs/>
        </w:rPr>
        <w:t xml:space="preserve"> </w:t>
      </w:r>
      <w:r>
        <w:rPr>
          <w:rFonts w:ascii="Arial Narrow" w:eastAsia="Calibri" w:hAnsi="Arial Narrow"/>
          <w:i/>
          <w:iCs/>
        </w:rPr>
        <w:t>“</w:t>
      </w:r>
      <w:r w:rsidRPr="00302826">
        <w:rPr>
          <w:rFonts w:ascii="Arial Narrow" w:eastAsia="Calibri" w:hAnsi="Arial Narrow"/>
          <w:i/>
          <w:iCs/>
        </w:rPr>
        <w:t>Que al finalizar el 2024, se haya cumplido la estrategia de capacitación diseñada para el “Organismo de Investigación Judicial”,</w:t>
      </w:r>
      <w:r w:rsidRPr="00302826">
        <w:rPr>
          <w:rFonts w:ascii="Arial Narrow" w:eastAsia="Calibri" w:hAnsi="Arial Narrow"/>
        </w:rPr>
        <w:t xml:space="preserve"> la cual de acuerdo con la revisión efectuada se logró determinar que para el </w:t>
      </w:r>
      <w:r>
        <w:rPr>
          <w:rFonts w:ascii="Arial Narrow" w:eastAsia="Calibri" w:hAnsi="Arial Narrow"/>
        </w:rPr>
        <w:t>2021</w:t>
      </w:r>
      <w:r w:rsidRPr="00302826">
        <w:rPr>
          <w:rFonts w:ascii="Arial Narrow" w:eastAsia="Calibri" w:hAnsi="Arial Narrow"/>
        </w:rPr>
        <w:t xml:space="preserve"> registra un cumplimiento del 100% donde se destaca que la Unidad de Adiestramiento informa </w:t>
      </w:r>
      <w:r>
        <w:rPr>
          <w:rFonts w:ascii="Arial Narrow" w:eastAsia="Calibri" w:hAnsi="Arial Narrow"/>
        </w:rPr>
        <w:t xml:space="preserve">que se </w:t>
      </w:r>
      <w:r w:rsidR="00966DA8" w:rsidRPr="00966DA8">
        <w:rPr>
          <w:rFonts w:ascii="Arial Narrow" w:eastAsia="Calibri" w:hAnsi="Arial Narrow"/>
        </w:rPr>
        <w:t>implementó la ejecución de Programas Formación Básica dirigidos al personal de OIJ, esto tomando como base el diagnostico de necesidades realizad</w:t>
      </w:r>
      <w:r w:rsidR="00966DA8">
        <w:rPr>
          <w:rFonts w:ascii="Arial Narrow" w:eastAsia="Calibri" w:hAnsi="Arial Narrow"/>
        </w:rPr>
        <w:t>o</w:t>
      </w:r>
      <w:r>
        <w:rPr>
          <w:rFonts w:ascii="Arial Narrow" w:eastAsia="Calibri" w:hAnsi="Arial Narrow"/>
        </w:rPr>
        <w:t xml:space="preserve"> a inicios del año 2021. </w:t>
      </w:r>
      <w:r w:rsidR="00B32375">
        <w:rPr>
          <w:rFonts w:ascii="Arial Narrow" w:eastAsia="Calibri" w:hAnsi="Arial Narrow"/>
        </w:rPr>
        <w:t xml:space="preserve"> S</w:t>
      </w:r>
      <w:r w:rsidR="00B32375" w:rsidRPr="006358B6">
        <w:rPr>
          <w:rFonts w:ascii="Arial Narrow" w:hAnsi="Arial Narrow"/>
        </w:rPr>
        <w:t xml:space="preserve">obre esta meta se recibió oficio 008-INF/UAOIP-2022 </w:t>
      </w:r>
      <w:r w:rsidR="00B32375" w:rsidRPr="00B32375">
        <w:rPr>
          <w:rFonts w:ascii="Arial Narrow" w:hAnsi="Arial Narrow"/>
        </w:rPr>
        <w:t xml:space="preserve">del Organismo de </w:t>
      </w:r>
      <w:r w:rsidR="00B32375" w:rsidRPr="00B32375">
        <w:rPr>
          <w:rFonts w:ascii="Arial Narrow" w:eastAsia="Calibri" w:hAnsi="Arial Narrow"/>
          <w:lang w:val="es-CR"/>
        </w:rPr>
        <w:t xml:space="preserve">Investigación Judicial con fecha del 07 de febrero del 2022, suscrito por Walter Espinoza donde </w:t>
      </w:r>
      <w:r w:rsidR="00B32375" w:rsidRPr="00B32375">
        <w:rPr>
          <w:rFonts w:ascii="Arial Narrow" w:hAnsi="Arial Narrow"/>
        </w:rPr>
        <w:t xml:space="preserve">indica que </w:t>
      </w:r>
      <w:r w:rsidR="006358B6" w:rsidRPr="00B32375">
        <w:rPr>
          <w:rFonts w:ascii="Arial Narrow" w:eastAsia="Calibri" w:hAnsi="Arial Narrow"/>
        </w:rPr>
        <w:t xml:space="preserve">las </w:t>
      </w:r>
      <w:r w:rsidR="00B32375" w:rsidRPr="00B32375">
        <w:rPr>
          <w:rFonts w:ascii="Arial Narrow" w:eastAsia="Calibri" w:hAnsi="Arial Narrow"/>
        </w:rPr>
        <w:t>e</w:t>
      </w:r>
      <w:r w:rsidR="006358B6" w:rsidRPr="00B32375">
        <w:rPr>
          <w:rFonts w:ascii="Arial Narrow" w:eastAsia="Calibri" w:hAnsi="Arial Narrow"/>
        </w:rPr>
        <w:t xml:space="preserve">strategias de </w:t>
      </w:r>
      <w:r w:rsidR="00B32375" w:rsidRPr="00B32375">
        <w:rPr>
          <w:rFonts w:ascii="Arial Narrow" w:eastAsia="Calibri" w:hAnsi="Arial Narrow"/>
        </w:rPr>
        <w:t>c</w:t>
      </w:r>
      <w:r w:rsidR="006358B6" w:rsidRPr="00B32375">
        <w:rPr>
          <w:rFonts w:ascii="Arial Narrow" w:eastAsia="Calibri" w:hAnsi="Arial Narrow"/>
        </w:rPr>
        <w:t>apacitación NO son responsabilidad ni resorte del Organismo de Investigación Judicial, ya que esto recae sobre la Unidad de Capacitación del OIJ, misma que NO pertenece a la Policía Judicial, sino a la Escuela Judicial</w:t>
      </w:r>
      <w:r w:rsidR="00505979" w:rsidRPr="00641D9E">
        <w:rPr>
          <w:rFonts w:ascii="Arial Narrow" w:eastAsia="Calibri" w:hAnsi="Arial Narrow"/>
        </w:rPr>
        <w:t>.</w:t>
      </w:r>
      <w:r w:rsidR="006358B6" w:rsidRPr="00641D9E">
        <w:rPr>
          <w:rFonts w:ascii="Arial Narrow" w:eastAsia="Calibri" w:hAnsi="Arial Narrow"/>
        </w:rPr>
        <w:t xml:space="preserve"> </w:t>
      </w:r>
      <w:r w:rsidR="006358B6" w:rsidRPr="00345B2C">
        <w:rPr>
          <w:rFonts w:ascii="Arial Narrow" w:eastAsia="Calibri" w:hAnsi="Arial Narrow"/>
        </w:rPr>
        <w:t>incluyendo su presupuesto</w:t>
      </w:r>
      <w:r w:rsidR="000538A9">
        <w:rPr>
          <w:rFonts w:ascii="Arial Narrow" w:eastAsia="Calibri" w:hAnsi="Arial Narrow"/>
        </w:rPr>
        <w:t>.</w:t>
      </w:r>
    </w:p>
    <w:p w14:paraId="2BC0AF0D" w14:textId="77777777" w:rsidR="00941095" w:rsidRDefault="00941095" w:rsidP="00721B6C">
      <w:pPr>
        <w:jc w:val="both"/>
        <w:rPr>
          <w:rFonts w:ascii="Arial Narrow" w:eastAsia="Calibri" w:hAnsi="Arial Narrow"/>
        </w:rPr>
      </w:pPr>
    </w:p>
    <w:p w14:paraId="506B7CF7" w14:textId="5A837126" w:rsidR="00B32375" w:rsidRPr="006358B6" w:rsidRDefault="00B32375" w:rsidP="00B32375">
      <w:pPr>
        <w:jc w:val="both"/>
        <w:rPr>
          <w:rFonts w:ascii="Arial Narrow" w:hAnsi="Arial Narrow"/>
        </w:rPr>
      </w:pPr>
      <w:r w:rsidRPr="006358B6">
        <w:rPr>
          <w:rFonts w:ascii="Arial Narrow" w:hAnsi="Arial Narrow"/>
        </w:rPr>
        <w:t xml:space="preserve">Debido a lo </w:t>
      </w:r>
      <w:r>
        <w:rPr>
          <w:rFonts w:ascii="Arial Narrow" w:hAnsi="Arial Narrow"/>
        </w:rPr>
        <w:t xml:space="preserve">anterior, se le informa al </w:t>
      </w:r>
      <w:r w:rsidRPr="006358B6">
        <w:rPr>
          <w:rFonts w:ascii="Arial Narrow" w:hAnsi="Arial Narrow"/>
        </w:rPr>
        <w:t>Organismo de Investigación Judicial</w:t>
      </w:r>
      <w:r>
        <w:rPr>
          <w:rFonts w:ascii="Arial Narrow" w:hAnsi="Arial Narrow"/>
        </w:rPr>
        <w:t xml:space="preserve"> que esta observación se traslada al Subproceso de Planificación Estratégica de la Dirección de Planificación, para que realice el respectivo análisis, esto en concordancia con el acuerdo </w:t>
      </w:r>
      <w:r>
        <w:rPr>
          <w:rFonts w:ascii="Arial Narrow" w:eastAsia="Calibri" w:hAnsi="Arial Narrow"/>
          <w:lang w:val="es-CR"/>
        </w:rPr>
        <w:t xml:space="preserve">de la sesión de Consejo Superior 14-2022 del 17 de febrero del 2022, </w:t>
      </w:r>
      <w:r w:rsidRPr="006358B6">
        <w:rPr>
          <w:rFonts w:ascii="Arial Narrow" w:hAnsi="Arial Narrow"/>
        </w:rPr>
        <w:t xml:space="preserve">articulo XLVIII donde tienen </w:t>
      </w:r>
      <w:r>
        <w:rPr>
          <w:rFonts w:ascii="Arial Narrow" w:hAnsi="Arial Narrow"/>
        </w:rPr>
        <w:t>p</w:t>
      </w:r>
      <w:r w:rsidRPr="006358B6">
        <w:rPr>
          <w:rFonts w:ascii="Arial Narrow" w:hAnsi="Arial Narrow"/>
        </w:rPr>
        <w:t xml:space="preserve">or rendido el </w:t>
      </w:r>
      <w:r>
        <w:rPr>
          <w:rFonts w:ascii="Arial Narrow" w:hAnsi="Arial Narrow"/>
        </w:rPr>
        <w:t>i</w:t>
      </w:r>
      <w:r w:rsidRPr="006358B6">
        <w:rPr>
          <w:rFonts w:ascii="Arial Narrow" w:hAnsi="Arial Narrow"/>
        </w:rPr>
        <w:t xml:space="preserve">nforme 91-PLA-PE-2022 de la Dirección de Planificación, relacionado con “el Modelo de Gestión Estratégica que forma parte del Plan Estratégico Institucional 2019-2024 </w:t>
      </w:r>
      <w:r>
        <w:rPr>
          <w:rFonts w:ascii="Arial Narrow" w:hAnsi="Arial Narrow"/>
        </w:rPr>
        <w:t>que incluye</w:t>
      </w:r>
      <w:r w:rsidRPr="006358B6">
        <w:rPr>
          <w:rFonts w:ascii="Arial Narrow" w:hAnsi="Arial Narrow"/>
        </w:rPr>
        <w:t xml:space="preserve"> la propuesta para la gestión de los alineamientos estratégicos (procedimiento asociado al Subproceso de la Gestión de Solicitudes de Alineamiento Estratégico)</w:t>
      </w:r>
      <w:r>
        <w:rPr>
          <w:rFonts w:ascii="Arial Narrow" w:hAnsi="Arial Narrow"/>
        </w:rPr>
        <w:t>.</w:t>
      </w:r>
    </w:p>
    <w:p w14:paraId="6F466A46" w14:textId="74F6D1BF" w:rsidR="00302826" w:rsidRDefault="00302826" w:rsidP="00721B6C">
      <w:pPr>
        <w:jc w:val="both"/>
        <w:rPr>
          <w:rFonts w:ascii="Arial Narrow" w:eastAsia="Calibri" w:hAnsi="Arial Narrow"/>
        </w:rPr>
      </w:pPr>
    </w:p>
    <w:p w14:paraId="3BD994FB" w14:textId="2535401F" w:rsidR="004451EB" w:rsidRDefault="004451EB" w:rsidP="00721B6C">
      <w:pPr>
        <w:jc w:val="both"/>
        <w:rPr>
          <w:rFonts w:ascii="Arial Narrow" w:eastAsia="Calibri" w:hAnsi="Arial Narrow"/>
        </w:rPr>
      </w:pPr>
    </w:p>
    <w:p w14:paraId="06E99E10" w14:textId="708AC635" w:rsidR="004451EB" w:rsidRDefault="004451EB" w:rsidP="00721B6C">
      <w:pPr>
        <w:jc w:val="both"/>
        <w:rPr>
          <w:rFonts w:ascii="Arial Narrow" w:eastAsia="Calibri" w:hAnsi="Arial Narrow"/>
        </w:rPr>
      </w:pPr>
      <w:r>
        <w:rPr>
          <w:rFonts w:ascii="Arial Narrow" w:eastAsia="Calibri" w:hAnsi="Arial Narrow"/>
        </w:rPr>
        <w:t>A</w:t>
      </w:r>
      <w:r w:rsidR="009F1763">
        <w:rPr>
          <w:rFonts w:ascii="Arial Narrow" w:eastAsia="Calibri" w:hAnsi="Arial Narrow"/>
        </w:rPr>
        <w:t>unado a lo anterior</w:t>
      </w:r>
      <w:r>
        <w:rPr>
          <w:rFonts w:ascii="Arial Narrow" w:eastAsia="Calibri" w:hAnsi="Arial Narrow"/>
        </w:rPr>
        <w:t xml:space="preserve">, </w:t>
      </w:r>
      <w:r w:rsidR="009F1763">
        <w:rPr>
          <w:rFonts w:ascii="Arial Narrow" w:eastAsia="Calibri" w:hAnsi="Arial Narrow"/>
        </w:rPr>
        <w:t>la</w:t>
      </w:r>
      <w:r>
        <w:rPr>
          <w:rFonts w:ascii="Arial Narrow" w:eastAsia="Calibri" w:hAnsi="Arial Narrow"/>
        </w:rPr>
        <w:t xml:space="preserve"> Escuela Judicial</w:t>
      </w:r>
      <w:r w:rsidR="009F1763">
        <w:rPr>
          <w:rFonts w:ascii="Arial Narrow" w:eastAsia="Calibri" w:hAnsi="Arial Narrow"/>
        </w:rPr>
        <w:t xml:space="preserve"> comunica que mediante </w:t>
      </w:r>
      <w:r w:rsidR="009F1763" w:rsidRPr="009F1763">
        <w:rPr>
          <w:rFonts w:ascii="Arial Narrow" w:eastAsia="Calibri" w:hAnsi="Arial Narrow"/>
        </w:rPr>
        <w:t xml:space="preserve">oficio EJ-DIR-169-2021 </w:t>
      </w:r>
      <w:r w:rsidR="00D807B4">
        <w:rPr>
          <w:rFonts w:ascii="Arial Narrow" w:eastAsia="Calibri" w:hAnsi="Arial Narrow"/>
        </w:rPr>
        <w:t>realizó</w:t>
      </w:r>
      <w:r w:rsidR="009F1763" w:rsidRPr="009F1763">
        <w:rPr>
          <w:rFonts w:ascii="Arial Narrow" w:eastAsia="Calibri" w:hAnsi="Arial Narrow"/>
        </w:rPr>
        <w:t xml:space="preserve"> la aclaración que la meta estratégica en mención tiene como responsable estratégico a la Escuela Judicial y no al Organismo de Investigación Judicial y s</w:t>
      </w:r>
      <w:r w:rsidR="00D807B4">
        <w:rPr>
          <w:rFonts w:ascii="Arial Narrow" w:eastAsia="Calibri" w:hAnsi="Arial Narrow"/>
        </w:rPr>
        <w:t>olicit</w:t>
      </w:r>
      <w:r w:rsidR="000538A9">
        <w:rPr>
          <w:rFonts w:ascii="Arial Narrow" w:eastAsia="Calibri" w:hAnsi="Arial Narrow"/>
        </w:rPr>
        <w:t>aron</w:t>
      </w:r>
      <w:r w:rsidR="009F1763" w:rsidRPr="009F1763">
        <w:rPr>
          <w:rFonts w:ascii="Arial Narrow" w:eastAsia="Calibri" w:hAnsi="Arial Narrow"/>
        </w:rPr>
        <w:t xml:space="preserve"> al Subproceso de Planificación Estratégica se mantenga a la Escuela Judicial como responsable Estratégico al pertenecer la Unidad de Capacitación de OIJ por ley a la Escuela Judicial.</w:t>
      </w:r>
    </w:p>
    <w:p w14:paraId="15887865" w14:textId="2F7F719D" w:rsidR="009F1763" w:rsidRDefault="009F1763" w:rsidP="00721B6C">
      <w:pPr>
        <w:jc w:val="both"/>
        <w:rPr>
          <w:rFonts w:ascii="Arial Narrow" w:eastAsia="Calibri" w:hAnsi="Arial Narrow"/>
        </w:rPr>
      </w:pPr>
    </w:p>
    <w:p w14:paraId="47367358" w14:textId="77777777" w:rsidR="009F1763" w:rsidRDefault="009F1763" w:rsidP="00721B6C">
      <w:pPr>
        <w:jc w:val="both"/>
        <w:rPr>
          <w:rFonts w:ascii="Arial Narrow" w:eastAsia="Calibri" w:hAnsi="Arial Narrow"/>
        </w:rPr>
      </w:pPr>
    </w:p>
    <w:p w14:paraId="5C7D15C4" w14:textId="16D62382" w:rsidR="00302826" w:rsidRPr="00425385" w:rsidRDefault="00C26522" w:rsidP="00425385">
      <w:pPr>
        <w:jc w:val="both"/>
        <w:rPr>
          <w:rFonts w:ascii="Arial Narrow" w:eastAsia="Calibri" w:hAnsi="Arial Narrow"/>
        </w:rPr>
      </w:pPr>
      <w:r>
        <w:rPr>
          <w:rFonts w:ascii="Arial Narrow" w:hAnsi="Arial Narrow"/>
          <w:lang w:val="es-CR" w:eastAsia="es-CR"/>
        </w:rPr>
        <w:t>Por otra parte,l</w:t>
      </w:r>
      <w:r w:rsidR="002F3D43" w:rsidRPr="00425385">
        <w:rPr>
          <w:rFonts w:ascii="Arial Narrow" w:hAnsi="Arial Narrow"/>
          <w:lang w:val="es-CR" w:eastAsia="es-CR"/>
        </w:rPr>
        <w:t>a oficina de Atención a la Víctima de Delitos realizó</w:t>
      </w:r>
      <w:r w:rsidR="002F3D43" w:rsidRPr="002F3D43">
        <w:rPr>
          <w:rFonts w:ascii="Arial Narrow" w:hAnsi="Arial Narrow"/>
          <w:lang w:val="es-CR" w:eastAsia="es-CR"/>
        </w:rPr>
        <w:t xml:space="preserve"> en </w:t>
      </w:r>
      <w:r w:rsidR="002F3D43" w:rsidRPr="00425385">
        <w:rPr>
          <w:rFonts w:ascii="Arial Narrow" w:hAnsi="Arial Narrow"/>
          <w:lang w:val="es-CR" w:eastAsia="es-CR"/>
        </w:rPr>
        <w:t xml:space="preserve">el año </w:t>
      </w:r>
      <w:r w:rsidR="002F3D43" w:rsidRPr="002F3D43">
        <w:rPr>
          <w:rFonts w:ascii="Arial Narrow" w:hAnsi="Arial Narrow"/>
          <w:lang w:val="es-CR" w:eastAsia="es-CR"/>
        </w:rPr>
        <w:t xml:space="preserve">2021 varias reuniones con la Unidad de Capacitación </w:t>
      </w:r>
      <w:r w:rsidR="002F3D43" w:rsidRPr="00425385">
        <w:rPr>
          <w:rFonts w:ascii="Arial Narrow" w:hAnsi="Arial Narrow"/>
          <w:lang w:val="es-CR" w:eastAsia="es-CR"/>
        </w:rPr>
        <w:t xml:space="preserve">con </w:t>
      </w:r>
      <w:r w:rsidR="000214DF" w:rsidRPr="00425385">
        <w:rPr>
          <w:rFonts w:ascii="Arial Narrow" w:hAnsi="Arial Narrow"/>
          <w:lang w:val="es-CR" w:eastAsia="es-CR"/>
        </w:rPr>
        <w:t>el fin</w:t>
      </w:r>
      <w:r w:rsidR="002F3D43" w:rsidRPr="002F3D43">
        <w:rPr>
          <w:rFonts w:ascii="Arial Narrow" w:hAnsi="Arial Narrow"/>
          <w:lang w:val="es-CR" w:eastAsia="es-CR"/>
        </w:rPr>
        <w:t xml:space="preserve"> de revisar la propuesta de la estrategia de capacitación. La última reunión que se ejecutó el pasado 13 de diciembre</w:t>
      </w:r>
      <w:r w:rsidR="00B32375">
        <w:rPr>
          <w:rFonts w:ascii="Arial Narrow" w:hAnsi="Arial Narrow"/>
          <w:lang w:val="es-CR" w:eastAsia="es-CR"/>
        </w:rPr>
        <w:t xml:space="preserve"> del 2021</w:t>
      </w:r>
      <w:r w:rsidR="002F3D43" w:rsidRPr="002F3D43">
        <w:rPr>
          <w:rFonts w:ascii="Arial Narrow" w:hAnsi="Arial Narrow"/>
          <w:lang w:val="es-CR" w:eastAsia="es-CR"/>
        </w:rPr>
        <w:t xml:space="preserve"> permitió finiquitar la revisión del documento y remitirlo a la jefatura de la </w:t>
      </w:r>
      <w:r w:rsidR="002F3D43" w:rsidRPr="00132A44">
        <w:rPr>
          <w:rFonts w:ascii="Arial Narrow" w:hAnsi="Arial Narrow"/>
          <w:lang w:val="es-CR" w:eastAsia="es-CR"/>
        </w:rPr>
        <w:t>U</w:t>
      </w:r>
      <w:r w:rsidR="00F93EBE" w:rsidRPr="00132A44">
        <w:rPr>
          <w:rFonts w:ascii="Arial Narrow" w:hAnsi="Arial Narrow"/>
          <w:lang w:val="es-CR" w:eastAsia="es-CR"/>
        </w:rPr>
        <w:t xml:space="preserve">nidad de </w:t>
      </w:r>
      <w:r w:rsidR="002F3D43" w:rsidRPr="00132A44">
        <w:rPr>
          <w:rFonts w:ascii="Arial Narrow" w:hAnsi="Arial Narrow"/>
          <w:lang w:val="es-CR" w:eastAsia="es-CR"/>
        </w:rPr>
        <w:t>C</w:t>
      </w:r>
      <w:r w:rsidR="00F93EBE" w:rsidRPr="00132A44">
        <w:rPr>
          <w:rFonts w:ascii="Arial Narrow" w:hAnsi="Arial Narrow"/>
          <w:lang w:val="es-CR" w:eastAsia="es-CR"/>
        </w:rPr>
        <w:t xml:space="preserve">apacitación y </w:t>
      </w:r>
      <w:r w:rsidR="002F3D43" w:rsidRPr="00132A44">
        <w:rPr>
          <w:rFonts w:ascii="Arial Narrow" w:hAnsi="Arial Narrow"/>
          <w:lang w:val="es-CR" w:eastAsia="es-CR"/>
        </w:rPr>
        <w:t>S</w:t>
      </w:r>
      <w:r w:rsidR="00F93EBE" w:rsidRPr="00132A44">
        <w:rPr>
          <w:rFonts w:ascii="Arial Narrow" w:hAnsi="Arial Narrow"/>
          <w:lang w:val="es-CR" w:eastAsia="es-CR"/>
        </w:rPr>
        <w:t>upervisión</w:t>
      </w:r>
      <w:r w:rsidR="002F3D43" w:rsidRPr="00132A44">
        <w:rPr>
          <w:rFonts w:ascii="Arial Narrow" w:hAnsi="Arial Narrow"/>
          <w:lang w:val="es-CR" w:eastAsia="es-CR"/>
        </w:rPr>
        <w:t xml:space="preserve"> </w:t>
      </w:r>
      <w:r w:rsidR="002F3D43" w:rsidRPr="002F3D43">
        <w:rPr>
          <w:rFonts w:ascii="Arial Narrow" w:hAnsi="Arial Narrow"/>
          <w:lang w:val="es-CR" w:eastAsia="es-CR"/>
        </w:rPr>
        <w:t>para la</w:t>
      </w:r>
      <w:r w:rsidR="00425385" w:rsidRPr="00132A44">
        <w:rPr>
          <w:rFonts w:ascii="Arial Narrow" w:hAnsi="Arial Narrow"/>
          <w:lang w:val="es-CR" w:eastAsia="es-CR"/>
        </w:rPr>
        <w:t xml:space="preserve"> para la</w:t>
      </w:r>
      <w:r w:rsidR="00425385" w:rsidRPr="00425385">
        <w:rPr>
          <w:rFonts w:ascii="Arial Narrow" w:hAnsi="Arial Narrow"/>
        </w:rPr>
        <w:t xml:space="preserve"> aprobación final y además propuesta para la implementación ejecución de la estrategia.</w:t>
      </w:r>
    </w:p>
    <w:p w14:paraId="656456A0" w14:textId="77777777" w:rsidR="00302826" w:rsidRDefault="00302826" w:rsidP="00721B6C">
      <w:pPr>
        <w:jc w:val="both"/>
        <w:rPr>
          <w:rFonts w:ascii="Arial Narrow" w:eastAsia="Calibri" w:hAnsi="Arial Narrow"/>
        </w:rPr>
      </w:pPr>
    </w:p>
    <w:p w14:paraId="55DC2495" w14:textId="77777777" w:rsidR="00302826" w:rsidRDefault="0027073F" w:rsidP="00721B6C">
      <w:pPr>
        <w:jc w:val="both"/>
        <w:rPr>
          <w:rFonts w:ascii="Arial Narrow" w:hAnsi="Arial Narrow"/>
          <w:lang w:val="es-CR" w:eastAsia="es-CR"/>
        </w:rPr>
      </w:pPr>
      <w:r w:rsidRPr="0027073F">
        <w:rPr>
          <w:rFonts w:ascii="Arial Narrow" w:hAnsi="Arial Narrow"/>
          <w:lang w:val="es-CR" w:eastAsia="es-CR"/>
        </w:rPr>
        <w:t>El resultado de un 100% de cumplimiento de la meta estratégica “Que al finalizar el 2024, se haya incorporado el módulo de los Servicios de Atención y Protección a la Víctima, en los programas de capacitación de la Escuela Judicial” responde a la ejecución de 3 actividades de capacitación en actividades formativas relacionadas con los Servicios de Atención y Protección a la Victima, impartidas por la Escuela Judicial.</w:t>
      </w:r>
    </w:p>
    <w:p w14:paraId="3DF83EAD" w14:textId="441FF25F" w:rsidR="00FE2A60" w:rsidRDefault="00FE2A60" w:rsidP="00721B6C">
      <w:pPr>
        <w:jc w:val="both"/>
        <w:rPr>
          <w:rFonts w:ascii="Arial Narrow" w:hAnsi="Arial Narrow"/>
          <w:lang w:val="es-CR" w:eastAsia="es-CR"/>
        </w:rPr>
      </w:pPr>
    </w:p>
    <w:p w14:paraId="50498DFC" w14:textId="77777777" w:rsidR="00100134" w:rsidRDefault="00100134">
      <w:pPr>
        <w:rPr>
          <w:rFonts w:ascii="Arial Narrow" w:hAnsi="Arial Narrow"/>
          <w:b/>
          <w:bCs/>
        </w:rPr>
      </w:pPr>
      <w:r>
        <w:rPr>
          <w:rFonts w:ascii="Arial Narrow" w:hAnsi="Arial Narrow"/>
        </w:rPr>
        <w:br w:type="page"/>
      </w:r>
    </w:p>
    <w:p w14:paraId="704F49C5" w14:textId="6347B076" w:rsidR="00343A4D" w:rsidRDefault="00343A4D" w:rsidP="00343A4D">
      <w:pPr>
        <w:pStyle w:val="Descripcin"/>
        <w:jc w:val="center"/>
        <w:rPr>
          <w:rFonts w:ascii="Arial Narrow" w:eastAsia="Calibri" w:hAnsi="Arial Narrow"/>
          <w:sz w:val="24"/>
          <w:szCs w:val="24"/>
        </w:rPr>
      </w:pPr>
      <w:r w:rsidRPr="00484CC1">
        <w:rPr>
          <w:rFonts w:ascii="Arial Narrow" w:hAnsi="Arial Narrow"/>
          <w:sz w:val="24"/>
          <w:szCs w:val="24"/>
        </w:rPr>
        <w:t>Cuadro</w:t>
      </w:r>
      <w:r>
        <w:rPr>
          <w:rFonts w:ascii="Arial Narrow" w:hAnsi="Arial Narrow"/>
          <w:sz w:val="24"/>
          <w:szCs w:val="24"/>
        </w:rPr>
        <w:t xml:space="preserve">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2F520A">
        <w:rPr>
          <w:rFonts w:ascii="Arial Narrow" w:hAnsi="Arial Narrow"/>
          <w:noProof/>
          <w:sz w:val="24"/>
          <w:szCs w:val="24"/>
        </w:rPr>
        <w:t>65</w:t>
      </w:r>
      <w:r w:rsidRPr="00484CC1">
        <w:rPr>
          <w:rFonts w:ascii="Arial Narrow" w:hAnsi="Arial Narrow"/>
          <w:sz w:val="24"/>
          <w:szCs w:val="24"/>
        </w:rPr>
        <w:fldChar w:fldCharType="end"/>
      </w:r>
      <w:r w:rsidRPr="00484CC1">
        <w:rPr>
          <w:rFonts w:ascii="Arial Narrow" w:hAnsi="Arial Narrow"/>
          <w:sz w:val="24"/>
          <w:szCs w:val="24"/>
        </w:rPr>
        <w:t xml:space="preserve"> </w:t>
      </w:r>
      <w:r w:rsidRPr="00211B03">
        <w:rPr>
          <w:rFonts w:ascii="Arial Narrow" w:eastAsia="Calibri" w:hAnsi="Arial Narrow"/>
          <w:sz w:val="24"/>
          <w:szCs w:val="24"/>
        </w:rPr>
        <w:t xml:space="preserve">Metas estratégicas de </w:t>
      </w:r>
      <w:r>
        <w:rPr>
          <w:rFonts w:ascii="Arial Narrow" w:eastAsia="Calibri" w:hAnsi="Arial Narrow"/>
          <w:sz w:val="24"/>
          <w:szCs w:val="24"/>
        </w:rPr>
        <w:t>Capacitación</w:t>
      </w:r>
      <w:r w:rsidRPr="00211B03">
        <w:rPr>
          <w:rFonts w:ascii="Arial Narrow" w:eastAsia="Calibri" w:hAnsi="Arial Narrow"/>
          <w:sz w:val="24"/>
          <w:szCs w:val="24"/>
        </w:rPr>
        <w:t>, y su cumplimiento para el 20</w:t>
      </w:r>
      <w:r>
        <w:rPr>
          <w:rFonts w:ascii="Arial Narrow" w:eastAsia="Calibri" w:hAnsi="Arial Narrow"/>
          <w:sz w:val="24"/>
          <w:szCs w:val="24"/>
        </w:rPr>
        <w:t xml:space="preserve">21. </w:t>
      </w:r>
    </w:p>
    <w:p w14:paraId="1AF5982D" w14:textId="4B9E829D" w:rsidR="0027073F" w:rsidRPr="00581C62" w:rsidRDefault="00EB6429" w:rsidP="00581C62">
      <w:pPr>
        <w:rPr>
          <w:rFonts w:eastAsia="Calibri"/>
        </w:rPr>
      </w:pPr>
      <w:r>
        <w:rPr>
          <w:noProof/>
        </w:rPr>
        <w:drawing>
          <wp:inline distT="0" distB="0" distL="0" distR="0" wp14:anchorId="52F1D483" wp14:editId="22F6116E">
            <wp:extent cx="5974080" cy="2882900"/>
            <wp:effectExtent l="57150" t="57150" r="102870" b="88900"/>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t="1519"/>
                    <a:stretch/>
                  </pic:blipFill>
                  <pic:spPr bwMode="auto">
                    <a:xfrm>
                      <a:off x="0" y="0"/>
                      <a:ext cx="5974080" cy="2882900"/>
                    </a:xfrm>
                    <a:prstGeom prst="rect">
                      <a:avLst/>
                    </a:prstGeom>
                    <a:ln w="127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9881147" w14:textId="77777777" w:rsidR="00343A4D" w:rsidRDefault="00343A4D" w:rsidP="00B54439">
      <w:pPr>
        <w:spacing w:line="360" w:lineRule="auto"/>
        <w:jc w:val="center"/>
        <w:rPr>
          <w:rFonts w:ascii="Arial Narrow" w:eastAsia="Calibri" w:hAnsi="Arial Narrow"/>
          <w:sz w:val="18"/>
          <w:szCs w:val="18"/>
          <w:lang w:eastAsia="en-US"/>
        </w:rPr>
      </w:pPr>
      <w:r w:rsidRPr="004619C9">
        <w:rPr>
          <w:rFonts w:ascii="Arial Narrow" w:eastAsia="Calibri" w:hAnsi="Arial Narrow"/>
          <w:b/>
          <w:bCs/>
          <w:sz w:val="18"/>
          <w:szCs w:val="18"/>
          <w:lang w:eastAsia="en-US"/>
        </w:rPr>
        <w:t>Fuente:</w:t>
      </w:r>
      <w:r w:rsidRPr="000B4845">
        <w:rPr>
          <w:rFonts w:ascii="Arial Narrow" w:eastAsia="Calibri" w:hAnsi="Arial Narrow"/>
          <w:sz w:val="18"/>
          <w:szCs w:val="18"/>
          <w:lang w:eastAsia="en-US"/>
        </w:rPr>
        <w:t xml:space="preserve"> Sistema PEI al </w:t>
      </w:r>
      <w:r>
        <w:rPr>
          <w:rFonts w:ascii="Arial Narrow" w:eastAsia="Calibri" w:hAnsi="Arial Narrow"/>
          <w:sz w:val="18"/>
          <w:szCs w:val="18"/>
          <w:lang w:eastAsia="en-US"/>
        </w:rPr>
        <w:t>19</w:t>
      </w:r>
      <w:r w:rsidRPr="000B4845">
        <w:rPr>
          <w:rFonts w:ascii="Arial Narrow" w:eastAsia="Calibri" w:hAnsi="Arial Narrow"/>
          <w:sz w:val="18"/>
          <w:szCs w:val="18"/>
          <w:lang w:eastAsia="en-US"/>
        </w:rPr>
        <w:t xml:space="preserve"> de enero del </w:t>
      </w:r>
      <w:r>
        <w:rPr>
          <w:rFonts w:ascii="Arial Narrow" w:eastAsia="Calibri" w:hAnsi="Arial Narrow"/>
          <w:sz w:val="18"/>
          <w:szCs w:val="18"/>
          <w:lang w:eastAsia="en-US"/>
        </w:rPr>
        <w:t>2022 para el año 2021.</w:t>
      </w:r>
    </w:p>
    <w:p w14:paraId="58A56375" w14:textId="140BA192" w:rsidR="0027073F" w:rsidRDefault="0027073F" w:rsidP="006A6A39">
      <w:pPr>
        <w:jc w:val="both"/>
        <w:rPr>
          <w:rFonts w:ascii="Arial Narrow" w:hAnsi="Arial Narrow"/>
          <w:lang w:val="es-CR" w:eastAsia="es-CR"/>
        </w:rPr>
      </w:pPr>
    </w:p>
    <w:p w14:paraId="1D420A2D" w14:textId="77777777" w:rsidR="00343A4D" w:rsidRPr="006A6A39" w:rsidRDefault="00343A4D" w:rsidP="006A6A39">
      <w:pPr>
        <w:jc w:val="both"/>
        <w:rPr>
          <w:rFonts w:ascii="Arial Narrow" w:hAnsi="Arial Narrow"/>
          <w:lang w:val="es-CR" w:eastAsia="es-CR"/>
        </w:rPr>
      </w:pPr>
    </w:p>
    <w:p w14:paraId="4F8D50B9" w14:textId="6298AD15" w:rsidR="00C53494" w:rsidRPr="006A6A39" w:rsidRDefault="00C53494" w:rsidP="006A6A39">
      <w:pPr>
        <w:jc w:val="both"/>
        <w:rPr>
          <w:rFonts w:ascii="Arial Narrow" w:eastAsia="Calibri" w:hAnsi="Arial Narrow"/>
        </w:rPr>
      </w:pPr>
      <w:r w:rsidRPr="006A6A39">
        <w:rPr>
          <w:rFonts w:ascii="Arial Narrow" w:hAnsi="Arial Narrow"/>
          <w:lang w:val="es-CR" w:eastAsia="es-CR"/>
        </w:rPr>
        <w:t>D</w:t>
      </w:r>
      <w:r w:rsidRPr="006A6A39">
        <w:rPr>
          <w:rFonts w:ascii="Arial Narrow" w:eastAsia="Calibri" w:hAnsi="Arial Narrow"/>
        </w:rPr>
        <w:t xml:space="preserve">e acuerdo con la revisión efectuada se logró determinar que la Dirección General del Organismo de Investigación Judicial para el año 2021 </w:t>
      </w:r>
      <w:r w:rsidR="006A6A39" w:rsidRPr="006A6A39">
        <w:rPr>
          <w:rFonts w:ascii="Arial Narrow" w:eastAsia="Calibri" w:hAnsi="Arial Narrow"/>
        </w:rPr>
        <w:t>logra un cumplimento alto del 100%. Los</w:t>
      </w:r>
      <w:r w:rsidRPr="006A6A39">
        <w:rPr>
          <w:rFonts w:ascii="Arial Narrow" w:eastAsia="Calibri" w:hAnsi="Arial Narrow"/>
        </w:rPr>
        <w:t xml:space="preserve"> esfuerzos</w:t>
      </w:r>
      <w:r w:rsidR="006A6A39" w:rsidRPr="006A6A39">
        <w:rPr>
          <w:rFonts w:ascii="Arial Narrow" w:eastAsia="Calibri" w:hAnsi="Arial Narrow"/>
        </w:rPr>
        <w:t xml:space="preserve"> realizados</w:t>
      </w:r>
      <w:r w:rsidRPr="006A6A39">
        <w:rPr>
          <w:rFonts w:ascii="Arial Narrow" w:eastAsia="Calibri" w:hAnsi="Arial Narrow"/>
        </w:rPr>
        <w:t xml:space="preserve"> para el cumplimiento de la meta propuesta</w:t>
      </w:r>
      <w:r w:rsidR="006A6A39" w:rsidRPr="006A6A39">
        <w:rPr>
          <w:rFonts w:ascii="Arial Narrow" w:eastAsia="Calibri" w:hAnsi="Arial Narrow"/>
        </w:rPr>
        <w:t xml:space="preserve">, </w:t>
      </w:r>
      <w:r w:rsidRPr="006A6A39">
        <w:rPr>
          <w:rFonts w:ascii="Arial Narrow" w:eastAsia="Calibri" w:hAnsi="Arial Narrow"/>
        </w:rPr>
        <w:t xml:space="preserve">se muestra en el segundo Avance del proyecto denominado: "Logística y ejecución de Cooperación Internacional" </w:t>
      </w:r>
      <w:r w:rsidR="006A6A39" w:rsidRPr="006A6A39">
        <w:rPr>
          <w:rFonts w:ascii="Arial Narrow" w:eastAsia="Calibri" w:hAnsi="Arial Narrow"/>
        </w:rPr>
        <w:t>código 1167-OIJ-P11-ODERI.</w:t>
      </w:r>
    </w:p>
    <w:p w14:paraId="7909E39F" w14:textId="77777777" w:rsidR="002A0821" w:rsidRDefault="002A0821" w:rsidP="002A0821">
      <w:pPr>
        <w:jc w:val="both"/>
        <w:rPr>
          <w:rFonts w:ascii="Arial Narrow" w:eastAsia="Calibri" w:hAnsi="Arial Narrow"/>
        </w:rPr>
      </w:pPr>
    </w:p>
    <w:p w14:paraId="3DBD0CCA" w14:textId="4877A7B4" w:rsidR="00C53494" w:rsidRDefault="002A0821" w:rsidP="000864F6">
      <w:pPr>
        <w:jc w:val="both"/>
        <w:rPr>
          <w:rFonts w:ascii="Arial Narrow" w:hAnsi="Arial Narrow"/>
        </w:rPr>
      </w:pPr>
      <w:r w:rsidRPr="002A0821">
        <w:rPr>
          <w:rFonts w:ascii="Arial Narrow" w:eastAsia="Calibri" w:hAnsi="Arial Narrow"/>
        </w:rPr>
        <w:t xml:space="preserve">En cuanto a la Escuela Judicial se destaca que para el año 2021 ejecutaron diferentes actividades para cumplir con la meta estratégica </w:t>
      </w:r>
      <w:r>
        <w:rPr>
          <w:rFonts w:ascii="Arial Narrow" w:eastAsia="Calibri" w:hAnsi="Arial Narrow"/>
        </w:rPr>
        <w:t xml:space="preserve">entre ellas </w:t>
      </w:r>
      <w:r w:rsidRPr="002A0821">
        <w:rPr>
          <w:rFonts w:ascii="Arial Narrow" w:eastAsia="Calibri" w:hAnsi="Arial Narrow"/>
        </w:rPr>
        <w:t>los cursos: SAT132: Ley de promoción de la autonomía de las personas con discapacidad en sede judicial</w:t>
      </w:r>
      <w:r>
        <w:rPr>
          <w:rFonts w:ascii="Arial Narrow" w:eastAsia="Calibri" w:hAnsi="Arial Narrow"/>
        </w:rPr>
        <w:t xml:space="preserve"> y el curso </w:t>
      </w:r>
      <w:r w:rsidRPr="002A0821">
        <w:rPr>
          <w:rFonts w:ascii="Arial Narrow" w:eastAsia="Calibri" w:hAnsi="Arial Narrow"/>
        </w:rPr>
        <w:t>EJJ010. Formación Autónoma en Justicia Restaurativa</w:t>
      </w:r>
      <w:r>
        <w:rPr>
          <w:rFonts w:ascii="Arial Narrow" w:eastAsia="Calibri" w:hAnsi="Arial Narrow"/>
        </w:rPr>
        <w:t>.</w:t>
      </w:r>
      <w:r w:rsidR="00853672" w:rsidRPr="00853672">
        <w:rPr>
          <w:rFonts w:ascii="Arial Narrow" w:hAnsi="Arial Narrow"/>
        </w:rPr>
        <w:t xml:space="preserve"> </w:t>
      </w:r>
      <w:r w:rsidR="00853672">
        <w:rPr>
          <w:rFonts w:ascii="Arial Narrow" w:hAnsi="Arial Narrow"/>
        </w:rPr>
        <w:t>P</w:t>
      </w:r>
      <w:r w:rsidR="00853672" w:rsidRPr="001B00FB">
        <w:rPr>
          <w:rFonts w:ascii="Arial Narrow" w:eastAsiaTheme="minorHAnsi" w:hAnsi="Arial Narrow" w:cstheme="minorBidi"/>
          <w:lang w:val="es-CR" w:eastAsia="en-US"/>
        </w:rPr>
        <w:t xml:space="preserve">or lo </w:t>
      </w:r>
      <w:r w:rsidR="00853672">
        <w:rPr>
          <w:rFonts w:ascii="Arial Narrow" w:eastAsiaTheme="minorHAnsi" w:hAnsi="Arial Narrow" w:cstheme="minorBidi"/>
          <w:lang w:val="es-CR" w:eastAsia="en-US"/>
        </w:rPr>
        <w:t xml:space="preserve">anterior, </w:t>
      </w:r>
      <w:r w:rsidR="00853672" w:rsidRPr="001B00FB">
        <w:rPr>
          <w:rFonts w:ascii="Arial Narrow" w:eastAsiaTheme="minorHAnsi" w:hAnsi="Arial Narrow" w:cstheme="minorBidi"/>
          <w:lang w:val="es-CR" w:eastAsia="en-US"/>
        </w:rPr>
        <w:t>se da por cumplido con lo solicitado en la meta estratégica reflejando un cumplimiento del 100%</w:t>
      </w:r>
      <w:r w:rsidR="00853672">
        <w:rPr>
          <w:rFonts w:ascii="Arial Narrow" w:eastAsiaTheme="minorHAnsi" w:hAnsi="Arial Narrow" w:cstheme="minorBidi"/>
          <w:lang w:val="es-CR" w:eastAsia="en-US"/>
        </w:rPr>
        <w:t>.</w:t>
      </w:r>
    </w:p>
    <w:p w14:paraId="31697910" w14:textId="21BF815A" w:rsidR="000864F6" w:rsidRPr="00556BE0" w:rsidRDefault="000864F6" w:rsidP="00556BE0">
      <w:pPr>
        <w:jc w:val="both"/>
        <w:rPr>
          <w:rFonts w:ascii="Arial Narrow" w:hAnsi="Arial Narrow"/>
        </w:rPr>
      </w:pPr>
    </w:p>
    <w:p w14:paraId="43328477" w14:textId="35C706CC" w:rsidR="008A6A42" w:rsidRPr="00556BE0" w:rsidRDefault="000864F6" w:rsidP="00556BE0">
      <w:pPr>
        <w:jc w:val="both"/>
        <w:rPr>
          <w:rFonts w:ascii="Arial Narrow" w:hAnsi="Arial Narrow"/>
        </w:rPr>
      </w:pPr>
      <w:r w:rsidRPr="00556BE0">
        <w:rPr>
          <w:rFonts w:ascii="Arial Narrow" w:hAnsi="Arial Narrow"/>
        </w:rPr>
        <w:t>Finalmente, la Fiscalía General</w:t>
      </w:r>
      <w:r w:rsidR="008A6A42" w:rsidRPr="00556BE0">
        <w:rPr>
          <w:rFonts w:ascii="Arial Narrow" w:hAnsi="Arial Narrow"/>
        </w:rPr>
        <w:t xml:space="preserve">, </w:t>
      </w:r>
      <w:r w:rsidR="009711AD" w:rsidRPr="00556BE0">
        <w:rPr>
          <w:rFonts w:ascii="Arial Narrow" w:hAnsi="Arial Narrow"/>
        </w:rPr>
        <w:t>seleccionó e incluyó de forma integral los valores y ejes trasversales en los diseños de las actividades de capacitación en los siguientes cursos: “</w:t>
      </w:r>
      <w:r w:rsidR="0054620C" w:rsidRPr="00556BE0">
        <w:rPr>
          <w:rFonts w:ascii="Arial Narrow" w:hAnsi="Arial Narrow"/>
        </w:rPr>
        <w:t xml:space="preserve">Fundamentos de la Prueba </w:t>
      </w:r>
      <w:r w:rsidR="008A6A42" w:rsidRPr="00556BE0">
        <w:rPr>
          <w:rFonts w:ascii="Arial Narrow" w:hAnsi="Arial Narrow"/>
        </w:rPr>
        <w:t>Penal</w:t>
      </w:r>
      <w:r w:rsidR="00556BE0">
        <w:rPr>
          <w:rFonts w:ascii="Arial Narrow" w:hAnsi="Arial Narrow"/>
        </w:rPr>
        <w:t xml:space="preserve">” </w:t>
      </w:r>
      <w:r w:rsidR="00556BE0" w:rsidRPr="00556BE0">
        <w:rPr>
          <w:rFonts w:ascii="Arial Narrow" w:hAnsi="Arial Narrow"/>
        </w:rPr>
        <w:t>y</w:t>
      </w:r>
      <w:r w:rsidR="009711AD" w:rsidRPr="00556BE0">
        <w:rPr>
          <w:rFonts w:ascii="Arial Narrow" w:hAnsi="Arial Narrow"/>
        </w:rPr>
        <w:t xml:space="preserve"> “</w:t>
      </w:r>
      <w:r w:rsidR="008A6A42" w:rsidRPr="00556BE0">
        <w:rPr>
          <w:rFonts w:ascii="Arial Narrow" w:hAnsi="Arial Narrow"/>
        </w:rPr>
        <w:t>Aplicación práctica de la Teoría del Delito en el proceso penal</w:t>
      </w:r>
      <w:r w:rsidR="009711AD" w:rsidRPr="00556BE0">
        <w:rPr>
          <w:rFonts w:ascii="Arial Narrow" w:hAnsi="Arial Narrow"/>
        </w:rPr>
        <w:t xml:space="preserve">”. </w:t>
      </w:r>
    </w:p>
    <w:p w14:paraId="43B0576E" w14:textId="77777777" w:rsidR="009711AD" w:rsidRPr="008A6A42" w:rsidRDefault="009711AD" w:rsidP="008A6A42">
      <w:pPr>
        <w:jc w:val="both"/>
      </w:pPr>
    </w:p>
    <w:p w14:paraId="6A44FE00" w14:textId="77777777" w:rsidR="00F93EBE" w:rsidRDefault="00F93EBE" w:rsidP="00131EA6">
      <w:pPr>
        <w:jc w:val="both"/>
        <w:rPr>
          <w:rFonts w:ascii="Arial Narrow" w:hAnsi="Arial Narrow"/>
          <w:lang w:val="es-CR" w:eastAsia="es-CR"/>
        </w:rPr>
      </w:pPr>
    </w:p>
    <w:p w14:paraId="0BCA6CF0" w14:textId="77777777" w:rsidR="00100134" w:rsidRDefault="00100134">
      <w:pPr>
        <w:rPr>
          <w:rFonts w:ascii="Arial Narrow" w:hAnsi="Arial Narrow"/>
          <w:b/>
          <w:bCs/>
        </w:rPr>
      </w:pPr>
      <w:r>
        <w:rPr>
          <w:rFonts w:ascii="Arial Narrow" w:hAnsi="Arial Narrow"/>
        </w:rPr>
        <w:br w:type="page"/>
      </w:r>
    </w:p>
    <w:p w14:paraId="36A45955" w14:textId="30D8E4B3" w:rsidR="00343A4D" w:rsidRDefault="00343A4D" w:rsidP="00343A4D">
      <w:pPr>
        <w:pStyle w:val="Descripcin"/>
        <w:jc w:val="center"/>
        <w:rPr>
          <w:rFonts w:ascii="Arial Narrow" w:eastAsia="Calibri" w:hAnsi="Arial Narrow"/>
          <w:sz w:val="24"/>
          <w:szCs w:val="24"/>
        </w:rPr>
      </w:pPr>
      <w:r w:rsidRPr="00484CC1">
        <w:rPr>
          <w:rFonts w:ascii="Arial Narrow" w:hAnsi="Arial Narrow"/>
          <w:sz w:val="24"/>
          <w:szCs w:val="24"/>
        </w:rPr>
        <w:t>Cuadro</w:t>
      </w:r>
      <w:r>
        <w:rPr>
          <w:rFonts w:ascii="Arial Narrow" w:hAnsi="Arial Narrow"/>
          <w:sz w:val="24"/>
          <w:szCs w:val="24"/>
        </w:rPr>
        <w:t xml:space="preserve">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2F520A">
        <w:rPr>
          <w:rFonts w:ascii="Arial Narrow" w:hAnsi="Arial Narrow"/>
          <w:noProof/>
          <w:sz w:val="24"/>
          <w:szCs w:val="24"/>
        </w:rPr>
        <w:t>66</w:t>
      </w:r>
      <w:r w:rsidRPr="00484CC1">
        <w:rPr>
          <w:rFonts w:ascii="Arial Narrow" w:hAnsi="Arial Narrow"/>
          <w:sz w:val="24"/>
          <w:szCs w:val="24"/>
        </w:rPr>
        <w:fldChar w:fldCharType="end"/>
      </w:r>
      <w:r w:rsidRPr="00484CC1">
        <w:rPr>
          <w:rFonts w:ascii="Arial Narrow" w:hAnsi="Arial Narrow"/>
          <w:sz w:val="24"/>
          <w:szCs w:val="24"/>
        </w:rPr>
        <w:t xml:space="preserve"> </w:t>
      </w:r>
      <w:r w:rsidRPr="00211B03">
        <w:rPr>
          <w:rFonts w:ascii="Arial Narrow" w:eastAsia="Calibri" w:hAnsi="Arial Narrow"/>
          <w:sz w:val="24"/>
          <w:szCs w:val="24"/>
        </w:rPr>
        <w:t xml:space="preserve">Metas estratégicas de </w:t>
      </w:r>
      <w:r>
        <w:rPr>
          <w:rFonts w:ascii="Arial Narrow" w:eastAsia="Calibri" w:hAnsi="Arial Narrow"/>
          <w:sz w:val="24"/>
          <w:szCs w:val="24"/>
        </w:rPr>
        <w:t>Capacitación</w:t>
      </w:r>
      <w:r w:rsidRPr="00211B03">
        <w:rPr>
          <w:rFonts w:ascii="Arial Narrow" w:eastAsia="Calibri" w:hAnsi="Arial Narrow"/>
          <w:sz w:val="24"/>
          <w:szCs w:val="24"/>
        </w:rPr>
        <w:t>, y su cumplimiento para el 20</w:t>
      </w:r>
      <w:r>
        <w:rPr>
          <w:rFonts w:ascii="Arial Narrow" w:eastAsia="Calibri" w:hAnsi="Arial Narrow"/>
          <w:sz w:val="24"/>
          <w:szCs w:val="24"/>
        </w:rPr>
        <w:t xml:space="preserve">21. </w:t>
      </w:r>
    </w:p>
    <w:p w14:paraId="23E603AC" w14:textId="23023640" w:rsidR="00626B83" w:rsidRPr="00626B83" w:rsidRDefault="00EB6429" w:rsidP="00626B83">
      <w:pPr>
        <w:rPr>
          <w:rFonts w:eastAsia="Calibri"/>
        </w:rPr>
      </w:pPr>
      <w:r>
        <w:rPr>
          <w:noProof/>
        </w:rPr>
        <w:drawing>
          <wp:inline distT="0" distB="0" distL="0" distR="0" wp14:anchorId="092517E2" wp14:editId="0B01424E">
            <wp:extent cx="5956300" cy="2916555"/>
            <wp:effectExtent l="57150" t="57150" r="101600" b="93345"/>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r="298"/>
                    <a:stretch/>
                  </pic:blipFill>
                  <pic:spPr bwMode="auto">
                    <a:xfrm>
                      <a:off x="0" y="0"/>
                      <a:ext cx="5956300" cy="2916555"/>
                    </a:xfrm>
                    <a:prstGeom prst="rect">
                      <a:avLst/>
                    </a:prstGeom>
                    <a:ln w="127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B5248A9" w14:textId="4A27B620" w:rsidR="008A6A42" w:rsidRPr="000864F6" w:rsidRDefault="00626B83" w:rsidP="00B54439">
      <w:pPr>
        <w:pStyle w:val="Descripcin"/>
        <w:jc w:val="center"/>
        <w:rPr>
          <w:rFonts w:ascii="Arial Narrow" w:hAnsi="Arial Narrow"/>
        </w:rPr>
      </w:pPr>
      <w:r w:rsidRPr="004619C9">
        <w:rPr>
          <w:rFonts w:ascii="Arial Narrow" w:eastAsia="Calibri" w:hAnsi="Arial Narrow"/>
          <w:sz w:val="18"/>
          <w:szCs w:val="18"/>
          <w:lang w:eastAsia="en-US"/>
        </w:rPr>
        <w:t>Fuente:</w:t>
      </w:r>
      <w:r w:rsidRPr="000B4845">
        <w:rPr>
          <w:rFonts w:ascii="Arial Narrow" w:eastAsia="Calibri" w:hAnsi="Arial Narrow"/>
          <w:sz w:val="18"/>
          <w:szCs w:val="18"/>
          <w:lang w:eastAsia="en-US"/>
        </w:rPr>
        <w:t xml:space="preserve"> Sistema PEI al </w:t>
      </w:r>
      <w:r>
        <w:rPr>
          <w:rFonts w:ascii="Arial Narrow" w:eastAsia="Calibri" w:hAnsi="Arial Narrow"/>
          <w:sz w:val="18"/>
          <w:szCs w:val="18"/>
          <w:lang w:eastAsia="en-US"/>
        </w:rPr>
        <w:t>19</w:t>
      </w:r>
      <w:r w:rsidRPr="000B4845">
        <w:rPr>
          <w:rFonts w:ascii="Arial Narrow" w:eastAsia="Calibri" w:hAnsi="Arial Narrow"/>
          <w:sz w:val="18"/>
          <w:szCs w:val="18"/>
          <w:lang w:eastAsia="en-US"/>
        </w:rPr>
        <w:t xml:space="preserve"> de enero del </w:t>
      </w:r>
      <w:r>
        <w:rPr>
          <w:rFonts w:ascii="Arial Narrow" w:eastAsia="Calibri" w:hAnsi="Arial Narrow"/>
          <w:sz w:val="18"/>
          <w:szCs w:val="18"/>
          <w:lang w:eastAsia="en-US"/>
        </w:rPr>
        <w:t>2022 para el año 2021.</w:t>
      </w:r>
    </w:p>
    <w:p w14:paraId="5F92CC45" w14:textId="6A61874B" w:rsidR="000864F6" w:rsidRDefault="000864F6" w:rsidP="00721B6C">
      <w:pPr>
        <w:jc w:val="both"/>
        <w:rPr>
          <w:rFonts w:ascii="Arial Narrow" w:hAnsi="Arial Narrow"/>
          <w:lang w:val="es-CR" w:eastAsia="es-CR"/>
        </w:rPr>
      </w:pPr>
    </w:p>
    <w:p w14:paraId="3A90375E" w14:textId="49A8D2EF" w:rsidR="00131EA6" w:rsidRPr="00305398" w:rsidRDefault="00131EA6" w:rsidP="00305398">
      <w:pPr>
        <w:jc w:val="both"/>
        <w:rPr>
          <w:rFonts w:ascii="Arial Narrow" w:hAnsi="Arial Narrow"/>
          <w:lang w:val="es-CR" w:eastAsia="es-CR"/>
        </w:rPr>
      </w:pPr>
    </w:p>
    <w:p w14:paraId="6CB10718" w14:textId="301CDF69" w:rsidR="00131EA6" w:rsidRPr="00305398" w:rsidRDefault="00305398" w:rsidP="00305398">
      <w:pPr>
        <w:jc w:val="both"/>
        <w:rPr>
          <w:rFonts w:ascii="Arial Narrow" w:hAnsi="Arial Narrow"/>
        </w:rPr>
      </w:pPr>
      <w:r w:rsidRPr="00305398">
        <w:rPr>
          <w:rFonts w:ascii="Arial Narrow" w:eastAsia="Calibri" w:hAnsi="Arial Narrow"/>
        </w:rPr>
        <w:t>S</w:t>
      </w:r>
      <w:r w:rsidR="00556BE0" w:rsidRPr="00305398">
        <w:rPr>
          <w:rFonts w:ascii="Arial Narrow" w:eastAsia="Calibri" w:hAnsi="Arial Narrow"/>
        </w:rPr>
        <w:t xml:space="preserve">e </w:t>
      </w:r>
      <w:r w:rsidR="00295B79">
        <w:rPr>
          <w:rFonts w:ascii="Arial Narrow" w:eastAsia="Calibri" w:hAnsi="Arial Narrow"/>
        </w:rPr>
        <w:t>muestran</w:t>
      </w:r>
      <w:r w:rsidR="00556BE0" w:rsidRPr="00305398">
        <w:rPr>
          <w:rFonts w:ascii="Arial Narrow" w:eastAsia="Calibri" w:hAnsi="Arial Narrow"/>
        </w:rPr>
        <w:t xml:space="preserve"> los resultados obtenidos por parte de la Unidad de Capacitación de la Defensa Pública quienes indican que para el 2021 se realizaron actividades académicas ejecutadas, como </w:t>
      </w:r>
      <w:r w:rsidR="002C5AF4" w:rsidRPr="00305398">
        <w:rPr>
          <w:rFonts w:ascii="Arial Narrow" w:hAnsi="Arial Narrow"/>
        </w:rPr>
        <w:t>Democracia y Defensa Pública, correspondiente al Programa de Formación Inicial</w:t>
      </w:r>
      <w:r w:rsidR="00556BE0" w:rsidRPr="00305398">
        <w:rPr>
          <w:rFonts w:ascii="Arial Narrow" w:hAnsi="Arial Narrow"/>
        </w:rPr>
        <w:t xml:space="preserve"> y la segunda actividad llamada </w:t>
      </w:r>
      <w:r w:rsidR="002C5AF4" w:rsidRPr="00305398">
        <w:rPr>
          <w:rFonts w:ascii="Arial Narrow" w:hAnsi="Arial Narrow"/>
        </w:rPr>
        <w:t>Formación en ética y valores para la Defensa Pública, correspondiente al Programa de Actualización</w:t>
      </w:r>
      <w:r w:rsidR="00556BE0" w:rsidRPr="00305398">
        <w:rPr>
          <w:rFonts w:ascii="Arial Narrow" w:hAnsi="Arial Narrow"/>
        </w:rPr>
        <w:t xml:space="preserve"> </w:t>
      </w:r>
      <w:r w:rsidR="002C5AF4" w:rsidRPr="00305398">
        <w:rPr>
          <w:rFonts w:ascii="Arial Narrow" w:hAnsi="Arial Narrow"/>
        </w:rPr>
        <w:t>para personal administrativo</w:t>
      </w:r>
      <w:r w:rsidRPr="00305398">
        <w:rPr>
          <w:rFonts w:ascii="Arial Narrow" w:hAnsi="Arial Narrow"/>
        </w:rPr>
        <w:t xml:space="preserve">. </w:t>
      </w:r>
    </w:p>
    <w:p w14:paraId="0507F92E" w14:textId="77777777" w:rsidR="00305398" w:rsidRPr="00305398" w:rsidRDefault="00305398" w:rsidP="00721B6C">
      <w:pPr>
        <w:jc w:val="both"/>
        <w:rPr>
          <w:rFonts w:ascii="Arial Narrow" w:eastAsia="Calibri" w:hAnsi="Arial Narrow"/>
        </w:rPr>
      </w:pPr>
    </w:p>
    <w:p w14:paraId="15216EC2" w14:textId="281C57F9" w:rsidR="00CF6278" w:rsidRPr="00305398" w:rsidRDefault="00305398" w:rsidP="00721B6C">
      <w:pPr>
        <w:jc w:val="both"/>
        <w:rPr>
          <w:rFonts w:ascii="Arial Narrow" w:eastAsia="Calibri" w:hAnsi="Arial Narrow"/>
        </w:rPr>
      </w:pPr>
      <w:r w:rsidRPr="00305398">
        <w:rPr>
          <w:rFonts w:ascii="Arial Narrow" w:eastAsia="Calibri" w:hAnsi="Arial Narrow"/>
        </w:rPr>
        <w:t xml:space="preserve">Para el caso de Organismo de Investigación Judicial se tiene que </w:t>
      </w:r>
      <w:r w:rsidRPr="00CF6278">
        <w:rPr>
          <w:rFonts w:ascii="Arial Narrow" w:eastAsia="Calibri" w:hAnsi="Arial Narrow"/>
        </w:rPr>
        <w:t xml:space="preserve">han realizado dos cursos de armas y dos cursos de defensa personal policial en los que se integran los valores y ejes transversales. Se ejecutó además un curso del arma </w:t>
      </w:r>
      <w:r w:rsidRPr="00305398">
        <w:rPr>
          <w:rFonts w:ascii="Arial Narrow" w:eastAsia="Calibri" w:hAnsi="Arial Narrow"/>
        </w:rPr>
        <w:t>“</w:t>
      </w:r>
      <w:r w:rsidRPr="00CF6278">
        <w:rPr>
          <w:rFonts w:ascii="Arial Narrow" w:eastAsia="Calibri" w:hAnsi="Arial Narrow"/>
        </w:rPr>
        <w:t>Tavor</w:t>
      </w:r>
      <w:r w:rsidRPr="00305398">
        <w:rPr>
          <w:rFonts w:ascii="Arial Narrow" w:eastAsia="Calibri" w:hAnsi="Arial Narrow"/>
        </w:rPr>
        <w:t>”</w:t>
      </w:r>
      <w:r w:rsidRPr="00CF6278">
        <w:rPr>
          <w:rFonts w:ascii="Arial Narrow" w:eastAsia="Calibri" w:hAnsi="Arial Narrow"/>
        </w:rPr>
        <w:t xml:space="preserve"> en el que también se incluyen los valores y ejes transversales.</w:t>
      </w:r>
    </w:p>
    <w:p w14:paraId="782F79B9" w14:textId="77777777" w:rsidR="00B34F3A" w:rsidRDefault="00B34F3A" w:rsidP="00B34F3A">
      <w:pPr>
        <w:jc w:val="both"/>
        <w:rPr>
          <w:rFonts w:ascii="Arial Narrow" w:hAnsi="Arial Narrow"/>
          <w:lang w:val="es-CR" w:eastAsia="es-CR"/>
        </w:rPr>
      </w:pPr>
    </w:p>
    <w:p w14:paraId="3D670E23" w14:textId="4796B93D" w:rsidR="00B34F3A" w:rsidRPr="00B34F3A" w:rsidRDefault="00B34F3A" w:rsidP="00B34F3A">
      <w:pPr>
        <w:jc w:val="both"/>
        <w:rPr>
          <w:rFonts w:ascii="Arial Narrow" w:hAnsi="Arial Narrow"/>
        </w:rPr>
      </w:pPr>
      <w:r w:rsidRPr="00B34F3A">
        <w:rPr>
          <w:rFonts w:ascii="Arial Narrow" w:hAnsi="Arial Narrow"/>
          <w:lang w:val="es-CR" w:eastAsia="es-CR"/>
        </w:rPr>
        <w:t>La Dirección de Gestión Humana en atención a la estrategia curricular para el fortalecimiento de la competencia Ética y Transparencia diseñada en 2020, comunica por medio sistema PAO que para el año 2021 se avanzó en la coordinación de: Conversatorio "la ética, una brújula en el tiempo actual", Conversatorio "principales aspectos de la regulación para la prevención de los conflictos de interés en el Poder Judicial", Conversatorio "Régimen disciplinario, aspectos generales". Todas las actividades formativas realizadas por la Sección de Gestión de la Capacitación.</w:t>
      </w:r>
    </w:p>
    <w:p w14:paraId="25C4A313" w14:textId="77777777" w:rsidR="00F93EBE" w:rsidRDefault="00F93EBE" w:rsidP="00721B6C">
      <w:pPr>
        <w:jc w:val="both"/>
      </w:pPr>
    </w:p>
    <w:p w14:paraId="7F6F9A42" w14:textId="77777777" w:rsidR="00100134" w:rsidRDefault="00100134">
      <w:pPr>
        <w:rPr>
          <w:rFonts w:ascii="Arial Narrow" w:hAnsi="Arial Narrow"/>
          <w:b/>
          <w:bCs/>
        </w:rPr>
      </w:pPr>
      <w:r>
        <w:rPr>
          <w:rFonts w:ascii="Arial Narrow" w:hAnsi="Arial Narrow"/>
        </w:rPr>
        <w:br w:type="page"/>
      </w:r>
    </w:p>
    <w:p w14:paraId="0068C5CF" w14:textId="6FC1F8B8" w:rsidR="00626B83" w:rsidRDefault="00626B83" w:rsidP="00626B83">
      <w:pPr>
        <w:pStyle w:val="Descripcin"/>
        <w:jc w:val="center"/>
        <w:rPr>
          <w:rFonts w:ascii="Arial Narrow" w:eastAsia="Calibri" w:hAnsi="Arial Narrow"/>
          <w:sz w:val="24"/>
          <w:szCs w:val="24"/>
        </w:rPr>
      </w:pPr>
      <w:r w:rsidRPr="00484CC1">
        <w:rPr>
          <w:rFonts w:ascii="Arial Narrow" w:hAnsi="Arial Narrow"/>
          <w:sz w:val="24"/>
          <w:szCs w:val="24"/>
        </w:rPr>
        <w:t>Cuadro</w:t>
      </w:r>
      <w:r>
        <w:rPr>
          <w:rFonts w:ascii="Arial Narrow" w:hAnsi="Arial Narrow"/>
          <w:sz w:val="24"/>
          <w:szCs w:val="24"/>
        </w:rPr>
        <w:t xml:space="preserve">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2F520A">
        <w:rPr>
          <w:rFonts w:ascii="Arial Narrow" w:hAnsi="Arial Narrow"/>
          <w:noProof/>
          <w:sz w:val="24"/>
          <w:szCs w:val="24"/>
        </w:rPr>
        <w:t>67</w:t>
      </w:r>
      <w:r w:rsidRPr="00484CC1">
        <w:rPr>
          <w:rFonts w:ascii="Arial Narrow" w:hAnsi="Arial Narrow"/>
          <w:sz w:val="24"/>
          <w:szCs w:val="24"/>
        </w:rPr>
        <w:fldChar w:fldCharType="end"/>
      </w:r>
      <w:r w:rsidRPr="00484CC1">
        <w:rPr>
          <w:rFonts w:ascii="Arial Narrow" w:hAnsi="Arial Narrow"/>
          <w:sz w:val="24"/>
          <w:szCs w:val="24"/>
        </w:rPr>
        <w:t xml:space="preserve"> </w:t>
      </w:r>
      <w:r w:rsidRPr="00211B03">
        <w:rPr>
          <w:rFonts w:ascii="Arial Narrow" w:eastAsia="Calibri" w:hAnsi="Arial Narrow"/>
          <w:sz w:val="24"/>
          <w:szCs w:val="24"/>
        </w:rPr>
        <w:t xml:space="preserve">Metas estratégicas de </w:t>
      </w:r>
      <w:r>
        <w:rPr>
          <w:rFonts w:ascii="Arial Narrow" w:eastAsia="Calibri" w:hAnsi="Arial Narrow"/>
          <w:sz w:val="24"/>
          <w:szCs w:val="24"/>
        </w:rPr>
        <w:t>Capacitación</w:t>
      </w:r>
      <w:r w:rsidRPr="00211B03">
        <w:rPr>
          <w:rFonts w:ascii="Arial Narrow" w:eastAsia="Calibri" w:hAnsi="Arial Narrow"/>
          <w:sz w:val="24"/>
          <w:szCs w:val="24"/>
        </w:rPr>
        <w:t>, y su cumplimiento para el 20</w:t>
      </w:r>
      <w:r>
        <w:rPr>
          <w:rFonts w:ascii="Arial Narrow" w:eastAsia="Calibri" w:hAnsi="Arial Narrow"/>
          <w:sz w:val="24"/>
          <w:szCs w:val="24"/>
        </w:rPr>
        <w:t xml:space="preserve">21. </w:t>
      </w:r>
    </w:p>
    <w:p w14:paraId="0DC43723" w14:textId="2ED3762C" w:rsidR="00FB29C8" w:rsidRDefault="00EB6429" w:rsidP="00721B6C">
      <w:pPr>
        <w:jc w:val="both"/>
        <w:rPr>
          <w:rFonts w:ascii="Arial Narrow" w:hAnsi="Arial Narrow"/>
          <w:lang w:val="es-CR" w:eastAsia="es-CR"/>
        </w:rPr>
      </w:pPr>
      <w:r>
        <w:rPr>
          <w:noProof/>
        </w:rPr>
        <w:drawing>
          <wp:inline distT="0" distB="0" distL="0" distR="0" wp14:anchorId="01694F74" wp14:editId="5623332C">
            <wp:extent cx="5974080" cy="2938145"/>
            <wp:effectExtent l="57150" t="57150" r="102870" b="90805"/>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74080" cy="293814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AF5C717" w14:textId="77777777" w:rsidR="00626B83" w:rsidRPr="00132A44" w:rsidRDefault="00626B83" w:rsidP="00B54439">
      <w:pPr>
        <w:pStyle w:val="Descripcin"/>
        <w:jc w:val="center"/>
        <w:rPr>
          <w:rFonts w:ascii="Arial Narrow" w:hAnsi="Arial Narrow"/>
          <w:b w:val="0"/>
          <w:bCs w:val="0"/>
        </w:rPr>
      </w:pPr>
      <w:r w:rsidRPr="00132A44">
        <w:rPr>
          <w:rFonts w:ascii="Arial Narrow" w:eastAsia="Calibri" w:hAnsi="Arial Narrow"/>
          <w:b w:val="0"/>
          <w:bCs w:val="0"/>
          <w:sz w:val="18"/>
          <w:szCs w:val="18"/>
          <w:lang w:eastAsia="en-US"/>
        </w:rPr>
        <w:t>Fuente: Sistema PEI al 19 de enero del 2022 para el año 2021.</w:t>
      </w:r>
    </w:p>
    <w:p w14:paraId="5A675969" w14:textId="70FB10A4" w:rsidR="00751E60" w:rsidRPr="00886FDA" w:rsidRDefault="005565B3" w:rsidP="00886FDA">
      <w:pPr>
        <w:pStyle w:val="xmsonormal"/>
        <w:jc w:val="both"/>
        <w:rPr>
          <w:rFonts w:ascii="Arial Narrow" w:eastAsia="Calibri" w:hAnsi="Arial Narrow"/>
        </w:rPr>
      </w:pPr>
      <w:r w:rsidRPr="00886FDA">
        <w:rPr>
          <w:rFonts w:ascii="Arial Narrow" w:eastAsia="Calibri" w:hAnsi="Arial Narrow"/>
        </w:rPr>
        <w:t>Para la meta estratégica “Que al finalizar el 2024, se haya implementado una estrategia de regionalización de la capacitación que permita atender las necesidades regionales de personal judicial, de manera continua”, la Escuela Judicial manifiesta que para el 2021 avanzaron en la atención de las sedes regionales aplicando el Instrumento de Consulta Necesidades de Capacitación para aplicar en la metodología "virtual y telepresencial" que permite la incorporación y participación igualitaria de personas de todas las zonas regionales.</w:t>
      </w:r>
    </w:p>
    <w:p w14:paraId="4C91F5FF" w14:textId="30A5482F" w:rsidR="00217134" w:rsidRDefault="00751E60" w:rsidP="005565B3">
      <w:pPr>
        <w:pStyle w:val="xmsonormal"/>
        <w:jc w:val="both"/>
        <w:rPr>
          <w:rFonts w:ascii="Arial Narrow" w:eastAsia="Calibri" w:hAnsi="Arial Narrow"/>
        </w:rPr>
      </w:pPr>
      <w:r w:rsidRPr="00886FDA">
        <w:rPr>
          <w:rFonts w:ascii="Arial Narrow" w:eastAsia="Calibri" w:hAnsi="Arial Narrow"/>
        </w:rPr>
        <w:t xml:space="preserve">Por otra parte la Escuela Judicial para el 2021 indican se ejecutaron  las siguientes actividades </w:t>
      </w:r>
      <w:r w:rsidRPr="007748AB">
        <w:rPr>
          <w:rFonts w:ascii="Arial Narrow" w:eastAsia="Calibri" w:hAnsi="Arial Narrow"/>
        </w:rPr>
        <w:t>que permiten cierre de brechas competenciales</w:t>
      </w:r>
      <w:r w:rsidRPr="00886FDA">
        <w:rPr>
          <w:rFonts w:ascii="Arial Narrow" w:eastAsia="Calibri" w:hAnsi="Arial Narrow"/>
        </w:rPr>
        <w:t xml:space="preserve">: </w:t>
      </w:r>
      <w:r w:rsidRPr="007748AB">
        <w:rPr>
          <w:rFonts w:ascii="Arial Narrow" w:eastAsia="Calibri" w:hAnsi="Arial Narrow"/>
        </w:rPr>
        <w:t>EJRF002 Una nueva caja de herramientas: Código Procesal de Familia EJRF003 Tutela Judicial efectiva de la violencia social e intrafamiliar ELA001 Derecho Colectivo ELA003 Derecho Procesal ELA005 Derecho Laboral Público EJD001 Normativa procesal aplicable a todos los procesos y sus relaciones con derecho de fondo Ejecución por realizar de actividades que permiten cierre de brechas competenciales: EJD002 Procesos</w:t>
      </w:r>
      <w:r w:rsidRPr="00886FDA">
        <w:rPr>
          <w:rFonts w:ascii="Arial Narrow" w:eastAsia="Calibri" w:hAnsi="Arial Narrow"/>
        </w:rPr>
        <w:t>. Es por lo anterior y de acuerdo con la revisión efectuada por medio del sistema PAO se logró determinar que para el 2021 se tiene un cumplimiento alto del 100%.</w:t>
      </w:r>
    </w:p>
    <w:p w14:paraId="27AAB7E7" w14:textId="0948B184" w:rsidR="00626B83" w:rsidRDefault="00217134" w:rsidP="00A82AB0">
      <w:pPr>
        <w:jc w:val="both"/>
        <w:rPr>
          <w:rFonts w:ascii="Arial" w:eastAsiaTheme="minorHAnsi" w:hAnsi="Arial" w:cs="Arial"/>
          <w:i/>
          <w:iCs/>
          <w:lang w:val="es-ES" w:eastAsia="en-US"/>
        </w:rPr>
      </w:pPr>
      <w:r>
        <w:rPr>
          <w:rFonts w:ascii="Arial Narrow" w:eastAsia="Calibri" w:hAnsi="Arial Narrow"/>
          <w:lang w:eastAsia="es-CR"/>
        </w:rPr>
        <w:t>La Unidad de Capacitación del Ministerio Público manifiesta que para el 2021 s</w:t>
      </w:r>
      <w:r w:rsidRPr="002E0B96">
        <w:rPr>
          <w:rFonts w:ascii="Arial Narrow" w:eastAsia="Calibri" w:hAnsi="Arial Narrow"/>
          <w:lang w:eastAsia="es-CR"/>
        </w:rPr>
        <w:t>e ejecutaron las acciones seleccionadas, a saber:</w:t>
      </w:r>
      <w:r>
        <w:rPr>
          <w:rFonts w:ascii="Arial Narrow" w:eastAsia="Calibri" w:hAnsi="Arial Narrow"/>
          <w:lang w:eastAsia="es-CR"/>
        </w:rPr>
        <w:t xml:space="preserve"> </w:t>
      </w:r>
      <w:r w:rsidR="00EC2C69" w:rsidRPr="00EC2C69">
        <w:rPr>
          <w:rFonts w:ascii="Arial Narrow" w:eastAsia="Calibri" w:hAnsi="Arial Narrow"/>
          <w:lang w:eastAsia="es-CR"/>
        </w:rPr>
        <w:t>Elaboración de matriz de los Mapas Funcionales, Selecci</w:t>
      </w:r>
      <w:r w:rsidR="00EC2C69">
        <w:rPr>
          <w:rFonts w:ascii="Arial Narrow" w:eastAsia="Calibri" w:hAnsi="Arial Narrow"/>
          <w:lang w:eastAsia="es-CR"/>
        </w:rPr>
        <w:t>ón de las</w:t>
      </w:r>
      <w:r w:rsidR="00EC2C69" w:rsidRPr="00EC2C69">
        <w:rPr>
          <w:rFonts w:ascii="Arial Narrow" w:eastAsia="Calibri" w:hAnsi="Arial Narrow"/>
          <w:lang w:eastAsia="es-CR"/>
        </w:rPr>
        <w:t xml:space="preserve"> personas expertas que completarán la matriz del Mapa Funcional para cada puesto, Selecci</w:t>
      </w:r>
      <w:r w:rsidR="00EC2C69">
        <w:rPr>
          <w:rFonts w:ascii="Arial Narrow" w:eastAsia="Calibri" w:hAnsi="Arial Narrow"/>
          <w:lang w:eastAsia="es-CR"/>
        </w:rPr>
        <w:t>ón de p</w:t>
      </w:r>
      <w:r w:rsidR="00EC2C69" w:rsidRPr="00EC2C69">
        <w:rPr>
          <w:rFonts w:ascii="Arial Narrow" w:eastAsia="Calibri" w:hAnsi="Arial Narrow"/>
          <w:lang w:eastAsia="es-CR"/>
        </w:rPr>
        <w:t>uestos a los que se elaborará el Mapa Funcional</w:t>
      </w:r>
      <w:r w:rsidR="00EC2C69">
        <w:rPr>
          <w:rFonts w:ascii="Arial Narrow" w:eastAsia="Calibri" w:hAnsi="Arial Narrow"/>
          <w:lang w:eastAsia="es-CR"/>
        </w:rPr>
        <w:t xml:space="preserve"> (</w:t>
      </w:r>
      <w:r w:rsidR="00EC2C69" w:rsidRPr="00EC2C69">
        <w:rPr>
          <w:rFonts w:ascii="Arial Narrow" w:eastAsia="Calibri" w:hAnsi="Arial Narrow"/>
          <w:lang w:eastAsia="es-CR"/>
        </w:rPr>
        <w:t>Profesionales de la OAPVD).</w:t>
      </w:r>
      <w:r w:rsidR="00EC2C69">
        <w:rPr>
          <w:rFonts w:ascii="Arial" w:eastAsiaTheme="minorHAnsi" w:hAnsi="Arial" w:cs="Arial"/>
          <w:i/>
          <w:iCs/>
          <w:lang w:val="es-ES" w:eastAsia="en-US"/>
        </w:rPr>
        <w:t xml:space="preserve"> </w:t>
      </w:r>
    </w:p>
    <w:p w14:paraId="44CEB865" w14:textId="77777777" w:rsidR="00A82AB0" w:rsidRDefault="00A82AB0" w:rsidP="00A82AB0">
      <w:pPr>
        <w:jc w:val="both"/>
        <w:rPr>
          <w:rFonts w:ascii="Arial Narrow" w:eastAsia="Calibri" w:hAnsi="Arial Narrow"/>
          <w:lang w:eastAsia="es-CR"/>
        </w:rPr>
      </w:pPr>
    </w:p>
    <w:p w14:paraId="671116C2" w14:textId="77777777" w:rsidR="00626B83" w:rsidRDefault="00626B83" w:rsidP="00626B83">
      <w:pPr>
        <w:jc w:val="both"/>
        <w:rPr>
          <w:rFonts w:ascii="Arial Narrow" w:hAnsi="Arial Narrow"/>
          <w:lang w:val="es-CR" w:eastAsia="es-CR"/>
        </w:rPr>
      </w:pPr>
    </w:p>
    <w:p w14:paraId="3223EDBC" w14:textId="77777777" w:rsidR="00100134" w:rsidRDefault="00100134">
      <w:pPr>
        <w:rPr>
          <w:rFonts w:ascii="Arial Narrow" w:hAnsi="Arial Narrow"/>
          <w:b/>
          <w:bCs/>
        </w:rPr>
      </w:pPr>
      <w:r>
        <w:rPr>
          <w:rFonts w:ascii="Arial Narrow" w:hAnsi="Arial Narrow"/>
        </w:rPr>
        <w:br w:type="page"/>
      </w:r>
    </w:p>
    <w:p w14:paraId="52A1ACED" w14:textId="777DDA12" w:rsidR="00626B83" w:rsidRDefault="00626B83" w:rsidP="00626B83">
      <w:pPr>
        <w:pStyle w:val="Descripcin"/>
        <w:jc w:val="center"/>
        <w:rPr>
          <w:rFonts w:ascii="Arial Narrow" w:eastAsia="Calibri" w:hAnsi="Arial Narrow"/>
          <w:sz w:val="24"/>
          <w:szCs w:val="24"/>
        </w:rPr>
      </w:pPr>
      <w:r w:rsidRPr="00484CC1">
        <w:rPr>
          <w:rFonts w:ascii="Arial Narrow" w:hAnsi="Arial Narrow"/>
          <w:sz w:val="24"/>
          <w:szCs w:val="24"/>
        </w:rPr>
        <w:t>Cuadro</w:t>
      </w:r>
      <w:r>
        <w:rPr>
          <w:rFonts w:ascii="Arial Narrow" w:hAnsi="Arial Narrow"/>
          <w:sz w:val="24"/>
          <w:szCs w:val="24"/>
        </w:rPr>
        <w:t xml:space="preserve">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2F520A">
        <w:rPr>
          <w:rFonts w:ascii="Arial Narrow" w:hAnsi="Arial Narrow"/>
          <w:noProof/>
          <w:sz w:val="24"/>
          <w:szCs w:val="24"/>
        </w:rPr>
        <w:t>68</w:t>
      </w:r>
      <w:r w:rsidRPr="00484CC1">
        <w:rPr>
          <w:rFonts w:ascii="Arial Narrow" w:hAnsi="Arial Narrow"/>
          <w:sz w:val="24"/>
          <w:szCs w:val="24"/>
        </w:rPr>
        <w:fldChar w:fldCharType="end"/>
      </w:r>
      <w:r w:rsidRPr="00484CC1">
        <w:rPr>
          <w:rFonts w:ascii="Arial Narrow" w:hAnsi="Arial Narrow"/>
          <w:sz w:val="24"/>
          <w:szCs w:val="24"/>
        </w:rPr>
        <w:t xml:space="preserve"> </w:t>
      </w:r>
      <w:r w:rsidRPr="00211B03">
        <w:rPr>
          <w:rFonts w:ascii="Arial Narrow" w:eastAsia="Calibri" w:hAnsi="Arial Narrow"/>
          <w:sz w:val="24"/>
          <w:szCs w:val="24"/>
        </w:rPr>
        <w:t xml:space="preserve">Metas estratégicas de </w:t>
      </w:r>
      <w:r>
        <w:rPr>
          <w:rFonts w:ascii="Arial Narrow" w:eastAsia="Calibri" w:hAnsi="Arial Narrow"/>
          <w:sz w:val="24"/>
          <w:szCs w:val="24"/>
        </w:rPr>
        <w:t>Capacitación</w:t>
      </w:r>
      <w:r w:rsidRPr="00211B03">
        <w:rPr>
          <w:rFonts w:ascii="Arial Narrow" w:eastAsia="Calibri" w:hAnsi="Arial Narrow"/>
          <w:sz w:val="24"/>
          <w:szCs w:val="24"/>
        </w:rPr>
        <w:t>, y su cumplimiento para el 20</w:t>
      </w:r>
      <w:r>
        <w:rPr>
          <w:rFonts w:ascii="Arial Narrow" w:eastAsia="Calibri" w:hAnsi="Arial Narrow"/>
          <w:sz w:val="24"/>
          <w:szCs w:val="24"/>
        </w:rPr>
        <w:t xml:space="preserve">21. </w:t>
      </w:r>
    </w:p>
    <w:p w14:paraId="0F34488F" w14:textId="4BF7264A" w:rsidR="00626B83" w:rsidRPr="001D7B35" w:rsidRDefault="001D7B35" w:rsidP="00B54439">
      <w:pPr>
        <w:jc w:val="center"/>
        <w:rPr>
          <w:rFonts w:eastAsia="Calibri"/>
        </w:rPr>
      </w:pPr>
      <w:r>
        <w:rPr>
          <w:noProof/>
        </w:rPr>
        <w:drawing>
          <wp:inline distT="0" distB="0" distL="0" distR="0" wp14:anchorId="671477AC" wp14:editId="36B982D6">
            <wp:extent cx="5967730" cy="2908300"/>
            <wp:effectExtent l="57150" t="57150" r="90170" b="101600"/>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l="106"/>
                    <a:stretch/>
                  </pic:blipFill>
                  <pic:spPr bwMode="auto">
                    <a:xfrm>
                      <a:off x="0" y="0"/>
                      <a:ext cx="5967730" cy="2908300"/>
                    </a:xfrm>
                    <a:prstGeom prst="rect">
                      <a:avLst/>
                    </a:prstGeom>
                    <a:ln w="127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bookmarkStart w:id="80" w:name="_Hlk98925539"/>
      <w:r w:rsidR="00626B83" w:rsidRPr="004619C9">
        <w:rPr>
          <w:rFonts w:ascii="Arial Narrow" w:eastAsia="Calibri" w:hAnsi="Arial Narrow"/>
          <w:sz w:val="18"/>
          <w:szCs w:val="18"/>
          <w:lang w:eastAsia="en-US"/>
        </w:rPr>
        <w:t>Fuente:</w:t>
      </w:r>
      <w:r w:rsidR="00626B83" w:rsidRPr="000B4845">
        <w:rPr>
          <w:rFonts w:ascii="Arial Narrow" w:eastAsia="Calibri" w:hAnsi="Arial Narrow"/>
          <w:sz w:val="18"/>
          <w:szCs w:val="18"/>
          <w:lang w:eastAsia="en-US"/>
        </w:rPr>
        <w:t xml:space="preserve"> Sistema PEI al </w:t>
      </w:r>
      <w:r w:rsidR="00626B83">
        <w:rPr>
          <w:rFonts w:ascii="Arial Narrow" w:eastAsia="Calibri" w:hAnsi="Arial Narrow"/>
          <w:sz w:val="18"/>
          <w:szCs w:val="18"/>
          <w:lang w:eastAsia="en-US"/>
        </w:rPr>
        <w:t>19</w:t>
      </w:r>
      <w:r w:rsidR="00626B83" w:rsidRPr="000B4845">
        <w:rPr>
          <w:rFonts w:ascii="Arial Narrow" w:eastAsia="Calibri" w:hAnsi="Arial Narrow"/>
          <w:sz w:val="18"/>
          <w:szCs w:val="18"/>
          <w:lang w:eastAsia="en-US"/>
        </w:rPr>
        <w:t xml:space="preserve"> de enero del </w:t>
      </w:r>
      <w:r w:rsidR="00626B83">
        <w:rPr>
          <w:rFonts w:ascii="Arial Narrow" w:eastAsia="Calibri" w:hAnsi="Arial Narrow"/>
          <w:sz w:val="18"/>
          <w:szCs w:val="18"/>
          <w:lang w:eastAsia="en-US"/>
        </w:rPr>
        <w:t>2022 para el año 2021.</w:t>
      </w:r>
    </w:p>
    <w:bookmarkEnd w:id="80"/>
    <w:p w14:paraId="4656F0B9" w14:textId="0FDFEC11" w:rsidR="00E07443" w:rsidRDefault="00E07443" w:rsidP="00721B6C">
      <w:pPr>
        <w:jc w:val="both"/>
        <w:rPr>
          <w:rFonts w:ascii="Arial Narrow" w:eastAsia="Calibri" w:hAnsi="Arial Narrow"/>
        </w:rPr>
      </w:pPr>
    </w:p>
    <w:p w14:paraId="1C7008B1" w14:textId="77777777" w:rsidR="00626B83" w:rsidRDefault="00626B83" w:rsidP="00721B6C">
      <w:pPr>
        <w:jc w:val="both"/>
        <w:rPr>
          <w:rFonts w:ascii="Arial Narrow" w:eastAsia="Calibri" w:hAnsi="Arial Narrow"/>
        </w:rPr>
      </w:pPr>
    </w:p>
    <w:p w14:paraId="00999D2A" w14:textId="60BB5717" w:rsidR="00FB29C8" w:rsidRDefault="00E07443" w:rsidP="00721B6C">
      <w:pPr>
        <w:jc w:val="both"/>
        <w:rPr>
          <w:rFonts w:ascii="Arial Narrow" w:eastAsia="Calibri" w:hAnsi="Arial Narrow"/>
        </w:rPr>
      </w:pPr>
      <w:r>
        <w:rPr>
          <w:rFonts w:ascii="Arial Narrow" w:eastAsia="Calibri" w:hAnsi="Arial Narrow"/>
        </w:rPr>
        <w:t>D</w:t>
      </w:r>
      <w:r w:rsidRPr="00484CC1">
        <w:rPr>
          <w:rFonts w:ascii="Arial Narrow" w:eastAsia="Calibri" w:hAnsi="Arial Narrow"/>
        </w:rPr>
        <w:t xml:space="preserve">e acuerdo con la revisión efectuada se logró determinar </w:t>
      </w:r>
      <w:r>
        <w:rPr>
          <w:rFonts w:ascii="Arial Narrow" w:eastAsia="Calibri" w:hAnsi="Arial Narrow"/>
        </w:rPr>
        <w:t xml:space="preserve">que la Defensa Pública para el año 2021 tiene un cumplimiento alto del 100%, donde se destaca lo consignado por la oficina con respecto a los resultados, en el </w:t>
      </w:r>
      <w:r w:rsidR="000E75E2">
        <w:rPr>
          <w:rFonts w:ascii="Arial Narrow" w:eastAsia="Calibri" w:hAnsi="Arial Narrow"/>
        </w:rPr>
        <w:t>año analizado</w:t>
      </w:r>
      <w:r>
        <w:rPr>
          <w:rFonts w:ascii="Arial Narrow" w:eastAsia="Calibri" w:hAnsi="Arial Narrow"/>
        </w:rPr>
        <w:t xml:space="preserve"> </w:t>
      </w:r>
      <w:r w:rsidRPr="002E0B96">
        <w:rPr>
          <w:rFonts w:ascii="Arial Narrow" w:eastAsia="Calibri" w:hAnsi="Arial Narrow"/>
        </w:rPr>
        <w:t xml:space="preserve">se </w:t>
      </w:r>
      <w:r w:rsidR="000E75E2">
        <w:rPr>
          <w:rFonts w:ascii="Arial Narrow" w:eastAsia="Calibri" w:hAnsi="Arial Narrow"/>
        </w:rPr>
        <w:t>realizaron</w:t>
      </w:r>
      <w:r w:rsidRPr="000E75E2">
        <w:rPr>
          <w:rFonts w:ascii="Arial Narrow" w:eastAsia="Calibri" w:hAnsi="Arial Narrow"/>
        </w:rPr>
        <w:t xml:space="preserve"> 3 actividades académicas consecuentes con el mapa funcional de materia laboral.</w:t>
      </w:r>
    </w:p>
    <w:p w14:paraId="0E09071E" w14:textId="0B62C3BF" w:rsidR="000E75E2" w:rsidRDefault="000E75E2" w:rsidP="00721B6C">
      <w:pPr>
        <w:jc w:val="both"/>
        <w:rPr>
          <w:rFonts w:ascii="Arial Narrow" w:eastAsia="Calibri" w:hAnsi="Arial Narrow"/>
        </w:rPr>
      </w:pPr>
    </w:p>
    <w:p w14:paraId="61848FB5" w14:textId="727C4395" w:rsidR="000E75E2" w:rsidRDefault="00481778" w:rsidP="00721B6C">
      <w:pPr>
        <w:jc w:val="both"/>
        <w:rPr>
          <w:rFonts w:ascii="Arial Narrow" w:eastAsia="Calibri" w:hAnsi="Arial Narrow"/>
        </w:rPr>
      </w:pPr>
      <w:r>
        <w:rPr>
          <w:rFonts w:ascii="Arial Narrow" w:eastAsia="Calibri" w:hAnsi="Arial Narrow"/>
        </w:rPr>
        <w:t>Por otra parte</w:t>
      </w:r>
      <w:r w:rsidR="00727311">
        <w:rPr>
          <w:rFonts w:ascii="Arial Narrow" w:eastAsia="Calibri" w:hAnsi="Arial Narrow"/>
        </w:rPr>
        <w:t>,</w:t>
      </w:r>
      <w:r>
        <w:rPr>
          <w:rFonts w:ascii="Arial Narrow" w:eastAsia="Calibri" w:hAnsi="Arial Narrow"/>
        </w:rPr>
        <w:t xml:space="preserve"> se destaca que </w:t>
      </w:r>
      <w:r w:rsidR="00727311">
        <w:rPr>
          <w:rFonts w:ascii="Arial Narrow" w:eastAsia="Calibri" w:hAnsi="Arial Narrow"/>
        </w:rPr>
        <w:t xml:space="preserve">el Organismo de Investigación Judicial por medio de la </w:t>
      </w:r>
      <w:r>
        <w:rPr>
          <w:rFonts w:ascii="Arial Narrow" w:eastAsia="Calibri" w:hAnsi="Arial Narrow"/>
        </w:rPr>
        <w:t>Unidad de Adiestramiento manifiesta que para el 2021 se trabajaron en</w:t>
      </w:r>
      <w:r w:rsidRPr="007A4EFB">
        <w:rPr>
          <w:rFonts w:ascii="Arial Narrow" w:eastAsia="Calibri" w:hAnsi="Arial Narrow"/>
        </w:rPr>
        <w:t xml:space="preserve"> </w:t>
      </w:r>
      <w:r>
        <w:rPr>
          <w:rFonts w:ascii="Arial Narrow" w:eastAsia="Calibri" w:hAnsi="Arial Narrow"/>
        </w:rPr>
        <w:t xml:space="preserve">la </w:t>
      </w:r>
      <w:r w:rsidR="00727311">
        <w:rPr>
          <w:rFonts w:ascii="Arial Narrow" w:eastAsia="Calibri" w:hAnsi="Arial Narrow"/>
        </w:rPr>
        <w:t xml:space="preserve">confección de </w:t>
      </w:r>
      <w:r w:rsidR="00727311" w:rsidRPr="00727311">
        <w:rPr>
          <w:rFonts w:ascii="Arial Narrow" w:eastAsia="Calibri" w:hAnsi="Arial Narrow"/>
        </w:rPr>
        <w:t>los</w:t>
      </w:r>
      <w:r w:rsidR="000E75E2" w:rsidRPr="00727311">
        <w:rPr>
          <w:rFonts w:ascii="Arial Narrow" w:eastAsia="Calibri" w:hAnsi="Arial Narrow"/>
        </w:rPr>
        <w:t xml:space="preserve"> mapas funcionales de las actividades académicas de Escudo Balístico y de Vigilancia y Seguimiento.</w:t>
      </w:r>
    </w:p>
    <w:p w14:paraId="717BF6F4" w14:textId="77777777" w:rsidR="00114713" w:rsidRDefault="00114713" w:rsidP="00721B6C">
      <w:pPr>
        <w:jc w:val="both"/>
        <w:rPr>
          <w:rFonts w:ascii="Arial Narrow" w:eastAsia="Calibri" w:hAnsi="Arial Narrow"/>
        </w:rPr>
      </w:pPr>
    </w:p>
    <w:p w14:paraId="71479BF8" w14:textId="67B0FB16" w:rsidR="00727311" w:rsidRDefault="00C02DE1" w:rsidP="005E4935">
      <w:pPr>
        <w:jc w:val="both"/>
        <w:rPr>
          <w:rFonts w:ascii="Arial Narrow" w:eastAsia="Calibri" w:hAnsi="Arial Narrow"/>
        </w:rPr>
      </w:pPr>
      <w:r w:rsidRPr="005E4935">
        <w:rPr>
          <w:rFonts w:ascii="Arial Narrow" w:eastAsia="Calibri" w:hAnsi="Arial Narrow"/>
        </w:rPr>
        <w:t xml:space="preserve">Finalmente, se tienen que la Escuela Judicial </w:t>
      </w:r>
      <w:r w:rsidR="00114713" w:rsidRPr="005E4935">
        <w:rPr>
          <w:rFonts w:ascii="Arial Narrow" w:eastAsia="Calibri" w:hAnsi="Arial Narrow"/>
        </w:rPr>
        <w:t xml:space="preserve">aplicó </w:t>
      </w:r>
      <w:r w:rsidR="00FC7A0C" w:rsidRPr="005E4935">
        <w:rPr>
          <w:rFonts w:ascii="Arial Narrow" w:eastAsia="Calibri" w:hAnsi="Arial Narrow"/>
        </w:rPr>
        <w:t>un</w:t>
      </w:r>
      <w:r w:rsidR="00114713" w:rsidRPr="005E4935">
        <w:rPr>
          <w:rFonts w:ascii="Arial Narrow" w:eastAsia="Calibri" w:hAnsi="Arial Narrow"/>
        </w:rPr>
        <w:t xml:space="preserve"> diagnóstico de necesidades en marzo del 2021, lo que generó un nuevo plan de capacitación 2021</w:t>
      </w:r>
      <w:r w:rsidR="00FC7A0C" w:rsidRPr="005E4935">
        <w:rPr>
          <w:rFonts w:ascii="Arial Narrow" w:eastAsia="Calibri" w:hAnsi="Arial Narrow"/>
        </w:rPr>
        <w:t xml:space="preserve"> el cual fue aprobado por </w:t>
      </w:r>
      <w:r w:rsidR="005E4935" w:rsidRPr="005E4935">
        <w:rPr>
          <w:rFonts w:ascii="Arial Narrow" w:eastAsia="Calibri" w:hAnsi="Arial Narrow"/>
        </w:rPr>
        <w:t>el Consejo</w:t>
      </w:r>
      <w:r w:rsidR="00114713" w:rsidRPr="005E4935">
        <w:rPr>
          <w:rFonts w:ascii="Arial Narrow" w:eastAsia="Calibri" w:hAnsi="Arial Narrow"/>
        </w:rPr>
        <w:t xml:space="preserve"> Superior </w:t>
      </w:r>
      <w:r w:rsidR="005E4935" w:rsidRPr="005E4935">
        <w:rPr>
          <w:rFonts w:ascii="Arial Narrow" w:eastAsia="Calibri" w:hAnsi="Arial Narrow"/>
        </w:rPr>
        <w:t xml:space="preserve">en la sesión N° 42-2021 celebrada el 20 de mayo del 2021, oficio </w:t>
      </w:r>
      <w:r w:rsidR="00114713" w:rsidRPr="005E4935">
        <w:rPr>
          <w:rFonts w:ascii="Arial Narrow" w:eastAsia="Calibri" w:hAnsi="Arial Narrow"/>
        </w:rPr>
        <w:t>4830-2021</w:t>
      </w:r>
      <w:r w:rsidR="005E4935" w:rsidRPr="005E4935">
        <w:rPr>
          <w:rFonts w:ascii="Arial Narrow" w:eastAsia="Calibri" w:hAnsi="Arial Narrow"/>
        </w:rPr>
        <w:t>.</w:t>
      </w:r>
    </w:p>
    <w:p w14:paraId="54EFE3B9" w14:textId="2C7045DD" w:rsidR="00626B83" w:rsidRDefault="00626B83" w:rsidP="009F4071">
      <w:pPr>
        <w:jc w:val="both"/>
        <w:rPr>
          <w:rFonts w:ascii="Arial Narrow" w:hAnsi="Arial Narrow"/>
          <w:lang w:val="es-CR" w:eastAsia="es-CR"/>
        </w:rPr>
      </w:pPr>
    </w:p>
    <w:p w14:paraId="6A34EEF9" w14:textId="0BC0AF6F" w:rsidR="00AF4550" w:rsidRDefault="00AF4550" w:rsidP="009F4071">
      <w:pPr>
        <w:jc w:val="both"/>
        <w:rPr>
          <w:rFonts w:ascii="Arial Narrow" w:hAnsi="Arial Narrow"/>
          <w:lang w:val="es-CR" w:eastAsia="es-CR"/>
        </w:rPr>
      </w:pPr>
    </w:p>
    <w:p w14:paraId="7A16FB27" w14:textId="77777777" w:rsidR="00AF4550" w:rsidRDefault="00AF4550" w:rsidP="009F4071">
      <w:pPr>
        <w:jc w:val="both"/>
        <w:rPr>
          <w:rFonts w:ascii="Arial Narrow" w:hAnsi="Arial Narrow"/>
          <w:lang w:val="es-CR" w:eastAsia="es-CR"/>
        </w:rPr>
      </w:pPr>
    </w:p>
    <w:p w14:paraId="25009B8E" w14:textId="77777777" w:rsidR="00CF09A4" w:rsidRDefault="00CF09A4">
      <w:pPr>
        <w:rPr>
          <w:rFonts w:ascii="Arial Narrow" w:hAnsi="Arial Narrow"/>
          <w:b/>
          <w:bCs/>
        </w:rPr>
      </w:pPr>
      <w:r>
        <w:rPr>
          <w:rFonts w:ascii="Arial Narrow" w:hAnsi="Arial Narrow"/>
        </w:rPr>
        <w:br w:type="page"/>
      </w:r>
    </w:p>
    <w:p w14:paraId="4B7E95A9" w14:textId="0E85259C" w:rsidR="00626B83" w:rsidRDefault="00626B83" w:rsidP="00626B83">
      <w:pPr>
        <w:pStyle w:val="Descripcin"/>
        <w:jc w:val="center"/>
        <w:rPr>
          <w:rFonts w:ascii="Arial Narrow" w:eastAsia="Calibri" w:hAnsi="Arial Narrow"/>
          <w:sz w:val="24"/>
          <w:szCs w:val="24"/>
        </w:rPr>
      </w:pPr>
      <w:r w:rsidRPr="00484CC1">
        <w:rPr>
          <w:rFonts w:ascii="Arial Narrow" w:hAnsi="Arial Narrow"/>
          <w:sz w:val="24"/>
          <w:szCs w:val="24"/>
        </w:rPr>
        <w:t>Cuadro</w:t>
      </w:r>
      <w:r>
        <w:rPr>
          <w:rFonts w:ascii="Arial Narrow" w:hAnsi="Arial Narrow"/>
          <w:sz w:val="24"/>
          <w:szCs w:val="24"/>
        </w:rPr>
        <w:t xml:space="preserve">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2F520A">
        <w:rPr>
          <w:rFonts w:ascii="Arial Narrow" w:hAnsi="Arial Narrow"/>
          <w:noProof/>
          <w:sz w:val="24"/>
          <w:szCs w:val="24"/>
        </w:rPr>
        <w:t>69</w:t>
      </w:r>
      <w:r w:rsidRPr="00484CC1">
        <w:rPr>
          <w:rFonts w:ascii="Arial Narrow" w:hAnsi="Arial Narrow"/>
          <w:sz w:val="24"/>
          <w:szCs w:val="24"/>
        </w:rPr>
        <w:fldChar w:fldCharType="end"/>
      </w:r>
      <w:r w:rsidRPr="00484CC1">
        <w:rPr>
          <w:rFonts w:ascii="Arial Narrow" w:hAnsi="Arial Narrow"/>
          <w:sz w:val="24"/>
          <w:szCs w:val="24"/>
        </w:rPr>
        <w:t xml:space="preserve"> </w:t>
      </w:r>
      <w:r w:rsidRPr="00211B03">
        <w:rPr>
          <w:rFonts w:ascii="Arial Narrow" w:eastAsia="Calibri" w:hAnsi="Arial Narrow"/>
          <w:sz w:val="24"/>
          <w:szCs w:val="24"/>
        </w:rPr>
        <w:t xml:space="preserve">Metas estratégicas de </w:t>
      </w:r>
      <w:r>
        <w:rPr>
          <w:rFonts w:ascii="Arial Narrow" w:eastAsia="Calibri" w:hAnsi="Arial Narrow"/>
          <w:sz w:val="24"/>
          <w:szCs w:val="24"/>
        </w:rPr>
        <w:t>Capacitación</w:t>
      </w:r>
      <w:r w:rsidRPr="00211B03">
        <w:rPr>
          <w:rFonts w:ascii="Arial Narrow" w:eastAsia="Calibri" w:hAnsi="Arial Narrow"/>
          <w:sz w:val="24"/>
          <w:szCs w:val="24"/>
        </w:rPr>
        <w:t>, y su cumplimiento para el 20</w:t>
      </w:r>
      <w:r>
        <w:rPr>
          <w:rFonts w:ascii="Arial Narrow" w:eastAsia="Calibri" w:hAnsi="Arial Narrow"/>
          <w:sz w:val="24"/>
          <w:szCs w:val="24"/>
        </w:rPr>
        <w:t xml:space="preserve">21. </w:t>
      </w:r>
    </w:p>
    <w:p w14:paraId="15C589D8" w14:textId="01211EBC" w:rsidR="009F4071" w:rsidRDefault="001D7B35" w:rsidP="009F4071">
      <w:pPr>
        <w:jc w:val="both"/>
        <w:rPr>
          <w:rFonts w:ascii="Arial Narrow" w:hAnsi="Arial Narrow"/>
          <w:lang w:val="es-CR" w:eastAsia="es-CR"/>
        </w:rPr>
      </w:pPr>
      <w:r>
        <w:rPr>
          <w:noProof/>
        </w:rPr>
        <w:drawing>
          <wp:inline distT="0" distB="0" distL="0" distR="0" wp14:anchorId="7EC7D793" wp14:editId="2DC0D754">
            <wp:extent cx="5956300" cy="2919095"/>
            <wp:effectExtent l="57150" t="57150" r="101600" b="90805"/>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r="298"/>
                    <a:stretch/>
                  </pic:blipFill>
                  <pic:spPr bwMode="auto">
                    <a:xfrm>
                      <a:off x="0" y="0"/>
                      <a:ext cx="5956300" cy="2919095"/>
                    </a:xfrm>
                    <a:prstGeom prst="rect">
                      <a:avLst/>
                    </a:prstGeom>
                    <a:ln w="127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F5E4C28" w14:textId="77777777" w:rsidR="00626B83" w:rsidRPr="00A82AB0" w:rsidRDefault="00626B83" w:rsidP="00B54439">
      <w:pPr>
        <w:pStyle w:val="Descripcin"/>
        <w:jc w:val="center"/>
        <w:rPr>
          <w:rFonts w:ascii="Arial Narrow" w:hAnsi="Arial Narrow"/>
          <w:b w:val="0"/>
          <w:bCs w:val="0"/>
        </w:rPr>
      </w:pPr>
      <w:r w:rsidRPr="004619C9">
        <w:rPr>
          <w:rFonts w:ascii="Arial Narrow" w:eastAsia="Calibri" w:hAnsi="Arial Narrow"/>
          <w:sz w:val="18"/>
          <w:szCs w:val="18"/>
          <w:lang w:eastAsia="en-US"/>
        </w:rPr>
        <w:t>Fuente:</w:t>
      </w:r>
      <w:r w:rsidRPr="000B4845">
        <w:rPr>
          <w:rFonts w:ascii="Arial Narrow" w:eastAsia="Calibri" w:hAnsi="Arial Narrow"/>
          <w:sz w:val="18"/>
          <w:szCs w:val="18"/>
          <w:lang w:eastAsia="en-US"/>
        </w:rPr>
        <w:t xml:space="preserve"> </w:t>
      </w:r>
      <w:r w:rsidRPr="00A82AB0">
        <w:rPr>
          <w:rFonts w:ascii="Arial Narrow" w:eastAsia="Calibri" w:hAnsi="Arial Narrow"/>
          <w:b w:val="0"/>
          <w:bCs w:val="0"/>
          <w:sz w:val="18"/>
          <w:szCs w:val="18"/>
          <w:lang w:eastAsia="en-US"/>
        </w:rPr>
        <w:t>Sistema PEI al 19 de enero del 2022 para el año 2021.</w:t>
      </w:r>
    </w:p>
    <w:p w14:paraId="5266557A" w14:textId="77777777" w:rsidR="00626B83" w:rsidRDefault="00626B83" w:rsidP="009F4071">
      <w:pPr>
        <w:jc w:val="both"/>
        <w:rPr>
          <w:rFonts w:ascii="Arial Narrow" w:hAnsi="Arial Narrow"/>
          <w:lang w:val="es-CR" w:eastAsia="es-CR"/>
        </w:rPr>
      </w:pPr>
    </w:p>
    <w:p w14:paraId="42DAEF25" w14:textId="77777777" w:rsidR="001D7B35" w:rsidRDefault="001D7B35" w:rsidP="009F4071">
      <w:pPr>
        <w:jc w:val="both"/>
        <w:rPr>
          <w:rFonts w:ascii="Arial Narrow" w:hAnsi="Arial Narrow"/>
          <w:lang w:val="es-CR" w:eastAsia="es-CR"/>
        </w:rPr>
      </w:pPr>
    </w:p>
    <w:p w14:paraId="507931E7" w14:textId="77777777" w:rsidR="009F4071" w:rsidRDefault="009F4071" w:rsidP="009F4071">
      <w:pPr>
        <w:jc w:val="both"/>
        <w:rPr>
          <w:rFonts w:ascii="Arial Narrow" w:hAnsi="Arial Narrow" w:cstheme="minorHAnsi"/>
          <w:lang w:val="es-ES"/>
        </w:rPr>
      </w:pPr>
      <w:r w:rsidRPr="00A746A5">
        <w:rPr>
          <w:rFonts w:ascii="Arial Narrow" w:eastAsia="Calibri" w:hAnsi="Arial Narrow"/>
        </w:rPr>
        <w:t>De acuerdo con la revisión efectuada se logró determinar que para el año 2021 la Escuela Judicial por medio de la Sección Gestión de la Capacitación tiene un cumplimiento alto del 100%, donde se destaca lo consignado un d</w:t>
      </w:r>
      <w:r w:rsidRPr="00A746A5">
        <w:rPr>
          <w:rFonts w:ascii="Arial Narrow" w:hAnsi="Arial Narrow" w:cstheme="minorHAnsi"/>
          <w:lang w:val="es-ES"/>
        </w:rPr>
        <w:t xml:space="preserve">diagnóstico de necesidades de capacitación aplicado en la Dirección de Planificación y a la oficina de Análisis de Puestos. </w:t>
      </w:r>
    </w:p>
    <w:p w14:paraId="41CD90F6" w14:textId="77777777" w:rsidR="009F4071" w:rsidRPr="00A746A5" w:rsidRDefault="009F4071" w:rsidP="009F4071">
      <w:pPr>
        <w:jc w:val="both"/>
        <w:rPr>
          <w:rFonts w:ascii="Arial Narrow" w:eastAsia="Calibri" w:hAnsi="Arial Narrow"/>
        </w:rPr>
      </w:pPr>
    </w:p>
    <w:p w14:paraId="063F1812" w14:textId="77777777" w:rsidR="009F4071" w:rsidRPr="00BB7B61" w:rsidRDefault="009F4071" w:rsidP="009F4071">
      <w:pPr>
        <w:jc w:val="both"/>
        <w:rPr>
          <w:rFonts w:ascii="Arial Narrow" w:eastAsia="Calibri" w:hAnsi="Arial Narrow"/>
        </w:rPr>
      </w:pPr>
      <w:r w:rsidRPr="00BB7B61">
        <w:rPr>
          <w:rFonts w:ascii="Arial Narrow" w:eastAsia="Calibri" w:hAnsi="Arial Narrow"/>
        </w:rPr>
        <w:t xml:space="preserve">Por otra parte, la meta estratégica “Que al finalizar el 2024, se hayan implementado programas de cooperación con universidades que imparten la carrera de Derecho y otras carreras de interés, para el desarrollo de enfoques o especialidades acordes con las competencias requeridas por el Poder Judicial”, la cual de acuerdo con la revisión efectuada se logró determinar que para el 2021 tiene un cumplimiento alto de 100%, donde se indica por parte de la Escuela Judicial que se realizaron  varios conversatorios como Actividades de cooperación, entre ellos: Conversatorios sobre el Programa FIAJ, Justicia Abierta: Lenguaje claro y acceso a la justicia, Hostigamiento sexual en el ámbito académico por medio de las tecnologías digitales, Derecho Procesal de Familia entre otros. </w:t>
      </w:r>
    </w:p>
    <w:p w14:paraId="3D8B10D4" w14:textId="77777777" w:rsidR="009F4071" w:rsidRPr="00BB7B61" w:rsidRDefault="009F4071" w:rsidP="009F4071">
      <w:pPr>
        <w:jc w:val="both"/>
        <w:rPr>
          <w:rFonts w:ascii="Arial Narrow" w:eastAsia="Calibri" w:hAnsi="Arial Narrow"/>
        </w:rPr>
      </w:pPr>
    </w:p>
    <w:p w14:paraId="1B1167E4" w14:textId="77777777" w:rsidR="009F4071" w:rsidRPr="00BB7B61" w:rsidRDefault="009F4071" w:rsidP="009F4071">
      <w:pPr>
        <w:jc w:val="both"/>
        <w:rPr>
          <w:rFonts w:ascii="Arial Narrow" w:eastAsia="Calibri" w:hAnsi="Arial Narrow"/>
        </w:rPr>
      </w:pPr>
      <w:r w:rsidRPr="00BB7B61">
        <w:rPr>
          <w:rFonts w:ascii="Arial Narrow" w:eastAsia="Calibri" w:hAnsi="Arial Narrow"/>
        </w:rPr>
        <w:t xml:space="preserve">En cuanto a la Fiscalía General, se observa la oficina de Unidad de Capacitación y Supervisión del Ministerio Público desarrollaron las siguientes actividades de capacitación: </w:t>
      </w:r>
      <w:r w:rsidRPr="006F11A4">
        <w:rPr>
          <w:rFonts w:ascii="Arial Narrow" w:eastAsia="Calibri" w:hAnsi="Arial Narrow"/>
        </w:rPr>
        <w:t>Acción Civil Resarcitoria</w:t>
      </w:r>
      <w:r w:rsidRPr="00BB7B61">
        <w:rPr>
          <w:rFonts w:ascii="Arial Narrow" w:eastAsia="Calibri" w:hAnsi="Arial Narrow"/>
        </w:rPr>
        <w:t xml:space="preserve">, </w:t>
      </w:r>
      <w:r w:rsidRPr="006F11A4">
        <w:rPr>
          <w:rFonts w:ascii="Arial Narrow" w:eastAsia="Calibri" w:hAnsi="Arial Narrow"/>
        </w:rPr>
        <w:t>Videoconferencia de Regionalización sobre – Hostigamiento sexual – Justicia Restaurativa – Fraudes</w:t>
      </w:r>
      <w:r w:rsidRPr="00BB7B61">
        <w:rPr>
          <w:rFonts w:ascii="Arial Narrow" w:eastAsia="Calibri" w:hAnsi="Arial Narrow"/>
        </w:rPr>
        <w:t xml:space="preserve">, Videoconferencia de Regionalización sobre – Hostigamiento sexual – Justicia Restaurativa – Cibercrimen. Es por lo anterior que se logró determinar que registra un cumplimiento alto de un 100% para el año 2021. </w:t>
      </w:r>
    </w:p>
    <w:p w14:paraId="05CB4543" w14:textId="77777777" w:rsidR="009F4071" w:rsidRDefault="009F4071" w:rsidP="009F4071">
      <w:pPr>
        <w:jc w:val="both"/>
        <w:rPr>
          <w:rFonts w:ascii="Arial Narrow" w:eastAsia="Calibri" w:hAnsi="Arial Narrow"/>
        </w:rPr>
      </w:pPr>
    </w:p>
    <w:p w14:paraId="3E530AD6" w14:textId="12D382B8" w:rsidR="00626B83" w:rsidRDefault="00626B83" w:rsidP="009F4071">
      <w:pPr>
        <w:jc w:val="both"/>
      </w:pPr>
    </w:p>
    <w:p w14:paraId="44A9EECE" w14:textId="77777777" w:rsidR="00100134" w:rsidRDefault="00100134">
      <w:pPr>
        <w:rPr>
          <w:rFonts w:ascii="Arial Narrow" w:hAnsi="Arial Narrow"/>
          <w:b/>
          <w:bCs/>
        </w:rPr>
      </w:pPr>
      <w:r>
        <w:rPr>
          <w:rFonts w:ascii="Arial Narrow" w:hAnsi="Arial Narrow"/>
        </w:rPr>
        <w:br w:type="page"/>
      </w:r>
    </w:p>
    <w:p w14:paraId="62BEBDB7" w14:textId="27640F41" w:rsidR="00626B83" w:rsidRDefault="00626B83" w:rsidP="00626B83">
      <w:pPr>
        <w:pStyle w:val="Descripcin"/>
        <w:jc w:val="center"/>
        <w:rPr>
          <w:rFonts w:ascii="Arial Narrow" w:eastAsia="Calibri" w:hAnsi="Arial Narrow"/>
          <w:sz w:val="24"/>
          <w:szCs w:val="24"/>
        </w:rPr>
      </w:pPr>
      <w:r w:rsidRPr="00484CC1">
        <w:rPr>
          <w:rFonts w:ascii="Arial Narrow" w:hAnsi="Arial Narrow"/>
          <w:sz w:val="24"/>
          <w:szCs w:val="24"/>
        </w:rPr>
        <w:t>Cuadro</w:t>
      </w:r>
      <w:r>
        <w:rPr>
          <w:rFonts w:ascii="Arial Narrow" w:hAnsi="Arial Narrow"/>
          <w:sz w:val="24"/>
          <w:szCs w:val="24"/>
        </w:rPr>
        <w:t xml:space="preserve">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2F520A">
        <w:rPr>
          <w:rFonts w:ascii="Arial Narrow" w:hAnsi="Arial Narrow"/>
          <w:noProof/>
          <w:sz w:val="24"/>
          <w:szCs w:val="24"/>
        </w:rPr>
        <w:t>70</w:t>
      </w:r>
      <w:r w:rsidRPr="00484CC1">
        <w:rPr>
          <w:rFonts w:ascii="Arial Narrow" w:hAnsi="Arial Narrow"/>
          <w:sz w:val="24"/>
          <w:szCs w:val="24"/>
        </w:rPr>
        <w:fldChar w:fldCharType="end"/>
      </w:r>
      <w:r w:rsidRPr="00484CC1">
        <w:rPr>
          <w:rFonts w:ascii="Arial Narrow" w:hAnsi="Arial Narrow"/>
          <w:sz w:val="24"/>
          <w:szCs w:val="24"/>
        </w:rPr>
        <w:t xml:space="preserve"> </w:t>
      </w:r>
      <w:r w:rsidRPr="00211B03">
        <w:rPr>
          <w:rFonts w:ascii="Arial Narrow" w:eastAsia="Calibri" w:hAnsi="Arial Narrow"/>
          <w:sz w:val="24"/>
          <w:szCs w:val="24"/>
        </w:rPr>
        <w:t xml:space="preserve">Metas estratégicas de </w:t>
      </w:r>
      <w:r>
        <w:rPr>
          <w:rFonts w:ascii="Arial Narrow" w:eastAsia="Calibri" w:hAnsi="Arial Narrow"/>
          <w:sz w:val="24"/>
          <w:szCs w:val="24"/>
        </w:rPr>
        <w:t>Capacitación</w:t>
      </w:r>
      <w:r w:rsidRPr="00211B03">
        <w:rPr>
          <w:rFonts w:ascii="Arial Narrow" w:eastAsia="Calibri" w:hAnsi="Arial Narrow"/>
          <w:sz w:val="24"/>
          <w:szCs w:val="24"/>
        </w:rPr>
        <w:t>, y su cumplimiento para el 20</w:t>
      </w:r>
      <w:r>
        <w:rPr>
          <w:rFonts w:ascii="Arial Narrow" w:eastAsia="Calibri" w:hAnsi="Arial Narrow"/>
          <w:sz w:val="24"/>
          <w:szCs w:val="24"/>
        </w:rPr>
        <w:t xml:space="preserve">21. </w:t>
      </w:r>
    </w:p>
    <w:p w14:paraId="35898E83" w14:textId="5EB58E80" w:rsidR="00626B83" w:rsidRPr="00493029" w:rsidRDefault="001D7B35" w:rsidP="00493029">
      <w:pPr>
        <w:rPr>
          <w:rFonts w:eastAsia="Calibri"/>
        </w:rPr>
      </w:pPr>
      <w:r>
        <w:rPr>
          <w:noProof/>
        </w:rPr>
        <w:drawing>
          <wp:inline distT="0" distB="0" distL="0" distR="0" wp14:anchorId="05E10F3B" wp14:editId="0E81D13D">
            <wp:extent cx="5930900" cy="3778250"/>
            <wp:effectExtent l="57150" t="57150" r="88900" b="88900"/>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r="723" b="1047"/>
                    <a:stretch/>
                  </pic:blipFill>
                  <pic:spPr bwMode="auto">
                    <a:xfrm>
                      <a:off x="0" y="0"/>
                      <a:ext cx="5930900" cy="3778250"/>
                    </a:xfrm>
                    <a:prstGeom prst="rect">
                      <a:avLst/>
                    </a:prstGeom>
                    <a:ln w="127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09C1B9A" w14:textId="519AD3C7" w:rsidR="009F4071" w:rsidRDefault="00626B83" w:rsidP="00B54439">
      <w:pPr>
        <w:jc w:val="center"/>
        <w:rPr>
          <w:rFonts w:ascii="Arial Narrow" w:eastAsia="Calibri" w:hAnsi="Arial Narrow"/>
          <w:sz w:val="18"/>
          <w:szCs w:val="18"/>
          <w:lang w:eastAsia="en-US"/>
        </w:rPr>
      </w:pPr>
      <w:r w:rsidRPr="004619C9">
        <w:rPr>
          <w:rFonts w:ascii="Arial Narrow" w:eastAsia="Calibri" w:hAnsi="Arial Narrow"/>
          <w:b/>
          <w:bCs/>
          <w:sz w:val="18"/>
          <w:szCs w:val="18"/>
          <w:lang w:eastAsia="en-US"/>
        </w:rPr>
        <w:t>Fuente:</w:t>
      </w:r>
      <w:r w:rsidRPr="000B4845">
        <w:rPr>
          <w:rFonts w:ascii="Arial Narrow" w:eastAsia="Calibri" w:hAnsi="Arial Narrow"/>
          <w:sz w:val="18"/>
          <w:szCs w:val="18"/>
          <w:lang w:eastAsia="en-US"/>
        </w:rPr>
        <w:t xml:space="preserve"> Sistema PEI al </w:t>
      </w:r>
      <w:r>
        <w:rPr>
          <w:rFonts w:ascii="Arial Narrow" w:eastAsia="Calibri" w:hAnsi="Arial Narrow"/>
          <w:sz w:val="18"/>
          <w:szCs w:val="18"/>
          <w:lang w:eastAsia="en-US"/>
        </w:rPr>
        <w:t>19</w:t>
      </w:r>
      <w:r w:rsidRPr="000B4845">
        <w:rPr>
          <w:rFonts w:ascii="Arial Narrow" w:eastAsia="Calibri" w:hAnsi="Arial Narrow"/>
          <w:sz w:val="18"/>
          <w:szCs w:val="18"/>
          <w:lang w:eastAsia="en-US"/>
        </w:rPr>
        <w:t xml:space="preserve"> de enero del </w:t>
      </w:r>
      <w:r>
        <w:rPr>
          <w:rFonts w:ascii="Arial Narrow" w:eastAsia="Calibri" w:hAnsi="Arial Narrow"/>
          <w:sz w:val="18"/>
          <w:szCs w:val="18"/>
          <w:lang w:eastAsia="en-US"/>
        </w:rPr>
        <w:t>2022 para el año 2021.</w:t>
      </w:r>
    </w:p>
    <w:p w14:paraId="3BBB5E86" w14:textId="77777777" w:rsidR="00626B83" w:rsidRDefault="00626B83" w:rsidP="00626B83">
      <w:pPr>
        <w:jc w:val="both"/>
      </w:pPr>
    </w:p>
    <w:p w14:paraId="5FDBBD02" w14:textId="77777777" w:rsidR="009F4071" w:rsidRPr="00113A10" w:rsidRDefault="009F4071" w:rsidP="009F4071">
      <w:pPr>
        <w:jc w:val="both"/>
      </w:pPr>
    </w:p>
    <w:p w14:paraId="0BEEDC4F" w14:textId="77777777" w:rsidR="009F4071" w:rsidRDefault="009F4071" w:rsidP="009F4071">
      <w:pPr>
        <w:jc w:val="both"/>
        <w:rPr>
          <w:rStyle w:val="markedcontent"/>
          <w:rFonts w:ascii="Arial Narrow" w:hAnsi="Arial Narrow"/>
        </w:rPr>
      </w:pPr>
      <w:r w:rsidRPr="009B7F4B">
        <w:rPr>
          <w:rStyle w:val="markedcontent"/>
          <w:rFonts w:ascii="Arial Narrow" w:hAnsi="Arial Narrow"/>
        </w:rPr>
        <w:t>En cumplimiento Plan Anual Operativo y por ende al Plan Estratégico 2021, la Unidad de Capacitación y Supervisión de la Defensa Pública</w:t>
      </w:r>
      <w:r>
        <w:rPr>
          <w:rStyle w:val="markedcontent"/>
          <w:rFonts w:ascii="Arial Narrow" w:hAnsi="Arial Narrow"/>
        </w:rPr>
        <w:t>,</w:t>
      </w:r>
      <w:r w:rsidRPr="009B7F4B">
        <w:rPr>
          <w:rStyle w:val="markedcontent"/>
          <w:rFonts w:ascii="Arial Narrow" w:hAnsi="Arial Narrow"/>
        </w:rPr>
        <w:t xml:space="preserve"> impartió </w:t>
      </w:r>
      <w:r w:rsidRPr="009B7F4B">
        <w:rPr>
          <w:rFonts w:ascii="Arial Narrow" w:hAnsi="Arial Narrow"/>
        </w:rPr>
        <w:t>capacitaciones regionales en 8 circuitos judiciales diferentes</w:t>
      </w:r>
      <w:r w:rsidRPr="009B7F4B">
        <w:rPr>
          <w:rStyle w:val="markedcontent"/>
          <w:rFonts w:ascii="Arial Narrow" w:hAnsi="Arial Narrow"/>
        </w:rPr>
        <w:t xml:space="preserve">, </w:t>
      </w:r>
      <w:r>
        <w:rPr>
          <w:rStyle w:val="markedcontent"/>
          <w:rFonts w:ascii="Arial Narrow" w:hAnsi="Arial Narrow"/>
        </w:rPr>
        <w:t xml:space="preserve">con el objetivo de </w:t>
      </w:r>
      <w:r w:rsidRPr="009B7F4B">
        <w:rPr>
          <w:rStyle w:val="markedcontent"/>
          <w:rFonts w:ascii="Arial Narrow" w:hAnsi="Arial Narrow"/>
        </w:rPr>
        <w:t>atender necesidades de capacitación específicas de acuerdo con los requerimientos de las oficinas regionales. Estas actividades, permite</w:t>
      </w:r>
      <w:r>
        <w:rPr>
          <w:rStyle w:val="markedcontent"/>
          <w:rFonts w:ascii="Arial Narrow" w:hAnsi="Arial Narrow"/>
        </w:rPr>
        <w:t>n</w:t>
      </w:r>
      <w:r w:rsidRPr="009B7F4B">
        <w:rPr>
          <w:rStyle w:val="markedcontent"/>
          <w:rFonts w:ascii="Arial Narrow" w:hAnsi="Arial Narrow"/>
        </w:rPr>
        <w:t xml:space="preserve"> completar los 8 circuitos establecidos en la meta operativa y por consecuencia reflejar el cumplimiento del 100% en la meta estratégica.</w:t>
      </w:r>
    </w:p>
    <w:p w14:paraId="7084E422" w14:textId="77777777" w:rsidR="009F4071" w:rsidRPr="003E2810" w:rsidRDefault="009F4071" w:rsidP="009F4071">
      <w:pPr>
        <w:jc w:val="both"/>
        <w:rPr>
          <w:rStyle w:val="markedcontent"/>
        </w:rPr>
      </w:pPr>
    </w:p>
    <w:p w14:paraId="3530D3E7" w14:textId="77777777" w:rsidR="009F4071" w:rsidRPr="003E2810" w:rsidRDefault="009F4071" w:rsidP="009F4071">
      <w:pPr>
        <w:jc w:val="both"/>
        <w:rPr>
          <w:rStyle w:val="markedcontent"/>
          <w:rFonts w:ascii="Arial Narrow" w:hAnsi="Arial Narrow"/>
        </w:rPr>
      </w:pPr>
      <w:r w:rsidRPr="003E2810">
        <w:rPr>
          <w:rStyle w:val="markedcontent"/>
          <w:rFonts w:ascii="Arial Narrow" w:hAnsi="Arial Narrow"/>
        </w:rPr>
        <w:t xml:space="preserve">Por otra parte, el Organismo de Investigación Judicial a través de la Unidad de Adiestramiento en el año 2021 ejecutaron las actividades académicas de armas y defensa en la sede del Centro de Formación Policial de Murciélago para cubrir al personal de las distintas sedes regionales de OIJ. Adicionalmente, se ejecutó el curso de protección con el escudo balístico en distintas unidades, oficinas y delegaciones regionales del OIJ. </w:t>
      </w:r>
    </w:p>
    <w:p w14:paraId="435CC814" w14:textId="77777777" w:rsidR="009F4071" w:rsidRPr="00977D78" w:rsidRDefault="009F4071" w:rsidP="009F4071">
      <w:pPr>
        <w:jc w:val="both"/>
        <w:rPr>
          <w:rStyle w:val="markedcontent"/>
          <w:rFonts w:ascii="Arial Narrow" w:hAnsi="Arial Narrow"/>
        </w:rPr>
      </w:pPr>
    </w:p>
    <w:p w14:paraId="59748B72" w14:textId="77777777" w:rsidR="009F4071" w:rsidRDefault="009F4071" w:rsidP="009F4071">
      <w:pPr>
        <w:jc w:val="both"/>
        <w:rPr>
          <w:rFonts w:cstheme="minorHAnsi"/>
          <w:lang w:eastAsia="es-CR"/>
        </w:rPr>
      </w:pPr>
      <w:r w:rsidRPr="00977D78">
        <w:rPr>
          <w:rStyle w:val="markedcontent"/>
          <w:rFonts w:ascii="Arial Narrow" w:hAnsi="Arial Narrow"/>
        </w:rPr>
        <w:t>A su vez, la Dirección de Gestión Humana de acuerdo con la revisión efectuada por medio del sistema PAO muestra que ejecutó actividades de capacitación con participación de personas procedentes de todas las sedes regionales</w:t>
      </w:r>
      <w:r>
        <w:rPr>
          <w:rStyle w:val="markedcontent"/>
          <w:rFonts w:ascii="Arial Narrow" w:hAnsi="Arial Narrow"/>
        </w:rPr>
        <w:t xml:space="preserve">. Algunos de los temas tratados fueron: </w:t>
      </w:r>
      <w:r w:rsidRPr="00977D78">
        <w:rPr>
          <w:rStyle w:val="markedcontent"/>
          <w:rFonts w:ascii="Arial Narrow" w:hAnsi="Arial Narrow"/>
        </w:rPr>
        <w:t>Charla sobre la aplicación de los protocolos institucionales por COVID19 dirigida a jefaturas y coordinaciones</w:t>
      </w:r>
      <w:r>
        <w:rPr>
          <w:rStyle w:val="markedcontent"/>
          <w:rFonts w:ascii="Arial Narrow" w:hAnsi="Arial Narrow"/>
        </w:rPr>
        <w:t>,</w:t>
      </w:r>
      <w:r w:rsidRPr="006A0B44">
        <w:rPr>
          <w:rStyle w:val="markedcontent"/>
          <w:rFonts w:ascii="Arial Narrow" w:hAnsi="Arial Narrow"/>
        </w:rPr>
        <w:t xml:space="preserve"> Curso virtual de autoaprendizaje “Proceso Administrativo Sancionatorio”, Charla “Estafas informáticas, manténgase a salvo”, Conversatorio “La ética, una brújula en el tiempo actual”, entre otros.</w:t>
      </w:r>
      <w:r>
        <w:rPr>
          <w:rFonts w:cstheme="minorHAnsi"/>
          <w:lang w:eastAsia="es-CR"/>
        </w:rPr>
        <w:t xml:space="preserve"> </w:t>
      </w:r>
    </w:p>
    <w:p w14:paraId="671668A2" w14:textId="77777777" w:rsidR="009F4071" w:rsidRPr="00C669A1" w:rsidRDefault="009F4071" w:rsidP="009F4071">
      <w:pPr>
        <w:jc w:val="both"/>
        <w:rPr>
          <w:rStyle w:val="markedcontent"/>
          <w:rFonts w:ascii="Arial Narrow" w:hAnsi="Arial Narrow"/>
        </w:rPr>
      </w:pPr>
    </w:p>
    <w:p w14:paraId="68DD8865" w14:textId="284C0C63" w:rsidR="00C669A1" w:rsidRPr="00C669A1" w:rsidRDefault="00C669A1" w:rsidP="006C213A">
      <w:pPr>
        <w:tabs>
          <w:tab w:val="left" w:pos="1510"/>
        </w:tabs>
        <w:jc w:val="both"/>
        <w:rPr>
          <w:rStyle w:val="markedcontent"/>
          <w:rFonts w:ascii="Arial Narrow" w:hAnsi="Arial Narrow"/>
        </w:rPr>
      </w:pPr>
      <w:r w:rsidRPr="00E32B57">
        <w:rPr>
          <w:rStyle w:val="markedcontent"/>
          <w:rFonts w:ascii="Arial Narrow" w:hAnsi="Arial Narrow"/>
        </w:rPr>
        <w:t xml:space="preserve">Finalmente, </w:t>
      </w:r>
      <w:r w:rsidR="00FB3C62">
        <w:rPr>
          <w:rStyle w:val="markedcontent"/>
          <w:rFonts w:ascii="Arial Narrow" w:hAnsi="Arial Narrow"/>
        </w:rPr>
        <w:t xml:space="preserve">para </w:t>
      </w:r>
      <w:r w:rsidRPr="00E32B57">
        <w:rPr>
          <w:rStyle w:val="markedcontent"/>
          <w:rFonts w:ascii="Arial Narrow" w:hAnsi="Arial Narrow"/>
        </w:rPr>
        <w:t>l</w:t>
      </w:r>
      <w:r w:rsidR="00E55380" w:rsidRPr="00E32B57">
        <w:rPr>
          <w:rFonts w:ascii="Arial Narrow" w:eastAsia="Calibri" w:hAnsi="Arial Narrow"/>
        </w:rPr>
        <w:t>a meta estratégica del cuadro anterior</w:t>
      </w:r>
      <w:r w:rsidR="00FB3C62">
        <w:rPr>
          <w:rFonts w:ascii="Arial Narrow" w:eastAsia="Calibri" w:hAnsi="Arial Narrow"/>
        </w:rPr>
        <w:t xml:space="preserve"> llamada</w:t>
      </w:r>
      <w:r w:rsidR="00E55380" w:rsidRPr="00E32B57">
        <w:rPr>
          <w:rFonts w:ascii="Arial Narrow" w:eastAsia="Calibri" w:hAnsi="Arial Narrow"/>
        </w:rPr>
        <w:t xml:space="preserve"> “</w:t>
      </w:r>
      <w:r w:rsidR="00E55380" w:rsidRPr="00E51E2D">
        <w:rPr>
          <w:rFonts w:ascii="Arial Narrow" w:eastAsia="Calibri" w:hAnsi="Arial Narrow"/>
          <w:i/>
          <w:iCs/>
        </w:rPr>
        <w:t>Que al finalizar el 2024, se hayan atendido de manera integral en los distintos ámbitos judiciales, aquellas actividades de capacitación que respondan a los temas de interés institucionales, que hayan sido identificados por las entidades superiores de la institución</w:t>
      </w:r>
      <w:r w:rsidR="00E55380" w:rsidRPr="00E32B57">
        <w:rPr>
          <w:rFonts w:ascii="Arial Narrow" w:eastAsia="Calibri" w:hAnsi="Arial Narrow"/>
        </w:rPr>
        <w:t>”, asignada como responsable operativo la Escuela Judicial</w:t>
      </w:r>
      <w:r w:rsidR="00FB3C62">
        <w:rPr>
          <w:rFonts w:ascii="Arial Narrow" w:eastAsia="Calibri" w:hAnsi="Arial Narrow"/>
        </w:rPr>
        <w:t xml:space="preserve"> y la Dirección Ejecutiva</w:t>
      </w:r>
      <w:r w:rsidR="000A1B07">
        <w:rPr>
          <w:rFonts w:ascii="Arial Narrow" w:eastAsia="Calibri" w:hAnsi="Arial Narrow"/>
        </w:rPr>
        <w:t xml:space="preserve"> específicamente la Biblioteca Judicial</w:t>
      </w:r>
      <w:r w:rsidR="00E55380" w:rsidRPr="00E32B57">
        <w:rPr>
          <w:rFonts w:ascii="Arial Narrow" w:eastAsia="Calibri" w:hAnsi="Arial Narrow"/>
        </w:rPr>
        <w:t xml:space="preserve"> la cual de acuerdo con la revisión efectuada se logró determinar que para el 2021 se tiene un cumplimiento medio del 50%, donde se destaca lo consignado por la Escuela Judicial   los cursos virtuales de "Bienestar Animal" y el de "Acoso Sexual Callejero. Tutela Penal y Contravencional, en cuanto a la </w:t>
      </w:r>
      <w:r w:rsidR="002C3010">
        <w:rPr>
          <w:rFonts w:ascii="Arial Narrow" w:eastAsia="Calibri" w:hAnsi="Arial Narrow"/>
        </w:rPr>
        <w:t>Biblioteca Judicial</w:t>
      </w:r>
      <w:r w:rsidR="002C3010" w:rsidRPr="00E32B57">
        <w:rPr>
          <w:rFonts w:ascii="Arial Narrow" w:eastAsia="Calibri" w:hAnsi="Arial Narrow"/>
        </w:rPr>
        <w:t xml:space="preserve"> </w:t>
      </w:r>
      <w:r w:rsidR="00E55380" w:rsidRPr="00E32B57">
        <w:rPr>
          <w:rFonts w:ascii="Arial Narrow" w:eastAsia="Calibri" w:hAnsi="Arial Narrow"/>
        </w:rPr>
        <w:t xml:space="preserve"> no mostró avances reflejando el estado de la meta no iniciada. </w:t>
      </w:r>
    </w:p>
    <w:p w14:paraId="4F1DD8C2" w14:textId="77777777" w:rsidR="00772C37" w:rsidRDefault="00772C37" w:rsidP="009F4071">
      <w:pPr>
        <w:jc w:val="both"/>
        <w:rPr>
          <w:rStyle w:val="markedcontent"/>
          <w:rFonts w:eastAsia="Calibri"/>
        </w:rPr>
      </w:pPr>
    </w:p>
    <w:p w14:paraId="49BE9222" w14:textId="5EAE1275" w:rsidR="00772C37" w:rsidRDefault="00626B83" w:rsidP="00772C37">
      <w:pPr>
        <w:pStyle w:val="Descripcin"/>
        <w:jc w:val="center"/>
        <w:rPr>
          <w:rFonts w:ascii="Arial Narrow" w:eastAsia="Calibri" w:hAnsi="Arial Narrow"/>
          <w:sz w:val="24"/>
          <w:szCs w:val="24"/>
        </w:rPr>
      </w:pPr>
      <w:r w:rsidRPr="00484CC1">
        <w:rPr>
          <w:rFonts w:ascii="Arial Narrow" w:hAnsi="Arial Narrow"/>
          <w:sz w:val="24"/>
          <w:szCs w:val="24"/>
        </w:rPr>
        <w:t>Cuadro</w:t>
      </w:r>
      <w:r>
        <w:rPr>
          <w:rFonts w:ascii="Arial Narrow" w:hAnsi="Arial Narrow"/>
          <w:sz w:val="24"/>
          <w:szCs w:val="24"/>
        </w:rPr>
        <w:t xml:space="preserve">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2F520A">
        <w:rPr>
          <w:rFonts w:ascii="Arial Narrow" w:hAnsi="Arial Narrow"/>
          <w:noProof/>
          <w:sz w:val="24"/>
          <w:szCs w:val="24"/>
        </w:rPr>
        <w:t>71</w:t>
      </w:r>
      <w:r w:rsidRPr="00484CC1">
        <w:rPr>
          <w:rFonts w:ascii="Arial Narrow" w:hAnsi="Arial Narrow"/>
          <w:sz w:val="24"/>
          <w:szCs w:val="24"/>
        </w:rPr>
        <w:fldChar w:fldCharType="end"/>
      </w:r>
      <w:r w:rsidRPr="00484CC1">
        <w:rPr>
          <w:rFonts w:ascii="Arial Narrow" w:hAnsi="Arial Narrow"/>
          <w:sz w:val="24"/>
          <w:szCs w:val="24"/>
        </w:rPr>
        <w:t xml:space="preserve"> </w:t>
      </w:r>
      <w:r w:rsidRPr="00211B03">
        <w:rPr>
          <w:rFonts w:ascii="Arial Narrow" w:eastAsia="Calibri" w:hAnsi="Arial Narrow"/>
          <w:sz w:val="24"/>
          <w:szCs w:val="24"/>
        </w:rPr>
        <w:t xml:space="preserve">Metas estratégicas de </w:t>
      </w:r>
      <w:r>
        <w:rPr>
          <w:rFonts w:ascii="Arial Narrow" w:eastAsia="Calibri" w:hAnsi="Arial Narrow"/>
          <w:sz w:val="24"/>
          <w:szCs w:val="24"/>
        </w:rPr>
        <w:t>Capacitación</w:t>
      </w:r>
      <w:r w:rsidRPr="00211B03">
        <w:rPr>
          <w:rFonts w:ascii="Arial Narrow" w:eastAsia="Calibri" w:hAnsi="Arial Narrow"/>
          <w:sz w:val="24"/>
          <w:szCs w:val="24"/>
        </w:rPr>
        <w:t>, y su cumplimiento para el 20</w:t>
      </w:r>
      <w:r>
        <w:rPr>
          <w:rFonts w:ascii="Arial Narrow" w:eastAsia="Calibri" w:hAnsi="Arial Narrow"/>
          <w:sz w:val="24"/>
          <w:szCs w:val="24"/>
        </w:rPr>
        <w:t xml:space="preserve">21. </w:t>
      </w:r>
    </w:p>
    <w:p w14:paraId="53F7ABA9" w14:textId="7FFA642C" w:rsidR="009F4071" w:rsidRPr="00D47E52" w:rsidRDefault="001D7B35" w:rsidP="00D47E52">
      <w:pPr>
        <w:rPr>
          <w:rFonts w:eastAsia="Calibri"/>
        </w:rPr>
      </w:pPr>
      <w:r>
        <w:rPr>
          <w:noProof/>
        </w:rPr>
        <w:drawing>
          <wp:inline distT="0" distB="0" distL="0" distR="0" wp14:anchorId="6FF1BF4D" wp14:editId="399E29A0">
            <wp:extent cx="5942330" cy="3816985"/>
            <wp:effectExtent l="57150" t="57150" r="96520" b="88265"/>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l="531"/>
                    <a:stretch/>
                  </pic:blipFill>
                  <pic:spPr bwMode="auto">
                    <a:xfrm>
                      <a:off x="0" y="0"/>
                      <a:ext cx="5942330" cy="381698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23C5DDA" w14:textId="77777777" w:rsidR="00772C37" w:rsidRDefault="00772C37" w:rsidP="00B54439">
      <w:pPr>
        <w:jc w:val="center"/>
        <w:rPr>
          <w:rFonts w:ascii="Arial Narrow" w:eastAsia="Calibri" w:hAnsi="Arial Narrow"/>
          <w:sz w:val="18"/>
          <w:szCs w:val="18"/>
          <w:lang w:eastAsia="en-US"/>
        </w:rPr>
      </w:pPr>
      <w:r w:rsidRPr="004619C9">
        <w:rPr>
          <w:rFonts w:ascii="Arial Narrow" w:eastAsia="Calibri" w:hAnsi="Arial Narrow"/>
          <w:b/>
          <w:bCs/>
          <w:sz w:val="18"/>
          <w:szCs w:val="18"/>
          <w:lang w:eastAsia="en-US"/>
        </w:rPr>
        <w:t>Fuente:</w:t>
      </w:r>
      <w:r w:rsidRPr="000B4845">
        <w:rPr>
          <w:rFonts w:ascii="Arial Narrow" w:eastAsia="Calibri" w:hAnsi="Arial Narrow"/>
          <w:sz w:val="18"/>
          <w:szCs w:val="18"/>
          <w:lang w:eastAsia="en-US"/>
        </w:rPr>
        <w:t xml:space="preserve"> Sistema PEI al </w:t>
      </w:r>
      <w:r>
        <w:rPr>
          <w:rFonts w:ascii="Arial Narrow" w:eastAsia="Calibri" w:hAnsi="Arial Narrow"/>
          <w:sz w:val="18"/>
          <w:szCs w:val="18"/>
          <w:lang w:eastAsia="en-US"/>
        </w:rPr>
        <w:t>19</w:t>
      </w:r>
      <w:r w:rsidRPr="000B4845">
        <w:rPr>
          <w:rFonts w:ascii="Arial Narrow" w:eastAsia="Calibri" w:hAnsi="Arial Narrow"/>
          <w:sz w:val="18"/>
          <w:szCs w:val="18"/>
          <w:lang w:eastAsia="en-US"/>
        </w:rPr>
        <w:t xml:space="preserve"> de enero del </w:t>
      </w:r>
      <w:r>
        <w:rPr>
          <w:rFonts w:ascii="Arial Narrow" w:eastAsia="Calibri" w:hAnsi="Arial Narrow"/>
          <w:sz w:val="18"/>
          <w:szCs w:val="18"/>
          <w:lang w:eastAsia="en-US"/>
        </w:rPr>
        <w:t>2022 para el año 2021.</w:t>
      </w:r>
    </w:p>
    <w:p w14:paraId="5A58888E" w14:textId="77777777" w:rsidR="00782D2B" w:rsidRPr="00727311" w:rsidRDefault="00782D2B" w:rsidP="00721B6C">
      <w:pPr>
        <w:jc w:val="both"/>
        <w:rPr>
          <w:rFonts w:ascii="Arial Narrow" w:eastAsia="Calibri" w:hAnsi="Arial Narrow"/>
        </w:rPr>
      </w:pPr>
    </w:p>
    <w:p w14:paraId="455CFF16" w14:textId="1AE4F94C" w:rsidR="00FB29C8" w:rsidRDefault="00E32B57" w:rsidP="001C3F77">
      <w:pPr>
        <w:jc w:val="both"/>
        <w:rPr>
          <w:rFonts w:ascii="Arial Narrow" w:hAnsi="Arial Narrow"/>
        </w:rPr>
      </w:pPr>
      <w:r>
        <w:rPr>
          <w:rFonts w:ascii="Arial Narrow" w:hAnsi="Arial Narrow"/>
        </w:rPr>
        <w:t>Del cuadro anterior,</w:t>
      </w:r>
      <w:r w:rsidR="00D83D77">
        <w:rPr>
          <w:rFonts w:ascii="Arial Narrow" w:hAnsi="Arial Narrow"/>
        </w:rPr>
        <w:t xml:space="preserve"> se tiene que </w:t>
      </w:r>
      <w:r>
        <w:rPr>
          <w:rFonts w:ascii="Arial Narrow" w:hAnsi="Arial Narrow"/>
        </w:rPr>
        <w:t xml:space="preserve">la Escuela Judicial por medio de </w:t>
      </w:r>
      <w:r w:rsidR="00D83D77">
        <w:rPr>
          <w:rFonts w:ascii="Arial Narrow" w:hAnsi="Arial Narrow"/>
        </w:rPr>
        <w:t xml:space="preserve">la oficina de Capacitación Jurisdiccional comunica que </w:t>
      </w:r>
      <w:r w:rsidR="002B68C8" w:rsidRPr="002B68C8">
        <w:rPr>
          <w:rFonts w:ascii="Arial Narrow" w:hAnsi="Arial Narrow"/>
        </w:rPr>
        <w:t>el Plan de Capacitación de</w:t>
      </w:r>
      <w:r w:rsidR="00FB3C62">
        <w:rPr>
          <w:rFonts w:ascii="Arial Narrow" w:hAnsi="Arial Narrow"/>
        </w:rPr>
        <w:t>l año</w:t>
      </w:r>
      <w:r w:rsidR="002B68C8" w:rsidRPr="002B68C8">
        <w:rPr>
          <w:rFonts w:ascii="Arial Narrow" w:hAnsi="Arial Narrow"/>
        </w:rPr>
        <w:t xml:space="preserve"> 2021, contemplaba un total aproximado de 192 actividades, aproximadamente</w:t>
      </w:r>
      <w:r w:rsidR="00D83D77">
        <w:rPr>
          <w:rFonts w:ascii="Arial Narrow" w:hAnsi="Arial Narrow"/>
        </w:rPr>
        <w:t xml:space="preserve"> y </w:t>
      </w:r>
      <w:r w:rsidR="002B68C8" w:rsidRPr="002B68C8">
        <w:rPr>
          <w:rFonts w:ascii="Arial Narrow" w:hAnsi="Arial Narrow"/>
        </w:rPr>
        <w:t>gracias al esfuerzo de todas las personas que conforman la Escuela Judicial y brindan un apoyo constante al Área Académica, se lograron ejecutar un total de: 297 actividades; lo que implica que se ejecutó un 154% de la cantidad de actividades previstas para 2021</w:t>
      </w:r>
      <w:r w:rsidR="00D83D77">
        <w:rPr>
          <w:rFonts w:ascii="Arial Narrow" w:hAnsi="Arial Narrow"/>
        </w:rPr>
        <w:t>.</w:t>
      </w:r>
    </w:p>
    <w:p w14:paraId="0E0FBEAA" w14:textId="77777777" w:rsidR="00D47E52" w:rsidRDefault="00D47E52" w:rsidP="001C3F77">
      <w:pPr>
        <w:jc w:val="both"/>
        <w:rPr>
          <w:rFonts w:ascii="Arial Narrow" w:eastAsia="Calibri" w:hAnsi="Arial Narrow"/>
        </w:rPr>
      </w:pPr>
    </w:p>
    <w:p w14:paraId="1FEE0A40" w14:textId="65AF384D" w:rsidR="00A97459" w:rsidRPr="001C3F77" w:rsidRDefault="00A97459" w:rsidP="001C3F77">
      <w:pPr>
        <w:jc w:val="both"/>
        <w:rPr>
          <w:rFonts w:ascii="Arial Narrow" w:eastAsia="Calibri" w:hAnsi="Arial Narrow"/>
        </w:rPr>
      </w:pPr>
      <w:r w:rsidRPr="001C3F77">
        <w:rPr>
          <w:rFonts w:ascii="Arial Narrow" w:eastAsia="Calibri" w:hAnsi="Arial Narrow"/>
        </w:rPr>
        <w:t xml:space="preserve">En cuanto a la Dirección de Gestión Humana se observa </w:t>
      </w:r>
      <w:r w:rsidR="00C34B8B" w:rsidRPr="001C3F77">
        <w:rPr>
          <w:rFonts w:ascii="Arial Narrow" w:eastAsia="Calibri" w:hAnsi="Arial Narrow"/>
        </w:rPr>
        <w:t xml:space="preserve">que la Sección de Gestión de la Capacitación como responsable operativo </w:t>
      </w:r>
      <w:r w:rsidR="001C3F77" w:rsidRPr="001C3F77">
        <w:rPr>
          <w:rFonts w:ascii="Arial Narrow" w:eastAsia="Calibri" w:hAnsi="Arial Narrow"/>
        </w:rPr>
        <w:t xml:space="preserve">diseño y ejecutó los siguientes talleres: </w:t>
      </w:r>
      <w:r w:rsidR="001C3F77" w:rsidRPr="00250ABD">
        <w:rPr>
          <w:rFonts w:ascii="Arial Narrow" w:eastAsia="Calibri" w:hAnsi="Arial Narrow"/>
        </w:rPr>
        <w:t>Taller “Gestión del cambio, con la meta en la mente”, Taller “Comunicación efectiva”, Curso virtual “Administración de sistemas operativos Linux”</w:t>
      </w:r>
      <w:r w:rsidR="001C3F77">
        <w:rPr>
          <w:rFonts w:ascii="Arial Narrow" w:eastAsia="Calibri" w:hAnsi="Arial Narrow"/>
        </w:rPr>
        <w:t>,</w:t>
      </w:r>
      <w:r w:rsidR="001C3F77" w:rsidRPr="00250ABD">
        <w:rPr>
          <w:rFonts w:ascii="Arial Narrow" w:eastAsia="Calibri" w:hAnsi="Arial Narrow"/>
        </w:rPr>
        <w:t xml:space="preserve"> Curso Power BI</w:t>
      </w:r>
      <w:r w:rsidR="001C3F77">
        <w:rPr>
          <w:rFonts w:ascii="Arial Narrow" w:eastAsia="Calibri" w:hAnsi="Arial Narrow"/>
        </w:rPr>
        <w:t xml:space="preserve">, </w:t>
      </w:r>
      <w:r w:rsidR="001C3F77" w:rsidRPr="00250ABD">
        <w:rPr>
          <w:rFonts w:ascii="Arial Narrow" w:eastAsia="Calibri" w:hAnsi="Arial Narrow"/>
        </w:rPr>
        <w:t>Conceptos básicos de diseño</w:t>
      </w:r>
      <w:r w:rsidR="001C3F77">
        <w:rPr>
          <w:rFonts w:ascii="Arial Narrow" w:eastAsia="Calibri" w:hAnsi="Arial Narrow"/>
        </w:rPr>
        <w:t>.</w:t>
      </w:r>
    </w:p>
    <w:p w14:paraId="298EC25F" w14:textId="62B5A712" w:rsidR="001C3F77" w:rsidRPr="00084148" w:rsidRDefault="001C3F77" w:rsidP="00084148">
      <w:pPr>
        <w:jc w:val="both"/>
        <w:rPr>
          <w:rFonts w:ascii="Arial Narrow" w:hAnsi="Arial Narrow"/>
        </w:rPr>
      </w:pPr>
    </w:p>
    <w:p w14:paraId="25BA6624" w14:textId="4FCAB619" w:rsidR="001C3F77" w:rsidRPr="007B34A1" w:rsidRDefault="008115C3" w:rsidP="007B34A1">
      <w:pPr>
        <w:jc w:val="both"/>
        <w:rPr>
          <w:rFonts w:ascii="Arial Narrow" w:hAnsi="Arial Narrow"/>
          <w:lang w:val="es-ES"/>
        </w:rPr>
      </w:pPr>
      <w:r w:rsidRPr="00597C76">
        <w:rPr>
          <w:rFonts w:ascii="Arial Narrow" w:eastAsia="Calibri" w:hAnsi="Arial Narrow"/>
        </w:rPr>
        <w:t>La met</w:t>
      </w:r>
      <w:r w:rsidRPr="00B01769">
        <w:rPr>
          <w:rFonts w:ascii="Arial Narrow" w:eastAsia="Calibri" w:hAnsi="Arial Narrow"/>
        </w:rPr>
        <w:t>a estratégica del cuadro anterior “Que al finalizar el 2024, la Escuela Judicial y Unidades de Capacitación hayan incorporado dentro de sus actividades formativas al menos 100 productos multimedia de apoyo a la capacitación que desarrolla el Área del Servicio Técnico de la Escuela Judicial”,</w:t>
      </w:r>
      <w:r w:rsidRPr="00597C76">
        <w:rPr>
          <w:rFonts w:ascii="Arial Narrow" w:eastAsia="Calibri" w:hAnsi="Arial Narrow"/>
          <w:b/>
          <w:bCs/>
          <w:i/>
          <w:iCs/>
        </w:rPr>
        <w:t xml:space="preserve"> </w:t>
      </w:r>
      <w:r w:rsidRPr="00597C76">
        <w:rPr>
          <w:rFonts w:ascii="Arial Narrow" w:eastAsia="Calibri" w:hAnsi="Arial Narrow"/>
        </w:rPr>
        <w:t>asignada como responsable estratégico la Escuela Judicial, con diversos responsables operativos. De acuerdo con la revisión efectuada se logró determinar que para el 2019 y 2020 se tiene un cumplimiento alto del 100%.</w:t>
      </w:r>
      <w:r w:rsidRPr="00597C76">
        <w:rPr>
          <w:rFonts w:ascii="Arial Narrow" w:hAnsi="Arial Narrow"/>
        </w:rPr>
        <w:t xml:space="preserve"> Se destaca que la Sección Gestión de la Capacitación </w:t>
      </w:r>
      <w:r w:rsidR="00084148" w:rsidRPr="00597C76">
        <w:rPr>
          <w:rFonts w:ascii="Arial Narrow" w:hAnsi="Arial Narrow"/>
          <w:lang w:val="es-ES"/>
        </w:rPr>
        <w:t>incorporó a los siguientes cursos: ¡Deudas! ¿Cómo manejarlas?, Presupuesto, buscando equilibrio, Tomando el Control de mis Finanzas, Legitimación de Capitales.</w:t>
      </w:r>
      <w:r w:rsidRPr="00597C76">
        <w:rPr>
          <w:rFonts w:ascii="Arial Narrow" w:eastAsia="Calibri" w:hAnsi="Arial Narrow"/>
        </w:rPr>
        <w:t xml:space="preserve">La Unidad de Capacitación del Ministerio Público informa que </w:t>
      </w:r>
      <w:r w:rsidR="00337B09" w:rsidRPr="00597C76">
        <w:rPr>
          <w:rFonts w:ascii="Arial Narrow" w:eastAsia="Calibri" w:hAnsi="Arial Narrow"/>
        </w:rPr>
        <w:t xml:space="preserve">incorporó productos multimedia en las siguientes actividades de </w:t>
      </w:r>
      <w:r w:rsidR="00337B09" w:rsidRPr="007B34A1">
        <w:rPr>
          <w:rFonts w:ascii="Arial Narrow" w:hAnsi="Arial Narrow"/>
          <w:lang w:val="es-ES"/>
        </w:rPr>
        <w:t xml:space="preserve">capacitación: UCS medidas COVID para uso de instalaciones, Conferencia 2021: Una nueva disposición para el aprendizaje, Propiedad colectiva, video requerido para el curso especializado en asuntos indígenas, Manejo de recursos </w:t>
      </w:r>
      <w:r w:rsidR="007C5FBF" w:rsidRPr="007B34A1">
        <w:rPr>
          <w:rFonts w:ascii="Arial Narrow" w:hAnsi="Arial Narrow"/>
          <w:lang w:val="es-ES"/>
        </w:rPr>
        <w:t>naturales. Por</w:t>
      </w:r>
      <w:r w:rsidRPr="007B34A1">
        <w:rPr>
          <w:rFonts w:ascii="Arial Narrow" w:hAnsi="Arial Narrow"/>
          <w:lang w:val="es-ES"/>
        </w:rPr>
        <w:t xml:space="preserve"> su parte, la Unidad de Capacitación de la Defensa Publica detalla la</w:t>
      </w:r>
      <w:r w:rsidR="007B34A1" w:rsidRPr="007B34A1">
        <w:rPr>
          <w:rFonts w:ascii="Arial Narrow" w:hAnsi="Arial Narrow"/>
          <w:lang w:val="es-ES"/>
        </w:rPr>
        <w:t xml:space="preserve"> grabación de 6 clips para ser incorporados en las actividades sobre temáticas respectivas, los temas de las grabaciones realizadas son: Derecho Penal Teoría del Delito. Aspectos Generales Tipo Penal y Tipicidad Tipo Penal Doloso Tipo Penal Culposo Tipo Penal Omisivo Causas de </w:t>
      </w:r>
      <w:r w:rsidR="007C5FBF" w:rsidRPr="007B34A1">
        <w:rPr>
          <w:rFonts w:ascii="Arial Narrow" w:hAnsi="Arial Narrow"/>
          <w:lang w:val="es-ES"/>
        </w:rPr>
        <w:t>Justificación. La</w:t>
      </w:r>
      <w:r w:rsidRPr="007B34A1">
        <w:rPr>
          <w:rFonts w:ascii="Arial Narrow" w:hAnsi="Arial Narrow"/>
          <w:lang w:val="es-ES"/>
        </w:rPr>
        <w:t xml:space="preserve"> Unidad de Adiestramiento informa </w:t>
      </w:r>
      <w:r w:rsidR="00891D25" w:rsidRPr="007B34A1">
        <w:rPr>
          <w:rFonts w:ascii="Arial Narrow" w:hAnsi="Arial Narrow"/>
          <w:lang w:val="es-ES"/>
        </w:rPr>
        <w:t xml:space="preserve"> que se ejecutaron 5 Programas</w:t>
      </w:r>
      <w:r w:rsidR="00891D25" w:rsidRPr="00597C76">
        <w:rPr>
          <w:rFonts w:ascii="Arial Narrow" w:hAnsi="Arial Narrow"/>
        </w:rPr>
        <w:t xml:space="preserve"> de Formación Básica en Investigación Criminal de 20 personas cada programa, estos 5 programas se realizaron de una manera virtual en la que se incluyeron productos multimedia como por ejemplo: Uso de herramientas para reuniones vía Teams ,Uso de herramientas para reuniones vía Zoom para algunas personas invitadas, Google drive ,Reproducción de videos de las distintas materias que conforman estos programas básicos y Formularios por medio de </w:t>
      </w:r>
      <w:r w:rsidR="00597C76" w:rsidRPr="00597C76">
        <w:rPr>
          <w:rFonts w:ascii="Arial Narrow" w:hAnsi="Arial Narrow"/>
        </w:rPr>
        <w:t>G</w:t>
      </w:r>
      <w:r w:rsidR="00891D25" w:rsidRPr="00597C76">
        <w:rPr>
          <w:rFonts w:ascii="Arial Narrow" w:hAnsi="Arial Narrow"/>
        </w:rPr>
        <w:t xml:space="preserve">oogle </w:t>
      </w:r>
      <w:r w:rsidR="00597C76" w:rsidRPr="00597C76">
        <w:rPr>
          <w:rFonts w:ascii="Arial Narrow" w:hAnsi="Arial Narrow"/>
        </w:rPr>
        <w:t>F</w:t>
      </w:r>
      <w:r w:rsidR="00891D25" w:rsidRPr="00597C76">
        <w:rPr>
          <w:rFonts w:ascii="Arial Narrow" w:hAnsi="Arial Narrow"/>
        </w:rPr>
        <w:t>orms.</w:t>
      </w:r>
    </w:p>
    <w:p w14:paraId="1945D05A" w14:textId="6EE2B478" w:rsidR="00A2579B" w:rsidRPr="00D47E52" w:rsidRDefault="00A2579B" w:rsidP="002B68C8">
      <w:pPr>
        <w:jc w:val="both"/>
        <w:rPr>
          <w:rFonts w:ascii="Arial Narrow" w:hAnsi="Arial Narrow"/>
        </w:rPr>
      </w:pPr>
    </w:p>
    <w:p w14:paraId="0A32517D" w14:textId="77127E46" w:rsidR="0001093C" w:rsidRPr="00D47E52" w:rsidRDefault="00D47E52" w:rsidP="002B68C8">
      <w:pPr>
        <w:jc w:val="both"/>
        <w:rPr>
          <w:rFonts w:ascii="Arial Narrow" w:hAnsi="Arial Narrow"/>
        </w:rPr>
      </w:pPr>
      <w:r>
        <w:rPr>
          <w:rFonts w:ascii="Arial Narrow" w:hAnsi="Arial Narrow"/>
        </w:rPr>
        <w:t xml:space="preserve">Finalmente, se tiene que la </w:t>
      </w:r>
      <w:r w:rsidRPr="00D47E52">
        <w:rPr>
          <w:rFonts w:ascii="Arial Narrow" w:hAnsi="Arial Narrow"/>
        </w:rPr>
        <w:t>Escuela Judicial,</w:t>
      </w:r>
      <w:r>
        <w:rPr>
          <w:rFonts w:ascii="Arial Narrow" w:hAnsi="Arial Narrow"/>
        </w:rPr>
        <w:t xml:space="preserve"> </w:t>
      </w:r>
      <w:r w:rsidRPr="00D47E52">
        <w:rPr>
          <w:rFonts w:ascii="Arial Narrow" w:hAnsi="Arial Narrow"/>
        </w:rPr>
        <w:t xml:space="preserve">dentro de las actividades realizadas para el cumplimiento de </w:t>
      </w:r>
      <w:r>
        <w:rPr>
          <w:rFonts w:ascii="Arial Narrow" w:hAnsi="Arial Narrow"/>
        </w:rPr>
        <w:t>la</w:t>
      </w:r>
      <w:r w:rsidRPr="00D47E52">
        <w:rPr>
          <w:rFonts w:ascii="Arial Narrow" w:hAnsi="Arial Narrow"/>
        </w:rPr>
        <w:t xml:space="preserve"> meta </w:t>
      </w:r>
      <w:r>
        <w:rPr>
          <w:rFonts w:ascii="Arial Narrow" w:hAnsi="Arial Narrow"/>
        </w:rPr>
        <w:t>“</w:t>
      </w:r>
      <w:r w:rsidRPr="00D47E52">
        <w:rPr>
          <w:rFonts w:ascii="Arial Narrow" w:hAnsi="Arial Narrow"/>
        </w:rPr>
        <w:t>Que al finalizar el 2024, se haya implementado un sistema que permita la identificación de necesidades, organización y el seguimiento de la gestión de capacitación del personal, que incluya un registro de las personas especialistas, que apoyan los procesos de capacitación por temas</w:t>
      </w:r>
      <w:r>
        <w:rPr>
          <w:rFonts w:ascii="Arial Narrow" w:hAnsi="Arial Narrow"/>
        </w:rPr>
        <w:t>” ejecutó</w:t>
      </w:r>
      <w:r w:rsidRPr="00D47E52">
        <w:rPr>
          <w:rFonts w:ascii="Arial Narrow" w:hAnsi="Arial Narrow"/>
        </w:rPr>
        <w:t xml:space="preserve"> las siguientes actividades: La Unidad de Capacitación del MP inicio en el 2021 a utilizar SIGA y registraron alrededor de 59 actividades de capacitación. Se capacitó a Gestión del Conocimiento de la Defensa Pública en el uso del sistema y se registraron 11 actividades de capacitación. Se capacitó en el uso del sistema SIGA a la Unidad de capacitación del OIJ y en el mes de octubre 2021 se inició con el proceso de recopilación de información.</w:t>
      </w:r>
    </w:p>
    <w:p w14:paraId="37D0EBA4" w14:textId="235C4DCF" w:rsidR="001C3F77" w:rsidRDefault="001C3F77" w:rsidP="002B68C8">
      <w:pPr>
        <w:jc w:val="both"/>
        <w:rPr>
          <w:rFonts w:ascii="Arial Narrow" w:hAnsi="Arial Narrow"/>
          <w:lang w:val="es-CR" w:eastAsia="es-CR"/>
        </w:rPr>
      </w:pPr>
    </w:p>
    <w:p w14:paraId="2721D305" w14:textId="57A931F8" w:rsidR="00CF09A4" w:rsidRDefault="00CF09A4" w:rsidP="002B68C8">
      <w:pPr>
        <w:jc w:val="both"/>
        <w:rPr>
          <w:rFonts w:ascii="Arial Narrow" w:hAnsi="Arial Narrow"/>
          <w:lang w:val="es-CR" w:eastAsia="es-CR"/>
        </w:rPr>
      </w:pPr>
    </w:p>
    <w:p w14:paraId="460D048E" w14:textId="1F2720F5" w:rsidR="00195026" w:rsidRDefault="00195026" w:rsidP="00322D9B">
      <w:pPr>
        <w:pStyle w:val="Ttulo3"/>
        <w:numPr>
          <w:ilvl w:val="2"/>
          <w:numId w:val="125"/>
        </w:numPr>
        <w:rPr>
          <w:rFonts w:eastAsia="Calibri"/>
        </w:rPr>
      </w:pPr>
      <w:bookmarkStart w:id="81" w:name="_Toc106355287"/>
      <w:r w:rsidRPr="00322D9B">
        <w:rPr>
          <w:rFonts w:eastAsia="Calibri"/>
        </w:rPr>
        <w:t>Carrera</w:t>
      </w:r>
      <w:bookmarkEnd w:id="81"/>
    </w:p>
    <w:p w14:paraId="66EDCA05" w14:textId="5E320A99" w:rsidR="00D27B75" w:rsidRDefault="00D27B75" w:rsidP="00D27B75">
      <w:pPr>
        <w:rPr>
          <w:rFonts w:eastAsia="Calibri"/>
        </w:rPr>
      </w:pPr>
    </w:p>
    <w:p w14:paraId="5B9A6DBF" w14:textId="7D6578D0" w:rsidR="00AB5922" w:rsidRDefault="0001093C" w:rsidP="00322D9B">
      <w:pPr>
        <w:jc w:val="both"/>
        <w:rPr>
          <w:rFonts w:ascii="Arial Narrow" w:eastAsia="Calibri" w:hAnsi="Arial Narrow"/>
        </w:rPr>
      </w:pPr>
      <w:r w:rsidRPr="0001093C">
        <w:rPr>
          <w:rFonts w:ascii="Arial Narrow" w:eastAsia="Calibri" w:hAnsi="Arial Narrow"/>
        </w:rPr>
        <w:t>Se muestran las metas estratégicas y su cumplimiento para el 20</w:t>
      </w:r>
      <w:r>
        <w:rPr>
          <w:rFonts w:ascii="Arial Narrow" w:eastAsia="Calibri" w:hAnsi="Arial Narrow"/>
        </w:rPr>
        <w:t>21</w:t>
      </w:r>
      <w:r w:rsidRPr="0001093C">
        <w:rPr>
          <w:rFonts w:ascii="Arial Narrow" w:eastAsia="Calibri" w:hAnsi="Arial Narrow"/>
        </w:rPr>
        <w:t>. Sobre la acción de Carrera y sus 4 metas vinculadas, las cuales fueron cumplidas a un 100%.</w:t>
      </w:r>
    </w:p>
    <w:p w14:paraId="38D8AEB6" w14:textId="77777777" w:rsidR="009B2DA3" w:rsidRDefault="009B2DA3" w:rsidP="00AB5922">
      <w:pPr>
        <w:spacing w:line="360" w:lineRule="auto"/>
        <w:jc w:val="both"/>
        <w:rPr>
          <w:rFonts w:ascii="Arial Narrow" w:eastAsia="Calibri" w:hAnsi="Arial Narrow"/>
        </w:rPr>
      </w:pPr>
    </w:p>
    <w:p w14:paraId="4E710EB4" w14:textId="3F99028C" w:rsidR="00AB5922" w:rsidRDefault="009B2DA3" w:rsidP="009B2DA3">
      <w:pPr>
        <w:pStyle w:val="Descripcin"/>
        <w:jc w:val="center"/>
        <w:rPr>
          <w:rFonts w:ascii="Arial Narrow" w:eastAsia="Calibri" w:hAnsi="Arial Narrow"/>
          <w:sz w:val="24"/>
          <w:szCs w:val="24"/>
        </w:rPr>
      </w:pPr>
      <w:bookmarkStart w:id="82" w:name="_Hlk98927904"/>
      <w:r w:rsidRPr="00484CC1">
        <w:rPr>
          <w:rFonts w:ascii="Arial Narrow" w:hAnsi="Arial Narrow"/>
          <w:sz w:val="24"/>
          <w:szCs w:val="24"/>
        </w:rPr>
        <w:t>Cuadro</w:t>
      </w:r>
      <w:r>
        <w:rPr>
          <w:rFonts w:ascii="Arial Narrow" w:hAnsi="Arial Narrow"/>
          <w:sz w:val="24"/>
          <w:szCs w:val="24"/>
        </w:rPr>
        <w:t xml:space="preserve">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2F520A">
        <w:rPr>
          <w:rFonts w:ascii="Arial Narrow" w:hAnsi="Arial Narrow"/>
          <w:noProof/>
          <w:sz w:val="24"/>
          <w:szCs w:val="24"/>
        </w:rPr>
        <w:t>72</w:t>
      </w:r>
      <w:r w:rsidRPr="00484CC1">
        <w:rPr>
          <w:rFonts w:ascii="Arial Narrow" w:hAnsi="Arial Narrow"/>
          <w:sz w:val="24"/>
          <w:szCs w:val="24"/>
        </w:rPr>
        <w:fldChar w:fldCharType="end"/>
      </w:r>
      <w:r w:rsidRPr="00484CC1">
        <w:rPr>
          <w:rFonts w:ascii="Arial Narrow" w:hAnsi="Arial Narrow"/>
          <w:sz w:val="24"/>
          <w:szCs w:val="24"/>
        </w:rPr>
        <w:t xml:space="preserve"> </w:t>
      </w:r>
      <w:r w:rsidRPr="00211B03">
        <w:rPr>
          <w:rFonts w:ascii="Arial Narrow" w:eastAsia="Calibri" w:hAnsi="Arial Narrow"/>
          <w:sz w:val="24"/>
          <w:szCs w:val="24"/>
        </w:rPr>
        <w:t xml:space="preserve">Metas estratégicas de </w:t>
      </w:r>
      <w:r w:rsidR="006C213A">
        <w:rPr>
          <w:rFonts w:ascii="Arial Narrow" w:eastAsia="Calibri" w:hAnsi="Arial Narrow"/>
          <w:sz w:val="24"/>
          <w:szCs w:val="24"/>
        </w:rPr>
        <w:t>Carrera</w:t>
      </w:r>
      <w:r w:rsidRPr="00211B03">
        <w:rPr>
          <w:rFonts w:ascii="Arial Narrow" w:eastAsia="Calibri" w:hAnsi="Arial Narrow"/>
          <w:sz w:val="24"/>
          <w:szCs w:val="24"/>
        </w:rPr>
        <w:t>, y su cumplimiento para el 20</w:t>
      </w:r>
      <w:r>
        <w:rPr>
          <w:rFonts w:ascii="Arial Narrow" w:eastAsia="Calibri" w:hAnsi="Arial Narrow"/>
          <w:sz w:val="24"/>
          <w:szCs w:val="24"/>
        </w:rPr>
        <w:t xml:space="preserve">21. </w:t>
      </w:r>
    </w:p>
    <w:p w14:paraId="65DF4400" w14:textId="77777777" w:rsidR="00493029" w:rsidRPr="00493029" w:rsidRDefault="00493029" w:rsidP="00493029">
      <w:pPr>
        <w:rPr>
          <w:rFonts w:eastAsia="Calibri"/>
        </w:rPr>
      </w:pPr>
    </w:p>
    <w:bookmarkEnd w:id="82"/>
    <w:p w14:paraId="72943344" w14:textId="0F90DF2E" w:rsidR="009B2DA3" w:rsidRPr="009B2DA3" w:rsidRDefault="0067663F" w:rsidP="009B2DA3">
      <w:pPr>
        <w:rPr>
          <w:rFonts w:eastAsia="Calibri"/>
        </w:rPr>
      </w:pPr>
      <w:r>
        <w:rPr>
          <w:noProof/>
        </w:rPr>
        <w:drawing>
          <wp:inline distT="0" distB="0" distL="0" distR="0" wp14:anchorId="43CEA36E" wp14:editId="1CCBC6EF">
            <wp:extent cx="5962650" cy="3813175"/>
            <wp:effectExtent l="57150" t="57150" r="95250" b="92075"/>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r="192"/>
                    <a:stretch/>
                  </pic:blipFill>
                  <pic:spPr bwMode="auto">
                    <a:xfrm>
                      <a:off x="0" y="0"/>
                      <a:ext cx="5962650" cy="3813175"/>
                    </a:xfrm>
                    <a:prstGeom prst="rect">
                      <a:avLst/>
                    </a:prstGeom>
                    <a:ln w="127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3D82585" w14:textId="60431334" w:rsidR="005977DF" w:rsidRDefault="009B2DA3" w:rsidP="00B54439">
      <w:pPr>
        <w:spacing w:line="360" w:lineRule="auto"/>
        <w:jc w:val="center"/>
        <w:rPr>
          <w:rFonts w:ascii="Arial Narrow" w:eastAsia="Calibri" w:hAnsi="Arial Narrow"/>
        </w:rPr>
      </w:pPr>
      <w:r w:rsidRPr="004619C9">
        <w:rPr>
          <w:rFonts w:ascii="Arial Narrow" w:eastAsia="Calibri" w:hAnsi="Arial Narrow"/>
          <w:b/>
          <w:bCs/>
          <w:sz w:val="18"/>
          <w:szCs w:val="18"/>
          <w:lang w:eastAsia="en-US"/>
        </w:rPr>
        <w:t>Fuente:</w:t>
      </w:r>
      <w:r w:rsidRPr="000B4845">
        <w:rPr>
          <w:rFonts w:ascii="Arial Narrow" w:eastAsia="Calibri" w:hAnsi="Arial Narrow"/>
          <w:sz w:val="18"/>
          <w:szCs w:val="18"/>
          <w:lang w:eastAsia="en-US"/>
        </w:rPr>
        <w:t xml:space="preserve"> Sistema PEI al </w:t>
      </w:r>
      <w:r>
        <w:rPr>
          <w:rFonts w:ascii="Arial Narrow" w:eastAsia="Calibri" w:hAnsi="Arial Narrow"/>
          <w:sz w:val="18"/>
          <w:szCs w:val="18"/>
          <w:lang w:eastAsia="en-US"/>
        </w:rPr>
        <w:t>19</w:t>
      </w:r>
      <w:r w:rsidRPr="000B4845">
        <w:rPr>
          <w:rFonts w:ascii="Arial Narrow" w:eastAsia="Calibri" w:hAnsi="Arial Narrow"/>
          <w:sz w:val="18"/>
          <w:szCs w:val="18"/>
          <w:lang w:eastAsia="en-US"/>
        </w:rPr>
        <w:t xml:space="preserve"> de enero del </w:t>
      </w:r>
      <w:r>
        <w:rPr>
          <w:rFonts w:ascii="Arial Narrow" w:eastAsia="Calibri" w:hAnsi="Arial Narrow"/>
          <w:sz w:val="18"/>
          <w:szCs w:val="18"/>
          <w:lang w:eastAsia="en-US"/>
        </w:rPr>
        <w:t>2022 para el año 2021.</w:t>
      </w:r>
    </w:p>
    <w:p w14:paraId="05802F7D" w14:textId="77777777" w:rsidR="00493029" w:rsidRDefault="00493029" w:rsidP="00BB1F43">
      <w:pPr>
        <w:jc w:val="both"/>
        <w:rPr>
          <w:rFonts w:ascii="Arial Narrow" w:hAnsi="Arial Narrow"/>
        </w:rPr>
      </w:pPr>
    </w:p>
    <w:p w14:paraId="5E96657D" w14:textId="72E63B5C" w:rsidR="00BB1F43" w:rsidRPr="00BB1F43" w:rsidRDefault="00BB1F43" w:rsidP="00BB1F43">
      <w:pPr>
        <w:jc w:val="both"/>
        <w:rPr>
          <w:rFonts w:ascii="Arial Narrow" w:hAnsi="Arial Narrow"/>
        </w:rPr>
      </w:pPr>
      <w:r w:rsidRPr="00BB1F43">
        <w:rPr>
          <w:rFonts w:ascii="Arial Narrow" w:hAnsi="Arial Narrow"/>
        </w:rPr>
        <w:t>El</w:t>
      </w:r>
      <w:r w:rsidRPr="00BB1F43">
        <w:rPr>
          <w:rFonts w:ascii="Arial Narrow" w:eastAsia="Calibri" w:hAnsi="Arial Narrow"/>
        </w:rPr>
        <w:t xml:space="preserve"> Despacho de la Presidencia informa que se tiene un cumplimiento alto de 100%, para el año 2021 por medio de acciones ejecutadas como lo son el seguimiento de la elaboración de la propuesta sobre la reforma legal sobre la carrera judicial y la presentación de propuesta al órgano aprobador la cual Corte Plena en la sesión 14</w:t>
      </w:r>
      <w:r w:rsidRPr="00BB1F43">
        <w:rPr>
          <w:rFonts w:ascii="Arial Narrow" w:hAnsi="Arial Narrow"/>
        </w:rPr>
        <w:t xml:space="preserve">-21 del 12 de abril de 2021, artículo XIII. </w:t>
      </w:r>
    </w:p>
    <w:p w14:paraId="4AD37E08" w14:textId="77777777" w:rsidR="006C213A" w:rsidRDefault="006C213A" w:rsidP="00056DF2">
      <w:pPr>
        <w:jc w:val="both"/>
        <w:rPr>
          <w:rFonts w:ascii="Arial Narrow" w:eastAsia="Calibri" w:hAnsi="Arial Narrow"/>
        </w:rPr>
      </w:pPr>
    </w:p>
    <w:p w14:paraId="76FF1D34" w14:textId="084499F8" w:rsidR="005F3010" w:rsidRDefault="005F3010" w:rsidP="00056DF2">
      <w:pPr>
        <w:jc w:val="both"/>
        <w:rPr>
          <w:rFonts w:ascii="Arial Narrow" w:eastAsia="Calibri" w:hAnsi="Arial Narrow"/>
        </w:rPr>
      </w:pPr>
      <w:r>
        <w:rPr>
          <w:rFonts w:ascii="Arial Narrow" w:eastAsia="Calibri" w:hAnsi="Arial Narrow"/>
        </w:rPr>
        <w:t>El Organismo de Investigación Judicial comunica que se cuenta</w:t>
      </w:r>
      <w:r w:rsidR="00056DF2">
        <w:rPr>
          <w:rFonts w:ascii="Arial Narrow" w:eastAsia="Calibri" w:hAnsi="Arial Narrow"/>
        </w:rPr>
        <w:t xml:space="preserve"> con un modelo</w:t>
      </w:r>
      <w:r>
        <w:rPr>
          <w:rFonts w:ascii="Arial Narrow" w:eastAsia="Calibri" w:hAnsi="Arial Narrow"/>
        </w:rPr>
        <w:t xml:space="preserve"> de escalafón de puestos del Organismo de Investigación Judicial, el cual se detalla según área de investigación, medico científico y sector administrativo, así como un apartado de</w:t>
      </w:r>
      <w:r w:rsidR="00056DF2">
        <w:rPr>
          <w:rFonts w:ascii="Arial Narrow" w:eastAsia="Calibri" w:hAnsi="Arial Narrow"/>
        </w:rPr>
        <w:t xml:space="preserve"> la</w:t>
      </w:r>
      <w:r>
        <w:rPr>
          <w:rFonts w:ascii="Arial Narrow" w:eastAsia="Calibri" w:hAnsi="Arial Narrow"/>
        </w:rPr>
        <w:t xml:space="preserve"> carrera Policial, </w:t>
      </w:r>
      <w:r w:rsidRPr="005F3010">
        <w:rPr>
          <w:rFonts w:ascii="Arial Narrow" w:eastAsia="Calibri" w:hAnsi="Arial Narrow"/>
        </w:rPr>
        <w:t xml:space="preserve">sin </w:t>
      </w:r>
      <w:r w:rsidRPr="00056DF2">
        <w:rPr>
          <w:rFonts w:ascii="Arial Narrow" w:eastAsia="Calibri" w:hAnsi="Arial Narrow"/>
        </w:rPr>
        <w:t>embargo,</w:t>
      </w:r>
      <w:r w:rsidRPr="005F3010">
        <w:rPr>
          <w:rFonts w:ascii="Arial Narrow" w:eastAsia="Calibri" w:hAnsi="Arial Narrow"/>
        </w:rPr>
        <w:t xml:space="preserve"> el proyecto</w:t>
      </w:r>
      <w:r w:rsidRPr="00056DF2">
        <w:rPr>
          <w:rFonts w:ascii="Arial Narrow" w:eastAsia="Calibri" w:hAnsi="Arial Narrow"/>
        </w:rPr>
        <w:t xml:space="preserve"> </w:t>
      </w:r>
      <w:r w:rsidRPr="005F3010">
        <w:rPr>
          <w:rFonts w:ascii="Arial Narrow" w:eastAsia="Calibri" w:hAnsi="Arial Narrow"/>
        </w:rPr>
        <w:t>implica costos presupuestarios que se deben estudiar a fondo</w:t>
      </w:r>
      <w:r w:rsidR="00056DF2">
        <w:rPr>
          <w:rFonts w:ascii="Arial Narrow" w:eastAsia="Calibri" w:hAnsi="Arial Narrow"/>
        </w:rPr>
        <w:t>,</w:t>
      </w:r>
      <w:r w:rsidRPr="00056DF2">
        <w:rPr>
          <w:rFonts w:ascii="Arial Narrow" w:eastAsia="Calibri" w:hAnsi="Arial Narrow"/>
        </w:rPr>
        <w:t xml:space="preserve"> para ejecutar</w:t>
      </w:r>
      <w:r>
        <w:rPr>
          <w:rFonts w:ascii="Arial Narrow" w:eastAsia="Calibri" w:hAnsi="Arial Narrow"/>
        </w:rPr>
        <w:t xml:space="preserve"> los avances en lograr la política al finalizar el 2024.</w:t>
      </w:r>
    </w:p>
    <w:p w14:paraId="35201CC5" w14:textId="2BFC8FE7" w:rsidR="00056DF2" w:rsidRDefault="00056DF2" w:rsidP="00AB5922">
      <w:pPr>
        <w:spacing w:line="360" w:lineRule="auto"/>
        <w:jc w:val="both"/>
        <w:rPr>
          <w:rFonts w:ascii="Arial Narrow" w:eastAsia="Calibri" w:hAnsi="Arial Narrow"/>
        </w:rPr>
      </w:pPr>
    </w:p>
    <w:p w14:paraId="13295EB2" w14:textId="77EE64B3" w:rsidR="00056DF2" w:rsidRPr="00610FF5" w:rsidRDefault="00CC196C" w:rsidP="00610FF5">
      <w:pPr>
        <w:jc w:val="both"/>
        <w:rPr>
          <w:rFonts w:ascii="Arial Narrow" w:hAnsi="Arial Narrow"/>
          <w:lang w:val="es-CR" w:eastAsia="es-CR"/>
        </w:rPr>
      </w:pPr>
      <w:r w:rsidRPr="00610FF5">
        <w:rPr>
          <w:rFonts w:ascii="Arial Narrow" w:hAnsi="Arial Narrow"/>
        </w:rPr>
        <w:t xml:space="preserve">La Dirección de Gestión Humana comunica por medio de los avances realizados en el sistema </w:t>
      </w:r>
      <w:r w:rsidR="00610FF5" w:rsidRPr="00610FF5">
        <w:rPr>
          <w:rFonts w:ascii="Arial Narrow" w:hAnsi="Arial Narrow"/>
        </w:rPr>
        <w:t>PAO que</w:t>
      </w:r>
      <w:r w:rsidRPr="00610FF5">
        <w:rPr>
          <w:rFonts w:ascii="Arial Narrow" w:hAnsi="Arial Narrow"/>
        </w:rPr>
        <w:t xml:space="preserve"> para el año 2021, se </w:t>
      </w:r>
      <w:r w:rsidR="00A55858" w:rsidRPr="00610FF5">
        <w:rPr>
          <w:rFonts w:ascii="Arial Narrow" w:hAnsi="Arial Narrow"/>
        </w:rPr>
        <w:t>estable</w:t>
      </w:r>
      <w:r w:rsidRPr="00610FF5">
        <w:rPr>
          <w:rFonts w:ascii="Arial Narrow" w:hAnsi="Arial Narrow"/>
        </w:rPr>
        <w:t>ció</w:t>
      </w:r>
      <w:r w:rsidR="00A55858" w:rsidRPr="00610FF5">
        <w:rPr>
          <w:rFonts w:ascii="Arial Narrow" w:hAnsi="Arial Narrow"/>
        </w:rPr>
        <w:t xml:space="preserve"> un cronograma para trabajar los objetivos del PAO según las agendas de la jefatura y el equipo de trabajo, </w:t>
      </w:r>
      <w:r w:rsidRPr="00610FF5">
        <w:rPr>
          <w:rFonts w:ascii="Arial Narrow" w:hAnsi="Arial Narrow"/>
        </w:rPr>
        <w:t>lo cual facilitó</w:t>
      </w:r>
      <w:r w:rsidR="00A55858" w:rsidRPr="00610FF5">
        <w:rPr>
          <w:rFonts w:ascii="Arial Narrow" w:hAnsi="Arial Narrow"/>
        </w:rPr>
        <w:t xml:space="preserve"> </w:t>
      </w:r>
      <w:r w:rsidRPr="00610FF5">
        <w:rPr>
          <w:rFonts w:ascii="Arial Narrow" w:hAnsi="Arial Narrow"/>
        </w:rPr>
        <w:t>la</w:t>
      </w:r>
      <w:r w:rsidR="00A55858" w:rsidRPr="00610FF5">
        <w:rPr>
          <w:rFonts w:ascii="Arial Narrow" w:hAnsi="Arial Narrow"/>
        </w:rPr>
        <w:t xml:space="preserve"> confecci</w:t>
      </w:r>
      <w:r w:rsidRPr="00610FF5">
        <w:rPr>
          <w:rFonts w:ascii="Arial Narrow" w:hAnsi="Arial Narrow"/>
        </w:rPr>
        <w:t>ón</w:t>
      </w:r>
      <w:r w:rsidR="00A55858" w:rsidRPr="00610FF5">
        <w:rPr>
          <w:rFonts w:ascii="Arial Narrow" w:hAnsi="Arial Narrow"/>
        </w:rPr>
        <w:t xml:space="preserve"> </w:t>
      </w:r>
      <w:r w:rsidRPr="00610FF5">
        <w:rPr>
          <w:rFonts w:ascii="Arial Narrow" w:hAnsi="Arial Narrow"/>
        </w:rPr>
        <w:t>d</w:t>
      </w:r>
      <w:r w:rsidR="00A55858" w:rsidRPr="00610FF5">
        <w:rPr>
          <w:rFonts w:ascii="Arial Narrow" w:hAnsi="Arial Narrow"/>
        </w:rPr>
        <w:t>e</w:t>
      </w:r>
      <w:r w:rsidRPr="00610FF5">
        <w:rPr>
          <w:rFonts w:ascii="Arial Narrow" w:hAnsi="Arial Narrow"/>
        </w:rPr>
        <w:t xml:space="preserve"> un</w:t>
      </w:r>
      <w:r w:rsidR="00A55858" w:rsidRPr="00610FF5">
        <w:rPr>
          <w:rFonts w:ascii="Arial Narrow" w:hAnsi="Arial Narrow"/>
        </w:rPr>
        <w:t xml:space="preserve"> documento que recopila toda la normativa relacionada a procesos </w:t>
      </w:r>
      <w:r w:rsidR="00610FF5" w:rsidRPr="00610FF5">
        <w:rPr>
          <w:rFonts w:ascii="Arial Narrow" w:hAnsi="Arial Narrow"/>
        </w:rPr>
        <w:t>selectivos,</w:t>
      </w:r>
      <w:r w:rsidR="00A55858" w:rsidRPr="00610FF5">
        <w:rPr>
          <w:rFonts w:ascii="Arial Narrow" w:hAnsi="Arial Narrow"/>
        </w:rPr>
        <w:t xml:space="preserve"> así como a sistemas de carrera en los ámbitos.</w:t>
      </w:r>
      <w:r w:rsidR="00610FF5" w:rsidRPr="00610FF5">
        <w:rPr>
          <w:rFonts w:ascii="Arial Narrow" w:hAnsi="Arial Narrow"/>
        </w:rPr>
        <w:t xml:space="preserve"> Además</w:t>
      </w:r>
      <w:r w:rsidRPr="00610FF5">
        <w:rPr>
          <w:rFonts w:ascii="Arial Narrow" w:hAnsi="Arial Narrow"/>
        </w:rPr>
        <w:t xml:space="preserve">, con el objetivo de </w:t>
      </w:r>
      <w:r w:rsidR="00610FF5" w:rsidRPr="00610FF5">
        <w:rPr>
          <w:rFonts w:ascii="Arial Narrow" w:hAnsi="Arial Narrow"/>
        </w:rPr>
        <w:t xml:space="preserve">determinar las recomendaciones sobre una política de carrera administrativa en los diferentes ámbitos que componen el Poder Judicial se confeccionó un documento </w:t>
      </w:r>
      <w:r w:rsidR="00610FF5" w:rsidRPr="00A55858">
        <w:rPr>
          <w:rFonts w:ascii="Arial Narrow" w:hAnsi="Arial Narrow"/>
          <w:lang w:val="es-CR" w:eastAsia="es-CR"/>
        </w:rPr>
        <w:t xml:space="preserve">que contiene las recomendaciones para </w:t>
      </w:r>
      <w:r w:rsidR="00610FF5" w:rsidRPr="00610FF5">
        <w:rPr>
          <w:rFonts w:ascii="Arial Narrow" w:hAnsi="Arial Narrow"/>
          <w:lang w:val="es-CR" w:eastAsia="es-CR"/>
        </w:rPr>
        <w:t>el establecimiento</w:t>
      </w:r>
      <w:r w:rsidR="00610FF5" w:rsidRPr="00A55858">
        <w:rPr>
          <w:rFonts w:ascii="Arial Narrow" w:hAnsi="Arial Narrow"/>
          <w:lang w:val="es-CR" w:eastAsia="es-CR"/>
        </w:rPr>
        <w:t xml:space="preserve"> de una carrera administrativa integrando las políticas de género y vulnerabilidad de la población</w:t>
      </w:r>
      <w:r w:rsidR="00610FF5" w:rsidRPr="00610FF5">
        <w:rPr>
          <w:rFonts w:ascii="Arial Narrow" w:hAnsi="Arial Narrow"/>
          <w:lang w:val="es-CR" w:eastAsia="es-CR"/>
        </w:rPr>
        <w:t xml:space="preserve"> participante. </w:t>
      </w:r>
    </w:p>
    <w:p w14:paraId="776E3D23" w14:textId="5B2C697D" w:rsidR="00610FF5" w:rsidRPr="0048520C" w:rsidRDefault="00610FF5" w:rsidP="00AB5922">
      <w:pPr>
        <w:spacing w:line="360" w:lineRule="auto"/>
        <w:jc w:val="both"/>
        <w:rPr>
          <w:rFonts w:ascii="Arial Narrow" w:hAnsi="Arial Narrow"/>
        </w:rPr>
      </w:pPr>
    </w:p>
    <w:p w14:paraId="4CF24A36" w14:textId="35F76117" w:rsidR="0048520C" w:rsidRDefault="00610FF5" w:rsidP="00B5596C">
      <w:pPr>
        <w:jc w:val="both"/>
        <w:rPr>
          <w:rFonts w:ascii="Arial Narrow" w:hAnsi="Arial Narrow"/>
        </w:rPr>
      </w:pPr>
      <w:r w:rsidRPr="0048520C">
        <w:rPr>
          <w:rFonts w:ascii="Arial Narrow" w:hAnsi="Arial Narrow"/>
        </w:rPr>
        <w:t xml:space="preserve">Por otra parte, el Despacho de la Presidencia, </w:t>
      </w:r>
      <w:r w:rsidR="00B5596C">
        <w:rPr>
          <w:rFonts w:ascii="Arial Narrow" w:hAnsi="Arial Narrow"/>
        </w:rPr>
        <w:t>refleja</w:t>
      </w:r>
      <w:r w:rsidR="007C6AC0" w:rsidRPr="0048520C">
        <w:rPr>
          <w:rFonts w:ascii="Arial Narrow" w:hAnsi="Arial Narrow"/>
        </w:rPr>
        <w:t xml:space="preserve"> un cumplimiento alto de 100%, para el año 2021 </w:t>
      </w:r>
      <w:r w:rsidR="00B5596C">
        <w:rPr>
          <w:rFonts w:ascii="Arial Narrow" w:hAnsi="Arial Narrow"/>
        </w:rPr>
        <w:t xml:space="preserve">donde informa </w:t>
      </w:r>
      <w:r w:rsidR="0048520C" w:rsidRPr="00B5596C">
        <w:rPr>
          <w:rFonts w:ascii="Arial Narrow" w:hAnsi="Arial Narrow"/>
        </w:rPr>
        <w:t xml:space="preserve">que el equipo de trabajo entregó a la Comisión la propuesta de Reglamento del Sistema de Carrera en la Defensa Pública, no obstante, el proyecto se encuentra en etapa de consulta a los gremios, a fin de incorporar las observaciones de estén pertinentes. </w:t>
      </w:r>
      <w:r w:rsidR="00B5596C" w:rsidRPr="00B5596C">
        <w:rPr>
          <w:rFonts w:ascii="Arial Narrow" w:hAnsi="Arial Narrow"/>
        </w:rPr>
        <w:t>También comunica que se</w:t>
      </w:r>
      <w:r w:rsidR="0048520C" w:rsidRPr="00B5596C">
        <w:rPr>
          <w:rFonts w:ascii="Arial Narrow" w:hAnsi="Arial Narrow"/>
        </w:rPr>
        <w:t xml:space="preserve"> está consolidando el Reglamento con la Dirección de Gestión Humana en un proceso que tiene proyectada una duración de dos meses para su finalizació</w:t>
      </w:r>
      <w:r w:rsidR="00B5596C" w:rsidRPr="00B5596C">
        <w:rPr>
          <w:rFonts w:ascii="Arial Narrow" w:hAnsi="Arial Narrow"/>
        </w:rPr>
        <w:t xml:space="preserve">n. </w:t>
      </w:r>
    </w:p>
    <w:p w14:paraId="27FD9348" w14:textId="77777777" w:rsidR="00D27B75" w:rsidRPr="00B5596C" w:rsidRDefault="00D27B75" w:rsidP="00B5596C">
      <w:pPr>
        <w:jc w:val="both"/>
        <w:rPr>
          <w:rFonts w:ascii="Arial Narrow" w:hAnsi="Arial Narrow"/>
        </w:rPr>
      </w:pPr>
    </w:p>
    <w:p w14:paraId="624DF2D2" w14:textId="24511A61" w:rsidR="00AB5922" w:rsidRPr="00322D9B" w:rsidRDefault="00AB5922" w:rsidP="00322D9B">
      <w:pPr>
        <w:pStyle w:val="Ttulo3"/>
        <w:numPr>
          <w:ilvl w:val="2"/>
          <w:numId w:val="125"/>
        </w:numPr>
        <w:rPr>
          <w:rFonts w:eastAsia="Calibri"/>
        </w:rPr>
      </w:pPr>
      <w:bookmarkStart w:id="83" w:name="_Toc106355288"/>
      <w:r w:rsidRPr="00322D9B">
        <w:rPr>
          <w:rFonts w:eastAsia="Calibri"/>
        </w:rPr>
        <w:t>Bienestar y Salud</w:t>
      </w:r>
      <w:bookmarkEnd w:id="83"/>
    </w:p>
    <w:p w14:paraId="576B2D34" w14:textId="0073E581" w:rsidR="00AB5922" w:rsidRDefault="00AB5922" w:rsidP="00AB5922">
      <w:pPr>
        <w:rPr>
          <w:rFonts w:ascii="Arial Narrow" w:eastAsia="Calibri" w:hAnsi="Arial Narrow"/>
          <w:lang w:eastAsia="en-US"/>
        </w:rPr>
      </w:pPr>
      <w:bookmarkStart w:id="84" w:name="_Toc52979249"/>
      <w:bookmarkStart w:id="85" w:name="_Hlk53475320"/>
      <w:bookmarkEnd w:id="84"/>
    </w:p>
    <w:p w14:paraId="3A909822" w14:textId="3A9ED5FF" w:rsidR="00B0549C" w:rsidRPr="00704B08" w:rsidRDefault="00B0549C" w:rsidP="00B0549C">
      <w:pPr>
        <w:spacing w:line="360" w:lineRule="auto"/>
        <w:jc w:val="both"/>
        <w:rPr>
          <w:rFonts w:ascii="Arial Narrow" w:hAnsi="Arial Narrow" w:cs="Segoe UI"/>
          <w:sz w:val="21"/>
          <w:szCs w:val="21"/>
          <w:lang w:val="es-CR" w:eastAsia="es-CR"/>
        </w:rPr>
      </w:pPr>
      <w:r w:rsidRPr="00704B08">
        <w:rPr>
          <w:rFonts w:ascii="Arial Narrow" w:hAnsi="Arial Narrow" w:cs="Segoe UI"/>
          <w:lang w:eastAsia="es-CR"/>
        </w:rPr>
        <w:t xml:space="preserve">Se observan 4 metas estratégicas de las cuales </w:t>
      </w:r>
      <w:r>
        <w:rPr>
          <w:rFonts w:ascii="Arial Narrow" w:hAnsi="Arial Narrow" w:cs="Segoe UI"/>
          <w:lang w:eastAsia="es-CR"/>
        </w:rPr>
        <w:t>todas</w:t>
      </w:r>
      <w:r w:rsidRPr="00704B08">
        <w:rPr>
          <w:rFonts w:ascii="Arial Narrow" w:hAnsi="Arial Narrow" w:cs="Segoe UI"/>
          <w:lang w:eastAsia="es-CR"/>
        </w:rPr>
        <w:t xml:space="preserve"> muestran una ejecución alta en su cumplimiento. Se detalla a continuación las metas estratégicas y su cumplimiento para el 20</w:t>
      </w:r>
      <w:r>
        <w:rPr>
          <w:rFonts w:ascii="Arial Narrow" w:hAnsi="Arial Narrow" w:cs="Segoe UI"/>
          <w:lang w:eastAsia="es-CR"/>
        </w:rPr>
        <w:t>21</w:t>
      </w:r>
      <w:r w:rsidRPr="00704B08">
        <w:rPr>
          <w:rFonts w:ascii="Arial Narrow" w:hAnsi="Arial Narrow" w:cs="Segoe UI"/>
          <w:lang w:eastAsia="es-CR"/>
        </w:rPr>
        <w:t>:</w:t>
      </w:r>
    </w:p>
    <w:p w14:paraId="70885548" w14:textId="0434D178" w:rsidR="00497538" w:rsidRDefault="00497538" w:rsidP="00AB5922">
      <w:pPr>
        <w:rPr>
          <w:rFonts w:ascii="Arial Narrow" w:eastAsia="Calibri" w:hAnsi="Arial Narrow"/>
          <w:lang w:eastAsia="en-US"/>
        </w:rPr>
      </w:pPr>
    </w:p>
    <w:p w14:paraId="584B91BE" w14:textId="6926B208" w:rsidR="00B0549C" w:rsidRDefault="00B0549C" w:rsidP="00B0549C">
      <w:pPr>
        <w:pStyle w:val="Descripcin"/>
        <w:jc w:val="center"/>
        <w:rPr>
          <w:rFonts w:ascii="Arial Narrow" w:eastAsia="Calibri" w:hAnsi="Arial Narrow"/>
          <w:sz w:val="24"/>
          <w:szCs w:val="24"/>
        </w:rPr>
      </w:pPr>
      <w:r w:rsidRPr="00484CC1">
        <w:rPr>
          <w:rFonts w:ascii="Arial Narrow" w:hAnsi="Arial Narrow"/>
          <w:sz w:val="24"/>
          <w:szCs w:val="24"/>
        </w:rPr>
        <w:t>Cuadro</w:t>
      </w:r>
      <w:r>
        <w:rPr>
          <w:rFonts w:ascii="Arial Narrow" w:hAnsi="Arial Narrow"/>
          <w:sz w:val="24"/>
          <w:szCs w:val="24"/>
        </w:rPr>
        <w:t xml:space="preserve">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2F520A">
        <w:rPr>
          <w:rFonts w:ascii="Arial Narrow" w:hAnsi="Arial Narrow"/>
          <w:noProof/>
          <w:sz w:val="24"/>
          <w:szCs w:val="24"/>
        </w:rPr>
        <w:t>73</w:t>
      </w:r>
      <w:r w:rsidRPr="00484CC1">
        <w:rPr>
          <w:rFonts w:ascii="Arial Narrow" w:hAnsi="Arial Narrow"/>
          <w:sz w:val="24"/>
          <w:szCs w:val="24"/>
        </w:rPr>
        <w:fldChar w:fldCharType="end"/>
      </w:r>
      <w:r w:rsidRPr="00484CC1">
        <w:rPr>
          <w:rFonts w:ascii="Arial Narrow" w:hAnsi="Arial Narrow"/>
          <w:sz w:val="24"/>
          <w:szCs w:val="24"/>
        </w:rPr>
        <w:t xml:space="preserve"> </w:t>
      </w:r>
      <w:r w:rsidRPr="00211B03">
        <w:rPr>
          <w:rFonts w:ascii="Arial Narrow" w:eastAsia="Calibri" w:hAnsi="Arial Narrow"/>
          <w:sz w:val="24"/>
          <w:szCs w:val="24"/>
        </w:rPr>
        <w:t xml:space="preserve">Metas estratégicas de </w:t>
      </w:r>
      <w:r w:rsidR="006C213A">
        <w:rPr>
          <w:rFonts w:ascii="Arial Narrow" w:eastAsia="Calibri" w:hAnsi="Arial Narrow"/>
          <w:sz w:val="24"/>
          <w:szCs w:val="24"/>
        </w:rPr>
        <w:t>Bienestar y Salud</w:t>
      </w:r>
      <w:r w:rsidRPr="00211B03">
        <w:rPr>
          <w:rFonts w:ascii="Arial Narrow" w:eastAsia="Calibri" w:hAnsi="Arial Narrow"/>
          <w:sz w:val="24"/>
          <w:szCs w:val="24"/>
        </w:rPr>
        <w:t>, y su cumplimiento para el 20</w:t>
      </w:r>
      <w:r>
        <w:rPr>
          <w:rFonts w:ascii="Arial Narrow" w:eastAsia="Calibri" w:hAnsi="Arial Narrow"/>
          <w:sz w:val="24"/>
          <w:szCs w:val="24"/>
        </w:rPr>
        <w:t xml:space="preserve">21. </w:t>
      </w:r>
    </w:p>
    <w:p w14:paraId="0860E0AC" w14:textId="1F591EC8" w:rsidR="00497538" w:rsidRDefault="0067663F" w:rsidP="0067663F">
      <w:pPr>
        <w:jc w:val="center"/>
        <w:rPr>
          <w:rFonts w:ascii="Arial Narrow" w:eastAsia="Calibri" w:hAnsi="Arial Narrow"/>
          <w:lang w:eastAsia="en-US"/>
        </w:rPr>
      </w:pPr>
      <w:r>
        <w:rPr>
          <w:noProof/>
        </w:rPr>
        <w:drawing>
          <wp:inline distT="0" distB="0" distL="0" distR="0" wp14:anchorId="52AA6041" wp14:editId="4EAD0103">
            <wp:extent cx="5657850" cy="3047779"/>
            <wp:effectExtent l="57150" t="57150" r="95250" b="95885"/>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r="510"/>
                    <a:stretch/>
                  </pic:blipFill>
                  <pic:spPr bwMode="auto">
                    <a:xfrm>
                      <a:off x="0" y="0"/>
                      <a:ext cx="5687642" cy="3063827"/>
                    </a:xfrm>
                    <a:prstGeom prst="rect">
                      <a:avLst/>
                    </a:prstGeom>
                    <a:ln w="127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69F1FE3" w14:textId="77777777" w:rsidR="00B0549C" w:rsidRDefault="00B0549C" w:rsidP="00B54439">
      <w:pPr>
        <w:spacing w:line="360" w:lineRule="auto"/>
        <w:jc w:val="center"/>
        <w:rPr>
          <w:rFonts w:ascii="Arial Narrow" w:eastAsia="Calibri" w:hAnsi="Arial Narrow"/>
        </w:rPr>
      </w:pPr>
      <w:r w:rsidRPr="004619C9">
        <w:rPr>
          <w:rFonts w:ascii="Arial Narrow" w:eastAsia="Calibri" w:hAnsi="Arial Narrow"/>
          <w:b/>
          <w:bCs/>
          <w:sz w:val="18"/>
          <w:szCs w:val="18"/>
          <w:lang w:eastAsia="en-US"/>
        </w:rPr>
        <w:t>Fuente:</w:t>
      </w:r>
      <w:r w:rsidRPr="000B4845">
        <w:rPr>
          <w:rFonts w:ascii="Arial Narrow" w:eastAsia="Calibri" w:hAnsi="Arial Narrow"/>
          <w:sz w:val="18"/>
          <w:szCs w:val="18"/>
          <w:lang w:eastAsia="en-US"/>
        </w:rPr>
        <w:t xml:space="preserve"> Sistema PEI al </w:t>
      </w:r>
      <w:r>
        <w:rPr>
          <w:rFonts w:ascii="Arial Narrow" w:eastAsia="Calibri" w:hAnsi="Arial Narrow"/>
          <w:sz w:val="18"/>
          <w:szCs w:val="18"/>
          <w:lang w:eastAsia="en-US"/>
        </w:rPr>
        <w:t>19</w:t>
      </w:r>
      <w:r w:rsidRPr="000B4845">
        <w:rPr>
          <w:rFonts w:ascii="Arial Narrow" w:eastAsia="Calibri" w:hAnsi="Arial Narrow"/>
          <w:sz w:val="18"/>
          <w:szCs w:val="18"/>
          <w:lang w:eastAsia="en-US"/>
        </w:rPr>
        <w:t xml:space="preserve"> de enero del </w:t>
      </w:r>
      <w:r>
        <w:rPr>
          <w:rFonts w:ascii="Arial Narrow" w:eastAsia="Calibri" w:hAnsi="Arial Narrow"/>
          <w:sz w:val="18"/>
          <w:szCs w:val="18"/>
          <w:lang w:eastAsia="en-US"/>
        </w:rPr>
        <w:t>2022 para el año 2021.</w:t>
      </w:r>
    </w:p>
    <w:p w14:paraId="260DBF0F" w14:textId="77777777" w:rsidR="009A5F37" w:rsidRDefault="009A5F37" w:rsidP="00AB5922">
      <w:pPr>
        <w:rPr>
          <w:rFonts w:ascii="Times New Roman" w:hAnsi="Times New Roman"/>
          <w:lang w:val="es-CR" w:eastAsia="es-CR"/>
        </w:rPr>
      </w:pPr>
    </w:p>
    <w:p w14:paraId="445EDA71" w14:textId="5CED0975" w:rsidR="00497538" w:rsidRPr="0032684D" w:rsidRDefault="009A5F37" w:rsidP="0032684D">
      <w:pPr>
        <w:jc w:val="both"/>
        <w:rPr>
          <w:rFonts w:ascii="Arial Narrow" w:eastAsia="Calibri" w:hAnsi="Arial Narrow"/>
          <w:lang w:eastAsia="en-US"/>
        </w:rPr>
      </w:pPr>
      <w:r w:rsidRPr="0032684D">
        <w:rPr>
          <w:rFonts w:ascii="Arial Narrow" w:hAnsi="Arial Narrow"/>
          <w:lang w:val="es-CR" w:eastAsia="es-CR"/>
        </w:rPr>
        <w:t xml:space="preserve">La Dirección </w:t>
      </w:r>
      <w:r w:rsidR="0032684D" w:rsidRPr="0032684D">
        <w:rPr>
          <w:rFonts w:ascii="Arial Narrow" w:hAnsi="Arial Narrow"/>
          <w:lang w:val="es-CR" w:eastAsia="es-CR"/>
        </w:rPr>
        <w:t xml:space="preserve">de Gestión </w:t>
      </w:r>
      <w:r w:rsidRPr="0032684D">
        <w:rPr>
          <w:rFonts w:ascii="Arial Narrow" w:hAnsi="Arial Narrow"/>
          <w:lang w:val="es-CR" w:eastAsia="es-CR"/>
        </w:rPr>
        <w:t xml:space="preserve">Humana </w:t>
      </w:r>
      <w:r w:rsidRPr="009A5F37">
        <w:rPr>
          <w:rFonts w:ascii="Arial Narrow" w:hAnsi="Arial Narrow"/>
          <w:lang w:val="es-CR" w:eastAsia="es-CR"/>
        </w:rPr>
        <w:t>efectuó el alineamiento de los 134 servicios que ejecutan las seis secciones de Desarrollo Humano con respecto a los pilares definidos en la Política de Bienestar y Salud para la población Judicial.</w:t>
      </w:r>
      <w:r w:rsidR="0032684D" w:rsidRPr="0032684D">
        <w:rPr>
          <w:rFonts w:ascii="Arial Narrow" w:hAnsi="Arial Narrow"/>
          <w:lang w:val="es-CR" w:eastAsia="es-CR"/>
        </w:rPr>
        <w:t xml:space="preserve"> Además, por parte del Subproceso de Gestión del Desempeño elaboró el </w:t>
      </w:r>
      <w:r w:rsidR="00E27636" w:rsidRPr="0032684D">
        <w:rPr>
          <w:rFonts w:ascii="Arial Narrow" w:hAnsi="Arial Narrow"/>
          <w:lang w:val="es-CR" w:eastAsia="es-CR"/>
        </w:rPr>
        <w:t>segundo informe del análisis de cada uno de los planes de evaluación, de las acciones de mejora que se incluyeron a las personas</w:t>
      </w:r>
      <w:r w:rsidR="0032684D" w:rsidRPr="0032684D">
        <w:rPr>
          <w:rFonts w:ascii="Arial Narrow" w:hAnsi="Arial Narrow"/>
          <w:lang w:val="es-CR" w:eastAsia="es-CR"/>
        </w:rPr>
        <w:t xml:space="preserve"> </w:t>
      </w:r>
      <w:r w:rsidR="00E27636" w:rsidRPr="0032684D">
        <w:rPr>
          <w:rFonts w:ascii="Arial Narrow" w:hAnsi="Arial Narrow"/>
          <w:lang w:val="es-CR" w:eastAsia="es-CR"/>
        </w:rPr>
        <w:t>evaluadas, correspondiente al periodo de evaluación 2020.</w:t>
      </w:r>
    </w:p>
    <w:p w14:paraId="5FA4C555" w14:textId="1C916364" w:rsidR="00497538" w:rsidRDefault="00497538" w:rsidP="005A2A2F">
      <w:pPr>
        <w:jc w:val="both"/>
        <w:rPr>
          <w:rFonts w:ascii="Arial Narrow" w:eastAsia="Calibri" w:hAnsi="Arial Narrow"/>
          <w:lang w:eastAsia="en-US"/>
        </w:rPr>
      </w:pPr>
    </w:p>
    <w:p w14:paraId="3B0E15BA" w14:textId="77777777" w:rsidR="004A1B8B" w:rsidRDefault="005A2A2F" w:rsidP="005A2A2F">
      <w:pPr>
        <w:jc w:val="both"/>
        <w:rPr>
          <w:rStyle w:val="markedcontent"/>
          <w:rFonts w:ascii="Arial Narrow" w:hAnsi="Arial Narrow" w:cs="Arial"/>
        </w:rPr>
      </w:pPr>
      <w:r w:rsidRPr="005A2A2F">
        <w:rPr>
          <w:rFonts w:ascii="Arial Narrow" w:hAnsi="Arial Narrow"/>
          <w:lang w:val="es-CR" w:eastAsia="es-CR"/>
        </w:rPr>
        <w:t xml:space="preserve">Por otra parte, la Oficina de Atención a la Víctima de Delitos Con el apoyo del comité de autocuidado procedió con el diseño del curso “Estrés laboral, burnout y estrategias para mitigarlos, dirigido a un grupo de funcionarios y funcionarias que prestan un servicio público”. </w:t>
      </w:r>
      <w:r w:rsidRPr="005A2A2F">
        <w:rPr>
          <w:rStyle w:val="markedcontent"/>
          <w:rFonts w:ascii="Arial Narrow" w:hAnsi="Arial Narrow" w:cs="Arial"/>
        </w:rPr>
        <w:t>En 2021, se procedió con la aplicación de una encuesta a fin de definir la línea de capacitación</w:t>
      </w:r>
      <w:r w:rsidR="004A1B8B">
        <w:rPr>
          <w:rStyle w:val="markedcontent"/>
          <w:rFonts w:ascii="Arial Narrow" w:hAnsi="Arial Narrow" w:cs="Arial"/>
        </w:rPr>
        <w:t xml:space="preserve"> </w:t>
      </w:r>
      <w:r w:rsidRPr="005A2A2F">
        <w:rPr>
          <w:rStyle w:val="markedcontent"/>
          <w:rFonts w:ascii="Arial Narrow" w:hAnsi="Arial Narrow" w:cs="Arial"/>
        </w:rPr>
        <w:t>en tema de autocuidado para el año en curso, de los resultados se desprende que el mayor</w:t>
      </w:r>
      <w:r w:rsidR="004A1B8B">
        <w:rPr>
          <w:rStyle w:val="markedcontent"/>
          <w:rFonts w:ascii="Arial Narrow" w:hAnsi="Arial Narrow" w:cs="Arial"/>
        </w:rPr>
        <w:t xml:space="preserve"> </w:t>
      </w:r>
      <w:r w:rsidRPr="005A2A2F">
        <w:rPr>
          <w:rStyle w:val="markedcontent"/>
          <w:rFonts w:ascii="Arial Narrow" w:hAnsi="Arial Narrow" w:cs="Arial"/>
        </w:rPr>
        <w:t>interés del personal es por el autocuidado laboral, enfocado aprender a identificar y tratar</w:t>
      </w:r>
      <w:r w:rsidR="004A1B8B">
        <w:rPr>
          <w:rStyle w:val="markedcontent"/>
          <w:rFonts w:ascii="Arial Narrow" w:hAnsi="Arial Narrow" w:cs="Arial"/>
        </w:rPr>
        <w:t xml:space="preserve"> </w:t>
      </w:r>
      <w:r w:rsidRPr="005A2A2F">
        <w:rPr>
          <w:rStyle w:val="markedcontent"/>
          <w:rFonts w:ascii="Arial Narrow" w:hAnsi="Arial Narrow" w:cs="Arial"/>
        </w:rPr>
        <w:t>la ansiedad y el estrés a tiempo, a fin de prevenir el síndrome de Burnout o síndrome de</w:t>
      </w:r>
    </w:p>
    <w:p w14:paraId="4B6334AE" w14:textId="5D238A0E" w:rsidR="00497538" w:rsidRPr="004A1B8B" w:rsidRDefault="005A2A2F" w:rsidP="005A2A2F">
      <w:pPr>
        <w:jc w:val="both"/>
        <w:rPr>
          <w:rFonts w:ascii="Arial Narrow" w:hAnsi="Arial Narrow" w:cs="Arial"/>
        </w:rPr>
      </w:pPr>
      <w:r w:rsidRPr="005A2A2F">
        <w:rPr>
          <w:rStyle w:val="markedcontent"/>
          <w:rFonts w:ascii="Arial Narrow" w:hAnsi="Arial Narrow" w:cs="Arial"/>
        </w:rPr>
        <w:t>desgaste el cual es un estado de agotamiento mental, emocional y físico que se presenta</w:t>
      </w:r>
      <w:r w:rsidR="004A1B8B">
        <w:rPr>
          <w:rStyle w:val="markedcontent"/>
          <w:rFonts w:ascii="Arial Narrow" w:hAnsi="Arial Narrow" w:cs="Arial"/>
        </w:rPr>
        <w:t xml:space="preserve"> </w:t>
      </w:r>
      <w:r w:rsidRPr="005A2A2F">
        <w:rPr>
          <w:rStyle w:val="markedcontent"/>
          <w:rFonts w:ascii="Arial Narrow" w:hAnsi="Arial Narrow" w:cs="Arial"/>
        </w:rPr>
        <w:t>como resultado de exigencias agobiantes, estrés crónico o insatisfacción laboral, suele</w:t>
      </w:r>
      <w:r w:rsidR="004A1B8B">
        <w:rPr>
          <w:rStyle w:val="markedcontent"/>
          <w:rFonts w:ascii="Arial Narrow" w:hAnsi="Arial Narrow" w:cs="Arial"/>
        </w:rPr>
        <w:t xml:space="preserve"> </w:t>
      </w:r>
      <w:r w:rsidRPr="005A2A2F">
        <w:rPr>
          <w:rStyle w:val="markedcontent"/>
          <w:rFonts w:ascii="Arial Narrow" w:hAnsi="Arial Narrow" w:cs="Arial"/>
        </w:rPr>
        <w:t>presentarse con mayor frecuencia en aquellos puestos de trabajo relacionados con atención</w:t>
      </w:r>
      <w:r w:rsidR="004A1B8B">
        <w:rPr>
          <w:rStyle w:val="markedcontent"/>
          <w:rFonts w:ascii="Arial Narrow" w:hAnsi="Arial Narrow" w:cs="Arial"/>
        </w:rPr>
        <w:t xml:space="preserve"> </w:t>
      </w:r>
      <w:r w:rsidRPr="005A2A2F">
        <w:rPr>
          <w:rStyle w:val="markedcontent"/>
          <w:rFonts w:ascii="Arial Narrow" w:hAnsi="Arial Narrow" w:cs="Arial"/>
        </w:rPr>
        <w:t>a terceros</w:t>
      </w:r>
      <w:r w:rsidR="004A1B8B">
        <w:rPr>
          <w:rStyle w:val="markedcontent"/>
          <w:rFonts w:ascii="Arial Narrow" w:hAnsi="Arial Narrow" w:cs="Arial"/>
        </w:rPr>
        <w:t>.</w:t>
      </w:r>
    </w:p>
    <w:p w14:paraId="2EFCE099" w14:textId="14BD4030" w:rsidR="00497538" w:rsidRDefault="00497538" w:rsidP="00AB5922">
      <w:pPr>
        <w:rPr>
          <w:rFonts w:ascii="Arial Narrow" w:eastAsia="Calibri" w:hAnsi="Arial Narrow"/>
          <w:lang w:eastAsia="en-US"/>
        </w:rPr>
      </w:pPr>
    </w:p>
    <w:p w14:paraId="096E06E3" w14:textId="7B64E946" w:rsidR="00497538" w:rsidRPr="00C66C63" w:rsidRDefault="00497538" w:rsidP="00C66C63">
      <w:pPr>
        <w:jc w:val="both"/>
        <w:rPr>
          <w:rFonts w:ascii="Arial Narrow" w:eastAsia="Calibri" w:hAnsi="Arial Narrow"/>
          <w:lang w:eastAsia="en-US"/>
        </w:rPr>
      </w:pPr>
    </w:p>
    <w:p w14:paraId="343B60E0" w14:textId="651194BB" w:rsidR="00C66C63" w:rsidRDefault="00C66C63" w:rsidP="00C66C63">
      <w:pPr>
        <w:jc w:val="both"/>
        <w:rPr>
          <w:rFonts w:ascii="Arial Narrow" w:hAnsi="Arial Narrow"/>
        </w:rPr>
      </w:pPr>
      <w:r w:rsidRPr="00C66C63">
        <w:rPr>
          <w:rFonts w:ascii="Arial Narrow" w:eastAsia="Calibri" w:hAnsi="Arial Narrow"/>
          <w:lang w:eastAsia="en-US"/>
        </w:rPr>
        <w:t xml:space="preserve">Seguido, se tiene que la Dirección de Gestión Humana realizó </w:t>
      </w:r>
      <w:r w:rsidR="00074C15" w:rsidRPr="00C66C63">
        <w:rPr>
          <w:rFonts w:ascii="Arial Narrow" w:eastAsia="Calibri" w:hAnsi="Arial Narrow"/>
          <w:lang w:eastAsia="en-US"/>
        </w:rPr>
        <w:t>los trámites correspondientes ante el Consejo de Salud Ocupacional (CSO) para obtener una recertificación del sello COVID-</w:t>
      </w:r>
      <w:r w:rsidRPr="00C66C63">
        <w:rPr>
          <w:rFonts w:ascii="Arial Narrow" w:eastAsia="Calibri" w:hAnsi="Arial Narrow"/>
          <w:lang w:eastAsia="en-US"/>
        </w:rPr>
        <w:t xml:space="preserve">19, así como también definió el </w:t>
      </w:r>
      <w:r w:rsidRPr="00074C15">
        <w:rPr>
          <w:rFonts w:ascii="Arial Narrow" w:hAnsi="Arial Narrow"/>
          <w:lang w:val="es-CR" w:eastAsia="es-CR"/>
        </w:rPr>
        <w:t>el plan para la apertura del Servicio de Salud de San Ramón, para lo cual se aplicó un diagnóstico en salud y se establece la apertura</w:t>
      </w:r>
      <w:r w:rsidRPr="00C66C63">
        <w:rPr>
          <w:rFonts w:ascii="Arial Narrow" w:hAnsi="Arial Narrow"/>
          <w:lang w:val="es-CR" w:eastAsia="es-CR"/>
        </w:rPr>
        <w:t xml:space="preserve"> y realizó </w:t>
      </w:r>
      <w:r w:rsidRPr="00C66C63">
        <w:rPr>
          <w:rFonts w:ascii="Arial Narrow" w:hAnsi="Arial Narrow"/>
        </w:rPr>
        <w:t>campañas de sensibilización en temas de salud para la población</w:t>
      </w:r>
      <w:r>
        <w:rPr>
          <w:rFonts w:ascii="Arial Narrow" w:hAnsi="Arial Narrow"/>
        </w:rPr>
        <w:t xml:space="preserve">. De esta manera se logra evidenciar el cumplimiento alto del 100% para el año 2021. </w:t>
      </w:r>
    </w:p>
    <w:p w14:paraId="6E83B681" w14:textId="4DFD5445" w:rsidR="00C66C63" w:rsidRDefault="00C66C63" w:rsidP="00C66C63">
      <w:pPr>
        <w:jc w:val="both"/>
        <w:rPr>
          <w:rFonts w:ascii="Arial Narrow" w:hAnsi="Arial Narrow"/>
        </w:rPr>
      </w:pPr>
    </w:p>
    <w:p w14:paraId="39341785" w14:textId="14224127" w:rsidR="00E52172" w:rsidRDefault="00037538" w:rsidP="00037538">
      <w:pPr>
        <w:jc w:val="both"/>
        <w:rPr>
          <w:rFonts w:ascii="Arial Narrow" w:eastAsia="Calibri" w:hAnsi="Arial Narrow"/>
        </w:rPr>
      </w:pPr>
      <w:r w:rsidRPr="00037538">
        <w:rPr>
          <w:rFonts w:ascii="Arial Narrow" w:eastAsia="Calibri" w:hAnsi="Arial Narrow"/>
        </w:rPr>
        <w:t>La meta estratégica “</w:t>
      </w:r>
      <w:r w:rsidRPr="00037538">
        <w:rPr>
          <w:rFonts w:ascii="Arial Narrow" w:eastAsia="Calibri" w:hAnsi="Arial Narrow"/>
          <w:lang w:eastAsia="en-US"/>
        </w:rPr>
        <w:t>Que al finalizar el 2024, se haya revisado y actualizado el reglamento de vestimenta, acorde a la infraestructura física, condiciones ambientales y temperatura</w:t>
      </w:r>
      <w:r w:rsidRPr="00037538">
        <w:rPr>
          <w:rFonts w:ascii="Arial Narrow" w:eastAsia="Calibri" w:hAnsi="Arial Narrow"/>
          <w:b/>
          <w:bCs/>
          <w:i/>
          <w:iCs/>
          <w:lang w:eastAsia="en-US"/>
        </w:rPr>
        <w:t xml:space="preserve">”. </w:t>
      </w:r>
      <w:r w:rsidRPr="00037538">
        <w:rPr>
          <w:rFonts w:ascii="Arial Narrow" w:eastAsia="Calibri" w:hAnsi="Arial Narrow"/>
        </w:rPr>
        <w:t>fue completada a un 100% desde el enfoque operativo de lo esperado para e</w:t>
      </w:r>
      <w:r>
        <w:rPr>
          <w:rFonts w:ascii="Arial Narrow" w:eastAsia="Calibri" w:hAnsi="Arial Narrow"/>
        </w:rPr>
        <w:t>l año 2021</w:t>
      </w:r>
      <w:r w:rsidRPr="00037538">
        <w:rPr>
          <w:rFonts w:ascii="Arial Narrow" w:eastAsia="Calibri" w:hAnsi="Arial Narrow"/>
        </w:rPr>
        <w:t xml:space="preserve">, donde se manifiesta en los documentos de evidencia que se realizan esfuerzos para avanzar en el Reglamento de Vestimenta de acuerdo con las coordinaciones entre la Comision de Acceso a la Justicia, Comision de Salud Ocupacional y otros analizar el reglamento de Vestimenta actual </w:t>
      </w:r>
      <w:r>
        <w:rPr>
          <w:rFonts w:ascii="Arial Narrow" w:eastAsia="Calibri" w:hAnsi="Arial Narrow"/>
        </w:rPr>
        <w:t>para</w:t>
      </w:r>
      <w:r w:rsidRPr="00037538">
        <w:rPr>
          <w:rFonts w:ascii="Arial Narrow" w:eastAsia="Calibri" w:hAnsi="Arial Narrow"/>
        </w:rPr>
        <w:t xml:space="preserve"> incorporar situaciones relacionadas a clima, infraestructura, cultura, entre otros.</w:t>
      </w:r>
    </w:p>
    <w:p w14:paraId="5CF3E4AC" w14:textId="77777777" w:rsidR="00E52172" w:rsidRPr="00C66C63" w:rsidRDefault="00E52172" w:rsidP="00C66C63">
      <w:pPr>
        <w:jc w:val="both"/>
        <w:rPr>
          <w:rFonts w:ascii="Arial Narrow" w:eastAsia="Calibri" w:hAnsi="Arial Narrow"/>
          <w:lang w:eastAsia="en-US"/>
        </w:rPr>
      </w:pPr>
    </w:p>
    <w:p w14:paraId="260B2AB4" w14:textId="77777777" w:rsidR="00100134" w:rsidRDefault="00E26029" w:rsidP="00E26029">
      <w:pPr>
        <w:spacing w:after="160"/>
        <w:jc w:val="both"/>
        <w:rPr>
          <w:rFonts w:ascii="Arial Narrow" w:eastAsiaTheme="minorHAnsi" w:hAnsi="Arial Narrow" w:cstheme="minorBidi"/>
          <w:lang w:val="es-CR" w:eastAsia="en-US"/>
        </w:rPr>
      </w:pPr>
      <w:r w:rsidRPr="002926F1">
        <w:rPr>
          <w:rFonts w:ascii="Arial Narrow" w:eastAsiaTheme="minorHAnsi" w:hAnsi="Arial Narrow" w:cstheme="minorBidi"/>
          <w:lang w:val="es-CR" w:eastAsia="en-US"/>
        </w:rPr>
        <w:t xml:space="preserve">Finalmente, con respecto al tema Estratégico de </w:t>
      </w:r>
      <w:r>
        <w:rPr>
          <w:rFonts w:ascii="Arial Narrow" w:eastAsiaTheme="minorHAnsi" w:hAnsi="Arial Narrow" w:cstheme="minorBidi"/>
          <w:b/>
          <w:bCs/>
          <w:lang w:val="es-CR" w:eastAsia="en-US"/>
        </w:rPr>
        <w:t>Gestión del Personal</w:t>
      </w:r>
      <w:r w:rsidRPr="002926F1">
        <w:rPr>
          <w:rFonts w:ascii="Arial Narrow" w:eastAsiaTheme="minorHAnsi" w:hAnsi="Arial Narrow" w:cstheme="minorBidi"/>
          <w:lang w:val="es-CR" w:eastAsia="en-US"/>
        </w:rPr>
        <w:t xml:space="preserve"> se tiene</w:t>
      </w:r>
      <w:r w:rsidR="00A35125">
        <w:rPr>
          <w:rFonts w:ascii="Arial Narrow" w:eastAsiaTheme="minorHAnsi" w:hAnsi="Arial Narrow" w:cstheme="minorBidi"/>
          <w:lang w:val="es-CR" w:eastAsia="en-US"/>
        </w:rPr>
        <w:t xml:space="preserve"> que </w:t>
      </w:r>
      <w:r w:rsidR="00A35125" w:rsidRPr="002926F1">
        <w:rPr>
          <w:rFonts w:ascii="Arial Narrow" w:eastAsiaTheme="minorHAnsi" w:hAnsi="Arial Narrow" w:cstheme="minorBidi"/>
          <w:lang w:val="es-CR" w:eastAsia="en-US"/>
        </w:rPr>
        <w:t>1</w:t>
      </w:r>
      <w:r w:rsidR="00A35125" w:rsidRPr="003A3319">
        <w:rPr>
          <w:rFonts w:ascii="Arial Narrow" w:eastAsiaTheme="minorHAnsi" w:hAnsi="Arial Narrow" w:cstheme="minorBidi"/>
          <w:lang w:val="es-CR" w:eastAsia="en-US"/>
        </w:rPr>
        <w:t xml:space="preserve"> meta estratégica</w:t>
      </w:r>
      <w:r w:rsidR="00A35125">
        <w:rPr>
          <w:rFonts w:ascii="Arial Narrow" w:eastAsiaTheme="minorHAnsi" w:hAnsi="Arial Narrow" w:cstheme="minorBidi"/>
          <w:lang w:val="es-CR" w:eastAsia="en-US"/>
        </w:rPr>
        <w:t xml:space="preserve"> es</w:t>
      </w:r>
      <w:r w:rsidR="00A35125" w:rsidRPr="003A3319">
        <w:rPr>
          <w:rFonts w:ascii="Arial Narrow" w:eastAsiaTheme="minorHAnsi" w:hAnsi="Arial Narrow" w:cstheme="minorBidi"/>
          <w:lang w:val="es-CR" w:eastAsia="en-US"/>
        </w:rPr>
        <w:t xml:space="preserve"> incorporada para la evaluación del 2021, dado que </w:t>
      </w:r>
      <w:r w:rsidR="00BA76EC">
        <w:rPr>
          <w:rFonts w:ascii="Arial Narrow" w:eastAsiaTheme="minorHAnsi" w:hAnsi="Arial Narrow" w:cstheme="minorBidi"/>
          <w:lang w:val="es-CR" w:eastAsia="en-US"/>
        </w:rPr>
        <w:t>para el año 2019 si registró avances, pero para el año 2020 no</w:t>
      </w:r>
      <w:r w:rsidR="00A35125" w:rsidRPr="003A3319">
        <w:rPr>
          <w:rFonts w:ascii="Arial Narrow" w:eastAsiaTheme="minorHAnsi" w:hAnsi="Arial Narrow" w:cstheme="minorBidi"/>
          <w:lang w:val="es-CR" w:eastAsia="en-US"/>
        </w:rPr>
        <w:t xml:space="preserve"> reportaron avances estratégicos y no fueron sujetas de evaluación para es</w:t>
      </w:r>
      <w:r w:rsidR="00BA76EC">
        <w:rPr>
          <w:rFonts w:ascii="Arial Narrow" w:eastAsiaTheme="minorHAnsi" w:hAnsi="Arial Narrow" w:cstheme="minorBidi"/>
          <w:lang w:val="es-CR" w:eastAsia="en-US"/>
        </w:rPr>
        <w:t>e</w:t>
      </w:r>
      <w:r w:rsidR="00A35125" w:rsidRPr="003A3319">
        <w:rPr>
          <w:rFonts w:ascii="Arial Narrow" w:eastAsiaTheme="minorHAnsi" w:hAnsi="Arial Narrow" w:cstheme="minorBidi"/>
          <w:lang w:val="es-CR" w:eastAsia="en-US"/>
        </w:rPr>
        <w:t xml:space="preserve"> año. </w:t>
      </w:r>
    </w:p>
    <w:p w14:paraId="26AE8A76" w14:textId="5E0CA462" w:rsidR="00E26029" w:rsidRPr="002926F1" w:rsidRDefault="00A35125" w:rsidP="00E26029">
      <w:pPr>
        <w:spacing w:after="160"/>
        <w:jc w:val="both"/>
        <w:rPr>
          <w:rFonts w:ascii="Arial Narrow" w:eastAsiaTheme="minorHAnsi" w:hAnsi="Arial Narrow" w:cstheme="minorBidi"/>
          <w:lang w:val="es-CR" w:eastAsia="en-US"/>
        </w:rPr>
      </w:pPr>
      <w:r>
        <w:rPr>
          <w:rFonts w:ascii="Arial Narrow" w:eastAsiaTheme="minorHAnsi" w:hAnsi="Arial Narrow" w:cstheme="minorBidi"/>
          <w:b/>
          <w:bCs/>
          <w:lang w:val="es-CR" w:eastAsia="en-US"/>
        </w:rPr>
        <w:t>Esta</w:t>
      </w:r>
      <w:r w:rsidRPr="003A3319">
        <w:rPr>
          <w:rFonts w:ascii="Arial Narrow" w:eastAsiaTheme="minorHAnsi" w:hAnsi="Arial Narrow" w:cstheme="minorBidi"/>
          <w:b/>
          <w:bCs/>
          <w:lang w:val="es-CR" w:eastAsia="en-US"/>
        </w:rPr>
        <w:t xml:space="preserve"> meta logr</w:t>
      </w:r>
      <w:r>
        <w:rPr>
          <w:rFonts w:ascii="Arial Narrow" w:eastAsiaTheme="minorHAnsi" w:hAnsi="Arial Narrow" w:cstheme="minorBidi"/>
          <w:b/>
          <w:bCs/>
          <w:lang w:val="es-CR" w:eastAsia="en-US"/>
        </w:rPr>
        <w:t>ó</w:t>
      </w:r>
      <w:r w:rsidRPr="003A3319">
        <w:rPr>
          <w:rFonts w:ascii="Arial Narrow" w:eastAsiaTheme="minorHAnsi" w:hAnsi="Arial Narrow" w:cstheme="minorBidi"/>
          <w:b/>
          <w:bCs/>
          <w:lang w:val="es-CR" w:eastAsia="en-US"/>
        </w:rPr>
        <w:t xml:space="preserve"> un cumplimiento anual del 100%</w:t>
      </w:r>
      <w:r w:rsidR="00BA76EC">
        <w:rPr>
          <w:rFonts w:ascii="Arial Narrow" w:eastAsiaTheme="minorHAnsi" w:hAnsi="Arial Narrow" w:cstheme="minorBidi"/>
          <w:b/>
          <w:bCs/>
          <w:lang w:val="es-CR" w:eastAsia="en-US"/>
        </w:rPr>
        <w:t>en el año 2021</w:t>
      </w:r>
      <w:r w:rsidRPr="003A3319">
        <w:rPr>
          <w:rFonts w:ascii="Arial Narrow" w:eastAsiaTheme="minorHAnsi" w:hAnsi="Arial Narrow" w:cstheme="minorBidi"/>
          <w:b/>
          <w:bCs/>
          <w:lang w:val="es-CR" w:eastAsia="en-US"/>
        </w:rPr>
        <w:t>, sin embargo, aún no tienen cumplimiento acumulado del PEI puesto que el 202</w:t>
      </w:r>
      <w:r w:rsidR="00BA76EC">
        <w:rPr>
          <w:rFonts w:ascii="Arial Narrow" w:eastAsiaTheme="minorHAnsi" w:hAnsi="Arial Narrow" w:cstheme="minorBidi"/>
          <w:b/>
          <w:bCs/>
          <w:lang w:val="es-CR" w:eastAsia="en-US"/>
        </w:rPr>
        <w:t>0</w:t>
      </w:r>
      <w:r w:rsidRPr="003A3319">
        <w:rPr>
          <w:rFonts w:ascii="Arial Narrow" w:eastAsiaTheme="minorHAnsi" w:hAnsi="Arial Narrow" w:cstheme="minorBidi"/>
          <w:b/>
          <w:bCs/>
          <w:lang w:val="es-CR" w:eastAsia="en-US"/>
        </w:rPr>
        <w:t xml:space="preserve"> </w:t>
      </w:r>
      <w:r w:rsidR="00BA76EC">
        <w:rPr>
          <w:rFonts w:ascii="Arial Narrow" w:eastAsiaTheme="minorHAnsi" w:hAnsi="Arial Narrow" w:cstheme="minorBidi"/>
          <w:b/>
          <w:bCs/>
          <w:lang w:val="es-CR" w:eastAsia="en-US"/>
        </w:rPr>
        <w:t xml:space="preserve">no </w:t>
      </w:r>
      <w:r w:rsidRPr="003A3319">
        <w:rPr>
          <w:rFonts w:ascii="Arial Narrow" w:eastAsiaTheme="minorHAnsi" w:hAnsi="Arial Narrow" w:cstheme="minorBidi"/>
          <w:b/>
          <w:bCs/>
          <w:lang w:val="es-CR" w:eastAsia="en-US"/>
        </w:rPr>
        <w:t>se registran datos</w:t>
      </w:r>
      <w:r w:rsidR="00E26029" w:rsidRPr="002926F1">
        <w:rPr>
          <w:rFonts w:ascii="Arial Narrow" w:eastAsiaTheme="minorHAnsi" w:hAnsi="Arial Narrow" w:cstheme="minorBidi"/>
          <w:lang w:val="es-CR" w:eastAsia="en-US"/>
        </w:rPr>
        <w:t xml:space="preserve">. </w:t>
      </w:r>
    </w:p>
    <w:p w14:paraId="6C5FAAA2" w14:textId="77777777" w:rsidR="00CF09A4" w:rsidRDefault="00CF09A4" w:rsidP="7F5490C3">
      <w:pPr>
        <w:spacing w:after="160"/>
        <w:jc w:val="both"/>
        <w:rPr>
          <w:rFonts w:ascii="Arial Narrow" w:eastAsiaTheme="minorEastAsia" w:hAnsi="Arial Narrow" w:cstheme="minorBidi"/>
          <w:lang w:val="es-CR" w:eastAsia="en-US"/>
        </w:rPr>
      </w:pPr>
    </w:p>
    <w:p w14:paraId="11028758" w14:textId="293200A3" w:rsidR="00E26029" w:rsidRPr="002926F1" w:rsidRDefault="126FE9CB" w:rsidP="7F5490C3">
      <w:pPr>
        <w:spacing w:after="160"/>
        <w:jc w:val="both"/>
        <w:rPr>
          <w:rFonts w:ascii="Arial Narrow" w:eastAsiaTheme="minorEastAsia" w:hAnsi="Arial Narrow" w:cstheme="minorBidi"/>
          <w:lang w:val="es-CR" w:eastAsia="en-US"/>
        </w:rPr>
      </w:pPr>
      <w:r w:rsidRPr="7F5490C3">
        <w:rPr>
          <w:rFonts w:ascii="Arial Narrow" w:eastAsiaTheme="minorEastAsia" w:hAnsi="Arial Narrow" w:cstheme="minorBidi"/>
          <w:lang w:val="es-CR" w:eastAsia="en-US"/>
        </w:rPr>
        <w:t>Se detalla</w:t>
      </w:r>
      <w:r w:rsidR="00BA76EC">
        <w:rPr>
          <w:rFonts w:ascii="Arial Narrow" w:eastAsiaTheme="minorEastAsia" w:hAnsi="Arial Narrow" w:cstheme="minorBidi"/>
          <w:lang w:val="es-CR" w:eastAsia="en-US"/>
        </w:rPr>
        <w:t xml:space="preserve"> </w:t>
      </w:r>
      <w:r w:rsidRPr="7F5490C3">
        <w:rPr>
          <w:rFonts w:ascii="Arial Narrow" w:eastAsiaTheme="minorEastAsia" w:hAnsi="Arial Narrow" w:cstheme="minorBidi"/>
          <w:lang w:val="es-CR" w:eastAsia="en-US"/>
        </w:rPr>
        <w:t>la meta según la situación presentada.</w:t>
      </w:r>
      <w:r w:rsidR="01DDE4AF" w:rsidRPr="7F5490C3">
        <w:rPr>
          <w:rFonts w:ascii="Arial Narrow" w:eastAsiaTheme="minorEastAsia" w:hAnsi="Arial Narrow" w:cstheme="minorBidi"/>
          <w:lang w:val="es-CR" w:eastAsia="en-US"/>
        </w:rPr>
        <w:t xml:space="preserve"> </w:t>
      </w:r>
    </w:p>
    <w:p w14:paraId="21CFB97D" w14:textId="390BB74B" w:rsidR="002263CD" w:rsidRDefault="002263CD" w:rsidP="00A35125">
      <w:pPr>
        <w:spacing w:after="160" w:line="259" w:lineRule="auto"/>
        <w:contextualSpacing/>
        <w:jc w:val="both"/>
        <w:rPr>
          <w:rFonts w:ascii="Arial Narrow" w:eastAsiaTheme="minorHAnsi" w:hAnsi="Arial Narrow" w:cstheme="minorBidi"/>
          <w:b/>
          <w:bCs/>
          <w:lang w:val="es-CR" w:eastAsia="en-US"/>
        </w:rPr>
      </w:pPr>
    </w:p>
    <w:p w14:paraId="11838BA5" w14:textId="77777777" w:rsidR="002263CD" w:rsidRDefault="002263CD" w:rsidP="00A35125">
      <w:pPr>
        <w:spacing w:after="160" w:line="259" w:lineRule="auto"/>
        <w:contextualSpacing/>
        <w:jc w:val="both"/>
        <w:rPr>
          <w:rFonts w:ascii="Arial Narrow" w:eastAsiaTheme="minorHAnsi" w:hAnsi="Arial Narrow" w:cstheme="minorBidi"/>
          <w:b/>
          <w:bCs/>
          <w:lang w:val="es-CR" w:eastAsia="en-US"/>
        </w:rPr>
      </w:pPr>
    </w:p>
    <w:tbl>
      <w:tblPr>
        <w:tblW w:w="7738" w:type="dxa"/>
        <w:jc w:val="center"/>
        <w:tblCellMar>
          <w:left w:w="70" w:type="dxa"/>
          <w:right w:w="70" w:type="dxa"/>
        </w:tblCellMar>
        <w:tblLook w:val="04A0" w:firstRow="1" w:lastRow="0" w:firstColumn="1" w:lastColumn="0" w:noHBand="0" w:noVBand="1"/>
      </w:tblPr>
      <w:tblGrid>
        <w:gridCol w:w="2405"/>
        <w:gridCol w:w="2410"/>
        <w:gridCol w:w="2923"/>
      </w:tblGrid>
      <w:tr w:rsidR="00A35125" w:rsidRPr="006C213A" w14:paraId="00FA982A" w14:textId="77777777" w:rsidTr="4C982065">
        <w:trPr>
          <w:trHeight w:val="815"/>
          <w:jc w:val="center"/>
        </w:trPr>
        <w:tc>
          <w:tcPr>
            <w:tcW w:w="2405"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072B3DA3" w14:textId="77777777" w:rsidR="00A35125" w:rsidRPr="006C213A" w:rsidRDefault="00A35125" w:rsidP="00A35125">
            <w:pPr>
              <w:jc w:val="center"/>
              <w:rPr>
                <w:rFonts w:ascii="Arial Narrow" w:hAnsi="Arial Narrow" w:cs="Calibri"/>
                <w:b/>
                <w:bCs/>
                <w:color w:val="000000"/>
                <w:sz w:val="20"/>
                <w:szCs w:val="20"/>
                <w:lang w:val="es-CR" w:eastAsia="es-CR"/>
              </w:rPr>
            </w:pPr>
            <w:r w:rsidRPr="006C213A">
              <w:rPr>
                <w:rFonts w:ascii="Arial Narrow" w:hAnsi="Arial Narrow" w:cs="Calibri"/>
                <w:b/>
                <w:bCs/>
                <w:color w:val="000000"/>
                <w:sz w:val="20"/>
                <w:szCs w:val="20"/>
                <w:lang w:val="es-CR" w:eastAsia="es-CR"/>
              </w:rPr>
              <w:t>Meta estratégica</w:t>
            </w:r>
          </w:p>
        </w:tc>
        <w:tc>
          <w:tcPr>
            <w:tcW w:w="2410"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20E84D97" w14:textId="77777777" w:rsidR="00A35125" w:rsidRPr="006C213A" w:rsidRDefault="00A35125" w:rsidP="00A35125">
            <w:pPr>
              <w:jc w:val="center"/>
              <w:rPr>
                <w:rFonts w:ascii="Arial Narrow" w:hAnsi="Arial Narrow" w:cs="Calibri"/>
                <w:b/>
                <w:bCs/>
                <w:color w:val="000000"/>
                <w:sz w:val="20"/>
                <w:szCs w:val="20"/>
                <w:lang w:val="es-CR" w:eastAsia="es-CR"/>
              </w:rPr>
            </w:pPr>
            <w:r w:rsidRPr="006C213A">
              <w:rPr>
                <w:rFonts w:ascii="Arial Narrow" w:hAnsi="Arial Narrow" w:cs="Calibri"/>
                <w:b/>
                <w:bCs/>
                <w:color w:val="000000"/>
                <w:sz w:val="20"/>
                <w:szCs w:val="20"/>
                <w:lang w:val="es-CR" w:eastAsia="es-CR"/>
              </w:rPr>
              <w:t>Justificación del 2019 y 2020</w:t>
            </w:r>
          </w:p>
        </w:tc>
        <w:tc>
          <w:tcPr>
            <w:tcW w:w="2923"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0AF55640" w14:textId="77777777" w:rsidR="00A35125" w:rsidRPr="006C213A" w:rsidRDefault="00A35125" w:rsidP="00A35125">
            <w:pPr>
              <w:jc w:val="center"/>
              <w:rPr>
                <w:rFonts w:ascii="Arial Narrow" w:hAnsi="Arial Narrow" w:cs="Calibri"/>
                <w:b/>
                <w:bCs/>
                <w:color w:val="000000"/>
                <w:sz w:val="20"/>
                <w:szCs w:val="20"/>
                <w:lang w:val="es-CR" w:eastAsia="es-CR"/>
              </w:rPr>
            </w:pPr>
            <w:r w:rsidRPr="006C213A">
              <w:rPr>
                <w:rFonts w:ascii="Arial Narrow" w:hAnsi="Arial Narrow" w:cs="Calibri"/>
                <w:b/>
                <w:bCs/>
                <w:color w:val="000000"/>
                <w:sz w:val="20"/>
                <w:szCs w:val="20"/>
                <w:lang w:val="es-CR" w:eastAsia="es-CR"/>
              </w:rPr>
              <w:t>Cumplimiento del 2021</w:t>
            </w:r>
          </w:p>
        </w:tc>
      </w:tr>
      <w:tr w:rsidR="00A35125" w:rsidRPr="006C213A" w14:paraId="75474EBF" w14:textId="77777777" w:rsidTr="006C213A">
        <w:trPr>
          <w:trHeight w:val="1447"/>
          <w:jc w:val="center"/>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28AC3E9A" w14:textId="468C68B7" w:rsidR="00A35125" w:rsidRPr="006C213A" w:rsidRDefault="00A35125" w:rsidP="006C213A">
            <w:pPr>
              <w:jc w:val="both"/>
              <w:rPr>
                <w:rFonts w:ascii="Arial Narrow" w:hAnsi="Arial Narrow" w:cs="Calibri"/>
                <w:color w:val="000000"/>
                <w:sz w:val="20"/>
                <w:szCs w:val="20"/>
                <w:lang w:val="es-CR" w:eastAsia="es-CR"/>
              </w:rPr>
            </w:pPr>
            <w:r w:rsidRPr="006C213A">
              <w:rPr>
                <w:rFonts w:ascii="Arial Narrow" w:hAnsi="Arial Narrow" w:cs="Calibri"/>
                <w:color w:val="000000"/>
                <w:sz w:val="20"/>
                <w:szCs w:val="20"/>
                <w:lang w:val="es-CR" w:eastAsia="es-CR"/>
              </w:rPr>
              <w:t>OE.1.2.2.2 - Que al finalizar el 2024, se haya trasladado el Proyecto de la Ley de Carrera Fiscal a la Asamblea Legislativa.</w:t>
            </w:r>
          </w:p>
        </w:tc>
        <w:tc>
          <w:tcPr>
            <w:tcW w:w="2410" w:type="dxa"/>
            <w:tcBorders>
              <w:top w:val="nil"/>
              <w:left w:val="nil"/>
              <w:bottom w:val="single" w:sz="4" w:space="0" w:color="auto"/>
              <w:right w:val="single" w:sz="4" w:space="0" w:color="auto"/>
            </w:tcBorders>
            <w:shd w:val="clear" w:color="auto" w:fill="auto"/>
            <w:vAlign w:val="center"/>
            <w:hideMark/>
          </w:tcPr>
          <w:p w14:paraId="72EA6E63" w14:textId="7E4F3777" w:rsidR="00A35125" w:rsidRPr="006C213A" w:rsidRDefault="00A35125" w:rsidP="006C213A">
            <w:pPr>
              <w:jc w:val="both"/>
              <w:rPr>
                <w:rFonts w:ascii="Arial Narrow" w:hAnsi="Arial Narrow" w:cs="Calibri"/>
                <w:color w:val="000000"/>
                <w:sz w:val="20"/>
                <w:szCs w:val="20"/>
                <w:lang w:val="es-CR" w:eastAsia="es-CR"/>
              </w:rPr>
            </w:pPr>
            <w:r w:rsidRPr="006C213A">
              <w:rPr>
                <w:rFonts w:ascii="Arial Narrow" w:hAnsi="Arial Narrow" w:cs="Calibri"/>
                <w:color w:val="000000"/>
                <w:sz w:val="20"/>
                <w:szCs w:val="20"/>
                <w:lang w:val="es-CR" w:eastAsia="es-CR"/>
              </w:rPr>
              <w:t xml:space="preserve">Si se formuló para el 2019, no para el 2020, </w:t>
            </w:r>
            <w:r w:rsidR="0002575E" w:rsidRPr="006C213A">
              <w:rPr>
                <w:rFonts w:ascii="Arial Narrow" w:hAnsi="Arial Narrow" w:cs="Calibri"/>
                <w:color w:val="000000"/>
                <w:sz w:val="20"/>
                <w:szCs w:val="20"/>
                <w:lang w:val="es-CR" w:eastAsia="es-CR"/>
              </w:rPr>
              <w:t>esto de acuerdo con la revisión d</w:t>
            </w:r>
            <w:r w:rsidRPr="006C213A">
              <w:rPr>
                <w:rFonts w:ascii="Arial Narrow" w:hAnsi="Arial Narrow" w:cs="Calibri"/>
                <w:color w:val="000000"/>
                <w:sz w:val="20"/>
                <w:szCs w:val="20"/>
                <w:lang w:val="es-CR" w:eastAsia="es-CR"/>
              </w:rPr>
              <w:t xml:space="preserve">el Sistema PEI. </w:t>
            </w:r>
            <w:r w:rsidRPr="006C213A">
              <w:rPr>
                <w:rFonts w:ascii="Arial Narrow" w:hAnsi="Arial Narrow" w:cs="Calibri"/>
                <w:color w:val="FF0000"/>
                <w:sz w:val="20"/>
                <w:szCs w:val="20"/>
                <w:lang w:val="es-CR" w:eastAsia="es-CR"/>
              </w:rPr>
              <w:t xml:space="preserve"> </w:t>
            </w:r>
            <w:r w:rsidRPr="00322D9B">
              <w:rPr>
                <w:rFonts w:ascii="Arial Narrow" w:hAnsi="Arial Narrow" w:cs="Calibri"/>
                <w:b/>
                <w:bCs/>
                <w:color w:val="000000"/>
                <w:sz w:val="20"/>
                <w:szCs w:val="20"/>
                <w:lang w:val="es-CR" w:eastAsia="es-CR"/>
              </w:rPr>
              <w:t xml:space="preserve">Se </w:t>
            </w:r>
            <w:r w:rsidR="000F2620">
              <w:rPr>
                <w:rFonts w:ascii="Arial Narrow" w:hAnsi="Arial Narrow" w:cs="Calibri"/>
                <w:b/>
                <w:bCs/>
                <w:color w:val="000000"/>
                <w:sz w:val="20"/>
                <w:szCs w:val="20"/>
                <w:lang w:val="es-CR" w:eastAsia="es-CR"/>
              </w:rPr>
              <w:t>comunica por parte del Subproceso de Planificación Estratégica que se incorporan</w:t>
            </w:r>
            <w:r w:rsidRPr="00322D9B">
              <w:rPr>
                <w:rFonts w:ascii="Arial Narrow" w:hAnsi="Arial Narrow" w:cs="Calibri"/>
                <w:b/>
                <w:bCs/>
                <w:color w:val="000000"/>
                <w:sz w:val="20"/>
                <w:szCs w:val="20"/>
                <w:lang w:val="es-CR" w:eastAsia="es-CR"/>
              </w:rPr>
              <w:t xml:space="preserve"> objetivos a partir del 2022</w:t>
            </w:r>
            <w:r w:rsidR="000F2620">
              <w:rPr>
                <w:rFonts w:ascii="Arial Narrow" w:hAnsi="Arial Narrow" w:cs="Calibri"/>
                <w:b/>
                <w:bCs/>
                <w:color w:val="000000"/>
                <w:sz w:val="20"/>
                <w:szCs w:val="20"/>
                <w:lang w:val="es-CR" w:eastAsia="es-CR"/>
              </w:rPr>
              <w:t xml:space="preserve"> con el fin de cumplir con el proyecto de la Ley de Carrera Judicial. </w:t>
            </w:r>
          </w:p>
        </w:tc>
        <w:tc>
          <w:tcPr>
            <w:tcW w:w="2923" w:type="dxa"/>
            <w:tcBorders>
              <w:top w:val="nil"/>
              <w:left w:val="nil"/>
              <w:bottom w:val="single" w:sz="4" w:space="0" w:color="auto"/>
              <w:right w:val="single" w:sz="4" w:space="0" w:color="auto"/>
            </w:tcBorders>
            <w:shd w:val="clear" w:color="auto" w:fill="auto"/>
            <w:vAlign w:val="center"/>
            <w:hideMark/>
          </w:tcPr>
          <w:p w14:paraId="2699CC82" w14:textId="659605D6" w:rsidR="00A35125" w:rsidRPr="006C213A" w:rsidRDefault="00A35125" w:rsidP="006C213A">
            <w:pPr>
              <w:jc w:val="both"/>
              <w:rPr>
                <w:rFonts w:ascii="Arial Narrow" w:hAnsi="Arial Narrow" w:cs="Calibri"/>
                <w:color w:val="000000"/>
                <w:sz w:val="20"/>
                <w:szCs w:val="20"/>
                <w:lang w:val="es-CR" w:eastAsia="es-CR"/>
              </w:rPr>
            </w:pPr>
            <w:r w:rsidRPr="006C213A">
              <w:rPr>
                <w:rFonts w:ascii="Arial Narrow" w:hAnsi="Arial Narrow" w:cs="Calibri"/>
                <w:color w:val="000000"/>
                <w:sz w:val="20"/>
                <w:szCs w:val="20"/>
                <w:lang w:val="es-CR" w:eastAsia="es-CR"/>
              </w:rPr>
              <w:t>Se comunica por parte del Despacho de la Presidencia que se realizaron los seguimientos correspondientes al Proyecto de Ley de Carrera Fiscal, el cual se encuentra en la Asamblea Legislativa para su aprobación.</w:t>
            </w:r>
          </w:p>
        </w:tc>
      </w:tr>
    </w:tbl>
    <w:p w14:paraId="53233043" w14:textId="77777777" w:rsidR="00025C8D" w:rsidRPr="008F0B82" w:rsidRDefault="00025C8D" w:rsidP="00025C8D">
      <w:pPr>
        <w:jc w:val="center"/>
        <w:rPr>
          <w:rFonts w:ascii="Arial Narrow" w:eastAsia="Batang" w:hAnsi="Arial Narrow"/>
          <w:sz w:val="18"/>
          <w:szCs w:val="18"/>
          <w:lang w:eastAsia="en-US"/>
        </w:rPr>
      </w:pPr>
      <w:r w:rsidRPr="008F0B82">
        <w:rPr>
          <w:rFonts w:ascii="Arial Narrow" w:eastAsia="Batang" w:hAnsi="Arial Narrow"/>
          <w:sz w:val="18"/>
          <w:szCs w:val="18"/>
          <w:lang w:eastAsia="en-US"/>
        </w:rPr>
        <w:t>Fuente: elaboración propia con base en el análisis de hallazgos de la evaluación.</w:t>
      </w:r>
    </w:p>
    <w:p w14:paraId="07FF50E3" w14:textId="77777777" w:rsidR="00025C8D" w:rsidRPr="008F0B82" w:rsidRDefault="00025C8D" w:rsidP="00025C8D">
      <w:pPr>
        <w:ind w:left="720"/>
        <w:jc w:val="both"/>
        <w:rPr>
          <w:rFonts w:ascii="Arial Narrow" w:eastAsia="Batang" w:hAnsi="Arial Narrow"/>
          <w:sz w:val="18"/>
          <w:szCs w:val="18"/>
          <w:lang w:eastAsia="en-US"/>
        </w:rPr>
      </w:pPr>
    </w:p>
    <w:p w14:paraId="611A2AC3" w14:textId="7570FE5F" w:rsidR="4C982065" w:rsidRDefault="4C982065"/>
    <w:p w14:paraId="4121E12E" w14:textId="74EB33E5" w:rsidR="00A35125" w:rsidRPr="00322D9B" w:rsidRDefault="00A35125" w:rsidP="2EE460D2">
      <w:pPr>
        <w:spacing w:line="259" w:lineRule="auto"/>
        <w:jc w:val="both"/>
        <w:rPr>
          <w:rFonts w:ascii="Arial Narrow" w:eastAsia="Calibri" w:hAnsi="Arial Narrow"/>
          <w:highlight w:val="yellow"/>
          <w:lang w:val="es" w:eastAsia="en-US"/>
        </w:rPr>
      </w:pPr>
    </w:p>
    <w:p w14:paraId="34C88521" w14:textId="2A3F9477" w:rsidR="00D27B75" w:rsidRDefault="00B142AA" w:rsidP="00322D9B">
      <w:pPr>
        <w:rPr>
          <w:rFonts w:eastAsia="Calibri"/>
          <w:lang w:val="es-CR"/>
        </w:rPr>
      </w:pPr>
      <w:r w:rsidRPr="00322D9B">
        <w:rPr>
          <w:rFonts w:eastAsiaTheme="minorEastAsia"/>
          <w:highlight w:val="yellow"/>
          <w:lang w:val="es-CR"/>
        </w:rPr>
        <w:t xml:space="preserve"> </w:t>
      </w:r>
      <w:bookmarkEnd w:id="85"/>
    </w:p>
    <w:p w14:paraId="45B1FBB5" w14:textId="642F6030" w:rsidR="00AB5922" w:rsidRPr="00FB6D9E" w:rsidRDefault="00AB5922" w:rsidP="00322D9B">
      <w:pPr>
        <w:pStyle w:val="Ttulo2"/>
      </w:pPr>
      <w:bookmarkStart w:id="86" w:name="_Toc106355289"/>
      <w:r w:rsidRPr="00FB6D9E">
        <w:t>Tema estratégico: Planificación Institucional</w:t>
      </w:r>
      <w:bookmarkEnd w:id="86"/>
      <w:r w:rsidR="00D73200" w:rsidRPr="00FB6D9E">
        <w:t xml:space="preserve">   </w:t>
      </w:r>
    </w:p>
    <w:p w14:paraId="58122419" w14:textId="77777777" w:rsidR="00AB5922" w:rsidRPr="000B4845" w:rsidRDefault="00AB5922" w:rsidP="00AB5922">
      <w:pPr>
        <w:rPr>
          <w:rFonts w:ascii="Arial Narrow" w:eastAsia="Calibri" w:hAnsi="Arial Narrow"/>
          <w:lang w:eastAsia="en-US"/>
        </w:rPr>
      </w:pPr>
    </w:p>
    <w:p w14:paraId="4AFFA8A6" w14:textId="77777777" w:rsidR="00AB5922" w:rsidRDefault="00AB5922" w:rsidP="00AB5922">
      <w:pPr>
        <w:spacing w:line="360" w:lineRule="auto"/>
        <w:jc w:val="both"/>
        <w:rPr>
          <w:rFonts w:ascii="Arial Narrow" w:eastAsia="Calibri" w:hAnsi="Arial Narrow"/>
          <w:lang w:eastAsia="en-US"/>
        </w:rPr>
      </w:pPr>
      <w:r w:rsidRPr="000B4845">
        <w:rPr>
          <w:rFonts w:ascii="Arial Narrow" w:eastAsia="Calibri" w:hAnsi="Arial Narrow"/>
          <w:lang w:eastAsia="en-US"/>
        </w:rPr>
        <w:t>Finalmente, sobre la Planificación Institucional tiene como fin dirigir la gestión judicial en función de las prioridades institucionales con el fin de maximizar el uso de los recursos. Las acciones estratégicas que lo integran son:</w:t>
      </w:r>
    </w:p>
    <w:p w14:paraId="4CF5D2C7" w14:textId="77777777" w:rsidR="00AB5922" w:rsidRPr="000B4845" w:rsidRDefault="00AB5922" w:rsidP="00AB5922">
      <w:pPr>
        <w:spacing w:line="360" w:lineRule="auto"/>
        <w:jc w:val="both"/>
        <w:rPr>
          <w:rFonts w:ascii="Arial Narrow" w:eastAsia="Calibri" w:hAnsi="Arial Narrow"/>
          <w:lang w:eastAsia="en-US"/>
        </w:rPr>
      </w:pPr>
    </w:p>
    <w:p w14:paraId="0DA3FA68" w14:textId="77777777" w:rsidR="00AB5922" w:rsidRPr="000B4845" w:rsidRDefault="00AB5922" w:rsidP="004C54E1">
      <w:pPr>
        <w:pStyle w:val="Prrafodelista"/>
        <w:numPr>
          <w:ilvl w:val="0"/>
          <w:numId w:val="9"/>
        </w:numPr>
        <w:spacing w:line="360" w:lineRule="auto"/>
        <w:jc w:val="both"/>
        <w:rPr>
          <w:rFonts w:ascii="Arial Narrow" w:eastAsia="Calibri" w:hAnsi="Arial Narrow"/>
          <w:lang w:eastAsia="en-US"/>
        </w:rPr>
      </w:pPr>
      <w:r w:rsidRPr="000B4845">
        <w:rPr>
          <w:rFonts w:ascii="Arial Narrow" w:eastAsia="Calibri" w:hAnsi="Arial Narrow"/>
          <w:b/>
          <w:bCs/>
          <w:lang w:eastAsia="en-US"/>
        </w:rPr>
        <w:t>Gestión estratégica institucional:</w:t>
      </w:r>
      <w:r w:rsidRPr="000B4845">
        <w:rPr>
          <w:rFonts w:ascii="Arial Narrow" w:eastAsia="Calibri" w:hAnsi="Arial Narrow"/>
          <w:lang w:eastAsia="en-US"/>
        </w:rPr>
        <w:t xml:space="preserve"> Gestionar el proceso de toma de decisiones conforme al contenido del plan estratégico con el fin de administrar los recursos presupuestarios en función de las prioridades institucionales. </w:t>
      </w:r>
    </w:p>
    <w:p w14:paraId="66CA20A6" w14:textId="77777777" w:rsidR="00AB5922" w:rsidRPr="000B4845" w:rsidRDefault="00AB5922" w:rsidP="004C54E1">
      <w:pPr>
        <w:pStyle w:val="Prrafodelista"/>
        <w:numPr>
          <w:ilvl w:val="0"/>
          <w:numId w:val="9"/>
        </w:numPr>
        <w:spacing w:line="360" w:lineRule="auto"/>
        <w:jc w:val="both"/>
        <w:rPr>
          <w:rFonts w:ascii="Arial Narrow" w:eastAsia="Calibri" w:hAnsi="Arial Narrow"/>
          <w:lang w:eastAsia="en-US"/>
        </w:rPr>
      </w:pPr>
      <w:r w:rsidRPr="000B4845">
        <w:rPr>
          <w:rFonts w:ascii="Arial Narrow" w:eastAsia="Calibri" w:hAnsi="Arial Narrow"/>
          <w:b/>
          <w:bCs/>
          <w:lang w:eastAsia="en-US"/>
        </w:rPr>
        <w:t>Gestión de políticas institucionales:</w:t>
      </w:r>
      <w:r w:rsidRPr="000B4845">
        <w:rPr>
          <w:rFonts w:ascii="Arial Narrow" w:eastAsia="Calibri" w:hAnsi="Arial Narrow"/>
          <w:lang w:eastAsia="en-US"/>
        </w:rPr>
        <w:t xml:space="preserve"> Gestionar el desarrollo, implementación y seguimiento de las políticas institucionales para fortalecer la gestión judicial con el fin de mejorar los servicios de justicia. </w:t>
      </w:r>
    </w:p>
    <w:p w14:paraId="73537B56" w14:textId="77777777" w:rsidR="00AB5922" w:rsidRDefault="00AB5922" w:rsidP="004C54E1">
      <w:pPr>
        <w:pStyle w:val="Prrafodelista"/>
        <w:numPr>
          <w:ilvl w:val="0"/>
          <w:numId w:val="9"/>
        </w:numPr>
        <w:spacing w:line="360" w:lineRule="auto"/>
        <w:jc w:val="both"/>
        <w:rPr>
          <w:rFonts w:ascii="Arial Narrow" w:eastAsia="Calibri" w:hAnsi="Arial Narrow"/>
          <w:lang w:eastAsia="en-US"/>
        </w:rPr>
      </w:pPr>
      <w:r w:rsidRPr="000B4845">
        <w:rPr>
          <w:rFonts w:ascii="Arial Narrow" w:eastAsia="Calibri" w:hAnsi="Arial Narrow"/>
          <w:b/>
          <w:bCs/>
          <w:lang w:eastAsia="en-US"/>
        </w:rPr>
        <w:t>Gestión administrativa por medio del portafolio de proyectos estratégicos:</w:t>
      </w:r>
      <w:r w:rsidRPr="000B4845">
        <w:rPr>
          <w:rFonts w:ascii="Arial Narrow" w:eastAsia="Calibri" w:hAnsi="Arial Narrow"/>
          <w:lang w:eastAsia="en-US"/>
        </w:rPr>
        <w:t xml:space="preserve"> Fortalecer la administración del portafolio de proyectos en la gestión del Poder Judicial, que contribuya en el cumplimiento de los compromisos establecidos en el plan estratégico institucional.</w:t>
      </w:r>
    </w:p>
    <w:p w14:paraId="64AF75D2" w14:textId="77777777" w:rsidR="00AB5922" w:rsidRDefault="00AB5922" w:rsidP="00AB5922">
      <w:pPr>
        <w:pStyle w:val="Prrafodelista"/>
        <w:spacing w:line="360" w:lineRule="auto"/>
        <w:ind w:left="720"/>
        <w:jc w:val="both"/>
        <w:rPr>
          <w:rFonts w:ascii="Arial Narrow" w:eastAsia="Calibri" w:hAnsi="Arial Narrow"/>
          <w:lang w:eastAsia="en-US"/>
        </w:rPr>
      </w:pPr>
    </w:p>
    <w:p w14:paraId="5E09C8B4" w14:textId="4E9ED5D3" w:rsidR="00696737" w:rsidRDefault="00696737" w:rsidP="00696737">
      <w:pPr>
        <w:spacing w:line="360" w:lineRule="auto"/>
        <w:jc w:val="both"/>
        <w:rPr>
          <w:rFonts w:ascii="Arial Narrow" w:hAnsi="Arial Narrow"/>
        </w:rPr>
      </w:pPr>
      <w:r w:rsidRPr="00395D0A">
        <w:rPr>
          <w:rFonts w:ascii="Arial Narrow" w:hAnsi="Arial Narrow"/>
        </w:rPr>
        <w:t xml:space="preserve">Con respecto al tema estratégico de Planificación institucional cuenta con 9 metas de las cuales, </w:t>
      </w:r>
      <w:r>
        <w:rPr>
          <w:rFonts w:ascii="Arial Narrow" w:hAnsi="Arial Narrow"/>
        </w:rPr>
        <w:t>G</w:t>
      </w:r>
      <w:r w:rsidRPr="00395D0A">
        <w:rPr>
          <w:rFonts w:ascii="Arial Narrow" w:hAnsi="Arial Narrow"/>
        </w:rPr>
        <w:t xml:space="preserve">estión </w:t>
      </w:r>
      <w:r>
        <w:rPr>
          <w:rFonts w:ascii="Arial Narrow" w:hAnsi="Arial Narrow"/>
        </w:rPr>
        <w:t>E</w:t>
      </w:r>
      <w:r w:rsidRPr="00395D0A">
        <w:rPr>
          <w:rFonts w:ascii="Arial Narrow" w:hAnsi="Arial Narrow"/>
        </w:rPr>
        <w:t xml:space="preserve">stratégica </w:t>
      </w:r>
      <w:r>
        <w:rPr>
          <w:rFonts w:ascii="Arial Narrow" w:hAnsi="Arial Narrow"/>
        </w:rPr>
        <w:t>In</w:t>
      </w:r>
      <w:r w:rsidRPr="00395D0A">
        <w:rPr>
          <w:rFonts w:ascii="Arial Narrow" w:hAnsi="Arial Narrow"/>
        </w:rPr>
        <w:t>stitucional tiene 7 metas, de</w:t>
      </w:r>
      <w:r>
        <w:rPr>
          <w:rFonts w:ascii="Arial Narrow" w:hAnsi="Arial Narrow"/>
        </w:rPr>
        <w:t xml:space="preserve"> la acción estratégica de</w:t>
      </w:r>
      <w:r w:rsidRPr="00395D0A">
        <w:rPr>
          <w:rFonts w:ascii="Arial Narrow" w:hAnsi="Arial Narrow"/>
        </w:rPr>
        <w:t xml:space="preserve"> </w:t>
      </w:r>
      <w:r>
        <w:rPr>
          <w:rFonts w:ascii="Arial Narrow" w:hAnsi="Arial Narrow"/>
        </w:rPr>
        <w:t>G</w:t>
      </w:r>
      <w:r w:rsidRPr="00395D0A">
        <w:rPr>
          <w:rFonts w:ascii="Arial Narrow" w:hAnsi="Arial Narrow"/>
        </w:rPr>
        <w:t xml:space="preserve">estión de </w:t>
      </w:r>
      <w:r>
        <w:rPr>
          <w:rFonts w:ascii="Arial Narrow" w:hAnsi="Arial Narrow"/>
        </w:rPr>
        <w:t>P</w:t>
      </w:r>
      <w:r w:rsidRPr="00395D0A">
        <w:rPr>
          <w:rFonts w:ascii="Arial Narrow" w:hAnsi="Arial Narrow"/>
        </w:rPr>
        <w:t xml:space="preserve">olíticas </w:t>
      </w:r>
      <w:r>
        <w:rPr>
          <w:rFonts w:ascii="Arial Narrow" w:hAnsi="Arial Narrow"/>
        </w:rPr>
        <w:t>I</w:t>
      </w:r>
      <w:r w:rsidRPr="00395D0A">
        <w:rPr>
          <w:rFonts w:ascii="Arial Narrow" w:hAnsi="Arial Narrow"/>
        </w:rPr>
        <w:t xml:space="preserve">nstitucionales hay 1 meta </w:t>
      </w:r>
      <w:r>
        <w:rPr>
          <w:rFonts w:ascii="Arial Narrow" w:hAnsi="Arial Narrow"/>
        </w:rPr>
        <w:t xml:space="preserve">vinculada </w:t>
      </w:r>
      <w:r w:rsidRPr="00395D0A">
        <w:rPr>
          <w:rFonts w:ascii="Arial Narrow" w:hAnsi="Arial Narrow"/>
        </w:rPr>
        <w:t>y de Gestión Administrativa por medio del Portafolio de Proyectos Estratégicos corresponde a 1 meta.</w:t>
      </w:r>
      <w:r>
        <w:rPr>
          <w:rFonts w:ascii="Arial Narrow" w:hAnsi="Arial Narrow"/>
        </w:rPr>
        <w:t xml:space="preserve"> Este tema se mantuvo invariable con respecto a la cantidad de metas estratégicas, puesto que se mantienen las mismas desde el 2019, 2020 y 2021.</w:t>
      </w:r>
    </w:p>
    <w:p w14:paraId="64DA704A" w14:textId="52FC37B2" w:rsidR="002B4670" w:rsidRDefault="002B4670" w:rsidP="00322D9B">
      <w:pPr>
        <w:pStyle w:val="Ttulo3"/>
        <w:numPr>
          <w:ilvl w:val="2"/>
          <w:numId w:val="130"/>
        </w:numPr>
      </w:pPr>
      <w:bookmarkStart w:id="87" w:name="_Toc106355290"/>
      <w:r>
        <w:t>Gestion Estratégica institucional</w:t>
      </w:r>
      <w:bookmarkEnd w:id="87"/>
      <w:r>
        <w:t xml:space="preserve"> </w:t>
      </w:r>
    </w:p>
    <w:p w14:paraId="7F6FCB96" w14:textId="1B7F817F" w:rsidR="002B4670" w:rsidRDefault="002B4670" w:rsidP="00696737">
      <w:pPr>
        <w:spacing w:line="360" w:lineRule="auto"/>
        <w:jc w:val="both"/>
        <w:rPr>
          <w:rFonts w:ascii="Arial Narrow" w:hAnsi="Arial Narrow"/>
        </w:rPr>
      </w:pPr>
    </w:p>
    <w:p w14:paraId="7F52F884" w14:textId="77777777" w:rsidR="00C03F90" w:rsidRPr="00ED6A5E" w:rsidRDefault="00C03F90" w:rsidP="00C03F90">
      <w:pPr>
        <w:jc w:val="both"/>
        <w:rPr>
          <w:rFonts w:ascii="Arial Narrow" w:eastAsia="Calibri" w:hAnsi="Arial Narrow"/>
          <w:lang w:eastAsia="en-US"/>
        </w:rPr>
      </w:pPr>
      <w:r w:rsidRPr="00ED6A5E">
        <w:rPr>
          <w:rFonts w:ascii="Arial Narrow" w:eastAsia="Calibri" w:hAnsi="Arial Narrow"/>
          <w:lang w:eastAsia="en-US"/>
        </w:rPr>
        <w:t xml:space="preserve">Se </w:t>
      </w:r>
      <w:r w:rsidRPr="009D24A3">
        <w:rPr>
          <w:rFonts w:ascii="Arial Narrow" w:eastAsia="Calibri" w:hAnsi="Arial Narrow"/>
          <w:lang w:eastAsia="en-US"/>
        </w:rPr>
        <w:t>tienen 7 metas estratégicas para esta acción, de las cuales todas muestran una ejecución alta en su cumplimiento. Se detalla a continuación las metas estratégicas y su cumplimiento para el 2021:</w:t>
      </w:r>
    </w:p>
    <w:p w14:paraId="23DD6406" w14:textId="77777777" w:rsidR="00C03F90" w:rsidRDefault="00C03F90" w:rsidP="006C213A">
      <w:pPr>
        <w:pStyle w:val="Descripcin"/>
        <w:jc w:val="center"/>
        <w:rPr>
          <w:rFonts w:ascii="Arial Narrow" w:hAnsi="Arial Narrow"/>
          <w:sz w:val="24"/>
          <w:szCs w:val="24"/>
        </w:rPr>
      </w:pPr>
    </w:p>
    <w:p w14:paraId="32DA34FD" w14:textId="36E90123" w:rsidR="006C213A" w:rsidRDefault="006C213A" w:rsidP="006C213A">
      <w:pPr>
        <w:pStyle w:val="Descripcin"/>
        <w:jc w:val="center"/>
        <w:rPr>
          <w:rFonts w:ascii="Arial Narrow" w:eastAsia="Calibri" w:hAnsi="Arial Narrow"/>
          <w:sz w:val="24"/>
          <w:szCs w:val="24"/>
        </w:rPr>
      </w:pPr>
      <w:r w:rsidRPr="00484CC1">
        <w:rPr>
          <w:rFonts w:ascii="Arial Narrow" w:hAnsi="Arial Narrow"/>
          <w:sz w:val="24"/>
          <w:szCs w:val="24"/>
        </w:rPr>
        <w:t>Cuadro</w:t>
      </w:r>
      <w:r>
        <w:rPr>
          <w:rFonts w:ascii="Arial Narrow" w:hAnsi="Arial Narrow"/>
          <w:sz w:val="24"/>
          <w:szCs w:val="24"/>
        </w:rPr>
        <w:t xml:space="preserve">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2F520A">
        <w:rPr>
          <w:rFonts w:ascii="Arial Narrow" w:hAnsi="Arial Narrow"/>
          <w:noProof/>
          <w:sz w:val="24"/>
          <w:szCs w:val="24"/>
        </w:rPr>
        <w:t>74</w:t>
      </w:r>
      <w:r w:rsidRPr="00484CC1">
        <w:rPr>
          <w:rFonts w:ascii="Arial Narrow" w:hAnsi="Arial Narrow"/>
          <w:sz w:val="24"/>
          <w:szCs w:val="24"/>
        </w:rPr>
        <w:fldChar w:fldCharType="end"/>
      </w:r>
      <w:r w:rsidRPr="00484CC1">
        <w:rPr>
          <w:rFonts w:ascii="Arial Narrow" w:hAnsi="Arial Narrow"/>
          <w:sz w:val="24"/>
          <w:szCs w:val="24"/>
        </w:rPr>
        <w:t xml:space="preserve"> </w:t>
      </w:r>
      <w:r w:rsidRPr="00211B03">
        <w:rPr>
          <w:rFonts w:ascii="Arial Narrow" w:eastAsia="Calibri" w:hAnsi="Arial Narrow"/>
          <w:sz w:val="24"/>
          <w:szCs w:val="24"/>
        </w:rPr>
        <w:t xml:space="preserve">Metas estratégicas de </w:t>
      </w:r>
      <w:r>
        <w:rPr>
          <w:rFonts w:ascii="Arial Narrow" w:eastAsia="Calibri" w:hAnsi="Arial Narrow"/>
          <w:sz w:val="24"/>
          <w:szCs w:val="24"/>
        </w:rPr>
        <w:t>Gestión Estratégica Institucional</w:t>
      </w:r>
      <w:r w:rsidRPr="00211B03">
        <w:rPr>
          <w:rFonts w:ascii="Arial Narrow" w:eastAsia="Calibri" w:hAnsi="Arial Narrow"/>
          <w:sz w:val="24"/>
          <w:szCs w:val="24"/>
        </w:rPr>
        <w:t>,</w:t>
      </w:r>
    </w:p>
    <w:p w14:paraId="27F102DE" w14:textId="0FB1CB8A" w:rsidR="006C213A" w:rsidRDefault="006C213A" w:rsidP="006C213A">
      <w:pPr>
        <w:pStyle w:val="Descripcin"/>
        <w:jc w:val="center"/>
        <w:rPr>
          <w:rFonts w:ascii="Arial Narrow" w:eastAsia="Calibri" w:hAnsi="Arial Narrow"/>
          <w:sz w:val="24"/>
          <w:szCs w:val="24"/>
        </w:rPr>
      </w:pPr>
      <w:r w:rsidRPr="00211B03">
        <w:rPr>
          <w:rFonts w:ascii="Arial Narrow" w:eastAsia="Calibri" w:hAnsi="Arial Narrow"/>
          <w:sz w:val="24"/>
          <w:szCs w:val="24"/>
        </w:rPr>
        <w:t xml:space="preserve"> y su cumplimiento para el 20</w:t>
      </w:r>
      <w:r>
        <w:rPr>
          <w:rFonts w:ascii="Arial Narrow" w:eastAsia="Calibri" w:hAnsi="Arial Narrow"/>
          <w:sz w:val="24"/>
          <w:szCs w:val="24"/>
        </w:rPr>
        <w:t xml:space="preserve">21. </w:t>
      </w:r>
    </w:p>
    <w:p w14:paraId="5336E3A0" w14:textId="77777777" w:rsidR="00696737" w:rsidRDefault="00696737" w:rsidP="00696737">
      <w:pPr>
        <w:jc w:val="both"/>
      </w:pPr>
      <w:r>
        <w:rPr>
          <w:noProof/>
        </w:rPr>
        <w:drawing>
          <wp:inline distT="0" distB="0" distL="0" distR="0" wp14:anchorId="746A38C3" wp14:editId="0B7E239A">
            <wp:extent cx="5612130" cy="2712085"/>
            <wp:effectExtent l="19050" t="19050" r="26670" b="12065"/>
            <wp:docPr id="55" name="Imagen 5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Tabla&#10;&#10;Descripción generada automáticamente"/>
                    <pic:cNvPicPr/>
                  </pic:nvPicPr>
                  <pic:blipFill>
                    <a:blip r:embed="rId129"/>
                    <a:stretch>
                      <a:fillRect/>
                    </a:stretch>
                  </pic:blipFill>
                  <pic:spPr>
                    <a:xfrm>
                      <a:off x="0" y="0"/>
                      <a:ext cx="5612130" cy="2712085"/>
                    </a:xfrm>
                    <a:prstGeom prst="rect">
                      <a:avLst/>
                    </a:prstGeom>
                    <a:ln w="12700">
                      <a:solidFill>
                        <a:schemeClr val="tx1"/>
                      </a:solidFill>
                    </a:ln>
                  </pic:spPr>
                </pic:pic>
              </a:graphicData>
            </a:graphic>
          </wp:inline>
        </w:drawing>
      </w:r>
    </w:p>
    <w:p w14:paraId="7BC7590C" w14:textId="6F92F5DF" w:rsidR="00696737" w:rsidRDefault="00696737" w:rsidP="00B54439">
      <w:pPr>
        <w:jc w:val="center"/>
        <w:rPr>
          <w:rFonts w:ascii="Arial Narrow" w:hAnsi="Arial Narrow"/>
          <w:sz w:val="18"/>
          <w:szCs w:val="18"/>
        </w:rPr>
      </w:pPr>
      <w:r w:rsidRPr="00996542">
        <w:rPr>
          <w:rFonts w:ascii="Arial Narrow" w:hAnsi="Arial Narrow"/>
          <w:sz w:val="18"/>
          <w:szCs w:val="18"/>
        </w:rPr>
        <w:t>Fuente: Sistema PEI al 19 de enero del 2022 para el año 2021.</w:t>
      </w:r>
    </w:p>
    <w:p w14:paraId="73EF664B" w14:textId="77777777" w:rsidR="006C213A" w:rsidRPr="00996542" w:rsidRDefault="006C213A" w:rsidP="00696737">
      <w:pPr>
        <w:jc w:val="both"/>
        <w:rPr>
          <w:rFonts w:ascii="Arial Narrow" w:hAnsi="Arial Narrow"/>
          <w:sz w:val="18"/>
          <w:szCs w:val="18"/>
        </w:rPr>
      </w:pPr>
    </w:p>
    <w:p w14:paraId="29B01F17" w14:textId="423435DF" w:rsidR="00696737" w:rsidRDefault="00696737" w:rsidP="00696737">
      <w:pPr>
        <w:jc w:val="both"/>
        <w:rPr>
          <w:rFonts w:ascii="Arial Narrow" w:hAnsi="Arial Narrow"/>
        </w:rPr>
      </w:pPr>
      <w:r w:rsidRPr="00C927A2">
        <w:rPr>
          <w:rFonts w:ascii="Arial Narrow" w:hAnsi="Arial Narrow"/>
        </w:rPr>
        <w:t xml:space="preserve">Con respecto a las metas estratégicas anteriores, como esfuerzo en el punto 1 se tiene Depurar el plan de implementación, ajustado a la realidad institucional, para que sea replicado por los diferentes ámbitos que conforman el Poder Judicial. El proyecto del Modelo de Gestión por Procesos Institucional permite implementar en el Poder Judicial y todas sus dependencias un método ágil para la creación, revisión y actualización de la documentación de procesos necesaria para la prestación de servicios. </w:t>
      </w:r>
      <w:r>
        <w:rPr>
          <w:rFonts w:ascii="Arial Narrow" w:hAnsi="Arial Narrow"/>
        </w:rPr>
        <w:t>S</w:t>
      </w:r>
      <w:r w:rsidRPr="00C927A2">
        <w:rPr>
          <w:rFonts w:ascii="Arial Narrow" w:hAnsi="Arial Narrow"/>
        </w:rPr>
        <w:t xml:space="preserve">e pretende elaborar e implementar un Sistema de Documentación mediante la Jerarquía documental, con el que es posible establecer y unificar información de la organización, para que los servicios que se brinden en el Poder Judicial sean consistentes y estándares. </w:t>
      </w:r>
    </w:p>
    <w:p w14:paraId="680371C5" w14:textId="77777777" w:rsidR="006C213A" w:rsidRDefault="006C213A" w:rsidP="00696737">
      <w:pPr>
        <w:jc w:val="both"/>
        <w:rPr>
          <w:rFonts w:ascii="Arial Narrow" w:hAnsi="Arial Narrow"/>
        </w:rPr>
      </w:pPr>
    </w:p>
    <w:p w14:paraId="64A58766" w14:textId="67307086" w:rsidR="00696737" w:rsidRDefault="00696737" w:rsidP="00696737">
      <w:pPr>
        <w:jc w:val="both"/>
        <w:rPr>
          <w:rFonts w:ascii="Arial Narrow" w:hAnsi="Arial Narrow"/>
        </w:rPr>
      </w:pPr>
      <w:r>
        <w:rPr>
          <w:rFonts w:ascii="Arial Narrow" w:hAnsi="Arial Narrow"/>
        </w:rPr>
        <w:t xml:space="preserve">Por su parte en lo que corresponde a la realización de estudios de impacto de ley se tiene la realización de estudios de impacto se rindieron un total de 8 informes con respecto a la </w:t>
      </w:r>
      <w:r w:rsidRPr="00C927A2">
        <w:rPr>
          <w:rFonts w:ascii="Arial Narrow" w:hAnsi="Arial Narrow"/>
        </w:rPr>
        <w:t>actualización de los análisis de las reformas de Ley para determinar la afectación sobre la estructura y gestión judicial de los despachos</w:t>
      </w:r>
      <w:r>
        <w:rPr>
          <w:rFonts w:ascii="Arial Narrow" w:hAnsi="Arial Narrow"/>
        </w:rPr>
        <w:t>, así como estudios nuevos como el “</w:t>
      </w:r>
      <w:r w:rsidRPr="00245B62">
        <w:rPr>
          <w:rFonts w:ascii="Arial Narrow" w:hAnsi="Arial Narrow"/>
        </w:rPr>
        <w:t xml:space="preserve">Proyecto de creación de la Jurisdicción Especializada para Pueblos Indígenas", </w:t>
      </w:r>
      <w:r>
        <w:rPr>
          <w:rFonts w:ascii="Arial Narrow" w:hAnsi="Arial Narrow"/>
        </w:rPr>
        <w:t xml:space="preserve">el cual </w:t>
      </w:r>
      <w:r w:rsidRPr="00245B62">
        <w:rPr>
          <w:rFonts w:ascii="Arial Narrow" w:hAnsi="Arial Narrow"/>
        </w:rPr>
        <w:t>nace como resultado de las medidas cautelares interpuestas por la Corte Interamericana de Derechos Humanos contra Costa Rica y también por la entrada en vigencia de la Ley de Acceso a la Justicia para Pueblos Indígenas (Ley 9593) del 2018</w:t>
      </w:r>
      <w:r>
        <w:rPr>
          <w:rFonts w:ascii="Arial Narrow" w:hAnsi="Arial Narrow"/>
        </w:rPr>
        <w:t>.</w:t>
      </w:r>
    </w:p>
    <w:p w14:paraId="4859BC57" w14:textId="332846D4" w:rsidR="006C213A" w:rsidRDefault="006C213A" w:rsidP="00696737">
      <w:pPr>
        <w:jc w:val="both"/>
        <w:rPr>
          <w:rFonts w:ascii="Arial Narrow" w:hAnsi="Arial Narrow"/>
        </w:rPr>
      </w:pPr>
    </w:p>
    <w:p w14:paraId="2B3201C4" w14:textId="387A925F" w:rsidR="0080354E" w:rsidRDefault="0080354E" w:rsidP="00696737">
      <w:pPr>
        <w:jc w:val="both"/>
        <w:rPr>
          <w:rFonts w:ascii="Arial Narrow" w:hAnsi="Arial Narrow"/>
        </w:rPr>
      </w:pPr>
    </w:p>
    <w:p w14:paraId="514E1C01" w14:textId="77777777" w:rsidR="0080354E" w:rsidRDefault="0080354E" w:rsidP="00696737">
      <w:pPr>
        <w:jc w:val="both"/>
        <w:rPr>
          <w:rFonts w:ascii="Arial Narrow" w:hAnsi="Arial Narrow"/>
        </w:rPr>
      </w:pPr>
    </w:p>
    <w:p w14:paraId="3D485049" w14:textId="77777777" w:rsidR="00696737" w:rsidRDefault="00696737" w:rsidP="00696737">
      <w:pPr>
        <w:jc w:val="both"/>
      </w:pPr>
      <w:r>
        <w:rPr>
          <w:rFonts w:ascii="Arial Narrow" w:hAnsi="Arial Narrow"/>
        </w:rPr>
        <w:t xml:space="preserve">Con respecto a la ejecución del presupuesto de la institución, se tiene el porcentaje más alto del periodo del PEI superando el 97%. Esto se debe a los múltiples esfuerzos de oficinas de la Dirección Ejecutiva, así como la Dirección de Planificación, quienes rindieron informes como Costo de la Justicia, Anteproyecto de Presupuesto, entre otros. </w:t>
      </w:r>
    </w:p>
    <w:p w14:paraId="1DEDD4C9" w14:textId="77777777" w:rsidR="006C213A" w:rsidRDefault="006C213A" w:rsidP="00696737">
      <w:pPr>
        <w:jc w:val="center"/>
        <w:rPr>
          <w:rFonts w:ascii="Arial Narrow" w:hAnsi="Arial Narrow"/>
          <w:b/>
          <w:bCs/>
        </w:rPr>
      </w:pPr>
    </w:p>
    <w:p w14:paraId="4808ECE6" w14:textId="4B9CC9A3" w:rsidR="006C213A" w:rsidRDefault="006C213A" w:rsidP="006C213A">
      <w:pPr>
        <w:pStyle w:val="Descripcin"/>
        <w:jc w:val="center"/>
        <w:rPr>
          <w:rFonts w:ascii="Arial Narrow" w:eastAsia="Calibri" w:hAnsi="Arial Narrow"/>
          <w:sz w:val="24"/>
          <w:szCs w:val="24"/>
        </w:rPr>
      </w:pPr>
      <w:r w:rsidRPr="00484CC1">
        <w:rPr>
          <w:rFonts w:ascii="Arial Narrow" w:hAnsi="Arial Narrow"/>
          <w:sz w:val="24"/>
          <w:szCs w:val="24"/>
        </w:rPr>
        <w:t>Cuadro</w:t>
      </w:r>
      <w:r>
        <w:rPr>
          <w:rFonts w:ascii="Arial Narrow" w:hAnsi="Arial Narrow"/>
          <w:sz w:val="24"/>
          <w:szCs w:val="24"/>
        </w:rPr>
        <w:t xml:space="preserve">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2F520A">
        <w:rPr>
          <w:rFonts w:ascii="Arial Narrow" w:hAnsi="Arial Narrow"/>
          <w:noProof/>
          <w:sz w:val="24"/>
          <w:szCs w:val="24"/>
        </w:rPr>
        <w:t>75</w:t>
      </w:r>
      <w:r w:rsidRPr="00484CC1">
        <w:rPr>
          <w:rFonts w:ascii="Arial Narrow" w:hAnsi="Arial Narrow"/>
          <w:sz w:val="24"/>
          <w:szCs w:val="24"/>
        </w:rPr>
        <w:fldChar w:fldCharType="end"/>
      </w:r>
      <w:r w:rsidRPr="00484CC1">
        <w:rPr>
          <w:rFonts w:ascii="Arial Narrow" w:hAnsi="Arial Narrow"/>
          <w:sz w:val="24"/>
          <w:szCs w:val="24"/>
        </w:rPr>
        <w:t xml:space="preserve"> </w:t>
      </w:r>
      <w:r w:rsidRPr="00211B03">
        <w:rPr>
          <w:rFonts w:ascii="Arial Narrow" w:eastAsia="Calibri" w:hAnsi="Arial Narrow"/>
          <w:sz w:val="24"/>
          <w:szCs w:val="24"/>
        </w:rPr>
        <w:t xml:space="preserve">Metas estratégicas de </w:t>
      </w:r>
      <w:r>
        <w:rPr>
          <w:rFonts w:ascii="Arial Narrow" w:eastAsia="Calibri" w:hAnsi="Arial Narrow"/>
          <w:sz w:val="24"/>
          <w:szCs w:val="24"/>
        </w:rPr>
        <w:t>Gestión Estratégica Institucional</w:t>
      </w:r>
      <w:r w:rsidRPr="00211B03">
        <w:rPr>
          <w:rFonts w:ascii="Arial Narrow" w:eastAsia="Calibri" w:hAnsi="Arial Narrow"/>
          <w:sz w:val="24"/>
          <w:szCs w:val="24"/>
        </w:rPr>
        <w:t>,</w:t>
      </w:r>
    </w:p>
    <w:p w14:paraId="19751125" w14:textId="77777777" w:rsidR="006C213A" w:rsidRDefault="006C213A" w:rsidP="006C213A">
      <w:pPr>
        <w:pStyle w:val="Descripcin"/>
        <w:jc w:val="center"/>
        <w:rPr>
          <w:rFonts w:ascii="Arial Narrow" w:eastAsia="Calibri" w:hAnsi="Arial Narrow"/>
          <w:sz w:val="24"/>
          <w:szCs w:val="24"/>
        </w:rPr>
      </w:pPr>
      <w:r w:rsidRPr="00211B03">
        <w:rPr>
          <w:rFonts w:ascii="Arial Narrow" w:eastAsia="Calibri" w:hAnsi="Arial Narrow"/>
          <w:sz w:val="24"/>
          <w:szCs w:val="24"/>
        </w:rPr>
        <w:t xml:space="preserve"> y su cumplimiento para el 20</w:t>
      </w:r>
      <w:r>
        <w:rPr>
          <w:rFonts w:ascii="Arial Narrow" w:eastAsia="Calibri" w:hAnsi="Arial Narrow"/>
          <w:sz w:val="24"/>
          <w:szCs w:val="24"/>
        </w:rPr>
        <w:t xml:space="preserve">21. </w:t>
      </w:r>
    </w:p>
    <w:p w14:paraId="6603D624" w14:textId="77777777" w:rsidR="00696737" w:rsidRDefault="00696737" w:rsidP="00696737">
      <w:pPr>
        <w:jc w:val="both"/>
      </w:pPr>
      <w:r>
        <w:rPr>
          <w:noProof/>
        </w:rPr>
        <w:drawing>
          <wp:inline distT="0" distB="0" distL="0" distR="0" wp14:anchorId="577F716A" wp14:editId="4451A6F0">
            <wp:extent cx="5612130" cy="1880870"/>
            <wp:effectExtent l="19050" t="19050" r="26670" b="24130"/>
            <wp:docPr id="56" name="Imagen 5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Tabla&#10;&#10;Descripción generada automáticamente"/>
                    <pic:cNvPicPr/>
                  </pic:nvPicPr>
                  <pic:blipFill>
                    <a:blip r:embed="rId130"/>
                    <a:stretch>
                      <a:fillRect/>
                    </a:stretch>
                  </pic:blipFill>
                  <pic:spPr>
                    <a:xfrm>
                      <a:off x="0" y="0"/>
                      <a:ext cx="5612130" cy="1880870"/>
                    </a:xfrm>
                    <a:prstGeom prst="rect">
                      <a:avLst/>
                    </a:prstGeom>
                    <a:ln w="12700">
                      <a:solidFill>
                        <a:schemeClr val="tx1"/>
                      </a:solidFill>
                    </a:ln>
                  </pic:spPr>
                </pic:pic>
              </a:graphicData>
            </a:graphic>
          </wp:inline>
        </w:drawing>
      </w:r>
    </w:p>
    <w:p w14:paraId="3C3B1006" w14:textId="183C37D9" w:rsidR="00696737" w:rsidRDefault="00696737" w:rsidP="00B54439">
      <w:pPr>
        <w:jc w:val="center"/>
        <w:rPr>
          <w:rFonts w:ascii="Arial Narrow" w:hAnsi="Arial Narrow"/>
        </w:rPr>
      </w:pPr>
      <w:r w:rsidRPr="00996542">
        <w:rPr>
          <w:rFonts w:ascii="Arial Narrow" w:hAnsi="Arial Narrow"/>
          <w:sz w:val="18"/>
          <w:szCs w:val="18"/>
        </w:rPr>
        <w:t xml:space="preserve">Fuente: Sistema PEI al 19 de enero del 2022 para el año </w:t>
      </w:r>
      <w:r w:rsidRPr="00245B62">
        <w:rPr>
          <w:rFonts w:ascii="Arial Narrow" w:hAnsi="Arial Narrow"/>
        </w:rPr>
        <w:t>2021.</w:t>
      </w:r>
    </w:p>
    <w:p w14:paraId="59374AD6" w14:textId="77777777" w:rsidR="006C213A" w:rsidRPr="00245B62" w:rsidRDefault="006C213A" w:rsidP="00696737">
      <w:pPr>
        <w:jc w:val="both"/>
        <w:rPr>
          <w:rFonts w:ascii="Arial Narrow" w:hAnsi="Arial Narrow"/>
        </w:rPr>
      </w:pPr>
    </w:p>
    <w:p w14:paraId="40E29411" w14:textId="393EC6C3" w:rsidR="00696737" w:rsidRDefault="00696737" w:rsidP="00696737">
      <w:pPr>
        <w:jc w:val="both"/>
        <w:rPr>
          <w:rFonts w:ascii="Arial Narrow" w:hAnsi="Arial Narrow"/>
        </w:rPr>
      </w:pPr>
      <w:r w:rsidRPr="007C24C7">
        <w:rPr>
          <w:rFonts w:ascii="Arial Narrow" w:hAnsi="Arial Narrow"/>
        </w:rPr>
        <w:t>Con respecto a</w:t>
      </w:r>
      <w:r>
        <w:rPr>
          <w:rFonts w:ascii="Arial Narrow" w:hAnsi="Arial Narrow"/>
        </w:rPr>
        <w:t xml:space="preserve">l seguimiento realizado de los compromisos del estado de la Justicia se tienen los esfuerzos hechos por el Despacho de la Presidencia para el 2021 con el fin de rendir el </w:t>
      </w:r>
      <w:r w:rsidRPr="00245B62">
        <w:rPr>
          <w:rFonts w:ascii="Arial Narrow" w:hAnsi="Arial Narrow"/>
        </w:rPr>
        <w:t>seguimiento a los indicadores del Segundo informe del Estado de Justicia anual</w:t>
      </w:r>
      <w:r>
        <w:rPr>
          <w:rFonts w:ascii="Arial Narrow" w:hAnsi="Arial Narrow"/>
        </w:rPr>
        <w:t>.</w:t>
      </w:r>
      <w:r w:rsidRPr="00245B62">
        <w:rPr>
          <w:rFonts w:ascii="Arial Narrow" w:hAnsi="Arial Narrow"/>
        </w:rPr>
        <w:t xml:space="preserve"> La Dirección de Planificación </w:t>
      </w:r>
      <w:r>
        <w:rPr>
          <w:rFonts w:ascii="Arial Narrow" w:hAnsi="Arial Narrow"/>
        </w:rPr>
        <w:t xml:space="preserve">fue la responsable de los seguimientos del 2020 e informes de previos al 2020 inclusive, los cuales fueron remitidos al Consejo Superior para su debida aprobación. </w:t>
      </w:r>
      <w:r w:rsidRPr="00245B62">
        <w:rPr>
          <w:rFonts w:ascii="Arial Narrow" w:hAnsi="Arial Narrow"/>
        </w:rPr>
        <w:t xml:space="preserve"> </w:t>
      </w:r>
    </w:p>
    <w:p w14:paraId="385C0A92" w14:textId="77777777" w:rsidR="006C213A" w:rsidRDefault="006C213A" w:rsidP="00696737">
      <w:pPr>
        <w:jc w:val="both"/>
        <w:rPr>
          <w:rFonts w:ascii="Arial Narrow" w:hAnsi="Arial Narrow"/>
        </w:rPr>
      </w:pPr>
    </w:p>
    <w:p w14:paraId="4F571A81" w14:textId="77777777" w:rsidR="00696737" w:rsidRDefault="00696737" w:rsidP="00696737">
      <w:pPr>
        <w:jc w:val="both"/>
      </w:pPr>
      <w:r>
        <w:rPr>
          <w:rFonts w:ascii="Arial Narrow" w:hAnsi="Arial Narrow"/>
        </w:rPr>
        <w:t xml:space="preserve">Por su parte, sobre el avance en el plan de ejecución de las construcciones </w:t>
      </w:r>
      <w:r w:rsidRPr="00B458A7">
        <w:rPr>
          <w:rFonts w:ascii="Arial Narrow" w:hAnsi="Arial Narrow"/>
        </w:rPr>
        <w:t>proceso constructivo del edificio de los Tribunales de Justicia de Puntarena</w:t>
      </w:r>
      <w:r>
        <w:rPr>
          <w:rFonts w:ascii="Arial Narrow" w:hAnsi="Arial Narrow"/>
        </w:rPr>
        <w:t>s</w:t>
      </w:r>
      <w:r w:rsidRPr="00B458A7">
        <w:rPr>
          <w:rFonts w:ascii="Arial Narrow" w:hAnsi="Arial Narrow"/>
        </w:rPr>
        <w:t>, así como la conclusión del proceso de contratación para adquirir un terreno para un futuro proyecto constructivo del Ministerio Público (San José)</w:t>
      </w:r>
      <w:r>
        <w:rPr>
          <w:rFonts w:ascii="Arial Narrow" w:hAnsi="Arial Narrow"/>
        </w:rPr>
        <w:t xml:space="preserve">. Una de las metas operativas no fue completada, lo que impacto la meta estratégica la cual se registra en un 97%, la razón del porque no se logró fue en parte debido a la </w:t>
      </w:r>
      <w:r w:rsidRPr="00B458A7">
        <w:rPr>
          <w:rFonts w:ascii="Arial Narrow" w:hAnsi="Arial Narrow"/>
        </w:rPr>
        <w:t xml:space="preserve">aprobación por parte de la Comisión de Construcciones, del grado de avance en la obra constructiva, para que se ajustara a un 16% y no a un 25%. </w:t>
      </w:r>
      <w:r>
        <w:rPr>
          <w:rFonts w:ascii="Arial Narrow" w:hAnsi="Arial Narrow"/>
        </w:rPr>
        <w:t>Por medio del oficio 3240-DE-2021 de octubre del 2021 se procede a detallar las coordinaciones realizadas con el MINAE y el AYA y que a pesar de los esfuerzos no se logró incrementar la meta.</w:t>
      </w:r>
    </w:p>
    <w:p w14:paraId="5BA0A7E5" w14:textId="77777777" w:rsidR="00696737" w:rsidRDefault="00696737" w:rsidP="00696737">
      <w:pPr>
        <w:jc w:val="both"/>
        <w:rPr>
          <w:rFonts w:ascii="Arial Narrow" w:hAnsi="Arial Narrow"/>
        </w:rPr>
      </w:pPr>
    </w:p>
    <w:p w14:paraId="3D55DEA6" w14:textId="3E0E53D0" w:rsidR="00696737" w:rsidRDefault="00696737" w:rsidP="00696737">
      <w:pPr>
        <w:jc w:val="both"/>
        <w:rPr>
          <w:rFonts w:ascii="Arial Narrow" w:hAnsi="Arial Narrow"/>
        </w:rPr>
      </w:pPr>
    </w:p>
    <w:p w14:paraId="46B2250F" w14:textId="3B4489C4" w:rsidR="006C213A" w:rsidRDefault="006C213A" w:rsidP="00696737">
      <w:pPr>
        <w:jc w:val="both"/>
        <w:rPr>
          <w:rFonts w:ascii="Arial Narrow" w:hAnsi="Arial Narrow"/>
        </w:rPr>
      </w:pPr>
    </w:p>
    <w:p w14:paraId="4F65EB76" w14:textId="1406DDBE" w:rsidR="006C213A" w:rsidRDefault="006C213A" w:rsidP="00696737">
      <w:pPr>
        <w:jc w:val="both"/>
        <w:rPr>
          <w:rFonts w:ascii="Arial Narrow" w:hAnsi="Arial Narrow"/>
        </w:rPr>
      </w:pPr>
    </w:p>
    <w:p w14:paraId="507BC43F" w14:textId="37247729" w:rsidR="006C213A" w:rsidRDefault="006C213A" w:rsidP="00696737">
      <w:pPr>
        <w:jc w:val="both"/>
        <w:rPr>
          <w:rFonts w:ascii="Arial Narrow" w:hAnsi="Arial Narrow"/>
        </w:rPr>
      </w:pPr>
    </w:p>
    <w:p w14:paraId="0CFC244F" w14:textId="77777777" w:rsidR="006C213A" w:rsidRDefault="006C213A" w:rsidP="00696737">
      <w:pPr>
        <w:jc w:val="both"/>
        <w:rPr>
          <w:rFonts w:ascii="Arial Narrow" w:hAnsi="Arial Narrow"/>
        </w:rPr>
      </w:pPr>
    </w:p>
    <w:p w14:paraId="224B53B5" w14:textId="77777777" w:rsidR="00696737" w:rsidRDefault="00696737" w:rsidP="00696737">
      <w:pPr>
        <w:jc w:val="center"/>
        <w:rPr>
          <w:rFonts w:ascii="Arial Narrow" w:hAnsi="Arial Narrow"/>
        </w:rPr>
      </w:pPr>
    </w:p>
    <w:p w14:paraId="54494E3E" w14:textId="77777777" w:rsidR="00100134" w:rsidRDefault="00100134">
      <w:pPr>
        <w:rPr>
          <w:rFonts w:ascii="Arial Narrow" w:hAnsi="Arial Narrow"/>
          <w:b/>
          <w:bCs/>
        </w:rPr>
      </w:pPr>
      <w:r>
        <w:rPr>
          <w:rFonts w:ascii="Arial Narrow" w:hAnsi="Arial Narrow"/>
        </w:rPr>
        <w:br w:type="page"/>
      </w:r>
    </w:p>
    <w:p w14:paraId="400997F5" w14:textId="157212D6" w:rsidR="006C213A" w:rsidRDefault="006C213A" w:rsidP="006C213A">
      <w:pPr>
        <w:pStyle w:val="Descripcin"/>
        <w:jc w:val="center"/>
        <w:rPr>
          <w:rFonts w:ascii="Arial Narrow" w:eastAsia="Calibri" w:hAnsi="Arial Narrow"/>
          <w:sz w:val="24"/>
          <w:szCs w:val="24"/>
        </w:rPr>
      </w:pPr>
      <w:r w:rsidRPr="00484CC1">
        <w:rPr>
          <w:rFonts w:ascii="Arial Narrow" w:hAnsi="Arial Narrow"/>
          <w:sz w:val="24"/>
          <w:szCs w:val="24"/>
        </w:rPr>
        <w:t>Cuadro</w:t>
      </w:r>
      <w:r>
        <w:rPr>
          <w:rFonts w:ascii="Arial Narrow" w:hAnsi="Arial Narrow"/>
          <w:sz w:val="24"/>
          <w:szCs w:val="24"/>
        </w:rPr>
        <w:t xml:space="preserve">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2F520A">
        <w:rPr>
          <w:rFonts w:ascii="Arial Narrow" w:hAnsi="Arial Narrow"/>
          <w:noProof/>
          <w:sz w:val="24"/>
          <w:szCs w:val="24"/>
        </w:rPr>
        <w:t>76</w:t>
      </w:r>
      <w:r w:rsidRPr="00484CC1">
        <w:rPr>
          <w:rFonts w:ascii="Arial Narrow" w:hAnsi="Arial Narrow"/>
          <w:sz w:val="24"/>
          <w:szCs w:val="24"/>
        </w:rPr>
        <w:fldChar w:fldCharType="end"/>
      </w:r>
      <w:r w:rsidRPr="00484CC1">
        <w:rPr>
          <w:rFonts w:ascii="Arial Narrow" w:hAnsi="Arial Narrow"/>
          <w:sz w:val="24"/>
          <w:szCs w:val="24"/>
        </w:rPr>
        <w:t xml:space="preserve"> </w:t>
      </w:r>
      <w:r w:rsidRPr="00211B03">
        <w:rPr>
          <w:rFonts w:ascii="Arial Narrow" w:eastAsia="Calibri" w:hAnsi="Arial Narrow"/>
          <w:sz w:val="24"/>
          <w:szCs w:val="24"/>
        </w:rPr>
        <w:t xml:space="preserve">Metas estratégicas de </w:t>
      </w:r>
      <w:r>
        <w:rPr>
          <w:rFonts w:ascii="Arial Narrow" w:eastAsia="Calibri" w:hAnsi="Arial Narrow"/>
          <w:sz w:val="24"/>
          <w:szCs w:val="24"/>
        </w:rPr>
        <w:t>Gestión Estratégica Institucional</w:t>
      </w:r>
      <w:r w:rsidRPr="00211B03">
        <w:rPr>
          <w:rFonts w:ascii="Arial Narrow" w:eastAsia="Calibri" w:hAnsi="Arial Narrow"/>
          <w:sz w:val="24"/>
          <w:szCs w:val="24"/>
        </w:rPr>
        <w:t>,</w:t>
      </w:r>
    </w:p>
    <w:p w14:paraId="4B1760C1" w14:textId="77777777" w:rsidR="006C213A" w:rsidRDefault="006C213A" w:rsidP="006C213A">
      <w:pPr>
        <w:pStyle w:val="Descripcin"/>
        <w:jc w:val="center"/>
        <w:rPr>
          <w:rFonts w:ascii="Arial Narrow" w:eastAsia="Calibri" w:hAnsi="Arial Narrow"/>
          <w:sz w:val="24"/>
          <w:szCs w:val="24"/>
        </w:rPr>
      </w:pPr>
      <w:r w:rsidRPr="00211B03">
        <w:rPr>
          <w:rFonts w:ascii="Arial Narrow" w:eastAsia="Calibri" w:hAnsi="Arial Narrow"/>
          <w:sz w:val="24"/>
          <w:szCs w:val="24"/>
        </w:rPr>
        <w:t xml:space="preserve"> y su cumplimiento para el 20</w:t>
      </w:r>
      <w:r>
        <w:rPr>
          <w:rFonts w:ascii="Arial Narrow" w:eastAsia="Calibri" w:hAnsi="Arial Narrow"/>
          <w:sz w:val="24"/>
          <w:szCs w:val="24"/>
        </w:rPr>
        <w:t xml:space="preserve">21. </w:t>
      </w:r>
    </w:p>
    <w:p w14:paraId="3BC602AA" w14:textId="77777777" w:rsidR="00696737" w:rsidRDefault="00696737" w:rsidP="00696737">
      <w:pPr>
        <w:jc w:val="both"/>
      </w:pPr>
      <w:r>
        <w:rPr>
          <w:noProof/>
        </w:rPr>
        <w:drawing>
          <wp:inline distT="0" distB="0" distL="0" distR="0" wp14:anchorId="54F15ED5" wp14:editId="1BB9DCA0">
            <wp:extent cx="5612130" cy="1860550"/>
            <wp:effectExtent l="19050" t="19050" r="26670" b="25400"/>
            <wp:docPr id="57" name="Imagen 5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Tabla&#10;&#10;Descripción generada automáticamente"/>
                    <pic:cNvPicPr/>
                  </pic:nvPicPr>
                  <pic:blipFill>
                    <a:blip r:embed="rId131"/>
                    <a:stretch>
                      <a:fillRect/>
                    </a:stretch>
                  </pic:blipFill>
                  <pic:spPr>
                    <a:xfrm>
                      <a:off x="0" y="0"/>
                      <a:ext cx="5612130" cy="1860550"/>
                    </a:xfrm>
                    <a:prstGeom prst="rect">
                      <a:avLst/>
                    </a:prstGeom>
                    <a:ln w="12700">
                      <a:solidFill>
                        <a:schemeClr val="tx1"/>
                      </a:solidFill>
                    </a:ln>
                  </pic:spPr>
                </pic:pic>
              </a:graphicData>
            </a:graphic>
          </wp:inline>
        </w:drawing>
      </w:r>
    </w:p>
    <w:p w14:paraId="366108A7" w14:textId="1A84B1F1" w:rsidR="00696737" w:rsidRDefault="00696737" w:rsidP="00B54439">
      <w:pPr>
        <w:jc w:val="center"/>
        <w:rPr>
          <w:rFonts w:ascii="Arial Narrow" w:hAnsi="Arial Narrow"/>
          <w:sz w:val="18"/>
          <w:szCs w:val="18"/>
        </w:rPr>
      </w:pPr>
      <w:r w:rsidRPr="00996542">
        <w:rPr>
          <w:rFonts w:ascii="Arial Narrow" w:hAnsi="Arial Narrow"/>
          <w:sz w:val="18"/>
          <w:szCs w:val="18"/>
        </w:rPr>
        <w:t>Fuente: Sistema PEI al 19 de enero del 2022 para el año 2021.</w:t>
      </w:r>
    </w:p>
    <w:p w14:paraId="6FAB2B70" w14:textId="77777777" w:rsidR="006C213A" w:rsidRPr="00996542" w:rsidRDefault="006C213A" w:rsidP="00696737">
      <w:pPr>
        <w:jc w:val="both"/>
        <w:rPr>
          <w:rFonts w:ascii="Arial Narrow" w:hAnsi="Arial Narrow"/>
          <w:sz w:val="18"/>
          <w:szCs w:val="18"/>
        </w:rPr>
      </w:pPr>
    </w:p>
    <w:p w14:paraId="4395C0CA" w14:textId="14AE4D12" w:rsidR="00696737" w:rsidRDefault="00696737" w:rsidP="00696737">
      <w:pPr>
        <w:jc w:val="both"/>
        <w:rPr>
          <w:rFonts w:ascii="Arial Narrow" w:hAnsi="Arial Narrow"/>
        </w:rPr>
      </w:pPr>
      <w:r w:rsidRPr="00802462">
        <w:rPr>
          <w:rFonts w:ascii="Arial Narrow" w:hAnsi="Arial Narrow"/>
        </w:rPr>
        <w:t>Por su parte, respecto a la meta relacionada a planes preventivos de infraestructura regional se tiene que se realizaron las coordinaciones necesarias entre el Poder Judicial y los CAI con el fin de atender las necesidades de ampliación de espacio y equipos a solicitud de los CAI, para realizar videollamadas con el uso de Microsoft Teams, para uso de diligencias judiciales.  Se indica por parte de la Dirección Ejecutiva que se atendieron oportunamente los requerimientos solicitados por los CAI, en la que se ve beneficiada población vulnerable que se encuentra recluida en los citados centros</w:t>
      </w:r>
      <w:r>
        <w:rPr>
          <w:rFonts w:ascii="Arial Narrow" w:hAnsi="Arial Narrow"/>
        </w:rPr>
        <w:t xml:space="preserve">, así como </w:t>
      </w:r>
      <w:r w:rsidRPr="00802462">
        <w:rPr>
          <w:rFonts w:ascii="Arial Narrow" w:hAnsi="Arial Narrow"/>
        </w:rPr>
        <w:t>la aplicación de las medidas administrativas que permit</w:t>
      </w:r>
      <w:r>
        <w:rPr>
          <w:rFonts w:ascii="Arial Narrow" w:hAnsi="Arial Narrow"/>
        </w:rPr>
        <w:t>iera</w:t>
      </w:r>
      <w:r w:rsidRPr="00802462">
        <w:rPr>
          <w:rFonts w:ascii="Arial Narrow" w:hAnsi="Arial Narrow"/>
        </w:rPr>
        <w:t>n atender oportunamente las necesidades de cada circuito, generadas por cada situación de riesgo o emergencia.</w:t>
      </w:r>
    </w:p>
    <w:p w14:paraId="7DCF55DF" w14:textId="77777777" w:rsidR="006C213A" w:rsidRDefault="006C213A" w:rsidP="00696737">
      <w:pPr>
        <w:jc w:val="both"/>
        <w:rPr>
          <w:rFonts w:ascii="Arial Narrow" w:hAnsi="Arial Narrow"/>
        </w:rPr>
      </w:pPr>
    </w:p>
    <w:p w14:paraId="6311E238" w14:textId="555D7804" w:rsidR="00696737" w:rsidRDefault="00696737" w:rsidP="00696737">
      <w:pPr>
        <w:jc w:val="both"/>
        <w:rPr>
          <w:rFonts w:ascii="Arial Narrow" w:hAnsi="Arial Narrow"/>
        </w:rPr>
      </w:pPr>
      <w:r>
        <w:rPr>
          <w:rFonts w:ascii="Arial Narrow" w:hAnsi="Arial Narrow"/>
        </w:rPr>
        <w:t xml:space="preserve">La meta relacionada al Modelo de Gestión de Planificación Estratégica se tienen múltiples esfuerzos de diversos actores desde un enfoque operativo, respecto al Control Interno, </w:t>
      </w:r>
      <w:r w:rsidRPr="00802462">
        <w:rPr>
          <w:rFonts w:ascii="Arial Narrow" w:hAnsi="Arial Narrow"/>
        </w:rPr>
        <w:t xml:space="preserve">Corte Plena relacionado </w:t>
      </w:r>
      <w:r>
        <w:rPr>
          <w:rFonts w:ascii="Arial Narrow" w:hAnsi="Arial Narrow"/>
        </w:rPr>
        <w:t>a aprobaciones concernientes con</w:t>
      </w:r>
      <w:r w:rsidRPr="00802462">
        <w:rPr>
          <w:rFonts w:ascii="Arial Narrow" w:hAnsi="Arial Narrow"/>
        </w:rPr>
        <w:t xml:space="preserve"> el Plan Estratégico Institucional (PEI), el Plan Anual Operativo (PAO) y la Gestión del Portafolio de Proyectos Estratégicos.</w:t>
      </w:r>
      <w:r>
        <w:rPr>
          <w:rFonts w:ascii="Arial Narrow" w:hAnsi="Arial Narrow"/>
        </w:rPr>
        <w:t xml:space="preserve"> Por medio del Subproceso de Planificación Estratégica se le brinda</w:t>
      </w:r>
      <w:r w:rsidRPr="00802462">
        <w:rPr>
          <w:rFonts w:ascii="Arial Narrow" w:hAnsi="Arial Narrow"/>
        </w:rPr>
        <w:t xml:space="preserve"> continuidad al Modelo de Gestión para la Planificación Estratégica, y continuar con la integración con el modelo de innovación, el portafolio de proyectos estratégicos, los planes anuales operativos, el Presupuesto y riesgos institucionales; conforme </w:t>
      </w:r>
      <w:r>
        <w:rPr>
          <w:rFonts w:ascii="Arial Narrow" w:hAnsi="Arial Narrow"/>
        </w:rPr>
        <w:t>a</w:t>
      </w:r>
      <w:r w:rsidRPr="00802462">
        <w:rPr>
          <w:rFonts w:ascii="Arial Narrow" w:hAnsi="Arial Narrow"/>
        </w:rPr>
        <w:t>l cronograma definido.</w:t>
      </w:r>
      <w:r>
        <w:rPr>
          <w:rFonts w:ascii="Arial Narrow" w:hAnsi="Arial Narrow"/>
        </w:rPr>
        <w:t xml:space="preserve"> </w:t>
      </w:r>
      <w:r w:rsidRPr="00802462">
        <w:rPr>
          <w:rFonts w:ascii="Arial Narrow" w:hAnsi="Arial Narrow"/>
        </w:rPr>
        <w:t xml:space="preserve">De enero a diciembre del 2021, se </w:t>
      </w:r>
      <w:r>
        <w:rPr>
          <w:rFonts w:ascii="Arial Narrow" w:hAnsi="Arial Narrow"/>
        </w:rPr>
        <w:t>gestionaron</w:t>
      </w:r>
      <w:r w:rsidRPr="00802462">
        <w:rPr>
          <w:rFonts w:ascii="Arial Narrow" w:hAnsi="Arial Narrow"/>
        </w:rPr>
        <w:t xml:space="preserve"> 6 sesiones del Comité</w:t>
      </w:r>
      <w:r>
        <w:rPr>
          <w:rFonts w:ascii="Arial Narrow" w:hAnsi="Arial Narrow"/>
        </w:rPr>
        <w:t xml:space="preserve"> de Planeación Estratégica</w:t>
      </w:r>
      <w:r w:rsidRPr="00802462">
        <w:rPr>
          <w:rFonts w:ascii="Arial Narrow" w:hAnsi="Arial Narrow"/>
        </w:rPr>
        <w:t>, donde ha sido necesario coordinar con las Direcciones que brindan información en los seguimientos, así como con aquellas oficinas que solicitan alineamientos estratégicos</w:t>
      </w:r>
      <w:r>
        <w:rPr>
          <w:rFonts w:ascii="Arial Narrow" w:hAnsi="Arial Narrow"/>
        </w:rPr>
        <w:t>.</w:t>
      </w:r>
    </w:p>
    <w:p w14:paraId="40205A35" w14:textId="076E0D6F" w:rsidR="00696737" w:rsidRDefault="00696737" w:rsidP="00696737">
      <w:pPr>
        <w:jc w:val="both"/>
      </w:pPr>
    </w:p>
    <w:p w14:paraId="2406049D" w14:textId="15EBB1BC" w:rsidR="00DF39D9" w:rsidRDefault="00DF39D9" w:rsidP="00696737">
      <w:pPr>
        <w:jc w:val="both"/>
      </w:pPr>
    </w:p>
    <w:p w14:paraId="0E0E43B4" w14:textId="54481207" w:rsidR="00DF39D9" w:rsidRDefault="00DF39D9" w:rsidP="00696737">
      <w:pPr>
        <w:jc w:val="both"/>
      </w:pPr>
    </w:p>
    <w:p w14:paraId="177D21FF" w14:textId="7C3F83EF" w:rsidR="00696737" w:rsidRPr="00322D9B" w:rsidRDefault="00BF7360" w:rsidP="00322D9B">
      <w:pPr>
        <w:pStyle w:val="Ttulo3"/>
        <w:numPr>
          <w:ilvl w:val="2"/>
          <w:numId w:val="130"/>
        </w:numPr>
        <w:rPr>
          <w:rFonts w:eastAsia="Calibri"/>
        </w:rPr>
      </w:pPr>
      <w:r w:rsidRPr="00322D9B">
        <w:rPr>
          <w:rFonts w:eastAsia="Calibri"/>
        </w:rPr>
        <w:t xml:space="preserve"> </w:t>
      </w:r>
      <w:bookmarkStart w:id="88" w:name="_Toc106355291"/>
      <w:r w:rsidR="001A1178" w:rsidRPr="00322D9B">
        <w:rPr>
          <w:rFonts w:eastAsia="Calibri"/>
          <w:lang w:val="es-CR"/>
        </w:rPr>
        <w:t>Gestión de Políticas Institucionales</w:t>
      </w:r>
      <w:bookmarkEnd w:id="88"/>
    </w:p>
    <w:p w14:paraId="368DED08" w14:textId="11AE6B6C" w:rsidR="00696737" w:rsidRDefault="00696737" w:rsidP="00696737">
      <w:pPr>
        <w:jc w:val="center"/>
        <w:rPr>
          <w:rFonts w:ascii="Arial Narrow" w:hAnsi="Arial Narrow"/>
          <w:b/>
          <w:bCs/>
        </w:rPr>
      </w:pPr>
    </w:p>
    <w:p w14:paraId="6B5BB8F1" w14:textId="38D2E3EC" w:rsidR="00C03F90" w:rsidRDefault="00C03F90" w:rsidP="00696737">
      <w:pPr>
        <w:jc w:val="center"/>
        <w:rPr>
          <w:rFonts w:ascii="Arial Narrow" w:hAnsi="Arial Narrow"/>
          <w:b/>
          <w:bCs/>
        </w:rPr>
      </w:pPr>
    </w:p>
    <w:p w14:paraId="6FD3AEA5" w14:textId="241500A7" w:rsidR="00C03F90" w:rsidRPr="00ED6A5E" w:rsidRDefault="00C03F90" w:rsidP="00C03F90">
      <w:pPr>
        <w:jc w:val="both"/>
        <w:rPr>
          <w:rFonts w:ascii="Arial Narrow" w:eastAsia="Calibri" w:hAnsi="Arial Narrow"/>
          <w:lang w:eastAsia="en-US"/>
        </w:rPr>
      </w:pPr>
      <w:r w:rsidRPr="00ED6A5E">
        <w:rPr>
          <w:rFonts w:ascii="Arial Narrow" w:eastAsia="Calibri" w:hAnsi="Arial Narrow"/>
          <w:lang w:eastAsia="en-US"/>
        </w:rPr>
        <w:t xml:space="preserve">Se </w:t>
      </w:r>
      <w:r w:rsidRPr="009D24A3">
        <w:rPr>
          <w:rFonts w:ascii="Arial Narrow" w:eastAsia="Calibri" w:hAnsi="Arial Narrow"/>
          <w:lang w:eastAsia="en-US"/>
        </w:rPr>
        <w:t>tiene</w:t>
      </w:r>
      <w:r>
        <w:rPr>
          <w:rFonts w:ascii="Arial Narrow" w:eastAsia="Calibri" w:hAnsi="Arial Narrow"/>
          <w:lang w:eastAsia="en-US"/>
        </w:rPr>
        <w:t xml:space="preserve"> 1</w:t>
      </w:r>
      <w:r w:rsidRPr="009D24A3">
        <w:rPr>
          <w:rFonts w:ascii="Arial Narrow" w:eastAsia="Calibri" w:hAnsi="Arial Narrow"/>
          <w:lang w:eastAsia="en-US"/>
        </w:rPr>
        <w:t xml:space="preserve"> meta estratégic</w:t>
      </w:r>
      <w:r>
        <w:rPr>
          <w:rFonts w:ascii="Arial Narrow" w:eastAsia="Calibri" w:hAnsi="Arial Narrow"/>
          <w:lang w:eastAsia="en-US"/>
        </w:rPr>
        <w:t>a</w:t>
      </w:r>
      <w:r w:rsidRPr="009D24A3">
        <w:rPr>
          <w:rFonts w:ascii="Arial Narrow" w:eastAsia="Calibri" w:hAnsi="Arial Narrow"/>
          <w:lang w:eastAsia="en-US"/>
        </w:rPr>
        <w:t xml:space="preserve"> para esta acción, </w:t>
      </w:r>
      <w:r>
        <w:rPr>
          <w:rFonts w:ascii="Arial Narrow" w:eastAsia="Calibri" w:hAnsi="Arial Narrow"/>
          <w:lang w:eastAsia="en-US"/>
        </w:rPr>
        <w:t>la cual muestra</w:t>
      </w:r>
      <w:r w:rsidRPr="009D24A3">
        <w:rPr>
          <w:rFonts w:ascii="Arial Narrow" w:eastAsia="Calibri" w:hAnsi="Arial Narrow"/>
          <w:lang w:eastAsia="en-US"/>
        </w:rPr>
        <w:t xml:space="preserve"> una ejecución alta en su cumplimiento. Se detalla a continuación y su cumplimiento para el 2021:</w:t>
      </w:r>
    </w:p>
    <w:p w14:paraId="0D7E9DA5" w14:textId="4D726C4D" w:rsidR="00C03F90" w:rsidRDefault="00C03F90" w:rsidP="00696737">
      <w:pPr>
        <w:jc w:val="center"/>
        <w:rPr>
          <w:rFonts w:ascii="Arial Narrow" w:hAnsi="Arial Narrow"/>
          <w:b/>
          <w:bCs/>
        </w:rPr>
      </w:pPr>
    </w:p>
    <w:p w14:paraId="64F0E3A9" w14:textId="77777777" w:rsidR="00C03F90" w:rsidRDefault="00C03F90" w:rsidP="00696737">
      <w:pPr>
        <w:jc w:val="center"/>
        <w:rPr>
          <w:rFonts w:ascii="Arial Narrow" w:hAnsi="Arial Narrow"/>
          <w:b/>
          <w:bCs/>
        </w:rPr>
      </w:pPr>
    </w:p>
    <w:p w14:paraId="161E3DE8" w14:textId="063E2FA3" w:rsidR="006C213A" w:rsidRDefault="006C213A" w:rsidP="006C213A">
      <w:pPr>
        <w:pStyle w:val="Descripcin"/>
        <w:jc w:val="center"/>
        <w:rPr>
          <w:rFonts w:ascii="Arial Narrow" w:eastAsia="Calibri" w:hAnsi="Arial Narrow"/>
          <w:sz w:val="24"/>
          <w:szCs w:val="24"/>
        </w:rPr>
      </w:pPr>
      <w:r w:rsidRPr="00484CC1">
        <w:rPr>
          <w:rFonts w:ascii="Arial Narrow" w:hAnsi="Arial Narrow"/>
          <w:sz w:val="24"/>
          <w:szCs w:val="24"/>
        </w:rPr>
        <w:t>Cuadro</w:t>
      </w:r>
      <w:r>
        <w:rPr>
          <w:rFonts w:ascii="Arial Narrow" w:hAnsi="Arial Narrow"/>
          <w:sz w:val="24"/>
          <w:szCs w:val="24"/>
        </w:rPr>
        <w:t xml:space="preserve"> </w:t>
      </w:r>
      <w:r w:rsidRPr="00484CC1">
        <w:rPr>
          <w:rFonts w:ascii="Arial Narrow" w:hAnsi="Arial Narrow"/>
          <w:sz w:val="24"/>
          <w:szCs w:val="24"/>
        </w:rPr>
        <w:fldChar w:fldCharType="begin"/>
      </w:r>
      <w:r w:rsidRPr="00484CC1">
        <w:rPr>
          <w:rFonts w:ascii="Arial Narrow" w:hAnsi="Arial Narrow"/>
          <w:sz w:val="24"/>
          <w:szCs w:val="24"/>
        </w:rPr>
        <w:instrText xml:space="preserve"> SEQ Cuadro_No. \* ARABIC </w:instrText>
      </w:r>
      <w:r w:rsidRPr="00484CC1">
        <w:rPr>
          <w:rFonts w:ascii="Arial Narrow" w:hAnsi="Arial Narrow"/>
          <w:sz w:val="24"/>
          <w:szCs w:val="24"/>
        </w:rPr>
        <w:fldChar w:fldCharType="separate"/>
      </w:r>
      <w:r w:rsidR="002F520A">
        <w:rPr>
          <w:rFonts w:ascii="Arial Narrow" w:hAnsi="Arial Narrow"/>
          <w:noProof/>
          <w:sz w:val="24"/>
          <w:szCs w:val="24"/>
        </w:rPr>
        <w:t>77</w:t>
      </w:r>
      <w:r w:rsidRPr="00484CC1">
        <w:rPr>
          <w:rFonts w:ascii="Arial Narrow" w:hAnsi="Arial Narrow"/>
          <w:sz w:val="24"/>
          <w:szCs w:val="24"/>
        </w:rPr>
        <w:fldChar w:fldCharType="end"/>
      </w:r>
      <w:r w:rsidRPr="00484CC1">
        <w:rPr>
          <w:rFonts w:ascii="Arial Narrow" w:hAnsi="Arial Narrow"/>
          <w:sz w:val="24"/>
          <w:szCs w:val="24"/>
        </w:rPr>
        <w:t xml:space="preserve"> </w:t>
      </w:r>
      <w:r w:rsidRPr="00211B03">
        <w:rPr>
          <w:rFonts w:ascii="Arial Narrow" w:eastAsia="Calibri" w:hAnsi="Arial Narrow"/>
          <w:sz w:val="24"/>
          <w:szCs w:val="24"/>
        </w:rPr>
        <w:t xml:space="preserve">Metas estratégicas de </w:t>
      </w:r>
      <w:r>
        <w:rPr>
          <w:rFonts w:ascii="Arial Narrow" w:eastAsia="Calibri" w:hAnsi="Arial Narrow"/>
          <w:sz w:val="24"/>
          <w:szCs w:val="24"/>
        </w:rPr>
        <w:t>Gestión de Políticas Institucionales</w:t>
      </w:r>
      <w:r w:rsidRPr="00211B03">
        <w:rPr>
          <w:rFonts w:ascii="Arial Narrow" w:eastAsia="Calibri" w:hAnsi="Arial Narrow"/>
          <w:sz w:val="24"/>
          <w:szCs w:val="24"/>
        </w:rPr>
        <w:t>,</w:t>
      </w:r>
    </w:p>
    <w:p w14:paraId="2139A45B" w14:textId="77777777" w:rsidR="006C213A" w:rsidRDefault="006C213A" w:rsidP="006C213A">
      <w:pPr>
        <w:pStyle w:val="Descripcin"/>
        <w:jc w:val="center"/>
        <w:rPr>
          <w:rFonts w:ascii="Arial Narrow" w:eastAsia="Calibri" w:hAnsi="Arial Narrow"/>
          <w:sz w:val="24"/>
          <w:szCs w:val="24"/>
        </w:rPr>
      </w:pPr>
      <w:r w:rsidRPr="00211B03">
        <w:rPr>
          <w:rFonts w:ascii="Arial Narrow" w:eastAsia="Calibri" w:hAnsi="Arial Narrow"/>
          <w:sz w:val="24"/>
          <w:szCs w:val="24"/>
        </w:rPr>
        <w:t xml:space="preserve"> y su cumplimiento para el 20</w:t>
      </w:r>
      <w:r>
        <w:rPr>
          <w:rFonts w:ascii="Arial Narrow" w:eastAsia="Calibri" w:hAnsi="Arial Narrow"/>
          <w:sz w:val="24"/>
          <w:szCs w:val="24"/>
        </w:rPr>
        <w:t xml:space="preserve">21. </w:t>
      </w:r>
    </w:p>
    <w:p w14:paraId="20F52730" w14:textId="77777777" w:rsidR="00696737" w:rsidRDefault="00696737" w:rsidP="00696737">
      <w:pPr>
        <w:jc w:val="both"/>
      </w:pPr>
      <w:r>
        <w:rPr>
          <w:noProof/>
        </w:rPr>
        <w:drawing>
          <wp:inline distT="0" distB="0" distL="0" distR="0" wp14:anchorId="292B8ABA" wp14:editId="36C76D53">
            <wp:extent cx="5612130" cy="1006669"/>
            <wp:effectExtent l="19050" t="19050" r="26670" b="22225"/>
            <wp:docPr id="58" name="Imagen 58" descr="Una captura de pantalla de un celular&#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Una captura de pantalla de un celular&#10;&#10;Descripción generada automáticamente con confianza media"/>
                    <pic:cNvPicPr/>
                  </pic:nvPicPr>
                  <pic:blipFill rotWithShape="1">
                    <a:blip r:embed="rId132"/>
                    <a:srcRect t="-1" b="4155"/>
                    <a:stretch/>
                  </pic:blipFill>
                  <pic:spPr bwMode="auto">
                    <a:xfrm>
                      <a:off x="0" y="0"/>
                      <a:ext cx="5612130" cy="1006669"/>
                    </a:xfrm>
                    <a:prstGeom prst="rect">
                      <a:avLst/>
                    </a:prstGeom>
                    <a:ln w="12700" cap="flat" cmpd="sng" algn="ctr">
                      <a:solidFill>
                        <a:schemeClr val="tx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7ED1E99" w14:textId="6DC7294D" w:rsidR="00696737" w:rsidRDefault="00696737" w:rsidP="00B54439">
      <w:pPr>
        <w:jc w:val="center"/>
        <w:rPr>
          <w:rFonts w:ascii="Arial Narrow" w:hAnsi="Arial Narrow"/>
          <w:sz w:val="18"/>
          <w:szCs w:val="18"/>
        </w:rPr>
      </w:pPr>
      <w:r w:rsidRPr="00996542">
        <w:rPr>
          <w:rFonts w:ascii="Arial Narrow" w:hAnsi="Arial Narrow"/>
          <w:sz w:val="18"/>
          <w:szCs w:val="18"/>
        </w:rPr>
        <w:t>Fuente: Sistema PEI al 19 de enero del 2022 para el año 2021.</w:t>
      </w:r>
    </w:p>
    <w:p w14:paraId="0C886EE1" w14:textId="6912639C" w:rsidR="006C213A" w:rsidRDefault="006C213A" w:rsidP="00696737">
      <w:pPr>
        <w:jc w:val="both"/>
        <w:rPr>
          <w:rFonts w:ascii="Arial Narrow" w:hAnsi="Arial Narrow"/>
          <w:sz w:val="18"/>
          <w:szCs w:val="18"/>
        </w:rPr>
      </w:pPr>
    </w:p>
    <w:p w14:paraId="01844885" w14:textId="77777777" w:rsidR="006C213A" w:rsidRPr="00996542" w:rsidRDefault="006C213A" w:rsidP="00696737">
      <w:pPr>
        <w:jc w:val="both"/>
        <w:rPr>
          <w:rFonts w:ascii="Arial Narrow" w:hAnsi="Arial Narrow"/>
          <w:sz w:val="18"/>
          <w:szCs w:val="18"/>
        </w:rPr>
      </w:pPr>
    </w:p>
    <w:p w14:paraId="5EBBBC55" w14:textId="08D4272C" w:rsidR="00696737" w:rsidRDefault="00696737" w:rsidP="00696737">
      <w:pPr>
        <w:jc w:val="both"/>
        <w:rPr>
          <w:rFonts w:ascii="Arial Narrow" w:hAnsi="Arial Narrow"/>
        </w:rPr>
      </w:pPr>
      <w:r w:rsidRPr="00E6381C">
        <w:rPr>
          <w:rFonts w:ascii="Arial Narrow" w:hAnsi="Arial Narrow"/>
        </w:rPr>
        <w:t xml:space="preserve">Con respecto a la única meta vinculada a la acción estratégica de políticas institucionales, se tienen que se ha dado continuidad al modelo de formulación, implementación, seguimiento y evaluación de políticas institucionales mediante acciones puntuales como: </w:t>
      </w:r>
      <w:r w:rsidRPr="00B03A0C">
        <w:rPr>
          <w:rFonts w:ascii="Arial Narrow" w:hAnsi="Arial Narrow"/>
        </w:rPr>
        <w:t>Elaboración de un mapeo detallado de las políticas Institucionale</w:t>
      </w:r>
      <w:r w:rsidRPr="00E6381C">
        <w:rPr>
          <w:rFonts w:ascii="Arial Narrow" w:hAnsi="Arial Narrow"/>
        </w:rPr>
        <w:t xml:space="preserve">s, </w:t>
      </w:r>
      <w:r>
        <w:rPr>
          <w:rFonts w:ascii="Arial Narrow" w:hAnsi="Arial Narrow"/>
        </w:rPr>
        <w:t>r</w:t>
      </w:r>
      <w:r w:rsidRPr="00B03A0C">
        <w:rPr>
          <w:rFonts w:ascii="Arial Narrow" w:hAnsi="Arial Narrow"/>
        </w:rPr>
        <w:t>evisión de la política de Acceso a la Justicia para Personas Privadas de Libertad y apremiadas</w:t>
      </w:r>
      <w:r w:rsidRPr="00E6381C">
        <w:rPr>
          <w:rFonts w:ascii="Arial Narrow" w:hAnsi="Arial Narrow"/>
        </w:rPr>
        <w:t xml:space="preserve">, </w:t>
      </w:r>
      <w:r w:rsidRPr="00B03A0C">
        <w:rPr>
          <w:rFonts w:ascii="Arial Narrow" w:hAnsi="Arial Narrow"/>
        </w:rPr>
        <w:t>actualización del cuadro de Mando Integral correspondiente a las Políticas Institucionales</w:t>
      </w:r>
      <w:r w:rsidRPr="00E6381C">
        <w:rPr>
          <w:rFonts w:ascii="Arial Narrow" w:hAnsi="Arial Narrow"/>
        </w:rPr>
        <w:t xml:space="preserve">, </w:t>
      </w:r>
      <w:r w:rsidRPr="00B03A0C">
        <w:rPr>
          <w:rFonts w:ascii="Arial Narrow" w:hAnsi="Arial Narrow"/>
        </w:rPr>
        <w:t>revisión de la Política de Bienestar y Salud, a cargo de la Dirección de Gestión Humana</w:t>
      </w:r>
      <w:r w:rsidRPr="00E6381C">
        <w:rPr>
          <w:rFonts w:ascii="Arial Narrow" w:hAnsi="Arial Narrow"/>
        </w:rPr>
        <w:t xml:space="preserve">, </w:t>
      </w:r>
      <w:r w:rsidRPr="00B03A0C">
        <w:rPr>
          <w:rFonts w:ascii="Arial Narrow" w:hAnsi="Arial Narrow"/>
        </w:rPr>
        <w:t>capacitación abierta para todos las instancias que trabajan con el tema de Políticas Institucionales</w:t>
      </w:r>
      <w:r w:rsidRPr="00E6381C">
        <w:rPr>
          <w:rFonts w:ascii="Arial Narrow" w:hAnsi="Arial Narrow"/>
        </w:rPr>
        <w:t xml:space="preserve">, </w:t>
      </w:r>
      <w:r w:rsidRPr="00B03A0C">
        <w:rPr>
          <w:rFonts w:ascii="Arial Narrow" w:hAnsi="Arial Narrow"/>
        </w:rPr>
        <w:t>metodología para el seguimiento y evaluación del Proyecto de Políticas Institucionales</w:t>
      </w:r>
      <w:r w:rsidRPr="00E6381C">
        <w:rPr>
          <w:rFonts w:ascii="Arial Narrow" w:hAnsi="Arial Narrow"/>
        </w:rPr>
        <w:t>.</w:t>
      </w:r>
      <w:r>
        <w:rPr>
          <w:rFonts w:ascii="Arial Narrow" w:hAnsi="Arial Narrow"/>
        </w:rPr>
        <w:t xml:space="preserve">  A su vez, se rindió </w:t>
      </w:r>
      <w:r w:rsidRPr="00E6381C">
        <w:rPr>
          <w:rFonts w:ascii="Arial Narrow" w:hAnsi="Arial Narrow"/>
        </w:rPr>
        <w:t>informe de seguimiento sobre el avance logrados en el 2021 sobre el plan de acción de las políticas institucionales nuevas y en vigencia</w:t>
      </w:r>
      <w:r>
        <w:rPr>
          <w:rFonts w:ascii="Arial Narrow" w:hAnsi="Arial Narrow"/>
        </w:rPr>
        <w:t xml:space="preserve"> mediante informe </w:t>
      </w:r>
      <w:r w:rsidRPr="00E6381C">
        <w:rPr>
          <w:rFonts w:ascii="Arial Narrow" w:hAnsi="Arial Narrow"/>
        </w:rPr>
        <w:t>1431-PLA-EV-2021</w:t>
      </w:r>
      <w:r>
        <w:rPr>
          <w:rFonts w:ascii="Arial Narrow" w:hAnsi="Arial Narrow"/>
        </w:rPr>
        <w:t>.</w:t>
      </w:r>
    </w:p>
    <w:p w14:paraId="4DEF65AD" w14:textId="35657E0B" w:rsidR="00BF339D" w:rsidRDefault="00BF339D" w:rsidP="00696737">
      <w:pPr>
        <w:jc w:val="both"/>
        <w:rPr>
          <w:rFonts w:ascii="Arial Narrow" w:hAnsi="Arial Narrow"/>
        </w:rPr>
      </w:pPr>
    </w:p>
    <w:p w14:paraId="6334E052" w14:textId="77777777" w:rsidR="00696737" w:rsidRDefault="00696737" w:rsidP="00696737">
      <w:pPr>
        <w:jc w:val="both"/>
      </w:pPr>
    </w:p>
    <w:p w14:paraId="7E8E82A7" w14:textId="2D45616F" w:rsidR="00696737" w:rsidRPr="00322D9B" w:rsidRDefault="001A1178" w:rsidP="00322D9B">
      <w:pPr>
        <w:pStyle w:val="Ttulo3"/>
        <w:numPr>
          <w:ilvl w:val="2"/>
          <w:numId w:val="130"/>
        </w:numPr>
        <w:rPr>
          <w:rFonts w:eastAsia="Calibri"/>
        </w:rPr>
      </w:pPr>
      <w:bookmarkStart w:id="89" w:name="_Toc106355292"/>
      <w:r w:rsidRPr="00322D9B">
        <w:rPr>
          <w:rFonts w:eastAsia="Calibri"/>
        </w:rPr>
        <w:t xml:space="preserve">Gestión Administrativa por medio del Portafolio de Proyectos </w:t>
      </w:r>
      <w:r w:rsidRPr="00322D9B">
        <w:rPr>
          <w:rFonts w:eastAsia="Calibri"/>
          <w:lang w:val="es-CR"/>
        </w:rPr>
        <w:t>Estratégicos</w:t>
      </w:r>
      <w:bookmarkEnd w:id="89"/>
    </w:p>
    <w:p w14:paraId="3C372AD8" w14:textId="1A7AAB07" w:rsidR="00696737" w:rsidRDefault="00696737" w:rsidP="00696737">
      <w:pPr>
        <w:jc w:val="both"/>
        <w:rPr>
          <w:b/>
          <w:bCs/>
        </w:rPr>
      </w:pPr>
    </w:p>
    <w:p w14:paraId="7A2C55D0" w14:textId="77777777" w:rsidR="00C03F90" w:rsidRPr="00ED6A5E" w:rsidRDefault="00C03F90" w:rsidP="00C03F90">
      <w:pPr>
        <w:jc w:val="both"/>
        <w:rPr>
          <w:rFonts w:ascii="Arial Narrow" w:eastAsia="Calibri" w:hAnsi="Arial Narrow"/>
          <w:lang w:eastAsia="en-US"/>
        </w:rPr>
      </w:pPr>
      <w:r w:rsidRPr="00ED6A5E">
        <w:rPr>
          <w:rFonts w:ascii="Arial Narrow" w:eastAsia="Calibri" w:hAnsi="Arial Narrow"/>
          <w:lang w:eastAsia="en-US"/>
        </w:rPr>
        <w:t xml:space="preserve">Se </w:t>
      </w:r>
      <w:r w:rsidRPr="009D24A3">
        <w:rPr>
          <w:rFonts w:ascii="Arial Narrow" w:eastAsia="Calibri" w:hAnsi="Arial Narrow"/>
          <w:lang w:eastAsia="en-US"/>
        </w:rPr>
        <w:t>tiene</w:t>
      </w:r>
      <w:r>
        <w:rPr>
          <w:rFonts w:ascii="Arial Narrow" w:eastAsia="Calibri" w:hAnsi="Arial Narrow"/>
          <w:lang w:eastAsia="en-US"/>
        </w:rPr>
        <w:t xml:space="preserve"> 1</w:t>
      </w:r>
      <w:r w:rsidRPr="009D24A3">
        <w:rPr>
          <w:rFonts w:ascii="Arial Narrow" w:eastAsia="Calibri" w:hAnsi="Arial Narrow"/>
          <w:lang w:eastAsia="en-US"/>
        </w:rPr>
        <w:t xml:space="preserve"> meta estratégic</w:t>
      </w:r>
      <w:r>
        <w:rPr>
          <w:rFonts w:ascii="Arial Narrow" w:eastAsia="Calibri" w:hAnsi="Arial Narrow"/>
          <w:lang w:eastAsia="en-US"/>
        </w:rPr>
        <w:t>a</w:t>
      </w:r>
      <w:r w:rsidRPr="009D24A3">
        <w:rPr>
          <w:rFonts w:ascii="Arial Narrow" w:eastAsia="Calibri" w:hAnsi="Arial Narrow"/>
          <w:lang w:eastAsia="en-US"/>
        </w:rPr>
        <w:t xml:space="preserve"> para esta acción, </w:t>
      </w:r>
      <w:r>
        <w:rPr>
          <w:rFonts w:ascii="Arial Narrow" w:eastAsia="Calibri" w:hAnsi="Arial Narrow"/>
          <w:lang w:eastAsia="en-US"/>
        </w:rPr>
        <w:t>la cual muestra</w:t>
      </w:r>
      <w:r w:rsidRPr="009D24A3">
        <w:rPr>
          <w:rFonts w:ascii="Arial Narrow" w:eastAsia="Calibri" w:hAnsi="Arial Narrow"/>
          <w:lang w:eastAsia="en-US"/>
        </w:rPr>
        <w:t xml:space="preserve"> una ejecución alta en su cumplimiento. Se detalla a continuación y su cumplimiento para el 2021:</w:t>
      </w:r>
    </w:p>
    <w:p w14:paraId="6EFFF951" w14:textId="4FD8A983" w:rsidR="00C03F90" w:rsidRDefault="00C03F90" w:rsidP="00696737">
      <w:pPr>
        <w:jc w:val="both"/>
        <w:rPr>
          <w:b/>
          <w:bCs/>
        </w:rPr>
      </w:pPr>
    </w:p>
    <w:p w14:paraId="1067612F" w14:textId="1B4B8AB3" w:rsidR="00A97BD2" w:rsidRDefault="00A97BD2">
      <w:pPr>
        <w:rPr>
          <w:rFonts w:ascii="Arial Narrow" w:hAnsi="Arial Narrow"/>
          <w:b/>
          <w:bCs/>
        </w:rPr>
      </w:pPr>
    </w:p>
    <w:p w14:paraId="5D5B202A" w14:textId="6EC18064" w:rsidR="006C213A" w:rsidRPr="006C213A" w:rsidRDefault="006C213A" w:rsidP="006C213A">
      <w:pPr>
        <w:pStyle w:val="Descripcin"/>
        <w:jc w:val="center"/>
        <w:rPr>
          <w:rFonts w:ascii="Arial Narrow" w:eastAsia="Calibri" w:hAnsi="Arial Narrow"/>
          <w:sz w:val="24"/>
          <w:szCs w:val="24"/>
        </w:rPr>
      </w:pPr>
      <w:r w:rsidRPr="006C213A">
        <w:rPr>
          <w:rFonts w:ascii="Arial Narrow" w:hAnsi="Arial Narrow"/>
          <w:sz w:val="24"/>
          <w:szCs w:val="24"/>
        </w:rPr>
        <w:t xml:space="preserve">Cuadro </w:t>
      </w:r>
      <w:r w:rsidRPr="006C213A">
        <w:rPr>
          <w:rFonts w:ascii="Arial Narrow" w:hAnsi="Arial Narrow"/>
          <w:sz w:val="24"/>
          <w:szCs w:val="24"/>
        </w:rPr>
        <w:fldChar w:fldCharType="begin"/>
      </w:r>
      <w:r w:rsidRPr="006C213A">
        <w:rPr>
          <w:rFonts w:ascii="Arial Narrow" w:hAnsi="Arial Narrow"/>
          <w:sz w:val="24"/>
          <w:szCs w:val="24"/>
        </w:rPr>
        <w:instrText xml:space="preserve"> SEQ Cuadro_No. \* ARABIC </w:instrText>
      </w:r>
      <w:r w:rsidRPr="006C213A">
        <w:rPr>
          <w:rFonts w:ascii="Arial Narrow" w:hAnsi="Arial Narrow"/>
          <w:sz w:val="24"/>
          <w:szCs w:val="24"/>
        </w:rPr>
        <w:fldChar w:fldCharType="separate"/>
      </w:r>
      <w:r w:rsidR="002F520A">
        <w:rPr>
          <w:rFonts w:ascii="Arial Narrow" w:hAnsi="Arial Narrow"/>
          <w:noProof/>
          <w:sz w:val="24"/>
          <w:szCs w:val="24"/>
        </w:rPr>
        <w:t>78</w:t>
      </w:r>
      <w:r w:rsidRPr="006C213A">
        <w:rPr>
          <w:rFonts w:ascii="Arial Narrow" w:hAnsi="Arial Narrow"/>
          <w:sz w:val="24"/>
          <w:szCs w:val="24"/>
        </w:rPr>
        <w:fldChar w:fldCharType="end"/>
      </w:r>
      <w:r w:rsidRPr="006C213A">
        <w:rPr>
          <w:rFonts w:ascii="Arial Narrow" w:hAnsi="Arial Narrow"/>
          <w:sz w:val="24"/>
          <w:szCs w:val="24"/>
        </w:rPr>
        <w:t xml:space="preserve"> </w:t>
      </w:r>
      <w:r w:rsidRPr="006C213A">
        <w:rPr>
          <w:rFonts w:ascii="Arial Narrow" w:eastAsia="Calibri" w:hAnsi="Arial Narrow"/>
          <w:sz w:val="24"/>
          <w:szCs w:val="24"/>
        </w:rPr>
        <w:t xml:space="preserve">Metas estratégicas de Gestión Administrativa por medio del Portafolio de Proyectos </w:t>
      </w:r>
      <w:r w:rsidR="0080354E" w:rsidRPr="006C213A">
        <w:rPr>
          <w:rFonts w:ascii="Arial Narrow" w:eastAsia="Calibri" w:hAnsi="Arial Narrow"/>
          <w:sz w:val="24"/>
          <w:szCs w:val="24"/>
        </w:rPr>
        <w:t>Estratégicos, y</w:t>
      </w:r>
      <w:r w:rsidRPr="006C213A">
        <w:rPr>
          <w:rFonts w:ascii="Arial Narrow" w:eastAsia="Calibri" w:hAnsi="Arial Narrow"/>
          <w:sz w:val="24"/>
          <w:szCs w:val="24"/>
        </w:rPr>
        <w:t xml:space="preserve"> su cumplimiento para el 2021. </w:t>
      </w:r>
    </w:p>
    <w:p w14:paraId="50FC356B" w14:textId="77777777" w:rsidR="006C213A" w:rsidRDefault="006C213A" w:rsidP="00696737">
      <w:pPr>
        <w:jc w:val="both"/>
      </w:pPr>
    </w:p>
    <w:p w14:paraId="3E5F063C" w14:textId="1E5C2B77" w:rsidR="00696737" w:rsidRDefault="00696737" w:rsidP="00696737">
      <w:pPr>
        <w:jc w:val="both"/>
      </w:pPr>
      <w:r>
        <w:rPr>
          <w:noProof/>
        </w:rPr>
        <w:drawing>
          <wp:inline distT="0" distB="0" distL="0" distR="0" wp14:anchorId="71A305FF" wp14:editId="776ADD45">
            <wp:extent cx="5781675" cy="1053463"/>
            <wp:effectExtent l="19050" t="19050" r="9525" b="13970"/>
            <wp:docPr id="59" name="Imagen 59" descr="Una captura de pantalla de un celular&#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Una captura de pantalla de un celular&#10;&#10;Descripción generada automáticamente con confianza media"/>
                    <pic:cNvPicPr/>
                  </pic:nvPicPr>
                  <pic:blipFill rotWithShape="1">
                    <a:blip r:embed="rId133"/>
                    <a:srcRect b="2698"/>
                    <a:stretch/>
                  </pic:blipFill>
                  <pic:spPr bwMode="auto">
                    <a:xfrm>
                      <a:off x="0" y="0"/>
                      <a:ext cx="5826871" cy="1061698"/>
                    </a:xfrm>
                    <a:prstGeom prst="rect">
                      <a:avLst/>
                    </a:prstGeom>
                    <a:ln w="12700" cap="flat" cmpd="sng" algn="ctr">
                      <a:solidFill>
                        <a:schemeClr val="tx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E7EF779" w14:textId="690640C5" w:rsidR="00696737" w:rsidRDefault="00696737" w:rsidP="00B54439">
      <w:pPr>
        <w:jc w:val="center"/>
        <w:rPr>
          <w:rFonts w:ascii="Arial Narrow" w:hAnsi="Arial Narrow"/>
          <w:sz w:val="18"/>
          <w:szCs w:val="18"/>
        </w:rPr>
      </w:pPr>
      <w:r w:rsidRPr="00996542">
        <w:rPr>
          <w:rFonts w:ascii="Arial Narrow" w:hAnsi="Arial Narrow"/>
          <w:sz w:val="18"/>
          <w:szCs w:val="18"/>
        </w:rPr>
        <w:t>Fuente: Sistema PEI al 19 de enero del 2022 para el año 2021.</w:t>
      </w:r>
    </w:p>
    <w:p w14:paraId="2FEFBCDB" w14:textId="1B2CEEA2" w:rsidR="00696737" w:rsidRDefault="00696737" w:rsidP="00696737">
      <w:pPr>
        <w:jc w:val="both"/>
        <w:rPr>
          <w:rFonts w:ascii="Arial Narrow" w:hAnsi="Arial Narrow"/>
          <w:sz w:val="18"/>
          <w:szCs w:val="18"/>
        </w:rPr>
      </w:pPr>
    </w:p>
    <w:p w14:paraId="25CB84DC" w14:textId="77777777" w:rsidR="00696737" w:rsidRPr="00996542" w:rsidRDefault="00696737" w:rsidP="00696737">
      <w:pPr>
        <w:jc w:val="both"/>
        <w:rPr>
          <w:rFonts w:ascii="Arial Narrow" w:hAnsi="Arial Narrow"/>
          <w:sz w:val="18"/>
          <w:szCs w:val="18"/>
        </w:rPr>
      </w:pPr>
    </w:p>
    <w:p w14:paraId="7A92C027" w14:textId="7BDBBF3D" w:rsidR="00696737" w:rsidRDefault="00696737" w:rsidP="00696737">
      <w:pPr>
        <w:jc w:val="both"/>
        <w:rPr>
          <w:rFonts w:ascii="Arial Narrow" w:hAnsi="Arial Narrow"/>
        </w:rPr>
      </w:pPr>
      <w:r w:rsidRPr="00E6381C">
        <w:rPr>
          <w:rFonts w:ascii="Arial Narrow" w:hAnsi="Arial Narrow"/>
        </w:rPr>
        <w:t xml:space="preserve">Por su parte, la meta estratégica vinculada a la administración de proyectos estratégicos </w:t>
      </w:r>
      <w:r>
        <w:rPr>
          <w:rFonts w:ascii="Arial Narrow" w:hAnsi="Arial Narrow"/>
        </w:rPr>
        <w:t>se tienen resultados para el 2021 desde la óptica de</w:t>
      </w:r>
      <w:r w:rsidRPr="001753E5">
        <w:rPr>
          <w:rFonts w:ascii="Arial Narrow" w:hAnsi="Arial Narrow"/>
        </w:rPr>
        <w:t xml:space="preserve"> </w:t>
      </w:r>
      <w:r>
        <w:rPr>
          <w:rFonts w:ascii="Arial Narrow" w:hAnsi="Arial Narrow"/>
        </w:rPr>
        <w:t xml:space="preserve">trabajo del </w:t>
      </w:r>
      <w:r w:rsidRPr="001753E5">
        <w:rPr>
          <w:rFonts w:ascii="Arial Narrow" w:hAnsi="Arial Narrow"/>
        </w:rPr>
        <w:t xml:space="preserve">Subproceso Formulación </w:t>
      </w:r>
      <w:r>
        <w:rPr>
          <w:rFonts w:ascii="Arial Narrow" w:hAnsi="Arial Narrow"/>
        </w:rPr>
        <w:t>d</w:t>
      </w:r>
      <w:r w:rsidRPr="001753E5">
        <w:rPr>
          <w:rFonts w:ascii="Arial Narrow" w:hAnsi="Arial Narrow"/>
        </w:rPr>
        <w:t xml:space="preserve">e Presupuesto </w:t>
      </w:r>
      <w:r>
        <w:rPr>
          <w:rFonts w:ascii="Arial Narrow" w:hAnsi="Arial Narrow"/>
        </w:rPr>
        <w:t>y</w:t>
      </w:r>
      <w:r w:rsidRPr="001753E5">
        <w:rPr>
          <w:rFonts w:ascii="Arial Narrow" w:hAnsi="Arial Narrow"/>
        </w:rPr>
        <w:t xml:space="preserve"> Portafolio </w:t>
      </w:r>
      <w:r>
        <w:rPr>
          <w:rFonts w:ascii="Arial Narrow" w:hAnsi="Arial Narrow"/>
        </w:rPr>
        <w:t>d</w:t>
      </w:r>
      <w:r w:rsidRPr="001753E5">
        <w:rPr>
          <w:rFonts w:ascii="Arial Narrow" w:hAnsi="Arial Narrow"/>
        </w:rPr>
        <w:t>e Proyectos Institucional</w:t>
      </w:r>
      <w:r>
        <w:rPr>
          <w:rFonts w:ascii="Arial Narrow" w:hAnsi="Arial Narrow"/>
        </w:rPr>
        <w:t xml:space="preserve">es como la </w:t>
      </w:r>
      <w:r w:rsidRPr="001753E5">
        <w:rPr>
          <w:rFonts w:ascii="Arial Narrow" w:hAnsi="Arial Narrow"/>
        </w:rPr>
        <w:t xml:space="preserve">propuesta de metodología de priorización de proyectos, </w:t>
      </w:r>
      <w:r>
        <w:rPr>
          <w:rFonts w:ascii="Arial Narrow" w:hAnsi="Arial Narrow"/>
        </w:rPr>
        <w:t>seguimiento al f</w:t>
      </w:r>
      <w:r w:rsidRPr="001753E5">
        <w:rPr>
          <w:rFonts w:ascii="Arial Narrow" w:hAnsi="Arial Narrow"/>
        </w:rPr>
        <w:t xml:space="preserve">ormulario de estudio de factibilidad de todos los proyectos que iniciaron después de enero de 2020 y </w:t>
      </w:r>
      <w:r>
        <w:rPr>
          <w:rFonts w:ascii="Arial Narrow" w:hAnsi="Arial Narrow"/>
        </w:rPr>
        <w:t>que al 2021 tuvieran</w:t>
      </w:r>
      <w:r w:rsidRPr="001753E5">
        <w:rPr>
          <w:rFonts w:ascii="Arial Narrow" w:hAnsi="Arial Narrow"/>
        </w:rPr>
        <w:t xml:space="preserve"> pendiente la elaboración del documento, coordina</w:t>
      </w:r>
      <w:r>
        <w:rPr>
          <w:rFonts w:ascii="Arial Narrow" w:hAnsi="Arial Narrow"/>
        </w:rPr>
        <w:t>ción</w:t>
      </w:r>
      <w:r w:rsidRPr="001753E5">
        <w:rPr>
          <w:rFonts w:ascii="Arial Narrow" w:hAnsi="Arial Narrow"/>
        </w:rPr>
        <w:t xml:space="preserve"> con las diferentes instancias líderes de proyectos estratégicos y labores operativas la presentación oportuna de los informes de avance, </w:t>
      </w:r>
      <w:r>
        <w:rPr>
          <w:rFonts w:ascii="Arial Narrow" w:hAnsi="Arial Narrow"/>
        </w:rPr>
        <w:t xml:space="preserve">confección de </w:t>
      </w:r>
      <w:r w:rsidRPr="001753E5">
        <w:rPr>
          <w:rFonts w:ascii="Arial Narrow" w:hAnsi="Arial Narrow"/>
        </w:rPr>
        <w:t>4 informes de seguimiento del estado de portafolio de los proyectos estratégicos</w:t>
      </w:r>
      <w:r>
        <w:rPr>
          <w:rFonts w:ascii="Arial Narrow" w:hAnsi="Arial Narrow"/>
        </w:rPr>
        <w:t xml:space="preserve"> así como </w:t>
      </w:r>
      <w:r w:rsidRPr="001753E5">
        <w:rPr>
          <w:rFonts w:ascii="Arial Narrow" w:hAnsi="Arial Narrow"/>
        </w:rPr>
        <w:t>2 informes de seguimiento de las licencias de MS Project</w:t>
      </w:r>
      <w:r>
        <w:rPr>
          <w:rFonts w:ascii="Arial Narrow" w:hAnsi="Arial Narrow"/>
        </w:rPr>
        <w:t xml:space="preserve"> y finalmente, </w:t>
      </w:r>
      <w:r w:rsidRPr="001753E5">
        <w:rPr>
          <w:rFonts w:ascii="Arial Narrow" w:hAnsi="Arial Narrow"/>
        </w:rPr>
        <w:t xml:space="preserve">seguimiento </w:t>
      </w:r>
      <w:r>
        <w:rPr>
          <w:rFonts w:ascii="Arial Narrow" w:hAnsi="Arial Narrow"/>
        </w:rPr>
        <w:t>de</w:t>
      </w:r>
      <w:r w:rsidRPr="001753E5">
        <w:rPr>
          <w:rFonts w:ascii="Arial Narrow" w:hAnsi="Arial Narrow"/>
        </w:rPr>
        <w:t xml:space="preserve"> los aproximadamente 257 permisos con goce de salario que apoyan tanto proyectos estratégicos como operativos y que abarcan 25 centros de responsabilidad</w:t>
      </w:r>
      <w:r w:rsidR="006C213A">
        <w:rPr>
          <w:rFonts w:ascii="Arial Narrow" w:hAnsi="Arial Narrow"/>
        </w:rPr>
        <w:t>.</w:t>
      </w:r>
    </w:p>
    <w:p w14:paraId="6AE2814A" w14:textId="77777777" w:rsidR="00696737" w:rsidRDefault="00696737" w:rsidP="00696737">
      <w:pPr>
        <w:jc w:val="both"/>
        <w:rPr>
          <w:rFonts w:ascii="Arial Narrow" w:hAnsi="Arial Narrow"/>
        </w:rPr>
      </w:pPr>
    </w:p>
    <w:p w14:paraId="64DE607B" w14:textId="59B791A8" w:rsidR="002263CD" w:rsidRDefault="002263CD">
      <w:pPr>
        <w:rPr>
          <w:rFonts w:ascii="Arial Narrow" w:eastAsia="Calibri" w:hAnsi="Arial Narrow"/>
          <w:b/>
          <w:bCs/>
          <w:iCs/>
          <w:sz w:val="32"/>
          <w:szCs w:val="32"/>
          <w:lang w:eastAsia="en-US"/>
        </w:rPr>
      </w:pPr>
    </w:p>
    <w:p w14:paraId="72118217" w14:textId="071A631C" w:rsidR="00AB5922" w:rsidRDefault="46D30032" w:rsidP="000C6F8D">
      <w:pPr>
        <w:pStyle w:val="Ttulo1"/>
      </w:pPr>
      <w:bookmarkStart w:id="90" w:name="_Toc106355293"/>
      <w:r>
        <w:t>Resultados del PEI por responsables estratégicos</w:t>
      </w:r>
      <w:bookmarkEnd w:id="90"/>
    </w:p>
    <w:p w14:paraId="53B2454A" w14:textId="3179A9AC" w:rsidR="000B0449" w:rsidRDefault="000B0449" w:rsidP="000B0449">
      <w:pPr>
        <w:rPr>
          <w:lang w:eastAsia="en-US"/>
        </w:rPr>
      </w:pPr>
    </w:p>
    <w:p w14:paraId="43749B96" w14:textId="5D91963E" w:rsidR="001A1178" w:rsidRDefault="001A1178" w:rsidP="0080354E">
      <w:pPr>
        <w:jc w:val="both"/>
        <w:rPr>
          <w:rFonts w:ascii="Arial Narrow" w:eastAsia="Calibri" w:hAnsi="Arial Narrow"/>
        </w:rPr>
      </w:pPr>
      <w:r w:rsidRPr="000F6A3E">
        <w:rPr>
          <w:rFonts w:ascii="Arial Narrow" w:eastAsia="Calibri" w:hAnsi="Arial Narrow"/>
        </w:rPr>
        <w:t xml:space="preserve">Se define como </w:t>
      </w:r>
      <w:r w:rsidRPr="00C9711A">
        <w:rPr>
          <w:rFonts w:ascii="Arial Narrow" w:eastAsia="Calibri" w:hAnsi="Arial Narrow"/>
          <w:b/>
          <w:bCs/>
        </w:rPr>
        <w:t>responsable estratégico</w:t>
      </w:r>
      <w:r w:rsidRPr="00C9711A">
        <w:rPr>
          <w:rFonts w:ascii="Arial Narrow" w:eastAsia="Calibri" w:hAnsi="Arial Narrow"/>
        </w:rPr>
        <w:t xml:space="preserve"> a la oficina, despacho, comisión, o comité responsable de la rendición de cuentas sobre la planificación, ejecución, seguimiento y control de la acción estratégica ante la Dirección de Planificación. </w:t>
      </w:r>
      <w:r w:rsidRPr="000F6A3E">
        <w:rPr>
          <w:rFonts w:ascii="Arial Narrow" w:eastAsia="Calibri" w:hAnsi="Arial Narrow"/>
        </w:rPr>
        <w:t>Es quien d</w:t>
      </w:r>
      <w:r w:rsidRPr="00C9711A">
        <w:rPr>
          <w:rFonts w:ascii="Arial Narrow" w:eastAsia="Calibri" w:hAnsi="Arial Narrow"/>
        </w:rPr>
        <w:t xml:space="preserve">eberá promover la debida coordinación con las oficinas </w:t>
      </w:r>
      <w:r w:rsidRPr="000F6A3E">
        <w:rPr>
          <w:rFonts w:ascii="Arial Narrow" w:eastAsia="Calibri" w:hAnsi="Arial Narrow"/>
        </w:rPr>
        <w:t>involucradas. En</w:t>
      </w:r>
      <w:r w:rsidRPr="00C9711A">
        <w:rPr>
          <w:rFonts w:ascii="Arial Narrow" w:eastAsia="Calibri" w:hAnsi="Arial Narrow"/>
        </w:rPr>
        <w:t xml:space="preserve"> el caso de las comisiones se incorpora a la Secretaría de dicha Comisión o bien al órgano técnico relacionado, ya que el Sistema PEI incorpora únicamente oficinas presupuestarias.</w:t>
      </w:r>
    </w:p>
    <w:p w14:paraId="353DBE29" w14:textId="77777777" w:rsidR="0080354E" w:rsidRDefault="0080354E" w:rsidP="00132A44">
      <w:pPr>
        <w:jc w:val="both"/>
        <w:rPr>
          <w:rFonts w:ascii="Arial Narrow" w:eastAsia="Calibri" w:hAnsi="Arial Narrow"/>
        </w:rPr>
      </w:pPr>
    </w:p>
    <w:p w14:paraId="6B819026" w14:textId="77777777" w:rsidR="001A1178" w:rsidRDefault="001A1178" w:rsidP="00132A44">
      <w:pPr>
        <w:jc w:val="both"/>
        <w:rPr>
          <w:rFonts w:ascii="Arial Narrow" w:eastAsia="Calibri" w:hAnsi="Arial Narrow"/>
        </w:rPr>
      </w:pPr>
      <w:r w:rsidRPr="00544696">
        <w:rPr>
          <w:rFonts w:ascii="Arial Narrow" w:eastAsia="Calibri" w:hAnsi="Arial Narrow"/>
        </w:rPr>
        <w:t xml:space="preserve">En la siguiente tabla se muestran las </w:t>
      </w:r>
      <w:r>
        <w:rPr>
          <w:rFonts w:ascii="Arial Narrow" w:eastAsia="Calibri" w:hAnsi="Arial Narrow"/>
        </w:rPr>
        <w:t>218</w:t>
      </w:r>
      <w:r w:rsidRPr="00544696">
        <w:rPr>
          <w:rFonts w:ascii="Arial Narrow" w:eastAsia="Calibri" w:hAnsi="Arial Narrow"/>
        </w:rPr>
        <w:t xml:space="preserve"> metas estratégicas detalladas por porcentaje de cumplimiento para el año </w:t>
      </w:r>
      <w:r>
        <w:rPr>
          <w:rFonts w:ascii="Arial Narrow" w:eastAsia="Calibri" w:hAnsi="Arial Narrow"/>
        </w:rPr>
        <w:t>2021</w:t>
      </w:r>
      <w:r w:rsidRPr="00544696">
        <w:rPr>
          <w:rFonts w:ascii="Arial Narrow" w:eastAsia="Calibri" w:hAnsi="Arial Narrow"/>
        </w:rPr>
        <w:t>, de acuerdo con el responsable estratégico asignado.</w:t>
      </w:r>
      <w:r>
        <w:rPr>
          <w:rFonts w:ascii="Arial Narrow" w:eastAsia="Calibri" w:hAnsi="Arial Narrow"/>
        </w:rPr>
        <w:t xml:space="preserve"> </w:t>
      </w:r>
    </w:p>
    <w:p w14:paraId="6483E6A8" w14:textId="77777777" w:rsidR="001A1178" w:rsidRDefault="001A1178" w:rsidP="001A1178">
      <w:pPr>
        <w:pStyle w:val="Descripcin"/>
        <w:jc w:val="center"/>
        <w:rPr>
          <w:rFonts w:ascii="Arial Narrow" w:eastAsia="Calibri" w:hAnsi="Arial Narrow"/>
          <w:sz w:val="24"/>
          <w:szCs w:val="24"/>
          <w:lang w:eastAsia="en-US"/>
        </w:rPr>
      </w:pPr>
      <w:bookmarkStart w:id="91" w:name="_Toc84919476"/>
    </w:p>
    <w:p w14:paraId="452CAB5F" w14:textId="3C14B744" w:rsidR="00A97BD2" w:rsidRDefault="00A97BD2">
      <w:pPr>
        <w:rPr>
          <w:rFonts w:ascii="Arial Narrow" w:hAnsi="Arial Narrow"/>
          <w:b/>
          <w:bCs/>
        </w:rPr>
      </w:pPr>
      <w:bookmarkStart w:id="92" w:name="_Toc104979242"/>
    </w:p>
    <w:p w14:paraId="3334A7C1" w14:textId="725BC1F4" w:rsidR="001A1178" w:rsidRDefault="00992B21" w:rsidP="00992B21">
      <w:pPr>
        <w:pStyle w:val="Descripcin"/>
        <w:jc w:val="center"/>
        <w:rPr>
          <w:rFonts w:ascii="Arial Narrow" w:eastAsia="Calibri" w:hAnsi="Arial Narrow"/>
          <w:sz w:val="24"/>
          <w:szCs w:val="24"/>
          <w:lang w:eastAsia="en-US"/>
        </w:rPr>
      </w:pPr>
      <w:r w:rsidRPr="00992B21">
        <w:rPr>
          <w:rFonts w:ascii="Arial Narrow" w:hAnsi="Arial Narrow"/>
          <w:sz w:val="24"/>
          <w:szCs w:val="24"/>
        </w:rPr>
        <w:t xml:space="preserve">Tabla </w:t>
      </w:r>
      <w:r w:rsidRPr="00992B21">
        <w:rPr>
          <w:rFonts w:ascii="Arial Narrow" w:hAnsi="Arial Narrow"/>
          <w:sz w:val="24"/>
          <w:szCs w:val="24"/>
        </w:rPr>
        <w:fldChar w:fldCharType="begin"/>
      </w:r>
      <w:r w:rsidRPr="00992B21">
        <w:rPr>
          <w:rFonts w:ascii="Arial Narrow" w:hAnsi="Arial Narrow"/>
          <w:sz w:val="24"/>
          <w:szCs w:val="24"/>
        </w:rPr>
        <w:instrText xml:space="preserve"> SEQ Tabla \* ARABIC </w:instrText>
      </w:r>
      <w:r w:rsidRPr="00992B21">
        <w:rPr>
          <w:rFonts w:ascii="Arial Narrow" w:hAnsi="Arial Narrow"/>
          <w:sz w:val="24"/>
          <w:szCs w:val="24"/>
        </w:rPr>
        <w:fldChar w:fldCharType="separate"/>
      </w:r>
      <w:r w:rsidR="002F520A">
        <w:rPr>
          <w:rFonts w:ascii="Arial Narrow" w:hAnsi="Arial Narrow"/>
          <w:noProof/>
          <w:sz w:val="24"/>
          <w:szCs w:val="24"/>
        </w:rPr>
        <w:t>3</w:t>
      </w:r>
      <w:r w:rsidRPr="00992B21">
        <w:rPr>
          <w:rFonts w:ascii="Arial Narrow" w:hAnsi="Arial Narrow"/>
          <w:sz w:val="24"/>
          <w:szCs w:val="24"/>
        </w:rPr>
        <w:fldChar w:fldCharType="end"/>
      </w:r>
      <w:r>
        <w:rPr>
          <w:rFonts w:ascii="Arial Narrow" w:eastAsia="Calibri" w:hAnsi="Arial Narrow"/>
          <w:sz w:val="24"/>
          <w:szCs w:val="24"/>
          <w:lang w:eastAsia="en-US"/>
        </w:rPr>
        <w:t xml:space="preserve">  </w:t>
      </w:r>
      <w:r w:rsidR="001A1178" w:rsidRPr="00CC279A">
        <w:rPr>
          <w:rFonts w:ascii="Arial Narrow" w:eastAsia="Calibri" w:hAnsi="Arial Narrow"/>
          <w:sz w:val="24"/>
          <w:szCs w:val="24"/>
          <w:lang w:eastAsia="en-US"/>
        </w:rPr>
        <w:t>Cumplimiento</w:t>
      </w:r>
      <w:r w:rsidR="001A1178" w:rsidRPr="00DD6B33">
        <w:rPr>
          <w:rFonts w:ascii="Arial Narrow" w:eastAsia="Calibri" w:hAnsi="Arial Narrow"/>
          <w:sz w:val="24"/>
          <w:szCs w:val="24"/>
          <w:lang w:eastAsia="en-US"/>
        </w:rPr>
        <w:t xml:space="preserve"> </w:t>
      </w:r>
      <w:r w:rsidR="001A1178" w:rsidRPr="0029096E">
        <w:rPr>
          <w:rFonts w:ascii="Arial Narrow" w:eastAsia="Calibri" w:hAnsi="Arial Narrow"/>
          <w:sz w:val="24"/>
          <w:szCs w:val="24"/>
          <w:lang w:eastAsia="en-US"/>
        </w:rPr>
        <w:t xml:space="preserve">porcentual de las metas estratégicas del </w:t>
      </w:r>
      <w:r w:rsidR="001A1178">
        <w:rPr>
          <w:rFonts w:ascii="Arial Narrow" w:eastAsia="Calibri" w:hAnsi="Arial Narrow"/>
          <w:sz w:val="24"/>
          <w:szCs w:val="24"/>
          <w:lang w:eastAsia="en-US"/>
        </w:rPr>
        <w:t>2021,</w:t>
      </w:r>
      <w:bookmarkEnd w:id="91"/>
      <w:bookmarkEnd w:id="92"/>
    </w:p>
    <w:p w14:paraId="06146019" w14:textId="77777777" w:rsidR="001A1178" w:rsidRDefault="001A1178" w:rsidP="001A1178">
      <w:pPr>
        <w:pStyle w:val="Descripcin"/>
        <w:jc w:val="center"/>
        <w:rPr>
          <w:rFonts w:ascii="Arial Narrow" w:eastAsia="Calibri" w:hAnsi="Arial Narrow"/>
          <w:sz w:val="24"/>
          <w:szCs w:val="24"/>
          <w:lang w:eastAsia="en-US"/>
        </w:rPr>
      </w:pPr>
      <w:r w:rsidRPr="0029096E">
        <w:rPr>
          <w:rFonts w:ascii="Arial Narrow" w:eastAsia="Calibri" w:hAnsi="Arial Narrow"/>
          <w:sz w:val="24"/>
          <w:szCs w:val="24"/>
          <w:lang w:eastAsia="en-US"/>
        </w:rPr>
        <w:t xml:space="preserve"> según responsable Estratégico</w:t>
      </w:r>
    </w:p>
    <w:p w14:paraId="56B74F69" w14:textId="77777777" w:rsidR="001A1178" w:rsidRPr="000B4845" w:rsidRDefault="001A1178" w:rsidP="001A1178">
      <w:pPr>
        <w:rPr>
          <w:rFonts w:eastAsia="Calibri"/>
        </w:rPr>
      </w:pPr>
    </w:p>
    <w:tbl>
      <w:tblPr>
        <w:tblW w:w="8926" w:type="dxa"/>
        <w:tblCellMar>
          <w:left w:w="70" w:type="dxa"/>
          <w:right w:w="70" w:type="dxa"/>
        </w:tblCellMar>
        <w:tblLook w:val="04A0" w:firstRow="1" w:lastRow="0" w:firstColumn="1" w:lastColumn="0" w:noHBand="0" w:noVBand="1"/>
      </w:tblPr>
      <w:tblGrid>
        <w:gridCol w:w="359"/>
        <w:gridCol w:w="5448"/>
        <w:gridCol w:w="1958"/>
        <w:gridCol w:w="1161"/>
      </w:tblGrid>
      <w:tr w:rsidR="001A1178" w:rsidRPr="0080354E" w14:paraId="511F6D65" w14:textId="77777777" w:rsidTr="7F5490C3">
        <w:trPr>
          <w:trHeight w:val="677"/>
        </w:trPr>
        <w:tc>
          <w:tcPr>
            <w:tcW w:w="359" w:type="dxa"/>
            <w:tcBorders>
              <w:top w:val="single" w:sz="4" w:space="0" w:color="auto"/>
              <w:left w:val="single" w:sz="4" w:space="0" w:color="auto"/>
              <w:bottom w:val="single" w:sz="4" w:space="0" w:color="auto"/>
              <w:right w:val="nil"/>
            </w:tcBorders>
            <w:shd w:val="clear" w:color="auto" w:fill="B7DEE8"/>
            <w:vAlign w:val="center"/>
            <w:hideMark/>
          </w:tcPr>
          <w:p w14:paraId="516E4F0D" w14:textId="77777777" w:rsidR="001A1178" w:rsidRPr="00132A44" w:rsidRDefault="001A1178" w:rsidP="00271D70">
            <w:pPr>
              <w:jc w:val="center"/>
              <w:rPr>
                <w:rFonts w:ascii="Arial Narrow" w:hAnsi="Arial Narrow" w:cs="Segoe UI"/>
                <w:b/>
                <w:bCs/>
                <w:color w:val="000000"/>
                <w:sz w:val="20"/>
                <w:szCs w:val="20"/>
                <w:lang w:eastAsia="es-CR"/>
              </w:rPr>
            </w:pPr>
            <w:r w:rsidRPr="00132A44">
              <w:rPr>
                <w:rFonts w:ascii="Arial Narrow" w:hAnsi="Arial Narrow" w:cs="Segoe UI"/>
                <w:b/>
                <w:bCs/>
                <w:color w:val="000000"/>
                <w:sz w:val="20"/>
                <w:szCs w:val="20"/>
                <w:lang w:eastAsia="es-CR"/>
              </w:rPr>
              <w:t>N°</w:t>
            </w:r>
          </w:p>
        </w:tc>
        <w:tc>
          <w:tcPr>
            <w:tcW w:w="5448" w:type="dxa"/>
            <w:tcBorders>
              <w:top w:val="single" w:sz="4" w:space="0" w:color="auto"/>
              <w:left w:val="single" w:sz="4" w:space="0" w:color="auto"/>
              <w:bottom w:val="single" w:sz="4" w:space="0" w:color="auto"/>
              <w:right w:val="single" w:sz="4" w:space="0" w:color="auto"/>
            </w:tcBorders>
            <w:shd w:val="clear" w:color="auto" w:fill="B7DEE8"/>
            <w:vAlign w:val="center"/>
            <w:hideMark/>
          </w:tcPr>
          <w:p w14:paraId="0FDB92BF" w14:textId="77777777" w:rsidR="001A1178" w:rsidRPr="00132A44" w:rsidRDefault="001A1178" w:rsidP="00271D70">
            <w:pPr>
              <w:jc w:val="center"/>
              <w:rPr>
                <w:rFonts w:ascii="Arial Narrow" w:hAnsi="Arial Narrow" w:cs="Segoe UI"/>
                <w:b/>
                <w:bCs/>
                <w:color w:val="000000"/>
                <w:sz w:val="20"/>
                <w:szCs w:val="20"/>
                <w:lang w:eastAsia="es-CR"/>
              </w:rPr>
            </w:pPr>
            <w:r w:rsidRPr="00132A44">
              <w:rPr>
                <w:rFonts w:ascii="Arial Narrow" w:hAnsi="Arial Narrow" w:cs="Segoe UI"/>
                <w:b/>
                <w:bCs/>
                <w:color w:val="000000"/>
                <w:sz w:val="20"/>
                <w:szCs w:val="20"/>
                <w:lang w:eastAsia="es-CR"/>
              </w:rPr>
              <w:t>Responsable Estratégico</w:t>
            </w:r>
          </w:p>
        </w:tc>
        <w:tc>
          <w:tcPr>
            <w:tcW w:w="1958" w:type="dxa"/>
            <w:tcBorders>
              <w:top w:val="single" w:sz="4" w:space="0" w:color="auto"/>
              <w:left w:val="nil"/>
              <w:bottom w:val="single" w:sz="4" w:space="0" w:color="auto"/>
              <w:right w:val="single" w:sz="4" w:space="0" w:color="auto"/>
            </w:tcBorders>
            <w:shd w:val="clear" w:color="auto" w:fill="B7DEE8"/>
            <w:vAlign w:val="center"/>
            <w:hideMark/>
          </w:tcPr>
          <w:p w14:paraId="759967E0" w14:textId="77777777" w:rsidR="001A1178" w:rsidRPr="00132A44" w:rsidRDefault="001A1178" w:rsidP="00271D70">
            <w:pPr>
              <w:jc w:val="center"/>
              <w:rPr>
                <w:rFonts w:ascii="Arial Narrow" w:hAnsi="Arial Narrow" w:cs="Segoe UI"/>
                <w:b/>
                <w:bCs/>
                <w:color w:val="000000"/>
                <w:sz w:val="20"/>
                <w:szCs w:val="20"/>
                <w:lang w:eastAsia="es-CR"/>
              </w:rPr>
            </w:pPr>
            <w:r w:rsidRPr="00132A44">
              <w:rPr>
                <w:rFonts w:ascii="Arial Narrow" w:hAnsi="Arial Narrow" w:cs="Segoe UI"/>
                <w:b/>
                <w:bCs/>
                <w:color w:val="000000"/>
                <w:sz w:val="20"/>
                <w:szCs w:val="20"/>
                <w:lang w:eastAsia="es-CR"/>
              </w:rPr>
              <w:t>Cantidad de Metas Estratégicas</w:t>
            </w:r>
          </w:p>
        </w:tc>
        <w:tc>
          <w:tcPr>
            <w:tcW w:w="1161" w:type="dxa"/>
            <w:tcBorders>
              <w:top w:val="single" w:sz="4" w:space="0" w:color="auto"/>
              <w:left w:val="nil"/>
              <w:bottom w:val="single" w:sz="4" w:space="0" w:color="auto"/>
              <w:right w:val="single" w:sz="4" w:space="0" w:color="auto"/>
            </w:tcBorders>
            <w:shd w:val="clear" w:color="auto" w:fill="B7DEE8"/>
            <w:vAlign w:val="center"/>
            <w:hideMark/>
          </w:tcPr>
          <w:p w14:paraId="1932E8F3" w14:textId="77777777" w:rsidR="001A1178" w:rsidRPr="00132A44" w:rsidRDefault="001A1178" w:rsidP="00271D70">
            <w:pPr>
              <w:jc w:val="center"/>
              <w:rPr>
                <w:rFonts w:ascii="Arial Narrow" w:hAnsi="Arial Narrow" w:cs="Segoe UI"/>
                <w:b/>
                <w:bCs/>
                <w:color w:val="000000"/>
                <w:sz w:val="20"/>
                <w:szCs w:val="20"/>
                <w:lang w:eastAsia="es-CR"/>
              </w:rPr>
            </w:pPr>
            <w:r w:rsidRPr="00132A44">
              <w:rPr>
                <w:rFonts w:ascii="Arial Narrow" w:hAnsi="Arial Narrow" w:cs="Segoe UI"/>
                <w:b/>
                <w:bCs/>
                <w:color w:val="000000"/>
                <w:sz w:val="20"/>
                <w:szCs w:val="20"/>
                <w:lang w:eastAsia="es-CR"/>
              </w:rPr>
              <w:t>Porcentaje</w:t>
            </w:r>
          </w:p>
        </w:tc>
      </w:tr>
      <w:tr w:rsidR="001A1178" w:rsidRPr="0080354E" w14:paraId="09138D24" w14:textId="77777777" w:rsidTr="00322D9B">
        <w:trPr>
          <w:trHeight w:val="301"/>
        </w:trPr>
        <w:tc>
          <w:tcPr>
            <w:tcW w:w="359" w:type="dxa"/>
            <w:tcBorders>
              <w:top w:val="nil"/>
              <w:left w:val="single" w:sz="4" w:space="0" w:color="auto"/>
              <w:bottom w:val="single" w:sz="4" w:space="0" w:color="auto"/>
              <w:right w:val="nil"/>
            </w:tcBorders>
            <w:shd w:val="clear" w:color="auto" w:fill="FFFFFF" w:themeFill="background1"/>
            <w:vAlign w:val="center"/>
            <w:hideMark/>
          </w:tcPr>
          <w:p w14:paraId="3DB4A198" w14:textId="77777777" w:rsidR="001A1178" w:rsidRPr="00132A44" w:rsidRDefault="2B97F9B0" w:rsidP="00322D9B">
            <w:pPr>
              <w:jc w:val="center"/>
              <w:rPr>
                <w:rFonts w:ascii="Arial Narrow" w:hAnsi="Arial Narrow" w:cs="Segoe UI"/>
                <w:color w:val="000000"/>
                <w:sz w:val="20"/>
                <w:szCs w:val="20"/>
                <w:lang w:eastAsia="es-CR"/>
              </w:rPr>
            </w:pPr>
            <w:r w:rsidRPr="7F5490C3">
              <w:rPr>
                <w:rFonts w:ascii="Arial Narrow" w:hAnsi="Arial Narrow" w:cs="Segoe UI"/>
                <w:color w:val="000000" w:themeColor="text1"/>
                <w:sz w:val="20"/>
                <w:szCs w:val="20"/>
                <w:lang w:eastAsia="es-CR"/>
              </w:rPr>
              <w:t>1</w:t>
            </w:r>
          </w:p>
        </w:tc>
        <w:tc>
          <w:tcPr>
            <w:tcW w:w="5448" w:type="dxa"/>
            <w:tcBorders>
              <w:top w:val="nil"/>
              <w:left w:val="single" w:sz="4" w:space="0" w:color="auto"/>
              <w:bottom w:val="single" w:sz="4" w:space="0" w:color="auto"/>
              <w:right w:val="single" w:sz="4" w:space="0" w:color="auto"/>
            </w:tcBorders>
            <w:shd w:val="clear" w:color="auto" w:fill="auto"/>
            <w:noWrap/>
            <w:vAlign w:val="bottom"/>
            <w:hideMark/>
          </w:tcPr>
          <w:p w14:paraId="55A81F41" w14:textId="77777777" w:rsidR="001A1178" w:rsidRPr="00132A44" w:rsidRDefault="001A1178" w:rsidP="00271D70">
            <w:pPr>
              <w:rPr>
                <w:rFonts w:ascii="Arial Narrow" w:hAnsi="Arial Narrow" w:cs="Calibri"/>
                <w:color w:val="000000"/>
                <w:sz w:val="20"/>
                <w:szCs w:val="20"/>
                <w:lang w:eastAsia="es-CR"/>
              </w:rPr>
            </w:pPr>
            <w:r w:rsidRPr="00132A44">
              <w:rPr>
                <w:rFonts w:ascii="Arial Narrow" w:hAnsi="Arial Narrow" w:cs="Calibri"/>
                <w:color w:val="000000"/>
                <w:sz w:val="20"/>
                <w:szCs w:val="20"/>
                <w:lang w:eastAsia="es-CR"/>
              </w:rPr>
              <w:t>CENTRO ELECTRONICO DE INFORMACION JURISPRUDENCIAL</w:t>
            </w:r>
          </w:p>
        </w:tc>
        <w:tc>
          <w:tcPr>
            <w:tcW w:w="1958" w:type="dxa"/>
            <w:tcBorders>
              <w:top w:val="nil"/>
              <w:left w:val="nil"/>
              <w:bottom w:val="single" w:sz="4" w:space="0" w:color="auto"/>
              <w:right w:val="single" w:sz="4" w:space="0" w:color="auto"/>
            </w:tcBorders>
            <w:shd w:val="clear" w:color="auto" w:fill="FFFFFF" w:themeFill="background1"/>
            <w:vAlign w:val="center"/>
            <w:hideMark/>
          </w:tcPr>
          <w:p w14:paraId="2DC3F50E" w14:textId="77777777" w:rsidR="001A1178" w:rsidRPr="00132A44" w:rsidRDefault="001A1178" w:rsidP="00271D70">
            <w:pPr>
              <w:jc w:val="center"/>
              <w:rPr>
                <w:rFonts w:ascii="Arial Narrow" w:hAnsi="Arial Narrow" w:cs="Segoe UI"/>
                <w:color w:val="000000"/>
                <w:sz w:val="20"/>
                <w:szCs w:val="20"/>
                <w:lang w:eastAsia="es-CR"/>
              </w:rPr>
            </w:pPr>
            <w:r w:rsidRPr="00132A44">
              <w:rPr>
                <w:rFonts w:ascii="Arial Narrow" w:hAnsi="Arial Narrow" w:cs="Segoe UI"/>
                <w:color w:val="000000"/>
                <w:sz w:val="20"/>
                <w:szCs w:val="20"/>
                <w:lang w:eastAsia="es-CR"/>
              </w:rPr>
              <w:t>1</w:t>
            </w:r>
          </w:p>
        </w:tc>
        <w:tc>
          <w:tcPr>
            <w:tcW w:w="1161" w:type="dxa"/>
            <w:tcBorders>
              <w:top w:val="nil"/>
              <w:left w:val="nil"/>
              <w:bottom w:val="single" w:sz="4" w:space="0" w:color="auto"/>
              <w:right w:val="single" w:sz="4" w:space="0" w:color="auto"/>
            </w:tcBorders>
            <w:shd w:val="clear" w:color="auto" w:fill="FFFFFF" w:themeFill="background1"/>
            <w:vAlign w:val="center"/>
            <w:hideMark/>
          </w:tcPr>
          <w:p w14:paraId="519CD7E7" w14:textId="77777777" w:rsidR="001A1178" w:rsidRPr="00132A44" w:rsidRDefault="001A1178" w:rsidP="00271D70">
            <w:pPr>
              <w:jc w:val="center"/>
              <w:rPr>
                <w:rFonts w:ascii="Arial Narrow" w:hAnsi="Arial Narrow" w:cs="Segoe UI"/>
                <w:color w:val="000000"/>
                <w:sz w:val="20"/>
                <w:szCs w:val="20"/>
                <w:lang w:eastAsia="es-CR"/>
              </w:rPr>
            </w:pPr>
            <w:r w:rsidRPr="00132A44">
              <w:rPr>
                <w:rFonts w:ascii="Arial Narrow" w:hAnsi="Arial Narrow" w:cs="Segoe UI"/>
                <w:color w:val="000000"/>
                <w:sz w:val="20"/>
                <w:szCs w:val="20"/>
                <w:lang w:eastAsia="es-CR"/>
              </w:rPr>
              <w:t>100.00 %</w:t>
            </w:r>
          </w:p>
        </w:tc>
      </w:tr>
      <w:tr w:rsidR="001A1178" w:rsidRPr="0080354E" w14:paraId="7027B09F" w14:textId="77777777" w:rsidTr="00322D9B">
        <w:trPr>
          <w:trHeight w:val="301"/>
        </w:trPr>
        <w:tc>
          <w:tcPr>
            <w:tcW w:w="359" w:type="dxa"/>
            <w:tcBorders>
              <w:top w:val="nil"/>
              <w:left w:val="single" w:sz="4" w:space="0" w:color="auto"/>
              <w:bottom w:val="single" w:sz="4" w:space="0" w:color="auto"/>
              <w:right w:val="nil"/>
            </w:tcBorders>
            <w:shd w:val="clear" w:color="auto" w:fill="FFFFFF" w:themeFill="background1"/>
            <w:vAlign w:val="center"/>
            <w:hideMark/>
          </w:tcPr>
          <w:p w14:paraId="4E1A57D9" w14:textId="77777777" w:rsidR="001A1178" w:rsidRPr="00132A44" w:rsidRDefault="2B97F9B0" w:rsidP="00322D9B">
            <w:pPr>
              <w:jc w:val="center"/>
              <w:rPr>
                <w:rFonts w:ascii="Arial Narrow" w:hAnsi="Arial Narrow" w:cs="Segoe UI"/>
                <w:color w:val="000000"/>
                <w:sz w:val="20"/>
                <w:szCs w:val="20"/>
                <w:lang w:eastAsia="es-CR"/>
              </w:rPr>
            </w:pPr>
            <w:r w:rsidRPr="7F5490C3">
              <w:rPr>
                <w:rFonts w:ascii="Arial Narrow" w:hAnsi="Arial Narrow" w:cs="Segoe UI"/>
                <w:color w:val="000000" w:themeColor="text1"/>
                <w:sz w:val="20"/>
                <w:szCs w:val="20"/>
                <w:lang w:eastAsia="es-CR"/>
              </w:rPr>
              <w:t>2</w:t>
            </w:r>
          </w:p>
        </w:tc>
        <w:tc>
          <w:tcPr>
            <w:tcW w:w="5448" w:type="dxa"/>
            <w:tcBorders>
              <w:top w:val="nil"/>
              <w:left w:val="single" w:sz="4" w:space="0" w:color="auto"/>
              <w:bottom w:val="single" w:sz="4" w:space="0" w:color="auto"/>
              <w:right w:val="single" w:sz="4" w:space="0" w:color="auto"/>
            </w:tcBorders>
            <w:shd w:val="clear" w:color="auto" w:fill="auto"/>
            <w:noWrap/>
            <w:vAlign w:val="bottom"/>
            <w:hideMark/>
          </w:tcPr>
          <w:p w14:paraId="63A8FB64" w14:textId="77777777" w:rsidR="001A1178" w:rsidRPr="00132A44" w:rsidRDefault="001A1178" w:rsidP="00271D70">
            <w:pPr>
              <w:rPr>
                <w:rFonts w:ascii="Arial Narrow" w:hAnsi="Arial Narrow" w:cs="Calibri"/>
                <w:color w:val="000000"/>
                <w:sz w:val="20"/>
                <w:szCs w:val="20"/>
                <w:lang w:eastAsia="es-CR"/>
              </w:rPr>
            </w:pPr>
            <w:r w:rsidRPr="00132A44">
              <w:rPr>
                <w:rFonts w:ascii="Arial Narrow" w:hAnsi="Arial Narrow" w:cs="Calibri"/>
                <w:color w:val="000000"/>
                <w:sz w:val="20"/>
                <w:szCs w:val="20"/>
                <w:lang w:eastAsia="es-CR"/>
              </w:rPr>
              <w:t>COMISION DE LA JURISDICCION DE FAMILIA, NIÑEZ Y ADOLESCENCIA</w:t>
            </w:r>
          </w:p>
        </w:tc>
        <w:tc>
          <w:tcPr>
            <w:tcW w:w="1958" w:type="dxa"/>
            <w:tcBorders>
              <w:top w:val="nil"/>
              <w:left w:val="nil"/>
              <w:bottom w:val="single" w:sz="4" w:space="0" w:color="auto"/>
              <w:right w:val="single" w:sz="4" w:space="0" w:color="auto"/>
            </w:tcBorders>
            <w:shd w:val="clear" w:color="auto" w:fill="FFFFFF" w:themeFill="background1"/>
            <w:vAlign w:val="center"/>
            <w:hideMark/>
          </w:tcPr>
          <w:p w14:paraId="64C12A2E" w14:textId="77777777" w:rsidR="001A1178" w:rsidRPr="00132A44" w:rsidRDefault="001A1178" w:rsidP="00271D70">
            <w:pPr>
              <w:jc w:val="center"/>
              <w:rPr>
                <w:rFonts w:ascii="Arial Narrow" w:hAnsi="Arial Narrow" w:cs="Segoe UI"/>
                <w:color w:val="000000"/>
                <w:sz w:val="20"/>
                <w:szCs w:val="20"/>
                <w:lang w:eastAsia="es-CR"/>
              </w:rPr>
            </w:pPr>
            <w:r w:rsidRPr="00132A44">
              <w:rPr>
                <w:rFonts w:ascii="Arial Narrow" w:hAnsi="Arial Narrow" w:cs="Segoe UI"/>
                <w:color w:val="000000"/>
                <w:sz w:val="20"/>
                <w:szCs w:val="20"/>
                <w:lang w:eastAsia="es-CR"/>
              </w:rPr>
              <w:t>1</w:t>
            </w:r>
          </w:p>
        </w:tc>
        <w:tc>
          <w:tcPr>
            <w:tcW w:w="1161" w:type="dxa"/>
            <w:tcBorders>
              <w:top w:val="nil"/>
              <w:left w:val="nil"/>
              <w:bottom w:val="single" w:sz="4" w:space="0" w:color="auto"/>
              <w:right w:val="single" w:sz="4" w:space="0" w:color="auto"/>
            </w:tcBorders>
            <w:shd w:val="clear" w:color="auto" w:fill="FFFFFF" w:themeFill="background1"/>
            <w:vAlign w:val="center"/>
            <w:hideMark/>
          </w:tcPr>
          <w:p w14:paraId="617C1467" w14:textId="77777777" w:rsidR="001A1178" w:rsidRPr="00132A44" w:rsidRDefault="001A1178" w:rsidP="00271D70">
            <w:pPr>
              <w:jc w:val="center"/>
              <w:rPr>
                <w:rFonts w:ascii="Arial Narrow" w:hAnsi="Arial Narrow" w:cs="Segoe UI"/>
                <w:color w:val="000000"/>
                <w:sz w:val="20"/>
                <w:szCs w:val="20"/>
                <w:lang w:eastAsia="es-CR"/>
              </w:rPr>
            </w:pPr>
            <w:r w:rsidRPr="00132A44">
              <w:rPr>
                <w:rFonts w:ascii="Arial Narrow" w:hAnsi="Arial Narrow" w:cs="Segoe UI"/>
                <w:color w:val="000000"/>
                <w:sz w:val="20"/>
                <w:szCs w:val="20"/>
                <w:lang w:eastAsia="es-CR"/>
              </w:rPr>
              <w:t>100.00 %</w:t>
            </w:r>
          </w:p>
        </w:tc>
      </w:tr>
      <w:tr w:rsidR="001A1178" w:rsidRPr="0080354E" w14:paraId="05B62F5B" w14:textId="77777777" w:rsidTr="00322D9B">
        <w:trPr>
          <w:trHeight w:val="301"/>
        </w:trPr>
        <w:tc>
          <w:tcPr>
            <w:tcW w:w="359" w:type="dxa"/>
            <w:tcBorders>
              <w:top w:val="nil"/>
              <w:left w:val="single" w:sz="4" w:space="0" w:color="auto"/>
              <w:bottom w:val="single" w:sz="4" w:space="0" w:color="auto"/>
              <w:right w:val="nil"/>
            </w:tcBorders>
            <w:shd w:val="clear" w:color="auto" w:fill="FFFFFF" w:themeFill="background1"/>
            <w:vAlign w:val="center"/>
            <w:hideMark/>
          </w:tcPr>
          <w:p w14:paraId="3DAFB19B" w14:textId="77777777" w:rsidR="001A1178" w:rsidRPr="00132A44" w:rsidRDefault="2B97F9B0" w:rsidP="00322D9B">
            <w:pPr>
              <w:jc w:val="center"/>
              <w:rPr>
                <w:rFonts w:ascii="Arial Narrow" w:hAnsi="Arial Narrow" w:cs="Segoe UI"/>
                <w:color w:val="000000"/>
                <w:sz w:val="20"/>
                <w:szCs w:val="20"/>
                <w:lang w:eastAsia="es-CR"/>
              </w:rPr>
            </w:pPr>
            <w:r w:rsidRPr="7F5490C3">
              <w:rPr>
                <w:rFonts w:ascii="Arial Narrow" w:hAnsi="Arial Narrow" w:cs="Segoe UI"/>
                <w:color w:val="000000" w:themeColor="text1"/>
                <w:sz w:val="20"/>
                <w:szCs w:val="20"/>
                <w:lang w:eastAsia="es-CR"/>
              </w:rPr>
              <w:t>3</w:t>
            </w:r>
          </w:p>
        </w:tc>
        <w:tc>
          <w:tcPr>
            <w:tcW w:w="5448" w:type="dxa"/>
            <w:tcBorders>
              <w:top w:val="nil"/>
              <w:left w:val="single" w:sz="4" w:space="0" w:color="auto"/>
              <w:bottom w:val="single" w:sz="4" w:space="0" w:color="auto"/>
              <w:right w:val="single" w:sz="4" w:space="0" w:color="auto"/>
            </w:tcBorders>
            <w:shd w:val="clear" w:color="auto" w:fill="auto"/>
            <w:noWrap/>
            <w:vAlign w:val="bottom"/>
            <w:hideMark/>
          </w:tcPr>
          <w:p w14:paraId="183D6C3D" w14:textId="77777777" w:rsidR="001A1178" w:rsidRPr="00132A44" w:rsidRDefault="001A1178" w:rsidP="00271D70">
            <w:pPr>
              <w:rPr>
                <w:rFonts w:ascii="Arial Narrow" w:hAnsi="Arial Narrow" w:cs="Calibri"/>
                <w:color w:val="000000"/>
                <w:sz w:val="20"/>
                <w:szCs w:val="20"/>
                <w:lang w:eastAsia="es-CR"/>
              </w:rPr>
            </w:pPr>
            <w:r w:rsidRPr="00132A44">
              <w:rPr>
                <w:rFonts w:ascii="Arial Narrow" w:hAnsi="Arial Narrow" w:cs="Calibri"/>
                <w:color w:val="000000"/>
                <w:sz w:val="20"/>
                <w:szCs w:val="20"/>
                <w:lang w:eastAsia="es-CR"/>
              </w:rPr>
              <w:t>COMISION DE TRANSPARENCIA INSTITUCIONAL</w:t>
            </w:r>
          </w:p>
        </w:tc>
        <w:tc>
          <w:tcPr>
            <w:tcW w:w="1958" w:type="dxa"/>
            <w:tcBorders>
              <w:top w:val="nil"/>
              <w:left w:val="nil"/>
              <w:bottom w:val="single" w:sz="4" w:space="0" w:color="auto"/>
              <w:right w:val="single" w:sz="4" w:space="0" w:color="auto"/>
            </w:tcBorders>
            <w:shd w:val="clear" w:color="auto" w:fill="FFFFFF" w:themeFill="background1"/>
            <w:vAlign w:val="center"/>
            <w:hideMark/>
          </w:tcPr>
          <w:p w14:paraId="076E2D57" w14:textId="77777777" w:rsidR="001A1178" w:rsidRPr="00132A44" w:rsidRDefault="001A1178" w:rsidP="00271D70">
            <w:pPr>
              <w:jc w:val="center"/>
              <w:rPr>
                <w:rFonts w:ascii="Arial Narrow" w:hAnsi="Arial Narrow" w:cs="Segoe UI"/>
                <w:color w:val="000000"/>
                <w:sz w:val="20"/>
                <w:szCs w:val="20"/>
                <w:lang w:eastAsia="es-CR"/>
              </w:rPr>
            </w:pPr>
            <w:r w:rsidRPr="00132A44">
              <w:rPr>
                <w:rFonts w:ascii="Arial Narrow" w:hAnsi="Arial Narrow" w:cs="Segoe UI"/>
                <w:color w:val="000000"/>
                <w:sz w:val="20"/>
                <w:szCs w:val="20"/>
                <w:lang w:eastAsia="es-CR"/>
              </w:rPr>
              <w:t>1</w:t>
            </w:r>
          </w:p>
        </w:tc>
        <w:tc>
          <w:tcPr>
            <w:tcW w:w="1161" w:type="dxa"/>
            <w:tcBorders>
              <w:top w:val="nil"/>
              <w:left w:val="nil"/>
              <w:bottom w:val="single" w:sz="4" w:space="0" w:color="auto"/>
              <w:right w:val="single" w:sz="4" w:space="0" w:color="auto"/>
            </w:tcBorders>
            <w:shd w:val="clear" w:color="auto" w:fill="FFFFFF" w:themeFill="background1"/>
            <w:vAlign w:val="center"/>
            <w:hideMark/>
          </w:tcPr>
          <w:p w14:paraId="28CE1988" w14:textId="77777777" w:rsidR="001A1178" w:rsidRPr="00132A44" w:rsidRDefault="001A1178" w:rsidP="00271D70">
            <w:pPr>
              <w:jc w:val="center"/>
              <w:rPr>
                <w:rFonts w:ascii="Arial Narrow" w:hAnsi="Arial Narrow" w:cs="Segoe UI"/>
                <w:color w:val="000000"/>
                <w:sz w:val="20"/>
                <w:szCs w:val="20"/>
                <w:lang w:eastAsia="es-CR"/>
              </w:rPr>
            </w:pPr>
            <w:r w:rsidRPr="00132A44">
              <w:rPr>
                <w:rFonts w:ascii="Arial Narrow" w:hAnsi="Arial Narrow" w:cs="Segoe UI"/>
                <w:color w:val="000000"/>
                <w:sz w:val="20"/>
                <w:szCs w:val="20"/>
                <w:lang w:eastAsia="es-CR"/>
              </w:rPr>
              <w:t>100.00 %</w:t>
            </w:r>
          </w:p>
        </w:tc>
      </w:tr>
      <w:tr w:rsidR="001A1178" w:rsidRPr="0080354E" w14:paraId="6C87C766" w14:textId="77777777" w:rsidTr="00322D9B">
        <w:trPr>
          <w:trHeight w:val="301"/>
        </w:trPr>
        <w:tc>
          <w:tcPr>
            <w:tcW w:w="359" w:type="dxa"/>
            <w:tcBorders>
              <w:top w:val="nil"/>
              <w:left w:val="single" w:sz="4" w:space="0" w:color="auto"/>
              <w:bottom w:val="single" w:sz="4" w:space="0" w:color="auto"/>
              <w:right w:val="nil"/>
            </w:tcBorders>
            <w:shd w:val="clear" w:color="auto" w:fill="FFFFFF" w:themeFill="background1"/>
            <w:vAlign w:val="center"/>
            <w:hideMark/>
          </w:tcPr>
          <w:p w14:paraId="39436B55" w14:textId="77777777" w:rsidR="001A1178" w:rsidRPr="00132A44" w:rsidRDefault="2B97F9B0" w:rsidP="00322D9B">
            <w:pPr>
              <w:jc w:val="center"/>
              <w:rPr>
                <w:rFonts w:ascii="Arial Narrow" w:hAnsi="Arial Narrow" w:cs="Segoe UI"/>
                <w:color w:val="000000"/>
                <w:sz w:val="20"/>
                <w:szCs w:val="20"/>
                <w:lang w:eastAsia="es-CR"/>
              </w:rPr>
            </w:pPr>
            <w:r w:rsidRPr="7F5490C3">
              <w:rPr>
                <w:rFonts w:ascii="Arial Narrow" w:hAnsi="Arial Narrow" w:cs="Segoe UI"/>
                <w:color w:val="000000" w:themeColor="text1"/>
                <w:sz w:val="20"/>
                <w:szCs w:val="20"/>
                <w:lang w:eastAsia="es-CR"/>
              </w:rPr>
              <w:t>4</w:t>
            </w:r>
          </w:p>
        </w:tc>
        <w:tc>
          <w:tcPr>
            <w:tcW w:w="5448" w:type="dxa"/>
            <w:tcBorders>
              <w:top w:val="nil"/>
              <w:left w:val="single" w:sz="4" w:space="0" w:color="auto"/>
              <w:bottom w:val="single" w:sz="4" w:space="0" w:color="auto"/>
              <w:right w:val="single" w:sz="4" w:space="0" w:color="auto"/>
            </w:tcBorders>
            <w:shd w:val="clear" w:color="auto" w:fill="auto"/>
            <w:noWrap/>
            <w:vAlign w:val="bottom"/>
            <w:hideMark/>
          </w:tcPr>
          <w:p w14:paraId="6A797B56" w14:textId="77777777" w:rsidR="001A1178" w:rsidRPr="00132A44" w:rsidRDefault="001A1178" w:rsidP="00271D70">
            <w:pPr>
              <w:rPr>
                <w:rFonts w:ascii="Arial Narrow" w:hAnsi="Arial Narrow" w:cs="Calibri"/>
                <w:color w:val="000000"/>
                <w:sz w:val="20"/>
                <w:szCs w:val="20"/>
                <w:lang w:eastAsia="es-CR"/>
              </w:rPr>
            </w:pPr>
            <w:r w:rsidRPr="00132A44">
              <w:rPr>
                <w:rFonts w:ascii="Arial Narrow" w:hAnsi="Arial Narrow" w:cs="Calibri"/>
                <w:color w:val="000000"/>
                <w:sz w:val="20"/>
                <w:szCs w:val="20"/>
                <w:lang w:eastAsia="es-CR"/>
              </w:rPr>
              <w:t>CONTRALORIA DE SERVICIOS (SEDE CENTRAL)</w:t>
            </w:r>
          </w:p>
        </w:tc>
        <w:tc>
          <w:tcPr>
            <w:tcW w:w="1958" w:type="dxa"/>
            <w:tcBorders>
              <w:top w:val="nil"/>
              <w:left w:val="nil"/>
              <w:bottom w:val="single" w:sz="4" w:space="0" w:color="auto"/>
              <w:right w:val="single" w:sz="4" w:space="0" w:color="auto"/>
            </w:tcBorders>
            <w:shd w:val="clear" w:color="auto" w:fill="FFFFFF" w:themeFill="background1"/>
            <w:vAlign w:val="center"/>
            <w:hideMark/>
          </w:tcPr>
          <w:p w14:paraId="517D7BD1" w14:textId="77777777" w:rsidR="001A1178" w:rsidRPr="00132A44" w:rsidRDefault="001A1178" w:rsidP="00271D70">
            <w:pPr>
              <w:jc w:val="center"/>
              <w:rPr>
                <w:rFonts w:ascii="Arial Narrow" w:hAnsi="Arial Narrow" w:cs="Segoe UI"/>
                <w:color w:val="000000"/>
                <w:sz w:val="20"/>
                <w:szCs w:val="20"/>
                <w:lang w:eastAsia="es-CR"/>
              </w:rPr>
            </w:pPr>
            <w:r w:rsidRPr="00132A44">
              <w:rPr>
                <w:rFonts w:ascii="Arial Narrow" w:hAnsi="Arial Narrow" w:cs="Segoe UI"/>
                <w:color w:val="000000"/>
                <w:sz w:val="20"/>
                <w:szCs w:val="20"/>
                <w:lang w:eastAsia="es-CR"/>
              </w:rPr>
              <w:t>2</w:t>
            </w:r>
          </w:p>
        </w:tc>
        <w:tc>
          <w:tcPr>
            <w:tcW w:w="1161" w:type="dxa"/>
            <w:tcBorders>
              <w:top w:val="nil"/>
              <w:left w:val="nil"/>
              <w:bottom w:val="single" w:sz="4" w:space="0" w:color="auto"/>
              <w:right w:val="single" w:sz="4" w:space="0" w:color="auto"/>
            </w:tcBorders>
            <w:shd w:val="clear" w:color="auto" w:fill="FFFFFF" w:themeFill="background1"/>
            <w:vAlign w:val="center"/>
            <w:hideMark/>
          </w:tcPr>
          <w:p w14:paraId="5603D824" w14:textId="77777777" w:rsidR="001A1178" w:rsidRPr="00132A44" w:rsidRDefault="001A1178" w:rsidP="00271D70">
            <w:pPr>
              <w:jc w:val="center"/>
              <w:rPr>
                <w:rFonts w:ascii="Arial Narrow" w:hAnsi="Arial Narrow" w:cs="Segoe UI"/>
                <w:color w:val="000000"/>
                <w:sz w:val="20"/>
                <w:szCs w:val="20"/>
                <w:lang w:eastAsia="es-CR"/>
              </w:rPr>
            </w:pPr>
            <w:r w:rsidRPr="00132A44">
              <w:rPr>
                <w:rFonts w:ascii="Arial Narrow" w:hAnsi="Arial Narrow" w:cs="Segoe UI"/>
                <w:color w:val="000000"/>
                <w:sz w:val="20"/>
                <w:szCs w:val="20"/>
                <w:lang w:eastAsia="es-CR"/>
              </w:rPr>
              <w:t>100.00 %</w:t>
            </w:r>
          </w:p>
        </w:tc>
      </w:tr>
      <w:tr w:rsidR="001A1178" w:rsidRPr="0080354E" w14:paraId="3E890063" w14:textId="77777777" w:rsidTr="00322D9B">
        <w:trPr>
          <w:trHeight w:val="301"/>
        </w:trPr>
        <w:tc>
          <w:tcPr>
            <w:tcW w:w="359" w:type="dxa"/>
            <w:tcBorders>
              <w:top w:val="nil"/>
              <w:left w:val="single" w:sz="4" w:space="0" w:color="auto"/>
              <w:bottom w:val="single" w:sz="4" w:space="0" w:color="auto"/>
              <w:right w:val="nil"/>
            </w:tcBorders>
            <w:shd w:val="clear" w:color="auto" w:fill="FFFFFF" w:themeFill="background1"/>
            <w:vAlign w:val="center"/>
            <w:hideMark/>
          </w:tcPr>
          <w:p w14:paraId="2FF98A98" w14:textId="77777777" w:rsidR="001A1178" w:rsidRPr="00132A44" w:rsidRDefault="2B97F9B0" w:rsidP="00322D9B">
            <w:pPr>
              <w:jc w:val="center"/>
              <w:rPr>
                <w:rFonts w:ascii="Arial Narrow" w:hAnsi="Arial Narrow" w:cs="Segoe UI"/>
                <w:color w:val="000000"/>
                <w:sz w:val="20"/>
                <w:szCs w:val="20"/>
                <w:lang w:eastAsia="es-CR"/>
              </w:rPr>
            </w:pPr>
            <w:r w:rsidRPr="7F5490C3">
              <w:rPr>
                <w:rFonts w:ascii="Arial Narrow" w:hAnsi="Arial Narrow" w:cs="Segoe UI"/>
                <w:color w:val="000000" w:themeColor="text1"/>
                <w:sz w:val="20"/>
                <w:szCs w:val="20"/>
                <w:lang w:eastAsia="es-CR"/>
              </w:rPr>
              <w:t>5</w:t>
            </w:r>
          </w:p>
        </w:tc>
        <w:tc>
          <w:tcPr>
            <w:tcW w:w="5448" w:type="dxa"/>
            <w:tcBorders>
              <w:top w:val="nil"/>
              <w:left w:val="single" w:sz="4" w:space="0" w:color="auto"/>
              <w:bottom w:val="single" w:sz="4" w:space="0" w:color="auto"/>
              <w:right w:val="single" w:sz="4" w:space="0" w:color="auto"/>
            </w:tcBorders>
            <w:shd w:val="clear" w:color="auto" w:fill="auto"/>
            <w:noWrap/>
            <w:vAlign w:val="bottom"/>
            <w:hideMark/>
          </w:tcPr>
          <w:p w14:paraId="1346AA7C" w14:textId="77777777" w:rsidR="001A1178" w:rsidRPr="00132A44" w:rsidRDefault="001A1178" w:rsidP="00271D70">
            <w:pPr>
              <w:rPr>
                <w:rFonts w:ascii="Arial Narrow" w:hAnsi="Arial Narrow" w:cs="Calibri"/>
                <w:color w:val="000000"/>
                <w:sz w:val="20"/>
                <w:szCs w:val="20"/>
                <w:lang w:eastAsia="es-CR"/>
              </w:rPr>
            </w:pPr>
            <w:r w:rsidRPr="00132A44">
              <w:rPr>
                <w:rFonts w:ascii="Arial Narrow" w:hAnsi="Arial Narrow" w:cs="Calibri"/>
                <w:color w:val="000000"/>
                <w:sz w:val="20"/>
                <w:szCs w:val="20"/>
                <w:lang w:eastAsia="es-CR"/>
              </w:rPr>
              <w:t>DESPACHO DE LA PRESIDENCIA</w:t>
            </w:r>
          </w:p>
        </w:tc>
        <w:tc>
          <w:tcPr>
            <w:tcW w:w="1958" w:type="dxa"/>
            <w:tcBorders>
              <w:top w:val="nil"/>
              <w:left w:val="nil"/>
              <w:bottom w:val="single" w:sz="4" w:space="0" w:color="auto"/>
              <w:right w:val="single" w:sz="4" w:space="0" w:color="auto"/>
            </w:tcBorders>
            <w:shd w:val="clear" w:color="auto" w:fill="FFFFFF" w:themeFill="background1"/>
            <w:vAlign w:val="center"/>
            <w:hideMark/>
          </w:tcPr>
          <w:p w14:paraId="1907128B" w14:textId="77777777" w:rsidR="001A1178" w:rsidRPr="00132A44" w:rsidRDefault="001A1178" w:rsidP="00271D70">
            <w:pPr>
              <w:jc w:val="center"/>
              <w:rPr>
                <w:rFonts w:ascii="Arial Narrow" w:hAnsi="Arial Narrow" w:cs="Segoe UI"/>
                <w:color w:val="000000"/>
                <w:sz w:val="20"/>
                <w:szCs w:val="20"/>
                <w:lang w:eastAsia="es-CR"/>
              </w:rPr>
            </w:pPr>
            <w:r w:rsidRPr="00132A44">
              <w:rPr>
                <w:rFonts w:ascii="Arial Narrow" w:hAnsi="Arial Narrow" w:cs="Segoe UI"/>
                <w:color w:val="000000"/>
                <w:sz w:val="20"/>
                <w:szCs w:val="20"/>
                <w:lang w:eastAsia="es-CR"/>
              </w:rPr>
              <w:t>12</w:t>
            </w:r>
          </w:p>
        </w:tc>
        <w:tc>
          <w:tcPr>
            <w:tcW w:w="1161" w:type="dxa"/>
            <w:tcBorders>
              <w:top w:val="nil"/>
              <w:left w:val="nil"/>
              <w:bottom w:val="single" w:sz="4" w:space="0" w:color="auto"/>
              <w:right w:val="single" w:sz="4" w:space="0" w:color="auto"/>
            </w:tcBorders>
            <w:shd w:val="clear" w:color="auto" w:fill="FFFFFF" w:themeFill="background1"/>
            <w:vAlign w:val="center"/>
            <w:hideMark/>
          </w:tcPr>
          <w:p w14:paraId="3F5F1A84" w14:textId="77777777" w:rsidR="001A1178" w:rsidRPr="00132A44" w:rsidRDefault="001A1178" w:rsidP="00271D70">
            <w:pPr>
              <w:jc w:val="center"/>
              <w:rPr>
                <w:rFonts w:ascii="Arial Narrow" w:hAnsi="Arial Narrow" w:cs="Segoe UI"/>
                <w:color w:val="000000"/>
                <w:sz w:val="20"/>
                <w:szCs w:val="20"/>
                <w:lang w:eastAsia="es-CR"/>
              </w:rPr>
            </w:pPr>
            <w:r w:rsidRPr="00132A44">
              <w:rPr>
                <w:rFonts w:ascii="Arial Narrow" w:hAnsi="Arial Narrow" w:cs="Segoe UI"/>
                <w:color w:val="000000"/>
                <w:sz w:val="20"/>
                <w:szCs w:val="20"/>
                <w:lang w:eastAsia="es-CR"/>
              </w:rPr>
              <w:t>100.00 %</w:t>
            </w:r>
          </w:p>
        </w:tc>
      </w:tr>
      <w:tr w:rsidR="001A1178" w:rsidRPr="0080354E" w14:paraId="2C50AB2C" w14:textId="77777777" w:rsidTr="00322D9B">
        <w:trPr>
          <w:trHeight w:val="301"/>
        </w:trPr>
        <w:tc>
          <w:tcPr>
            <w:tcW w:w="359" w:type="dxa"/>
            <w:tcBorders>
              <w:top w:val="nil"/>
              <w:left w:val="single" w:sz="4" w:space="0" w:color="auto"/>
              <w:bottom w:val="single" w:sz="4" w:space="0" w:color="auto"/>
              <w:right w:val="nil"/>
            </w:tcBorders>
            <w:shd w:val="clear" w:color="auto" w:fill="FFFFFF" w:themeFill="background1"/>
            <w:vAlign w:val="center"/>
            <w:hideMark/>
          </w:tcPr>
          <w:p w14:paraId="28E0A5EA" w14:textId="77777777" w:rsidR="001A1178" w:rsidRPr="00132A44" w:rsidRDefault="2B97F9B0" w:rsidP="00322D9B">
            <w:pPr>
              <w:jc w:val="center"/>
              <w:rPr>
                <w:rFonts w:ascii="Arial Narrow" w:hAnsi="Arial Narrow" w:cs="Segoe UI"/>
                <w:color w:val="000000"/>
                <w:sz w:val="20"/>
                <w:szCs w:val="20"/>
                <w:lang w:eastAsia="es-CR"/>
              </w:rPr>
            </w:pPr>
            <w:r w:rsidRPr="7F5490C3">
              <w:rPr>
                <w:rFonts w:ascii="Arial Narrow" w:hAnsi="Arial Narrow" w:cs="Segoe UI"/>
                <w:color w:val="000000" w:themeColor="text1"/>
                <w:sz w:val="20"/>
                <w:szCs w:val="20"/>
                <w:lang w:eastAsia="es-CR"/>
              </w:rPr>
              <w:t>6</w:t>
            </w:r>
          </w:p>
        </w:tc>
        <w:tc>
          <w:tcPr>
            <w:tcW w:w="5448" w:type="dxa"/>
            <w:tcBorders>
              <w:top w:val="nil"/>
              <w:left w:val="single" w:sz="4" w:space="0" w:color="auto"/>
              <w:bottom w:val="single" w:sz="4" w:space="0" w:color="auto"/>
              <w:right w:val="single" w:sz="4" w:space="0" w:color="auto"/>
            </w:tcBorders>
            <w:shd w:val="clear" w:color="auto" w:fill="auto"/>
            <w:noWrap/>
            <w:vAlign w:val="bottom"/>
            <w:hideMark/>
          </w:tcPr>
          <w:p w14:paraId="4D49D494" w14:textId="77777777" w:rsidR="001A1178" w:rsidRPr="00132A44" w:rsidRDefault="001A1178" w:rsidP="00271D70">
            <w:pPr>
              <w:rPr>
                <w:rFonts w:ascii="Arial Narrow" w:hAnsi="Arial Narrow" w:cs="Calibri"/>
                <w:color w:val="000000"/>
                <w:sz w:val="20"/>
                <w:szCs w:val="20"/>
                <w:lang w:eastAsia="es-CR"/>
              </w:rPr>
            </w:pPr>
            <w:r w:rsidRPr="00132A44">
              <w:rPr>
                <w:rFonts w:ascii="Arial Narrow" w:hAnsi="Arial Narrow" w:cs="Calibri"/>
                <w:color w:val="000000"/>
                <w:sz w:val="20"/>
                <w:szCs w:val="20"/>
                <w:lang w:eastAsia="es-CR"/>
              </w:rPr>
              <w:t>DIRECCION DE TECNOLOGIA DE INFORMACION Y COMUNICACIONES</w:t>
            </w:r>
          </w:p>
        </w:tc>
        <w:tc>
          <w:tcPr>
            <w:tcW w:w="1958" w:type="dxa"/>
            <w:tcBorders>
              <w:top w:val="nil"/>
              <w:left w:val="nil"/>
              <w:bottom w:val="single" w:sz="4" w:space="0" w:color="auto"/>
              <w:right w:val="single" w:sz="4" w:space="0" w:color="auto"/>
            </w:tcBorders>
            <w:shd w:val="clear" w:color="auto" w:fill="FFFFFF" w:themeFill="background1"/>
            <w:vAlign w:val="center"/>
            <w:hideMark/>
          </w:tcPr>
          <w:p w14:paraId="246D120D" w14:textId="77777777" w:rsidR="001A1178" w:rsidRPr="00132A44" w:rsidRDefault="001A1178" w:rsidP="00271D70">
            <w:pPr>
              <w:jc w:val="center"/>
              <w:rPr>
                <w:rFonts w:ascii="Arial Narrow" w:hAnsi="Arial Narrow" w:cs="Segoe UI"/>
                <w:color w:val="000000"/>
                <w:sz w:val="20"/>
                <w:szCs w:val="20"/>
                <w:lang w:eastAsia="es-CR"/>
              </w:rPr>
            </w:pPr>
            <w:r w:rsidRPr="00132A44">
              <w:rPr>
                <w:rFonts w:ascii="Arial Narrow" w:hAnsi="Arial Narrow" w:cs="Segoe UI"/>
                <w:color w:val="000000"/>
                <w:sz w:val="20"/>
                <w:szCs w:val="20"/>
                <w:lang w:eastAsia="es-CR"/>
              </w:rPr>
              <w:t>10</w:t>
            </w:r>
          </w:p>
        </w:tc>
        <w:tc>
          <w:tcPr>
            <w:tcW w:w="1161" w:type="dxa"/>
            <w:tcBorders>
              <w:top w:val="nil"/>
              <w:left w:val="nil"/>
              <w:bottom w:val="single" w:sz="4" w:space="0" w:color="auto"/>
              <w:right w:val="single" w:sz="4" w:space="0" w:color="auto"/>
            </w:tcBorders>
            <w:shd w:val="clear" w:color="auto" w:fill="FFFFFF" w:themeFill="background1"/>
            <w:vAlign w:val="center"/>
            <w:hideMark/>
          </w:tcPr>
          <w:p w14:paraId="075A3FDD" w14:textId="77777777" w:rsidR="001A1178" w:rsidRPr="00132A44" w:rsidRDefault="001A1178" w:rsidP="00271D70">
            <w:pPr>
              <w:jc w:val="center"/>
              <w:rPr>
                <w:rFonts w:ascii="Arial Narrow" w:hAnsi="Arial Narrow" w:cs="Segoe UI"/>
                <w:color w:val="000000"/>
                <w:sz w:val="20"/>
                <w:szCs w:val="20"/>
                <w:lang w:eastAsia="es-CR"/>
              </w:rPr>
            </w:pPr>
            <w:r w:rsidRPr="00132A44">
              <w:rPr>
                <w:rFonts w:ascii="Arial Narrow" w:hAnsi="Arial Narrow" w:cs="Segoe UI"/>
                <w:color w:val="000000"/>
                <w:sz w:val="20"/>
                <w:szCs w:val="20"/>
                <w:lang w:eastAsia="es-CR"/>
              </w:rPr>
              <w:t>100.00 %</w:t>
            </w:r>
          </w:p>
        </w:tc>
      </w:tr>
      <w:tr w:rsidR="001A1178" w:rsidRPr="0080354E" w14:paraId="553B0D82" w14:textId="77777777" w:rsidTr="00322D9B">
        <w:trPr>
          <w:trHeight w:val="301"/>
        </w:trPr>
        <w:tc>
          <w:tcPr>
            <w:tcW w:w="359" w:type="dxa"/>
            <w:tcBorders>
              <w:top w:val="nil"/>
              <w:left w:val="single" w:sz="4" w:space="0" w:color="auto"/>
              <w:bottom w:val="single" w:sz="4" w:space="0" w:color="auto"/>
              <w:right w:val="nil"/>
            </w:tcBorders>
            <w:shd w:val="clear" w:color="auto" w:fill="FFFFFF" w:themeFill="background1"/>
            <w:vAlign w:val="center"/>
            <w:hideMark/>
          </w:tcPr>
          <w:p w14:paraId="2DC37F11" w14:textId="77777777" w:rsidR="001A1178" w:rsidRPr="00132A44" w:rsidRDefault="2B97F9B0" w:rsidP="00322D9B">
            <w:pPr>
              <w:jc w:val="center"/>
              <w:rPr>
                <w:rFonts w:ascii="Arial Narrow" w:hAnsi="Arial Narrow" w:cs="Segoe UI"/>
                <w:color w:val="000000"/>
                <w:sz w:val="20"/>
                <w:szCs w:val="20"/>
                <w:lang w:eastAsia="es-CR"/>
              </w:rPr>
            </w:pPr>
            <w:r w:rsidRPr="7F5490C3">
              <w:rPr>
                <w:rFonts w:ascii="Arial Narrow" w:hAnsi="Arial Narrow" w:cs="Segoe UI"/>
                <w:color w:val="000000" w:themeColor="text1"/>
                <w:sz w:val="20"/>
                <w:szCs w:val="20"/>
                <w:lang w:eastAsia="es-CR"/>
              </w:rPr>
              <w:t>7</w:t>
            </w:r>
          </w:p>
        </w:tc>
        <w:tc>
          <w:tcPr>
            <w:tcW w:w="5448" w:type="dxa"/>
            <w:tcBorders>
              <w:top w:val="nil"/>
              <w:left w:val="single" w:sz="4" w:space="0" w:color="auto"/>
              <w:bottom w:val="single" w:sz="4" w:space="0" w:color="auto"/>
              <w:right w:val="single" w:sz="4" w:space="0" w:color="auto"/>
            </w:tcBorders>
            <w:shd w:val="clear" w:color="auto" w:fill="auto"/>
            <w:noWrap/>
            <w:vAlign w:val="bottom"/>
            <w:hideMark/>
          </w:tcPr>
          <w:p w14:paraId="3FEE7EFA" w14:textId="77777777" w:rsidR="001A1178" w:rsidRPr="00132A44" w:rsidRDefault="001A1178" w:rsidP="00271D70">
            <w:pPr>
              <w:rPr>
                <w:rFonts w:ascii="Arial Narrow" w:hAnsi="Arial Narrow" w:cs="Calibri"/>
                <w:color w:val="000000"/>
                <w:sz w:val="20"/>
                <w:szCs w:val="20"/>
                <w:lang w:eastAsia="es-CR"/>
              </w:rPr>
            </w:pPr>
            <w:r w:rsidRPr="00132A44">
              <w:rPr>
                <w:rFonts w:ascii="Arial Narrow" w:hAnsi="Arial Narrow" w:cs="Calibri"/>
                <w:color w:val="000000"/>
                <w:sz w:val="20"/>
                <w:szCs w:val="20"/>
                <w:lang w:eastAsia="es-CR"/>
              </w:rPr>
              <w:t>DIRECCION GESTION HUMANA</w:t>
            </w:r>
          </w:p>
        </w:tc>
        <w:tc>
          <w:tcPr>
            <w:tcW w:w="1958" w:type="dxa"/>
            <w:tcBorders>
              <w:top w:val="nil"/>
              <w:left w:val="nil"/>
              <w:bottom w:val="single" w:sz="4" w:space="0" w:color="auto"/>
              <w:right w:val="single" w:sz="4" w:space="0" w:color="auto"/>
            </w:tcBorders>
            <w:shd w:val="clear" w:color="auto" w:fill="FFFFFF" w:themeFill="background1"/>
            <w:vAlign w:val="center"/>
            <w:hideMark/>
          </w:tcPr>
          <w:p w14:paraId="3B8A0175" w14:textId="77777777" w:rsidR="001A1178" w:rsidRPr="00132A44" w:rsidRDefault="001A1178" w:rsidP="00271D70">
            <w:pPr>
              <w:jc w:val="center"/>
              <w:rPr>
                <w:rFonts w:ascii="Arial Narrow" w:hAnsi="Arial Narrow" w:cs="Segoe UI"/>
                <w:color w:val="000000"/>
                <w:sz w:val="20"/>
                <w:szCs w:val="20"/>
                <w:lang w:eastAsia="es-CR"/>
              </w:rPr>
            </w:pPr>
            <w:r w:rsidRPr="00132A44">
              <w:rPr>
                <w:rFonts w:ascii="Arial Narrow" w:hAnsi="Arial Narrow" w:cs="Segoe UI"/>
                <w:color w:val="000000"/>
                <w:sz w:val="20"/>
                <w:szCs w:val="20"/>
                <w:lang w:eastAsia="es-CR"/>
              </w:rPr>
              <w:t>20</w:t>
            </w:r>
          </w:p>
        </w:tc>
        <w:tc>
          <w:tcPr>
            <w:tcW w:w="1161" w:type="dxa"/>
            <w:tcBorders>
              <w:top w:val="nil"/>
              <w:left w:val="nil"/>
              <w:bottom w:val="single" w:sz="4" w:space="0" w:color="auto"/>
              <w:right w:val="single" w:sz="4" w:space="0" w:color="auto"/>
            </w:tcBorders>
            <w:shd w:val="clear" w:color="auto" w:fill="FFFFFF" w:themeFill="background1"/>
            <w:vAlign w:val="center"/>
            <w:hideMark/>
          </w:tcPr>
          <w:p w14:paraId="3866A7AB" w14:textId="77777777" w:rsidR="001A1178" w:rsidRPr="00132A44" w:rsidRDefault="001A1178" w:rsidP="00271D70">
            <w:pPr>
              <w:jc w:val="center"/>
              <w:rPr>
                <w:rFonts w:ascii="Arial Narrow" w:hAnsi="Arial Narrow" w:cs="Segoe UI"/>
                <w:color w:val="000000"/>
                <w:sz w:val="20"/>
                <w:szCs w:val="20"/>
                <w:lang w:eastAsia="es-CR"/>
              </w:rPr>
            </w:pPr>
            <w:r w:rsidRPr="00132A44">
              <w:rPr>
                <w:rFonts w:ascii="Arial Narrow" w:hAnsi="Arial Narrow" w:cs="Segoe UI"/>
                <w:color w:val="000000"/>
                <w:sz w:val="20"/>
                <w:szCs w:val="20"/>
                <w:lang w:eastAsia="es-CR"/>
              </w:rPr>
              <w:t>100.00 %</w:t>
            </w:r>
          </w:p>
        </w:tc>
      </w:tr>
      <w:tr w:rsidR="001A1178" w:rsidRPr="0080354E" w14:paraId="4470E6E7" w14:textId="77777777" w:rsidTr="00322D9B">
        <w:trPr>
          <w:trHeight w:val="301"/>
        </w:trPr>
        <w:tc>
          <w:tcPr>
            <w:tcW w:w="359" w:type="dxa"/>
            <w:tcBorders>
              <w:top w:val="nil"/>
              <w:left w:val="single" w:sz="4" w:space="0" w:color="auto"/>
              <w:bottom w:val="single" w:sz="4" w:space="0" w:color="auto"/>
              <w:right w:val="nil"/>
            </w:tcBorders>
            <w:shd w:val="clear" w:color="auto" w:fill="FFFFFF" w:themeFill="background1"/>
            <w:vAlign w:val="center"/>
            <w:hideMark/>
          </w:tcPr>
          <w:p w14:paraId="55820B84" w14:textId="77777777" w:rsidR="001A1178" w:rsidRPr="00132A44" w:rsidRDefault="2B97F9B0" w:rsidP="00322D9B">
            <w:pPr>
              <w:jc w:val="center"/>
              <w:rPr>
                <w:rFonts w:ascii="Arial Narrow" w:hAnsi="Arial Narrow" w:cs="Segoe UI"/>
                <w:color w:val="000000"/>
                <w:sz w:val="20"/>
                <w:szCs w:val="20"/>
                <w:lang w:eastAsia="es-CR"/>
              </w:rPr>
            </w:pPr>
            <w:r w:rsidRPr="7F5490C3">
              <w:rPr>
                <w:rFonts w:ascii="Arial Narrow" w:hAnsi="Arial Narrow" w:cs="Segoe UI"/>
                <w:color w:val="000000" w:themeColor="text1"/>
                <w:sz w:val="20"/>
                <w:szCs w:val="20"/>
                <w:lang w:eastAsia="es-CR"/>
              </w:rPr>
              <w:t>8</w:t>
            </w:r>
          </w:p>
        </w:tc>
        <w:tc>
          <w:tcPr>
            <w:tcW w:w="5448" w:type="dxa"/>
            <w:tcBorders>
              <w:top w:val="nil"/>
              <w:left w:val="single" w:sz="4" w:space="0" w:color="auto"/>
              <w:bottom w:val="single" w:sz="4" w:space="0" w:color="auto"/>
              <w:right w:val="single" w:sz="4" w:space="0" w:color="auto"/>
            </w:tcBorders>
            <w:shd w:val="clear" w:color="auto" w:fill="auto"/>
            <w:noWrap/>
            <w:vAlign w:val="bottom"/>
            <w:hideMark/>
          </w:tcPr>
          <w:p w14:paraId="7900B83E" w14:textId="77777777" w:rsidR="001A1178" w:rsidRPr="00132A44" w:rsidRDefault="001A1178" w:rsidP="00271D70">
            <w:pPr>
              <w:rPr>
                <w:rFonts w:ascii="Arial Narrow" w:hAnsi="Arial Narrow" w:cs="Calibri"/>
                <w:color w:val="000000"/>
                <w:sz w:val="20"/>
                <w:szCs w:val="20"/>
                <w:lang w:eastAsia="es-CR"/>
              </w:rPr>
            </w:pPr>
            <w:r w:rsidRPr="00132A44">
              <w:rPr>
                <w:rFonts w:ascii="Arial Narrow" w:hAnsi="Arial Narrow" w:cs="Calibri"/>
                <w:color w:val="000000"/>
                <w:sz w:val="20"/>
                <w:szCs w:val="20"/>
                <w:lang w:eastAsia="es-CR"/>
              </w:rPr>
              <w:t>DIRECCION JURIDICA</w:t>
            </w:r>
          </w:p>
        </w:tc>
        <w:tc>
          <w:tcPr>
            <w:tcW w:w="1958" w:type="dxa"/>
            <w:tcBorders>
              <w:top w:val="nil"/>
              <w:left w:val="nil"/>
              <w:bottom w:val="single" w:sz="4" w:space="0" w:color="auto"/>
              <w:right w:val="single" w:sz="4" w:space="0" w:color="auto"/>
            </w:tcBorders>
            <w:shd w:val="clear" w:color="auto" w:fill="FFFFFF" w:themeFill="background1"/>
            <w:vAlign w:val="center"/>
            <w:hideMark/>
          </w:tcPr>
          <w:p w14:paraId="2BA914F1" w14:textId="77777777" w:rsidR="001A1178" w:rsidRPr="00132A44" w:rsidRDefault="001A1178" w:rsidP="00271D70">
            <w:pPr>
              <w:jc w:val="center"/>
              <w:rPr>
                <w:rFonts w:ascii="Arial Narrow" w:hAnsi="Arial Narrow" w:cs="Segoe UI"/>
                <w:color w:val="000000"/>
                <w:sz w:val="20"/>
                <w:szCs w:val="20"/>
                <w:lang w:eastAsia="es-CR"/>
              </w:rPr>
            </w:pPr>
            <w:r w:rsidRPr="00132A44">
              <w:rPr>
                <w:rFonts w:ascii="Arial Narrow" w:hAnsi="Arial Narrow" w:cs="Segoe UI"/>
                <w:color w:val="000000"/>
                <w:sz w:val="20"/>
                <w:szCs w:val="20"/>
                <w:lang w:eastAsia="es-CR"/>
              </w:rPr>
              <w:t>3</w:t>
            </w:r>
          </w:p>
        </w:tc>
        <w:tc>
          <w:tcPr>
            <w:tcW w:w="1161" w:type="dxa"/>
            <w:tcBorders>
              <w:top w:val="nil"/>
              <w:left w:val="nil"/>
              <w:bottom w:val="single" w:sz="4" w:space="0" w:color="auto"/>
              <w:right w:val="single" w:sz="4" w:space="0" w:color="auto"/>
            </w:tcBorders>
            <w:shd w:val="clear" w:color="auto" w:fill="FFFFFF" w:themeFill="background1"/>
            <w:vAlign w:val="center"/>
            <w:hideMark/>
          </w:tcPr>
          <w:p w14:paraId="1095231E" w14:textId="77777777" w:rsidR="001A1178" w:rsidRPr="00132A44" w:rsidRDefault="001A1178" w:rsidP="00271D70">
            <w:pPr>
              <w:jc w:val="center"/>
              <w:rPr>
                <w:rFonts w:ascii="Arial Narrow" w:hAnsi="Arial Narrow" w:cs="Segoe UI"/>
                <w:color w:val="000000"/>
                <w:sz w:val="20"/>
                <w:szCs w:val="20"/>
                <w:lang w:eastAsia="es-CR"/>
              </w:rPr>
            </w:pPr>
            <w:r w:rsidRPr="00132A44">
              <w:rPr>
                <w:rFonts w:ascii="Arial Narrow" w:hAnsi="Arial Narrow" w:cs="Segoe UI"/>
                <w:color w:val="000000"/>
                <w:sz w:val="20"/>
                <w:szCs w:val="20"/>
                <w:lang w:eastAsia="es-CR"/>
              </w:rPr>
              <w:t>100.00 %</w:t>
            </w:r>
          </w:p>
        </w:tc>
      </w:tr>
      <w:tr w:rsidR="001A1178" w:rsidRPr="0080354E" w14:paraId="4F57E2F7" w14:textId="77777777" w:rsidTr="00322D9B">
        <w:trPr>
          <w:trHeight w:val="301"/>
        </w:trPr>
        <w:tc>
          <w:tcPr>
            <w:tcW w:w="359" w:type="dxa"/>
            <w:tcBorders>
              <w:top w:val="nil"/>
              <w:left w:val="single" w:sz="4" w:space="0" w:color="auto"/>
              <w:bottom w:val="single" w:sz="4" w:space="0" w:color="auto"/>
              <w:right w:val="nil"/>
            </w:tcBorders>
            <w:shd w:val="clear" w:color="auto" w:fill="FFFFFF" w:themeFill="background1"/>
            <w:vAlign w:val="center"/>
            <w:hideMark/>
          </w:tcPr>
          <w:p w14:paraId="3A56FDD1" w14:textId="77777777" w:rsidR="001A1178" w:rsidRPr="00132A44" w:rsidRDefault="2B97F9B0" w:rsidP="00322D9B">
            <w:pPr>
              <w:jc w:val="center"/>
              <w:rPr>
                <w:rFonts w:ascii="Arial Narrow" w:hAnsi="Arial Narrow" w:cs="Segoe UI"/>
                <w:color w:val="000000"/>
                <w:sz w:val="20"/>
                <w:szCs w:val="20"/>
                <w:lang w:eastAsia="es-CR"/>
              </w:rPr>
            </w:pPr>
            <w:r w:rsidRPr="7F5490C3">
              <w:rPr>
                <w:rFonts w:ascii="Arial Narrow" w:hAnsi="Arial Narrow" w:cs="Segoe UI"/>
                <w:color w:val="000000" w:themeColor="text1"/>
                <w:sz w:val="20"/>
                <w:szCs w:val="20"/>
                <w:lang w:eastAsia="es-CR"/>
              </w:rPr>
              <w:t>9</w:t>
            </w:r>
          </w:p>
        </w:tc>
        <w:tc>
          <w:tcPr>
            <w:tcW w:w="5448" w:type="dxa"/>
            <w:tcBorders>
              <w:top w:val="nil"/>
              <w:left w:val="single" w:sz="4" w:space="0" w:color="auto"/>
              <w:bottom w:val="single" w:sz="4" w:space="0" w:color="auto"/>
              <w:right w:val="single" w:sz="4" w:space="0" w:color="auto"/>
            </w:tcBorders>
            <w:shd w:val="clear" w:color="auto" w:fill="auto"/>
            <w:noWrap/>
            <w:vAlign w:val="bottom"/>
            <w:hideMark/>
          </w:tcPr>
          <w:p w14:paraId="365402DC" w14:textId="77777777" w:rsidR="001A1178" w:rsidRPr="00132A44" w:rsidRDefault="001A1178" w:rsidP="00271D70">
            <w:pPr>
              <w:rPr>
                <w:rFonts w:ascii="Arial Narrow" w:hAnsi="Arial Narrow" w:cs="Calibri"/>
                <w:color w:val="000000"/>
                <w:sz w:val="20"/>
                <w:szCs w:val="20"/>
                <w:lang w:eastAsia="es-CR"/>
              </w:rPr>
            </w:pPr>
            <w:r w:rsidRPr="00132A44">
              <w:rPr>
                <w:rFonts w:ascii="Arial Narrow" w:hAnsi="Arial Narrow" w:cs="Calibri"/>
                <w:color w:val="000000"/>
                <w:sz w:val="20"/>
                <w:szCs w:val="20"/>
                <w:lang w:eastAsia="es-CR"/>
              </w:rPr>
              <w:t>INSPECCION JUDICIAL</w:t>
            </w:r>
          </w:p>
        </w:tc>
        <w:tc>
          <w:tcPr>
            <w:tcW w:w="1958" w:type="dxa"/>
            <w:tcBorders>
              <w:top w:val="nil"/>
              <w:left w:val="nil"/>
              <w:bottom w:val="single" w:sz="4" w:space="0" w:color="auto"/>
              <w:right w:val="single" w:sz="4" w:space="0" w:color="auto"/>
            </w:tcBorders>
            <w:shd w:val="clear" w:color="auto" w:fill="FFFFFF" w:themeFill="background1"/>
            <w:vAlign w:val="center"/>
            <w:hideMark/>
          </w:tcPr>
          <w:p w14:paraId="4FFE73C8" w14:textId="77777777" w:rsidR="001A1178" w:rsidRPr="00132A44" w:rsidRDefault="001A1178" w:rsidP="00271D70">
            <w:pPr>
              <w:jc w:val="center"/>
              <w:rPr>
                <w:rFonts w:ascii="Arial Narrow" w:hAnsi="Arial Narrow" w:cs="Segoe UI"/>
                <w:color w:val="000000"/>
                <w:sz w:val="20"/>
                <w:szCs w:val="20"/>
                <w:lang w:eastAsia="es-CR"/>
              </w:rPr>
            </w:pPr>
            <w:r w:rsidRPr="00132A44">
              <w:rPr>
                <w:rFonts w:ascii="Arial Narrow" w:hAnsi="Arial Narrow" w:cs="Segoe UI"/>
                <w:color w:val="000000"/>
                <w:sz w:val="20"/>
                <w:szCs w:val="20"/>
                <w:lang w:eastAsia="es-CR"/>
              </w:rPr>
              <w:t>1</w:t>
            </w:r>
          </w:p>
        </w:tc>
        <w:tc>
          <w:tcPr>
            <w:tcW w:w="1161" w:type="dxa"/>
            <w:tcBorders>
              <w:top w:val="nil"/>
              <w:left w:val="nil"/>
              <w:bottom w:val="single" w:sz="4" w:space="0" w:color="auto"/>
              <w:right w:val="single" w:sz="4" w:space="0" w:color="auto"/>
            </w:tcBorders>
            <w:shd w:val="clear" w:color="auto" w:fill="FFFFFF" w:themeFill="background1"/>
            <w:vAlign w:val="center"/>
            <w:hideMark/>
          </w:tcPr>
          <w:p w14:paraId="6FACB2E5" w14:textId="77777777" w:rsidR="001A1178" w:rsidRPr="00132A44" w:rsidRDefault="001A1178" w:rsidP="00271D70">
            <w:pPr>
              <w:jc w:val="center"/>
              <w:rPr>
                <w:rFonts w:ascii="Arial Narrow" w:hAnsi="Arial Narrow" w:cs="Segoe UI"/>
                <w:color w:val="000000"/>
                <w:sz w:val="20"/>
                <w:szCs w:val="20"/>
                <w:lang w:eastAsia="es-CR"/>
              </w:rPr>
            </w:pPr>
            <w:r w:rsidRPr="00132A44">
              <w:rPr>
                <w:rFonts w:ascii="Arial Narrow" w:hAnsi="Arial Narrow" w:cs="Segoe UI"/>
                <w:color w:val="000000"/>
                <w:sz w:val="20"/>
                <w:szCs w:val="20"/>
                <w:lang w:eastAsia="es-CR"/>
              </w:rPr>
              <w:t>100.00 %</w:t>
            </w:r>
          </w:p>
        </w:tc>
      </w:tr>
      <w:tr w:rsidR="001A1178" w:rsidRPr="0080354E" w14:paraId="467B8161" w14:textId="77777777" w:rsidTr="00322D9B">
        <w:trPr>
          <w:trHeight w:val="301"/>
        </w:trPr>
        <w:tc>
          <w:tcPr>
            <w:tcW w:w="359" w:type="dxa"/>
            <w:tcBorders>
              <w:top w:val="nil"/>
              <w:left w:val="single" w:sz="4" w:space="0" w:color="auto"/>
              <w:bottom w:val="single" w:sz="4" w:space="0" w:color="auto"/>
              <w:right w:val="nil"/>
            </w:tcBorders>
            <w:shd w:val="clear" w:color="auto" w:fill="FFFFFF" w:themeFill="background1"/>
            <w:vAlign w:val="center"/>
            <w:hideMark/>
          </w:tcPr>
          <w:p w14:paraId="79AB0D98" w14:textId="77777777" w:rsidR="001A1178" w:rsidRPr="00132A44" w:rsidRDefault="2B97F9B0" w:rsidP="00322D9B">
            <w:pPr>
              <w:jc w:val="center"/>
              <w:rPr>
                <w:rFonts w:ascii="Arial Narrow" w:hAnsi="Arial Narrow" w:cs="Segoe UI"/>
                <w:color w:val="000000"/>
                <w:sz w:val="20"/>
                <w:szCs w:val="20"/>
                <w:lang w:eastAsia="es-CR"/>
              </w:rPr>
            </w:pPr>
            <w:r w:rsidRPr="7F5490C3">
              <w:rPr>
                <w:rFonts w:ascii="Arial Narrow" w:hAnsi="Arial Narrow" w:cs="Segoe UI"/>
                <w:color w:val="000000" w:themeColor="text1"/>
                <w:sz w:val="20"/>
                <w:szCs w:val="20"/>
                <w:lang w:eastAsia="es-CR"/>
              </w:rPr>
              <w:t>10</w:t>
            </w:r>
          </w:p>
        </w:tc>
        <w:tc>
          <w:tcPr>
            <w:tcW w:w="5448" w:type="dxa"/>
            <w:tcBorders>
              <w:top w:val="nil"/>
              <w:left w:val="single" w:sz="4" w:space="0" w:color="auto"/>
              <w:bottom w:val="single" w:sz="4" w:space="0" w:color="auto"/>
              <w:right w:val="single" w:sz="4" w:space="0" w:color="auto"/>
            </w:tcBorders>
            <w:shd w:val="clear" w:color="auto" w:fill="auto"/>
            <w:noWrap/>
            <w:vAlign w:val="bottom"/>
            <w:hideMark/>
          </w:tcPr>
          <w:p w14:paraId="323587B1" w14:textId="77777777" w:rsidR="001A1178" w:rsidRPr="00132A44" w:rsidRDefault="001A1178" w:rsidP="00271D70">
            <w:pPr>
              <w:rPr>
                <w:rFonts w:ascii="Arial Narrow" w:hAnsi="Arial Narrow" w:cs="Calibri"/>
                <w:color w:val="000000"/>
                <w:sz w:val="20"/>
                <w:szCs w:val="20"/>
                <w:lang w:eastAsia="es-CR"/>
              </w:rPr>
            </w:pPr>
            <w:r w:rsidRPr="00132A44">
              <w:rPr>
                <w:rFonts w:ascii="Arial Narrow" w:hAnsi="Arial Narrow" w:cs="Calibri"/>
                <w:color w:val="000000"/>
                <w:sz w:val="20"/>
                <w:szCs w:val="20"/>
                <w:lang w:eastAsia="es-CR"/>
              </w:rPr>
              <w:t>JEFATURA DEFENSA PUBLICA</w:t>
            </w:r>
          </w:p>
        </w:tc>
        <w:tc>
          <w:tcPr>
            <w:tcW w:w="1958" w:type="dxa"/>
            <w:tcBorders>
              <w:top w:val="nil"/>
              <w:left w:val="nil"/>
              <w:bottom w:val="single" w:sz="4" w:space="0" w:color="auto"/>
              <w:right w:val="single" w:sz="4" w:space="0" w:color="auto"/>
            </w:tcBorders>
            <w:shd w:val="clear" w:color="auto" w:fill="FFFFFF" w:themeFill="background1"/>
            <w:vAlign w:val="center"/>
            <w:hideMark/>
          </w:tcPr>
          <w:p w14:paraId="4AA3545C" w14:textId="77777777" w:rsidR="001A1178" w:rsidRPr="00132A44" w:rsidRDefault="001A1178" w:rsidP="00271D70">
            <w:pPr>
              <w:jc w:val="center"/>
              <w:rPr>
                <w:rFonts w:ascii="Arial Narrow" w:hAnsi="Arial Narrow" w:cs="Segoe UI"/>
                <w:color w:val="000000"/>
                <w:sz w:val="20"/>
                <w:szCs w:val="20"/>
                <w:lang w:eastAsia="es-CR"/>
              </w:rPr>
            </w:pPr>
            <w:r w:rsidRPr="00132A44">
              <w:rPr>
                <w:rFonts w:ascii="Arial Narrow" w:hAnsi="Arial Narrow" w:cs="Segoe UI"/>
                <w:color w:val="000000"/>
                <w:sz w:val="20"/>
                <w:szCs w:val="20"/>
                <w:lang w:eastAsia="es-CR"/>
              </w:rPr>
              <w:t>12</w:t>
            </w:r>
          </w:p>
        </w:tc>
        <w:tc>
          <w:tcPr>
            <w:tcW w:w="1161" w:type="dxa"/>
            <w:tcBorders>
              <w:top w:val="nil"/>
              <w:left w:val="nil"/>
              <w:bottom w:val="single" w:sz="4" w:space="0" w:color="auto"/>
              <w:right w:val="single" w:sz="4" w:space="0" w:color="auto"/>
            </w:tcBorders>
            <w:shd w:val="clear" w:color="auto" w:fill="FFFFFF" w:themeFill="background1"/>
            <w:vAlign w:val="center"/>
            <w:hideMark/>
          </w:tcPr>
          <w:p w14:paraId="76E83D10" w14:textId="77777777" w:rsidR="001A1178" w:rsidRPr="00132A44" w:rsidRDefault="001A1178" w:rsidP="00271D70">
            <w:pPr>
              <w:jc w:val="center"/>
              <w:rPr>
                <w:rFonts w:ascii="Arial Narrow" w:hAnsi="Arial Narrow" w:cs="Segoe UI"/>
                <w:color w:val="000000"/>
                <w:sz w:val="20"/>
                <w:szCs w:val="20"/>
                <w:lang w:eastAsia="es-CR"/>
              </w:rPr>
            </w:pPr>
            <w:r w:rsidRPr="00132A44">
              <w:rPr>
                <w:rFonts w:ascii="Arial Narrow" w:hAnsi="Arial Narrow" w:cs="Segoe UI"/>
                <w:color w:val="000000"/>
                <w:sz w:val="20"/>
                <w:szCs w:val="20"/>
                <w:lang w:eastAsia="es-CR"/>
              </w:rPr>
              <w:t>100.00 %</w:t>
            </w:r>
          </w:p>
        </w:tc>
      </w:tr>
      <w:tr w:rsidR="001A1178" w:rsidRPr="0080354E" w14:paraId="216B921B" w14:textId="77777777" w:rsidTr="00322D9B">
        <w:trPr>
          <w:trHeight w:val="301"/>
        </w:trPr>
        <w:tc>
          <w:tcPr>
            <w:tcW w:w="359" w:type="dxa"/>
            <w:tcBorders>
              <w:top w:val="nil"/>
              <w:left w:val="single" w:sz="4" w:space="0" w:color="auto"/>
              <w:bottom w:val="single" w:sz="4" w:space="0" w:color="auto"/>
              <w:right w:val="nil"/>
            </w:tcBorders>
            <w:shd w:val="clear" w:color="auto" w:fill="FFFFFF" w:themeFill="background1"/>
            <w:vAlign w:val="center"/>
            <w:hideMark/>
          </w:tcPr>
          <w:p w14:paraId="0B1F35BE" w14:textId="77777777" w:rsidR="001A1178" w:rsidRPr="00132A44" w:rsidRDefault="2B97F9B0" w:rsidP="00322D9B">
            <w:pPr>
              <w:jc w:val="center"/>
              <w:rPr>
                <w:rFonts w:ascii="Arial Narrow" w:hAnsi="Arial Narrow" w:cs="Segoe UI"/>
                <w:color w:val="000000"/>
                <w:sz w:val="20"/>
                <w:szCs w:val="20"/>
                <w:lang w:eastAsia="es-CR"/>
              </w:rPr>
            </w:pPr>
            <w:r w:rsidRPr="7F5490C3">
              <w:rPr>
                <w:rFonts w:ascii="Arial Narrow" w:hAnsi="Arial Narrow" w:cs="Segoe UI"/>
                <w:color w:val="000000" w:themeColor="text1"/>
                <w:sz w:val="20"/>
                <w:szCs w:val="20"/>
                <w:lang w:eastAsia="es-CR"/>
              </w:rPr>
              <w:t>11</w:t>
            </w:r>
          </w:p>
        </w:tc>
        <w:tc>
          <w:tcPr>
            <w:tcW w:w="5448" w:type="dxa"/>
            <w:tcBorders>
              <w:top w:val="nil"/>
              <w:left w:val="single" w:sz="4" w:space="0" w:color="auto"/>
              <w:bottom w:val="single" w:sz="4" w:space="0" w:color="auto"/>
              <w:right w:val="single" w:sz="4" w:space="0" w:color="auto"/>
            </w:tcBorders>
            <w:shd w:val="clear" w:color="auto" w:fill="auto"/>
            <w:noWrap/>
            <w:vAlign w:val="bottom"/>
            <w:hideMark/>
          </w:tcPr>
          <w:p w14:paraId="475D62C9" w14:textId="77777777" w:rsidR="001A1178" w:rsidRPr="00132A44" w:rsidRDefault="001A1178" w:rsidP="00271D70">
            <w:pPr>
              <w:rPr>
                <w:rFonts w:ascii="Arial Narrow" w:hAnsi="Arial Narrow" w:cs="Calibri"/>
                <w:color w:val="000000"/>
                <w:sz w:val="20"/>
                <w:szCs w:val="20"/>
                <w:lang w:eastAsia="es-CR"/>
              </w:rPr>
            </w:pPr>
            <w:r w:rsidRPr="00132A44">
              <w:rPr>
                <w:rFonts w:ascii="Arial Narrow" w:hAnsi="Arial Narrow" w:cs="Calibri"/>
                <w:color w:val="000000"/>
                <w:sz w:val="20"/>
                <w:szCs w:val="20"/>
                <w:lang w:eastAsia="es-CR"/>
              </w:rPr>
              <w:t>OFICINA DE CONTROL INTERNO</w:t>
            </w:r>
          </w:p>
        </w:tc>
        <w:tc>
          <w:tcPr>
            <w:tcW w:w="1958" w:type="dxa"/>
            <w:tcBorders>
              <w:top w:val="nil"/>
              <w:left w:val="nil"/>
              <w:bottom w:val="single" w:sz="4" w:space="0" w:color="auto"/>
              <w:right w:val="single" w:sz="4" w:space="0" w:color="auto"/>
            </w:tcBorders>
            <w:shd w:val="clear" w:color="auto" w:fill="FFFFFF" w:themeFill="background1"/>
            <w:vAlign w:val="center"/>
            <w:hideMark/>
          </w:tcPr>
          <w:p w14:paraId="64A38BAA" w14:textId="77777777" w:rsidR="001A1178" w:rsidRPr="00132A44" w:rsidRDefault="001A1178" w:rsidP="00271D70">
            <w:pPr>
              <w:jc w:val="center"/>
              <w:rPr>
                <w:rFonts w:ascii="Arial Narrow" w:hAnsi="Arial Narrow" w:cs="Segoe UI"/>
                <w:color w:val="000000"/>
                <w:sz w:val="20"/>
                <w:szCs w:val="20"/>
                <w:lang w:eastAsia="es-CR"/>
              </w:rPr>
            </w:pPr>
            <w:r w:rsidRPr="00132A44">
              <w:rPr>
                <w:rFonts w:ascii="Arial Narrow" w:hAnsi="Arial Narrow" w:cs="Segoe UI"/>
                <w:color w:val="000000"/>
                <w:sz w:val="20"/>
                <w:szCs w:val="20"/>
                <w:lang w:eastAsia="es-CR"/>
              </w:rPr>
              <w:t>2</w:t>
            </w:r>
          </w:p>
        </w:tc>
        <w:tc>
          <w:tcPr>
            <w:tcW w:w="1161" w:type="dxa"/>
            <w:tcBorders>
              <w:top w:val="nil"/>
              <w:left w:val="nil"/>
              <w:bottom w:val="single" w:sz="4" w:space="0" w:color="auto"/>
              <w:right w:val="single" w:sz="4" w:space="0" w:color="auto"/>
            </w:tcBorders>
            <w:shd w:val="clear" w:color="auto" w:fill="FFFFFF" w:themeFill="background1"/>
            <w:vAlign w:val="center"/>
            <w:hideMark/>
          </w:tcPr>
          <w:p w14:paraId="7131E002" w14:textId="77777777" w:rsidR="001A1178" w:rsidRPr="00132A44" w:rsidRDefault="001A1178" w:rsidP="00271D70">
            <w:pPr>
              <w:jc w:val="center"/>
              <w:rPr>
                <w:rFonts w:ascii="Arial Narrow" w:hAnsi="Arial Narrow" w:cs="Segoe UI"/>
                <w:color w:val="000000"/>
                <w:sz w:val="20"/>
                <w:szCs w:val="20"/>
                <w:lang w:eastAsia="es-CR"/>
              </w:rPr>
            </w:pPr>
            <w:r w:rsidRPr="00132A44">
              <w:rPr>
                <w:rFonts w:ascii="Arial Narrow" w:hAnsi="Arial Narrow" w:cs="Segoe UI"/>
                <w:color w:val="000000"/>
                <w:sz w:val="20"/>
                <w:szCs w:val="20"/>
                <w:lang w:eastAsia="es-CR"/>
              </w:rPr>
              <w:t>100.00 %</w:t>
            </w:r>
          </w:p>
        </w:tc>
      </w:tr>
      <w:tr w:rsidR="001A1178" w:rsidRPr="0080354E" w14:paraId="206D1C35" w14:textId="77777777" w:rsidTr="00322D9B">
        <w:trPr>
          <w:trHeight w:val="301"/>
        </w:trPr>
        <w:tc>
          <w:tcPr>
            <w:tcW w:w="359" w:type="dxa"/>
            <w:tcBorders>
              <w:top w:val="nil"/>
              <w:left w:val="single" w:sz="4" w:space="0" w:color="auto"/>
              <w:bottom w:val="single" w:sz="4" w:space="0" w:color="auto"/>
              <w:right w:val="nil"/>
            </w:tcBorders>
            <w:shd w:val="clear" w:color="auto" w:fill="FFFFFF" w:themeFill="background1"/>
            <w:vAlign w:val="center"/>
            <w:hideMark/>
          </w:tcPr>
          <w:p w14:paraId="36D0E682" w14:textId="77777777" w:rsidR="001A1178" w:rsidRPr="00132A44" w:rsidRDefault="2B97F9B0" w:rsidP="00322D9B">
            <w:pPr>
              <w:jc w:val="center"/>
              <w:rPr>
                <w:rFonts w:ascii="Arial Narrow" w:hAnsi="Arial Narrow" w:cs="Segoe UI"/>
                <w:color w:val="000000"/>
                <w:sz w:val="20"/>
                <w:szCs w:val="20"/>
                <w:lang w:eastAsia="es-CR"/>
              </w:rPr>
            </w:pPr>
            <w:r w:rsidRPr="7F5490C3">
              <w:rPr>
                <w:rFonts w:ascii="Arial Narrow" w:hAnsi="Arial Narrow" w:cs="Segoe UI"/>
                <w:color w:val="000000" w:themeColor="text1"/>
                <w:sz w:val="20"/>
                <w:szCs w:val="20"/>
                <w:lang w:eastAsia="es-CR"/>
              </w:rPr>
              <w:t>12</w:t>
            </w:r>
          </w:p>
        </w:tc>
        <w:tc>
          <w:tcPr>
            <w:tcW w:w="5448" w:type="dxa"/>
            <w:tcBorders>
              <w:top w:val="nil"/>
              <w:left w:val="single" w:sz="4" w:space="0" w:color="auto"/>
              <w:bottom w:val="single" w:sz="4" w:space="0" w:color="auto"/>
              <w:right w:val="single" w:sz="4" w:space="0" w:color="auto"/>
            </w:tcBorders>
            <w:shd w:val="clear" w:color="auto" w:fill="auto"/>
            <w:noWrap/>
            <w:vAlign w:val="bottom"/>
            <w:hideMark/>
          </w:tcPr>
          <w:p w14:paraId="0727D4C2" w14:textId="77777777" w:rsidR="001A1178" w:rsidRPr="00132A44" w:rsidRDefault="001A1178" w:rsidP="00271D70">
            <w:pPr>
              <w:rPr>
                <w:rFonts w:ascii="Arial Narrow" w:hAnsi="Arial Narrow" w:cs="Calibri"/>
                <w:color w:val="000000"/>
                <w:sz w:val="20"/>
                <w:szCs w:val="20"/>
                <w:lang w:eastAsia="es-CR"/>
              </w:rPr>
            </w:pPr>
            <w:r w:rsidRPr="00132A44">
              <w:rPr>
                <w:rFonts w:ascii="Arial Narrow" w:hAnsi="Arial Narrow" w:cs="Calibri"/>
                <w:color w:val="000000"/>
                <w:sz w:val="20"/>
                <w:szCs w:val="20"/>
                <w:lang w:eastAsia="es-CR"/>
              </w:rPr>
              <w:t>OFICINA RECTORA DE JUSTICIA RESTAURATIVA</w:t>
            </w:r>
          </w:p>
        </w:tc>
        <w:tc>
          <w:tcPr>
            <w:tcW w:w="1958" w:type="dxa"/>
            <w:tcBorders>
              <w:top w:val="nil"/>
              <w:left w:val="nil"/>
              <w:bottom w:val="single" w:sz="4" w:space="0" w:color="auto"/>
              <w:right w:val="single" w:sz="4" w:space="0" w:color="auto"/>
            </w:tcBorders>
            <w:shd w:val="clear" w:color="auto" w:fill="FFFFFF" w:themeFill="background1"/>
            <w:vAlign w:val="center"/>
            <w:hideMark/>
          </w:tcPr>
          <w:p w14:paraId="1E19CD8D" w14:textId="77777777" w:rsidR="001A1178" w:rsidRPr="00132A44" w:rsidRDefault="001A1178" w:rsidP="00271D70">
            <w:pPr>
              <w:jc w:val="center"/>
              <w:rPr>
                <w:rFonts w:ascii="Arial Narrow" w:hAnsi="Arial Narrow" w:cs="Segoe UI"/>
                <w:color w:val="000000"/>
                <w:sz w:val="20"/>
                <w:szCs w:val="20"/>
                <w:lang w:eastAsia="es-CR"/>
              </w:rPr>
            </w:pPr>
            <w:r w:rsidRPr="00132A44">
              <w:rPr>
                <w:rFonts w:ascii="Arial Narrow" w:hAnsi="Arial Narrow" w:cs="Segoe UI"/>
                <w:color w:val="000000"/>
                <w:sz w:val="20"/>
                <w:szCs w:val="20"/>
                <w:lang w:eastAsia="es-CR"/>
              </w:rPr>
              <w:t>1</w:t>
            </w:r>
          </w:p>
        </w:tc>
        <w:tc>
          <w:tcPr>
            <w:tcW w:w="1161" w:type="dxa"/>
            <w:tcBorders>
              <w:top w:val="nil"/>
              <w:left w:val="nil"/>
              <w:bottom w:val="single" w:sz="4" w:space="0" w:color="auto"/>
              <w:right w:val="single" w:sz="4" w:space="0" w:color="auto"/>
            </w:tcBorders>
            <w:shd w:val="clear" w:color="auto" w:fill="FFFFFF" w:themeFill="background1"/>
            <w:vAlign w:val="center"/>
            <w:hideMark/>
          </w:tcPr>
          <w:p w14:paraId="5EEF611A" w14:textId="77777777" w:rsidR="001A1178" w:rsidRPr="00132A44" w:rsidRDefault="001A1178" w:rsidP="00271D70">
            <w:pPr>
              <w:jc w:val="center"/>
              <w:rPr>
                <w:rFonts w:ascii="Arial Narrow" w:hAnsi="Arial Narrow" w:cs="Segoe UI"/>
                <w:color w:val="000000"/>
                <w:sz w:val="20"/>
                <w:szCs w:val="20"/>
                <w:lang w:eastAsia="es-CR"/>
              </w:rPr>
            </w:pPr>
            <w:r w:rsidRPr="00132A44">
              <w:rPr>
                <w:rFonts w:ascii="Arial Narrow" w:hAnsi="Arial Narrow" w:cs="Segoe UI"/>
                <w:color w:val="000000"/>
                <w:sz w:val="20"/>
                <w:szCs w:val="20"/>
                <w:lang w:eastAsia="es-CR"/>
              </w:rPr>
              <w:t>100.00 %</w:t>
            </w:r>
          </w:p>
        </w:tc>
      </w:tr>
      <w:tr w:rsidR="001A1178" w:rsidRPr="0080354E" w14:paraId="685076CE" w14:textId="77777777" w:rsidTr="00322D9B">
        <w:trPr>
          <w:trHeight w:val="301"/>
        </w:trPr>
        <w:tc>
          <w:tcPr>
            <w:tcW w:w="359" w:type="dxa"/>
            <w:tcBorders>
              <w:top w:val="nil"/>
              <w:left w:val="single" w:sz="4" w:space="0" w:color="auto"/>
              <w:bottom w:val="single" w:sz="4" w:space="0" w:color="auto"/>
              <w:right w:val="nil"/>
            </w:tcBorders>
            <w:shd w:val="clear" w:color="auto" w:fill="FFFFFF" w:themeFill="background1"/>
            <w:vAlign w:val="center"/>
            <w:hideMark/>
          </w:tcPr>
          <w:p w14:paraId="14DFD71A" w14:textId="77777777" w:rsidR="001A1178" w:rsidRPr="00132A44" w:rsidRDefault="2B97F9B0" w:rsidP="00322D9B">
            <w:pPr>
              <w:jc w:val="center"/>
              <w:rPr>
                <w:rFonts w:ascii="Arial Narrow" w:hAnsi="Arial Narrow" w:cs="Segoe UI"/>
                <w:color w:val="000000"/>
                <w:sz w:val="20"/>
                <w:szCs w:val="20"/>
                <w:lang w:eastAsia="es-CR"/>
              </w:rPr>
            </w:pPr>
            <w:r w:rsidRPr="7F5490C3">
              <w:rPr>
                <w:rFonts w:ascii="Arial Narrow" w:hAnsi="Arial Narrow" w:cs="Segoe UI"/>
                <w:color w:val="000000" w:themeColor="text1"/>
                <w:sz w:val="20"/>
                <w:szCs w:val="20"/>
                <w:lang w:eastAsia="es-CR"/>
              </w:rPr>
              <w:t>13</w:t>
            </w:r>
          </w:p>
        </w:tc>
        <w:tc>
          <w:tcPr>
            <w:tcW w:w="5448" w:type="dxa"/>
            <w:tcBorders>
              <w:top w:val="nil"/>
              <w:left w:val="single" w:sz="4" w:space="0" w:color="auto"/>
              <w:bottom w:val="single" w:sz="4" w:space="0" w:color="auto"/>
              <w:right w:val="single" w:sz="4" w:space="0" w:color="auto"/>
            </w:tcBorders>
            <w:shd w:val="clear" w:color="auto" w:fill="auto"/>
            <w:noWrap/>
            <w:vAlign w:val="bottom"/>
            <w:hideMark/>
          </w:tcPr>
          <w:p w14:paraId="6A4BBC9C" w14:textId="77777777" w:rsidR="001A1178" w:rsidRPr="00132A44" w:rsidRDefault="001A1178" w:rsidP="00271D70">
            <w:pPr>
              <w:rPr>
                <w:rFonts w:ascii="Arial Narrow" w:hAnsi="Arial Narrow" w:cs="Calibri"/>
                <w:color w:val="000000"/>
                <w:sz w:val="20"/>
                <w:szCs w:val="20"/>
                <w:lang w:eastAsia="es-CR"/>
              </w:rPr>
            </w:pPr>
            <w:r w:rsidRPr="00132A44">
              <w:rPr>
                <w:rFonts w:ascii="Arial Narrow" w:hAnsi="Arial Narrow" w:cs="Calibri"/>
                <w:color w:val="000000"/>
                <w:sz w:val="20"/>
                <w:szCs w:val="20"/>
                <w:lang w:eastAsia="es-CR"/>
              </w:rPr>
              <w:t>SALA CONSTITUCIONAL</w:t>
            </w:r>
          </w:p>
        </w:tc>
        <w:tc>
          <w:tcPr>
            <w:tcW w:w="1958" w:type="dxa"/>
            <w:tcBorders>
              <w:top w:val="nil"/>
              <w:left w:val="nil"/>
              <w:bottom w:val="single" w:sz="4" w:space="0" w:color="auto"/>
              <w:right w:val="single" w:sz="4" w:space="0" w:color="auto"/>
            </w:tcBorders>
            <w:shd w:val="clear" w:color="auto" w:fill="FFFFFF" w:themeFill="background1"/>
            <w:vAlign w:val="center"/>
            <w:hideMark/>
          </w:tcPr>
          <w:p w14:paraId="768FA767" w14:textId="77777777" w:rsidR="001A1178" w:rsidRPr="00132A44" w:rsidRDefault="001A1178" w:rsidP="00271D70">
            <w:pPr>
              <w:jc w:val="center"/>
              <w:rPr>
                <w:rFonts w:ascii="Arial Narrow" w:hAnsi="Arial Narrow" w:cs="Segoe UI"/>
                <w:color w:val="000000"/>
                <w:sz w:val="20"/>
                <w:szCs w:val="20"/>
                <w:lang w:eastAsia="es-CR"/>
              </w:rPr>
            </w:pPr>
            <w:r w:rsidRPr="00132A44">
              <w:rPr>
                <w:rFonts w:ascii="Arial Narrow" w:hAnsi="Arial Narrow" w:cs="Segoe UI"/>
                <w:color w:val="000000"/>
                <w:sz w:val="20"/>
                <w:szCs w:val="20"/>
                <w:lang w:eastAsia="es-CR"/>
              </w:rPr>
              <w:t>2</w:t>
            </w:r>
          </w:p>
        </w:tc>
        <w:tc>
          <w:tcPr>
            <w:tcW w:w="1161" w:type="dxa"/>
            <w:tcBorders>
              <w:top w:val="nil"/>
              <w:left w:val="nil"/>
              <w:bottom w:val="single" w:sz="4" w:space="0" w:color="auto"/>
              <w:right w:val="single" w:sz="4" w:space="0" w:color="auto"/>
            </w:tcBorders>
            <w:shd w:val="clear" w:color="auto" w:fill="FFFFFF" w:themeFill="background1"/>
            <w:vAlign w:val="center"/>
            <w:hideMark/>
          </w:tcPr>
          <w:p w14:paraId="0016087E" w14:textId="77777777" w:rsidR="001A1178" w:rsidRPr="00132A44" w:rsidRDefault="001A1178" w:rsidP="00271D70">
            <w:pPr>
              <w:jc w:val="center"/>
              <w:rPr>
                <w:rFonts w:ascii="Arial Narrow" w:hAnsi="Arial Narrow" w:cs="Segoe UI"/>
                <w:color w:val="000000"/>
                <w:sz w:val="20"/>
                <w:szCs w:val="20"/>
                <w:lang w:eastAsia="es-CR"/>
              </w:rPr>
            </w:pPr>
            <w:r w:rsidRPr="00132A44">
              <w:rPr>
                <w:rFonts w:ascii="Arial Narrow" w:hAnsi="Arial Narrow" w:cs="Segoe UI"/>
                <w:color w:val="000000"/>
                <w:sz w:val="20"/>
                <w:szCs w:val="20"/>
                <w:lang w:eastAsia="es-CR"/>
              </w:rPr>
              <w:t>100.00 %</w:t>
            </w:r>
          </w:p>
        </w:tc>
      </w:tr>
      <w:tr w:rsidR="001A1178" w:rsidRPr="0080354E" w14:paraId="6187DE18" w14:textId="77777777" w:rsidTr="00322D9B">
        <w:trPr>
          <w:trHeight w:val="301"/>
        </w:trPr>
        <w:tc>
          <w:tcPr>
            <w:tcW w:w="359" w:type="dxa"/>
            <w:tcBorders>
              <w:top w:val="nil"/>
              <w:left w:val="single" w:sz="4" w:space="0" w:color="auto"/>
              <w:bottom w:val="single" w:sz="4" w:space="0" w:color="auto"/>
              <w:right w:val="nil"/>
            </w:tcBorders>
            <w:shd w:val="clear" w:color="auto" w:fill="FFFFFF" w:themeFill="background1"/>
            <w:vAlign w:val="center"/>
            <w:hideMark/>
          </w:tcPr>
          <w:p w14:paraId="71EA9D0B" w14:textId="77777777" w:rsidR="001A1178" w:rsidRPr="00132A44" w:rsidRDefault="2B97F9B0" w:rsidP="00322D9B">
            <w:pPr>
              <w:jc w:val="center"/>
              <w:rPr>
                <w:rFonts w:ascii="Arial Narrow" w:hAnsi="Arial Narrow" w:cs="Segoe UI"/>
                <w:color w:val="000000"/>
                <w:sz w:val="20"/>
                <w:szCs w:val="20"/>
                <w:lang w:eastAsia="es-CR"/>
              </w:rPr>
            </w:pPr>
            <w:r w:rsidRPr="7F5490C3">
              <w:rPr>
                <w:rFonts w:ascii="Arial Narrow" w:hAnsi="Arial Narrow" w:cs="Segoe UI"/>
                <w:color w:val="000000" w:themeColor="text1"/>
                <w:sz w:val="20"/>
                <w:szCs w:val="20"/>
                <w:lang w:eastAsia="es-CR"/>
              </w:rPr>
              <w:t>14</w:t>
            </w:r>
          </w:p>
        </w:tc>
        <w:tc>
          <w:tcPr>
            <w:tcW w:w="5448" w:type="dxa"/>
            <w:tcBorders>
              <w:top w:val="nil"/>
              <w:left w:val="single" w:sz="4" w:space="0" w:color="auto"/>
              <w:bottom w:val="single" w:sz="4" w:space="0" w:color="auto"/>
              <w:right w:val="single" w:sz="4" w:space="0" w:color="auto"/>
            </w:tcBorders>
            <w:shd w:val="clear" w:color="auto" w:fill="auto"/>
            <w:noWrap/>
            <w:vAlign w:val="bottom"/>
            <w:hideMark/>
          </w:tcPr>
          <w:p w14:paraId="50979F2A" w14:textId="77777777" w:rsidR="001A1178" w:rsidRPr="00132A44" w:rsidRDefault="001A1178" w:rsidP="00271D70">
            <w:pPr>
              <w:rPr>
                <w:rFonts w:ascii="Arial Narrow" w:hAnsi="Arial Narrow" w:cs="Calibri"/>
                <w:color w:val="000000"/>
                <w:sz w:val="20"/>
                <w:szCs w:val="20"/>
                <w:lang w:eastAsia="es-CR"/>
              </w:rPr>
            </w:pPr>
            <w:r w:rsidRPr="00132A44">
              <w:rPr>
                <w:rFonts w:ascii="Arial Narrow" w:hAnsi="Arial Narrow" w:cs="Calibri"/>
                <w:color w:val="000000"/>
                <w:sz w:val="20"/>
                <w:szCs w:val="20"/>
                <w:lang w:eastAsia="es-CR"/>
              </w:rPr>
              <w:t>SALA PRIMERA</w:t>
            </w:r>
          </w:p>
        </w:tc>
        <w:tc>
          <w:tcPr>
            <w:tcW w:w="1958" w:type="dxa"/>
            <w:tcBorders>
              <w:top w:val="nil"/>
              <w:left w:val="nil"/>
              <w:bottom w:val="single" w:sz="4" w:space="0" w:color="auto"/>
              <w:right w:val="single" w:sz="4" w:space="0" w:color="auto"/>
            </w:tcBorders>
            <w:shd w:val="clear" w:color="auto" w:fill="FFFFFF" w:themeFill="background1"/>
            <w:vAlign w:val="center"/>
            <w:hideMark/>
          </w:tcPr>
          <w:p w14:paraId="63C1E4F3" w14:textId="77777777" w:rsidR="001A1178" w:rsidRPr="00132A44" w:rsidRDefault="001A1178" w:rsidP="00271D70">
            <w:pPr>
              <w:jc w:val="center"/>
              <w:rPr>
                <w:rFonts w:ascii="Arial Narrow" w:hAnsi="Arial Narrow" w:cs="Segoe UI"/>
                <w:color w:val="000000"/>
                <w:sz w:val="20"/>
                <w:szCs w:val="20"/>
                <w:lang w:eastAsia="es-CR"/>
              </w:rPr>
            </w:pPr>
            <w:r w:rsidRPr="00132A44">
              <w:rPr>
                <w:rFonts w:ascii="Arial Narrow" w:hAnsi="Arial Narrow" w:cs="Segoe UI"/>
                <w:color w:val="000000"/>
                <w:sz w:val="20"/>
                <w:szCs w:val="20"/>
                <w:lang w:eastAsia="es-CR"/>
              </w:rPr>
              <w:t>1</w:t>
            </w:r>
          </w:p>
        </w:tc>
        <w:tc>
          <w:tcPr>
            <w:tcW w:w="1161" w:type="dxa"/>
            <w:tcBorders>
              <w:top w:val="nil"/>
              <w:left w:val="nil"/>
              <w:bottom w:val="single" w:sz="4" w:space="0" w:color="auto"/>
              <w:right w:val="single" w:sz="4" w:space="0" w:color="auto"/>
            </w:tcBorders>
            <w:shd w:val="clear" w:color="auto" w:fill="FFFFFF" w:themeFill="background1"/>
            <w:vAlign w:val="center"/>
            <w:hideMark/>
          </w:tcPr>
          <w:p w14:paraId="20791E30" w14:textId="77777777" w:rsidR="001A1178" w:rsidRPr="00132A44" w:rsidRDefault="001A1178" w:rsidP="00271D70">
            <w:pPr>
              <w:jc w:val="center"/>
              <w:rPr>
                <w:rFonts w:ascii="Arial Narrow" w:hAnsi="Arial Narrow" w:cs="Segoe UI"/>
                <w:color w:val="000000"/>
                <w:sz w:val="20"/>
                <w:szCs w:val="20"/>
                <w:lang w:eastAsia="es-CR"/>
              </w:rPr>
            </w:pPr>
            <w:r w:rsidRPr="00132A44">
              <w:rPr>
                <w:rFonts w:ascii="Arial Narrow" w:hAnsi="Arial Narrow" w:cs="Segoe UI"/>
                <w:color w:val="000000"/>
                <w:sz w:val="20"/>
                <w:szCs w:val="20"/>
                <w:lang w:eastAsia="es-CR"/>
              </w:rPr>
              <w:t>100.00 %</w:t>
            </w:r>
          </w:p>
        </w:tc>
      </w:tr>
      <w:tr w:rsidR="001A1178" w:rsidRPr="0080354E" w14:paraId="1C658FB0" w14:textId="77777777" w:rsidTr="00322D9B">
        <w:trPr>
          <w:trHeight w:val="301"/>
        </w:trPr>
        <w:tc>
          <w:tcPr>
            <w:tcW w:w="359" w:type="dxa"/>
            <w:tcBorders>
              <w:top w:val="nil"/>
              <w:left w:val="single" w:sz="4" w:space="0" w:color="auto"/>
              <w:bottom w:val="single" w:sz="4" w:space="0" w:color="auto"/>
              <w:right w:val="nil"/>
            </w:tcBorders>
            <w:shd w:val="clear" w:color="auto" w:fill="FFFFFF" w:themeFill="background1"/>
            <w:vAlign w:val="center"/>
            <w:hideMark/>
          </w:tcPr>
          <w:p w14:paraId="34602393" w14:textId="77777777" w:rsidR="001A1178" w:rsidRPr="00132A44" w:rsidRDefault="2B97F9B0" w:rsidP="00322D9B">
            <w:pPr>
              <w:jc w:val="center"/>
              <w:rPr>
                <w:rFonts w:ascii="Arial Narrow" w:hAnsi="Arial Narrow" w:cs="Segoe UI"/>
                <w:color w:val="000000"/>
                <w:sz w:val="20"/>
                <w:szCs w:val="20"/>
                <w:lang w:eastAsia="es-CR"/>
              </w:rPr>
            </w:pPr>
            <w:r w:rsidRPr="7F5490C3">
              <w:rPr>
                <w:rFonts w:ascii="Arial Narrow" w:hAnsi="Arial Narrow" w:cs="Segoe UI"/>
                <w:color w:val="000000" w:themeColor="text1"/>
                <w:sz w:val="20"/>
                <w:szCs w:val="20"/>
                <w:lang w:eastAsia="es-CR"/>
              </w:rPr>
              <w:t>15</w:t>
            </w:r>
          </w:p>
        </w:tc>
        <w:tc>
          <w:tcPr>
            <w:tcW w:w="5448" w:type="dxa"/>
            <w:tcBorders>
              <w:top w:val="nil"/>
              <w:left w:val="single" w:sz="4" w:space="0" w:color="auto"/>
              <w:bottom w:val="single" w:sz="4" w:space="0" w:color="auto"/>
              <w:right w:val="single" w:sz="4" w:space="0" w:color="auto"/>
            </w:tcBorders>
            <w:shd w:val="clear" w:color="auto" w:fill="auto"/>
            <w:noWrap/>
            <w:vAlign w:val="bottom"/>
            <w:hideMark/>
          </w:tcPr>
          <w:p w14:paraId="6741849C" w14:textId="77777777" w:rsidR="001A1178" w:rsidRPr="00132A44" w:rsidRDefault="001A1178" w:rsidP="00271D70">
            <w:pPr>
              <w:rPr>
                <w:rFonts w:ascii="Arial Narrow" w:hAnsi="Arial Narrow" w:cs="Calibri"/>
                <w:color w:val="000000"/>
                <w:sz w:val="20"/>
                <w:szCs w:val="20"/>
                <w:lang w:eastAsia="es-CR"/>
              </w:rPr>
            </w:pPr>
            <w:r w:rsidRPr="00132A44">
              <w:rPr>
                <w:rFonts w:ascii="Arial Narrow" w:hAnsi="Arial Narrow" w:cs="Calibri"/>
                <w:color w:val="000000"/>
                <w:sz w:val="20"/>
                <w:szCs w:val="20"/>
                <w:lang w:eastAsia="es-CR"/>
              </w:rPr>
              <w:t>SALA SEGUNDA</w:t>
            </w:r>
          </w:p>
        </w:tc>
        <w:tc>
          <w:tcPr>
            <w:tcW w:w="1958" w:type="dxa"/>
            <w:tcBorders>
              <w:top w:val="nil"/>
              <w:left w:val="nil"/>
              <w:bottom w:val="single" w:sz="4" w:space="0" w:color="auto"/>
              <w:right w:val="single" w:sz="4" w:space="0" w:color="auto"/>
            </w:tcBorders>
            <w:shd w:val="clear" w:color="auto" w:fill="FFFFFF" w:themeFill="background1"/>
            <w:vAlign w:val="center"/>
            <w:hideMark/>
          </w:tcPr>
          <w:p w14:paraId="57893614" w14:textId="77777777" w:rsidR="001A1178" w:rsidRPr="00132A44" w:rsidRDefault="001A1178" w:rsidP="00271D70">
            <w:pPr>
              <w:jc w:val="center"/>
              <w:rPr>
                <w:rFonts w:ascii="Arial Narrow" w:hAnsi="Arial Narrow" w:cs="Segoe UI"/>
                <w:color w:val="000000"/>
                <w:sz w:val="20"/>
                <w:szCs w:val="20"/>
                <w:lang w:eastAsia="es-CR"/>
              </w:rPr>
            </w:pPr>
            <w:r w:rsidRPr="00132A44">
              <w:rPr>
                <w:rFonts w:ascii="Arial Narrow" w:hAnsi="Arial Narrow" w:cs="Segoe UI"/>
                <w:color w:val="000000"/>
                <w:sz w:val="20"/>
                <w:szCs w:val="20"/>
                <w:lang w:eastAsia="es-CR"/>
              </w:rPr>
              <w:t>1</w:t>
            </w:r>
          </w:p>
        </w:tc>
        <w:tc>
          <w:tcPr>
            <w:tcW w:w="1161" w:type="dxa"/>
            <w:tcBorders>
              <w:top w:val="nil"/>
              <w:left w:val="nil"/>
              <w:bottom w:val="single" w:sz="4" w:space="0" w:color="auto"/>
              <w:right w:val="single" w:sz="4" w:space="0" w:color="auto"/>
            </w:tcBorders>
            <w:shd w:val="clear" w:color="auto" w:fill="FFFFFF" w:themeFill="background1"/>
            <w:vAlign w:val="center"/>
            <w:hideMark/>
          </w:tcPr>
          <w:p w14:paraId="45EC7C33" w14:textId="77777777" w:rsidR="001A1178" w:rsidRPr="00132A44" w:rsidRDefault="001A1178" w:rsidP="00271D70">
            <w:pPr>
              <w:jc w:val="center"/>
              <w:rPr>
                <w:rFonts w:ascii="Arial Narrow" w:hAnsi="Arial Narrow" w:cs="Segoe UI"/>
                <w:color w:val="000000"/>
                <w:sz w:val="20"/>
                <w:szCs w:val="20"/>
                <w:lang w:eastAsia="es-CR"/>
              </w:rPr>
            </w:pPr>
            <w:r w:rsidRPr="00132A44">
              <w:rPr>
                <w:rFonts w:ascii="Arial Narrow" w:hAnsi="Arial Narrow" w:cs="Segoe UI"/>
                <w:color w:val="000000"/>
                <w:sz w:val="20"/>
                <w:szCs w:val="20"/>
                <w:lang w:eastAsia="es-CR"/>
              </w:rPr>
              <w:t>100.00 %</w:t>
            </w:r>
          </w:p>
        </w:tc>
      </w:tr>
      <w:tr w:rsidR="001A1178" w:rsidRPr="0080354E" w14:paraId="373AA463" w14:textId="77777777" w:rsidTr="00322D9B">
        <w:trPr>
          <w:trHeight w:val="301"/>
        </w:trPr>
        <w:tc>
          <w:tcPr>
            <w:tcW w:w="359" w:type="dxa"/>
            <w:tcBorders>
              <w:top w:val="nil"/>
              <w:left w:val="single" w:sz="4" w:space="0" w:color="auto"/>
              <w:bottom w:val="single" w:sz="4" w:space="0" w:color="auto"/>
              <w:right w:val="nil"/>
            </w:tcBorders>
            <w:shd w:val="clear" w:color="auto" w:fill="FFFFFF" w:themeFill="background1"/>
            <w:vAlign w:val="center"/>
            <w:hideMark/>
          </w:tcPr>
          <w:p w14:paraId="7F4620A2" w14:textId="77777777" w:rsidR="001A1178" w:rsidRPr="00132A44" w:rsidRDefault="2B97F9B0" w:rsidP="00322D9B">
            <w:pPr>
              <w:jc w:val="center"/>
              <w:rPr>
                <w:rFonts w:ascii="Arial Narrow" w:hAnsi="Arial Narrow" w:cs="Segoe UI"/>
                <w:color w:val="000000"/>
                <w:sz w:val="20"/>
                <w:szCs w:val="20"/>
                <w:lang w:eastAsia="es-CR"/>
              </w:rPr>
            </w:pPr>
            <w:r w:rsidRPr="7F5490C3">
              <w:rPr>
                <w:rFonts w:ascii="Arial Narrow" w:hAnsi="Arial Narrow" w:cs="Segoe UI"/>
                <w:color w:val="000000" w:themeColor="text1"/>
                <w:sz w:val="20"/>
                <w:szCs w:val="20"/>
                <w:lang w:eastAsia="es-CR"/>
              </w:rPr>
              <w:t>16</w:t>
            </w:r>
          </w:p>
        </w:tc>
        <w:tc>
          <w:tcPr>
            <w:tcW w:w="5448" w:type="dxa"/>
            <w:tcBorders>
              <w:top w:val="nil"/>
              <w:left w:val="single" w:sz="4" w:space="0" w:color="auto"/>
              <w:bottom w:val="single" w:sz="4" w:space="0" w:color="auto"/>
              <w:right w:val="single" w:sz="4" w:space="0" w:color="auto"/>
            </w:tcBorders>
            <w:shd w:val="clear" w:color="auto" w:fill="auto"/>
            <w:noWrap/>
            <w:vAlign w:val="bottom"/>
            <w:hideMark/>
          </w:tcPr>
          <w:p w14:paraId="405EF4EA" w14:textId="77777777" w:rsidR="001A1178" w:rsidRPr="00132A44" w:rsidRDefault="001A1178" w:rsidP="00271D70">
            <w:pPr>
              <w:rPr>
                <w:rFonts w:ascii="Arial Narrow" w:hAnsi="Arial Narrow" w:cs="Calibri"/>
                <w:color w:val="000000"/>
                <w:sz w:val="20"/>
                <w:szCs w:val="20"/>
                <w:lang w:eastAsia="es-CR"/>
              </w:rPr>
            </w:pPr>
            <w:r w:rsidRPr="00132A44">
              <w:rPr>
                <w:rFonts w:ascii="Arial Narrow" w:hAnsi="Arial Narrow" w:cs="Calibri"/>
                <w:color w:val="000000"/>
                <w:sz w:val="20"/>
                <w:szCs w:val="20"/>
                <w:lang w:eastAsia="es-CR"/>
              </w:rPr>
              <w:t>SALA TERCERA</w:t>
            </w:r>
          </w:p>
        </w:tc>
        <w:tc>
          <w:tcPr>
            <w:tcW w:w="1958" w:type="dxa"/>
            <w:tcBorders>
              <w:top w:val="nil"/>
              <w:left w:val="nil"/>
              <w:bottom w:val="single" w:sz="4" w:space="0" w:color="auto"/>
              <w:right w:val="single" w:sz="4" w:space="0" w:color="auto"/>
            </w:tcBorders>
            <w:shd w:val="clear" w:color="auto" w:fill="FFFFFF" w:themeFill="background1"/>
            <w:vAlign w:val="center"/>
            <w:hideMark/>
          </w:tcPr>
          <w:p w14:paraId="15E69DD6" w14:textId="77777777" w:rsidR="001A1178" w:rsidRPr="00132A44" w:rsidRDefault="001A1178" w:rsidP="00271D70">
            <w:pPr>
              <w:jc w:val="center"/>
              <w:rPr>
                <w:rFonts w:ascii="Arial Narrow" w:hAnsi="Arial Narrow" w:cs="Segoe UI"/>
                <w:color w:val="000000"/>
                <w:sz w:val="20"/>
                <w:szCs w:val="20"/>
                <w:lang w:eastAsia="es-CR"/>
              </w:rPr>
            </w:pPr>
            <w:r w:rsidRPr="00132A44">
              <w:rPr>
                <w:rFonts w:ascii="Arial Narrow" w:hAnsi="Arial Narrow" w:cs="Segoe UI"/>
                <w:color w:val="000000"/>
                <w:sz w:val="20"/>
                <w:szCs w:val="20"/>
                <w:lang w:eastAsia="es-CR"/>
              </w:rPr>
              <w:t>1</w:t>
            </w:r>
          </w:p>
        </w:tc>
        <w:tc>
          <w:tcPr>
            <w:tcW w:w="1161" w:type="dxa"/>
            <w:tcBorders>
              <w:top w:val="nil"/>
              <w:left w:val="nil"/>
              <w:bottom w:val="single" w:sz="4" w:space="0" w:color="auto"/>
              <w:right w:val="single" w:sz="4" w:space="0" w:color="auto"/>
            </w:tcBorders>
            <w:shd w:val="clear" w:color="auto" w:fill="FFFFFF" w:themeFill="background1"/>
            <w:vAlign w:val="center"/>
            <w:hideMark/>
          </w:tcPr>
          <w:p w14:paraId="4B41D2A3" w14:textId="77777777" w:rsidR="001A1178" w:rsidRPr="00132A44" w:rsidRDefault="001A1178" w:rsidP="00271D70">
            <w:pPr>
              <w:jc w:val="center"/>
              <w:rPr>
                <w:rFonts w:ascii="Arial Narrow" w:hAnsi="Arial Narrow" w:cs="Segoe UI"/>
                <w:color w:val="000000"/>
                <w:sz w:val="20"/>
                <w:szCs w:val="20"/>
                <w:lang w:eastAsia="es-CR"/>
              </w:rPr>
            </w:pPr>
            <w:r w:rsidRPr="00132A44">
              <w:rPr>
                <w:rFonts w:ascii="Arial Narrow" w:hAnsi="Arial Narrow" w:cs="Segoe UI"/>
                <w:color w:val="000000"/>
                <w:sz w:val="20"/>
                <w:szCs w:val="20"/>
                <w:lang w:eastAsia="es-CR"/>
              </w:rPr>
              <w:t>100.00 %</w:t>
            </w:r>
          </w:p>
        </w:tc>
      </w:tr>
      <w:tr w:rsidR="001A1178" w:rsidRPr="0080354E" w14:paraId="1DADF4D4" w14:textId="77777777" w:rsidTr="00322D9B">
        <w:trPr>
          <w:trHeight w:val="301"/>
        </w:trPr>
        <w:tc>
          <w:tcPr>
            <w:tcW w:w="359" w:type="dxa"/>
            <w:tcBorders>
              <w:top w:val="nil"/>
              <w:left w:val="single" w:sz="4" w:space="0" w:color="auto"/>
              <w:bottom w:val="single" w:sz="4" w:space="0" w:color="auto"/>
              <w:right w:val="nil"/>
            </w:tcBorders>
            <w:shd w:val="clear" w:color="auto" w:fill="FFFFFF" w:themeFill="background1"/>
            <w:vAlign w:val="center"/>
            <w:hideMark/>
          </w:tcPr>
          <w:p w14:paraId="5FC13664" w14:textId="77777777" w:rsidR="001A1178" w:rsidRPr="00132A44" w:rsidRDefault="2B97F9B0" w:rsidP="00322D9B">
            <w:pPr>
              <w:jc w:val="center"/>
              <w:rPr>
                <w:rFonts w:ascii="Arial Narrow" w:hAnsi="Arial Narrow" w:cs="Segoe UI"/>
                <w:color w:val="000000"/>
                <w:sz w:val="20"/>
                <w:szCs w:val="20"/>
                <w:lang w:eastAsia="es-CR"/>
              </w:rPr>
            </w:pPr>
            <w:r w:rsidRPr="7F5490C3">
              <w:rPr>
                <w:rFonts w:ascii="Arial Narrow" w:hAnsi="Arial Narrow" w:cs="Segoe UI"/>
                <w:color w:val="000000" w:themeColor="text1"/>
                <w:sz w:val="20"/>
                <w:szCs w:val="20"/>
                <w:lang w:eastAsia="es-CR"/>
              </w:rPr>
              <w:t>17</w:t>
            </w:r>
          </w:p>
        </w:tc>
        <w:tc>
          <w:tcPr>
            <w:tcW w:w="5448" w:type="dxa"/>
            <w:tcBorders>
              <w:top w:val="nil"/>
              <w:left w:val="single" w:sz="4" w:space="0" w:color="auto"/>
              <w:bottom w:val="single" w:sz="4" w:space="0" w:color="auto"/>
              <w:right w:val="single" w:sz="4" w:space="0" w:color="auto"/>
            </w:tcBorders>
            <w:shd w:val="clear" w:color="auto" w:fill="auto"/>
            <w:noWrap/>
            <w:vAlign w:val="bottom"/>
            <w:hideMark/>
          </w:tcPr>
          <w:p w14:paraId="12507EA9" w14:textId="77777777" w:rsidR="001A1178" w:rsidRPr="00132A44" w:rsidRDefault="001A1178" w:rsidP="00271D70">
            <w:pPr>
              <w:rPr>
                <w:rFonts w:ascii="Arial Narrow" w:hAnsi="Arial Narrow" w:cs="Calibri"/>
                <w:color w:val="000000"/>
                <w:sz w:val="20"/>
                <w:szCs w:val="20"/>
                <w:lang w:eastAsia="es-CR"/>
              </w:rPr>
            </w:pPr>
            <w:r w:rsidRPr="00132A44">
              <w:rPr>
                <w:rFonts w:ascii="Arial Narrow" w:hAnsi="Arial Narrow" w:cs="Calibri"/>
                <w:color w:val="000000"/>
                <w:sz w:val="20"/>
                <w:szCs w:val="20"/>
                <w:lang w:eastAsia="es-CR"/>
              </w:rPr>
              <w:t>SECRETARIA TECNICA DE ETICA Y VALORES</w:t>
            </w:r>
          </w:p>
        </w:tc>
        <w:tc>
          <w:tcPr>
            <w:tcW w:w="1958" w:type="dxa"/>
            <w:tcBorders>
              <w:top w:val="nil"/>
              <w:left w:val="nil"/>
              <w:bottom w:val="single" w:sz="4" w:space="0" w:color="auto"/>
              <w:right w:val="single" w:sz="4" w:space="0" w:color="auto"/>
            </w:tcBorders>
            <w:shd w:val="clear" w:color="auto" w:fill="FFFFFF" w:themeFill="background1"/>
            <w:vAlign w:val="center"/>
            <w:hideMark/>
          </w:tcPr>
          <w:p w14:paraId="3517D530" w14:textId="77777777" w:rsidR="001A1178" w:rsidRPr="00132A44" w:rsidRDefault="001A1178" w:rsidP="00271D70">
            <w:pPr>
              <w:jc w:val="center"/>
              <w:rPr>
                <w:rFonts w:ascii="Arial Narrow" w:hAnsi="Arial Narrow" w:cs="Segoe UI"/>
                <w:color w:val="000000"/>
                <w:sz w:val="20"/>
                <w:szCs w:val="20"/>
                <w:lang w:eastAsia="es-CR"/>
              </w:rPr>
            </w:pPr>
            <w:r w:rsidRPr="00132A44">
              <w:rPr>
                <w:rFonts w:ascii="Arial Narrow" w:hAnsi="Arial Narrow" w:cs="Segoe UI"/>
                <w:color w:val="000000"/>
                <w:sz w:val="20"/>
                <w:szCs w:val="20"/>
                <w:lang w:eastAsia="es-CR"/>
              </w:rPr>
              <w:t>1</w:t>
            </w:r>
          </w:p>
        </w:tc>
        <w:tc>
          <w:tcPr>
            <w:tcW w:w="1161" w:type="dxa"/>
            <w:tcBorders>
              <w:top w:val="nil"/>
              <w:left w:val="nil"/>
              <w:bottom w:val="single" w:sz="4" w:space="0" w:color="auto"/>
              <w:right w:val="single" w:sz="4" w:space="0" w:color="auto"/>
            </w:tcBorders>
            <w:shd w:val="clear" w:color="auto" w:fill="FFFFFF" w:themeFill="background1"/>
            <w:vAlign w:val="center"/>
            <w:hideMark/>
          </w:tcPr>
          <w:p w14:paraId="6E5A6A53" w14:textId="77777777" w:rsidR="001A1178" w:rsidRPr="00132A44" w:rsidRDefault="001A1178" w:rsidP="00271D70">
            <w:pPr>
              <w:jc w:val="center"/>
              <w:rPr>
                <w:rFonts w:ascii="Arial Narrow" w:hAnsi="Arial Narrow" w:cs="Segoe UI"/>
                <w:color w:val="000000"/>
                <w:sz w:val="20"/>
                <w:szCs w:val="20"/>
                <w:lang w:eastAsia="es-CR"/>
              </w:rPr>
            </w:pPr>
            <w:r w:rsidRPr="00132A44">
              <w:rPr>
                <w:rFonts w:ascii="Arial Narrow" w:hAnsi="Arial Narrow" w:cs="Segoe UI"/>
                <w:color w:val="000000"/>
                <w:sz w:val="20"/>
                <w:szCs w:val="20"/>
                <w:lang w:eastAsia="es-CR"/>
              </w:rPr>
              <w:t>100.00 %</w:t>
            </w:r>
          </w:p>
        </w:tc>
      </w:tr>
      <w:tr w:rsidR="001A1178" w:rsidRPr="0080354E" w14:paraId="3F68C72A" w14:textId="77777777" w:rsidTr="00322D9B">
        <w:trPr>
          <w:trHeight w:val="301"/>
        </w:trPr>
        <w:tc>
          <w:tcPr>
            <w:tcW w:w="359" w:type="dxa"/>
            <w:tcBorders>
              <w:top w:val="nil"/>
              <w:left w:val="single" w:sz="4" w:space="0" w:color="auto"/>
              <w:bottom w:val="single" w:sz="4" w:space="0" w:color="auto"/>
              <w:right w:val="nil"/>
            </w:tcBorders>
            <w:shd w:val="clear" w:color="auto" w:fill="FFFFFF" w:themeFill="background1"/>
            <w:vAlign w:val="center"/>
            <w:hideMark/>
          </w:tcPr>
          <w:p w14:paraId="35963A77" w14:textId="77777777" w:rsidR="001A1178" w:rsidRPr="00132A44" w:rsidRDefault="2B97F9B0" w:rsidP="00322D9B">
            <w:pPr>
              <w:jc w:val="center"/>
              <w:rPr>
                <w:rFonts w:ascii="Arial Narrow" w:hAnsi="Arial Narrow" w:cs="Segoe UI"/>
                <w:color w:val="000000"/>
                <w:sz w:val="20"/>
                <w:szCs w:val="20"/>
                <w:lang w:eastAsia="es-CR"/>
              </w:rPr>
            </w:pPr>
            <w:r w:rsidRPr="7F5490C3">
              <w:rPr>
                <w:rFonts w:ascii="Arial Narrow" w:hAnsi="Arial Narrow" w:cs="Segoe UI"/>
                <w:color w:val="000000" w:themeColor="text1"/>
                <w:sz w:val="20"/>
                <w:szCs w:val="20"/>
                <w:lang w:eastAsia="es-CR"/>
              </w:rPr>
              <w:t>18</w:t>
            </w:r>
          </w:p>
        </w:tc>
        <w:tc>
          <w:tcPr>
            <w:tcW w:w="5448" w:type="dxa"/>
            <w:tcBorders>
              <w:top w:val="nil"/>
              <w:left w:val="single" w:sz="4" w:space="0" w:color="auto"/>
              <w:bottom w:val="single" w:sz="4" w:space="0" w:color="auto"/>
              <w:right w:val="single" w:sz="4" w:space="0" w:color="auto"/>
            </w:tcBorders>
            <w:shd w:val="clear" w:color="auto" w:fill="auto"/>
            <w:noWrap/>
            <w:vAlign w:val="bottom"/>
            <w:hideMark/>
          </w:tcPr>
          <w:p w14:paraId="5F4DABB7" w14:textId="77777777" w:rsidR="001A1178" w:rsidRPr="00132A44" w:rsidRDefault="001A1178" w:rsidP="00271D70">
            <w:pPr>
              <w:rPr>
                <w:rFonts w:ascii="Arial Narrow" w:hAnsi="Arial Narrow" w:cs="Calibri"/>
                <w:color w:val="000000"/>
                <w:sz w:val="20"/>
                <w:szCs w:val="20"/>
                <w:lang w:eastAsia="es-CR"/>
              </w:rPr>
            </w:pPr>
            <w:r w:rsidRPr="00132A44">
              <w:rPr>
                <w:rFonts w:ascii="Arial Narrow" w:hAnsi="Arial Narrow" w:cs="Calibri"/>
                <w:color w:val="000000"/>
                <w:sz w:val="20"/>
                <w:szCs w:val="20"/>
                <w:lang w:eastAsia="es-CR"/>
              </w:rPr>
              <w:t>DIRECCION GENERAL</w:t>
            </w:r>
          </w:p>
        </w:tc>
        <w:tc>
          <w:tcPr>
            <w:tcW w:w="1958" w:type="dxa"/>
            <w:tcBorders>
              <w:top w:val="nil"/>
              <w:left w:val="nil"/>
              <w:bottom w:val="single" w:sz="4" w:space="0" w:color="auto"/>
              <w:right w:val="single" w:sz="4" w:space="0" w:color="auto"/>
            </w:tcBorders>
            <w:shd w:val="clear" w:color="auto" w:fill="FFFFFF" w:themeFill="background1"/>
            <w:vAlign w:val="center"/>
            <w:hideMark/>
          </w:tcPr>
          <w:p w14:paraId="41C16612" w14:textId="77777777" w:rsidR="001A1178" w:rsidRPr="00132A44" w:rsidRDefault="001A1178" w:rsidP="00271D70">
            <w:pPr>
              <w:jc w:val="center"/>
              <w:rPr>
                <w:rFonts w:ascii="Arial Narrow" w:hAnsi="Arial Narrow" w:cs="Segoe UI"/>
                <w:color w:val="000000"/>
                <w:sz w:val="20"/>
                <w:szCs w:val="20"/>
                <w:lang w:eastAsia="es-CR"/>
              </w:rPr>
            </w:pPr>
            <w:r w:rsidRPr="00132A44">
              <w:rPr>
                <w:rFonts w:ascii="Arial Narrow" w:hAnsi="Arial Narrow" w:cs="Segoe UI"/>
                <w:color w:val="000000"/>
                <w:sz w:val="20"/>
                <w:szCs w:val="20"/>
                <w:lang w:eastAsia="es-CR"/>
              </w:rPr>
              <w:t>17</w:t>
            </w:r>
          </w:p>
        </w:tc>
        <w:tc>
          <w:tcPr>
            <w:tcW w:w="1161" w:type="dxa"/>
            <w:tcBorders>
              <w:top w:val="nil"/>
              <w:left w:val="nil"/>
              <w:bottom w:val="single" w:sz="4" w:space="0" w:color="auto"/>
              <w:right w:val="single" w:sz="4" w:space="0" w:color="auto"/>
            </w:tcBorders>
            <w:shd w:val="clear" w:color="auto" w:fill="FFFFFF" w:themeFill="background1"/>
            <w:vAlign w:val="center"/>
            <w:hideMark/>
          </w:tcPr>
          <w:p w14:paraId="33758B2B" w14:textId="77777777" w:rsidR="001A1178" w:rsidRPr="00132A44" w:rsidRDefault="001A1178" w:rsidP="00271D70">
            <w:pPr>
              <w:jc w:val="center"/>
              <w:rPr>
                <w:rFonts w:ascii="Arial Narrow" w:hAnsi="Arial Narrow" w:cs="Segoe UI"/>
                <w:color w:val="000000"/>
                <w:sz w:val="20"/>
                <w:szCs w:val="20"/>
                <w:lang w:eastAsia="es-CR"/>
              </w:rPr>
            </w:pPr>
            <w:r w:rsidRPr="00132A44">
              <w:rPr>
                <w:rFonts w:ascii="Arial Narrow" w:hAnsi="Arial Narrow" w:cs="Segoe UI"/>
                <w:color w:val="000000"/>
                <w:sz w:val="20"/>
                <w:szCs w:val="20"/>
                <w:lang w:eastAsia="es-CR"/>
              </w:rPr>
              <w:t>99.94 %</w:t>
            </w:r>
          </w:p>
        </w:tc>
      </w:tr>
      <w:tr w:rsidR="001A1178" w:rsidRPr="0080354E" w14:paraId="26AE8C5E" w14:textId="77777777" w:rsidTr="00322D9B">
        <w:trPr>
          <w:trHeight w:val="301"/>
        </w:trPr>
        <w:tc>
          <w:tcPr>
            <w:tcW w:w="359" w:type="dxa"/>
            <w:tcBorders>
              <w:top w:val="nil"/>
              <w:left w:val="single" w:sz="4" w:space="0" w:color="auto"/>
              <w:bottom w:val="single" w:sz="4" w:space="0" w:color="auto"/>
              <w:right w:val="nil"/>
            </w:tcBorders>
            <w:shd w:val="clear" w:color="auto" w:fill="FFFFFF" w:themeFill="background1"/>
            <w:vAlign w:val="center"/>
            <w:hideMark/>
          </w:tcPr>
          <w:p w14:paraId="31AD683B" w14:textId="77777777" w:rsidR="001A1178" w:rsidRPr="00132A44" w:rsidRDefault="2B97F9B0" w:rsidP="00322D9B">
            <w:pPr>
              <w:jc w:val="center"/>
              <w:rPr>
                <w:rFonts w:ascii="Arial Narrow" w:hAnsi="Arial Narrow" w:cs="Segoe UI"/>
                <w:color w:val="000000"/>
                <w:sz w:val="20"/>
                <w:szCs w:val="20"/>
                <w:lang w:eastAsia="es-CR"/>
              </w:rPr>
            </w:pPr>
            <w:r w:rsidRPr="7F5490C3">
              <w:rPr>
                <w:rFonts w:ascii="Arial Narrow" w:hAnsi="Arial Narrow" w:cs="Segoe UI"/>
                <w:color w:val="000000" w:themeColor="text1"/>
                <w:sz w:val="20"/>
                <w:szCs w:val="20"/>
                <w:lang w:eastAsia="es-CR"/>
              </w:rPr>
              <w:t>19</w:t>
            </w:r>
          </w:p>
        </w:tc>
        <w:tc>
          <w:tcPr>
            <w:tcW w:w="5448" w:type="dxa"/>
            <w:tcBorders>
              <w:top w:val="nil"/>
              <w:left w:val="single" w:sz="4" w:space="0" w:color="auto"/>
              <w:bottom w:val="single" w:sz="4" w:space="0" w:color="auto"/>
              <w:right w:val="single" w:sz="4" w:space="0" w:color="auto"/>
            </w:tcBorders>
            <w:shd w:val="clear" w:color="auto" w:fill="auto"/>
            <w:noWrap/>
            <w:vAlign w:val="bottom"/>
            <w:hideMark/>
          </w:tcPr>
          <w:p w14:paraId="64846E55" w14:textId="77777777" w:rsidR="001A1178" w:rsidRPr="00132A44" w:rsidRDefault="001A1178" w:rsidP="00271D70">
            <w:pPr>
              <w:rPr>
                <w:rFonts w:ascii="Arial Narrow" w:hAnsi="Arial Narrow" w:cs="Calibri"/>
                <w:color w:val="000000"/>
                <w:sz w:val="20"/>
                <w:szCs w:val="20"/>
                <w:lang w:eastAsia="es-CR"/>
              </w:rPr>
            </w:pPr>
            <w:r w:rsidRPr="00132A44">
              <w:rPr>
                <w:rFonts w:ascii="Arial Narrow" w:hAnsi="Arial Narrow" w:cs="Calibri"/>
                <w:color w:val="000000"/>
                <w:sz w:val="20"/>
                <w:szCs w:val="20"/>
                <w:lang w:eastAsia="es-CR"/>
              </w:rPr>
              <w:t>COMISION NACIONAL PARA EL MEJORAMIENTO DE LA ADMINISTRACION DE JUSTICIA</w:t>
            </w:r>
          </w:p>
        </w:tc>
        <w:tc>
          <w:tcPr>
            <w:tcW w:w="1958" w:type="dxa"/>
            <w:tcBorders>
              <w:top w:val="nil"/>
              <w:left w:val="nil"/>
              <w:bottom w:val="single" w:sz="4" w:space="0" w:color="auto"/>
              <w:right w:val="single" w:sz="4" w:space="0" w:color="auto"/>
            </w:tcBorders>
            <w:shd w:val="clear" w:color="auto" w:fill="FFFFFF" w:themeFill="background1"/>
            <w:vAlign w:val="center"/>
            <w:hideMark/>
          </w:tcPr>
          <w:p w14:paraId="478996FC" w14:textId="77777777" w:rsidR="001A1178" w:rsidRPr="00132A44" w:rsidRDefault="001A1178" w:rsidP="00271D70">
            <w:pPr>
              <w:jc w:val="center"/>
              <w:rPr>
                <w:rFonts w:ascii="Arial Narrow" w:hAnsi="Arial Narrow" w:cs="Segoe UI"/>
                <w:color w:val="000000"/>
                <w:sz w:val="20"/>
                <w:szCs w:val="20"/>
                <w:lang w:eastAsia="es-CR"/>
              </w:rPr>
            </w:pPr>
            <w:r w:rsidRPr="00132A44">
              <w:rPr>
                <w:rFonts w:ascii="Arial Narrow" w:hAnsi="Arial Narrow" w:cs="Segoe UI"/>
                <w:color w:val="000000"/>
                <w:sz w:val="20"/>
                <w:szCs w:val="20"/>
                <w:lang w:eastAsia="es-CR"/>
              </w:rPr>
              <w:t>3</w:t>
            </w:r>
          </w:p>
        </w:tc>
        <w:tc>
          <w:tcPr>
            <w:tcW w:w="1161" w:type="dxa"/>
            <w:tcBorders>
              <w:top w:val="nil"/>
              <w:left w:val="nil"/>
              <w:bottom w:val="single" w:sz="4" w:space="0" w:color="auto"/>
              <w:right w:val="single" w:sz="4" w:space="0" w:color="auto"/>
            </w:tcBorders>
            <w:shd w:val="clear" w:color="auto" w:fill="FFFFFF" w:themeFill="background1"/>
            <w:vAlign w:val="center"/>
            <w:hideMark/>
          </w:tcPr>
          <w:p w14:paraId="04720ECD" w14:textId="77777777" w:rsidR="001A1178" w:rsidRPr="00132A44" w:rsidRDefault="001A1178" w:rsidP="00271D70">
            <w:pPr>
              <w:jc w:val="center"/>
              <w:rPr>
                <w:rFonts w:ascii="Arial Narrow" w:hAnsi="Arial Narrow" w:cs="Segoe UI"/>
                <w:color w:val="000000"/>
                <w:sz w:val="20"/>
                <w:szCs w:val="20"/>
                <w:lang w:eastAsia="es-CR"/>
              </w:rPr>
            </w:pPr>
            <w:r w:rsidRPr="00132A44">
              <w:rPr>
                <w:rFonts w:ascii="Arial Narrow" w:hAnsi="Arial Narrow" w:cs="Segoe UI"/>
                <w:color w:val="000000"/>
                <w:sz w:val="20"/>
                <w:szCs w:val="20"/>
                <w:lang w:eastAsia="es-CR"/>
              </w:rPr>
              <w:t>99.67 %</w:t>
            </w:r>
          </w:p>
        </w:tc>
      </w:tr>
      <w:tr w:rsidR="001A1178" w:rsidRPr="0080354E" w14:paraId="2A090AF7" w14:textId="77777777" w:rsidTr="00322D9B">
        <w:trPr>
          <w:trHeight w:val="301"/>
        </w:trPr>
        <w:tc>
          <w:tcPr>
            <w:tcW w:w="359" w:type="dxa"/>
            <w:tcBorders>
              <w:top w:val="nil"/>
              <w:left w:val="single" w:sz="4" w:space="0" w:color="auto"/>
              <w:bottom w:val="single" w:sz="4" w:space="0" w:color="auto"/>
              <w:right w:val="nil"/>
            </w:tcBorders>
            <w:shd w:val="clear" w:color="auto" w:fill="FFFFFF" w:themeFill="background1"/>
            <w:vAlign w:val="center"/>
            <w:hideMark/>
          </w:tcPr>
          <w:p w14:paraId="114BA6FA" w14:textId="77777777" w:rsidR="001A1178" w:rsidRPr="00132A44" w:rsidRDefault="2B97F9B0" w:rsidP="00322D9B">
            <w:pPr>
              <w:jc w:val="center"/>
              <w:rPr>
                <w:rFonts w:ascii="Arial Narrow" w:hAnsi="Arial Narrow" w:cs="Segoe UI"/>
                <w:color w:val="000000"/>
                <w:sz w:val="20"/>
                <w:szCs w:val="20"/>
                <w:lang w:eastAsia="es-CR"/>
              </w:rPr>
            </w:pPr>
            <w:r w:rsidRPr="7F5490C3">
              <w:rPr>
                <w:rFonts w:ascii="Arial Narrow" w:hAnsi="Arial Narrow" w:cs="Segoe UI"/>
                <w:color w:val="000000" w:themeColor="text1"/>
                <w:sz w:val="20"/>
                <w:szCs w:val="20"/>
                <w:lang w:eastAsia="es-CR"/>
              </w:rPr>
              <w:t>20</w:t>
            </w:r>
          </w:p>
        </w:tc>
        <w:tc>
          <w:tcPr>
            <w:tcW w:w="5448" w:type="dxa"/>
            <w:tcBorders>
              <w:top w:val="nil"/>
              <w:left w:val="single" w:sz="4" w:space="0" w:color="auto"/>
              <w:bottom w:val="single" w:sz="4" w:space="0" w:color="auto"/>
              <w:right w:val="single" w:sz="4" w:space="0" w:color="auto"/>
            </w:tcBorders>
            <w:shd w:val="clear" w:color="auto" w:fill="auto"/>
            <w:noWrap/>
            <w:vAlign w:val="bottom"/>
            <w:hideMark/>
          </w:tcPr>
          <w:p w14:paraId="1E517A79" w14:textId="77777777" w:rsidR="001A1178" w:rsidRPr="00132A44" w:rsidRDefault="001A1178" w:rsidP="00271D70">
            <w:pPr>
              <w:rPr>
                <w:rFonts w:ascii="Arial Narrow" w:hAnsi="Arial Narrow" w:cs="Calibri"/>
                <w:color w:val="000000"/>
                <w:sz w:val="20"/>
                <w:szCs w:val="20"/>
                <w:lang w:eastAsia="es-CR"/>
              </w:rPr>
            </w:pPr>
            <w:r w:rsidRPr="00132A44">
              <w:rPr>
                <w:rFonts w:ascii="Arial Narrow" w:hAnsi="Arial Narrow" w:cs="Calibri"/>
                <w:color w:val="000000"/>
                <w:sz w:val="20"/>
                <w:szCs w:val="20"/>
                <w:lang w:eastAsia="es-CR"/>
              </w:rPr>
              <w:t>FISCALIA GENERAL</w:t>
            </w:r>
          </w:p>
        </w:tc>
        <w:tc>
          <w:tcPr>
            <w:tcW w:w="1958" w:type="dxa"/>
            <w:tcBorders>
              <w:top w:val="nil"/>
              <w:left w:val="nil"/>
              <w:bottom w:val="single" w:sz="4" w:space="0" w:color="auto"/>
              <w:right w:val="single" w:sz="4" w:space="0" w:color="auto"/>
            </w:tcBorders>
            <w:shd w:val="clear" w:color="auto" w:fill="FFFFFF" w:themeFill="background1"/>
            <w:vAlign w:val="center"/>
            <w:hideMark/>
          </w:tcPr>
          <w:p w14:paraId="36D42988" w14:textId="77777777" w:rsidR="001A1178" w:rsidRPr="00132A44" w:rsidRDefault="001A1178" w:rsidP="00271D70">
            <w:pPr>
              <w:jc w:val="center"/>
              <w:rPr>
                <w:rFonts w:ascii="Arial Narrow" w:hAnsi="Arial Narrow" w:cs="Segoe UI"/>
                <w:color w:val="000000"/>
                <w:sz w:val="20"/>
                <w:szCs w:val="20"/>
                <w:lang w:eastAsia="es-CR"/>
              </w:rPr>
            </w:pPr>
            <w:r w:rsidRPr="00132A44">
              <w:rPr>
                <w:rFonts w:ascii="Arial Narrow" w:hAnsi="Arial Narrow" w:cs="Segoe UI"/>
                <w:color w:val="000000"/>
                <w:sz w:val="20"/>
                <w:szCs w:val="20"/>
                <w:lang w:eastAsia="es-CR"/>
              </w:rPr>
              <w:t>22</w:t>
            </w:r>
          </w:p>
        </w:tc>
        <w:tc>
          <w:tcPr>
            <w:tcW w:w="1161" w:type="dxa"/>
            <w:tcBorders>
              <w:top w:val="nil"/>
              <w:left w:val="nil"/>
              <w:bottom w:val="single" w:sz="4" w:space="0" w:color="auto"/>
              <w:right w:val="single" w:sz="4" w:space="0" w:color="auto"/>
            </w:tcBorders>
            <w:shd w:val="clear" w:color="auto" w:fill="FFFFFF" w:themeFill="background1"/>
            <w:vAlign w:val="center"/>
            <w:hideMark/>
          </w:tcPr>
          <w:p w14:paraId="044A1B61" w14:textId="77777777" w:rsidR="001A1178" w:rsidRPr="00132A44" w:rsidRDefault="001A1178" w:rsidP="00271D70">
            <w:pPr>
              <w:jc w:val="center"/>
              <w:rPr>
                <w:rFonts w:ascii="Arial Narrow" w:hAnsi="Arial Narrow" w:cs="Segoe UI"/>
                <w:color w:val="000000"/>
                <w:sz w:val="20"/>
                <w:szCs w:val="20"/>
                <w:lang w:eastAsia="es-CR"/>
              </w:rPr>
            </w:pPr>
            <w:r w:rsidRPr="00132A44">
              <w:rPr>
                <w:rFonts w:ascii="Arial Narrow" w:hAnsi="Arial Narrow" w:cs="Segoe UI"/>
                <w:color w:val="000000"/>
                <w:sz w:val="20"/>
                <w:szCs w:val="20"/>
                <w:lang w:eastAsia="es-CR"/>
              </w:rPr>
              <w:t>99.50 %</w:t>
            </w:r>
          </w:p>
        </w:tc>
      </w:tr>
      <w:tr w:rsidR="001A1178" w:rsidRPr="0080354E" w14:paraId="05B9945D" w14:textId="77777777" w:rsidTr="00322D9B">
        <w:trPr>
          <w:trHeight w:val="301"/>
        </w:trPr>
        <w:tc>
          <w:tcPr>
            <w:tcW w:w="359" w:type="dxa"/>
            <w:tcBorders>
              <w:top w:val="nil"/>
              <w:left w:val="single" w:sz="4" w:space="0" w:color="auto"/>
              <w:bottom w:val="single" w:sz="4" w:space="0" w:color="auto"/>
              <w:right w:val="nil"/>
            </w:tcBorders>
            <w:shd w:val="clear" w:color="auto" w:fill="FFFFFF" w:themeFill="background1"/>
            <w:vAlign w:val="center"/>
            <w:hideMark/>
          </w:tcPr>
          <w:p w14:paraId="37F67E72" w14:textId="77777777" w:rsidR="001A1178" w:rsidRPr="00132A44" w:rsidRDefault="2B97F9B0" w:rsidP="00322D9B">
            <w:pPr>
              <w:jc w:val="center"/>
              <w:rPr>
                <w:rFonts w:ascii="Arial Narrow" w:hAnsi="Arial Narrow" w:cs="Segoe UI"/>
                <w:color w:val="000000"/>
                <w:sz w:val="20"/>
                <w:szCs w:val="20"/>
                <w:lang w:eastAsia="es-CR"/>
              </w:rPr>
            </w:pPr>
            <w:r w:rsidRPr="7F5490C3">
              <w:rPr>
                <w:rFonts w:ascii="Arial Narrow" w:hAnsi="Arial Narrow" w:cs="Segoe UI"/>
                <w:color w:val="000000" w:themeColor="text1"/>
                <w:sz w:val="20"/>
                <w:szCs w:val="20"/>
                <w:lang w:eastAsia="es-CR"/>
              </w:rPr>
              <w:t>21</w:t>
            </w:r>
          </w:p>
        </w:tc>
        <w:tc>
          <w:tcPr>
            <w:tcW w:w="5448" w:type="dxa"/>
            <w:tcBorders>
              <w:top w:val="nil"/>
              <w:left w:val="single" w:sz="4" w:space="0" w:color="auto"/>
              <w:bottom w:val="single" w:sz="4" w:space="0" w:color="auto"/>
              <w:right w:val="single" w:sz="4" w:space="0" w:color="auto"/>
            </w:tcBorders>
            <w:shd w:val="clear" w:color="auto" w:fill="auto"/>
            <w:noWrap/>
            <w:vAlign w:val="bottom"/>
            <w:hideMark/>
          </w:tcPr>
          <w:p w14:paraId="065DB7A8" w14:textId="77777777" w:rsidR="001A1178" w:rsidRPr="00132A44" w:rsidRDefault="001A1178" w:rsidP="00271D70">
            <w:pPr>
              <w:rPr>
                <w:rFonts w:ascii="Arial Narrow" w:hAnsi="Arial Narrow" w:cs="Calibri"/>
                <w:color w:val="000000"/>
                <w:sz w:val="20"/>
                <w:szCs w:val="20"/>
                <w:lang w:eastAsia="es-CR"/>
              </w:rPr>
            </w:pPr>
            <w:r w:rsidRPr="00132A44">
              <w:rPr>
                <w:rFonts w:ascii="Arial Narrow" w:hAnsi="Arial Narrow" w:cs="Calibri"/>
                <w:color w:val="000000"/>
                <w:sz w:val="20"/>
                <w:szCs w:val="20"/>
                <w:lang w:eastAsia="es-CR"/>
              </w:rPr>
              <w:t>SECRETARIA TECNICA DE GENERO Y ACCESO A LA JUSTICIA</w:t>
            </w:r>
          </w:p>
        </w:tc>
        <w:tc>
          <w:tcPr>
            <w:tcW w:w="1958" w:type="dxa"/>
            <w:tcBorders>
              <w:top w:val="nil"/>
              <w:left w:val="nil"/>
              <w:bottom w:val="single" w:sz="4" w:space="0" w:color="auto"/>
              <w:right w:val="single" w:sz="4" w:space="0" w:color="auto"/>
            </w:tcBorders>
            <w:shd w:val="clear" w:color="auto" w:fill="FFFFFF" w:themeFill="background1"/>
            <w:vAlign w:val="center"/>
            <w:hideMark/>
          </w:tcPr>
          <w:p w14:paraId="545B4C25" w14:textId="77777777" w:rsidR="001A1178" w:rsidRPr="00132A44" w:rsidRDefault="001A1178" w:rsidP="00271D70">
            <w:pPr>
              <w:jc w:val="center"/>
              <w:rPr>
                <w:rFonts w:ascii="Arial Narrow" w:hAnsi="Arial Narrow" w:cs="Segoe UI"/>
                <w:color w:val="000000"/>
                <w:sz w:val="20"/>
                <w:szCs w:val="20"/>
                <w:lang w:eastAsia="es-CR"/>
              </w:rPr>
            </w:pPr>
            <w:r w:rsidRPr="00132A44">
              <w:rPr>
                <w:rFonts w:ascii="Arial Narrow" w:hAnsi="Arial Narrow" w:cs="Segoe UI"/>
                <w:color w:val="000000"/>
                <w:sz w:val="20"/>
                <w:szCs w:val="20"/>
                <w:lang w:eastAsia="es-CR"/>
              </w:rPr>
              <w:t>2</w:t>
            </w:r>
          </w:p>
        </w:tc>
        <w:tc>
          <w:tcPr>
            <w:tcW w:w="1161" w:type="dxa"/>
            <w:tcBorders>
              <w:top w:val="nil"/>
              <w:left w:val="nil"/>
              <w:bottom w:val="single" w:sz="4" w:space="0" w:color="auto"/>
              <w:right w:val="single" w:sz="4" w:space="0" w:color="auto"/>
            </w:tcBorders>
            <w:shd w:val="clear" w:color="auto" w:fill="FFFFFF" w:themeFill="background1"/>
            <w:vAlign w:val="center"/>
            <w:hideMark/>
          </w:tcPr>
          <w:p w14:paraId="4D851669" w14:textId="77777777" w:rsidR="001A1178" w:rsidRPr="00132A44" w:rsidRDefault="001A1178" w:rsidP="00271D70">
            <w:pPr>
              <w:jc w:val="center"/>
              <w:rPr>
                <w:rFonts w:ascii="Arial Narrow" w:hAnsi="Arial Narrow" w:cs="Segoe UI"/>
                <w:color w:val="000000"/>
                <w:sz w:val="20"/>
                <w:szCs w:val="20"/>
                <w:lang w:eastAsia="es-CR"/>
              </w:rPr>
            </w:pPr>
            <w:r w:rsidRPr="00132A44">
              <w:rPr>
                <w:rFonts w:ascii="Arial Narrow" w:hAnsi="Arial Narrow" w:cs="Segoe UI"/>
                <w:color w:val="000000"/>
                <w:sz w:val="20"/>
                <w:szCs w:val="20"/>
                <w:lang w:eastAsia="es-CR"/>
              </w:rPr>
              <w:t>99.00 %</w:t>
            </w:r>
          </w:p>
        </w:tc>
      </w:tr>
      <w:tr w:rsidR="001A1178" w:rsidRPr="0080354E" w14:paraId="6E1E53D5" w14:textId="77777777" w:rsidTr="00322D9B">
        <w:trPr>
          <w:trHeight w:val="301"/>
        </w:trPr>
        <w:tc>
          <w:tcPr>
            <w:tcW w:w="359" w:type="dxa"/>
            <w:tcBorders>
              <w:top w:val="nil"/>
              <w:left w:val="single" w:sz="4" w:space="0" w:color="auto"/>
              <w:bottom w:val="single" w:sz="4" w:space="0" w:color="auto"/>
              <w:right w:val="nil"/>
            </w:tcBorders>
            <w:shd w:val="clear" w:color="auto" w:fill="FFFFFF" w:themeFill="background1"/>
            <w:vAlign w:val="center"/>
            <w:hideMark/>
          </w:tcPr>
          <w:p w14:paraId="3B7D5B93" w14:textId="77777777" w:rsidR="001A1178" w:rsidRPr="00132A44" w:rsidRDefault="2B97F9B0" w:rsidP="00322D9B">
            <w:pPr>
              <w:jc w:val="center"/>
              <w:rPr>
                <w:rFonts w:ascii="Arial Narrow" w:hAnsi="Arial Narrow" w:cs="Segoe UI"/>
                <w:color w:val="000000"/>
                <w:sz w:val="20"/>
                <w:szCs w:val="20"/>
                <w:lang w:eastAsia="es-CR"/>
              </w:rPr>
            </w:pPr>
            <w:r w:rsidRPr="7F5490C3">
              <w:rPr>
                <w:rFonts w:ascii="Arial Narrow" w:hAnsi="Arial Narrow" w:cs="Segoe UI"/>
                <w:color w:val="000000" w:themeColor="text1"/>
                <w:sz w:val="20"/>
                <w:szCs w:val="20"/>
                <w:lang w:eastAsia="es-CR"/>
              </w:rPr>
              <w:t>22</w:t>
            </w:r>
          </w:p>
        </w:tc>
        <w:tc>
          <w:tcPr>
            <w:tcW w:w="5448" w:type="dxa"/>
            <w:tcBorders>
              <w:top w:val="nil"/>
              <w:left w:val="single" w:sz="4" w:space="0" w:color="auto"/>
              <w:bottom w:val="single" w:sz="4" w:space="0" w:color="auto"/>
              <w:right w:val="single" w:sz="4" w:space="0" w:color="auto"/>
            </w:tcBorders>
            <w:shd w:val="clear" w:color="auto" w:fill="auto"/>
            <w:noWrap/>
            <w:vAlign w:val="bottom"/>
            <w:hideMark/>
          </w:tcPr>
          <w:p w14:paraId="532EDB30" w14:textId="77777777" w:rsidR="001A1178" w:rsidRPr="00132A44" w:rsidRDefault="001A1178" w:rsidP="00271D70">
            <w:pPr>
              <w:rPr>
                <w:rFonts w:ascii="Arial Narrow" w:hAnsi="Arial Narrow" w:cs="Calibri"/>
                <w:color w:val="000000"/>
                <w:sz w:val="20"/>
                <w:szCs w:val="20"/>
                <w:lang w:eastAsia="es-CR"/>
              </w:rPr>
            </w:pPr>
            <w:r w:rsidRPr="00132A44">
              <w:rPr>
                <w:rFonts w:ascii="Arial Narrow" w:hAnsi="Arial Narrow" w:cs="Calibri"/>
                <w:color w:val="000000"/>
                <w:sz w:val="20"/>
                <w:szCs w:val="20"/>
                <w:lang w:eastAsia="es-CR"/>
              </w:rPr>
              <w:t>CONSEJO SUPERIOR</w:t>
            </w:r>
          </w:p>
        </w:tc>
        <w:tc>
          <w:tcPr>
            <w:tcW w:w="1958" w:type="dxa"/>
            <w:tcBorders>
              <w:top w:val="nil"/>
              <w:left w:val="nil"/>
              <w:bottom w:val="single" w:sz="4" w:space="0" w:color="auto"/>
              <w:right w:val="single" w:sz="4" w:space="0" w:color="auto"/>
            </w:tcBorders>
            <w:shd w:val="clear" w:color="auto" w:fill="FFFFFF" w:themeFill="background1"/>
            <w:vAlign w:val="center"/>
            <w:hideMark/>
          </w:tcPr>
          <w:p w14:paraId="479B9089" w14:textId="77777777" w:rsidR="001A1178" w:rsidRPr="00132A44" w:rsidRDefault="001A1178" w:rsidP="00271D70">
            <w:pPr>
              <w:jc w:val="center"/>
              <w:rPr>
                <w:rFonts w:ascii="Arial Narrow" w:hAnsi="Arial Narrow" w:cs="Segoe UI"/>
                <w:color w:val="000000"/>
                <w:sz w:val="20"/>
                <w:szCs w:val="20"/>
                <w:lang w:eastAsia="es-CR"/>
              </w:rPr>
            </w:pPr>
            <w:r w:rsidRPr="00132A44">
              <w:rPr>
                <w:rFonts w:ascii="Arial Narrow" w:hAnsi="Arial Narrow" w:cs="Segoe UI"/>
                <w:color w:val="000000"/>
                <w:sz w:val="20"/>
                <w:szCs w:val="20"/>
                <w:lang w:eastAsia="es-CR"/>
              </w:rPr>
              <w:t>2</w:t>
            </w:r>
          </w:p>
        </w:tc>
        <w:tc>
          <w:tcPr>
            <w:tcW w:w="1161" w:type="dxa"/>
            <w:tcBorders>
              <w:top w:val="nil"/>
              <w:left w:val="nil"/>
              <w:bottom w:val="single" w:sz="4" w:space="0" w:color="auto"/>
              <w:right w:val="single" w:sz="4" w:space="0" w:color="auto"/>
            </w:tcBorders>
            <w:shd w:val="clear" w:color="auto" w:fill="FFFFFF" w:themeFill="background1"/>
            <w:vAlign w:val="center"/>
            <w:hideMark/>
          </w:tcPr>
          <w:p w14:paraId="3604B847" w14:textId="77777777" w:rsidR="001A1178" w:rsidRPr="00132A44" w:rsidRDefault="001A1178" w:rsidP="00271D70">
            <w:pPr>
              <w:jc w:val="center"/>
              <w:rPr>
                <w:rFonts w:ascii="Arial Narrow" w:hAnsi="Arial Narrow" w:cs="Segoe UI"/>
                <w:color w:val="000000"/>
                <w:sz w:val="20"/>
                <w:szCs w:val="20"/>
                <w:lang w:eastAsia="es-CR"/>
              </w:rPr>
            </w:pPr>
            <w:r w:rsidRPr="00132A44">
              <w:rPr>
                <w:rFonts w:ascii="Arial Narrow" w:hAnsi="Arial Narrow" w:cs="Segoe UI"/>
                <w:color w:val="000000"/>
                <w:sz w:val="20"/>
                <w:szCs w:val="20"/>
                <w:lang w:eastAsia="es-CR"/>
              </w:rPr>
              <w:t>98.50 %</w:t>
            </w:r>
          </w:p>
        </w:tc>
      </w:tr>
      <w:tr w:rsidR="001A1178" w:rsidRPr="0080354E" w14:paraId="29728EA2" w14:textId="77777777" w:rsidTr="00322D9B">
        <w:trPr>
          <w:trHeight w:val="301"/>
        </w:trPr>
        <w:tc>
          <w:tcPr>
            <w:tcW w:w="359" w:type="dxa"/>
            <w:tcBorders>
              <w:top w:val="nil"/>
              <w:left w:val="single" w:sz="4" w:space="0" w:color="auto"/>
              <w:bottom w:val="single" w:sz="4" w:space="0" w:color="auto"/>
              <w:right w:val="nil"/>
            </w:tcBorders>
            <w:shd w:val="clear" w:color="auto" w:fill="FFFFFF" w:themeFill="background1"/>
            <w:vAlign w:val="center"/>
            <w:hideMark/>
          </w:tcPr>
          <w:p w14:paraId="1C82FCA1" w14:textId="77777777" w:rsidR="001A1178" w:rsidRPr="00132A44" w:rsidRDefault="2B97F9B0" w:rsidP="00322D9B">
            <w:pPr>
              <w:jc w:val="center"/>
              <w:rPr>
                <w:rFonts w:ascii="Arial Narrow" w:hAnsi="Arial Narrow" w:cs="Segoe UI"/>
                <w:color w:val="000000"/>
                <w:sz w:val="20"/>
                <w:szCs w:val="20"/>
                <w:lang w:eastAsia="es-CR"/>
              </w:rPr>
            </w:pPr>
            <w:r w:rsidRPr="7F5490C3">
              <w:rPr>
                <w:rFonts w:ascii="Arial Narrow" w:hAnsi="Arial Narrow" w:cs="Segoe UI"/>
                <w:color w:val="000000" w:themeColor="text1"/>
                <w:sz w:val="20"/>
                <w:szCs w:val="20"/>
                <w:lang w:eastAsia="es-CR"/>
              </w:rPr>
              <w:t>23</w:t>
            </w:r>
          </w:p>
        </w:tc>
        <w:tc>
          <w:tcPr>
            <w:tcW w:w="5448" w:type="dxa"/>
            <w:tcBorders>
              <w:top w:val="nil"/>
              <w:left w:val="single" w:sz="4" w:space="0" w:color="auto"/>
              <w:bottom w:val="single" w:sz="4" w:space="0" w:color="auto"/>
              <w:right w:val="single" w:sz="4" w:space="0" w:color="auto"/>
            </w:tcBorders>
            <w:shd w:val="clear" w:color="auto" w:fill="auto"/>
            <w:noWrap/>
            <w:vAlign w:val="bottom"/>
            <w:hideMark/>
          </w:tcPr>
          <w:p w14:paraId="682275D7" w14:textId="77777777" w:rsidR="001A1178" w:rsidRPr="00132A44" w:rsidRDefault="001A1178" w:rsidP="00271D70">
            <w:pPr>
              <w:rPr>
                <w:rFonts w:ascii="Arial Narrow" w:hAnsi="Arial Narrow" w:cs="Calibri"/>
                <w:color w:val="000000"/>
                <w:sz w:val="20"/>
                <w:szCs w:val="20"/>
                <w:lang w:eastAsia="es-CR"/>
              </w:rPr>
            </w:pPr>
            <w:r w:rsidRPr="00132A44">
              <w:rPr>
                <w:rFonts w:ascii="Arial Narrow" w:hAnsi="Arial Narrow" w:cs="Calibri"/>
                <w:color w:val="000000"/>
                <w:sz w:val="20"/>
                <w:szCs w:val="20"/>
                <w:lang w:eastAsia="es-CR"/>
              </w:rPr>
              <w:t>DEPARTAMENTO DE TRABAJO SOCIAL Y PSICOLOGIA (SEDE CENTRAL)</w:t>
            </w:r>
          </w:p>
        </w:tc>
        <w:tc>
          <w:tcPr>
            <w:tcW w:w="1958" w:type="dxa"/>
            <w:tcBorders>
              <w:top w:val="nil"/>
              <w:left w:val="nil"/>
              <w:bottom w:val="single" w:sz="4" w:space="0" w:color="auto"/>
              <w:right w:val="single" w:sz="4" w:space="0" w:color="auto"/>
            </w:tcBorders>
            <w:shd w:val="clear" w:color="auto" w:fill="FFFFFF" w:themeFill="background1"/>
            <w:vAlign w:val="center"/>
            <w:hideMark/>
          </w:tcPr>
          <w:p w14:paraId="0D0FB2A5" w14:textId="77777777" w:rsidR="001A1178" w:rsidRPr="00132A44" w:rsidRDefault="001A1178" w:rsidP="00271D70">
            <w:pPr>
              <w:jc w:val="center"/>
              <w:rPr>
                <w:rFonts w:ascii="Arial Narrow" w:hAnsi="Arial Narrow" w:cs="Segoe UI"/>
                <w:color w:val="000000"/>
                <w:sz w:val="20"/>
                <w:szCs w:val="20"/>
                <w:lang w:eastAsia="es-CR"/>
              </w:rPr>
            </w:pPr>
            <w:r w:rsidRPr="00132A44">
              <w:rPr>
                <w:rFonts w:ascii="Arial Narrow" w:hAnsi="Arial Narrow" w:cs="Segoe UI"/>
                <w:color w:val="000000"/>
                <w:sz w:val="20"/>
                <w:szCs w:val="20"/>
                <w:lang w:eastAsia="es-CR"/>
              </w:rPr>
              <w:t>1</w:t>
            </w:r>
          </w:p>
        </w:tc>
        <w:tc>
          <w:tcPr>
            <w:tcW w:w="1161" w:type="dxa"/>
            <w:tcBorders>
              <w:top w:val="nil"/>
              <w:left w:val="nil"/>
              <w:bottom w:val="single" w:sz="4" w:space="0" w:color="auto"/>
              <w:right w:val="single" w:sz="4" w:space="0" w:color="auto"/>
            </w:tcBorders>
            <w:shd w:val="clear" w:color="auto" w:fill="FFFFFF" w:themeFill="background1"/>
            <w:vAlign w:val="center"/>
            <w:hideMark/>
          </w:tcPr>
          <w:p w14:paraId="2E4508E2" w14:textId="77777777" w:rsidR="001A1178" w:rsidRPr="00132A44" w:rsidRDefault="001A1178" w:rsidP="00271D70">
            <w:pPr>
              <w:jc w:val="center"/>
              <w:rPr>
                <w:rFonts w:ascii="Arial Narrow" w:hAnsi="Arial Narrow" w:cs="Segoe UI"/>
                <w:color w:val="000000"/>
                <w:sz w:val="20"/>
                <w:szCs w:val="20"/>
                <w:lang w:eastAsia="es-CR"/>
              </w:rPr>
            </w:pPr>
            <w:r w:rsidRPr="00132A44">
              <w:rPr>
                <w:rFonts w:ascii="Arial Narrow" w:hAnsi="Arial Narrow" w:cs="Segoe UI"/>
                <w:color w:val="000000"/>
                <w:sz w:val="20"/>
                <w:szCs w:val="20"/>
                <w:lang w:eastAsia="es-CR"/>
              </w:rPr>
              <w:t>97.00 %</w:t>
            </w:r>
          </w:p>
        </w:tc>
      </w:tr>
      <w:tr w:rsidR="001A1178" w:rsidRPr="0080354E" w14:paraId="7C76A3BA" w14:textId="77777777" w:rsidTr="00322D9B">
        <w:trPr>
          <w:trHeight w:val="301"/>
        </w:trPr>
        <w:tc>
          <w:tcPr>
            <w:tcW w:w="359" w:type="dxa"/>
            <w:tcBorders>
              <w:top w:val="nil"/>
              <w:left w:val="single" w:sz="4" w:space="0" w:color="auto"/>
              <w:bottom w:val="single" w:sz="4" w:space="0" w:color="auto"/>
              <w:right w:val="nil"/>
            </w:tcBorders>
            <w:shd w:val="clear" w:color="auto" w:fill="FFFFFF" w:themeFill="background1"/>
            <w:vAlign w:val="center"/>
            <w:hideMark/>
          </w:tcPr>
          <w:p w14:paraId="2AD6B019" w14:textId="77777777" w:rsidR="001A1178" w:rsidRPr="00132A44" w:rsidRDefault="2B97F9B0" w:rsidP="00322D9B">
            <w:pPr>
              <w:jc w:val="center"/>
              <w:rPr>
                <w:rFonts w:ascii="Arial Narrow" w:hAnsi="Arial Narrow" w:cs="Segoe UI"/>
                <w:color w:val="000000"/>
                <w:sz w:val="20"/>
                <w:szCs w:val="20"/>
                <w:lang w:eastAsia="es-CR"/>
              </w:rPr>
            </w:pPr>
            <w:r w:rsidRPr="7F5490C3">
              <w:rPr>
                <w:rFonts w:ascii="Arial Narrow" w:hAnsi="Arial Narrow" w:cs="Segoe UI"/>
                <w:color w:val="000000" w:themeColor="text1"/>
                <w:sz w:val="20"/>
                <w:szCs w:val="20"/>
                <w:lang w:eastAsia="es-CR"/>
              </w:rPr>
              <w:t>24</w:t>
            </w:r>
          </w:p>
        </w:tc>
        <w:tc>
          <w:tcPr>
            <w:tcW w:w="5448" w:type="dxa"/>
            <w:tcBorders>
              <w:top w:val="nil"/>
              <w:left w:val="single" w:sz="4" w:space="0" w:color="auto"/>
              <w:bottom w:val="single" w:sz="4" w:space="0" w:color="auto"/>
              <w:right w:val="single" w:sz="4" w:space="0" w:color="auto"/>
            </w:tcBorders>
            <w:shd w:val="clear" w:color="auto" w:fill="auto"/>
            <w:noWrap/>
            <w:vAlign w:val="bottom"/>
            <w:hideMark/>
          </w:tcPr>
          <w:p w14:paraId="092E815B" w14:textId="77777777" w:rsidR="001A1178" w:rsidRPr="00132A44" w:rsidRDefault="001A1178" w:rsidP="00271D70">
            <w:pPr>
              <w:rPr>
                <w:rFonts w:ascii="Arial Narrow" w:hAnsi="Arial Narrow" w:cs="Calibri"/>
                <w:color w:val="000000"/>
                <w:sz w:val="20"/>
                <w:szCs w:val="20"/>
                <w:lang w:eastAsia="es-CR"/>
              </w:rPr>
            </w:pPr>
            <w:r w:rsidRPr="00132A44">
              <w:rPr>
                <w:rFonts w:ascii="Arial Narrow" w:hAnsi="Arial Narrow" w:cs="Calibri"/>
                <w:color w:val="000000"/>
                <w:sz w:val="20"/>
                <w:szCs w:val="20"/>
                <w:lang w:eastAsia="es-CR"/>
              </w:rPr>
              <w:t>ESCUELA JUDICIAL</w:t>
            </w:r>
          </w:p>
        </w:tc>
        <w:tc>
          <w:tcPr>
            <w:tcW w:w="1958" w:type="dxa"/>
            <w:tcBorders>
              <w:top w:val="nil"/>
              <w:left w:val="nil"/>
              <w:bottom w:val="single" w:sz="4" w:space="0" w:color="auto"/>
              <w:right w:val="single" w:sz="4" w:space="0" w:color="auto"/>
            </w:tcBorders>
            <w:shd w:val="clear" w:color="auto" w:fill="FFFFFF" w:themeFill="background1"/>
            <w:vAlign w:val="center"/>
            <w:hideMark/>
          </w:tcPr>
          <w:p w14:paraId="58254478" w14:textId="77777777" w:rsidR="001A1178" w:rsidRPr="00132A44" w:rsidRDefault="001A1178" w:rsidP="00271D70">
            <w:pPr>
              <w:jc w:val="center"/>
              <w:rPr>
                <w:rFonts w:ascii="Arial Narrow" w:hAnsi="Arial Narrow" w:cs="Segoe UI"/>
                <w:color w:val="000000"/>
                <w:sz w:val="20"/>
                <w:szCs w:val="20"/>
                <w:lang w:eastAsia="es-CR"/>
              </w:rPr>
            </w:pPr>
            <w:r w:rsidRPr="00132A44">
              <w:rPr>
                <w:rFonts w:ascii="Arial Narrow" w:hAnsi="Arial Narrow" w:cs="Segoe UI"/>
                <w:color w:val="000000"/>
                <w:sz w:val="20"/>
                <w:szCs w:val="20"/>
                <w:lang w:eastAsia="es-CR"/>
              </w:rPr>
              <w:t>15</w:t>
            </w:r>
          </w:p>
        </w:tc>
        <w:tc>
          <w:tcPr>
            <w:tcW w:w="1161" w:type="dxa"/>
            <w:tcBorders>
              <w:top w:val="nil"/>
              <w:left w:val="nil"/>
              <w:bottom w:val="single" w:sz="4" w:space="0" w:color="auto"/>
              <w:right w:val="single" w:sz="4" w:space="0" w:color="auto"/>
            </w:tcBorders>
            <w:shd w:val="clear" w:color="auto" w:fill="FFFFFF" w:themeFill="background1"/>
            <w:vAlign w:val="center"/>
            <w:hideMark/>
          </w:tcPr>
          <w:p w14:paraId="28C08337" w14:textId="77777777" w:rsidR="001A1178" w:rsidRPr="00132A44" w:rsidRDefault="001A1178" w:rsidP="00271D70">
            <w:pPr>
              <w:jc w:val="center"/>
              <w:rPr>
                <w:rFonts w:ascii="Arial Narrow" w:hAnsi="Arial Narrow" w:cs="Segoe UI"/>
                <w:color w:val="000000"/>
                <w:sz w:val="20"/>
                <w:szCs w:val="20"/>
                <w:lang w:eastAsia="es-CR"/>
              </w:rPr>
            </w:pPr>
            <w:r w:rsidRPr="00132A44">
              <w:rPr>
                <w:rFonts w:ascii="Arial Narrow" w:hAnsi="Arial Narrow" w:cs="Segoe UI"/>
                <w:color w:val="000000"/>
                <w:sz w:val="20"/>
                <w:szCs w:val="20"/>
                <w:lang w:eastAsia="es-CR"/>
              </w:rPr>
              <w:t>96.67 %</w:t>
            </w:r>
          </w:p>
        </w:tc>
      </w:tr>
      <w:tr w:rsidR="001A1178" w:rsidRPr="0080354E" w14:paraId="7E1D416E" w14:textId="77777777" w:rsidTr="00322D9B">
        <w:trPr>
          <w:trHeight w:val="301"/>
        </w:trPr>
        <w:tc>
          <w:tcPr>
            <w:tcW w:w="359" w:type="dxa"/>
            <w:tcBorders>
              <w:top w:val="nil"/>
              <w:left w:val="single" w:sz="4" w:space="0" w:color="auto"/>
              <w:bottom w:val="single" w:sz="4" w:space="0" w:color="auto"/>
              <w:right w:val="nil"/>
            </w:tcBorders>
            <w:shd w:val="clear" w:color="auto" w:fill="FFFFFF" w:themeFill="background1"/>
            <w:vAlign w:val="center"/>
            <w:hideMark/>
          </w:tcPr>
          <w:p w14:paraId="6E741319" w14:textId="77777777" w:rsidR="001A1178" w:rsidRPr="00132A44" w:rsidRDefault="2B97F9B0" w:rsidP="00322D9B">
            <w:pPr>
              <w:jc w:val="center"/>
              <w:rPr>
                <w:rFonts w:ascii="Arial Narrow" w:hAnsi="Arial Narrow" w:cs="Segoe UI"/>
                <w:color w:val="000000"/>
                <w:sz w:val="20"/>
                <w:szCs w:val="20"/>
                <w:lang w:eastAsia="es-CR"/>
              </w:rPr>
            </w:pPr>
            <w:r w:rsidRPr="7F5490C3">
              <w:rPr>
                <w:rFonts w:ascii="Arial Narrow" w:hAnsi="Arial Narrow" w:cs="Segoe UI"/>
                <w:color w:val="000000" w:themeColor="text1"/>
                <w:sz w:val="20"/>
                <w:szCs w:val="20"/>
                <w:lang w:eastAsia="es-CR"/>
              </w:rPr>
              <w:t>25</w:t>
            </w:r>
          </w:p>
        </w:tc>
        <w:tc>
          <w:tcPr>
            <w:tcW w:w="5448" w:type="dxa"/>
            <w:tcBorders>
              <w:top w:val="nil"/>
              <w:left w:val="single" w:sz="4" w:space="0" w:color="auto"/>
              <w:bottom w:val="single" w:sz="4" w:space="0" w:color="auto"/>
              <w:right w:val="single" w:sz="4" w:space="0" w:color="auto"/>
            </w:tcBorders>
            <w:shd w:val="clear" w:color="auto" w:fill="auto"/>
            <w:noWrap/>
            <w:vAlign w:val="bottom"/>
            <w:hideMark/>
          </w:tcPr>
          <w:p w14:paraId="760DA216" w14:textId="77777777" w:rsidR="001A1178" w:rsidRPr="00132A44" w:rsidRDefault="001A1178" w:rsidP="00271D70">
            <w:pPr>
              <w:rPr>
                <w:rFonts w:ascii="Arial Narrow" w:hAnsi="Arial Narrow" w:cs="Calibri"/>
                <w:color w:val="000000"/>
                <w:sz w:val="20"/>
                <w:szCs w:val="20"/>
                <w:lang w:eastAsia="es-CR"/>
              </w:rPr>
            </w:pPr>
            <w:r w:rsidRPr="00132A44">
              <w:rPr>
                <w:rFonts w:ascii="Arial Narrow" w:hAnsi="Arial Narrow" w:cs="Calibri"/>
                <w:color w:val="000000"/>
                <w:sz w:val="20"/>
                <w:szCs w:val="20"/>
                <w:lang w:eastAsia="es-CR"/>
              </w:rPr>
              <w:t>OFICINA DE ATENCION A LA VICTIMA DE DELITOS</w:t>
            </w:r>
          </w:p>
        </w:tc>
        <w:tc>
          <w:tcPr>
            <w:tcW w:w="1958" w:type="dxa"/>
            <w:tcBorders>
              <w:top w:val="nil"/>
              <w:left w:val="nil"/>
              <w:bottom w:val="single" w:sz="4" w:space="0" w:color="auto"/>
              <w:right w:val="single" w:sz="4" w:space="0" w:color="auto"/>
            </w:tcBorders>
            <w:shd w:val="clear" w:color="auto" w:fill="FFFFFF" w:themeFill="background1"/>
            <w:vAlign w:val="center"/>
            <w:hideMark/>
          </w:tcPr>
          <w:p w14:paraId="04101783" w14:textId="77777777" w:rsidR="001A1178" w:rsidRPr="00132A44" w:rsidRDefault="001A1178" w:rsidP="00271D70">
            <w:pPr>
              <w:jc w:val="center"/>
              <w:rPr>
                <w:rFonts w:ascii="Arial Narrow" w:hAnsi="Arial Narrow" w:cs="Segoe UI"/>
                <w:color w:val="000000"/>
                <w:sz w:val="20"/>
                <w:szCs w:val="20"/>
                <w:lang w:eastAsia="es-CR"/>
              </w:rPr>
            </w:pPr>
            <w:r w:rsidRPr="00132A44">
              <w:rPr>
                <w:rFonts w:ascii="Arial Narrow" w:hAnsi="Arial Narrow" w:cs="Segoe UI"/>
                <w:color w:val="000000"/>
                <w:sz w:val="20"/>
                <w:szCs w:val="20"/>
                <w:lang w:eastAsia="es-CR"/>
              </w:rPr>
              <w:t>10</w:t>
            </w:r>
          </w:p>
        </w:tc>
        <w:tc>
          <w:tcPr>
            <w:tcW w:w="1161" w:type="dxa"/>
            <w:tcBorders>
              <w:top w:val="nil"/>
              <w:left w:val="nil"/>
              <w:bottom w:val="single" w:sz="4" w:space="0" w:color="auto"/>
              <w:right w:val="single" w:sz="4" w:space="0" w:color="auto"/>
            </w:tcBorders>
            <w:shd w:val="clear" w:color="auto" w:fill="FFFFFF" w:themeFill="background1"/>
            <w:vAlign w:val="center"/>
            <w:hideMark/>
          </w:tcPr>
          <w:p w14:paraId="7862B741" w14:textId="77777777" w:rsidR="001A1178" w:rsidRPr="00132A44" w:rsidRDefault="001A1178" w:rsidP="00271D70">
            <w:pPr>
              <w:jc w:val="center"/>
              <w:rPr>
                <w:rFonts w:ascii="Arial Narrow" w:hAnsi="Arial Narrow" w:cs="Segoe UI"/>
                <w:color w:val="000000"/>
                <w:sz w:val="20"/>
                <w:szCs w:val="20"/>
                <w:lang w:eastAsia="es-CR"/>
              </w:rPr>
            </w:pPr>
            <w:r w:rsidRPr="00132A44">
              <w:rPr>
                <w:rFonts w:ascii="Arial Narrow" w:hAnsi="Arial Narrow" w:cs="Segoe UI"/>
                <w:color w:val="000000"/>
                <w:sz w:val="20"/>
                <w:szCs w:val="20"/>
                <w:lang w:eastAsia="es-CR"/>
              </w:rPr>
              <w:t>96.20 %</w:t>
            </w:r>
          </w:p>
        </w:tc>
      </w:tr>
      <w:tr w:rsidR="001A1178" w:rsidRPr="0080354E" w14:paraId="59B4D76A" w14:textId="77777777" w:rsidTr="00322D9B">
        <w:trPr>
          <w:trHeight w:val="301"/>
        </w:trPr>
        <w:tc>
          <w:tcPr>
            <w:tcW w:w="359" w:type="dxa"/>
            <w:tcBorders>
              <w:top w:val="nil"/>
              <w:left w:val="single" w:sz="4" w:space="0" w:color="auto"/>
              <w:bottom w:val="single" w:sz="4" w:space="0" w:color="auto"/>
              <w:right w:val="nil"/>
            </w:tcBorders>
            <w:shd w:val="clear" w:color="auto" w:fill="FFFFFF" w:themeFill="background1"/>
            <w:vAlign w:val="center"/>
            <w:hideMark/>
          </w:tcPr>
          <w:p w14:paraId="43640CE0" w14:textId="77777777" w:rsidR="001A1178" w:rsidRPr="00132A44" w:rsidRDefault="2B97F9B0" w:rsidP="00322D9B">
            <w:pPr>
              <w:jc w:val="center"/>
              <w:rPr>
                <w:rFonts w:ascii="Arial Narrow" w:hAnsi="Arial Narrow" w:cs="Segoe UI"/>
                <w:color w:val="000000"/>
                <w:sz w:val="20"/>
                <w:szCs w:val="20"/>
                <w:lang w:eastAsia="es-CR"/>
              </w:rPr>
            </w:pPr>
            <w:r w:rsidRPr="7F5490C3">
              <w:rPr>
                <w:rFonts w:ascii="Arial Narrow" w:hAnsi="Arial Narrow" w:cs="Segoe UI"/>
                <w:color w:val="000000" w:themeColor="text1"/>
                <w:sz w:val="20"/>
                <w:szCs w:val="20"/>
                <w:lang w:eastAsia="es-CR"/>
              </w:rPr>
              <w:t>26</w:t>
            </w:r>
          </w:p>
        </w:tc>
        <w:tc>
          <w:tcPr>
            <w:tcW w:w="5448" w:type="dxa"/>
            <w:tcBorders>
              <w:top w:val="nil"/>
              <w:left w:val="single" w:sz="4" w:space="0" w:color="auto"/>
              <w:bottom w:val="single" w:sz="4" w:space="0" w:color="auto"/>
              <w:right w:val="single" w:sz="4" w:space="0" w:color="auto"/>
            </w:tcBorders>
            <w:shd w:val="clear" w:color="auto" w:fill="auto"/>
            <w:noWrap/>
            <w:vAlign w:val="bottom"/>
            <w:hideMark/>
          </w:tcPr>
          <w:p w14:paraId="704EC736" w14:textId="77777777" w:rsidR="001A1178" w:rsidRPr="00132A44" w:rsidRDefault="001A1178" w:rsidP="00271D70">
            <w:pPr>
              <w:rPr>
                <w:rFonts w:ascii="Arial Narrow" w:hAnsi="Arial Narrow" w:cs="Calibri"/>
                <w:color w:val="000000"/>
                <w:sz w:val="20"/>
                <w:szCs w:val="20"/>
                <w:lang w:eastAsia="es-CR"/>
              </w:rPr>
            </w:pPr>
            <w:r w:rsidRPr="00132A44">
              <w:rPr>
                <w:rFonts w:ascii="Arial Narrow" w:hAnsi="Arial Narrow" w:cs="Calibri"/>
                <w:color w:val="000000"/>
                <w:sz w:val="20"/>
                <w:szCs w:val="20"/>
                <w:lang w:eastAsia="es-CR"/>
              </w:rPr>
              <w:t>CENTRO DE CONCILIACION DEL PODER JUDICIAL</w:t>
            </w:r>
          </w:p>
        </w:tc>
        <w:tc>
          <w:tcPr>
            <w:tcW w:w="1958" w:type="dxa"/>
            <w:tcBorders>
              <w:top w:val="nil"/>
              <w:left w:val="nil"/>
              <w:bottom w:val="single" w:sz="4" w:space="0" w:color="auto"/>
              <w:right w:val="single" w:sz="4" w:space="0" w:color="auto"/>
            </w:tcBorders>
            <w:shd w:val="clear" w:color="auto" w:fill="FFFFFF" w:themeFill="background1"/>
            <w:vAlign w:val="center"/>
            <w:hideMark/>
          </w:tcPr>
          <w:p w14:paraId="193D5AA8" w14:textId="77777777" w:rsidR="001A1178" w:rsidRPr="00132A44" w:rsidRDefault="001A1178" w:rsidP="00271D70">
            <w:pPr>
              <w:jc w:val="center"/>
              <w:rPr>
                <w:rFonts w:ascii="Arial Narrow" w:hAnsi="Arial Narrow" w:cs="Segoe UI"/>
                <w:color w:val="000000"/>
                <w:sz w:val="20"/>
                <w:szCs w:val="20"/>
                <w:lang w:eastAsia="es-CR"/>
              </w:rPr>
            </w:pPr>
            <w:r w:rsidRPr="00132A44">
              <w:rPr>
                <w:rFonts w:ascii="Arial Narrow" w:hAnsi="Arial Narrow" w:cs="Segoe UI"/>
                <w:color w:val="000000"/>
                <w:sz w:val="20"/>
                <w:szCs w:val="20"/>
                <w:lang w:eastAsia="es-CR"/>
              </w:rPr>
              <w:t>2</w:t>
            </w:r>
          </w:p>
        </w:tc>
        <w:tc>
          <w:tcPr>
            <w:tcW w:w="1161" w:type="dxa"/>
            <w:tcBorders>
              <w:top w:val="nil"/>
              <w:left w:val="nil"/>
              <w:bottom w:val="single" w:sz="4" w:space="0" w:color="auto"/>
              <w:right w:val="single" w:sz="4" w:space="0" w:color="auto"/>
            </w:tcBorders>
            <w:shd w:val="clear" w:color="auto" w:fill="FFFFFF" w:themeFill="background1"/>
            <w:vAlign w:val="center"/>
            <w:hideMark/>
          </w:tcPr>
          <w:p w14:paraId="61CB9235" w14:textId="77777777" w:rsidR="001A1178" w:rsidRPr="00132A44" w:rsidRDefault="001A1178" w:rsidP="00271D70">
            <w:pPr>
              <w:jc w:val="center"/>
              <w:rPr>
                <w:rFonts w:ascii="Arial Narrow" w:hAnsi="Arial Narrow" w:cs="Segoe UI"/>
                <w:color w:val="000000"/>
                <w:sz w:val="20"/>
                <w:szCs w:val="20"/>
                <w:lang w:eastAsia="es-CR"/>
              </w:rPr>
            </w:pPr>
            <w:r w:rsidRPr="00132A44">
              <w:rPr>
                <w:rFonts w:ascii="Arial Narrow" w:hAnsi="Arial Narrow" w:cs="Segoe UI"/>
                <w:color w:val="000000"/>
                <w:sz w:val="20"/>
                <w:szCs w:val="20"/>
                <w:lang w:eastAsia="es-CR"/>
              </w:rPr>
              <w:t>93.50 %</w:t>
            </w:r>
          </w:p>
        </w:tc>
      </w:tr>
      <w:tr w:rsidR="001A1178" w:rsidRPr="0080354E" w14:paraId="68F4F652" w14:textId="77777777" w:rsidTr="00322D9B">
        <w:trPr>
          <w:trHeight w:val="301"/>
        </w:trPr>
        <w:tc>
          <w:tcPr>
            <w:tcW w:w="359" w:type="dxa"/>
            <w:tcBorders>
              <w:top w:val="nil"/>
              <w:left w:val="single" w:sz="4" w:space="0" w:color="auto"/>
              <w:bottom w:val="single" w:sz="4" w:space="0" w:color="auto"/>
              <w:right w:val="nil"/>
            </w:tcBorders>
            <w:shd w:val="clear" w:color="auto" w:fill="FFFFFF" w:themeFill="background1"/>
            <w:vAlign w:val="center"/>
            <w:hideMark/>
          </w:tcPr>
          <w:p w14:paraId="09B8E763" w14:textId="77777777" w:rsidR="001A1178" w:rsidRPr="00132A44" w:rsidRDefault="2B97F9B0" w:rsidP="00322D9B">
            <w:pPr>
              <w:jc w:val="center"/>
              <w:rPr>
                <w:rFonts w:ascii="Arial Narrow" w:hAnsi="Arial Narrow" w:cs="Segoe UI"/>
                <w:color w:val="000000"/>
                <w:sz w:val="20"/>
                <w:szCs w:val="20"/>
                <w:lang w:eastAsia="es-CR"/>
              </w:rPr>
            </w:pPr>
            <w:r w:rsidRPr="7F5490C3">
              <w:rPr>
                <w:rFonts w:ascii="Arial Narrow" w:hAnsi="Arial Narrow" w:cs="Segoe UI"/>
                <w:color w:val="000000" w:themeColor="text1"/>
                <w:sz w:val="20"/>
                <w:szCs w:val="20"/>
                <w:lang w:eastAsia="es-CR"/>
              </w:rPr>
              <w:t>27</w:t>
            </w:r>
          </w:p>
        </w:tc>
        <w:tc>
          <w:tcPr>
            <w:tcW w:w="5448" w:type="dxa"/>
            <w:tcBorders>
              <w:top w:val="nil"/>
              <w:left w:val="single" w:sz="4" w:space="0" w:color="auto"/>
              <w:bottom w:val="single" w:sz="4" w:space="0" w:color="auto"/>
              <w:right w:val="single" w:sz="4" w:space="0" w:color="auto"/>
            </w:tcBorders>
            <w:shd w:val="clear" w:color="auto" w:fill="auto"/>
            <w:noWrap/>
            <w:vAlign w:val="bottom"/>
            <w:hideMark/>
          </w:tcPr>
          <w:p w14:paraId="15916755" w14:textId="77777777" w:rsidR="001A1178" w:rsidRPr="00132A44" w:rsidRDefault="001A1178" w:rsidP="00271D70">
            <w:pPr>
              <w:rPr>
                <w:rFonts w:ascii="Arial Narrow" w:hAnsi="Arial Narrow" w:cs="Calibri"/>
                <w:color w:val="000000"/>
                <w:sz w:val="20"/>
                <w:szCs w:val="20"/>
                <w:lang w:eastAsia="es-CR"/>
              </w:rPr>
            </w:pPr>
            <w:r w:rsidRPr="00132A44">
              <w:rPr>
                <w:rFonts w:ascii="Arial Narrow" w:hAnsi="Arial Narrow" w:cs="Calibri"/>
                <w:color w:val="000000"/>
                <w:sz w:val="20"/>
                <w:szCs w:val="20"/>
                <w:lang w:eastAsia="es-CR"/>
              </w:rPr>
              <w:t>DIRECCION EJECUTIVA</w:t>
            </w:r>
          </w:p>
        </w:tc>
        <w:tc>
          <w:tcPr>
            <w:tcW w:w="1958" w:type="dxa"/>
            <w:tcBorders>
              <w:top w:val="nil"/>
              <w:left w:val="nil"/>
              <w:bottom w:val="single" w:sz="4" w:space="0" w:color="auto"/>
              <w:right w:val="single" w:sz="4" w:space="0" w:color="auto"/>
            </w:tcBorders>
            <w:shd w:val="clear" w:color="auto" w:fill="FFFFFF" w:themeFill="background1"/>
            <w:vAlign w:val="center"/>
            <w:hideMark/>
          </w:tcPr>
          <w:p w14:paraId="0635DB5C" w14:textId="77777777" w:rsidR="001A1178" w:rsidRPr="00132A44" w:rsidRDefault="001A1178" w:rsidP="00271D70">
            <w:pPr>
              <w:jc w:val="center"/>
              <w:rPr>
                <w:rFonts w:ascii="Arial Narrow" w:hAnsi="Arial Narrow" w:cs="Segoe UI"/>
                <w:color w:val="000000"/>
                <w:sz w:val="20"/>
                <w:szCs w:val="20"/>
                <w:lang w:eastAsia="es-CR"/>
              </w:rPr>
            </w:pPr>
            <w:r w:rsidRPr="00132A44">
              <w:rPr>
                <w:rFonts w:ascii="Arial Narrow" w:hAnsi="Arial Narrow" w:cs="Segoe UI"/>
                <w:color w:val="000000"/>
                <w:sz w:val="20"/>
                <w:szCs w:val="20"/>
                <w:lang w:eastAsia="es-CR"/>
              </w:rPr>
              <w:t>7</w:t>
            </w:r>
          </w:p>
        </w:tc>
        <w:tc>
          <w:tcPr>
            <w:tcW w:w="1161" w:type="dxa"/>
            <w:tcBorders>
              <w:top w:val="nil"/>
              <w:left w:val="nil"/>
              <w:bottom w:val="single" w:sz="4" w:space="0" w:color="auto"/>
              <w:right w:val="single" w:sz="4" w:space="0" w:color="auto"/>
            </w:tcBorders>
            <w:shd w:val="clear" w:color="auto" w:fill="FFFFFF" w:themeFill="background1"/>
            <w:vAlign w:val="center"/>
            <w:hideMark/>
          </w:tcPr>
          <w:p w14:paraId="5B2D03BB" w14:textId="77777777" w:rsidR="001A1178" w:rsidRPr="00132A44" w:rsidRDefault="001A1178" w:rsidP="00271D70">
            <w:pPr>
              <w:jc w:val="center"/>
              <w:rPr>
                <w:rFonts w:ascii="Arial Narrow" w:hAnsi="Arial Narrow" w:cs="Segoe UI"/>
                <w:color w:val="000000"/>
                <w:sz w:val="20"/>
                <w:szCs w:val="20"/>
                <w:lang w:eastAsia="es-CR"/>
              </w:rPr>
            </w:pPr>
            <w:r w:rsidRPr="00132A44">
              <w:rPr>
                <w:rFonts w:ascii="Arial Narrow" w:hAnsi="Arial Narrow" w:cs="Segoe UI"/>
                <w:color w:val="000000"/>
                <w:sz w:val="20"/>
                <w:szCs w:val="20"/>
                <w:lang w:eastAsia="es-CR"/>
              </w:rPr>
              <w:t>92.71 %</w:t>
            </w:r>
          </w:p>
        </w:tc>
      </w:tr>
      <w:tr w:rsidR="001A1178" w:rsidRPr="0080354E" w14:paraId="3B92009D" w14:textId="77777777" w:rsidTr="00322D9B">
        <w:trPr>
          <w:trHeight w:val="301"/>
        </w:trPr>
        <w:tc>
          <w:tcPr>
            <w:tcW w:w="359" w:type="dxa"/>
            <w:tcBorders>
              <w:top w:val="nil"/>
              <w:left w:val="single" w:sz="4" w:space="0" w:color="auto"/>
              <w:bottom w:val="single" w:sz="4" w:space="0" w:color="auto"/>
              <w:right w:val="nil"/>
            </w:tcBorders>
            <w:shd w:val="clear" w:color="auto" w:fill="FFFFFF" w:themeFill="background1"/>
            <w:vAlign w:val="center"/>
            <w:hideMark/>
          </w:tcPr>
          <w:p w14:paraId="189A9C61" w14:textId="77777777" w:rsidR="001A1178" w:rsidRPr="00132A44" w:rsidRDefault="2B97F9B0" w:rsidP="00322D9B">
            <w:pPr>
              <w:jc w:val="center"/>
              <w:rPr>
                <w:rFonts w:ascii="Arial Narrow" w:hAnsi="Arial Narrow" w:cs="Segoe UI"/>
                <w:color w:val="000000"/>
                <w:sz w:val="20"/>
                <w:szCs w:val="20"/>
                <w:lang w:eastAsia="es-CR"/>
              </w:rPr>
            </w:pPr>
            <w:r w:rsidRPr="7F5490C3">
              <w:rPr>
                <w:rFonts w:ascii="Arial Narrow" w:hAnsi="Arial Narrow" w:cs="Segoe UI"/>
                <w:color w:val="000000" w:themeColor="text1"/>
                <w:sz w:val="20"/>
                <w:szCs w:val="20"/>
                <w:lang w:eastAsia="es-CR"/>
              </w:rPr>
              <w:t>28</w:t>
            </w:r>
          </w:p>
        </w:tc>
        <w:tc>
          <w:tcPr>
            <w:tcW w:w="5448" w:type="dxa"/>
            <w:tcBorders>
              <w:top w:val="nil"/>
              <w:left w:val="single" w:sz="4" w:space="0" w:color="auto"/>
              <w:bottom w:val="single" w:sz="4" w:space="0" w:color="auto"/>
              <w:right w:val="single" w:sz="4" w:space="0" w:color="auto"/>
            </w:tcBorders>
            <w:shd w:val="clear" w:color="auto" w:fill="auto"/>
            <w:noWrap/>
            <w:vAlign w:val="bottom"/>
            <w:hideMark/>
          </w:tcPr>
          <w:p w14:paraId="7E6E00FD" w14:textId="77777777" w:rsidR="001A1178" w:rsidRPr="00132A44" w:rsidRDefault="001A1178" w:rsidP="00271D70">
            <w:pPr>
              <w:rPr>
                <w:rFonts w:ascii="Arial Narrow" w:hAnsi="Arial Narrow" w:cs="Calibri"/>
                <w:color w:val="000000"/>
                <w:sz w:val="20"/>
                <w:szCs w:val="20"/>
                <w:lang w:eastAsia="es-CR"/>
              </w:rPr>
            </w:pPr>
            <w:r w:rsidRPr="00132A44">
              <w:rPr>
                <w:rFonts w:ascii="Arial Narrow" w:hAnsi="Arial Narrow" w:cs="Calibri"/>
                <w:color w:val="000000"/>
                <w:sz w:val="20"/>
                <w:szCs w:val="20"/>
                <w:lang w:eastAsia="es-CR"/>
              </w:rPr>
              <w:t>JUZGADO NOTARIAL</w:t>
            </w:r>
          </w:p>
        </w:tc>
        <w:tc>
          <w:tcPr>
            <w:tcW w:w="1958" w:type="dxa"/>
            <w:tcBorders>
              <w:top w:val="nil"/>
              <w:left w:val="nil"/>
              <w:bottom w:val="single" w:sz="4" w:space="0" w:color="auto"/>
              <w:right w:val="single" w:sz="4" w:space="0" w:color="auto"/>
            </w:tcBorders>
            <w:shd w:val="clear" w:color="auto" w:fill="FFFFFF" w:themeFill="background1"/>
            <w:vAlign w:val="center"/>
            <w:hideMark/>
          </w:tcPr>
          <w:p w14:paraId="5D28DC40" w14:textId="77777777" w:rsidR="001A1178" w:rsidRPr="00132A44" w:rsidRDefault="001A1178" w:rsidP="00271D70">
            <w:pPr>
              <w:jc w:val="center"/>
              <w:rPr>
                <w:rFonts w:ascii="Arial Narrow" w:hAnsi="Arial Narrow" w:cs="Segoe UI"/>
                <w:color w:val="000000"/>
                <w:sz w:val="20"/>
                <w:szCs w:val="20"/>
                <w:lang w:eastAsia="es-CR"/>
              </w:rPr>
            </w:pPr>
            <w:r w:rsidRPr="00132A44">
              <w:rPr>
                <w:rFonts w:ascii="Arial Narrow" w:hAnsi="Arial Narrow" w:cs="Segoe UI"/>
                <w:color w:val="000000"/>
                <w:sz w:val="20"/>
                <w:szCs w:val="20"/>
                <w:lang w:eastAsia="es-CR"/>
              </w:rPr>
              <w:t>2</w:t>
            </w:r>
          </w:p>
        </w:tc>
        <w:tc>
          <w:tcPr>
            <w:tcW w:w="1161" w:type="dxa"/>
            <w:tcBorders>
              <w:top w:val="nil"/>
              <w:left w:val="nil"/>
              <w:bottom w:val="single" w:sz="4" w:space="0" w:color="auto"/>
              <w:right w:val="single" w:sz="4" w:space="0" w:color="auto"/>
            </w:tcBorders>
            <w:shd w:val="clear" w:color="auto" w:fill="FFFFFF" w:themeFill="background1"/>
            <w:vAlign w:val="center"/>
            <w:hideMark/>
          </w:tcPr>
          <w:p w14:paraId="03966449" w14:textId="77777777" w:rsidR="001A1178" w:rsidRPr="00132A44" w:rsidRDefault="001A1178" w:rsidP="00271D70">
            <w:pPr>
              <w:jc w:val="center"/>
              <w:rPr>
                <w:rFonts w:ascii="Arial Narrow" w:hAnsi="Arial Narrow" w:cs="Segoe UI"/>
                <w:color w:val="000000"/>
                <w:sz w:val="20"/>
                <w:szCs w:val="20"/>
                <w:lang w:eastAsia="es-CR"/>
              </w:rPr>
            </w:pPr>
            <w:r w:rsidRPr="00132A44">
              <w:rPr>
                <w:rFonts w:ascii="Arial Narrow" w:hAnsi="Arial Narrow" w:cs="Segoe UI"/>
                <w:color w:val="000000"/>
                <w:sz w:val="20"/>
                <w:szCs w:val="20"/>
                <w:lang w:eastAsia="es-CR"/>
              </w:rPr>
              <w:t>92.50 %</w:t>
            </w:r>
          </w:p>
        </w:tc>
      </w:tr>
      <w:tr w:rsidR="001A1178" w:rsidRPr="0080354E" w14:paraId="09E2BE32" w14:textId="77777777" w:rsidTr="00322D9B">
        <w:trPr>
          <w:trHeight w:val="301"/>
        </w:trPr>
        <w:tc>
          <w:tcPr>
            <w:tcW w:w="359" w:type="dxa"/>
            <w:tcBorders>
              <w:top w:val="nil"/>
              <w:left w:val="single" w:sz="4" w:space="0" w:color="auto"/>
              <w:bottom w:val="single" w:sz="4" w:space="0" w:color="auto"/>
              <w:right w:val="nil"/>
            </w:tcBorders>
            <w:shd w:val="clear" w:color="auto" w:fill="FFFFFF" w:themeFill="background1"/>
            <w:vAlign w:val="center"/>
            <w:hideMark/>
          </w:tcPr>
          <w:p w14:paraId="6B2E546F" w14:textId="77777777" w:rsidR="001A1178" w:rsidRPr="00132A44" w:rsidRDefault="2B97F9B0" w:rsidP="00322D9B">
            <w:pPr>
              <w:jc w:val="center"/>
              <w:rPr>
                <w:rFonts w:ascii="Arial Narrow" w:hAnsi="Arial Narrow" w:cs="Segoe UI"/>
                <w:color w:val="000000"/>
                <w:sz w:val="20"/>
                <w:szCs w:val="20"/>
                <w:lang w:eastAsia="es-CR"/>
              </w:rPr>
            </w:pPr>
            <w:r w:rsidRPr="7F5490C3">
              <w:rPr>
                <w:rFonts w:ascii="Arial Narrow" w:hAnsi="Arial Narrow" w:cs="Segoe UI"/>
                <w:color w:val="000000" w:themeColor="text1"/>
                <w:sz w:val="20"/>
                <w:szCs w:val="20"/>
                <w:lang w:eastAsia="es-CR"/>
              </w:rPr>
              <w:t>29</w:t>
            </w:r>
          </w:p>
        </w:tc>
        <w:tc>
          <w:tcPr>
            <w:tcW w:w="5448" w:type="dxa"/>
            <w:tcBorders>
              <w:top w:val="nil"/>
              <w:left w:val="single" w:sz="4" w:space="0" w:color="auto"/>
              <w:bottom w:val="single" w:sz="4" w:space="0" w:color="auto"/>
              <w:right w:val="single" w:sz="4" w:space="0" w:color="auto"/>
            </w:tcBorders>
            <w:shd w:val="clear" w:color="auto" w:fill="auto"/>
            <w:noWrap/>
            <w:vAlign w:val="bottom"/>
            <w:hideMark/>
          </w:tcPr>
          <w:p w14:paraId="6B6A1883" w14:textId="77777777" w:rsidR="001A1178" w:rsidRPr="00132A44" w:rsidRDefault="001A1178" w:rsidP="00271D70">
            <w:pPr>
              <w:rPr>
                <w:rFonts w:ascii="Arial Narrow" w:hAnsi="Arial Narrow" w:cs="Calibri"/>
                <w:color w:val="000000"/>
                <w:sz w:val="20"/>
                <w:szCs w:val="20"/>
                <w:lang w:eastAsia="es-CR"/>
              </w:rPr>
            </w:pPr>
            <w:r w:rsidRPr="00132A44">
              <w:rPr>
                <w:rFonts w:ascii="Arial Narrow" w:hAnsi="Arial Narrow" w:cs="Calibri"/>
                <w:color w:val="000000"/>
                <w:sz w:val="20"/>
                <w:szCs w:val="20"/>
                <w:lang w:eastAsia="es-CR"/>
              </w:rPr>
              <w:t>DIRECCION DE PLANIFICACION</w:t>
            </w:r>
          </w:p>
        </w:tc>
        <w:tc>
          <w:tcPr>
            <w:tcW w:w="1958" w:type="dxa"/>
            <w:tcBorders>
              <w:top w:val="nil"/>
              <w:left w:val="nil"/>
              <w:bottom w:val="single" w:sz="4" w:space="0" w:color="auto"/>
              <w:right w:val="single" w:sz="4" w:space="0" w:color="auto"/>
            </w:tcBorders>
            <w:shd w:val="clear" w:color="auto" w:fill="FFFFFF" w:themeFill="background1"/>
            <w:vAlign w:val="center"/>
            <w:hideMark/>
          </w:tcPr>
          <w:p w14:paraId="603B52E6" w14:textId="77777777" w:rsidR="001A1178" w:rsidRPr="00132A44" w:rsidRDefault="001A1178" w:rsidP="00271D70">
            <w:pPr>
              <w:jc w:val="center"/>
              <w:rPr>
                <w:rFonts w:ascii="Arial Narrow" w:hAnsi="Arial Narrow" w:cs="Segoe UI"/>
                <w:color w:val="000000"/>
                <w:sz w:val="20"/>
                <w:szCs w:val="20"/>
                <w:lang w:eastAsia="es-CR"/>
              </w:rPr>
            </w:pPr>
            <w:r w:rsidRPr="00132A44">
              <w:rPr>
                <w:rFonts w:ascii="Arial Narrow" w:hAnsi="Arial Narrow" w:cs="Segoe UI"/>
                <w:color w:val="000000"/>
                <w:sz w:val="20"/>
                <w:szCs w:val="20"/>
                <w:lang w:eastAsia="es-CR"/>
              </w:rPr>
              <w:t>13</w:t>
            </w:r>
          </w:p>
        </w:tc>
        <w:tc>
          <w:tcPr>
            <w:tcW w:w="1161" w:type="dxa"/>
            <w:tcBorders>
              <w:top w:val="nil"/>
              <w:left w:val="nil"/>
              <w:bottom w:val="single" w:sz="4" w:space="0" w:color="auto"/>
              <w:right w:val="single" w:sz="4" w:space="0" w:color="auto"/>
            </w:tcBorders>
            <w:shd w:val="clear" w:color="auto" w:fill="FFFFFF" w:themeFill="background1"/>
            <w:vAlign w:val="center"/>
            <w:hideMark/>
          </w:tcPr>
          <w:p w14:paraId="5EE81E64" w14:textId="77777777" w:rsidR="001A1178" w:rsidRPr="00132A44" w:rsidRDefault="001A1178" w:rsidP="00271D70">
            <w:pPr>
              <w:jc w:val="center"/>
              <w:rPr>
                <w:rFonts w:ascii="Arial Narrow" w:hAnsi="Arial Narrow" w:cs="Segoe UI"/>
                <w:color w:val="000000"/>
                <w:sz w:val="20"/>
                <w:szCs w:val="20"/>
                <w:lang w:eastAsia="es-CR"/>
              </w:rPr>
            </w:pPr>
            <w:r w:rsidRPr="00132A44">
              <w:rPr>
                <w:rFonts w:ascii="Arial Narrow" w:hAnsi="Arial Narrow" w:cs="Segoe UI"/>
                <w:color w:val="000000"/>
                <w:sz w:val="20"/>
                <w:szCs w:val="20"/>
                <w:lang w:eastAsia="es-CR"/>
              </w:rPr>
              <w:t>92.31 %</w:t>
            </w:r>
          </w:p>
        </w:tc>
      </w:tr>
      <w:tr w:rsidR="001A1178" w:rsidRPr="0080354E" w14:paraId="7976CB49" w14:textId="77777777" w:rsidTr="00322D9B">
        <w:trPr>
          <w:trHeight w:val="301"/>
        </w:trPr>
        <w:tc>
          <w:tcPr>
            <w:tcW w:w="359" w:type="dxa"/>
            <w:tcBorders>
              <w:top w:val="nil"/>
              <w:left w:val="single" w:sz="4" w:space="0" w:color="auto"/>
              <w:bottom w:val="single" w:sz="4" w:space="0" w:color="auto"/>
              <w:right w:val="nil"/>
            </w:tcBorders>
            <w:shd w:val="clear" w:color="auto" w:fill="BFBFBF" w:themeFill="background1" w:themeFillShade="BF"/>
            <w:vAlign w:val="center"/>
            <w:hideMark/>
          </w:tcPr>
          <w:p w14:paraId="5AA72BCD" w14:textId="77777777" w:rsidR="001A1178" w:rsidRPr="00132A44" w:rsidRDefault="2B97F9B0" w:rsidP="00322D9B">
            <w:pPr>
              <w:jc w:val="center"/>
              <w:rPr>
                <w:rFonts w:ascii="Arial Narrow" w:hAnsi="Arial Narrow" w:cs="Segoe UI"/>
                <w:color w:val="000000"/>
                <w:sz w:val="20"/>
                <w:szCs w:val="20"/>
                <w:lang w:eastAsia="es-CR"/>
              </w:rPr>
            </w:pPr>
            <w:r w:rsidRPr="7F5490C3">
              <w:rPr>
                <w:rFonts w:ascii="Arial Narrow" w:hAnsi="Arial Narrow" w:cs="Segoe UI"/>
                <w:color w:val="000000" w:themeColor="text1"/>
                <w:sz w:val="20"/>
                <w:szCs w:val="20"/>
                <w:lang w:eastAsia="es-CR"/>
              </w:rPr>
              <w:t>30</w:t>
            </w:r>
          </w:p>
        </w:tc>
        <w:tc>
          <w:tcPr>
            <w:tcW w:w="5448" w:type="dxa"/>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14:paraId="5A4834AF" w14:textId="77777777" w:rsidR="001A1178" w:rsidRPr="00132A44" w:rsidRDefault="001A1178" w:rsidP="00271D70">
            <w:pPr>
              <w:rPr>
                <w:rFonts w:ascii="Arial Narrow" w:hAnsi="Arial Narrow" w:cs="Calibri"/>
                <w:color w:val="000000"/>
                <w:sz w:val="20"/>
                <w:szCs w:val="20"/>
                <w:lang w:eastAsia="es-CR"/>
              </w:rPr>
            </w:pPr>
            <w:r w:rsidRPr="00132A44">
              <w:rPr>
                <w:rFonts w:ascii="Arial Narrow" w:hAnsi="Arial Narrow" w:cs="Calibri"/>
                <w:color w:val="000000"/>
                <w:sz w:val="20"/>
                <w:szCs w:val="20"/>
                <w:lang w:eastAsia="es-CR"/>
              </w:rPr>
              <w:t>CENTRO DE APOYO, COORDINACION Y MEJORAMIENTO DE LA FUNCION JURISDICCIONAL</w:t>
            </w:r>
          </w:p>
        </w:tc>
        <w:tc>
          <w:tcPr>
            <w:tcW w:w="1958" w:type="dxa"/>
            <w:tcBorders>
              <w:top w:val="nil"/>
              <w:left w:val="nil"/>
              <w:bottom w:val="single" w:sz="4" w:space="0" w:color="auto"/>
              <w:right w:val="single" w:sz="4" w:space="0" w:color="auto"/>
            </w:tcBorders>
            <w:shd w:val="clear" w:color="auto" w:fill="BFBFBF" w:themeFill="background1" w:themeFillShade="BF"/>
            <w:vAlign w:val="center"/>
            <w:hideMark/>
          </w:tcPr>
          <w:p w14:paraId="1F19F5EB" w14:textId="77777777" w:rsidR="001A1178" w:rsidRPr="00132A44" w:rsidRDefault="001A1178" w:rsidP="00271D70">
            <w:pPr>
              <w:jc w:val="center"/>
              <w:rPr>
                <w:rFonts w:ascii="Arial Narrow" w:hAnsi="Arial Narrow" w:cs="Segoe UI"/>
                <w:color w:val="000000"/>
                <w:sz w:val="20"/>
                <w:szCs w:val="20"/>
                <w:lang w:eastAsia="es-CR"/>
              </w:rPr>
            </w:pPr>
            <w:r w:rsidRPr="00132A44">
              <w:rPr>
                <w:rFonts w:ascii="Arial Narrow" w:hAnsi="Arial Narrow" w:cs="Segoe UI"/>
                <w:color w:val="000000"/>
                <w:sz w:val="20"/>
                <w:szCs w:val="20"/>
                <w:lang w:eastAsia="es-CR"/>
              </w:rPr>
              <w:t>48</w:t>
            </w:r>
          </w:p>
        </w:tc>
        <w:tc>
          <w:tcPr>
            <w:tcW w:w="1161" w:type="dxa"/>
            <w:tcBorders>
              <w:top w:val="nil"/>
              <w:left w:val="nil"/>
              <w:bottom w:val="single" w:sz="4" w:space="0" w:color="auto"/>
              <w:right w:val="single" w:sz="4" w:space="0" w:color="auto"/>
            </w:tcBorders>
            <w:shd w:val="clear" w:color="auto" w:fill="BFBFBF" w:themeFill="background1" w:themeFillShade="BF"/>
            <w:vAlign w:val="center"/>
            <w:hideMark/>
          </w:tcPr>
          <w:p w14:paraId="41FBF1C4" w14:textId="77777777" w:rsidR="001A1178" w:rsidRPr="00132A44" w:rsidRDefault="001A1178" w:rsidP="00271D70">
            <w:pPr>
              <w:jc w:val="center"/>
              <w:rPr>
                <w:rFonts w:ascii="Arial Narrow" w:hAnsi="Arial Narrow" w:cs="Segoe UI"/>
                <w:color w:val="000000"/>
                <w:sz w:val="20"/>
                <w:szCs w:val="20"/>
                <w:lang w:eastAsia="es-CR"/>
              </w:rPr>
            </w:pPr>
            <w:r w:rsidRPr="00132A44">
              <w:rPr>
                <w:rFonts w:ascii="Arial Narrow" w:hAnsi="Arial Narrow" w:cs="Segoe UI"/>
                <w:color w:val="000000"/>
                <w:sz w:val="20"/>
                <w:szCs w:val="20"/>
                <w:lang w:eastAsia="es-CR"/>
              </w:rPr>
              <w:t>85.04 %</w:t>
            </w:r>
          </w:p>
        </w:tc>
      </w:tr>
      <w:tr w:rsidR="001A1178" w:rsidRPr="0080354E" w14:paraId="3C31ACA4" w14:textId="77777777" w:rsidTr="7F5490C3">
        <w:trPr>
          <w:trHeight w:val="301"/>
        </w:trPr>
        <w:tc>
          <w:tcPr>
            <w:tcW w:w="359" w:type="dxa"/>
            <w:tcBorders>
              <w:top w:val="nil"/>
              <w:left w:val="single" w:sz="4" w:space="0" w:color="auto"/>
              <w:bottom w:val="single" w:sz="4" w:space="0" w:color="auto"/>
              <w:right w:val="nil"/>
            </w:tcBorders>
            <w:shd w:val="clear" w:color="auto" w:fill="BFBFBF" w:themeFill="background1" w:themeFillShade="BF"/>
            <w:hideMark/>
          </w:tcPr>
          <w:p w14:paraId="5D619C9D" w14:textId="77777777" w:rsidR="001A1178" w:rsidRPr="00132A44" w:rsidRDefault="001A1178" w:rsidP="00271D70">
            <w:pPr>
              <w:jc w:val="right"/>
              <w:rPr>
                <w:rFonts w:ascii="Arial Narrow" w:hAnsi="Arial Narrow" w:cs="Segoe UI"/>
                <w:color w:val="000000"/>
                <w:sz w:val="20"/>
                <w:szCs w:val="20"/>
                <w:lang w:eastAsia="es-CR"/>
              </w:rPr>
            </w:pPr>
            <w:r w:rsidRPr="00132A44">
              <w:rPr>
                <w:rFonts w:ascii="Arial Narrow" w:hAnsi="Arial Narrow" w:cs="Segoe UI"/>
                <w:color w:val="000000"/>
                <w:sz w:val="20"/>
                <w:szCs w:val="20"/>
                <w:lang w:eastAsia="es-CR"/>
              </w:rPr>
              <w:t>31</w:t>
            </w:r>
          </w:p>
        </w:tc>
        <w:tc>
          <w:tcPr>
            <w:tcW w:w="5448" w:type="dxa"/>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14:paraId="04C21EDC" w14:textId="77777777" w:rsidR="001A1178" w:rsidRPr="00132A44" w:rsidRDefault="001A1178" w:rsidP="00271D70">
            <w:pPr>
              <w:rPr>
                <w:rFonts w:ascii="Arial Narrow" w:hAnsi="Arial Narrow" w:cs="Calibri"/>
                <w:color w:val="000000"/>
                <w:sz w:val="20"/>
                <w:szCs w:val="20"/>
                <w:lang w:eastAsia="es-CR"/>
              </w:rPr>
            </w:pPr>
            <w:r w:rsidRPr="00132A44">
              <w:rPr>
                <w:rFonts w:ascii="Arial Narrow" w:hAnsi="Arial Narrow" w:cs="Calibri"/>
                <w:color w:val="000000"/>
                <w:sz w:val="20"/>
                <w:szCs w:val="20"/>
                <w:lang w:eastAsia="es-CR"/>
              </w:rPr>
              <w:t>DEPARTAMENTO DE PRENSA Y COMUNICACION ORGANIZACIONAL</w:t>
            </w:r>
          </w:p>
        </w:tc>
        <w:tc>
          <w:tcPr>
            <w:tcW w:w="1958" w:type="dxa"/>
            <w:tcBorders>
              <w:top w:val="nil"/>
              <w:left w:val="nil"/>
              <w:bottom w:val="single" w:sz="4" w:space="0" w:color="auto"/>
              <w:right w:val="single" w:sz="4" w:space="0" w:color="auto"/>
            </w:tcBorders>
            <w:shd w:val="clear" w:color="auto" w:fill="BFBFBF" w:themeFill="background1" w:themeFillShade="BF"/>
            <w:vAlign w:val="center"/>
            <w:hideMark/>
          </w:tcPr>
          <w:p w14:paraId="2626A003" w14:textId="77777777" w:rsidR="001A1178" w:rsidRPr="00132A44" w:rsidRDefault="001A1178" w:rsidP="00271D70">
            <w:pPr>
              <w:jc w:val="center"/>
              <w:rPr>
                <w:rFonts w:ascii="Arial Narrow" w:hAnsi="Arial Narrow" w:cs="Segoe UI"/>
                <w:color w:val="000000"/>
                <w:sz w:val="20"/>
                <w:szCs w:val="20"/>
                <w:lang w:eastAsia="es-CR"/>
              </w:rPr>
            </w:pPr>
            <w:r w:rsidRPr="00132A44">
              <w:rPr>
                <w:rFonts w:ascii="Arial Narrow" w:hAnsi="Arial Narrow" w:cs="Segoe UI"/>
                <w:color w:val="000000"/>
                <w:sz w:val="20"/>
                <w:szCs w:val="20"/>
                <w:lang w:eastAsia="es-CR"/>
              </w:rPr>
              <w:t>2</w:t>
            </w:r>
          </w:p>
        </w:tc>
        <w:tc>
          <w:tcPr>
            <w:tcW w:w="1161" w:type="dxa"/>
            <w:tcBorders>
              <w:top w:val="nil"/>
              <w:left w:val="nil"/>
              <w:bottom w:val="single" w:sz="4" w:space="0" w:color="auto"/>
              <w:right w:val="single" w:sz="4" w:space="0" w:color="auto"/>
            </w:tcBorders>
            <w:shd w:val="clear" w:color="auto" w:fill="BFBFBF" w:themeFill="background1" w:themeFillShade="BF"/>
            <w:vAlign w:val="center"/>
            <w:hideMark/>
          </w:tcPr>
          <w:p w14:paraId="32D54E82" w14:textId="77777777" w:rsidR="001A1178" w:rsidRPr="00132A44" w:rsidRDefault="001A1178" w:rsidP="00271D70">
            <w:pPr>
              <w:jc w:val="center"/>
              <w:rPr>
                <w:rFonts w:ascii="Arial Narrow" w:hAnsi="Arial Narrow" w:cs="Segoe UI"/>
                <w:color w:val="000000"/>
                <w:sz w:val="20"/>
                <w:szCs w:val="20"/>
                <w:lang w:eastAsia="es-CR"/>
              </w:rPr>
            </w:pPr>
            <w:r w:rsidRPr="00132A44">
              <w:rPr>
                <w:rFonts w:ascii="Arial Narrow" w:hAnsi="Arial Narrow" w:cs="Segoe UI"/>
                <w:color w:val="000000"/>
                <w:sz w:val="20"/>
                <w:szCs w:val="20"/>
                <w:lang w:eastAsia="es-CR"/>
              </w:rPr>
              <w:t>62.50 %</w:t>
            </w:r>
          </w:p>
        </w:tc>
      </w:tr>
    </w:tbl>
    <w:p w14:paraId="58B8DA21" w14:textId="77777777" w:rsidR="001A1178" w:rsidRPr="00996542" w:rsidRDefault="001A1178" w:rsidP="00B54439">
      <w:pPr>
        <w:jc w:val="center"/>
        <w:rPr>
          <w:rFonts w:ascii="Arial Narrow" w:hAnsi="Arial Narrow"/>
          <w:sz w:val="18"/>
          <w:szCs w:val="18"/>
        </w:rPr>
      </w:pPr>
      <w:r w:rsidRPr="00996542">
        <w:rPr>
          <w:rFonts w:ascii="Arial Narrow" w:hAnsi="Arial Narrow"/>
          <w:sz w:val="18"/>
          <w:szCs w:val="18"/>
        </w:rPr>
        <w:t>Fuente: Sistema PEI al 19 de enero del 2022 para el año 2021.</w:t>
      </w:r>
    </w:p>
    <w:p w14:paraId="469519ED" w14:textId="77777777" w:rsidR="001A1178" w:rsidRDefault="001A1178" w:rsidP="001A1178">
      <w:pPr>
        <w:rPr>
          <w:rFonts w:ascii="Arial Narrow" w:eastAsia="Calibri" w:hAnsi="Arial Narrow"/>
        </w:rPr>
      </w:pPr>
    </w:p>
    <w:p w14:paraId="61106F30" w14:textId="683A5AAD" w:rsidR="001A1178" w:rsidRDefault="001A1178" w:rsidP="0080354E">
      <w:pPr>
        <w:jc w:val="both"/>
        <w:rPr>
          <w:rFonts w:ascii="Arial Narrow" w:eastAsia="Calibri" w:hAnsi="Arial Narrow"/>
        </w:rPr>
      </w:pPr>
      <w:r w:rsidRPr="000B4845">
        <w:rPr>
          <w:rFonts w:ascii="Arial Narrow" w:eastAsia="Calibri" w:hAnsi="Arial Narrow"/>
        </w:rPr>
        <w:t>Se observa que</w:t>
      </w:r>
      <w:r>
        <w:rPr>
          <w:rFonts w:ascii="Arial Narrow" w:eastAsia="Calibri" w:hAnsi="Arial Narrow"/>
        </w:rPr>
        <w:t>,</w:t>
      </w:r>
      <w:r w:rsidRPr="000B4845">
        <w:rPr>
          <w:rFonts w:ascii="Arial Narrow" w:eastAsia="Calibri" w:hAnsi="Arial Narrow"/>
        </w:rPr>
        <w:t xml:space="preserve"> de l</w:t>
      </w:r>
      <w:r>
        <w:rPr>
          <w:rFonts w:ascii="Arial Narrow" w:eastAsia="Calibri" w:hAnsi="Arial Narrow"/>
        </w:rPr>
        <w:t>o</w:t>
      </w:r>
      <w:r w:rsidRPr="000B4845">
        <w:rPr>
          <w:rFonts w:ascii="Arial Narrow" w:eastAsia="Calibri" w:hAnsi="Arial Narrow"/>
        </w:rPr>
        <w:t xml:space="preserve">s </w:t>
      </w:r>
      <w:r>
        <w:rPr>
          <w:rFonts w:ascii="Arial Narrow" w:eastAsia="Calibri" w:hAnsi="Arial Narrow"/>
        </w:rPr>
        <w:t>31</w:t>
      </w:r>
      <w:r w:rsidRPr="000B4845">
        <w:rPr>
          <w:rFonts w:ascii="Arial Narrow" w:eastAsia="Calibri" w:hAnsi="Arial Narrow"/>
        </w:rPr>
        <w:t xml:space="preserve"> </w:t>
      </w:r>
      <w:r w:rsidRPr="00484CC1">
        <w:rPr>
          <w:rFonts w:ascii="Arial Narrow" w:eastAsia="Calibri" w:hAnsi="Arial Narrow"/>
        </w:rPr>
        <w:t>responsables estratégicos</w:t>
      </w:r>
      <w:r w:rsidRPr="000B4845">
        <w:rPr>
          <w:rFonts w:ascii="Arial Narrow" w:eastAsia="Calibri" w:hAnsi="Arial Narrow"/>
        </w:rPr>
        <w:t xml:space="preserve">, </w:t>
      </w:r>
      <w:r>
        <w:rPr>
          <w:rFonts w:ascii="Arial Narrow" w:eastAsia="Calibri" w:hAnsi="Arial Narrow"/>
        </w:rPr>
        <w:t>29 tienen un cumplimiento alto de</w:t>
      </w:r>
      <w:r w:rsidRPr="000B4845">
        <w:rPr>
          <w:rFonts w:ascii="Arial Narrow" w:eastAsia="Calibri" w:hAnsi="Arial Narrow"/>
        </w:rPr>
        <w:t xml:space="preserve"> sus metas estratégicas en un </w:t>
      </w:r>
      <w:r>
        <w:rPr>
          <w:rFonts w:ascii="Arial Narrow" w:eastAsia="Calibri" w:hAnsi="Arial Narrow"/>
        </w:rPr>
        <w:t>9</w:t>
      </w:r>
      <w:r w:rsidRPr="000B4845">
        <w:rPr>
          <w:rFonts w:ascii="Arial Narrow" w:eastAsia="Calibri" w:hAnsi="Arial Narrow"/>
        </w:rPr>
        <w:t>0%</w:t>
      </w:r>
      <w:r>
        <w:rPr>
          <w:rFonts w:ascii="Arial Narrow" w:eastAsia="Calibri" w:hAnsi="Arial Narrow"/>
        </w:rPr>
        <w:t>-100%</w:t>
      </w:r>
      <w:r w:rsidRPr="000B4845">
        <w:rPr>
          <w:rFonts w:ascii="Arial Narrow" w:eastAsia="Calibri" w:hAnsi="Arial Narrow"/>
        </w:rPr>
        <w:t xml:space="preserve">, eso equivale a un </w:t>
      </w:r>
      <w:r>
        <w:rPr>
          <w:rFonts w:ascii="Arial Narrow" w:eastAsia="Calibri" w:hAnsi="Arial Narrow"/>
        </w:rPr>
        <w:t>93</w:t>
      </w:r>
      <w:r w:rsidRPr="000B4845">
        <w:rPr>
          <w:rFonts w:ascii="Arial Narrow" w:eastAsia="Calibri" w:hAnsi="Arial Narrow"/>
        </w:rPr>
        <w:t>% de la totalidad de oficinas responsables</w:t>
      </w:r>
      <w:r>
        <w:rPr>
          <w:rFonts w:ascii="Arial Narrow" w:eastAsia="Calibri" w:hAnsi="Arial Narrow"/>
        </w:rPr>
        <w:t xml:space="preserve">, esto </w:t>
      </w:r>
      <w:r w:rsidRPr="000B4845">
        <w:rPr>
          <w:rFonts w:ascii="Arial Narrow" w:eastAsia="Calibri" w:hAnsi="Arial Narrow"/>
        </w:rPr>
        <w:t xml:space="preserve">evidencia esfuerzos importantes para alcanzar las metas estratégicas </w:t>
      </w:r>
      <w:r w:rsidRPr="00B76759">
        <w:rPr>
          <w:rFonts w:ascii="Arial Narrow" w:eastAsia="Calibri" w:hAnsi="Arial Narrow"/>
        </w:rPr>
        <w:t>operativizadas al PAO del primer año del PEI</w:t>
      </w:r>
      <w:r w:rsidRPr="00B717B9">
        <w:rPr>
          <w:rFonts w:ascii="Arial Narrow" w:eastAsia="Calibri" w:hAnsi="Arial Narrow"/>
        </w:rPr>
        <w:t xml:space="preserve"> </w:t>
      </w:r>
      <w:r>
        <w:rPr>
          <w:rFonts w:ascii="Arial Narrow" w:eastAsia="Calibri" w:hAnsi="Arial Narrow"/>
        </w:rPr>
        <w:t>2021</w:t>
      </w:r>
      <w:r w:rsidRPr="000B4845">
        <w:rPr>
          <w:rFonts w:ascii="Arial Narrow" w:eastAsia="Calibri" w:hAnsi="Arial Narrow"/>
        </w:rPr>
        <w:t>.</w:t>
      </w:r>
      <w:r>
        <w:rPr>
          <w:rFonts w:ascii="Arial Narrow" w:eastAsia="Calibri" w:hAnsi="Arial Narrow"/>
        </w:rPr>
        <w:t xml:space="preserve">  </w:t>
      </w:r>
    </w:p>
    <w:p w14:paraId="21B590F7" w14:textId="77777777" w:rsidR="0080354E" w:rsidRDefault="0080354E" w:rsidP="00132A44">
      <w:pPr>
        <w:jc w:val="both"/>
        <w:rPr>
          <w:rFonts w:ascii="Arial Narrow" w:eastAsia="Calibri" w:hAnsi="Arial Narrow"/>
        </w:rPr>
      </w:pPr>
    </w:p>
    <w:p w14:paraId="4E867953" w14:textId="4D871FB5" w:rsidR="001A1178" w:rsidRDefault="001A1178" w:rsidP="0080354E">
      <w:pPr>
        <w:jc w:val="both"/>
        <w:rPr>
          <w:rFonts w:ascii="Arial Narrow" w:eastAsia="Calibri" w:hAnsi="Arial Narrow"/>
        </w:rPr>
      </w:pPr>
      <w:r>
        <w:rPr>
          <w:rFonts w:ascii="Arial Narrow" w:eastAsia="Calibri" w:hAnsi="Arial Narrow"/>
        </w:rPr>
        <w:t xml:space="preserve">Un aspecto relevante relacionado al cumplimiento por parte de los responsables estratégicos se tiene lo siguiente: una determinada oficina o centro responsable, se le asigna una meta estratégica y se transforma en un responsable estratégico de la misma. </w:t>
      </w:r>
    </w:p>
    <w:p w14:paraId="53D843A3" w14:textId="77777777" w:rsidR="0080354E" w:rsidRDefault="0080354E" w:rsidP="00132A44">
      <w:pPr>
        <w:jc w:val="both"/>
        <w:rPr>
          <w:rFonts w:ascii="Arial Narrow" w:eastAsia="Calibri" w:hAnsi="Arial Narrow"/>
        </w:rPr>
      </w:pPr>
    </w:p>
    <w:p w14:paraId="17E94CC8" w14:textId="2AA798BC" w:rsidR="001A1178" w:rsidRDefault="001A1178" w:rsidP="0080354E">
      <w:pPr>
        <w:jc w:val="both"/>
        <w:rPr>
          <w:rFonts w:ascii="Arial Narrow" w:eastAsia="Calibri" w:hAnsi="Arial Narrow"/>
        </w:rPr>
      </w:pPr>
      <w:r>
        <w:rPr>
          <w:rFonts w:ascii="Arial Narrow" w:eastAsia="Calibri" w:hAnsi="Arial Narrow"/>
        </w:rPr>
        <w:t xml:space="preserve">Esa meta se asigna a múltiples responsables operativos de los cuales se espera un cumplimiento total y un registro en el sistema PAO de los avances de manera actualizada, para que no se presente una afectación en el cumplimiento total de la meta estratégica. Por </w:t>
      </w:r>
      <w:r w:rsidRPr="00DA4A49">
        <w:rPr>
          <w:rFonts w:ascii="Arial Narrow" w:eastAsia="Calibri" w:hAnsi="Arial Narrow"/>
        </w:rPr>
        <w:t>ejemplo, la Dirección de Planificación en el año 2021 fue responsable estratégico de 13 metas, de las cuales 12 lograron un 100% de cumplimiento, y solamente una registra un 0% la cual es: “</w:t>
      </w:r>
      <w:r w:rsidRPr="00DA4A49">
        <w:rPr>
          <w:rFonts w:ascii="Arial Narrow" w:eastAsia="Calibri" w:hAnsi="Arial Narrow"/>
          <w:b/>
          <w:bCs/>
          <w:i/>
          <w:iCs/>
        </w:rPr>
        <w:t>Que al finalizar el 2024, se haya implementado el proyecto de abordaje a la entrada en vigencia del Código Procesal Agrario”.</w:t>
      </w:r>
      <w:r w:rsidRPr="00DA4A49">
        <w:rPr>
          <w:rFonts w:ascii="Arial Narrow" w:eastAsia="Calibri" w:hAnsi="Arial Narrow"/>
        </w:rPr>
        <w:t xml:space="preserve"> </w:t>
      </w:r>
    </w:p>
    <w:p w14:paraId="7A9B39F0" w14:textId="77777777" w:rsidR="0080354E" w:rsidRPr="00DA4A49" w:rsidRDefault="0080354E" w:rsidP="00132A44">
      <w:pPr>
        <w:jc w:val="both"/>
        <w:rPr>
          <w:rFonts w:ascii="Arial Narrow" w:eastAsia="Calibri" w:hAnsi="Arial Narrow"/>
        </w:rPr>
      </w:pPr>
    </w:p>
    <w:p w14:paraId="6C335026" w14:textId="25EDFEAC" w:rsidR="001A1178" w:rsidRDefault="001A1178" w:rsidP="0080354E">
      <w:pPr>
        <w:jc w:val="both"/>
        <w:rPr>
          <w:rFonts w:ascii="Arial Narrow" w:hAnsi="Arial Narrow"/>
        </w:rPr>
      </w:pPr>
      <w:r w:rsidRPr="00DA4A49">
        <w:rPr>
          <w:rFonts w:ascii="Arial Narrow" w:eastAsia="Calibri" w:hAnsi="Arial Narrow"/>
        </w:rPr>
        <w:t xml:space="preserve">Al revisar detenidamente esa meta, </w:t>
      </w:r>
      <w:r w:rsidRPr="00DA4A49">
        <w:rPr>
          <w:rFonts w:ascii="Arial Narrow" w:hAnsi="Arial Narrow"/>
        </w:rPr>
        <w:t>se tiene que si bien es cierto la Dirección de Planificación es el responsable estratégico de la meta, la Comisión de la Jurisdicción Agrario Ambiental fue el responsable operativo del cumplimiento para el 2021 por medio de acciones como: capacitado al 100% de la población definida en el plan de capacitación</w:t>
      </w:r>
      <w:r>
        <w:rPr>
          <w:rFonts w:ascii="Arial Narrow" w:hAnsi="Arial Narrow"/>
        </w:rPr>
        <w:t xml:space="preserve">, </w:t>
      </w:r>
      <w:r w:rsidRPr="009D5173">
        <w:rPr>
          <w:rFonts w:ascii="Arial Narrow" w:hAnsi="Arial Narrow"/>
        </w:rPr>
        <w:t>capacitación sobre el uso de la herramienta tecnológica “</w:t>
      </w:r>
      <w:r w:rsidRPr="008343D5">
        <w:rPr>
          <w:rFonts w:ascii="Arial Narrow" w:hAnsi="Arial Narrow"/>
          <w:i/>
          <w:iCs/>
        </w:rPr>
        <w:t>drone</w:t>
      </w:r>
      <w:r w:rsidRPr="009D5173">
        <w:rPr>
          <w:rFonts w:ascii="Arial Narrow" w:hAnsi="Arial Narrow"/>
        </w:rPr>
        <w:t>” al 100% de las personas juzgadoras y al menos 2 personas técnicas de la jurisdicción agraria</w:t>
      </w:r>
      <w:r>
        <w:rPr>
          <w:rFonts w:ascii="Arial Narrow" w:hAnsi="Arial Narrow"/>
        </w:rPr>
        <w:t xml:space="preserve">, así como detectar </w:t>
      </w:r>
      <w:r w:rsidRPr="009D5173">
        <w:rPr>
          <w:rFonts w:ascii="Arial Narrow" w:hAnsi="Arial Narrow"/>
        </w:rPr>
        <w:t>oportunidades de mejora del Protocolo de Audiencias Virtuales de la Jurisdicción Agraria.</w:t>
      </w:r>
      <w:r>
        <w:rPr>
          <w:rFonts w:ascii="Arial Narrow" w:hAnsi="Arial Narrow"/>
        </w:rPr>
        <w:t xml:space="preserve"> Estas actividades no se realizaron principalmente por las razones aportadas por el Dr. </w:t>
      </w:r>
      <w:r w:rsidRPr="0033534F">
        <w:rPr>
          <w:rFonts w:ascii="Arial Narrow" w:hAnsi="Arial Narrow"/>
        </w:rPr>
        <w:t>Luis Guillermo Rivas Loáiciga</w:t>
      </w:r>
      <w:r>
        <w:rPr>
          <w:rFonts w:ascii="Arial Narrow" w:hAnsi="Arial Narrow"/>
        </w:rPr>
        <w:t xml:space="preserve">, </w:t>
      </w:r>
      <w:r w:rsidRPr="0033534F">
        <w:rPr>
          <w:rFonts w:ascii="Arial Narrow" w:hAnsi="Arial Narrow"/>
        </w:rPr>
        <w:t>Magistrado Presidente de la Sala Primera</w:t>
      </w:r>
      <w:r>
        <w:rPr>
          <w:rFonts w:ascii="Arial Narrow" w:hAnsi="Arial Narrow"/>
        </w:rPr>
        <w:t xml:space="preserve">, quien manifiesta que el proceso de actualización de PAO fue </w:t>
      </w:r>
      <w:r w:rsidRPr="0033534F">
        <w:rPr>
          <w:rFonts w:ascii="Arial Narrow" w:hAnsi="Arial Narrow"/>
        </w:rPr>
        <w:t xml:space="preserve">interrumpido </w:t>
      </w:r>
      <w:r>
        <w:rPr>
          <w:rFonts w:ascii="Arial Narrow" w:hAnsi="Arial Narrow"/>
        </w:rPr>
        <w:t>debido a que</w:t>
      </w:r>
      <w:r w:rsidRPr="0033534F">
        <w:rPr>
          <w:rFonts w:ascii="Arial Narrow" w:hAnsi="Arial Narrow"/>
        </w:rPr>
        <w:t xml:space="preserve"> la jueza Rebeca Salazar cesó en su función de gestionadora o promotora de implementación de la nueva propuesta procesal Agraria, desde final del año </w:t>
      </w:r>
      <w:r>
        <w:rPr>
          <w:rFonts w:ascii="Arial Narrow" w:hAnsi="Arial Narrow"/>
        </w:rPr>
        <w:t>2021</w:t>
      </w:r>
      <w:r w:rsidRPr="0033534F">
        <w:rPr>
          <w:rFonts w:ascii="Arial Narrow" w:hAnsi="Arial Narrow"/>
        </w:rPr>
        <w:t xml:space="preserve">, por las propias decisiones administrativas de </w:t>
      </w:r>
      <w:r>
        <w:rPr>
          <w:rFonts w:ascii="Arial Narrow" w:hAnsi="Arial Narrow"/>
        </w:rPr>
        <w:t>la</w:t>
      </w:r>
      <w:r w:rsidRPr="0033534F">
        <w:rPr>
          <w:rFonts w:ascii="Arial Narrow" w:hAnsi="Arial Narrow"/>
        </w:rPr>
        <w:t xml:space="preserve"> Institución. </w:t>
      </w:r>
      <w:r>
        <w:rPr>
          <w:rFonts w:ascii="Arial Narrow" w:hAnsi="Arial Narrow"/>
        </w:rPr>
        <w:t>Al cierre del año 2021, no fue</w:t>
      </w:r>
      <w:r w:rsidRPr="0033534F">
        <w:rPr>
          <w:rFonts w:ascii="Arial Narrow" w:hAnsi="Arial Narrow"/>
        </w:rPr>
        <w:t xml:space="preserve"> posible establece</w:t>
      </w:r>
      <w:r>
        <w:rPr>
          <w:rFonts w:ascii="Arial Narrow" w:hAnsi="Arial Narrow"/>
        </w:rPr>
        <w:t xml:space="preserve">r un gestionador de la propuesta agraria y se encuentra pendiente de aprobación por parte del </w:t>
      </w:r>
      <w:r w:rsidRPr="0033534F">
        <w:rPr>
          <w:rFonts w:ascii="Arial Narrow" w:hAnsi="Arial Narrow"/>
        </w:rPr>
        <w:t xml:space="preserve">Consejo Superior. </w:t>
      </w:r>
    </w:p>
    <w:p w14:paraId="364FD564" w14:textId="77777777" w:rsidR="0080354E" w:rsidRDefault="0080354E" w:rsidP="00132A44">
      <w:pPr>
        <w:jc w:val="both"/>
        <w:rPr>
          <w:rFonts w:ascii="Arial Narrow" w:hAnsi="Arial Narrow"/>
        </w:rPr>
      </w:pPr>
    </w:p>
    <w:p w14:paraId="0796A430" w14:textId="04410E3A" w:rsidR="001A1178" w:rsidRPr="00DA4A49" w:rsidRDefault="001A1178" w:rsidP="00132A44">
      <w:pPr>
        <w:jc w:val="both"/>
        <w:rPr>
          <w:rFonts w:ascii="Arial Narrow" w:hAnsi="Arial Narrow"/>
        </w:rPr>
      </w:pPr>
      <w:r w:rsidRPr="00DA4A49">
        <w:rPr>
          <w:rFonts w:ascii="Arial Narrow" w:hAnsi="Arial Narrow"/>
        </w:rPr>
        <w:t xml:space="preserve">Por lo tanto, hay un bloque de </w:t>
      </w:r>
      <w:r w:rsidR="002F49AB">
        <w:rPr>
          <w:rFonts w:ascii="Arial Narrow" w:hAnsi="Arial Narrow"/>
        </w:rPr>
        <w:t>dos</w:t>
      </w:r>
      <w:r w:rsidR="002F49AB" w:rsidRPr="00DA4A49">
        <w:rPr>
          <w:rFonts w:ascii="Arial Narrow" w:hAnsi="Arial Narrow"/>
        </w:rPr>
        <w:t xml:space="preserve"> </w:t>
      </w:r>
      <w:r w:rsidRPr="00DA4A49">
        <w:rPr>
          <w:rFonts w:ascii="Arial Narrow" w:hAnsi="Arial Narrow"/>
        </w:rPr>
        <w:t>responsables estratégicos que tienen un cumplimiento medio de inferior a 89,9% a 50%, esto equivale a 7% de oficinas que realizaron una ejecución de metas estratégicas parcial, es importante tener presente estas metas estratégicas para darles una prioridad especial y una atención de relevancia en la ejecución del PEI para el 2021-2024, a saber:</w:t>
      </w:r>
    </w:p>
    <w:p w14:paraId="39258BF2" w14:textId="77777777" w:rsidR="001A1178" w:rsidRPr="00992B21" w:rsidRDefault="001A1178" w:rsidP="00132A44">
      <w:pPr>
        <w:jc w:val="both"/>
        <w:rPr>
          <w:rFonts w:ascii="Arial Narrow" w:eastAsia="Calibri" w:hAnsi="Arial Narrow"/>
        </w:rPr>
      </w:pPr>
    </w:p>
    <w:p w14:paraId="575B9CD1" w14:textId="01C77510" w:rsidR="00A97BD2" w:rsidRDefault="00A97BD2">
      <w:pPr>
        <w:rPr>
          <w:rFonts w:ascii="Arial Narrow" w:hAnsi="Arial Narrow"/>
          <w:b/>
          <w:bCs/>
        </w:rPr>
      </w:pPr>
      <w:bookmarkStart w:id="93" w:name="_Toc84919477"/>
      <w:bookmarkStart w:id="94" w:name="_Toc104979243"/>
    </w:p>
    <w:p w14:paraId="707699D4" w14:textId="5DB72D8F" w:rsidR="001A1178" w:rsidRDefault="00992B21" w:rsidP="00992B21">
      <w:pPr>
        <w:pStyle w:val="Descripcin"/>
        <w:jc w:val="center"/>
        <w:rPr>
          <w:rFonts w:ascii="Arial Narrow" w:eastAsia="Calibri" w:hAnsi="Arial Narrow"/>
          <w:sz w:val="24"/>
          <w:szCs w:val="24"/>
          <w:lang w:eastAsia="en-US"/>
        </w:rPr>
      </w:pPr>
      <w:r w:rsidRPr="00992B21">
        <w:rPr>
          <w:rFonts w:ascii="Arial Narrow" w:hAnsi="Arial Narrow"/>
          <w:sz w:val="24"/>
          <w:szCs w:val="24"/>
        </w:rPr>
        <w:t xml:space="preserve">Tabla </w:t>
      </w:r>
      <w:r w:rsidRPr="00992B21">
        <w:rPr>
          <w:rFonts w:ascii="Arial Narrow" w:hAnsi="Arial Narrow"/>
          <w:sz w:val="24"/>
          <w:szCs w:val="24"/>
        </w:rPr>
        <w:fldChar w:fldCharType="begin"/>
      </w:r>
      <w:r w:rsidRPr="00992B21">
        <w:rPr>
          <w:rFonts w:ascii="Arial Narrow" w:hAnsi="Arial Narrow"/>
          <w:sz w:val="24"/>
          <w:szCs w:val="24"/>
        </w:rPr>
        <w:instrText xml:space="preserve"> SEQ Tabla \* ARABIC </w:instrText>
      </w:r>
      <w:r w:rsidRPr="00992B21">
        <w:rPr>
          <w:rFonts w:ascii="Arial Narrow" w:hAnsi="Arial Narrow"/>
          <w:sz w:val="24"/>
          <w:szCs w:val="24"/>
        </w:rPr>
        <w:fldChar w:fldCharType="separate"/>
      </w:r>
      <w:r w:rsidR="002F520A">
        <w:rPr>
          <w:rFonts w:ascii="Arial Narrow" w:hAnsi="Arial Narrow"/>
          <w:noProof/>
          <w:sz w:val="24"/>
          <w:szCs w:val="24"/>
        </w:rPr>
        <w:t>4</w:t>
      </w:r>
      <w:r w:rsidRPr="00992B21">
        <w:rPr>
          <w:rFonts w:ascii="Arial Narrow" w:hAnsi="Arial Narrow"/>
          <w:sz w:val="24"/>
          <w:szCs w:val="24"/>
        </w:rPr>
        <w:fldChar w:fldCharType="end"/>
      </w:r>
      <w:r>
        <w:rPr>
          <w:rFonts w:ascii="Arial Narrow" w:hAnsi="Arial Narrow"/>
          <w:sz w:val="24"/>
          <w:szCs w:val="24"/>
        </w:rPr>
        <w:t xml:space="preserve">   </w:t>
      </w:r>
      <w:r w:rsidR="001A1178" w:rsidRPr="00992B21">
        <w:rPr>
          <w:rFonts w:ascii="Arial Narrow" w:eastAsia="Calibri" w:hAnsi="Arial Narrow"/>
          <w:sz w:val="24"/>
          <w:szCs w:val="24"/>
          <w:lang w:eastAsia="en-US"/>
        </w:rPr>
        <w:t>Cumplimiento porcentual de</w:t>
      </w:r>
      <w:r w:rsidR="001A1178" w:rsidRPr="0029096E">
        <w:rPr>
          <w:rFonts w:ascii="Arial Narrow" w:eastAsia="Calibri" w:hAnsi="Arial Narrow"/>
          <w:sz w:val="24"/>
          <w:szCs w:val="24"/>
          <w:lang w:eastAsia="en-US"/>
        </w:rPr>
        <w:t xml:space="preserve"> las metas estratégicas del </w:t>
      </w:r>
      <w:r w:rsidR="001A1178">
        <w:rPr>
          <w:rFonts w:ascii="Arial Narrow" w:eastAsia="Calibri" w:hAnsi="Arial Narrow"/>
          <w:sz w:val="24"/>
          <w:szCs w:val="24"/>
          <w:lang w:eastAsia="en-US"/>
        </w:rPr>
        <w:t>2021,</w:t>
      </w:r>
      <w:bookmarkEnd w:id="93"/>
      <w:bookmarkEnd w:id="94"/>
    </w:p>
    <w:p w14:paraId="10F84ED5" w14:textId="77777777" w:rsidR="001A1178" w:rsidRDefault="001A1178" w:rsidP="001A1178">
      <w:pPr>
        <w:pStyle w:val="Descripcin"/>
        <w:jc w:val="center"/>
        <w:rPr>
          <w:rFonts w:ascii="Arial Narrow" w:eastAsia="Calibri" w:hAnsi="Arial Narrow"/>
          <w:sz w:val="24"/>
          <w:szCs w:val="24"/>
          <w:lang w:eastAsia="en-US"/>
        </w:rPr>
      </w:pPr>
      <w:r w:rsidRPr="0029096E">
        <w:rPr>
          <w:rFonts w:ascii="Arial Narrow" w:eastAsia="Calibri" w:hAnsi="Arial Narrow"/>
          <w:sz w:val="24"/>
          <w:szCs w:val="24"/>
          <w:lang w:eastAsia="en-US"/>
        </w:rPr>
        <w:t xml:space="preserve"> según Responsable Estratégico</w:t>
      </w:r>
    </w:p>
    <w:p w14:paraId="20F4FBC0" w14:textId="77777777" w:rsidR="001A1178" w:rsidRDefault="001A1178" w:rsidP="001A1178">
      <w:pPr>
        <w:pStyle w:val="Descripcin"/>
        <w:rPr>
          <w:rFonts w:ascii="Arial Narrow" w:eastAsia="Calibri" w:hAnsi="Arial Narrow"/>
          <w:lang w:eastAsia="en-US"/>
        </w:rPr>
      </w:pPr>
    </w:p>
    <w:tbl>
      <w:tblPr>
        <w:tblW w:w="85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24"/>
        <w:gridCol w:w="5322"/>
        <w:gridCol w:w="1462"/>
      </w:tblGrid>
      <w:tr w:rsidR="001A1178" w:rsidRPr="0038143C" w14:paraId="09849850" w14:textId="77777777" w:rsidTr="00A97BD2">
        <w:trPr>
          <w:trHeight w:val="818"/>
        </w:trPr>
        <w:tc>
          <w:tcPr>
            <w:tcW w:w="1724" w:type="dxa"/>
            <w:shd w:val="clear" w:color="auto" w:fill="BFBFBF" w:themeFill="background1" w:themeFillShade="BF"/>
            <w:vAlign w:val="center"/>
            <w:hideMark/>
          </w:tcPr>
          <w:p w14:paraId="716ABB54" w14:textId="77777777" w:rsidR="001A1178" w:rsidRPr="00CC279A" w:rsidRDefault="001A1178" w:rsidP="00271D70">
            <w:pPr>
              <w:jc w:val="center"/>
              <w:rPr>
                <w:rFonts w:ascii="Arial Narrow" w:hAnsi="Arial Narrow" w:cs="Calibri"/>
                <w:b/>
                <w:bCs/>
                <w:color w:val="000000"/>
                <w:sz w:val="18"/>
                <w:szCs w:val="18"/>
                <w:lang w:eastAsia="es-CR"/>
              </w:rPr>
            </w:pPr>
            <w:r w:rsidRPr="00CC279A">
              <w:rPr>
                <w:rFonts w:ascii="Arial Narrow" w:hAnsi="Arial Narrow" w:cs="Calibri"/>
                <w:b/>
                <w:bCs/>
                <w:color w:val="000000"/>
                <w:sz w:val="18"/>
                <w:szCs w:val="18"/>
                <w:lang w:eastAsia="es-CR"/>
              </w:rPr>
              <w:t>RESPONSABLE ESTRATÉGICO</w:t>
            </w:r>
          </w:p>
        </w:tc>
        <w:tc>
          <w:tcPr>
            <w:tcW w:w="5322" w:type="dxa"/>
            <w:shd w:val="clear" w:color="auto" w:fill="BFBFBF" w:themeFill="background1" w:themeFillShade="BF"/>
            <w:vAlign w:val="center"/>
            <w:hideMark/>
          </w:tcPr>
          <w:p w14:paraId="26A189C4" w14:textId="77777777" w:rsidR="001A1178" w:rsidRPr="00CC279A" w:rsidRDefault="001A1178" w:rsidP="00271D70">
            <w:pPr>
              <w:jc w:val="center"/>
              <w:rPr>
                <w:rFonts w:ascii="Arial Narrow" w:hAnsi="Arial Narrow" w:cs="Calibri"/>
                <w:b/>
                <w:bCs/>
                <w:color w:val="000000"/>
                <w:sz w:val="18"/>
                <w:szCs w:val="18"/>
                <w:lang w:eastAsia="es-CR"/>
              </w:rPr>
            </w:pPr>
            <w:r w:rsidRPr="00CC279A">
              <w:rPr>
                <w:rFonts w:ascii="Arial Narrow" w:hAnsi="Arial Narrow" w:cs="Calibri"/>
                <w:b/>
                <w:bCs/>
                <w:color w:val="000000"/>
                <w:sz w:val="18"/>
                <w:szCs w:val="18"/>
                <w:lang w:eastAsia="es-CR"/>
              </w:rPr>
              <w:t>META ESTRATÉGICA</w:t>
            </w:r>
          </w:p>
        </w:tc>
        <w:tc>
          <w:tcPr>
            <w:tcW w:w="1462" w:type="dxa"/>
            <w:shd w:val="clear" w:color="auto" w:fill="BFBFBF" w:themeFill="background1" w:themeFillShade="BF"/>
            <w:vAlign w:val="center"/>
            <w:hideMark/>
          </w:tcPr>
          <w:p w14:paraId="1E2EEE9C" w14:textId="77777777" w:rsidR="001A1178" w:rsidRPr="00CC279A" w:rsidRDefault="001A1178" w:rsidP="00271D70">
            <w:pPr>
              <w:jc w:val="center"/>
              <w:rPr>
                <w:rFonts w:ascii="Arial Narrow" w:hAnsi="Arial Narrow" w:cs="Calibri"/>
                <w:b/>
                <w:bCs/>
                <w:color w:val="000000"/>
                <w:sz w:val="18"/>
                <w:szCs w:val="18"/>
                <w:lang w:eastAsia="es-CR"/>
              </w:rPr>
            </w:pPr>
            <w:r w:rsidRPr="00CC279A">
              <w:rPr>
                <w:rFonts w:ascii="Arial Narrow" w:hAnsi="Arial Narrow" w:cs="Calibri"/>
                <w:b/>
                <w:bCs/>
                <w:color w:val="000000"/>
                <w:sz w:val="18"/>
                <w:szCs w:val="18"/>
                <w:lang w:eastAsia="es-CR"/>
              </w:rPr>
              <w:t>PORCENTAJE</w:t>
            </w:r>
            <w:r>
              <w:rPr>
                <w:rFonts w:ascii="Arial Narrow" w:hAnsi="Arial Narrow" w:cs="Calibri"/>
                <w:b/>
                <w:bCs/>
                <w:color w:val="000000"/>
                <w:sz w:val="18"/>
                <w:szCs w:val="18"/>
                <w:lang w:eastAsia="es-CR"/>
              </w:rPr>
              <w:t xml:space="preserve"> CUMPLIMIENTO 2021</w:t>
            </w:r>
          </w:p>
        </w:tc>
      </w:tr>
      <w:tr w:rsidR="001A1178" w:rsidRPr="0038143C" w14:paraId="059D6277" w14:textId="77777777" w:rsidTr="00A97BD2">
        <w:trPr>
          <w:trHeight w:val="818"/>
        </w:trPr>
        <w:tc>
          <w:tcPr>
            <w:tcW w:w="1724" w:type="dxa"/>
            <w:shd w:val="clear" w:color="auto" w:fill="auto"/>
            <w:vAlign w:val="center"/>
          </w:tcPr>
          <w:p w14:paraId="3ED3ED09" w14:textId="77777777" w:rsidR="001A1178" w:rsidRPr="00D5088B" w:rsidRDefault="001A1178" w:rsidP="00271D70">
            <w:pPr>
              <w:jc w:val="center"/>
              <w:rPr>
                <w:rFonts w:ascii="Arial Narrow" w:hAnsi="Arial Narrow" w:cs="Calibri"/>
                <w:color w:val="000000"/>
                <w:sz w:val="18"/>
                <w:szCs w:val="18"/>
                <w:lang w:eastAsia="es-CR"/>
              </w:rPr>
            </w:pPr>
            <w:r w:rsidRPr="00D5088B">
              <w:rPr>
                <w:rFonts w:ascii="Arial Narrow" w:hAnsi="Arial Narrow" w:cs="Calibri"/>
                <w:color w:val="000000"/>
                <w:sz w:val="18"/>
                <w:szCs w:val="18"/>
                <w:lang w:eastAsia="es-CR"/>
              </w:rPr>
              <w:t>DEPARTAMENTO DE PRENSA Y COMUNICACION ORGANIZACIONAL</w:t>
            </w:r>
          </w:p>
        </w:tc>
        <w:tc>
          <w:tcPr>
            <w:tcW w:w="5322" w:type="dxa"/>
            <w:shd w:val="clear" w:color="auto" w:fill="auto"/>
            <w:vAlign w:val="center"/>
          </w:tcPr>
          <w:p w14:paraId="6339400B" w14:textId="77777777" w:rsidR="001A1178" w:rsidRPr="00D5088B" w:rsidRDefault="001A1178" w:rsidP="00271D70">
            <w:pPr>
              <w:jc w:val="center"/>
              <w:rPr>
                <w:rFonts w:ascii="Arial Narrow" w:hAnsi="Arial Narrow" w:cs="Calibri"/>
                <w:color w:val="000000"/>
                <w:sz w:val="18"/>
                <w:szCs w:val="18"/>
                <w:lang w:eastAsia="es-CR"/>
              </w:rPr>
            </w:pPr>
            <w:r w:rsidRPr="00D5088B">
              <w:rPr>
                <w:rFonts w:ascii="Arial Narrow" w:hAnsi="Arial Narrow" w:cs="Calibri"/>
                <w:color w:val="000000"/>
                <w:sz w:val="18"/>
                <w:szCs w:val="18"/>
                <w:lang w:eastAsia="es-CR"/>
              </w:rPr>
              <w:t>Que al finalizar el 2024, se haya aprobado la Política de Comunicación Integral.</w:t>
            </w:r>
          </w:p>
        </w:tc>
        <w:tc>
          <w:tcPr>
            <w:tcW w:w="1462" w:type="dxa"/>
            <w:shd w:val="clear" w:color="auto" w:fill="auto"/>
            <w:vAlign w:val="center"/>
          </w:tcPr>
          <w:p w14:paraId="265AD4AB" w14:textId="77777777" w:rsidR="001A1178" w:rsidRPr="00D5088B" w:rsidRDefault="001A1178" w:rsidP="00271D70">
            <w:pPr>
              <w:jc w:val="center"/>
              <w:rPr>
                <w:rFonts w:ascii="Arial Narrow" w:hAnsi="Arial Narrow" w:cs="Calibri"/>
                <w:color w:val="000000"/>
                <w:sz w:val="18"/>
                <w:szCs w:val="18"/>
                <w:lang w:eastAsia="es-CR"/>
              </w:rPr>
            </w:pPr>
            <w:r w:rsidRPr="00D5088B">
              <w:rPr>
                <w:rFonts w:ascii="Arial Narrow" w:hAnsi="Arial Narrow" w:cs="Calibri"/>
                <w:color w:val="000000"/>
                <w:sz w:val="18"/>
                <w:szCs w:val="18"/>
                <w:lang w:eastAsia="es-CR"/>
              </w:rPr>
              <w:t>25%</w:t>
            </w:r>
          </w:p>
        </w:tc>
      </w:tr>
      <w:tr w:rsidR="001A1178" w:rsidRPr="0038143C" w14:paraId="04B6C762" w14:textId="77777777" w:rsidTr="00A97BD2">
        <w:trPr>
          <w:trHeight w:val="818"/>
        </w:trPr>
        <w:tc>
          <w:tcPr>
            <w:tcW w:w="1724" w:type="dxa"/>
            <w:vMerge w:val="restart"/>
            <w:shd w:val="clear" w:color="auto" w:fill="auto"/>
            <w:vAlign w:val="center"/>
          </w:tcPr>
          <w:p w14:paraId="7DABD44E" w14:textId="77777777" w:rsidR="00992B21" w:rsidRDefault="00992B21" w:rsidP="00992B21">
            <w:pPr>
              <w:jc w:val="center"/>
              <w:rPr>
                <w:rFonts w:ascii="Arial Narrow" w:hAnsi="Arial Narrow" w:cs="Calibri"/>
                <w:color w:val="000000"/>
                <w:sz w:val="18"/>
                <w:szCs w:val="18"/>
                <w:lang w:eastAsia="es-CR"/>
              </w:rPr>
            </w:pPr>
            <w:bookmarkStart w:id="95" w:name="_Hlk99545736"/>
          </w:p>
          <w:p w14:paraId="51AF57FB" w14:textId="77777777" w:rsidR="00992B21" w:rsidRDefault="00992B21" w:rsidP="00992B21">
            <w:pPr>
              <w:jc w:val="center"/>
              <w:rPr>
                <w:rFonts w:ascii="Arial Narrow" w:hAnsi="Arial Narrow" w:cs="Calibri"/>
                <w:color w:val="000000"/>
                <w:sz w:val="18"/>
                <w:szCs w:val="18"/>
                <w:lang w:eastAsia="es-CR"/>
              </w:rPr>
            </w:pPr>
          </w:p>
          <w:p w14:paraId="7A99CED6" w14:textId="77777777" w:rsidR="00992B21" w:rsidRDefault="00992B21" w:rsidP="00992B21">
            <w:pPr>
              <w:jc w:val="center"/>
              <w:rPr>
                <w:rFonts w:ascii="Arial Narrow" w:hAnsi="Arial Narrow" w:cs="Calibri"/>
                <w:color w:val="000000"/>
                <w:sz w:val="18"/>
                <w:szCs w:val="18"/>
                <w:lang w:eastAsia="es-CR"/>
              </w:rPr>
            </w:pPr>
          </w:p>
          <w:p w14:paraId="2E115387" w14:textId="77777777" w:rsidR="00992B21" w:rsidRDefault="00992B21" w:rsidP="00992B21">
            <w:pPr>
              <w:jc w:val="center"/>
              <w:rPr>
                <w:rFonts w:ascii="Arial Narrow" w:hAnsi="Arial Narrow" w:cs="Calibri"/>
                <w:color w:val="000000"/>
                <w:sz w:val="18"/>
                <w:szCs w:val="18"/>
                <w:lang w:eastAsia="es-CR"/>
              </w:rPr>
            </w:pPr>
          </w:p>
          <w:p w14:paraId="3D1B57AD" w14:textId="77777777" w:rsidR="00992B21" w:rsidRDefault="00992B21" w:rsidP="00992B21">
            <w:pPr>
              <w:jc w:val="center"/>
              <w:rPr>
                <w:rFonts w:ascii="Arial Narrow" w:hAnsi="Arial Narrow" w:cs="Calibri"/>
                <w:color w:val="000000"/>
                <w:sz w:val="18"/>
                <w:szCs w:val="18"/>
                <w:lang w:eastAsia="es-CR"/>
              </w:rPr>
            </w:pPr>
          </w:p>
          <w:p w14:paraId="4DC91DCC" w14:textId="77777777" w:rsidR="00992B21" w:rsidRDefault="00992B21" w:rsidP="00992B21">
            <w:pPr>
              <w:jc w:val="center"/>
              <w:rPr>
                <w:rFonts w:ascii="Arial Narrow" w:hAnsi="Arial Narrow" w:cs="Calibri"/>
                <w:color w:val="000000"/>
                <w:sz w:val="18"/>
                <w:szCs w:val="18"/>
                <w:lang w:eastAsia="es-CR"/>
              </w:rPr>
            </w:pPr>
          </w:p>
          <w:p w14:paraId="1C4C5E66" w14:textId="77777777" w:rsidR="00992B21" w:rsidRDefault="00992B21" w:rsidP="00992B21">
            <w:pPr>
              <w:jc w:val="center"/>
              <w:rPr>
                <w:rFonts w:ascii="Arial Narrow" w:hAnsi="Arial Narrow" w:cs="Calibri"/>
                <w:color w:val="000000"/>
                <w:sz w:val="18"/>
                <w:szCs w:val="18"/>
                <w:lang w:eastAsia="es-CR"/>
              </w:rPr>
            </w:pPr>
          </w:p>
          <w:p w14:paraId="5B149EC7" w14:textId="77777777" w:rsidR="00992B21" w:rsidRDefault="00992B21" w:rsidP="00992B21">
            <w:pPr>
              <w:jc w:val="center"/>
              <w:rPr>
                <w:rFonts w:ascii="Arial Narrow" w:hAnsi="Arial Narrow" w:cs="Calibri"/>
                <w:color w:val="000000"/>
                <w:sz w:val="18"/>
                <w:szCs w:val="18"/>
                <w:lang w:eastAsia="es-CR"/>
              </w:rPr>
            </w:pPr>
          </w:p>
          <w:p w14:paraId="6FFE50D8" w14:textId="77777777" w:rsidR="00992B21" w:rsidRDefault="00992B21" w:rsidP="00992B21">
            <w:pPr>
              <w:jc w:val="center"/>
              <w:rPr>
                <w:rFonts w:ascii="Arial Narrow" w:hAnsi="Arial Narrow" w:cs="Calibri"/>
                <w:color w:val="000000"/>
                <w:sz w:val="18"/>
                <w:szCs w:val="18"/>
                <w:lang w:eastAsia="es-CR"/>
              </w:rPr>
            </w:pPr>
          </w:p>
          <w:p w14:paraId="14FF5D7F" w14:textId="77777777" w:rsidR="00992B21" w:rsidRDefault="00992B21" w:rsidP="00992B21">
            <w:pPr>
              <w:jc w:val="center"/>
              <w:rPr>
                <w:rFonts w:ascii="Arial Narrow" w:hAnsi="Arial Narrow" w:cs="Calibri"/>
                <w:color w:val="000000"/>
                <w:sz w:val="18"/>
                <w:szCs w:val="18"/>
                <w:lang w:eastAsia="es-CR"/>
              </w:rPr>
            </w:pPr>
          </w:p>
          <w:p w14:paraId="11B336ED" w14:textId="77777777" w:rsidR="00992B21" w:rsidRDefault="00992B21" w:rsidP="00992B21">
            <w:pPr>
              <w:jc w:val="center"/>
              <w:rPr>
                <w:rFonts w:ascii="Arial Narrow" w:hAnsi="Arial Narrow" w:cs="Calibri"/>
                <w:color w:val="000000"/>
                <w:sz w:val="18"/>
                <w:szCs w:val="18"/>
                <w:lang w:eastAsia="es-CR"/>
              </w:rPr>
            </w:pPr>
          </w:p>
          <w:p w14:paraId="251EBAA6" w14:textId="77777777" w:rsidR="00992B21" w:rsidRDefault="00992B21" w:rsidP="00992B21">
            <w:pPr>
              <w:jc w:val="center"/>
              <w:rPr>
                <w:rFonts w:ascii="Arial Narrow" w:hAnsi="Arial Narrow" w:cs="Calibri"/>
                <w:color w:val="000000"/>
                <w:sz w:val="18"/>
                <w:szCs w:val="18"/>
                <w:lang w:eastAsia="es-CR"/>
              </w:rPr>
            </w:pPr>
          </w:p>
          <w:p w14:paraId="2B2B60BF" w14:textId="77777777" w:rsidR="00992B21" w:rsidRDefault="00992B21" w:rsidP="00992B21">
            <w:pPr>
              <w:jc w:val="center"/>
              <w:rPr>
                <w:rFonts w:ascii="Arial Narrow" w:hAnsi="Arial Narrow" w:cs="Calibri"/>
                <w:color w:val="000000"/>
                <w:sz w:val="18"/>
                <w:szCs w:val="18"/>
                <w:lang w:eastAsia="es-CR"/>
              </w:rPr>
            </w:pPr>
          </w:p>
          <w:p w14:paraId="282B245D" w14:textId="77777777" w:rsidR="00992B21" w:rsidRDefault="00992B21" w:rsidP="00992B21">
            <w:pPr>
              <w:jc w:val="center"/>
              <w:rPr>
                <w:rFonts w:ascii="Arial Narrow" w:hAnsi="Arial Narrow" w:cs="Calibri"/>
                <w:color w:val="000000"/>
                <w:sz w:val="18"/>
                <w:szCs w:val="18"/>
                <w:lang w:eastAsia="es-CR"/>
              </w:rPr>
            </w:pPr>
          </w:p>
          <w:p w14:paraId="36134326" w14:textId="3A2B3F60" w:rsidR="001A1178" w:rsidRPr="00D5088B" w:rsidRDefault="001A1178" w:rsidP="00992B21">
            <w:pPr>
              <w:jc w:val="center"/>
              <w:rPr>
                <w:rFonts w:ascii="Arial Narrow" w:hAnsi="Arial Narrow" w:cs="Calibri"/>
                <w:color w:val="000000"/>
                <w:sz w:val="18"/>
                <w:szCs w:val="18"/>
                <w:lang w:eastAsia="es-CR"/>
              </w:rPr>
            </w:pPr>
            <w:r w:rsidRPr="00D5088B">
              <w:rPr>
                <w:rFonts w:ascii="Arial Narrow" w:hAnsi="Arial Narrow" w:cs="Calibri"/>
                <w:color w:val="000000"/>
                <w:sz w:val="18"/>
                <w:szCs w:val="18"/>
                <w:lang w:eastAsia="es-CR"/>
              </w:rPr>
              <w:t>CENTRO DE APOYO, COORDINACION Y MEJORAMIENTO DE LA FUNCION JURISDICCIONAL</w:t>
            </w:r>
          </w:p>
        </w:tc>
        <w:tc>
          <w:tcPr>
            <w:tcW w:w="5322" w:type="dxa"/>
            <w:shd w:val="clear" w:color="auto" w:fill="auto"/>
            <w:vAlign w:val="center"/>
          </w:tcPr>
          <w:p w14:paraId="1C03E6FF" w14:textId="77777777" w:rsidR="001A1178" w:rsidRPr="00D5088B" w:rsidRDefault="001A1178" w:rsidP="00271D70">
            <w:pPr>
              <w:jc w:val="center"/>
              <w:rPr>
                <w:rFonts w:ascii="Arial Narrow" w:hAnsi="Arial Narrow" w:cs="Calibri"/>
                <w:color w:val="000000"/>
                <w:sz w:val="18"/>
                <w:szCs w:val="18"/>
                <w:lang w:eastAsia="es-CR"/>
              </w:rPr>
            </w:pPr>
            <w:r w:rsidRPr="00D5088B">
              <w:rPr>
                <w:rFonts w:ascii="Arial Narrow" w:hAnsi="Arial Narrow" w:cs="Calibri"/>
                <w:color w:val="000000"/>
                <w:sz w:val="18"/>
                <w:szCs w:val="18"/>
                <w:lang w:eastAsia="es-CR"/>
              </w:rPr>
              <w:t>Que al finalizar el 2024, se haya incrementado la cantidad de casos terminados en materia Penal Juvenil año, en primera instancia.</w:t>
            </w:r>
          </w:p>
        </w:tc>
        <w:tc>
          <w:tcPr>
            <w:tcW w:w="1462" w:type="dxa"/>
            <w:shd w:val="clear" w:color="auto" w:fill="auto"/>
            <w:vAlign w:val="center"/>
          </w:tcPr>
          <w:p w14:paraId="5CC1751D" w14:textId="77777777" w:rsidR="001A1178" w:rsidRPr="00D5088B" w:rsidRDefault="001A1178" w:rsidP="00271D70">
            <w:pPr>
              <w:jc w:val="center"/>
              <w:rPr>
                <w:rFonts w:ascii="Arial Narrow" w:hAnsi="Arial Narrow" w:cs="Calibri"/>
                <w:color w:val="000000"/>
                <w:sz w:val="18"/>
                <w:szCs w:val="18"/>
                <w:lang w:eastAsia="es-CR"/>
              </w:rPr>
            </w:pPr>
            <w:r w:rsidRPr="00D5088B">
              <w:rPr>
                <w:rFonts w:ascii="Arial Narrow" w:hAnsi="Arial Narrow" w:cs="Calibri"/>
                <w:color w:val="000000"/>
                <w:sz w:val="18"/>
                <w:szCs w:val="18"/>
                <w:lang w:eastAsia="es-CR"/>
              </w:rPr>
              <w:t>67,10%</w:t>
            </w:r>
          </w:p>
        </w:tc>
      </w:tr>
      <w:tr w:rsidR="001A1178" w:rsidRPr="0038143C" w14:paraId="0168FF99" w14:textId="77777777" w:rsidTr="00A97BD2">
        <w:trPr>
          <w:trHeight w:val="818"/>
        </w:trPr>
        <w:tc>
          <w:tcPr>
            <w:tcW w:w="1724" w:type="dxa"/>
            <w:vMerge/>
            <w:vAlign w:val="center"/>
          </w:tcPr>
          <w:p w14:paraId="730BB904" w14:textId="77777777" w:rsidR="001A1178" w:rsidRPr="00D5088B" w:rsidRDefault="001A1178" w:rsidP="00271D70">
            <w:pPr>
              <w:jc w:val="center"/>
              <w:rPr>
                <w:rFonts w:ascii="Arial Narrow" w:hAnsi="Arial Narrow" w:cs="Calibri"/>
                <w:color w:val="000000"/>
                <w:sz w:val="18"/>
                <w:szCs w:val="18"/>
                <w:lang w:eastAsia="es-CR"/>
              </w:rPr>
            </w:pPr>
          </w:p>
        </w:tc>
        <w:tc>
          <w:tcPr>
            <w:tcW w:w="5322" w:type="dxa"/>
            <w:shd w:val="clear" w:color="auto" w:fill="auto"/>
            <w:vAlign w:val="center"/>
          </w:tcPr>
          <w:p w14:paraId="23C5B40F" w14:textId="77777777" w:rsidR="001A1178" w:rsidRPr="00D5088B" w:rsidRDefault="001A1178" w:rsidP="00271D70">
            <w:pPr>
              <w:jc w:val="center"/>
              <w:rPr>
                <w:rFonts w:ascii="Arial Narrow" w:hAnsi="Arial Narrow" w:cs="Calibri"/>
                <w:color w:val="000000"/>
                <w:sz w:val="18"/>
                <w:szCs w:val="18"/>
                <w:lang w:eastAsia="es-CR"/>
              </w:rPr>
            </w:pPr>
            <w:r w:rsidRPr="00D5088B">
              <w:rPr>
                <w:rFonts w:ascii="Arial Narrow" w:hAnsi="Arial Narrow" w:cs="Calibri"/>
                <w:color w:val="000000"/>
                <w:sz w:val="18"/>
                <w:szCs w:val="18"/>
                <w:lang w:eastAsia="es-CR"/>
              </w:rPr>
              <w:t>Que al finalizar el 2024, se haya incrementado la cantidad de casos terminados en materia Civil por año, en primera instancia.</w:t>
            </w:r>
          </w:p>
        </w:tc>
        <w:tc>
          <w:tcPr>
            <w:tcW w:w="1462" w:type="dxa"/>
            <w:shd w:val="clear" w:color="auto" w:fill="auto"/>
            <w:vAlign w:val="center"/>
          </w:tcPr>
          <w:p w14:paraId="7299629C" w14:textId="77777777" w:rsidR="001A1178" w:rsidRPr="00D5088B" w:rsidRDefault="001A1178" w:rsidP="00271D70">
            <w:pPr>
              <w:jc w:val="center"/>
              <w:rPr>
                <w:rFonts w:ascii="Arial Narrow" w:hAnsi="Arial Narrow" w:cs="Calibri"/>
                <w:color w:val="000000"/>
                <w:sz w:val="18"/>
                <w:szCs w:val="18"/>
                <w:lang w:eastAsia="es-CR"/>
              </w:rPr>
            </w:pPr>
            <w:r w:rsidRPr="00D5088B">
              <w:rPr>
                <w:rFonts w:ascii="Arial Narrow" w:hAnsi="Arial Narrow" w:cs="Calibri"/>
                <w:color w:val="000000"/>
                <w:sz w:val="18"/>
                <w:szCs w:val="18"/>
                <w:lang w:eastAsia="es-CR"/>
              </w:rPr>
              <w:t>75,34%</w:t>
            </w:r>
          </w:p>
        </w:tc>
      </w:tr>
      <w:tr w:rsidR="001A1178" w:rsidRPr="0038143C" w14:paraId="79E01C5F" w14:textId="77777777" w:rsidTr="00A97BD2">
        <w:trPr>
          <w:trHeight w:val="818"/>
        </w:trPr>
        <w:tc>
          <w:tcPr>
            <w:tcW w:w="1724" w:type="dxa"/>
            <w:vMerge/>
            <w:vAlign w:val="center"/>
          </w:tcPr>
          <w:p w14:paraId="34224D0D" w14:textId="77777777" w:rsidR="001A1178" w:rsidRPr="00D5088B" w:rsidRDefault="001A1178" w:rsidP="00271D70">
            <w:pPr>
              <w:jc w:val="center"/>
              <w:rPr>
                <w:rFonts w:ascii="Arial Narrow" w:hAnsi="Arial Narrow" w:cs="Calibri"/>
                <w:color w:val="000000"/>
                <w:sz w:val="18"/>
                <w:szCs w:val="18"/>
                <w:lang w:eastAsia="es-CR"/>
              </w:rPr>
            </w:pPr>
          </w:p>
        </w:tc>
        <w:tc>
          <w:tcPr>
            <w:tcW w:w="5322" w:type="dxa"/>
            <w:shd w:val="clear" w:color="auto" w:fill="auto"/>
            <w:vAlign w:val="center"/>
          </w:tcPr>
          <w:p w14:paraId="22F2B59B" w14:textId="77777777" w:rsidR="001A1178" w:rsidRPr="00D5088B" w:rsidRDefault="001A1178" w:rsidP="00271D70">
            <w:pPr>
              <w:jc w:val="center"/>
              <w:rPr>
                <w:rFonts w:ascii="Arial Narrow" w:hAnsi="Arial Narrow" w:cs="Calibri"/>
                <w:color w:val="000000"/>
                <w:sz w:val="18"/>
                <w:szCs w:val="18"/>
                <w:lang w:eastAsia="es-CR"/>
              </w:rPr>
            </w:pPr>
            <w:r w:rsidRPr="00D5088B">
              <w:rPr>
                <w:rFonts w:ascii="Arial Narrow" w:hAnsi="Arial Narrow" w:cs="Calibri"/>
                <w:color w:val="000000"/>
                <w:sz w:val="18"/>
                <w:szCs w:val="18"/>
                <w:lang w:eastAsia="es-CR"/>
              </w:rPr>
              <w:t>Que al finalizar el 2024, se haya incrementado la cantidad de casos terminados en materia de Tránsito por año, en primera instancia.</w:t>
            </w:r>
          </w:p>
        </w:tc>
        <w:tc>
          <w:tcPr>
            <w:tcW w:w="1462" w:type="dxa"/>
            <w:shd w:val="clear" w:color="auto" w:fill="auto"/>
            <w:vAlign w:val="center"/>
          </w:tcPr>
          <w:p w14:paraId="542DBE08" w14:textId="77777777" w:rsidR="001A1178" w:rsidRPr="00D5088B" w:rsidRDefault="001A1178" w:rsidP="00271D70">
            <w:pPr>
              <w:jc w:val="center"/>
              <w:rPr>
                <w:rFonts w:ascii="Arial Narrow" w:hAnsi="Arial Narrow" w:cs="Calibri"/>
                <w:color w:val="000000"/>
                <w:sz w:val="18"/>
                <w:szCs w:val="18"/>
                <w:lang w:eastAsia="es-CR"/>
              </w:rPr>
            </w:pPr>
            <w:r w:rsidRPr="00D5088B">
              <w:rPr>
                <w:rFonts w:ascii="Arial Narrow" w:hAnsi="Arial Narrow" w:cs="Calibri"/>
                <w:color w:val="000000"/>
                <w:sz w:val="18"/>
                <w:szCs w:val="18"/>
                <w:lang w:eastAsia="es-CR"/>
              </w:rPr>
              <w:t>80,32%</w:t>
            </w:r>
          </w:p>
        </w:tc>
      </w:tr>
      <w:tr w:rsidR="001A1178" w:rsidRPr="0038143C" w14:paraId="79446871" w14:textId="77777777" w:rsidTr="00A97BD2">
        <w:trPr>
          <w:trHeight w:val="818"/>
        </w:trPr>
        <w:tc>
          <w:tcPr>
            <w:tcW w:w="1724" w:type="dxa"/>
            <w:vMerge/>
            <w:vAlign w:val="center"/>
          </w:tcPr>
          <w:p w14:paraId="25AD5A68" w14:textId="77777777" w:rsidR="001A1178" w:rsidRPr="00D5088B" w:rsidRDefault="001A1178" w:rsidP="00271D70">
            <w:pPr>
              <w:jc w:val="center"/>
              <w:rPr>
                <w:rFonts w:ascii="Arial Narrow" w:hAnsi="Arial Narrow" w:cs="Calibri"/>
                <w:color w:val="000000"/>
                <w:sz w:val="18"/>
                <w:szCs w:val="18"/>
                <w:lang w:eastAsia="es-CR"/>
              </w:rPr>
            </w:pPr>
          </w:p>
        </w:tc>
        <w:tc>
          <w:tcPr>
            <w:tcW w:w="5322" w:type="dxa"/>
            <w:shd w:val="clear" w:color="auto" w:fill="auto"/>
            <w:vAlign w:val="center"/>
          </w:tcPr>
          <w:p w14:paraId="0671FEDB" w14:textId="77777777" w:rsidR="001A1178" w:rsidRPr="00D5088B" w:rsidRDefault="001A1178" w:rsidP="00271D70">
            <w:pPr>
              <w:jc w:val="center"/>
              <w:rPr>
                <w:rFonts w:ascii="Arial Narrow" w:hAnsi="Arial Narrow" w:cs="Calibri"/>
                <w:color w:val="000000"/>
                <w:sz w:val="18"/>
                <w:szCs w:val="18"/>
                <w:lang w:eastAsia="es-CR"/>
              </w:rPr>
            </w:pPr>
            <w:r w:rsidRPr="00D5088B">
              <w:rPr>
                <w:rFonts w:ascii="Arial Narrow" w:hAnsi="Arial Narrow" w:cs="Calibri"/>
                <w:color w:val="000000"/>
                <w:sz w:val="18"/>
                <w:szCs w:val="18"/>
                <w:lang w:eastAsia="es-CR"/>
              </w:rPr>
              <w:t>Que al finalizar el 2024, se haya incrementado la cantidad de casos terminados en la jurisdicción Contenciosa Administrativa por año, en segunda instancia.</w:t>
            </w:r>
          </w:p>
        </w:tc>
        <w:tc>
          <w:tcPr>
            <w:tcW w:w="1462" w:type="dxa"/>
            <w:shd w:val="clear" w:color="auto" w:fill="auto"/>
            <w:vAlign w:val="center"/>
          </w:tcPr>
          <w:p w14:paraId="5E4ADE70" w14:textId="77777777" w:rsidR="001A1178" w:rsidRPr="00D5088B" w:rsidRDefault="001A1178" w:rsidP="00271D70">
            <w:pPr>
              <w:jc w:val="center"/>
              <w:rPr>
                <w:rFonts w:ascii="Arial Narrow" w:hAnsi="Arial Narrow" w:cs="Calibri"/>
                <w:color w:val="000000"/>
                <w:sz w:val="18"/>
                <w:szCs w:val="18"/>
                <w:lang w:eastAsia="es-CR"/>
              </w:rPr>
            </w:pPr>
            <w:r w:rsidRPr="00D5088B">
              <w:rPr>
                <w:rFonts w:ascii="Arial Narrow" w:hAnsi="Arial Narrow" w:cs="Calibri"/>
                <w:color w:val="000000"/>
                <w:sz w:val="18"/>
                <w:szCs w:val="18"/>
                <w:lang w:eastAsia="es-CR"/>
              </w:rPr>
              <w:t>81%</w:t>
            </w:r>
          </w:p>
        </w:tc>
      </w:tr>
      <w:tr w:rsidR="001A1178" w:rsidRPr="0038143C" w14:paraId="1E48391B" w14:textId="77777777" w:rsidTr="00A97BD2">
        <w:trPr>
          <w:trHeight w:val="818"/>
        </w:trPr>
        <w:tc>
          <w:tcPr>
            <w:tcW w:w="1724" w:type="dxa"/>
            <w:vMerge/>
            <w:vAlign w:val="center"/>
          </w:tcPr>
          <w:p w14:paraId="5067BD9F" w14:textId="77777777" w:rsidR="001A1178" w:rsidRPr="00D5088B" w:rsidRDefault="001A1178" w:rsidP="00271D70">
            <w:pPr>
              <w:jc w:val="center"/>
              <w:rPr>
                <w:rFonts w:ascii="Arial Narrow" w:hAnsi="Arial Narrow" w:cs="Calibri"/>
                <w:color w:val="000000"/>
                <w:sz w:val="18"/>
                <w:szCs w:val="18"/>
                <w:lang w:eastAsia="es-CR"/>
              </w:rPr>
            </w:pPr>
          </w:p>
        </w:tc>
        <w:tc>
          <w:tcPr>
            <w:tcW w:w="5322" w:type="dxa"/>
            <w:shd w:val="clear" w:color="auto" w:fill="auto"/>
            <w:vAlign w:val="center"/>
          </w:tcPr>
          <w:p w14:paraId="36E25F4B" w14:textId="77777777" w:rsidR="001A1178" w:rsidRPr="00D5088B" w:rsidRDefault="001A1178" w:rsidP="00271D70">
            <w:pPr>
              <w:jc w:val="center"/>
              <w:rPr>
                <w:rFonts w:ascii="Arial Narrow" w:hAnsi="Arial Narrow" w:cs="Calibri"/>
                <w:color w:val="000000"/>
                <w:sz w:val="18"/>
                <w:szCs w:val="18"/>
                <w:lang w:eastAsia="es-CR"/>
              </w:rPr>
            </w:pPr>
            <w:r w:rsidRPr="00D5088B">
              <w:rPr>
                <w:rFonts w:ascii="Arial Narrow" w:hAnsi="Arial Narrow" w:cs="Calibri"/>
                <w:color w:val="000000"/>
                <w:sz w:val="18"/>
                <w:szCs w:val="18"/>
                <w:lang w:eastAsia="es-CR"/>
              </w:rPr>
              <w:t>Que al finalizar el 2024, se haya incrementado la cantidad de casos terminados en materia Penal Juvenil por año, en segunda instancia.</w:t>
            </w:r>
          </w:p>
        </w:tc>
        <w:tc>
          <w:tcPr>
            <w:tcW w:w="1462" w:type="dxa"/>
            <w:shd w:val="clear" w:color="auto" w:fill="auto"/>
            <w:vAlign w:val="center"/>
          </w:tcPr>
          <w:p w14:paraId="256E949E" w14:textId="77777777" w:rsidR="001A1178" w:rsidRPr="00D5088B" w:rsidRDefault="001A1178" w:rsidP="00271D70">
            <w:pPr>
              <w:jc w:val="center"/>
              <w:rPr>
                <w:rFonts w:ascii="Arial Narrow" w:hAnsi="Arial Narrow" w:cs="Calibri"/>
                <w:color w:val="000000"/>
                <w:sz w:val="18"/>
                <w:szCs w:val="18"/>
                <w:lang w:eastAsia="es-CR"/>
              </w:rPr>
            </w:pPr>
            <w:r w:rsidRPr="00D5088B">
              <w:rPr>
                <w:rFonts w:ascii="Arial Narrow" w:hAnsi="Arial Narrow" w:cs="Calibri"/>
                <w:color w:val="000000"/>
                <w:sz w:val="18"/>
                <w:szCs w:val="18"/>
                <w:lang w:eastAsia="es-CR"/>
              </w:rPr>
              <w:t>69%</w:t>
            </w:r>
          </w:p>
        </w:tc>
      </w:tr>
      <w:tr w:rsidR="001A1178" w:rsidRPr="0038143C" w14:paraId="69B3AF33" w14:textId="77777777" w:rsidTr="00A97BD2">
        <w:trPr>
          <w:trHeight w:val="818"/>
        </w:trPr>
        <w:tc>
          <w:tcPr>
            <w:tcW w:w="1724" w:type="dxa"/>
            <w:vMerge/>
            <w:vAlign w:val="center"/>
          </w:tcPr>
          <w:p w14:paraId="53C39421" w14:textId="77777777" w:rsidR="001A1178" w:rsidRPr="00D5088B" w:rsidRDefault="001A1178" w:rsidP="00271D70">
            <w:pPr>
              <w:jc w:val="center"/>
              <w:rPr>
                <w:rFonts w:ascii="Arial Narrow" w:hAnsi="Arial Narrow" w:cs="Calibri"/>
                <w:color w:val="000000"/>
                <w:sz w:val="18"/>
                <w:szCs w:val="18"/>
                <w:lang w:eastAsia="es-CR"/>
              </w:rPr>
            </w:pPr>
          </w:p>
        </w:tc>
        <w:tc>
          <w:tcPr>
            <w:tcW w:w="5322" w:type="dxa"/>
            <w:shd w:val="clear" w:color="auto" w:fill="auto"/>
            <w:vAlign w:val="center"/>
          </w:tcPr>
          <w:p w14:paraId="11168F3B" w14:textId="77777777" w:rsidR="001A1178" w:rsidRPr="00D5088B" w:rsidRDefault="001A1178" w:rsidP="00271D70">
            <w:pPr>
              <w:jc w:val="center"/>
              <w:rPr>
                <w:rFonts w:ascii="Arial Narrow" w:hAnsi="Arial Narrow" w:cs="Calibri"/>
                <w:color w:val="000000"/>
                <w:sz w:val="18"/>
                <w:szCs w:val="18"/>
                <w:lang w:eastAsia="es-CR"/>
              </w:rPr>
            </w:pPr>
            <w:r w:rsidRPr="00D5088B">
              <w:rPr>
                <w:rFonts w:ascii="Arial Narrow" w:hAnsi="Arial Narrow" w:cs="Calibri"/>
                <w:color w:val="000000"/>
                <w:sz w:val="18"/>
                <w:szCs w:val="18"/>
                <w:lang w:eastAsia="es-CR"/>
              </w:rPr>
              <w:t>Que al finalizar el 2024, se haya incrementado la cantidad de casos terminados en materia Contravencional por año, en segunda instancia.</w:t>
            </w:r>
          </w:p>
        </w:tc>
        <w:tc>
          <w:tcPr>
            <w:tcW w:w="1462" w:type="dxa"/>
            <w:shd w:val="clear" w:color="auto" w:fill="auto"/>
            <w:vAlign w:val="center"/>
          </w:tcPr>
          <w:p w14:paraId="29818AB9" w14:textId="77777777" w:rsidR="001A1178" w:rsidRPr="00CC279A" w:rsidRDefault="001A1178" w:rsidP="00271D70">
            <w:pPr>
              <w:jc w:val="center"/>
              <w:rPr>
                <w:rFonts w:ascii="Arial Narrow" w:hAnsi="Arial Narrow" w:cs="Calibri"/>
                <w:color w:val="000000"/>
                <w:sz w:val="18"/>
                <w:szCs w:val="18"/>
                <w:lang w:eastAsia="es-CR"/>
              </w:rPr>
            </w:pPr>
            <w:r>
              <w:rPr>
                <w:rFonts w:ascii="Arial Narrow" w:hAnsi="Arial Narrow" w:cs="Calibri"/>
                <w:color w:val="000000"/>
                <w:sz w:val="18"/>
                <w:szCs w:val="18"/>
                <w:lang w:eastAsia="es-CR"/>
              </w:rPr>
              <w:t>63,44%</w:t>
            </w:r>
          </w:p>
        </w:tc>
      </w:tr>
      <w:tr w:rsidR="001A1178" w:rsidRPr="0038143C" w14:paraId="7C6152B6" w14:textId="77777777" w:rsidTr="00A97BD2">
        <w:trPr>
          <w:trHeight w:val="818"/>
        </w:trPr>
        <w:tc>
          <w:tcPr>
            <w:tcW w:w="1724" w:type="dxa"/>
            <w:vMerge/>
            <w:vAlign w:val="center"/>
          </w:tcPr>
          <w:p w14:paraId="2D55291F" w14:textId="77777777" w:rsidR="001A1178" w:rsidRPr="00D5088B" w:rsidRDefault="001A1178" w:rsidP="00271D70">
            <w:pPr>
              <w:jc w:val="center"/>
              <w:rPr>
                <w:rFonts w:ascii="Arial Narrow" w:hAnsi="Arial Narrow" w:cs="Calibri"/>
                <w:color w:val="000000"/>
                <w:sz w:val="18"/>
                <w:szCs w:val="18"/>
                <w:lang w:eastAsia="es-CR"/>
              </w:rPr>
            </w:pPr>
          </w:p>
        </w:tc>
        <w:tc>
          <w:tcPr>
            <w:tcW w:w="5322" w:type="dxa"/>
            <w:shd w:val="clear" w:color="auto" w:fill="auto"/>
            <w:vAlign w:val="center"/>
          </w:tcPr>
          <w:p w14:paraId="37174BD3" w14:textId="77777777" w:rsidR="001A1178" w:rsidRPr="00CC279A" w:rsidRDefault="001A1178" w:rsidP="00271D70">
            <w:pPr>
              <w:jc w:val="center"/>
              <w:rPr>
                <w:rFonts w:ascii="Arial Narrow" w:hAnsi="Arial Narrow" w:cs="Calibri"/>
                <w:color w:val="000000"/>
                <w:sz w:val="18"/>
                <w:szCs w:val="18"/>
                <w:lang w:eastAsia="es-CR"/>
              </w:rPr>
            </w:pPr>
            <w:r w:rsidRPr="00D5088B">
              <w:rPr>
                <w:rFonts w:ascii="Arial Narrow" w:hAnsi="Arial Narrow" w:cs="Calibri"/>
                <w:color w:val="000000"/>
                <w:sz w:val="18"/>
                <w:szCs w:val="18"/>
                <w:lang w:eastAsia="es-CR"/>
              </w:rPr>
              <w:t>Que al finalizar el 2024, se haya incrementado la cantidad de casos terminados en materia de Tránsito por año, en segunda instancia.</w:t>
            </w:r>
          </w:p>
        </w:tc>
        <w:tc>
          <w:tcPr>
            <w:tcW w:w="1462" w:type="dxa"/>
            <w:shd w:val="clear" w:color="auto" w:fill="auto"/>
            <w:vAlign w:val="center"/>
          </w:tcPr>
          <w:p w14:paraId="13C4B506" w14:textId="77777777" w:rsidR="001A1178" w:rsidRPr="00CC279A" w:rsidRDefault="001A1178" w:rsidP="00271D70">
            <w:pPr>
              <w:jc w:val="center"/>
              <w:rPr>
                <w:rFonts w:ascii="Arial Narrow" w:hAnsi="Arial Narrow" w:cs="Calibri"/>
                <w:color w:val="000000"/>
                <w:sz w:val="18"/>
                <w:szCs w:val="18"/>
                <w:lang w:eastAsia="es-CR"/>
              </w:rPr>
            </w:pPr>
            <w:r>
              <w:rPr>
                <w:rFonts w:ascii="Arial Narrow" w:hAnsi="Arial Narrow" w:cs="Calibri"/>
                <w:color w:val="000000"/>
                <w:sz w:val="18"/>
                <w:szCs w:val="18"/>
                <w:lang w:eastAsia="es-CR"/>
              </w:rPr>
              <w:t>59,14%</w:t>
            </w:r>
          </w:p>
        </w:tc>
      </w:tr>
      <w:tr w:rsidR="001A1178" w:rsidRPr="0038143C" w14:paraId="01AFBCBF" w14:textId="77777777" w:rsidTr="00A97BD2">
        <w:trPr>
          <w:trHeight w:val="818"/>
        </w:trPr>
        <w:tc>
          <w:tcPr>
            <w:tcW w:w="1724" w:type="dxa"/>
            <w:vMerge/>
            <w:vAlign w:val="center"/>
          </w:tcPr>
          <w:p w14:paraId="3CAEFE6A" w14:textId="77777777" w:rsidR="001A1178" w:rsidRPr="00D5088B" w:rsidRDefault="001A1178" w:rsidP="00271D70">
            <w:pPr>
              <w:jc w:val="center"/>
              <w:rPr>
                <w:rFonts w:ascii="Arial Narrow" w:hAnsi="Arial Narrow" w:cs="Calibri"/>
                <w:color w:val="000000"/>
                <w:sz w:val="18"/>
                <w:szCs w:val="18"/>
                <w:lang w:eastAsia="es-CR"/>
              </w:rPr>
            </w:pPr>
          </w:p>
        </w:tc>
        <w:tc>
          <w:tcPr>
            <w:tcW w:w="5322" w:type="dxa"/>
            <w:shd w:val="clear" w:color="auto" w:fill="auto"/>
            <w:vAlign w:val="center"/>
          </w:tcPr>
          <w:p w14:paraId="2062EA5F" w14:textId="77777777" w:rsidR="001A1178" w:rsidRPr="00CC279A" w:rsidRDefault="001A1178" w:rsidP="00271D70">
            <w:pPr>
              <w:jc w:val="center"/>
              <w:rPr>
                <w:rFonts w:ascii="Arial Narrow" w:hAnsi="Arial Narrow" w:cs="Calibri"/>
                <w:color w:val="000000"/>
                <w:sz w:val="18"/>
                <w:szCs w:val="18"/>
                <w:lang w:eastAsia="es-CR"/>
              </w:rPr>
            </w:pPr>
            <w:r w:rsidRPr="00D5088B">
              <w:rPr>
                <w:rFonts w:ascii="Arial Narrow" w:hAnsi="Arial Narrow" w:cs="Calibri"/>
                <w:color w:val="000000"/>
                <w:sz w:val="18"/>
                <w:szCs w:val="18"/>
                <w:lang w:eastAsia="es-CR"/>
              </w:rPr>
              <w:t>Que al finalizar el 2024, se haya incrementado la cantidad de casos terminados en materia Contenciosa por año, en primera instancia.</w:t>
            </w:r>
          </w:p>
        </w:tc>
        <w:tc>
          <w:tcPr>
            <w:tcW w:w="1462" w:type="dxa"/>
            <w:shd w:val="clear" w:color="auto" w:fill="auto"/>
            <w:vAlign w:val="center"/>
          </w:tcPr>
          <w:p w14:paraId="0DC60B64" w14:textId="77777777" w:rsidR="001A1178" w:rsidRPr="00CC279A" w:rsidRDefault="001A1178" w:rsidP="00271D70">
            <w:pPr>
              <w:jc w:val="center"/>
              <w:rPr>
                <w:rFonts w:ascii="Arial Narrow" w:hAnsi="Arial Narrow" w:cs="Calibri"/>
                <w:color w:val="000000"/>
                <w:sz w:val="18"/>
                <w:szCs w:val="18"/>
                <w:lang w:eastAsia="es-CR"/>
              </w:rPr>
            </w:pPr>
            <w:r>
              <w:rPr>
                <w:rFonts w:ascii="Arial Narrow" w:hAnsi="Arial Narrow" w:cs="Calibri"/>
                <w:color w:val="000000"/>
                <w:sz w:val="18"/>
                <w:szCs w:val="18"/>
                <w:lang w:eastAsia="es-CR"/>
              </w:rPr>
              <w:t>45,33%</w:t>
            </w:r>
          </w:p>
        </w:tc>
      </w:tr>
      <w:tr w:rsidR="001A1178" w:rsidRPr="0038143C" w14:paraId="1525D9E3" w14:textId="77777777" w:rsidTr="00A97BD2">
        <w:trPr>
          <w:trHeight w:val="818"/>
        </w:trPr>
        <w:tc>
          <w:tcPr>
            <w:tcW w:w="1724" w:type="dxa"/>
            <w:vMerge/>
            <w:vAlign w:val="center"/>
          </w:tcPr>
          <w:p w14:paraId="4DE88E74" w14:textId="77777777" w:rsidR="001A1178" w:rsidRPr="00D5088B" w:rsidRDefault="001A1178" w:rsidP="00271D70">
            <w:pPr>
              <w:jc w:val="center"/>
              <w:rPr>
                <w:rFonts w:ascii="Arial Narrow" w:hAnsi="Arial Narrow" w:cs="Calibri"/>
                <w:color w:val="000000"/>
                <w:sz w:val="18"/>
                <w:szCs w:val="18"/>
                <w:lang w:eastAsia="es-CR"/>
              </w:rPr>
            </w:pPr>
          </w:p>
        </w:tc>
        <w:tc>
          <w:tcPr>
            <w:tcW w:w="5322" w:type="dxa"/>
            <w:shd w:val="clear" w:color="auto" w:fill="auto"/>
            <w:vAlign w:val="center"/>
          </w:tcPr>
          <w:p w14:paraId="6DADD247" w14:textId="77777777" w:rsidR="001A1178" w:rsidRPr="00CC279A" w:rsidRDefault="001A1178" w:rsidP="00271D70">
            <w:pPr>
              <w:jc w:val="center"/>
              <w:rPr>
                <w:rFonts w:ascii="Arial Narrow" w:hAnsi="Arial Narrow" w:cs="Calibri"/>
                <w:color w:val="000000"/>
                <w:sz w:val="18"/>
                <w:szCs w:val="18"/>
                <w:lang w:eastAsia="es-CR"/>
              </w:rPr>
            </w:pPr>
            <w:r w:rsidRPr="00D5088B">
              <w:rPr>
                <w:rFonts w:ascii="Arial Narrow" w:hAnsi="Arial Narrow" w:cs="Calibri"/>
                <w:color w:val="000000"/>
                <w:sz w:val="18"/>
                <w:szCs w:val="18"/>
                <w:lang w:eastAsia="es-CR"/>
              </w:rPr>
              <w:t>Que al finalizar el 2024, se haya incrementado la cantidad de casos terminados en materia de Pensiones Alimentarias por año, en primera instancia</w:t>
            </w:r>
          </w:p>
        </w:tc>
        <w:tc>
          <w:tcPr>
            <w:tcW w:w="1462" w:type="dxa"/>
            <w:shd w:val="clear" w:color="auto" w:fill="auto"/>
            <w:vAlign w:val="center"/>
          </w:tcPr>
          <w:p w14:paraId="4068F257" w14:textId="77777777" w:rsidR="001A1178" w:rsidRPr="00CC279A" w:rsidRDefault="001A1178" w:rsidP="00271D70">
            <w:pPr>
              <w:jc w:val="center"/>
              <w:rPr>
                <w:rFonts w:ascii="Arial Narrow" w:hAnsi="Arial Narrow" w:cs="Calibri"/>
                <w:color w:val="000000"/>
                <w:sz w:val="18"/>
                <w:szCs w:val="18"/>
                <w:lang w:eastAsia="es-CR"/>
              </w:rPr>
            </w:pPr>
            <w:r>
              <w:rPr>
                <w:rFonts w:ascii="Arial Narrow" w:hAnsi="Arial Narrow" w:cs="Calibri"/>
                <w:color w:val="000000"/>
                <w:sz w:val="18"/>
                <w:szCs w:val="18"/>
                <w:lang w:eastAsia="es-CR"/>
              </w:rPr>
              <w:t>85,25%</w:t>
            </w:r>
          </w:p>
        </w:tc>
      </w:tr>
      <w:tr w:rsidR="001A1178" w:rsidRPr="0038143C" w14:paraId="7D658E05" w14:textId="77777777" w:rsidTr="00A97BD2">
        <w:trPr>
          <w:trHeight w:val="818"/>
        </w:trPr>
        <w:tc>
          <w:tcPr>
            <w:tcW w:w="1724" w:type="dxa"/>
            <w:vMerge/>
            <w:vAlign w:val="center"/>
          </w:tcPr>
          <w:p w14:paraId="68248A9E" w14:textId="77777777" w:rsidR="001A1178" w:rsidRPr="00D5088B" w:rsidRDefault="001A1178" w:rsidP="00271D70">
            <w:pPr>
              <w:jc w:val="center"/>
              <w:rPr>
                <w:rFonts w:ascii="Arial Narrow" w:hAnsi="Arial Narrow" w:cs="Calibri"/>
                <w:color w:val="000000"/>
                <w:sz w:val="18"/>
                <w:szCs w:val="18"/>
                <w:lang w:eastAsia="es-CR"/>
              </w:rPr>
            </w:pPr>
          </w:p>
        </w:tc>
        <w:tc>
          <w:tcPr>
            <w:tcW w:w="5322" w:type="dxa"/>
            <w:shd w:val="clear" w:color="auto" w:fill="auto"/>
            <w:vAlign w:val="center"/>
          </w:tcPr>
          <w:p w14:paraId="5CE6AF3B" w14:textId="77777777" w:rsidR="001A1178" w:rsidRPr="00D5088B" w:rsidRDefault="001A1178" w:rsidP="00271D70">
            <w:pPr>
              <w:jc w:val="center"/>
              <w:rPr>
                <w:rFonts w:ascii="Arial Narrow" w:hAnsi="Arial Narrow" w:cs="Calibri"/>
                <w:color w:val="000000"/>
                <w:sz w:val="18"/>
                <w:szCs w:val="18"/>
                <w:lang w:eastAsia="es-CR"/>
              </w:rPr>
            </w:pPr>
            <w:r w:rsidRPr="00D5088B">
              <w:rPr>
                <w:rFonts w:ascii="Arial Narrow" w:hAnsi="Arial Narrow" w:cs="Calibri"/>
                <w:color w:val="000000"/>
                <w:sz w:val="18"/>
                <w:szCs w:val="18"/>
                <w:lang w:eastAsia="es-CR"/>
              </w:rPr>
              <w:t>Que al finalizar el 2024, se haya incrementado la cantidad de casos terminados en materia Penal por año, en primera instancia por los tribunales de juicio penales.</w:t>
            </w:r>
          </w:p>
        </w:tc>
        <w:tc>
          <w:tcPr>
            <w:tcW w:w="1462" w:type="dxa"/>
            <w:shd w:val="clear" w:color="auto" w:fill="auto"/>
            <w:vAlign w:val="center"/>
          </w:tcPr>
          <w:p w14:paraId="18DD507D" w14:textId="77777777" w:rsidR="001A1178" w:rsidRPr="00CC279A" w:rsidRDefault="001A1178" w:rsidP="00271D70">
            <w:pPr>
              <w:jc w:val="center"/>
              <w:rPr>
                <w:rFonts w:ascii="Arial Narrow" w:hAnsi="Arial Narrow" w:cs="Calibri"/>
                <w:color w:val="000000"/>
                <w:sz w:val="18"/>
                <w:szCs w:val="18"/>
                <w:lang w:eastAsia="es-CR"/>
              </w:rPr>
            </w:pPr>
            <w:r>
              <w:rPr>
                <w:rFonts w:ascii="Arial Narrow" w:hAnsi="Arial Narrow" w:cs="Calibri"/>
                <w:color w:val="000000"/>
                <w:sz w:val="18"/>
                <w:szCs w:val="18"/>
                <w:lang w:eastAsia="es-CR"/>
              </w:rPr>
              <w:t>87,26%</w:t>
            </w:r>
          </w:p>
        </w:tc>
      </w:tr>
      <w:tr w:rsidR="001A1178" w:rsidRPr="0038143C" w14:paraId="27082B90" w14:textId="77777777" w:rsidTr="00A97BD2">
        <w:trPr>
          <w:trHeight w:val="818"/>
        </w:trPr>
        <w:tc>
          <w:tcPr>
            <w:tcW w:w="1724" w:type="dxa"/>
            <w:vMerge/>
            <w:vAlign w:val="center"/>
          </w:tcPr>
          <w:p w14:paraId="3C064203" w14:textId="77777777" w:rsidR="001A1178" w:rsidRPr="00D5088B" w:rsidRDefault="001A1178" w:rsidP="00271D70">
            <w:pPr>
              <w:jc w:val="center"/>
              <w:rPr>
                <w:rFonts w:ascii="Arial Narrow" w:hAnsi="Arial Narrow" w:cs="Calibri"/>
                <w:color w:val="000000"/>
                <w:sz w:val="18"/>
                <w:szCs w:val="18"/>
                <w:lang w:eastAsia="es-CR"/>
              </w:rPr>
            </w:pPr>
          </w:p>
        </w:tc>
        <w:tc>
          <w:tcPr>
            <w:tcW w:w="5322" w:type="dxa"/>
            <w:shd w:val="clear" w:color="auto" w:fill="auto"/>
            <w:vAlign w:val="center"/>
          </w:tcPr>
          <w:p w14:paraId="571F5204" w14:textId="77777777" w:rsidR="001A1178" w:rsidRPr="00CC279A" w:rsidRDefault="001A1178" w:rsidP="00271D70">
            <w:pPr>
              <w:jc w:val="center"/>
              <w:rPr>
                <w:rFonts w:ascii="Arial Narrow" w:hAnsi="Arial Narrow" w:cs="Calibri"/>
                <w:color w:val="000000"/>
                <w:sz w:val="18"/>
                <w:szCs w:val="18"/>
                <w:lang w:eastAsia="es-CR"/>
              </w:rPr>
            </w:pPr>
            <w:r w:rsidRPr="00D5088B">
              <w:rPr>
                <w:rFonts w:ascii="Arial Narrow" w:hAnsi="Arial Narrow" w:cs="Calibri"/>
                <w:color w:val="000000"/>
                <w:sz w:val="18"/>
                <w:szCs w:val="18"/>
                <w:lang w:eastAsia="es-CR"/>
              </w:rPr>
              <w:t>Que al finalizar el 2024, se haya incrementado la cantidad de casos terminados en materia Laboral por año, en primera instancia.</w:t>
            </w:r>
          </w:p>
        </w:tc>
        <w:tc>
          <w:tcPr>
            <w:tcW w:w="1462" w:type="dxa"/>
            <w:shd w:val="clear" w:color="auto" w:fill="auto"/>
            <w:vAlign w:val="center"/>
          </w:tcPr>
          <w:p w14:paraId="679A56FE" w14:textId="77777777" w:rsidR="001A1178" w:rsidRPr="00CC279A" w:rsidRDefault="001A1178" w:rsidP="00271D70">
            <w:pPr>
              <w:jc w:val="center"/>
              <w:rPr>
                <w:rFonts w:ascii="Arial Narrow" w:hAnsi="Arial Narrow" w:cs="Calibri"/>
                <w:color w:val="000000"/>
                <w:sz w:val="18"/>
                <w:szCs w:val="18"/>
                <w:lang w:eastAsia="es-CR"/>
              </w:rPr>
            </w:pPr>
            <w:r>
              <w:rPr>
                <w:rFonts w:ascii="Arial Narrow" w:hAnsi="Arial Narrow" w:cs="Calibri"/>
                <w:color w:val="000000"/>
                <w:sz w:val="18"/>
                <w:szCs w:val="18"/>
                <w:lang w:eastAsia="es-CR"/>
              </w:rPr>
              <w:t>88,72%</w:t>
            </w:r>
          </w:p>
        </w:tc>
      </w:tr>
    </w:tbl>
    <w:bookmarkEnd w:id="95"/>
    <w:p w14:paraId="7F7BEC41" w14:textId="77777777" w:rsidR="001A1178" w:rsidRPr="00996542" w:rsidRDefault="001A1178" w:rsidP="00B54439">
      <w:pPr>
        <w:jc w:val="center"/>
        <w:rPr>
          <w:rFonts w:ascii="Arial Narrow" w:hAnsi="Arial Narrow"/>
          <w:sz w:val="18"/>
          <w:szCs w:val="18"/>
        </w:rPr>
      </w:pPr>
      <w:r w:rsidRPr="00996542">
        <w:rPr>
          <w:rFonts w:ascii="Arial Narrow" w:hAnsi="Arial Narrow"/>
          <w:sz w:val="18"/>
          <w:szCs w:val="18"/>
        </w:rPr>
        <w:t>Fuente: Sistema PEI al 19 de enero del 2022 para el año 2021.</w:t>
      </w:r>
    </w:p>
    <w:p w14:paraId="50237B9D" w14:textId="77777777" w:rsidR="001A1178" w:rsidRDefault="001A1178" w:rsidP="001A1178">
      <w:pPr>
        <w:spacing w:line="360" w:lineRule="auto"/>
        <w:jc w:val="both"/>
        <w:rPr>
          <w:rFonts w:ascii="Arial Narrow" w:eastAsia="Calibri" w:hAnsi="Arial Narrow"/>
          <w:highlight w:val="yellow"/>
        </w:rPr>
      </w:pPr>
    </w:p>
    <w:p w14:paraId="7C4A1591" w14:textId="079C12FE" w:rsidR="001A1178" w:rsidRDefault="001A1178" w:rsidP="0080354E">
      <w:pPr>
        <w:jc w:val="both"/>
        <w:rPr>
          <w:rFonts w:ascii="Arial Narrow" w:hAnsi="Arial Narrow"/>
          <w:lang w:eastAsia="es-CR"/>
        </w:rPr>
      </w:pPr>
      <w:r w:rsidRPr="00D5088B">
        <w:rPr>
          <w:rFonts w:ascii="Arial Narrow" w:hAnsi="Arial Narrow"/>
          <w:lang w:eastAsia="es-CR"/>
        </w:rPr>
        <w:t>Cabe destacar que</w:t>
      </w:r>
      <w:r>
        <w:rPr>
          <w:rFonts w:ascii="Arial Narrow" w:hAnsi="Arial Narrow"/>
          <w:lang w:eastAsia="es-CR"/>
        </w:rPr>
        <w:t xml:space="preserve"> el Departamento de Prensa y Comunicación tienen dos metas estratégicas por las cuales responden, una cumplida cabalmente al 100%, mientras que la meta restante sobre la Política de Comunicación Integral se le registra un 25% de cumplimiento debido </w:t>
      </w:r>
      <w:r w:rsidRPr="00DA4A49">
        <w:rPr>
          <w:rFonts w:ascii="Arial Narrow" w:hAnsi="Arial Narrow"/>
          <w:lang w:eastAsia="es-CR"/>
        </w:rPr>
        <w:t xml:space="preserve">a que el Departamento de Prensa y Comunicación explica que se está en proceso de revisión de propuesta que se tiene que presentar a ente cooperante, esto lo realiza la OCRI, </w:t>
      </w:r>
      <w:r>
        <w:rPr>
          <w:rFonts w:ascii="Arial Narrow" w:hAnsi="Arial Narrow"/>
          <w:lang w:eastAsia="es-CR"/>
        </w:rPr>
        <w:t xml:space="preserve">el </w:t>
      </w:r>
      <w:r w:rsidRPr="00DA4A49">
        <w:rPr>
          <w:rFonts w:ascii="Arial Narrow" w:hAnsi="Arial Narrow"/>
          <w:lang w:eastAsia="es-CR"/>
        </w:rPr>
        <w:t xml:space="preserve">proyecto esta agrupado con otras iniciativas que </w:t>
      </w:r>
      <w:r>
        <w:rPr>
          <w:rFonts w:ascii="Arial Narrow" w:hAnsi="Arial Narrow"/>
          <w:lang w:eastAsia="es-CR"/>
        </w:rPr>
        <w:t>se</w:t>
      </w:r>
      <w:r w:rsidRPr="00DA4A49">
        <w:rPr>
          <w:rFonts w:ascii="Arial Narrow" w:hAnsi="Arial Narrow"/>
          <w:lang w:eastAsia="es-CR"/>
        </w:rPr>
        <w:t xml:space="preserve"> presentarán</w:t>
      </w:r>
      <w:r>
        <w:rPr>
          <w:rFonts w:ascii="Arial Narrow" w:hAnsi="Arial Narrow"/>
          <w:lang w:eastAsia="es-CR"/>
        </w:rPr>
        <w:t>, adicionalmente, s</w:t>
      </w:r>
      <w:r w:rsidRPr="00DA4A49">
        <w:rPr>
          <w:rFonts w:ascii="Arial Narrow" w:hAnsi="Arial Narrow"/>
          <w:lang w:eastAsia="es-CR"/>
        </w:rPr>
        <w:t>e ha dado seguimiento al proceso de búsqueda de recurso con el ente cooperante. Se han aclarado dudas de la Embajada Americana</w:t>
      </w:r>
      <w:r>
        <w:rPr>
          <w:rFonts w:ascii="Arial Narrow" w:hAnsi="Arial Narrow"/>
          <w:lang w:eastAsia="es-CR"/>
        </w:rPr>
        <w:t>, debido que p</w:t>
      </w:r>
      <w:r w:rsidRPr="00DA4A49">
        <w:rPr>
          <w:rFonts w:ascii="Arial Narrow" w:hAnsi="Arial Narrow"/>
          <w:lang w:eastAsia="es-CR"/>
        </w:rPr>
        <w:t>ara cumplir esta meta se dependía el apoyo de cooperación internacional, gestión que realizó la Oficina de Cooperación Internacional, pero por el tema de pandemia</w:t>
      </w:r>
      <w:r>
        <w:rPr>
          <w:rFonts w:ascii="Arial Narrow" w:hAnsi="Arial Narrow"/>
          <w:lang w:eastAsia="es-CR"/>
        </w:rPr>
        <w:t xml:space="preserve"> COVID-19,</w:t>
      </w:r>
      <w:r w:rsidRPr="00DA4A49">
        <w:rPr>
          <w:rFonts w:ascii="Arial Narrow" w:hAnsi="Arial Narrow"/>
          <w:lang w:eastAsia="es-CR"/>
        </w:rPr>
        <w:t xml:space="preserve"> el apoyo quedó pendiente</w:t>
      </w:r>
      <w:r>
        <w:rPr>
          <w:rFonts w:ascii="Arial Narrow" w:hAnsi="Arial Narrow"/>
          <w:lang w:eastAsia="es-CR"/>
        </w:rPr>
        <w:t xml:space="preserve"> para el 2021, </w:t>
      </w:r>
      <w:r w:rsidRPr="00DA4A49">
        <w:rPr>
          <w:rFonts w:ascii="Arial Narrow" w:hAnsi="Arial Narrow"/>
          <w:lang w:eastAsia="es-CR"/>
        </w:rPr>
        <w:t xml:space="preserve">por lo que el Departamento de Prensa y Comunicación consignó un avance de 25%. </w:t>
      </w:r>
    </w:p>
    <w:p w14:paraId="09915373" w14:textId="77777777" w:rsidR="0080354E" w:rsidRPr="00DA4A49" w:rsidRDefault="0080354E" w:rsidP="00132A44">
      <w:pPr>
        <w:jc w:val="both"/>
        <w:rPr>
          <w:rFonts w:ascii="Arial Narrow" w:hAnsi="Arial Narrow"/>
          <w:lang w:eastAsia="es-CR"/>
        </w:rPr>
      </w:pPr>
    </w:p>
    <w:p w14:paraId="734EC529" w14:textId="40AC1844" w:rsidR="001A1178" w:rsidRPr="00322D9B" w:rsidRDefault="001A1178" w:rsidP="00132A44">
      <w:pPr>
        <w:jc w:val="both"/>
        <w:rPr>
          <w:rFonts w:ascii="Arial Narrow" w:hAnsi="Arial Narrow"/>
          <w:b/>
          <w:bCs/>
          <w:lang w:eastAsia="es-CR"/>
        </w:rPr>
      </w:pPr>
      <w:r w:rsidRPr="00322D9B">
        <w:rPr>
          <w:rFonts w:ascii="Arial Narrow" w:hAnsi="Arial Narrow"/>
          <w:b/>
          <w:bCs/>
          <w:lang w:eastAsia="es-CR"/>
        </w:rPr>
        <w:t>Con respecto a las meta</w:t>
      </w:r>
      <w:bookmarkStart w:id="96" w:name="_Hlk84514511"/>
      <w:r w:rsidRPr="00322D9B">
        <w:rPr>
          <w:rFonts w:ascii="Arial Narrow" w:hAnsi="Arial Narrow"/>
          <w:b/>
          <w:bCs/>
          <w:lang w:eastAsia="es-CR"/>
        </w:rPr>
        <w:t>s</w:t>
      </w:r>
      <w:r w:rsidR="002F4234" w:rsidRPr="00322D9B">
        <w:rPr>
          <w:rFonts w:ascii="Arial Narrow" w:hAnsi="Arial Narrow"/>
          <w:b/>
          <w:bCs/>
          <w:lang w:eastAsia="es-CR"/>
        </w:rPr>
        <w:t xml:space="preserve"> cuyo responsable estratégico es </w:t>
      </w:r>
      <w:r w:rsidRPr="00322D9B">
        <w:rPr>
          <w:rFonts w:ascii="Arial Narrow" w:hAnsi="Arial Narrow"/>
          <w:b/>
          <w:bCs/>
          <w:lang w:eastAsia="es-CR"/>
        </w:rPr>
        <w:t>el Centro de Apoyo, Coordinación y Mejoramiento de la Función Jurisdiccional</w:t>
      </w:r>
      <w:r w:rsidR="002F4234" w:rsidRPr="00322D9B">
        <w:rPr>
          <w:rFonts w:ascii="Arial Narrow" w:hAnsi="Arial Narrow"/>
          <w:b/>
          <w:bCs/>
          <w:lang w:eastAsia="es-CR"/>
        </w:rPr>
        <w:t>, las cuales (</w:t>
      </w:r>
      <w:r w:rsidRPr="00322D9B">
        <w:rPr>
          <w:rFonts w:ascii="Arial Narrow" w:hAnsi="Arial Narrow"/>
          <w:b/>
          <w:bCs/>
          <w:lang w:eastAsia="es-CR"/>
        </w:rPr>
        <w:t>11 metas estratégicas</w:t>
      </w:r>
      <w:r w:rsidR="002F4234" w:rsidRPr="00322D9B">
        <w:rPr>
          <w:rFonts w:ascii="Arial Narrow" w:hAnsi="Arial Narrow"/>
          <w:b/>
          <w:bCs/>
          <w:lang w:eastAsia="es-CR"/>
        </w:rPr>
        <w:t xml:space="preserve">) presentan en este informe un </w:t>
      </w:r>
      <w:r w:rsidRPr="00322D9B">
        <w:rPr>
          <w:rFonts w:ascii="Arial Narrow" w:hAnsi="Arial Narrow"/>
          <w:b/>
          <w:bCs/>
          <w:lang w:eastAsia="es-CR"/>
        </w:rPr>
        <w:t xml:space="preserve">cumplimiento parcial, </w:t>
      </w:r>
      <w:r w:rsidR="002F4234" w:rsidRPr="00322D9B">
        <w:rPr>
          <w:rFonts w:ascii="Arial Narrow" w:hAnsi="Arial Narrow"/>
          <w:b/>
          <w:bCs/>
          <w:lang w:eastAsia="es-CR"/>
        </w:rPr>
        <w:t xml:space="preserve">se sugiere a esta instancia tener en consideración </w:t>
      </w:r>
      <w:r w:rsidRPr="00322D9B">
        <w:rPr>
          <w:rFonts w:ascii="Arial Narrow" w:hAnsi="Arial Narrow"/>
          <w:b/>
          <w:bCs/>
          <w:lang w:eastAsia="es-CR"/>
        </w:rPr>
        <w:t>las materias que están registrando un rezago en la cantidad de casos terminados</w:t>
      </w:r>
      <w:r w:rsidR="002F4234" w:rsidRPr="00322D9B">
        <w:rPr>
          <w:rFonts w:ascii="Arial Narrow" w:hAnsi="Arial Narrow"/>
          <w:b/>
          <w:bCs/>
          <w:lang w:eastAsia="es-CR"/>
        </w:rPr>
        <w:t xml:space="preserve">, </w:t>
      </w:r>
      <w:r w:rsidRPr="00322D9B">
        <w:rPr>
          <w:rFonts w:ascii="Arial Narrow" w:hAnsi="Arial Narrow"/>
          <w:b/>
          <w:bCs/>
          <w:lang w:eastAsia="es-CR"/>
        </w:rPr>
        <w:t xml:space="preserve">analizar la antigüedad de expedientes para determinar duraciones y </w:t>
      </w:r>
      <w:r w:rsidR="002F4234" w:rsidRPr="00322D9B">
        <w:rPr>
          <w:rFonts w:ascii="Arial Narrow" w:hAnsi="Arial Narrow"/>
          <w:b/>
          <w:bCs/>
          <w:lang w:eastAsia="es-CR"/>
        </w:rPr>
        <w:t xml:space="preserve">concluir en relación con la necesidad de brindar </w:t>
      </w:r>
      <w:r w:rsidRPr="00322D9B">
        <w:rPr>
          <w:rFonts w:ascii="Arial Narrow" w:hAnsi="Arial Narrow"/>
          <w:b/>
          <w:bCs/>
          <w:lang w:eastAsia="es-CR"/>
        </w:rPr>
        <w:t xml:space="preserve">apoyo </w:t>
      </w:r>
      <w:r w:rsidR="002F4234" w:rsidRPr="00322D9B">
        <w:rPr>
          <w:rFonts w:ascii="Arial Narrow" w:hAnsi="Arial Narrow"/>
          <w:b/>
          <w:bCs/>
          <w:lang w:eastAsia="es-CR"/>
        </w:rPr>
        <w:t>a través del r</w:t>
      </w:r>
      <w:r w:rsidRPr="00322D9B">
        <w:rPr>
          <w:rFonts w:ascii="Arial Narrow" w:hAnsi="Arial Narrow"/>
          <w:b/>
          <w:bCs/>
          <w:lang w:eastAsia="es-CR"/>
        </w:rPr>
        <w:t>ecurso supernumerario</w:t>
      </w:r>
      <w:r w:rsidR="002F4234" w:rsidRPr="00322D9B">
        <w:rPr>
          <w:rFonts w:ascii="Arial Narrow" w:hAnsi="Arial Narrow"/>
          <w:b/>
          <w:bCs/>
          <w:lang w:eastAsia="es-CR"/>
        </w:rPr>
        <w:t xml:space="preserve"> bajo su competencia</w:t>
      </w:r>
      <w:r w:rsidRPr="00322D9B">
        <w:rPr>
          <w:rFonts w:ascii="Arial Narrow" w:hAnsi="Arial Narrow"/>
          <w:b/>
          <w:bCs/>
          <w:lang w:eastAsia="es-CR"/>
        </w:rPr>
        <w:t>.</w:t>
      </w:r>
      <w:bookmarkEnd w:id="96"/>
    </w:p>
    <w:p w14:paraId="6E11CC02" w14:textId="77777777" w:rsidR="001A1178" w:rsidRDefault="001A1178" w:rsidP="0080354E">
      <w:pPr>
        <w:rPr>
          <w:lang w:eastAsia="en-US"/>
        </w:rPr>
      </w:pPr>
    </w:p>
    <w:p w14:paraId="2D99488F" w14:textId="5BE2939E" w:rsidR="00EB662A" w:rsidRDefault="00EB662A">
      <w:pPr>
        <w:rPr>
          <w:rFonts w:ascii="Arial Narrow" w:eastAsia="Calibri" w:hAnsi="Arial Narrow"/>
          <w:b/>
          <w:bCs/>
          <w:iCs/>
          <w:sz w:val="32"/>
          <w:szCs w:val="32"/>
          <w:lang w:eastAsia="en-US"/>
        </w:rPr>
      </w:pPr>
      <w:bookmarkStart w:id="97" w:name="_Toc83621715"/>
      <w:bookmarkStart w:id="98" w:name="_Toc83621761"/>
      <w:bookmarkStart w:id="99" w:name="_Toc83630182"/>
      <w:bookmarkStart w:id="100" w:name="_Toc83621716"/>
      <w:bookmarkStart w:id="101" w:name="_Toc83621762"/>
      <w:bookmarkStart w:id="102" w:name="_Toc83630183"/>
      <w:bookmarkStart w:id="103" w:name="_Toc83621717"/>
      <w:bookmarkStart w:id="104" w:name="_Toc83621763"/>
      <w:bookmarkStart w:id="105" w:name="_Toc83630184"/>
      <w:bookmarkStart w:id="106" w:name="_Toc83621718"/>
      <w:bookmarkStart w:id="107" w:name="_Toc83621764"/>
      <w:bookmarkStart w:id="108" w:name="_Toc83630185"/>
      <w:bookmarkStart w:id="109" w:name="_Toc83621719"/>
      <w:bookmarkStart w:id="110" w:name="_Toc83621765"/>
      <w:bookmarkStart w:id="111" w:name="_Toc83630186"/>
      <w:bookmarkStart w:id="112" w:name="_Toc83621720"/>
      <w:bookmarkStart w:id="113" w:name="_Toc83621766"/>
      <w:bookmarkStart w:id="114" w:name="_Toc83630187"/>
      <w:bookmarkStart w:id="115" w:name="_Toc52198643"/>
      <w:bookmarkStart w:id="116" w:name="_Toc52200468"/>
      <w:bookmarkStart w:id="117" w:name="_Toc52198644"/>
      <w:bookmarkStart w:id="118" w:name="_Toc52200469"/>
      <w:bookmarkStart w:id="119" w:name="_Toc52198645"/>
      <w:bookmarkStart w:id="120" w:name="_Toc52200470"/>
      <w:bookmarkStart w:id="121" w:name="_Toc52198646"/>
      <w:bookmarkStart w:id="122" w:name="_Toc52200471"/>
      <w:bookmarkStart w:id="123" w:name="_Toc52198647"/>
      <w:bookmarkStart w:id="124" w:name="_Toc52200472"/>
      <w:bookmarkStart w:id="125" w:name="_Toc52198648"/>
      <w:bookmarkStart w:id="126" w:name="_Toc52200473"/>
      <w:bookmarkStart w:id="127" w:name="_Toc52198649"/>
      <w:bookmarkStart w:id="128" w:name="_Toc52200474"/>
      <w:bookmarkStart w:id="129" w:name="_Toc52198650"/>
      <w:bookmarkStart w:id="130" w:name="_Toc52200475"/>
      <w:bookmarkStart w:id="131" w:name="_Toc52198651"/>
      <w:bookmarkStart w:id="132" w:name="_Toc52200476"/>
      <w:bookmarkStart w:id="133" w:name="_Toc52198652"/>
      <w:bookmarkStart w:id="134" w:name="_Toc52200477"/>
      <w:bookmarkStart w:id="135" w:name="_Toc52198653"/>
      <w:bookmarkStart w:id="136" w:name="_Toc52200478"/>
      <w:bookmarkStart w:id="137" w:name="_Toc52198654"/>
      <w:bookmarkStart w:id="138" w:name="_Toc52200479"/>
      <w:bookmarkStart w:id="139" w:name="_Toc52198655"/>
      <w:bookmarkStart w:id="140" w:name="_Toc52200480"/>
      <w:bookmarkStart w:id="141" w:name="_Toc52198656"/>
      <w:bookmarkStart w:id="142" w:name="_Toc52200481"/>
      <w:bookmarkStart w:id="143" w:name="_Toc52198657"/>
      <w:bookmarkStart w:id="144" w:name="_Toc52200482"/>
      <w:bookmarkStart w:id="145" w:name="_Toc52198658"/>
      <w:bookmarkStart w:id="146" w:name="_Toc52200483"/>
      <w:bookmarkStart w:id="147" w:name="_Toc52198659"/>
      <w:bookmarkStart w:id="148" w:name="_Toc52200484"/>
      <w:bookmarkStart w:id="149" w:name="_Toc52198660"/>
      <w:bookmarkStart w:id="150" w:name="_Toc52200485"/>
      <w:bookmarkStart w:id="151" w:name="_Toc52198661"/>
      <w:bookmarkStart w:id="152" w:name="_Toc52200486"/>
      <w:bookmarkStart w:id="153" w:name="_Toc52198662"/>
      <w:bookmarkStart w:id="154" w:name="_Toc52200487"/>
      <w:bookmarkStart w:id="155" w:name="_Toc52198663"/>
      <w:bookmarkStart w:id="156" w:name="_Toc52200488"/>
      <w:bookmarkStart w:id="157" w:name="_Toc52198664"/>
      <w:bookmarkStart w:id="158" w:name="_Toc52200489"/>
      <w:bookmarkStart w:id="159" w:name="_Toc52198665"/>
      <w:bookmarkStart w:id="160" w:name="_Toc52200490"/>
      <w:bookmarkStart w:id="161" w:name="_Toc52198666"/>
      <w:bookmarkStart w:id="162" w:name="_Toc52200491"/>
      <w:bookmarkStart w:id="163" w:name="_Toc52198667"/>
      <w:bookmarkStart w:id="164" w:name="_Toc52200492"/>
      <w:bookmarkStart w:id="165" w:name="_Toc52198668"/>
      <w:bookmarkStart w:id="166" w:name="_Toc52200493"/>
      <w:bookmarkStart w:id="167" w:name="_Toc52198669"/>
      <w:bookmarkStart w:id="168" w:name="_Toc52200494"/>
      <w:bookmarkStart w:id="169" w:name="_Toc52198670"/>
      <w:bookmarkStart w:id="170" w:name="_Toc52200495"/>
      <w:bookmarkStart w:id="171" w:name="_Toc52198671"/>
      <w:bookmarkStart w:id="172" w:name="_Toc52200496"/>
      <w:bookmarkStart w:id="173" w:name="_Toc83621721"/>
      <w:bookmarkStart w:id="174" w:name="_Toc83621767"/>
      <w:bookmarkStart w:id="175" w:name="_Toc83630188"/>
      <w:bookmarkStart w:id="176" w:name="_Toc83621722"/>
      <w:bookmarkStart w:id="177" w:name="_Toc83621768"/>
      <w:bookmarkStart w:id="178" w:name="_Toc83630189"/>
      <w:bookmarkStart w:id="179" w:name="_Toc76061960"/>
      <w:bookmarkStart w:id="180" w:name="_Toc76062188"/>
      <w:bookmarkStart w:id="181" w:name="_Toc76066146"/>
      <w:bookmarkStart w:id="182" w:name="_Toc76069214"/>
      <w:bookmarkStart w:id="183" w:name="_Toc76061961"/>
      <w:bookmarkStart w:id="184" w:name="_Toc76062189"/>
      <w:bookmarkStart w:id="185" w:name="_Toc76066147"/>
      <w:bookmarkStart w:id="186" w:name="_Toc76069215"/>
      <w:bookmarkStart w:id="187" w:name="_Toc52200512"/>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p>
    <w:p w14:paraId="1E460612" w14:textId="77777777" w:rsidR="00100134" w:rsidRDefault="00100134">
      <w:pPr>
        <w:rPr>
          <w:rFonts w:ascii="Arial Narrow" w:eastAsia="Calibri" w:hAnsi="Arial Narrow"/>
          <w:b/>
          <w:bCs/>
          <w:iCs/>
          <w:sz w:val="32"/>
          <w:szCs w:val="32"/>
          <w:lang w:eastAsia="en-US"/>
        </w:rPr>
      </w:pPr>
    </w:p>
    <w:p w14:paraId="6F1F2514" w14:textId="77777777" w:rsidR="00A97BD2" w:rsidRDefault="00A97BD2">
      <w:pPr>
        <w:rPr>
          <w:rFonts w:ascii="Arial Narrow" w:eastAsia="Calibri" w:hAnsi="Arial Narrow"/>
          <w:b/>
          <w:bCs/>
          <w:iCs/>
          <w:sz w:val="32"/>
          <w:szCs w:val="32"/>
          <w:lang w:eastAsia="en-US"/>
        </w:rPr>
      </w:pPr>
    </w:p>
    <w:p w14:paraId="1C6BF466" w14:textId="514EAE0A" w:rsidR="00AB5922" w:rsidRDefault="46D30032" w:rsidP="000C6F8D">
      <w:pPr>
        <w:pStyle w:val="Ttulo1"/>
      </w:pPr>
      <w:bookmarkStart w:id="188" w:name="_Toc106355294"/>
      <w:r>
        <w:t>Impacto del COVID- 19</w:t>
      </w:r>
      <w:bookmarkEnd w:id="187"/>
      <w:r>
        <w:t xml:space="preserve"> en el Plan Estratégico Institucional</w:t>
      </w:r>
      <w:bookmarkEnd w:id="188"/>
    </w:p>
    <w:p w14:paraId="748BAACB" w14:textId="77777777" w:rsidR="00AB5922" w:rsidRPr="008E5DA9" w:rsidRDefault="00AB5922" w:rsidP="00AB5922"/>
    <w:p w14:paraId="2D24215D" w14:textId="2C462633" w:rsidR="00AB5922" w:rsidRDefault="00AB5922" w:rsidP="00AB5922">
      <w:pPr>
        <w:rPr>
          <w:rFonts w:ascii="Arial Narrow" w:eastAsia="Calibri" w:hAnsi="Arial Narrow"/>
          <w:highlight w:val="yellow"/>
          <w:lang w:eastAsia="en-US"/>
        </w:rPr>
      </w:pPr>
    </w:p>
    <w:p w14:paraId="42269977" w14:textId="0CE26822" w:rsidR="000174EC" w:rsidRDefault="000174EC" w:rsidP="0025402E">
      <w:pPr>
        <w:jc w:val="both"/>
        <w:rPr>
          <w:rFonts w:ascii="Arial Narrow" w:hAnsi="Arial Narrow"/>
          <w:lang w:eastAsia="es-CR"/>
        </w:rPr>
      </w:pPr>
      <w:r w:rsidRPr="000436F7">
        <w:rPr>
          <w:rFonts w:ascii="Arial Narrow" w:hAnsi="Arial Narrow"/>
          <w:lang w:eastAsia="es-CR"/>
        </w:rPr>
        <w:t>La Dirección de Planificación mediante el informe 875-PLA-2020 y el Centro de Apoyo, Coordinación y Mejoramiento de la Función Jurisdiccional, informe 184-CACMFJ-JEF-2020, presentados ambos de manera conjunta a la Corte Plena en la sesión 33-2020 del 15 de junio contenía en su primer capítulo la propuesta para ajustes en los objetivos y metas del plan estratégico institucional y los planes anuales operativos relacionados con casos terminados por materia e instancia al 2020.</w:t>
      </w:r>
    </w:p>
    <w:p w14:paraId="64C19819" w14:textId="77777777" w:rsidR="000436F7" w:rsidRPr="000436F7" w:rsidRDefault="000436F7" w:rsidP="0025402E">
      <w:pPr>
        <w:jc w:val="both"/>
        <w:rPr>
          <w:rFonts w:ascii="Arial Narrow" w:hAnsi="Arial Narrow"/>
          <w:lang w:eastAsia="es-CR"/>
        </w:rPr>
      </w:pPr>
    </w:p>
    <w:p w14:paraId="02B35D90" w14:textId="032DFE8E" w:rsidR="000174EC" w:rsidRPr="000436F7" w:rsidRDefault="000174EC" w:rsidP="0025402E">
      <w:pPr>
        <w:jc w:val="both"/>
        <w:rPr>
          <w:rFonts w:ascii="Arial Narrow" w:hAnsi="Arial Narrow"/>
          <w:lang w:eastAsia="es-CR"/>
        </w:rPr>
      </w:pPr>
      <w:r w:rsidRPr="000436F7">
        <w:rPr>
          <w:rFonts w:ascii="Arial Narrow" w:hAnsi="Arial Narrow"/>
          <w:lang w:eastAsia="es-CR"/>
        </w:rPr>
        <w:t xml:space="preserve">El impacto de la pandemia se cuantificó en el informe 1385-PLA-2020 donde se logró </w:t>
      </w:r>
      <w:r w:rsidR="000436F7" w:rsidRPr="000436F7">
        <w:rPr>
          <w:rFonts w:ascii="Arial Narrow" w:hAnsi="Arial Narrow"/>
          <w:lang w:eastAsia="es-CR"/>
        </w:rPr>
        <w:t>determinar que</w:t>
      </w:r>
      <w:r w:rsidRPr="000436F7">
        <w:rPr>
          <w:rFonts w:ascii="Arial Narrow" w:hAnsi="Arial Narrow"/>
          <w:lang w:eastAsia="es-CR"/>
        </w:rPr>
        <w:t xml:space="preserve"> la entrada de asuntos nuevos disminuyó y pasó de un promedio de 62.038 asuntos mensuales en el periodo de enero y febrero, a posteriormente registrar un promedio de 52.835 asuntos mensuales en el periodo de marzo a julio, lo que representó una disminución de un 14.8% del primer mes del año al mes de julio, originado por la afectación a nivel nacional por el COVID- 19. Por otra parte, el promedio de casos terminados disminuyó entre enero y julio, en un 6.3%. Lo anterior, como efecto de la no realización de muchas audiencias que permitieran dar por terminados los procesos. Finalmente, el promedio de circulante aumentó de enero a julio pasando de 68.086 asuntos a 70.334 casos, es decir, un crecimiento de un 3,2%. </w:t>
      </w:r>
    </w:p>
    <w:p w14:paraId="68BBBEFD" w14:textId="4F8C6297" w:rsidR="000174EC" w:rsidRPr="000174EC" w:rsidRDefault="000174EC" w:rsidP="0025402E">
      <w:pPr>
        <w:jc w:val="both"/>
        <w:rPr>
          <w:rFonts w:ascii="Arial Narrow" w:hAnsi="Arial Narrow"/>
          <w:color w:val="000000"/>
          <w:lang w:eastAsia="es-CR"/>
        </w:rPr>
      </w:pPr>
    </w:p>
    <w:p w14:paraId="32C85161" w14:textId="77777777" w:rsidR="000436F7" w:rsidRDefault="000174EC" w:rsidP="0025402E">
      <w:pPr>
        <w:jc w:val="both"/>
        <w:rPr>
          <w:rFonts w:ascii="Arial Narrow" w:hAnsi="Arial Narrow"/>
          <w:color w:val="000000"/>
          <w:lang w:eastAsia="es-CR"/>
        </w:rPr>
      </w:pPr>
      <w:r w:rsidRPr="000174EC">
        <w:rPr>
          <w:rFonts w:ascii="Arial Narrow" w:hAnsi="Arial Narrow"/>
          <w:color w:val="000000"/>
          <w:lang w:eastAsia="es-CR"/>
        </w:rPr>
        <w:t>Por medio del informe 1281- PLA-PE-2021 del 9 de noviembre de 2021</w:t>
      </w:r>
      <w:r w:rsidR="000436F7">
        <w:rPr>
          <w:rFonts w:ascii="Arial Narrow" w:hAnsi="Arial Narrow"/>
          <w:color w:val="000000"/>
          <w:lang w:eastAsia="es-CR"/>
        </w:rPr>
        <w:t xml:space="preserve"> se presenta el </w:t>
      </w:r>
      <w:r w:rsidR="000436F7" w:rsidRPr="000436F7">
        <w:rPr>
          <w:rFonts w:ascii="Arial Narrow" w:hAnsi="Arial Narrow"/>
          <w:color w:val="000000"/>
          <w:lang w:eastAsia="es-CR"/>
        </w:rPr>
        <w:t>análisis de los casos terminados durante el 2019, 2020 y el primer semestre de 2021, monitoreando su comportamiento y las proyecciones para el 2021 y periodos siguientes del Plan Estratégico Institucional 2019-2024</w:t>
      </w:r>
      <w:r w:rsidR="000436F7">
        <w:rPr>
          <w:rFonts w:ascii="Arial Narrow" w:hAnsi="Arial Narrow"/>
          <w:color w:val="000000"/>
          <w:lang w:eastAsia="es-CR"/>
        </w:rPr>
        <w:t xml:space="preserve">, por medio del cual se concluye que es necesario </w:t>
      </w:r>
      <w:r w:rsidR="000436F7" w:rsidRPr="000436F7">
        <w:rPr>
          <w:rFonts w:ascii="Arial Narrow" w:hAnsi="Arial Narrow"/>
          <w:color w:val="000000"/>
          <w:lang w:eastAsia="es-CR"/>
        </w:rPr>
        <w:t>valorar el ajuste en los objetivos y metas del Plan Estratégico Institucional 2019-2024, relacionados con los “casos terminados” de las instancias primeras y superiores del ámbito jurisdiccional</w:t>
      </w:r>
      <w:r w:rsidR="000436F7">
        <w:rPr>
          <w:rFonts w:ascii="Arial Narrow" w:hAnsi="Arial Narrow"/>
          <w:color w:val="000000"/>
          <w:lang w:eastAsia="es-CR"/>
        </w:rPr>
        <w:t xml:space="preserve"> y ciertas oficinas administrativas.</w:t>
      </w:r>
      <w:r w:rsidR="000436F7" w:rsidRPr="000436F7">
        <w:rPr>
          <w:rFonts w:ascii="Arial Narrow" w:hAnsi="Arial Narrow"/>
          <w:color w:val="000000"/>
          <w:lang w:eastAsia="es-CR"/>
        </w:rPr>
        <w:t xml:space="preserve"> </w:t>
      </w:r>
    </w:p>
    <w:p w14:paraId="37141D93" w14:textId="77777777" w:rsidR="000436F7" w:rsidRDefault="000436F7" w:rsidP="0025402E">
      <w:pPr>
        <w:jc w:val="both"/>
        <w:rPr>
          <w:rFonts w:ascii="Arial Narrow" w:hAnsi="Arial Narrow"/>
          <w:color w:val="000000"/>
          <w:lang w:eastAsia="es-CR"/>
        </w:rPr>
      </w:pPr>
    </w:p>
    <w:p w14:paraId="303B5457" w14:textId="123C4E82" w:rsidR="000436F7" w:rsidRDefault="000436F7" w:rsidP="0025402E">
      <w:pPr>
        <w:jc w:val="both"/>
        <w:rPr>
          <w:rFonts w:ascii="Arial Narrow" w:hAnsi="Arial Narrow"/>
          <w:color w:val="000000"/>
          <w:lang w:eastAsia="es-CR"/>
        </w:rPr>
      </w:pPr>
      <w:r w:rsidRPr="00CC279A">
        <w:rPr>
          <w:rFonts w:ascii="Arial Narrow" w:hAnsi="Arial Narrow"/>
          <w:color w:val="000000"/>
          <w:lang w:eastAsia="es-CR"/>
        </w:rPr>
        <w:t xml:space="preserve">Cabe mencionar, que </w:t>
      </w:r>
      <w:r>
        <w:rPr>
          <w:rFonts w:ascii="Arial Narrow" w:hAnsi="Arial Narrow"/>
          <w:color w:val="000000"/>
          <w:lang w:eastAsia="es-CR"/>
        </w:rPr>
        <w:t>los</w:t>
      </w:r>
      <w:r w:rsidRPr="00CC279A">
        <w:rPr>
          <w:rFonts w:ascii="Arial Narrow" w:hAnsi="Arial Narrow"/>
          <w:color w:val="000000"/>
          <w:lang w:eastAsia="es-CR"/>
        </w:rPr>
        <w:t xml:space="preserve"> ajustes a la línea base es para alinear a la institución de una manera más efectiva en torno a estas metas para los próximos años, pero no pretende modificar la línea base del 2017 y 2018 que fue el punto de partida para la construcción del PEI y que se espera mantener hasta finalizar el periodo 2019-2024, así en el 2025, se realizará un análisis del impacto más detallado de la estrategia institucional tomando la línea base del 2017 y 2018. De esta manera, </w:t>
      </w:r>
      <w:r>
        <w:rPr>
          <w:rFonts w:ascii="Arial Narrow" w:hAnsi="Arial Narrow"/>
          <w:color w:val="000000"/>
          <w:lang w:eastAsia="es-CR"/>
        </w:rPr>
        <w:t xml:space="preserve">se han realizado esfuerzos para analizar y realizar las proyecciones de </w:t>
      </w:r>
      <w:r w:rsidRPr="00CC279A">
        <w:rPr>
          <w:rFonts w:ascii="Arial Narrow" w:hAnsi="Arial Narrow"/>
          <w:color w:val="000000"/>
          <w:lang w:eastAsia="es-CR"/>
        </w:rPr>
        <w:t xml:space="preserve">las metas relacionadas con casos terminados al 2022 y sus periodos posteriores 2023 y 2024 respectivamente. </w:t>
      </w:r>
      <w:r>
        <w:rPr>
          <w:rFonts w:ascii="Arial Narrow" w:hAnsi="Arial Narrow"/>
          <w:color w:val="000000"/>
          <w:lang w:eastAsia="es-CR"/>
        </w:rPr>
        <w:t xml:space="preserve">Por lo tanto, para el 2021 se continuará con la línea base estipulada antes de las nuevas propuestas. </w:t>
      </w:r>
    </w:p>
    <w:p w14:paraId="2E9C7D23" w14:textId="77777777" w:rsidR="000436F7" w:rsidRPr="00CC279A" w:rsidRDefault="000436F7" w:rsidP="00132A44">
      <w:pPr>
        <w:jc w:val="both"/>
        <w:rPr>
          <w:rFonts w:ascii="Arial Narrow" w:hAnsi="Arial Narrow"/>
          <w:color w:val="000000"/>
          <w:lang w:eastAsia="es-CR"/>
        </w:rPr>
      </w:pPr>
    </w:p>
    <w:p w14:paraId="147D4887" w14:textId="6728F4E8" w:rsidR="000436F7" w:rsidRDefault="000436F7" w:rsidP="00132A44">
      <w:pPr>
        <w:jc w:val="both"/>
        <w:rPr>
          <w:rFonts w:ascii="Arial Narrow" w:hAnsi="Arial Narrow"/>
          <w:color w:val="000000"/>
          <w:lang w:eastAsia="es-CR"/>
        </w:rPr>
      </w:pPr>
      <w:r w:rsidRPr="000436F7">
        <w:rPr>
          <w:rFonts w:ascii="Arial Narrow" w:hAnsi="Arial Narrow"/>
          <w:color w:val="000000"/>
          <w:lang w:eastAsia="es-CR"/>
        </w:rPr>
        <w:t>Por su parte</w:t>
      </w:r>
      <w:r>
        <w:rPr>
          <w:rFonts w:ascii="Arial Narrow" w:hAnsi="Arial Narrow"/>
          <w:color w:val="000000"/>
          <w:lang w:eastAsia="es-CR"/>
        </w:rPr>
        <w:t xml:space="preserve">, con respecto al oficio </w:t>
      </w:r>
      <w:r w:rsidRPr="000436F7">
        <w:rPr>
          <w:rFonts w:ascii="Arial Narrow" w:hAnsi="Arial Narrow"/>
          <w:color w:val="000000"/>
          <w:lang w:eastAsia="es-CR"/>
        </w:rPr>
        <w:t>1481-PLA-PE-2020, del 23 de setiembre del 2020, la Dirección de Planificación comunicó el Plan de Acción COVID-19 formulado en conjunto con los siguientes Centros de Responsabilidad a la Secretaría General de la Corte.  En dicho de Plan de Acción se definió una lista de acciones que se desarrollaron durante el 2020, para atender la emergencia sanitaria y procurar la continuidad de los servicios que brinda la Administración de Justicia</w:t>
      </w:r>
      <w:r>
        <w:rPr>
          <w:rFonts w:ascii="Arial Narrow" w:hAnsi="Arial Narrow"/>
          <w:color w:val="000000"/>
          <w:lang w:eastAsia="es-CR"/>
        </w:rPr>
        <w:t xml:space="preserve">, se rindió </w:t>
      </w:r>
      <w:r w:rsidRPr="000436F7">
        <w:rPr>
          <w:rFonts w:ascii="Arial Narrow" w:hAnsi="Arial Narrow"/>
          <w:color w:val="000000"/>
          <w:lang w:eastAsia="es-CR"/>
        </w:rPr>
        <w:t xml:space="preserve">la circular de la Secretaría de la Corte 253-2020 del 05 de noviembre de 2020, se informó sobre el acuerdo de Corte Plena, sesión 64-2020 del 26 de octubre de 2020, en atención a la declaratoria de emergencia nacional, debido a la situación de emergencia sanitaria provocada por la enfermedad COVID-19, que dentro de las medidas adoptadas, se acogió la recomendación de la Dirección de Planificación sobre el Plan de </w:t>
      </w:r>
      <w:r w:rsidR="00EF431A">
        <w:rPr>
          <w:rFonts w:ascii="Arial Narrow" w:hAnsi="Arial Narrow"/>
          <w:color w:val="000000"/>
          <w:lang w:eastAsia="es-CR"/>
        </w:rPr>
        <w:t>A</w:t>
      </w:r>
      <w:r w:rsidRPr="000436F7">
        <w:rPr>
          <w:rFonts w:ascii="Arial Narrow" w:hAnsi="Arial Narrow"/>
          <w:color w:val="000000"/>
          <w:lang w:eastAsia="es-CR"/>
        </w:rPr>
        <w:t>cción para la continuidad de los servicios judiciales de las estrategias institucionales</w:t>
      </w:r>
      <w:r>
        <w:rPr>
          <w:rFonts w:ascii="Arial Narrow" w:hAnsi="Arial Narrow"/>
          <w:color w:val="000000"/>
          <w:lang w:eastAsia="es-CR"/>
        </w:rPr>
        <w:t>.</w:t>
      </w:r>
      <w:r w:rsidRPr="000436F7">
        <w:rPr>
          <w:rFonts w:ascii="Arial Narrow" w:hAnsi="Arial Narrow"/>
          <w:color w:val="000000"/>
          <w:lang w:eastAsia="es-CR"/>
        </w:rPr>
        <w:t xml:space="preserve"> </w:t>
      </w:r>
    </w:p>
    <w:p w14:paraId="5E70ED09" w14:textId="77777777" w:rsidR="00EF431A" w:rsidRPr="000436F7" w:rsidRDefault="00EF431A" w:rsidP="00132A44">
      <w:pPr>
        <w:jc w:val="both"/>
        <w:rPr>
          <w:rFonts w:ascii="Arial Narrow" w:hAnsi="Arial Narrow"/>
          <w:color w:val="000000"/>
          <w:lang w:eastAsia="es-CR"/>
        </w:rPr>
      </w:pPr>
    </w:p>
    <w:p w14:paraId="22F83532" w14:textId="2051BF31" w:rsidR="000436F7" w:rsidRPr="000436F7" w:rsidRDefault="000436F7" w:rsidP="00132A44">
      <w:pPr>
        <w:jc w:val="both"/>
        <w:rPr>
          <w:rFonts w:ascii="Arial Narrow" w:hAnsi="Arial Narrow"/>
          <w:color w:val="000000"/>
          <w:lang w:eastAsia="es-CR"/>
        </w:rPr>
      </w:pPr>
      <w:r w:rsidRPr="000436F7">
        <w:rPr>
          <w:rFonts w:ascii="Arial Narrow" w:hAnsi="Arial Narrow"/>
          <w:color w:val="000000"/>
          <w:lang w:eastAsia="es-CR"/>
        </w:rPr>
        <w:t xml:space="preserve">El Plan de Acción definido para el 2020 reportó un porcentaje de cumplimiento del 100%, y fue comunicado a la Comisión de Emergencias del Poder Judicial mediante oficio 201-PLA-PE-2021 del 17 de febrero de 2021 y a la Secretaría General de la Corte, mediante oficio 308-PLA-PE-2021, del 12 de marzo de 2021. </w:t>
      </w:r>
    </w:p>
    <w:p w14:paraId="271D7141" w14:textId="7B208A12" w:rsidR="000436F7" w:rsidRDefault="000436F7" w:rsidP="00132A44">
      <w:pPr>
        <w:jc w:val="both"/>
        <w:rPr>
          <w:rFonts w:ascii="Arial Narrow" w:hAnsi="Arial Narrow"/>
          <w:color w:val="000000"/>
          <w:lang w:eastAsia="es-CR"/>
        </w:rPr>
      </w:pPr>
      <w:r w:rsidRPr="000436F7">
        <w:rPr>
          <w:rFonts w:ascii="Arial Narrow" w:hAnsi="Arial Narrow"/>
          <w:color w:val="000000"/>
          <w:lang w:eastAsia="es-CR"/>
        </w:rPr>
        <w:t>La Dirección de Planificación mediante el oficio 478-PLA-PE-2021, planteó la propuesta para consolidar en un plan de acción las acciones institucionales que se han venido desarrollando o se tienen planificadas realizar durante el 2021, esto en virtud de que se mantiene la declaratoria de emergencia nacional, como efecto del COVID-19 y con el fin de dar continuidad a los servicios judiciales.</w:t>
      </w:r>
    </w:p>
    <w:p w14:paraId="55FA9B77" w14:textId="77777777" w:rsidR="00EF431A" w:rsidRDefault="00EF431A" w:rsidP="00132A44">
      <w:pPr>
        <w:jc w:val="both"/>
        <w:rPr>
          <w:rFonts w:ascii="Arial Narrow" w:hAnsi="Arial Narrow"/>
          <w:color w:val="000000"/>
          <w:lang w:eastAsia="es-CR"/>
        </w:rPr>
      </w:pPr>
    </w:p>
    <w:p w14:paraId="1C9C0BD4" w14:textId="325C371D" w:rsidR="000436F7" w:rsidRDefault="000436F7" w:rsidP="00132A44">
      <w:pPr>
        <w:jc w:val="both"/>
        <w:rPr>
          <w:rFonts w:ascii="Arial Narrow" w:hAnsi="Arial Narrow"/>
          <w:color w:val="000000"/>
          <w:lang w:eastAsia="es-CR"/>
        </w:rPr>
      </w:pPr>
      <w:r>
        <w:rPr>
          <w:rFonts w:ascii="Arial Narrow" w:hAnsi="Arial Narrow"/>
          <w:color w:val="000000"/>
          <w:lang w:eastAsia="es-CR"/>
        </w:rPr>
        <w:t>Dado que para el 2020 el cumplimiento fue de un 100%, para el 2021 el cumplimiento fue de 93,33%, p</w:t>
      </w:r>
      <w:r w:rsidRPr="000436F7">
        <w:rPr>
          <w:rFonts w:ascii="Arial Narrow" w:hAnsi="Arial Narrow"/>
          <w:color w:val="000000"/>
          <w:lang w:eastAsia="es-CR"/>
        </w:rPr>
        <w:t>ara este último año, se presenta</w:t>
      </w:r>
      <w:r>
        <w:rPr>
          <w:rFonts w:ascii="Arial Narrow" w:hAnsi="Arial Narrow"/>
          <w:color w:val="000000"/>
          <w:lang w:eastAsia="es-CR"/>
        </w:rPr>
        <w:t>ro</w:t>
      </w:r>
      <w:r w:rsidRPr="000436F7">
        <w:rPr>
          <w:rFonts w:ascii="Arial Narrow" w:hAnsi="Arial Narrow"/>
          <w:color w:val="000000"/>
          <w:lang w:eastAsia="es-CR"/>
        </w:rPr>
        <w:t>n 19 estrategias</w:t>
      </w:r>
      <w:r w:rsidR="00EF431A">
        <w:rPr>
          <w:rFonts w:ascii="Arial Narrow" w:hAnsi="Arial Narrow"/>
          <w:color w:val="000000"/>
          <w:lang w:eastAsia="es-CR"/>
        </w:rPr>
        <w:t xml:space="preserve"> enlazadas a las diversas metas estratégicas del PEI y</w:t>
      </w:r>
      <w:r w:rsidRPr="000436F7">
        <w:rPr>
          <w:rFonts w:ascii="Arial Narrow" w:hAnsi="Arial Narrow"/>
          <w:color w:val="000000"/>
          <w:lang w:eastAsia="es-CR"/>
        </w:rPr>
        <w:t xml:space="preserve"> de los Planes de Acción Covid-19</w:t>
      </w:r>
      <w:r>
        <w:rPr>
          <w:rFonts w:ascii="Arial Narrow" w:hAnsi="Arial Narrow"/>
          <w:color w:val="000000"/>
          <w:lang w:eastAsia="es-CR"/>
        </w:rPr>
        <w:t xml:space="preserve">, debido a que dos estrategias quedaron con cumplimiento por debajo de lo esperado, a saber, </w:t>
      </w:r>
      <w:r w:rsidRPr="000436F7">
        <w:rPr>
          <w:rFonts w:ascii="Arial Narrow" w:hAnsi="Arial Narrow"/>
          <w:color w:val="000000"/>
          <w:lang w:eastAsia="es-CR"/>
        </w:rPr>
        <w:t xml:space="preserve">Plan de Acción COVID-19. Estrategia 6: Promover reuniones, capacitaciones, congresos, sesiones de trabajo y talleres en modalidad virtual </w:t>
      </w:r>
      <w:r>
        <w:rPr>
          <w:rFonts w:ascii="Arial Narrow" w:hAnsi="Arial Narrow"/>
          <w:color w:val="000000"/>
          <w:lang w:eastAsia="es-CR"/>
        </w:rPr>
        <w:t xml:space="preserve">registró un </w:t>
      </w:r>
      <w:r w:rsidRPr="000436F7">
        <w:rPr>
          <w:rFonts w:ascii="Arial Narrow" w:hAnsi="Arial Narrow"/>
          <w:color w:val="000000"/>
          <w:lang w:eastAsia="es-CR"/>
        </w:rPr>
        <w:t>83,33%</w:t>
      </w:r>
      <w:r>
        <w:rPr>
          <w:rFonts w:ascii="Arial Narrow" w:hAnsi="Arial Narrow"/>
          <w:color w:val="000000"/>
          <w:lang w:eastAsia="es-CR"/>
        </w:rPr>
        <w:t xml:space="preserve"> y el </w:t>
      </w:r>
      <w:r w:rsidRPr="000436F7">
        <w:rPr>
          <w:rFonts w:ascii="Arial Narrow" w:hAnsi="Arial Narrow"/>
          <w:color w:val="000000"/>
          <w:lang w:eastAsia="es-CR"/>
        </w:rPr>
        <w:t>Plan de Acción COVID-19. Estrategia 5: Apoyo de las Comisiones Institucionales en promover los servicios virtuales que tiene un cumplimiento de 66.67%</w:t>
      </w:r>
      <w:r>
        <w:rPr>
          <w:rFonts w:ascii="Arial Narrow" w:hAnsi="Arial Narrow"/>
          <w:color w:val="000000"/>
          <w:lang w:eastAsia="es-CR"/>
        </w:rPr>
        <w:t xml:space="preserve"> al terminar al 2021.</w:t>
      </w:r>
      <w:r w:rsidR="00007DE1">
        <w:rPr>
          <w:rFonts w:ascii="Arial Narrow" w:hAnsi="Arial Narrow"/>
          <w:color w:val="000000"/>
          <w:lang w:eastAsia="es-CR"/>
        </w:rPr>
        <w:t xml:space="preserve">  </w:t>
      </w:r>
    </w:p>
    <w:p w14:paraId="3BBEB4A9" w14:textId="03F8C117" w:rsidR="00EB662A" w:rsidRDefault="00007DE1" w:rsidP="00BF7360">
      <w:pPr>
        <w:jc w:val="both"/>
        <w:rPr>
          <w:rFonts w:ascii="Arial Narrow" w:hAnsi="Arial Narrow"/>
          <w:color w:val="000000"/>
          <w:lang w:eastAsia="es-CR"/>
        </w:rPr>
      </w:pPr>
      <w:r>
        <w:rPr>
          <w:rFonts w:ascii="Arial Narrow" w:hAnsi="Arial Narrow"/>
          <w:color w:val="000000"/>
          <w:lang w:eastAsia="es-CR"/>
        </w:rPr>
        <w:t>El detalle del cumplimiento de las metas estrategias y operativas se detalla en el informe de evaluación de los Planes Anuales Operativos del 2021.</w:t>
      </w:r>
    </w:p>
    <w:p w14:paraId="79145317" w14:textId="538630F6" w:rsidR="00BF7360" w:rsidRDefault="00BF7360" w:rsidP="00BF7360">
      <w:pPr>
        <w:jc w:val="both"/>
        <w:rPr>
          <w:rFonts w:ascii="Arial Narrow" w:hAnsi="Arial Narrow"/>
          <w:color w:val="000000"/>
          <w:lang w:eastAsia="es-CR"/>
        </w:rPr>
      </w:pPr>
    </w:p>
    <w:p w14:paraId="5E112495" w14:textId="77777777" w:rsidR="00BF7360" w:rsidRPr="00BF7360" w:rsidRDefault="00BF7360" w:rsidP="00BF7360">
      <w:pPr>
        <w:jc w:val="both"/>
        <w:rPr>
          <w:rFonts w:ascii="Arial Narrow" w:hAnsi="Arial Narrow"/>
          <w:color w:val="000000"/>
          <w:lang w:eastAsia="es-CR"/>
        </w:rPr>
      </w:pPr>
    </w:p>
    <w:p w14:paraId="0342C12D" w14:textId="120DA705" w:rsidR="00AB5922" w:rsidRPr="00517DC3" w:rsidRDefault="5EBD4900" w:rsidP="000C6F8D">
      <w:pPr>
        <w:pStyle w:val="Ttulo1"/>
      </w:pPr>
      <w:bookmarkStart w:id="189" w:name="_Toc106355295"/>
      <w:r w:rsidRPr="00517DC3">
        <w:t>Limitantes de la Evaluación</w:t>
      </w:r>
      <w:bookmarkEnd w:id="189"/>
      <w:r w:rsidRPr="00517DC3">
        <w:t xml:space="preserve"> </w:t>
      </w:r>
    </w:p>
    <w:p w14:paraId="0BF1B641" w14:textId="77777777" w:rsidR="000B0449" w:rsidRPr="00322D9B" w:rsidRDefault="000B0449" w:rsidP="000B0449">
      <w:pPr>
        <w:rPr>
          <w:highlight w:val="yellow"/>
          <w:lang w:eastAsia="en-US"/>
        </w:rPr>
      </w:pPr>
    </w:p>
    <w:p w14:paraId="13CD0498" w14:textId="3B35FE0E" w:rsidR="008215B8" w:rsidRPr="00322D9B" w:rsidRDefault="008215B8" w:rsidP="00F63C12">
      <w:pPr>
        <w:rPr>
          <w:lang w:eastAsia="en-US"/>
        </w:rPr>
      </w:pPr>
    </w:p>
    <w:p w14:paraId="47159D97" w14:textId="221BC6D8" w:rsidR="001A1178" w:rsidRPr="00322D9B" w:rsidRDefault="001A1178" w:rsidP="00F63C12">
      <w:pPr>
        <w:rPr>
          <w:rFonts w:ascii="Arial Narrow" w:hAnsi="Arial Narrow"/>
          <w:lang w:eastAsia="en-US"/>
        </w:rPr>
      </w:pPr>
      <w:r w:rsidRPr="00322D9B">
        <w:rPr>
          <w:rFonts w:ascii="Arial Narrow" w:hAnsi="Arial Narrow"/>
          <w:b/>
          <w:bCs/>
          <w:lang w:eastAsia="en-US"/>
        </w:rPr>
        <w:t>Limitante</w:t>
      </w:r>
      <w:r w:rsidR="00EF431A" w:rsidRPr="00322D9B">
        <w:rPr>
          <w:rFonts w:ascii="Arial Narrow" w:hAnsi="Arial Narrow"/>
          <w:b/>
          <w:bCs/>
          <w:lang w:eastAsia="en-US"/>
        </w:rPr>
        <w:t>s</w:t>
      </w:r>
      <w:r w:rsidRPr="00322D9B">
        <w:rPr>
          <w:rFonts w:ascii="Arial Narrow" w:hAnsi="Arial Narrow"/>
          <w:lang w:eastAsia="en-US"/>
        </w:rPr>
        <w:t>:</w:t>
      </w:r>
    </w:p>
    <w:p w14:paraId="1EA81B12" w14:textId="77777777" w:rsidR="0080354E" w:rsidRPr="00322D9B" w:rsidRDefault="0080354E" w:rsidP="00F63C12">
      <w:pPr>
        <w:rPr>
          <w:rFonts w:ascii="Arial Narrow" w:hAnsi="Arial Narrow"/>
          <w:lang w:eastAsia="en-US"/>
        </w:rPr>
      </w:pPr>
    </w:p>
    <w:p w14:paraId="234B9561" w14:textId="370662D4" w:rsidR="001A1178" w:rsidRPr="00322D9B" w:rsidRDefault="001A1178" w:rsidP="00132A44">
      <w:pPr>
        <w:pStyle w:val="Prrafodelista"/>
        <w:numPr>
          <w:ilvl w:val="0"/>
          <w:numId w:val="46"/>
        </w:numPr>
        <w:jc w:val="both"/>
        <w:rPr>
          <w:rFonts w:ascii="Arial Narrow" w:hAnsi="Arial Narrow"/>
          <w:lang w:eastAsia="en-US"/>
        </w:rPr>
      </w:pPr>
      <w:r w:rsidRPr="00322D9B">
        <w:rPr>
          <w:rFonts w:ascii="Arial Narrow" w:hAnsi="Arial Narrow"/>
          <w:lang w:eastAsia="en-US"/>
        </w:rPr>
        <w:t>La participación ciudadana será tomad</w:t>
      </w:r>
      <w:r w:rsidR="002C43A2" w:rsidRPr="00322D9B">
        <w:rPr>
          <w:rFonts w:ascii="Arial Narrow" w:hAnsi="Arial Narrow"/>
          <w:lang w:eastAsia="en-US"/>
        </w:rPr>
        <w:t>a</w:t>
      </w:r>
      <w:r w:rsidRPr="00322D9B">
        <w:rPr>
          <w:rFonts w:ascii="Arial Narrow" w:hAnsi="Arial Narrow"/>
          <w:lang w:eastAsia="en-US"/>
        </w:rPr>
        <w:t xml:space="preserve"> en cuenta para</w:t>
      </w:r>
      <w:r w:rsidR="002C43A2" w:rsidRPr="00322D9B">
        <w:rPr>
          <w:rFonts w:ascii="Arial Narrow" w:hAnsi="Arial Narrow"/>
          <w:lang w:eastAsia="en-US"/>
        </w:rPr>
        <w:t xml:space="preserve"> </w:t>
      </w:r>
      <w:r w:rsidRPr="00322D9B">
        <w:rPr>
          <w:rFonts w:ascii="Arial Narrow" w:hAnsi="Arial Narrow"/>
          <w:lang w:eastAsia="en-US"/>
        </w:rPr>
        <w:t>a Evaluación del PEI 2022.</w:t>
      </w:r>
    </w:p>
    <w:p w14:paraId="25AE76D1" w14:textId="08840716" w:rsidR="001A1178" w:rsidRDefault="001A1178" w:rsidP="00132A44">
      <w:pPr>
        <w:pStyle w:val="Prrafodelista"/>
        <w:numPr>
          <w:ilvl w:val="0"/>
          <w:numId w:val="46"/>
        </w:numPr>
        <w:jc w:val="both"/>
        <w:rPr>
          <w:rFonts w:ascii="Arial Narrow" w:hAnsi="Arial Narrow"/>
          <w:lang w:eastAsia="en-US"/>
        </w:rPr>
      </w:pPr>
      <w:r w:rsidRPr="00322D9B">
        <w:rPr>
          <w:rFonts w:ascii="Arial Narrow" w:hAnsi="Arial Narrow"/>
          <w:lang w:eastAsia="en-US"/>
        </w:rPr>
        <w:t>Los sistemas informáticos actuales que proveen la información</w:t>
      </w:r>
      <w:r w:rsidR="002F49AB" w:rsidRPr="00322D9B">
        <w:rPr>
          <w:rFonts w:ascii="Arial Narrow" w:hAnsi="Arial Narrow"/>
          <w:lang w:eastAsia="en-US"/>
        </w:rPr>
        <w:t>,</w:t>
      </w:r>
      <w:r w:rsidRPr="00322D9B">
        <w:rPr>
          <w:rFonts w:ascii="Arial Narrow" w:hAnsi="Arial Narrow"/>
          <w:lang w:eastAsia="en-US"/>
        </w:rPr>
        <w:t xml:space="preserve"> contienen reportes que si bien es cierto proporcionan información útil y válida para la toma de decisiones, le corresponde a</w:t>
      </w:r>
      <w:r w:rsidR="003D4046">
        <w:rPr>
          <w:rFonts w:ascii="Arial Narrow" w:hAnsi="Arial Narrow"/>
          <w:lang w:eastAsia="en-US"/>
        </w:rPr>
        <w:t xml:space="preserve"> la persona </w:t>
      </w:r>
      <w:r w:rsidRPr="00322D9B">
        <w:rPr>
          <w:rFonts w:ascii="Arial Narrow" w:hAnsi="Arial Narrow"/>
          <w:lang w:eastAsia="en-US"/>
        </w:rPr>
        <w:t xml:space="preserve"> analista </w:t>
      </w:r>
      <w:r w:rsidRPr="00A97BD2">
        <w:rPr>
          <w:rFonts w:ascii="Arial Narrow" w:hAnsi="Arial Narrow"/>
          <w:lang w:eastAsia="en-US"/>
        </w:rPr>
        <w:t>evaluador</w:t>
      </w:r>
      <w:r w:rsidR="003D4046">
        <w:rPr>
          <w:rFonts w:ascii="Arial Narrow" w:hAnsi="Arial Narrow"/>
          <w:lang w:eastAsia="en-US"/>
        </w:rPr>
        <w:t>a</w:t>
      </w:r>
      <w:r w:rsidR="002F49AB" w:rsidRPr="00A97BD2">
        <w:rPr>
          <w:rFonts w:ascii="Arial Narrow" w:hAnsi="Arial Narrow"/>
          <w:lang w:eastAsia="en-US"/>
        </w:rPr>
        <w:t>,</w:t>
      </w:r>
      <w:r w:rsidRPr="00A97BD2">
        <w:rPr>
          <w:rFonts w:ascii="Arial Narrow" w:hAnsi="Arial Narrow"/>
          <w:lang w:eastAsia="en-US"/>
        </w:rPr>
        <w:t xml:space="preserve"> elaborar </w:t>
      </w:r>
      <w:r w:rsidR="002F49AB" w:rsidRPr="00A97BD2">
        <w:rPr>
          <w:rFonts w:ascii="Arial Narrow" w:hAnsi="Arial Narrow"/>
          <w:lang w:eastAsia="en-US"/>
        </w:rPr>
        <w:t xml:space="preserve">de forma manual </w:t>
      </w:r>
      <w:r w:rsidRPr="00A97BD2">
        <w:rPr>
          <w:rFonts w:ascii="Arial Narrow" w:hAnsi="Arial Narrow"/>
          <w:lang w:eastAsia="en-US"/>
        </w:rPr>
        <w:t>el cuadro acumulado del cumplimiento del PEI.</w:t>
      </w:r>
    </w:p>
    <w:p w14:paraId="6307772E" w14:textId="6C1E393D" w:rsidR="008F0B82" w:rsidRPr="00A97BD2" w:rsidRDefault="008F0B82" w:rsidP="00132A44">
      <w:pPr>
        <w:pStyle w:val="Prrafodelista"/>
        <w:numPr>
          <w:ilvl w:val="0"/>
          <w:numId w:val="46"/>
        </w:numPr>
        <w:jc w:val="both"/>
        <w:rPr>
          <w:rFonts w:ascii="Arial Narrow" w:hAnsi="Arial Narrow"/>
          <w:lang w:eastAsia="en-US"/>
        </w:rPr>
      </w:pPr>
      <w:r w:rsidRPr="00302450">
        <w:rPr>
          <w:rFonts w:ascii="Arial Narrow" w:hAnsi="Arial Narrow"/>
          <w:lang w:eastAsia="en-US"/>
        </w:rPr>
        <w:t>Parte</w:t>
      </w:r>
      <w:r w:rsidRPr="00A97BD2">
        <w:rPr>
          <w:rFonts w:ascii="Arial Narrow" w:hAnsi="Arial Narrow"/>
          <w:lang w:eastAsia="en-US"/>
        </w:rPr>
        <w:t xml:space="preserve"> de las evaluaciones, se obtiene el insumo principal de los sistemas informáticos y se parte</w:t>
      </w:r>
      <w:r w:rsidRPr="00322D9B">
        <w:rPr>
          <w:rFonts w:ascii="Arial Narrow" w:hAnsi="Arial Narrow"/>
          <w:lang w:eastAsia="en-US"/>
        </w:rPr>
        <w:t xml:space="preserve"> </w:t>
      </w:r>
      <w:r w:rsidRPr="00A97BD2">
        <w:rPr>
          <w:rFonts w:ascii="Arial Narrow" w:hAnsi="Arial Narrow"/>
          <w:lang w:eastAsia="en-US"/>
        </w:rPr>
        <w:t>del hecho que la evidencia colocada es fidedigna y veraz, como parte de la responsabilidad que</w:t>
      </w:r>
      <w:r w:rsidRPr="00322D9B">
        <w:rPr>
          <w:rFonts w:ascii="Arial Narrow" w:hAnsi="Arial Narrow"/>
          <w:lang w:eastAsia="en-US"/>
        </w:rPr>
        <w:t xml:space="preserve"> tienen todos los servidores y servidoras judiciales de consignar información fehaciente y útil para la toma de decisiones gerenciales. Debido a la necesidad de contar con una evaluación en un margen de tiempo estrecho, se utiliza solamente esa evidencia y se pospone la realización de entrevistas de verificación.</w:t>
      </w:r>
    </w:p>
    <w:p w14:paraId="309BA4E6" w14:textId="3CD5D8E7" w:rsidR="00EB662A" w:rsidRDefault="00EB662A" w:rsidP="008F0B82">
      <w:pPr>
        <w:ind w:left="360"/>
        <w:jc w:val="both"/>
        <w:rPr>
          <w:rFonts w:ascii="Arial Narrow" w:hAnsi="Arial Narrow"/>
          <w:highlight w:val="yellow"/>
          <w:lang w:eastAsia="en-US"/>
        </w:rPr>
      </w:pPr>
    </w:p>
    <w:p w14:paraId="72EEF72C" w14:textId="548D4A58" w:rsidR="00DA48B0" w:rsidRDefault="00DA48B0" w:rsidP="008F0B82">
      <w:pPr>
        <w:ind w:left="360"/>
        <w:jc w:val="both"/>
        <w:rPr>
          <w:rFonts w:ascii="Arial Narrow" w:hAnsi="Arial Narrow"/>
          <w:highlight w:val="yellow"/>
          <w:lang w:eastAsia="en-US"/>
        </w:rPr>
      </w:pPr>
    </w:p>
    <w:p w14:paraId="4B69F972" w14:textId="7F6399B5" w:rsidR="00DA48B0" w:rsidRDefault="00DA48B0" w:rsidP="008F0B82">
      <w:pPr>
        <w:ind w:left="360"/>
        <w:jc w:val="both"/>
        <w:rPr>
          <w:rFonts w:ascii="Arial Narrow" w:hAnsi="Arial Narrow"/>
          <w:highlight w:val="yellow"/>
          <w:lang w:eastAsia="en-US"/>
        </w:rPr>
      </w:pPr>
    </w:p>
    <w:p w14:paraId="2B0CA54C" w14:textId="77777777" w:rsidR="00100134" w:rsidRPr="008F0B82" w:rsidRDefault="00100134" w:rsidP="008F0B82">
      <w:pPr>
        <w:ind w:left="360"/>
        <w:jc w:val="both"/>
        <w:rPr>
          <w:rFonts w:ascii="Arial Narrow" w:hAnsi="Arial Narrow"/>
          <w:highlight w:val="yellow"/>
          <w:lang w:eastAsia="en-US"/>
        </w:rPr>
      </w:pPr>
    </w:p>
    <w:p w14:paraId="2B47E20F" w14:textId="2FA1801E" w:rsidR="00AB5922" w:rsidRDefault="5EBD4900" w:rsidP="000C6F8D">
      <w:pPr>
        <w:pStyle w:val="Ttulo1"/>
      </w:pPr>
      <w:bookmarkStart w:id="190" w:name="_Toc106355296"/>
      <w:r>
        <w:t>Hallazgos de la Evaluación</w:t>
      </w:r>
      <w:bookmarkEnd w:id="190"/>
      <w:r>
        <w:t xml:space="preserve"> </w:t>
      </w:r>
    </w:p>
    <w:p w14:paraId="67791C20" w14:textId="2C38EA31" w:rsidR="000B0449" w:rsidRDefault="000B0449" w:rsidP="000B0449">
      <w:pPr>
        <w:rPr>
          <w:lang w:eastAsia="en-US"/>
        </w:rPr>
      </w:pPr>
    </w:p>
    <w:p w14:paraId="637C8D18" w14:textId="3C3DB466" w:rsidR="00493029" w:rsidRDefault="00493029" w:rsidP="000B0449">
      <w:pPr>
        <w:rPr>
          <w:lang w:eastAsia="en-US"/>
        </w:rPr>
      </w:pPr>
    </w:p>
    <w:p w14:paraId="0BE8DB55" w14:textId="0E193B44" w:rsidR="00493029" w:rsidRDefault="00493029" w:rsidP="00132A44">
      <w:pPr>
        <w:jc w:val="both"/>
        <w:rPr>
          <w:rFonts w:ascii="Arial Narrow" w:hAnsi="Arial Narrow"/>
          <w:lang w:eastAsia="en-US"/>
        </w:rPr>
      </w:pPr>
      <w:r w:rsidRPr="00493029">
        <w:rPr>
          <w:rFonts w:ascii="Arial Narrow" w:hAnsi="Arial Narrow"/>
          <w:lang w:eastAsia="en-US"/>
        </w:rPr>
        <w:t>Como parte del análisis y revisión de las metas estratégicas vinculadas en el Sistema PEI a metas operativas, se tiene el siguiente apartado de hallazgos, que pretende extraer y detallar cuales son las metas que requieren mayor atención y seguimiento por parte de los responsables estratégicos, así como canalizar esfuerzos para que en el año 2022 no se presente un cumplimiento parcial o bajo.</w:t>
      </w:r>
    </w:p>
    <w:p w14:paraId="7FCF7404" w14:textId="77777777" w:rsidR="0045588C" w:rsidRPr="00493029" w:rsidRDefault="0045588C" w:rsidP="00132A44">
      <w:pPr>
        <w:jc w:val="both"/>
        <w:rPr>
          <w:rFonts w:ascii="Arial Narrow" w:hAnsi="Arial Narrow"/>
          <w:lang w:eastAsia="en-US"/>
        </w:rPr>
      </w:pPr>
    </w:p>
    <w:p w14:paraId="639A8ACC" w14:textId="718EF589" w:rsidR="00493029" w:rsidRPr="00517DC3" w:rsidRDefault="00493029" w:rsidP="00322D9B">
      <w:pPr>
        <w:pStyle w:val="Ttulo2"/>
      </w:pPr>
      <w:bookmarkStart w:id="191" w:name="_Toc104974496"/>
      <w:bookmarkStart w:id="192" w:name="_Toc104979132"/>
      <w:bookmarkStart w:id="193" w:name="_Toc106355297"/>
      <w:bookmarkEnd w:id="191"/>
      <w:bookmarkEnd w:id="192"/>
      <w:r w:rsidRPr="00517DC3">
        <w:t>Tema estratégico Resolución Oportuna de Conflictos</w:t>
      </w:r>
      <w:bookmarkEnd w:id="193"/>
    </w:p>
    <w:p w14:paraId="3ACB978A" w14:textId="7EBE91ED" w:rsidR="00493029" w:rsidRDefault="00493029" w:rsidP="00132A44">
      <w:pPr>
        <w:jc w:val="both"/>
        <w:rPr>
          <w:rFonts w:ascii="Arial Narrow" w:hAnsi="Arial Narrow"/>
          <w:b/>
          <w:bCs/>
          <w:lang w:eastAsia="en-US"/>
        </w:rPr>
      </w:pPr>
    </w:p>
    <w:p w14:paraId="6FF13BF0" w14:textId="77777777" w:rsidR="002F1057" w:rsidRPr="00F63C12" w:rsidRDefault="002F1057" w:rsidP="00132A44">
      <w:pPr>
        <w:jc w:val="both"/>
        <w:rPr>
          <w:rFonts w:ascii="Arial Narrow" w:hAnsi="Arial Narrow"/>
          <w:b/>
          <w:bCs/>
          <w:lang w:eastAsia="en-US"/>
        </w:rPr>
      </w:pPr>
    </w:p>
    <w:p w14:paraId="3FFC0E42" w14:textId="33B14F21" w:rsidR="002756A5" w:rsidRPr="00F63C12" w:rsidRDefault="00493029" w:rsidP="00132A44">
      <w:pPr>
        <w:numPr>
          <w:ilvl w:val="0"/>
          <w:numId w:val="36"/>
        </w:numPr>
        <w:jc w:val="both"/>
        <w:rPr>
          <w:rFonts w:ascii="Arial Narrow" w:eastAsia="Batang" w:hAnsi="Arial Narrow"/>
          <w:b/>
          <w:bCs/>
          <w:lang w:eastAsia="en-US"/>
        </w:rPr>
      </w:pPr>
      <w:r w:rsidRPr="00F63C12">
        <w:rPr>
          <w:rFonts w:ascii="Arial Narrow" w:eastAsia="Batang" w:hAnsi="Arial Narrow"/>
          <w:b/>
          <w:bCs/>
          <w:lang w:eastAsia="en-US"/>
        </w:rPr>
        <w:t>Acción estratégica</w:t>
      </w:r>
      <w:r w:rsidRPr="00F63C12" w:rsidDel="00A008D4">
        <w:rPr>
          <w:rFonts w:ascii="Arial Narrow" w:eastAsia="Batang" w:hAnsi="Arial Narrow"/>
          <w:b/>
          <w:bCs/>
          <w:lang w:eastAsia="en-US"/>
        </w:rPr>
        <w:t>:</w:t>
      </w:r>
      <w:r w:rsidRPr="00F63C12">
        <w:rPr>
          <w:rFonts w:ascii="Arial Narrow" w:eastAsia="Batang" w:hAnsi="Arial Narrow"/>
          <w:b/>
          <w:bCs/>
          <w:lang w:eastAsia="en-US"/>
        </w:rPr>
        <w:t xml:space="preserve"> Abordaje integral a la Criminalidad</w:t>
      </w:r>
    </w:p>
    <w:p w14:paraId="11F559AD" w14:textId="66E37B3F" w:rsidR="00493029" w:rsidRPr="00F63C12" w:rsidRDefault="002756A5" w:rsidP="00132A44">
      <w:pPr>
        <w:ind w:left="720"/>
        <w:jc w:val="both"/>
        <w:rPr>
          <w:rFonts w:ascii="Arial Narrow" w:eastAsia="Batang" w:hAnsi="Arial Narrow"/>
          <w:lang w:eastAsia="en-US"/>
        </w:rPr>
      </w:pPr>
      <w:r w:rsidRPr="00F63C12">
        <w:rPr>
          <w:rFonts w:ascii="Arial Narrow" w:eastAsia="Batang" w:hAnsi="Arial Narrow"/>
          <w:lang w:eastAsia="en-US"/>
        </w:rPr>
        <w:t>No hay metas con cumplimiento parcial o bajo.</w:t>
      </w:r>
    </w:p>
    <w:p w14:paraId="56EBA651" w14:textId="77777777" w:rsidR="00493029" w:rsidRPr="0080354E" w:rsidRDefault="00493029" w:rsidP="00132A44">
      <w:pPr>
        <w:ind w:left="720"/>
        <w:jc w:val="both"/>
        <w:rPr>
          <w:rFonts w:ascii="Arial Narrow" w:eastAsia="Batang" w:hAnsi="Arial Narrow"/>
          <w:b/>
          <w:bCs/>
          <w:lang w:eastAsia="en-US"/>
        </w:rPr>
      </w:pPr>
    </w:p>
    <w:p w14:paraId="295846FF" w14:textId="77777777" w:rsidR="00493029" w:rsidRPr="0080354E" w:rsidRDefault="00493029" w:rsidP="00132A44">
      <w:pPr>
        <w:numPr>
          <w:ilvl w:val="0"/>
          <w:numId w:val="36"/>
        </w:numPr>
        <w:jc w:val="both"/>
        <w:rPr>
          <w:rFonts w:ascii="Arial Narrow" w:eastAsia="Batang" w:hAnsi="Arial Narrow"/>
          <w:b/>
          <w:bCs/>
          <w:lang w:eastAsia="en-US"/>
        </w:rPr>
      </w:pPr>
      <w:r w:rsidRPr="0080354E">
        <w:rPr>
          <w:rFonts w:ascii="Arial Narrow" w:eastAsia="Batang" w:hAnsi="Arial Narrow"/>
          <w:b/>
          <w:bCs/>
          <w:lang w:eastAsia="en-US"/>
        </w:rPr>
        <w:t>Acción estratégica: Celeridad Judicial</w:t>
      </w:r>
    </w:p>
    <w:p w14:paraId="3AA868BF" w14:textId="77777777" w:rsidR="00493029" w:rsidRPr="0080354E" w:rsidRDefault="00493029" w:rsidP="00132A44">
      <w:pPr>
        <w:ind w:left="720"/>
        <w:jc w:val="both"/>
        <w:rPr>
          <w:rFonts w:ascii="Arial Narrow" w:eastAsia="Batang" w:hAnsi="Arial Narrow"/>
          <w:b/>
          <w:bCs/>
          <w:lang w:eastAsia="en-US"/>
        </w:rPr>
      </w:pPr>
    </w:p>
    <w:p w14:paraId="69C7457F" w14:textId="77777777" w:rsidR="00493029" w:rsidRPr="0080354E" w:rsidRDefault="00493029" w:rsidP="00132A44">
      <w:pPr>
        <w:ind w:left="720"/>
        <w:jc w:val="both"/>
        <w:rPr>
          <w:rFonts w:ascii="Arial Narrow" w:eastAsia="Batang" w:hAnsi="Arial Narrow"/>
          <w:noProof/>
        </w:rPr>
      </w:pPr>
      <w:bookmarkStart w:id="194" w:name="_Hlk99566253"/>
      <w:r w:rsidRPr="0080354E">
        <w:rPr>
          <w:rFonts w:ascii="Arial Narrow" w:eastAsia="Batang" w:hAnsi="Arial Narrow"/>
          <w:b/>
          <w:bCs/>
          <w:u w:val="single"/>
          <w:lang w:eastAsia="en-US"/>
        </w:rPr>
        <w:t>Metas Estratégicas con cumplimiento medio:</w:t>
      </w:r>
      <w:r w:rsidRPr="0080354E">
        <w:rPr>
          <w:rFonts w:ascii="Arial Narrow" w:eastAsia="Batang" w:hAnsi="Arial Narrow"/>
          <w:b/>
          <w:bCs/>
          <w:lang w:eastAsia="en-US"/>
        </w:rPr>
        <w:t xml:space="preserve"> </w:t>
      </w:r>
      <w:bookmarkEnd w:id="194"/>
      <w:r w:rsidRPr="0080354E">
        <w:rPr>
          <w:rFonts w:ascii="Arial Narrow" w:eastAsia="Batang" w:hAnsi="Arial Narrow"/>
          <w:i/>
          <w:iCs/>
          <w:noProof/>
        </w:rPr>
        <w:t>Que al finalizar el 2024, se haya incrementado la cantidad de casos terminados en materia Penal Juvenil año, en primera instancia</w:t>
      </w:r>
      <w:r w:rsidRPr="0080354E">
        <w:rPr>
          <w:rFonts w:ascii="Arial Narrow" w:eastAsia="Batang" w:hAnsi="Arial Narrow" w:cs="Calibri"/>
          <w:b/>
          <w:bCs/>
          <w:color w:val="000000"/>
          <w:lang w:eastAsia="es-CR"/>
        </w:rPr>
        <w:t xml:space="preserve"> </w:t>
      </w:r>
      <w:r w:rsidRPr="0080354E">
        <w:rPr>
          <w:rFonts w:ascii="Arial Narrow" w:eastAsia="Batang" w:hAnsi="Arial Narrow"/>
          <w:noProof/>
        </w:rPr>
        <w:t>(</w:t>
      </w:r>
      <w:r w:rsidRPr="0080354E">
        <w:rPr>
          <w:rFonts w:ascii="Arial Narrow" w:eastAsia="Batang" w:hAnsi="Arial Narrow"/>
          <w:b/>
          <w:bCs/>
          <w:noProof/>
          <w:u w:val="single"/>
        </w:rPr>
        <w:t xml:space="preserve">67,10% de cumplimiento para el 2021); </w:t>
      </w:r>
      <w:r w:rsidRPr="0080354E">
        <w:rPr>
          <w:rFonts w:ascii="Arial Narrow" w:eastAsia="Batang" w:hAnsi="Arial Narrow"/>
          <w:i/>
          <w:iCs/>
          <w:noProof/>
        </w:rPr>
        <w:t>Que al finalizar el 2024, se haya incrementado la cantidad de casos terminados en materia Civil por año, en primera instancia</w:t>
      </w:r>
      <w:r w:rsidRPr="0080354E">
        <w:rPr>
          <w:rFonts w:ascii="Arial Narrow" w:eastAsia="Batang" w:hAnsi="Arial Narrow" w:cs="Calibri"/>
          <w:b/>
          <w:bCs/>
          <w:color w:val="000000"/>
          <w:lang w:eastAsia="es-CR"/>
        </w:rPr>
        <w:t xml:space="preserve">, </w:t>
      </w:r>
      <w:r w:rsidRPr="0080354E">
        <w:rPr>
          <w:rFonts w:ascii="Arial Narrow" w:eastAsia="Batang" w:hAnsi="Arial Narrow"/>
          <w:noProof/>
        </w:rPr>
        <w:t>(</w:t>
      </w:r>
      <w:r w:rsidRPr="0080354E">
        <w:rPr>
          <w:rFonts w:ascii="Arial Narrow" w:eastAsia="Batang" w:hAnsi="Arial Narrow"/>
          <w:b/>
          <w:bCs/>
          <w:noProof/>
          <w:u w:val="single"/>
        </w:rPr>
        <w:t xml:space="preserve">75,34% de cumplimiento para el 2021); </w:t>
      </w:r>
      <w:r w:rsidRPr="0080354E">
        <w:rPr>
          <w:rFonts w:ascii="Arial Narrow" w:eastAsia="Batang" w:hAnsi="Arial Narrow"/>
          <w:i/>
          <w:iCs/>
          <w:noProof/>
        </w:rPr>
        <w:t>Que al finalizar el 2024, se haya incrementado la cantidad de casos terminados en materia de Tránsito por año, en primera instancia</w:t>
      </w:r>
      <w:r w:rsidRPr="0080354E">
        <w:rPr>
          <w:rFonts w:ascii="Arial Narrow" w:eastAsia="Batang" w:hAnsi="Arial Narrow" w:cs="Calibri"/>
          <w:b/>
          <w:bCs/>
          <w:color w:val="000000"/>
          <w:lang w:eastAsia="es-CR"/>
        </w:rPr>
        <w:t xml:space="preserve"> </w:t>
      </w:r>
      <w:r w:rsidRPr="0080354E">
        <w:rPr>
          <w:rFonts w:ascii="Arial Narrow" w:eastAsia="Batang" w:hAnsi="Arial Narrow"/>
          <w:noProof/>
        </w:rPr>
        <w:t>(</w:t>
      </w:r>
      <w:r w:rsidRPr="0080354E">
        <w:rPr>
          <w:rFonts w:ascii="Arial Narrow" w:eastAsia="Batang" w:hAnsi="Arial Narrow"/>
          <w:b/>
          <w:bCs/>
          <w:noProof/>
          <w:u w:val="single"/>
        </w:rPr>
        <w:t xml:space="preserve">80,32% de cumplimiento para el 2021),  </w:t>
      </w:r>
      <w:r w:rsidRPr="0080354E">
        <w:rPr>
          <w:rFonts w:ascii="Arial Narrow" w:eastAsia="Batang" w:hAnsi="Arial Narrow"/>
          <w:i/>
          <w:iCs/>
          <w:noProof/>
        </w:rPr>
        <w:t>Que al finalizar el 2024, se haya incrementado la cantidad de casos terminados en la jurisdicción Contenciosa Administrativa por año, en segunda instancia</w:t>
      </w:r>
      <w:r w:rsidRPr="0080354E">
        <w:rPr>
          <w:rFonts w:ascii="Arial Narrow" w:eastAsia="Batang" w:hAnsi="Arial Narrow" w:cs="Calibri"/>
          <w:b/>
          <w:bCs/>
          <w:color w:val="000000"/>
          <w:lang w:eastAsia="es-CR"/>
        </w:rPr>
        <w:t xml:space="preserve"> (</w:t>
      </w:r>
      <w:r w:rsidRPr="0080354E">
        <w:rPr>
          <w:rFonts w:ascii="Arial Narrow" w:eastAsia="Batang" w:hAnsi="Arial Narrow"/>
          <w:b/>
          <w:bCs/>
          <w:noProof/>
          <w:u w:val="single"/>
        </w:rPr>
        <w:t>81% de cumplimiento para el 2021),</w:t>
      </w:r>
      <w:r w:rsidRPr="0080354E">
        <w:rPr>
          <w:rFonts w:ascii="Arial Narrow" w:eastAsia="Batang" w:hAnsi="Arial Narrow"/>
          <w:b/>
          <w:bCs/>
          <w:noProof/>
        </w:rPr>
        <w:t xml:space="preserve">   </w:t>
      </w:r>
      <w:r w:rsidRPr="0080354E">
        <w:rPr>
          <w:rFonts w:ascii="Arial Narrow" w:eastAsia="Batang" w:hAnsi="Arial Narrow" w:cs="Calibri"/>
          <w:i/>
          <w:iCs/>
          <w:color w:val="000000"/>
          <w:lang w:eastAsia="es-CR"/>
        </w:rPr>
        <w:t>Que al finalizar el 2024, se haya incrementado la cantidad de casos terminados en materia Penal Juvenil por año, en segunda instancia</w:t>
      </w:r>
      <w:r w:rsidRPr="0080354E">
        <w:rPr>
          <w:rFonts w:ascii="Arial Narrow" w:eastAsia="Batang" w:hAnsi="Arial Narrow" w:cs="Calibri"/>
          <w:b/>
          <w:bCs/>
          <w:color w:val="000000"/>
          <w:lang w:eastAsia="es-CR"/>
        </w:rPr>
        <w:t xml:space="preserve"> (</w:t>
      </w:r>
      <w:r w:rsidRPr="0080354E">
        <w:rPr>
          <w:rFonts w:ascii="Arial Narrow" w:eastAsia="Batang" w:hAnsi="Arial Narrow"/>
          <w:b/>
          <w:bCs/>
          <w:noProof/>
          <w:u w:val="single"/>
        </w:rPr>
        <w:t>69% de cumplimiento para el 2021)</w:t>
      </w:r>
      <w:r w:rsidRPr="0080354E">
        <w:rPr>
          <w:rFonts w:ascii="Arial Narrow" w:eastAsia="Batang" w:hAnsi="Arial Narrow"/>
          <w:b/>
          <w:bCs/>
          <w:noProof/>
        </w:rPr>
        <w:t xml:space="preserve">,   </w:t>
      </w:r>
      <w:r w:rsidRPr="0080354E">
        <w:rPr>
          <w:rFonts w:ascii="Arial Narrow" w:eastAsia="Batang" w:hAnsi="Arial Narrow" w:cs="Calibri"/>
          <w:i/>
          <w:iCs/>
          <w:color w:val="000000"/>
          <w:lang w:eastAsia="es-CR"/>
        </w:rPr>
        <w:t xml:space="preserve">Que al finalizar el 2024, se haya incrementado la cantidad de casos terminados en materia Contravencional por año, en segunda instancia </w:t>
      </w:r>
      <w:r w:rsidRPr="0080354E">
        <w:rPr>
          <w:rFonts w:ascii="Arial Narrow" w:eastAsia="Batang" w:hAnsi="Arial Narrow" w:cs="Calibri"/>
          <w:b/>
          <w:bCs/>
          <w:color w:val="000000"/>
          <w:lang w:eastAsia="es-CR"/>
        </w:rPr>
        <w:t>(</w:t>
      </w:r>
      <w:r w:rsidRPr="0080354E">
        <w:rPr>
          <w:rFonts w:ascii="Arial Narrow" w:eastAsia="Batang" w:hAnsi="Arial Narrow"/>
          <w:b/>
          <w:bCs/>
          <w:noProof/>
          <w:u w:val="single"/>
        </w:rPr>
        <w:t>63,44% de cumplimiento para el 2021)</w:t>
      </w:r>
      <w:r w:rsidRPr="0080354E">
        <w:rPr>
          <w:rFonts w:ascii="Arial Narrow" w:eastAsia="Batang" w:hAnsi="Arial Narrow"/>
          <w:b/>
          <w:bCs/>
          <w:noProof/>
        </w:rPr>
        <w:t xml:space="preserve">,   </w:t>
      </w:r>
      <w:r w:rsidRPr="0080354E">
        <w:rPr>
          <w:rFonts w:ascii="Arial Narrow" w:eastAsia="Batang" w:hAnsi="Arial Narrow" w:cs="Calibri"/>
          <w:i/>
          <w:iCs/>
          <w:color w:val="000000"/>
          <w:lang w:eastAsia="es-CR"/>
        </w:rPr>
        <w:t>Que al finalizar el 2024, se haya incrementado la cantidad de casos terminados en materia de Tránsito por año, en segunda instancia</w:t>
      </w:r>
      <w:r w:rsidRPr="0080354E">
        <w:rPr>
          <w:rFonts w:ascii="Arial Narrow" w:eastAsia="Batang" w:hAnsi="Arial Narrow" w:cs="Calibri"/>
          <w:b/>
          <w:bCs/>
          <w:color w:val="000000"/>
          <w:lang w:eastAsia="es-CR"/>
        </w:rPr>
        <w:t xml:space="preserve"> (</w:t>
      </w:r>
      <w:r w:rsidRPr="0080354E">
        <w:rPr>
          <w:rFonts w:ascii="Arial Narrow" w:eastAsia="Batang" w:hAnsi="Arial Narrow"/>
          <w:b/>
          <w:bCs/>
          <w:noProof/>
          <w:u w:val="single"/>
        </w:rPr>
        <w:t>59,14% de cumplimiento para el 2021)</w:t>
      </w:r>
      <w:r w:rsidRPr="0080354E">
        <w:rPr>
          <w:rFonts w:ascii="Arial Narrow" w:eastAsia="Batang" w:hAnsi="Arial Narrow"/>
          <w:b/>
          <w:bCs/>
          <w:noProof/>
        </w:rPr>
        <w:t xml:space="preserve">,   </w:t>
      </w:r>
      <w:r w:rsidRPr="0080354E">
        <w:rPr>
          <w:rFonts w:ascii="Arial Narrow" w:eastAsia="Batang" w:hAnsi="Arial Narrow" w:cs="Calibri"/>
          <w:i/>
          <w:iCs/>
          <w:color w:val="000000"/>
          <w:lang w:eastAsia="es-CR"/>
        </w:rPr>
        <w:t>Que al finalizar el 2024, se haya incrementado la cantidad de casos terminados en materia Contenciosa por año, en primera instancia instancia</w:t>
      </w:r>
      <w:r w:rsidRPr="0080354E">
        <w:rPr>
          <w:rFonts w:ascii="Arial Narrow" w:eastAsia="Batang" w:hAnsi="Arial Narrow" w:cs="Calibri"/>
          <w:b/>
          <w:bCs/>
          <w:color w:val="000000"/>
          <w:lang w:eastAsia="es-CR"/>
        </w:rPr>
        <w:t xml:space="preserve"> (</w:t>
      </w:r>
      <w:r w:rsidRPr="0080354E">
        <w:rPr>
          <w:rFonts w:ascii="Arial Narrow" w:eastAsia="Batang" w:hAnsi="Arial Narrow"/>
          <w:b/>
          <w:bCs/>
          <w:noProof/>
          <w:u w:val="single"/>
        </w:rPr>
        <w:t>45,33% de cumplimiento para el 2021)</w:t>
      </w:r>
      <w:r w:rsidRPr="0080354E">
        <w:rPr>
          <w:rFonts w:ascii="Arial Narrow" w:eastAsia="Batang" w:hAnsi="Arial Narrow"/>
          <w:b/>
          <w:bCs/>
          <w:noProof/>
        </w:rPr>
        <w:t>,</w:t>
      </w:r>
      <w:r w:rsidRPr="0080354E">
        <w:rPr>
          <w:rFonts w:ascii="Arial Narrow" w:eastAsia="Batang" w:hAnsi="Arial Narrow" w:cs="Calibri"/>
          <w:b/>
          <w:bCs/>
          <w:color w:val="000000"/>
          <w:lang w:eastAsia="es-CR"/>
        </w:rPr>
        <w:t xml:space="preserve"> </w:t>
      </w:r>
      <w:r w:rsidRPr="0080354E">
        <w:rPr>
          <w:rFonts w:ascii="Arial Narrow" w:eastAsia="Batang" w:hAnsi="Arial Narrow" w:cs="Calibri"/>
          <w:i/>
          <w:iCs/>
          <w:color w:val="000000"/>
          <w:lang w:eastAsia="es-CR"/>
        </w:rPr>
        <w:t>Que al finalizar el 2024, se haya incrementado la cantidad de casos terminados en materia de Pensiones Alimentarias por año, en primera instancia</w:t>
      </w:r>
      <w:r w:rsidRPr="0080354E">
        <w:rPr>
          <w:rFonts w:ascii="Arial Narrow" w:eastAsia="Batang" w:hAnsi="Arial Narrow" w:cs="Calibri"/>
          <w:b/>
          <w:bCs/>
          <w:color w:val="000000"/>
          <w:lang w:eastAsia="es-CR"/>
        </w:rPr>
        <w:t xml:space="preserve"> (</w:t>
      </w:r>
      <w:r w:rsidRPr="0080354E">
        <w:rPr>
          <w:rFonts w:ascii="Arial Narrow" w:eastAsia="Batang" w:hAnsi="Arial Narrow"/>
          <w:b/>
          <w:bCs/>
          <w:noProof/>
          <w:u w:val="single"/>
        </w:rPr>
        <w:t>85,25% de cumplimiento para el 2021)</w:t>
      </w:r>
      <w:r w:rsidRPr="0080354E">
        <w:rPr>
          <w:rFonts w:ascii="Arial Narrow" w:eastAsia="Batang" w:hAnsi="Arial Narrow"/>
          <w:b/>
          <w:bCs/>
          <w:noProof/>
        </w:rPr>
        <w:t xml:space="preserve">, </w:t>
      </w:r>
      <w:r w:rsidRPr="0080354E">
        <w:rPr>
          <w:rFonts w:ascii="Arial Narrow" w:eastAsia="Batang" w:hAnsi="Arial Narrow" w:cs="Calibri"/>
          <w:i/>
          <w:iCs/>
          <w:color w:val="000000"/>
          <w:lang w:eastAsia="es-CR"/>
        </w:rPr>
        <w:t>Que al finalizar el 2024, se haya incrementado la cantidad de casos terminados en materia Penal por año, en primera instancia por los tribunales de juicio penales</w:t>
      </w:r>
      <w:r w:rsidRPr="0080354E">
        <w:rPr>
          <w:rFonts w:ascii="Arial Narrow" w:eastAsia="Batang" w:hAnsi="Arial Narrow" w:cs="Calibri"/>
          <w:b/>
          <w:bCs/>
          <w:color w:val="000000"/>
          <w:lang w:eastAsia="es-CR"/>
        </w:rPr>
        <w:t xml:space="preserve"> (</w:t>
      </w:r>
      <w:r w:rsidRPr="0080354E">
        <w:rPr>
          <w:rFonts w:ascii="Arial Narrow" w:eastAsia="Batang" w:hAnsi="Arial Narrow"/>
          <w:b/>
          <w:bCs/>
          <w:noProof/>
          <w:u w:val="single"/>
        </w:rPr>
        <w:t>87,26% de cumplimiento para el 2021)</w:t>
      </w:r>
      <w:r w:rsidRPr="0080354E">
        <w:rPr>
          <w:rFonts w:ascii="Arial Narrow" w:eastAsia="Batang" w:hAnsi="Arial Narrow"/>
          <w:b/>
          <w:bCs/>
          <w:noProof/>
        </w:rPr>
        <w:t>,</w:t>
      </w:r>
      <w:r w:rsidRPr="0080354E">
        <w:rPr>
          <w:rFonts w:ascii="Arial Narrow" w:eastAsia="Batang" w:hAnsi="Arial Narrow" w:cs="Calibri"/>
          <w:b/>
          <w:bCs/>
          <w:color w:val="000000"/>
          <w:lang w:eastAsia="es-CR"/>
        </w:rPr>
        <w:t xml:space="preserve"> </w:t>
      </w:r>
      <w:r w:rsidRPr="0080354E">
        <w:rPr>
          <w:rFonts w:ascii="Arial Narrow" w:eastAsia="Batang" w:hAnsi="Arial Narrow" w:cs="Calibri"/>
          <w:i/>
          <w:iCs/>
          <w:color w:val="000000"/>
          <w:lang w:eastAsia="es-CR"/>
        </w:rPr>
        <w:t>Que al finalizar el 2024, se haya incrementado la cantidad de casos terminados en materia Laboral por año, en primera instancia penales</w:t>
      </w:r>
      <w:r w:rsidRPr="0080354E">
        <w:rPr>
          <w:rFonts w:ascii="Arial Narrow" w:eastAsia="Batang" w:hAnsi="Arial Narrow" w:cs="Calibri"/>
          <w:b/>
          <w:bCs/>
          <w:color w:val="000000"/>
          <w:lang w:eastAsia="es-CR"/>
        </w:rPr>
        <w:t xml:space="preserve"> (</w:t>
      </w:r>
      <w:r w:rsidRPr="0080354E">
        <w:rPr>
          <w:rFonts w:ascii="Arial Narrow" w:eastAsia="Batang" w:hAnsi="Arial Narrow"/>
          <w:b/>
          <w:bCs/>
          <w:noProof/>
          <w:u w:val="single"/>
        </w:rPr>
        <w:t>88,72% de cumplimiento para el 2021)</w:t>
      </w:r>
    </w:p>
    <w:p w14:paraId="359CA8E9" w14:textId="4F6738DA" w:rsidR="002F1057" w:rsidRDefault="002F1057">
      <w:pPr>
        <w:rPr>
          <w:rFonts w:ascii="Arial Narrow" w:hAnsi="Arial Narrow"/>
          <w:b/>
          <w:bCs/>
        </w:rPr>
      </w:pPr>
      <w:bookmarkStart w:id="195" w:name="_Toc84919464"/>
      <w:bookmarkStart w:id="196" w:name="_Toc104979244"/>
    </w:p>
    <w:p w14:paraId="45FCD8B0" w14:textId="1011BB72" w:rsidR="00DA48B0" w:rsidRDefault="00DA48B0">
      <w:pPr>
        <w:rPr>
          <w:rFonts w:ascii="Arial Narrow" w:hAnsi="Arial Narrow"/>
          <w:b/>
          <w:bCs/>
        </w:rPr>
      </w:pPr>
    </w:p>
    <w:p w14:paraId="1350C049" w14:textId="1F2E27DB" w:rsidR="00DA48B0" w:rsidRDefault="00DA48B0">
      <w:pPr>
        <w:rPr>
          <w:rFonts w:ascii="Arial Narrow" w:hAnsi="Arial Narrow"/>
          <w:b/>
          <w:bCs/>
        </w:rPr>
      </w:pPr>
    </w:p>
    <w:p w14:paraId="48BBCED4" w14:textId="77777777" w:rsidR="00100134" w:rsidRDefault="00100134">
      <w:pPr>
        <w:rPr>
          <w:rFonts w:ascii="Arial Narrow" w:hAnsi="Arial Narrow"/>
          <w:b/>
          <w:bCs/>
        </w:rPr>
      </w:pPr>
    </w:p>
    <w:p w14:paraId="5862292E" w14:textId="06A9A7F2" w:rsidR="00493029" w:rsidRPr="00F63C12" w:rsidRDefault="00992B21" w:rsidP="0080354E">
      <w:pPr>
        <w:pStyle w:val="Descripcin"/>
        <w:keepNext/>
        <w:jc w:val="center"/>
        <w:rPr>
          <w:rFonts w:ascii="Arial Narrow" w:hAnsi="Arial Narrow" w:cs="Calibri"/>
          <w:color w:val="000000"/>
          <w:sz w:val="24"/>
          <w:szCs w:val="24"/>
          <w:lang w:val="es-CR" w:eastAsia="es-CR"/>
        </w:rPr>
      </w:pPr>
      <w:r w:rsidRPr="0080354E">
        <w:rPr>
          <w:rFonts w:ascii="Arial Narrow" w:hAnsi="Arial Narrow"/>
          <w:sz w:val="24"/>
          <w:szCs w:val="24"/>
        </w:rPr>
        <w:t xml:space="preserve">Tabla </w:t>
      </w:r>
      <w:r w:rsidRPr="0080354E">
        <w:rPr>
          <w:rFonts w:ascii="Arial Narrow" w:hAnsi="Arial Narrow"/>
          <w:sz w:val="24"/>
          <w:szCs w:val="24"/>
        </w:rPr>
        <w:fldChar w:fldCharType="begin"/>
      </w:r>
      <w:r w:rsidRPr="0080354E">
        <w:rPr>
          <w:rFonts w:ascii="Arial Narrow" w:hAnsi="Arial Narrow"/>
          <w:sz w:val="24"/>
          <w:szCs w:val="24"/>
        </w:rPr>
        <w:instrText xml:space="preserve"> SEQ Tabla \* ARABIC </w:instrText>
      </w:r>
      <w:r w:rsidRPr="0080354E">
        <w:rPr>
          <w:rFonts w:ascii="Arial Narrow" w:hAnsi="Arial Narrow"/>
          <w:sz w:val="24"/>
          <w:szCs w:val="24"/>
        </w:rPr>
        <w:fldChar w:fldCharType="separate"/>
      </w:r>
      <w:r w:rsidR="002F520A" w:rsidRPr="0080354E">
        <w:rPr>
          <w:rFonts w:ascii="Arial Narrow" w:hAnsi="Arial Narrow"/>
          <w:noProof/>
          <w:sz w:val="24"/>
          <w:szCs w:val="24"/>
        </w:rPr>
        <w:t>5</w:t>
      </w:r>
      <w:r w:rsidRPr="0080354E">
        <w:rPr>
          <w:rFonts w:ascii="Arial Narrow" w:hAnsi="Arial Narrow"/>
          <w:sz w:val="24"/>
          <w:szCs w:val="24"/>
        </w:rPr>
        <w:fldChar w:fldCharType="end"/>
      </w:r>
      <w:r w:rsidRPr="0080354E">
        <w:rPr>
          <w:rFonts w:ascii="Arial Narrow" w:hAnsi="Arial Narrow"/>
          <w:sz w:val="24"/>
          <w:szCs w:val="24"/>
        </w:rPr>
        <w:t xml:space="preserve"> </w:t>
      </w:r>
      <w:r w:rsidR="00493029" w:rsidRPr="0080354E">
        <w:rPr>
          <w:rFonts w:ascii="Arial Narrow" w:hAnsi="Arial Narrow"/>
          <w:sz w:val="24"/>
          <w:szCs w:val="24"/>
        </w:rPr>
        <w:t xml:space="preserve">Retos con respecto a la Acción estratégica </w:t>
      </w:r>
      <w:bookmarkEnd w:id="195"/>
      <w:r w:rsidR="00493029" w:rsidRPr="0080354E">
        <w:rPr>
          <w:rFonts w:ascii="Arial Narrow" w:hAnsi="Arial Narrow"/>
          <w:sz w:val="24"/>
          <w:szCs w:val="24"/>
        </w:rPr>
        <w:t>Celeridad Judicial</w:t>
      </w:r>
      <w:bookmarkEnd w:id="196"/>
    </w:p>
    <w:p w14:paraId="48D2AD4A" w14:textId="77777777" w:rsidR="00493029" w:rsidRPr="00F63C12" w:rsidRDefault="00493029">
      <w:pPr>
        <w:ind w:left="360"/>
        <w:jc w:val="both"/>
        <w:rPr>
          <w:rFonts w:ascii="Arial Narrow" w:eastAsia="Batang" w:hAnsi="Arial Narrow" w:cs="Calibri"/>
          <w:color w:val="000000"/>
          <w:lang w:val="es-CR" w:eastAsia="es-CR"/>
        </w:rPr>
      </w:pPr>
    </w:p>
    <w:tbl>
      <w:tblPr>
        <w:tblStyle w:val="Tablaconcuadrcula2"/>
        <w:tblW w:w="0" w:type="auto"/>
        <w:tblInd w:w="720" w:type="dxa"/>
        <w:tblLook w:val="04A0" w:firstRow="1" w:lastRow="0" w:firstColumn="1" w:lastColumn="0" w:noHBand="0" w:noVBand="1"/>
      </w:tblPr>
      <w:tblGrid>
        <w:gridCol w:w="4243"/>
        <w:gridCol w:w="4240"/>
      </w:tblGrid>
      <w:tr w:rsidR="00493029" w:rsidRPr="0080354E" w14:paraId="68084FB6" w14:textId="77777777" w:rsidTr="004B0A31">
        <w:tc>
          <w:tcPr>
            <w:tcW w:w="4243" w:type="dxa"/>
            <w:vAlign w:val="center"/>
          </w:tcPr>
          <w:p w14:paraId="554ED915" w14:textId="77777777" w:rsidR="00493029" w:rsidRPr="00F63C12" w:rsidRDefault="00493029" w:rsidP="00132A44">
            <w:pPr>
              <w:jc w:val="center"/>
              <w:rPr>
                <w:rFonts w:ascii="Arial Narrow" w:eastAsia="Batang" w:hAnsi="Arial Narrow"/>
                <w:noProof/>
                <w:u w:val="single"/>
              </w:rPr>
            </w:pPr>
            <w:r w:rsidRPr="00F63C12">
              <w:rPr>
                <w:rFonts w:ascii="Arial Narrow" w:eastAsia="Batang" w:hAnsi="Arial Narrow"/>
                <w:b/>
                <w:bCs/>
                <w:noProof/>
                <w:u w:val="single"/>
              </w:rPr>
              <w:t>Retos:</w:t>
            </w:r>
          </w:p>
        </w:tc>
        <w:tc>
          <w:tcPr>
            <w:tcW w:w="4240" w:type="dxa"/>
            <w:vAlign w:val="center"/>
          </w:tcPr>
          <w:p w14:paraId="4CEAD55E" w14:textId="77777777" w:rsidR="00493029" w:rsidRPr="00F63C12" w:rsidRDefault="00493029" w:rsidP="00132A44">
            <w:pPr>
              <w:jc w:val="center"/>
              <w:rPr>
                <w:rFonts w:ascii="Arial Narrow" w:eastAsia="Batang" w:hAnsi="Arial Narrow"/>
                <w:noProof/>
                <w:u w:val="single"/>
              </w:rPr>
            </w:pPr>
            <w:r w:rsidRPr="00F63C12">
              <w:rPr>
                <w:rFonts w:ascii="Arial Narrow" w:eastAsia="Batang" w:hAnsi="Arial Narrow"/>
                <w:b/>
                <w:bCs/>
                <w:noProof/>
                <w:u w:val="single"/>
              </w:rPr>
              <w:t>Responsable estratégico</w:t>
            </w:r>
            <w:r w:rsidRPr="00F63C12">
              <w:rPr>
                <w:rFonts w:ascii="Arial Narrow" w:eastAsia="Batang" w:hAnsi="Arial Narrow"/>
                <w:noProof/>
                <w:u w:val="single"/>
              </w:rPr>
              <w:t>:</w:t>
            </w:r>
          </w:p>
        </w:tc>
      </w:tr>
      <w:tr w:rsidR="00493029" w:rsidRPr="0080354E" w14:paraId="4D25EAFA" w14:textId="77777777" w:rsidTr="004B0A31">
        <w:tc>
          <w:tcPr>
            <w:tcW w:w="4243" w:type="dxa"/>
            <w:vAlign w:val="center"/>
          </w:tcPr>
          <w:p w14:paraId="21E6EDC8" w14:textId="6ADA8D58" w:rsidR="00493029" w:rsidRPr="00F63C12" w:rsidRDefault="00B11287" w:rsidP="00132A44">
            <w:pPr>
              <w:jc w:val="both"/>
              <w:rPr>
                <w:rFonts w:ascii="Arial Narrow" w:eastAsia="Batang" w:hAnsi="Arial Narrow" w:cs="Calibri"/>
                <w:color w:val="000000"/>
                <w:lang w:val="es-CR" w:eastAsia="es-CR"/>
              </w:rPr>
            </w:pPr>
            <w:r w:rsidRPr="0080354E">
              <w:rPr>
                <w:rFonts w:ascii="Arial Narrow" w:eastAsia="Batang" w:hAnsi="Arial Narrow"/>
                <w:noProof/>
              </w:rPr>
              <w:t>Con respecto a las 11 metas estrategicas indicadas anteriormente, se deben a</w:t>
            </w:r>
            <w:r w:rsidR="00493029" w:rsidRPr="00F63C12">
              <w:rPr>
                <w:rFonts w:ascii="Arial Narrow" w:eastAsia="Batang" w:hAnsi="Arial Narrow"/>
                <w:noProof/>
              </w:rPr>
              <w:t xml:space="preserve">nalizar las estrategias y proyecciones estadísticas de ingreso y salida de asuntos que </w:t>
            </w:r>
            <w:r w:rsidR="00493029" w:rsidRPr="00F63C12">
              <w:rPr>
                <w:rFonts w:ascii="Arial Narrow" w:eastAsia="Batang" w:hAnsi="Arial Narrow" w:cs="Calibri"/>
                <w:color w:val="000000"/>
                <w:lang w:val="es-CR" w:eastAsia="es-CR"/>
              </w:rPr>
              <w:t>permitan cumplir con la cantidad de casos terminados con base en la meta formulada, y desde la planificación revisar en conjunto las metas y sus valores finales propuestos, con el fin de poder cumplir a cabalidad lo establecido en esta meta. Tomar en consideración que para varias metas de esta acción estratégica se podría experimentar un ajuste en 2022 en caso de aprobarse el informe 1281-PLA-PE-2021 que propone modificación respecto a los valores esperados de casos terminados en ciertas materias.  Ese oficio 1281-PLA-PE-2021 está en proceso de ser conocido por Corte Plena.</w:t>
            </w:r>
          </w:p>
          <w:p w14:paraId="333CE461" w14:textId="77777777" w:rsidR="00493029" w:rsidRPr="0080354E" w:rsidRDefault="00493029" w:rsidP="00132A44">
            <w:pPr>
              <w:jc w:val="both"/>
              <w:rPr>
                <w:rFonts w:ascii="Arial Narrow" w:eastAsia="Batang" w:hAnsi="Arial Narrow"/>
                <w:noProof/>
              </w:rPr>
            </w:pPr>
          </w:p>
        </w:tc>
        <w:tc>
          <w:tcPr>
            <w:tcW w:w="4240" w:type="dxa"/>
            <w:vAlign w:val="center"/>
          </w:tcPr>
          <w:p w14:paraId="42122518" w14:textId="77777777" w:rsidR="00493029" w:rsidRPr="0080354E" w:rsidRDefault="00493029" w:rsidP="00132A44">
            <w:pPr>
              <w:jc w:val="both"/>
              <w:rPr>
                <w:rFonts w:ascii="Arial Narrow" w:eastAsia="Batang" w:hAnsi="Arial Narrow"/>
                <w:noProof/>
              </w:rPr>
            </w:pPr>
            <w:r w:rsidRPr="0080354E">
              <w:rPr>
                <w:rFonts w:ascii="Arial Narrow" w:eastAsia="Batang" w:hAnsi="Arial Narrow"/>
                <w:noProof/>
              </w:rPr>
              <w:t>Centro de Apoyo, Coordinación y Mejoramiento de la Funcion Jurisdiccional, en coordinación con la Dirección de Planificación y Comisiones.</w:t>
            </w:r>
          </w:p>
        </w:tc>
      </w:tr>
    </w:tbl>
    <w:p w14:paraId="076AA890" w14:textId="77777777" w:rsidR="008F0B82" w:rsidRPr="008F0B82" w:rsidRDefault="008F0B82" w:rsidP="00DA48B0">
      <w:pPr>
        <w:jc w:val="center"/>
        <w:rPr>
          <w:rFonts w:ascii="Arial Narrow" w:eastAsia="Batang" w:hAnsi="Arial Narrow"/>
          <w:sz w:val="18"/>
          <w:szCs w:val="18"/>
          <w:lang w:eastAsia="en-US"/>
        </w:rPr>
      </w:pPr>
      <w:bookmarkStart w:id="197" w:name="_Hlk105414690"/>
      <w:r w:rsidRPr="008F0B82">
        <w:rPr>
          <w:rFonts w:ascii="Arial Narrow" w:eastAsia="Batang" w:hAnsi="Arial Narrow"/>
          <w:sz w:val="18"/>
          <w:szCs w:val="18"/>
          <w:lang w:eastAsia="en-US"/>
        </w:rPr>
        <w:t>Fuente: elaboración propia con base en el análisis de hallazgos de la evaluación.</w:t>
      </w:r>
    </w:p>
    <w:p w14:paraId="6FB954AA" w14:textId="77777777" w:rsidR="00C03F90" w:rsidRPr="008F0B82" w:rsidRDefault="00C03F90" w:rsidP="00132A44">
      <w:pPr>
        <w:ind w:left="720"/>
        <w:jc w:val="both"/>
        <w:rPr>
          <w:rFonts w:ascii="Arial Narrow" w:eastAsia="Batang" w:hAnsi="Arial Narrow"/>
          <w:sz w:val="18"/>
          <w:szCs w:val="18"/>
          <w:lang w:eastAsia="en-US"/>
        </w:rPr>
      </w:pPr>
    </w:p>
    <w:bookmarkEnd w:id="197"/>
    <w:p w14:paraId="1980BE54" w14:textId="1BED6905" w:rsidR="00493029" w:rsidRDefault="00493029" w:rsidP="00132A44">
      <w:pPr>
        <w:ind w:left="720"/>
        <w:jc w:val="both"/>
        <w:rPr>
          <w:rFonts w:ascii="Arial Narrow" w:eastAsia="Batang" w:hAnsi="Arial Narrow"/>
          <w:lang w:eastAsia="en-US"/>
        </w:rPr>
      </w:pPr>
    </w:p>
    <w:p w14:paraId="7DE296A4" w14:textId="78BA09C3" w:rsidR="00DA48B0" w:rsidRDefault="00DA48B0" w:rsidP="00132A44">
      <w:pPr>
        <w:ind w:left="720"/>
        <w:jc w:val="both"/>
        <w:rPr>
          <w:rFonts w:ascii="Arial Narrow" w:eastAsia="Batang" w:hAnsi="Arial Narrow"/>
          <w:lang w:eastAsia="en-US"/>
        </w:rPr>
      </w:pPr>
    </w:p>
    <w:p w14:paraId="1415652B" w14:textId="77777777" w:rsidR="00DA48B0" w:rsidRPr="008F0B82" w:rsidRDefault="00DA48B0" w:rsidP="00132A44">
      <w:pPr>
        <w:ind w:left="720"/>
        <w:jc w:val="both"/>
        <w:rPr>
          <w:rFonts w:ascii="Arial Narrow" w:eastAsia="Batang" w:hAnsi="Arial Narrow"/>
          <w:lang w:eastAsia="en-US"/>
        </w:rPr>
      </w:pPr>
    </w:p>
    <w:p w14:paraId="0C64E8FA" w14:textId="7BD8CAB5" w:rsidR="00493029" w:rsidRPr="00F63C12" w:rsidRDefault="00493029" w:rsidP="00132A44">
      <w:pPr>
        <w:numPr>
          <w:ilvl w:val="0"/>
          <w:numId w:val="36"/>
        </w:numPr>
        <w:jc w:val="both"/>
        <w:rPr>
          <w:rFonts w:ascii="Arial Narrow" w:eastAsia="Batang" w:hAnsi="Arial Narrow"/>
          <w:b/>
          <w:bCs/>
          <w:lang w:eastAsia="en-US"/>
        </w:rPr>
      </w:pPr>
      <w:r w:rsidRPr="00F63C12">
        <w:rPr>
          <w:rFonts w:ascii="Arial Narrow" w:eastAsia="Batang" w:hAnsi="Arial Narrow"/>
          <w:b/>
          <w:bCs/>
          <w:lang w:eastAsia="en-US"/>
        </w:rPr>
        <w:t>Acción estratégica: Medidas Alternas</w:t>
      </w:r>
    </w:p>
    <w:p w14:paraId="0B6AE79A" w14:textId="77777777" w:rsidR="002E1748" w:rsidRPr="00F63C12" w:rsidRDefault="002E1748" w:rsidP="00132A44">
      <w:pPr>
        <w:ind w:left="720"/>
        <w:jc w:val="both"/>
        <w:rPr>
          <w:rFonts w:ascii="Arial Narrow" w:eastAsia="Batang" w:hAnsi="Arial Narrow"/>
          <w:b/>
          <w:bCs/>
          <w:lang w:eastAsia="en-US"/>
        </w:rPr>
      </w:pPr>
    </w:p>
    <w:p w14:paraId="164A8448" w14:textId="611120DC" w:rsidR="00493029" w:rsidRPr="00F63C12" w:rsidRDefault="004F34F5" w:rsidP="00132A44">
      <w:pPr>
        <w:jc w:val="both"/>
        <w:rPr>
          <w:rFonts w:ascii="Arial Narrow" w:eastAsia="Batang" w:hAnsi="Arial Narrow"/>
          <w:lang w:eastAsia="en-US"/>
        </w:rPr>
      </w:pPr>
      <w:r w:rsidRPr="00F63C12">
        <w:rPr>
          <w:rFonts w:ascii="Arial Narrow" w:eastAsia="Batang" w:hAnsi="Arial Narrow"/>
          <w:b/>
          <w:bCs/>
          <w:u w:val="single"/>
          <w:lang w:eastAsia="en-US"/>
        </w:rPr>
        <w:t>Metas Estratégicas con cumplimiento medio:</w:t>
      </w:r>
      <w:r w:rsidRPr="00F63C12">
        <w:rPr>
          <w:rFonts w:ascii="Arial Narrow" w:eastAsia="Batang" w:hAnsi="Arial Narrow"/>
          <w:b/>
          <w:bCs/>
          <w:lang w:eastAsia="en-US"/>
        </w:rPr>
        <w:t xml:space="preserve"> </w:t>
      </w:r>
      <w:r w:rsidR="002756A5" w:rsidRPr="003A4EE6">
        <w:rPr>
          <w:rFonts w:ascii="Arial Narrow" w:eastAsia="Batang" w:hAnsi="Arial Narrow"/>
          <w:lang w:eastAsia="en-US"/>
        </w:rPr>
        <w:t>Que al finalizar el 2024, se haya incrementado la cantidad de casos terminados, mediante la aplicación de medid</w:t>
      </w:r>
      <w:r w:rsidR="002756A5" w:rsidRPr="0080354E">
        <w:rPr>
          <w:rFonts w:ascii="Arial Narrow" w:eastAsia="Batang" w:hAnsi="Arial Narrow"/>
          <w:lang w:eastAsia="en-US"/>
        </w:rPr>
        <w:t>as alternas, en materia laboral por año, en primera instancia</w:t>
      </w:r>
      <w:r w:rsidRPr="0080354E">
        <w:rPr>
          <w:rFonts w:ascii="Arial Narrow" w:eastAsia="Batang" w:hAnsi="Arial Narrow"/>
          <w:noProof/>
        </w:rPr>
        <w:t xml:space="preserve"> </w:t>
      </w:r>
      <w:bookmarkStart w:id="198" w:name="_Hlk99566340"/>
      <w:r w:rsidRPr="0080354E">
        <w:rPr>
          <w:rFonts w:ascii="Arial Narrow" w:eastAsia="Batang" w:hAnsi="Arial Narrow"/>
          <w:noProof/>
        </w:rPr>
        <w:t>(</w:t>
      </w:r>
      <w:r w:rsidRPr="0080354E">
        <w:rPr>
          <w:rFonts w:ascii="Arial Narrow" w:eastAsia="Batang" w:hAnsi="Arial Narrow"/>
          <w:b/>
          <w:bCs/>
          <w:noProof/>
          <w:u w:val="single"/>
        </w:rPr>
        <w:t>79% de cumplimiento para el 2021);</w:t>
      </w:r>
      <w:r w:rsidRPr="00132A44">
        <w:rPr>
          <w:rFonts w:ascii="Arial Narrow" w:hAnsi="Arial Narrow"/>
        </w:rPr>
        <w:t xml:space="preserve"> </w:t>
      </w:r>
      <w:bookmarkEnd w:id="198"/>
      <w:r w:rsidRPr="0080354E">
        <w:rPr>
          <w:rFonts w:ascii="Arial Narrow" w:eastAsia="Batang" w:hAnsi="Arial Narrow"/>
          <w:noProof/>
        </w:rPr>
        <w:t>Que al finalizar el 2024, se haya incrementado la cantidad de casos terminados, mediante la aplicación de medidas alternas, en juzgados penales</w:t>
      </w:r>
      <w:r w:rsidRPr="00F63C12">
        <w:rPr>
          <w:rFonts w:ascii="Arial Narrow" w:eastAsia="Batang" w:hAnsi="Arial Narrow"/>
          <w:noProof/>
        </w:rPr>
        <w:t xml:space="preserve"> (</w:t>
      </w:r>
      <w:r w:rsidRPr="00F63C12">
        <w:rPr>
          <w:rFonts w:ascii="Arial Narrow" w:eastAsia="Batang" w:hAnsi="Arial Narrow"/>
          <w:b/>
          <w:bCs/>
          <w:noProof/>
          <w:u w:val="single"/>
        </w:rPr>
        <w:t xml:space="preserve">85% de cumplimiento para el 2021); </w:t>
      </w:r>
      <w:r w:rsidRPr="00F63C12">
        <w:rPr>
          <w:rFonts w:ascii="Arial Narrow" w:eastAsia="Batang" w:hAnsi="Arial Narrow"/>
          <w:noProof/>
        </w:rPr>
        <w:t>Que al finalizar el 2024, se haya incrementado la cantidad de casos terminados, mediante la aplicación de medidas alternas, en materia Penal Juvenil por año, en primera instancia</w:t>
      </w:r>
      <w:r w:rsidRPr="0080354E">
        <w:rPr>
          <w:rFonts w:ascii="Arial Narrow" w:eastAsia="Batang" w:hAnsi="Arial Narrow"/>
          <w:noProof/>
        </w:rPr>
        <w:t xml:space="preserve"> (</w:t>
      </w:r>
      <w:r w:rsidRPr="0080354E">
        <w:rPr>
          <w:rFonts w:ascii="Arial Narrow" w:eastAsia="Batang" w:hAnsi="Arial Narrow"/>
          <w:b/>
          <w:bCs/>
          <w:noProof/>
          <w:u w:val="single"/>
        </w:rPr>
        <w:t xml:space="preserve">72% de cumplimiento para el 2021); </w:t>
      </w:r>
      <w:r w:rsidRPr="0080354E">
        <w:rPr>
          <w:rFonts w:ascii="Arial Narrow" w:eastAsia="Batang" w:hAnsi="Arial Narrow"/>
          <w:noProof/>
        </w:rPr>
        <w:t>Que al finalizar el 2024, se haya incrementado la cantidad de casos terminados, mediante la aplicación de medidas alternas, en materia Contravencional por año, en primera instancia (</w:t>
      </w:r>
      <w:r w:rsidRPr="0080354E">
        <w:rPr>
          <w:rFonts w:ascii="Arial Narrow" w:eastAsia="Batang" w:hAnsi="Arial Narrow"/>
          <w:b/>
          <w:bCs/>
          <w:noProof/>
          <w:u w:val="single"/>
        </w:rPr>
        <w:t>83% de cumplimiento para el 2021);</w:t>
      </w:r>
      <w:r w:rsidRPr="00132A44">
        <w:rPr>
          <w:rFonts w:ascii="Arial Narrow" w:hAnsi="Arial Narrow"/>
        </w:rPr>
        <w:t xml:space="preserve"> </w:t>
      </w:r>
      <w:r w:rsidRPr="0080354E">
        <w:rPr>
          <w:rFonts w:ascii="Arial Narrow" w:eastAsia="Batang" w:hAnsi="Arial Narrow"/>
          <w:noProof/>
        </w:rPr>
        <w:t>Que al finalizar el 2024, se haya incrementado la ca</w:t>
      </w:r>
      <w:r w:rsidRPr="00F63C12">
        <w:rPr>
          <w:rFonts w:ascii="Arial Narrow" w:eastAsia="Batang" w:hAnsi="Arial Narrow"/>
          <w:noProof/>
        </w:rPr>
        <w:t>ntidad de casos terminados, mediante la aplicación de medidas alternas, en materia Tránsito por año, en primera instancia</w:t>
      </w:r>
      <w:bookmarkStart w:id="199" w:name="_Hlk99566497"/>
      <w:r w:rsidRPr="00F63C12">
        <w:rPr>
          <w:rFonts w:ascii="Arial Narrow" w:eastAsia="Batang" w:hAnsi="Arial Narrow"/>
          <w:noProof/>
        </w:rPr>
        <w:t>(</w:t>
      </w:r>
      <w:r w:rsidRPr="00F63C12">
        <w:rPr>
          <w:rFonts w:ascii="Arial Narrow" w:eastAsia="Batang" w:hAnsi="Arial Narrow"/>
          <w:b/>
          <w:bCs/>
          <w:noProof/>
          <w:u w:val="single"/>
        </w:rPr>
        <w:t>83% de cumplimiento para el 2021);</w:t>
      </w:r>
      <w:r w:rsidRPr="00132A44">
        <w:rPr>
          <w:rFonts w:ascii="Arial Narrow" w:hAnsi="Arial Narrow"/>
        </w:rPr>
        <w:t xml:space="preserve"> </w:t>
      </w:r>
      <w:bookmarkEnd w:id="199"/>
      <w:r w:rsidRPr="0080354E">
        <w:rPr>
          <w:rFonts w:ascii="Arial Narrow" w:eastAsia="Batang" w:hAnsi="Arial Narrow"/>
          <w:noProof/>
        </w:rPr>
        <w:t>Que al finalizar el 2024,  se haya incrementado anualmente la cantidad de casos terminados por el C</w:t>
      </w:r>
      <w:r w:rsidRPr="00F63C12">
        <w:rPr>
          <w:rFonts w:ascii="Arial Narrow" w:eastAsia="Batang" w:hAnsi="Arial Narrow"/>
          <w:noProof/>
        </w:rPr>
        <w:t>entro de Conciliación del Poder Judicial (</w:t>
      </w:r>
      <w:r w:rsidRPr="00F63C12">
        <w:rPr>
          <w:rFonts w:ascii="Arial Narrow" w:eastAsia="Batang" w:hAnsi="Arial Narrow"/>
          <w:b/>
          <w:bCs/>
          <w:noProof/>
          <w:u w:val="single"/>
        </w:rPr>
        <w:t>87% de cumplimiento para el 2021);</w:t>
      </w:r>
      <w:r w:rsidRPr="00132A44">
        <w:rPr>
          <w:rFonts w:ascii="Arial Narrow" w:hAnsi="Arial Narrow"/>
        </w:rPr>
        <w:t xml:space="preserve"> </w:t>
      </w:r>
      <w:r w:rsidRPr="0080354E">
        <w:rPr>
          <w:rFonts w:ascii="Arial Narrow" w:eastAsia="Batang" w:hAnsi="Arial Narrow"/>
          <w:noProof/>
        </w:rPr>
        <w:t>Que al finalizar el 2024, se haya incrementado la cantidad de casos terminados, mediante la aplicación de medidas alternas, en materia agraria por año, en primera instancia</w:t>
      </w:r>
      <w:r w:rsidRPr="00F63C12">
        <w:rPr>
          <w:rFonts w:ascii="Arial Narrow" w:eastAsia="Batang" w:hAnsi="Arial Narrow"/>
          <w:noProof/>
        </w:rPr>
        <w:t xml:space="preserve"> (</w:t>
      </w:r>
      <w:r w:rsidRPr="00F63C12">
        <w:rPr>
          <w:rFonts w:ascii="Arial Narrow" w:eastAsia="Batang" w:hAnsi="Arial Narrow"/>
          <w:b/>
          <w:bCs/>
          <w:noProof/>
          <w:u w:val="single"/>
        </w:rPr>
        <w:t>8</w:t>
      </w:r>
      <w:r w:rsidR="00175FED" w:rsidRPr="00F63C12">
        <w:rPr>
          <w:rFonts w:ascii="Arial Narrow" w:eastAsia="Batang" w:hAnsi="Arial Narrow"/>
          <w:b/>
          <w:bCs/>
          <w:noProof/>
          <w:u w:val="single"/>
        </w:rPr>
        <w:t>4</w:t>
      </w:r>
      <w:r w:rsidRPr="00F63C12">
        <w:rPr>
          <w:rFonts w:ascii="Arial Narrow" w:eastAsia="Batang" w:hAnsi="Arial Narrow"/>
          <w:b/>
          <w:bCs/>
          <w:noProof/>
          <w:u w:val="single"/>
        </w:rPr>
        <w:t>% de cumplimiento para el 2021);</w:t>
      </w:r>
      <w:r w:rsidR="00175FED" w:rsidRPr="00132A44">
        <w:rPr>
          <w:rFonts w:ascii="Arial Narrow" w:hAnsi="Arial Narrow"/>
        </w:rPr>
        <w:t xml:space="preserve"> </w:t>
      </w:r>
      <w:r w:rsidR="00175FED" w:rsidRPr="0080354E">
        <w:rPr>
          <w:rFonts w:ascii="Arial Narrow" w:eastAsia="Batang" w:hAnsi="Arial Narrow"/>
          <w:noProof/>
        </w:rPr>
        <w:t>Que al finalizar el 2024, se haya incrementado la cantidad de casos terminados, mediante la aplicación de medidas alternas, en Tribunales penales</w:t>
      </w:r>
      <w:r w:rsidR="00175FED" w:rsidRPr="00F63C12">
        <w:rPr>
          <w:rFonts w:ascii="Arial Narrow" w:eastAsia="Batang" w:hAnsi="Arial Narrow"/>
          <w:noProof/>
        </w:rPr>
        <w:t>(</w:t>
      </w:r>
      <w:r w:rsidR="00175FED" w:rsidRPr="00F63C12">
        <w:rPr>
          <w:rFonts w:ascii="Arial Narrow" w:eastAsia="Batang" w:hAnsi="Arial Narrow"/>
          <w:b/>
          <w:bCs/>
          <w:noProof/>
          <w:u w:val="single"/>
        </w:rPr>
        <w:t>73% de cumplimiento para el 2021);</w:t>
      </w:r>
      <w:r w:rsidR="00175FED" w:rsidRPr="00132A44">
        <w:rPr>
          <w:rFonts w:ascii="Arial Narrow" w:hAnsi="Arial Narrow"/>
        </w:rPr>
        <w:t xml:space="preserve"> </w:t>
      </w:r>
      <w:r w:rsidR="00175FED" w:rsidRPr="0080354E">
        <w:rPr>
          <w:rFonts w:ascii="Arial Narrow" w:eastAsia="Batang" w:hAnsi="Arial Narrow"/>
          <w:noProof/>
        </w:rPr>
        <w:t>Que al finalizar el 2024, se haya incrementado la cantidad de casos terminados, mediante la aplicación de medidas alternas, en materia civil por año, en primera instancia</w:t>
      </w:r>
      <w:r w:rsidR="00175FED" w:rsidRPr="00F63C12">
        <w:rPr>
          <w:rFonts w:ascii="Arial Narrow" w:eastAsia="Batang" w:hAnsi="Arial Narrow"/>
          <w:noProof/>
        </w:rPr>
        <w:t xml:space="preserve"> (</w:t>
      </w:r>
      <w:r w:rsidR="00175FED" w:rsidRPr="00F63C12">
        <w:rPr>
          <w:rFonts w:ascii="Arial Narrow" w:eastAsia="Batang" w:hAnsi="Arial Narrow"/>
          <w:b/>
          <w:bCs/>
          <w:noProof/>
          <w:u w:val="single"/>
        </w:rPr>
        <w:t>78% de cumplimiento para el 2021).</w:t>
      </w:r>
    </w:p>
    <w:p w14:paraId="43C1803E" w14:textId="04965BDC" w:rsidR="00493029" w:rsidRPr="00F63C12" w:rsidRDefault="00493029" w:rsidP="00132A44">
      <w:pPr>
        <w:jc w:val="both"/>
        <w:rPr>
          <w:rFonts w:ascii="Arial Narrow" w:eastAsia="Batang" w:hAnsi="Arial Narrow"/>
          <w:b/>
          <w:bCs/>
          <w:lang w:eastAsia="en-US"/>
        </w:rPr>
      </w:pPr>
    </w:p>
    <w:p w14:paraId="7BC24795" w14:textId="0556DB74" w:rsidR="00175FED" w:rsidRPr="00F63C12" w:rsidRDefault="00175FED" w:rsidP="00132A44">
      <w:pPr>
        <w:jc w:val="both"/>
        <w:rPr>
          <w:rFonts w:ascii="Arial Narrow" w:eastAsia="Batang" w:hAnsi="Arial Narrow"/>
          <w:lang w:eastAsia="en-US"/>
        </w:rPr>
      </w:pPr>
      <w:r w:rsidRPr="0080354E">
        <w:rPr>
          <w:rFonts w:ascii="Arial Narrow" w:eastAsia="Batang" w:hAnsi="Arial Narrow"/>
          <w:b/>
          <w:bCs/>
          <w:u w:val="single"/>
          <w:lang w:eastAsia="en-US"/>
        </w:rPr>
        <w:t>Metas Estratégicas con cumplimiento bajo:</w:t>
      </w:r>
      <w:r w:rsidRPr="0080354E">
        <w:rPr>
          <w:rFonts w:ascii="Arial Narrow" w:eastAsia="Batang" w:hAnsi="Arial Narrow"/>
          <w:b/>
          <w:bCs/>
          <w:lang w:eastAsia="en-US"/>
        </w:rPr>
        <w:t xml:space="preserve"> </w:t>
      </w:r>
      <w:r w:rsidRPr="0080354E">
        <w:rPr>
          <w:rFonts w:ascii="Arial Narrow" w:eastAsia="Batang" w:hAnsi="Arial Narrow"/>
          <w:lang w:eastAsia="en-US"/>
        </w:rPr>
        <w:t>Que al finalizar el 2024, se haya incrementado la cantidad de casos terminados, mediante la aplicación de medidas alternas, en materia contenciosa administrativa por año, en primera instancia</w:t>
      </w:r>
      <w:r w:rsidRPr="0080354E">
        <w:rPr>
          <w:rFonts w:ascii="Arial Narrow" w:eastAsia="Batang" w:hAnsi="Arial Narrow"/>
          <w:noProof/>
        </w:rPr>
        <w:t xml:space="preserve"> (</w:t>
      </w:r>
      <w:r w:rsidRPr="0080354E">
        <w:rPr>
          <w:rFonts w:ascii="Arial Narrow" w:eastAsia="Batang" w:hAnsi="Arial Narrow"/>
          <w:b/>
          <w:bCs/>
          <w:noProof/>
          <w:u w:val="single"/>
        </w:rPr>
        <w:t>1% de cumplimiento para el 2021);</w:t>
      </w:r>
      <w:r w:rsidRPr="00132A44">
        <w:rPr>
          <w:rFonts w:ascii="Arial Narrow" w:hAnsi="Arial Narrow"/>
        </w:rPr>
        <w:t xml:space="preserve"> </w:t>
      </w:r>
      <w:r w:rsidRPr="0080354E">
        <w:rPr>
          <w:rFonts w:ascii="Arial Narrow" w:eastAsia="Batang" w:hAnsi="Arial Narrow"/>
          <w:noProof/>
        </w:rPr>
        <w:t xml:space="preserve">Que al finalizar el 2024, se haya incrementado la cantidad de </w:t>
      </w:r>
      <w:r w:rsidRPr="00F63C12">
        <w:rPr>
          <w:rFonts w:ascii="Arial Narrow" w:eastAsia="Batang" w:hAnsi="Arial Narrow"/>
          <w:noProof/>
        </w:rPr>
        <w:t>casos terminados, mediante la aplicación de medidas alternas, en materia Cobro por año, en primera instancia (</w:t>
      </w:r>
      <w:r w:rsidRPr="00F63C12">
        <w:rPr>
          <w:rFonts w:ascii="Arial Narrow" w:eastAsia="Batang" w:hAnsi="Arial Narrow"/>
          <w:b/>
          <w:bCs/>
          <w:noProof/>
          <w:u w:val="single"/>
        </w:rPr>
        <w:t>37% de cumplimiento para el 2021).</w:t>
      </w:r>
    </w:p>
    <w:p w14:paraId="526A87CB" w14:textId="3F7F5B2B" w:rsidR="002E1748" w:rsidRDefault="002E1748" w:rsidP="00132A44">
      <w:pPr>
        <w:pStyle w:val="Textoindependiente2"/>
        <w:spacing w:line="240" w:lineRule="auto"/>
        <w:rPr>
          <w:rFonts w:ascii="Arial Narrow" w:hAnsi="Arial Narrow" w:cs="Calibri"/>
          <w:b w:val="0"/>
          <w:bCs w:val="0"/>
          <w:color w:val="000000"/>
          <w:lang w:val="es-CR" w:eastAsia="es-CR"/>
        </w:rPr>
      </w:pPr>
    </w:p>
    <w:p w14:paraId="13D957D7" w14:textId="77777777" w:rsidR="00304C2E" w:rsidRPr="0080354E" w:rsidRDefault="00304C2E" w:rsidP="00132A44">
      <w:pPr>
        <w:pStyle w:val="Textoindependiente2"/>
        <w:spacing w:line="240" w:lineRule="auto"/>
        <w:rPr>
          <w:rFonts w:ascii="Arial Narrow" w:hAnsi="Arial Narrow" w:cs="Calibri"/>
          <w:b w:val="0"/>
          <w:bCs w:val="0"/>
          <w:color w:val="000000"/>
          <w:lang w:val="es-CR" w:eastAsia="es-CR"/>
        </w:rPr>
      </w:pPr>
    </w:p>
    <w:p w14:paraId="5BE86603" w14:textId="33212C05" w:rsidR="002E1748" w:rsidRPr="00F63C12" w:rsidRDefault="00992B21" w:rsidP="0080354E">
      <w:pPr>
        <w:pStyle w:val="Descripcin"/>
        <w:jc w:val="center"/>
        <w:rPr>
          <w:rFonts w:ascii="Arial Narrow" w:hAnsi="Arial Narrow" w:cs="Calibri"/>
          <w:b w:val="0"/>
          <w:bCs w:val="0"/>
          <w:color w:val="000000"/>
          <w:lang w:val="es-CR" w:eastAsia="es-CR"/>
        </w:rPr>
      </w:pPr>
      <w:bookmarkStart w:id="200" w:name="_Toc104979245"/>
      <w:bookmarkStart w:id="201" w:name="_Toc84919463"/>
      <w:r w:rsidRPr="0080354E">
        <w:rPr>
          <w:rFonts w:ascii="Arial Narrow" w:hAnsi="Arial Narrow"/>
          <w:sz w:val="24"/>
          <w:szCs w:val="24"/>
        </w:rPr>
        <w:t xml:space="preserve">Tabla </w:t>
      </w:r>
      <w:r w:rsidRPr="0080354E">
        <w:rPr>
          <w:rFonts w:ascii="Arial Narrow" w:hAnsi="Arial Narrow"/>
          <w:sz w:val="24"/>
          <w:szCs w:val="24"/>
        </w:rPr>
        <w:fldChar w:fldCharType="begin"/>
      </w:r>
      <w:r w:rsidRPr="0080354E">
        <w:rPr>
          <w:rFonts w:ascii="Arial Narrow" w:hAnsi="Arial Narrow"/>
          <w:sz w:val="24"/>
          <w:szCs w:val="24"/>
        </w:rPr>
        <w:instrText xml:space="preserve"> SEQ Tabla \* ARABIC </w:instrText>
      </w:r>
      <w:r w:rsidRPr="0080354E">
        <w:rPr>
          <w:rFonts w:ascii="Arial Narrow" w:hAnsi="Arial Narrow"/>
          <w:sz w:val="24"/>
          <w:szCs w:val="24"/>
        </w:rPr>
        <w:fldChar w:fldCharType="separate"/>
      </w:r>
      <w:r w:rsidR="002F520A" w:rsidRPr="0080354E">
        <w:rPr>
          <w:rFonts w:ascii="Arial Narrow" w:hAnsi="Arial Narrow"/>
          <w:noProof/>
          <w:sz w:val="24"/>
          <w:szCs w:val="24"/>
        </w:rPr>
        <w:t>6</w:t>
      </w:r>
      <w:r w:rsidRPr="0080354E">
        <w:rPr>
          <w:rFonts w:ascii="Arial Narrow" w:hAnsi="Arial Narrow"/>
          <w:sz w:val="24"/>
          <w:szCs w:val="24"/>
        </w:rPr>
        <w:fldChar w:fldCharType="end"/>
      </w:r>
      <w:r w:rsidRPr="0080354E">
        <w:rPr>
          <w:rFonts w:ascii="Arial Narrow" w:hAnsi="Arial Narrow"/>
          <w:sz w:val="24"/>
          <w:szCs w:val="24"/>
        </w:rPr>
        <w:t xml:space="preserve"> Retos con respecto a la Acción estratégica </w:t>
      </w:r>
      <w:r w:rsidR="002E1748" w:rsidRPr="0080354E">
        <w:rPr>
          <w:rFonts w:ascii="Arial Narrow" w:hAnsi="Arial Narrow"/>
          <w:sz w:val="24"/>
          <w:szCs w:val="24"/>
        </w:rPr>
        <w:t>Medidas Alternas</w:t>
      </w:r>
      <w:bookmarkEnd w:id="200"/>
      <w:r w:rsidR="002E1748" w:rsidRPr="0080354E">
        <w:rPr>
          <w:rFonts w:ascii="Arial Narrow" w:hAnsi="Arial Narrow"/>
          <w:sz w:val="24"/>
          <w:szCs w:val="24"/>
        </w:rPr>
        <w:t xml:space="preserve"> </w:t>
      </w:r>
      <w:bookmarkEnd w:id="201"/>
    </w:p>
    <w:p w14:paraId="7D9E772C" w14:textId="77777777" w:rsidR="002E1748" w:rsidRPr="00F63C12" w:rsidRDefault="002E1748" w:rsidP="00132A44">
      <w:pPr>
        <w:pStyle w:val="Textoindependiente2"/>
        <w:spacing w:line="240" w:lineRule="auto"/>
        <w:ind w:left="720"/>
        <w:rPr>
          <w:rFonts w:ascii="Arial Narrow" w:hAnsi="Arial Narrow" w:cs="Calibri"/>
          <w:b w:val="0"/>
          <w:bCs w:val="0"/>
          <w:color w:val="000000"/>
          <w:lang w:val="es-CR" w:eastAsia="es-CR"/>
        </w:rPr>
      </w:pPr>
    </w:p>
    <w:tbl>
      <w:tblPr>
        <w:tblStyle w:val="Tablaconcuadrcula"/>
        <w:tblW w:w="0" w:type="auto"/>
        <w:tblInd w:w="720" w:type="dxa"/>
        <w:tblLook w:val="04A0" w:firstRow="1" w:lastRow="0" w:firstColumn="1" w:lastColumn="0" w:noHBand="0" w:noVBand="1"/>
      </w:tblPr>
      <w:tblGrid>
        <w:gridCol w:w="4238"/>
        <w:gridCol w:w="4245"/>
      </w:tblGrid>
      <w:tr w:rsidR="002E1748" w:rsidRPr="0080354E" w14:paraId="76DDEE8F" w14:textId="77777777" w:rsidTr="004B0A31">
        <w:tc>
          <w:tcPr>
            <w:tcW w:w="4238" w:type="dxa"/>
          </w:tcPr>
          <w:p w14:paraId="434EDD61" w14:textId="678E0A7F" w:rsidR="002E1748" w:rsidRPr="00F63C12" w:rsidRDefault="00035954" w:rsidP="00132A44">
            <w:pPr>
              <w:pStyle w:val="Textoindependiente2"/>
              <w:spacing w:line="240" w:lineRule="auto"/>
              <w:jc w:val="center"/>
              <w:rPr>
                <w:rFonts w:ascii="Arial Narrow" w:hAnsi="Arial Narrow"/>
                <w:b w:val="0"/>
                <w:bCs w:val="0"/>
                <w:noProof/>
                <w:u w:val="single"/>
              </w:rPr>
            </w:pPr>
            <w:r w:rsidRPr="00F63C12">
              <w:rPr>
                <w:rFonts w:ascii="Arial Narrow" w:hAnsi="Arial Narrow"/>
                <w:noProof/>
                <w:u w:val="single"/>
              </w:rPr>
              <w:t>Reto</w:t>
            </w:r>
            <w:r w:rsidR="00014370" w:rsidRPr="00F63C12">
              <w:rPr>
                <w:rFonts w:ascii="Arial Narrow" w:hAnsi="Arial Narrow"/>
                <w:noProof/>
                <w:u w:val="single"/>
              </w:rPr>
              <w:t>s</w:t>
            </w:r>
            <w:r w:rsidR="002E1748" w:rsidRPr="00F63C12">
              <w:rPr>
                <w:rFonts w:ascii="Arial Narrow" w:hAnsi="Arial Narrow"/>
                <w:noProof/>
                <w:u w:val="single"/>
              </w:rPr>
              <w:t>:</w:t>
            </w:r>
          </w:p>
        </w:tc>
        <w:tc>
          <w:tcPr>
            <w:tcW w:w="4245" w:type="dxa"/>
          </w:tcPr>
          <w:p w14:paraId="438F9899" w14:textId="77777777" w:rsidR="002E1748" w:rsidRPr="003A4EE6" w:rsidRDefault="002E1748" w:rsidP="00132A44">
            <w:pPr>
              <w:pStyle w:val="Textoindependiente2"/>
              <w:spacing w:line="240" w:lineRule="auto"/>
              <w:jc w:val="center"/>
              <w:rPr>
                <w:rFonts w:ascii="Arial Narrow" w:hAnsi="Arial Narrow"/>
                <w:b w:val="0"/>
                <w:bCs w:val="0"/>
                <w:noProof/>
                <w:u w:val="single"/>
              </w:rPr>
            </w:pPr>
            <w:r w:rsidRPr="00F63C12">
              <w:rPr>
                <w:rFonts w:ascii="Arial Narrow" w:hAnsi="Arial Narrow"/>
                <w:noProof/>
                <w:u w:val="single"/>
              </w:rPr>
              <w:t>Responsable estratégico</w:t>
            </w:r>
            <w:r w:rsidRPr="00F63C12">
              <w:rPr>
                <w:rFonts w:ascii="Arial Narrow" w:hAnsi="Arial Narrow"/>
                <w:b w:val="0"/>
                <w:bCs w:val="0"/>
                <w:noProof/>
                <w:u w:val="single"/>
              </w:rPr>
              <w:t>:</w:t>
            </w:r>
          </w:p>
        </w:tc>
      </w:tr>
      <w:tr w:rsidR="002E1748" w:rsidRPr="0080354E" w14:paraId="4803FAF5" w14:textId="77777777" w:rsidTr="004B0A31">
        <w:tc>
          <w:tcPr>
            <w:tcW w:w="4238" w:type="dxa"/>
            <w:vAlign w:val="center"/>
          </w:tcPr>
          <w:p w14:paraId="3B15E101" w14:textId="33F1FA11" w:rsidR="002E1748" w:rsidRPr="0080354E" w:rsidRDefault="002E1748">
            <w:pPr>
              <w:pStyle w:val="Textoindependiente2"/>
              <w:spacing w:line="240" w:lineRule="auto"/>
              <w:rPr>
                <w:rFonts w:ascii="Arial Narrow" w:hAnsi="Arial Narrow"/>
                <w:b w:val="0"/>
                <w:bCs w:val="0"/>
                <w:noProof/>
              </w:rPr>
            </w:pPr>
            <w:r w:rsidRPr="0080354E">
              <w:rPr>
                <w:rFonts w:ascii="Arial Narrow" w:hAnsi="Arial Narrow"/>
                <w:b w:val="0"/>
                <w:bCs w:val="0"/>
                <w:noProof/>
              </w:rPr>
              <w:t xml:space="preserve">Para las </w:t>
            </w:r>
            <w:r w:rsidRPr="00F63C12">
              <w:rPr>
                <w:rFonts w:ascii="Arial Narrow" w:hAnsi="Arial Narrow"/>
                <w:b w:val="0"/>
                <w:bCs w:val="0"/>
                <w:noProof/>
              </w:rPr>
              <w:t xml:space="preserve">11 metas estratégicas indicadas de previo, se debe efectuar un análisis de las posibles </w:t>
            </w:r>
            <w:r w:rsidRPr="0080354E">
              <w:rPr>
                <w:rFonts w:ascii="Arial Narrow" w:hAnsi="Arial Narrow"/>
                <w:b w:val="0"/>
                <w:bCs w:val="0"/>
                <w:noProof/>
              </w:rPr>
              <w:t xml:space="preserve">estrategias y tendencias estadísticas de ingreso y salida de asuntos mediante medidas alternas, con el objetivo de que se logre alcanzar </w:t>
            </w:r>
            <w:r w:rsidRPr="0080354E">
              <w:rPr>
                <w:rFonts w:ascii="Arial Narrow" w:hAnsi="Arial Narrow" w:cs="Calibri"/>
                <w:b w:val="0"/>
                <w:bCs w:val="0"/>
                <w:color w:val="000000"/>
                <w:lang w:val="es-CR" w:eastAsia="es-CR"/>
              </w:rPr>
              <w:t>la cantidad de casos terminados desde la meta formulada, y desde la óptica de la planificación revisar en conjunto con los responsables las metas y sus valores finales propuestos, con el fin de poder cumplir a cabalidad lo establecido en cada meta.</w:t>
            </w:r>
          </w:p>
        </w:tc>
        <w:tc>
          <w:tcPr>
            <w:tcW w:w="4245" w:type="dxa"/>
            <w:vAlign w:val="center"/>
          </w:tcPr>
          <w:p w14:paraId="5165C358" w14:textId="77777777" w:rsidR="002E1748" w:rsidRPr="0080354E" w:rsidRDefault="002E1748" w:rsidP="00132A44">
            <w:pPr>
              <w:pStyle w:val="Textoindependiente2"/>
              <w:spacing w:line="240" w:lineRule="auto"/>
              <w:rPr>
                <w:rFonts w:ascii="Arial Narrow" w:hAnsi="Arial Narrow"/>
                <w:b w:val="0"/>
                <w:bCs w:val="0"/>
                <w:noProof/>
              </w:rPr>
            </w:pPr>
            <w:r w:rsidRPr="0080354E">
              <w:rPr>
                <w:rFonts w:ascii="Arial Narrow" w:hAnsi="Arial Narrow"/>
                <w:b w:val="0"/>
                <w:bCs w:val="0"/>
                <w:noProof/>
              </w:rPr>
              <w:t>Centro de Apoyo, Coordinación y Mejoramiento de la Funcion Jurisdiccional</w:t>
            </w:r>
          </w:p>
        </w:tc>
      </w:tr>
    </w:tbl>
    <w:p w14:paraId="0C46A2A3" w14:textId="77777777" w:rsidR="008F0B82" w:rsidRPr="008F0B82" w:rsidRDefault="008F0B82" w:rsidP="00DA48B0">
      <w:pPr>
        <w:jc w:val="center"/>
        <w:rPr>
          <w:rFonts w:ascii="Arial Narrow" w:eastAsia="Batang" w:hAnsi="Arial Narrow"/>
          <w:sz w:val="18"/>
          <w:szCs w:val="18"/>
          <w:lang w:eastAsia="en-US"/>
        </w:rPr>
      </w:pPr>
      <w:bookmarkStart w:id="202" w:name="_Hlk105413518"/>
      <w:r w:rsidRPr="008F0B82">
        <w:rPr>
          <w:rFonts w:ascii="Arial Narrow" w:eastAsia="Batang" w:hAnsi="Arial Narrow"/>
          <w:sz w:val="18"/>
          <w:szCs w:val="18"/>
          <w:lang w:eastAsia="en-US"/>
        </w:rPr>
        <w:t>Fuente: elaboración propia con base en el análisis de hallazgos de la evaluación.</w:t>
      </w:r>
    </w:p>
    <w:p w14:paraId="0CDA052F" w14:textId="77777777" w:rsidR="008F0B82" w:rsidRPr="008F0B82" w:rsidRDefault="008F0B82" w:rsidP="008F0B82">
      <w:pPr>
        <w:ind w:left="720"/>
        <w:jc w:val="both"/>
        <w:rPr>
          <w:rFonts w:ascii="Arial Narrow" w:eastAsia="Batang" w:hAnsi="Arial Narrow"/>
          <w:sz w:val="18"/>
          <w:szCs w:val="18"/>
          <w:lang w:eastAsia="en-US"/>
        </w:rPr>
      </w:pPr>
    </w:p>
    <w:bookmarkEnd w:id="202"/>
    <w:p w14:paraId="0134FC18" w14:textId="77777777" w:rsidR="00175FED" w:rsidRPr="00F63C12" w:rsidRDefault="00175FED" w:rsidP="00132A44">
      <w:pPr>
        <w:jc w:val="both"/>
        <w:rPr>
          <w:rFonts w:ascii="Arial Narrow" w:eastAsia="Batang" w:hAnsi="Arial Narrow"/>
          <w:b/>
          <w:bCs/>
          <w:lang w:eastAsia="en-US"/>
        </w:rPr>
      </w:pPr>
    </w:p>
    <w:p w14:paraId="7161AC4D" w14:textId="77777777" w:rsidR="00493029" w:rsidRPr="00F63C12" w:rsidRDefault="00493029" w:rsidP="00132A44">
      <w:pPr>
        <w:numPr>
          <w:ilvl w:val="0"/>
          <w:numId w:val="36"/>
        </w:numPr>
        <w:jc w:val="both"/>
        <w:rPr>
          <w:rFonts w:ascii="Arial Narrow" w:eastAsia="Batang" w:hAnsi="Arial Narrow"/>
          <w:b/>
          <w:bCs/>
          <w:lang w:eastAsia="en-US"/>
        </w:rPr>
      </w:pPr>
      <w:r w:rsidRPr="00F63C12">
        <w:rPr>
          <w:rFonts w:ascii="Arial Narrow" w:eastAsia="Batang" w:hAnsi="Arial Narrow"/>
          <w:b/>
          <w:bCs/>
          <w:lang w:eastAsia="en-US"/>
        </w:rPr>
        <w:t>Acción estratégica: Justicia Restaurativa</w:t>
      </w:r>
    </w:p>
    <w:p w14:paraId="4B1C07C0" w14:textId="77777777" w:rsidR="00493029" w:rsidRPr="00F63C12" w:rsidRDefault="00493029" w:rsidP="00132A44">
      <w:pPr>
        <w:ind w:left="720"/>
        <w:jc w:val="both"/>
        <w:rPr>
          <w:rFonts w:ascii="Arial Narrow" w:eastAsia="Batang" w:hAnsi="Arial Narrow"/>
          <w:lang w:eastAsia="en-US"/>
        </w:rPr>
      </w:pPr>
      <w:r w:rsidRPr="00F63C12">
        <w:rPr>
          <w:rFonts w:ascii="Arial Narrow" w:eastAsia="Batang" w:hAnsi="Arial Narrow"/>
          <w:lang w:eastAsia="en-US"/>
        </w:rPr>
        <w:t>No hay metas con cumplimiento parcial o bajo.</w:t>
      </w:r>
    </w:p>
    <w:p w14:paraId="3052C6DC" w14:textId="77777777" w:rsidR="00517DC3" w:rsidRDefault="00517DC3" w:rsidP="00517DC3">
      <w:pPr>
        <w:rPr>
          <w:rFonts w:ascii="Arial Narrow" w:eastAsia="Calibri" w:hAnsi="Arial Narrow"/>
          <w:b/>
          <w:bCs/>
          <w:iCs/>
          <w:sz w:val="32"/>
          <w:szCs w:val="32"/>
          <w:lang w:val="es-CR" w:eastAsia="en-US"/>
        </w:rPr>
      </w:pPr>
    </w:p>
    <w:p w14:paraId="2AE616BD" w14:textId="4761E8E6" w:rsidR="00493029" w:rsidRPr="00517DC3" w:rsidRDefault="00493029" w:rsidP="00322D9B">
      <w:pPr>
        <w:pStyle w:val="Ttulo2"/>
      </w:pPr>
      <w:bookmarkStart w:id="203" w:name="_Toc106355298"/>
      <w:r w:rsidRPr="00517DC3">
        <w:t>Tema estratégico: Confianza y Probidad en la justicia</w:t>
      </w:r>
      <w:bookmarkEnd w:id="203"/>
      <w:r w:rsidRPr="00517DC3">
        <w:t xml:space="preserve">   </w:t>
      </w:r>
    </w:p>
    <w:p w14:paraId="336CD80D" w14:textId="77777777" w:rsidR="00EF431A" w:rsidRPr="00132A44" w:rsidRDefault="00EF431A" w:rsidP="0080354E">
      <w:pPr>
        <w:rPr>
          <w:rFonts w:ascii="Arial Narrow" w:eastAsia="Calibri" w:hAnsi="Arial Narrow"/>
          <w:lang w:val="es-CR" w:eastAsia="en-US"/>
        </w:rPr>
      </w:pPr>
    </w:p>
    <w:p w14:paraId="58031F2F" w14:textId="77777777" w:rsidR="00493029" w:rsidRPr="0080354E" w:rsidRDefault="00493029" w:rsidP="0080354E">
      <w:pPr>
        <w:rPr>
          <w:rFonts w:ascii="Arial Narrow" w:hAnsi="Arial Narrow"/>
          <w:lang w:val="en-US" w:eastAsia="en-US"/>
        </w:rPr>
      </w:pPr>
    </w:p>
    <w:p w14:paraId="0AD035B4" w14:textId="77777777" w:rsidR="00493029" w:rsidRPr="00F63C12" w:rsidRDefault="00493029" w:rsidP="00132A44">
      <w:pPr>
        <w:numPr>
          <w:ilvl w:val="0"/>
          <w:numId w:val="36"/>
        </w:numPr>
        <w:jc w:val="both"/>
        <w:rPr>
          <w:rFonts w:ascii="Arial Narrow" w:eastAsia="Batang" w:hAnsi="Arial Narrow"/>
          <w:b/>
          <w:bCs/>
          <w:lang w:eastAsia="en-US"/>
        </w:rPr>
      </w:pPr>
      <w:r w:rsidRPr="0080354E">
        <w:rPr>
          <w:rFonts w:ascii="Arial Narrow" w:eastAsia="Batang" w:hAnsi="Arial Narrow"/>
          <w:b/>
          <w:bCs/>
          <w:lang w:eastAsia="en-US"/>
        </w:rPr>
        <w:t>Acción estratégica</w:t>
      </w:r>
      <w:r w:rsidRPr="0080354E" w:rsidDel="00A008D4">
        <w:rPr>
          <w:rFonts w:ascii="Arial Narrow" w:eastAsia="Batang" w:hAnsi="Arial Narrow"/>
          <w:b/>
          <w:bCs/>
          <w:lang w:eastAsia="en-US"/>
        </w:rPr>
        <w:t>:</w:t>
      </w:r>
      <w:r w:rsidRPr="00F63C12">
        <w:rPr>
          <w:rFonts w:ascii="Arial Narrow" w:eastAsia="Batang" w:hAnsi="Arial Narrow"/>
          <w:b/>
          <w:bCs/>
          <w:lang w:eastAsia="en-US"/>
        </w:rPr>
        <w:t xml:space="preserve"> Transparencia y rendición de cuentas</w:t>
      </w:r>
    </w:p>
    <w:p w14:paraId="70A8F5E2" w14:textId="6F6C5217" w:rsidR="00493029" w:rsidRPr="00F63C12" w:rsidRDefault="002E1748" w:rsidP="00132A44">
      <w:pPr>
        <w:ind w:left="720"/>
        <w:jc w:val="both"/>
        <w:rPr>
          <w:rFonts w:ascii="Arial Narrow" w:eastAsia="Batang" w:hAnsi="Arial Narrow"/>
          <w:lang w:eastAsia="en-US"/>
        </w:rPr>
      </w:pPr>
      <w:bookmarkStart w:id="204" w:name="_Hlk99567203"/>
      <w:r w:rsidRPr="00F63C12">
        <w:rPr>
          <w:rFonts w:ascii="Arial Narrow" w:eastAsia="Batang" w:hAnsi="Arial Narrow"/>
          <w:lang w:eastAsia="en-US"/>
        </w:rPr>
        <w:t>No hay metas con cumplimiento parcial o bajo.</w:t>
      </w:r>
    </w:p>
    <w:p w14:paraId="2996367E" w14:textId="77777777" w:rsidR="001A1178" w:rsidRPr="00F63C12" w:rsidRDefault="001A1178" w:rsidP="00132A44">
      <w:pPr>
        <w:ind w:left="720"/>
        <w:jc w:val="both"/>
        <w:rPr>
          <w:rFonts w:ascii="Arial Narrow" w:eastAsia="Batang" w:hAnsi="Arial Narrow"/>
          <w:lang w:eastAsia="en-US"/>
        </w:rPr>
      </w:pPr>
    </w:p>
    <w:bookmarkEnd w:id="204"/>
    <w:p w14:paraId="1CEDC17C" w14:textId="77777777" w:rsidR="00493029" w:rsidRPr="003A4EE6" w:rsidRDefault="00493029" w:rsidP="00132A44">
      <w:pPr>
        <w:numPr>
          <w:ilvl w:val="0"/>
          <w:numId w:val="36"/>
        </w:numPr>
        <w:jc w:val="both"/>
        <w:rPr>
          <w:rFonts w:ascii="Arial Narrow" w:eastAsia="Batang" w:hAnsi="Arial Narrow"/>
          <w:b/>
          <w:bCs/>
          <w:lang w:eastAsia="en-US"/>
        </w:rPr>
      </w:pPr>
      <w:r w:rsidRPr="00F63C12">
        <w:rPr>
          <w:rFonts w:ascii="Arial Narrow" w:eastAsia="Batang" w:hAnsi="Arial Narrow"/>
          <w:b/>
          <w:bCs/>
          <w:lang w:eastAsia="en-US"/>
        </w:rPr>
        <w:t>Acción estratégica</w:t>
      </w:r>
      <w:r w:rsidRPr="00F63C12" w:rsidDel="00A008D4">
        <w:rPr>
          <w:rFonts w:ascii="Arial Narrow" w:eastAsia="Batang" w:hAnsi="Arial Narrow"/>
          <w:b/>
          <w:bCs/>
          <w:lang w:eastAsia="en-US"/>
        </w:rPr>
        <w:t>:</w:t>
      </w:r>
      <w:r w:rsidRPr="003A4EE6">
        <w:rPr>
          <w:rFonts w:ascii="Arial Narrow" w:eastAsia="Batang" w:hAnsi="Arial Narrow"/>
          <w:b/>
          <w:bCs/>
          <w:lang w:eastAsia="en-US"/>
        </w:rPr>
        <w:t xml:space="preserve"> Probidad y anticorrupción</w:t>
      </w:r>
    </w:p>
    <w:p w14:paraId="5EA1BE55" w14:textId="77777777" w:rsidR="006B7AB9" w:rsidRPr="0080354E" w:rsidRDefault="006B7AB9" w:rsidP="00132A44">
      <w:pPr>
        <w:ind w:left="720"/>
        <w:jc w:val="both"/>
        <w:rPr>
          <w:rFonts w:ascii="Arial Narrow" w:eastAsia="Batang" w:hAnsi="Arial Narrow"/>
          <w:lang w:eastAsia="en-US"/>
        </w:rPr>
      </w:pPr>
      <w:r w:rsidRPr="0080354E">
        <w:rPr>
          <w:rFonts w:ascii="Arial Narrow" w:eastAsia="Batang" w:hAnsi="Arial Narrow"/>
          <w:lang w:eastAsia="en-US"/>
        </w:rPr>
        <w:t>No hay metas con cumplimiento parcial o bajo.</w:t>
      </w:r>
    </w:p>
    <w:p w14:paraId="3ABC50D5" w14:textId="77777777" w:rsidR="006B7AB9" w:rsidRPr="0080354E" w:rsidRDefault="006B7AB9" w:rsidP="00132A44">
      <w:pPr>
        <w:ind w:left="720"/>
        <w:jc w:val="both"/>
        <w:rPr>
          <w:rFonts w:ascii="Arial Narrow" w:eastAsia="Batang" w:hAnsi="Arial Narrow"/>
          <w:b/>
          <w:bCs/>
          <w:lang w:eastAsia="en-US"/>
        </w:rPr>
      </w:pPr>
    </w:p>
    <w:p w14:paraId="40334150" w14:textId="77777777" w:rsidR="00493029" w:rsidRPr="0080354E" w:rsidRDefault="00493029" w:rsidP="00132A44">
      <w:pPr>
        <w:numPr>
          <w:ilvl w:val="0"/>
          <w:numId w:val="36"/>
        </w:numPr>
        <w:jc w:val="both"/>
        <w:rPr>
          <w:rFonts w:ascii="Arial Narrow" w:eastAsia="Batang" w:hAnsi="Arial Narrow"/>
          <w:b/>
          <w:bCs/>
          <w:lang w:eastAsia="en-US"/>
        </w:rPr>
      </w:pPr>
      <w:r w:rsidRPr="0080354E">
        <w:rPr>
          <w:rFonts w:ascii="Arial Narrow" w:eastAsia="Batang" w:hAnsi="Arial Narrow"/>
          <w:b/>
          <w:bCs/>
          <w:lang w:eastAsia="en-US"/>
        </w:rPr>
        <w:t>Acción estratégica</w:t>
      </w:r>
      <w:r w:rsidRPr="0080354E" w:rsidDel="00A008D4">
        <w:rPr>
          <w:rFonts w:ascii="Arial Narrow" w:eastAsia="Batang" w:hAnsi="Arial Narrow"/>
          <w:b/>
          <w:bCs/>
          <w:lang w:eastAsia="en-US"/>
        </w:rPr>
        <w:t>:</w:t>
      </w:r>
      <w:r w:rsidRPr="0080354E">
        <w:rPr>
          <w:rFonts w:ascii="Arial Narrow" w:eastAsia="Batang" w:hAnsi="Arial Narrow"/>
          <w:b/>
          <w:bCs/>
          <w:lang w:eastAsia="en-US"/>
        </w:rPr>
        <w:t xml:space="preserve"> Colaboración interna y externa</w:t>
      </w:r>
    </w:p>
    <w:p w14:paraId="095D7AB9" w14:textId="6575C8A1" w:rsidR="00493029" w:rsidRPr="0080354E" w:rsidRDefault="00493029" w:rsidP="00132A44">
      <w:pPr>
        <w:ind w:left="720"/>
        <w:jc w:val="both"/>
        <w:rPr>
          <w:rFonts w:ascii="Arial Narrow" w:eastAsia="Batang" w:hAnsi="Arial Narrow"/>
          <w:b/>
          <w:bCs/>
          <w:lang w:eastAsia="en-US"/>
        </w:rPr>
      </w:pPr>
    </w:p>
    <w:p w14:paraId="729EACBD" w14:textId="0BA6FD51" w:rsidR="006B7AB9" w:rsidRPr="0080354E" w:rsidRDefault="006B7AB9" w:rsidP="00132A44">
      <w:pPr>
        <w:jc w:val="both"/>
        <w:rPr>
          <w:rFonts w:ascii="Arial Narrow" w:eastAsia="Batang" w:hAnsi="Arial Narrow"/>
          <w:b/>
          <w:bCs/>
          <w:noProof/>
          <w:u w:val="single"/>
        </w:rPr>
      </w:pPr>
      <w:r w:rsidRPr="0080354E">
        <w:rPr>
          <w:rFonts w:ascii="Arial Narrow" w:eastAsia="Batang" w:hAnsi="Arial Narrow"/>
          <w:b/>
          <w:bCs/>
          <w:u w:val="single"/>
          <w:lang w:eastAsia="en-US"/>
        </w:rPr>
        <w:t>Metas Estratégicas con cumplimiento medio:</w:t>
      </w:r>
      <w:r w:rsidRPr="0080354E">
        <w:rPr>
          <w:rFonts w:ascii="Arial Narrow" w:eastAsia="Batang" w:hAnsi="Arial Narrow"/>
          <w:b/>
          <w:bCs/>
          <w:lang w:eastAsia="en-US"/>
        </w:rPr>
        <w:t xml:space="preserve"> </w:t>
      </w:r>
      <w:r w:rsidRPr="0080354E">
        <w:rPr>
          <w:rFonts w:ascii="Arial Narrow" w:eastAsia="Batang" w:hAnsi="Arial Narrow"/>
          <w:lang w:eastAsia="en-US"/>
        </w:rPr>
        <w:t xml:space="preserve">Que al finalizar el 2024, se desarrollen e implementen estrategias institucionales de cooperación nacional e internacional, que propicien el intercambio de buenas prácticas y jurisprudencia innovadora relacionada con estándares internacionales de gestión ambiental y resolución de conflictos asociados a los recursos naturales </w:t>
      </w:r>
      <w:r w:rsidRPr="0080354E">
        <w:rPr>
          <w:rFonts w:ascii="Arial Narrow" w:eastAsia="Batang" w:hAnsi="Arial Narrow"/>
          <w:noProof/>
        </w:rPr>
        <w:t>(</w:t>
      </w:r>
      <w:r w:rsidRPr="0080354E">
        <w:rPr>
          <w:rFonts w:ascii="Arial Narrow" w:eastAsia="Batang" w:hAnsi="Arial Narrow"/>
          <w:b/>
          <w:bCs/>
          <w:noProof/>
          <w:u w:val="single"/>
        </w:rPr>
        <w:t>50% de cumplimiento para el 2021);</w:t>
      </w:r>
    </w:p>
    <w:p w14:paraId="26CA08C8" w14:textId="2FBFAE0F" w:rsidR="00992B21" w:rsidRPr="0080354E" w:rsidRDefault="00992B21" w:rsidP="00132A44">
      <w:pPr>
        <w:jc w:val="both"/>
        <w:rPr>
          <w:rFonts w:ascii="Arial Narrow" w:eastAsia="Batang" w:hAnsi="Arial Narrow"/>
          <w:b/>
          <w:bCs/>
          <w:noProof/>
          <w:u w:val="single"/>
        </w:rPr>
      </w:pPr>
    </w:p>
    <w:p w14:paraId="6DD93DD9" w14:textId="47836892" w:rsidR="00992B21" w:rsidRPr="0080354E" w:rsidRDefault="00992B21" w:rsidP="0080354E">
      <w:pPr>
        <w:pStyle w:val="Descripcin"/>
        <w:jc w:val="center"/>
        <w:rPr>
          <w:rFonts w:ascii="Arial Narrow" w:hAnsi="Arial Narrow" w:cs="Calibri"/>
          <w:b w:val="0"/>
          <w:bCs w:val="0"/>
          <w:color w:val="000000"/>
          <w:lang w:val="es-CR" w:eastAsia="es-CR"/>
        </w:rPr>
      </w:pPr>
      <w:bookmarkStart w:id="205" w:name="_Toc104979246"/>
      <w:r w:rsidRPr="0080354E">
        <w:rPr>
          <w:rFonts w:ascii="Arial Narrow" w:hAnsi="Arial Narrow"/>
          <w:sz w:val="24"/>
          <w:szCs w:val="24"/>
        </w:rPr>
        <w:t xml:space="preserve">Tabla </w:t>
      </w:r>
      <w:r w:rsidRPr="0080354E">
        <w:rPr>
          <w:rFonts w:ascii="Arial Narrow" w:hAnsi="Arial Narrow"/>
          <w:sz w:val="24"/>
          <w:szCs w:val="24"/>
        </w:rPr>
        <w:fldChar w:fldCharType="begin"/>
      </w:r>
      <w:r w:rsidRPr="0080354E">
        <w:rPr>
          <w:rFonts w:ascii="Arial Narrow" w:hAnsi="Arial Narrow"/>
          <w:sz w:val="24"/>
          <w:szCs w:val="24"/>
        </w:rPr>
        <w:instrText xml:space="preserve"> SEQ Tabla \* ARABIC </w:instrText>
      </w:r>
      <w:r w:rsidRPr="0080354E">
        <w:rPr>
          <w:rFonts w:ascii="Arial Narrow" w:hAnsi="Arial Narrow"/>
          <w:sz w:val="24"/>
          <w:szCs w:val="24"/>
        </w:rPr>
        <w:fldChar w:fldCharType="separate"/>
      </w:r>
      <w:r w:rsidR="002F520A" w:rsidRPr="0080354E">
        <w:rPr>
          <w:rFonts w:ascii="Arial Narrow" w:hAnsi="Arial Narrow"/>
          <w:noProof/>
          <w:sz w:val="24"/>
          <w:szCs w:val="24"/>
        </w:rPr>
        <w:t>7</w:t>
      </w:r>
      <w:r w:rsidRPr="0080354E">
        <w:rPr>
          <w:rFonts w:ascii="Arial Narrow" w:hAnsi="Arial Narrow"/>
          <w:sz w:val="24"/>
          <w:szCs w:val="24"/>
        </w:rPr>
        <w:fldChar w:fldCharType="end"/>
      </w:r>
      <w:r w:rsidRPr="0080354E">
        <w:rPr>
          <w:rFonts w:ascii="Arial Narrow" w:hAnsi="Arial Narrow"/>
          <w:sz w:val="24"/>
          <w:szCs w:val="24"/>
        </w:rPr>
        <w:t xml:space="preserve"> Retos con respecto a la Acción estratégica Colaboración interna y externa</w:t>
      </w:r>
      <w:bookmarkEnd w:id="205"/>
    </w:p>
    <w:p w14:paraId="5026CBEB" w14:textId="7B69D899" w:rsidR="00035954" w:rsidRPr="0080354E" w:rsidRDefault="00035954" w:rsidP="00132A44">
      <w:pPr>
        <w:jc w:val="both"/>
        <w:rPr>
          <w:rFonts w:ascii="Arial Narrow" w:eastAsia="Batang" w:hAnsi="Arial Narrow"/>
          <w:b/>
          <w:bCs/>
          <w:noProof/>
          <w:u w:val="single"/>
        </w:rPr>
      </w:pPr>
    </w:p>
    <w:tbl>
      <w:tblPr>
        <w:tblStyle w:val="Tablaconcuadrcula"/>
        <w:tblW w:w="0" w:type="auto"/>
        <w:tblInd w:w="720" w:type="dxa"/>
        <w:tblLook w:val="04A0" w:firstRow="1" w:lastRow="0" w:firstColumn="1" w:lastColumn="0" w:noHBand="0" w:noVBand="1"/>
      </w:tblPr>
      <w:tblGrid>
        <w:gridCol w:w="2427"/>
        <w:gridCol w:w="3042"/>
        <w:gridCol w:w="3014"/>
      </w:tblGrid>
      <w:tr w:rsidR="00035954" w:rsidRPr="0080354E" w14:paraId="7D4BC9F5" w14:textId="77777777" w:rsidTr="00035954">
        <w:tc>
          <w:tcPr>
            <w:tcW w:w="2427" w:type="dxa"/>
          </w:tcPr>
          <w:p w14:paraId="4A110ABA" w14:textId="5C774B3B" w:rsidR="00035954" w:rsidRPr="00F63C12" w:rsidRDefault="00035954" w:rsidP="00132A44">
            <w:pPr>
              <w:pStyle w:val="Textoindependiente2"/>
              <w:spacing w:line="240" w:lineRule="auto"/>
              <w:jc w:val="center"/>
              <w:rPr>
                <w:rFonts w:ascii="Arial Narrow" w:hAnsi="Arial Narrow"/>
                <w:noProof/>
                <w:u w:val="single"/>
              </w:rPr>
            </w:pPr>
            <w:r w:rsidRPr="00F63C12">
              <w:rPr>
                <w:rFonts w:ascii="Arial Narrow" w:hAnsi="Arial Narrow"/>
                <w:noProof/>
                <w:u w:val="single"/>
              </w:rPr>
              <w:t>Meta</w:t>
            </w:r>
            <w:r w:rsidR="00014370" w:rsidRPr="00F63C12">
              <w:rPr>
                <w:rFonts w:ascii="Arial Narrow" w:hAnsi="Arial Narrow"/>
                <w:noProof/>
                <w:u w:val="single"/>
              </w:rPr>
              <w:t xml:space="preserve"> estratégica</w:t>
            </w:r>
          </w:p>
        </w:tc>
        <w:tc>
          <w:tcPr>
            <w:tcW w:w="3042" w:type="dxa"/>
            <w:vAlign w:val="center"/>
          </w:tcPr>
          <w:p w14:paraId="56A0B383" w14:textId="037F9882" w:rsidR="00035954" w:rsidRPr="00F63C12" w:rsidRDefault="00035954" w:rsidP="00132A44">
            <w:pPr>
              <w:pStyle w:val="Textoindependiente2"/>
              <w:spacing w:line="240" w:lineRule="auto"/>
              <w:jc w:val="center"/>
              <w:rPr>
                <w:rFonts w:ascii="Arial Narrow" w:hAnsi="Arial Narrow"/>
                <w:b w:val="0"/>
                <w:bCs w:val="0"/>
                <w:noProof/>
                <w:u w:val="single"/>
              </w:rPr>
            </w:pPr>
            <w:r w:rsidRPr="00F63C12">
              <w:rPr>
                <w:rFonts w:ascii="Arial Narrow" w:hAnsi="Arial Narrow"/>
                <w:noProof/>
                <w:u w:val="single"/>
              </w:rPr>
              <w:t>Retos:</w:t>
            </w:r>
          </w:p>
        </w:tc>
        <w:tc>
          <w:tcPr>
            <w:tcW w:w="3014" w:type="dxa"/>
            <w:vAlign w:val="center"/>
          </w:tcPr>
          <w:p w14:paraId="6E138114" w14:textId="77777777" w:rsidR="00035954" w:rsidRPr="003A4EE6" w:rsidRDefault="00035954" w:rsidP="00132A44">
            <w:pPr>
              <w:pStyle w:val="Textoindependiente2"/>
              <w:spacing w:line="240" w:lineRule="auto"/>
              <w:jc w:val="center"/>
              <w:rPr>
                <w:rFonts w:ascii="Arial Narrow" w:hAnsi="Arial Narrow"/>
                <w:b w:val="0"/>
                <w:bCs w:val="0"/>
                <w:noProof/>
                <w:u w:val="single"/>
              </w:rPr>
            </w:pPr>
            <w:r w:rsidRPr="00F63C12">
              <w:rPr>
                <w:rFonts w:ascii="Arial Narrow" w:hAnsi="Arial Narrow"/>
                <w:noProof/>
                <w:u w:val="single"/>
              </w:rPr>
              <w:t>Responsable estratégico</w:t>
            </w:r>
            <w:r w:rsidRPr="00F63C12">
              <w:rPr>
                <w:rFonts w:ascii="Arial Narrow" w:hAnsi="Arial Narrow"/>
                <w:b w:val="0"/>
                <w:bCs w:val="0"/>
                <w:noProof/>
                <w:u w:val="single"/>
              </w:rPr>
              <w:t>:</w:t>
            </w:r>
          </w:p>
        </w:tc>
      </w:tr>
      <w:tr w:rsidR="00035954" w:rsidRPr="0080354E" w14:paraId="7D29D57F" w14:textId="77777777" w:rsidTr="00035954">
        <w:tc>
          <w:tcPr>
            <w:tcW w:w="2427" w:type="dxa"/>
          </w:tcPr>
          <w:p w14:paraId="13E36DB1" w14:textId="4DCA8D1E" w:rsidR="00035954" w:rsidRPr="00F63C12" w:rsidRDefault="00035954" w:rsidP="00132A44">
            <w:pPr>
              <w:pStyle w:val="Textoindependiente2"/>
              <w:spacing w:line="240" w:lineRule="auto"/>
              <w:rPr>
                <w:rFonts w:ascii="Arial Narrow" w:hAnsi="Arial Narrow"/>
                <w:b w:val="0"/>
                <w:bCs w:val="0"/>
                <w:noProof/>
              </w:rPr>
            </w:pPr>
            <w:r w:rsidRPr="0080354E">
              <w:rPr>
                <w:rFonts w:ascii="Arial Narrow" w:hAnsi="Arial Narrow"/>
                <w:b w:val="0"/>
                <w:bCs w:val="0"/>
                <w:lang w:eastAsia="en-US"/>
              </w:rPr>
              <w:t>Que al finalizar el 2024, se desarrollen e implementen estrategias institucionales de cooperación nacional e internacional, que propicien el intercambio de buenas prácticas y jurisprudencia innovadora relacionada con estándares internacionales de gestión a</w:t>
            </w:r>
            <w:r w:rsidRPr="00F63C12">
              <w:rPr>
                <w:rFonts w:ascii="Arial Narrow" w:hAnsi="Arial Narrow"/>
                <w:b w:val="0"/>
                <w:bCs w:val="0"/>
                <w:lang w:eastAsia="en-US"/>
              </w:rPr>
              <w:t>mbiental y resolución de conflictos asociados a los recursos naturales</w:t>
            </w:r>
          </w:p>
        </w:tc>
        <w:tc>
          <w:tcPr>
            <w:tcW w:w="3042" w:type="dxa"/>
            <w:vAlign w:val="center"/>
          </w:tcPr>
          <w:p w14:paraId="16F3DE2B" w14:textId="4C1097A8" w:rsidR="00035954" w:rsidRPr="0080354E" w:rsidRDefault="009073EB" w:rsidP="00132A44">
            <w:pPr>
              <w:pStyle w:val="Textoindependiente2"/>
              <w:spacing w:line="240" w:lineRule="auto"/>
              <w:rPr>
                <w:rFonts w:ascii="Arial Narrow" w:hAnsi="Arial Narrow"/>
                <w:b w:val="0"/>
                <w:bCs w:val="0"/>
                <w:noProof/>
              </w:rPr>
            </w:pPr>
            <w:r w:rsidRPr="00F63C12">
              <w:rPr>
                <w:rFonts w:ascii="Arial Narrow" w:hAnsi="Arial Narrow"/>
                <w:b w:val="0"/>
                <w:bCs w:val="0"/>
                <w:noProof/>
              </w:rPr>
              <w:t>Ejecutar actividades de sensibilización  a la población judicial sobre la implementación de un reciclaje efectivo</w:t>
            </w:r>
            <w:r w:rsidR="00114CAB" w:rsidRPr="00F63C12">
              <w:rPr>
                <w:rFonts w:ascii="Arial Narrow" w:hAnsi="Arial Narrow"/>
                <w:b w:val="0"/>
                <w:bCs w:val="0"/>
                <w:noProof/>
              </w:rPr>
              <w:t>,ahorro energ</w:t>
            </w:r>
            <w:r w:rsidR="003D4046">
              <w:rPr>
                <w:rFonts w:ascii="Arial Narrow" w:hAnsi="Arial Narrow"/>
                <w:b w:val="0"/>
                <w:bCs w:val="0"/>
                <w:noProof/>
              </w:rPr>
              <w:t>é</w:t>
            </w:r>
            <w:r w:rsidR="00114CAB" w:rsidRPr="00F63C12">
              <w:rPr>
                <w:rFonts w:ascii="Arial Narrow" w:hAnsi="Arial Narrow"/>
                <w:b w:val="0"/>
                <w:bCs w:val="0"/>
                <w:noProof/>
              </w:rPr>
              <w:t xml:space="preserve">tico y propiciar al </w:t>
            </w:r>
            <w:r w:rsidR="00E13D51" w:rsidRPr="00F63C12">
              <w:rPr>
                <w:rFonts w:ascii="Arial Narrow" w:hAnsi="Arial Narrow"/>
                <w:b w:val="0"/>
                <w:bCs w:val="0"/>
                <w:noProof/>
              </w:rPr>
              <w:t>P</w:t>
            </w:r>
            <w:r w:rsidR="00114CAB" w:rsidRPr="00F63C12">
              <w:rPr>
                <w:rFonts w:ascii="Arial Narrow" w:hAnsi="Arial Narrow"/>
                <w:b w:val="0"/>
                <w:bCs w:val="0"/>
                <w:noProof/>
              </w:rPr>
              <w:t xml:space="preserve">oder Judicial </w:t>
            </w:r>
            <w:r w:rsidR="00E13D51" w:rsidRPr="0080354E">
              <w:rPr>
                <w:rFonts w:ascii="Arial Narrow" w:hAnsi="Arial Narrow"/>
                <w:b w:val="0"/>
                <w:bCs w:val="0"/>
                <w:noProof/>
              </w:rPr>
              <w:t xml:space="preserve">como un gestor y generador de residuos. </w:t>
            </w:r>
          </w:p>
        </w:tc>
        <w:tc>
          <w:tcPr>
            <w:tcW w:w="3014" w:type="dxa"/>
            <w:vAlign w:val="center"/>
          </w:tcPr>
          <w:p w14:paraId="249EDA4F" w14:textId="24876117" w:rsidR="00035954" w:rsidRPr="0080354E" w:rsidRDefault="009073EB" w:rsidP="00132A44">
            <w:pPr>
              <w:pStyle w:val="Textoindependiente2"/>
              <w:spacing w:line="240" w:lineRule="auto"/>
              <w:jc w:val="center"/>
              <w:rPr>
                <w:rFonts w:ascii="Arial Narrow" w:hAnsi="Arial Narrow"/>
                <w:b w:val="0"/>
                <w:bCs w:val="0"/>
                <w:noProof/>
              </w:rPr>
            </w:pPr>
            <w:r w:rsidRPr="0080354E">
              <w:rPr>
                <w:rFonts w:ascii="Arial Narrow" w:hAnsi="Arial Narrow"/>
                <w:b w:val="0"/>
                <w:bCs w:val="0"/>
                <w:noProof/>
              </w:rPr>
              <w:t>Dirección Ejecutiva</w:t>
            </w:r>
          </w:p>
        </w:tc>
      </w:tr>
    </w:tbl>
    <w:p w14:paraId="1C92702B" w14:textId="77777777" w:rsidR="008F0B82" w:rsidRPr="008F0B82" w:rsidRDefault="008F0B82" w:rsidP="00DA48B0">
      <w:pPr>
        <w:jc w:val="center"/>
        <w:rPr>
          <w:rFonts w:ascii="Arial Narrow" w:eastAsia="Batang" w:hAnsi="Arial Narrow"/>
          <w:sz w:val="18"/>
          <w:szCs w:val="18"/>
          <w:lang w:eastAsia="en-US"/>
        </w:rPr>
      </w:pPr>
      <w:r w:rsidRPr="008F0B82">
        <w:rPr>
          <w:rFonts w:ascii="Arial Narrow" w:eastAsia="Batang" w:hAnsi="Arial Narrow"/>
          <w:sz w:val="18"/>
          <w:szCs w:val="18"/>
          <w:lang w:eastAsia="en-US"/>
        </w:rPr>
        <w:t>Fuente: elaboración propia con base en el análisis de hallazgos de la evaluación.</w:t>
      </w:r>
    </w:p>
    <w:p w14:paraId="38E5DCF7" w14:textId="24524BE0" w:rsidR="008F0B82" w:rsidRDefault="008F0B82" w:rsidP="008F0B82">
      <w:pPr>
        <w:ind w:left="720"/>
        <w:jc w:val="both"/>
        <w:rPr>
          <w:rFonts w:ascii="Arial Narrow" w:eastAsia="Batang" w:hAnsi="Arial Narrow"/>
          <w:sz w:val="18"/>
          <w:szCs w:val="18"/>
          <w:lang w:eastAsia="en-US"/>
        </w:rPr>
      </w:pPr>
    </w:p>
    <w:p w14:paraId="0435A905" w14:textId="1370B064" w:rsidR="008F0B82" w:rsidRDefault="008F0B82" w:rsidP="008F0B82">
      <w:pPr>
        <w:ind w:left="720"/>
        <w:jc w:val="both"/>
        <w:rPr>
          <w:rFonts w:ascii="Arial Narrow" w:eastAsia="Batang" w:hAnsi="Arial Narrow"/>
          <w:sz w:val="18"/>
          <w:szCs w:val="18"/>
          <w:lang w:eastAsia="en-US"/>
        </w:rPr>
      </w:pPr>
    </w:p>
    <w:p w14:paraId="652BA45F" w14:textId="77777777" w:rsidR="00DA48B0" w:rsidRPr="008F0B82" w:rsidRDefault="00DA48B0" w:rsidP="008F0B82">
      <w:pPr>
        <w:ind w:left="720"/>
        <w:jc w:val="both"/>
        <w:rPr>
          <w:rFonts w:ascii="Arial Narrow" w:eastAsia="Batang" w:hAnsi="Arial Narrow"/>
          <w:sz w:val="18"/>
          <w:szCs w:val="18"/>
          <w:lang w:eastAsia="en-US"/>
        </w:rPr>
      </w:pPr>
    </w:p>
    <w:p w14:paraId="6239CAD2" w14:textId="757C20A8" w:rsidR="00493029" w:rsidRDefault="00493029" w:rsidP="00132A44">
      <w:pPr>
        <w:numPr>
          <w:ilvl w:val="0"/>
          <w:numId w:val="36"/>
        </w:numPr>
        <w:jc w:val="both"/>
        <w:rPr>
          <w:rFonts w:ascii="Arial Narrow" w:eastAsia="Batang" w:hAnsi="Arial Narrow"/>
          <w:b/>
          <w:bCs/>
          <w:lang w:eastAsia="en-US"/>
        </w:rPr>
      </w:pPr>
      <w:r w:rsidRPr="00F63C12">
        <w:rPr>
          <w:rFonts w:ascii="Arial Narrow" w:eastAsia="Batang" w:hAnsi="Arial Narrow"/>
          <w:b/>
          <w:bCs/>
          <w:lang w:eastAsia="en-US"/>
        </w:rPr>
        <w:t>Acción estratégica</w:t>
      </w:r>
      <w:r w:rsidRPr="00F63C12" w:rsidDel="00A008D4">
        <w:rPr>
          <w:rFonts w:ascii="Arial Narrow" w:eastAsia="Batang" w:hAnsi="Arial Narrow"/>
          <w:b/>
          <w:bCs/>
          <w:lang w:eastAsia="en-US"/>
        </w:rPr>
        <w:t>:</w:t>
      </w:r>
      <w:r w:rsidRPr="00F63C12">
        <w:rPr>
          <w:rFonts w:ascii="Arial Narrow" w:eastAsia="Batang" w:hAnsi="Arial Narrow"/>
          <w:b/>
          <w:bCs/>
          <w:lang w:eastAsia="en-US"/>
        </w:rPr>
        <w:t xml:space="preserve"> Comunicación y proyección institucional</w:t>
      </w:r>
    </w:p>
    <w:p w14:paraId="35FDBA0E" w14:textId="77777777" w:rsidR="002F1057" w:rsidRPr="00F63C12" w:rsidRDefault="002F1057" w:rsidP="002F1057">
      <w:pPr>
        <w:ind w:left="720"/>
        <w:jc w:val="both"/>
        <w:rPr>
          <w:rFonts w:ascii="Arial Narrow" w:eastAsia="Batang" w:hAnsi="Arial Narrow"/>
          <w:b/>
          <w:bCs/>
          <w:lang w:eastAsia="en-US"/>
        </w:rPr>
      </w:pPr>
    </w:p>
    <w:p w14:paraId="62102C3A" w14:textId="77777777" w:rsidR="00394F6C" w:rsidRPr="0080354E" w:rsidRDefault="00394F6C" w:rsidP="00132A44">
      <w:pPr>
        <w:jc w:val="both"/>
        <w:rPr>
          <w:rFonts w:ascii="Arial Narrow" w:eastAsia="Batang" w:hAnsi="Arial Narrow"/>
          <w:b/>
          <w:bCs/>
          <w:noProof/>
          <w:u w:val="single"/>
        </w:rPr>
      </w:pPr>
    </w:p>
    <w:p w14:paraId="217DA568" w14:textId="2B444D5D" w:rsidR="00394F6C" w:rsidRPr="0080354E" w:rsidRDefault="00394F6C" w:rsidP="00132A44">
      <w:pPr>
        <w:jc w:val="both"/>
        <w:rPr>
          <w:rFonts w:ascii="Arial Narrow" w:eastAsia="Batang" w:hAnsi="Arial Narrow"/>
          <w:b/>
          <w:bCs/>
          <w:noProof/>
          <w:u w:val="single"/>
        </w:rPr>
      </w:pPr>
      <w:r w:rsidRPr="0080354E">
        <w:rPr>
          <w:rFonts w:ascii="Arial Narrow" w:eastAsia="Batang" w:hAnsi="Arial Narrow"/>
          <w:b/>
          <w:bCs/>
          <w:u w:val="single"/>
          <w:lang w:eastAsia="en-US"/>
        </w:rPr>
        <w:t>Metas Estratégicas con cumplimiento bajo:</w:t>
      </w:r>
      <w:r w:rsidRPr="0080354E">
        <w:rPr>
          <w:rFonts w:ascii="Arial Narrow" w:eastAsia="Batang" w:hAnsi="Arial Narrow"/>
          <w:b/>
          <w:bCs/>
          <w:lang w:eastAsia="en-US"/>
        </w:rPr>
        <w:t xml:space="preserve"> </w:t>
      </w:r>
      <w:r w:rsidRPr="0080354E">
        <w:rPr>
          <w:rFonts w:ascii="Arial Narrow" w:eastAsia="Batang" w:hAnsi="Arial Narrow"/>
          <w:noProof/>
        </w:rPr>
        <w:t>Que al finalizar el 2024, se haya aprobado la Política de Comunicación Organizacional</w:t>
      </w:r>
      <w:r w:rsidR="00992B21" w:rsidRPr="0080354E">
        <w:rPr>
          <w:rFonts w:ascii="Arial Narrow" w:eastAsia="Batang" w:hAnsi="Arial Narrow"/>
          <w:noProof/>
        </w:rPr>
        <w:t xml:space="preserve">  </w:t>
      </w:r>
      <w:r w:rsidRPr="0080354E">
        <w:rPr>
          <w:rFonts w:ascii="Arial Narrow" w:eastAsia="Batang" w:hAnsi="Arial Narrow"/>
          <w:noProof/>
        </w:rPr>
        <w:t>(</w:t>
      </w:r>
      <w:r w:rsidRPr="0080354E">
        <w:rPr>
          <w:rFonts w:ascii="Arial Narrow" w:eastAsia="Batang" w:hAnsi="Arial Narrow"/>
          <w:b/>
          <w:bCs/>
          <w:noProof/>
          <w:u w:val="single"/>
        </w:rPr>
        <w:t>25% de cumplimiento para el 2021).</w:t>
      </w:r>
    </w:p>
    <w:p w14:paraId="6C3F55AE" w14:textId="40726095" w:rsidR="00394F6C" w:rsidRPr="0080354E" w:rsidRDefault="00394F6C" w:rsidP="00132A44">
      <w:pPr>
        <w:jc w:val="center"/>
        <w:rPr>
          <w:rFonts w:ascii="Arial Narrow" w:eastAsia="Batang" w:hAnsi="Arial Narrow"/>
          <w:b/>
          <w:bCs/>
          <w:noProof/>
          <w:u w:val="single"/>
        </w:rPr>
      </w:pPr>
    </w:p>
    <w:p w14:paraId="5A1297BD" w14:textId="2ACDEF2D" w:rsidR="00992B21" w:rsidRPr="0080354E" w:rsidRDefault="00992B21" w:rsidP="0080354E">
      <w:pPr>
        <w:pStyle w:val="Descripcin"/>
        <w:jc w:val="center"/>
        <w:rPr>
          <w:rFonts w:ascii="Arial Narrow" w:hAnsi="Arial Narrow"/>
          <w:sz w:val="24"/>
          <w:szCs w:val="24"/>
        </w:rPr>
      </w:pPr>
      <w:bookmarkStart w:id="206" w:name="_Toc104979247"/>
      <w:r w:rsidRPr="0080354E">
        <w:rPr>
          <w:rFonts w:ascii="Arial Narrow" w:hAnsi="Arial Narrow"/>
          <w:sz w:val="24"/>
          <w:szCs w:val="24"/>
        </w:rPr>
        <w:t xml:space="preserve">Tabla </w:t>
      </w:r>
      <w:r w:rsidRPr="0080354E">
        <w:rPr>
          <w:rFonts w:ascii="Arial Narrow" w:hAnsi="Arial Narrow"/>
          <w:sz w:val="24"/>
          <w:szCs w:val="24"/>
        </w:rPr>
        <w:fldChar w:fldCharType="begin"/>
      </w:r>
      <w:r w:rsidRPr="0080354E">
        <w:rPr>
          <w:rFonts w:ascii="Arial Narrow" w:hAnsi="Arial Narrow"/>
          <w:sz w:val="24"/>
          <w:szCs w:val="24"/>
        </w:rPr>
        <w:instrText xml:space="preserve"> SEQ Tabla \* ARABIC </w:instrText>
      </w:r>
      <w:r w:rsidRPr="0080354E">
        <w:rPr>
          <w:rFonts w:ascii="Arial Narrow" w:hAnsi="Arial Narrow"/>
          <w:sz w:val="24"/>
          <w:szCs w:val="24"/>
        </w:rPr>
        <w:fldChar w:fldCharType="separate"/>
      </w:r>
      <w:r w:rsidR="002F520A" w:rsidRPr="0080354E">
        <w:rPr>
          <w:rFonts w:ascii="Arial Narrow" w:hAnsi="Arial Narrow"/>
          <w:noProof/>
          <w:sz w:val="24"/>
          <w:szCs w:val="24"/>
        </w:rPr>
        <w:t>8</w:t>
      </w:r>
      <w:r w:rsidRPr="0080354E">
        <w:rPr>
          <w:rFonts w:ascii="Arial Narrow" w:hAnsi="Arial Narrow"/>
          <w:sz w:val="24"/>
          <w:szCs w:val="24"/>
        </w:rPr>
        <w:fldChar w:fldCharType="end"/>
      </w:r>
      <w:r w:rsidRPr="0080354E">
        <w:rPr>
          <w:rFonts w:ascii="Arial Narrow" w:hAnsi="Arial Narrow"/>
          <w:sz w:val="24"/>
          <w:szCs w:val="24"/>
        </w:rPr>
        <w:t xml:space="preserve"> Retos con respecto a la Acción estratégica Comunicación y proyección institucional</w:t>
      </w:r>
      <w:bookmarkEnd w:id="206"/>
    </w:p>
    <w:p w14:paraId="7EF00C3E" w14:textId="77777777" w:rsidR="00992B21" w:rsidRPr="0080354E" w:rsidRDefault="00992B21" w:rsidP="00132A44">
      <w:pPr>
        <w:jc w:val="both"/>
        <w:rPr>
          <w:rFonts w:ascii="Arial Narrow" w:eastAsia="Batang" w:hAnsi="Arial Narrow"/>
          <w:b/>
          <w:bCs/>
          <w:noProof/>
          <w:u w:val="single"/>
        </w:rPr>
      </w:pPr>
    </w:p>
    <w:tbl>
      <w:tblPr>
        <w:tblStyle w:val="Tablaconcuadrcula"/>
        <w:tblW w:w="0" w:type="auto"/>
        <w:tblInd w:w="279" w:type="dxa"/>
        <w:tblLook w:val="04A0" w:firstRow="1" w:lastRow="0" w:firstColumn="1" w:lastColumn="0" w:noHBand="0" w:noVBand="1"/>
      </w:tblPr>
      <w:tblGrid>
        <w:gridCol w:w="2427"/>
        <w:gridCol w:w="3042"/>
        <w:gridCol w:w="3014"/>
      </w:tblGrid>
      <w:tr w:rsidR="00394F6C" w:rsidRPr="0080354E" w14:paraId="039755C9" w14:textId="77777777" w:rsidTr="00992B21">
        <w:tc>
          <w:tcPr>
            <w:tcW w:w="2427" w:type="dxa"/>
          </w:tcPr>
          <w:p w14:paraId="54C6D850" w14:textId="443D806E" w:rsidR="00394F6C" w:rsidRPr="00F63C12" w:rsidRDefault="00394F6C" w:rsidP="00132A44">
            <w:pPr>
              <w:pStyle w:val="Textoindependiente2"/>
              <w:spacing w:line="240" w:lineRule="auto"/>
              <w:jc w:val="center"/>
              <w:rPr>
                <w:rFonts w:ascii="Arial Narrow" w:hAnsi="Arial Narrow"/>
                <w:noProof/>
                <w:u w:val="single"/>
              </w:rPr>
            </w:pPr>
            <w:r w:rsidRPr="00F63C12">
              <w:rPr>
                <w:rFonts w:ascii="Arial Narrow" w:hAnsi="Arial Narrow"/>
                <w:noProof/>
                <w:u w:val="single"/>
              </w:rPr>
              <w:t>Meta</w:t>
            </w:r>
            <w:r w:rsidR="00014370" w:rsidRPr="00F63C12">
              <w:rPr>
                <w:rFonts w:ascii="Arial Narrow" w:hAnsi="Arial Narrow"/>
                <w:noProof/>
                <w:u w:val="single"/>
              </w:rPr>
              <w:t xml:space="preserve"> estratégica</w:t>
            </w:r>
          </w:p>
        </w:tc>
        <w:tc>
          <w:tcPr>
            <w:tcW w:w="3042" w:type="dxa"/>
            <w:vAlign w:val="center"/>
          </w:tcPr>
          <w:p w14:paraId="6B6568AD" w14:textId="77777777" w:rsidR="00394F6C" w:rsidRPr="00F63C12" w:rsidRDefault="00394F6C" w:rsidP="00132A44">
            <w:pPr>
              <w:pStyle w:val="Textoindependiente2"/>
              <w:spacing w:line="240" w:lineRule="auto"/>
              <w:jc w:val="center"/>
              <w:rPr>
                <w:rFonts w:ascii="Arial Narrow" w:hAnsi="Arial Narrow"/>
                <w:b w:val="0"/>
                <w:bCs w:val="0"/>
                <w:noProof/>
                <w:u w:val="single"/>
              </w:rPr>
            </w:pPr>
            <w:r w:rsidRPr="00F63C12">
              <w:rPr>
                <w:rFonts w:ascii="Arial Narrow" w:hAnsi="Arial Narrow"/>
                <w:noProof/>
                <w:u w:val="single"/>
              </w:rPr>
              <w:t>Retos:</w:t>
            </w:r>
          </w:p>
        </w:tc>
        <w:tc>
          <w:tcPr>
            <w:tcW w:w="3014" w:type="dxa"/>
            <w:vAlign w:val="center"/>
          </w:tcPr>
          <w:p w14:paraId="2C6D991A" w14:textId="77777777" w:rsidR="00394F6C" w:rsidRPr="003A4EE6" w:rsidRDefault="00394F6C" w:rsidP="00132A44">
            <w:pPr>
              <w:pStyle w:val="Textoindependiente2"/>
              <w:spacing w:line="240" w:lineRule="auto"/>
              <w:jc w:val="center"/>
              <w:rPr>
                <w:rFonts w:ascii="Arial Narrow" w:hAnsi="Arial Narrow"/>
                <w:b w:val="0"/>
                <w:bCs w:val="0"/>
                <w:noProof/>
                <w:u w:val="single"/>
              </w:rPr>
            </w:pPr>
            <w:r w:rsidRPr="00F63C12">
              <w:rPr>
                <w:rFonts w:ascii="Arial Narrow" w:hAnsi="Arial Narrow"/>
                <w:noProof/>
                <w:u w:val="single"/>
              </w:rPr>
              <w:t>Responsable estratégico</w:t>
            </w:r>
            <w:r w:rsidRPr="00F63C12">
              <w:rPr>
                <w:rFonts w:ascii="Arial Narrow" w:hAnsi="Arial Narrow"/>
                <w:b w:val="0"/>
                <w:bCs w:val="0"/>
                <w:noProof/>
                <w:u w:val="single"/>
              </w:rPr>
              <w:t>:</w:t>
            </w:r>
          </w:p>
        </w:tc>
      </w:tr>
      <w:tr w:rsidR="00394F6C" w:rsidRPr="0080354E" w14:paraId="47842612" w14:textId="77777777" w:rsidTr="00132A44">
        <w:tc>
          <w:tcPr>
            <w:tcW w:w="2427" w:type="dxa"/>
            <w:vAlign w:val="center"/>
          </w:tcPr>
          <w:p w14:paraId="4CF5D2B7" w14:textId="77777777" w:rsidR="00394F6C" w:rsidRPr="00F63C12" w:rsidRDefault="00394F6C" w:rsidP="00132A44">
            <w:pPr>
              <w:pStyle w:val="Textoindependiente2"/>
              <w:spacing w:line="240" w:lineRule="auto"/>
              <w:rPr>
                <w:rFonts w:ascii="Arial Narrow" w:hAnsi="Arial Narrow"/>
                <w:b w:val="0"/>
                <w:bCs w:val="0"/>
                <w:noProof/>
              </w:rPr>
            </w:pPr>
            <w:r w:rsidRPr="0080354E">
              <w:rPr>
                <w:rFonts w:ascii="Arial Narrow" w:hAnsi="Arial Narrow"/>
                <w:b w:val="0"/>
                <w:bCs w:val="0"/>
                <w:noProof/>
              </w:rPr>
              <w:t xml:space="preserve">Que al finalizar el 2024, se haya </w:t>
            </w:r>
            <w:r w:rsidRPr="00F63C12">
              <w:rPr>
                <w:rFonts w:ascii="Arial Narrow" w:hAnsi="Arial Narrow"/>
                <w:b w:val="0"/>
                <w:bCs w:val="0"/>
                <w:noProof/>
              </w:rPr>
              <w:t>aprobado la Política de Comunicación Organizacional</w:t>
            </w:r>
          </w:p>
        </w:tc>
        <w:tc>
          <w:tcPr>
            <w:tcW w:w="3042" w:type="dxa"/>
            <w:vAlign w:val="center"/>
          </w:tcPr>
          <w:p w14:paraId="0DA1969E" w14:textId="77777777" w:rsidR="00394F6C" w:rsidRPr="003A4EE6" w:rsidRDefault="00394F6C" w:rsidP="00132A44">
            <w:pPr>
              <w:pStyle w:val="Textoindependiente2"/>
              <w:spacing w:line="240" w:lineRule="auto"/>
              <w:rPr>
                <w:rFonts w:ascii="Arial Narrow" w:hAnsi="Arial Narrow"/>
                <w:b w:val="0"/>
                <w:bCs w:val="0"/>
                <w:noProof/>
              </w:rPr>
            </w:pPr>
            <w:r w:rsidRPr="00F63C12">
              <w:rPr>
                <w:rFonts w:ascii="Arial Narrow" w:hAnsi="Arial Narrow"/>
                <w:b w:val="0"/>
                <w:bCs w:val="0"/>
                <w:noProof/>
              </w:rPr>
              <w:t>Realizar las gestiones necesarias y esfuerzos para lograr obtener</w:t>
            </w:r>
            <w:r w:rsidRPr="00F63C12">
              <w:rPr>
                <w:rFonts w:ascii="Arial Narrow" w:hAnsi="Arial Narrow"/>
              </w:rPr>
              <w:t xml:space="preserve"> </w:t>
            </w:r>
            <w:r w:rsidRPr="00F63C12">
              <w:rPr>
                <w:rFonts w:ascii="Arial Narrow" w:hAnsi="Arial Narrow"/>
                <w:b w:val="0"/>
                <w:bCs w:val="0"/>
              </w:rPr>
              <w:t>colaboración que permita el diseño de la política institucional y la posterior aprobación de la Política de Comunicación Organizacional.</w:t>
            </w:r>
          </w:p>
        </w:tc>
        <w:tc>
          <w:tcPr>
            <w:tcW w:w="3014" w:type="dxa"/>
            <w:vAlign w:val="center"/>
          </w:tcPr>
          <w:p w14:paraId="0B1BE09A" w14:textId="77777777" w:rsidR="00394F6C" w:rsidRPr="0080354E" w:rsidRDefault="00394F6C" w:rsidP="00132A44">
            <w:pPr>
              <w:pStyle w:val="Textoindependiente2"/>
              <w:spacing w:line="240" w:lineRule="auto"/>
              <w:rPr>
                <w:rFonts w:ascii="Arial Narrow" w:hAnsi="Arial Narrow"/>
                <w:b w:val="0"/>
                <w:bCs w:val="0"/>
                <w:noProof/>
              </w:rPr>
            </w:pPr>
            <w:r w:rsidRPr="0080354E">
              <w:rPr>
                <w:rFonts w:ascii="Arial Narrow" w:hAnsi="Arial Narrow"/>
                <w:b w:val="0"/>
                <w:bCs w:val="0"/>
                <w:noProof/>
              </w:rPr>
              <w:t>Departamento de Prensa y Comunicación Organizacional</w:t>
            </w:r>
          </w:p>
        </w:tc>
      </w:tr>
    </w:tbl>
    <w:p w14:paraId="4E08BF6C" w14:textId="77777777" w:rsidR="008F0B82" w:rsidRPr="008F0B82" w:rsidRDefault="008F0B82" w:rsidP="00DA48B0">
      <w:pPr>
        <w:jc w:val="center"/>
        <w:rPr>
          <w:rFonts w:ascii="Arial Narrow" w:eastAsia="Batang" w:hAnsi="Arial Narrow"/>
          <w:sz w:val="18"/>
          <w:szCs w:val="18"/>
          <w:lang w:eastAsia="en-US"/>
        </w:rPr>
      </w:pPr>
      <w:r w:rsidRPr="008F0B82">
        <w:rPr>
          <w:rFonts w:ascii="Arial Narrow" w:eastAsia="Batang" w:hAnsi="Arial Narrow"/>
          <w:sz w:val="18"/>
          <w:szCs w:val="18"/>
          <w:lang w:eastAsia="en-US"/>
        </w:rPr>
        <w:t>Fuente: elaboración propia con base en el análisis de hallazgos de la evaluación.</w:t>
      </w:r>
    </w:p>
    <w:p w14:paraId="40A46C26" w14:textId="77777777" w:rsidR="008F0B82" w:rsidRPr="008F0B82" w:rsidRDefault="008F0B82" w:rsidP="008F0B82">
      <w:pPr>
        <w:ind w:left="720"/>
        <w:jc w:val="both"/>
        <w:rPr>
          <w:rFonts w:ascii="Arial Narrow" w:eastAsia="Batang" w:hAnsi="Arial Narrow"/>
          <w:sz w:val="18"/>
          <w:szCs w:val="18"/>
          <w:lang w:eastAsia="en-US"/>
        </w:rPr>
      </w:pPr>
    </w:p>
    <w:p w14:paraId="1751001B" w14:textId="454DAB7C" w:rsidR="004B0A31" w:rsidRDefault="004B0A31" w:rsidP="008F0B82">
      <w:pPr>
        <w:ind w:left="720"/>
        <w:jc w:val="both"/>
        <w:rPr>
          <w:rFonts w:ascii="Segoe UI" w:hAnsi="Segoe UI" w:cs="Segoe UI"/>
          <w:color w:val="242424"/>
          <w:sz w:val="20"/>
          <w:szCs w:val="20"/>
          <w:shd w:val="clear" w:color="auto" w:fill="E8EBFA"/>
        </w:rPr>
      </w:pPr>
    </w:p>
    <w:p w14:paraId="70442ECE" w14:textId="02C4836F" w:rsidR="008F0B82" w:rsidRDefault="008F0B82" w:rsidP="008F0B82">
      <w:pPr>
        <w:ind w:left="720"/>
        <w:jc w:val="both"/>
        <w:rPr>
          <w:rFonts w:ascii="Segoe UI" w:hAnsi="Segoe UI" w:cs="Segoe UI"/>
          <w:color w:val="242424"/>
          <w:sz w:val="20"/>
          <w:szCs w:val="20"/>
          <w:shd w:val="clear" w:color="auto" w:fill="E8EBFA"/>
        </w:rPr>
      </w:pPr>
    </w:p>
    <w:p w14:paraId="47F2F0B2" w14:textId="77777777" w:rsidR="008F0B82" w:rsidRDefault="008F0B82" w:rsidP="008F0B82">
      <w:pPr>
        <w:ind w:left="720"/>
        <w:jc w:val="both"/>
        <w:rPr>
          <w:rFonts w:ascii="Arial Narrow" w:eastAsia="Batang" w:hAnsi="Arial Narrow"/>
          <w:b/>
          <w:bCs/>
          <w:lang w:eastAsia="en-US"/>
        </w:rPr>
      </w:pPr>
    </w:p>
    <w:p w14:paraId="52CE6DDE" w14:textId="7CC471DC" w:rsidR="00493029" w:rsidRPr="00F63C12" w:rsidRDefault="00493029" w:rsidP="00132A44">
      <w:pPr>
        <w:numPr>
          <w:ilvl w:val="0"/>
          <w:numId w:val="36"/>
        </w:numPr>
        <w:jc w:val="both"/>
        <w:rPr>
          <w:rFonts w:ascii="Arial Narrow" w:eastAsia="Batang" w:hAnsi="Arial Narrow"/>
          <w:b/>
          <w:bCs/>
          <w:lang w:eastAsia="en-US"/>
        </w:rPr>
      </w:pPr>
      <w:r w:rsidRPr="00F63C12">
        <w:rPr>
          <w:rFonts w:ascii="Arial Narrow" w:eastAsia="Batang" w:hAnsi="Arial Narrow"/>
          <w:b/>
          <w:bCs/>
          <w:lang w:eastAsia="en-US"/>
        </w:rPr>
        <w:t>Acción estratégica</w:t>
      </w:r>
      <w:r w:rsidRPr="00F63C12" w:rsidDel="00A008D4">
        <w:rPr>
          <w:rFonts w:ascii="Arial Narrow" w:eastAsia="Batang" w:hAnsi="Arial Narrow"/>
          <w:b/>
          <w:bCs/>
          <w:lang w:eastAsia="en-US"/>
        </w:rPr>
        <w:t>:</w:t>
      </w:r>
      <w:r w:rsidRPr="00F63C12">
        <w:rPr>
          <w:rFonts w:ascii="Arial Narrow" w:eastAsia="Batang" w:hAnsi="Arial Narrow"/>
          <w:b/>
          <w:bCs/>
          <w:lang w:eastAsia="en-US"/>
        </w:rPr>
        <w:t xml:space="preserve"> Participación Ciudadana</w:t>
      </w:r>
    </w:p>
    <w:p w14:paraId="5459AE58" w14:textId="77777777" w:rsidR="00493029" w:rsidRPr="00F63C12" w:rsidRDefault="00493029" w:rsidP="00132A44">
      <w:pPr>
        <w:ind w:left="720"/>
        <w:jc w:val="both"/>
        <w:rPr>
          <w:rFonts w:ascii="Arial Narrow" w:eastAsia="Batang" w:hAnsi="Arial Narrow"/>
          <w:b/>
          <w:bCs/>
          <w:lang w:eastAsia="en-US"/>
        </w:rPr>
      </w:pPr>
    </w:p>
    <w:p w14:paraId="7E397ECC" w14:textId="77777777" w:rsidR="00C16A5B" w:rsidRPr="0080354E" w:rsidRDefault="00C16A5B" w:rsidP="00132A44">
      <w:pPr>
        <w:ind w:left="720"/>
        <w:jc w:val="both"/>
        <w:rPr>
          <w:rFonts w:ascii="Arial Narrow" w:eastAsia="Batang" w:hAnsi="Arial Narrow"/>
          <w:lang w:eastAsia="en-US"/>
        </w:rPr>
      </w:pPr>
      <w:r w:rsidRPr="0080354E">
        <w:rPr>
          <w:rFonts w:ascii="Arial Narrow" w:eastAsia="Batang" w:hAnsi="Arial Narrow"/>
          <w:lang w:eastAsia="en-US"/>
        </w:rPr>
        <w:t>No hay metas con cumplimiento parcial o bajo.</w:t>
      </w:r>
    </w:p>
    <w:p w14:paraId="4A64BD24" w14:textId="77777777" w:rsidR="00493029" w:rsidRPr="0080354E" w:rsidRDefault="00493029" w:rsidP="00132A44">
      <w:pPr>
        <w:jc w:val="both"/>
        <w:rPr>
          <w:rFonts w:ascii="Arial Narrow" w:hAnsi="Arial Narrow"/>
        </w:rPr>
      </w:pPr>
    </w:p>
    <w:p w14:paraId="15B8F09D" w14:textId="2B1EDCBA" w:rsidR="00493029" w:rsidRPr="00CE2B73" w:rsidRDefault="00493029" w:rsidP="00322D9B">
      <w:pPr>
        <w:pStyle w:val="Ttulo2"/>
      </w:pPr>
      <w:bookmarkStart w:id="207" w:name="_Toc106355299"/>
      <w:r w:rsidRPr="00CE2B73">
        <w:t>Tema estratégico Optimización e innovación de los servicios judiciales</w:t>
      </w:r>
      <w:bookmarkEnd w:id="207"/>
    </w:p>
    <w:p w14:paraId="72F3650A" w14:textId="77777777" w:rsidR="00493029" w:rsidRPr="0080354E" w:rsidRDefault="00493029" w:rsidP="00132A44">
      <w:pPr>
        <w:jc w:val="both"/>
        <w:rPr>
          <w:rFonts w:ascii="Arial Narrow" w:hAnsi="Arial Narrow"/>
          <w:b/>
          <w:bCs/>
          <w:lang w:eastAsia="en-US"/>
        </w:rPr>
      </w:pPr>
    </w:p>
    <w:p w14:paraId="7E781EB3" w14:textId="77777777" w:rsidR="00493029" w:rsidRPr="0080354E" w:rsidRDefault="00493029" w:rsidP="00132A44">
      <w:pPr>
        <w:numPr>
          <w:ilvl w:val="0"/>
          <w:numId w:val="36"/>
        </w:numPr>
        <w:jc w:val="both"/>
        <w:rPr>
          <w:rFonts w:ascii="Arial Narrow" w:eastAsia="Batang" w:hAnsi="Arial Narrow"/>
          <w:b/>
          <w:bCs/>
          <w:lang w:eastAsia="en-US"/>
        </w:rPr>
      </w:pPr>
      <w:r w:rsidRPr="0080354E">
        <w:rPr>
          <w:rFonts w:ascii="Arial Narrow" w:eastAsia="Batang" w:hAnsi="Arial Narrow"/>
          <w:b/>
          <w:bCs/>
          <w:lang w:eastAsia="en-US"/>
        </w:rPr>
        <w:t>Acción estratégica</w:t>
      </w:r>
      <w:r w:rsidRPr="0080354E" w:rsidDel="00A008D4">
        <w:rPr>
          <w:rFonts w:ascii="Arial Narrow" w:eastAsia="Batang" w:hAnsi="Arial Narrow"/>
          <w:b/>
          <w:bCs/>
          <w:lang w:eastAsia="en-US"/>
        </w:rPr>
        <w:t>:</w:t>
      </w:r>
      <w:r w:rsidRPr="0080354E">
        <w:rPr>
          <w:rFonts w:ascii="Arial Narrow" w:eastAsia="Batang" w:hAnsi="Arial Narrow"/>
          <w:b/>
          <w:bCs/>
          <w:lang w:eastAsia="en-US"/>
        </w:rPr>
        <w:t xml:space="preserve"> </w:t>
      </w:r>
      <w:r w:rsidRPr="0080354E">
        <w:rPr>
          <w:rFonts w:ascii="Arial Narrow" w:eastAsia="Calibri" w:hAnsi="Arial Narrow"/>
          <w:lang w:eastAsia="en-US"/>
        </w:rPr>
        <w:t>Desarrollo y optimización de servicios y procesos judiciales</w:t>
      </w:r>
    </w:p>
    <w:p w14:paraId="613EB2C9" w14:textId="77777777" w:rsidR="00493029" w:rsidRPr="0080354E" w:rsidRDefault="00493029" w:rsidP="00132A44">
      <w:pPr>
        <w:ind w:left="567" w:right="566"/>
        <w:jc w:val="both"/>
        <w:rPr>
          <w:rFonts w:ascii="Arial Narrow" w:eastAsia="Batang" w:hAnsi="Arial Narrow"/>
          <w:b/>
          <w:bCs/>
          <w:lang w:eastAsia="en-US"/>
        </w:rPr>
      </w:pPr>
    </w:p>
    <w:p w14:paraId="4D34D879" w14:textId="3A26E478" w:rsidR="00493029" w:rsidRPr="0080354E" w:rsidRDefault="524F8F29" w:rsidP="00322D9B">
      <w:pPr>
        <w:ind w:left="567" w:right="566"/>
        <w:jc w:val="both"/>
        <w:rPr>
          <w:rFonts w:ascii="Arial Narrow" w:eastAsia="Batang" w:hAnsi="Arial Narrow" w:cs="Calibri"/>
          <w:color w:val="000000"/>
          <w:lang w:val="es-CR" w:eastAsia="es-CR"/>
        </w:rPr>
      </w:pPr>
      <w:r w:rsidRPr="7F5490C3">
        <w:rPr>
          <w:rFonts w:ascii="Arial Narrow" w:eastAsia="Batang" w:hAnsi="Arial Narrow"/>
          <w:b/>
          <w:bCs/>
          <w:u w:val="single"/>
          <w:lang w:eastAsia="en-US"/>
        </w:rPr>
        <w:t>Meta Estratégica con cumplimiento bajo:</w:t>
      </w:r>
      <w:r w:rsidRPr="7F5490C3">
        <w:rPr>
          <w:rFonts w:ascii="Arial Narrow" w:eastAsia="Batang" w:hAnsi="Arial Narrow"/>
          <w:b/>
          <w:bCs/>
          <w:lang w:eastAsia="en-US"/>
        </w:rPr>
        <w:t xml:space="preserve"> </w:t>
      </w:r>
      <w:r w:rsidRPr="7F5490C3">
        <w:rPr>
          <w:rFonts w:ascii="Arial Narrow" w:eastAsia="Batang" w:hAnsi="Arial Narrow"/>
          <w:i/>
          <w:iCs/>
          <w:lang w:eastAsia="en-US"/>
        </w:rPr>
        <w:t xml:space="preserve">Que al finalizar el 2024, se haya implementado el proyecto de abordaje a la entrada en vigencia del Código Procesal Agrario. </w:t>
      </w:r>
      <w:r w:rsidRPr="7F5490C3">
        <w:rPr>
          <w:rFonts w:ascii="Arial Narrow" w:eastAsia="Batang" w:hAnsi="Arial Narrow"/>
          <w:noProof/>
        </w:rPr>
        <w:t>(</w:t>
      </w:r>
      <w:r w:rsidRPr="7F5490C3">
        <w:rPr>
          <w:rFonts w:ascii="Arial Narrow" w:eastAsia="Batang" w:hAnsi="Arial Narrow"/>
          <w:b/>
          <w:bCs/>
          <w:noProof/>
          <w:u w:val="single"/>
        </w:rPr>
        <w:t>0% de cumplimiento para el 2021</w:t>
      </w:r>
    </w:p>
    <w:p w14:paraId="56E8265C" w14:textId="564DCB9E" w:rsidR="00C16A5B" w:rsidRDefault="00C16A5B" w:rsidP="00132A44">
      <w:pPr>
        <w:ind w:left="720"/>
        <w:jc w:val="both"/>
        <w:rPr>
          <w:rFonts w:ascii="Arial Narrow" w:eastAsia="Batang" w:hAnsi="Arial Narrow" w:cs="Calibri"/>
          <w:color w:val="000000"/>
          <w:lang w:val="es-CR" w:eastAsia="es-CR"/>
        </w:rPr>
      </w:pPr>
    </w:p>
    <w:p w14:paraId="018956F3" w14:textId="77777777" w:rsidR="00DA48B0" w:rsidRPr="0080354E" w:rsidRDefault="00DA48B0" w:rsidP="00132A44">
      <w:pPr>
        <w:ind w:left="720"/>
        <w:jc w:val="both"/>
        <w:rPr>
          <w:rFonts w:ascii="Arial Narrow" w:eastAsia="Batang" w:hAnsi="Arial Narrow" w:cs="Calibri"/>
          <w:color w:val="000000"/>
          <w:lang w:val="es-CR" w:eastAsia="es-CR"/>
        </w:rPr>
      </w:pPr>
    </w:p>
    <w:p w14:paraId="2DEDEA41" w14:textId="555440DD" w:rsidR="00992B21" w:rsidRPr="0080354E" w:rsidRDefault="00992B21" w:rsidP="0080354E">
      <w:pPr>
        <w:pStyle w:val="Descripcin"/>
        <w:jc w:val="center"/>
        <w:rPr>
          <w:rFonts w:ascii="Arial Narrow" w:hAnsi="Arial Narrow"/>
          <w:sz w:val="24"/>
          <w:szCs w:val="24"/>
        </w:rPr>
      </w:pPr>
      <w:bookmarkStart w:id="208" w:name="_Toc104979248"/>
      <w:r w:rsidRPr="0080354E">
        <w:rPr>
          <w:rFonts w:ascii="Arial Narrow" w:hAnsi="Arial Narrow"/>
          <w:sz w:val="24"/>
          <w:szCs w:val="24"/>
        </w:rPr>
        <w:t xml:space="preserve">Tabla </w:t>
      </w:r>
      <w:r w:rsidRPr="0080354E">
        <w:rPr>
          <w:rFonts w:ascii="Arial Narrow" w:hAnsi="Arial Narrow"/>
          <w:sz w:val="24"/>
          <w:szCs w:val="24"/>
        </w:rPr>
        <w:fldChar w:fldCharType="begin"/>
      </w:r>
      <w:r w:rsidRPr="0080354E">
        <w:rPr>
          <w:rFonts w:ascii="Arial Narrow" w:hAnsi="Arial Narrow"/>
          <w:sz w:val="24"/>
          <w:szCs w:val="24"/>
        </w:rPr>
        <w:instrText xml:space="preserve"> SEQ Tabla \* ARABIC </w:instrText>
      </w:r>
      <w:r w:rsidRPr="0080354E">
        <w:rPr>
          <w:rFonts w:ascii="Arial Narrow" w:hAnsi="Arial Narrow"/>
          <w:sz w:val="24"/>
          <w:szCs w:val="24"/>
        </w:rPr>
        <w:fldChar w:fldCharType="separate"/>
      </w:r>
      <w:r w:rsidR="002F520A" w:rsidRPr="0080354E">
        <w:rPr>
          <w:rFonts w:ascii="Arial Narrow" w:hAnsi="Arial Narrow"/>
          <w:noProof/>
          <w:sz w:val="24"/>
          <w:szCs w:val="24"/>
        </w:rPr>
        <w:t>9</w:t>
      </w:r>
      <w:r w:rsidRPr="0080354E">
        <w:rPr>
          <w:rFonts w:ascii="Arial Narrow" w:hAnsi="Arial Narrow"/>
          <w:sz w:val="24"/>
          <w:szCs w:val="24"/>
        </w:rPr>
        <w:fldChar w:fldCharType="end"/>
      </w:r>
      <w:r w:rsidRPr="0080354E">
        <w:rPr>
          <w:rFonts w:ascii="Arial Narrow" w:hAnsi="Arial Narrow"/>
          <w:sz w:val="24"/>
          <w:szCs w:val="24"/>
        </w:rPr>
        <w:t xml:space="preserve"> Retos con respecto a la Acción estratégica</w:t>
      </w:r>
      <w:bookmarkEnd w:id="208"/>
      <w:r w:rsidRPr="0080354E">
        <w:rPr>
          <w:rFonts w:ascii="Arial Narrow" w:hAnsi="Arial Narrow"/>
          <w:sz w:val="24"/>
          <w:szCs w:val="24"/>
        </w:rPr>
        <w:t xml:space="preserve"> </w:t>
      </w:r>
    </w:p>
    <w:p w14:paraId="57343B55" w14:textId="77777777" w:rsidR="00493029" w:rsidRPr="00F63C12" w:rsidRDefault="00493029" w:rsidP="0080354E">
      <w:pPr>
        <w:jc w:val="center"/>
        <w:rPr>
          <w:rFonts w:ascii="Arial Narrow" w:hAnsi="Arial Narrow" w:cs="Calibri"/>
          <w:color w:val="000000"/>
          <w:sz w:val="20"/>
          <w:szCs w:val="20"/>
          <w:lang w:val="es-CR" w:eastAsia="es-CR"/>
        </w:rPr>
      </w:pPr>
      <w:r w:rsidRPr="00F63C12">
        <w:rPr>
          <w:rFonts w:ascii="Arial Narrow" w:hAnsi="Arial Narrow"/>
          <w:b/>
          <w:bCs/>
        </w:rPr>
        <w:t>Desarrollo y optimización de servicios y procesos judiciales</w:t>
      </w:r>
    </w:p>
    <w:p w14:paraId="09D52232" w14:textId="77777777" w:rsidR="00493029" w:rsidRPr="00F63C12" w:rsidRDefault="00493029" w:rsidP="00132A44">
      <w:pPr>
        <w:ind w:left="720"/>
        <w:jc w:val="both"/>
        <w:rPr>
          <w:rFonts w:ascii="Arial Narrow" w:eastAsia="Batang" w:hAnsi="Arial Narrow" w:cs="Calibri"/>
          <w:color w:val="000000"/>
          <w:lang w:val="es-CR" w:eastAsia="es-CR"/>
        </w:rPr>
      </w:pPr>
    </w:p>
    <w:tbl>
      <w:tblPr>
        <w:tblStyle w:val="Tablaconcuadrcula2"/>
        <w:tblW w:w="0" w:type="auto"/>
        <w:tblInd w:w="720" w:type="dxa"/>
        <w:tblLook w:val="04A0" w:firstRow="1" w:lastRow="0" w:firstColumn="1" w:lastColumn="0" w:noHBand="0" w:noVBand="1"/>
      </w:tblPr>
      <w:tblGrid>
        <w:gridCol w:w="2401"/>
        <w:gridCol w:w="3145"/>
        <w:gridCol w:w="2937"/>
      </w:tblGrid>
      <w:tr w:rsidR="00493029" w:rsidRPr="0080354E" w14:paraId="064AB224" w14:textId="77777777" w:rsidTr="7F5490C3">
        <w:tc>
          <w:tcPr>
            <w:tcW w:w="2401" w:type="dxa"/>
          </w:tcPr>
          <w:p w14:paraId="508D845F" w14:textId="18D8B5B5" w:rsidR="00493029" w:rsidRPr="00F63C12" w:rsidRDefault="00493029" w:rsidP="00132A44">
            <w:pPr>
              <w:jc w:val="center"/>
              <w:rPr>
                <w:rFonts w:ascii="Arial Narrow" w:eastAsia="Batang" w:hAnsi="Arial Narrow"/>
                <w:b/>
                <w:bCs/>
                <w:noProof/>
                <w:u w:val="single"/>
              </w:rPr>
            </w:pPr>
            <w:r w:rsidRPr="00F63C12">
              <w:rPr>
                <w:rFonts w:ascii="Arial Narrow" w:eastAsia="Batang" w:hAnsi="Arial Narrow"/>
                <w:b/>
                <w:bCs/>
                <w:noProof/>
                <w:u w:val="single"/>
              </w:rPr>
              <w:t>Meta estrat</w:t>
            </w:r>
            <w:r w:rsidR="00014370" w:rsidRPr="00F63C12">
              <w:rPr>
                <w:rFonts w:ascii="Arial Narrow" w:eastAsia="Batang" w:hAnsi="Arial Narrow"/>
                <w:b/>
                <w:bCs/>
                <w:noProof/>
                <w:u w:val="single"/>
              </w:rPr>
              <w:t>é</w:t>
            </w:r>
            <w:r w:rsidRPr="00F63C12">
              <w:rPr>
                <w:rFonts w:ascii="Arial Narrow" w:eastAsia="Batang" w:hAnsi="Arial Narrow"/>
                <w:b/>
                <w:bCs/>
                <w:noProof/>
                <w:u w:val="single"/>
              </w:rPr>
              <w:t>gica</w:t>
            </w:r>
          </w:p>
        </w:tc>
        <w:tc>
          <w:tcPr>
            <w:tcW w:w="3145" w:type="dxa"/>
            <w:vAlign w:val="center"/>
          </w:tcPr>
          <w:p w14:paraId="601C10CB" w14:textId="77777777" w:rsidR="00493029" w:rsidRPr="0080354E" w:rsidRDefault="00493029" w:rsidP="00132A44">
            <w:pPr>
              <w:jc w:val="center"/>
              <w:rPr>
                <w:rFonts w:ascii="Arial Narrow" w:eastAsia="Batang" w:hAnsi="Arial Narrow"/>
                <w:noProof/>
                <w:u w:val="single"/>
              </w:rPr>
            </w:pPr>
            <w:r w:rsidRPr="0080354E">
              <w:rPr>
                <w:rFonts w:ascii="Arial Narrow" w:eastAsia="Batang" w:hAnsi="Arial Narrow"/>
                <w:b/>
                <w:bCs/>
                <w:noProof/>
                <w:u w:val="single"/>
              </w:rPr>
              <w:t>Retos:</w:t>
            </w:r>
          </w:p>
        </w:tc>
        <w:tc>
          <w:tcPr>
            <w:tcW w:w="2937" w:type="dxa"/>
            <w:vAlign w:val="center"/>
          </w:tcPr>
          <w:p w14:paraId="2FBD253F" w14:textId="77777777" w:rsidR="00493029" w:rsidRPr="0080354E" w:rsidRDefault="00493029" w:rsidP="00132A44">
            <w:pPr>
              <w:jc w:val="center"/>
              <w:rPr>
                <w:rFonts w:ascii="Arial Narrow" w:eastAsia="Batang" w:hAnsi="Arial Narrow"/>
                <w:noProof/>
                <w:u w:val="single"/>
              </w:rPr>
            </w:pPr>
            <w:r w:rsidRPr="0080354E">
              <w:rPr>
                <w:rFonts w:ascii="Arial Narrow" w:eastAsia="Batang" w:hAnsi="Arial Narrow"/>
                <w:b/>
                <w:bCs/>
                <w:noProof/>
                <w:u w:val="single"/>
              </w:rPr>
              <w:t>Responsable estratégico</w:t>
            </w:r>
            <w:r w:rsidRPr="0080354E">
              <w:rPr>
                <w:rFonts w:ascii="Arial Narrow" w:eastAsia="Batang" w:hAnsi="Arial Narrow"/>
                <w:noProof/>
                <w:u w:val="single"/>
              </w:rPr>
              <w:t>:</w:t>
            </w:r>
          </w:p>
        </w:tc>
      </w:tr>
      <w:tr w:rsidR="00493029" w:rsidRPr="0080354E" w14:paraId="1FF96512" w14:textId="77777777" w:rsidTr="7F5490C3">
        <w:tc>
          <w:tcPr>
            <w:tcW w:w="2401" w:type="dxa"/>
            <w:vAlign w:val="center"/>
          </w:tcPr>
          <w:p w14:paraId="7AA0B0CB" w14:textId="77777777" w:rsidR="00493029" w:rsidRPr="00F63C12" w:rsidRDefault="00493029" w:rsidP="00132A44">
            <w:pPr>
              <w:jc w:val="both"/>
              <w:rPr>
                <w:rFonts w:ascii="Arial Narrow" w:eastAsia="Batang" w:hAnsi="Arial Narrow"/>
                <w:lang w:eastAsia="en-US"/>
              </w:rPr>
            </w:pPr>
            <w:r w:rsidRPr="0080354E">
              <w:rPr>
                <w:rFonts w:ascii="Arial Narrow" w:eastAsia="Batang" w:hAnsi="Arial Narrow"/>
                <w:lang w:eastAsia="en-US"/>
              </w:rPr>
              <w:t>Que al finalizar el 2024, se haya implementado el proyecto de abordaje a la entrada en vigencia del Código Procesal Agrario.</w:t>
            </w:r>
          </w:p>
          <w:p w14:paraId="01AB51EA" w14:textId="77777777" w:rsidR="00493029" w:rsidRPr="00F63C12" w:rsidRDefault="00493029" w:rsidP="00132A44">
            <w:pPr>
              <w:jc w:val="both"/>
              <w:rPr>
                <w:rFonts w:ascii="Arial Narrow" w:eastAsia="Batang" w:hAnsi="Arial Narrow"/>
                <w:noProof/>
              </w:rPr>
            </w:pPr>
          </w:p>
        </w:tc>
        <w:tc>
          <w:tcPr>
            <w:tcW w:w="3145" w:type="dxa"/>
            <w:vAlign w:val="center"/>
          </w:tcPr>
          <w:p w14:paraId="24721C5B" w14:textId="440CD3A1" w:rsidR="00493029" w:rsidRPr="00322D9B" w:rsidRDefault="524F8F29" w:rsidP="00322D9B">
            <w:pPr>
              <w:spacing w:line="259" w:lineRule="auto"/>
              <w:jc w:val="both"/>
              <w:rPr>
                <w:rFonts w:ascii="Arial Narrow" w:eastAsia="Batang" w:hAnsi="Arial Narrow"/>
                <w:noProof/>
                <w:lang w:val="es-ES"/>
              </w:rPr>
            </w:pPr>
            <w:r w:rsidRPr="7F5490C3">
              <w:rPr>
                <w:rFonts w:ascii="Arial Narrow" w:eastAsia="Batang" w:hAnsi="Arial Narrow"/>
                <w:noProof/>
              </w:rPr>
              <w:t xml:space="preserve">Coordinar la asignación de un gestor o gestora para la materia Agraria quien se encargue de las tareas relacionadas con las estrategias que </w:t>
            </w:r>
            <w:r w:rsidRPr="00322D9B">
              <w:rPr>
                <w:rFonts w:ascii="Arial Narrow" w:eastAsia="Batang" w:hAnsi="Arial Narrow"/>
                <w:lang w:val="es-CR"/>
              </w:rPr>
              <w:t xml:space="preserve">permitan </w:t>
            </w:r>
            <w:r w:rsidRPr="7F5490C3">
              <w:rPr>
                <w:rFonts w:ascii="Arial Narrow" w:eastAsia="Batang" w:hAnsi="Arial Narrow"/>
                <w:noProof/>
              </w:rPr>
              <w:t xml:space="preserve">avanzar con el proyecto de abordaje a la entrada en vigencia del Código Procesal Agrario. Tomar en cuenta que </w:t>
            </w:r>
            <w:r w:rsidR="7F5490C3" w:rsidRPr="00322D9B">
              <w:rPr>
                <w:rFonts w:ascii="Arial Narrow" w:eastAsia="Batang" w:hAnsi="Arial Narrow"/>
                <w:noProof/>
                <w:lang w:val="es-ES"/>
              </w:rPr>
              <w:t>e</w:t>
            </w:r>
            <w:r w:rsidR="7F5490C3" w:rsidRPr="7F5490C3">
              <w:rPr>
                <w:rFonts w:ascii="Arial Narrow" w:eastAsia="Batang" w:hAnsi="Arial Narrow"/>
                <w:noProof/>
                <w:lang w:val="es-ES"/>
              </w:rPr>
              <w:t>l Subproceso de Planificaci</w:t>
            </w:r>
            <w:r w:rsidR="00517F14">
              <w:rPr>
                <w:rFonts w:ascii="Arial Narrow" w:eastAsia="Batang" w:hAnsi="Arial Narrow"/>
                <w:noProof/>
                <w:lang w:val="es-ES"/>
              </w:rPr>
              <w:t>ó</w:t>
            </w:r>
            <w:r w:rsidR="7F5490C3" w:rsidRPr="7F5490C3">
              <w:rPr>
                <w:rFonts w:ascii="Arial Narrow" w:eastAsia="Batang" w:hAnsi="Arial Narrow"/>
                <w:noProof/>
                <w:lang w:val="es-ES"/>
              </w:rPr>
              <w:t>n Est</w:t>
            </w:r>
            <w:r w:rsidR="0005449D">
              <w:rPr>
                <w:rFonts w:ascii="Arial Narrow" w:eastAsia="Batang" w:hAnsi="Arial Narrow"/>
                <w:noProof/>
                <w:lang w:val="es-ES"/>
              </w:rPr>
              <w:t>ra</w:t>
            </w:r>
            <w:r w:rsidR="7F5490C3" w:rsidRPr="7F5490C3">
              <w:rPr>
                <w:rFonts w:ascii="Arial Narrow" w:eastAsia="Batang" w:hAnsi="Arial Narrow"/>
                <w:noProof/>
                <w:lang w:val="es-ES"/>
              </w:rPr>
              <w:t>t</w:t>
            </w:r>
            <w:r w:rsidR="0005449D">
              <w:rPr>
                <w:rFonts w:ascii="Arial Narrow" w:eastAsia="Batang" w:hAnsi="Arial Narrow"/>
                <w:noProof/>
                <w:lang w:val="es-ES"/>
              </w:rPr>
              <w:t>é</w:t>
            </w:r>
            <w:r w:rsidR="7F5490C3" w:rsidRPr="7F5490C3">
              <w:rPr>
                <w:rFonts w:ascii="Arial Narrow" w:eastAsia="Batang" w:hAnsi="Arial Narrow"/>
                <w:noProof/>
                <w:lang w:val="es-ES"/>
              </w:rPr>
              <w:t xml:space="preserve">gica confeccionó un oficio </w:t>
            </w:r>
            <w:r w:rsidR="7F5490C3" w:rsidRPr="00322D9B">
              <w:rPr>
                <w:rFonts w:ascii="Arial Narrow" w:eastAsia="Batang" w:hAnsi="Arial Narrow"/>
                <w:noProof/>
                <w:lang w:val="es-ES"/>
              </w:rPr>
              <w:t xml:space="preserve">donde se indica la necesidad de trasladar el responsable estratégico de </w:t>
            </w:r>
            <w:r w:rsidR="7F5490C3" w:rsidRPr="7F5490C3">
              <w:rPr>
                <w:rFonts w:ascii="Arial Narrow" w:eastAsia="Batang" w:hAnsi="Arial Narrow"/>
                <w:noProof/>
                <w:lang w:val="es-ES"/>
              </w:rPr>
              <w:t xml:space="preserve">la Dirección de </w:t>
            </w:r>
            <w:r w:rsidR="7F5490C3" w:rsidRPr="00322D9B">
              <w:rPr>
                <w:rFonts w:ascii="Arial Narrow" w:eastAsia="Batang" w:hAnsi="Arial Narrow"/>
                <w:noProof/>
                <w:lang w:val="es-ES"/>
              </w:rPr>
              <w:t>Plani</w:t>
            </w:r>
            <w:r w:rsidR="7F5490C3" w:rsidRPr="7F5490C3">
              <w:rPr>
                <w:rFonts w:ascii="Arial Narrow" w:eastAsia="Batang" w:hAnsi="Arial Narrow"/>
                <w:noProof/>
                <w:lang w:val="es-ES"/>
              </w:rPr>
              <w:t>ficación</w:t>
            </w:r>
            <w:r w:rsidR="7F5490C3" w:rsidRPr="00322D9B">
              <w:rPr>
                <w:rFonts w:ascii="Arial Narrow" w:eastAsia="Batang" w:hAnsi="Arial Narrow"/>
                <w:noProof/>
                <w:lang w:val="es-ES"/>
              </w:rPr>
              <w:t xml:space="preserve">  a la Comisión Agraria, y se solicita la vinculación  de obj</w:t>
            </w:r>
            <w:r w:rsidR="7F5490C3" w:rsidRPr="7F5490C3">
              <w:rPr>
                <w:rFonts w:ascii="Arial Narrow" w:eastAsia="Batang" w:hAnsi="Arial Narrow"/>
                <w:noProof/>
                <w:lang w:val="es-ES"/>
              </w:rPr>
              <w:t>etivos</w:t>
            </w:r>
            <w:r w:rsidR="7F5490C3" w:rsidRPr="00322D9B">
              <w:rPr>
                <w:rFonts w:ascii="Arial Narrow" w:eastAsia="Batang" w:hAnsi="Arial Narrow"/>
                <w:noProof/>
                <w:lang w:val="es-ES"/>
              </w:rPr>
              <w:t xml:space="preserve"> operativos de PAO a la meta estrat</w:t>
            </w:r>
            <w:r w:rsidR="7F5490C3" w:rsidRPr="7F5490C3">
              <w:rPr>
                <w:rFonts w:ascii="Arial Narrow" w:eastAsia="Batang" w:hAnsi="Arial Narrow"/>
                <w:noProof/>
                <w:lang w:val="es-ES"/>
              </w:rPr>
              <w:t>é</w:t>
            </w:r>
            <w:r w:rsidR="7F5490C3" w:rsidRPr="00322D9B">
              <w:rPr>
                <w:rFonts w:ascii="Arial Narrow" w:eastAsia="Batang" w:hAnsi="Arial Narrow"/>
                <w:noProof/>
                <w:lang w:val="es-ES"/>
              </w:rPr>
              <w:t xml:space="preserve">gica de Agrario. </w:t>
            </w:r>
          </w:p>
        </w:tc>
        <w:tc>
          <w:tcPr>
            <w:tcW w:w="2937" w:type="dxa"/>
            <w:vAlign w:val="center"/>
          </w:tcPr>
          <w:p w14:paraId="48B69831" w14:textId="7F63172A" w:rsidR="00493029" w:rsidRPr="0080354E" w:rsidRDefault="0045588C" w:rsidP="00132A44">
            <w:pPr>
              <w:jc w:val="both"/>
              <w:rPr>
                <w:rFonts w:ascii="Arial Narrow" w:eastAsia="Batang" w:hAnsi="Arial Narrow"/>
                <w:noProof/>
              </w:rPr>
            </w:pPr>
            <w:r w:rsidRPr="0080354E">
              <w:rPr>
                <w:rFonts w:ascii="Arial Narrow" w:eastAsia="Batang" w:hAnsi="Arial Narrow"/>
                <w:noProof/>
              </w:rPr>
              <w:t xml:space="preserve">Comisión de la Jurisdicción Agraria </w:t>
            </w:r>
            <w:r>
              <w:rPr>
                <w:rFonts w:ascii="Arial Narrow" w:eastAsia="Batang" w:hAnsi="Arial Narrow"/>
                <w:noProof/>
              </w:rPr>
              <w:t xml:space="preserve">en coordinación con la </w:t>
            </w:r>
            <w:r w:rsidR="00493029" w:rsidRPr="0080354E">
              <w:rPr>
                <w:rFonts w:ascii="Arial Narrow" w:eastAsia="Batang" w:hAnsi="Arial Narrow"/>
                <w:noProof/>
              </w:rPr>
              <w:t>Dirección de Planificación</w:t>
            </w:r>
            <w:r>
              <w:rPr>
                <w:rFonts w:ascii="Arial Narrow" w:eastAsia="Batang" w:hAnsi="Arial Narrow"/>
                <w:noProof/>
              </w:rPr>
              <w:t>.</w:t>
            </w:r>
          </w:p>
        </w:tc>
      </w:tr>
    </w:tbl>
    <w:p w14:paraId="6A04DF3A" w14:textId="0CD966FF" w:rsidR="008F0B82" w:rsidRPr="008F0B82" w:rsidRDefault="008F0B82" w:rsidP="00DA48B0">
      <w:pPr>
        <w:jc w:val="center"/>
        <w:rPr>
          <w:rFonts w:ascii="Arial Narrow" w:eastAsia="Batang" w:hAnsi="Arial Narrow"/>
          <w:sz w:val="18"/>
          <w:szCs w:val="18"/>
          <w:lang w:eastAsia="en-US"/>
        </w:rPr>
      </w:pPr>
      <w:r w:rsidRPr="008F0B82">
        <w:rPr>
          <w:rFonts w:ascii="Arial Narrow" w:eastAsia="Batang" w:hAnsi="Arial Narrow"/>
          <w:sz w:val="18"/>
          <w:szCs w:val="18"/>
          <w:lang w:eastAsia="en-US"/>
        </w:rPr>
        <w:t>Fuente: elaboración propia con base en el análisis de hallazgos de la evaluación.</w:t>
      </w:r>
    </w:p>
    <w:p w14:paraId="57F4AA3B" w14:textId="324E771D" w:rsidR="008F0B82" w:rsidRDefault="008F0B82" w:rsidP="008F0B82">
      <w:pPr>
        <w:ind w:left="720"/>
        <w:jc w:val="both"/>
        <w:rPr>
          <w:rFonts w:ascii="Arial Narrow" w:eastAsia="Batang" w:hAnsi="Arial Narrow"/>
          <w:sz w:val="18"/>
          <w:szCs w:val="18"/>
          <w:lang w:eastAsia="en-US"/>
        </w:rPr>
      </w:pPr>
    </w:p>
    <w:p w14:paraId="073C69B5" w14:textId="77777777" w:rsidR="00100134" w:rsidRPr="008F0B82" w:rsidRDefault="00100134" w:rsidP="008F0B82">
      <w:pPr>
        <w:ind w:left="720"/>
        <w:jc w:val="both"/>
        <w:rPr>
          <w:rFonts w:ascii="Arial Narrow" w:eastAsia="Batang" w:hAnsi="Arial Narrow"/>
          <w:sz w:val="18"/>
          <w:szCs w:val="18"/>
          <w:lang w:eastAsia="en-US"/>
        </w:rPr>
      </w:pPr>
    </w:p>
    <w:p w14:paraId="7D4EDC85" w14:textId="77777777" w:rsidR="00EB662A" w:rsidRPr="0080354E" w:rsidRDefault="00EB662A" w:rsidP="00132A44">
      <w:pPr>
        <w:jc w:val="both"/>
        <w:rPr>
          <w:rFonts w:ascii="Arial Narrow" w:eastAsia="Batang" w:hAnsi="Arial Narrow"/>
          <w:b/>
          <w:bCs/>
          <w:lang w:eastAsia="en-US"/>
        </w:rPr>
      </w:pPr>
    </w:p>
    <w:p w14:paraId="49914F6F" w14:textId="77777777" w:rsidR="00493029" w:rsidRPr="00F63C12" w:rsidRDefault="00493029" w:rsidP="00132A44">
      <w:pPr>
        <w:numPr>
          <w:ilvl w:val="0"/>
          <w:numId w:val="36"/>
        </w:numPr>
        <w:jc w:val="both"/>
        <w:rPr>
          <w:rFonts w:ascii="Arial Narrow" w:eastAsia="Batang" w:hAnsi="Arial Narrow"/>
          <w:b/>
          <w:bCs/>
          <w:lang w:eastAsia="en-US"/>
        </w:rPr>
      </w:pPr>
      <w:r w:rsidRPr="00F63C12">
        <w:rPr>
          <w:rFonts w:ascii="Arial Narrow" w:eastAsia="Batang" w:hAnsi="Arial Narrow"/>
          <w:b/>
          <w:bCs/>
          <w:lang w:eastAsia="en-US"/>
        </w:rPr>
        <w:t xml:space="preserve">Acción estratégica: </w:t>
      </w:r>
      <w:r w:rsidRPr="00132A44">
        <w:rPr>
          <w:rFonts w:ascii="Arial Narrow" w:eastAsia="Calibri" w:hAnsi="Arial Narrow"/>
          <w:b/>
          <w:bCs/>
          <w:lang w:eastAsia="en-US"/>
        </w:rPr>
        <w:t>Servicios tecnológicos</w:t>
      </w:r>
      <w:r w:rsidRPr="0025402E">
        <w:rPr>
          <w:rFonts w:ascii="Arial Narrow" w:eastAsia="Batang" w:hAnsi="Arial Narrow"/>
          <w:b/>
          <w:bCs/>
          <w:lang w:eastAsia="en-US"/>
        </w:rPr>
        <w:t>.</w:t>
      </w:r>
    </w:p>
    <w:p w14:paraId="66A13814" w14:textId="77777777" w:rsidR="00493029" w:rsidRPr="0080354E" w:rsidRDefault="00493029" w:rsidP="00132A44">
      <w:pPr>
        <w:ind w:left="720"/>
        <w:jc w:val="both"/>
        <w:rPr>
          <w:rFonts w:ascii="Arial Narrow" w:eastAsia="Batang" w:hAnsi="Arial Narrow"/>
          <w:lang w:eastAsia="en-US"/>
        </w:rPr>
      </w:pPr>
      <w:r w:rsidRPr="00F63C12">
        <w:rPr>
          <w:rFonts w:ascii="Arial Narrow" w:eastAsia="Batang" w:hAnsi="Arial Narrow"/>
          <w:lang w:eastAsia="en-US"/>
        </w:rPr>
        <w:t>No hay metas con cumplimiento parcial o bajo.</w:t>
      </w:r>
    </w:p>
    <w:p w14:paraId="2F45CFD7" w14:textId="77777777" w:rsidR="00493029" w:rsidRPr="0080354E" w:rsidRDefault="00493029" w:rsidP="00132A44">
      <w:pPr>
        <w:jc w:val="both"/>
        <w:rPr>
          <w:rFonts w:ascii="Arial Narrow" w:eastAsia="Batang" w:hAnsi="Arial Narrow"/>
          <w:b/>
          <w:bCs/>
          <w:lang w:eastAsia="en-US"/>
        </w:rPr>
      </w:pPr>
    </w:p>
    <w:p w14:paraId="24433F8D" w14:textId="77777777" w:rsidR="00493029" w:rsidRPr="0080354E" w:rsidRDefault="00493029" w:rsidP="00132A44">
      <w:pPr>
        <w:numPr>
          <w:ilvl w:val="0"/>
          <w:numId w:val="36"/>
        </w:numPr>
        <w:jc w:val="both"/>
        <w:rPr>
          <w:rFonts w:ascii="Arial Narrow" w:eastAsia="Batang" w:hAnsi="Arial Narrow"/>
          <w:b/>
          <w:bCs/>
          <w:lang w:eastAsia="en-US"/>
        </w:rPr>
      </w:pPr>
      <w:r w:rsidRPr="0080354E">
        <w:rPr>
          <w:rFonts w:ascii="Arial Narrow" w:eastAsia="Batang" w:hAnsi="Arial Narrow"/>
          <w:b/>
          <w:bCs/>
          <w:lang w:eastAsia="en-US"/>
        </w:rPr>
        <w:t xml:space="preserve">Acción estratégica: </w:t>
      </w:r>
      <w:r w:rsidRPr="00132A44">
        <w:rPr>
          <w:rFonts w:ascii="Arial Narrow" w:eastAsia="Calibri" w:hAnsi="Arial Narrow"/>
          <w:b/>
          <w:bCs/>
          <w:lang w:eastAsia="en-US"/>
        </w:rPr>
        <w:t>Leyes y reformas</w:t>
      </w:r>
    </w:p>
    <w:p w14:paraId="42E9D2E6" w14:textId="77777777" w:rsidR="00493029" w:rsidRPr="0080354E" w:rsidRDefault="00493029" w:rsidP="00132A44">
      <w:pPr>
        <w:ind w:left="360" w:right="566"/>
        <w:jc w:val="both"/>
        <w:rPr>
          <w:rFonts w:ascii="Arial Narrow" w:eastAsia="Batang" w:hAnsi="Arial Narrow"/>
          <w:b/>
          <w:bCs/>
          <w:lang w:eastAsia="en-US"/>
        </w:rPr>
      </w:pPr>
    </w:p>
    <w:p w14:paraId="1F4C90C2" w14:textId="77777777" w:rsidR="00493029" w:rsidRPr="0080354E" w:rsidRDefault="00493029" w:rsidP="00132A44">
      <w:pPr>
        <w:ind w:left="360" w:right="566"/>
        <w:jc w:val="both"/>
        <w:rPr>
          <w:rFonts w:ascii="Arial Narrow" w:eastAsia="Batang" w:hAnsi="Arial Narrow"/>
          <w:noProof/>
        </w:rPr>
      </w:pPr>
      <w:r w:rsidRPr="0080354E">
        <w:rPr>
          <w:rFonts w:ascii="Arial Narrow" w:eastAsia="Batang" w:hAnsi="Arial Narrow"/>
          <w:b/>
          <w:bCs/>
          <w:u w:val="single"/>
          <w:lang w:eastAsia="en-US"/>
        </w:rPr>
        <w:t>Meta Estratégica con cumplimiento medio:</w:t>
      </w:r>
      <w:r w:rsidRPr="0080354E">
        <w:rPr>
          <w:rFonts w:ascii="Arial Narrow" w:eastAsia="Batang" w:hAnsi="Arial Narrow"/>
          <w:b/>
          <w:bCs/>
          <w:lang w:eastAsia="en-US"/>
        </w:rPr>
        <w:t xml:space="preserve"> </w:t>
      </w:r>
      <w:r w:rsidRPr="0080354E">
        <w:rPr>
          <w:rFonts w:ascii="Arial Narrow" w:eastAsia="Batang" w:hAnsi="Arial Narrow"/>
          <w:i/>
          <w:iCs/>
          <w:lang w:eastAsia="en-US"/>
        </w:rPr>
        <w:t xml:space="preserve">Que al finalizar el 2024, se haya presentado ante el órgano aprobador, la propuesta del reglamento de la Ley 8720: Ley de protección a víctimas, testigos y demás sujetos intervinientes en el proceso penal, reformas y adición al Código Procesal Penal y al Código Penal. </w:t>
      </w:r>
      <w:r w:rsidRPr="0080354E">
        <w:rPr>
          <w:rFonts w:ascii="Arial Narrow" w:eastAsia="Batang" w:hAnsi="Arial Narrow"/>
          <w:noProof/>
        </w:rPr>
        <w:t>(</w:t>
      </w:r>
      <w:r w:rsidRPr="0080354E">
        <w:rPr>
          <w:rFonts w:ascii="Arial Narrow" w:eastAsia="Batang" w:hAnsi="Arial Narrow"/>
          <w:b/>
          <w:bCs/>
          <w:noProof/>
          <w:u w:val="single"/>
        </w:rPr>
        <w:t>67% de cumplimiento para el 2021)</w:t>
      </w:r>
    </w:p>
    <w:p w14:paraId="3452E0CC" w14:textId="77777777" w:rsidR="00493029" w:rsidRPr="0080354E" w:rsidRDefault="00493029" w:rsidP="00132A44">
      <w:pPr>
        <w:ind w:left="360"/>
        <w:jc w:val="both"/>
        <w:rPr>
          <w:rFonts w:ascii="Arial Narrow" w:eastAsia="Batang" w:hAnsi="Arial Narrow" w:cs="Calibri"/>
          <w:color w:val="000000"/>
          <w:lang w:val="es-CR" w:eastAsia="es-CR"/>
        </w:rPr>
      </w:pPr>
    </w:p>
    <w:p w14:paraId="4BFB2C9C" w14:textId="0735467F" w:rsidR="00493029" w:rsidRPr="0080354E" w:rsidRDefault="00992B21" w:rsidP="0080354E">
      <w:pPr>
        <w:pStyle w:val="Descripcin"/>
        <w:jc w:val="center"/>
        <w:rPr>
          <w:rFonts w:ascii="Arial Narrow" w:eastAsia="Calibri" w:hAnsi="Arial Narrow"/>
          <w:b w:val="0"/>
          <w:bCs w:val="0"/>
          <w:lang w:eastAsia="en-US"/>
        </w:rPr>
      </w:pPr>
      <w:bookmarkStart w:id="209" w:name="_Toc104979249"/>
      <w:r w:rsidRPr="0080354E">
        <w:rPr>
          <w:rFonts w:ascii="Arial Narrow" w:hAnsi="Arial Narrow"/>
          <w:sz w:val="24"/>
          <w:szCs w:val="24"/>
        </w:rPr>
        <w:t xml:space="preserve">Tabla </w:t>
      </w:r>
      <w:r w:rsidRPr="0080354E">
        <w:rPr>
          <w:rFonts w:ascii="Arial Narrow" w:hAnsi="Arial Narrow"/>
          <w:sz w:val="24"/>
          <w:szCs w:val="24"/>
        </w:rPr>
        <w:fldChar w:fldCharType="begin"/>
      </w:r>
      <w:r w:rsidRPr="0080354E">
        <w:rPr>
          <w:rFonts w:ascii="Arial Narrow" w:hAnsi="Arial Narrow"/>
          <w:sz w:val="24"/>
          <w:szCs w:val="24"/>
        </w:rPr>
        <w:instrText xml:space="preserve"> SEQ Tabla \* ARABIC </w:instrText>
      </w:r>
      <w:r w:rsidRPr="0080354E">
        <w:rPr>
          <w:rFonts w:ascii="Arial Narrow" w:hAnsi="Arial Narrow"/>
          <w:sz w:val="24"/>
          <w:szCs w:val="24"/>
        </w:rPr>
        <w:fldChar w:fldCharType="separate"/>
      </w:r>
      <w:r w:rsidR="002F520A" w:rsidRPr="0080354E">
        <w:rPr>
          <w:rFonts w:ascii="Arial Narrow" w:hAnsi="Arial Narrow"/>
          <w:noProof/>
          <w:sz w:val="24"/>
          <w:szCs w:val="24"/>
        </w:rPr>
        <w:t>10</w:t>
      </w:r>
      <w:r w:rsidRPr="0080354E">
        <w:rPr>
          <w:rFonts w:ascii="Arial Narrow" w:hAnsi="Arial Narrow"/>
          <w:sz w:val="24"/>
          <w:szCs w:val="24"/>
        </w:rPr>
        <w:fldChar w:fldCharType="end"/>
      </w:r>
      <w:r w:rsidRPr="0080354E">
        <w:rPr>
          <w:rFonts w:ascii="Arial Narrow" w:hAnsi="Arial Narrow"/>
          <w:sz w:val="24"/>
          <w:szCs w:val="24"/>
        </w:rPr>
        <w:t xml:space="preserve"> Retos con respecto a la Acción estratégica </w:t>
      </w:r>
      <w:r w:rsidR="00493029" w:rsidRPr="0080354E">
        <w:rPr>
          <w:rFonts w:ascii="Arial Narrow" w:hAnsi="Arial Narrow"/>
          <w:sz w:val="24"/>
          <w:szCs w:val="24"/>
        </w:rPr>
        <w:t>Leyes y Reformas</w:t>
      </w:r>
      <w:bookmarkEnd w:id="209"/>
    </w:p>
    <w:p w14:paraId="7DEB3FA6" w14:textId="77777777" w:rsidR="00493029" w:rsidRPr="0080354E" w:rsidRDefault="00493029" w:rsidP="00132A44">
      <w:pPr>
        <w:ind w:left="720"/>
        <w:jc w:val="both"/>
        <w:rPr>
          <w:rFonts w:ascii="Arial Narrow" w:eastAsia="Calibri" w:hAnsi="Arial Narrow" w:cs="Calibri"/>
          <w:b/>
          <w:bCs/>
          <w:color w:val="000000"/>
          <w:lang w:eastAsia="en-US"/>
        </w:rPr>
      </w:pPr>
    </w:p>
    <w:tbl>
      <w:tblPr>
        <w:tblStyle w:val="Tablaconcuadrcula2"/>
        <w:tblW w:w="0" w:type="auto"/>
        <w:tblInd w:w="720" w:type="dxa"/>
        <w:tblLook w:val="04A0" w:firstRow="1" w:lastRow="0" w:firstColumn="1" w:lastColumn="0" w:noHBand="0" w:noVBand="1"/>
      </w:tblPr>
      <w:tblGrid>
        <w:gridCol w:w="2677"/>
        <w:gridCol w:w="3119"/>
        <w:gridCol w:w="2687"/>
      </w:tblGrid>
      <w:tr w:rsidR="00493029" w:rsidRPr="0080354E" w14:paraId="12D127AB" w14:textId="77777777" w:rsidTr="00FE5A60">
        <w:tc>
          <w:tcPr>
            <w:tcW w:w="2677" w:type="dxa"/>
          </w:tcPr>
          <w:p w14:paraId="44F5C17C" w14:textId="3ECCD4E1" w:rsidR="00493029" w:rsidRPr="00F63C12" w:rsidRDefault="00493029" w:rsidP="00132A44">
            <w:pPr>
              <w:jc w:val="center"/>
              <w:rPr>
                <w:rFonts w:ascii="Arial Narrow" w:eastAsia="Batang" w:hAnsi="Arial Narrow"/>
                <w:b/>
                <w:bCs/>
                <w:noProof/>
                <w:u w:val="single"/>
              </w:rPr>
            </w:pPr>
            <w:r w:rsidRPr="00F63C12">
              <w:rPr>
                <w:rFonts w:ascii="Arial Narrow" w:eastAsia="Batang" w:hAnsi="Arial Narrow"/>
                <w:b/>
                <w:bCs/>
                <w:noProof/>
                <w:u w:val="single"/>
              </w:rPr>
              <w:t>Meta estrat</w:t>
            </w:r>
            <w:r w:rsidR="00014370" w:rsidRPr="00F63C12">
              <w:rPr>
                <w:rFonts w:ascii="Arial Narrow" w:eastAsia="Batang" w:hAnsi="Arial Narrow"/>
                <w:b/>
                <w:bCs/>
                <w:noProof/>
                <w:u w:val="single"/>
              </w:rPr>
              <w:t>é</w:t>
            </w:r>
            <w:r w:rsidRPr="00F63C12">
              <w:rPr>
                <w:rFonts w:ascii="Arial Narrow" w:eastAsia="Batang" w:hAnsi="Arial Narrow"/>
                <w:b/>
                <w:bCs/>
                <w:noProof/>
                <w:u w:val="single"/>
              </w:rPr>
              <w:t>gica</w:t>
            </w:r>
          </w:p>
        </w:tc>
        <w:tc>
          <w:tcPr>
            <w:tcW w:w="3119" w:type="dxa"/>
            <w:vAlign w:val="center"/>
          </w:tcPr>
          <w:p w14:paraId="230C8764" w14:textId="77777777" w:rsidR="00493029" w:rsidRPr="00F63C12" w:rsidRDefault="00493029" w:rsidP="00132A44">
            <w:pPr>
              <w:jc w:val="center"/>
              <w:rPr>
                <w:rFonts w:ascii="Arial Narrow" w:eastAsia="Batang" w:hAnsi="Arial Narrow"/>
                <w:noProof/>
                <w:u w:val="single"/>
              </w:rPr>
            </w:pPr>
            <w:r w:rsidRPr="00F63C12">
              <w:rPr>
                <w:rFonts w:ascii="Arial Narrow" w:eastAsia="Batang" w:hAnsi="Arial Narrow"/>
                <w:b/>
                <w:bCs/>
                <w:noProof/>
                <w:u w:val="single"/>
              </w:rPr>
              <w:t>Retos:</w:t>
            </w:r>
          </w:p>
        </w:tc>
        <w:tc>
          <w:tcPr>
            <w:tcW w:w="2687" w:type="dxa"/>
            <w:vAlign w:val="center"/>
          </w:tcPr>
          <w:p w14:paraId="32B2DCE6" w14:textId="77777777" w:rsidR="00493029" w:rsidRPr="0080354E" w:rsidRDefault="00493029" w:rsidP="00132A44">
            <w:pPr>
              <w:jc w:val="center"/>
              <w:rPr>
                <w:rFonts w:ascii="Arial Narrow" w:eastAsia="Batang" w:hAnsi="Arial Narrow"/>
                <w:noProof/>
                <w:u w:val="single"/>
              </w:rPr>
            </w:pPr>
            <w:r w:rsidRPr="00F63C12">
              <w:rPr>
                <w:rFonts w:ascii="Arial Narrow" w:eastAsia="Batang" w:hAnsi="Arial Narrow"/>
                <w:b/>
                <w:bCs/>
                <w:noProof/>
                <w:u w:val="single"/>
              </w:rPr>
              <w:t>Responsable estratégico</w:t>
            </w:r>
            <w:r w:rsidRPr="00F63C12">
              <w:rPr>
                <w:rFonts w:ascii="Arial Narrow" w:eastAsia="Batang" w:hAnsi="Arial Narrow"/>
                <w:noProof/>
                <w:u w:val="single"/>
              </w:rPr>
              <w:t>:</w:t>
            </w:r>
          </w:p>
        </w:tc>
      </w:tr>
      <w:tr w:rsidR="00493029" w:rsidRPr="0080354E" w14:paraId="3C3F7667" w14:textId="77777777" w:rsidTr="00FE5A60">
        <w:tc>
          <w:tcPr>
            <w:tcW w:w="2677" w:type="dxa"/>
          </w:tcPr>
          <w:p w14:paraId="7CEB82DD" w14:textId="77777777" w:rsidR="00493029" w:rsidRPr="00F63C12" w:rsidRDefault="00493029" w:rsidP="00132A44">
            <w:pPr>
              <w:jc w:val="both"/>
              <w:rPr>
                <w:rFonts w:ascii="Arial Narrow" w:eastAsia="Batang" w:hAnsi="Arial Narrow"/>
                <w:noProof/>
              </w:rPr>
            </w:pPr>
            <w:r w:rsidRPr="0080354E">
              <w:rPr>
                <w:rFonts w:ascii="Arial Narrow" w:eastAsia="Batang" w:hAnsi="Arial Narrow"/>
                <w:i/>
                <w:iCs/>
                <w:lang w:eastAsia="en-US"/>
              </w:rPr>
              <w:t>Que al finalizar el 2024, se haya presentado ante el órgano aprobador, la propuesta del reglamento de la Ley 8720: Ley de protección a víctimas, testigos y demás sujetos intervinientes en el proceso penal, reformas y adición al Código Procesal Penal y al C</w:t>
            </w:r>
            <w:r w:rsidRPr="00F63C12">
              <w:rPr>
                <w:rFonts w:ascii="Arial Narrow" w:eastAsia="Batang" w:hAnsi="Arial Narrow"/>
                <w:i/>
                <w:iCs/>
                <w:lang w:eastAsia="en-US"/>
              </w:rPr>
              <w:t>ódigo Penal</w:t>
            </w:r>
          </w:p>
        </w:tc>
        <w:tc>
          <w:tcPr>
            <w:tcW w:w="3119" w:type="dxa"/>
            <w:vAlign w:val="center"/>
          </w:tcPr>
          <w:p w14:paraId="72085DE1" w14:textId="77777777" w:rsidR="00493029" w:rsidRPr="00F63C12" w:rsidRDefault="00493029" w:rsidP="00132A44">
            <w:pPr>
              <w:jc w:val="both"/>
              <w:rPr>
                <w:rFonts w:ascii="Arial Narrow" w:eastAsia="Batang" w:hAnsi="Arial Narrow"/>
                <w:lang w:eastAsia="en-US"/>
              </w:rPr>
            </w:pPr>
            <w:r w:rsidRPr="00F63C12">
              <w:rPr>
                <w:rFonts w:ascii="Arial Narrow" w:eastAsia="Batang" w:hAnsi="Arial Narrow"/>
              </w:rPr>
              <w:t xml:space="preserve">Realizar los esfuerzos necesarios para que el reglamento sea conocido por la Dirección Jurídica dado que se recomienda realizar dos reglamentos, uno ejecutivo y uno autónomo. Se insta a continuar con el seguimiento a la Dirección Jurídica para rendir la revisión del reglamento con el fin de ser elevado a las dependencias de Atención y Protección. </w:t>
            </w:r>
          </w:p>
          <w:p w14:paraId="46067BD8" w14:textId="77777777" w:rsidR="00493029" w:rsidRPr="0080354E" w:rsidRDefault="00493029" w:rsidP="00132A44">
            <w:pPr>
              <w:jc w:val="both"/>
              <w:rPr>
                <w:rFonts w:ascii="Arial Narrow" w:eastAsia="Batang" w:hAnsi="Arial Narrow"/>
                <w:noProof/>
              </w:rPr>
            </w:pPr>
          </w:p>
        </w:tc>
        <w:tc>
          <w:tcPr>
            <w:tcW w:w="2687" w:type="dxa"/>
            <w:vAlign w:val="center"/>
          </w:tcPr>
          <w:p w14:paraId="01C9F819" w14:textId="77777777" w:rsidR="00493029" w:rsidRPr="0080354E" w:rsidRDefault="00493029" w:rsidP="00132A44">
            <w:pPr>
              <w:jc w:val="both"/>
              <w:rPr>
                <w:rFonts w:ascii="Arial Narrow" w:eastAsia="Batang" w:hAnsi="Arial Narrow"/>
                <w:noProof/>
              </w:rPr>
            </w:pPr>
            <w:r w:rsidRPr="0080354E">
              <w:rPr>
                <w:rFonts w:ascii="Arial Narrow" w:eastAsia="Batang" w:hAnsi="Arial Narrow"/>
              </w:rPr>
              <w:t>Oficina</w:t>
            </w:r>
            <w:r w:rsidRPr="0080354E">
              <w:rPr>
                <w:rFonts w:ascii="Arial Narrow" w:eastAsia="Batang" w:hAnsi="Arial Narrow"/>
                <w:b/>
                <w:bCs/>
              </w:rPr>
              <w:t xml:space="preserve"> </w:t>
            </w:r>
            <w:r w:rsidRPr="0080354E">
              <w:rPr>
                <w:rFonts w:ascii="Arial Narrow" w:eastAsia="Batang" w:hAnsi="Arial Narrow"/>
                <w:noProof/>
              </w:rPr>
              <w:t>de Atención a la Victima del Delito en coordinación con la Dirección Jurídica.</w:t>
            </w:r>
          </w:p>
        </w:tc>
      </w:tr>
    </w:tbl>
    <w:p w14:paraId="26E40427" w14:textId="77777777" w:rsidR="008F0B82" w:rsidRPr="008F0B82" w:rsidRDefault="008F0B82" w:rsidP="00DA48B0">
      <w:pPr>
        <w:jc w:val="center"/>
        <w:rPr>
          <w:rFonts w:ascii="Arial Narrow" w:eastAsia="Batang" w:hAnsi="Arial Narrow"/>
          <w:sz w:val="18"/>
          <w:szCs w:val="18"/>
          <w:lang w:eastAsia="en-US"/>
        </w:rPr>
      </w:pPr>
      <w:r w:rsidRPr="008F0B82">
        <w:rPr>
          <w:rFonts w:ascii="Arial Narrow" w:eastAsia="Batang" w:hAnsi="Arial Narrow"/>
          <w:sz w:val="18"/>
          <w:szCs w:val="18"/>
          <w:lang w:eastAsia="en-US"/>
        </w:rPr>
        <w:t>Fuente: elaboración propia con base en el análisis de hallazgos de la evaluación.</w:t>
      </w:r>
    </w:p>
    <w:p w14:paraId="14801CA5" w14:textId="77777777" w:rsidR="008F0B82" w:rsidRPr="008F0B82" w:rsidRDefault="008F0B82" w:rsidP="008F0B82">
      <w:pPr>
        <w:ind w:left="720"/>
        <w:jc w:val="both"/>
        <w:rPr>
          <w:rFonts w:ascii="Arial Narrow" w:eastAsia="Batang" w:hAnsi="Arial Narrow"/>
          <w:sz w:val="18"/>
          <w:szCs w:val="18"/>
          <w:lang w:eastAsia="en-US"/>
        </w:rPr>
      </w:pPr>
    </w:p>
    <w:p w14:paraId="526AF025" w14:textId="77777777" w:rsidR="008F0B82" w:rsidRDefault="008F0B82" w:rsidP="008F0B82">
      <w:pPr>
        <w:ind w:left="720"/>
        <w:jc w:val="both"/>
        <w:rPr>
          <w:rFonts w:ascii="Arial Narrow" w:eastAsia="Batang" w:hAnsi="Arial Narrow"/>
          <w:b/>
          <w:bCs/>
          <w:lang w:eastAsia="en-US"/>
        </w:rPr>
      </w:pPr>
    </w:p>
    <w:p w14:paraId="1BC9DA26" w14:textId="314580CC" w:rsidR="00493029" w:rsidRPr="00F63C12" w:rsidRDefault="00493029" w:rsidP="00132A44">
      <w:pPr>
        <w:numPr>
          <w:ilvl w:val="0"/>
          <w:numId w:val="36"/>
        </w:numPr>
        <w:jc w:val="both"/>
        <w:rPr>
          <w:rFonts w:ascii="Arial Narrow" w:eastAsia="Batang" w:hAnsi="Arial Narrow"/>
          <w:b/>
          <w:bCs/>
          <w:lang w:eastAsia="en-US"/>
        </w:rPr>
      </w:pPr>
      <w:r w:rsidRPr="00F63C12">
        <w:rPr>
          <w:rFonts w:ascii="Arial Narrow" w:eastAsia="Batang" w:hAnsi="Arial Narrow"/>
          <w:b/>
          <w:bCs/>
          <w:lang w:eastAsia="en-US"/>
        </w:rPr>
        <w:t xml:space="preserve">Acción estratégica: </w:t>
      </w:r>
      <w:r w:rsidRPr="00132A44">
        <w:rPr>
          <w:rFonts w:ascii="Arial Narrow" w:eastAsia="Calibri" w:hAnsi="Arial Narrow"/>
          <w:b/>
          <w:bCs/>
          <w:lang w:eastAsia="en-US"/>
        </w:rPr>
        <w:t>Modalidades alternativas de trabajo</w:t>
      </w:r>
    </w:p>
    <w:p w14:paraId="29C2A49F" w14:textId="77777777" w:rsidR="00493029" w:rsidRPr="00F63C12" w:rsidRDefault="00493029" w:rsidP="00132A44">
      <w:pPr>
        <w:ind w:left="720"/>
        <w:jc w:val="both"/>
        <w:rPr>
          <w:rFonts w:ascii="Arial Narrow" w:eastAsia="Batang" w:hAnsi="Arial Narrow"/>
          <w:lang w:eastAsia="en-US"/>
        </w:rPr>
      </w:pPr>
      <w:r w:rsidRPr="00F63C12">
        <w:rPr>
          <w:rFonts w:ascii="Arial Narrow" w:eastAsia="Batang" w:hAnsi="Arial Narrow"/>
          <w:lang w:eastAsia="en-US"/>
        </w:rPr>
        <w:t>No hay metas con cumplimiento parcial o bajo.</w:t>
      </w:r>
    </w:p>
    <w:p w14:paraId="2B321FCF" w14:textId="77777777" w:rsidR="00493029" w:rsidRPr="0080354E" w:rsidRDefault="00493029" w:rsidP="00132A44">
      <w:pPr>
        <w:jc w:val="both"/>
        <w:rPr>
          <w:rFonts w:ascii="Arial Narrow" w:eastAsia="Batang" w:hAnsi="Arial Narrow"/>
          <w:b/>
          <w:bCs/>
          <w:lang w:eastAsia="en-US"/>
        </w:rPr>
      </w:pPr>
    </w:p>
    <w:p w14:paraId="3CFB1CF2" w14:textId="77777777" w:rsidR="00493029" w:rsidRPr="0080354E" w:rsidRDefault="00493029" w:rsidP="00132A44">
      <w:pPr>
        <w:numPr>
          <w:ilvl w:val="0"/>
          <w:numId w:val="36"/>
        </w:numPr>
        <w:jc w:val="both"/>
        <w:rPr>
          <w:rFonts w:ascii="Arial Narrow" w:eastAsia="Batang" w:hAnsi="Arial Narrow"/>
          <w:b/>
          <w:bCs/>
          <w:lang w:eastAsia="en-US"/>
        </w:rPr>
      </w:pPr>
      <w:r w:rsidRPr="0080354E">
        <w:rPr>
          <w:rFonts w:ascii="Arial Narrow" w:eastAsia="Batang" w:hAnsi="Arial Narrow"/>
          <w:b/>
          <w:bCs/>
          <w:lang w:eastAsia="en-US"/>
        </w:rPr>
        <w:t xml:space="preserve">Acción estratégica: </w:t>
      </w:r>
      <w:r w:rsidRPr="00132A44">
        <w:rPr>
          <w:rFonts w:ascii="Arial Narrow" w:eastAsia="Calibri" w:hAnsi="Arial Narrow"/>
          <w:b/>
          <w:bCs/>
          <w:lang w:eastAsia="en-US"/>
        </w:rPr>
        <w:t>Buenas prácticas</w:t>
      </w:r>
    </w:p>
    <w:p w14:paraId="0892341A" w14:textId="77777777" w:rsidR="00493029" w:rsidRPr="0080354E" w:rsidRDefault="00493029" w:rsidP="00132A44">
      <w:pPr>
        <w:ind w:left="720"/>
        <w:jc w:val="both"/>
        <w:rPr>
          <w:rFonts w:ascii="Arial Narrow" w:eastAsia="Batang" w:hAnsi="Arial Narrow"/>
          <w:lang w:eastAsia="en-US"/>
        </w:rPr>
      </w:pPr>
      <w:bookmarkStart w:id="210" w:name="_Hlk99568774"/>
      <w:r w:rsidRPr="0080354E">
        <w:rPr>
          <w:rFonts w:ascii="Arial Narrow" w:eastAsia="Batang" w:hAnsi="Arial Narrow"/>
          <w:lang w:eastAsia="en-US"/>
        </w:rPr>
        <w:t>No hay metas con cumplimiento parcial o bajo.</w:t>
      </w:r>
    </w:p>
    <w:bookmarkEnd w:id="210"/>
    <w:p w14:paraId="6BE58828" w14:textId="77777777" w:rsidR="00493029" w:rsidRPr="0080354E" w:rsidRDefault="00493029" w:rsidP="00132A44">
      <w:pPr>
        <w:ind w:left="720"/>
        <w:jc w:val="both"/>
        <w:rPr>
          <w:rFonts w:ascii="Arial Narrow" w:eastAsia="Batang" w:hAnsi="Arial Narrow"/>
          <w:b/>
          <w:bCs/>
          <w:u w:val="single"/>
          <w:lang w:eastAsia="en-US"/>
        </w:rPr>
      </w:pPr>
    </w:p>
    <w:p w14:paraId="307C0AA0" w14:textId="2162E629" w:rsidR="00493029" w:rsidRPr="00CE2B73" w:rsidRDefault="00493029" w:rsidP="00322D9B">
      <w:pPr>
        <w:pStyle w:val="Ttulo2"/>
      </w:pPr>
      <w:bookmarkStart w:id="211" w:name="_Toc106355300"/>
      <w:r w:rsidRPr="00CE2B73">
        <w:t>Tema estratégico: Gestión del personal</w:t>
      </w:r>
      <w:bookmarkEnd w:id="211"/>
      <w:r w:rsidRPr="00CE2B73">
        <w:t xml:space="preserve">   </w:t>
      </w:r>
    </w:p>
    <w:p w14:paraId="21B070B9" w14:textId="77777777" w:rsidR="00493029" w:rsidRPr="00132A44" w:rsidRDefault="00493029" w:rsidP="0080354E">
      <w:pPr>
        <w:rPr>
          <w:rFonts w:ascii="Arial Narrow" w:hAnsi="Arial Narrow"/>
          <w:lang w:val="en-US" w:eastAsia="en-US"/>
        </w:rPr>
      </w:pPr>
    </w:p>
    <w:p w14:paraId="08E11F75" w14:textId="77777777" w:rsidR="00493029" w:rsidRPr="0080354E" w:rsidRDefault="00493029" w:rsidP="00132A44">
      <w:pPr>
        <w:numPr>
          <w:ilvl w:val="0"/>
          <w:numId w:val="36"/>
        </w:numPr>
        <w:jc w:val="both"/>
        <w:rPr>
          <w:rFonts w:ascii="Arial Narrow" w:eastAsia="Batang" w:hAnsi="Arial Narrow"/>
          <w:b/>
          <w:bCs/>
          <w:lang w:eastAsia="en-US"/>
        </w:rPr>
      </w:pPr>
      <w:r w:rsidRPr="0080354E">
        <w:rPr>
          <w:rFonts w:ascii="Arial Narrow" w:eastAsia="Batang" w:hAnsi="Arial Narrow"/>
          <w:b/>
          <w:bCs/>
          <w:lang w:eastAsia="en-US"/>
        </w:rPr>
        <w:t>Acción estratégica</w:t>
      </w:r>
      <w:r w:rsidRPr="0080354E" w:rsidDel="00A008D4">
        <w:rPr>
          <w:rFonts w:ascii="Arial Narrow" w:eastAsia="Batang" w:hAnsi="Arial Narrow"/>
          <w:b/>
          <w:bCs/>
          <w:lang w:eastAsia="en-US"/>
        </w:rPr>
        <w:t>:</w:t>
      </w:r>
      <w:r w:rsidRPr="0080354E">
        <w:rPr>
          <w:rFonts w:ascii="Arial Narrow" w:eastAsia="Batang" w:hAnsi="Arial Narrow"/>
          <w:b/>
          <w:bCs/>
          <w:lang w:eastAsia="en-US"/>
        </w:rPr>
        <w:t xml:space="preserve"> Evaluación del Desempeño</w:t>
      </w:r>
    </w:p>
    <w:p w14:paraId="3F809276" w14:textId="0FF3F9FC" w:rsidR="00493029" w:rsidRDefault="00C16A5B">
      <w:pPr>
        <w:ind w:left="720"/>
        <w:jc w:val="both"/>
        <w:rPr>
          <w:rFonts w:ascii="Arial Narrow" w:eastAsia="Batang" w:hAnsi="Arial Narrow"/>
          <w:lang w:eastAsia="en-US"/>
        </w:rPr>
      </w:pPr>
      <w:r w:rsidRPr="00F63C12">
        <w:rPr>
          <w:rFonts w:ascii="Arial Narrow" w:eastAsia="Batang" w:hAnsi="Arial Narrow"/>
          <w:lang w:eastAsia="en-US"/>
        </w:rPr>
        <w:t>No hay metas con cumplimiento parcial o bajo.</w:t>
      </w:r>
    </w:p>
    <w:p w14:paraId="1DC9F025" w14:textId="670E8CBD" w:rsidR="00D75A72" w:rsidRDefault="00D75A72">
      <w:pPr>
        <w:ind w:left="720"/>
        <w:jc w:val="both"/>
        <w:rPr>
          <w:rFonts w:ascii="Arial Narrow" w:eastAsia="Batang" w:hAnsi="Arial Narrow"/>
          <w:lang w:eastAsia="en-US"/>
        </w:rPr>
      </w:pPr>
    </w:p>
    <w:p w14:paraId="343A0B93" w14:textId="77777777" w:rsidR="00D75A72" w:rsidRPr="00F63C12" w:rsidRDefault="00D75A72" w:rsidP="00132A44">
      <w:pPr>
        <w:ind w:left="720"/>
        <w:jc w:val="both"/>
        <w:rPr>
          <w:rFonts w:ascii="Arial Narrow" w:eastAsia="Batang" w:hAnsi="Arial Narrow"/>
          <w:lang w:eastAsia="en-US"/>
        </w:rPr>
      </w:pPr>
    </w:p>
    <w:p w14:paraId="427F933B" w14:textId="77777777" w:rsidR="00493029" w:rsidRPr="00F63C12" w:rsidRDefault="00493029" w:rsidP="00132A44">
      <w:pPr>
        <w:numPr>
          <w:ilvl w:val="0"/>
          <w:numId w:val="36"/>
        </w:numPr>
        <w:jc w:val="both"/>
        <w:rPr>
          <w:rFonts w:ascii="Arial Narrow" w:eastAsia="Batang" w:hAnsi="Arial Narrow"/>
          <w:b/>
          <w:bCs/>
          <w:lang w:eastAsia="en-US"/>
        </w:rPr>
      </w:pPr>
      <w:r w:rsidRPr="00F63C12">
        <w:rPr>
          <w:rFonts w:ascii="Arial Narrow" w:eastAsia="Batang" w:hAnsi="Arial Narrow"/>
          <w:b/>
          <w:bCs/>
          <w:lang w:eastAsia="en-US"/>
        </w:rPr>
        <w:t>Acción estratégica: Reclutamiento y selección</w:t>
      </w:r>
    </w:p>
    <w:p w14:paraId="33401A86" w14:textId="77777777" w:rsidR="00493029" w:rsidRPr="00F63C12" w:rsidRDefault="00493029" w:rsidP="0080354E">
      <w:pPr>
        <w:ind w:left="708"/>
        <w:rPr>
          <w:rFonts w:ascii="Arial Narrow" w:hAnsi="Arial Narrow"/>
          <w:lang w:eastAsia="en-US"/>
        </w:rPr>
      </w:pPr>
    </w:p>
    <w:p w14:paraId="45F27164" w14:textId="77777777" w:rsidR="00C16A5B" w:rsidRPr="0080354E" w:rsidRDefault="00C16A5B" w:rsidP="00132A44">
      <w:pPr>
        <w:ind w:left="720"/>
        <w:jc w:val="both"/>
        <w:rPr>
          <w:rFonts w:ascii="Arial Narrow" w:eastAsia="Batang" w:hAnsi="Arial Narrow"/>
          <w:lang w:eastAsia="en-US"/>
        </w:rPr>
      </w:pPr>
      <w:r w:rsidRPr="00F63C12">
        <w:rPr>
          <w:rFonts w:ascii="Arial Narrow" w:eastAsia="Batang" w:hAnsi="Arial Narrow"/>
          <w:lang w:eastAsia="en-US"/>
        </w:rPr>
        <w:t>No hay metas con cumplimiento parcial o bajo.</w:t>
      </w:r>
    </w:p>
    <w:p w14:paraId="3D464339" w14:textId="77777777" w:rsidR="00493029" w:rsidRPr="0080354E" w:rsidRDefault="00493029" w:rsidP="00132A44">
      <w:pPr>
        <w:ind w:left="720"/>
        <w:jc w:val="both"/>
        <w:rPr>
          <w:rFonts w:ascii="Arial Narrow" w:eastAsia="Batang" w:hAnsi="Arial Narrow"/>
          <w:b/>
          <w:bCs/>
          <w:lang w:eastAsia="en-US"/>
        </w:rPr>
      </w:pPr>
    </w:p>
    <w:p w14:paraId="4B8DB28E" w14:textId="00F4E0B3" w:rsidR="00493029" w:rsidRPr="0080354E" w:rsidRDefault="00493029" w:rsidP="00132A44">
      <w:pPr>
        <w:numPr>
          <w:ilvl w:val="0"/>
          <w:numId w:val="36"/>
        </w:numPr>
        <w:jc w:val="both"/>
        <w:rPr>
          <w:rFonts w:ascii="Arial Narrow" w:eastAsia="Batang" w:hAnsi="Arial Narrow"/>
          <w:b/>
          <w:bCs/>
          <w:lang w:eastAsia="en-US"/>
        </w:rPr>
      </w:pPr>
      <w:r w:rsidRPr="0080354E">
        <w:rPr>
          <w:rFonts w:ascii="Arial Narrow" w:eastAsia="Batang" w:hAnsi="Arial Narrow"/>
          <w:b/>
          <w:bCs/>
          <w:lang w:eastAsia="en-US"/>
        </w:rPr>
        <w:t>Acción estratégica: Capacitación</w:t>
      </w:r>
    </w:p>
    <w:p w14:paraId="4669ABF4" w14:textId="77777777" w:rsidR="00E54C1C" w:rsidRPr="0080354E" w:rsidRDefault="00E54C1C" w:rsidP="00132A44">
      <w:pPr>
        <w:ind w:left="720"/>
        <w:jc w:val="both"/>
        <w:rPr>
          <w:rFonts w:ascii="Arial Narrow" w:eastAsia="Batang" w:hAnsi="Arial Narrow"/>
          <w:b/>
          <w:bCs/>
          <w:u w:val="single"/>
          <w:lang w:eastAsia="en-US"/>
        </w:rPr>
      </w:pPr>
    </w:p>
    <w:p w14:paraId="4D5CDE8F" w14:textId="576DD241" w:rsidR="00C16A5B" w:rsidRPr="0080354E" w:rsidRDefault="00E54C1C" w:rsidP="00132A44">
      <w:pPr>
        <w:ind w:left="720"/>
        <w:jc w:val="both"/>
        <w:rPr>
          <w:rFonts w:ascii="Arial Narrow" w:eastAsia="Batang" w:hAnsi="Arial Narrow"/>
          <w:b/>
          <w:bCs/>
          <w:noProof/>
          <w:u w:val="single"/>
        </w:rPr>
      </w:pPr>
      <w:r w:rsidRPr="0080354E">
        <w:rPr>
          <w:rFonts w:ascii="Arial Narrow" w:eastAsia="Batang" w:hAnsi="Arial Narrow"/>
          <w:b/>
          <w:bCs/>
          <w:u w:val="single"/>
          <w:lang w:eastAsia="en-US"/>
        </w:rPr>
        <w:t>Meta Estratégica con cumplimiento medio:</w:t>
      </w:r>
      <w:r w:rsidRPr="0080354E">
        <w:rPr>
          <w:rFonts w:ascii="Arial Narrow" w:eastAsia="Batang" w:hAnsi="Arial Narrow"/>
          <w:b/>
          <w:bCs/>
          <w:lang w:eastAsia="en-US"/>
        </w:rPr>
        <w:t xml:space="preserve"> </w:t>
      </w:r>
      <w:r w:rsidR="00C16A5B" w:rsidRPr="0080354E">
        <w:rPr>
          <w:rFonts w:ascii="Arial Narrow" w:eastAsia="Batang" w:hAnsi="Arial Narrow"/>
          <w:lang w:eastAsia="en-US"/>
        </w:rPr>
        <w:t xml:space="preserve">Que al finalizar el 2024, se hayan atendido de manera integral en los distintos ámbitos judiciales, aquellas actividades de capacitación que respondan a los temas de interés institucionales, que hayan sido identificados por las entidades superiores de la </w:t>
      </w:r>
      <w:r w:rsidRPr="0080354E">
        <w:rPr>
          <w:rFonts w:ascii="Arial Narrow" w:eastAsia="Batang" w:hAnsi="Arial Narrow"/>
          <w:lang w:eastAsia="en-US"/>
        </w:rPr>
        <w:t>institución</w:t>
      </w:r>
      <w:r w:rsidRPr="0080354E">
        <w:rPr>
          <w:rFonts w:ascii="Arial Narrow" w:eastAsia="Batang" w:hAnsi="Arial Narrow"/>
          <w:noProof/>
        </w:rPr>
        <w:t xml:space="preserve"> (</w:t>
      </w:r>
      <w:r w:rsidRPr="0080354E">
        <w:rPr>
          <w:rFonts w:ascii="Arial Narrow" w:eastAsia="Batang" w:hAnsi="Arial Narrow"/>
          <w:b/>
          <w:bCs/>
          <w:noProof/>
          <w:u w:val="single"/>
        </w:rPr>
        <w:t>67% de cumplimiento para el 2021).</w:t>
      </w:r>
    </w:p>
    <w:p w14:paraId="2B27FC94" w14:textId="77777777" w:rsidR="00992B21" w:rsidRPr="0080354E" w:rsidRDefault="00992B21" w:rsidP="00132A44">
      <w:pPr>
        <w:ind w:left="720"/>
        <w:jc w:val="both"/>
        <w:rPr>
          <w:rFonts w:ascii="Arial Narrow" w:eastAsia="Batang" w:hAnsi="Arial Narrow"/>
          <w:b/>
          <w:bCs/>
          <w:noProof/>
          <w:u w:val="single"/>
        </w:rPr>
      </w:pPr>
    </w:p>
    <w:p w14:paraId="64958720" w14:textId="019CD00A" w:rsidR="00992B21" w:rsidRPr="0080354E" w:rsidRDefault="00992B21" w:rsidP="0080354E">
      <w:pPr>
        <w:pStyle w:val="Descripcin"/>
        <w:jc w:val="center"/>
        <w:rPr>
          <w:rFonts w:ascii="Arial Narrow" w:eastAsia="Calibri" w:hAnsi="Arial Narrow"/>
          <w:b w:val="0"/>
          <w:bCs w:val="0"/>
          <w:lang w:eastAsia="en-US"/>
        </w:rPr>
      </w:pPr>
      <w:bookmarkStart w:id="212" w:name="_Toc104979250"/>
      <w:r w:rsidRPr="0080354E">
        <w:rPr>
          <w:rFonts w:ascii="Arial Narrow" w:hAnsi="Arial Narrow"/>
          <w:sz w:val="24"/>
          <w:szCs w:val="24"/>
        </w:rPr>
        <w:t xml:space="preserve">Tabla </w:t>
      </w:r>
      <w:r w:rsidRPr="0080354E">
        <w:rPr>
          <w:rFonts w:ascii="Arial Narrow" w:hAnsi="Arial Narrow"/>
          <w:sz w:val="24"/>
          <w:szCs w:val="24"/>
        </w:rPr>
        <w:fldChar w:fldCharType="begin"/>
      </w:r>
      <w:r w:rsidRPr="0080354E">
        <w:rPr>
          <w:rFonts w:ascii="Arial Narrow" w:hAnsi="Arial Narrow"/>
          <w:sz w:val="24"/>
          <w:szCs w:val="24"/>
        </w:rPr>
        <w:instrText xml:space="preserve"> SEQ Tabla \* ARABIC </w:instrText>
      </w:r>
      <w:r w:rsidRPr="0080354E">
        <w:rPr>
          <w:rFonts w:ascii="Arial Narrow" w:hAnsi="Arial Narrow"/>
          <w:sz w:val="24"/>
          <w:szCs w:val="24"/>
        </w:rPr>
        <w:fldChar w:fldCharType="separate"/>
      </w:r>
      <w:r w:rsidR="002F520A" w:rsidRPr="0080354E">
        <w:rPr>
          <w:rFonts w:ascii="Arial Narrow" w:hAnsi="Arial Narrow"/>
          <w:noProof/>
          <w:sz w:val="24"/>
          <w:szCs w:val="24"/>
        </w:rPr>
        <w:t>11</w:t>
      </w:r>
      <w:r w:rsidRPr="0080354E">
        <w:rPr>
          <w:rFonts w:ascii="Arial Narrow" w:hAnsi="Arial Narrow"/>
          <w:sz w:val="24"/>
          <w:szCs w:val="24"/>
        </w:rPr>
        <w:fldChar w:fldCharType="end"/>
      </w:r>
      <w:r w:rsidRPr="0080354E">
        <w:rPr>
          <w:rFonts w:ascii="Arial Narrow" w:hAnsi="Arial Narrow"/>
          <w:sz w:val="24"/>
          <w:szCs w:val="24"/>
        </w:rPr>
        <w:t xml:space="preserve"> Retos con respecto a la Acción estratégica Capacitación</w:t>
      </w:r>
      <w:bookmarkEnd w:id="212"/>
    </w:p>
    <w:p w14:paraId="325E4CDC" w14:textId="66B74FCA" w:rsidR="00E54C1C" w:rsidRPr="0080354E" w:rsidRDefault="00E54C1C" w:rsidP="00132A44">
      <w:pPr>
        <w:ind w:left="720"/>
        <w:jc w:val="both"/>
        <w:rPr>
          <w:rFonts w:ascii="Arial Narrow" w:eastAsia="Batang" w:hAnsi="Arial Narrow"/>
          <w:b/>
          <w:bCs/>
          <w:noProof/>
          <w:u w:val="single"/>
        </w:rPr>
      </w:pPr>
    </w:p>
    <w:tbl>
      <w:tblPr>
        <w:tblStyle w:val="Tablaconcuadrcula2"/>
        <w:tblW w:w="0" w:type="auto"/>
        <w:jc w:val="center"/>
        <w:tblLook w:val="04A0" w:firstRow="1" w:lastRow="0" w:firstColumn="1" w:lastColumn="0" w:noHBand="0" w:noVBand="1"/>
      </w:tblPr>
      <w:tblGrid>
        <w:gridCol w:w="3119"/>
        <w:gridCol w:w="2687"/>
      </w:tblGrid>
      <w:tr w:rsidR="00E13D51" w:rsidRPr="0080354E" w14:paraId="17CFDFAD" w14:textId="77777777" w:rsidTr="00E13D51">
        <w:trPr>
          <w:jc w:val="center"/>
        </w:trPr>
        <w:tc>
          <w:tcPr>
            <w:tcW w:w="3119" w:type="dxa"/>
            <w:vAlign w:val="center"/>
          </w:tcPr>
          <w:p w14:paraId="648E7A1A" w14:textId="77777777" w:rsidR="00E13D51" w:rsidRPr="00F63C12" w:rsidRDefault="00E13D51" w:rsidP="00132A44">
            <w:pPr>
              <w:jc w:val="center"/>
              <w:rPr>
                <w:rFonts w:ascii="Arial Narrow" w:eastAsia="Batang" w:hAnsi="Arial Narrow"/>
                <w:noProof/>
                <w:u w:val="single"/>
              </w:rPr>
            </w:pPr>
            <w:r w:rsidRPr="00F63C12">
              <w:rPr>
                <w:rFonts w:ascii="Arial Narrow" w:eastAsia="Batang" w:hAnsi="Arial Narrow"/>
                <w:b/>
                <w:bCs/>
                <w:noProof/>
                <w:u w:val="single"/>
              </w:rPr>
              <w:t>Retos:</w:t>
            </w:r>
          </w:p>
        </w:tc>
        <w:tc>
          <w:tcPr>
            <w:tcW w:w="2687" w:type="dxa"/>
            <w:vAlign w:val="center"/>
          </w:tcPr>
          <w:p w14:paraId="48EF1A47" w14:textId="77777777" w:rsidR="00E13D51" w:rsidRPr="00F63C12" w:rsidRDefault="00E13D51" w:rsidP="00132A44">
            <w:pPr>
              <w:jc w:val="center"/>
              <w:rPr>
                <w:rFonts w:ascii="Arial Narrow" w:eastAsia="Batang" w:hAnsi="Arial Narrow"/>
                <w:noProof/>
                <w:u w:val="single"/>
              </w:rPr>
            </w:pPr>
            <w:r w:rsidRPr="00F63C12">
              <w:rPr>
                <w:rFonts w:ascii="Arial Narrow" w:eastAsia="Batang" w:hAnsi="Arial Narrow"/>
                <w:b/>
                <w:bCs/>
                <w:noProof/>
                <w:u w:val="single"/>
              </w:rPr>
              <w:t>Responsable estratégico</w:t>
            </w:r>
            <w:r w:rsidRPr="00F63C12">
              <w:rPr>
                <w:rFonts w:ascii="Arial Narrow" w:eastAsia="Batang" w:hAnsi="Arial Narrow"/>
                <w:noProof/>
                <w:u w:val="single"/>
              </w:rPr>
              <w:t>:</w:t>
            </w:r>
          </w:p>
        </w:tc>
      </w:tr>
      <w:tr w:rsidR="00E13D51" w:rsidRPr="0080354E" w14:paraId="61DE1AE8" w14:textId="77777777" w:rsidTr="00E13D51">
        <w:trPr>
          <w:jc w:val="center"/>
        </w:trPr>
        <w:tc>
          <w:tcPr>
            <w:tcW w:w="3119" w:type="dxa"/>
            <w:vAlign w:val="center"/>
          </w:tcPr>
          <w:p w14:paraId="1C7ABE94" w14:textId="782B53C4" w:rsidR="00E13D51" w:rsidRPr="00F63C12" w:rsidRDefault="00E13D51" w:rsidP="00132A44">
            <w:pPr>
              <w:jc w:val="both"/>
              <w:rPr>
                <w:rFonts w:ascii="Arial Narrow" w:eastAsia="Batang" w:hAnsi="Arial Narrow"/>
                <w:noProof/>
              </w:rPr>
            </w:pPr>
            <w:r w:rsidRPr="0080354E">
              <w:rPr>
                <w:rFonts w:ascii="Arial Narrow" w:eastAsia="Batang" w:hAnsi="Arial Narrow"/>
                <w:noProof/>
              </w:rPr>
              <w:t xml:space="preserve">Elaborar un plan de Trabajo </w:t>
            </w:r>
            <w:r w:rsidR="00991B35" w:rsidRPr="0080354E">
              <w:rPr>
                <w:rFonts w:ascii="Arial Narrow" w:eastAsia="Batang" w:hAnsi="Arial Narrow"/>
                <w:noProof/>
              </w:rPr>
              <w:t xml:space="preserve">para realizar </w:t>
            </w:r>
            <w:r w:rsidR="00991B35" w:rsidRPr="00F63C12">
              <w:rPr>
                <w:rFonts w:ascii="Arial Narrow" w:eastAsia="Batang" w:hAnsi="Arial Narrow"/>
                <w:noProof/>
              </w:rPr>
              <w:t>acciones formativas que respondan a las necesidades institucionales, identificadas por las instancias superiores.</w:t>
            </w:r>
          </w:p>
        </w:tc>
        <w:tc>
          <w:tcPr>
            <w:tcW w:w="2687" w:type="dxa"/>
            <w:vAlign w:val="center"/>
          </w:tcPr>
          <w:p w14:paraId="2BEDEE5C" w14:textId="1BFA485F" w:rsidR="00E13D51" w:rsidRPr="00F63C12" w:rsidRDefault="00991B35" w:rsidP="00132A44">
            <w:pPr>
              <w:jc w:val="center"/>
              <w:rPr>
                <w:rFonts w:ascii="Arial Narrow" w:eastAsia="Batang" w:hAnsi="Arial Narrow"/>
                <w:noProof/>
              </w:rPr>
            </w:pPr>
            <w:r w:rsidRPr="00F63C12">
              <w:rPr>
                <w:rFonts w:ascii="Arial Narrow" w:eastAsia="Batang" w:hAnsi="Arial Narrow"/>
                <w:noProof/>
              </w:rPr>
              <w:t>Escuela Judicial</w:t>
            </w:r>
          </w:p>
        </w:tc>
      </w:tr>
    </w:tbl>
    <w:p w14:paraId="6B8BAAB5" w14:textId="77777777" w:rsidR="008F0B82" w:rsidRPr="008F0B82" w:rsidRDefault="008F0B82" w:rsidP="00DA48B0">
      <w:pPr>
        <w:jc w:val="center"/>
        <w:rPr>
          <w:rFonts w:ascii="Arial Narrow" w:eastAsia="Batang" w:hAnsi="Arial Narrow"/>
          <w:sz w:val="18"/>
          <w:szCs w:val="18"/>
          <w:lang w:eastAsia="en-US"/>
        </w:rPr>
      </w:pPr>
      <w:r w:rsidRPr="008F0B82">
        <w:rPr>
          <w:rFonts w:ascii="Arial Narrow" w:eastAsia="Batang" w:hAnsi="Arial Narrow"/>
          <w:sz w:val="18"/>
          <w:szCs w:val="18"/>
          <w:lang w:eastAsia="en-US"/>
        </w:rPr>
        <w:t>Fuente: elaboración propia con base en el análisis de hallazgos de la evaluación.</w:t>
      </w:r>
    </w:p>
    <w:p w14:paraId="6820D7D7" w14:textId="77777777" w:rsidR="008F0B82" w:rsidRPr="008F0B82" w:rsidRDefault="008F0B82" w:rsidP="008F0B82">
      <w:pPr>
        <w:ind w:left="720"/>
        <w:jc w:val="both"/>
        <w:rPr>
          <w:rFonts w:ascii="Arial Narrow" w:eastAsia="Batang" w:hAnsi="Arial Narrow"/>
          <w:sz w:val="18"/>
          <w:szCs w:val="18"/>
          <w:lang w:eastAsia="en-US"/>
        </w:rPr>
      </w:pPr>
    </w:p>
    <w:p w14:paraId="1E69B8D5" w14:textId="77777777" w:rsidR="0080354E" w:rsidRPr="0080354E" w:rsidRDefault="0080354E" w:rsidP="00132A44">
      <w:pPr>
        <w:ind w:left="720"/>
        <w:jc w:val="both"/>
        <w:rPr>
          <w:rFonts w:ascii="Arial Narrow" w:eastAsia="Batang" w:hAnsi="Arial Narrow"/>
          <w:b/>
          <w:bCs/>
          <w:lang w:eastAsia="en-US"/>
        </w:rPr>
      </w:pPr>
    </w:p>
    <w:p w14:paraId="440586EB" w14:textId="77777777" w:rsidR="00493029" w:rsidRPr="0080354E" w:rsidRDefault="00493029" w:rsidP="00132A44">
      <w:pPr>
        <w:numPr>
          <w:ilvl w:val="0"/>
          <w:numId w:val="36"/>
        </w:numPr>
        <w:jc w:val="both"/>
        <w:rPr>
          <w:rFonts w:ascii="Arial Narrow" w:eastAsia="Batang" w:hAnsi="Arial Narrow"/>
          <w:b/>
          <w:bCs/>
          <w:lang w:eastAsia="en-US"/>
        </w:rPr>
      </w:pPr>
      <w:r w:rsidRPr="0080354E">
        <w:rPr>
          <w:rFonts w:ascii="Arial Narrow" w:eastAsia="Batang" w:hAnsi="Arial Narrow"/>
          <w:b/>
          <w:bCs/>
          <w:lang w:eastAsia="en-US"/>
        </w:rPr>
        <w:t>Acción estratégica: Carrera</w:t>
      </w:r>
    </w:p>
    <w:p w14:paraId="2315AD01" w14:textId="77777777" w:rsidR="00493029" w:rsidRPr="00F63C12" w:rsidRDefault="00493029" w:rsidP="0080354E">
      <w:pPr>
        <w:ind w:left="708"/>
        <w:rPr>
          <w:rFonts w:ascii="Arial Narrow" w:hAnsi="Arial Narrow"/>
          <w:lang w:eastAsia="en-US"/>
        </w:rPr>
      </w:pPr>
    </w:p>
    <w:p w14:paraId="137B5925" w14:textId="77777777" w:rsidR="00991B35" w:rsidRPr="00F63C12" w:rsidRDefault="00991B35" w:rsidP="00132A44">
      <w:pPr>
        <w:ind w:left="720"/>
        <w:jc w:val="both"/>
        <w:rPr>
          <w:rFonts w:ascii="Arial Narrow" w:eastAsia="Batang" w:hAnsi="Arial Narrow"/>
          <w:lang w:eastAsia="en-US"/>
        </w:rPr>
      </w:pPr>
      <w:r w:rsidRPr="00F63C12">
        <w:rPr>
          <w:rFonts w:ascii="Arial Narrow" w:eastAsia="Batang" w:hAnsi="Arial Narrow"/>
          <w:lang w:eastAsia="en-US"/>
        </w:rPr>
        <w:t>No hay metas con cumplimiento parcial o bajo.</w:t>
      </w:r>
    </w:p>
    <w:p w14:paraId="119ACBB8" w14:textId="77777777" w:rsidR="00493029" w:rsidRPr="00F63C12" w:rsidRDefault="00493029" w:rsidP="00132A44">
      <w:pPr>
        <w:ind w:left="720"/>
        <w:jc w:val="both"/>
        <w:rPr>
          <w:rFonts w:ascii="Arial Narrow" w:eastAsia="Batang" w:hAnsi="Arial Narrow"/>
          <w:b/>
          <w:bCs/>
          <w:lang w:eastAsia="en-US"/>
        </w:rPr>
      </w:pPr>
    </w:p>
    <w:p w14:paraId="7A8608D6" w14:textId="77777777" w:rsidR="00493029" w:rsidRPr="00F63C12" w:rsidRDefault="00493029" w:rsidP="00132A44">
      <w:pPr>
        <w:numPr>
          <w:ilvl w:val="0"/>
          <w:numId w:val="36"/>
        </w:numPr>
        <w:jc w:val="both"/>
        <w:rPr>
          <w:rFonts w:ascii="Arial Narrow" w:eastAsia="Batang" w:hAnsi="Arial Narrow"/>
          <w:b/>
          <w:bCs/>
          <w:lang w:eastAsia="en-US"/>
        </w:rPr>
      </w:pPr>
      <w:r w:rsidRPr="00F63C12">
        <w:rPr>
          <w:rFonts w:ascii="Arial Narrow" w:eastAsia="Batang" w:hAnsi="Arial Narrow"/>
          <w:b/>
          <w:bCs/>
          <w:lang w:eastAsia="en-US"/>
        </w:rPr>
        <w:t>Acción estratégica: Bienestar y Salud</w:t>
      </w:r>
    </w:p>
    <w:p w14:paraId="030E0663" w14:textId="77777777" w:rsidR="00493029" w:rsidRPr="0080354E" w:rsidRDefault="00493029" w:rsidP="00132A44">
      <w:pPr>
        <w:ind w:left="720"/>
        <w:jc w:val="both"/>
        <w:rPr>
          <w:rFonts w:ascii="Arial Narrow" w:eastAsia="Batang" w:hAnsi="Arial Narrow"/>
          <w:b/>
          <w:bCs/>
          <w:lang w:eastAsia="en-US"/>
        </w:rPr>
      </w:pPr>
      <w:r w:rsidRPr="0080354E">
        <w:rPr>
          <w:rFonts w:ascii="Arial Narrow" w:eastAsia="Batang" w:hAnsi="Arial Narrow"/>
          <w:b/>
          <w:bCs/>
          <w:lang w:eastAsia="en-US"/>
        </w:rPr>
        <w:t xml:space="preserve"> </w:t>
      </w:r>
    </w:p>
    <w:p w14:paraId="7E17A96B" w14:textId="77777777" w:rsidR="00991B35" w:rsidRPr="0080354E" w:rsidRDefault="00991B35" w:rsidP="00132A44">
      <w:pPr>
        <w:ind w:left="720"/>
        <w:jc w:val="both"/>
        <w:rPr>
          <w:rFonts w:ascii="Arial Narrow" w:eastAsia="Batang" w:hAnsi="Arial Narrow"/>
          <w:lang w:eastAsia="en-US"/>
        </w:rPr>
      </w:pPr>
      <w:r w:rsidRPr="0080354E">
        <w:rPr>
          <w:rFonts w:ascii="Arial Narrow" w:eastAsia="Batang" w:hAnsi="Arial Narrow"/>
          <w:lang w:eastAsia="en-US"/>
        </w:rPr>
        <w:t>No hay metas con cumplimiento parcial o bajo.</w:t>
      </w:r>
    </w:p>
    <w:p w14:paraId="10FEAB5D" w14:textId="77777777" w:rsidR="00517DC3" w:rsidRDefault="00517DC3" w:rsidP="00517DC3">
      <w:pPr>
        <w:rPr>
          <w:rFonts w:eastAsia="Calibri"/>
          <w:highlight w:val="yellow"/>
          <w:lang w:val="es-CR"/>
        </w:rPr>
      </w:pPr>
    </w:p>
    <w:p w14:paraId="3CF0AFE1" w14:textId="6B34EF6E" w:rsidR="00493029" w:rsidRPr="00CE2B73" w:rsidRDefault="00493029" w:rsidP="00322D9B">
      <w:pPr>
        <w:pStyle w:val="Ttulo2"/>
      </w:pPr>
      <w:bookmarkStart w:id="213" w:name="_Toc106355301"/>
      <w:r w:rsidRPr="00CE2B73">
        <w:t>Tema estratégico: Planificación Institucional</w:t>
      </w:r>
      <w:bookmarkEnd w:id="213"/>
    </w:p>
    <w:p w14:paraId="78982B05" w14:textId="77777777" w:rsidR="00493029" w:rsidRPr="00132A44" w:rsidRDefault="00493029" w:rsidP="0080354E">
      <w:pPr>
        <w:rPr>
          <w:rFonts w:ascii="Arial Narrow" w:hAnsi="Arial Narrow"/>
          <w:lang w:val="en-US" w:eastAsia="en-US"/>
        </w:rPr>
      </w:pPr>
    </w:p>
    <w:p w14:paraId="00B74852" w14:textId="77777777" w:rsidR="00493029" w:rsidRPr="0080354E" w:rsidRDefault="00493029" w:rsidP="00132A44">
      <w:pPr>
        <w:numPr>
          <w:ilvl w:val="0"/>
          <w:numId w:val="36"/>
        </w:numPr>
        <w:jc w:val="both"/>
        <w:rPr>
          <w:rFonts w:ascii="Arial Narrow" w:eastAsia="Batang" w:hAnsi="Arial Narrow"/>
          <w:b/>
          <w:bCs/>
          <w:lang w:eastAsia="en-US"/>
        </w:rPr>
      </w:pPr>
      <w:r w:rsidRPr="0080354E">
        <w:rPr>
          <w:rFonts w:ascii="Arial Narrow" w:eastAsia="Batang" w:hAnsi="Arial Narrow"/>
          <w:b/>
          <w:bCs/>
          <w:lang w:eastAsia="en-US"/>
        </w:rPr>
        <w:t>Acción estratégica</w:t>
      </w:r>
      <w:r w:rsidRPr="0080354E" w:rsidDel="00A008D4">
        <w:rPr>
          <w:rFonts w:ascii="Arial Narrow" w:eastAsia="Batang" w:hAnsi="Arial Narrow"/>
          <w:b/>
          <w:bCs/>
          <w:lang w:eastAsia="en-US"/>
        </w:rPr>
        <w:t>:</w:t>
      </w:r>
      <w:r w:rsidRPr="0080354E">
        <w:rPr>
          <w:rFonts w:ascii="Arial Narrow" w:eastAsia="Batang" w:hAnsi="Arial Narrow"/>
          <w:b/>
          <w:bCs/>
          <w:lang w:eastAsia="en-US"/>
        </w:rPr>
        <w:t xml:space="preserve"> Gestión Estratégica institucional</w:t>
      </w:r>
    </w:p>
    <w:p w14:paraId="125E1BAD" w14:textId="77777777" w:rsidR="00493029" w:rsidRPr="00F63C12" w:rsidRDefault="00493029" w:rsidP="00132A44">
      <w:pPr>
        <w:ind w:left="720"/>
        <w:jc w:val="both"/>
        <w:rPr>
          <w:rFonts w:ascii="Arial Narrow" w:eastAsia="Batang" w:hAnsi="Arial Narrow"/>
          <w:lang w:eastAsia="en-US"/>
        </w:rPr>
      </w:pPr>
      <w:r w:rsidRPr="00F63C12">
        <w:rPr>
          <w:rFonts w:ascii="Arial Narrow" w:eastAsia="Batang" w:hAnsi="Arial Narrow"/>
          <w:lang w:eastAsia="en-US"/>
        </w:rPr>
        <w:t>No hay metas con cumplimiento parcial o bajo.</w:t>
      </w:r>
    </w:p>
    <w:p w14:paraId="3F5883EE" w14:textId="77777777" w:rsidR="00493029" w:rsidRPr="00F63C12" w:rsidRDefault="00493029" w:rsidP="00132A44">
      <w:pPr>
        <w:ind w:left="720"/>
        <w:jc w:val="both"/>
        <w:rPr>
          <w:rFonts w:ascii="Arial Narrow" w:eastAsia="Batang" w:hAnsi="Arial Narrow"/>
          <w:b/>
          <w:bCs/>
          <w:lang w:eastAsia="en-US"/>
        </w:rPr>
      </w:pPr>
    </w:p>
    <w:p w14:paraId="41CA1CC3" w14:textId="77777777" w:rsidR="00493029" w:rsidRPr="00F63C12" w:rsidRDefault="00493029" w:rsidP="00132A44">
      <w:pPr>
        <w:numPr>
          <w:ilvl w:val="0"/>
          <w:numId w:val="36"/>
        </w:numPr>
        <w:jc w:val="both"/>
        <w:rPr>
          <w:rFonts w:ascii="Arial Narrow" w:eastAsia="Batang" w:hAnsi="Arial Narrow"/>
          <w:b/>
          <w:bCs/>
          <w:lang w:eastAsia="en-US"/>
        </w:rPr>
      </w:pPr>
      <w:r w:rsidRPr="00F63C12">
        <w:rPr>
          <w:rFonts w:ascii="Arial Narrow" w:eastAsia="Batang" w:hAnsi="Arial Narrow"/>
          <w:b/>
          <w:bCs/>
          <w:lang w:eastAsia="en-US"/>
        </w:rPr>
        <w:t>Acción estratégica: Gestión de Políticas Institucionales</w:t>
      </w:r>
    </w:p>
    <w:p w14:paraId="01BE382A" w14:textId="77777777" w:rsidR="00493029" w:rsidRPr="0080354E" w:rsidRDefault="00493029" w:rsidP="00132A44">
      <w:pPr>
        <w:ind w:left="720"/>
        <w:jc w:val="both"/>
        <w:rPr>
          <w:rFonts w:ascii="Arial Narrow" w:eastAsia="Batang" w:hAnsi="Arial Narrow"/>
          <w:lang w:eastAsia="en-US"/>
        </w:rPr>
      </w:pPr>
      <w:r w:rsidRPr="00F63C12">
        <w:rPr>
          <w:rFonts w:ascii="Arial Narrow" w:eastAsia="Batang" w:hAnsi="Arial Narrow"/>
          <w:lang w:eastAsia="en-US"/>
        </w:rPr>
        <w:t>No hay metas con cumplimiento parcial o bajo.</w:t>
      </w:r>
    </w:p>
    <w:p w14:paraId="797D5622" w14:textId="77777777" w:rsidR="00493029" w:rsidRPr="0080354E" w:rsidRDefault="00493029" w:rsidP="0080354E">
      <w:pPr>
        <w:ind w:left="708"/>
        <w:rPr>
          <w:rFonts w:ascii="Arial Narrow" w:hAnsi="Arial Narrow"/>
          <w:lang w:eastAsia="en-US"/>
        </w:rPr>
      </w:pPr>
    </w:p>
    <w:p w14:paraId="585E3D01" w14:textId="77777777" w:rsidR="00493029" w:rsidRPr="0080354E" w:rsidRDefault="00493029" w:rsidP="00132A44">
      <w:pPr>
        <w:ind w:left="720"/>
        <w:jc w:val="both"/>
        <w:rPr>
          <w:rFonts w:ascii="Arial Narrow" w:eastAsia="Batang" w:hAnsi="Arial Narrow"/>
          <w:b/>
          <w:bCs/>
          <w:lang w:eastAsia="en-US"/>
        </w:rPr>
      </w:pPr>
    </w:p>
    <w:p w14:paraId="32573A70" w14:textId="77777777" w:rsidR="00493029" w:rsidRPr="0080354E" w:rsidRDefault="00493029" w:rsidP="00132A44">
      <w:pPr>
        <w:numPr>
          <w:ilvl w:val="0"/>
          <w:numId w:val="36"/>
        </w:numPr>
        <w:jc w:val="both"/>
        <w:rPr>
          <w:rFonts w:ascii="Arial Narrow" w:eastAsia="Batang" w:hAnsi="Arial Narrow"/>
          <w:b/>
          <w:bCs/>
          <w:lang w:eastAsia="en-US"/>
        </w:rPr>
      </w:pPr>
      <w:r w:rsidRPr="0080354E">
        <w:rPr>
          <w:rFonts w:ascii="Arial Narrow" w:eastAsia="Batang" w:hAnsi="Arial Narrow"/>
          <w:b/>
          <w:bCs/>
          <w:lang w:eastAsia="en-US"/>
        </w:rPr>
        <w:t>Acción estratégica: Gestión administrativa por medio del portafolio de proyectos</w:t>
      </w:r>
    </w:p>
    <w:p w14:paraId="5769A3D1" w14:textId="77777777" w:rsidR="00493029" w:rsidRPr="0080354E" w:rsidRDefault="00493029" w:rsidP="00132A44">
      <w:pPr>
        <w:ind w:left="720"/>
        <w:jc w:val="both"/>
        <w:rPr>
          <w:rFonts w:ascii="Arial Narrow" w:eastAsia="Batang" w:hAnsi="Arial Narrow"/>
          <w:lang w:eastAsia="en-US"/>
        </w:rPr>
      </w:pPr>
      <w:r w:rsidRPr="0080354E">
        <w:rPr>
          <w:rFonts w:ascii="Arial Narrow" w:eastAsia="Batang" w:hAnsi="Arial Narrow"/>
          <w:lang w:eastAsia="en-US"/>
        </w:rPr>
        <w:t>No hay metas con cumplimiento parcial o bajo.</w:t>
      </w:r>
    </w:p>
    <w:p w14:paraId="0ABE6D8F" w14:textId="77777777" w:rsidR="00493029" w:rsidRPr="0080354E" w:rsidRDefault="00493029" w:rsidP="00132A44">
      <w:pPr>
        <w:ind w:left="720"/>
        <w:jc w:val="both"/>
        <w:rPr>
          <w:rFonts w:ascii="Arial Narrow" w:eastAsia="Batang" w:hAnsi="Arial Narrow"/>
          <w:b/>
          <w:bCs/>
          <w:lang w:eastAsia="en-US"/>
        </w:rPr>
      </w:pPr>
    </w:p>
    <w:p w14:paraId="41CB481A" w14:textId="77777777" w:rsidR="0080354E" w:rsidRDefault="0080354E" w:rsidP="0080354E">
      <w:pPr>
        <w:ind w:left="720"/>
        <w:jc w:val="both"/>
        <w:rPr>
          <w:rFonts w:ascii="Arial Narrow" w:eastAsia="Batang" w:hAnsi="Arial Narrow"/>
          <w:lang w:eastAsia="en-US"/>
        </w:rPr>
      </w:pPr>
    </w:p>
    <w:p w14:paraId="3B8766A1" w14:textId="0B50F964" w:rsidR="00493029" w:rsidRDefault="00FA0EAE" w:rsidP="00132A44">
      <w:pPr>
        <w:ind w:left="720"/>
        <w:jc w:val="both"/>
        <w:rPr>
          <w:rFonts w:ascii="Arial Narrow" w:eastAsia="Batang" w:hAnsi="Arial Narrow"/>
          <w:lang w:eastAsia="en-US"/>
        </w:rPr>
      </w:pPr>
      <w:r w:rsidRPr="0080354E">
        <w:rPr>
          <w:rFonts w:ascii="Arial Narrow" w:eastAsia="Batang" w:hAnsi="Arial Narrow"/>
          <w:lang w:eastAsia="en-US"/>
        </w:rPr>
        <w:t>Como resumen de los hallazgos de este informe y en comparación con el informe 1206-PLA-EV-2021 que contiene la Evaluació</w:t>
      </w:r>
      <w:r w:rsidRPr="00F63C12">
        <w:rPr>
          <w:rFonts w:ascii="Arial Narrow" w:eastAsia="Batang" w:hAnsi="Arial Narrow"/>
          <w:lang w:eastAsia="en-US"/>
        </w:rPr>
        <w:t>n del PEI 2019-2020, se tiene que tener claras las cantidades de metas que han sido reportadas como cumplimiento medio o bajo, debido a que el propósito seria reducir las cantidades de metas con cumplimiento medio -bajo y no aumentarlo, dado que se pasó de tener 26 metas con cumplimiento medio del 2019 y 2020,  a tener 23 metas para el 2021, pero con respecto a las metas de cumplimiento (por debajo del 50%) se tiene que para el 2019 y 2020 existía 1 meta estratégica, y para el 2021, se registran 4 metas con cumplimiento bajo, como se muestra en la siguiente tabla.</w:t>
      </w:r>
    </w:p>
    <w:p w14:paraId="3C7C2B83" w14:textId="029E08F0" w:rsidR="00DA48B0" w:rsidRDefault="00DA48B0" w:rsidP="00132A44">
      <w:pPr>
        <w:ind w:left="720"/>
        <w:jc w:val="both"/>
        <w:rPr>
          <w:rFonts w:ascii="Arial Narrow" w:eastAsia="Batang" w:hAnsi="Arial Narrow"/>
          <w:lang w:eastAsia="en-US"/>
        </w:rPr>
      </w:pPr>
    </w:p>
    <w:p w14:paraId="2E01D402" w14:textId="07FACA8D" w:rsidR="00FA0EAE" w:rsidRPr="00FA0EAE" w:rsidRDefault="00FA0EAE" w:rsidP="00FA0EAE">
      <w:pPr>
        <w:pStyle w:val="Descripcin"/>
        <w:jc w:val="center"/>
        <w:rPr>
          <w:rFonts w:ascii="Arial Narrow" w:eastAsia="Calibri" w:hAnsi="Arial Narrow"/>
          <w:b w:val="0"/>
          <w:bCs w:val="0"/>
          <w:lang w:eastAsia="en-US"/>
        </w:rPr>
      </w:pPr>
      <w:bookmarkStart w:id="214" w:name="_Toc104979251"/>
      <w:r w:rsidRPr="00992B21">
        <w:rPr>
          <w:rFonts w:ascii="Arial Narrow" w:hAnsi="Arial Narrow"/>
          <w:sz w:val="24"/>
          <w:szCs w:val="24"/>
        </w:rPr>
        <w:t xml:space="preserve">Tabla </w:t>
      </w:r>
      <w:r w:rsidRPr="00992B21">
        <w:rPr>
          <w:rFonts w:ascii="Arial Narrow" w:hAnsi="Arial Narrow"/>
          <w:sz w:val="24"/>
          <w:szCs w:val="24"/>
        </w:rPr>
        <w:fldChar w:fldCharType="begin"/>
      </w:r>
      <w:r w:rsidRPr="00992B21">
        <w:rPr>
          <w:rFonts w:ascii="Arial Narrow" w:hAnsi="Arial Narrow"/>
          <w:sz w:val="24"/>
          <w:szCs w:val="24"/>
        </w:rPr>
        <w:instrText xml:space="preserve"> SEQ Tabla \* ARABIC </w:instrText>
      </w:r>
      <w:r w:rsidRPr="00992B21">
        <w:rPr>
          <w:rFonts w:ascii="Arial Narrow" w:hAnsi="Arial Narrow"/>
          <w:sz w:val="24"/>
          <w:szCs w:val="24"/>
        </w:rPr>
        <w:fldChar w:fldCharType="separate"/>
      </w:r>
      <w:r w:rsidR="002F520A">
        <w:rPr>
          <w:rFonts w:ascii="Arial Narrow" w:hAnsi="Arial Narrow"/>
          <w:noProof/>
          <w:sz w:val="24"/>
          <w:szCs w:val="24"/>
        </w:rPr>
        <w:t>12</w:t>
      </w:r>
      <w:r w:rsidRPr="00992B21">
        <w:rPr>
          <w:rFonts w:ascii="Arial Narrow" w:hAnsi="Arial Narrow"/>
          <w:sz w:val="24"/>
          <w:szCs w:val="24"/>
        </w:rPr>
        <w:fldChar w:fldCharType="end"/>
      </w:r>
      <w:r w:rsidRPr="00992B21">
        <w:rPr>
          <w:rFonts w:ascii="Arial Narrow" w:hAnsi="Arial Narrow"/>
          <w:sz w:val="24"/>
          <w:szCs w:val="24"/>
        </w:rPr>
        <w:t xml:space="preserve"> </w:t>
      </w:r>
      <w:r>
        <w:rPr>
          <w:rFonts w:ascii="Arial Narrow" w:hAnsi="Arial Narrow"/>
          <w:sz w:val="24"/>
          <w:szCs w:val="24"/>
        </w:rPr>
        <w:t>Cantidad de metas con cumplimiento medio-bajo, de acuerdo</w:t>
      </w:r>
      <w:r w:rsidR="00C00254">
        <w:rPr>
          <w:rFonts w:ascii="Arial Narrow" w:hAnsi="Arial Narrow"/>
          <w:sz w:val="24"/>
          <w:szCs w:val="24"/>
        </w:rPr>
        <w:t xml:space="preserve"> con los años 2020 y 2021</w:t>
      </w:r>
      <w:bookmarkEnd w:id="214"/>
    </w:p>
    <w:p w14:paraId="263E8F5D" w14:textId="563BE3A6" w:rsidR="00493029" w:rsidRDefault="00493029" w:rsidP="000B0449">
      <w:pPr>
        <w:rPr>
          <w:lang w:eastAsia="en-US"/>
        </w:rPr>
      </w:pPr>
    </w:p>
    <w:tbl>
      <w:tblPr>
        <w:tblW w:w="84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91"/>
        <w:gridCol w:w="1687"/>
        <w:gridCol w:w="1423"/>
        <w:gridCol w:w="1418"/>
        <w:gridCol w:w="1559"/>
        <w:gridCol w:w="1417"/>
      </w:tblGrid>
      <w:tr w:rsidR="003463D5" w:rsidRPr="00FA0EAE" w14:paraId="0F4F8F34" w14:textId="77777777" w:rsidTr="00322D9B">
        <w:trPr>
          <w:trHeight w:val="301"/>
          <w:jc w:val="center"/>
        </w:trPr>
        <w:tc>
          <w:tcPr>
            <w:tcW w:w="991" w:type="dxa"/>
            <w:vMerge w:val="restart"/>
            <w:shd w:val="clear" w:color="auto" w:fill="D9D9D9" w:themeFill="background1" w:themeFillShade="D9"/>
            <w:vAlign w:val="center"/>
            <w:hideMark/>
          </w:tcPr>
          <w:p w14:paraId="05775FED" w14:textId="77777777" w:rsidR="003463D5" w:rsidRPr="00FA0EAE" w:rsidRDefault="003463D5" w:rsidP="00FA0EAE">
            <w:pPr>
              <w:jc w:val="center"/>
              <w:rPr>
                <w:rFonts w:ascii="Arial Narrow" w:hAnsi="Arial Narrow" w:cs="Calibri"/>
                <w:b/>
                <w:bCs/>
                <w:color w:val="000000"/>
                <w:sz w:val="18"/>
                <w:szCs w:val="18"/>
                <w:lang w:val="es-CR" w:eastAsia="es-CR"/>
              </w:rPr>
            </w:pPr>
            <w:r w:rsidRPr="00FA0EAE">
              <w:rPr>
                <w:rFonts w:ascii="Arial Narrow" w:hAnsi="Arial Narrow" w:cs="Calibri"/>
                <w:b/>
                <w:bCs/>
                <w:color w:val="000000"/>
                <w:sz w:val="18"/>
                <w:szCs w:val="18"/>
                <w:lang w:eastAsia="es-CR"/>
              </w:rPr>
              <w:t>TEMA</w:t>
            </w:r>
          </w:p>
        </w:tc>
        <w:tc>
          <w:tcPr>
            <w:tcW w:w="1687" w:type="dxa"/>
            <w:vMerge w:val="restart"/>
            <w:shd w:val="clear" w:color="auto" w:fill="D9D9D9" w:themeFill="background1" w:themeFillShade="D9"/>
            <w:vAlign w:val="center"/>
            <w:hideMark/>
          </w:tcPr>
          <w:p w14:paraId="4FA7C8E2" w14:textId="77777777" w:rsidR="003463D5" w:rsidRPr="00FA0EAE" w:rsidRDefault="003463D5" w:rsidP="00FA0EAE">
            <w:pPr>
              <w:jc w:val="center"/>
              <w:rPr>
                <w:rFonts w:ascii="Arial Narrow" w:hAnsi="Arial Narrow" w:cs="Calibri"/>
                <w:b/>
                <w:bCs/>
                <w:color w:val="000000"/>
                <w:sz w:val="18"/>
                <w:szCs w:val="18"/>
                <w:lang w:val="es-CR" w:eastAsia="es-CR"/>
              </w:rPr>
            </w:pPr>
            <w:r w:rsidRPr="00FA0EAE">
              <w:rPr>
                <w:rFonts w:ascii="Arial Narrow" w:hAnsi="Arial Narrow" w:cs="Calibri"/>
                <w:b/>
                <w:bCs/>
                <w:color w:val="000000"/>
                <w:sz w:val="18"/>
                <w:szCs w:val="18"/>
                <w:lang w:eastAsia="es-CR"/>
              </w:rPr>
              <w:t>ACCIONES ESTRATÉGICAS</w:t>
            </w:r>
          </w:p>
        </w:tc>
        <w:tc>
          <w:tcPr>
            <w:tcW w:w="2841" w:type="dxa"/>
            <w:gridSpan w:val="2"/>
            <w:shd w:val="clear" w:color="auto" w:fill="B4C6E7" w:themeFill="accent1" w:themeFillTint="66"/>
            <w:noWrap/>
            <w:vAlign w:val="bottom"/>
            <w:hideMark/>
          </w:tcPr>
          <w:p w14:paraId="72D2725F" w14:textId="77777777" w:rsidR="003463D5" w:rsidRPr="00FA0EAE" w:rsidRDefault="003463D5" w:rsidP="00FA0EAE">
            <w:pPr>
              <w:jc w:val="center"/>
              <w:rPr>
                <w:rFonts w:ascii="Arial Narrow" w:hAnsi="Arial Narrow" w:cs="Calibri"/>
                <w:b/>
                <w:bCs/>
                <w:color w:val="000000"/>
                <w:sz w:val="22"/>
                <w:szCs w:val="22"/>
                <w:lang w:val="es-CR" w:eastAsia="es-CR"/>
              </w:rPr>
            </w:pPr>
            <w:r w:rsidRPr="00FA0EAE">
              <w:rPr>
                <w:rFonts w:ascii="Arial Narrow" w:hAnsi="Arial Narrow" w:cs="Calibri"/>
                <w:b/>
                <w:bCs/>
                <w:color w:val="000000"/>
                <w:sz w:val="22"/>
                <w:szCs w:val="22"/>
                <w:lang w:val="es-CR" w:eastAsia="es-CR"/>
              </w:rPr>
              <w:t>AÑO 2020</w:t>
            </w:r>
          </w:p>
        </w:tc>
        <w:tc>
          <w:tcPr>
            <w:tcW w:w="2976" w:type="dxa"/>
            <w:gridSpan w:val="2"/>
            <w:shd w:val="clear" w:color="auto" w:fill="B4C6E7" w:themeFill="accent1" w:themeFillTint="66"/>
            <w:noWrap/>
            <w:vAlign w:val="bottom"/>
            <w:hideMark/>
          </w:tcPr>
          <w:p w14:paraId="0E7A9269" w14:textId="349EE0E4" w:rsidR="003463D5" w:rsidRPr="00FA0EAE" w:rsidRDefault="003463D5" w:rsidP="00FA0EAE">
            <w:pPr>
              <w:jc w:val="center"/>
              <w:rPr>
                <w:rFonts w:ascii="Arial Narrow" w:hAnsi="Arial Narrow" w:cs="Calibri"/>
                <w:b/>
                <w:bCs/>
                <w:color w:val="000000"/>
                <w:sz w:val="22"/>
                <w:szCs w:val="22"/>
                <w:lang w:val="es-CR" w:eastAsia="es-CR"/>
              </w:rPr>
            </w:pPr>
            <w:r w:rsidRPr="17C79F93">
              <w:rPr>
                <w:rFonts w:ascii="Arial Narrow" w:hAnsi="Arial Narrow" w:cs="Calibri"/>
                <w:b/>
                <w:bCs/>
                <w:color w:val="000000" w:themeColor="text1"/>
                <w:sz w:val="22"/>
                <w:szCs w:val="22"/>
                <w:lang w:val="es-CR" w:eastAsia="es-CR"/>
              </w:rPr>
              <w:t>AÑO 2021</w:t>
            </w:r>
          </w:p>
        </w:tc>
      </w:tr>
      <w:tr w:rsidR="003463D5" w:rsidRPr="00FA0EAE" w14:paraId="640CE9DF" w14:textId="77777777" w:rsidTr="00322D9B">
        <w:trPr>
          <w:trHeight w:val="564"/>
          <w:jc w:val="center"/>
        </w:trPr>
        <w:tc>
          <w:tcPr>
            <w:tcW w:w="991" w:type="dxa"/>
            <w:vMerge/>
            <w:vAlign w:val="center"/>
            <w:hideMark/>
          </w:tcPr>
          <w:p w14:paraId="7A35752F" w14:textId="77777777" w:rsidR="003463D5" w:rsidRPr="00FA0EAE" w:rsidRDefault="003463D5" w:rsidP="00FA0EAE">
            <w:pPr>
              <w:rPr>
                <w:rFonts w:ascii="Arial Narrow" w:hAnsi="Arial Narrow" w:cs="Calibri"/>
                <w:b/>
                <w:bCs/>
                <w:color w:val="000000"/>
                <w:sz w:val="18"/>
                <w:szCs w:val="18"/>
                <w:lang w:val="es-CR" w:eastAsia="es-CR"/>
              </w:rPr>
            </w:pPr>
          </w:p>
        </w:tc>
        <w:tc>
          <w:tcPr>
            <w:tcW w:w="1687" w:type="dxa"/>
            <w:vMerge/>
            <w:vAlign w:val="center"/>
            <w:hideMark/>
          </w:tcPr>
          <w:p w14:paraId="6FDD8E39" w14:textId="77777777" w:rsidR="003463D5" w:rsidRPr="00FA0EAE" w:rsidRDefault="003463D5" w:rsidP="00FA0EAE">
            <w:pPr>
              <w:rPr>
                <w:rFonts w:ascii="Arial Narrow" w:hAnsi="Arial Narrow" w:cs="Calibri"/>
                <w:b/>
                <w:bCs/>
                <w:color w:val="000000"/>
                <w:sz w:val="18"/>
                <w:szCs w:val="18"/>
                <w:lang w:val="es-CR" w:eastAsia="es-CR"/>
              </w:rPr>
            </w:pPr>
          </w:p>
        </w:tc>
        <w:tc>
          <w:tcPr>
            <w:tcW w:w="1423" w:type="dxa"/>
            <w:shd w:val="clear" w:color="auto" w:fill="FFE599" w:themeFill="accent4" w:themeFillTint="66"/>
            <w:vAlign w:val="center"/>
            <w:hideMark/>
          </w:tcPr>
          <w:p w14:paraId="21A60E2E" w14:textId="77777777" w:rsidR="003463D5" w:rsidRPr="00FA0EAE" w:rsidRDefault="003463D5" w:rsidP="00FA0EAE">
            <w:pPr>
              <w:jc w:val="center"/>
              <w:rPr>
                <w:rFonts w:ascii="Arial Narrow" w:hAnsi="Arial Narrow" w:cs="Calibri"/>
                <w:b/>
                <w:bCs/>
                <w:color w:val="000000"/>
                <w:sz w:val="18"/>
                <w:szCs w:val="18"/>
                <w:lang w:val="es-CR" w:eastAsia="es-CR"/>
              </w:rPr>
            </w:pPr>
            <w:r w:rsidRPr="00FA0EAE">
              <w:rPr>
                <w:rFonts w:ascii="Arial Narrow" w:hAnsi="Arial Narrow" w:cs="Calibri"/>
                <w:b/>
                <w:bCs/>
                <w:color w:val="000000"/>
                <w:sz w:val="18"/>
                <w:szCs w:val="18"/>
                <w:lang w:eastAsia="es-CR"/>
              </w:rPr>
              <w:t>CUMPLIMIENTO MEDIO </w:t>
            </w:r>
          </w:p>
        </w:tc>
        <w:tc>
          <w:tcPr>
            <w:tcW w:w="1418" w:type="dxa"/>
            <w:shd w:val="clear" w:color="auto" w:fill="F7CAAC" w:themeFill="accent2" w:themeFillTint="66"/>
            <w:vAlign w:val="center"/>
            <w:hideMark/>
          </w:tcPr>
          <w:p w14:paraId="7A7ABCB8" w14:textId="77777777" w:rsidR="003463D5" w:rsidRPr="00FA0EAE" w:rsidRDefault="003463D5" w:rsidP="00FA0EAE">
            <w:pPr>
              <w:jc w:val="center"/>
              <w:rPr>
                <w:rFonts w:ascii="Arial Narrow" w:hAnsi="Arial Narrow" w:cs="Calibri"/>
                <w:b/>
                <w:bCs/>
                <w:color w:val="000000"/>
                <w:sz w:val="18"/>
                <w:szCs w:val="18"/>
                <w:lang w:val="es-CR" w:eastAsia="es-CR"/>
              </w:rPr>
            </w:pPr>
            <w:r w:rsidRPr="00FA0EAE">
              <w:rPr>
                <w:rFonts w:ascii="Arial Narrow" w:hAnsi="Arial Narrow" w:cs="Calibri"/>
                <w:b/>
                <w:bCs/>
                <w:color w:val="000000"/>
                <w:sz w:val="18"/>
                <w:szCs w:val="18"/>
                <w:lang w:eastAsia="es-CR"/>
              </w:rPr>
              <w:t>CUMPLIMIENTO BAJO</w:t>
            </w:r>
          </w:p>
        </w:tc>
        <w:tc>
          <w:tcPr>
            <w:tcW w:w="1559" w:type="dxa"/>
            <w:shd w:val="clear" w:color="auto" w:fill="FFE599" w:themeFill="accent4" w:themeFillTint="66"/>
            <w:vAlign w:val="center"/>
            <w:hideMark/>
          </w:tcPr>
          <w:p w14:paraId="51A6E005" w14:textId="77777777" w:rsidR="003463D5" w:rsidRPr="00FA0EAE" w:rsidRDefault="003463D5" w:rsidP="00FA0EAE">
            <w:pPr>
              <w:jc w:val="center"/>
              <w:rPr>
                <w:rFonts w:ascii="Arial Narrow" w:hAnsi="Arial Narrow" w:cs="Calibri"/>
                <w:b/>
                <w:bCs/>
                <w:color w:val="000000"/>
                <w:sz w:val="18"/>
                <w:szCs w:val="18"/>
                <w:lang w:val="es-CR" w:eastAsia="es-CR"/>
              </w:rPr>
            </w:pPr>
            <w:r w:rsidRPr="00FA0EAE">
              <w:rPr>
                <w:rFonts w:ascii="Arial Narrow" w:hAnsi="Arial Narrow" w:cs="Calibri"/>
                <w:b/>
                <w:bCs/>
                <w:color w:val="000000"/>
                <w:sz w:val="18"/>
                <w:szCs w:val="18"/>
                <w:lang w:eastAsia="es-CR"/>
              </w:rPr>
              <w:t>CUMPLIMIENTO MEDIO </w:t>
            </w:r>
          </w:p>
        </w:tc>
        <w:tc>
          <w:tcPr>
            <w:tcW w:w="1417" w:type="dxa"/>
            <w:shd w:val="clear" w:color="auto" w:fill="F7CAAC" w:themeFill="accent2" w:themeFillTint="66"/>
            <w:vAlign w:val="center"/>
            <w:hideMark/>
          </w:tcPr>
          <w:p w14:paraId="09ECFF5B" w14:textId="77777777" w:rsidR="003463D5" w:rsidRPr="00FA0EAE" w:rsidRDefault="003463D5" w:rsidP="00FA0EAE">
            <w:pPr>
              <w:jc w:val="center"/>
              <w:rPr>
                <w:rFonts w:ascii="Arial Narrow" w:hAnsi="Arial Narrow" w:cs="Calibri"/>
                <w:b/>
                <w:bCs/>
                <w:color w:val="000000"/>
                <w:sz w:val="18"/>
                <w:szCs w:val="18"/>
                <w:lang w:val="es-CR" w:eastAsia="es-CR"/>
              </w:rPr>
            </w:pPr>
            <w:r w:rsidRPr="00FA0EAE">
              <w:rPr>
                <w:rFonts w:ascii="Arial Narrow" w:hAnsi="Arial Narrow" w:cs="Calibri"/>
                <w:b/>
                <w:bCs/>
                <w:color w:val="000000"/>
                <w:sz w:val="18"/>
                <w:szCs w:val="18"/>
                <w:lang w:eastAsia="es-CR"/>
              </w:rPr>
              <w:t>CUMPLIMIENTO BAJO</w:t>
            </w:r>
          </w:p>
        </w:tc>
      </w:tr>
      <w:tr w:rsidR="003463D5" w:rsidRPr="00FA0EAE" w14:paraId="7DB89F95" w14:textId="77777777" w:rsidTr="00322D9B">
        <w:trPr>
          <w:trHeight w:val="293"/>
          <w:jc w:val="center"/>
        </w:trPr>
        <w:tc>
          <w:tcPr>
            <w:tcW w:w="991" w:type="dxa"/>
            <w:vMerge w:val="restart"/>
            <w:shd w:val="clear" w:color="auto" w:fill="auto"/>
            <w:vAlign w:val="center"/>
            <w:hideMark/>
          </w:tcPr>
          <w:p w14:paraId="5E750978" w14:textId="68B25D5E" w:rsidR="003463D5" w:rsidRPr="00821811" w:rsidRDefault="003463D5" w:rsidP="00FA0EAE">
            <w:pPr>
              <w:jc w:val="center"/>
              <w:rPr>
                <w:rFonts w:ascii="Arial Narrow" w:hAnsi="Arial Narrow" w:cs="Calibri"/>
                <w:b/>
                <w:bCs/>
                <w:color w:val="000000"/>
                <w:sz w:val="18"/>
                <w:szCs w:val="18"/>
                <w:lang w:val="es-CR" w:eastAsia="es-CR"/>
              </w:rPr>
            </w:pPr>
            <w:r w:rsidRPr="00821811">
              <w:rPr>
                <w:rFonts w:ascii="Arial Narrow" w:hAnsi="Arial Narrow" w:cs="Calibri"/>
                <w:b/>
                <w:bCs/>
                <w:color w:val="000000"/>
                <w:sz w:val="18"/>
                <w:szCs w:val="18"/>
                <w:lang w:eastAsia="es-CR"/>
              </w:rPr>
              <w:t>Resolución oportuna</w:t>
            </w:r>
            <w:r>
              <w:rPr>
                <w:rFonts w:ascii="Arial Narrow" w:hAnsi="Arial Narrow" w:cs="Calibri"/>
                <w:b/>
                <w:bCs/>
                <w:color w:val="000000"/>
                <w:sz w:val="18"/>
                <w:szCs w:val="18"/>
                <w:lang w:eastAsia="es-CR"/>
              </w:rPr>
              <w:t xml:space="preserve"> de conflictos</w:t>
            </w:r>
          </w:p>
        </w:tc>
        <w:tc>
          <w:tcPr>
            <w:tcW w:w="1687" w:type="dxa"/>
            <w:vMerge w:val="restart"/>
            <w:shd w:val="clear" w:color="auto" w:fill="auto"/>
            <w:vAlign w:val="center"/>
            <w:hideMark/>
          </w:tcPr>
          <w:p w14:paraId="4AF92B4B"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Abordaje integral a la criminalidad</w:t>
            </w:r>
          </w:p>
        </w:tc>
        <w:tc>
          <w:tcPr>
            <w:tcW w:w="1423" w:type="dxa"/>
            <w:vMerge w:val="restart"/>
            <w:shd w:val="clear" w:color="auto" w:fill="auto"/>
            <w:noWrap/>
            <w:vAlign w:val="center"/>
            <w:hideMark/>
          </w:tcPr>
          <w:p w14:paraId="53FEA8E6"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c>
          <w:tcPr>
            <w:tcW w:w="1418" w:type="dxa"/>
            <w:vMerge w:val="restart"/>
            <w:shd w:val="clear" w:color="auto" w:fill="auto"/>
            <w:noWrap/>
            <w:vAlign w:val="center"/>
            <w:hideMark/>
          </w:tcPr>
          <w:p w14:paraId="6BA2526C"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c>
          <w:tcPr>
            <w:tcW w:w="1559" w:type="dxa"/>
            <w:vMerge w:val="restart"/>
            <w:shd w:val="clear" w:color="auto" w:fill="auto"/>
            <w:noWrap/>
            <w:vAlign w:val="center"/>
            <w:hideMark/>
          </w:tcPr>
          <w:p w14:paraId="4D40F564"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c>
          <w:tcPr>
            <w:tcW w:w="1417" w:type="dxa"/>
            <w:vMerge w:val="restart"/>
            <w:shd w:val="clear" w:color="auto" w:fill="auto"/>
            <w:noWrap/>
            <w:vAlign w:val="center"/>
            <w:hideMark/>
          </w:tcPr>
          <w:p w14:paraId="5012D66B"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r>
      <w:tr w:rsidR="003463D5" w:rsidRPr="00FA0EAE" w14:paraId="3DAAB013" w14:textId="77777777" w:rsidTr="00322D9B">
        <w:trPr>
          <w:trHeight w:val="293"/>
          <w:jc w:val="center"/>
        </w:trPr>
        <w:tc>
          <w:tcPr>
            <w:tcW w:w="991" w:type="dxa"/>
            <w:vMerge/>
            <w:vAlign w:val="center"/>
            <w:hideMark/>
          </w:tcPr>
          <w:p w14:paraId="2ECF19BB" w14:textId="77777777" w:rsidR="003463D5" w:rsidRPr="00FA0EAE" w:rsidRDefault="003463D5" w:rsidP="00FA0EAE">
            <w:pPr>
              <w:rPr>
                <w:rFonts w:ascii="Arial Narrow" w:hAnsi="Arial Narrow" w:cs="Calibri"/>
                <w:color w:val="000000"/>
                <w:sz w:val="18"/>
                <w:szCs w:val="18"/>
                <w:lang w:val="es-CR" w:eastAsia="es-CR"/>
              </w:rPr>
            </w:pPr>
          </w:p>
        </w:tc>
        <w:tc>
          <w:tcPr>
            <w:tcW w:w="1687" w:type="dxa"/>
            <w:vMerge/>
            <w:vAlign w:val="center"/>
            <w:hideMark/>
          </w:tcPr>
          <w:p w14:paraId="5A1AE57C" w14:textId="77777777" w:rsidR="003463D5" w:rsidRPr="00FA0EAE" w:rsidRDefault="003463D5" w:rsidP="00FA0EAE">
            <w:pPr>
              <w:rPr>
                <w:rFonts w:ascii="Arial Narrow" w:hAnsi="Arial Narrow" w:cs="Calibri"/>
                <w:color w:val="000000"/>
                <w:sz w:val="18"/>
                <w:szCs w:val="18"/>
                <w:lang w:val="es-CR" w:eastAsia="es-CR"/>
              </w:rPr>
            </w:pPr>
          </w:p>
        </w:tc>
        <w:tc>
          <w:tcPr>
            <w:tcW w:w="1423" w:type="dxa"/>
            <w:vMerge/>
            <w:vAlign w:val="center"/>
            <w:hideMark/>
          </w:tcPr>
          <w:p w14:paraId="54E2BBFC" w14:textId="77777777" w:rsidR="003463D5" w:rsidRPr="00FA0EAE" w:rsidRDefault="003463D5" w:rsidP="00FA0EAE">
            <w:pPr>
              <w:rPr>
                <w:rFonts w:ascii="Arial Narrow" w:hAnsi="Arial Narrow" w:cs="Calibri"/>
                <w:color w:val="000000"/>
                <w:sz w:val="18"/>
                <w:szCs w:val="18"/>
                <w:lang w:val="es-CR" w:eastAsia="es-CR"/>
              </w:rPr>
            </w:pPr>
          </w:p>
        </w:tc>
        <w:tc>
          <w:tcPr>
            <w:tcW w:w="1418" w:type="dxa"/>
            <w:vMerge/>
            <w:vAlign w:val="center"/>
            <w:hideMark/>
          </w:tcPr>
          <w:p w14:paraId="195288A4" w14:textId="77777777" w:rsidR="003463D5" w:rsidRPr="00FA0EAE" w:rsidRDefault="003463D5" w:rsidP="00FA0EAE">
            <w:pPr>
              <w:rPr>
                <w:rFonts w:ascii="Arial Narrow" w:hAnsi="Arial Narrow" w:cs="Calibri"/>
                <w:color w:val="000000"/>
                <w:sz w:val="18"/>
                <w:szCs w:val="18"/>
                <w:lang w:val="es-CR" w:eastAsia="es-CR"/>
              </w:rPr>
            </w:pPr>
          </w:p>
        </w:tc>
        <w:tc>
          <w:tcPr>
            <w:tcW w:w="1559" w:type="dxa"/>
            <w:vMerge/>
            <w:vAlign w:val="center"/>
            <w:hideMark/>
          </w:tcPr>
          <w:p w14:paraId="0E50CA1B" w14:textId="77777777" w:rsidR="003463D5" w:rsidRPr="00FA0EAE" w:rsidRDefault="003463D5" w:rsidP="00FA0EAE">
            <w:pPr>
              <w:rPr>
                <w:rFonts w:ascii="Arial Narrow" w:hAnsi="Arial Narrow" w:cs="Calibri"/>
                <w:color w:val="000000"/>
                <w:sz w:val="18"/>
                <w:szCs w:val="18"/>
                <w:lang w:val="es-CR" w:eastAsia="es-CR"/>
              </w:rPr>
            </w:pPr>
          </w:p>
        </w:tc>
        <w:tc>
          <w:tcPr>
            <w:tcW w:w="1417" w:type="dxa"/>
            <w:vMerge/>
            <w:vAlign w:val="center"/>
            <w:hideMark/>
          </w:tcPr>
          <w:p w14:paraId="4C662F12" w14:textId="77777777" w:rsidR="003463D5" w:rsidRPr="00FA0EAE" w:rsidRDefault="003463D5" w:rsidP="00FA0EAE">
            <w:pPr>
              <w:rPr>
                <w:rFonts w:ascii="Arial Narrow" w:hAnsi="Arial Narrow" w:cs="Calibri"/>
                <w:color w:val="000000"/>
                <w:sz w:val="18"/>
                <w:szCs w:val="18"/>
                <w:lang w:val="es-CR" w:eastAsia="es-CR"/>
              </w:rPr>
            </w:pPr>
          </w:p>
        </w:tc>
      </w:tr>
      <w:tr w:rsidR="003463D5" w:rsidRPr="00FA0EAE" w14:paraId="3C9E3CB6" w14:textId="77777777" w:rsidTr="00322D9B">
        <w:trPr>
          <w:trHeight w:val="241"/>
          <w:jc w:val="center"/>
        </w:trPr>
        <w:tc>
          <w:tcPr>
            <w:tcW w:w="991" w:type="dxa"/>
            <w:vMerge/>
            <w:vAlign w:val="center"/>
            <w:hideMark/>
          </w:tcPr>
          <w:p w14:paraId="58318F55" w14:textId="77777777" w:rsidR="003463D5" w:rsidRPr="00FA0EAE" w:rsidRDefault="003463D5" w:rsidP="00FA0EAE">
            <w:pPr>
              <w:rPr>
                <w:rFonts w:ascii="Arial Narrow" w:hAnsi="Arial Narrow" w:cs="Calibri"/>
                <w:color w:val="000000"/>
                <w:sz w:val="18"/>
                <w:szCs w:val="18"/>
                <w:lang w:val="es-CR" w:eastAsia="es-CR"/>
              </w:rPr>
            </w:pPr>
          </w:p>
        </w:tc>
        <w:tc>
          <w:tcPr>
            <w:tcW w:w="1687" w:type="dxa"/>
            <w:shd w:val="clear" w:color="auto" w:fill="auto"/>
            <w:vAlign w:val="center"/>
            <w:hideMark/>
          </w:tcPr>
          <w:p w14:paraId="0054A632"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 xml:space="preserve">Celeridad Judicial </w:t>
            </w:r>
          </w:p>
        </w:tc>
        <w:tc>
          <w:tcPr>
            <w:tcW w:w="1423" w:type="dxa"/>
            <w:shd w:val="clear" w:color="auto" w:fill="auto"/>
            <w:noWrap/>
            <w:vAlign w:val="center"/>
            <w:hideMark/>
          </w:tcPr>
          <w:p w14:paraId="4A78785F" w14:textId="77777777" w:rsidR="003463D5" w:rsidRPr="00FA0EAE" w:rsidRDefault="003463D5" w:rsidP="00FA0EAE">
            <w:pPr>
              <w:jc w:val="center"/>
              <w:rPr>
                <w:rFonts w:ascii="Arial Narrow" w:hAnsi="Arial Narrow" w:cs="Calibri"/>
                <w:b/>
                <w:bCs/>
                <w:color w:val="000000"/>
                <w:sz w:val="18"/>
                <w:szCs w:val="18"/>
                <w:lang w:val="es-CR" w:eastAsia="es-CR"/>
              </w:rPr>
            </w:pPr>
            <w:r w:rsidRPr="00FA0EAE">
              <w:rPr>
                <w:rFonts w:ascii="Arial Narrow" w:hAnsi="Arial Narrow" w:cs="Calibri"/>
                <w:b/>
                <w:bCs/>
                <w:color w:val="000000"/>
                <w:sz w:val="18"/>
                <w:szCs w:val="18"/>
                <w:lang w:eastAsia="es-CR"/>
              </w:rPr>
              <w:t>12</w:t>
            </w:r>
          </w:p>
        </w:tc>
        <w:tc>
          <w:tcPr>
            <w:tcW w:w="1418" w:type="dxa"/>
            <w:shd w:val="clear" w:color="auto" w:fill="auto"/>
            <w:noWrap/>
            <w:vAlign w:val="center"/>
            <w:hideMark/>
          </w:tcPr>
          <w:p w14:paraId="0AAEB4CD"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c>
          <w:tcPr>
            <w:tcW w:w="1559" w:type="dxa"/>
            <w:shd w:val="clear" w:color="auto" w:fill="auto"/>
            <w:noWrap/>
            <w:vAlign w:val="center"/>
            <w:hideMark/>
          </w:tcPr>
          <w:p w14:paraId="6B5AC7A1" w14:textId="77777777" w:rsidR="003463D5" w:rsidRPr="00FA0EAE" w:rsidRDefault="003463D5" w:rsidP="00FA0EAE">
            <w:pPr>
              <w:jc w:val="center"/>
              <w:rPr>
                <w:rFonts w:ascii="Arial Narrow" w:hAnsi="Arial Narrow" w:cs="Calibri"/>
                <w:b/>
                <w:bCs/>
                <w:color w:val="000000"/>
                <w:sz w:val="18"/>
                <w:szCs w:val="18"/>
                <w:lang w:val="es-CR" w:eastAsia="es-CR"/>
              </w:rPr>
            </w:pPr>
            <w:r w:rsidRPr="00FA0EAE">
              <w:rPr>
                <w:rFonts w:ascii="Arial Narrow" w:hAnsi="Arial Narrow" w:cs="Calibri"/>
                <w:b/>
                <w:bCs/>
                <w:color w:val="000000"/>
                <w:sz w:val="18"/>
                <w:szCs w:val="18"/>
                <w:lang w:eastAsia="es-CR"/>
              </w:rPr>
              <w:t>11</w:t>
            </w:r>
          </w:p>
        </w:tc>
        <w:tc>
          <w:tcPr>
            <w:tcW w:w="1417" w:type="dxa"/>
            <w:shd w:val="clear" w:color="auto" w:fill="auto"/>
            <w:noWrap/>
            <w:vAlign w:val="center"/>
            <w:hideMark/>
          </w:tcPr>
          <w:p w14:paraId="14A95D4F"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r>
      <w:tr w:rsidR="003463D5" w:rsidRPr="00FA0EAE" w14:paraId="5CCA84BB" w14:textId="77777777" w:rsidTr="00322D9B">
        <w:trPr>
          <w:trHeight w:val="241"/>
          <w:jc w:val="center"/>
        </w:trPr>
        <w:tc>
          <w:tcPr>
            <w:tcW w:w="991" w:type="dxa"/>
            <w:vMerge/>
            <w:vAlign w:val="center"/>
            <w:hideMark/>
          </w:tcPr>
          <w:p w14:paraId="1D8BE105" w14:textId="77777777" w:rsidR="003463D5" w:rsidRPr="00FA0EAE" w:rsidRDefault="003463D5" w:rsidP="00FA0EAE">
            <w:pPr>
              <w:rPr>
                <w:rFonts w:ascii="Arial Narrow" w:hAnsi="Arial Narrow" w:cs="Calibri"/>
                <w:color w:val="000000"/>
                <w:sz w:val="18"/>
                <w:szCs w:val="18"/>
                <w:lang w:val="es-CR" w:eastAsia="es-CR"/>
              </w:rPr>
            </w:pPr>
          </w:p>
        </w:tc>
        <w:tc>
          <w:tcPr>
            <w:tcW w:w="1687" w:type="dxa"/>
            <w:shd w:val="clear" w:color="auto" w:fill="auto"/>
            <w:vAlign w:val="center"/>
            <w:hideMark/>
          </w:tcPr>
          <w:p w14:paraId="1A443A8F"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 xml:space="preserve">Medidas Alternas </w:t>
            </w:r>
          </w:p>
        </w:tc>
        <w:tc>
          <w:tcPr>
            <w:tcW w:w="1423" w:type="dxa"/>
            <w:shd w:val="clear" w:color="auto" w:fill="auto"/>
            <w:noWrap/>
            <w:vAlign w:val="center"/>
            <w:hideMark/>
          </w:tcPr>
          <w:p w14:paraId="46874D33" w14:textId="77777777" w:rsidR="003463D5" w:rsidRPr="00FA0EAE" w:rsidRDefault="003463D5" w:rsidP="00FA0EAE">
            <w:pPr>
              <w:jc w:val="center"/>
              <w:rPr>
                <w:rFonts w:ascii="Arial Narrow" w:hAnsi="Arial Narrow" w:cs="Calibri"/>
                <w:b/>
                <w:bCs/>
                <w:color w:val="000000"/>
                <w:sz w:val="18"/>
                <w:szCs w:val="18"/>
                <w:lang w:val="es-CR" w:eastAsia="es-CR"/>
              </w:rPr>
            </w:pPr>
            <w:r w:rsidRPr="00FA0EAE">
              <w:rPr>
                <w:rFonts w:ascii="Arial Narrow" w:hAnsi="Arial Narrow" w:cs="Calibri"/>
                <w:b/>
                <w:bCs/>
                <w:color w:val="000000"/>
                <w:sz w:val="18"/>
                <w:szCs w:val="18"/>
                <w:lang w:eastAsia="es-CR"/>
              </w:rPr>
              <w:t>3</w:t>
            </w:r>
          </w:p>
        </w:tc>
        <w:tc>
          <w:tcPr>
            <w:tcW w:w="1418" w:type="dxa"/>
            <w:shd w:val="clear" w:color="auto" w:fill="auto"/>
            <w:noWrap/>
            <w:vAlign w:val="center"/>
            <w:hideMark/>
          </w:tcPr>
          <w:p w14:paraId="4FA981C8"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c>
          <w:tcPr>
            <w:tcW w:w="1559" w:type="dxa"/>
            <w:shd w:val="clear" w:color="auto" w:fill="auto"/>
            <w:noWrap/>
            <w:vAlign w:val="center"/>
            <w:hideMark/>
          </w:tcPr>
          <w:p w14:paraId="34E4B0D8" w14:textId="77777777" w:rsidR="003463D5" w:rsidRPr="00FA0EAE" w:rsidRDefault="003463D5" w:rsidP="00FA0EAE">
            <w:pPr>
              <w:jc w:val="center"/>
              <w:rPr>
                <w:rFonts w:ascii="Arial Narrow" w:hAnsi="Arial Narrow" w:cs="Calibri"/>
                <w:b/>
                <w:bCs/>
                <w:color w:val="000000"/>
                <w:sz w:val="18"/>
                <w:szCs w:val="18"/>
                <w:lang w:val="es-CR" w:eastAsia="es-CR"/>
              </w:rPr>
            </w:pPr>
            <w:r w:rsidRPr="00FA0EAE">
              <w:rPr>
                <w:rFonts w:ascii="Arial Narrow" w:hAnsi="Arial Narrow" w:cs="Calibri"/>
                <w:b/>
                <w:bCs/>
                <w:color w:val="000000"/>
                <w:sz w:val="18"/>
                <w:szCs w:val="18"/>
                <w:lang w:eastAsia="es-CR"/>
              </w:rPr>
              <w:t>9</w:t>
            </w:r>
          </w:p>
        </w:tc>
        <w:tc>
          <w:tcPr>
            <w:tcW w:w="1417" w:type="dxa"/>
            <w:shd w:val="clear" w:color="auto" w:fill="auto"/>
            <w:noWrap/>
            <w:vAlign w:val="center"/>
            <w:hideMark/>
          </w:tcPr>
          <w:p w14:paraId="44612A7B" w14:textId="77777777" w:rsidR="003463D5" w:rsidRPr="00FA0EAE" w:rsidRDefault="003463D5" w:rsidP="00FA0EAE">
            <w:pPr>
              <w:jc w:val="center"/>
              <w:rPr>
                <w:rFonts w:ascii="Arial Narrow" w:hAnsi="Arial Narrow" w:cs="Calibri"/>
                <w:b/>
                <w:bCs/>
                <w:color w:val="000000"/>
                <w:sz w:val="18"/>
                <w:szCs w:val="18"/>
                <w:lang w:val="es-CR" w:eastAsia="es-CR"/>
              </w:rPr>
            </w:pPr>
            <w:r w:rsidRPr="00FA0EAE">
              <w:rPr>
                <w:rFonts w:ascii="Arial Narrow" w:hAnsi="Arial Narrow" w:cs="Calibri"/>
                <w:b/>
                <w:bCs/>
                <w:color w:val="000000"/>
                <w:sz w:val="18"/>
                <w:szCs w:val="18"/>
                <w:lang w:eastAsia="es-CR"/>
              </w:rPr>
              <w:t>2</w:t>
            </w:r>
          </w:p>
        </w:tc>
      </w:tr>
      <w:tr w:rsidR="003463D5" w:rsidRPr="00FA0EAE" w14:paraId="7A78E56A" w14:textId="77777777" w:rsidTr="00322D9B">
        <w:trPr>
          <w:trHeight w:val="241"/>
          <w:jc w:val="center"/>
        </w:trPr>
        <w:tc>
          <w:tcPr>
            <w:tcW w:w="991" w:type="dxa"/>
            <w:vMerge/>
            <w:vAlign w:val="center"/>
            <w:hideMark/>
          </w:tcPr>
          <w:p w14:paraId="6052D306" w14:textId="77777777" w:rsidR="003463D5" w:rsidRPr="00FA0EAE" w:rsidRDefault="003463D5" w:rsidP="00FA0EAE">
            <w:pPr>
              <w:rPr>
                <w:rFonts w:ascii="Arial Narrow" w:hAnsi="Arial Narrow" w:cs="Calibri"/>
                <w:color w:val="000000"/>
                <w:sz w:val="18"/>
                <w:szCs w:val="18"/>
                <w:lang w:val="es-CR" w:eastAsia="es-CR"/>
              </w:rPr>
            </w:pPr>
          </w:p>
        </w:tc>
        <w:tc>
          <w:tcPr>
            <w:tcW w:w="1687" w:type="dxa"/>
            <w:shd w:val="clear" w:color="auto" w:fill="auto"/>
            <w:vAlign w:val="center"/>
            <w:hideMark/>
          </w:tcPr>
          <w:p w14:paraId="647665E5"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Justicia Restaurativa</w:t>
            </w:r>
          </w:p>
        </w:tc>
        <w:tc>
          <w:tcPr>
            <w:tcW w:w="1423" w:type="dxa"/>
            <w:shd w:val="clear" w:color="auto" w:fill="auto"/>
            <w:noWrap/>
            <w:vAlign w:val="center"/>
            <w:hideMark/>
          </w:tcPr>
          <w:p w14:paraId="2D2FDE6E"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c>
          <w:tcPr>
            <w:tcW w:w="1418" w:type="dxa"/>
            <w:shd w:val="clear" w:color="auto" w:fill="auto"/>
            <w:noWrap/>
            <w:vAlign w:val="center"/>
            <w:hideMark/>
          </w:tcPr>
          <w:p w14:paraId="2074EC71"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c>
          <w:tcPr>
            <w:tcW w:w="1559" w:type="dxa"/>
            <w:shd w:val="clear" w:color="auto" w:fill="auto"/>
            <w:noWrap/>
            <w:vAlign w:val="center"/>
            <w:hideMark/>
          </w:tcPr>
          <w:p w14:paraId="409F73A8"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c>
          <w:tcPr>
            <w:tcW w:w="1417" w:type="dxa"/>
            <w:shd w:val="clear" w:color="auto" w:fill="auto"/>
            <w:noWrap/>
            <w:vAlign w:val="center"/>
            <w:hideMark/>
          </w:tcPr>
          <w:p w14:paraId="4024CE3F"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r>
      <w:tr w:rsidR="003463D5" w:rsidRPr="00FA0EAE" w14:paraId="742813BC" w14:textId="77777777" w:rsidTr="00322D9B">
        <w:trPr>
          <w:trHeight w:val="301"/>
          <w:jc w:val="center"/>
        </w:trPr>
        <w:tc>
          <w:tcPr>
            <w:tcW w:w="991" w:type="dxa"/>
            <w:vMerge w:val="restart"/>
            <w:shd w:val="clear" w:color="auto" w:fill="auto"/>
            <w:vAlign w:val="center"/>
            <w:hideMark/>
          </w:tcPr>
          <w:p w14:paraId="0B0609F9" w14:textId="77777777" w:rsidR="003463D5" w:rsidRPr="00821811" w:rsidRDefault="003463D5" w:rsidP="00FA0EAE">
            <w:pPr>
              <w:jc w:val="center"/>
              <w:rPr>
                <w:rFonts w:ascii="Arial Narrow" w:hAnsi="Arial Narrow" w:cs="Calibri"/>
                <w:b/>
                <w:bCs/>
                <w:color w:val="000000"/>
                <w:sz w:val="16"/>
                <w:szCs w:val="16"/>
                <w:lang w:val="es-CR" w:eastAsia="es-CR"/>
              </w:rPr>
            </w:pPr>
            <w:r w:rsidRPr="00821811">
              <w:rPr>
                <w:rFonts w:ascii="Arial Narrow" w:hAnsi="Arial Narrow" w:cs="Calibri"/>
                <w:b/>
                <w:bCs/>
                <w:color w:val="000000"/>
                <w:sz w:val="16"/>
                <w:szCs w:val="16"/>
                <w:lang w:eastAsia="es-CR"/>
              </w:rPr>
              <w:t>Confianza y Probidad</w:t>
            </w:r>
          </w:p>
        </w:tc>
        <w:tc>
          <w:tcPr>
            <w:tcW w:w="1687" w:type="dxa"/>
            <w:shd w:val="clear" w:color="auto" w:fill="auto"/>
            <w:vAlign w:val="center"/>
            <w:hideMark/>
          </w:tcPr>
          <w:p w14:paraId="01B94FAE"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Transparencia y rendición de cuentas</w:t>
            </w:r>
          </w:p>
        </w:tc>
        <w:tc>
          <w:tcPr>
            <w:tcW w:w="1423" w:type="dxa"/>
            <w:shd w:val="clear" w:color="auto" w:fill="auto"/>
            <w:noWrap/>
            <w:vAlign w:val="center"/>
            <w:hideMark/>
          </w:tcPr>
          <w:p w14:paraId="3D327EDB"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c>
          <w:tcPr>
            <w:tcW w:w="1418" w:type="dxa"/>
            <w:shd w:val="clear" w:color="auto" w:fill="auto"/>
            <w:noWrap/>
            <w:vAlign w:val="center"/>
            <w:hideMark/>
          </w:tcPr>
          <w:p w14:paraId="55397DB0"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c>
          <w:tcPr>
            <w:tcW w:w="1559" w:type="dxa"/>
            <w:shd w:val="clear" w:color="auto" w:fill="auto"/>
            <w:noWrap/>
            <w:vAlign w:val="center"/>
            <w:hideMark/>
          </w:tcPr>
          <w:p w14:paraId="1997A986"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c>
          <w:tcPr>
            <w:tcW w:w="1417" w:type="dxa"/>
            <w:shd w:val="clear" w:color="auto" w:fill="auto"/>
            <w:noWrap/>
            <w:vAlign w:val="center"/>
            <w:hideMark/>
          </w:tcPr>
          <w:p w14:paraId="6A4F3253"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r>
      <w:tr w:rsidR="003463D5" w:rsidRPr="00FA0EAE" w14:paraId="28C4DFAB" w14:textId="77777777" w:rsidTr="00322D9B">
        <w:trPr>
          <w:trHeight w:val="301"/>
          <w:jc w:val="center"/>
        </w:trPr>
        <w:tc>
          <w:tcPr>
            <w:tcW w:w="991" w:type="dxa"/>
            <w:vMerge/>
            <w:vAlign w:val="center"/>
            <w:hideMark/>
          </w:tcPr>
          <w:p w14:paraId="4089FB86" w14:textId="77777777" w:rsidR="003463D5" w:rsidRPr="00821811" w:rsidRDefault="003463D5" w:rsidP="00FA0EAE">
            <w:pPr>
              <w:rPr>
                <w:rFonts w:ascii="Arial Narrow" w:hAnsi="Arial Narrow" w:cs="Calibri"/>
                <w:b/>
                <w:bCs/>
                <w:color w:val="000000"/>
                <w:sz w:val="16"/>
                <w:szCs w:val="16"/>
                <w:lang w:val="es-CR" w:eastAsia="es-CR"/>
              </w:rPr>
            </w:pPr>
          </w:p>
        </w:tc>
        <w:tc>
          <w:tcPr>
            <w:tcW w:w="1687" w:type="dxa"/>
            <w:shd w:val="clear" w:color="auto" w:fill="auto"/>
            <w:vAlign w:val="center"/>
            <w:hideMark/>
          </w:tcPr>
          <w:p w14:paraId="088310A2"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Probidad y anticorrupción</w:t>
            </w:r>
          </w:p>
        </w:tc>
        <w:tc>
          <w:tcPr>
            <w:tcW w:w="1423" w:type="dxa"/>
            <w:shd w:val="clear" w:color="auto" w:fill="auto"/>
            <w:noWrap/>
            <w:vAlign w:val="center"/>
            <w:hideMark/>
          </w:tcPr>
          <w:p w14:paraId="2721DF3C"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c>
          <w:tcPr>
            <w:tcW w:w="1418" w:type="dxa"/>
            <w:shd w:val="clear" w:color="auto" w:fill="auto"/>
            <w:noWrap/>
            <w:vAlign w:val="center"/>
            <w:hideMark/>
          </w:tcPr>
          <w:p w14:paraId="597DC61B"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c>
          <w:tcPr>
            <w:tcW w:w="1559" w:type="dxa"/>
            <w:shd w:val="clear" w:color="auto" w:fill="auto"/>
            <w:noWrap/>
            <w:vAlign w:val="center"/>
            <w:hideMark/>
          </w:tcPr>
          <w:p w14:paraId="4925D452"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c>
          <w:tcPr>
            <w:tcW w:w="1417" w:type="dxa"/>
            <w:shd w:val="clear" w:color="auto" w:fill="auto"/>
            <w:noWrap/>
            <w:vAlign w:val="center"/>
            <w:hideMark/>
          </w:tcPr>
          <w:p w14:paraId="4B4F37D0"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r>
      <w:tr w:rsidR="003463D5" w:rsidRPr="00FA0EAE" w14:paraId="14A37834" w14:textId="77777777" w:rsidTr="00322D9B">
        <w:trPr>
          <w:trHeight w:val="301"/>
          <w:jc w:val="center"/>
        </w:trPr>
        <w:tc>
          <w:tcPr>
            <w:tcW w:w="991" w:type="dxa"/>
            <w:vMerge/>
            <w:vAlign w:val="center"/>
            <w:hideMark/>
          </w:tcPr>
          <w:p w14:paraId="23C5758B" w14:textId="77777777" w:rsidR="003463D5" w:rsidRPr="00821811" w:rsidRDefault="003463D5" w:rsidP="00FA0EAE">
            <w:pPr>
              <w:rPr>
                <w:rFonts w:ascii="Arial Narrow" w:hAnsi="Arial Narrow" w:cs="Calibri"/>
                <w:b/>
                <w:bCs/>
                <w:color w:val="000000"/>
                <w:sz w:val="16"/>
                <w:szCs w:val="16"/>
                <w:lang w:val="es-CR" w:eastAsia="es-CR"/>
              </w:rPr>
            </w:pPr>
          </w:p>
        </w:tc>
        <w:tc>
          <w:tcPr>
            <w:tcW w:w="1687" w:type="dxa"/>
            <w:shd w:val="clear" w:color="auto" w:fill="auto"/>
            <w:vAlign w:val="center"/>
            <w:hideMark/>
          </w:tcPr>
          <w:p w14:paraId="693B27D7"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 xml:space="preserve">Colaboración interna y externa </w:t>
            </w:r>
          </w:p>
        </w:tc>
        <w:tc>
          <w:tcPr>
            <w:tcW w:w="1423" w:type="dxa"/>
            <w:shd w:val="clear" w:color="auto" w:fill="auto"/>
            <w:noWrap/>
            <w:vAlign w:val="center"/>
            <w:hideMark/>
          </w:tcPr>
          <w:p w14:paraId="1D7454D9" w14:textId="77777777" w:rsidR="003463D5" w:rsidRPr="00FA0EAE" w:rsidRDefault="003463D5" w:rsidP="00FA0EAE">
            <w:pPr>
              <w:jc w:val="center"/>
              <w:rPr>
                <w:rFonts w:ascii="Arial Narrow" w:hAnsi="Arial Narrow" w:cs="Calibri"/>
                <w:b/>
                <w:bCs/>
                <w:color w:val="000000"/>
                <w:sz w:val="18"/>
                <w:szCs w:val="18"/>
                <w:lang w:val="es-CR" w:eastAsia="es-CR"/>
              </w:rPr>
            </w:pPr>
            <w:r w:rsidRPr="00FA0EAE">
              <w:rPr>
                <w:rFonts w:ascii="Arial Narrow" w:hAnsi="Arial Narrow" w:cs="Calibri"/>
                <w:b/>
                <w:bCs/>
                <w:color w:val="000000"/>
                <w:sz w:val="18"/>
                <w:szCs w:val="18"/>
                <w:lang w:eastAsia="es-CR"/>
              </w:rPr>
              <w:t>1</w:t>
            </w:r>
          </w:p>
        </w:tc>
        <w:tc>
          <w:tcPr>
            <w:tcW w:w="1418" w:type="dxa"/>
            <w:shd w:val="clear" w:color="auto" w:fill="auto"/>
            <w:noWrap/>
            <w:vAlign w:val="center"/>
            <w:hideMark/>
          </w:tcPr>
          <w:p w14:paraId="12E7D856"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c>
          <w:tcPr>
            <w:tcW w:w="1559" w:type="dxa"/>
            <w:shd w:val="clear" w:color="auto" w:fill="auto"/>
            <w:noWrap/>
            <w:vAlign w:val="center"/>
            <w:hideMark/>
          </w:tcPr>
          <w:p w14:paraId="63630400" w14:textId="77777777" w:rsidR="003463D5" w:rsidRPr="00FA0EAE" w:rsidRDefault="003463D5" w:rsidP="00FA0EAE">
            <w:pPr>
              <w:jc w:val="center"/>
              <w:rPr>
                <w:rFonts w:ascii="Arial Narrow" w:hAnsi="Arial Narrow" w:cs="Calibri"/>
                <w:b/>
                <w:bCs/>
                <w:color w:val="000000"/>
                <w:sz w:val="18"/>
                <w:szCs w:val="18"/>
                <w:lang w:val="es-CR" w:eastAsia="es-CR"/>
              </w:rPr>
            </w:pPr>
            <w:r w:rsidRPr="00FA0EAE">
              <w:rPr>
                <w:rFonts w:ascii="Arial Narrow" w:hAnsi="Arial Narrow" w:cs="Calibri"/>
                <w:b/>
                <w:bCs/>
                <w:color w:val="000000"/>
                <w:sz w:val="18"/>
                <w:szCs w:val="18"/>
                <w:lang w:eastAsia="es-CR"/>
              </w:rPr>
              <w:t>1</w:t>
            </w:r>
          </w:p>
        </w:tc>
        <w:tc>
          <w:tcPr>
            <w:tcW w:w="1417" w:type="dxa"/>
            <w:shd w:val="clear" w:color="auto" w:fill="auto"/>
            <w:noWrap/>
            <w:vAlign w:val="center"/>
            <w:hideMark/>
          </w:tcPr>
          <w:p w14:paraId="689D6D02"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r>
      <w:tr w:rsidR="003463D5" w:rsidRPr="00FA0EAE" w14:paraId="6B7A0663" w14:textId="77777777" w:rsidTr="00322D9B">
        <w:trPr>
          <w:trHeight w:val="451"/>
          <w:jc w:val="center"/>
        </w:trPr>
        <w:tc>
          <w:tcPr>
            <w:tcW w:w="991" w:type="dxa"/>
            <w:vMerge/>
            <w:vAlign w:val="center"/>
            <w:hideMark/>
          </w:tcPr>
          <w:p w14:paraId="5E470D39" w14:textId="77777777" w:rsidR="003463D5" w:rsidRPr="00821811" w:rsidRDefault="003463D5" w:rsidP="00FA0EAE">
            <w:pPr>
              <w:rPr>
                <w:rFonts w:ascii="Arial Narrow" w:hAnsi="Arial Narrow" w:cs="Calibri"/>
                <w:b/>
                <w:bCs/>
                <w:color w:val="000000"/>
                <w:sz w:val="16"/>
                <w:szCs w:val="16"/>
                <w:lang w:val="es-CR" w:eastAsia="es-CR"/>
              </w:rPr>
            </w:pPr>
          </w:p>
        </w:tc>
        <w:tc>
          <w:tcPr>
            <w:tcW w:w="1687" w:type="dxa"/>
            <w:shd w:val="clear" w:color="auto" w:fill="auto"/>
            <w:vAlign w:val="center"/>
            <w:hideMark/>
          </w:tcPr>
          <w:p w14:paraId="66D33599"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Comunicación y proyección Institucional</w:t>
            </w:r>
          </w:p>
        </w:tc>
        <w:tc>
          <w:tcPr>
            <w:tcW w:w="1423" w:type="dxa"/>
            <w:shd w:val="clear" w:color="auto" w:fill="auto"/>
            <w:noWrap/>
            <w:vAlign w:val="center"/>
            <w:hideMark/>
          </w:tcPr>
          <w:p w14:paraId="4FBC0C04"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 </w:t>
            </w:r>
          </w:p>
        </w:tc>
        <w:tc>
          <w:tcPr>
            <w:tcW w:w="1418" w:type="dxa"/>
            <w:shd w:val="clear" w:color="auto" w:fill="auto"/>
            <w:noWrap/>
            <w:vAlign w:val="center"/>
            <w:hideMark/>
          </w:tcPr>
          <w:p w14:paraId="7C25E2B2" w14:textId="77777777" w:rsidR="003463D5" w:rsidRPr="00FA0EAE" w:rsidRDefault="003463D5" w:rsidP="00FA0EAE">
            <w:pPr>
              <w:jc w:val="center"/>
              <w:rPr>
                <w:rFonts w:ascii="Arial Narrow" w:hAnsi="Arial Narrow" w:cs="Calibri"/>
                <w:b/>
                <w:bCs/>
                <w:color w:val="000000"/>
                <w:sz w:val="18"/>
                <w:szCs w:val="18"/>
                <w:lang w:val="es-CR" w:eastAsia="es-CR"/>
              </w:rPr>
            </w:pPr>
            <w:r w:rsidRPr="00FA0EAE">
              <w:rPr>
                <w:rFonts w:ascii="Arial Narrow" w:hAnsi="Arial Narrow" w:cs="Calibri"/>
                <w:b/>
                <w:bCs/>
                <w:color w:val="000000"/>
                <w:sz w:val="18"/>
                <w:szCs w:val="18"/>
                <w:lang w:eastAsia="es-CR"/>
              </w:rPr>
              <w:t>1</w:t>
            </w:r>
          </w:p>
        </w:tc>
        <w:tc>
          <w:tcPr>
            <w:tcW w:w="1559" w:type="dxa"/>
            <w:shd w:val="clear" w:color="auto" w:fill="auto"/>
            <w:noWrap/>
            <w:vAlign w:val="center"/>
            <w:hideMark/>
          </w:tcPr>
          <w:p w14:paraId="5476C06C"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 </w:t>
            </w:r>
          </w:p>
        </w:tc>
        <w:tc>
          <w:tcPr>
            <w:tcW w:w="1417" w:type="dxa"/>
            <w:shd w:val="clear" w:color="auto" w:fill="auto"/>
            <w:noWrap/>
            <w:vAlign w:val="center"/>
            <w:hideMark/>
          </w:tcPr>
          <w:p w14:paraId="6AC0CF84" w14:textId="77777777" w:rsidR="003463D5" w:rsidRPr="00FA0EAE" w:rsidRDefault="003463D5" w:rsidP="00FA0EAE">
            <w:pPr>
              <w:jc w:val="center"/>
              <w:rPr>
                <w:rFonts w:ascii="Arial Narrow" w:hAnsi="Arial Narrow" w:cs="Calibri"/>
                <w:b/>
                <w:bCs/>
                <w:color w:val="000000"/>
                <w:sz w:val="18"/>
                <w:szCs w:val="18"/>
                <w:lang w:val="es-CR" w:eastAsia="es-CR"/>
              </w:rPr>
            </w:pPr>
            <w:r w:rsidRPr="00FA0EAE">
              <w:rPr>
                <w:rFonts w:ascii="Arial Narrow" w:hAnsi="Arial Narrow" w:cs="Calibri"/>
                <w:b/>
                <w:bCs/>
                <w:color w:val="000000"/>
                <w:sz w:val="18"/>
                <w:szCs w:val="18"/>
                <w:lang w:eastAsia="es-CR"/>
              </w:rPr>
              <w:t>1</w:t>
            </w:r>
          </w:p>
        </w:tc>
      </w:tr>
      <w:tr w:rsidR="003463D5" w:rsidRPr="00FA0EAE" w14:paraId="5D11E2BB" w14:textId="77777777" w:rsidTr="00322D9B">
        <w:trPr>
          <w:trHeight w:val="313"/>
          <w:jc w:val="center"/>
        </w:trPr>
        <w:tc>
          <w:tcPr>
            <w:tcW w:w="991" w:type="dxa"/>
            <w:vMerge/>
            <w:vAlign w:val="center"/>
            <w:hideMark/>
          </w:tcPr>
          <w:p w14:paraId="4353F269" w14:textId="77777777" w:rsidR="003463D5" w:rsidRPr="00821811" w:rsidRDefault="003463D5" w:rsidP="00FA0EAE">
            <w:pPr>
              <w:rPr>
                <w:rFonts w:ascii="Arial Narrow" w:hAnsi="Arial Narrow" w:cs="Calibri"/>
                <w:b/>
                <w:bCs/>
                <w:color w:val="000000"/>
                <w:sz w:val="16"/>
                <w:szCs w:val="16"/>
                <w:lang w:val="es-CR" w:eastAsia="es-CR"/>
              </w:rPr>
            </w:pPr>
          </w:p>
        </w:tc>
        <w:tc>
          <w:tcPr>
            <w:tcW w:w="1687" w:type="dxa"/>
            <w:shd w:val="clear" w:color="auto" w:fill="auto"/>
            <w:vAlign w:val="center"/>
            <w:hideMark/>
          </w:tcPr>
          <w:p w14:paraId="06878D06"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Participación Ciudadana</w:t>
            </w:r>
          </w:p>
        </w:tc>
        <w:tc>
          <w:tcPr>
            <w:tcW w:w="1423" w:type="dxa"/>
            <w:shd w:val="clear" w:color="auto" w:fill="auto"/>
            <w:noWrap/>
            <w:vAlign w:val="center"/>
            <w:hideMark/>
          </w:tcPr>
          <w:p w14:paraId="1939E1B8"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c>
          <w:tcPr>
            <w:tcW w:w="1418" w:type="dxa"/>
            <w:shd w:val="clear" w:color="auto" w:fill="auto"/>
            <w:noWrap/>
            <w:vAlign w:val="center"/>
            <w:hideMark/>
          </w:tcPr>
          <w:p w14:paraId="5C950EB5"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c>
          <w:tcPr>
            <w:tcW w:w="1559" w:type="dxa"/>
            <w:shd w:val="clear" w:color="auto" w:fill="auto"/>
            <w:noWrap/>
            <w:vAlign w:val="center"/>
            <w:hideMark/>
          </w:tcPr>
          <w:p w14:paraId="5D621ECD"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c>
          <w:tcPr>
            <w:tcW w:w="1417" w:type="dxa"/>
            <w:shd w:val="clear" w:color="auto" w:fill="auto"/>
            <w:noWrap/>
            <w:vAlign w:val="center"/>
            <w:hideMark/>
          </w:tcPr>
          <w:p w14:paraId="184491A4"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r>
      <w:tr w:rsidR="003463D5" w:rsidRPr="00FA0EAE" w14:paraId="0CC4EB82" w14:textId="77777777" w:rsidTr="00322D9B">
        <w:trPr>
          <w:trHeight w:val="451"/>
          <w:jc w:val="center"/>
        </w:trPr>
        <w:tc>
          <w:tcPr>
            <w:tcW w:w="991" w:type="dxa"/>
            <w:vMerge w:val="restart"/>
            <w:shd w:val="clear" w:color="auto" w:fill="auto"/>
            <w:vAlign w:val="center"/>
            <w:hideMark/>
          </w:tcPr>
          <w:p w14:paraId="1233F9B3" w14:textId="77777777" w:rsidR="003463D5" w:rsidRPr="00821811" w:rsidRDefault="003463D5" w:rsidP="00FA0EAE">
            <w:pPr>
              <w:jc w:val="center"/>
              <w:rPr>
                <w:rFonts w:ascii="Arial Narrow" w:hAnsi="Arial Narrow" w:cs="Calibri"/>
                <w:b/>
                <w:bCs/>
                <w:color w:val="000000"/>
                <w:sz w:val="16"/>
                <w:szCs w:val="16"/>
                <w:lang w:val="es-CR" w:eastAsia="es-CR"/>
              </w:rPr>
            </w:pPr>
            <w:r w:rsidRPr="00821811">
              <w:rPr>
                <w:rFonts w:ascii="Arial Narrow" w:hAnsi="Arial Narrow" w:cs="Calibri"/>
                <w:b/>
                <w:bCs/>
                <w:color w:val="000000"/>
                <w:sz w:val="16"/>
                <w:szCs w:val="16"/>
                <w:lang w:eastAsia="es-CR"/>
              </w:rPr>
              <w:t>Optimización e innovación de los servicios judiciales</w:t>
            </w:r>
          </w:p>
        </w:tc>
        <w:tc>
          <w:tcPr>
            <w:tcW w:w="1687" w:type="dxa"/>
            <w:shd w:val="clear" w:color="auto" w:fill="auto"/>
            <w:vAlign w:val="center"/>
            <w:hideMark/>
          </w:tcPr>
          <w:p w14:paraId="6EFF12BA"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Desarrollo y optimización de servicios y procesos judiciales</w:t>
            </w:r>
          </w:p>
        </w:tc>
        <w:tc>
          <w:tcPr>
            <w:tcW w:w="1423" w:type="dxa"/>
            <w:shd w:val="clear" w:color="auto" w:fill="auto"/>
            <w:noWrap/>
            <w:vAlign w:val="center"/>
            <w:hideMark/>
          </w:tcPr>
          <w:p w14:paraId="4A7E6D72" w14:textId="77777777" w:rsidR="003463D5" w:rsidRPr="00FA0EAE" w:rsidRDefault="003463D5" w:rsidP="00FA0EAE">
            <w:pPr>
              <w:jc w:val="center"/>
              <w:rPr>
                <w:rFonts w:ascii="Arial Narrow" w:hAnsi="Arial Narrow" w:cs="Calibri"/>
                <w:b/>
                <w:bCs/>
                <w:color w:val="000000"/>
                <w:sz w:val="18"/>
                <w:szCs w:val="18"/>
                <w:lang w:val="es-CR" w:eastAsia="es-CR"/>
              </w:rPr>
            </w:pPr>
            <w:r w:rsidRPr="00FA0EAE">
              <w:rPr>
                <w:rFonts w:ascii="Arial Narrow" w:hAnsi="Arial Narrow" w:cs="Calibri"/>
                <w:b/>
                <w:bCs/>
                <w:color w:val="000000"/>
                <w:sz w:val="18"/>
                <w:szCs w:val="18"/>
                <w:lang w:eastAsia="es-CR"/>
              </w:rPr>
              <w:t>1</w:t>
            </w:r>
          </w:p>
        </w:tc>
        <w:tc>
          <w:tcPr>
            <w:tcW w:w="1418" w:type="dxa"/>
            <w:shd w:val="clear" w:color="auto" w:fill="auto"/>
            <w:noWrap/>
            <w:vAlign w:val="center"/>
            <w:hideMark/>
          </w:tcPr>
          <w:p w14:paraId="6F397C43"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c>
          <w:tcPr>
            <w:tcW w:w="1559" w:type="dxa"/>
            <w:shd w:val="clear" w:color="auto" w:fill="auto"/>
            <w:noWrap/>
            <w:vAlign w:val="center"/>
            <w:hideMark/>
          </w:tcPr>
          <w:p w14:paraId="0B610BFB"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c>
          <w:tcPr>
            <w:tcW w:w="1417" w:type="dxa"/>
            <w:shd w:val="clear" w:color="auto" w:fill="auto"/>
            <w:noWrap/>
            <w:vAlign w:val="center"/>
            <w:hideMark/>
          </w:tcPr>
          <w:p w14:paraId="2515568E" w14:textId="77777777" w:rsidR="003463D5" w:rsidRPr="00FA0EAE" w:rsidRDefault="003463D5" w:rsidP="00FA0EAE">
            <w:pPr>
              <w:jc w:val="center"/>
              <w:rPr>
                <w:rFonts w:ascii="Arial Narrow" w:hAnsi="Arial Narrow" w:cs="Calibri"/>
                <w:b/>
                <w:bCs/>
                <w:color w:val="000000"/>
                <w:sz w:val="18"/>
                <w:szCs w:val="18"/>
                <w:lang w:val="es-CR" w:eastAsia="es-CR"/>
              </w:rPr>
            </w:pPr>
            <w:r w:rsidRPr="00FA0EAE">
              <w:rPr>
                <w:rFonts w:ascii="Arial Narrow" w:hAnsi="Arial Narrow" w:cs="Calibri"/>
                <w:b/>
                <w:bCs/>
                <w:color w:val="000000"/>
                <w:sz w:val="18"/>
                <w:szCs w:val="18"/>
                <w:lang w:eastAsia="es-CR"/>
              </w:rPr>
              <w:t>1</w:t>
            </w:r>
          </w:p>
        </w:tc>
      </w:tr>
      <w:tr w:rsidR="003463D5" w:rsidRPr="00FA0EAE" w14:paraId="511DC932" w14:textId="77777777" w:rsidTr="00322D9B">
        <w:trPr>
          <w:trHeight w:val="301"/>
          <w:jc w:val="center"/>
        </w:trPr>
        <w:tc>
          <w:tcPr>
            <w:tcW w:w="991" w:type="dxa"/>
            <w:vMerge/>
            <w:vAlign w:val="center"/>
            <w:hideMark/>
          </w:tcPr>
          <w:p w14:paraId="798BA48D" w14:textId="77777777" w:rsidR="003463D5" w:rsidRPr="00821811" w:rsidRDefault="003463D5" w:rsidP="00FA0EAE">
            <w:pPr>
              <w:rPr>
                <w:rFonts w:ascii="Arial Narrow" w:hAnsi="Arial Narrow" w:cs="Calibri"/>
                <w:b/>
                <w:bCs/>
                <w:color w:val="000000"/>
                <w:sz w:val="16"/>
                <w:szCs w:val="16"/>
                <w:lang w:val="es-CR" w:eastAsia="es-CR"/>
              </w:rPr>
            </w:pPr>
          </w:p>
        </w:tc>
        <w:tc>
          <w:tcPr>
            <w:tcW w:w="1687" w:type="dxa"/>
            <w:shd w:val="clear" w:color="auto" w:fill="auto"/>
            <w:vAlign w:val="center"/>
            <w:hideMark/>
          </w:tcPr>
          <w:p w14:paraId="7D34BC9D"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Servicios Tecnológicos</w:t>
            </w:r>
          </w:p>
        </w:tc>
        <w:tc>
          <w:tcPr>
            <w:tcW w:w="1423" w:type="dxa"/>
            <w:shd w:val="clear" w:color="auto" w:fill="auto"/>
            <w:noWrap/>
            <w:vAlign w:val="center"/>
            <w:hideMark/>
          </w:tcPr>
          <w:p w14:paraId="6B34DBED" w14:textId="77777777" w:rsidR="003463D5" w:rsidRPr="00FA0EAE" w:rsidRDefault="003463D5" w:rsidP="00FA0EAE">
            <w:pPr>
              <w:jc w:val="center"/>
              <w:rPr>
                <w:rFonts w:ascii="Arial Narrow" w:hAnsi="Arial Narrow" w:cs="Calibri"/>
                <w:b/>
                <w:bCs/>
                <w:color w:val="000000"/>
                <w:sz w:val="18"/>
                <w:szCs w:val="18"/>
                <w:lang w:val="es-CR" w:eastAsia="es-CR"/>
              </w:rPr>
            </w:pPr>
            <w:r w:rsidRPr="00FA0EAE">
              <w:rPr>
                <w:rFonts w:ascii="Arial Narrow" w:hAnsi="Arial Narrow" w:cs="Calibri"/>
                <w:b/>
                <w:bCs/>
                <w:color w:val="000000"/>
                <w:sz w:val="18"/>
                <w:szCs w:val="18"/>
                <w:lang w:eastAsia="es-CR"/>
              </w:rPr>
              <w:t>2</w:t>
            </w:r>
          </w:p>
        </w:tc>
        <w:tc>
          <w:tcPr>
            <w:tcW w:w="1418" w:type="dxa"/>
            <w:shd w:val="clear" w:color="auto" w:fill="auto"/>
            <w:noWrap/>
            <w:vAlign w:val="center"/>
            <w:hideMark/>
          </w:tcPr>
          <w:p w14:paraId="65E60DE7"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c>
          <w:tcPr>
            <w:tcW w:w="1559" w:type="dxa"/>
            <w:shd w:val="clear" w:color="auto" w:fill="auto"/>
            <w:noWrap/>
            <w:vAlign w:val="center"/>
            <w:hideMark/>
          </w:tcPr>
          <w:p w14:paraId="45B04C08"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c>
          <w:tcPr>
            <w:tcW w:w="1417" w:type="dxa"/>
            <w:shd w:val="clear" w:color="auto" w:fill="auto"/>
            <w:noWrap/>
            <w:vAlign w:val="center"/>
            <w:hideMark/>
          </w:tcPr>
          <w:p w14:paraId="1761A514"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r>
      <w:tr w:rsidR="003463D5" w:rsidRPr="00FA0EAE" w14:paraId="713F4AB0" w14:textId="77777777" w:rsidTr="00322D9B">
        <w:trPr>
          <w:trHeight w:val="301"/>
          <w:jc w:val="center"/>
        </w:trPr>
        <w:tc>
          <w:tcPr>
            <w:tcW w:w="991" w:type="dxa"/>
            <w:vMerge/>
            <w:vAlign w:val="center"/>
            <w:hideMark/>
          </w:tcPr>
          <w:p w14:paraId="7EBC6564" w14:textId="77777777" w:rsidR="003463D5" w:rsidRPr="00821811" w:rsidRDefault="003463D5" w:rsidP="00FA0EAE">
            <w:pPr>
              <w:rPr>
                <w:rFonts w:ascii="Arial Narrow" w:hAnsi="Arial Narrow" w:cs="Calibri"/>
                <w:b/>
                <w:bCs/>
                <w:color w:val="000000"/>
                <w:sz w:val="16"/>
                <w:szCs w:val="16"/>
                <w:lang w:val="es-CR" w:eastAsia="es-CR"/>
              </w:rPr>
            </w:pPr>
          </w:p>
        </w:tc>
        <w:tc>
          <w:tcPr>
            <w:tcW w:w="1687" w:type="dxa"/>
            <w:shd w:val="clear" w:color="auto" w:fill="auto"/>
            <w:vAlign w:val="center"/>
            <w:hideMark/>
          </w:tcPr>
          <w:p w14:paraId="1C8AB28E"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Leyes y reformas</w:t>
            </w:r>
          </w:p>
        </w:tc>
        <w:tc>
          <w:tcPr>
            <w:tcW w:w="1423" w:type="dxa"/>
            <w:shd w:val="clear" w:color="auto" w:fill="auto"/>
            <w:noWrap/>
            <w:vAlign w:val="center"/>
            <w:hideMark/>
          </w:tcPr>
          <w:p w14:paraId="0FF0A391"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c>
          <w:tcPr>
            <w:tcW w:w="1418" w:type="dxa"/>
            <w:shd w:val="clear" w:color="auto" w:fill="auto"/>
            <w:noWrap/>
            <w:vAlign w:val="center"/>
            <w:hideMark/>
          </w:tcPr>
          <w:p w14:paraId="1DBFAB13"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c>
          <w:tcPr>
            <w:tcW w:w="1559" w:type="dxa"/>
            <w:shd w:val="clear" w:color="auto" w:fill="auto"/>
            <w:noWrap/>
            <w:vAlign w:val="center"/>
            <w:hideMark/>
          </w:tcPr>
          <w:p w14:paraId="5D12B09F" w14:textId="77777777" w:rsidR="003463D5" w:rsidRPr="00FA0EAE" w:rsidRDefault="003463D5" w:rsidP="00FA0EAE">
            <w:pPr>
              <w:jc w:val="center"/>
              <w:rPr>
                <w:rFonts w:ascii="Arial Narrow" w:hAnsi="Arial Narrow" w:cs="Calibri"/>
                <w:b/>
                <w:bCs/>
                <w:color w:val="000000"/>
                <w:sz w:val="18"/>
                <w:szCs w:val="18"/>
                <w:lang w:val="es-CR" w:eastAsia="es-CR"/>
              </w:rPr>
            </w:pPr>
            <w:r w:rsidRPr="00FA0EAE">
              <w:rPr>
                <w:rFonts w:ascii="Arial Narrow" w:hAnsi="Arial Narrow" w:cs="Calibri"/>
                <w:b/>
                <w:bCs/>
                <w:color w:val="000000"/>
                <w:sz w:val="18"/>
                <w:szCs w:val="18"/>
                <w:lang w:eastAsia="es-CR"/>
              </w:rPr>
              <w:t>1</w:t>
            </w:r>
          </w:p>
        </w:tc>
        <w:tc>
          <w:tcPr>
            <w:tcW w:w="1417" w:type="dxa"/>
            <w:shd w:val="clear" w:color="auto" w:fill="auto"/>
            <w:noWrap/>
            <w:vAlign w:val="center"/>
            <w:hideMark/>
          </w:tcPr>
          <w:p w14:paraId="310EB0DC"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r>
      <w:tr w:rsidR="003463D5" w:rsidRPr="00FA0EAE" w14:paraId="4BDEF1D4" w14:textId="77777777" w:rsidTr="00322D9B">
        <w:trPr>
          <w:trHeight w:val="301"/>
          <w:jc w:val="center"/>
        </w:trPr>
        <w:tc>
          <w:tcPr>
            <w:tcW w:w="991" w:type="dxa"/>
            <w:vMerge/>
            <w:vAlign w:val="center"/>
            <w:hideMark/>
          </w:tcPr>
          <w:p w14:paraId="242123B9" w14:textId="77777777" w:rsidR="003463D5" w:rsidRPr="00821811" w:rsidRDefault="003463D5" w:rsidP="00FA0EAE">
            <w:pPr>
              <w:rPr>
                <w:rFonts w:ascii="Arial Narrow" w:hAnsi="Arial Narrow" w:cs="Calibri"/>
                <w:b/>
                <w:bCs/>
                <w:color w:val="000000"/>
                <w:sz w:val="16"/>
                <w:szCs w:val="16"/>
                <w:lang w:val="es-CR" w:eastAsia="es-CR"/>
              </w:rPr>
            </w:pPr>
          </w:p>
        </w:tc>
        <w:tc>
          <w:tcPr>
            <w:tcW w:w="1687" w:type="dxa"/>
            <w:shd w:val="clear" w:color="auto" w:fill="auto"/>
            <w:vAlign w:val="center"/>
            <w:hideMark/>
          </w:tcPr>
          <w:p w14:paraId="26642555"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Modalidades alternativas de trabajo</w:t>
            </w:r>
          </w:p>
        </w:tc>
        <w:tc>
          <w:tcPr>
            <w:tcW w:w="1423" w:type="dxa"/>
            <w:shd w:val="clear" w:color="auto" w:fill="auto"/>
            <w:noWrap/>
            <w:vAlign w:val="center"/>
            <w:hideMark/>
          </w:tcPr>
          <w:p w14:paraId="6AF8FF66"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c>
          <w:tcPr>
            <w:tcW w:w="1418" w:type="dxa"/>
            <w:shd w:val="clear" w:color="auto" w:fill="auto"/>
            <w:noWrap/>
            <w:vAlign w:val="center"/>
            <w:hideMark/>
          </w:tcPr>
          <w:p w14:paraId="6D6ADDDE"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c>
          <w:tcPr>
            <w:tcW w:w="1559" w:type="dxa"/>
            <w:shd w:val="clear" w:color="auto" w:fill="auto"/>
            <w:noWrap/>
            <w:vAlign w:val="center"/>
            <w:hideMark/>
          </w:tcPr>
          <w:p w14:paraId="37CE8A8E"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c>
          <w:tcPr>
            <w:tcW w:w="1417" w:type="dxa"/>
            <w:shd w:val="clear" w:color="auto" w:fill="auto"/>
            <w:noWrap/>
            <w:vAlign w:val="center"/>
            <w:hideMark/>
          </w:tcPr>
          <w:p w14:paraId="09A63BA3"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r>
      <w:tr w:rsidR="003463D5" w:rsidRPr="00FA0EAE" w14:paraId="2DFD911C" w14:textId="77777777" w:rsidTr="00322D9B">
        <w:trPr>
          <w:trHeight w:val="313"/>
          <w:jc w:val="center"/>
        </w:trPr>
        <w:tc>
          <w:tcPr>
            <w:tcW w:w="991" w:type="dxa"/>
            <w:vMerge/>
            <w:vAlign w:val="center"/>
            <w:hideMark/>
          </w:tcPr>
          <w:p w14:paraId="42F01FA4" w14:textId="77777777" w:rsidR="003463D5" w:rsidRPr="00821811" w:rsidRDefault="003463D5" w:rsidP="00FA0EAE">
            <w:pPr>
              <w:rPr>
                <w:rFonts w:ascii="Arial Narrow" w:hAnsi="Arial Narrow" w:cs="Calibri"/>
                <w:b/>
                <w:bCs/>
                <w:color w:val="000000"/>
                <w:sz w:val="16"/>
                <w:szCs w:val="16"/>
                <w:lang w:val="es-CR" w:eastAsia="es-CR"/>
              </w:rPr>
            </w:pPr>
          </w:p>
        </w:tc>
        <w:tc>
          <w:tcPr>
            <w:tcW w:w="1687" w:type="dxa"/>
            <w:shd w:val="clear" w:color="auto" w:fill="auto"/>
            <w:vAlign w:val="center"/>
            <w:hideMark/>
          </w:tcPr>
          <w:p w14:paraId="10FAB750"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Buenas prácticas</w:t>
            </w:r>
          </w:p>
        </w:tc>
        <w:tc>
          <w:tcPr>
            <w:tcW w:w="1423" w:type="dxa"/>
            <w:shd w:val="clear" w:color="auto" w:fill="auto"/>
            <w:noWrap/>
            <w:vAlign w:val="center"/>
            <w:hideMark/>
          </w:tcPr>
          <w:p w14:paraId="7D573EA4"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c>
          <w:tcPr>
            <w:tcW w:w="1418" w:type="dxa"/>
            <w:shd w:val="clear" w:color="auto" w:fill="auto"/>
            <w:noWrap/>
            <w:vAlign w:val="center"/>
            <w:hideMark/>
          </w:tcPr>
          <w:p w14:paraId="170B1DD4"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c>
          <w:tcPr>
            <w:tcW w:w="1559" w:type="dxa"/>
            <w:shd w:val="clear" w:color="auto" w:fill="auto"/>
            <w:noWrap/>
            <w:vAlign w:val="center"/>
            <w:hideMark/>
          </w:tcPr>
          <w:p w14:paraId="2084186C"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c>
          <w:tcPr>
            <w:tcW w:w="1417" w:type="dxa"/>
            <w:shd w:val="clear" w:color="auto" w:fill="auto"/>
            <w:noWrap/>
            <w:vAlign w:val="center"/>
            <w:hideMark/>
          </w:tcPr>
          <w:p w14:paraId="06A9A8E0"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r>
      <w:tr w:rsidR="003463D5" w:rsidRPr="00FA0EAE" w14:paraId="03A80F05" w14:textId="77777777" w:rsidTr="00322D9B">
        <w:trPr>
          <w:trHeight w:val="301"/>
          <w:jc w:val="center"/>
        </w:trPr>
        <w:tc>
          <w:tcPr>
            <w:tcW w:w="991" w:type="dxa"/>
            <w:vMerge w:val="restart"/>
            <w:shd w:val="clear" w:color="auto" w:fill="auto"/>
            <w:vAlign w:val="center"/>
            <w:hideMark/>
          </w:tcPr>
          <w:p w14:paraId="73B4A77A" w14:textId="77777777" w:rsidR="003463D5" w:rsidRPr="00821811" w:rsidRDefault="003463D5" w:rsidP="00FA0EAE">
            <w:pPr>
              <w:jc w:val="center"/>
              <w:rPr>
                <w:rFonts w:ascii="Arial Narrow" w:hAnsi="Arial Narrow" w:cs="Calibri"/>
                <w:b/>
                <w:bCs/>
                <w:color w:val="000000"/>
                <w:sz w:val="16"/>
                <w:szCs w:val="16"/>
                <w:lang w:val="es-CR" w:eastAsia="es-CR"/>
              </w:rPr>
            </w:pPr>
            <w:r w:rsidRPr="00821811">
              <w:rPr>
                <w:rFonts w:ascii="Arial Narrow" w:hAnsi="Arial Narrow" w:cs="Calibri"/>
                <w:b/>
                <w:bCs/>
                <w:color w:val="000000"/>
                <w:sz w:val="16"/>
                <w:szCs w:val="16"/>
                <w:lang w:eastAsia="es-CR"/>
              </w:rPr>
              <w:t>Gestión del personal</w:t>
            </w:r>
          </w:p>
        </w:tc>
        <w:tc>
          <w:tcPr>
            <w:tcW w:w="1687" w:type="dxa"/>
            <w:shd w:val="clear" w:color="auto" w:fill="auto"/>
            <w:vAlign w:val="center"/>
            <w:hideMark/>
          </w:tcPr>
          <w:p w14:paraId="7489D805"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Evaluación del Desempeño</w:t>
            </w:r>
          </w:p>
        </w:tc>
        <w:tc>
          <w:tcPr>
            <w:tcW w:w="1423" w:type="dxa"/>
            <w:shd w:val="clear" w:color="auto" w:fill="auto"/>
            <w:noWrap/>
            <w:vAlign w:val="center"/>
            <w:hideMark/>
          </w:tcPr>
          <w:p w14:paraId="67313CD0"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c>
          <w:tcPr>
            <w:tcW w:w="1418" w:type="dxa"/>
            <w:shd w:val="clear" w:color="auto" w:fill="auto"/>
            <w:noWrap/>
            <w:vAlign w:val="center"/>
            <w:hideMark/>
          </w:tcPr>
          <w:p w14:paraId="66F6E149"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c>
          <w:tcPr>
            <w:tcW w:w="1559" w:type="dxa"/>
            <w:shd w:val="clear" w:color="auto" w:fill="auto"/>
            <w:noWrap/>
            <w:vAlign w:val="center"/>
            <w:hideMark/>
          </w:tcPr>
          <w:p w14:paraId="282D92AD"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c>
          <w:tcPr>
            <w:tcW w:w="1417" w:type="dxa"/>
            <w:shd w:val="clear" w:color="auto" w:fill="auto"/>
            <w:noWrap/>
            <w:vAlign w:val="center"/>
            <w:hideMark/>
          </w:tcPr>
          <w:p w14:paraId="7760B290"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r>
      <w:tr w:rsidR="003463D5" w:rsidRPr="00FA0EAE" w14:paraId="634E2E8E" w14:textId="77777777" w:rsidTr="00322D9B">
        <w:trPr>
          <w:trHeight w:val="301"/>
          <w:jc w:val="center"/>
        </w:trPr>
        <w:tc>
          <w:tcPr>
            <w:tcW w:w="991" w:type="dxa"/>
            <w:vMerge/>
            <w:vAlign w:val="center"/>
            <w:hideMark/>
          </w:tcPr>
          <w:p w14:paraId="6154DD86" w14:textId="77777777" w:rsidR="003463D5" w:rsidRPr="00821811" w:rsidRDefault="003463D5" w:rsidP="00FA0EAE">
            <w:pPr>
              <w:rPr>
                <w:rFonts w:ascii="Arial Narrow" w:hAnsi="Arial Narrow" w:cs="Calibri"/>
                <w:b/>
                <w:bCs/>
                <w:color w:val="000000"/>
                <w:sz w:val="16"/>
                <w:szCs w:val="16"/>
                <w:lang w:val="es-CR" w:eastAsia="es-CR"/>
              </w:rPr>
            </w:pPr>
          </w:p>
        </w:tc>
        <w:tc>
          <w:tcPr>
            <w:tcW w:w="1687" w:type="dxa"/>
            <w:shd w:val="clear" w:color="auto" w:fill="auto"/>
            <w:vAlign w:val="center"/>
            <w:hideMark/>
          </w:tcPr>
          <w:p w14:paraId="0FC34C0D"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Reclutamiento y selección</w:t>
            </w:r>
          </w:p>
        </w:tc>
        <w:tc>
          <w:tcPr>
            <w:tcW w:w="1423" w:type="dxa"/>
            <w:shd w:val="clear" w:color="auto" w:fill="auto"/>
            <w:noWrap/>
            <w:vAlign w:val="center"/>
            <w:hideMark/>
          </w:tcPr>
          <w:p w14:paraId="5249578D"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c>
          <w:tcPr>
            <w:tcW w:w="1418" w:type="dxa"/>
            <w:shd w:val="clear" w:color="auto" w:fill="auto"/>
            <w:noWrap/>
            <w:vAlign w:val="center"/>
            <w:hideMark/>
          </w:tcPr>
          <w:p w14:paraId="62B0AB57"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c>
          <w:tcPr>
            <w:tcW w:w="1559" w:type="dxa"/>
            <w:shd w:val="clear" w:color="auto" w:fill="auto"/>
            <w:noWrap/>
            <w:vAlign w:val="center"/>
            <w:hideMark/>
          </w:tcPr>
          <w:p w14:paraId="2EAA10C2"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c>
          <w:tcPr>
            <w:tcW w:w="1417" w:type="dxa"/>
            <w:shd w:val="clear" w:color="auto" w:fill="auto"/>
            <w:noWrap/>
            <w:vAlign w:val="center"/>
            <w:hideMark/>
          </w:tcPr>
          <w:p w14:paraId="4D51A862"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r>
      <w:tr w:rsidR="003463D5" w:rsidRPr="00FA0EAE" w14:paraId="24A7EF6D" w14:textId="77777777" w:rsidTr="00322D9B">
        <w:trPr>
          <w:trHeight w:val="301"/>
          <w:jc w:val="center"/>
        </w:trPr>
        <w:tc>
          <w:tcPr>
            <w:tcW w:w="991" w:type="dxa"/>
            <w:vMerge/>
            <w:vAlign w:val="center"/>
            <w:hideMark/>
          </w:tcPr>
          <w:p w14:paraId="495CDB3F" w14:textId="77777777" w:rsidR="003463D5" w:rsidRPr="00821811" w:rsidRDefault="003463D5" w:rsidP="00FA0EAE">
            <w:pPr>
              <w:rPr>
                <w:rFonts w:ascii="Arial Narrow" w:hAnsi="Arial Narrow" w:cs="Calibri"/>
                <w:b/>
                <w:bCs/>
                <w:color w:val="000000"/>
                <w:sz w:val="16"/>
                <w:szCs w:val="16"/>
                <w:lang w:val="es-CR" w:eastAsia="es-CR"/>
              </w:rPr>
            </w:pPr>
          </w:p>
        </w:tc>
        <w:tc>
          <w:tcPr>
            <w:tcW w:w="1687" w:type="dxa"/>
            <w:shd w:val="clear" w:color="auto" w:fill="auto"/>
            <w:vAlign w:val="center"/>
            <w:hideMark/>
          </w:tcPr>
          <w:p w14:paraId="0A53DBAD"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 xml:space="preserve">Capacitación </w:t>
            </w:r>
          </w:p>
        </w:tc>
        <w:tc>
          <w:tcPr>
            <w:tcW w:w="1423" w:type="dxa"/>
            <w:shd w:val="clear" w:color="auto" w:fill="auto"/>
            <w:noWrap/>
            <w:vAlign w:val="center"/>
            <w:hideMark/>
          </w:tcPr>
          <w:p w14:paraId="4E1F42E1" w14:textId="77777777" w:rsidR="003463D5" w:rsidRPr="00FA0EAE" w:rsidRDefault="003463D5" w:rsidP="00FA0EAE">
            <w:pPr>
              <w:jc w:val="center"/>
              <w:rPr>
                <w:rFonts w:ascii="Arial Narrow" w:hAnsi="Arial Narrow" w:cs="Calibri"/>
                <w:b/>
                <w:bCs/>
                <w:color w:val="000000"/>
                <w:sz w:val="18"/>
                <w:szCs w:val="18"/>
                <w:lang w:val="es-CR" w:eastAsia="es-CR"/>
              </w:rPr>
            </w:pPr>
            <w:r w:rsidRPr="00FA0EAE">
              <w:rPr>
                <w:rFonts w:ascii="Arial Narrow" w:hAnsi="Arial Narrow" w:cs="Calibri"/>
                <w:b/>
                <w:bCs/>
                <w:color w:val="000000"/>
                <w:sz w:val="18"/>
                <w:szCs w:val="18"/>
                <w:lang w:eastAsia="es-CR"/>
              </w:rPr>
              <w:t>6</w:t>
            </w:r>
          </w:p>
        </w:tc>
        <w:tc>
          <w:tcPr>
            <w:tcW w:w="1418" w:type="dxa"/>
            <w:shd w:val="clear" w:color="auto" w:fill="auto"/>
            <w:noWrap/>
            <w:vAlign w:val="center"/>
            <w:hideMark/>
          </w:tcPr>
          <w:p w14:paraId="20559313"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c>
          <w:tcPr>
            <w:tcW w:w="1559" w:type="dxa"/>
            <w:shd w:val="clear" w:color="auto" w:fill="auto"/>
            <w:noWrap/>
            <w:vAlign w:val="center"/>
            <w:hideMark/>
          </w:tcPr>
          <w:p w14:paraId="0DF7F182" w14:textId="77777777" w:rsidR="003463D5" w:rsidRPr="00FA0EAE" w:rsidRDefault="003463D5" w:rsidP="00FA0EAE">
            <w:pPr>
              <w:jc w:val="center"/>
              <w:rPr>
                <w:rFonts w:ascii="Arial Narrow" w:hAnsi="Arial Narrow" w:cs="Calibri"/>
                <w:b/>
                <w:bCs/>
                <w:color w:val="000000"/>
                <w:sz w:val="18"/>
                <w:szCs w:val="18"/>
                <w:lang w:val="es-CR" w:eastAsia="es-CR"/>
              </w:rPr>
            </w:pPr>
            <w:r w:rsidRPr="00FA0EAE">
              <w:rPr>
                <w:rFonts w:ascii="Arial Narrow" w:hAnsi="Arial Narrow" w:cs="Calibri"/>
                <w:b/>
                <w:bCs/>
                <w:color w:val="000000"/>
                <w:sz w:val="18"/>
                <w:szCs w:val="18"/>
                <w:lang w:eastAsia="es-CR"/>
              </w:rPr>
              <w:t>1</w:t>
            </w:r>
          </w:p>
        </w:tc>
        <w:tc>
          <w:tcPr>
            <w:tcW w:w="1417" w:type="dxa"/>
            <w:shd w:val="clear" w:color="auto" w:fill="auto"/>
            <w:noWrap/>
            <w:vAlign w:val="center"/>
            <w:hideMark/>
          </w:tcPr>
          <w:p w14:paraId="7BF8C524"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r>
      <w:tr w:rsidR="003463D5" w:rsidRPr="00FA0EAE" w14:paraId="39F9F270" w14:textId="77777777" w:rsidTr="00322D9B">
        <w:trPr>
          <w:trHeight w:val="301"/>
          <w:jc w:val="center"/>
        </w:trPr>
        <w:tc>
          <w:tcPr>
            <w:tcW w:w="991" w:type="dxa"/>
            <w:vMerge/>
            <w:vAlign w:val="center"/>
            <w:hideMark/>
          </w:tcPr>
          <w:p w14:paraId="5998FFAA" w14:textId="77777777" w:rsidR="003463D5" w:rsidRPr="00821811" w:rsidRDefault="003463D5" w:rsidP="00FA0EAE">
            <w:pPr>
              <w:rPr>
                <w:rFonts w:ascii="Arial Narrow" w:hAnsi="Arial Narrow" w:cs="Calibri"/>
                <w:b/>
                <w:bCs/>
                <w:color w:val="000000"/>
                <w:sz w:val="16"/>
                <w:szCs w:val="16"/>
                <w:lang w:val="es-CR" w:eastAsia="es-CR"/>
              </w:rPr>
            </w:pPr>
          </w:p>
        </w:tc>
        <w:tc>
          <w:tcPr>
            <w:tcW w:w="1687" w:type="dxa"/>
            <w:shd w:val="clear" w:color="auto" w:fill="auto"/>
            <w:vAlign w:val="center"/>
            <w:hideMark/>
          </w:tcPr>
          <w:p w14:paraId="5D94F925"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Carrera</w:t>
            </w:r>
          </w:p>
        </w:tc>
        <w:tc>
          <w:tcPr>
            <w:tcW w:w="1423" w:type="dxa"/>
            <w:shd w:val="clear" w:color="auto" w:fill="auto"/>
            <w:noWrap/>
            <w:vAlign w:val="center"/>
            <w:hideMark/>
          </w:tcPr>
          <w:p w14:paraId="3726D8DC"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c>
          <w:tcPr>
            <w:tcW w:w="1418" w:type="dxa"/>
            <w:shd w:val="clear" w:color="auto" w:fill="auto"/>
            <w:noWrap/>
            <w:vAlign w:val="center"/>
            <w:hideMark/>
          </w:tcPr>
          <w:p w14:paraId="685A3048"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c>
          <w:tcPr>
            <w:tcW w:w="1559" w:type="dxa"/>
            <w:shd w:val="clear" w:color="auto" w:fill="auto"/>
            <w:noWrap/>
            <w:vAlign w:val="center"/>
            <w:hideMark/>
          </w:tcPr>
          <w:p w14:paraId="66FB3B7B"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c>
          <w:tcPr>
            <w:tcW w:w="1417" w:type="dxa"/>
            <w:shd w:val="clear" w:color="auto" w:fill="auto"/>
            <w:noWrap/>
            <w:vAlign w:val="center"/>
            <w:hideMark/>
          </w:tcPr>
          <w:p w14:paraId="4F25CB27"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r>
      <w:tr w:rsidR="003463D5" w:rsidRPr="00FA0EAE" w14:paraId="521D5EB3" w14:textId="77777777" w:rsidTr="00322D9B">
        <w:trPr>
          <w:trHeight w:val="313"/>
          <w:jc w:val="center"/>
        </w:trPr>
        <w:tc>
          <w:tcPr>
            <w:tcW w:w="991" w:type="dxa"/>
            <w:vMerge/>
            <w:vAlign w:val="center"/>
            <w:hideMark/>
          </w:tcPr>
          <w:p w14:paraId="44D6966B" w14:textId="77777777" w:rsidR="003463D5" w:rsidRPr="00821811" w:rsidRDefault="003463D5" w:rsidP="00FA0EAE">
            <w:pPr>
              <w:rPr>
                <w:rFonts w:ascii="Arial Narrow" w:hAnsi="Arial Narrow" w:cs="Calibri"/>
                <w:b/>
                <w:bCs/>
                <w:color w:val="000000"/>
                <w:sz w:val="16"/>
                <w:szCs w:val="16"/>
                <w:lang w:val="es-CR" w:eastAsia="es-CR"/>
              </w:rPr>
            </w:pPr>
          </w:p>
        </w:tc>
        <w:tc>
          <w:tcPr>
            <w:tcW w:w="1687" w:type="dxa"/>
            <w:shd w:val="clear" w:color="auto" w:fill="auto"/>
            <w:vAlign w:val="center"/>
            <w:hideMark/>
          </w:tcPr>
          <w:p w14:paraId="775557A4"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Bienestar y Salud</w:t>
            </w:r>
          </w:p>
        </w:tc>
        <w:tc>
          <w:tcPr>
            <w:tcW w:w="1423" w:type="dxa"/>
            <w:shd w:val="clear" w:color="auto" w:fill="auto"/>
            <w:noWrap/>
            <w:vAlign w:val="center"/>
            <w:hideMark/>
          </w:tcPr>
          <w:p w14:paraId="20102771"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c>
          <w:tcPr>
            <w:tcW w:w="1418" w:type="dxa"/>
            <w:shd w:val="clear" w:color="auto" w:fill="auto"/>
            <w:noWrap/>
            <w:vAlign w:val="center"/>
            <w:hideMark/>
          </w:tcPr>
          <w:p w14:paraId="26C5CD14"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c>
          <w:tcPr>
            <w:tcW w:w="1559" w:type="dxa"/>
            <w:shd w:val="clear" w:color="auto" w:fill="auto"/>
            <w:noWrap/>
            <w:vAlign w:val="center"/>
            <w:hideMark/>
          </w:tcPr>
          <w:p w14:paraId="0D59467F"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c>
          <w:tcPr>
            <w:tcW w:w="1417" w:type="dxa"/>
            <w:shd w:val="clear" w:color="auto" w:fill="auto"/>
            <w:noWrap/>
            <w:vAlign w:val="center"/>
            <w:hideMark/>
          </w:tcPr>
          <w:p w14:paraId="34F21B87"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r>
      <w:tr w:rsidR="003463D5" w:rsidRPr="00FA0EAE" w14:paraId="17F90614" w14:textId="77777777" w:rsidTr="00322D9B">
        <w:trPr>
          <w:trHeight w:val="301"/>
          <w:jc w:val="center"/>
        </w:trPr>
        <w:tc>
          <w:tcPr>
            <w:tcW w:w="991" w:type="dxa"/>
            <w:vMerge w:val="restart"/>
            <w:shd w:val="clear" w:color="auto" w:fill="auto"/>
            <w:vAlign w:val="center"/>
            <w:hideMark/>
          </w:tcPr>
          <w:p w14:paraId="4BC6CD8C" w14:textId="77777777" w:rsidR="003463D5" w:rsidRPr="00821811" w:rsidRDefault="003463D5" w:rsidP="00FA0EAE">
            <w:pPr>
              <w:jc w:val="center"/>
              <w:rPr>
                <w:rFonts w:ascii="Arial Narrow" w:hAnsi="Arial Narrow" w:cs="Calibri"/>
                <w:b/>
                <w:bCs/>
                <w:color w:val="000000"/>
                <w:sz w:val="16"/>
                <w:szCs w:val="16"/>
                <w:lang w:val="es-CR" w:eastAsia="es-CR"/>
              </w:rPr>
            </w:pPr>
            <w:r w:rsidRPr="00821811">
              <w:rPr>
                <w:rFonts w:ascii="Arial Narrow" w:hAnsi="Arial Narrow" w:cs="Calibri"/>
                <w:b/>
                <w:bCs/>
                <w:color w:val="000000"/>
                <w:sz w:val="16"/>
                <w:szCs w:val="16"/>
                <w:lang w:eastAsia="es-CR"/>
              </w:rPr>
              <w:t>Planificación institucional</w:t>
            </w:r>
          </w:p>
        </w:tc>
        <w:tc>
          <w:tcPr>
            <w:tcW w:w="1687" w:type="dxa"/>
            <w:shd w:val="clear" w:color="auto" w:fill="auto"/>
            <w:vAlign w:val="center"/>
            <w:hideMark/>
          </w:tcPr>
          <w:p w14:paraId="24C84981"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Gestión Estratégica institucional</w:t>
            </w:r>
          </w:p>
        </w:tc>
        <w:tc>
          <w:tcPr>
            <w:tcW w:w="1423" w:type="dxa"/>
            <w:shd w:val="clear" w:color="auto" w:fill="auto"/>
            <w:noWrap/>
            <w:vAlign w:val="center"/>
            <w:hideMark/>
          </w:tcPr>
          <w:p w14:paraId="32B8A4F1" w14:textId="77777777" w:rsidR="003463D5" w:rsidRPr="00FA0EAE" w:rsidRDefault="003463D5" w:rsidP="00FA0EAE">
            <w:pPr>
              <w:jc w:val="center"/>
              <w:rPr>
                <w:rFonts w:ascii="Arial Narrow" w:hAnsi="Arial Narrow" w:cs="Calibri"/>
                <w:b/>
                <w:bCs/>
                <w:color w:val="000000"/>
                <w:sz w:val="18"/>
                <w:szCs w:val="18"/>
                <w:lang w:val="es-CR" w:eastAsia="es-CR"/>
              </w:rPr>
            </w:pPr>
            <w:r w:rsidRPr="00FA0EAE">
              <w:rPr>
                <w:rFonts w:ascii="Arial Narrow" w:hAnsi="Arial Narrow" w:cs="Calibri"/>
                <w:b/>
                <w:bCs/>
                <w:color w:val="000000"/>
                <w:sz w:val="18"/>
                <w:szCs w:val="18"/>
                <w:lang w:eastAsia="es-CR"/>
              </w:rPr>
              <w:t>1</w:t>
            </w:r>
          </w:p>
        </w:tc>
        <w:tc>
          <w:tcPr>
            <w:tcW w:w="1418" w:type="dxa"/>
            <w:shd w:val="clear" w:color="auto" w:fill="auto"/>
            <w:noWrap/>
            <w:vAlign w:val="center"/>
            <w:hideMark/>
          </w:tcPr>
          <w:p w14:paraId="709C8B89"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c>
          <w:tcPr>
            <w:tcW w:w="1559" w:type="dxa"/>
            <w:shd w:val="clear" w:color="auto" w:fill="auto"/>
            <w:noWrap/>
            <w:vAlign w:val="center"/>
            <w:hideMark/>
          </w:tcPr>
          <w:p w14:paraId="40A20CBE"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c>
          <w:tcPr>
            <w:tcW w:w="1417" w:type="dxa"/>
            <w:shd w:val="clear" w:color="auto" w:fill="auto"/>
            <w:noWrap/>
            <w:vAlign w:val="center"/>
            <w:hideMark/>
          </w:tcPr>
          <w:p w14:paraId="23CFA62C"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r>
      <w:tr w:rsidR="003463D5" w:rsidRPr="00FA0EAE" w14:paraId="0C71FA10" w14:textId="77777777" w:rsidTr="00322D9B">
        <w:trPr>
          <w:trHeight w:val="301"/>
          <w:jc w:val="center"/>
        </w:trPr>
        <w:tc>
          <w:tcPr>
            <w:tcW w:w="991" w:type="dxa"/>
            <w:vMerge/>
            <w:vAlign w:val="center"/>
            <w:hideMark/>
          </w:tcPr>
          <w:p w14:paraId="476AF678" w14:textId="77777777" w:rsidR="003463D5" w:rsidRPr="00FA0EAE" w:rsidRDefault="003463D5" w:rsidP="00FA0EAE">
            <w:pPr>
              <w:rPr>
                <w:rFonts w:ascii="Arial Narrow" w:hAnsi="Arial Narrow" w:cs="Calibri"/>
                <w:color w:val="000000"/>
                <w:sz w:val="18"/>
                <w:szCs w:val="18"/>
                <w:lang w:val="es-CR" w:eastAsia="es-CR"/>
              </w:rPr>
            </w:pPr>
          </w:p>
        </w:tc>
        <w:tc>
          <w:tcPr>
            <w:tcW w:w="1687" w:type="dxa"/>
            <w:shd w:val="clear" w:color="auto" w:fill="auto"/>
            <w:vAlign w:val="center"/>
            <w:hideMark/>
          </w:tcPr>
          <w:p w14:paraId="6D7E4530"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Gestión de Políticas Institucionales</w:t>
            </w:r>
          </w:p>
        </w:tc>
        <w:tc>
          <w:tcPr>
            <w:tcW w:w="1423" w:type="dxa"/>
            <w:shd w:val="clear" w:color="auto" w:fill="auto"/>
            <w:noWrap/>
            <w:vAlign w:val="center"/>
            <w:hideMark/>
          </w:tcPr>
          <w:p w14:paraId="20313C59"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c>
          <w:tcPr>
            <w:tcW w:w="1418" w:type="dxa"/>
            <w:shd w:val="clear" w:color="auto" w:fill="auto"/>
            <w:noWrap/>
            <w:vAlign w:val="center"/>
            <w:hideMark/>
          </w:tcPr>
          <w:p w14:paraId="1BE4EA31"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c>
          <w:tcPr>
            <w:tcW w:w="1559" w:type="dxa"/>
            <w:shd w:val="clear" w:color="auto" w:fill="auto"/>
            <w:noWrap/>
            <w:vAlign w:val="center"/>
            <w:hideMark/>
          </w:tcPr>
          <w:p w14:paraId="37F914B2"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c>
          <w:tcPr>
            <w:tcW w:w="1417" w:type="dxa"/>
            <w:shd w:val="clear" w:color="auto" w:fill="auto"/>
            <w:noWrap/>
            <w:vAlign w:val="center"/>
            <w:hideMark/>
          </w:tcPr>
          <w:p w14:paraId="699BC1A9"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r>
      <w:tr w:rsidR="003463D5" w:rsidRPr="00FA0EAE" w14:paraId="70AEC605" w14:textId="77777777" w:rsidTr="00322D9B">
        <w:trPr>
          <w:trHeight w:val="464"/>
          <w:jc w:val="center"/>
        </w:trPr>
        <w:tc>
          <w:tcPr>
            <w:tcW w:w="991" w:type="dxa"/>
            <w:vMerge/>
            <w:vAlign w:val="center"/>
            <w:hideMark/>
          </w:tcPr>
          <w:p w14:paraId="0B930032" w14:textId="77777777" w:rsidR="003463D5" w:rsidRPr="00FA0EAE" w:rsidRDefault="003463D5" w:rsidP="00FA0EAE">
            <w:pPr>
              <w:rPr>
                <w:rFonts w:ascii="Arial Narrow" w:hAnsi="Arial Narrow" w:cs="Calibri"/>
                <w:color w:val="000000"/>
                <w:sz w:val="18"/>
                <w:szCs w:val="18"/>
                <w:lang w:val="es-CR" w:eastAsia="es-CR"/>
              </w:rPr>
            </w:pPr>
          </w:p>
        </w:tc>
        <w:tc>
          <w:tcPr>
            <w:tcW w:w="1687" w:type="dxa"/>
            <w:shd w:val="clear" w:color="auto" w:fill="auto"/>
            <w:vAlign w:val="center"/>
            <w:hideMark/>
          </w:tcPr>
          <w:p w14:paraId="217B437A"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Gestión administrativa por medio del portafolio de proyectos</w:t>
            </w:r>
          </w:p>
        </w:tc>
        <w:tc>
          <w:tcPr>
            <w:tcW w:w="1423" w:type="dxa"/>
            <w:shd w:val="clear" w:color="auto" w:fill="auto"/>
            <w:noWrap/>
            <w:vAlign w:val="center"/>
            <w:hideMark/>
          </w:tcPr>
          <w:p w14:paraId="10D85379"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c>
          <w:tcPr>
            <w:tcW w:w="1418" w:type="dxa"/>
            <w:shd w:val="clear" w:color="auto" w:fill="auto"/>
            <w:noWrap/>
            <w:vAlign w:val="center"/>
            <w:hideMark/>
          </w:tcPr>
          <w:p w14:paraId="56070C9E"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c>
          <w:tcPr>
            <w:tcW w:w="1559" w:type="dxa"/>
            <w:shd w:val="clear" w:color="auto" w:fill="auto"/>
            <w:noWrap/>
            <w:vAlign w:val="center"/>
            <w:hideMark/>
          </w:tcPr>
          <w:p w14:paraId="677BE40F"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c>
          <w:tcPr>
            <w:tcW w:w="1417" w:type="dxa"/>
            <w:shd w:val="clear" w:color="auto" w:fill="auto"/>
            <w:noWrap/>
            <w:vAlign w:val="center"/>
            <w:hideMark/>
          </w:tcPr>
          <w:p w14:paraId="16E90B6A" w14:textId="77777777" w:rsidR="003463D5" w:rsidRPr="00FA0EAE" w:rsidRDefault="003463D5" w:rsidP="00FA0EAE">
            <w:pPr>
              <w:jc w:val="center"/>
              <w:rPr>
                <w:rFonts w:ascii="Arial Narrow" w:hAnsi="Arial Narrow" w:cs="Calibri"/>
                <w:color w:val="000000"/>
                <w:sz w:val="18"/>
                <w:szCs w:val="18"/>
                <w:lang w:val="es-CR" w:eastAsia="es-CR"/>
              </w:rPr>
            </w:pPr>
            <w:r w:rsidRPr="00FA0EAE">
              <w:rPr>
                <w:rFonts w:ascii="Arial Narrow" w:hAnsi="Arial Narrow" w:cs="Calibri"/>
                <w:color w:val="000000"/>
                <w:sz w:val="18"/>
                <w:szCs w:val="18"/>
                <w:lang w:eastAsia="es-CR"/>
              </w:rPr>
              <w:t>-</w:t>
            </w:r>
          </w:p>
        </w:tc>
      </w:tr>
    </w:tbl>
    <w:p w14:paraId="52994719" w14:textId="7786E9B4" w:rsidR="00FA0EAE" w:rsidRPr="008F0B82" w:rsidRDefault="00C00254" w:rsidP="004C3FA6">
      <w:pPr>
        <w:ind w:firstLine="708"/>
        <w:jc w:val="center"/>
        <w:rPr>
          <w:rFonts w:ascii="Arial Narrow" w:hAnsi="Arial Narrow"/>
          <w:sz w:val="18"/>
          <w:szCs w:val="18"/>
          <w:lang w:eastAsia="en-US"/>
        </w:rPr>
      </w:pPr>
      <w:r w:rsidRPr="008F0B82">
        <w:rPr>
          <w:rFonts w:ascii="Arial Narrow" w:hAnsi="Arial Narrow"/>
          <w:sz w:val="18"/>
          <w:szCs w:val="18"/>
          <w:lang w:eastAsia="en-US"/>
        </w:rPr>
        <w:t>Fuente: elaboración propia con base en el análisis de hallazgos de la evaluación.</w:t>
      </w:r>
    </w:p>
    <w:p w14:paraId="511B31A9" w14:textId="6CC26810" w:rsidR="0025402E" w:rsidRPr="008F0B82" w:rsidRDefault="0025402E" w:rsidP="000B0449">
      <w:pPr>
        <w:rPr>
          <w:sz w:val="18"/>
          <w:szCs w:val="18"/>
          <w:lang w:eastAsia="en-US"/>
        </w:rPr>
      </w:pPr>
    </w:p>
    <w:p w14:paraId="6CFFD2E7" w14:textId="77777777" w:rsidR="00EB662A" w:rsidRDefault="00EB662A" w:rsidP="00745F72">
      <w:pPr>
        <w:rPr>
          <w:highlight w:val="yellow"/>
          <w:lang w:eastAsia="en-US"/>
        </w:rPr>
      </w:pPr>
    </w:p>
    <w:p w14:paraId="367895CF" w14:textId="3DB6957C" w:rsidR="17C79F93" w:rsidRPr="00322D9B" w:rsidRDefault="003463D5" w:rsidP="00322D9B">
      <w:pPr>
        <w:pStyle w:val="Prrafodelista"/>
        <w:numPr>
          <w:ilvl w:val="0"/>
          <w:numId w:val="133"/>
        </w:numPr>
        <w:spacing w:line="360" w:lineRule="auto"/>
        <w:jc w:val="both"/>
        <w:rPr>
          <w:rFonts w:ascii="Arial Narrow" w:eastAsia="Calibri" w:hAnsi="Arial Narrow"/>
          <w:lang w:val="es-CR"/>
        </w:rPr>
      </w:pPr>
      <w:r w:rsidRPr="00322D9B">
        <w:rPr>
          <w:rFonts w:ascii="Arial Narrow" w:eastAsia="Calibri" w:hAnsi="Arial Narrow"/>
          <w:lang w:val="es-CR"/>
        </w:rPr>
        <w:t>Se</w:t>
      </w:r>
      <w:r w:rsidR="3B7E9202" w:rsidRPr="00322D9B">
        <w:rPr>
          <w:rFonts w:ascii="Arial Narrow" w:eastAsia="Calibri" w:hAnsi="Arial Narrow"/>
          <w:lang w:val="es-CR"/>
        </w:rPr>
        <w:t xml:space="preserve"> detecta la necesidad de desarrollar la revisión de los parámetros y valores esperados de las diferentes metas</w:t>
      </w:r>
      <w:r w:rsidR="7904C3D8" w:rsidRPr="00322D9B">
        <w:rPr>
          <w:rFonts w:ascii="Arial Narrow" w:eastAsia="Calibri" w:hAnsi="Arial Narrow"/>
          <w:lang w:val="es-CR"/>
        </w:rPr>
        <w:t xml:space="preserve"> de las acciones estratégicas de Celeridad Judicial y Medidas alternas, las cuales dentro de cada apartado del informe se detalla cada necesidad y</w:t>
      </w:r>
      <w:r w:rsidR="296B6364" w:rsidRPr="00322D9B">
        <w:rPr>
          <w:rFonts w:ascii="Arial Narrow" w:eastAsia="Calibri" w:hAnsi="Arial Narrow"/>
          <w:lang w:val="es-CR"/>
        </w:rPr>
        <w:t xml:space="preserve"> de igual manera se encuentran especificadas en el Anexo 2.</w:t>
      </w:r>
    </w:p>
    <w:p w14:paraId="0FAE8C20" w14:textId="069FF762" w:rsidR="2FF62D2D" w:rsidRPr="00322D9B" w:rsidRDefault="09C81DEE" w:rsidP="00322D9B">
      <w:pPr>
        <w:pStyle w:val="Prrafodelista"/>
        <w:numPr>
          <w:ilvl w:val="0"/>
          <w:numId w:val="133"/>
        </w:numPr>
        <w:spacing w:line="360" w:lineRule="auto"/>
        <w:jc w:val="both"/>
        <w:rPr>
          <w:rFonts w:ascii="Arial Narrow" w:eastAsia="Calibri" w:hAnsi="Arial Narrow"/>
          <w:lang w:val="es-CR"/>
        </w:rPr>
      </w:pPr>
      <w:r w:rsidRPr="00322D9B">
        <w:rPr>
          <w:rFonts w:ascii="Arial Narrow" w:eastAsia="Calibri" w:hAnsi="Arial Narrow"/>
          <w:lang w:val="es-CR"/>
        </w:rPr>
        <w:t xml:space="preserve">Existen metas estratégicas que no muestran un porcentaje de cumplimiento acumulado debido a que fueron metas formuladas para el año 2021 y que en años anteriores no registraron datos ni cumplimiento. Para el tema de Optimización e innovación de los servicios judiciales se tienen 8 metas nuevas, Confianza y Probidad registra una meta y Gestión del Personal registra una meta para este 2021.  </w:t>
      </w:r>
    </w:p>
    <w:p w14:paraId="4FE15FE5" w14:textId="5BEA7A8A" w:rsidR="2FF62D2D" w:rsidRPr="00CE2B73" w:rsidRDefault="370A3040" w:rsidP="00322D9B">
      <w:pPr>
        <w:pStyle w:val="Prrafodelista"/>
        <w:numPr>
          <w:ilvl w:val="0"/>
          <w:numId w:val="133"/>
        </w:numPr>
        <w:spacing w:line="360" w:lineRule="auto"/>
        <w:jc w:val="both"/>
        <w:rPr>
          <w:rFonts w:ascii="Arial Narrow" w:eastAsia="Calibri" w:hAnsi="Arial Narrow"/>
          <w:lang w:val="es-CR"/>
        </w:rPr>
      </w:pPr>
      <w:r w:rsidRPr="00CE2B73">
        <w:rPr>
          <w:rFonts w:ascii="Arial Narrow" w:eastAsia="Calibri" w:hAnsi="Arial Narrow"/>
          <w:lang w:val="es-CR"/>
        </w:rPr>
        <w:t xml:space="preserve">Se comunica por parte de los responsables estratégicos de ciertas metas estratégicas que informan que cumplieron sus objetivos antes del periodo establecido, sin embargo, se debe aplicar el procedimiento </w:t>
      </w:r>
      <w:r w:rsidR="7F5490C3" w:rsidRPr="00322D9B">
        <w:rPr>
          <w:rFonts w:ascii="Arial Narrow" w:eastAsia="Calibri" w:hAnsi="Arial Narrow"/>
          <w:lang w:val="es-CR"/>
        </w:rPr>
        <w:t xml:space="preserve"> contenido en el ° 91-PLA-PE-2022 del 28 de enero de 2022, aprobado en sesión  14-2022 celebrada el 17 de febrero del 2022, articulo XLVIII, por medio del cual se aprueba la propuesta para la gestión</w:t>
      </w:r>
      <w:r w:rsidR="7F5490C3" w:rsidRPr="00CE2B73">
        <w:rPr>
          <w:rFonts w:ascii="Arial Narrow" w:eastAsia="Calibri" w:hAnsi="Arial Narrow"/>
          <w:lang w:val="es" w:eastAsia="en-US"/>
        </w:rPr>
        <w:t xml:space="preserve"> de los alineamientos estratégicos (procedimiento asociado al Subproceso de la Gestión de Solicitudes de Alineamiento Estratégico), el cual </w:t>
      </w:r>
      <w:r w:rsidR="7F5490C3" w:rsidRPr="00CE2B73">
        <w:rPr>
          <w:rFonts w:ascii="Arial Narrow" w:eastAsia="Calibri" w:hAnsi="Arial Narrow"/>
          <w:lang w:val="es-MX" w:eastAsia="en-US"/>
        </w:rPr>
        <w:t xml:space="preserve">define las actividades que se desarrollan a partir del momento en que una oficina o despacho judicial plantea una solicitud de alineamiento estratégico, o que informa que la meta estratégica fue debidamente completada, </w:t>
      </w:r>
      <w:r w:rsidRPr="00CE2B73">
        <w:rPr>
          <w:rFonts w:ascii="Arial Narrow" w:eastAsia="Calibri" w:hAnsi="Arial Narrow"/>
          <w:lang w:val="es-CR"/>
        </w:rPr>
        <w:t>por lo que se sugiere que el</w:t>
      </w:r>
      <w:r w:rsidR="00CC749A" w:rsidRPr="00CE2B73">
        <w:rPr>
          <w:rFonts w:ascii="Arial Narrow" w:eastAsia="Calibri" w:hAnsi="Arial Narrow"/>
          <w:lang w:val="es-CR"/>
        </w:rPr>
        <w:t xml:space="preserve"> </w:t>
      </w:r>
      <w:r w:rsidRPr="00CE2B73">
        <w:rPr>
          <w:rFonts w:ascii="Arial Narrow" w:eastAsia="Calibri" w:hAnsi="Arial Narrow"/>
          <w:lang w:val="es-CR"/>
        </w:rPr>
        <w:t>Subproceso de Planificación Estratégica lleve a cabo una la revisión de la matriz PEI 2019-2024 para realizar un realineamiento estratégico.</w:t>
      </w:r>
    </w:p>
    <w:p w14:paraId="64ED1FAB" w14:textId="798CF65C" w:rsidR="17C79F93" w:rsidRDefault="17C79F93" w:rsidP="17C79F93">
      <w:pPr>
        <w:rPr>
          <w:highlight w:val="yellow"/>
          <w:lang w:eastAsia="en-US"/>
        </w:rPr>
      </w:pPr>
    </w:p>
    <w:p w14:paraId="2A99A50D" w14:textId="7E77F7EC" w:rsidR="004C3FA6" w:rsidRDefault="004C3FA6">
      <w:pPr>
        <w:rPr>
          <w:rFonts w:ascii="Arial Narrow" w:eastAsia="Calibri" w:hAnsi="Arial Narrow"/>
          <w:b/>
          <w:bCs/>
          <w:iCs/>
          <w:sz w:val="32"/>
          <w:szCs w:val="32"/>
          <w:lang w:eastAsia="en-US"/>
        </w:rPr>
      </w:pPr>
      <w:bookmarkStart w:id="215" w:name="_Hlk84492602"/>
      <w:r>
        <w:rPr>
          <w:rFonts w:ascii="Arial Narrow" w:eastAsia="Calibri" w:hAnsi="Arial Narrow"/>
          <w:b/>
          <w:bCs/>
          <w:iCs/>
          <w:sz w:val="32"/>
          <w:szCs w:val="32"/>
          <w:lang w:eastAsia="en-US"/>
        </w:rPr>
        <w:br w:type="page"/>
      </w:r>
    </w:p>
    <w:p w14:paraId="3FA38874" w14:textId="2733DEFE" w:rsidR="00AB5922" w:rsidRDefault="26A1EC39" w:rsidP="000C6F8D">
      <w:pPr>
        <w:pStyle w:val="Ttulo1"/>
      </w:pPr>
      <w:bookmarkStart w:id="216" w:name="_Toc106355302"/>
      <w:r>
        <w:t>Conclusiones</w:t>
      </w:r>
      <w:bookmarkEnd w:id="216"/>
      <w:r>
        <w:t xml:space="preserve"> </w:t>
      </w:r>
      <w:bookmarkEnd w:id="215"/>
    </w:p>
    <w:p w14:paraId="541C11F7" w14:textId="77777777" w:rsidR="00102CE5" w:rsidRPr="00AB1EBB" w:rsidRDefault="00102CE5" w:rsidP="00322D9B"/>
    <w:p w14:paraId="3B225004" w14:textId="77777777" w:rsidR="00517DC3" w:rsidRPr="00322D9B" w:rsidRDefault="00517DC3" w:rsidP="00322D9B">
      <w:pPr>
        <w:ind w:left="567"/>
        <w:jc w:val="both"/>
        <w:rPr>
          <w:rFonts w:ascii="Arial Narrow" w:eastAsia="Calibri" w:hAnsi="Arial Narrow"/>
          <w:lang w:eastAsia="en-US"/>
        </w:rPr>
      </w:pPr>
    </w:p>
    <w:p w14:paraId="13562BC7" w14:textId="7A34C605" w:rsidR="008B52CA" w:rsidRPr="00322D9B" w:rsidRDefault="00EF431A" w:rsidP="00322D9B">
      <w:pPr>
        <w:pStyle w:val="Prrafodelista"/>
        <w:numPr>
          <w:ilvl w:val="1"/>
          <w:numId w:val="152"/>
        </w:numPr>
        <w:jc w:val="both"/>
        <w:rPr>
          <w:rFonts w:ascii="Arial Narrow" w:eastAsia="Calibri" w:hAnsi="Arial Narrow"/>
          <w:lang w:val="es-CR"/>
        </w:rPr>
      </w:pPr>
      <w:r w:rsidRPr="00322D9B">
        <w:rPr>
          <w:rFonts w:ascii="Arial Narrow" w:eastAsia="Calibri" w:hAnsi="Arial Narrow"/>
          <w:lang w:val="es-CR"/>
        </w:rPr>
        <w:t xml:space="preserve">Sobre el alcance </w:t>
      </w:r>
      <w:r w:rsidR="008B52CA" w:rsidRPr="00322D9B">
        <w:rPr>
          <w:rFonts w:ascii="Arial Narrow" w:eastAsia="Calibri" w:hAnsi="Arial Narrow"/>
          <w:lang w:val="es-CR"/>
        </w:rPr>
        <w:t xml:space="preserve">de las metas anuales del Plan Estratégico Institucional 2019-2024 sujetas de evaluación para el año 2021 son un total de 218, de las cuales se tiene un avance de cumplimiento de un 95,6%, </w:t>
      </w:r>
      <w:r w:rsidRPr="00322D9B">
        <w:rPr>
          <w:rFonts w:ascii="Arial Narrow" w:eastAsia="Calibri" w:hAnsi="Arial Narrow"/>
          <w:lang w:val="es-CR"/>
        </w:rPr>
        <w:t xml:space="preserve">contenidas en el PEI que fueron ejecutadas en </w:t>
      </w:r>
      <w:r w:rsidR="008B52CA" w:rsidRPr="00322D9B">
        <w:rPr>
          <w:rFonts w:ascii="Arial Narrow" w:eastAsia="Calibri" w:hAnsi="Arial Narrow"/>
          <w:lang w:val="es-CR"/>
        </w:rPr>
        <w:t>ese año</w:t>
      </w:r>
      <w:r w:rsidRPr="00322D9B">
        <w:rPr>
          <w:rFonts w:ascii="Arial Narrow" w:eastAsia="Calibri" w:hAnsi="Arial Narrow"/>
          <w:lang w:val="es-CR"/>
        </w:rPr>
        <w:t xml:space="preserve"> mediante el cumplimiento de los objetivos y metas operativas del PAO, esto vinculado a los 5 temas estratégicos. La fecha de generación de datos del </w:t>
      </w:r>
      <w:r w:rsidR="008B52CA" w:rsidRPr="00322D9B">
        <w:rPr>
          <w:rFonts w:ascii="Arial Narrow" w:eastAsia="Calibri" w:hAnsi="Arial Narrow"/>
          <w:lang w:val="es-CR"/>
        </w:rPr>
        <w:t>2021</w:t>
      </w:r>
      <w:r w:rsidRPr="00322D9B">
        <w:rPr>
          <w:rFonts w:ascii="Arial Narrow" w:eastAsia="Calibri" w:hAnsi="Arial Narrow"/>
          <w:lang w:val="es-CR"/>
        </w:rPr>
        <w:t xml:space="preserve"> consideró incluso los avances incorporados al </w:t>
      </w:r>
      <w:r w:rsidR="008B52CA" w:rsidRPr="00322D9B">
        <w:rPr>
          <w:rFonts w:ascii="Arial Narrow" w:eastAsia="Calibri" w:hAnsi="Arial Narrow"/>
          <w:lang w:val="es-CR"/>
        </w:rPr>
        <w:t>19</w:t>
      </w:r>
      <w:r w:rsidRPr="00322D9B">
        <w:rPr>
          <w:rFonts w:ascii="Arial Narrow" w:eastAsia="Calibri" w:hAnsi="Arial Narrow"/>
          <w:lang w:val="es-CR"/>
        </w:rPr>
        <w:t xml:space="preserve"> de enero del </w:t>
      </w:r>
      <w:r w:rsidR="008B52CA" w:rsidRPr="00322D9B">
        <w:rPr>
          <w:rFonts w:ascii="Arial Narrow" w:eastAsia="Calibri" w:hAnsi="Arial Narrow"/>
          <w:lang w:val="es-CR"/>
        </w:rPr>
        <w:t>2022.</w:t>
      </w:r>
      <w:r w:rsidR="00821811" w:rsidRPr="00322D9B">
        <w:rPr>
          <w:rFonts w:ascii="Arial Narrow" w:eastAsia="Calibri" w:hAnsi="Arial Narrow"/>
          <w:lang w:val="es-CR"/>
        </w:rPr>
        <w:t xml:space="preserve"> El propósito de la evaluación es realimentar a las oficinas responsables </w:t>
      </w:r>
      <w:r w:rsidR="004E3D71" w:rsidRPr="00322D9B">
        <w:rPr>
          <w:rFonts w:ascii="Arial Narrow" w:eastAsia="Calibri" w:hAnsi="Arial Narrow"/>
          <w:lang w:val="es-CR"/>
        </w:rPr>
        <w:t xml:space="preserve">estratégicas </w:t>
      </w:r>
      <w:r w:rsidR="00821811" w:rsidRPr="00322D9B">
        <w:rPr>
          <w:rFonts w:ascii="Arial Narrow" w:eastAsia="Calibri" w:hAnsi="Arial Narrow"/>
          <w:lang w:val="es-CR"/>
        </w:rPr>
        <w:t>y a los órganos superiores sobre los resultados de metas estratégicas para la toma de decisiones, la rendición de cuentas y la transparencia en el cumplimiento del Plan Estratégico Institucional para el año 2021 en aras de mejorar el cumplimiento para los años restantes del periodo del PEI.</w:t>
      </w:r>
      <w:r w:rsidRPr="00322D9B">
        <w:rPr>
          <w:rFonts w:ascii="Arial Narrow" w:eastAsia="Calibri" w:hAnsi="Arial Narrow"/>
          <w:lang w:val="es-CR"/>
        </w:rPr>
        <w:t xml:space="preserve"> </w:t>
      </w:r>
    </w:p>
    <w:p w14:paraId="6BDA3C12" w14:textId="77777777" w:rsidR="008B52CA" w:rsidRPr="00AB1EBB" w:rsidRDefault="008B52CA" w:rsidP="00322D9B">
      <w:pPr>
        <w:jc w:val="both"/>
        <w:rPr>
          <w:rFonts w:ascii="Arial Narrow" w:hAnsi="Arial Narrow" w:cs="Book Antiqua"/>
          <w:snapToGrid w:val="0"/>
        </w:rPr>
      </w:pPr>
    </w:p>
    <w:p w14:paraId="68156B4B" w14:textId="559DADDE" w:rsidR="007C2AFF" w:rsidRPr="00322D9B" w:rsidRDefault="00EF431A" w:rsidP="00322D9B">
      <w:pPr>
        <w:pStyle w:val="Prrafodelista"/>
        <w:numPr>
          <w:ilvl w:val="1"/>
          <w:numId w:val="152"/>
        </w:numPr>
        <w:jc w:val="both"/>
        <w:rPr>
          <w:rFonts w:ascii="Arial Narrow" w:eastAsia="Calibri" w:hAnsi="Arial Narrow"/>
          <w:lang w:val="es-CR"/>
        </w:rPr>
      </w:pPr>
      <w:r w:rsidRPr="00322D9B">
        <w:rPr>
          <w:rFonts w:ascii="Arial Narrow" w:eastAsia="Calibri" w:hAnsi="Arial Narrow"/>
          <w:lang w:val="es-CR"/>
        </w:rPr>
        <w:t>E</w:t>
      </w:r>
      <w:r w:rsidR="008B52CA" w:rsidRPr="00322D9B">
        <w:rPr>
          <w:rFonts w:ascii="Arial Narrow" w:eastAsia="Calibri" w:hAnsi="Arial Narrow"/>
          <w:lang w:val="es-CR"/>
        </w:rPr>
        <w:t>n cuanto al cumplimiento por Programas Institucionales se tiene que las metas estratégicas para el cierre del 2021para la Defensa Pública se registró un 100%, el Programa Dirección, Administración y Otros Órganos de Apoyo un 98,14%, el Ministerio Púbico un 99,59%, el Organismo de Investigación Judicial en un 99,96%, el Servicio de Atención y Protección a Víctimas y Testigos en un 96,83%, mientras que el Servicio Jurisdiccional en un 87,30%.</w:t>
      </w:r>
    </w:p>
    <w:p w14:paraId="18C2188E" w14:textId="77777777" w:rsidR="007C2AFF" w:rsidRPr="00322D9B" w:rsidRDefault="007C2AFF" w:rsidP="00322D9B">
      <w:pPr>
        <w:pStyle w:val="Prrafodelista"/>
        <w:ind w:left="720"/>
        <w:jc w:val="both"/>
        <w:rPr>
          <w:rFonts w:ascii="Arial Narrow" w:eastAsia="Calibri" w:hAnsi="Arial Narrow"/>
          <w:lang w:val="es-CR"/>
        </w:rPr>
      </w:pPr>
    </w:p>
    <w:p w14:paraId="2B96BAE8" w14:textId="388E2926" w:rsidR="004E3D71" w:rsidRPr="00322D9B" w:rsidRDefault="7472C30C" w:rsidP="00345B2C">
      <w:pPr>
        <w:pStyle w:val="Prrafodelista"/>
        <w:numPr>
          <w:ilvl w:val="1"/>
          <w:numId w:val="152"/>
        </w:numPr>
        <w:jc w:val="both"/>
        <w:rPr>
          <w:rFonts w:eastAsia="Calibri"/>
          <w:lang w:val="es-CR"/>
        </w:rPr>
      </w:pPr>
      <w:r w:rsidRPr="00322D9B">
        <w:rPr>
          <w:rFonts w:ascii="Arial Narrow" w:eastAsia="Calibri" w:hAnsi="Arial Narrow"/>
          <w:lang w:val="es-CR"/>
        </w:rPr>
        <w:t>Los temas estratégicos alcanzan valores de avance de 88,96% en Resolución Oportuna de Conflictos, para el tema de Optimización e innovación del servicio jurisdiccional se registra un 97,41%, Gestión del Personal con un cumplimiento de 99,04% en Confianza y Probidad en la Justicia registra un 96.29%, mientras que para el tema de Planificación Institucional se registra para el año 2021 un 99,67%. Se determina que donde existe menor grado de avance es la Resolución Oportuna de Conflictos, donde se tiene un valor de un 88,96%</w:t>
      </w:r>
      <w:r w:rsidR="48BA245D" w:rsidRPr="00322D9B">
        <w:rPr>
          <w:rFonts w:ascii="Arial Narrow" w:eastAsia="Calibri" w:hAnsi="Arial Narrow"/>
          <w:lang w:val="es-CR"/>
        </w:rPr>
        <w:t xml:space="preserve"> donde la acciones celeridad judicial y medidas alternas son las acciones que presentan mayor cantidad de metas en un rango de cumplimiento medio y bajo para </w:t>
      </w:r>
      <w:r w:rsidR="00CE3A15" w:rsidRPr="00322D9B">
        <w:rPr>
          <w:rFonts w:ascii="Arial Narrow" w:eastAsia="Calibri" w:hAnsi="Arial Narrow"/>
          <w:lang w:val="es-CR"/>
        </w:rPr>
        <w:t>el</w:t>
      </w:r>
      <w:r w:rsidR="48BA245D" w:rsidRPr="00322D9B">
        <w:rPr>
          <w:rFonts w:ascii="Arial Narrow" w:eastAsia="Calibri" w:hAnsi="Arial Narrow"/>
          <w:lang w:val="es-CR"/>
        </w:rPr>
        <w:t xml:space="preserve"> año 2021</w:t>
      </w:r>
      <w:r w:rsidRPr="00322D9B">
        <w:rPr>
          <w:rFonts w:ascii="Arial Narrow" w:eastAsia="Calibri" w:hAnsi="Arial Narrow"/>
          <w:lang w:val="es-CR"/>
        </w:rPr>
        <w:t xml:space="preserve">y donde existe mayor avance es en la Planificación Institucional con un 99,67% y Gestión del Personal con un 99,04%, se hace la observación que con la pandemia COVID 19, los servicios judiciales han tenido que rediseñarse a una nueva realidad a través de la aplicación de protocolos de virtualización de audiencias, esta estrategia </w:t>
      </w:r>
      <w:r w:rsidR="4D575AA9" w:rsidRPr="00322D9B">
        <w:rPr>
          <w:rFonts w:ascii="Arial Narrow" w:eastAsia="Calibri" w:hAnsi="Arial Narrow"/>
          <w:lang w:val="es-CR"/>
        </w:rPr>
        <w:t>y protocolo de reactivación de servicios promueve el uso de la videoconferencia o audiencias virtuales, lo cual tiene un impacto positivo en el cumplimiento de las metas del PEI porque a través de esas prácticas fue posible retomar capacitaciones, desarrollo de audiencias, reuniones y el retorno a una nueva normalidad de los servicios judiciales en el contexto de la pandemia mundial COVID- 19</w:t>
      </w:r>
      <w:r w:rsidR="0005449D">
        <w:rPr>
          <w:rFonts w:ascii="Arial Narrow" w:eastAsia="Calibri" w:hAnsi="Arial Narrow"/>
          <w:lang w:val="es-CR"/>
        </w:rPr>
        <w:t>.</w:t>
      </w:r>
    </w:p>
    <w:p w14:paraId="52E0ADEB" w14:textId="107CE21F" w:rsidR="004E3D71" w:rsidRPr="00322D9B" w:rsidRDefault="004E3D71" w:rsidP="00322D9B">
      <w:pPr>
        <w:pStyle w:val="Prrafodelista"/>
        <w:ind w:left="720"/>
        <w:jc w:val="both"/>
        <w:rPr>
          <w:rFonts w:ascii="Arial Narrow" w:eastAsia="Calibri" w:hAnsi="Arial Narrow"/>
          <w:lang w:val="es-CR"/>
        </w:rPr>
      </w:pPr>
    </w:p>
    <w:p w14:paraId="21FB7942" w14:textId="77777777" w:rsidR="004E3D71" w:rsidRPr="00322D9B" w:rsidRDefault="004E3D71" w:rsidP="00322D9B">
      <w:pPr>
        <w:pStyle w:val="Prrafodelista"/>
        <w:ind w:left="720"/>
        <w:jc w:val="both"/>
        <w:rPr>
          <w:rFonts w:ascii="Arial Narrow" w:eastAsia="Calibri" w:hAnsi="Arial Narrow"/>
          <w:lang w:val="es-CR"/>
        </w:rPr>
      </w:pPr>
    </w:p>
    <w:p w14:paraId="10788DCF" w14:textId="1008F15A" w:rsidR="008B52CA" w:rsidRPr="00322D9B" w:rsidRDefault="1876FF79" w:rsidP="00322D9B">
      <w:pPr>
        <w:pStyle w:val="Prrafodelista"/>
        <w:numPr>
          <w:ilvl w:val="1"/>
          <w:numId w:val="152"/>
        </w:numPr>
        <w:jc w:val="both"/>
        <w:rPr>
          <w:rFonts w:ascii="Arial Narrow" w:eastAsia="Calibri" w:hAnsi="Arial Narrow"/>
          <w:lang w:val="es-CR"/>
        </w:rPr>
      </w:pPr>
      <w:r w:rsidRPr="00322D9B">
        <w:rPr>
          <w:rFonts w:ascii="Arial Narrow" w:eastAsia="Calibri" w:hAnsi="Arial Narrow"/>
          <w:lang w:val="es-CR"/>
        </w:rPr>
        <w:t xml:space="preserve">La evaluación se fundamenta en la recopilación de evidencias sobre las actuaciones realizadas durante el período de ejecución de las metas, en este caso para el año 2021. Para ello, se basa en la información contenida en el sistema PAO y como resultado, se obtiene el grado de avance anual de cada componente del PEI; lo anterior, a través de la valoración directa del grado de cumplimiento de la meta estratégica y al avance reportado por la oficina u oficinas responsables por medio de las metas operativas vinculadas al PAO. </w:t>
      </w:r>
    </w:p>
    <w:p w14:paraId="171393CC" w14:textId="06DADD1E" w:rsidR="008B52CA" w:rsidRPr="00322D9B" w:rsidRDefault="008B52CA" w:rsidP="00322D9B">
      <w:pPr>
        <w:pStyle w:val="Prrafodelista"/>
        <w:ind w:left="720"/>
        <w:jc w:val="both"/>
        <w:rPr>
          <w:rFonts w:ascii="Arial Narrow" w:eastAsia="Calibri" w:hAnsi="Arial Narrow"/>
          <w:lang w:val="es-CR"/>
        </w:rPr>
      </w:pPr>
    </w:p>
    <w:p w14:paraId="4671B8D9" w14:textId="40CD73B7" w:rsidR="008B52CA" w:rsidRPr="00322D9B" w:rsidRDefault="1876FF79" w:rsidP="00322D9B">
      <w:pPr>
        <w:pStyle w:val="Prrafodelista"/>
        <w:numPr>
          <w:ilvl w:val="1"/>
          <w:numId w:val="152"/>
        </w:numPr>
        <w:jc w:val="both"/>
        <w:rPr>
          <w:rFonts w:ascii="Arial Narrow" w:eastAsia="Calibri" w:hAnsi="Arial Narrow"/>
          <w:lang w:val="es-CR"/>
        </w:rPr>
      </w:pPr>
      <w:r w:rsidRPr="00322D9B">
        <w:rPr>
          <w:rFonts w:ascii="Arial Narrow" w:eastAsia="Calibri" w:hAnsi="Arial Narrow"/>
          <w:lang w:val="es-CR"/>
        </w:rPr>
        <w:t>Este informe est</w:t>
      </w:r>
      <w:r w:rsidR="00CB33CF">
        <w:rPr>
          <w:rFonts w:ascii="Arial Narrow" w:eastAsia="Calibri" w:hAnsi="Arial Narrow"/>
          <w:lang w:val="es-CR"/>
        </w:rPr>
        <w:t>á</w:t>
      </w:r>
      <w:r w:rsidRPr="00322D9B">
        <w:rPr>
          <w:rFonts w:ascii="Arial Narrow" w:eastAsia="Calibri" w:hAnsi="Arial Narrow"/>
          <w:lang w:val="es-CR"/>
        </w:rPr>
        <w:t xml:space="preserve"> apegado a la metodología de evaluación de resultados, la cual fue aprobada por Consejo Superior el día 8 de febrero 2022, en sesión 11-2022, artículo V, y la definición de los parámetros y rangos de cumplimiento, así como los respectivos colores para el análisis de los cuadros por temas estratégicos se establece de la siguiente manera:  Cumplimiento Alto (CA) equivale a mayor o igual a 90%, el Cumplimiento Medio (CM) es cuando la meta es menor o igual a 89,99% o igual a 50,00% y el Cumplimiento Bajo (CB) es cuando la meta registra un cumplimiento menor o igual 49,99%.</w:t>
      </w:r>
    </w:p>
    <w:p w14:paraId="2F52E252" w14:textId="77777777" w:rsidR="008B52CA" w:rsidRPr="00322D9B" w:rsidRDefault="008B52CA" w:rsidP="00322D9B">
      <w:pPr>
        <w:pStyle w:val="Prrafodelista"/>
        <w:ind w:left="720"/>
        <w:jc w:val="both"/>
        <w:rPr>
          <w:rFonts w:ascii="Arial Narrow" w:eastAsia="Calibri" w:hAnsi="Arial Narrow"/>
          <w:lang w:val="es-CR"/>
        </w:rPr>
      </w:pPr>
    </w:p>
    <w:p w14:paraId="583280C0" w14:textId="5C7A34FA" w:rsidR="008B52CA" w:rsidRPr="00322D9B" w:rsidRDefault="1876FF79" w:rsidP="00322D9B">
      <w:pPr>
        <w:pStyle w:val="Prrafodelista"/>
        <w:numPr>
          <w:ilvl w:val="1"/>
          <w:numId w:val="152"/>
        </w:numPr>
        <w:jc w:val="both"/>
        <w:rPr>
          <w:rFonts w:ascii="Arial Narrow" w:eastAsia="Calibri" w:hAnsi="Arial Narrow"/>
          <w:lang w:val="es-CR"/>
        </w:rPr>
      </w:pPr>
      <w:r w:rsidRPr="00322D9B">
        <w:rPr>
          <w:rFonts w:ascii="Arial Narrow" w:eastAsia="Calibri" w:hAnsi="Arial Narrow"/>
          <w:lang w:val="es-CR"/>
        </w:rPr>
        <w:t xml:space="preserve">En aras de continuar el impulso de la planificación institucional, se realizó un análisis de las oportunidades de mejora y lecciones aprendidas de los procesos anteriores, y se desarrolló la metodología a aplicar por medio del “Modelo de Gestión para el Proceso de Planificación Estratégica 2019-2024”, basada en los principios orientadores de innovación, participación e integración; aprobado por la Corte Plena en sesión 32-17 del 02 de octubre del 2017, artículo XII. </w:t>
      </w:r>
    </w:p>
    <w:p w14:paraId="57DA852B" w14:textId="77777777" w:rsidR="008B52CA" w:rsidRPr="00322D9B" w:rsidRDefault="008B52CA" w:rsidP="00322D9B">
      <w:pPr>
        <w:pStyle w:val="Prrafodelista"/>
        <w:ind w:left="720"/>
        <w:jc w:val="both"/>
        <w:rPr>
          <w:rFonts w:ascii="Arial Narrow" w:eastAsia="Calibri" w:hAnsi="Arial Narrow"/>
          <w:lang w:val="es-CR"/>
        </w:rPr>
      </w:pPr>
    </w:p>
    <w:p w14:paraId="55F33F92" w14:textId="574F3568" w:rsidR="008B52CA" w:rsidRPr="00322D9B" w:rsidRDefault="26440B41" w:rsidP="00322D9B">
      <w:pPr>
        <w:pStyle w:val="Prrafodelista"/>
        <w:numPr>
          <w:ilvl w:val="1"/>
          <w:numId w:val="152"/>
        </w:numPr>
        <w:jc w:val="both"/>
        <w:rPr>
          <w:rFonts w:ascii="Arial Narrow" w:eastAsia="Calibri" w:hAnsi="Arial Narrow"/>
          <w:lang w:val="es-CR"/>
        </w:rPr>
      </w:pPr>
      <w:r w:rsidRPr="00322D9B">
        <w:rPr>
          <w:rFonts w:ascii="Arial Narrow" w:eastAsia="Calibri" w:hAnsi="Arial Narrow"/>
          <w:lang w:val="es-CR"/>
        </w:rPr>
        <w:t>Se</w:t>
      </w:r>
      <w:r w:rsidR="1876FF79" w:rsidRPr="00322D9B">
        <w:rPr>
          <w:rFonts w:ascii="Arial Narrow" w:eastAsia="Calibri" w:hAnsi="Arial Narrow"/>
          <w:lang w:val="es-CR"/>
        </w:rPr>
        <w:t xml:space="preserve"> destaca que el Plan Estratégico Institucional del Poder Judicial de Costa Rica para el periodo 2019-2024, fue aprobado por la Corte Plena en sesión 56-18 del 10 de diciembre del 2018, artículo XXIII (oficio 1463-PLA-2018). Después de esa aprobación, se </w:t>
      </w:r>
      <w:r w:rsidRPr="00322D9B">
        <w:rPr>
          <w:rFonts w:ascii="Arial Narrow" w:eastAsia="Calibri" w:hAnsi="Arial Narrow"/>
          <w:lang w:val="es-CR"/>
        </w:rPr>
        <w:t>han llevado</w:t>
      </w:r>
      <w:r w:rsidR="1876FF79" w:rsidRPr="00322D9B">
        <w:rPr>
          <w:rFonts w:ascii="Arial Narrow" w:eastAsia="Calibri" w:hAnsi="Arial Narrow"/>
          <w:lang w:val="es-CR"/>
        </w:rPr>
        <w:t xml:space="preserve"> a cabo procesos de realineamiento y ajuste o inclusión de metas. </w:t>
      </w:r>
      <w:r w:rsidRPr="00322D9B">
        <w:rPr>
          <w:rFonts w:ascii="Arial Narrow" w:eastAsia="Calibri" w:hAnsi="Arial Narrow"/>
          <w:lang w:val="es-CR"/>
        </w:rPr>
        <w:t>Se aclara que la versión numero 5</w:t>
      </w:r>
      <w:r w:rsidR="1876FF79" w:rsidRPr="00322D9B">
        <w:rPr>
          <w:rFonts w:ascii="Arial Narrow" w:eastAsia="Calibri" w:hAnsi="Arial Narrow"/>
          <w:lang w:val="es-CR"/>
        </w:rPr>
        <w:t xml:space="preserve"> al cierre del 2021 </w:t>
      </w:r>
      <w:r w:rsidRPr="00322D9B">
        <w:rPr>
          <w:rFonts w:ascii="Arial Narrow" w:eastAsia="Calibri" w:hAnsi="Arial Narrow"/>
          <w:lang w:val="es-CR"/>
        </w:rPr>
        <w:t xml:space="preserve">es </w:t>
      </w:r>
      <w:r w:rsidR="1876FF79" w:rsidRPr="00322D9B">
        <w:rPr>
          <w:rFonts w:ascii="Arial Narrow" w:eastAsia="Calibri" w:hAnsi="Arial Narrow"/>
          <w:lang w:val="es-CR"/>
        </w:rPr>
        <w:t>la última versión aprobada</w:t>
      </w:r>
      <w:r w:rsidRPr="00322D9B">
        <w:rPr>
          <w:rFonts w:ascii="Arial Narrow" w:eastAsia="Calibri" w:hAnsi="Arial Narrow"/>
          <w:lang w:val="es-CR"/>
        </w:rPr>
        <w:t>,</w:t>
      </w:r>
      <w:r w:rsidR="1876FF79" w:rsidRPr="00322D9B">
        <w:rPr>
          <w:rFonts w:ascii="Arial Narrow" w:eastAsia="Calibri" w:hAnsi="Arial Narrow"/>
          <w:lang w:val="es-CR"/>
        </w:rPr>
        <w:t xml:space="preserve"> la cual es utilizada para la construcción de la presente evaluación</w:t>
      </w:r>
      <w:r w:rsidRPr="00322D9B">
        <w:rPr>
          <w:rFonts w:ascii="Arial Narrow" w:eastAsia="Calibri" w:hAnsi="Arial Narrow"/>
          <w:lang w:val="es-CR"/>
        </w:rPr>
        <w:t>.</w:t>
      </w:r>
    </w:p>
    <w:p w14:paraId="79235AF2" w14:textId="77777777" w:rsidR="00821811" w:rsidRPr="00322D9B" w:rsidRDefault="00821811" w:rsidP="00322D9B">
      <w:pPr>
        <w:pStyle w:val="Prrafodelista"/>
        <w:ind w:left="720"/>
        <w:jc w:val="both"/>
        <w:rPr>
          <w:rFonts w:ascii="Arial Narrow" w:eastAsia="Calibri" w:hAnsi="Arial Narrow"/>
          <w:lang w:val="es-CR"/>
        </w:rPr>
      </w:pPr>
    </w:p>
    <w:p w14:paraId="7F996F62" w14:textId="42BCCD79" w:rsidR="00EF431A" w:rsidRPr="00322D9B" w:rsidRDefault="40213295" w:rsidP="00322D9B">
      <w:pPr>
        <w:pStyle w:val="Prrafodelista"/>
        <w:numPr>
          <w:ilvl w:val="1"/>
          <w:numId w:val="152"/>
        </w:numPr>
        <w:jc w:val="both"/>
        <w:rPr>
          <w:rFonts w:ascii="Arial Narrow" w:eastAsia="Calibri" w:hAnsi="Arial Narrow"/>
          <w:lang w:val="es-CR"/>
        </w:rPr>
      </w:pPr>
      <w:r w:rsidRPr="00322D9B">
        <w:rPr>
          <w:rFonts w:ascii="Arial Narrow" w:eastAsia="Calibri" w:hAnsi="Arial Narrow"/>
          <w:lang w:val="es-CR"/>
        </w:rPr>
        <w:t xml:space="preserve">Sobre el tema de Resolución Oportuna de Conflictos como aspecto destacable, se menciona el abordaje integral a la criminalidad, que logró un cumplimiento de 100%.  De seguido se analiza la Celeridad Judicial, compuesta por 46 metas estratégicas, siendo una de las acciones estratégicas con más metas estratégicas asociadas en su cumplimiento. Esta acción de Celeridad Judicial engloba las metas vinculadas con la prontitud en resolución de casos judiciales de todas las materias y tipos de despachos, por lo que un gran bloque de estos asuntos corresponde al área jurisdiccional. De las 46 metas, </w:t>
      </w:r>
      <w:r w:rsidR="26440B41" w:rsidRPr="00322D9B">
        <w:rPr>
          <w:rFonts w:ascii="Arial Narrow" w:eastAsia="Calibri" w:hAnsi="Arial Narrow"/>
          <w:lang w:val="es-CR"/>
        </w:rPr>
        <w:t>35</w:t>
      </w:r>
      <w:r w:rsidRPr="00322D9B">
        <w:rPr>
          <w:rFonts w:ascii="Arial Narrow" w:eastAsia="Calibri" w:hAnsi="Arial Narrow"/>
          <w:lang w:val="es-CR"/>
        </w:rPr>
        <w:t xml:space="preserve"> reportan un cumplimiento alto, mientras que las restantes </w:t>
      </w:r>
      <w:r w:rsidR="26440B41" w:rsidRPr="00322D9B">
        <w:rPr>
          <w:rFonts w:ascii="Arial Narrow" w:eastAsia="Calibri" w:hAnsi="Arial Narrow"/>
          <w:lang w:val="es-CR"/>
        </w:rPr>
        <w:t>11</w:t>
      </w:r>
      <w:r w:rsidRPr="00322D9B">
        <w:rPr>
          <w:rFonts w:ascii="Arial Narrow" w:eastAsia="Calibri" w:hAnsi="Arial Narrow"/>
          <w:lang w:val="es-CR"/>
        </w:rPr>
        <w:t xml:space="preserve"> fueron metas con un cumplimiento medio, según la fuente de SIGMA (estadísticas judiciales). La acción estratégica de Medidas Alternas detalla 18 metas estratégicas vinculadas, de las cuales </w:t>
      </w:r>
      <w:r w:rsidR="26440B41" w:rsidRPr="00322D9B">
        <w:rPr>
          <w:rFonts w:ascii="Arial Narrow" w:eastAsia="Calibri" w:hAnsi="Arial Narrow"/>
          <w:lang w:val="es-CR"/>
        </w:rPr>
        <w:t>7</w:t>
      </w:r>
      <w:r w:rsidRPr="00322D9B">
        <w:rPr>
          <w:rFonts w:ascii="Arial Narrow" w:eastAsia="Calibri" w:hAnsi="Arial Narrow"/>
          <w:lang w:val="es-CR"/>
        </w:rPr>
        <w:t xml:space="preserve"> </w:t>
      </w:r>
      <w:r w:rsidR="26440B41" w:rsidRPr="00322D9B">
        <w:rPr>
          <w:rFonts w:ascii="Arial Narrow" w:eastAsia="Calibri" w:hAnsi="Arial Narrow"/>
          <w:lang w:val="es-CR"/>
        </w:rPr>
        <w:t>reflejaron</w:t>
      </w:r>
      <w:r w:rsidRPr="00322D9B">
        <w:rPr>
          <w:rFonts w:ascii="Arial Narrow" w:eastAsia="Calibri" w:hAnsi="Arial Narrow"/>
          <w:lang w:val="es-CR"/>
        </w:rPr>
        <w:t xml:space="preserve"> un cumplimiento alto, </w:t>
      </w:r>
      <w:r w:rsidR="26440B41" w:rsidRPr="00322D9B">
        <w:rPr>
          <w:rFonts w:ascii="Arial Narrow" w:eastAsia="Calibri" w:hAnsi="Arial Narrow"/>
          <w:lang w:val="es-CR"/>
        </w:rPr>
        <w:t>9</w:t>
      </w:r>
      <w:r w:rsidRPr="00322D9B">
        <w:rPr>
          <w:rFonts w:ascii="Arial Narrow" w:eastAsia="Calibri" w:hAnsi="Arial Narrow"/>
          <w:lang w:val="es-CR"/>
        </w:rPr>
        <w:t xml:space="preserve"> tienen un cumplimiento medio</w:t>
      </w:r>
      <w:r w:rsidR="26440B41" w:rsidRPr="00322D9B">
        <w:rPr>
          <w:rFonts w:ascii="Arial Narrow" w:eastAsia="Calibri" w:hAnsi="Arial Narrow"/>
          <w:lang w:val="es-CR"/>
        </w:rPr>
        <w:t xml:space="preserve"> y 2 con cumplimiento bajo</w:t>
      </w:r>
      <w:r w:rsidRPr="00322D9B">
        <w:rPr>
          <w:rFonts w:ascii="Arial Narrow" w:eastAsia="Calibri" w:hAnsi="Arial Narrow"/>
          <w:lang w:val="es-CR"/>
        </w:rPr>
        <w:t xml:space="preserve">. Como parte de los resultados, </w:t>
      </w:r>
      <w:r w:rsidR="7472C30C" w:rsidRPr="00322D9B">
        <w:rPr>
          <w:rFonts w:ascii="Arial Narrow" w:eastAsia="Calibri" w:hAnsi="Arial Narrow"/>
          <w:lang w:val="es-CR"/>
        </w:rPr>
        <w:t>el Centro de Conciliación elaboró la nueva propuesta de la Política RAC y fue presentada a la Comisión RAC para solicitar a Corte Plena el visto bueno y continuar con la construcción de la esta. Por otra parte, en el año 2021 se reporta por parte de la Unidad de Capacitación del Ministerio Público los esfuerzos de desarrollar el Programa de Formación en Justicia Restaurativa-Justicia Alternativa, para ello se finalizó el rediseño del curso especializado, dando como resultado el rediseño de los 4 productos académicos, los cuales son: Guía de la persona participante, Guía de la persona facilitadora, Diseño Curricular y, Secuencia didáctica</w:t>
      </w:r>
      <w:r w:rsidRPr="00322D9B">
        <w:rPr>
          <w:rFonts w:ascii="Arial Narrow" w:eastAsia="Calibri" w:hAnsi="Arial Narrow"/>
          <w:lang w:val="es-CR"/>
        </w:rPr>
        <w:t xml:space="preserve">. Finalmente, la acción de Justicia Restaurativa tiene </w:t>
      </w:r>
      <w:r w:rsidR="26440B41" w:rsidRPr="00322D9B">
        <w:rPr>
          <w:rFonts w:ascii="Arial Narrow" w:eastAsia="Calibri" w:hAnsi="Arial Narrow"/>
          <w:lang w:val="es-CR"/>
        </w:rPr>
        <w:t>1</w:t>
      </w:r>
      <w:r w:rsidRPr="00322D9B">
        <w:rPr>
          <w:rFonts w:ascii="Arial Narrow" w:eastAsia="Calibri" w:hAnsi="Arial Narrow"/>
          <w:lang w:val="es-CR"/>
        </w:rPr>
        <w:t xml:space="preserve"> meta estratégica que responde a esfuerzos como </w:t>
      </w:r>
      <w:r w:rsidR="26440B41" w:rsidRPr="00322D9B">
        <w:rPr>
          <w:rFonts w:ascii="Arial Narrow" w:eastAsia="Calibri" w:hAnsi="Arial Narrow"/>
          <w:lang w:val="es-CR"/>
        </w:rPr>
        <w:t>implementar a nivel nacional la Justicia Restaurativa de conformidad con la ley, creación de los perfiles competenciales del personal de la Dirección de Justicia Restaurativa e implementación en dos oficinas judiciales de la Justicia Restaurativa.</w:t>
      </w:r>
    </w:p>
    <w:p w14:paraId="34795FB5" w14:textId="77777777" w:rsidR="00821811" w:rsidRPr="00322D9B" w:rsidRDefault="00821811" w:rsidP="00322D9B">
      <w:pPr>
        <w:pStyle w:val="Prrafodelista"/>
        <w:ind w:left="720"/>
        <w:jc w:val="both"/>
        <w:rPr>
          <w:rFonts w:ascii="Arial Narrow" w:eastAsia="Calibri" w:hAnsi="Arial Narrow"/>
          <w:lang w:val="es-CR"/>
        </w:rPr>
      </w:pPr>
    </w:p>
    <w:p w14:paraId="5DFC8A1C" w14:textId="64386E86" w:rsidR="002F2521" w:rsidRPr="00322D9B" w:rsidRDefault="40213295" w:rsidP="00322D9B">
      <w:pPr>
        <w:pStyle w:val="Prrafodelista"/>
        <w:numPr>
          <w:ilvl w:val="1"/>
          <w:numId w:val="152"/>
        </w:numPr>
        <w:jc w:val="both"/>
        <w:rPr>
          <w:rFonts w:ascii="Arial Narrow" w:eastAsia="Calibri" w:hAnsi="Arial Narrow"/>
          <w:lang w:val="es-CR"/>
        </w:rPr>
      </w:pPr>
      <w:r w:rsidRPr="00322D9B">
        <w:rPr>
          <w:rFonts w:ascii="Arial Narrow" w:eastAsia="Calibri" w:hAnsi="Arial Narrow"/>
          <w:lang w:val="es-CR"/>
        </w:rPr>
        <w:t xml:space="preserve">Sobre el tema de Confianza y Probidad en la Justicia se tiene la acción de Transparencia y Rendición de cuentas, en esta se enlazan 9 metas estratégicas, las cuales tienen un cumplimiento al 100%. </w:t>
      </w:r>
      <w:r w:rsidR="7472C30C" w:rsidRPr="00322D9B">
        <w:rPr>
          <w:rFonts w:ascii="Arial Narrow" w:eastAsia="Calibri" w:hAnsi="Arial Narrow"/>
          <w:lang w:val="es-CR"/>
        </w:rPr>
        <w:t xml:space="preserve"> </w:t>
      </w:r>
      <w:r w:rsidRPr="00322D9B">
        <w:rPr>
          <w:rFonts w:ascii="Arial Narrow" w:eastAsia="Calibri" w:hAnsi="Arial Narrow"/>
          <w:lang w:val="es-CR"/>
        </w:rPr>
        <w:t xml:space="preserve">De acuerdo con la otra acción estratégica, Probidad y anticorrupción se tiene un cumplimiento de 100% y la componen </w:t>
      </w:r>
      <w:r w:rsidR="17C8A4FB" w:rsidRPr="00322D9B">
        <w:rPr>
          <w:rFonts w:ascii="Arial Narrow" w:eastAsia="Calibri" w:hAnsi="Arial Narrow"/>
          <w:lang w:val="es-CR"/>
        </w:rPr>
        <w:t>7</w:t>
      </w:r>
      <w:r w:rsidRPr="00322D9B">
        <w:rPr>
          <w:rFonts w:ascii="Arial Narrow" w:eastAsia="Calibri" w:hAnsi="Arial Narrow"/>
          <w:lang w:val="es-CR"/>
        </w:rPr>
        <w:t xml:space="preserve"> metas estratégicas</w:t>
      </w:r>
      <w:r w:rsidR="3D4EF576" w:rsidRPr="00322D9B">
        <w:rPr>
          <w:rFonts w:ascii="Arial Narrow" w:eastAsia="Calibri" w:hAnsi="Arial Narrow"/>
          <w:lang w:val="es-CR"/>
        </w:rPr>
        <w:t xml:space="preserve">. </w:t>
      </w:r>
      <w:r w:rsidR="7472C30C" w:rsidRPr="00322D9B">
        <w:rPr>
          <w:rFonts w:ascii="Arial Narrow" w:eastAsia="Calibri" w:hAnsi="Arial Narrow"/>
          <w:lang w:val="es-CR"/>
        </w:rPr>
        <w:t>S</w:t>
      </w:r>
      <w:r w:rsidRPr="00322D9B">
        <w:rPr>
          <w:rFonts w:ascii="Arial Narrow" w:eastAsia="Calibri" w:hAnsi="Arial Narrow"/>
          <w:lang w:val="es-CR"/>
        </w:rPr>
        <w:t xml:space="preserve">obre la colaboración interna y externa, se puede concluir que se tienen </w:t>
      </w:r>
      <w:r w:rsidR="17C8A4FB" w:rsidRPr="00322D9B">
        <w:rPr>
          <w:rFonts w:ascii="Arial Narrow" w:eastAsia="Calibri" w:hAnsi="Arial Narrow"/>
          <w:lang w:val="es-CR"/>
        </w:rPr>
        <w:t>5</w:t>
      </w:r>
      <w:r w:rsidRPr="00322D9B">
        <w:rPr>
          <w:rFonts w:ascii="Arial Narrow" w:eastAsia="Calibri" w:hAnsi="Arial Narrow"/>
          <w:lang w:val="es-CR"/>
        </w:rPr>
        <w:t xml:space="preserve"> metas estratégicas asociadas, </w:t>
      </w:r>
      <w:r w:rsidR="17C8A4FB" w:rsidRPr="00322D9B">
        <w:rPr>
          <w:rFonts w:ascii="Arial Narrow" w:eastAsia="Calibri" w:hAnsi="Arial Narrow"/>
          <w:lang w:val="es-CR"/>
        </w:rPr>
        <w:t>4 metas</w:t>
      </w:r>
      <w:r w:rsidRPr="00322D9B">
        <w:rPr>
          <w:rFonts w:ascii="Arial Narrow" w:eastAsia="Calibri" w:hAnsi="Arial Narrow"/>
          <w:lang w:val="es-CR"/>
        </w:rPr>
        <w:t xml:space="preserve"> completadas y una </w:t>
      </w:r>
      <w:r w:rsidR="3D4EF576" w:rsidRPr="00322D9B">
        <w:rPr>
          <w:rFonts w:ascii="Arial Narrow" w:eastAsia="Calibri" w:hAnsi="Arial Narrow"/>
          <w:lang w:val="es-CR"/>
        </w:rPr>
        <w:t xml:space="preserve">con cumplimiento medio </w:t>
      </w:r>
      <w:r w:rsidR="666EE2E5" w:rsidRPr="00322D9B">
        <w:rPr>
          <w:rFonts w:ascii="Arial Narrow" w:eastAsia="Calibri" w:hAnsi="Arial Narrow"/>
          <w:lang w:val="es-CR"/>
        </w:rPr>
        <w:t>debido a que la Comisión de Gestión Ambiental Institucional comunica por medio del sistema PAO que realizó campañas de implementación de estrategia de plásticos de un solo uso en el Poder Judicial con el Departamento de Prensa y Comunicación, sin embargo, la meta quedó registrada a un 50%.</w:t>
      </w:r>
      <w:r w:rsidR="3D4EF576" w:rsidRPr="00322D9B">
        <w:rPr>
          <w:rFonts w:ascii="Arial Narrow" w:eastAsia="Calibri" w:hAnsi="Arial Narrow"/>
          <w:lang w:val="es-CR"/>
        </w:rPr>
        <w:t xml:space="preserve"> </w:t>
      </w:r>
      <w:r w:rsidRPr="00322D9B">
        <w:rPr>
          <w:rFonts w:ascii="Arial Narrow" w:eastAsia="Calibri" w:hAnsi="Arial Narrow"/>
          <w:lang w:val="es-CR"/>
        </w:rPr>
        <w:t xml:space="preserve">Sobre la acción de Comunicación y Proyección Institucional se tienen </w:t>
      </w:r>
      <w:r w:rsidR="17C8A4FB" w:rsidRPr="00322D9B">
        <w:rPr>
          <w:rFonts w:ascii="Arial Narrow" w:eastAsia="Calibri" w:hAnsi="Arial Narrow"/>
          <w:lang w:val="es-CR"/>
        </w:rPr>
        <w:t>5</w:t>
      </w:r>
      <w:r w:rsidRPr="00322D9B">
        <w:rPr>
          <w:rFonts w:ascii="Arial Narrow" w:eastAsia="Calibri" w:hAnsi="Arial Narrow"/>
          <w:lang w:val="es-CR"/>
        </w:rPr>
        <w:t xml:space="preserve"> metas estratégicas asociadas, con un cumplimiento bastante alto de 100%, a excepción de la meta </w:t>
      </w:r>
      <w:r w:rsidR="666EE2E5" w:rsidRPr="00322D9B">
        <w:rPr>
          <w:rFonts w:ascii="Arial Narrow" w:eastAsia="Calibri" w:hAnsi="Arial Narrow"/>
          <w:lang w:val="es-CR"/>
        </w:rPr>
        <w:t>“</w:t>
      </w:r>
      <w:r w:rsidRPr="00322D9B">
        <w:rPr>
          <w:rFonts w:ascii="Arial Narrow" w:eastAsia="Calibri" w:hAnsi="Arial Narrow"/>
          <w:lang w:val="es-CR"/>
        </w:rPr>
        <w:t>Que al finalizar el 2024, se haya aprobado la política de comunicación integral</w:t>
      </w:r>
      <w:r w:rsidR="666EE2E5" w:rsidRPr="00322D9B">
        <w:rPr>
          <w:rFonts w:ascii="Arial Narrow" w:eastAsia="Calibri" w:hAnsi="Arial Narrow"/>
          <w:lang w:val="es-CR"/>
        </w:rPr>
        <w:t>”</w:t>
      </w:r>
      <w:r w:rsidRPr="00322D9B">
        <w:rPr>
          <w:rFonts w:ascii="Arial Narrow" w:eastAsia="Calibri" w:hAnsi="Arial Narrow"/>
          <w:lang w:val="es-CR"/>
        </w:rPr>
        <w:t xml:space="preserve"> la cual registra un nivel de cumplimiento de </w:t>
      </w:r>
      <w:r w:rsidR="17C8A4FB" w:rsidRPr="00322D9B">
        <w:rPr>
          <w:rFonts w:ascii="Arial Narrow" w:eastAsia="Calibri" w:hAnsi="Arial Narrow"/>
          <w:lang w:val="es-CR"/>
        </w:rPr>
        <w:t>25</w:t>
      </w:r>
      <w:r w:rsidRPr="00322D9B">
        <w:rPr>
          <w:rFonts w:ascii="Arial Narrow" w:eastAsia="Calibri" w:hAnsi="Arial Narrow"/>
          <w:lang w:val="es-CR"/>
        </w:rPr>
        <w:t xml:space="preserve">% debido a que el </w:t>
      </w:r>
      <w:r w:rsidR="17C8A4FB" w:rsidRPr="00322D9B">
        <w:rPr>
          <w:rFonts w:ascii="Arial Narrow" w:eastAsia="Calibri" w:hAnsi="Arial Narrow"/>
          <w:lang w:val="es-CR"/>
        </w:rPr>
        <w:t xml:space="preserve">Departamento de Prensa y Comunicación explica que se está en proceso de revisión de propuesta que se tiene que presentar a ente cooperante, esto lo realiza la OCRI, el proyecto </w:t>
      </w:r>
      <w:r w:rsidR="6FA59A85" w:rsidRPr="00322D9B">
        <w:rPr>
          <w:rFonts w:ascii="Arial Narrow" w:eastAsia="Calibri" w:hAnsi="Arial Narrow"/>
          <w:lang w:val="es-CR"/>
        </w:rPr>
        <w:t xml:space="preserve">está </w:t>
      </w:r>
      <w:r w:rsidR="17C8A4FB" w:rsidRPr="00322D9B">
        <w:rPr>
          <w:rFonts w:ascii="Arial Narrow" w:eastAsia="Calibri" w:hAnsi="Arial Narrow"/>
          <w:lang w:val="es-CR"/>
        </w:rPr>
        <w:t>agrupado con otras iniciativas que se presentarán, adicionalmente, se ha dado seguimiento al proceso de búsqueda de recurso con el ente cooperante. Se han aclarado dudas de la Embajada Americana, debido que para cumplir esta meta se dependía el apoyo de cooperación internacional, gestión que realizó la Oficina de Cooperación Internacional, pero por el tema de pandemia COVID-19, el apoyo quedó pendiente para el 2021.</w:t>
      </w:r>
    </w:p>
    <w:p w14:paraId="70DAC907" w14:textId="77777777" w:rsidR="002F2521" w:rsidRPr="00322D9B" w:rsidRDefault="002F2521" w:rsidP="00322D9B">
      <w:pPr>
        <w:pStyle w:val="Prrafodelista"/>
        <w:ind w:left="720"/>
        <w:jc w:val="both"/>
        <w:rPr>
          <w:rFonts w:ascii="Arial Narrow" w:eastAsia="Calibri" w:hAnsi="Arial Narrow"/>
          <w:lang w:val="es-CR"/>
        </w:rPr>
      </w:pPr>
    </w:p>
    <w:p w14:paraId="15F8DE9C" w14:textId="64AB74B0" w:rsidR="00E51E2D" w:rsidRPr="00322D9B" w:rsidRDefault="40213295" w:rsidP="00322D9B">
      <w:pPr>
        <w:pStyle w:val="Prrafodelista"/>
        <w:numPr>
          <w:ilvl w:val="1"/>
          <w:numId w:val="152"/>
        </w:numPr>
        <w:jc w:val="both"/>
        <w:rPr>
          <w:rFonts w:ascii="Arial Narrow" w:eastAsia="Calibri" w:hAnsi="Arial Narrow"/>
          <w:lang w:val="es-CR"/>
        </w:rPr>
      </w:pPr>
      <w:r w:rsidRPr="00322D9B">
        <w:rPr>
          <w:rFonts w:ascii="Arial Narrow" w:eastAsia="Calibri" w:hAnsi="Arial Narrow"/>
          <w:lang w:val="es-CR"/>
        </w:rPr>
        <w:t>El tema de Optimización e innovación de los servicios judiciales</w:t>
      </w:r>
      <w:r w:rsidR="17C8A4FB" w:rsidRPr="00322D9B">
        <w:rPr>
          <w:rFonts w:ascii="Arial Narrow" w:eastAsia="Calibri" w:hAnsi="Arial Narrow"/>
          <w:lang w:val="es-CR"/>
        </w:rPr>
        <w:t xml:space="preserve"> está</w:t>
      </w:r>
      <w:r w:rsidRPr="00322D9B">
        <w:rPr>
          <w:rFonts w:ascii="Arial Narrow" w:eastAsia="Calibri" w:hAnsi="Arial Narrow"/>
          <w:lang w:val="es-CR"/>
        </w:rPr>
        <w:t xml:space="preserve"> integrado por la acción de Desarrollo y </w:t>
      </w:r>
      <w:r w:rsidR="17C8A4FB" w:rsidRPr="00322D9B">
        <w:rPr>
          <w:rFonts w:ascii="Arial Narrow" w:eastAsia="Calibri" w:hAnsi="Arial Narrow"/>
          <w:lang w:val="es-CR"/>
        </w:rPr>
        <w:t>O</w:t>
      </w:r>
      <w:r w:rsidRPr="00322D9B">
        <w:rPr>
          <w:rFonts w:ascii="Arial Narrow" w:eastAsia="Calibri" w:hAnsi="Arial Narrow"/>
          <w:lang w:val="es-CR"/>
        </w:rPr>
        <w:t>ptimización de servicios</w:t>
      </w:r>
      <w:r w:rsidR="17C8A4FB" w:rsidRPr="00322D9B">
        <w:rPr>
          <w:rFonts w:ascii="Arial Narrow" w:eastAsia="Calibri" w:hAnsi="Arial Narrow"/>
          <w:lang w:val="es-CR"/>
        </w:rPr>
        <w:t>, la cual</w:t>
      </w:r>
      <w:r w:rsidRPr="00322D9B">
        <w:rPr>
          <w:rFonts w:ascii="Arial Narrow" w:eastAsia="Calibri" w:hAnsi="Arial Narrow"/>
          <w:lang w:val="es-CR"/>
        </w:rPr>
        <w:t xml:space="preserve"> lo </w:t>
      </w:r>
      <w:r w:rsidR="17C8A4FB" w:rsidRPr="00322D9B">
        <w:rPr>
          <w:rFonts w:ascii="Arial Narrow" w:eastAsia="Calibri" w:hAnsi="Arial Narrow"/>
          <w:lang w:val="es-CR"/>
        </w:rPr>
        <w:t>componen</w:t>
      </w:r>
      <w:r w:rsidRPr="00322D9B">
        <w:rPr>
          <w:rFonts w:ascii="Arial Narrow" w:eastAsia="Calibri" w:hAnsi="Arial Narrow"/>
          <w:lang w:val="es-CR"/>
        </w:rPr>
        <w:t xml:space="preserve"> 2</w:t>
      </w:r>
      <w:r w:rsidR="17C8A4FB" w:rsidRPr="00322D9B">
        <w:rPr>
          <w:rFonts w:ascii="Arial Narrow" w:eastAsia="Calibri" w:hAnsi="Arial Narrow"/>
          <w:lang w:val="es-CR"/>
        </w:rPr>
        <w:t>4</w:t>
      </w:r>
      <w:r w:rsidRPr="00322D9B">
        <w:rPr>
          <w:rFonts w:ascii="Arial Narrow" w:eastAsia="Calibri" w:hAnsi="Arial Narrow"/>
          <w:lang w:val="es-CR"/>
        </w:rPr>
        <w:t xml:space="preserve"> metas estratégicas, de las cuales solamente 1 quedó con un cumplimiento </w:t>
      </w:r>
      <w:r w:rsidR="7472C30C" w:rsidRPr="00322D9B">
        <w:rPr>
          <w:rFonts w:ascii="Arial Narrow" w:eastAsia="Calibri" w:hAnsi="Arial Narrow"/>
          <w:lang w:val="es-CR"/>
        </w:rPr>
        <w:t>bajo</w:t>
      </w:r>
      <w:r w:rsidRPr="00322D9B">
        <w:rPr>
          <w:rFonts w:ascii="Arial Narrow" w:eastAsia="Calibri" w:hAnsi="Arial Narrow"/>
          <w:lang w:val="es-CR"/>
        </w:rPr>
        <w:t xml:space="preserve">. De la acción </w:t>
      </w:r>
      <w:r w:rsidR="17C8A4FB" w:rsidRPr="00322D9B">
        <w:rPr>
          <w:rFonts w:ascii="Arial Narrow" w:eastAsia="Calibri" w:hAnsi="Arial Narrow"/>
          <w:lang w:val="es-CR"/>
        </w:rPr>
        <w:t xml:space="preserve">estratégica, </w:t>
      </w:r>
      <w:r w:rsidRPr="00322D9B">
        <w:rPr>
          <w:rFonts w:ascii="Arial Narrow" w:eastAsia="Calibri" w:hAnsi="Arial Narrow"/>
          <w:lang w:val="es-CR"/>
        </w:rPr>
        <w:t xml:space="preserve">Servicios Tecnológicos tiene </w:t>
      </w:r>
      <w:r w:rsidR="17C8A4FB" w:rsidRPr="00322D9B">
        <w:rPr>
          <w:rFonts w:ascii="Arial Narrow" w:eastAsia="Calibri" w:hAnsi="Arial Narrow"/>
          <w:lang w:val="es-CR"/>
        </w:rPr>
        <w:t>10</w:t>
      </w:r>
      <w:r w:rsidRPr="00322D9B">
        <w:rPr>
          <w:rFonts w:ascii="Arial Narrow" w:eastAsia="Calibri" w:hAnsi="Arial Narrow"/>
          <w:lang w:val="es-CR"/>
        </w:rPr>
        <w:t xml:space="preserve"> metas vinculadas, </w:t>
      </w:r>
      <w:r w:rsidR="17C8A4FB" w:rsidRPr="00322D9B">
        <w:rPr>
          <w:rFonts w:ascii="Arial Narrow" w:eastAsia="Calibri" w:hAnsi="Arial Narrow"/>
          <w:lang w:val="es-CR"/>
        </w:rPr>
        <w:t>y todas lograron ser completa</w:t>
      </w:r>
      <w:r w:rsidR="3D4EF576" w:rsidRPr="00322D9B">
        <w:rPr>
          <w:rFonts w:ascii="Arial Narrow" w:eastAsia="Calibri" w:hAnsi="Arial Narrow"/>
          <w:lang w:val="es-CR"/>
        </w:rPr>
        <w:t>das</w:t>
      </w:r>
      <w:r w:rsidR="17C8A4FB" w:rsidRPr="00322D9B">
        <w:rPr>
          <w:rFonts w:ascii="Arial Narrow" w:eastAsia="Calibri" w:hAnsi="Arial Narrow"/>
          <w:lang w:val="es-CR"/>
        </w:rPr>
        <w:t xml:space="preserve"> en su totalidad. </w:t>
      </w:r>
      <w:r w:rsidRPr="00322D9B">
        <w:rPr>
          <w:rFonts w:ascii="Arial Narrow" w:eastAsia="Calibri" w:hAnsi="Arial Narrow"/>
          <w:lang w:val="es-CR"/>
        </w:rPr>
        <w:t>Se tiene la acción de Leyes y reformas, la cual la componen 7 metas estratégicas</w:t>
      </w:r>
      <w:r w:rsidR="17C8A4FB" w:rsidRPr="00322D9B">
        <w:rPr>
          <w:rFonts w:ascii="Arial Narrow" w:eastAsia="Calibri" w:hAnsi="Arial Narrow"/>
          <w:lang w:val="es-CR"/>
        </w:rPr>
        <w:t>, de</w:t>
      </w:r>
      <w:r w:rsidRPr="00322D9B">
        <w:rPr>
          <w:rFonts w:ascii="Arial Narrow" w:eastAsia="Calibri" w:hAnsi="Arial Narrow"/>
          <w:lang w:val="es-CR"/>
        </w:rPr>
        <w:t xml:space="preserve"> las cuales</w:t>
      </w:r>
      <w:r w:rsidR="17C8A4FB" w:rsidRPr="00322D9B">
        <w:rPr>
          <w:rFonts w:ascii="Arial Narrow" w:eastAsia="Calibri" w:hAnsi="Arial Narrow"/>
          <w:lang w:val="es-CR"/>
        </w:rPr>
        <w:t xml:space="preserve"> 6</w:t>
      </w:r>
      <w:r w:rsidRPr="00322D9B">
        <w:rPr>
          <w:rFonts w:ascii="Arial Narrow" w:eastAsia="Calibri" w:hAnsi="Arial Narrow"/>
          <w:lang w:val="es-CR"/>
        </w:rPr>
        <w:t xml:space="preserve"> lograron cumplir al 100%</w:t>
      </w:r>
      <w:r w:rsidR="17C8A4FB" w:rsidRPr="00322D9B">
        <w:rPr>
          <w:rFonts w:ascii="Arial Narrow" w:eastAsia="Calibri" w:hAnsi="Arial Narrow"/>
          <w:lang w:val="es-CR"/>
        </w:rPr>
        <w:t xml:space="preserve"> y solamente una qued</w:t>
      </w:r>
      <w:r w:rsidR="3D4EF576" w:rsidRPr="00322D9B">
        <w:rPr>
          <w:rFonts w:ascii="Arial Narrow" w:eastAsia="Calibri" w:hAnsi="Arial Narrow"/>
          <w:lang w:val="es-CR"/>
        </w:rPr>
        <w:t>ó</w:t>
      </w:r>
      <w:r w:rsidR="17C8A4FB" w:rsidRPr="00322D9B">
        <w:rPr>
          <w:rFonts w:ascii="Arial Narrow" w:eastAsia="Calibri" w:hAnsi="Arial Narrow"/>
          <w:lang w:val="es-CR"/>
        </w:rPr>
        <w:t xml:space="preserve"> con cumplimiento medio</w:t>
      </w:r>
      <w:r w:rsidR="7472C30C" w:rsidRPr="00322D9B">
        <w:rPr>
          <w:rFonts w:ascii="Arial Narrow" w:eastAsia="Calibri" w:hAnsi="Arial Narrow"/>
          <w:lang w:val="es-CR"/>
        </w:rPr>
        <w:t>.</w:t>
      </w:r>
      <w:r w:rsidR="3D4EF576" w:rsidRPr="00322D9B">
        <w:rPr>
          <w:rFonts w:ascii="Arial Narrow" w:eastAsia="Calibri" w:hAnsi="Arial Narrow"/>
          <w:lang w:val="es-CR"/>
        </w:rPr>
        <w:t xml:space="preserve"> Respecto a esa meta que logró un cumplimiento medio se tiene que por parte de la Oficina de Atención a la Victima del Delito que se confeccionó un borrador de reglamento, luego de ser valorado por Dirección Jurídica recomienda realizar dos reglamentos, uno ejecutivo y uno autónomo. Al finalizar el 2021, la Dirección Jurídica se encontraba trabajando en la revisión del reglamento para ser luego elevado a las dependencias de Atención y Protección, y por lo tanto la meta </w:t>
      </w:r>
      <w:r w:rsidR="6FA59A85" w:rsidRPr="00322D9B">
        <w:rPr>
          <w:rFonts w:ascii="Arial Narrow" w:eastAsia="Calibri" w:hAnsi="Arial Narrow"/>
          <w:lang w:val="es-CR"/>
        </w:rPr>
        <w:t xml:space="preserve">quedó </w:t>
      </w:r>
      <w:r w:rsidR="3D4EF576" w:rsidRPr="00322D9B">
        <w:rPr>
          <w:rFonts w:ascii="Arial Narrow" w:eastAsia="Calibri" w:hAnsi="Arial Narrow"/>
          <w:lang w:val="es-CR"/>
        </w:rPr>
        <w:t xml:space="preserve">incompleta. </w:t>
      </w:r>
      <w:r w:rsidRPr="00322D9B">
        <w:rPr>
          <w:rFonts w:ascii="Arial Narrow" w:eastAsia="Calibri" w:hAnsi="Arial Narrow"/>
          <w:lang w:val="es-CR"/>
        </w:rPr>
        <w:t xml:space="preserve"> Finalmente, la acción </w:t>
      </w:r>
      <w:r w:rsidR="7472C30C" w:rsidRPr="00322D9B">
        <w:rPr>
          <w:rFonts w:ascii="Arial Narrow" w:eastAsia="Calibri" w:hAnsi="Arial Narrow"/>
          <w:lang w:val="es-CR"/>
        </w:rPr>
        <w:t xml:space="preserve">estratégica </w:t>
      </w:r>
      <w:r w:rsidRPr="00322D9B">
        <w:rPr>
          <w:rFonts w:ascii="Arial Narrow" w:eastAsia="Calibri" w:hAnsi="Arial Narrow"/>
          <w:lang w:val="es-CR"/>
        </w:rPr>
        <w:t xml:space="preserve">de Buenas Prácticas, integrada por 2 metas estratégicas de igual manera fue cumplida en un 100% con base en el desarrollo </w:t>
      </w:r>
      <w:r w:rsidR="7472C30C" w:rsidRPr="00322D9B">
        <w:rPr>
          <w:rFonts w:ascii="Arial Narrow" w:eastAsia="Calibri" w:hAnsi="Arial Narrow"/>
          <w:lang w:val="es-CR"/>
        </w:rPr>
        <w:t>promover la mejora continua del servicio público con la participación de la población judicial, en la búsqueda de una gestión eficiente y un servicio de administración de justicia de calidad por medio de cápsulas informativas para que las oficinas participaran en el concurso de Buenas Prácticas 2021, así como audiencia a los diferentes Consejos de Administración de los Circuitos Judiciales, para motivar la inscripción de buenas prácticas de las diferentes oficinas y despachos judiciales.</w:t>
      </w:r>
      <w:r w:rsidR="666EE2E5" w:rsidRPr="00322D9B">
        <w:rPr>
          <w:rFonts w:ascii="Arial Narrow" w:eastAsia="Calibri" w:hAnsi="Arial Narrow"/>
          <w:lang w:val="es-CR"/>
        </w:rPr>
        <w:t xml:space="preserve"> </w:t>
      </w:r>
    </w:p>
    <w:p w14:paraId="49F903B4" w14:textId="77777777" w:rsidR="00E51E2D" w:rsidRPr="00322D9B" w:rsidRDefault="00E51E2D" w:rsidP="00322D9B">
      <w:pPr>
        <w:pStyle w:val="Prrafodelista"/>
        <w:ind w:left="720"/>
        <w:jc w:val="both"/>
        <w:rPr>
          <w:rFonts w:ascii="Arial Narrow" w:eastAsia="Calibri" w:hAnsi="Arial Narrow"/>
          <w:lang w:val="es-CR"/>
        </w:rPr>
      </w:pPr>
    </w:p>
    <w:p w14:paraId="6CC7FF7F" w14:textId="1FB517F4" w:rsidR="00E51E2D" w:rsidRPr="00322D9B" w:rsidRDefault="00517DC3" w:rsidP="00322D9B">
      <w:pPr>
        <w:pStyle w:val="Prrafodelista"/>
        <w:numPr>
          <w:ilvl w:val="1"/>
          <w:numId w:val="152"/>
        </w:numPr>
        <w:jc w:val="both"/>
        <w:rPr>
          <w:rFonts w:ascii="Arial Narrow" w:hAnsi="Arial Narrow" w:cs="Book Antiqua"/>
          <w:snapToGrid w:val="0"/>
        </w:rPr>
      </w:pPr>
      <w:r w:rsidRPr="00322D9B">
        <w:rPr>
          <w:rFonts w:ascii="Arial Narrow" w:eastAsia="Calibri" w:hAnsi="Arial Narrow"/>
          <w:lang w:val="es-CR"/>
        </w:rPr>
        <w:t xml:space="preserve">El </w:t>
      </w:r>
      <w:r w:rsidR="40213295" w:rsidRPr="00322D9B">
        <w:rPr>
          <w:rFonts w:ascii="Arial Narrow" w:eastAsia="Calibri" w:hAnsi="Arial Narrow"/>
          <w:lang w:val="es-CR"/>
        </w:rPr>
        <w:t xml:space="preserve">tema de Gestión del Personal lo integran 5 acciones, de la que se señala la Evaluación del Desempeño integrada por 7 metas estratégicas, todas registran un cumplimiento alto. Sobre el Reclutamiento y Selección, como otra acción estratégica, se tienen 7 metas estratégicas de las cuales, se registra una ejecución alta de todas las metas. Sobre la acción estratégica de Capacitación, se tienen 29 metas vinculadas, de las cuales </w:t>
      </w:r>
      <w:r w:rsidR="3D4EF576" w:rsidRPr="00322D9B">
        <w:rPr>
          <w:rFonts w:ascii="Arial Narrow" w:eastAsia="Calibri" w:hAnsi="Arial Narrow"/>
          <w:lang w:val="es-CR"/>
        </w:rPr>
        <w:t xml:space="preserve">28 muestran una ejecución alta en su cumplimiento y solamente hay 1 meta que registra un cumplimiento medio,  </w:t>
      </w:r>
      <w:r w:rsidR="666EE2E5" w:rsidRPr="00322D9B">
        <w:rPr>
          <w:rFonts w:ascii="Arial Narrow" w:eastAsia="Calibri" w:hAnsi="Arial Narrow"/>
          <w:lang w:val="es-CR"/>
        </w:rPr>
        <w:t>en cuanto a esta meta se registra que la Escuela Judicial y la Dirección Ejecutiva trabajaron desde la óptica operativa, de acuerdo con la revisión efectuada se logró determinar que para el 2021 se tiene un cumplimiento medio del 50%, donde se destaca lo consignado por la Escuela</w:t>
      </w:r>
      <w:r w:rsidR="666EE2E5" w:rsidRPr="00322D9B">
        <w:rPr>
          <w:rFonts w:ascii="Arial Narrow" w:eastAsia="Calibri" w:hAnsi="Arial Narrow"/>
        </w:rPr>
        <w:t xml:space="preserve"> Judicial  como los cursos virtuales de "Bienestar Animal" y el de "Acoso Sexual Callejero”, así como “Tutela Penal y Contravencional”, en cuanto a la Dirección Ejecutiva no mostró avances reflejando el estado de la meta como no iniciada. </w:t>
      </w:r>
      <w:r w:rsidR="3D4EF576" w:rsidRPr="00322D9B">
        <w:rPr>
          <w:rFonts w:ascii="Arial Narrow" w:eastAsia="Calibri" w:hAnsi="Arial Narrow"/>
        </w:rPr>
        <w:t xml:space="preserve"> S</w:t>
      </w:r>
      <w:r w:rsidR="40213295" w:rsidRPr="00322D9B">
        <w:rPr>
          <w:rFonts w:ascii="Arial Narrow" w:hAnsi="Arial Narrow" w:cs="Book Antiqua"/>
          <w:snapToGrid w:val="0"/>
        </w:rPr>
        <w:t xml:space="preserve">obre la acción estratégica de Carrera posee 4 metas vinculadas y fueron completadas en su totalidad. Finalmente, se tiene la acción </w:t>
      </w:r>
      <w:r w:rsidR="3D4EF576" w:rsidRPr="00322D9B">
        <w:rPr>
          <w:rFonts w:ascii="Arial Narrow" w:hAnsi="Arial Narrow" w:cs="Book Antiqua"/>
          <w:snapToGrid w:val="0"/>
        </w:rPr>
        <w:t xml:space="preserve">estratégica </w:t>
      </w:r>
      <w:r w:rsidR="40213295" w:rsidRPr="00322D9B">
        <w:rPr>
          <w:rFonts w:ascii="Arial Narrow" w:hAnsi="Arial Narrow" w:cs="Book Antiqua"/>
          <w:snapToGrid w:val="0"/>
        </w:rPr>
        <w:t xml:space="preserve">de Bienestar y Salud que tiene 4 metas vinculadas con un cumplimiento óptimo de 100%. </w:t>
      </w:r>
    </w:p>
    <w:p w14:paraId="071A6716" w14:textId="77777777" w:rsidR="00E51E2D" w:rsidRPr="00AB1EBB" w:rsidRDefault="00E51E2D" w:rsidP="00322D9B">
      <w:pPr>
        <w:jc w:val="both"/>
        <w:rPr>
          <w:rFonts w:ascii="Arial Narrow" w:hAnsi="Arial Narrow" w:cs="Book Antiqua"/>
          <w:snapToGrid w:val="0"/>
        </w:rPr>
      </w:pPr>
    </w:p>
    <w:p w14:paraId="47091BFD" w14:textId="01649E85" w:rsidR="004B63EC" w:rsidRPr="00322D9B" w:rsidRDefault="40213295" w:rsidP="00322D9B">
      <w:pPr>
        <w:pStyle w:val="Prrafodelista"/>
        <w:numPr>
          <w:ilvl w:val="1"/>
          <w:numId w:val="152"/>
        </w:numPr>
        <w:jc w:val="both"/>
        <w:rPr>
          <w:rFonts w:ascii="Arial Narrow" w:eastAsia="Calibri" w:hAnsi="Arial Narrow"/>
          <w:lang w:val="es-CR"/>
        </w:rPr>
      </w:pPr>
      <w:r w:rsidRPr="00322D9B">
        <w:rPr>
          <w:rFonts w:ascii="Arial Narrow" w:eastAsia="Calibri" w:hAnsi="Arial Narrow"/>
          <w:lang w:val="es-CR"/>
        </w:rPr>
        <w:t xml:space="preserve">Sobre el tema de Planificación Institucional posee 3 acciones estratégicas, de las cuales se señala la Gestión Estratégica Institucional dispone de 7 metas relacionadas y </w:t>
      </w:r>
      <w:r w:rsidR="666EE2E5" w:rsidRPr="00322D9B">
        <w:rPr>
          <w:rFonts w:ascii="Arial Narrow" w:eastAsia="Calibri" w:hAnsi="Arial Narrow"/>
          <w:lang w:val="es-CR"/>
        </w:rPr>
        <w:t xml:space="preserve">todas fueron debidamente completadas, al realizar esfuerzos como el Modelo de Gestión de Planificación Estratégica de donde parten diversos actores desde un enfoque operativo, respecto al Control Interno, Corte Plena relacionado a aprobaciones concernientes con el Plan Estratégico Institucional (PEI), el Plan Anual Operativo (PAO) y la Gestión del Portafolio de Proyectos Estratégicos. Por medio del Subproceso de Planificación Estratégica se le brinda continuidad al Modelo de Gestión para la Planificación Estratégica, y continuar con la integración con el modelo de innovación, el portafolio de proyectos estratégicos, los planes anuales operativos, el Presupuesto y riesgos institucionales. De enero a diciembre del 2021, se gestionaron 6 sesiones del Comité de Planeación Estratégica, donde ha sido necesario coordinar con las Direcciones que brindan información en los seguimientos, así como con aquellas oficinas que solicitan alineamientos estratégicos. </w:t>
      </w:r>
      <w:r w:rsidRPr="00322D9B">
        <w:rPr>
          <w:rFonts w:ascii="Arial Narrow" w:eastAsia="Calibri" w:hAnsi="Arial Narrow"/>
          <w:lang w:val="es-CR"/>
        </w:rPr>
        <w:t>Por su parte, las dos acciones restantes que son Gestión de Políticas Institucionales y de Proyectos Estratégicos, se encuentran completadas al 100%</w:t>
      </w:r>
      <w:r w:rsidR="666EE2E5" w:rsidRPr="00322D9B">
        <w:rPr>
          <w:rFonts w:ascii="Arial Narrow" w:eastAsia="Calibri" w:hAnsi="Arial Narrow"/>
          <w:lang w:val="es-CR"/>
        </w:rPr>
        <w:t>.</w:t>
      </w:r>
    </w:p>
    <w:p w14:paraId="4B7184D9" w14:textId="77777777" w:rsidR="00004DEC" w:rsidRPr="00322D9B" w:rsidRDefault="00004DEC" w:rsidP="00322D9B">
      <w:pPr>
        <w:jc w:val="both"/>
        <w:rPr>
          <w:rFonts w:ascii="Arial Narrow" w:hAnsi="Arial Narrow" w:cs="Book Antiqua"/>
          <w:snapToGrid w:val="0"/>
        </w:rPr>
      </w:pPr>
    </w:p>
    <w:p w14:paraId="3DE34305" w14:textId="0C22149C" w:rsidR="002F520A" w:rsidRPr="00322D9B" w:rsidRDefault="2B777ADA" w:rsidP="00322D9B">
      <w:pPr>
        <w:pStyle w:val="Prrafodelista"/>
        <w:numPr>
          <w:ilvl w:val="1"/>
          <w:numId w:val="152"/>
        </w:numPr>
        <w:jc w:val="both"/>
        <w:rPr>
          <w:rFonts w:ascii="Arial Narrow" w:eastAsia="Calibri" w:hAnsi="Arial Narrow"/>
          <w:lang w:val="es-CR"/>
        </w:rPr>
      </w:pPr>
      <w:r w:rsidRPr="00322D9B">
        <w:rPr>
          <w:rFonts w:ascii="Arial Narrow" w:eastAsia="Calibri" w:hAnsi="Arial Narrow"/>
          <w:lang w:val="es-CR"/>
        </w:rPr>
        <w:t>De acuerdo con los resultados del PEI por instancia responsable,</w:t>
      </w:r>
      <w:r w:rsidR="67BDF4AF" w:rsidRPr="00322D9B">
        <w:rPr>
          <w:rFonts w:ascii="Arial Narrow" w:eastAsia="Calibri" w:hAnsi="Arial Narrow"/>
          <w:lang w:val="es-CR"/>
        </w:rPr>
        <w:t xml:space="preserve"> se tiene que, de los 31 responsables estratégicos, 29 tienen un cumplimiento alto de sus metas estratégicas en un 90%-100%, eso equivale a un 93% de la totalidad de oficinas responsables, esto evidencia esfuerzos importantes para alcanzar las metas estratégicas operativizadas al PAO del primer año del PEI 2021.   Por lo tanto, hay un bloque de 2 responsables estratégicos que tienen un cumplimiento medio de inferior a 89,9% a 50%, esto equivale a 7% de oficinas que realizaron una ejecución de metas estratégicas parcial, es importante tener presente estas metas estratégicas para darles una prioridad especial y una atención de relevancia en la ejecución del PEI para el 2021-2024, esos 2 responsables estratégicos que tienen un cumplimiento medio son el Departamento de Prensa y Comunicación y el Centro de Apoyo, Mejoramiento y Coordinación de la Función Jurisdiccional.</w:t>
      </w:r>
    </w:p>
    <w:p w14:paraId="1ADD55CF" w14:textId="77777777" w:rsidR="0042411A" w:rsidRPr="00AB1EBB" w:rsidRDefault="0042411A" w:rsidP="00322D9B">
      <w:pPr>
        <w:jc w:val="both"/>
        <w:rPr>
          <w:rFonts w:ascii="Arial Narrow" w:hAnsi="Arial Narrow" w:cs="Book Antiqua"/>
          <w:snapToGrid w:val="0"/>
        </w:rPr>
      </w:pPr>
    </w:p>
    <w:p w14:paraId="74172381" w14:textId="127D524F" w:rsidR="001872F2" w:rsidRPr="00322D9B" w:rsidRDefault="40213295" w:rsidP="00322D9B">
      <w:pPr>
        <w:pStyle w:val="Prrafodelista"/>
        <w:numPr>
          <w:ilvl w:val="1"/>
          <w:numId w:val="152"/>
        </w:numPr>
        <w:jc w:val="both"/>
        <w:rPr>
          <w:rFonts w:ascii="Arial Narrow" w:eastAsia="Calibri" w:hAnsi="Arial Narrow"/>
          <w:lang w:val="es-CR"/>
        </w:rPr>
      </w:pPr>
      <w:r w:rsidRPr="00322D9B">
        <w:rPr>
          <w:rFonts w:ascii="Arial Narrow" w:eastAsia="Calibri" w:hAnsi="Arial Narrow"/>
          <w:lang w:val="es-CR"/>
        </w:rPr>
        <w:t xml:space="preserve">Con respecto a los </w:t>
      </w:r>
      <w:r w:rsidR="666EE2E5" w:rsidRPr="00322D9B">
        <w:rPr>
          <w:rFonts w:ascii="Arial Narrow" w:eastAsia="Calibri" w:hAnsi="Arial Narrow"/>
          <w:lang w:val="es-CR"/>
        </w:rPr>
        <w:t>hallazgos</w:t>
      </w:r>
      <w:r w:rsidRPr="00322D9B">
        <w:rPr>
          <w:rFonts w:ascii="Arial Narrow" w:eastAsia="Calibri" w:hAnsi="Arial Narrow"/>
          <w:lang w:val="es-CR"/>
        </w:rPr>
        <w:t xml:space="preserve"> que se detectan para las metas estratégicas con cumplimiento medio o bajo, se detallan para cada tema y acción estratégica su respectiva meta y responsable para determinar y mapear con mayor claridad los retos y desafíos que tienen por delante con el fin de cumplir la meta al finalizar el periodo del 2024. El tema de Resolución Oportuna de Conflictos tiene </w:t>
      </w:r>
      <w:r w:rsidR="67BDF4AF" w:rsidRPr="00322D9B">
        <w:rPr>
          <w:rFonts w:ascii="Arial Narrow" w:eastAsia="Calibri" w:hAnsi="Arial Narrow"/>
          <w:lang w:val="es-CR"/>
        </w:rPr>
        <w:t>22</w:t>
      </w:r>
      <w:r w:rsidRPr="00322D9B">
        <w:rPr>
          <w:rFonts w:ascii="Arial Narrow" w:eastAsia="Calibri" w:hAnsi="Arial Narrow"/>
          <w:lang w:val="es-CR"/>
        </w:rPr>
        <w:t xml:space="preserve"> metas estratégicas, con sus </w:t>
      </w:r>
      <w:r w:rsidR="67BDF4AF" w:rsidRPr="00322D9B">
        <w:rPr>
          <w:rFonts w:ascii="Arial Narrow" w:eastAsia="Calibri" w:hAnsi="Arial Narrow"/>
          <w:lang w:val="es-CR"/>
        </w:rPr>
        <w:t>retos</w:t>
      </w:r>
      <w:r w:rsidRPr="00322D9B">
        <w:rPr>
          <w:rFonts w:ascii="Arial Narrow" w:eastAsia="Calibri" w:hAnsi="Arial Narrow"/>
          <w:lang w:val="es-CR"/>
        </w:rPr>
        <w:t xml:space="preserve"> y responsables. El tema de Confianza y </w:t>
      </w:r>
      <w:r w:rsidR="0A699681" w:rsidRPr="00322D9B">
        <w:rPr>
          <w:rFonts w:ascii="Arial Narrow" w:eastAsia="Calibri" w:hAnsi="Arial Narrow"/>
          <w:lang w:val="es-CR"/>
        </w:rPr>
        <w:t>P</w:t>
      </w:r>
      <w:r w:rsidRPr="00322D9B">
        <w:rPr>
          <w:rFonts w:ascii="Arial Narrow" w:eastAsia="Calibri" w:hAnsi="Arial Narrow"/>
          <w:lang w:val="es-CR"/>
        </w:rPr>
        <w:t xml:space="preserve">robidad tiene </w:t>
      </w:r>
      <w:r w:rsidR="0A699681" w:rsidRPr="00322D9B">
        <w:rPr>
          <w:rFonts w:ascii="Arial Narrow" w:eastAsia="Calibri" w:hAnsi="Arial Narrow"/>
          <w:lang w:val="es-CR"/>
        </w:rPr>
        <w:t>2</w:t>
      </w:r>
      <w:r w:rsidRPr="00322D9B">
        <w:rPr>
          <w:rFonts w:ascii="Arial Narrow" w:eastAsia="Calibri" w:hAnsi="Arial Narrow"/>
          <w:lang w:val="es-CR"/>
        </w:rPr>
        <w:t xml:space="preserve"> metas, el tema de Optimización e Innovación de los </w:t>
      </w:r>
      <w:r w:rsidR="0A699681" w:rsidRPr="00322D9B">
        <w:rPr>
          <w:rFonts w:ascii="Arial Narrow" w:eastAsia="Calibri" w:hAnsi="Arial Narrow"/>
          <w:lang w:val="es-CR"/>
        </w:rPr>
        <w:t>S</w:t>
      </w:r>
      <w:r w:rsidRPr="00322D9B">
        <w:rPr>
          <w:rFonts w:ascii="Arial Narrow" w:eastAsia="Calibri" w:hAnsi="Arial Narrow"/>
          <w:lang w:val="es-CR"/>
        </w:rPr>
        <w:t xml:space="preserve">ervicios </w:t>
      </w:r>
      <w:r w:rsidR="0A699681" w:rsidRPr="00322D9B">
        <w:rPr>
          <w:rFonts w:ascii="Arial Narrow" w:eastAsia="Calibri" w:hAnsi="Arial Narrow"/>
          <w:lang w:val="es-CR"/>
        </w:rPr>
        <w:t>J</w:t>
      </w:r>
      <w:r w:rsidRPr="00322D9B">
        <w:rPr>
          <w:rFonts w:ascii="Arial Narrow" w:eastAsia="Calibri" w:hAnsi="Arial Narrow"/>
          <w:lang w:val="es-CR"/>
        </w:rPr>
        <w:t xml:space="preserve">udiciales tiene </w:t>
      </w:r>
      <w:r w:rsidR="0A699681" w:rsidRPr="00322D9B">
        <w:rPr>
          <w:rFonts w:ascii="Arial Narrow" w:eastAsia="Calibri" w:hAnsi="Arial Narrow"/>
          <w:lang w:val="es-CR"/>
        </w:rPr>
        <w:t>2</w:t>
      </w:r>
      <w:r w:rsidRPr="00322D9B">
        <w:rPr>
          <w:rFonts w:ascii="Arial Narrow" w:eastAsia="Calibri" w:hAnsi="Arial Narrow"/>
          <w:lang w:val="es-CR"/>
        </w:rPr>
        <w:t xml:space="preserve"> metas con sus respectivos desafíos, Gestión del Personal tiene </w:t>
      </w:r>
      <w:r w:rsidR="0A699681" w:rsidRPr="00322D9B">
        <w:rPr>
          <w:rFonts w:ascii="Arial Narrow" w:eastAsia="Calibri" w:hAnsi="Arial Narrow"/>
          <w:lang w:val="es-CR"/>
        </w:rPr>
        <w:t>1</w:t>
      </w:r>
      <w:r w:rsidRPr="00322D9B">
        <w:rPr>
          <w:rFonts w:ascii="Arial Narrow" w:eastAsia="Calibri" w:hAnsi="Arial Narrow"/>
          <w:lang w:val="es-CR"/>
        </w:rPr>
        <w:t xml:space="preserve"> meta</w:t>
      </w:r>
      <w:r w:rsidR="0A699681" w:rsidRPr="00322D9B">
        <w:rPr>
          <w:rFonts w:ascii="Arial Narrow" w:eastAsia="Calibri" w:hAnsi="Arial Narrow"/>
          <w:lang w:val="es-CR"/>
        </w:rPr>
        <w:t xml:space="preserve"> estratégica </w:t>
      </w:r>
      <w:r w:rsidRPr="00322D9B">
        <w:rPr>
          <w:rFonts w:ascii="Arial Narrow" w:eastAsia="Calibri" w:hAnsi="Arial Narrow"/>
          <w:lang w:val="es-CR"/>
        </w:rPr>
        <w:t xml:space="preserve">y finalmente, Planificación Institucional </w:t>
      </w:r>
      <w:r w:rsidR="67BDF4AF" w:rsidRPr="00322D9B">
        <w:rPr>
          <w:rFonts w:ascii="Arial Narrow" w:eastAsia="Calibri" w:hAnsi="Arial Narrow"/>
          <w:lang w:val="es-CR"/>
        </w:rPr>
        <w:t>no tiene ninguna meta con cumplimiento medio o bajo.</w:t>
      </w:r>
    </w:p>
    <w:p w14:paraId="36BA06F9" w14:textId="77777777" w:rsidR="001872F2" w:rsidRPr="00AB1EBB" w:rsidRDefault="001872F2" w:rsidP="00322D9B">
      <w:pPr>
        <w:jc w:val="both"/>
        <w:rPr>
          <w:rFonts w:ascii="Arial Narrow" w:hAnsi="Arial Narrow" w:cs="Book Antiqua"/>
          <w:snapToGrid w:val="0"/>
        </w:rPr>
      </w:pPr>
    </w:p>
    <w:p w14:paraId="6ABDE51F" w14:textId="2CC7B2DB" w:rsidR="001872F2" w:rsidRPr="00322D9B" w:rsidRDefault="40213295" w:rsidP="00322D9B">
      <w:pPr>
        <w:pStyle w:val="Prrafodelista"/>
        <w:numPr>
          <w:ilvl w:val="1"/>
          <w:numId w:val="152"/>
        </w:numPr>
        <w:jc w:val="both"/>
        <w:rPr>
          <w:rFonts w:ascii="Arial Narrow" w:eastAsia="Calibri" w:hAnsi="Arial Narrow"/>
          <w:lang w:val="es-CR"/>
        </w:rPr>
      </w:pPr>
      <w:r w:rsidRPr="00322D9B">
        <w:rPr>
          <w:rFonts w:ascii="Arial Narrow" w:eastAsia="Calibri" w:hAnsi="Arial Narrow"/>
          <w:lang w:val="es-CR"/>
        </w:rPr>
        <w:t xml:space="preserve">Sobre el impacto del COVID-19, se evidencia en el apartado 9 que el Poder Judicial ha diseñado estrategias y </w:t>
      </w:r>
      <w:r w:rsidR="0A699681" w:rsidRPr="00322D9B">
        <w:rPr>
          <w:rFonts w:ascii="Arial Narrow" w:eastAsia="Calibri" w:hAnsi="Arial Narrow"/>
          <w:lang w:val="es-CR"/>
        </w:rPr>
        <w:t xml:space="preserve">se rinde el oficio 1481-PLA-PE-2020, del 23 de setiembre del 2020, por medio del cual la Dirección de Planificación comunicó el Plan de Acción COVID-19.  En dicho de Plan de Acción se definió una lista de acciones que se desarrollaron durante el 2020, para atender la emergencia sanitaria y procurar la continuidad de los servicios que brinda la Administración de Justicia, se rindió la circular de la Secretaría de la Corte 253-2020 del 05 de noviembre de 2020, se informó sobre el acuerdo de Corte Plena, sesión 64-2020 del 26 de octubre de 2020, en atención a la declaratoria de emergencia nacional, debido a la situación de emergencia sanitaria provocada por la enfermedad COVID-19, que dentro de las medidas adoptadas, se acogió la recomendación de la Dirección de Planificación sobre el Plan de Acción para la continuidad de los servicios judiciales de las estrategias institucionales. El Plan de Acción definido para el 2020 reportó un porcentaje de cumplimiento del 100%, y fue comunicado a la Comisión de Emergencias del Poder Judicial mediante oficio 201-PLA-PE-2021 del 17 de febrero de 2021 y a la Secretaría General de la Corte, mediante oficio 308-PLA-PE-2021, del 12 de marzo de 2021. La Dirección de Planificación mediante el oficio 478-PLA-PE-2021, planteó la propuesta para consolidar en un plan de acción las acciones institucionales que se han venido desarrollando o se tienen planificadas realizar durante el 2021, esto en virtud de que se mantiene la declaratoria de emergencia nacional, como efecto del COVID-19 y con el fin de dar continuidad a los servicios judiciales. Dado que para el 2020 el cumplimiento fue de un 100%, para el 2021 el cumplimiento fue de 93,33%, para este último año, se presentaron 19 estrategias enlazadas a las diversas metas estratégicas del PEI y de los Planes de Acción Covid-19, debido a que dos estrategias quedaron con cumplimiento por debajo de lo esperado, a saber, Plan de Acción COVID-19. Estrategia 6: Promover reuniones, capacitaciones, congresos, sesiones de trabajo y talleres en modalidad virtual registró un 83,33% y el Plan de Acción COVID-19. Estrategia 5: Apoyo de las Comisiones Institucionales en promover los servicios virtuales que tiene un cumplimiento de 66.67% al terminar al 2021.  </w:t>
      </w:r>
    </w:p>
    <w:p w14:paraId="4DF08192" w14:textId="77777777" w:rsidR="0042411A" w:rsidRPr="00322D9B" w:rsidRDefault="0042411A" w:rsidP="00322D9B">
      <w:pPr>
        <w:jc w:val="both"/>
        <w:rPr>
          <w:rFonts w:ascii="Arial Narrow" w:hAnsi="Arial Narrow"/>
          <w:color w:val="000000"/>
          <w:lang w:eastAsia="es-CR"/>
        </w:rPr>
      </w:pPr>
    </w:p>
    <w:p w14:paraId="6E74DC9E" w14:textId="7D53C189" w:rsidR="0042411A" w:rsidRPr="00322D9B" w:rsidRDefault="37829DF1" w:rsidP="00322D9B">
      <w:pPr>
        <w:pStyle w:val="Prrafodelista"/>
        <w:numPr>
          <w:ilvl w:val="1"/>
          <w:numId w:val="152"/>
        </w:numPr>
        <w:jc w:val="both"/>
        <w:rPr>
          <w:rFonts w:ascii="Arial Narrow" w:eastAsia="Calibri" w:hAnsi="Arial Narrow"/>
          <w:lang w:val="es-CR"/>
        </w:rPr>
      </w:pPr>
      <w:r w:rsidRPr="00322D9B">
        <w:rPr>
          <w:rFonts w:ascii="Arial Narrow" w:eastAsia="Calibri" w:hAnsi="Arial Narrow"/>
          <w:lang w:val="es-CR"/>
        </w:rPr>
        <w:t>Es importante destacar que, con base en los resultados y hallazgos de la evaluación, se propone la realización de un plan de acción</w:t>
      </w:r>
      <w:r w:rsidR="62BB5C23" w:rsidRPr="00322D9B">
        <w:rPr>
          <w:rFonts w:ascii="Arial Narrow" w:eastAsia="Calibri" w:hAnsi="Arial Narrow"/>
          <w:lang w:val="es-CR"/>
        </w:rPr>
        <w:t xml:space="preserve"> a futuro</w:t>
      </w:r>
      <w:r w:rsidRPr="00322D9B">
        <w:rPr>
          <w:rFonts w:ascii="Arial Narrow" w:eastAsia="Calibri" w:hAnsi="Arial Narrow"/>
          <w:lang w:val="es-CR"/>
        </w:rPr>
        <w:t xml:space="preserve"> en aras de mejorar la gestión orientada a los resultados de las áreas que se hayan determinado se deben priorizar o atender a la brevedad.  Debido a que la metodología de evaluación de resultados fue aprobada el 8 de febrero 2022, en sesión 11-2022, artículo V, se procederá a efectuar el plan de acción del PEI en el segundo semestre 2022 que incluirá un plan para las metas con rezago o con cumplimiento medio-bajo que detallará actividades, responsables y plazos, y posteriormente, será evaluado en el año 2023 al rendir la evaluación del PEI del año 2022. </w:t>
      </w:r>
    </w:p>
    <w:p w14:paraId="330C7148" w14:textId="47E05237" w:rsidR="0042411A" w:rsidRPr="00322D9B" w:rsidRDefault="0042411A" w:rsidP="00322D9B">
      <w:pPr>
        <w:jc w:val="both"/>
        <w:rPr>
          <w:rFonts w:ascii="Arial Narrow" w:hAnsi="Arial Narrow"/>
          <w:color w:val="000000"/>
          <w:lang w:eastAsia="es-CR"/>
        </w:rPr>
      </w:pPr>
    </w:p>
    <w:p w14:paraId="303B66CE" w14:textId="24DD1650" w:rsidR="0042411A" w:rsidRPr="00322D9B" w:rsidRDefault="272B73B4" w:rsidP="00322D9B">
      <w:pPr>
        <w:pStyle w:val="Prrafodelista"/>
        <w:numPr>
          <w:ilvl w:val="1"/>
          <w:numId w:val="152"/>
        </w:numPr>
        <w:jc w:val="both"/>
        <w:rPr>
          <w:rFonts w:ascii="Arial Narrow" w:eastAsia="Calibri" w:hAnsi="Arial Narrow"/>
          <w:lang w:val="es-CR"/>
        </w:rPr>
      </w:pPr>
      <w:r w:rsidRPr="00322D9B">
        <w:rPr>
          <w:rFonts w:ascii="Arial Narrow" w:eastAsia="Calibri" w:hAnsi="Arial Narrow"/>
          <w:lang w:val="es-CR"/>
        </w:rPr>
        <w:t>Debido  a la importancia de contar con procedimientos de realine</w:t>
      </w:r>
      <w:r w:rsidR="00CE3A15">
        <w:rPr>
          <w:rFonts w:ascii="Arial Narrow" w:eastAsia="Calibri" w:hAnsi="Arial Narrow"/>
          <w:lang w:val="es-CR"/>
        </w:rPr>
        <w:t>a</w:t>
      </w:r>
      <w:r w:rsidRPr="00322D9B">
        <w:rPr>
          <w:rFonts w:ascii="Arial Narrow" w:eastAsia="Calibri" w:hAnsi="Arial Narrow"/>
          <w:lang w:val="es-CR"/>
        </w:rPr>
        <w:t>miento estratégico para que las oficinas y despachos responsables pued</w:t>
      </w:r>
      <w:r w:rsidR="00F045FF">
        <w:rPr>
          <w:rFonts w:ascii="Arial Narrow" w:eastAsia="Calibri" w:hAnsi="Arial Narrow"/>
          <w:lang w:val="es-CR"/>
        </w:rPr>
        <w:t>a</w:t>
      </w:r>
      <w:r w:rsidRPr="00322D9B">
        <w:rPr>
          <w:rFonts w:ascii="Arial Narrow" w:eastAsia="Calibri" w:hAnsi="Arial Narrow"/>
          <w:lang w:val="es-CR"/>
        </w:rPr>
        <w:t>n informar sobre sus metas completadas</w:t>
      </w:r>
      <w:r w:rsidR="748BD9F1" w:rsidRPr="00322D9B">
        <w:rPr>
          <w:rFonts w:ascii="Arial Narrow" w:eastAsia="Calibri" w:hAnsi="Arial Narrow"/>
          <w:lang w:val="es-CR"/>
        </w:rPr>
        <w:t>,</w:t>
      </w:r>
      <w:r w:rsidRPr="00322D9B">
        <w:rPr>
          <w:rFonts w:ascii="Arial Narrow" w:eastAsia="Calibri" w:hAnsi="Arial Narrow"/>
          <w:lang w:val="es-CR"/>
        </w:rPr>
        <w:t xml:space="preserve"> as</w:t>
      </w:r>
      <w:r w:rsidR="748BD9F1" w:rsidRPr="00322D9B">
        <w:rPr>
          <w:rFonts w:ascii="Arial Narrow" w:eastAsia="Calibri" w:hAnsi="Arial Narrow"/>
          <w:lang w:val="es-CR"/>
        </w:rPr>
        <w:t>í</w:t>
      </w:r>
      <w:r w:rsidRPr="00322D9B">
        <w:rPr>
          <w:rFonts w:ascii="Arial Narrow" w:eastAsia="Calibri" w:hAnsi="Arial Narrow"/>
          <w:lang w:val="es-CR"/>
        </w:rPr>
        <w:t xml:space="preserve"> como la necesidad de hacer ajustes en objetivos y variables propias del PEI, se</w:t>
      </w:r>
      <w:r w:rsidR="4B409097" w:rsidRPr="00322D9B">
        <w:rPr>
          <w:rFonts w:ascii="Arial Narrow" w:eastAsia="Calibri" w:hAnsi="Arial Narrow"/>
          <w:lang w:val="es-CR"/>
        </w:rPr>
        <w:t xml:space="preserve"> debe aplicar el procedimiento </w:t>
      </w:r>
      <w:r w:rsidRPr="00322D9B">
        <w:rPr>
          <w:rFonts w:ascii="Arial Narrow" w:eastAsia="Calibri" w:hAnsi="Arial Narrow"/>
          <w:lang w:val="es-CR"/>
        </w:rPr>
        <w:t xml:space="preserve"> contenido en el </w:t>
      </w:r>
      <w:r w:rsidR="00CE3A15" w:rsidRPr="00322D9B">
        <w:rPr>
          <w:rFonts w:ascii="Arial Narrow" w:eastAsia="Calibri" w:hAnsi="Arial Narrow"/>
          <w:lang w:val="es-CR"/>
        </w:rPr>
        <w:t>informe</w:t>
      </w:r>
      <w:r w:rsidRPr="00322D9B">
        <w:rPr>
          <w:rFonts w:ascii="Arial Narrow" w:eastAsia="Calibri" w:hAnsi="Arial Narrow"/>
          <w:lang w:val="es-CR"/>
        </w:rPr>
        <w:t xml:space="preserve"> ° 91-PLA-PE-2022 del 28 de enero de 2022, aprobado en sesión N° 14-2022 celebrada el 17 de febrero del 2022, articulo XLVIII, por medio del cual se aprueba la propuesta para la gestión de los alineamientos estratégicos (procedimiento asociado al Subproceso de la Gestión de Solicitudes de Alineamiento Estratégico), el cual define las actividades que se desarrollan a partir del momento en que una oficina o despacho judicial plantea una solicitud de alineamiento estratégico, o que informa que la meta estratégica fue debidamente completada.</w:t>
      </w:r>
    </w:p>
    <w:p w14:paraId="5322415A" w14:textId="346C7E17" w:rsidR="0042411A" w:rsidRDefault="0042411A" w:rsidP="00322D9B">
      <w:pPr>
        <w:pStyle w:val="Prrafodelista"/>
        <w:ind w:left="720"/>
        <w:jc w:val="both"/>
        <w:rPr>
          <w:rFonts w:ascii="Arial Narrow" w:eastAsia="Calibri" w:hAnsi="Arial Narrow"/>
          <w:lang w:val="es-CR"/>
        </w:rPr>
      </w:pPr>
    </w:p>
    <w:p w14:paraId="4411CC33" w14:textId="293DE305" w:rsidR="008B2D51" w:rsidRPr="008B2D51" w:rsidRDefault="008B2D51" w:rsidP="00345B2C">
      <w:pPr>
        <w:pStyle w:val="Ttulo1"/>
        <w:rPr>
          <w:rFonts w:eastAsia="Calibri"/>
        </w:rPr>
      </w:pPr>
      <w:bookmarkStart w:id="217" w:name="_Toc84919368"/>
      <w:bookmarkStart w:id="218" w:name="_Toc106355303"/>
      <w:r w:rsidRPr="008B2D51">
        <w:rPr>
          <w:rFonts w:eastAsia="Calibri"/>
        </w:rPr>
        <w:t xml:space="preserve">Observaciones </w:t>
      </w:r>
      <w:bookmarkEnd w:id="217"/>
      <w:r w:rsidR="000C6F8D">
        <w:rPr>
          <w:rFonts w:eastAsia="Calibri"/>
        </w:rPr>
        <w:t>emitidas al informe preliminar 499-PLA-EV-2022</w:t>
      </w:r>
      <w:bookmarkEnd w:id="218"/>
      <w:r w:rsidRPr="008B2D51">
        <w:rPr>
          <w:rFonts w:eastAsia="Calibri"/>
        </w:rPr>
        <w:t xml:space="preserve"> </w:t>
      </w:r>
    </w:p>
    <w:p w14:paraId="412E077B" w14:textId="1DE1CC55" w:rsidR="008B2D51" w:rsidRDefault="008B2D51" w:rsidP="00322D9B">
      <w:pPr>
        <w:pStyle w:val="Prrafodelista"/>
        <w:ind w:left="720"/>
        <w:jc w:val="both"/>
        <w:rPr>
          <w:rFonts w:ascii="Arial Narrow" w:eastAsia="Calibri" w:hAnsi="Arial Narrow"/>
          <w:lang w:val="es-CR"/>
        </w:rPr>
      </w:pPr>
    </w:p>
    <w:p w14:paraId="7A6899C3" w14:textId="77777777" w:rsidR="008B2D51" w:rsidRPr="00322D9B" w:rsidRDefault="008B2D51" w:rsidP="00322D9B">
      <w:pPr>
        <w:pStyle w:val="Prrafodelista"/>
        <w:ind w:left="720"/>
        <w:jc w:val="both"/>
        <w:rPr>
          <w:rFonts w:ascii="Arial Narrow" w:eastAsia="Calibri" w:hAnsi="Arial Narrow"/>
          <w:lang w:val="es-CR"/>
        </w:rPr>
      </w:pPr>
    </w:p>
    <w:p w14:paraId="602BF2AB" w14:textId="3F87FFCF" w:rsidR="00EB54E1" w:rsidRDefault="00CE3E76" w:rsidP="00EB54E1">
      <w:pPr>
        <w:jc w:val="both"/>
        <w:rPr>
          <w:rFonts w:ascii="Arial Narrow" w:hAnsi="Arial Narrow"/>
        </w:rPr>
      </w:pPr>
      <w:r w:rsidRPr="00C9711A">
        <w:rPr>
          <w:rFonts w:ascii="Arial Narrow" w:hAnsi="Arial Narrow"/>
        </w:rPr>
        <w:t xml:space="preserve">La versión preliminar de este informe fue puesta en consulta mediante el oficio </w:t>
      </w:r>
      <w:r w:rsidR="006551F0">
        <w:rPr>
          <w:rFonts w:ascii="Arial Narrow" w:hAnsi="Arial Narrow"/>
        </w:rPr>
        <w:t>499</w:t>
      </w:r>
      <w:r w:rsidRPr="00C9711A">
        <w:rPr>
          <w:rFonts w:ascii="Arial Narrow" w:hAnsi="Arial Narrow"/>
        </w:rPr>
        <w:t>-PLA-EV-202</w:t>
      </w:r>
      <w:r w:rsidR="006551F0">
        <w:rPr>
          <w:rFonts w:ascii="Arial Narrow" w:hAnsi="Arial Narrow"/>
        </w:rPr>
        <w:t>2</w:t>
      </w:r>
      <w:r w:rsidRPr="00181AE6">
        <w:rPr>
          <w:rFonts w:ascii="Arial Narrow" w:hAnsi="Arial Narrow" w:cs="Book Antiqua"/>
          <w:lang w:val="es-CR"/>
        </w:rPr>
        <w:t xml:space="preserve"> </w:t>
      </w:r>
      <w:r w:rsidRPr="00020C50">
        <w:rPr>
          <w:rFonts w:ascii="Arial Narrow" w:hAnsi="Arial Narrow" w:cs="Book Antiqua"/>
          <w:lang w:val="es-CR"/>
        </w:rPr>
        <w:t xml:space="preserve">el </w:t>
      </w:r>
      <w:r w:rsidR="006551F0">
        <w:rPr>
          <w:rFonts w:ascii="Arial Narrow" w:hAnsi="Arial Narrow" w:cs="Book Antiqua"/>
          <w:lang w:val="es-CR"/>
        </w:rPr>
        <w:t>06</w:t>
      </w:r>
      <w:r w:rsidRPr="00020C50">
        <w:rPr>
          <w:rFonts w:ascii="Arial Narrow" w:hAnsi="Arial Narrow" w:cs="Book Antiqua"/>
          <w:lang w:val="es-CR"/>
        </w:rPr>
        <w:t xml:space="preserve"> de </w:t>
      </w:r>
      <w:r w:rsidR="006551F0">
        <w:rPr>
          <w:rFonts w:ascii="Arial Narrow" w:hAnsi="Arial Narrow" w:cs="Book Antiqua"/>
          <w:lang w:val="es-CR"/>
        </w:rPr>
        <w:t>junio</w:t>
      </w:r>
      <w:r w:rsidRPr="00020C50">
        <w:rPr>
          <w:rFonts w:ascii="Arial Narrow" w:hAnsi="Arial Narrow" w:cs="Book Antiqua"/>
          <w:lang w:val="es-CR"/>
        </w:rPr>
        <w:t xml:space="preserve"> del 202</w:t>
      </w:r>
      <w:r w:rsidR="006551F0">
        <w:rPr>
          <w:rFonts w:ascii="Arial Narrow" w:hAnsi="Arial Narrow" w:cs="Book Antiqua"/>
          <w:lang w:val="es-CR"/>
        </w:rPr>
        <w:t>2</w:t>
      </w:r>
      <w:r w:rsidRPr="00C9711A">
        <w:rPr>
          <w:rFonts w:ascii="Arial Narrow" w:hAnsi="Arial Narrow"/>
        </w:rPr>
        <w:t xml:space="preserve">.  </w:t>
      </w:r>
      <w:r w:rsidR="00EB54E1" w:rsidRPr="009B04F2">
        <w:rPr>
          <w:rFonts w:ascii="Arial Narrow" w:hAnsi="Arial Narrow"/>
        </w:rPr>
        <w:t>C</w:t>
      </w:r>
      <w:r w:rsidR="00EB54E1" w:rsidRPr="005A107E">
        <w:rPr>
          <w:rFonts w:ascii="Arial Narrow" w:hAnsi="Arial Narrow"/>
        </w:rPr>
        <w:t xml:space="preserve">omo respuesta se recibió correo electrónico del </w:t>
      </w:r>
      <w:r w:rsidR="00EB54E1" w:rsidRPr="00F80BE4">
        <w:rPr>
          <w:rFonts w:ascii="Arial Narrow" w:hAnsi="Arial Narrow"/>
        </w:rPr>
        <w:t>07 de junio</w:t>
      </w:r>
      <w:r w:rsidR="00EB54E1">
        <w:rPr>
          <w:rFonts w:ascii="Arial Narrow" w:hAnsi="Arial Narrow"/>
        </w:rPr>
        <w:t xml:space="preserve"> 2022, por parte</w:t>
      </w:r>
      <w:r w:rsidR="00EB54E1" w:rsidRPr="00F80BE4">
        <w:rPr>
          <w:rFonts w:ascii="Arial Narrow" w:hAnsi="Arial Narrow"/>
        </w:rPr>
        <w:t xml:space="preserve"> de la Oficina Rectora de Justicia Restaurativa</w:t>
      </w:r>
      <w:r w:rsidR="00EB54E1">
        <w:rPr>
          <w:rFonts w:ascii="Arial Narrow" w:hAnsi="Arial Narrow"/>
        </w:rPr>
        <w:t xml:space="preserve">, suscrito por </w:t>
      </w:r>
      <w:r w:rsidR="00EB54E1" w:rsidRPr="00F80BE4">
        <w:rPr>
          <w:rFonts w:ascii="Arial Narrow" w:hAnsi="Arial Narrow"/>
        </w:rPr>
        <w:t xml:space="preserve">Lizeth Orozco Bolaños, Secretaria </w:t>
      </w:r>
      <w:r w:rsidR="00EB54E1">
        <w:rPr>
          <w:rFonts w:ascii="Arial Narrow" w:hAnsi="Arial Narrow"/>
        </w:rPr>
        <w:t>E</w:t>
      </w:r>
      <w:r w:rsidR="00EB54E1" w:rsidRPr="00F80BE4">
        <w:rPr>
          <w:rFonts w:ascii="Arial Narrow" w:hAnsi="Arial Narrow"/>
        </w:rPr>
        <w:t>jecutiva de la Oficina Rectora de Justicia Restaurativa</w:t>
      </w:r>
      <w:r w:rsidR="00EB54E1">
        <w:rPr>
          <w:rFonts w:ascii="Arial Narrow" w:hAnsi="Arial Narrow"/>
        </w:rPr>
        <w:t>;</w:t>
      </w:r>
      <w:r w:rsidR="00EB54E1" w:rsidRPr="005A107E">
        <w:rPr>
          <w:rFonts w:ascii="Arial Narrow" w:hAnsi="Arial Narrow"/>
        </w:rPr>
        <w:t xml:space="preserve"> </w:t>
      </w:r>
      <w:r w:rsidR="00EB54E1">
        <w:rPr>
          <w:rFonts w:ascii="Arial Narrow" w:hAnsi="Arial Narrow"/>
        </w:rPr>
        <w:t>Correo electrónico del 07 de junio 2022, suscrito por</w:t>
      </w:r>
      <w:r w:rsidR="00EB54E1" w:rsidRPr="009B04F2">
        <w:rPr>
          <w:rFonts w:ascii="Arial Narrow" w:hAnsi="Arial Narrow"/>
        </w:rPr>
        <w:t xml:space="preserve"> el Ing. Randall Zúñiga López.</w:t>
      </w:r>
      <w:r w:rsidR="00645122">
        <w:rPr>
          <w:rFonts w:ascii="Arial Narrow" w:hAnsi="Arial Narrow"/>
        </w:rPr>
        <w:t xml:space="preserve"> </w:t>
      </w:r>
      <w:r w:rsidR="00EB54E1" w:rsidRPr="009B04F2">
        <w:rPr>
          <w:rFonts w:ascii="Arial Narrow" w:hAnsi="Arial Narrow"/>
        </w:rPr>
        <w:t>MBA, Subdirector General a.í Organismo de Investigación Judicial;</w:t>
      </w:r>
      <w:r w:rsidR="00EB54E1">
        <w:rPr>
          <w:rFonts w:ascii="Arial Narrow" w:hAnsi="Arial Narrow"/>
        </w:rPr>
        <w:t xml:space="preserve"> correo electrónico </w:t>
      </w:r>
      <w:r w:rsidR="00EB54E1" w:rsidRPr="00EC2994">
        <w:rPr>
          <w:rFonts w:ascii="Arial Narrow" w:hAnsi="Arial Narrow"/>
        </w:rPr>
        <w:t xml:space="preserve">8 de junio 2022, </w:t>
      </w:r>
      <w:r w:rsidR="00EB54E1">
        <w:rPr>
          <w:rFonts w:ascii="Arial Narrow" w:hAnsi="Arial Narrow"/>
        </w:rPr>
        <w:t xml:space="preserve">suscrito por </w:t>
      </w:r>
      <w:r w:rsidR="00EB54E1" w:rsidRPr="00EC2994">
        <w:rPr>
          <w:rFonts w:ascii="Arial Narrow" w:hAnsi="Arial Narrow"/>
        </w:rPr>
        <w:t xml:space="preserve">MAE. Miguel Gutiérrez Fernández Administrador Regional a.i </w:t>
      </w:r>
      <w:r w:rsidR="00EB54E1">
        <w:rPr>
          <w:rFonts w:ascii="Arial Narrow" w:hAnsi="Arial Narrow"/>
        </w:rPr>
        <w:t xml:space="preserve">de la </w:t>
      </w:r>
      <w:r w:rsidR="00EB54E1" w:rsidRPr="00EC2994">
        <w:rPr>
          <w:rFonts w:ascii="Arial Narrow" w:hAnsi="Arial Narrow"/>
        </w:rPr>
        <w:t xml:space="preserve">Administración </w:t>
      </w:r>
      <w:r w:rsidR="00EB54E1">
        <w:rPr>
          <w:rFonts w:ascii="Arial Narrow" w:hAnsi="Arial Narrow"/>
        </w:rPr>
        <w:t xml:space="preserve">del </w:t>
      </w:r>
      <w:r w:rsidR="00EB54E1" w:rsidRPr="00EC2994">
        <w:rPr>
          <w:rFonts w:ascii="Arial Narrow" w:hAnsi="Arial Narrow"/>
        </w:rPr>
        <w:t>Segundo Circuito Judicial de San José</w:t>
      </w:r>
      <w:r w:rsidR="00EB54E1">
        <w:rPr>
          <w:rFonts w:ascii="Arial Narrow" w:hAnsi="Arial Narrow"/>
        </w:rPr>
        <w:t xml:space="preserve">; </w:t>
      </w:r>
      <w:r w:rsidR="00EB54E1" w:rsidRPr="005A107E">
        <w:rPr>
          <w:rFonts w:ascii="Arial Narrow" w:hAnsi="Arial Narrow"/>
        </w:rPr>
        <w:t xml:space="preserve">correo electrónico del </w:t>
      </w:r>
      <w:r w:rsidR="00EB54E1">
        <w:rPr>
          <w:rFonts w:ascii="Arial Narrow" w:hAnsi="Arial Narrow"/>
        </w:rPr>
        <w:t xml:space="preserve">13 de junio 2022, por parte de </w:t>
      </w:r>
      <w:r w:rsidR="00EB54E1" w:rsidRPr="00870B0F">
        <w:rPr>
          <w:rFonts w:ascii="Arial Narrow" w:hAnsi="Arial Narrow"/>
        </w:rPr>
        <w:t>Administración Regional de la Ciudad Judicial, San Joaquín de Flores</w:t>
      </w:r>
      <w:r w:rsidR="00EB54E1">
        <w:rPr>
          <w:rFonts w:ascii="Arial Narrow" w:hAnsi="Arial Narrow"/>
        </w:rPr>
        <w:t xml:space="preserve">, suscrito por </w:t>
      </w:r>
      <w:r w:rsidR="00EB54E1" w:rsidRPr="00C63B8C">
        <w:rPr>
          <w:rFonts w:ascii="Arial Narrow" w:hAnsi="Arial Narrow"/>
        </w:rPr>
        <w:t xml:space="preserve">Lic. Ronald Vargas Bolaños, Administrador </w:t>
      </w:r>
      <w:r w:rsidR="00EB54E1">
        <w:rPr>
          <w:rFonts w:ascii="Arial Narrow" w:hAnsi="Arial Narrow"/>
        </w:rPr>
        <w:t xml:space="preserve">de la </w:t>
      </w:r>
      <w:r w:rsidR="00EB54E1" w:rsidRPr="00870B0F">
        <w:rPr>
          <w:rFonts w:ascii="Arial Narrow" w:hAnsi="Arial Narrow"/>
        </w:rPr>
        <w:t>Administración Regional de la Ciudad Judicial</w:t>
      </w:r>
      <w:r w:rsidR="00EB54E1">
        <w:rPr>
          <w:rFonts w:ascii="Arial Narrow" w:hAnsi="Arial Narrow"/>
        </w:rPr>
        <w:t xml:space="preserve">; </w:t>
      </w:r>
      <w:r w:rsidR="00EB54E1" w:rsidRPr="005A107E">
        <w:rPr>
          <w:rFonts w:ascii="Arial Narrow" w:hAnsi="Arial Narrow"/>
        </w:rPr>
        <w:t xml:space="preserve">Correo electrónico </w:t>
      </w:r>
      <w:r w:rsidR="00EB54E1">
        <w:rPr>
          <w:rFonts w:ascii="Arial Narrow" w:hAnsi="Arial Narrow"/>
        </w:rPr>
        <w:t xml:space="preserve">del 13 de junio 2022, suscrito por </w:t>
      </w:r>
      <w:r w:rsidR="00EB54E1" w:rsidRPr="00937F8A">
        <w:rPr>
          <w:rFonts w:ascii="Arial Narrow" w:hAnsi="Arial Narrow"/>
        </w:rPr>
        <w:t>Máster Rodrigo Alberto Campos Hidalgo, Director Jurídico a. i.</w:t>
      </w:r>
      <w:r w:rsidR="00EB54E1">
        <w:rPr>
          <w:rFonts w:ascii="Arial Narrow" w:hAnsi="Arial Narrow"/>
        </w:rPr>
        <w:t xml:space="preserve"> de la Dirección Jurídica;</w:t>
      </w:r>
      <w:r w:rsidR="00EB54E1" w:rsidRPr="009B04F2">
        <w:rPr>
          <w:rFonts w:ascii="Arial Narrow" w:hAnsi="Arial Narrow"/>
        </w:rPr>
        <w:t xml:space="preserve"> correo electrónico del </w:t>
      </w:r>
      <w:r w:rsidR="00EB54E1" w:rsidRPr="00930787">
        <w:rPr>
          <w:rFonts w:ascii="Arial Narrow" w:hAnsi="Arial Narrow"/>
        </w:rPr>
        <w:t>13 de junio 2022,suscrito por MBA. Wendy Beita Ureña, de la Administración Regional I Circuito Judicial Zona Sur</w:t>
      </w:r>
      <w:r w:rsidR="00EB54E1">
        <w:rPr>
          <w:rFonts w:ascii="Arial Narrow" w:hAnsi="Arial Narrow"/>
        </w:rPr>
        <w:t>;</w:t>
      </w:r>
      <w:r w:rsidR="00EB54E1" w:rsidRPr="009B04F2">
        <w:rPr>
          <w:rFonts w:ascii="Arial Narrow" w:hAnsi="Arial Narrow"/>
        </w:rPr>
        <w:t xml:space="preserve"> correo electrónico del </w:t>
      </w:r>
      <w:r w:rsidR="00EB54E1" w:rsidRPr="00930787">
        <w:rPr>
          <w:rFonts w:ascii="Arial Narrow" w:hAnsi="Arial Narrow"/>
        </w:rPr>
        <w:t>13 de junio 2022</w:t>
      </w:r>
      <w:r w:rsidR="00EB54E1">
        <w:rPr>
          <w:rFonts w:ascii="Arial Narrow" w:hAnsi="Arial Narrow"/>
        </w:rPr>
        <w:t xml:space="preserve">, suscrito por el </w:t>
      </w:r>
      <w:r w:rsidR="00EB54E1" w:rsidRPr="009B04F2">
        <w:rPr>
          <w:rFonts w:ascii="Arial Narrow" w:hAnsi="Arial Narrow"/>
        </w:rPr>
        <w:t xml:space="preserve">Msc. Juan Carlos Pérez Murillo, Director Defensa Pública; correo electrónico 13 de junio 2022, suscrito por la máster Maricruz Chacón Cubillo, Directora del Centro de Apoyo, Coordinación y Mejoramiento de la Función </w:t>
      </w:r>
      <w:r w:rsidR="00EB54E1" w:rsidRPr="00667421">
        <w:rPr>
          <w:rFonts w:ascii="Arial Narrow" w:hAnsi="Arial Narrow"/>
        </w:rPr>
        <w:t>Jurisdiccional; correo</w:t>
      </w:r>
      <w:r w:rsidR="00EB54E1" w:rsidRPr="009B04F2">
        <w:rPr>
          <w:rFonts w:ascii="Arial Narrow" w:hAnsi="Arial Narrow"/>
        </w:rPr>
        <w:t xml:space="preserve"> electrónico 13 de junio 2022,suscrito por la Ana Eugenia Romero </w:t>
      </w:r>
      <w:r w:rsidR="00EB54E1" w:rsidRPr="00667421">
        <w:rPr>
          <w:rFonts w:ascii="Arial Narrow" w:hAnsi="Arial Narrow"/>
        </w:rPr>
        <w:t>Jenkins, Directora</w:t>
      </w:r>
      <w:r w:rsidR="00EB54E1" w:rsidRPr="009B04F2">
        <w:rPr>
          <w:rFonts w:ascii="Arial Narrow" w:hAnsi="Arial Narrow"/>
        </w:rPr>
        <w:t xml:space="preserve"> Ejecutiva de la Dirección Ejecutiva; correo electrónico del 13 de junio de 2022, suscrito por Luis Guillermo Rivas </w:t>
      </w:r>
      <w:r w:rsidR="00EB54E1" w:rsidRPr="008C531B">
        <w:rPr>
          <w:rFonts w:ascii="Arial Narrow" w:hAnsi="Arial Narrow"/>
        </w:rPr>
        <w:t>Loáiciga, Magistrado</w:t>
      </w:r>
      <w:r w:rsidR="00EB54E1" w:rsidRPr="009B04F2">
        <w:rPr>
          <w:rFonts w:ascii="Arial Narrow" w:hAnsi="Arial Narrow"/>
        </w:rPr>
        <w:t xml:space="preserve"> Presidente de Sala Primera; correo electrónico 13 de junio, suscrito por MSc.  Alba Gutiérrez Villalobos</w:t>
      </w:r>
      <w:r w:rsidR="00EB54E1">
        <w:rPr>
          <w:rFonts w:ascii="Arial Narrow" w:hAnsi="Arial Narrow"/>
        </w:rPr>
        <w:t xml:space="preserve">, </w:t>
      </w:r>
      <w:r w:rsidR="00EB54E1" w:rsidRPr="009B04F2">
        <w:rPr>
          <w:rFonts w:ascii="Arial Narrow" w:hAnsi="Arial Narrow"/>
        </w:rPr>
        <w:t>Jefa, Departamento de Trabajo Social y Psicología</w:t>
      </w:r>
      <w:r w:rsidR="00EB54E1">
        <w:rPr>
          <w:rFonts w:ascii="Arial Narrow" w:hAnsi="Arial Narrow"/>
        </w:rPr>
        <w:t>.</w:t>
      </w:r>
    </w:p>
    <w:p w14:paraId="1109757F" w14:textId="77777777" w:rsidR="00EB54E1" w:rsidRDefault="00EB54E1" w:rsidP="00EB54E1">
      <w:pPr>
        <w:jc w:val="both"/>
        <w:rPr>
          <w:rFonts w:ascii="Arial Narrow" w:hAnsi="Arial Narrow"/>
        </w:rPr>
      </w:pPr>
    </w:p>
    <w:p w14:paraId="32ED47C7" w14:textId="77777777" w:rsidR="00EB54E1" w:rsidRDefault="00EB54E1" w:rsidP="00EB54E1">
      <w:pPr>
        <w:jc w:val="both"/>
        <w:rPr>
          <w:rFonts w:ascii="Arial Narrow" w:hAnsi="Arial Narrow"/>
        </w:rPr>
      </w:pPr>
    </w:p>
    <w:p w14:paraId="2C696936" w14:textId="131C36F5" w:rsidR="00645122" w:rsidRDefault="00EB54E1" w:rsidP="00645122">
      <w:pPr>
        <w:jc w:val="both"/>
        <w:rPr>
          <w:rFonts w:ascii="Arial Narrow" w:hAnsi="Arial Narrow"/>
        </w:rPr>
      </w:pPr>
      <w:r>
        <w:rPr>
          <w:rFonts w:ascii="Arial Narrow" w:hAnsi="Arial Narrow"/>
        </w:rPr>
        <w:t xml:space="preserve">Como respuestas extemporáneas se recibió correo electrónico 14 de junio 2022, suscrito por Viviana Alvarado Quesada de </w:t>
      </w:r>
      <w:r w:rsidRPr="009B04F2">
        <w:rPr>
          <w:rFonts w:ascii="Arial Narrow" w:hAnsi="Arial Narrow"/>
        </w:rPr>
        <w:t>Secretaría Técnica de Género y Acceso a la Justicia</w:t>
      </w:r>
      <w:r>
        <w:rPr>
          <w:rFonts w:ascii="Arial Narrow" w:hAnsi="Arial Narrow"/>
        </w:rPr>
        <w:t xml:space="preserve">; Correo electrónico del 14 de junio 2022, suscrito por el </w:t>
      </w:r>
      <w:r w:rsidRPr="009B04F2">
        <w:rPr>
          <w:rFonts w:ascii="Arial Narrow" w:hAnsi="Arial Narrow"/>
        </w:rPr>
        <w:t>Lic. Hugo Vega Castro, jefe a.i.</w:t>
      </w:r>
      <w:r>
        <w:rPr>
          <w:rFonts w:ascii="Arial Narrow" w:hAnsi="Arial Narrow"/>
        </w:rPr>
        <w:t xml:space="preserve">, del </w:t>
      </w:r>
      <w:r w:rsidRPr="009B04F2">
        <w:rPr>
          <w:rFonts w:ascii="Arial Narrow" w:hAnsi="Arial Narrow"/>
        </w:rPr>
        <w:t xml:space="preserve">Departamento de Prensa y Comunicación Organizacional; correo electrónico 14 de junio </w:t>
      </w:r>
      <w:r w:rsidRPr="00410150">
        <w:rPr>
          <w:rFonts w:ascii="Arial Narrow" w:hAnsi="Arial Narrow"/>
        </w:rPr>
        <w:t>2022, suscrito</w:t>
      </w:r>
      <w:r w:rsidRPr="009B04F2">
        <w:rPr>
          <w:rFonts w:ascii="Arial Narrow" w:hAnsi="Arial Narrow"/>
        </w:rPr>
        <w:t xml:space="preserve"> por la Licda.</w:t>
      </w:r>
      <w:r>
        <w:rPr>
          <w:rFonts w:ascii="Arial Narrow" w:hAnsi="Arial Narrow"/>
        </w:rPr>
        <w:t xml:space="preserve"> </w:t>
      </w:r>
      <w:r w:rsidRPr="009B04F2">
        <w:rPr>
          <w:rFonts w:ascii="Arial Narrow" w:hAnsi="Arial Narrow"/>
        </w:rPr>
        <w:t xml:space="preserve">Rebeca Guardia Morales, Directora a.i de la Escuela </w:t>
      </w:r>
      <w:r w:rsidRPr="008C531B">
        <w:rPr>
          <w:rFonts w:ascii="Arial Narrow" w:hAnsi="Arial Narrow"/>
        </w:rPr>
        <w:t>Judicial</w:t>
      </w:r>
      <w:r>
        <w:rPr>
          <w:rFonts w:ascii="Arial Narrow" w:hAnsi="Arial Narrow"/>
        </w:rPr>
        <w:t>; correo electrónico 15 de junio de 2022,suscrito por Cindy Ramírez Ramírez, de la Dirección de Gestión Humana</w:t>
      </w:r>
      <w:r w:rsidR="00645122">
        <w:rPr>
          <w:rFonts w:ascii="Arial Narrow" w:hAnsi="Arial Narrow"/>
        </w:rPr>
        <w:t>;</w:t>
      </w:r>
      <w:r w:rsidR="00645122" w:rsidRPr="00645122">
        <w:rPr>
          <w:rFonts w:ascii="Arial Narrow" w:hAnsi="Arial Narrow"/>
        </w:rPr>
        <w:t xml:space="preserve"> </w:t>
      </w:r>
      <w:r w:rsidR="00645122">
        <w:rPr>
          <w:rFonts w:ascii="Arial Narrow" w:hAnsi="Arial Narrow"/>
        </w:rPr>
        <w:t>correo electrónico 22 de junio 22,suscrito por la Magistrada Patricia Solano Castro, presidenta de la Comisión de la Jurisdicción Penal.</w:t>
      </w:r>
    </w:p>
    <w:p w14:paraId="53E77170" w14:textId="62F6049F" w:rsidR="00EB54E1" w:rsidRPr="002C47A2" w:rsidRDefault="00EB54E1" w:rsidP="00EB54E1">
      <w:pPr>
        <w:jc w:val="both"/>
        <w:rPr>
          <w:rFonts w:ascii="Arial Narrow" w:hAnsi="Arial Narrow"/>
        </w:rPr>
      </w:pPr>
    </w:p>
    <w:p w14:paraId="1E2D00CA" w14:textId="70F7AED9" w:rsidR="00CE3E76" w:rsidRPr="00C9711A" w:rsidRDefault="00CE3E76" w:rsidP="00EB54E1">
      <w:pPr>
        <w:spacing w:line="360" w:lineRule="auto"/>
        <w:jc w:val="both"/>
        <w:rPr>
          <w:rFonts w:ascii="Arial Narrow" w:hAnsi="Arial Narrow"/>
        </w:rPr>
      </w:pPr>
    </w:p>
    <w:p w14:paraId="47926334" w14:textId="77777777" w:rsidR="00CE3E76" w:rsidRPr="00C9711A" w:rsidRDefault="00CE3E76" w:rsidP="00CE3E76">
      <w:pPr>
        <w:jc w:val="both"/>
        <w:rPr>
          <w:rFonts w:ascii="Arial Narrow" w:hAnsi="Arial Narrow"/>
        </w:rPr>
      </w:pPr>
    </w:p>
    <w:p w14:paraId="55F491EA" w14:textId="0C7FC881" w:rsidR="00CE3E76" w:rsidRDefault="00CE3E76" w:rsidP="00CE3E76">
      <w:pPr>
        <w:jc w:val="both"/>
        <w:rPr>
          <w:rFonts w:ascii="Arial Narrow" w:hAnsi="Arial Narrow"/>
        </w:rPr>
      </w:pPr>
      <w:r w:rsidRPr="00C9711A">
        <w:rPr>
          <w:rFonts w:ascii="Arial Narrow" w:hAnsi="Arial Narrow"/>
        </w:rPr>
        <w:t>Seguidamente se presentan las observaciones remitidas y el criterio de la Dirección de Planificación:</w:t>
      </w:r>
    </w:p>
    <w:p w14:paraId="1D3BADF2" w14:textId="158CCF6B" w:rsidR="00105F7C" w:rsidRDefault="00105F7C" w:rsidP="00CE3E76">
      <w:pPr>
        <w:jc w:val="both"/>
        <w:rPr>
          <w:rFonts w:ascii="Arial Narrow" w:hAnsi="Arial Narrow"/>
        </w:rPr>
      </w:pPr>
    </w:p>
    <w:p w14:paraId="55FDFFAE" w14:textId="77777777" w:rsidR="00105F7C" w:rsidRPr="00C9711A" w:rsidRDefault="00105F7C" w:rsidP="00CE3E76">
      <w:pPr>
        <w:jc w:val="both"/>
        <w:rPr>
          <w:rFonts w:ascii="Arial Narrow" w:hAnsi="Arial Narrow"/>
        </w:rPr>
      </w:pPr>
    </w:p>
    <w:p w14:paraId="0AA24C0C" w14:textId="77777777" w:rsidR="00C00254" w:rsidRDefault="00C00254" w:rsidP="00AB5922">
      <w:pPr>
        <w:rPr>
          <w:lang w:eastAsia="en-US"/>
        </w:rPr>
      </w:pPr>
    </w:p>
    <w:tbl>
      <w:tblPr>
        <w:tblW w:w="6011" w:type="pct"/>
        <w:tblInd w:w="-426" w:type="dxa"/>
        <w:tblLayout w:type="fixed"/>
        <w:tblCellMar>
          <w:left w:w="70" w:type="dxa"/>
          <w:right w:w="70" w:type="dxa"/>
        </w:tblCellMar>
        <w:tblLook w:val="04A0" w:firstRow="1" w:lastRow="0" w:firstColumn="1" w:lastColumn="0" w:noHBand="0" w:noVBand="1"/>
      </w:tblPr>
      <w:tblGrid>
        <w:gridCol w:w="1702"/>
        <w:gridCol w:w="992"/>
        <w:gridCol w:w="2694"/>
        <w:gridCol w:w="2835"/>
        <w:gridCol w:w="2552"/>
        <w:gridCol w:w="301"/>
      </w:tblGrid>
      <w:tr w:rsidR="00247F11" w:rsidRPr="00FD261A" w14:paraId="17BF21F8" w14:textId="77777777" w:rsidTr="00866166">
        <w:trPr>
          <w:gridAfter w:val="1"/>
          <w:wAfter w:w="136" w:type="pct"/>
          <w:trHeight w:val="490"/>
        </w:trPr>
        <w:tc>
          <w:tcPr>
            <w:tcW w:w="768" w:type="pct"/>
            <w:tcBorders>
              <w:top w:val="nil"/>
              <w:left w:val="nil"/>
              <w:bottom w:val="nil"/>
              <w:right w:val="nil"/>
            </w:tcBorders>
            <w:shd w:val="clear" w:color="auto" w:fill="auto"/>
            <w:vAlign w:val="bottom"/>
            <w:hideMark/>
          </w:tcPr>
          <w:p w14:paraId="0CFE89FB" w14:textId="77777777" w:rsidR="00FD261A" w:rsidRPr="00FD261A" w:rsidRDefault="00FD261A" w:rsidP="00FD261A">
            <w:pPr>
              <w:rPr>
                <w:rFonts w:ascii="Arial Narrow" w:hAnsi="Arial Narrow"/>
                <w:sz w:val="22"/>
                <w:szCs w:val="22"/>
                <w:lang w:val="es-CR" w:eastAsia="es-CR"/>
              </w:rPr>
            </w:pPr>
          </w:p>
        </w:tc>
        <w:tc>
          <w:tcPr>
            <w:tcW w:w="448" w:type="pct"/>
            <w:tcBorders>
              <w:top w:val="nil"/>
              <w:left w:val="nil"/>
              <w:bottom w:val="nil"/>
              <w:right w:val="nil"/>
            </w:tcBorders>
            <w:shd w:val="clear" w:color="auto" w:fill="auto"/>
            <w:vAlign w:val="bottom"/>
            <w:hideMark/>
          </w:tcPr>
          <w:p w14:paraId="1C0021F3" w14:textId="77777777" w:rsidR="00FD261A" w:rsidRPr="00FD261A" w:rsidRDefault="00FD261A" w:rsidP="00FD261A">
            <w:pPr>
              <w:rPr>
                <w:rFonts w:ascii="Arial Narrow" w:hAnsi="Arial Narrow"/>
                <w:sz w:val="22"/>
                <w:szCs w:val="22"/>
                <w:lang w:val="es-CR" w:eastAsia="es-CR"/>
              </w:rPr>
            </w:pPr>
          </w:p>
        </w:tc>
        <w:tc>
          <w:tcPr>
            <w:tcW w:w="1216" w:type="pct"/>
            <w:tcBorders>
              <w:top w:val="nil"/>
              <w:left w:val="nil"/>
              <w:bottom w:val="nil"/>
              <w:right w:val="nil"/>
            </w:tcBorders>
            <w:shd w:val="clear" w:color="auto" w:fill="auto"/>
            <w:vAlign w:val="bottom"/>
            <w:hideMark/>
          </w:tcPr>
          <w:p w14:paraId="4C2330DB" w14:textId="77777777" w:rsidR="00FD261A" w:rsidRPr="00FD261A" w:rsidRDefault="00FD261A" w:rsidP="00FD261A">
            <w:pPr>
              <w:rPr>
                <w:rFonts w:ascii="Arial Narrow" w:hAnsi="Arial Narrow"/>
                <w:sz w:val="22"/>
                <w:szCs w:val="22"/>
                <w:lang w:val="es-CR" w:eastAsia="es-CR"/>
              </w:rPr>
            </w:pPr>
          </w:p>
        </w:tc>
        <w:tc>
          <w:tcPr>
            <w:tcW w:w="1280" w:type="pct"/>
            <w:tcBorders>
              <w:top w:val="nil"/>
              <w:left w:val="nil"/>
              <w:bottom w:val="nil"/>
              <w:right w:val="nil"/>
            </w:tcBorders>
            <w:shd w:val="clear" w:color="auto" w:fill="auto"/>
            <w:vAlign w:val="bottom"/>
            <w:hideMark/>
          </w:tcPr>
          <w:p w14:paraId="7D1629A1" w14:textId="77777777" w:rsidR="00FD261A" w:rsidRPr="00FD261A" w:rsidRDefault="00FD261A" w:rsidP="00FD261A">
            <w:pPr>
              <w:rPr>
                <w:rFonts w:ascii="Arial Narrow" w:hAnsi="Arial Narrow"/>
                <w:sz w:val="22"/>
                <w:szCs w:val="22"/>
                <w:lang w:val="es-CR" w:eastAsia="es-CR"/>
              </w:rPr>
            </w:pPr>
          </w:p>
        </w:tc>
        <w:tc>
          <w:tcPr>
            <w:tcW w:w="1152" w:type="pct"/>
            <w:tcBorders>
              <w:top w:val="nil"/>
              <w:left w:val="nil"/>
              <w:bottom w:val="nil"/>
              <w:right w:val="nil"/>
            </w:tcBorders>
            <w:shd w:val="clear" w:color="auto" w:fill="auto"/>
            <w:vAlign w:val="bottom"/>
            <w:hideMark/>
          </w:tcPr>
          <w:p w14:paraId="56481127" w14:textId="77777777" w:rsidR="00FD261A" w:rsidRPr="00FD261A" w:rsidRDefault="00FD261A" w:rsidP="00FD261A">
            <w:pPr>
              <w:rPr>
                <w:rFonts w:ascii="Arial Narrow" w:hAnsi="Arial Narrow"/>
                <w:sz w:val="22"/>
                <w:szCs w:val="22"/>
                <w:lang w:val="es-CR" w:eastAsia="es-CR"/>
              </w:rPr>
            </w:pPr>
          </w:p>
        </w:tc>
      </w:tr>
      <w:tr w:rsidR="00247F11" w:rsidRPr="00FD261A" w14:paraId="53E2E68D" w14:textId="77777777" w:rsidTr="00866166">
        <w:trPr>
          <w:gridAfter w:val="1"/>
          <w:wAfter w:w="136" w:type="pct"/>
          <w:trHeight w:val="490"/>
        </w:trPr>
        <w:tc>
          <w:tcPr>
            <w:tcW w:w="768" w:type="pct"/>
            <w:tcBorders>
              <w:top w:val="single" w:sz="8" w:space="0" w:color="auto"/>
              <w:left w:val="single" w:sz="8" w:space="0" w:color="auto"/>
              <w:bottom w:val="nil"/>
              <w:right w:val="single" w:sz="8" w:space="0" w:color="auto"/>
            </w:tcBorders>
            <w:shd w:val="clear" w:color="000000" w:fill="1F3864"/>
            <w:vAlign w:val="center"/>
            <w:hideMark/>
          </w:tcPr>
          <w:p w14:paraId="5CB8FB1E" w14:textId="77777777" w:rsidR="00FD261A" w:rsidRPr="00FD261A" w:rsidRDefault="00FD261A" w:rsidP="00FD261A">
            <w:pPr>
              <w:jc w:val="center"/>
              <w:rPr>
                <w:rFonts w:ascii="Arial Narrow" w:hAnsi="Arial Narrow" w:cs="Calibri"/>
                <w:b/>
                <w:bCs/>
                <w:color w:val="FFFFFF"/>
                <w:sz w:val="22"/>
                <w:szCs w:val="22"/>
                <w:lang w:val="es-CR" w:eastAsia="es-CR"/>
              </w:rPr>
            </w:pPr>
            <w:r w:rsidRPr="00FD261A">
              <w:rPr>
                <w:rFonts w:ascii="Arial Narrow" w:hAnsi="Arial Narrow" w:cs="Calibri"/>
                <w:b/>
                <w:bCs/>
                <w:color w:val="FFFFFF"/>
                <w:sz w:val="22"/>
                <w:szCs w:val="22"/>
                <w:lang w:val="es-CR" w:eastAsia="es-CR"/>
              </w:rPr>
              <w:t>Parte interesada que remite la observación</w:t>
            </w:r>
          </w:p>
        </w:tc>
        <w:tc>
          <w:tcPr>
            <w:tcW w:w="448" w:type="pct"/>
            <w:tcBorders>
              <w:top w:val="single" w:sz="8" w:space="0" w:color="auto"/>
              <w:left w:val="nil"/>
              <w:bottom w:val="nil"/>
              <w:right w:val="single" w:sz="8" w:space="0" w:color="auto"/>
            </w:tcBorders>
            <w:shd w:val="clear" w:color="000000" w:fill="1F3864"/>
            <w:vAlign w:val="center"/>
            <w:hideMark/>
          </w:tcPr>
          <w:p w14:paraId="3F868F15" w14:textId="77777777" w:rsidR="00FD261A" w:rsidRPr="00FD261A" w:rsidRDefault="00FD261A" w:rsidP="00FD261A">
            <w:pPr>
              <w:jc w:val="center"/>
              <w:rPr>
                <w:rFonts w:ascii="Arial Narrow" w:hAnsi="Arial Narrow" w:cs="Calibri"/>
                <w:b/>
                <w:bCs/>
                <w:color w:val="FFFFFF"/>
                <w:sz w:val="22"/>
                <w:szCs w:val="22"/>
                <w:lang w:val="es-CR" w:eastAsia="es-CR"/>
              </w:rPr>
            </w:pPr>
            <w:r w:rsidRPr="00FD261A">
              <w:rPr>
                <w:rFonts w:ascii="Arial Narrow" w:hAnsi="Arial Narrow" w:cs="Calibri"/>
                <w:b/>
                <w:bCs/>
                <w:color w:val="FFFFFF"/>
                <w:sz w:val="22"/>
                <w:szCs w:val="22"/>
                <w:lang w:val="es-CR" w:eastAsia="es-CR"/>
              </w:rPr>
              <w:t>Página</w:t>
            </w:r>
          </w:p>
        </w:tc>
        <w:tc>
          <w:tcPr>
            <w:tcW w:w="1216" w:type="pct"/>
            <w:tcBorders>
              <w:top w:val="single" w:sz="8" w:space="0" w:color="auto"/>
              <w:left w:val="nil"/>
              <w:bottom w:val="nil"/>
              <w:right w:val="single" w:sz="8" w:space="0" w:color="auto"/>
            </w:tcBorders>
            <w:shd w:val="clear" w:color="000000" w:fill="1F3864"/>
            <w:vAlign w:val="center"/>
            <w:hideMark/>
          </w:tcPr>
          <w:p w14:paraId="282BE2A9" w14:textId="77777777" w:rsidR="00FD261A" w:rsidRPr="00FD261A" w:rsidRDefault="00FD261A" w:rsidP="00FD261A">
            <w:pPr>
              <w:jc w:val="center"/>
              <w:rPr>
                <w:rFonts w:ascii="Arial Narrow" w:hAnsi="Arial Narrow" w:cs="Calibri"/>
                <w:b/>
                <w:bCs/>
                <w:color w:val="FFFFFF"/>
                <w:sz w:val="22"/>
                <w:szCs w:val="22"/>
                <w:lang w:val="es-CR" w:eastAsia="es-CR"/>
              </w:rPr>
            </w:pPr>
            <w:r w:rsidRPr="00FD261A">
              <w:rPr>
                <w:rFonts w:ascii="Arial Narrow" w:hAnsi="Arial Narrow" w:cs="Calibri"/>
                <w:b/>
                <w:bCs/>
                <w:color w:val="FFFFFF"/>
                <w:sz w:val="22"/>
                <w:szCs w:val="22"/>
                <w:lang w:val="es-CR" w:eastAsia="es-CR"/>
              </w:rPr>
              <w:t xml:space="preserve">Párrafo </w:t>
            </w:r>
          </w:p>
        </w:tc>
        <w:tc>
          <w:tcPr>
            <w:tcW w:w="1280" w:type="pct"/>
            <w:tcBorders>
              <w:top w:val="single" w:sz="8" w:space="0" w:color="auto"/>
              <w:left w:val="nil"/>
              <w:bottom w:val="nil"/>
              <w:right w:val="single" w:sz="8" w:space="0" w:color="auto"/>
            </w:tcBorders>
            <w:shd w:val="clear" w:color="000000" w:fill="1F3864"/>
            <w:vAlign w:val="center"/>
            <w:hideMark/>
          </w:tcPr>
          <w:p w14:paraId="36A3328E" w14:textId="77777777" w:rsidR="00FD261A" w:rsidRPr="00FD261A" w:rsidRDefault="00FD261A" w:rsidP="00FD261A">
            <w:pPr>
              <w:jc w:val="center"/>
              <w:rPr>
                <w:rFonts w:ascii="Arial Narrow" w:hAnsi="Arial Narrow" w:cs="Calibri"/>
                <w:b/>
                <w:bCs/>
                <w:color w:val="FFFFFF"/>
                <w:sz w:val="22"/>
                <w:szCs w:val="22"/>
                <w:lang w:val="es-CR" w:eastAsia="es-CR"/>
              </w:rPr>
            </w:pPr>
            <w:r w:rsidRPr="00FD261A">
              <w:rPr>
                <w:rFonts w:ascii="Arial Narrow" w:hAnsi="Arial Narrow" w:cs="Calibri"/>
                <w:b/>
                <w:bCs/>
                <w:color w:val="FFFFFF"/>
                <w:sz w:val="22"/>
                <w:szCs w:val="22"/>
                <w:lang w:val="es-CR" w:eastAsia="es-CR"/>
              </w:rPr>
              <w:t xml:space="preserve">Observación concreta  </w:t>
            </w:r>
          </w:p>
        </w:tc>
        <w:tc>
          <w:tcPr>
            <w:tcW w:w="1152" w:type="pct"/>
            <w:tcBorders>
              <w:top w:val="single" w:sz="8" w:space="0" w:color="auto"/>
              <w:left w:val="nil"/>
              <w:bottom w:val="nil"/>
              <w:right w:val="single" w:sz="8" w:space="0" w:color="auto"/>
            </w:tcBorders>
            <w:shd w:val="clear" w:color="000000" w:fill="1F3864"/>
            <w:vAlign w:val="center"/>
            <w:hideMark/>
          </w:tcPr>
          <w:p w14:paraId="2DD73E2A" w14:textId="77777777" w:rsidR="00FD261A" w:rsidRPr="00FD261A" w:rsidRDefault="00FD261A" w:rsidP="00FD261A">
            <w:pPr>
              <w:jc w:val="center"/>
              <w:rPr>
                <w:rFonts w:ascii="Arial Narrow" w:hAnsi="Arial Narrow" w:cs="Calibri"/>
                <w:b/>
                <w:bCs/>
                <w:color w:val="FFFFFF"/>
                <w:sz w:val="22"/>
                <w:szCs w:val="22"/>
                <w:lang w:val="es-CR" w:eastAsia="es-CR"/>
              </w:rPr>
            </w:pPr>
            <w:r w:rsidRPr="00FD261A">
              <w:rPr>
                <w:rFonts w:ascii="Arial Narrow" w:hAnsi="Arial Narrow" w:cs="Calibri"/>
                <w:b/>
                <w:bCs/>
                <w:color w:val="FFFFFF"/>
                <w:sz w:val="22"/>
                <w:szCs w:val="22"/>
                <w:lang w:val="es-CR" w:eastAsia="es-CR"/>
              </w:rPr>
              <w:t>Criterio de Planificación</w:t>
            </w:r>
          </w:p>
        </w:tc>
      </w:tr>
      <w:tr w:rsidR="00247F11" w:rsidRPr="00FD261A" w14:paraId="1D990D4A" w14:textId="77777777" w:rsidTr="00866166">
        <w:trPr>
          <w:gridAfter w:val="1"/>
          <w:wAfter w:w="136" w:type="pct"/>
          <w:trHeight w:val="490"/>
        </w:trPr>
        <w:tc>
          <w:tcPr>
            <w:tcW w:w="76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3207CE"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Oficina Rectora de Justicia Restaurativa</w:t>
            </w:r>
          </w:p>
        </w:tc>
        <w:tc>
          <w:tcPr>
            <w:tcW w:w="448" w:type="pct"/>
            <w:tcBorders>
              <w:top w:val="single" w:sz="4" w:space="0" w:color="auto"/>
              <w:left w:val="nil"/>
              <w:bottom w:val="single" w:sz="4" w:space="0" w:color="auto"/>
              <w:right w:val="single" w:sz="4" w:space="0" w:color="auto"/>
            </w:tcBorders>
            <w:shd w:val="clear" w:color="auto" w:fill="auto"/>
            <w:vAlign w:val="center"/>
            <w:hideMark/>
          </w:tcPr>
          <w:p w14:paraId="6D6268D6" w14:textId="77777777" w:rsidR="00FD261A" w:rsidRPr="00FD261A" w:rsidRDefault="00FD261A" w:rsidP="00FD261A">
            <w:pPr>
              <w:jc w:val="center"/>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w:t>
            </w:r>
          </w:p>
        </w:tc>
        <w:tc>
          <w:tcPr>
            <w:tcW w:w="1216" w:type="pct"/>
            <w:tcBorders>
              <w:top w:val="single" w:sz="4" w:space="0" w:color="auto"/>
              <w:left w:val="nil"/>
              <w:bottom w:val="single" w:sz="4" w:space="0" w:color="auto"/>
              <w:right w:val="single" w:sz="4" w:space="0" w:color="auto"/>
            </w:tcBorders>
            <w:shd w:val="clear" w:color="auto" w:fill="auto"/>
            <w:vAlign w:val="center"/>
            <w:hideMark/>
          </w:tcPr>
          <w:p w14:paraId="735CD572" w14:textId="77777777" w:rsidR="00FD261A" w:rsidRPr="00FD261A" w:rsidRDefault="00FD261A" w:rsidP="00FD261A">
            <w:pPr>
              <w:jc w:val="center"/>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w:t>
            </w:r>
          </w:p>
        </w:tc>
        <w:tc>
          <w:tcPr>
            <w:tcW w:w="1280" w:type="pct"/>
            <w:tcBorders>
              <w:top w:val="single" w:sz="4" w:space="0" w:color="auto"/>
              <w:left w:val="nil"/>
              <w:bottom w:val="single" w:sz="4" w:space="0" w:color="auto"/>
              <w:right w:val="single" w:sz="4" w:space="0" w:color="auto"/>
            </w:tcBorders>
            <w:shd w:val="clear" w:color="auto" w:fill="auto"/>
            <w:vAlign w:val="center"/>
            <w:hideMark/>
          </w:tcPr>
          <w:p w14:paraId="4B75726C"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Desde la Oficina Rectora de Justicia Restaurativa se están tomando las acciones para cumplir con el punto 7.1.4</w:t>
            </w:r>
            <w:r w:rsidRPr="00FD261A">
              <w:rPr>
                <w:rFonts w:ascii="Arial Narrow" w:hAnsi="Arial Narrow" w:cs="Calibri"/>
                <w:b/>
                <w:bCs/>
                <w:i/>
                <w:iCs/>
                <w:color w:val="000000"/>
                <w:sz w:val="22"/>
                <w:szCs w:val="22"/>
                <w:lang w:val="es-CR" w:eastAsia="es-CR"/>
              </w:rPr>
              <w:t xml:space="preserve"> Metas estratégicas de Justicia Restaurativa y su cumplimiento para el 2021.</w:t>
            </w:r>
          </w:p>
        </w:tc>
        <w:tc>
          <w:tcPr>
            <w:tcW w:w="1152" w:type="pct"/>
            <w:tcBorders>
              <w:top w:val="single" w:sz="4" w:space="0" w:color="auto"/>
              <w:left w:val="nil"/>
              <w:bottom w:val="single" w:sz="4" w:space="0" w:color="auto"/>
              <w:right w:val="single" w:sz="4" w:space="0" w:color="auto"/>
            </w:tcBorders>
            <w:shd w:val="clear" w:color="auto" w:fill="auto"/>
            <w:vAlign w:val="center"/>
            <w:hideMark/>
          </w:tcPr>
          <w:p w14:paraId="73B36462"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Se toma nota de la observación de la Oficina Rectora de Justicia Restaurativa.</w:t>
            </w:r>
            <w:r w:rsidRPr="00FD261A">
              <w:rPr>
                <w:rFonts w:ascii="Arial Narrow" w:hAnsi="Arial Narrow" w:cs="Calibri"/>
                <w:color w:val="000000"/>
                <w:sz w:val="22"/>
                <w:szCs w:val="22"/>
                <w:lang w:val="es-CR" w:eastAsia="es-CR"/>
              </w:rPr>
              <w:br/>
            </w:r>
            <w:r w:rsidRPr="00FD261A">
              <w:rPr>
                <w:rFonts w:ascii="Arial Narrow" w:hAnsi="Arial Narrow" w:cs="Calibri"/>
                <w:color w:val="000000"/>
                <w:sz w:val="22"/>
                <w:szCs w:val="22"/>
                <w:lang w:val="es-CR" w:eastAsia="es-CR"/>
              </w:rPr>
              <w:br/>
              <w:t xml:space="preserve">La observación no modifica el contenido del informe. </w:t>
            </w:r>
          </w:p>
        </w:tc>
      </w:tr>
      <w:tr w:rsidR="00247F11" w:rsidRPr="00FD261A" w14:paraId="4EADDB39" w14:textId="77777777" w:rsidTr="00866166">
        <w:trPr>
          <w:gridAfter w:val="1"/>
          <w:wAfter w:w="136" w:type="pct"/>
          <w:trHeight w:val="490"/>
        </w:trPr>
        <w:tc>
          <w:tcPr>
            <w:tcW w:w="768" w:type="pct"/>
            <w:tcBorders>
              <w:top w:val="nil"/>
              <w:left w:val="single" w:sz="4" w:space="0" w:color="auto"/>
              <w:bottom w:val="single" w:sz="4" w:space="0" w:color="auto"/>
              <w:right w:val="single" w:sz="4" w:space="0" w:color="auto"/>
            </w:tcBorders>
            <w:shd w:val="clear" w:color="auto" w:fill="auto"/>
            <w:vAlign w:val="center"/>
            <w:hideMark/>
          </w:tcPr>
          <w:p w14:paraId="75F2DB5E"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 xml:space="preserve">Administración Regional del II Circuito Judicial de San José </w:t>
            </w:r>
          </w:p>
        </w:tc>
        <w:tc>
          <w:tcPr>
            <w:tcW w:w="448" w:type="pct"/>
            <w:tcBorders>
              <w:top w:val="nil"/>
              <w:left w:val="nil"/>
              <w:bottom w:val="single" w:sz="4" w:space="0" w:color="auto"/>
              <w:right w:val="single" w:sz="4" w:space="0" w:color="auto"/>
            </w:tcBorders>
            <w:shd w:val="clear" w:color="auto" w:fill="auto"/>
            <w:vAlign w:val="center"/>
            <w:hideMark/>
          </w:tcPr>
          <w:p w14:paraId="00D6AAF9" w14:textId="77777777" w:rsidR="00FD261A" w:rsidRPr="00FD261A" w:rsidRDefault="00FD261A" w:rsidP="00FD261A">
            <w:pPr>
              <w:jc w:val="center"/>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w:t>
            </w:r>
          </w:p>
        </w:tc>
        <w:tc>
          <w:tcPr>
            <w:tcW w:w="1216" w:type="pct"/>
            <w:tcBorders>
              <w:top w:val="nil"/>
              <w:left w:val="nil"/>
              <w:bottom w:val="single" w:sz="4" w:space="0" w:color="auto"/>
              <w:right w:val="single" w:sz="4" w:space="0" w:color="auto"/>
            </w:tcBorders>
            <w:shd w:val="clear" w:color="auto" w:fill="auto"/>
            <w:vAlign w:val="center"/>
            <w:hideMark/>
          </w:tcPr>
          <w:p w14:paraId="4669D5D1" w14:textId="77777777" w:rsidR="00FD261A" w:rsidRPr="00FD261A" w:rsidRDefault="00FD261A" w:rsidP="00FD261A">
            <w:pPr>
              <w:jc w:val="center"/>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w:t>
            </w:r>
          </w:p>
        </w:tc>
        <w:tc>
          <w:tcPr>
            <w:tcW w:w="1280" w:type="pct"/>
            <w:tcBorders>
              <w:top w:val="nil"/>
              <w:left w:val="nil"/>
              <w:bottom w:val="single" w:sz="4" w:space="0" w:color="auto"/>
              <w:right w:val="single" w:sz="4" w:space="0" w:color="auto"/>
            </w:tcBorders>
            <w:shd w:val="clear" w:color="auto" w:fill="auto"/>
            <w:vAlign w:val="center"/>
            <w:hideMark/>
          </w:tcPr>
          <w:p w14:paraId="653C9814"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La Administración Regional del II Circuito Judicial de San José, no tiene observación</w:t>
            </w:r>
            <w:r w:rsidRPr="00FD261A">
              <w:rPr>
                <w:rFonts w:ascii="Arial Narrow" w:hAnsi="Arial Narrow" w:cs="Calibri"/>
                <w:color w:val="000000"/>
                <w:sz w:val="22"/>
                <w:szCs w:val="22"/>
                <w:lang w:val="es-CR" w:eastAsia="es-CR"/>
              </w:rPr>
              <w:br/>
              <w:t>alguna con respecto a este borrador.</w:t>
            </w:r>
          </w:p>
        </w:tc>
        <w:tc>
          <w:tcPr>
            <w:tcW w:w="1152" w:type="pct"/>
            <w:tcBorders>
              <w:top w:val="nil"/>
              <w:left w:val="nil"/>
              <w:bottom w:val="single" w:sz="4" w:space="0" w:color="auto"/>
              <w:right w:val="single" w:sz="4" w:space="0" w:color="auto"/>
            </w:tcBorders>
            <w:shd w:val="clear" w:color="auto" w:fill="auto"/>
            <w:vAlign w:val="center"/>
            <w:hideMark/>
          </w:tcPr>
          <w:p w14:paraId="60A324CF"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N/A</w:t>
            </w:r>
          </w:p>
        </w:tc>
      </w:tr>
      <w:tr w:rsidR="00247F11" w:rsidRPr="00FD261A" w14:paraId="185A20E7" w14:textId="77777777" w:rsidTr="00866166">
        <w:trPr>
          <w:gridAfter w:val="1"/>
          <w:wAfter w:w="136" w:type="pct"/>
          <w:trHeight w:val="490"/>
        </w:trPr>
        <w:tc>
          <w:tcPr>
            <w:tcW w:w="768" w:type="pct"/>
            <w:tcBorders>
              <w:top w:val="nil"/>
              <w:left w:val="single" w:sz="4" w:space="0" w:color="auto"/>
              <w:bottom w:val="single" w:sz="4" w:space="0" w:color="auto"/>
              <w:right w:val="single" w:sz="4" w:space="0" w:color="auto"/>
            </w:tcBorders>
            <w:shd w:val="clear" w:color="auto" w:fill="auto"/>
            <w:vAlign w:val="center"/>
            <w:hideMark/>
          </w:tcPr>
          <w:p w14:paraId="2DF9B352"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Administración Regional de la Ciudad Judicial, San Joaquín de Flores</w:t>
            </w:r>
          </w:p>
        </w:tc>
        <w:tc>
          <w:tcPr>
            <w:tcW w:w="448" w:type="pct"/>
            <w:tcBorders>
              <w:top w:val="nil"/>
              <w:left w:val="nil"/>
              <w:bottom w:val="single" w:sz="4" w:space="0" w:color="auto"/>
              <w:right w:val="single" w:sz="4" w:space="0" w:color="auto"/>
            </w:tcBorders>
            <w:shd w:val="clear" w:color="auto" w:fill="auto"/>
            <w:vAlign w:val="center"/>
            <w:hideMark/>
          </w:tcPr>
          <w:p w14:paraId="5F610E74" w14:textId="77777777" w:rsidR="00FD261A" w:rsidRPr="00FD261A" w:rsidRDefault="00FD261A" w:rsidP="00FD261A">
            <w:pPr>
              <w:jc w:val="center"/>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w:t>
            </w:r>
          </w:p>
        </w:tc>
        <w:tc>
          <w:tcPr>
            <w:tcW w:w="1216" w:type="pct"/>
            <w:tcBorders>
              <w:top w:val="nil"/>
              <w:left w:val="nil"/>
              <w:bottom w:val="single" w:sz="4" w:space="0" w:color="auto"/>
              <w:right w:val="single" w:sz="4" w:space="0" w:color="auto"/>
            </w:tcBorders>
            <w:shd w:val="clear" w:color="auto" w:fill="auto"/>
            <w:vAlign w:val="center"/>
            <w:hideMark/>
          </w:tcPr>
          <w:p w14:paraId="297464CA" w14:textId="77777777" w:rsidR="00FD261A" w:rsidRPr="00FD261A" w:rsidRDefault="00FD261A" w:rsidP="00FD261A">
            <w:pPr>
              <w:jc w:val="center"/>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w:t>
            </w:r>
          </w:p>
        </w:tc>
        <w:tc>
          <w:tcPr>
            <w:tcW w:w="1280" w:type="pct"/>
            <w:tcBorders>
              <w:top w:val="nil"/>
              <w:left w:val="nil"/>
              <w:bottom w:val="single" w:sz="4" w:space="0" w:color="auto"/>
              <w:right w:val="single" w:sz="4" w:space="0" w:color="auto"/>
            </w:tcBorders>
            <w:shd w:val="clear" w:color="auto" w:fill="auto"/>
            <w:vAlign w:val="center"/>
            <w:hideMark/>
          </w:tcPr>
          <w:p w14:paraId="714B5B64"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Se informa que en la circunscripción de la Administración de la Ciudad Judicial no se cuentan con Tribunales que conozcan materia civil en segunda instancia.</w:t>
            </w:r>
          </w:p>
        </w:tc>
        <w:tc>
          <w:tcPr>
            <w:tcW w:w="1152" w:type="pct"/>
            <w:tcBorders>
              <w:top w:val="nil"/>
              <w:left w:val="nil"/>
              <w:bottom w:val="single" w:sz="4" w:space="0" w:color="auto"/>
              <w:right w:val="single" w:sz="4" w:space="0" w:color="auto"/>
            </w:tcBorders>
            <w:shd w:val="clear" w:color="auto" w:fill="auto"/>
            <w:vAlign w:val="center"/>
            <w:hideMark/>
          </w:tcPr>
          <w:p w14:paraId="72FE0C80"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Se toma nota de la observación de la Administración Regional de la Ciudad Judicial de San Joaquín de Flores.</w:t>
            </w:r>
            <w:r w:rsidRPr="00FD261A">
              <w:rPr>
                <w:rFonts w:ascii="Arial Narrow" w:hAnsi="Arial Narrow" w:cs="Calibri"/>
                <w:color w:val="000000"/>
                <w:sz w:val="22"/>
                <w:szCs w:val="22"/>
                <w:lang w:val="es-CR" w:eastAsia="es-CR"/>
              </w:rPr>
              <w:br/>
            </w:r>
            <w:r w:rsidRPr="00FD261A">
              <w:rPr>
                <w:rFonts w:ascii="Arial Narrow" w:hAnsi="Arial Narrow" w:cs="Calibri"/>
                <w:color w:val="000000"/>
                <w:sz w:val="22"/>
                <w:szCs w:val="22"/>
                <w:lang w:val="es-CR" w:eastAsia="es-CR"/>
              </w:rPr>
              <w:br/>
              <w:t xml:space="preserve">La observación no modifica el contenido del informe. </w:t>
            </w:r>
          </w:p>
        </w:tc>
      </w:tr>
      <w:tr w:rsidR="00247F11" w:rsidRPr="00FD261A" w14:paraId="05517498" w14:textId="77777777" w:rsidTr="00866166">
        <w:trPr>
          <w:gridAfter w:val="1"/>
          <w:wAfter w:w="136" w:type="pct"/>
          <w:trHeight w:val="490"/>
        </w:trPr>
        <w:tc>
          <w:tcPr>
            <w:tcW w:w="768" w:type="pct"/>
            <w:tcBorders>
              <w:top w:val="nil"/>
              <w:left w:val="single" w:sz="4" w:space="0" w:color="auto"/>
              <w:bottom w:val="single" w:sz="4" w:space="0" w:color="auto"/>
              <w:right w:val="single" w:sz="4" w:space="0" w:color="auto"/>
            </w:tcBorders>
            <w:shd w:val="clear" w:color="auto" w:fill="auto"/>
            <w:vAlign w:val="center"/>
            <w:hideMark/>
          </w:tcPr>
          <w:p w14:paraId="09DA6350"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Dirección Jurídica</w:t>
            </w:r>
          </w:p>
        </w:tc>
        <w:tc>
          <w:tcPr>
            <w:tcW w:w="448" w:type="pct"/>
            <w:tcBorders>
              <w:top w:val="nil"/>
              <w:left w:val="nil"/>
              <w:bottom w:val="single" w:sz="4" w:space="0" w:color="auto"/>
              <w:right w:val="single" w:sz="4" w:space="0" w:color="auto"/>
            </w:tcBorders>
            <w:shd w:val="clear" w:color="auto" w:fill="auto"/>
            <w:vAlign w:val="center"/>
            <w:hideMark/>
          </w:tcPr>
          <w:p w14:paraId="1A20A7C4"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 </w:t>
            </w:r>
          </w:p>
        </w:tc>
        <w:tc>
          <w:tcPr>
            <w:tcW w:w="1216" w:type="pct"/>
            <w:tcBorders>
              <w:top w:val="nil"/>
              <w:left w:val="nil"/>
              <w:bottom w:val="single" w:sz="4" w:space="0" w:color="auto"/>
              <w:right w:val="single" w:sz="4" w:space="0" w:color="auto"/>
            </w:tcBorders>
            <w:shd w:val="clear" w:color="auto" w:fill="auto"/>
            <w:vAlign w:val="bottom"/>
            <w:hideMark/>
          </w:tcPr>
          <w:p w14:paraId="71D0CA6A"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 </w:t>
            </w:r>
          </w:p>
        </w:tc>
        <w:tc>
          <w:tcPr>
            <w:tcW w:w="1280" w:type="pct"/>
            <w:tcBorders>
              <w:top w:val="nil"/>
              <w:left w:val="nil"/>
              <w:bottom w:val="single" w:sz="4" w:space="0" w:color="auto"/>
              <w:right w:val="single" w:sz="4" w:space="0" w:color="auto"/>
            </w:tcBorders>
            <w:shd w:val="clear" w:color="auto" w:fill="auto"/>
            <w:vAlign w:val="center"/>
            <w:hideMark/>
          </w:tcPr>
          <w:p w14:paraId="71F237E5"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 xml:space="preserve">En relación con el </w:t>
            </w:r>
            <w:r w:rsidRPr="00FD261A">
              <w:rPr>
                <w:rFonts w:ascii="Arial Narrow" w:hAnsi="Arial Narrow" w:cs="Calibri"/>
                <w:b/>
                <w:bCs/>
                <w:i/>
                <w:iCs/>
                <w:color w:val="000000"/>
                <w:sz w:val="22"/>
                <w:szCs w:val="22"/>
                <w:lang w:val="es-CR" w:eastAsia="es-CR"/>
              </w:rPr>
              <w:t>Proyecto de Reglamento Autónomo de Organización y Servicios de la Oficina de Atención y Protección a la Víctima del Delito y el Proyecto de Reglamento Ejecutivo de la Ley 8720</w:t>
            </w:r>
            <w:r w:rsidRPr="00FD261A">
              <w:rPr>
                <w:rFonts w:ascii="Arial Narrow" w:hAnsi="Arial Narrow" w:cs="Calibri"/>
                <w:color w:val="000000"/>
                <w:sz w:val="22"/>
                <w:szCs w:val="22"/>
                <w:lang w:val="es-CR" w:eastAsia="es-CR"/>
              </w:rPr>
              <w:t>, señalados en la tabla N° 10, se informa que el Proyecto de Reglamento Autónomo de Organización y Servicios de la Oficina de Atención y Protección a la Víctima del Delito, fue revisado por esta Dirección Jurídica y se comunicó mediante el criterio jurídico Nº DJ-AJ-C-147-2022, el día 18 de abril de 2022 a la Oficina de Atención Protección a la Víctima del Delito.</w:t>
            </w:r>
            <w:r w:rsidRPr="00FD261A">
              <w:rPr>
                <w:rFonts w:ascii="Arial Narrow" w:hAnsi="Arial Narrow" w:cs="Calibri"/>
                <w:color w:val="000000"/>
                <w:sz w:val="22"/>
                <w:szCs w:val="22"/>
                <w:lang w:val="es-CR" w:eastAsia="es-CR"/>
              </w:rPr>
              <w:br/>
            </w:r>
            <w:r w:rsidRPr="00FD261A">
              <w:rPr>
                <w:rFonts w:ascii="Arial Narrow" w:hAnsi="Arial Narrow" w:cs="Calibri"/>
                <w:color w:val="000000"/>
                <w:sz w:val="22"/>
                <w:szCs w:val="22"/>
                <w:lang w:val="es-CR" w:eastAsia="es-CR"/>
              </w:rPr>
              <w:br/>
              <w:t xml:space="preserve">Por último, en lo referente al Proyecto de Reglamento Ejecutivo de la Ley 8720, se informa que el mismo se encuentra en etapa de revisión avanzada, ya que ha requerido de un minucioso análisis.  De manera que, está pendiente de comunicarse, pero próximamente lo será.   </w:t>
            </w:r>
            <w:r w:rsidRPr="00FD261A">
              <w:rPr>
                <w:rFonts w:ascii="Arial Narrow" w:hAnsi="Arial Narrow" w:cs="Calibri"/>
                <w:color w:val="000000"/>
                <w:sz w:val="22"/>
                <w:szCs w:val="22"/>
                <w:lang w:val="es-CR" w:eastAsia="es-CR"/>
              </w:rPr>
              <w:br/>
            </w:r>
            <w:r w:rsidRPr="00FD261A">
              <w:rPr>
                <w:rFonts w:ascii="Arial Narrow" w:hAnsi="Arial Narrow" w:cs="Calibri"/>
                <w:color w:val="000000"/>
                <w:sz w:val="22"/>
                <w:szCs w:val="22"/>
                <w:lang w:val="es-CR" w:eastAsia="es-CR"/>
              </w:rPr>
              <w:br/>
              <w:t>Es importante señalar, que la Dirección Jurídica debe priorizar solicitudes de criterios con plazo definido que remite el Consejo Superior y Corte Plena.   Si bien, la carga de trabajo de esta Dirección Jurídica es grande y sólo se cuenta con dos abogados, debe señalarse que se le ha brindado prioridad a la atención y revisión del Proyecto de Reglamento Ejecutivo de la Ley 8720.</w:t>
            </w:r>
          </w:p>
        </w:tc>
        <w:tc>
          <w:tcPr>
            <w:tcW w:w="1152" w:type="pct"/>
            <w:tcBorders>
              <w:top w:val="nil"/>
              <w:left w:val="nil"/>
              <w:bottom w:val="single" w:sz="4" w:space="0" w:color="auto"/>
              <w:right w:val="single" w:sz="4" w:space="0" w:color="auto"/>
            </w:tcBorders>
            <w:shd w:val="clear" w:color="auto" w:fill="auto"/>
            <w:vAlign w:val="center"/>
            <w:hideMark/>
          </w:tcPr>
          <w:p w14:paraId="745741E7"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 xml:space="preserve">Se toma nota de la observación, pero no se incorpora en este informe debido a que corresponde a una evaluación del año 2021 y lo que se indica por parte por parte de la Dirección Jurídica son avances realizados para el año 2022 por lo que serán tomados en cuenta para la evaluación del PEI del año 2022. </w:t>
            </w:r>
          </w:p>
        </w:tc>
      </w:tr>
      <w:tr w:rsidR="00247F11" w:rsidRPr="00FD261A" w14:paraId="1663AF84" w14:textId="77777777" w:rsidTr="00866166">
        <w:trPr>
          <w:gridAfter w:val="1"/>
          <w:wAfter w:w="136" w:type="pct"/>
          <w:trHeight w:val="490"/>
        </w:trPr>
        <w:tc>
          <w:tcPr>
            <w:tcW w:w="768" w:type="pct"/>
            <w:tcBorders>
              <w:top w:val="nil"/>
              <w:left w:val="single" w:sz="4" w:space="0" w:color="auto"/>
              <w:bottom w:val="single" w:sz="4" w:space="0" w:color="auto"/>
              <w:right w:val="single" w:sz="4" w:space="0" w:color="auto"/>
            </w:tcBorders>
            <w:shd w:val="clear" w:color="auto" w:fill="auto"/>
            <w:vAlign w:val="center"/>
            <w:hideMark/>
          </w:tcPr>
          <w:p w14:paraId="4BA2106D"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Administración Regional I Circuito Judicial Zona Sur</w:t>
            </w:r>
          </w:p>
        </w:tc>
        <w:tc>
          <w:tcPr>
            <w:tcW w:w="448" w:type="pct"/>
            <w:tcBorders>
              <w:top w:val="nil"/>
              <w:left w:val="nil"/>
              <w:bottom w:val="single" w:sz="4" w:space="0" w:color="auto"/>
              <w:right w:val="single" w:sz="4" w:space="0" w:color="auto"/>
            </w:tcBorders>
            <w:shd w:val="clear" w:color="auto" w:fill="auto"/>
            <w:vAlign w:val="center"/>
            <w:hideMark/>
          </w:tcPr>
          <w:p w14:paraId="235D0EF3" w14:textId="77777777" w:rsidR="00FD261A" w:rsidRPr="00FD261A" w:rsidRDefault="00FD261A" w:rsidP="00FD261A">
            <w:pPr>
              <w:jc w:val="center"/>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w:t>
            </w:r>
          </w:p>
        </w:tc>
        <w:tc>
          <w:tcPr>
            <w:tcW w:w="1216" w:type="pct"/>
            <w:tcBorders>
              <w:top w:val="nil"/>
              <w:left w:val="nil"/>
              <w:bottom w:val="single" w:sz="4" w:space="0" w:color="auto"/>
              <w:right w:val="single" w:sz="4" w:space="0" w:color="auto"/>
            </w:tcBorders>
            <w:shd w:val="clear" w:color="auto" w:fill="auto"/>
            <w:vAlign w:val="center"/>
            <w:hideMark/>
          </w:tcPr>
          <w:p w14:paraId="44134297" w14:textId="77777777" w:rsidR="00FD261A" w:rsidRPr="00FD261A" w:rsidRDefault="00FD261A" w:rsidP="00FD261A">
            <w:pPr>
              <w:jc w:val="center"/>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w:t>
            </w:r>
          </w:p>
        </w:tc>
        <w:tc>
          <w:tcPr>
            <w:tcW w:w="1280" w:type="pct"/>
            <w:tcBorders>
              <w:top w:val="nil"/>
              <w:left w:val="nil"/>
              <w:bottom w:val="single" w:sz="4" w:space="0" w:color="auto"/>
              <w:right w:val="single" w:sz="4" w:space="0" w:color="auto"/>
            </w:tcBorders>
            <w:shd w:val="clear" w:color="auto" w:fill="auto"/>
            <w:vAlign w:val="center"/>
            <w:hideMark/>
          </w:tcPr>
          <w:p w14:paraId="31EE6B2E"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Se hace saber que esta Administración Regional de Pérez Zeledón no tiene observaciones al respecto</w:t>
            </w:r>
          </w:p>
        </w:tc>
        <w:tc>
          <w:tcPr>
            <w:tcW w:w="1152" w:type="pct"/>
            <w:tcBorders>
              <w:top w:val="nil"/>
              <w:left w:val="nil"/>
              <w:bottom w:val="single" w:sz="4" w:space="0" w:color="auto"/>
              <w:right w:val="single" w:sz="4" w:space="0" w:color="auto"/>
            </w:tcBorders>
            <w:shd w:val="clear" w:color="auto" w:fill="auto"/>
            <w:vAlign w:val="center"/>
            <w:hideMark/>
          </w:tcPr>
          <w:p w14:paraId="229292C3"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N/A</w:t>
            </w:r>
          </w:p>
        </w:tc>
      </w:tr>
      <w:tr w:rsidR="00247F11" w:rsidRPr="00FD261A" w14:paraId="56142A21" w14:textId="77777777" w:rsidTr="00866166">
        <w:trPr>
          <w:gridAfter w:val="1"/>
          <w:wAfter w:w="136" w:type="pct"/>
          <w:trHeight w:val="490"/>
        </w:trPr>
        <w:tc>
          <w:tcPr>
            <w:tcW w:w="768" w:type="pct"/>
            <w:tcBorders>
              <w:top w:val="nil"/>
              <w:left w:val="single" w:sz="4" w:space="0" w:color="auto"/>
              <w:bottom w:val="single" w:sz="4" w:space="0" w:color="auto"/>
              <w:right w:val="single" w:sz="4" w:space="0" w:color="auto"/>
            </w:tcBorders>
            <w:shd w:val="clear" w:color="auto" w:fill="auto"/>
            <w:vAlign w:val="center"/>
            <w:hideMark/>
          </w:tcPr>
          <w:p w14:paraId="7EDAC952"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Defensa Pública</w:t>
            </w:r>
          </w:p>
        </w:tc>
        <w:tc>
          <w:tcPr>
            <w:tcW w:w="448" w:type="pct"/>
            <w:tcBorders>
              <w:top w:val="nil"/>
              <w:left w:val="nil"/>
              <w:bottom w:val="single" w:sz="4" w:space="0" w:color="auto"/>
              <w:right w:val="single" w:sz="4" w:space="0" w:color="auto"/>
            </w:tcBorders>
            <w:shd w:val="clear" w:color="auto" w:fill="auto"/>
            <w:vAlign w:val="center"/>
            <w:hideMark/>
          </w:tcPr>
          <w:p w14:paraId="2A6A5A3B" w14:textId="77777777" w:rsidR="00FD261A" w:rsidRPr="00FD261A" w:rsidRDefault="00FD261A" w:rsidP="00FD261A">
            <w:pPr>
              <w:jc w:val="center"/>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w:t>
            </w:r>
          </w:p>
        </w:tc>
        <w:tc>
          <w:tcPr>
            <w:tcW w:w="1216" w:type="pct"/>
            <w:tcBorders>
              <w:top w:val="nil"/>
              <w:left w:val="nil"/>
              <w:bottom w:val="single" w:sz="4" w:space="0" w:color="auto"/>
              <w:right w:val="single" w:sz="4" w:space="0" w:color="auto"/>
            </w:tcBorders>
            <w:shd w:val="clear" w:color="auto" w:fill="auto"/>
            <w:vAlign w:val="center"/>
            <w:hideMark/>
          </w:tcPr>
          <w:p w14:paraId="4D14649F" w14:textId="77777777" w:rsidR="00FD261A" w:rsidRPr="00FD261A" w:rsidRDefault="00FD261A" w:rsidP="00FD261A">
            <w:pPr>
              <w:jc w:val="center"/>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w:t>
            </w:r>
          </w:p>
        </w:tc>
        <w:tc>
          <w:tcPr>
            <w:tcW w:w="1280" w:type="pct"/>
            <w:tcBorders>
              <w:top w:val="nil"/>
              <w:left w:val="nil"/>
              <w:bottom w:val="single" w:sz="4" w:space="0" w:color="auto"/>
              <w:right w:val="single" w:sz="4" w:space="0" w:color="auto"/>
            </w:tcBorders>
            <w:shd w:val="clear" w:color="auto" w:fill="auto"/>
            <w:vAlign w:val="center"/>
            <w:hideMark/>
          </w:tcPr>
          <w:p w14:paraId="226503C7"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Una vez analizado el informe sometido a revisión, no se cuenta con observaciones que agregar por parte de la Defensa Pública</w:t>
            </w:r>
          </w:p>
        </w:tc>
        <w:tc>
          <w:tcPr>
            <w:tcW w:w="1152" w:type="pct"/>
            <w:tcBorders>
              <w:top w:val="nil"/>
              <w:left w:val="nil"/>
              <w:bottom w:val="single" w:sz="4" w:space="0" w:color="auto"/>
              <w:right w:val="single" w:sz="4" w:space="0" w:color="auto"/>
            </w:tcBorders>
            <w:shd w:val="clear" w:color="auto" w:fill="auto"/>
            <w:vAlign w:val="center"/>
            <w:hideMark/>
          </w:tcPr>
          <w:p w14:paraId="184E9EDF"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N/A</w:t>
            </w:r>
          </w:p>
        </w:tc>
      </w:tr>
      <w:tr w:rsidR="00247F11" w:rsidRPr="00FD261A" w14:paraId="06ADD221" w14:textId="77777777" w:rsidTr="00866166">
        <w:trPr>
          <w:gridAfter w:val="1"/>
          <w:wAfter w:w="136" w:type="pct"/>
          <w:trHeight w:val="490"/>
        </w:trPr>
        <w:tc>
          <w:tcPr>
            <w:tcW w:w="768" w:type="pct"/>
            <w:tcBorders>
              <w:top w:val="nil"/>
              <w:left w:val="single" w:sz="4" w:space="0" w:color="auto"/>
              <w:bottom w:val="single" w:sz="4" w:space="0" w:color="auto"/>
              <w:right w:val="single" w:sz="4" w:space="0" w:color="auto"/>
            </w:tcBorders>
            <w:shd w:val="clear" w:color="auto" w:fill="auto"/>
            <w:vAlign w:val="center"/>
            <w:hideMark/>
          </w:tcPr>
          <w:p w14:paraId="54F9A97D"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Centro de Apoyo, Coordinación y Mejoramiento de la Función Jurisdiccional</w:t>
            </w:r>
          </w:p>
        </w:tc>
        <w:tc>
          <w:tcPr>
            <w:tcW w:w="448" w:type="pct"/>
            <w:tcBorders>
              <w:top w:val="nil"/>
              <w:left w:val="nil"/>
              <w:bottom w:val="single" w:sz="4" w:space="0" w:color="auto"/>
              <w:right w:val="single" w:sz="4" w:space="0" w:color="auto"/>
            </w:tcBorders>
            <w:shd w:val="clear" w:color="auto" w:fill="auto"/>
            <w:vAlign w:val="center"/>
            <w:hideMark/>
          </w:tcPr>
          <w:p w14:paraId="08E7F921" w14:textId="77777777" w:rsidR="00FD261A" w:rsidRPr="00FD261A" w:rsidRDefault="00FD261A" w:rsidP="00FD261A">
            <w:pPr>
              <w:jc w:val="center"/>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w:t>
            </w:r>
          </w:p>
        </w:tc>
        <w:tc>
          <w:tcPr>
            <w:tcW w:w="1216" w:type="pct"/>
            <w:tcBorders>
              <w:top w:val="nil"/>
              <w:left w:val="nil"/>
              <w:bottom w:val="single" w:sz="4" w:space="0" w:color="auto"/>
              <w:right w:val="single" w:sz="4" w:space="0" w:color="auto"/>
            </w:tcBorders>
            <w:shd w:val="clear" w:color="auto" w:fill="auto"/>
            <w:vAlign w:val="center"/>
            <w:hideMark/>
          </w:tcPr>
          <w:p w14:paraId="464D1CDD" w14:textId="77777777" w:rsidR="00FD261A" w:rsidRPr="00FD261A" w:rsidRDefault="00FD261A" w:rsidP="00FD261A">
            <w:pPr>
              <w:jc w:val="center"/>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w:t>
            </w:r>
          </w:p>
        </w:tc>
        <w:tc>
          <w:tcPr>
            <w:tcW w:w="1280" w:type="pct"/>
            <w:tcBorders>
              <w:top w:val="nil"/>
              <w:left w:val="nil"/>
              <w:bottom w:val="single" w:sz="4" w:space="0" w:color="auto"/>
              <w:right w:val="single" w:sz="4" w:space="0" w:color="auto"/>
            </w:tcBorders>
            <w:shd w:val="clear" w:color="auto" w:fill="auto"/>
            <w:vAlign w:val="center"/>
            <w:hideMark/>
          </w:tcPr>
          <w:p w14:paraId="175914C4"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me permito informar que, una vez analizado el documento, esta Dirección no tiene observaciones que realizar.</w:t>
            </w:r>
          </w:p>
        </w:tc>
        <w:tc>
          <w:tcPr>
            <w:tcW w:w="1152" w:type="pct"/>
            <w:tcBorders>
              <w:top w:val="nil"/>
              <w:left w:val="nil"/>
              <w:bottom w:val="single" w:sz="4" w:space="0" w:color="auto"/>
              <w:right w:val="single" w:sz="4" w:space="0" w:color="auto"/>
            </w:tcBorders>
            <w:shd w:val="clear" w:color="auto" w:fill="auto"/>
            <w:vAlign w:val="center"/>
            <w:hideMark/>
          </w:tcPr>
          <w:p w14:paraId="4F7E6BCF"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N/A</w:t>
            </w:r>
          </w:p>
        </w:tc>
      </w:tr>
      <w:tr w:rsidR="00247F11" w:rsidRPr="00FD261A" w14:paraId="18ED8772" w14:textId="77777777" w:rsidTr="00866166">
        <w:trPr>
          <w:gridAfter w:val="1"/>
          <w:wAfter w:w="136" w:type="pct"/>
          <w:trHeight w:val="490"/>
        </w:trPr>
        <w:tc>
          <w:tcPr>
            <w:tcW w:w="768" w:type="pct"/>
            <w:vMerge w:val="restart"/>
            <w:tcBorders>
              <w:top w:val="nil"/>
              <w:left w:val="single" w:sz="4" w:space="0" w:color="auto"/>
              <w:bottom w:val="single" w:sz="4" w:space="0" w:color="auto"/>
              <w:right w:val="single" w:sz="4" w:space="0" w:color="auto"/>
            </w:tcBorders>
            <w:shd w:val="clear" w:color="auto" w:fill="auto"/>
            <w:vAlign w:val="center"/>
            <w:hideMark/>
          </w:tcPr>
          <w:p w14:paraId="1167B6A9"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 xml:space="preserve">Organismo de </w:t>
            </w:r>
            <w:r w:rsidRPr="00FD261A">
              <w:rPr>
                <w:rFonts w:ascii="Arial Narrow" w:hAnsi="Arial Narrow" w:cs="Calibri"/>
                <w:color w:val="000000"/>
                <w:sz w:val="22"/>
                <w:szCs w:val="22"/>
                <w:lang w:val="es-CR" w:eastAsia="es-CR"/>
              </w:rPr>
              <w:br/>
              <w:t xml:space="preserve">Investigación Judicial </w:t>
            </w:r>
          </w:p>
        </w:tc>
        <w:tc>
          <w:tcPr>
            <w:tcW w:w="448" w:type="pct"/>
            <w:tcBorders>
              <w:top w:val="nil"/>
              <w:left w:val="nil"/>
              <w:bottom w:val="single" w:sz="4" w:space="0" w:color="auto"/>
              <w:right w:val="single" w:sz="4" w:space="0" w:color="auto"/>
            </w:tcBorders>
            <w:shd w:val="clear" w:color="auto" w:fill="auto"/>
            <w:vAlign w:val="center"/>
            <w:hideMark/>
          </w:tcPr>
          <w:p w14:paraId="52D7362E" w14:textId="77777777" w:rsidR="00FD261A" w:rsidRPr="00FD261A" w:rsidRDefault="00FD261A" w:rsidP="00FD261A">
            <w:pPr>
              <w:jc w:val="center"/>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3</w:t>
            </w:r>
          </w:p>
        </w:tc>
        <w:tc>
          <w:tcPr>
            <w:tcW w:w="1216" w:type="pct"/>
            <w:tcBorders>
              <w:top w:val="nil"/>
              <w:left w:val="nil"/>
              <w:bottom w:val="single" w:sz="4" w:space="0" w:color="auto"/>
              <w:right w:val="single" w:sz="4" w:space="0" w:color="auto"/>
            </w:tcBorders>
            <w:shd w:val="clear" w:color="auto" w:fill="auto"/>
            <w:vAlign w:val="center"/>
            <w:hideMark/>
          </w:tcPr>
          <w:p w14:paraId="254652D0"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 xml:space="preserve"> en este caso específico para el año 2022</w:t>
            </w:r>
          </w:p>
        </w:tc>
        <w:tc>
          <w:tcPr>
            <w:tcW w:w="1280" w:type="pct"/>
            <w:tcBorders>
              <w:top w:val="nil"/>
              <w:left w:val="nil"/>
              <w:bottom w:val="single" w:sz="4" w:space="0" w:color="auto"/>
              <w:right w:val="single" w:sz="4" w:space="0" w:color="auto"/>
            </w:tcBorders>
            <w:shd w:val="clear" w:color="auto" w:fill="auto"/>
            <w:vAlign w:val="center"/>
            <w:hideMark/>
          </w:tcPr>
          <w:p w14:paraId="15E3AFB6"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 xml:space="preserve"> Lo correcto es el PEI del año 2021 y no 2022. </w:t>
            </w:r>
          </w:p>
        </w:tc>
        <w:tc>
          <w:tcPr>
            <w:tcW w:w="1152" w:type="pct"/>
            <w:tcBorders>
              <w:top w:val="nil"/>
              <w:left w:val="nil"/>
              <w:bottom w:val="single" w:sz="4" w:space="0" w:color="auto"/>
              <w:right w:val="single" w:sz="4" w:space="0" w:color="auto"/>
            </w:tcBorders>
            <w:shd w:val="clear" w:color="auto" w:fill="auto"/>
            <w:vAlign w:val="center"/>
            <w:hideMark/>
          </w:tcPr>
          <w:p w14:paraId="5AD88ACB"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 xml:space="preserve">Se toma de la observación y se procede a corregir en el informe </w:t>
            </w:r>
          </w:p>
        </w:tc>
      </w:tr>
      <w:tr w:rsidR="00247F11" w:rsidRPr="00FD261A" w14:paraId="574EC87A" w14:textId="77777777" w:rsidTr="00866166">
        <w:trPr>
          <w:gridAfter w:val="1"/>
          <w:wAfter w:w="136" w:type="pct"/>
          <w:trHeight w:val="490"/>
        </w:trPr>
        <w:tc>
          <w:tcPr>
            <w:tcW w:w="768" w:type="pct"/>
            <w:vMerge/>
            <w:tcBorders>
              <w:top w:val="nil"/>
              <w:left w:val="single" w:sz="4" w:space="0" w:color="auto"/>
              <w:bottom w:val="single" w:sz="4" w:space="0" w:color="auto"/>
              <w:right w:val="single" w:sz="4" w:space="0" w:color="auto"/>
            </w:tcBorders>
            <w:vAlign w:val="center"/>
            <w:hideMark/>
          </w:tcPr>
          <w:p w14:paraId="10753AD8" w14:textId="77777777" w:rsidR="00FD261A" w:rsidRPr="00FD261A" w:rsidRDefault="00FD261A" w:rsidP="00FD261A">
            <w:pPr>
              <w:jc w:val="both"/>
              <w:rPr>
                <w:rFonts w:ascii="Arial Narrow" w:hAnsi="Arial Narrow" w:cs="Calibri"/>
                <w:color w:val="000000"/>
                <w:sz w:val="22"/>
                <w:szCs w:val="22"/>
                <w:lang w:val="es-CR" w:eastAsia="es-CR"/>
              </w:rPr>
            </w:pPr>
          </w:p>
        </w:tc>
        <w:tc>
          <w:tcPr>
            <w:tcW w:w="448" w:type="pct"/>
            <w:tcBorders>
              <w:top w:val="nil"/>
              <w:left w:val="nil"/>
              <w:bottom w:val="single" w:sz="4" w:space="0" w:color="auto"/>
              <w:right w:val="single" w:sz="4" w:space="0" w:color="auto"/>
            </w:tcBorders>
            <w:shd w:val="clear" w:color="auto" w:fill="auto"/>
            <w:vAlign w:val="center"/>
            <w:hideMark/>
          </w:tcPr>
          <w:p w14:paraId="7C5F35B3" w14:textId="77777777" w:rsidR="00FD261A" w:rsidRPr="00FD261A" w:rsidRDefault="00FD261A" w:rsidP="00FD261A">
            <w:pPr>
              <w:jc w:val="center"/>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11</w:t>
            </w:r>
          </w:p>
        </w:tc>
        <w:tc>
          <w:tcPr>
            <w:tcW w:w="1216" w:type="pct"/>
            <w:tcBorders>
              <w:top w:val="nil"/>
              <w:left w:val="nil"/>
              <w:bottom w:val="single" w:sz="4" w:space="0" w:color="auto"/>
              <w:right w:val="single" w:sz="4" w:space="0" w:color="auto"/>
            </w:tcBorders>
            <w:shd w:val="clear" w:color="auto" w:fill="auto"/>
            <w:vAlign w:val="center"/>
            <w:hideMark/>
          </w:tcPr>
          <w:p w14:paraId="6B9C0DEF"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 xml:space="preserve"> En cuanto a los Programas Institucionales cumplen con sus metas estratégicas para el cierre del 2021 de la siguiente manera: la Defensa Pública registró un 100%, el Programa Dirección, Administración y Otros Órganos de Apoyo un 98,14%, el Ministerio Púbico un 99,59%, el Organismo de Investigación Judicial en un 99,96%, el Servicio de Atención y Protección a Víctimas y Testigos en un 96,83%, mientras que el Servicio Jurisdiccional en un 87,30%. </w:t>
            </w:r>
          </w:p>
        </w:tc>
        <w:tc>
          <w:tcPr>
            <w:tcW w:w="1280" w:type="pct"/>
            <w:tcBorders>
              <w:top w:val="nil"/>
              <w:left w:val="nil"/>
              <w:bottom w:val="single" w:sz="4" w:space="0" w:color="auto"/>
              <w:right w:val="single" w:sz="4" w:space="0" w:color="auto"/>
            </w:tcBorders>
            <w:shd w:val="clear" w:color="auto" w:fill="auto"/>
            <w:vAlign w:val="center"/>
            <w:hideMark/>
          </w:tcPr>
          <w:p w14:paraId="5CCF780B"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Revisando todos los resultados de los cuadros del informe, el Organismo de Investigación Judicial tiene un 100% de cumplimiento en el Plan Estratégico Institucional y están indicando que es un 99,96%, lo cual es incorrecto y contradictorio, dado que el resultado de la sumatoria de dichos porcentajes debería ser 100%.</w:t>
            </w:r>
          </w:p>
        </w:tc>
        <w:tc>
          <w:tcPr>
            <w:tcW w:w="1152" w:type="pct"/>
            <w:tcBorders>
              <w:top w:val="nil"/>
              <w:left w:val="nil"/>
              <w:bottom w:val="single" w:sz="4" w:space="0" w:color="auto"/>
              <w:right w:val="single" w:sz="4" w:space="0" w:color="auto"/>
            </w:tcBorders>
            <w:shd w:val="clear" w:color="auto" w:fill="auto"/>
            <w:vAlign w:val="center"/>
            <w:hideMark/>
          </w:tcPr>
          <w:p w14:paraId="5CFB3D10" w14:textId="77777777" w:rsidR="00257A51" w:rsidRDefault="00257A51" w:rsidP="00FD261A">
            <w:pPr>
              <w:jc w:val="both"/>
              <w:rPr>
                <w:rFonts w:ascii="Arial Narrow" w:hAnsi="Arial Narrow" w:cs="Calibri"/>
                <w:color w:val="000000"/>
                <w:sz w:val="22"/>
                <w:szCs w:val="22"/>
                <w:lang w:val="es-CR" w:eastAsia="es-CR"/>
              </w:rPr>
            </w:pPr>
          </w:p>
          <w:p w14:paraId="605C266E" w14:textId="4A3B38B4" w:rsidR="00257A51"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Se toma nota de la observación y se procede a aclarar.</w:t>
            </w:r>
          </w:p>
          <w:p w14:paraId="1E3D1F55" w14:textId="2D626954"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 xml:space="preserve"> </w:t>
            </w:r>
            <w:r w:rsidRPr="00FD261A">
              <w:rPr>
                <w:rFonts w:ascii="Arial Narrow" w:hAnsi="Arial Narrow" w:cs="Calibri"/>
                <w:color w:val="000000"/>
                <w:sz w:val="22"/>
                <w:szCs w:val="22"/>
                <w:lang w:val="es-CR" w:eastAsia="es-CR"/>
              </w:rPr>
              <w:br/>
              <w:t>Con respecto al incremento en la cantidad de casos salidos por el Organismo de Investigación Judicial se tiene un cumplimiento total del 100% debido a que se cumplió la meta esperada de 89.446 casos e incluso se sobrepasó llegando a 94.149 casos. Con respecto al 99% reportado por parte de las oficinas, se debe a que dos despachos no lograron cumplir la meta en su totalidad, las cuales son: Delegación Regional de Limón (90% de cumplimiento) y Subdelegación Regional de Quepos (86% de cumplimiento). Cabe aclarar que el OIJ para el 2021 logró sobrepasar la meta esperada en un 5%, sin embargo, al no darse la actualización o cumplimiento por parte de esas dos oficinas la meta estratégica vinculada directamente al sistema reflejó un 99% equivalente al cumplimiento anual del PEI para el año 2021 (el cumplimiento acumulado si equivale a un 100%).</w:t>
            </w:r>
          </w:p>
        </w:tc>
      </w:tr>
      <w:tr w:rsidR="00247F11" w:rsidRPr="00FD261A" w14:paraId="0BDA8114" w14:textId="77777777" w:rsidTr="00866166">
        <w:trPr>
          <w:gridAfter w:val="1"/>
          <w:wAfter w:w="136" w:type="pct"/>
          <w:trHeight w:val="490"/>
        </w:trPr>
        <w:tc>
          <w:tcPr>
            <w:tcW w:w="768" w:type="pct"/>
            <w:vMerge w:val="restart"/>
            <w:tcBorders>
              <w:top w:val="nil"/>
              <w:left w:val="single" w:sz="4" w:space="0" w:color="auto"/>
              <w:bottom w:val="single" w:sz="4" w:space="0" w:color="000000"/>
              <w:right w:val="single" w:sz="4" w:space="0" w:color="auto"/>
            </w:tcBorders>
            <w:shd w:val="clear" w:color="auto" w:fill="auto"/>
            <w:vAlign w:val="center"/>
            <w:hideMark/>
          </w:tcPr>
          <w:p w14:paraId="38909EF7"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 xml:space="preserve">Escuela Judicial </w:t>
            </w:r>
          </w:p>
        </w:tc>
        <w:tc>
          <w:tcPr>
            <w:tcW w:w="448" w:type="pct"/>
            <w:vMerge w:val="restart"/>
            <w:tcBorders>
              <w:top w:val="nil"/>
              <w:left w:val="single" w:sz="4" w:space="0" w:color="auto"/>
              <w:bottom w:val="single" w:sz="4" w:space="0" w:color="auto"/>
              <w:right w:val="single" w:sz="4" w:space="0" w:color="auto"/>
            </w:tcBorders>
            <w:shd w:val="clear" w:color="auto" w:fill="auto"/>
            <w:vAlign w:val="center"/>
            <w:hideMark/>
          </w:tcPr>
          <w:p w14:paraId="1F2F370F" w14:textId="77777777" w:rsidR="00FD261A" w:rsidRPr="00FD261A" w:rsidRDefault="00FD261A" w:rsidP="00FD261A">
            <w:pPr>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102</w:t>
            </w:r>
          </w:p>
        </w:tc>
        <w:tc>
          <w:tcPr>
            <w:tcW w:w="1216" w:type="pct"/>
            <w:vMerge w:val="restart"/>
            <w:tcBorders>
              <w:top w:val="nil"/>
              <w:left w:val="single" w:sz="4" w:space="0" w:color="auto"/>
              <w:bottom w:val="single" w:sz="4" w:space="0" w:color="auto"/>
              <w:right w:val="single" w:sz="4" w:space="0" w:color="auto"/>
            </w:tcBorders>
            <w:shd w:val="clear" w:color="auto" w:fill="auto"/>
            <w:vAlign w:val="center"/>
            <w:hideMark/>
          </w:tcPr>
          <w:p w14:paraId="715FFF4E"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Para le meta</w:t>
            </w:r>
            <w:r w:rsidRPr="00FD261A">
              <w:rPr>
                <w:rFonts w:ascii="Arial Narrow" w:hAnsi="Arial Narrow" w:cs="Calibri"/>
                <w:i/>
                <w:iCs/>
                <w:color w:val="000000"/>
                <w:sz w:val="22"/>
                <w:szCs w:val="22"/>
                <w:lang w:val="es-CR" w:eastAsia="es-CR"/>
              </w:rPr>
              <w:t xml:space="preserve"> “Que al finalizar el 2024, se haya cumplido la estrategia de capacitación diseñada para el “Organismo de Investigación Judicial”,</w:t>
            </w:r>
            <w:r w:rsidRPr="00FD261A">
              <w:rPr>
                <w:rFonts w:ascii="Arial Narrow" w:hAnsi="Arial Narrow" w:cs="Calibri"/>
                <w:color w:val="000000"/>
                <w:sz w:val="22"/>
                <w:szCs w:val="22"/>
                <w:lang w:val="es-CR" w:eastAsia="es-CR"/>
              </w:rPr>
              <w:t xml:space="preserve"> la cual de acuerdo con la revisión efectuada se logró determinar que para el 2021 registra un cumplimiento del 100% donde se destaca que la Unidad de Adiestramiento informa que se implementó la ejecución de Programas Formación Básica dirigidos al personal de OIJ, esto tomando como base el diagnostico de necesidades realizado a inicios del año 2021.  Sobre esta meta se recibió oficio 008-INF/UAOIP-2022 del Organismos de Investigación Judicial con fecha del 07 de febrero del 2022, suscrito por Walter Espinoza donde indican que las estrategias de capacitación NO son responsabilidad ni resorte del Organismo de Investigación Judicial, ya que esto recae sobre la Unidad de Capacitación del OIJ, misma que NO pertenece a la Policía Judicial, sino a la Escuela Judicial, incluyendo su presupuesto, por lo que una vez más se denota que los datos del presente informe son desactualizados y no tienen un respaldo óptimo.</w:t>
            </w:r>
          </w:p>
        </w:tc>
        <w:tc>
          <w:tcPr>
            <w:tcW w:w="1280" w:type="pct"/>
            <w:tcBorders>
              <w:top w:val="nil"/>
              <w:left w:val="nil"/>
              <w:bottom w:val="single" w:sz="4" w:space="0" w:color="auto"/>
              <w:right w:val="single" w:sz="4" w:space="0" w:color="auto"/>
            </w:tcBorders>
            <w:shd w:val="clear" w:color="auto" w:fill="auto"/>
            <w:vAlign w:val="center"/>
            <w:hideMark/>
          </w:tcPr>
          <w:p w14:paraId="0AD250C5"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 xml:space="preserve">1.      Mediante oficio EJ-DIR-169-2021 se realiza la aclaración que la meta estratégica en mención tiene como responsable estratégico a la Escuela Judicial y no al Organismos de Investigación Judicial y se solicita al Subproceso de Planificación Estratégica se mantenga a la Escuela Judicial como responsable Estratégico al pertenecer la Unidad de Capacitación de OIJ por ley a la Escuela Judicial. </w:t>
            </w:r>
          </w:p>
        </w:tc>
        <w:tc>
          <w:tcPr>
            <w:tcW w:w="1152" w:type="pct"/>
            <w:tcBorders>
              <w:top w:val="nil"/>
              <w:left w:val="nil"/>
              <w:bottom w:val="single" w:sz="4" w:space="0" w:color="auto"/>
              <w:right w:val="single" w:sz="4" w:space="0" w:color="auto"/>
            </w:tcBorders>
            <w:shd w:val="clear" w:color="auto" w:fill="auto"/>
            <w:vAlign w:val="center"/>
            <w:hideMark/>
          </w:tcPr>
          <w:p w14:paraId="41714BBD"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Se toma nota de la observación y se incorpora con el criterio de la Escuela Judicial. La observación modifica el contenido del informe, en cuanto a que se adiciona el criterio de la Escuela Judicial:</w:t>
            </w:r>
          </w:p>
          <w:p w14:paraId="32737803" w14:textId="77777777" w:rsidR="00FD261A" w:rsidRPr="00FD261A" w:rsidRDefault="00FD261A" w:rsidP="00FD261A">
            <w:pPr>
              <w:jc w:val="both"/>
              <w:rPr>
                <w:rFonts w:ascii="Arial Narrow" w:hAnsi="Arial Narrow" w:cs="Calibri"/>
                <w:i/>
                <w:iCs/>
                <w:color w:val="000000"/>
                <w:sz w:val="22"/>
                <w:szCs w:val="22"/>
                <w:lang w:val="es-CR" w:eastAsia="es-CR"/>
              </w:rPr>
            </w:pPr>
          </w:p>
          <w:p w14:paraId="12CFE994"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i/>
                <w:iCs/>
                <w:color w:val="000000"/>
                <w:sz w:val="22"/>
                <w:szCs w:val="22"/>
                <w:lang w:val="es-CR" w:eastAsia="es-CR"/>
              </w:rPr>
              <w:t xml:space="preserve"> “Aunado a lo anterior, la Escuela Judicial comunica que mediante oficio EJ-DIR-169-2021 realizó la aclaración que la meta estratégica en mención tiene como responsable estratégico a la Escuela Judicial y no al Organismo de Investigación Judicial y solicitaron al Subproceso de Planificación Estratégica se mantenga a la Escuela Judicial como responsable Estratégico al pertenecer la Unidad de Capacitación de OIJ por ley a la Escuela Judicial."</w:t>
            </w:r>
          </w:p>
        </w:tc>
      </w:tr>
      <w:tr w:rsidR="00247F11" w:rsidRPr="00FD261A" w14:paraId="414055E5" w14:textId="77777777" w:rsidTr="00866166">
        <w:trPr>
          <w:gridAfter w:val="1"/>
          <w:wAfter w:w="136" w:type="pct"/>
          <w:trHeight w:val="490"/>
        </w:trPr>
        <w:tc>
          <w:tcPr>
            <w:tcW w:w="768" w:type="pct"/>
            <w:vMerge/>
            <w:tcBorders>
              <w:top w:val="nil"/>
              <w:left w:val="single" w:sz="4" w:space="0" w:color="auto"/>
              <w:bottom w:val="single" w:sz="4" w:space="0" w:color="000000"/>
              <w:right w:val="single" w:sz="4" w:space="0" w:color="auto"/>
            </w:tcBorders>
            <w:vAlign w:val="center"/>
            <w:hideMark/>
          </w:tcPr>
          <w:p w14:paraId="3FB2A6F6" w14:textId="77777777" w:rsidR="00FD261A" w:rsidRPr="00FD261A" w:rsidRDefault="00FD261A" w:rsidP="00FD261A">
            <w:pPr>
              <w:jc w:val="both"/>
              <w:rPr>
                <w:rFonts w:ascii="Arial Narrow" w:hAnsi="Arial Narrow" w:cs="Calibri"/>
                <w:color w:val="000000"/>
                <w:sz w:val="22"/>
                <w:szCs w:val="22"/>
                <w:lang w:val="es-CR" w:eastAsia="es-CR"/>
              </w:rPr>
            </w:pPr>
          </w:p>
        </w:tc>
        <w:tc>
          <w:tcPr>
            <w:tcW w:w="448" w:type="pct"/>
            <w:vMerge/>
            <w:tcBorders>
              <w:top w:val="nil"/>
              <w:left w:val="single" w:sz="4" w:space="0" w:color="auto"/>
              <w:bottom w:val="single" w:sz="4" w:space="0" w:color="auto"/>
              <w:right w:val="single" w:sz="4" w:space="0" w:color="auto"/>
            </w:tcBorders>
            <w:vAlign w:val="center"/>
            <w:hideMark/>
          </w:tcPr>
          <w:p w14:paraId="43BC10D2" w14:textId="77777777" w:rsidR="00FD261A" w:rsidRPr="00FD261A" w:rsidRDefault="00FD261A" w:rsidP="00FD261A">
            <w:pPr>
              <w:jc w:val="both"/>
              <w:rPr>
                <w:rFonts w:ascii="Arial Narrow" w:hAnsi="Arial Narrow" w:cs="Calibri"/>
                <w:color w:val="000000"/>
                <w:sz w:val="22"/>
                <w:szCs w:val="22"/>
                <w:lang w:val="es-CR" w:eastAsia="es-CR"/>
              </w:rPr>
            </w:pPr>
          </w:p>
        </w:tc>
        <w:tc>
          <w:tcPr>
            <w:tcW w:w="1216" w:type="pct"/>
            <w:vMerge/>
            <w:tcBorders>
              <w:top w:val="nil"/>
              <w:left w:val="single" w:sz="4" w:space="0" w:color="auto"/>
              <w:bottom w:val="single" w:sz="4" w:space="0" w:color="auto"/>
              <w:right w:val="single" w:sz="4" w:space="0" w:color="auto"/>
            </w:tcBorders>
            <w:vAlign w:val="center"/>
            <w:hideMark/>
          </w:tcPr>
          <w:p w14:paraId="20DE1FE2" w14:textId="77777777" w:rsidR="00FD261A" w:rsidRPr="00FD261A" w:rsidRDefault="00FD261A" w:rsidP="00FD261A">
            <w:pPr>
              <w:jc w:val="both"/>
              <w:rPr>
                <w:rFonts w:ascii="Arial Narrow" w:hAnsi="Arial Narrow" w:cs="Calibri"/>
                <w:color w:val="000000"/>
                <w:sz w:val="22"/>
                <w:szCs w:val="22"/>
                <w:lang w:val="es-CR" w:eastAsia="es-CR"/>
              </w:rPr>
            </w:pPr>
          </w:p>
        </w:tc>
        <w:tc>
          <w:tcPr>
            <w:tcW w:w="1280" w:type="pct"/>
            <w:tcBorders>
              <w:top w:val="single" w:sz="4" w:space="0" w:color="auto"/>
              <w:left w:val="nil"/>
              <w:bottom w:val="single" w:sz="4" w:space="0" w:color="auto"/>
              <w:right w:val="single" w:sz="4" w:space="0" w:color="auto"/>
            </w:tcBorders>
            <w:shd w:val="clear" w:color="auto" w:fill="auto"/>
            <w:noWrap/>
            <w:vAlign w:val="bottom"/>
            <w:hideMark/>
          </w:tcPr>
          <w:p w14:paraId="0479E18B" w14:textId="77777777" w:rsidR="00FD261A" w:rsidRPr="00FD261A" w:rsidRDefault="00FD261A" w:rsidP="00FD261A">
            <w:pPr>
              <w:jc w:val="both"/>
              <w:rPr>
                <w:rFonts w:ascii="Arial Narrow" w:hAnsi="Arial Narrow" w:cs="Calibri"/>
                <w:color w:val="000000"/>
                <w:sz w:val="22"/>
                <w:szCs w:val="22"/>
                <w:lang w:val="es-CR" w:eastAsia="es-CR"/>
              </w:rPr>
            </w:pPr>
          </w:p>
          <w:p w14:paraId="52CE4D10" w14:textId="77777777" w:rsidR="00FD261A" w:rsidRPr="00FD261A" w:rsidRDefault="00FD261A" w:rsidP="00FD261A">
            <w:pPr>
              <w:jc w:val="both"/>
              <w:rPr>
                <w:rFonts w:ascii="Arial Narrow" w:hAnsi="Arial Narrow" w:cs="Calibri"/>
                <w:color w:val="000000"/>
                <w:sz w:val="22"/>
                <w:szCs w:val="22"/>
                <w:lang w:val="es-CR" w:eastAsia="es-CR"/>
              </w:rPr>
            </w:pPr>
          </w:p>
          <w:p w14:paraId="4F6F4829" w14:textId="77777777" w:rsidR="00FD261A" w:rsidRPr="00FD261A" w:rsidRDefault="00FD261A" w:rsidP="00FD261A">
            <w:pPr>
              <w:jc w:val="both"/>
              <w:rPr>
                <w:rFonts w:ascii="Arial Narrow" w:hAnsi="Arial Narrow" w:cs="Calibri"/>
                <w:color w:val="000000"/>
                <w:sz w:val="22"/>
                <w:szCs w:val="22"/>
                <w:lang w:val="es-CR" w:eastAsia="es-CR"/>
              </w:rPr>
            </w:pPr>
          </w:p>
          <w:p w14:paraId="7B303591" w14:textId="77777777" w:rsidR="00FD261A" w:rsidRPr="00FD261A" w:rsidRDefault="00FD261A" w:rsidP="00FD261A">
            <w:pPr>
              <w:jc w:val="both"/>
              <w:rPr>
                <w:rFonts w:ascii="Arial Narrow" w:hAnsi="Arial Narrow" w:cs="Calibri"/>
                <w:color w:val="000000"/>
                <w:sz w:val="22"/>
                <w:szCs w:val="22"/>
                <w:lang w:val="es-CR" w:eastAsia="es-CR"/>
              </w:rPr>
            </w:pPr>
          </w:p>
          <w:p w14:paraId="0383F25E" w14:textId="77777777" w:rsidR="00FD261A" w:rsidRPr="00FD261A" w:rsidRDefault="00FD261A" w:rsidP="00FD261A">
            <w:pPr>
              <w:jc w:val="both"/>
              <w:rPr>
                <w:rFonts w:ascii="Arial Narrow" w:hAnsi="Arial Narrow" w:cs="Calibri"/>
                <w:color w:val="000000"/>
                <w:sz w:val="22"/>
                <w:szCs w:val="22"/>
                <w:lang w:val="es-CR" w:eastAsia="es-CR"/>
              </w:rPr>
            </w:pPr>
          </w:p>
          <w:p w14:paraId="77F5A8D5" w14:textId="77777777" w:rsidR="00FD261A" w:rsidRPr="00FD261A" w:rsidRDefault="00FD261A" w:rsidP="00FD261A">
            <w:pPr>
              <w:jc w:val="both"/>
              <w:rPr>
                <w:rFonts w:ascii="Arial Narrow" w:hAnsi="Arial Narrow" w:cs="Calibri"/>
                <w:color w:val="000000"/>
                <w:sz w:val="22"/>
                <w:szCs w:val="22"/>
                <w:lang w:val="es-CR" w:eastAsia="es-CR"/>
              </w:rPr>
            </w:pPr>
          </w:p>
          <w:p w14:paraId="265AE56C" w14:textId="77777777" w:rsidR="00FD261A" w:rsidRPr="00FD261A" w:rsidRDefault="00FD261A" w:rsidP="00FD261A">
            <w:pPr>
              <w:jc w:val="both"/>
              <w:rPr>
                <w:rFonts w:ascii="Arial Narrow" w:hAnsi="Arial Narrow" w:cs="Calibri"/>
                <w:color w:val="000000"/>
                <w:sz w:val="22"/>
                <w:szCs w:val="22"/>
                <w:lang w:val="es-CR" w:eastAsia="es-CR"/>
              </w:rPr>
            </w:pPr>
          </w:p>
          <w:p w14:paraId="08202566" w14:textId="77777777" w:rsidR="00FD261A" w:rsidRPr="00FD261A" w:rsidRDefault="00FD261A" w:rsidP="00FD261A">
            <w:pPr>
              <w:jc w:val="both"/>
              <w:rPr>
                <w:rFonts w:ascii="Arial Narrow" w:hAnsi="Arial Narrow" w:cs="Calibri"/>
                <w:color w:val="000000"/>
                <w:sz w:val="22"/>
                <w:szCs w:val="22"/>
                <w:lang w:val="es-CR" w:eastAsia="es-CR"/>
              </w:rPr>
            </w:pPr>
          </w:p>
          <w:p w14:paraId="54476044" w14:textId="77777777" w:rsidR="00FD261A" w:rsidRPr="00FD261A" w:rsidRDefault="00FD261A" w:rsidP="00FD261A">
            <w:pPr>
              <w:jc w:val="both"/>
              <w:rPr>
                <w:rFonts w:ascii="Arial Narrow" w:hAnsi="Arial Narrow" w:cs="Calibri"/>
                <w:color w:val="000000"/>
                <w:sz w:val="22"/>
                <w:szCs w:val="22"/>
                <w:lang w:val="es-CR" w:eastAsia="es-CR"/>
              </w:rPr>
            </w:pPr>
          </w:p>
          <w:p w14:paraId="514502F8" w14:textId="77777777" w:rsidR="00FD261A" w:rsidRPr="00FD261A" w:rsidRDefault="00FD261A" w:rsidP="00FD261A">
            <w:pPr>
              <w:jc w:val="both"/>
              <w:rPr>
                <w:rFonts w:ascii="Arial Narrow" w:hAnsi="Arial Narrow" w:cs="Calibri"/>
                <w:color w:val="000000"/>
                <w:sz w:val="22"/>
                <w:szCs w:val="22"/>
                <w:lang w:val="es-CR" w:eastAsia="es-CR"/>
              </w:rPr>
            </w:pPr>
          </w:p>
          <w:p w14:paraId="5F8FBE02" w14:textId="77777777" w:rsidR="00FD261A" w:rsidRPr="00FD261A" w:rsidRDefault="00FD261A" w:rsidP="00FD261A">
            <w:pPr>
              <w:jc w:val="both"/>
              <w:rPr>
                <w:rFonts w:ascii="Arial Narrow" w:hAnsi="Arial Narrow" w:cs="Calibri"/>
                <w:color w:val="000000"/>
                <w:sz w:val="22"/>
                <w:szCs w:val="22"/>
                <w:lang w:val="es-CR" w:eastAsia="es-CR"/>
              </w:rPr>
            </w:pPr>
          </w:p>
          <w:p w14:paraId="28792B5E" w14:textId="77777777" w:rsidR="00FD261A" w:rsidRPr="00FD261A" w:rsidRDefault="00FD261A" w:rsidP="00FD261A">
            <w:pPr>
              <w:jc w:val="both"/>
              <w:rPr>
                <w:rFonts w:ascii="Arial Narrow" w:hAnsi="Arial Narrow" w:cs="Calibri"/>
                <w:color w:val="000000"/>
                <w:sz w:val="22"/>
                <w:szCs w:val="22"/>
                <w:lang w:val="es-CR" w:eastAsia="es-CR"/>
              </w:rPr>
            </w:pPr>
          </w:p>
          <w:p w14:paraId="4B818A6B" w14:textId="77777777" w:rsidR="00FD261A" w:rsidRPr="00FD261A" w:rsidRDefault="00FD261A" w:rsidP="00FD261A">
            <w:pPr>
              <w:jc w:val="both"/>
              <w:rPr>
                <w:rFonts w:ascii="Arial Narrow" w:hAnsi="Arial Narrow" w:cs="Calibri"/>
                <w:color w:val="000000"/>
                <w:sz w:val="22"/>
                <w:szCs w:val="22"/>
                <w:lang w:val="es-CR" w:eastAsia="es-CR"/>
              </w:rPr>
            </w:pPr>
          </w:p>
          <w:p w14:paraId="43A7F979"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2. Se solicita aclarar en el oficio lo correspondiente ya que la redacción hace entender que los datos presentados por la Escuela Judicial están desactualizados.</w:t>
            </w:r>
          </w:p>
          <w:p w14:paraId="1E1A5F31" w14:textId="77777777" w:rsidR="00FD261A" w:rsidRPr="00FD261A" w:rsidRDefault="00FD261A" w:rsidP="00FD261A">
            <w:pPr>
              <w:jc w:val="both"/>
              <w:rPr>
                <w:rFonts w:ascii="Arial Narrow" w:hAnsi="Arial Narrow" w:cs="Calibri"/>
                <w:color w:val="000000"/>
                <w:sz w:val="22"/>
                <w:szCs w:val="22"/>
                <w:lang w:val="es-CR" w:eastAsia="es-CR"/>
              </w:rPr>
            </w:pPr>
          </w:p>
          <w:p w14:paraId="74C2922B" w14:textId="77777777" w:rsidR="00FD261A" w:rsidRPr="00FD261A" w:rsidRDefault="00FD261A" w:rsidP="00FD261A">
            <w:pPr>
              <w:jc w:val="both"/>
              <w:rPr>
                <w:rFonts w:ascii="Arial Narrow" w:hAnsi="Arial Narrow" w:cs="Calibri"/>
                <w:color w:val="000000"/>
                <w:sz w:val="22"/>
                <w:szCs w:val="22"/>
                <w:lang w:val="es-CR" w:eastAsia="es-CR"/>
              </w:rPr>
            </w:pPr>
          </w:p>
          <w:p w14:paraId="676E84BD" w14:textId="77777777" w:rsidR="00FD261A" w:rsidRPr="00FD261A" w:rsidRDefault="00FD261A" w:rsidP="00FD261A">
            <w:pPr>
              <w:jc w:val="both"/>
              <w:rPr>
                <w:rFonts w:ascii="Arial Narrow" w:hAnsi="Arial Narrow" w:cs="Calibri"/>
                <w:color w:val="000000"/>
                <w:sz w:val="22"/>
                <w:szCs w:val="22"/>
                <w:lang w:val="es-CR" w:eastAsia="es-CR"/>
              </w:rPr>
            </w:pPr>
          </w:p>
          <w:p w14:paraId="15E73016" w14:textId="77777777" w:rsidR="00FD261A" w:rsidRPr="00FD261A" w:rsidRDefault="00FD261A" w:rsidP="00FD261A">
            <w:pPr>
              <w:jc w:val="both"/>
              <w:rPr>
                <w:rFonts w:ascii="Arial Narrow" w:hAnsi="Arial Narrow" w:cs="Calibri"/>
                <w:color w:val="000000"/>
                <w:sz w:val="22"/>
                <w:szCs w:val="22"/>
                <w:lang w:val="es-CR" w:eastAsia="es-CR"/>
              </w:rPr>
            </w:pPr>
          </w:p>
          <w:p w14:paraId="612C8545" w14:textId="77777777" w:rsidR="00FD261A" w:rsidRPr="00FD261A" w:rsidRDefault="00FD261A" w:rsidP="00FD261A">
            <w:pPr>
              <w:jc w:val="both"/>
              <w:rPr>
                <w:rFonts w:ascii="Arial Narrow" w:hAnsi="Arial Narrow" w:cs="Calibri"/>
                <w:color w:val="000000"/>
                <w:sz w:val="22"/>
                <w:szCs w:val="22"/>
                <w:lang w:val="es-CR" w:eastAsia="es-CR"/>
              </w:rPr>
            </w:pPr>
          </w:p>
          <w:p w14:paraId="04019AA3" w14:textId="77777777" w:rsidR="00FD261A" w:rsidRPr="00FD261A" w:rsidRDefault="00FD261A" w:rsidP="00FD261A">
            <w:pPr>
              <w:jc w:val="both"/>
              <w:rPr>
                <w:rFonts w:ascii="Arial Narrow" w:hAnsi="Arial Narrow" w:cs="Calibri"/>
                <w:color w:val="000000"/>
                <w:sz w:val="22"/>
                <w:szCs w:val="22"/>
                <w:lang w:val="es-CR" w:eastAsia="es-CR"/>
              </w:rPr>
            </w:pPr>
          </w:p>
          <w:p w14:paraId="4C960846" w14:textId="77777777" w:rsidR="00FD261A" w:rsidRPr="00FD261A" w:rsidRDefault="00FD261A" w:rsidP="00FD261A">
            <w:pPr>
              <w:jc w:val="both"/>
              <w:rPr>
                <w:rFonts w:ascii="Arial Narrow" w:hAnsi="Arial Narrow" w:cs="Calibri"/>
                <w:color w:val="000000"/>
                <w:sz w:val="22"/>
                <w:szCs w:val="22"/>
                <w:lang w:val="es-CR" w:eastAsia="es-CR"/>
              </w:rPr>
            </w:pPr>
          </w:p>
          <w:p w14:paraId="32C853F3" w14:textId="77777777" w:rsidR="00FD261A" w:rsidRPr="00FD261A" w:rsidRDefault="00FD261A" w:rsidP="00FD261A">
            <w:pPr>
              <w:jc w:val="both"/>
              <w:rPr>
                <w:rFonts w:ascii="Arial Narrow" w:hAnsi="Arial Narrow" w:cs="Calibri"/>
                <w:color w:val="000000"/>
                <w:sz w:val="22"/>
                <w:szCs w:val="22"/>
                <w:lang w:val="es-CR" w:eastAsia="es-CR"/>
              </w:rPr>
            </w:pPr>
          </w:p>
          <w:p w14:paraId="4A49680B" w14:textId="77777777" w:rsidR="00FD261A" w:rsidRPr="00FD261A" w:rsidRDefault="00FD261A" w:rsidP="00FD261A">
            <w:pPr>
              <w:jc w:val="both"/>
              <w:rPr>
                <w:rFonts w:ascii="Arial Narrow" w:hAnsi="Arial Narrow" w:cs="Calibri"/>
                <w:color w:val="000000"/>
                <w:sz w:val="22"/>
                <w:szCs w:val="22"/>
                <w:lang w:val="es-CR" w:eastAsia="es-CR"/>
              </w:rPr>
            </w:pPr>
          </w:p>
          <w:p w14:paraId="7D2954DF" w14:textId="77777777" w:rsidR="00FD261A" w:rsidRPr="00FD261A" w:rsidRDefault="00FD261A" w:rsidP="00FD261A">
            <w:pPr>
              <w:jc w:val="both"/>
              <w:rPr>
                <w:rFonts w:ascii="Arial Narrow" w:hAnsi="Arial Narrow" w:cs="Calibri"/>
                <w:color w:val="000000"/>
                <w:sz w:val="22"/>
                <w:szCs w:val="22"/>
                <w:lang w:val="es-CR" w:eastAsia="es-CR"/>
              </w:rPr>
            </w:pPr>
          </w:p>
          <w:p w14:paraId="35A9D7EA" w14:textId="77777777" w:rsidR="00FD261A" w:rsidRPr="00FD261A" w:rsidRDefault="00FD261A" w:rsidP="00FD261A">
            <w:pPr>
              <w:jc w:val="both"/>
              <w:rPr>
                <w:rFonts w:ascii="Arial Narrow" w:hAnsi="Arial Narrow" w:cs="Calibri"/>
                <w:color w:val="000000"/>
                <w:sz w:val="22"/>
                <w:szCs w:val="22"/>
                <w:lang w:val="es-CR" w:eastAsia="es-CR"/>
              </w:rPr>
            </w:pPr>
          </w:p>
          <w:p w14:paraId="4FCCEADF" w14:textId="77777777" w:rsidR="00FD261A" w:rsidRPr="00FD261A" w:rsidRDefault="00FD261A" w:rsidP="00FD261A">
            <w:pPr>
              <w:jc w:val="both"/>
              <w:rPr>
                <w:rFonts w:ascii="Arial Narrow" w:hAnsi="Arial Narrow" w:cs="Calibri"/>
                <w:color w:val="000000"/>
                <w:sz w:val="22"/>
                <w:szCs w:val="22"/>
                <w:lang w:val="es-CR" w:eastAsia="es-CR"/>
              </w:rPr>
            </w:pPr>
          </w:p>
          <w:p w14:paraId="035B5611" w14:textId="77777777" w:rsidR="00FD261A" w:rsidRPr="00FD261A" w:rsidRDefault="00FD261A" w:rsidP="00FD261A">
            <w:pPr>
              <w:jc w:val="both"/>
              <w:rPr>
                <w:rFonts w:ascii="Arial Narrow" w:hAnsi="Arial Narrow" w:cs="Calibri"/>
                <w:color w:val="000000"/>
                <w:sz w:val="22"/>
                <w:szCs w:val="22"/>
                <w:lang w:val="es-CR" w:eastAsia="es-CR"/>
              </w:rPr>
            </w:pPr>
          </w:p>
          <w:p w14:paraId="6201709D" w14:textId="77777777" w:rsidR="00FD261A" w:rsidRPr="00FD261A" w:rsidRDefault="00FD261A" w:rsidP="00FD261A">
            <w:pPr>
              <w:jc w:val="both"/>
              <w:rPr>
                <w:rFonts w:ascii="Arial Narrow" w:hAnsi="Arial Narrow" w:cs="Calibri"/>
                <w:color w:val="000000"/>
                <w:sz w:val="22"/>
                <w:szCs w:val="22"/>
                <w:lang w:val="es-CR" w:eastAsia="es-CR"/>
              </w:rPr>
            </w:pPr>
          </w:p>
          <w:p w14:paraId="6C4A17D7" w14:textId="77777777" w:rsidR="00FD261A" w:rsidRPr="00FD261A" w:rsidRDefault="00FD261A" w:rsidP="00FD261A">
            <w:pPr>
              <w:jc w:val="both"/>
              <w:rPr>
                <w:rFonts w:ascii="Arial Narrow" w:hAnsi="Arial Narrow" w:cs="Calibri"/>
                <w:color w:val="000000"/>
                <w:sz w:val="22"/>
                <w:szCs w:val="22"/>
                <w:lang w:val="es-CR" w:eastAsia="es-CR"/>
              </w:rPr>
            </w:pPr>
          </w:p>
          <w:p w14:paraId="71818704" w14:textId="77777777" w:rsidR="00FD261A" w:rsidRPr="00FD261A" w:rsidRDefault="00FD261A" w:rsidP="00FD261A">
            <w:pPr>
              <w:jc w:val="both"/>
              <w:rPr>
                <w:rFonts w:ascii="Arial Narrow" w:hAnsi="Arial Narrow" w:cs="Calibri"/>
                <w:color w:val="000000"/>
                <w:sz w:val="22"/>
                <w:szCs w:val="22"/>
                <w:lang w:val="es-CR" w:eastAsia="es-CR"/>
              </w:rPr>
            </w:pPr>
          </w:p>
        </w:tc>
        <w:tc>
          <w:tcPr>
            <w:tcW w:w="115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25A4A9"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 xml:space="preserve">Se toma nota de la observación y se procede a corregir en el informe. </w:t>
            </w:r>
          </w:p>
        </w:tc>
      </w:tr>
      <w:tr w:rsidR="00247F11" w:rsidRPr="00FD261A" w14:paraId="18B040E9" w14:textId="77777777" w:rsidTr="00866166">
        <w:trPr>
          <w:gridAfter w:val="1"/>
          <w:wAfter w:w="136" w:type="pct"/>
          <w:trHeight w:val="490"/>
        </w:trPr>
        <w:tc>
          <w:tcPr>
            <w:tcW w:w="768" w:type="pct"/>
            <w:vMerge/>
            <w:tcBorders>
              <w:top w:val="nil"/>
              <w:left w:val="single" w:sz="4" w:space="0" w:color="auto"/>
              <w:bottom w:val="single" w:sz="4" w:space="0" w:color="000000"/>
              <w:right w:val="single" w:sz="4" w:space="0" w:color="auto"/>
            </w:tcBorders>
            <w:vAlign w:val="center"/>
            <w:hideMark/>
          </w:tcPr>
          <w:p w14:paraId="384DBCA7" w14:textId="77777777" w:rsidR="00FD261A" w:rsidRPr="00FD261A" w:rsidRDefault="00FD261A" w:rsidP="00FD261A">
            <w:pPr>
              <w:jc w:val="both"/>
              <w:rPr>
                <w:rFonts w:ascii="Arial Narrow" w:hAnsi="Arial Narrow" w:cs="Calibri"/>
                <w:color w:val="000000"/>
                <w:sz w:val="22"/>
                <w:szCs w:val="22"/>
                <w:lang w:val="es-CR" w:eastAsia="es-CR"/>
              </w:rPr>
            </w:pPr>
          </w:p>
        </w:tc>
        <w:tc>
          <w:tcPr>
            <w:tcW w:w="448" w:type="pct"/>
            <w:vMerge w:val="restart"/>
            <w:tcBorders>
              <w:top w:val="nil"/>
              <w:left w:val="single" w:sz="4" w:space="0" w:color="auto"/>
              <w:bottom w:val="single" w:sz="4" w:space="0" w:color="auto"/>
              <w:right w:val="single" w:sz="4" w:space="0" w:color="auto"/>
            </w:tcBorders>
            <w:shd w:val="clear" w:color="auto" w:fill="auto"/>
            <w:vAlign w:val="center"/>
            <w:hideMark/>
          </w:tcPr>
          <w:p w14:paraId="194B1CED" w14:textId="77777777" w:rsidR="00FD261A" w:rsidRPr="00FD261A" w:rsidRDefault="00FD261A" w:rsidP="00FD261A">
            <w:pPr>
              <w:jc w:val="center"/>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109</w:t>
            </w:r>
          </w:p>
        </w:tc>
        <w:tc>
          <w:tcPr>
            <w:tcW w:w="1216" w:type="pct"/>
            <w:vMerge w:val="restart"/>
            <w:tcBorders>
              <w:top w:val="nil"/>
              <w:left w:val="single" w:sz="4" w:space="0" w:color="auto"/>
              <w:bottom w:val="single" w:sz="4" w:space="0" w:color="auto"/>
              <w:right w:val="single" w:sz="4" w:space="0" w:color="auto"/>
            </w:tcBorders>
            <w:shd w:val="clear" w:color="auto" w:fill="auto"/>
            <w:vAlign w:val="center"/>
            <w:hideMark/>
          </w:tcPr>
          <w:p w14:paraId="71A163CC"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Finalmente, para la meta estratégica del cuadro anterior llamada “</w:t>
            </w:r>
            <w:r w:rsidRPr="00FD261A">
              <w:rPr>
                <w:rFonts w:ascii="Arial Narrow" w:hAnsi="Arial Narrow" w:cs="Calibri"/>
                <w:i/>
                <w:iCs/>
                <w:color w:val="000000"/>
                <w:sz w:val="22"/>
                <w:szCs w:val="22"/>
                <w:lang w:val="es-CR" w:eastAsia="es-CR"/>
              </w:rPr>
              <w:t>Que al finalizar el 2024, se hayan atendido de manera integral en los distintos ámbitos judiciales, aquellas actividades de capacitación que respondan a los temas de interés institucionales, que hayan sido identificados por las entidades superiores de la institución</w:t>
            </w:r>
            <w:r w:rsidRPr="00FD261A">
              <w:rPr>
                <w:rFonts w:ascii="Arial Narrow" w:hAnsi="Arial Narrow" w:cs="Calibri"/>
                <w:color w:val="000000"/>
                <w:sz w:val="22"/>
                <w:szCs w:val="22"/>
                <w:lang w:val="es-CR" w:eastAsia="es-CR"/>
              </w:rPr>
              <w:t xml:space="preserve">”, asignada como responsable operativo la Escuela Judicial y la Dirección Ejecutiva la cual de acuerdo con la revisión efectuada se logró determinar que para el 2021 se tiene un cumplimiento medio del 50%, donde se destaca lo consignado por la Escuela Judicial   los cursos virtuales de "Bienestar Animal" y el de "Acoso Sexual Callejero. Tutela Penal y Contravencional, en cuanto a la Dirección Ejecutiva no mostró avances reflejando el estado de la meta no iniciada. </w:t>
            </w:r>
          </w:p>
          <w:p w14:paraId="577E6FAF" w14:textId="77777777" w:rsidR="00FD261A" w:rsidRPr="00FD261A" w:rsidRDefault="00FD261A" w:rsidP="00FD261A">
            <w:pPr>
              <w:jc w:val="both"/>
              <w:rPr>
                <w:rFonts w:ascii="Arial Narrow" w:hAnsi="Arial Narrow" w:cs="Calibri"/>
                <w:color w:val="000000"/>
                <w:sz w:val="22"/>
                <w:szCs w:val="22"/>
                <w:lang w:val="es-CR" w:eastAsia="es-CR"/>
              </w:rPr>
            </w:pPr>
          </w:p>
          <w:p w14:paraId="288F800A" w14:textId="77777777" w:rsidR="00FD261A" w:rsidRPr="00FD261A" w:rsidRDefault="00FD261A" w:rsidP="00FD261A">
            <w:pPr>
              <w:jc w:val="both"/>
              <w:rPr>
                <w:rFonts w:ascii="Arial Narrow" w:hAnsi="Arial Narrow" w:cs="Calibri"/>
                <w:color w:val="000000"/>
                <w:sz w:val="22"/>
                <w:szCs w:val="22"/>
                <w:lang w:val="es-CR" w:eastAsia="es-CR"/>
              </w:rPr>
            </w:pPr>
          </w:p>
          <w:p w14:paraId="242FD5F4" w14:textId="77777777" w:rsidR="00FD261A" w:rsidRPr="00FD261A" w:rsidRDefault="00FD261A" w:rsidP="00FD261A">
            <w:pPr>
              <w:jc w:val="both"/>
              <w:rPr>
                <w:rFonts w:ascii="Arial Narrow" w:hAnsi="Arial Narrow" w:cs="Calibri"/>
                <w:color w:val="000000"/>
                <w:sz w:val="22"/>
                <w:szCs w:val="22"/>
                <w:lang w:val="es-CR" w:eastAsia="es-CR"/>
              </w:rPr>
            </w:pPr>
          </w:p>
          <w:p w14:paraId="5A2FAEB5" w14:textId="77777777" w:rsidR="00FD261A" w:rsidRPr="00FD261A" w:rsidRDefault="00FD261A" w:rsidP="00FD261A">
            <w:pPr>
              <w:jc w:val="both"/>
              <w:rPr>
                <w:rFonts w:ascii="Arial Narrow" w:hAnsi="Arial Narrow" w:cs="Calibri"/>
                <w:color w:val="000000"/>
                <w:sz w:val="22"/>
                <w:szCs w:val="22"/>
                <w:lang w:val="es-CR" w:eastAsia="es-CR"/>
              </w:rPr>
            </w:pPr>
          </w:p>
          <w:p w14:paraId="724E3104" w14:textId="77777777" w:rsidR="00FD261A" w:rsidRPr="00FD261A" w:rsidRDefault="00FD261A" w:rsidP="00FD261A">
            <w:pPr>
              <w:jc w:val="both"/>
              <w:rPr>
                <w:rFonts w:ascii="Arial Narrow" w:hAnsi="Arial Narrow" w:cs="Calibri"/>
                <w:color w:val="000000"/>
                <w:sz w:val="22"/>
                <w:szCs w:val="22"/>
                <w:lang w:val="es-CR" w:eastAsia="es-CR"/>
              </w:rPr>
            </w:pPr>
          </w:p>
          <w:p w14:paraId="3CBB496F" w14:textId="77777777" w:rsidR="00FD261A" w:rsidRPr="00FD261A" w:rsidRDefault="00FD261A" w:rsidP="00FD261A">
            <w:pPr>
              <w:jc w:val="both"/>
              <w:rPr>
                <w:rFonts w:ascii="Arial Narrow" w:hAnsi="Arial Narrow" w:cs="Calibri"/>
                <w:color w:val="000000"/>
                <w:sz w:val="22"/>
                <w:szCs w:val="22"/>
                <w:lang w:val="es-CR" w:eastAsia="es-CR"/>
              </w:rPr>
            </w:pPr>
          </w:p>
          <w:p w14:paraId="77FCFF36" w14:textId="77777777" w:rsidR="00FD261A" w:rsidRPr="00FD261A" w:rsidRDefault="00FD261A" w:rsidP="00FD261A">
            <w:pPr>
              <w:jc w:val="both"/>
              <w:rPr>
                <w:rFonts w:ascii="Arial Narrow" w:hAnsi="Arial Narrow" w:cs="Calibri"/>
                <w:color w:val="000000"/>
                <w:sz w:val="22"/>
                <w:szCs w:val="22"/>
                <w:lang w:val="es-CR" w:eastAsia="es-CR"/>
              </w:rPr>
            </w:pPr>
          </w:p>
        </w:tc>
        <w:tc>
          <w:tcPr>
            <w:tcW w:w="1280" w:type="pct"/>
            <w:tcBorders>
              <w:top w:val="single" w:sz="4" w:space="0" w:color="auto"/>
              <w:left w:val="nil"/>
              <w:bottom w:val="single" w:sz="4" w:space="0" w:color="auto"/>
              <w:right w:val="single" w:sz="4" w:space="0" w:color="auto"/>
            </w:tcBorders>
            <w:shd w:val="clear" w:color="auto" w:fill="auto"/>
            <w:vAlign w:val="center"/>
            <w:hideMark/>
          </w:tcPr>
          <w:p w14:paraId="3FD7BD4B"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 xml:space="preserve">1. La Escuela Judicial como responsable Estratégico señala que  la meta operativa asignada a la Biblioteca Judicial para el cumplimiento de la meta estratégica no corresponde  ya que no existe  vínculo entre el trabajo de la Escuela Judicial y la Biblioteca Judicial en el logro de la meta en mención, por lo que  se solicita a la Dirección de Planificación brindar la evidencia donde la Escuela Judicial solicitó a Planificación Estratégica vincular la meta estratégica  a la Oficina de la Biblioteca Judicial, centro Gestor Dirección Ejecutiva. </w:t>
            </w:r>
          </w:p>
        </w:tc>
        <w:tc>
          <w:tcPr>
            <w:tcW w:w="1152" w:type="pct"/>
            <w:tcBorders>
              <w:top w:val="single" w:sz="4" w:space="0" w:color="auto"/>
              <w:left w:val="nil"/>
              <w:bottom w:val="single" w:sz="4" w:space="0" w:color="auto"/>
              <w:right w:val="single" w:sz="4" w:space="0" w:color="auto"/>
            </w:tcBorders>
            <w:shd w:val="clear" w:color="auto" w:fill="auto"/>
            <w:vAlign w:val="center"/>
            <w:hideMark/>
          </w:tcPr>
          <w:p w14:paraId="5285B7B1" w14:textId="2A4C541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 xml:space="preserve">Se toma nota de la observación, la cual no modifica el contenido del informe, sin </w:t>
            </w:r>
            <w:r w:rsidR="002603F2" w:rsidRPr="00FD261A">
              <w:rPr>
                <w:rFonts w:ascii="Arial Narrow" w:hAnsi="Arial Narrow" w:cs="Calibri"/>
                <w:color w:val="000000"/>
                <w:sz w:val="22"/>
                <w:szCs w:val="22"/>
                <w:lang w:val="es-CR" w:eastAsia="es-CR"/>
              </w:rPr>
              <w:t>embargo,</w:t>
            </w:r>
            <w:r w:rsidR="002603F2">
              <w:rPr>
                <w:rFonts w:ascii="Arial Narrow" w:hAnsi="Arial Narrow" w:cs="Calibri"/>
                <w:color w:val="000000"/>
                <w:sz w:val="22"/>
                <w:szCs w:val="22"/>
                <w:lang w:val="es-CR" w:eastAsia="es-CR"/>
              </w:rPr>
              <w:t xml:space="preserve"> se</w:t>
            </w:r>
            <w:r w:rsidR="00E24237">
              <w:rPr>
                <w:rFonts w:ascii="Arial Narrow" w:hAnsi="Arial Narrow" w:cs="Calibri"/>
                <w:color w:val="000000"/>
                <w:sz w:val="22"/>
                <w:szCs w:val="22"/>
                <w:lang w:val="es-CR" w:eastAsia="es-CR"/>
              </w:rPr>
              <w:t xml:space="preserve"> insta a </w:t>
            </w:r>
            <w:r w:rsidR="002603F2">
              <w:rPr>
                <w:rFonts w:ascii="Arial Narrow" w:hAnsi="Arial Narrow" w:cs="Calibri"/>
                <w:color w:val="000000"/>
                <w:sz w:val="22"/>
                <w:szCs w:val="22"/>
                <w:lang w:val="es-CR" w:eastAsia="es-CR"/>
              </w:rPr>
              <w:t>la Escuela Judicial coordinar con</w:t>
            </w:r>
            <w:r w:rsidRPr="00FD261A">
              <w:rPr>
                <w:rFonts w:ascii="Arial Narrow" w:hAnsi="Arial Narrow" w:cs="Calibri"/>
                <w:color w:val="000000"/>
                <w:sz w:val="22"/>
                <w:szCs w:val="22"/>
                <w:lang w:val="es-CR" w:eastAsia="es-CR"/>
              </w:rPr>
              <w:t xml:space="preserve"> el Subproceso de Planificación Estratégica </w:t>
            </w:r>
            <w:r w:rsidR="002603F2">
              <w:rPr>
                <w:rFonts w:ascii="Arial Narrow" w:hAnsi="Arial Narrow" w:cs="Calibri"/>
                <w:color w:val="000000"/>
                <w:sz w:val="22"/>
                <w:szCs w:val="22"/>
                <w:lang w:val="es-CR" w:eastAsia="es-CR"/>
              </w:rPr>
              <w:t xml:space="preserve">para analizar </w:t>
            </w:r>
            <w:r w:rsidRPr="00FD261A">
              <w:rPr>
                <w:rFonts w:ascii="Arial Narrow" w:hAnsi="Arial Narrow" w:cs="Calibri"/>
                <w:color w:val="000000"/>
                <w:sz w:val="22"/>
                <w:szCs w:val="22"/>
                <w:lang w:val="es-CR" w:eastAsia="es-CR"/>
              </w:rPr>
              <w:t xml:space="preserve">la meta estratégica </w:t>
            </w:r>
            <w:r w:rsidRPr="00FD261A">
              <w:rPr>
                <w:rFonts w:ascii="Arial Narrow" w:hAnsi="Arial Narrow" w:cs="Calibri"/>
                <w:i/>
                <w:iCs/>
                <w:color w:val="000000"/>
                <w:sz w:val="22"/>
                <w:szCs w:val="22"/>
                <w:lang w:val="es-CR" w:eastAsia="es-CR"/>
              </w:rPr>
              <w:t xml:space="preserve">"Que al finalizar el 2024, se hayan atendido de manera integral en los distintos ámbitos judiciales, aquellas actividades de capacitación que respondan a los temas de interés institucionales, que hayan sido identificados por las entidades superiores de la institución” </w:t>
            </w:r>
            <w:r w:rsidRPr="00FD261A">
              <w:rPr>
                <w:rFonts w:ascii="Arial Narrow" w:hAnsi="Arial Narrow" w:cs="Calibri"/>
                <w:color w:val="000000"/>
                <w:sz w:val="22"/>
                <w:szCs w:val="22"/>
                <w:lang w:val="es-CR" w:eastAsia="es-CR"/>
              </w:rPr>
              <w:t xml:space="preserve">de la Biblioteca </w:t>
            </w:r>
            <w:r w:rsidR="003A7ADB" w:rsidRPr="00FD261A">
              <w:rPr>
                <w:rFonts w:ascii="Arial Narrow" w:hAnsi="Arial Narrow" w:cs="Calibri"/>
                <w:color w:val="000000"/>
                <w:sz w:val="22"/>
                <w:szCs w:val="22"/>
                <w:lang w:val="es-CR" w:eastAsia="es-CR"/>
              </w:rPr>
              <w:t>Judicial</w:t>
            </w:r>
            <w:r w:rsidR="003A7ADB">
              <w:rPr>
                <w:rFonts w:ascii="Arial Narrow" w:hAnsi="Arial Narrow" w:cs="Calibri"/>
                <w:color w:val="000000"/>
                <w:sz w:val="22"/>
                <w:szCs w:val="22"/>
                <w:lang w:val="es-CR" w:eastAsia="es-CR"/>
              </w:rPr>
              <w:t>, conforme</w:t>
            </w:r>
            <w:r w:rsidR="002603F2">
              <w:rPr>
                <w:rFonts w:ascii="Arial Narrow" w:hAnsi="Arial Narrow" w:cs="Calibri"/>
                <w:color w:val="000000"/>
                <w:sz w:val="22"/>
                <w:szCs w:val="22"/>
                <w:lang w:val="es-CR" w:eastAsia="es-CR"/>
              </w:rPr>
              <w:t xml:space="preserve"> los procedimientos establecidos</w:t>
            </w:r>
            <w:r w:rsidR="003A7ADB">
              <w:rPr>
                <w:rFonts w:ascii="Arial Narrow" w:hAnsi="Arial Narrow" w:cs="Calibri"/>
                <w:color w:val="000000"/>
                <w:sz w:val="22"/>
                <w:szCs w:val="22"/>
                <w:lang w:val="es-CR" w:eastAsia="es-CR"/>
              </w:rPr>
              <w:t>.</w:t>
            </w:r>
          </w:p>
        </w:tc>
      </w:tr>
      <w:tr w:rsidR="00247F11" w:rsidRPr="00FD261A" w14:paraId="69E21040" w14:textId="77777777" w:rsidTr="00866166">
        <w:trPr>
          <w:gridAfter w:val="1"/>
          <w:wAfter w:w="136" w:type="pct"/>
          <w:trHeight w:val="490"/>
        </w:trPr>
        <w:tc>
          <w:tcPr>
            <w:tcW w:w="768" w:type="pct"/>
            <w:vMerge/>
            <w:tcBorders>
              <w:top w:val="nil"/>
              <w:left w:val="single" w:sz="4" w:space="0" w:color="auto"/>
              <w:bottom w:val="single" w:sz="4" w:space="0" w:color="000000"/>
              <w:right w:val="single" w:sz="4" w:space="0" w:color="auto"/>
            </w:tcBorders>
            <w:vAlign w:val="center"/>
            <w:hideMark/>
          </w:tcPr>
          <w:p w14:paraId="5F444864" w14:textId="77777777" w:rsidR="00FD261A" w:rsidRPr="00FD261A" w:rsidRDefault="00FD261A" w:rsidP="00FD261A">
            <w:pPr>
              <w:jc w:val="both"/>
              <w:rPr>
                <w:rFonts w:ascii="Arial Narrow" w:hAnsi="Arial Narrow" w:cs="Calibri"/>
                <w:color w:val="000000"/>
                <w:sz w:val="22"/>
                <w:szCs w:val="22"/>
                <w:lang w:val="es-CR" w:eastAsia="es-CR"/>
              </w:rPr>
            </w:pPr>
          </w:p>
        </w:tc>
        <w:tc>
          <w:tcPr>
            <w:tcW w:w="448" w:type="pct"/>
            <w:vMerge/>
            <w:tcBorders>
              <w:top w:val="nil"/>
              <w:left w:val="single" w:sz="4" w:space="0" w:color="auto"/>
              <w:bottom w:val="single" w:sz="4" w:space="0" w:color="auto"/>
              <w:right w:val="single" w:sz="4" w:space="0" w:color="auto"/>
            </w:tcBorders>
            <w:vAlign w:val="center"/>
            <w:hideMark/>
          </w:tcPr>
          <w:p w14:paraId="599A1565" w14:textId="77777777" w:rsidR="00FD261A" w:rsidRPr="00FD261A" w:rsidRDefault="00FD261A" w:rsidP="00FD261A">
            <w:pPr>
              <w:jc w:val="both"/>
              <w:rPr>
                <w:rFonts w:ascii="Arial Narrow" w:hAnsi="Arial Narrow" w:cs="Calibri"/>
                <w:color w:val="000000"/>
                <w:sz w:val="22"/>
                <w:szCs w:val="22"/>
                <w:lang w:val="es-CR" w:eastAsia="es-CR"/>
              </w:rPr>
            </w:pPr>
          </w:p>
        </w:tc>
        <w:tc>
          <w:tcPr>
            <w:tcW w:w="1216" w:type="pct"/>
            <w:vMerge/>
            <w:tcBorders>
              <w:top w:val="nil"/>
              <w:left w:val="single" w:sz="4" w:space="0" w:color="auto"/>
              <w:bottom w:val="single" w:sz="4" w:space="0" w:color="auto"/>
              <w:right w:val="single" w:sz="4" w:space="0" w:color="auto"/>
            </w:tcBorders>
            <w:vAlign w:val="center"/>
            <w:hideMark/>
          </w:tcPr>
          <w:p w14:paraId="0733A135" w14:textId="77777777" w:rsidR="00FD261A" w:rsidRPr="00FD261A" w:rsidRDefault="00FD261A" w:rsidP="00FD261A">
            <w:pPr>
              <w:jc w:val="both"/>
              <w:rPr>
                <w:rFonts w:ascii="Arial Narrow" w:hAnsi="Arial Narrow" w:cs="Calibri"/>
                <w:color w:val="000000"/>
                <w:sz w:val="22"/>
                <w:szCs w:val="22"/>
                <w:lang w:val="es-CR" w:eastAsia="es-CR"/>
              </w:rPr>
            </w:pPr>
          </w:p>
        </w:tc>
        <w:tc>
          <w:tcPr>
            <w:tcW w:w="1280" w:type="pct"/>
            <w:tcBorders>
              <w:top w:val="nil"/>
              <w:left w:val="nil"/>
              <w:bottom w:val="single" w:sz="4" w:space="0" w:color="auto"/>
              <w:right w:val="single" w:sz="4" w:space="0" w:color="auto"/>
            </w:tcBorders>
            <w:shd w:val="clear" w:color="auto" w:fill="auto"/>
            <w:vAlign w:val="center"/>
            <w:hideMark/>
          </w:tcPr>
          <w:p w14:paraId="62BC15BD"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 xml:space="preserve">2. Es importante mencionar que para el año 2019, 2020 esta meta no estuvo vinculada a la oficina de la Biblioteca Judicial y tampoco lo está para el año 2022. </w:t>
            </w:r>
          </w:p>
        </w:tc>
        <w:tc>
          <w:tcPr>
            <w:tcW w:w="1152" w:type="pct"/>
            <w:tcBorders>
              <w:top w:val="nil"/>
              <w:left w:val="nil"/>
              <w:bottom w:val="single" w:sz="4" w:space="0" w:color="auto"/>
              <w:right w:val="single" w:sz="4" w:space="0" w:color="auto"/>
            </w:tcBorders>
            <w:shd w:val="clear" w:color="auto" w:fill="auto"/>
            <w:vAlign w:val="center"/>
            <w:hideMark/>
          </w:tcPr>
          <w:p w14:paraId="649AE94C" w14:textId="74A878C1"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 xml:space="preserve">Se toma nota de la observación, la cual no modifica el contenido del informe, sin embargo, </w:t>
            </w:r>
            <w:r w:rsidR="00482E0E">
              <w:rPr>
                <w:rFonts w:ascii="Arial Narrow" w:hAnsi="Arial Narrow" w:cs="Calibri"/>
                <w:color w:val="000000"/>
                <w:sz w:val="22"/>
                <w:szCs w:val="22"/>
                <w:lang w:val="es-CR" w:eastAsia="es-CR"/>
              </w:rPr>
              <w:t xml:space="preserve">se insta a la Escuela Judicial coordinar con </w:t>
            </w:r>
            <w:r w:rsidRPr="00FD261A">
              <w:rPr>
                <w:rFonts w:ascii="Arial Narrow" w:hAnsi="Arial Narrow" w:cs="Calibri"/>
                <w:color w:val="000000"/>
                <w:sz w:val="22"/>
                <w:szCs w:val="22"/>
                <w:lang w:val="es-CR" w:eastAsia="es-CR"/>
              </w:rPr>
              <w:t xml:space="preserve">el Subproceso de Planificación Estratégica </w:t>
            </w:r>
            <w:r w:rsidR="00482E0E">
              <w:rPr>
                <w:rFonts w:ascii="Arial Narrow" w:hAnsi="Arial Narrow" w:cs="Calibri"/>
                <w:color w:val="000000"/>
                <w:sz w:val="22"/>
                <w:szCs w:val="22"/>
                <w:lang w:val="es-CR" w:eastAsia="es-CR"/>
              </w:rPr>
              <w:t xml:space="preserve">para revisar el motivo de la inclusión de esta meta </w:t>
            </w:r>
            <w:r w:rsidR="002C78A6">
              <w:rPr>
                <w:rFonts w:ascii="Arial Narrow" w:hAnsi="Arial Narrow" w:cs="Calibri"/>
                <w:color w:val="000000"/>
                <w:sz w:val="22"/>
                <w:szCs w:val="22"/>
                <w:lang w:val="es-CR" w:eastAsia="es-CR"/>
              </w:rPr>
              <w:t xml:space="preserve">operativa </w:t>
            </w:r>
            <w:r w:rsidR="00482E0E">
              <w:rPr>
                <w:rFonts w:ascii="Arial Narrow" w:hAnsi="Arial Narrow" w:cs="Calibri"/>
                <w:color w:val="000000"/>
                <w:sz w:val="22"/>
                <w:szCs w:val="22"/>
                <w:lang w:val="es-CR" w:eastAsia="es-CR"/>
              </w:rPr>
              <w:t>para el año 2021</w:t>
            </w:r>
            <w:r w:rsidR="002C78A6">
              <w:rPr>
                <w:rFonts w:ascii="Arial Narrow" w:hAnsi="Arial Narrow" w:cs="Calibri"/>
                <w:color w:val="000000"/>
                <w:sz w:val="22"/>
                <w:szCs w:val="22"/>
                <w:lang w:val="es-CR" w:eastAsia="es-CR"/>
              </w:rPr>
              <w:t>.</w:t>
            </w:r>
          </w:p>
        </w:tc>
      </w:tr>
      <w:tr w:rsidR="00247F11" w:rsidRPr="00FD261A" w14:paraId="0EDA6727" w14:textId="77777777" w:rsidTr="00866166">
        <w:trPr>
          <w:gridAfter w:val="1"/>
          <w:wAfter w:w="136" w:type="pct"/>
          <w:trHeight w:val="490"/>
        </w:trPr>
        <w:tc>
          <w:tcPr>
            <w:tcW w:w="768" w:type="pct"/>
            <w:vMerge/>
            <w:tcBorders>
              <w:top w:val="nil"/>
              <w:left w:val="single" w:sz="4" w:space="0" w:color="auto"/>
              <w:bottom w:val="single" w:sz="4" w:space="0" w:color="000000"/>
              <w:right w:val="single" w:sz="4" w:space="0" w:color="auto"/>
            </w:tcBorders>
            <w:vAlign w:val="center"/>
            <w:hideMark/>
          </w:tcPr>
          <w:p w14:paraId="3FA2DBCF" w14:textId="77777777" w:rsidR="00FD261A" w:rsidRPr="00FD261A" w:rsidRDefault="00FD261A" w:rsidP="00FD261A">
            <w:pPr>
              <w:jc w:val="both"/>
              <w:rPr>
                <w:rFonts w:ascii="Arial Narrow" w:hAnsi="Arial Narrow" w:cs="Calibri"/>
                <w:color w:val="000000"/>
                <w:sz w:val="22"/>
                <w:szCs w:val="22"/>
                <w:lang w:val="es-CR" w:eastAsia="es-CR"/>
              </w:rPr>
            </w:pPr>
          </w:p>
        </w:tc>
        <w:tc>
          <w:tcPr>
            <w:tcW w:w="448" w:type="pct"/>
            <w:vMerge/>
            <w:tcBorders>
              <w:top w:val="nil"/>
              <w:left w:val="single" w:sz="4" w:space="0" w:color="auto"/>
              <w:bottom w:val="single" w:sz="4" w:space="0" w:color="auto"/>
              <w:right w:val="single" w:sz="4" w:space="0" w:color="auto"/>
            </w:tcBorders>
            <w:vAlign w:val="center"/>
            <w:hideMark/>
          </w:tcPr>
          <w:p w14:paraId="65D77A53" w14:textId="77777777" w:rsidR="00FD261A" w:rsidRPr="00FD261A" w:rsidRDefault="00FD261A" w:rsidP="00FD261A">
            <w:pPr>
              <w:jc w:val="both"/>
              <w:rPr>
                <w:rFonts w:ascii="Arial Narrow" w:hAnsi="Arial Narrow" w:cs="Calibri"/>
                <w:color w:val="000000"/>
                <w:sz w:val="22"/>
                <w:szCs w:val="22"/>
                <w:lang w:val="es-CR" w:eastAsia="es-CR"/>
              </w:rPr>
            </w:pPr>
          </w:p>
        </w:tc>
        <w:tc>
          <w:tcPr>
            <w:tcW w:w="1216" w:type="pct"/>
            <w:vMerge/>
            <w:tcBorders>
              <w:top w:val="nil"/>
              <w:left w:val="single" w:sz="4" w:space="0" w:color="auto"/>
              <w:bottom w:val="single" w:sz="4" w:space="0" w:color="auto"/>
              <w:right w:val="single" w:sz="4" w:space="0" w:color="auto"/>
            </w:tcBorders>
            <w:vAlign w:val="center"/>
            <w:hideMark/>
          </w:tcPr>
          <w:p w14:paraId="167CB219" w14:textId="77777777" w:rsidR="00FD261A" w:rsidRPr="00FD261A" w:rsidRDefault="00FD261A" w:rsidP="00FD261A">
            <w:pPr>
              <w:jc w:val="both"/>
              <w:rPr>
                <w:rFonts w:ascii="Arial Narrow" w:hAnsi="Arial Narrow" w:cs="Calibri"/>
                <w:color w:val="000000"/>
                <w:sz w:val="22"/>
                <w:szCs w:val="22"/>
                <w:lang w:val="es-CR" w:eastAsia="es-CR"/>
              </w:rPr>
            </w:pPr>
          </w:p>
        </w:tc>
        <w:tc>
          <w:tcPr>
            <w:tcW w:w="1280" w:type="pct"/>
            <w:tcBorders>
              <w:top w:val="nil"/>
              <w:left w:val="nil"/>
              <w:bottom w:val="single" w:sz="4" w:space="0" w:color="auto"/>
              <w:right w:val="single" w:sz="4" w:space="0" w:color="auto"/>
            </w:tcBorders>
            <w:shd w:val="clear" w:color="auto" w:fill="auto"/>
            <w:vAlign w:val="center"/>
            <w:hideMark/>
          </w:tcPr>
          <w:p w14:paraId="48C92ACB"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3. Se hace la observación que la vinculación de esta meta a la Biblioteca Judicial está afectando el porcentaje de cumplimiento de la Escuela Judicial como responsable Estratégico.</w:t>
            </w:r>
          </w:p>
        </w:tc>
        <w:tc>
          <w:tcPr>
            <w:tcW w:w="1152" w:type="pct"/>
            <w:tcBorders>
              <w:top w:val="nil"/>
              <w:left w:val="nil"/>
              <w:bottom w:val="single" w:sz="4" w:space="0" w:color="auto"/>
              <w:right w:val="single" w:sz="4" w:space="0" w:color="auto"/>
            </w:tcBorders>
            <w:shd w:val="clear" w:color="auto" w:fill="auto"/>
            <w:vAlign w:val="center"/>
            <w:hideMark/>
          </w:tcPr>
          <w:p w14:paraId="687B930C"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 xml:space="preserve">Se toma nota de la observación la cual no afecta el contenido de este informe. </w:t>
            </w:r>
          </w:p>
          <w:p w14:paraId="67C52360" w14:textId="77777777" w:rsidR="00FD261A" w:rsidRPr="00FD261A" w:rsidRDefault="00FD261A" w:rsidP="00FD261A">
            <w:pPr>
              <w:jc w:val="both"/>
              <w:rPr>
                <w:rFonts w:ascii="Arial Narrow" w:hAnsi="Arial Narrow" w:cs="Calibri"/>
                <w:color w:val="000000"/>
                <w:sz w:val="22"/>
                <w:szCs w:val="22"/>
                <w:lang w:val="es-CR" w:eastAsia="es-CR"/>
              </w:rPr>
            </w:pPr>
          </w:p>
          <w:p w14:paraId="10EB08EC"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 xml:space="preserve">Se hace la aclaración que el porcentaje reportado para el año 2021 no puede ser modificado debido a que proviene directamente de los sistemas informáticos del PAO y del PEI. </w:t>
            </w:r>
          </w:p>
        </w:tc>
      </w:tr>
      <w:tr w:rsidR="00247F11" w:rsidRPr="00FD261A" w14:paraId="3BE789DC" w14:textId="77777777" w:rsidTr="00866166">
        <w:trPr>
          <w:gridAfter w:val="1"/>
          <w:wAfter w:w="136" w:type="pct"/>
          <w:trHeight w:val="490"/>
        </w:trPr>
        <w:tc>
          <w:tcPr>
            <w:tcW w:w="768" w:type="pct"/>
            <w:vMerge w:val="restart"/>
            <w:tcBorders>
              <w:top w:val="nil"/>
              <w:left w:val="single" w:sz="4" w:space="0" w:color="auto"/>
              <w:bottom w:val="single" w:sz="4" w:space="0" w:color="auto"/>
              <w:right w:val="single" w:sz="4" w:space="0" w:color="auto"/>
            </w:tcBorders>
            <w:shd w:val="clear" w:color="auto" w:fill="auto"/>
            <w:vAlign w:val="center"/>
            <w:hideMark/>
          </w:tcPr>
          <w:p w14:paraId="649C119D"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Departamento de Prensa y Comunicación Organizacional</w:t>
            </w:r>
          </w:p>
        </w:tc>
        <w:tc>
          <w:tcPr>
            <w:tcW w:w="448" w:type="pct"/>
            <w:vMerge w:val="restart"/>
            <w:tcBorders>
              <w:top w:val="nil"/>
              <w:left w:val="single" w:sz="4" w:space="0" w:color="auto"/>
              <w:bottom w:val="single" w:sz="4" w:space="0" w:color="auto"/>
              <w:right w:val="single" w:sz="4" w:space="0" w:color="auto"/>
            </w:tcBorders>
            <w:shd w:val="clear" w:color="auto" w:fill="auto"/>
            <w:vAlign w:val="center"/>
            <w:hideMark/>
          </w:tcPr>
          <w:p w14:paraId="525C9F8E" w14:textId="77777777" w:rsidR="00FD261A" w:rsidRPr="00FD261A" w:rsidRDefault="00FD261A" w:rsidP="00FD261A">
            <w:pPr>
              <w:jc w:val="both"/>
              <w:rPr>
                <w:rFonts w:ascii="Arial Narrow" w:hAnsi="Arial Narrow" w:cs="Calibri"/>
                <w:sz w:val="22"/>
                <w:szCs w:val="22"/>
                <w:lang w:val="es-CR" w:eastAsia="es-CR"/>
              </w:rPr>
            </w:pPr>
            <w:r w:rsidRPr="00FD261A">
              <w:rPr>
                <w:rFonts w:ascii="Arial Narrow" w:hAnsi="Arial Narrow" w:cs="Calibri"/>
                <w:sz w:val="22"/>
                <w:szCs w:val="22"/>
                <w:lang w:val="es-CR" w:eastAsia="es-CR"/>
              </w:rPr>
              <w:t>66-68</w:t>
            </w:r>
          </w:p>
        </w:tc>
        <w:tc>
          <w:tcPr>
            <w:tcW w:w="1216" w:type="pct"/>
            <w:vMerge w:val="restart"/>
            <w:tcBorders>
              <w:top w:val="nil"/>
              <w:left w:val="single" w:sz="4" w:space="0" w:color="auto"/>
              <w:bottom w:val="single" w:sz="4" w:space="0" w:color="auto"/>
              <w:right w:val="single" w:sz="4" w:space="0" w:color="auto"/>
            </w:tcBorders>
            <w:shd w:val="clear" w:color="auto" w:fill="auto"/>
            <w:vAlign w:val="center"/>
            <w:hideMark/>
          </w:tcPr>
          <w:p w14:paraId="4661FD87" w14:textId="77777777" w:rsidR="00FD261A" w:rsidRPr="00FD261A" w:rsidRDefault="00FD261A" w:rsidP="00FD261A">
            <w:pPr>
              <w:jc w:val="both"/>
              <w:rPr>
                <w:rFonts w:ascii="Arial Narrow" w:hAnsi="Arial Narrow" w:cs="Calibri"/>
                <w:sz w:val="22"/>
                <w:szCs w:val="22"/>
                <w:lang w:val="es-CR" w:eastAsia="es-CR"/>
              </w:rPr>
            </w:pPr>
            <w:r w:rsidRPr="00FD261A">
              <w:rPr>
                <w:rFonts w:ascii="Arial Narrow" w:hAnsi="Arial Narrow" w:cs="Calibri"/>
                <w:sz w:val="22"/>
                <w:szCs w:val="22"/>
                <w:lang w:val="es-CR" w:eastAsia="es-CR"/>
              </w:rPr>
              <w:t>“Para la meta estratégica “Que al finalizar el 2024, se haya aprobado la Política de Comunicación Organizacional”, se informa por parte del Departamento de Prensa Comunicación Institucional por medio del sistema PAO que…”</w:t>
            </w:r>
          </w:p>
        </w:tc>
        <w:tc>
          <w:tcPr>
            <w:tcW w:w="1280" w:type="pct"/>
            <w:vMerge w:val="restart"/>
            <w:tcBorders>
              <w:top w:val="nil"/>
              <w:left w:val="single" w:sz="4" w:space="0" w:color="auto"/>
              <w:bottom w:val="single" w:sz="4" w:space="0" w:color="auto"/>
              <w:right w:val="single" w:sz="4" w:space="0" w:color="auto"/>
            </w:tcBorders>
            <w:shd w:val="clear" w:color="auto" w:fill="auto"/>
            <w:vAlign w:val="center"/>
            <w:hideMark/>
          </w:tcPr>
          <w:p w14:paraId="3847EFF2" w14:textId="77777777" w:rsidR="00FD261A" w:rsidRPr="00FD261A" w:rsidRDefault="00FD261A" w:rsidP="00FD261A">
            <w:pPr>
              <w:jc w:val="both"/>
              <w:rPr>
                <w:rFonts w:ascii="Arial Narrow" w:hAnsi="Arial Narrow" w:cs="Calibri"/>
                <w:sz w:val="22"/>
                <w:szCs w:val="22"/>
                <w:lang w:val="es-CR" w:eastAsia="es-CR"/>
              </w:rPr>
            </w:pPr>
            <w:r w:rsidRPr="00FD261A">
              <w:rPr>
                <w:rFonts w:ascii="Arial Narrow" w:hAnsi="Arial Narrow" w:cs="Calibri"/>
                <w:sz w:val="22"/>
                <w:szCs w:val="22"/>
                <w:lang w:val="es-CR" w:eastAsia="es-CR"/>
              </w:rPr>
              <w:t>Adicionar en este apartado que, en coordinación con la Dirección de Planificación, se incluyó la iniciativa en el Portafolio de Proyectos y disponer de recursos humano para trabajar la Política de Comunicación Integral para el año 2022. Lo que permitirá cumplir finalmente con la meta propuesta en el PEI.</w:t>
            </w:r>
          </w:p>
        </w:tc>
        <w:tc>
          <w:tcPr>
            <w:tcW w:w="1152" w:type="pct"/>
            <w:vMerge w:val="restart"/>
            <w:tcBorders>
              <w:top w:val="nil"/>
              <w:left w:val="single" w:sz="4" w:space="0" w:color="auto"/>
              <w:bottom w:val="single" w:sz="4" w:space="0" w:color="000000"/>
              <w:right w:val="single" w:sz="4" w:space="0" w:color="auto"/>
            </w:tcBorders>
            <w:shd w:val="clear" w:color="auto" w:fill="auto"/>
            <w:vAlign w:val="center"/>
            <w:hideMark/>
          </w:tcPr>
          <w:p w14:paraId="3ACCF0D4" w14:textId="77777777" w:rsidR="00FD261A" w:rsidRPr="00FD261A" w:rsidRDefault="00FD261A" w:rsidP="00FD261A">
            <w:pPr>
              <w:jc w:val="both"/>
              <w:rPr>
                <w:rFonts w:ascii="Arial Narrow" w:hAnsi="Arial Narrow" w:cs="Calibri"/>
                <w:sz w:val="22"/>
                <w:szCs w:val="22"/>
                <w:lang w:val="es-CR" w:eastAsia="es-CR"/>
              </w:rPr>
            </w:pPr>
            <w:r w:rsidRPr="00FD261A">
              <w:rPr>
                <w:rFonts w:ascii="Arial Narrow" w:hAnsi="Arial Narrow" w:cs="Calibri"/>
                <w:sz w:val="22"/>
                <w:szCs w:val="22"/>
                <w:lang w:val="es-CR" w:eastAsia="es-CR"/>
              </w:rPr>
              <w:t>Se toma nota de la observación, no modifica el contenido del informe, sin embargo, será tomado en cuenta para los informes posteriores debido a que son esfuerzos que se planean realizar a partir del 2022.</w:t>
            </w:r>
          </w:p>
        </w:tc>
      </w:tr>
      <w:tr w:rsidR="00247F11" w:rsidRPr="00FD261A" w14:paraId="7BEBF8DC" w14:textId="77777777" w:rsidTr="00866166">
        <w:trPr>
          <w:trHeight w:val="490"/>
        </w:trPr>
        <w:tc>
          <w:tcPr>
            <w:tcW w:w="768" w:type="pct"/>
            <w:vMerge/>
            <w:tcBorders>
              <w:top w:val="nil"/>
              <w:left w:val="single" w:sz="4" w:space="0" w:color="auto"/>
              <w:bottom w:val="single" w:sz="4" w:space="0" w:color="auto"/>
              <w:right w:val="single" w:sz="4" w:space="0" w:color="auto"/>
            </w:tcBorders>
            <w:vAlign w:val="center"/>
            <w:hideMark/>
          </w:tcPr>
          <w:p w14:paraId="21C17B4D" w14:textId="77777777" w:rsidR="00FD261A" w:rsidRPr="00FD261A" w:rsidRDefault="00FD261A" w:rsidP="00FD261A">
            <w:pPr>
              <w:rPr>
                <w:rFonts w:ascii="Arial Narrow" w:hAnsi="Arial Narrow" w:cs="Calibri"/>
                <w:color w:val="000000"/>
                <w:sz w:val="22"/>
                <w:szCs w:val="22"/>
                <w:lang w:val="es-CR" w:eastAsia="es-CR"/>
              </w:rPr>
            </w:pPr>
          </w:p>
        </w:tc>
        <w:tc>
          <w:tcPr>
            <w:tcW w:w="448" w:type="pct"/>
            <w:vMerge/>
            <w:tcBorders>
              <w:top w:val="nil"/>
              <w:left w:val="single" w:sz="4" w:space="0" w:color="auto"/>
              <w:bottom w:val="single" w:sz="4" w:space="0" w:color="auto"/>
              <w:right w:val="single" w:sz="4" w:space="0" w:color="auto"/>
            </w:tcBorders>
            <w:vAlign w:val="center"/>
            <w:hideMark/>
          </w:tcPr>
          <w:p w14:paraId="16A40793" w14:textId="77777777" w:rsidR="00FD261A" w:rsidRPr="00FD261A" w:rsidRDefault="00FD261A" w:rsidP="00FD261A">
            <w:pPr>
              <w:rPr>
                <w:rFonts w:ascii="Arial Narrow" w:hAnsi="Arial Narrow" w:cs="Calibri"/>
                <w:sz w:val="22"/>
                <w:szCs w:val="22"/>
                <w:lang w:val="es-CR" w:eastAsia="es-CR"/>
              </w:rPr>
            </w:pPr>
          </w:p>
        </w:tc>
        <w:tc>
          <w:tcPr>
            <w:tcW w:w="1216" w:type="pct"/>
            <w:vMerge/>
            <w:tcBorders>
              <w:top w:val="nil"/>
              <w:left w:val="single" w:sz="4" w:space="0" w:color="auto"/>
              <w:bottom w:val="single" w:sz="4" w:space="0" w:color="auto"/>
              <w:right w:val="single" w:sz="4" w:space="0" w:color="auto"/>
            </w:tcBorders>
            <w:vAlign w:val="center"/>
            <w:hideMark/>
          </w:tcPr>
          <w:p w14:paraId="2DC35AA2" w14:textId="77777777" w:rsidR="00FD261A" w:rsidRPr="00FD261A" w:rsidRDefault="00FD261A" w:rsidP="00FD261A">
            <w:pPr>
              <w:rPr>
                <w:rFonts w:ascii="Arial Narrow" w:hAnsi="Arial Narrow" w:cs="Calibri"/>
                <w:sz w:val="22"/>
                <w:szCs w:val="22"/>
                <w:lang w:val="es-CR" w:eastAsia="es-CR"/>
              </w:rPr>
            </w:pPr>
          </w:p>
        </w:tc>
        <w:tc>
          <w:tcPr>
            <w:tcW w:w="1280" w:type="pct"/>
            <w:vMerge/>
            <w:tcBorders>
              <w:top w:val="nil"/>
              <w:left w:val="single" w:sz="4" w:space="0" w:color="auto"/>
              <w:bottom w:val="single" w:sz="4" w:space="0" w:color="auto"/>
              <w:right w:val="single" w:sz="4" w:space="0" w:color="auto"/>
            </w:tcBorders>
            <w:vAlign w:val="center"/>
            <w:hideMark/>
          </w:tcPr>
          <w:p w14:paraId="3A78D696" w14:textId="77777777" w:rsidR="00FD261A" w:rsidRPr="00FD261A" w:rsidRDefault="00FD261A" w:rsidP="00FD261A">
            <w:pPr>
              <w:rPr>
                <w:rFonts w:ascii="Arial Narrow" w:hAnsi="Arial Narrow" w:cs="Calibri"/>
                <w:sz w:val="22"/>
                <w:szCs w:val="22"/>
                <w:lang w:val="es-CR" w:eastAsia="es-CR"/>
              </w:rPr>
            </w:pPr>
          </w:p>
        </w:tc>
        <w:tc>
          <w:tcPr>
            <w:tcW w:w="1152" w:type="pct"/>
            <w:vMerge/>
            <w:tcBorders>
              <w:top w:val="nil"/>
              <w:left w:val="single" w:sz="4" w:space="0" w:color="auto"/>
              <w:bottom w:val="single" w:sz="4" w:space="0" w:color="000000"/>
              <w:right w:val="single" w:sz="4" w:space="0" w:color="auto"/>
            </w:tcBorders>
            <w:vAlign w:val="center"/>
            <w:hideMark/>
          </w:tcPr>
          <w:p w14:paraId="48CD1B3F" w14:textId="77777777" w:rsidR="00FD261A" w:rsidRPr="00FD261A" w:rsidRDefault="00FD261A" w:rsidP="00FD261A">
            <w:pPr>
              <w:rPr>
                <w:rFonts w:ascii="Arial Narrow" w:hAnsi="Arial Narrow" w:cs="Calibri"/>
                <w:sz w:val="22"/>
                <w:szCs w:val="22"/>
                <w:lang w:val="es-CR" w:eastAsia="es-CR"/>
              </w:rPr>
            </w:pPr>
          </w:p>
        </w:tc>
        <w:tc>
          <w:tcPr>
            <w:tcW w:w="136" w:type="pct"/>
            <w:tcBorders>
              <w:top w:val="nil"/>
              <w:left w:val="nil"/>
              <w:bottom w:val="nil"/>
              <w:right w:val="nil"/>
            </w:tcBorders>
            <w:shd w:val="clear" w:color="auto" w:fill="auto"/>
            <w:noWrap/>
            <w:vAlign w:val="bottom"/>
            <w:hideMark/>
          </w:tcPr>
          <w:p w14:paraId="7F9B2928" w14:textId="77777777" w:rsidR="00FD261A" w:rsidRPr="00FD261A" w:rsidRDefault="00FD261A" w:rsidP="00FD261A">
            <w:pPr>
              <w:jc w:val="center"/>
              <w:rPr>
                <w:rFonts w:ascii="Arial Narrow" w:hAnsi="Arial Narrow" w:cs="Calibri"/>
                <w:sz w:val="22"/>
                <w:szCs w:val="22"/>
                <w:lang w:val="es-CR" w:eastAsia="es-CR"/>
              </w:rPr>
            </w:pPr>
          </w:p>
        </w:tc>
      </w:tr>
      <w:tr w:rsidR="00247F11" w:rsidRPr="00FD261A" w14:paraId="64F154BA" w14:textId="77777777" w:rsidTr="00866166">
        <w:trPr>
          <w:trHeight w:val="490"/>
        </w:trPr>
        <w:tc>
          <w:tcPr>
            <w:tcW w:w="768" w:type="pct"/>
            <w:vMerge/>
            <w:tcBorders>
              <w:top w:val="nil"/>
              <w:left w:val="single" w:sz="4" w:space="0" w:color="auto"/>
              <w:bottom w:val="single" w:sz="4" w:space="0" w:color="auto"/>
              <w:right w:val="single" w:sz="4" w:space="0" w:color="auto"/>
            </w:tcBorders>
            <w:vAlign w:val="center"/>
            <w:hideMark/>
          </w:tcPr>
          <w:p w14:paraId="19094764" w14:textId="77777777" w:rsidR="00FD261A" w:rsidRPr="00FD261A" w:rsidRDefault="00FD261A" w:rsidP="00FD261A">
            <w:pPr>
              <w:jc w:val="both"/>
              <w:rPr>
                <w:rFonts w:ascii="Arial Narrow" w:hAnsi="Arial Narrow" w:cs="Calibri"/>
                <w:color w:val="000000"/>
                <w:sz w:val="22"/>
                <w:szCs w:val="22"/>
                <w:lang w:val="es-CR" w:eastAsia="es-CR"/>
              </w:rPr>
            </w:pPr>
          </w:p>
        </w:tc>
        <w:tc>
          <w:tcPr>
            <w:tcW w:w="448" w:type="pct"/>
            <w:tcBorders>
              <w:top w:val="nil"/>
              <w:left w:val="nil"/>
              <w:bottom w:val="single" w:sz="4" w:space="0" w:color="auto"/>
              <w:right w:val="single" w:sz="4" w:space="0" w:color="auto"/>
            </w:tcBorders>
            <w:shd w:val="clear" w:color="auto" w:fill="auto"/>
            <w:vAlign w:val="center"/>
            <w:hideMark/>
          </w:tcPr>
          <w:p w14:paraId="14049615" w14:textId="77777777" w:rsidR="00FD261A" w:rsidRPr="00FD261A" w:rsidRDefault="00FD261A" w:rsidP="00FD261A">
            <w:pPr>
              <w:jc w:val="center"/>
              <w:rPr>
                <w:rFonts w:ascii="Arial Narrow" w:hAnsi="Arial Narrow" w:cs="Calibri"/>
                <w:sz w:val="22"/>
                <w:szCs w:val="22"/>
                <w:lang w:val="es-CR" w:eastAsia="es-CR"/>
              </w:rPr>
            </w:pPr>
            <w:r w:rsidRPr="00FD261A">
              <w:rPr>
                <w:rFonts w:ascii="Arial Narrow" w:hAnsi="Arial Narrow" w:cs="Calibri"/>
                <w:sz w:val="22"/>
                <w:szCs w:val="22"/>
                <w:lang w:val="es-CR" w:eastAsia="es-CR"/>
              </w:rPr>
              <w:t>128</w:t>
            </w:r>
          </w:p>
        </w:tc>
        <w:tc>
          <w:tcPr>
            <w:tcW w:w="1216" w:type="pct"/>
            <w:tcBorders>
              <w:top w:val="nil"/>
              <w:left w:val="nil"/>
              <w:bottom w:val="single" w:sz="4" w:space="0" w:color="auto"/>
              <w:right w:val="single" w:sz="4" w:space="0" w:color="auto"/>
            </w:tcBorders>
            <w:shd w:val="clear" w:color="auto" w:fill="auto"/>
            <w:vAlign w:val="center"/>
            <w:hideMark/>
          </w:tcPr>
          <w:p w14:paraId="0EFE5370" w14:textId="77777777" w:rsidR="00FD261A" w:rsidRPr="00FD261A" w:rsidRDefault="00FD261A" w:rsidP="00FD261A">
            <w:pPr>
              <w:jc w:val="both"/>
              <w:rPr>
                <w:rFonts w:ascii="Arial Narrow" w:hAnsi="Arial Narrow" w:cs="Calibri"/>
                <w:sz w:val="22"/>
                <w:szCs w:val="22"/>
                <w:lang w:val="es-CR" w:eastAsia="es-CR"/>
              </w:rPr>
            </w:pPr>
            <w:r w:rsidRPr="00FD261A">
              <w:rPr>
                <w:rFonts w:ascii="Arial Narrow" w:hAnsi="Arial Narrow" w:cs="Calibri"/>
                <w:sz w:val="22"/>
                <w:szCs w:val="22"/>
                <w:lang w:val="es-CR" w:eastAsia="es-CR"/>
              </w:rPr>
              <w:t>Reto</w:t>
            </w:r>
          </w:p>
        </w:tc>
        <w:tc>
          <w:tcPr>
            <w:tcW w:w="1280" w:type="pct"/>
            <w:tcBorders>
              <w:top w:val="nil"/>
              <w:left w:val="nil"/>
              <w:bottom w:val="single" w:sz="4" w:space="0" w:color="auto"/>
              <w:right w:val="single" w:sz="4" w:space="0" w:color="auto"/>
            </w:tcBorders>
            <w:shd w:val="clear" w:color="auto" w:fill="auto"/>
            <w:vAlign w:val="center"/>
            <w:hideMark/>
          </w:tcPr>
          <w:p w14:paraId="4DD39ED1" w14:textId="77777777" w:rsidR="00FD261A" w:rsidRPr="00FD261A" w:rsidRDefault="00FD261A" w:rsidP="00FD261A">
            <w:pPr>
              <w:jc w:val="both"/>
              <w:rPr>
                <w:rFonts w:ascii="Arial Narrow" w:hAnsi="Arial Narrow" w:cs="Calibri"/>
                <w:sz w:val="22"/>
                <w:szCs w:val="22"/>
                <w:lang w:val="es-CR" w:eastAsia="es-CR"/>
              </w:rPr>
            </w:pPr>
            <w:r w:rsidRPr="00FD261A">
              <w:rPr>
                <w:rFonts w:ascii="Arial Narrow" w:hAnsi="Arial Narrow" w:cs="Calibri"/>
                <w:sz w:val="22"/>
                <w:szCs w:val="22"/>
                <w:lang w:val="es-CR" w:eastAsia="es-CR"/>
              </w:rPr>
              <w:t>Valorar si la información de acción estratégica podría cambiar, con el hecho que este año se esté trabajando con la metodología de proyectos la propuesta de política de comunicación.</w:t>
            </w:r>
          </w:p>
        </w:tc>
        <w:tc>
          <w:tcPr>
            <w:tcW w:w="1152" w:type="pct"/>
            <w:vMerge/>
            <w:tcBorders>
              <w:top w:val="nil"/>
              <w:left w:val="single" w:sz="4" w:space="0" w:color="auto"/>
              <w:bottom w:val="single" w:sz="4" w:space="0" w:color="000000"/>
              <w:right w:val="single" w:sz="4" w:space="0" w:color="auto"/>
            </w:tcBorders>
            <w:vAlign w:val="center"/>
            <w:hideMark/>
          </w:tcPr>
          <w:p w14:paraId="4A809B6E" w14:textId="77777777" w:rsidR="00FD261A" w:rsidRPr="00FD261A" w:rsidRDefault="00FD261A" w:rsidP="00FD261A">
            <w:pPr>
              <w:jc w:val="both"/>
              <w:rPr>
                <w:rFonts w:ascii="Arial Narrow" w:hAnsi="Arial Narrow" w:cs="Calibri"/>
                <w:sz w:val="22"/>
                <w:szCs w:val="22"/>
                <w:lang w:val="es-CR" w:eastAsia="es-CR"/>
              </w:rPr>
            </w:pPr>
          </w:p>
        </w:tc>
        <w:tc>
          <w:tcPr>
            <w:tcW w:w="136" w:type="pct"/>
            <w:vAlign w:val="center"/>
            <w:hideMark/>
          </w:tcPr>
          <w:p w14:paraId="42D7AD31" w14:textId="77777777" w:rsidR="00FD261A" w:rsidRPr="00FD261A" w:rsidRDefault="00FD261A" w:rsidP="00FD261A">
            <w:pPr>
              <w:jc w:val="both"/>
              <w:rPr>
                <w:rFonts w:ascii="Arial Narrow" w:hAnsi="Arial Narrow"/>
                <w:sz w:val="22"/>
                <w:szCs w:val="22"/>
                <w:lang w:val="es-CR" w:eastAsia="es-CR"/>
              </w:rPr>
            </w:pPr>
          </w:p>
        </w:tc>
      </w:tr>
      <w:tr w:rsidR="00247F11" w:rsidRPr="00FD261A" w14:paraId="488506C3" w14:textId="77777777" w:rsidTr="00866166">
        <w:trPr>
          <w:trHeight w:val="490"/>
        </w:trPr>
        <w:tc>
          <w:tcPr>
            <w:tcW w:w="768" w:type="pct"/>
            <w:vMerge w:val="restart"/>
            <w:tcBorders>
              <w:top w:val="nil"/>
              <w:left w:val="single" w:sz="4" w:space="0" w:color="auto"/>
              <w:bottom w:val="single" w:sz="4" w:space="0" w:color="auto"/>
              <w:right w:val="single" w:sz="4" w:space="0" w:color="auto"/>
            </w:tcBorders>
            <w:shd w:val="clear" w:color="auto" w:fill="auto"/>
            <w:vAlign w:val="center"/>
            <w:hideMark/>
          </w:tcPr>
          <w:p w14:paraId="3A919E96"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Secretaría Técnica de Género y Acceso a la Justicia</w:t>
            </w:r>
          </w:p>
        </w:tc>
        <w:tc>
          <w:tcPr>
            <w:tcW w:w="448" w:type="pct"/>
            <w:vMerge w:val="restart"/>
            <w:tcBorders>
              <w:top w:val="nil"/>
              <w:left w:val="single" w:sz="4" w:space="0" w:color="auto"/>
              <w:bottom w:val="single" w:sz="4" w:space="0" w:color="auto"/>
              <w:right w:val="single" w:sz="4" w:space="0" w:color="auto"/>
            </w:tcBorders>
            <w:shd w:val="clear" w:color="auto" w:fill="auto"/>
            <w:vAlign w:val="center"/>
            <w:hideMark/>
          </w:tcPr>
          <w:p w14:paraId="7F7DB24F" w14:textId="77777777" w:rsidR="00FD261A" w:rsidRPr="00FD261A" w:rsidRDefault="00FD261A" w:rsidP="00FD261A">
            <w:pPr>
              <w:jc w:val="center"/>
              <w:rPr>
                <w:rFonts w:ascii="Arial Narrow" w:hAnsi="Arial Narrow" w:cs="Calibri"/>
                <w:b/>
                <w:bCs/>
                <w:color w:val="000000"/>
                <w:sz w:val="22"/>
                <w:szCs w:val="22"/>
                <w:lang w:val="es-CR" w:eastAsia="es-CR"/>
              </w:rPr>
            </w:pPr>
            <w:r w:rsidRPr="00FD261A">
              <w:rPr>
                <w:rFonts w:ascii="Arial Narrow" w:hAnsi="Arial Narrow" w:cs="Calibri"/>
                <w:b/>
                <w:bCs/>
                <w:color w:val="000000"/>
                <w:sz w:val="22"/>
                <w:szCs w:val="22"/>
                <w:lang w:val="es-CR" w:eastAsia="es-CR"/>
              </w:rPr>
              <w:t>3</w:t>
            </w:r>
          </w:p>
        </w:tc>
        <w:tc>
          <w:tcPr>
            <w:tcW w:w="1216" w:type="pct"/>
            <w:tcBorders>
              <w:top w:val="nil"/>
              <w:left w:val="nil"/>
              <w:bottom w:val="single" w:sz="4" w:space="0" w:color="auto"/>
              <w:right w:val="single" w:sz="4" w:space="0" w:color="auto"/>
            </w:tcBorders>
            <w:shd w:val="clear" w:color="auto" w:fill="auto"/>
            <w:vAlign w:val="center"/>
            <w:hideMark/>
          </w:tcPr>
          <w:p w14:paraId="142E8E64"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 xml:space="preserve">encabezado </w:t>
            </w:r>
          </w:p>
        </w:tc>
        <w:tc>
          <w:tcPr>
            <w:tcW w:w="1280" w:type="pct"/>
            <w:tcBorders>
              <w:top w:val="nil"/>
              <w:left w:val="nil"/>
              <w:bottom w:val="single" w:sz="4" w:space="0" w:color="auto"/>
              <w:right w:val="single" w:sz="4" w:space="0" w:color="auto"/>
            </w:tcBorders>
            <w:shd w:val="clear" w:color="auto" w:fill="auto"/>
            <w:vAlign w:val="center"/>
            <w:hideMark/>
          </w:tcPr>
          <w:p w14:paraId="59195863"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Lenguaje inclusivo, uso correcto: estimados señores, estimadas señoras</w:t>
            </w:r>
          </w:p>
        </w:tc>
        <w:tc>
          <w:tcPr>
            <w:tcW w:w="1152" w:type="pct"/>
            <w:vMerge w:val="restart"/>
            <w:tcBorders>
              <w:top w:val="nil"/>
              <w:left w:val="single" w:sz="4" w:space="0" w:color="auto"/>
              <w:bottom w:val="single" w:sz="4" w:space="0" w:color="auto"/>
              <w:right w:val="single" w:sz="4" w:space="0" w:color="auto"/>
            </w:tcBorders>
            <w:shd w:val="clear" w:color="auto" w:fill="auto"/>
            <w:vAlign w:val="center"/>
            <w:hideMark/>
          </w:tcPr>
          <w:p w14:paraId="3C60A16F"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Se toma nota de la observación</w:t>
            </w:r>
            <w:r w:rsidRPr="00FD261A">
              <w:rPr>
                <w:rFonts w:ascii="Arial Narrow" w:hAnsi="Arial Narrow" w:cs="Calibri"/>
                <w:color w:val="000000"/>
                <w:sz w:val="22"/>
                <w:szCs w:val="22"/>
                <w:lang w:val="es-CR" w:eastAsia="es-CR"/>
              </w:rPr>
              <w:br/>
              <w:t xml:space="preserve"> y se procede con la modificación.</w:t>
            </w:r>
          </w:p>
        </w:tc>
        <w:tc>
          <w:tcPr>
            <w:tcW w:w="136" w:type="pct"/>
            <w:vAlign w:val="center"/>
            <w:hideMark/>
          </w:tcPr>
          <w:p w14:paraId="621E0680" w14:textId="77777777" w:rsidR="00FD261A" w:rsidRPr="00FD261A" w:rsidRDefault="00FD261A" w:rsidP="00FD261A">
            <w:pPr>
              <w:jc w:val="both"/>
              <w:rPr>
                <w:rFonts w:ascii="Arial Narrow" w:hAnsi="Arial Narrow"/>
                <w:sz w:val="22"/>
                <w:szCs w:val="22"/>
                <w:lang w:val="es-CR" w:eastAsia="es-CR"/>
              </w:rPr>
            </w:pPr>
          </w:p>
        </w:tc>
      </w:tr>
      <w:tr w:rsidR="00247F11" w:rsidRPr="00FD261A" w14:paraId="5065D992" w14:textId="77777777" w:rsidTr="00866166">
        <w:trPr>
          <w:trHeight w:val="490"/>
        </w:trPr>
        <w:tc>
          <w:tcPr>
            <w:tcW w:w="768" w:type="pct"/>
            <w:vMerge/>
            <w:tcBorders>
              <w:top w:val="nil"/>
              <w:left w:val="single" w:sz="4" w:space="0" w:color="auto"/>
              <w:bottom w:val="single" w:sz="4" w:space="0" w:color="auto"/>
              <w:right w:val="single" w:sz="4" w:space="0" w:color="auto"/>
            </w:tcBorders>
            <w:vAlign w:val="center"/>
            <w:hideMark/>
          </w:tcPr>
          <w:p w14:paraId="659CD163" w14:textId="77777777" w:rsidR="00FD261A" w:rsidRPr="00FD261A" w:rsidRDefault="00FD261A" w:rsidP="00FD261A">
            <w:pPr>
              <w:jc w:val="both"/>
              <w:rPr>
                <w:rFonts w:ascii="Arial Narrow" w:hAnsi="Arial Narrow" w:cs="Calibri"/>
                <w:color w:val="000000"/>
                <w:sz w:val="22"/>
                <w:szCs w:val="22"/>
                <w:lang w:val="es-CR" w:eastAsia="es-CR"/>
              </w:rPr>
            </w:pPr>
          </w:p>
        </w:tc>
        <w:tc>
          <w:tcPr>
            <w:tcW w:w="448" w:type="pct"/>
            <w:vMerge/>
            <w:tcBorders>
              <w:top w:val="nil"/>
              <w:left w:val="single" w:sz="4" w:space="0" w:color="auto"/>
              <w:bottom w:val="single" w:sz="4" w:space="0" w:color="auto"/>
              <w:right w:val="single" w:sz="4" w:space="0" w:color="auto"/>
            </w:tcBorders>
            <w:vAlign w:val="center"/>
            <w:hideMark/>
          </w:tcPr>
          <w:p w14:paraId="4C19AD83" w14:textId="77777777" w:rsidR="00FD261A" w:rsidRPr="00FD261A" w:rsidRDefault="00FD261A" w:rsidP="00FD261A">
            <w:pPr>
              <w:jc w:val="both"/>
              <w:rPr>
                <w:rFonts w:ascii="Arial Narrow" w:hAnsi="Arial Narrow" w:cs="Calibri"/>
                <w:b/>
                <w:bCs/>
                <w:color w:val="000000"/>
                <w:sz w:val="22"/>
                <w:szCs w:val="22"/>
                <w:lang w:val="es-CR" w:eastAsia="es-CR"/>
              </w:rPr>
            </w:pPr>
          </w:p>
        </w:tc>
        <w:tc>
          <w:tcPr>
            <w:tcW w:w="1216" w:type="pct"/>
            <w:tcBorders>
              <w:top w:val="nil"/>
              <w:left w:val="nil"/>
              <w:bottom w:val="single" w:sz="4" w:space="0" w:color="auto"/>
              <w:right w:val="single" w:sz="4" w:space="0" w:color="auto"/>
            </w:tcBorders>
            <w:shd w:val="clear" w:color="auto" w:fill="auto"/>
            <w:vAlign w:val="center"/>
            <w:hideMark/>
          </w:tcPr>
          <w:p w14:paraId="10225FAC"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 xml:space="preserve">párrafos 1 </w:t>
            </w:r>
          </w:p>
        </w:tc>
        <w:tc>
          <w:tcPr>
            <w:tcW w:w="1280" w:type="pct"/>
            <w:tcBorders>
              <w:top w:val="nil"/>
              <w:left w:val="nil"/>
              <w:bottom w:val="single" w:sz="4" w:space="0" w:color="auto"/>
              <w:right w:val="single" w:sz="4" w:space="0" w:color="auto"/>
            </w:tcBorders>
            <w:shd w:val="clear" w:color="auto" w:fill="auto"/>
            <w:vAlign w:val="bottom"/>
            <w:hideMark/>
          </w:tcPr>
          <w:p w14:paraId="11BCFE3D"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Jefa</w:t>
            </w:r>
          </w:p>
        </w:tc>
        <w:tc>
          <w:tcPr>
            <w:tcW w:w="1152" w:type="pct"/>
            <w:vMerge/>
            <w:tcBorders>
              <w:top w:val="nil"/>
              <w:left w:val="single" w:sz="4" w:space="0" w:color="auto"/>
              <w:bottom w:val="single" w:sz="4" w:space="0" w:color="auto"/>
              <w:right w:val="single" w:sz="4" w:space="0" w:color="auto"/>
            </w:tcBorders>
            <w:vAlign w:val="center"/>
            <w:hideMark/>
          </w:tcPr>
          <w:p w14:paraId="1A7218D8" w14:textId="77777777" w:rsidR="00FD261A" w:rsidRPr="00FD261A" w:rsidRDefault="00FD261A" w:rsidP="00FD261A">
            <w:pPr>
              <w:jc w:val="both"/>
              <w:rPr>
                <w:rFonts w:ascii="Arial Narrow" w:hAnsi="Arial Narrow" w:cs="Calibri"/>
                <w:color w:val="000000"/>
                <w:sz w:val="22"/>
                <w:szCs w:val="22"/>
                <w:lang w:val="es-CR" w:eastAsia="es-CR"/>
              </w:rPr>
            </w:pPr>
          </w:p>
        </w:tc>
        <w:tc>
          <w:tcPr>
            <w:tcW w:w="136" w:type="pct"/>
            <w:vAlign w:val="center"/>
            <w:hideMark/>
          </w:tcPr>
          <w:p w14:paraId="262FD02A" w14:textId="77777777" w:rsidR="00FD261A" w:rsidRPr="00FD261A" w:rsidRDefault="00FD261A" w:rsidP="00FD261A">
            <w:pPr>
              <w:jc w:val="both"/>
              <w:rPr>
                <w:rFonts w:ascii="Arial Narrow" w:hAnsi="Arial Narrow"/>
                <w:sz w:val="22"/>
                <w:szCs w:val="22"/>
                <w:lang w:val="es-CR" w:eastAsia="es-CR"/>
              </w:rPr>
            </w:pPr>
          </w:p>
        </w:tc>
      </w:tr>
      <w:tr w:rsidR="00247F11" w:rsidRPr="00FD261A" w14:paraId="690063D9" w14:textId="77777777" w:rsidTr="00866166">
        <w:trPr>
          <w:trHeight w:val="490"/>
        </w:trPr>
        <w:tc>
          <w:tcPr>
            <w:tcW w:w="768" w:type="pct"/>
            <w:vMerge/>
            <w:tcBorders>
              <w:top w:val="nil"/>
              <w:left w:val="single" w:sz="4" w:space="0" w:color="auto"/>
              <w:bottom w:val="single" w:sz="4" w:space="0" w:color="auto"/>
              <w:right w:val="single" w:sz="4" w:space="0" w:color="auto"/>
            </w:tcBorders>
            <w:vAlign w:val="center"/>
            <w:hideMark/>
          </w:tcPr>
          <w:p w14:paraId="3FD41ACF" w14:textId="77777777" w:rsidR="00FD261A" w:rsidRPr="00FD261A" w:rsidRDefault="00FD261A" w:rsidP="00FD261A">
            <w:pPr>
              <w:jc w:val="both"/>
              <w:rPr>
                <w:rFonts w:ascii="Arial Narrow" w:hAnsi="Arial Narrow" w:cs="Calibri"/>
                <w:color w:val="000000"/>
                <w:sz w:val="22"/>
                <w:szCs w:val="22"/>
                <w:lang w:val="es-CR" w:eastAsia="es-CR"/>
              </w:rPr>
            </w:pPr>
          </w:p>
        </w:tc>
        <w:tc>
          <w:tcPr>
            <w:tcW w:w="448" w:type="pct"/>
            <w:vMerge/>
            <w:tcBorders>
              <w:top w:val="nil"/>
              <w:left w:val="single" w:sz="4" w:space="0" w:color="auto"/>
              <w:bottom w:val="single" w:sz="4" w:space="0" w:color="auto"/>
              <w:right w:val="single" w:sz="4" w:space="0" w:color="auto"/>
            </w:tcBorders>
            <w:vAlign w:val="center"/>
            <w:hideMark/>
          </w:tcPr>
          <w:p w14:paraId="47153E28" w14:textId="77777777" w:rsidR="00FD261A" w:rsidRPr="00FD261A" w:rsidRDefault="00FD261A" w:rsidP="00FD261A">
            <w:pPr>
              <w:jc w:val="both"/>
              <w:rPr>
                <w:rFonts w:ascii="Arial Narrow" w:hAnsi="Arial Narrow" w:cs="Calibri"/>
                <w:b/>
                <w:bCs/>
                <w:color w:val="000000"/>
                <w:sz w:val="22"/>
                <w:szCs w:val="22"/>
                <w:lang w:val="es-CR" w:eastAsia="es-CR"/>
              </w:rPr>
            </w:pPr>
          </w:p>
        </w:tc>
        <w:tc>
          <w:tcPr>
            <w:tcW w:w="1216" w:type="pct"/>
            <w:tcBorders>
              <w:top w:val="nil"/>
              <w:left w:val="nil"/>
              <w:bottom w:val="single" w:sz="4" w:space="0" w:color="auto"/>
              <w:right w:val="single" w:sz="4" w:space="0" w:color="auto"/>
            </w:tcBorders>
            <w:shd w:val="clear" w:color="auto" w:fill="auto"/>
            <w:vAlign w:val="center"/>
            <w:hideMark/>
          </w:tcPr>
          <w:p w14:paraId="14FE5EE6"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párrafo 3</w:t>
            </w:r>
          </w:p>
        </w:tc>
        <w:tc>
          <w:tcPr>
            <w:tcW w:w="1280" w:type="pct"/>
            <w:tcBorders>
              <w:top w:val="nil"/>
              <w:left w:val="nil"/>
              <w:bottom w:val="single" w:sz="4" w:space="0" w:color="auto"/>
              <w:right w:val="single" w:sz="4" w:space="0" w:color="auto"/>
            </w:tcBorders>
            <w:shd w:val="clear" w:color="auto" w:fill="auto"/>
            <w:vAlign w:val="center"/>
            <w:hideMark/>
          </w:tcPr>
          <w:p w14:paraId="7D8B5346"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las servidoras y los servidores; aquí puede eliminarse “que están involucrados”</w:t>
            </w:r>
          </w:p>
        </w:tc>
        <w:tc>
          <w:tcPr>
            <w:tcW w:w="1152" w:type="pct"/>
            <w:vMerge/>
            <w:tcBorders>
              <w:top w:val="nil"/>
              <w:left w:val="single" w:sz="4" w:space="0" w:color="auto"/>
              <w:bottom w:val="single" w:sz="4" w:space="0" w:color="auto"/>
              <w:right w:val="single" w:sz="4" w:space="0" w:color="auto"/>
            </w:tcBorders>
            <w:vAlign w:val="center"/>
            <w:hideMark/>
          </w:tcPr>
          <w:p w14:paraId="6506ADB2" w14:textId="77777777" w:rsidR="00FD261A" w:rsidRPr="00FD261A" w:rsidRDefault="00FD261A" w:rsidP="00FD261A">
            <w:pPr>
              <w:jc w:val="both"/>
              <w:rPr>
                <w:rFonts w:ascii="Arial Narrow" w:hAnsi="Arial Narrow" w:cs="Calibri"/>
                <w:color w:val="000000"/>
                <w:sz w:val="22"/>
                <w:szCs w:val="22"/>
                <w:lang w:val="es-CR" w:eastAsia="es-CR"/>
              </w:rPr>
            </w:pPr>
          </w:p>
        </w:tc>
        <w:tc>
          <w:tcPr>
            <w:tcW w:w="136" w:type="pct"/>
            <w:vAlign w:val="center"/>
            <w:hideMark/>
          </w:tcPr>
          <w:p w14:paraId="4C427CE0" w14:textId="77777777" w:rsidR="00FD261A" w:rsidRPr="00FD261A" w:rsidRDefault="00FD261A" w:rsidP="00FD261A">
            <w:pPr>
              <w:jc w:val="both"/>
              <w:rPr>
                <w:rFonts w:ascii="Arial Narrow" w:hAnsi="Arial Narrow"/>
                <w:sz w:val="22"/>
                <w:szCs w:val="22"/>
                <w:lang w:val="es-CR" w:eastAsia="es-CR"/>
              </w:rPr>
            </w:pPr>
          </w:p>
        </w:tc>
      </w:tr>
      <w:tr w:rsidR="00247F11" w:rsidRPr="00FD261A" w14:paraId="3B0E91D4" w14:textId="77777777" w:rsidTr="00866166">
        <w:trPr>
          <w:trHeight w:val="2670"/>
        </w:trPr>
        <w:tc>
          <w:tcPr>
            <w:tcW w:w="768" w:type="pct"/>
            <w:vMerge/>
            <w:tcBorders>
              <w:top w:val="nil"/>
              <w:left w:val="single" w:sz="4" w:space="0" w:color="auto"/>
              <w:bottom w:val="single" w:sz="4" w:space="0" w:color="auto"/>
              <w:right w:val="single" w:sz="4" w:space="0" w:color="auto"/>
            </w:tcBorders>
            <w:vAlign w:val="center"/>
            <w:hideMark/>
          </w:tcPr>
          <w:p w14:paraId="5884EB4C" w14:textId="77777777" w:rsidR="00FD261A" w:rsidRPr="00FD261A" w:rsidRDefault="00FD261A" w:rsidP="00FD261A">
            <w:pPr>
              <w:jc w:val="both"/>
              <w:rPr>
                <w:rFonts w:ascii="Arial Narrow" w:hAnsi="Arial Narrow" w:cs="Calibri"/>
                <w:color w:val="000000"/>
                <w:sz w:val="22"/>
                <w:szCs w:val="22"/>
                <w:lang w:val="es-CR" w:eastAsia="es-CR"/>
              </w:rPr>
            </w:pPr>
          </w:p>
        </w:tc>
        <w:tc>
          <w:tcPr>
            <w:tcW w:w="448" w:type="pct"/>
            <w:tcBorders>
              <w:top w:val="nil"/>
              <w:left w:val="nil"/>
              <w:bottom w:val="single" w:sz="4" w:space="0" w:color="auto"/>
              <w:right w:val="single" w:sz="4" w:space="0" w:color="auto"/>
            </w:tcBorders>
            <w:shd w:val="clear" w:color="auto" w:fill="auto"/>
            <w:vAlign w:val="center"/>
            <w:hideMark/>
          </w:tcPr>
          <w:p w14:paraId="7E43B09A" w14:textId="77777777" w:rsidR="00FD261A" w:rsidRPr="00FD261A" w:rsidRDefault="00FD261A" w:rsidP="00FD261A">
            <w:pPr>
              <w:jc w:val="center"/>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64</w:t>
            </w:r>
          </w:p>
        </w:tc>
        <w:tc>
          <w:tcPr>
            <w:tcW w:w="1216" w:type="pct"/>
            <w:tcBorders>
              <w:top w:val="nil"/>
              <w:left w:val="nil"/>
              <w:bottom w:val="single" w:sz="4" w:space="0" w:color="auto"/>
              <w:right w:val="single" w:sz="4" w:space="0" w:color="auto"/>
            </w:tcBorders>
            <w:shd w:val="clear" w:color="auto" w:fill="auto"/>
            <w:vAlign w:val="center"/>
            <w:hideMark/>
          </w:tcPr>
          <w:p w14:paraId="05DAF6AA"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 xml:space="preserve">Último </w:t>
            </w:r>
          </w:p>
        </w:tc>
        <w:tc>
          <w:tcPr>
            <w:tcW w:w="1280" w:type="pct"/>
            <w:tcBorders>
              <w:top w:val="nil"/>
              <w:left w:val="nil"/>
              <w:bottom w:val="single" w:sz="4" w:space="0" w:color="auto"/>
              <w:right w:val="single" w:sz="4" w:space="0" w:color="auto"/>
            </w:tcBorders>
            <w:shd w:val="clear" w:color="auto" w:fill="auto"/>
            <w:vAlign w:val="center"/>
            <w:hideMark/>
          </w:tcPr>
          <w:p w14:paraId="3C358ED5"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Hay un error en la información consignada, las acciones de la Secretaría Técnica de Género en la Política de Justicia Abierta fueron para 2021: a) Desarrollo de una estrategia de comunicación para dar a conocer el programa de Equipos de Respuesta Rápida a Víctimas de Violación, con el fin de que las personas tengan conocimiento de los mecanismos que tienen disponibles al acceder a la justicia y evitar ser revictimizadas y b)</w:t>
            </w:r>
            <w:r w:rsidRPr="00FD261A">
              <w:rPr>
                <w:rFonts w:ascii="Arial Narrow" w:hAnsi="Arial Narrow" w:cs="Calibri"/>
                <w:b/>
                <w:bCs/>
                <w:color w:val="FF0000"/>
                <w:sz w:val="22"/>
                <w:szCs w:val="22"/>
                <w:lang w:val="es-CR" w:eastAsia="es-CR"/>
              </w:rPr>
              <w:t xml:space="preserve"> </w:t>
            </w:r>
            <w:r w:rsidRPr="00FD261A">
              <w:rPr>
                <w:rFonts w:ascii="Arial Narrow" w:hAnsi="Arial Narrow" w:cs="Calibri"/>
                <w:color w:val="000000"/>
                <w:sz w:val="22"/>
                <w:szCs w:val="22"/>
                <w:lang w:val="es-CR" w:eastAsia="es-CR"/>
              </w:rPr>
              <w:t>Mejora sostenida del sitio web dela STGAJ que permita la actualización y difusión de las acciones desarrolladas por la Comisión y la STGAJ.</w:t>
            </w:r>
            <w:r w:rsidRPr="00FD261A">
              <w:rPr>
                <w:rFonts w:ascii="Arial Narrow" w:hAnsi="Arial Narrow" w:cs="Calibri"/>
                <w:color w:val="000000"/>
                <w:sz w:val="22"/>
                <w:szCs w:val="22"/>
                <w:lang w:val="es-CR" w:eastAsia="es-CR"/>
              </w:rPr>
              <w:br/>
              <w:t>Además, no tiene la Secretaría responsabilidades a su cargo en el cuadro 39.</w:t>
            </w:r>
          </w:p>
        </w:tc>
        <w:tc>
          <w:tcPr>
            <w:tcW w:w="1152" w:type="pct"/>
            <w:tcBorders>
              <w:top w:val="nil"/>
              <w:left w:val="nil"/>
              <w:bottom w:val="single" w:sz="4" w:space="0" w:color="auto"/>
              <w:right w:val="single" w:sz="4" w:space="0" w:color="auto"/>
            </w:tcBorders>
            <w:shd w:val="clear" w:color="auto" w:fill="auto"/>
            <w:vAlign w:val="bottom"/>
            <w:hideMark/>
          </w:tcPr>
          <w:p w14:paraId="6DB54842"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 xml:space="preserve">Se toma nota de la observación y se procede a ampliar la redacción de la meta estratégica, quedando de la siguiente manera: </w:t>
            </w:r>
            <w:r w:rsidRPr="00FD261A">
              <w:rPr>
                <w:rFonts w:ascii="Arial Narrow" w:hAnsi="Arial Narrow" w:cs="Calibri"/>
                <w:color w:val="000000"/>
                <w:sz w:val="22"/>
                <w:szCs w:val="22"/>
                <w:lang w:val="es-CR" w:eastAsia="es-CR"/>
              </w:rPr>
              <w:br/>
            </w:r>
            <w:r w:rsidRPr="00FD261A">
              <w:rPr>
                <w:rFonts w:ascii="Arial Narrow" w:hAnsi="Arial Narrow" w:cs="Calibri"/>
                <w:i/>
                <w:iCs/>
                <w:color w:val="000000"/>
                <w:sz w:val="22"/>
                <w:szCs w:val="22"/>
                <w:lang w:val="es-CR" w:eastAsia="es-CR"/>
              </w:rPr>
              <w:t>"Dentro de las acciones definidas correspondientes al principio de Colaboración de la Política de Justicia Abierta para el año 2021 la Secretaría Técnica de Género y Acceso a la Justicia con el  objetivo de fortalecer la transparencia y la rendición de cuentas de la gestión judicial por medio de la sensibilización e información de la participación ciudadana en materia de conflictos de interés, realizó una campaña para la sociedad civil sobre el Reglamento de conflicto de interés en el Poder Judicial. Además, esta Secretaría desarrollo las siguientes actividades durante el año 2021: a) Desarrollo de una estrategia de comunicación para dar a conocer el programa de Equipos de Respuesta Rápida a Víctimas de Violación, con el fin de que las personas tengan conocimiento de los mecanismos que tienen disponibles al acceder a la justicia y evitar ser revictimizadas y b) Mejora sostenida del sitio web dela STGAJ que permita la actualización y difusión de las acciones desarrolladas por la Comisión y la STGAJ. Por otra parte, para mejorar el servicio que brinda la Defensa Pública, dicha oficina elaboró una propuesta de requerimientos para desarrollar una aplicación para teléfonos móviles inteligentes y Tabletas (APP) exclusiva para la Defensa Pública. Esta meta estratégica cuenta para el año 2021 con 19 metas operativas de las cuales solamente 1 no reportó (responsable operativo es el CACMFJ reportó un 90%) un cumplimiento del 100% lo que impactó el cumplimiento general de la meta."</w:t>
            </w:r>
          </w:p>
        </w:tc>
        <w:tc>
          <w:tcPr>
            <w:tcW w:w="136" w:type="pct"/>
            <w:vAlign w:val="center"/>
            <w:hideMark/>
          </w:tcPr>
          <w:p w14:paraId="5EA205BC" w14:textId="77777777" w:rsidR="00FD261A" w:rsidRPr="00FD261A" w:rsidRDefault="00FD261A" w:rsidP="00FD261A">
            <w:pPr>
              <w:jc w:val="both"/>
              <w:rPr>
                <w:rFonts w:ascii="Arial Narrow" w:hAnsi="Arial Narrow"/>
                <w:sz w:val="22"/>
                <w:szCs w:val="22"/>
                <w:lang w:val="es-CR" w:eastAsia="es-CR"/>
              </w:rPr>
            </w:pPr>
          </w:p>
        </w:tc>
      </w:tr>
      <w:tr w:rsidR="00247F11" w:rsidRPr="00FD261A" w14:paraId="7C362C99" w14:textId="77777777" w:rsidTr="00866166">
        <w:trPr>
          <w:trHeight w:val="490"/>
        </w:trPr>
        <w:tc>
          <w:tcPr>
            <w:tcW w:w="768" w:type="pct"/>
            <w:vMerge/>
            <w:tcBorders>
              <w:top w:val="nil"/>
              <w:left w:val="single" w:sz="4" w:space="0" w:color="auto"/>
              <w:bottom w:val="single" w:sz="4" w:space="0" w:color="auto"/>
              <w:right w:val="single" w:sz="4" w:space="0" w:color="auto"/>
            </w:tcBorders>
            <w:vAlign w:val="center"/>
            <w:hideMark/>
          </w:tcPr>
          <w:p w14:paraId="36BB6044" w14:textId="77777777" w:rsidR="00FD261A" w:rsidRPr="00FD261A" w:rsidRDefault="00FD261A" w:rsidP="00FD261A">
            <w:pPr>
              <w:jc w:val="both"/>
              <w:rPr>
                <w:rFonts w:ascii="Arial Narrow" w:hAnsi="Arial Narrow" w:cs="Calibri"/>
                <w:color w:val="000000"/>
                <w:sz w:val="22"/>
                <w:szCs w:val="22"/>
                <w:lang w:val="es-CR" w:eastAsia="es-CR"/>
              </w:rPr>
            </w:pPr>
          </w:p>
        </w:tc>
        <w:tc>
          <w:tcPr>
            <w:tcW w:w="448" w:type="pct"/>
            <w:tcBorders>
              <w:top w:val="nil"/>
              <w:left w:val="nil"/>
              <w:bottom w:val="single" w:sz="4" w:space="0" w:color="auto"/>
              <w:right w:val="single" w:sz="4" w:space="0" w:color="auto"/>
            </w:tcBorders>
            <w:shd w:val="clear" w:color="auto" w:fill="auto"/>
            <w:vAlign w:val="center"/>
            <w:hideMark/>
          </w:tcPr>
          <w:p w14:paraId="4D68E0F3" w14:textId="77777777" w:rsidR="00FD261A" w:rsidRPr="00FD261A" w:rsidRDefault="00FD261A" w:rsidP="00FD261A">
            <w:pPr>
              <w:jc w:val="center"/>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65</w:t>
            </w:r>
          </w:p>
        </w:tc>
        <w:tc>
          <w:tcPr>
            <w:tcW w:w="1216" w:type="pct"/>
            <w:tcBorders>
              <w:top w:val="nil"/>
              <w:left w:val="nil"/>
              <w:bottom w:val="single" w:sz="4" w:space="0" w:color="auto"/>
              <w:right w:val="single" w:sz="4" w:space="0" w:color="auto"/>
            </w:tcBorders>
            <w:shd w:val="clear" w:color="auto" w:fill="auto"/>
            <w:vAlign w:val="center"/>
            <w:hideMark/>
          </w:tcPr>
          <w:p w14:paraId="4B8AB8B9"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Último, cuarto renglón (uso correcto del lenguaje inclusivo)</w:t>
            </w:r>
          </w:p>
        </w:tc>
        <w:tc>
          <w:tcPr>
            <w:tcW w:w="1280" w:type="pct"/>
            <w:tcBorders>
              <w:top w:val="nil"/>
              <w:left w:val="nil"/>
              <w:bottom w:val="single" w:sz="4" w:space="0" w:color="auto"/>
              <w:right w:val="single" w:sz="4" w:space="0" w:color="auto"/>
            </w:tcBorders>
            <w:shd w:val="clear" w:color="auto" w:fill="auto"/>
            <w:vAlign w:val="center"/>
            <w:hideMark/>
          </w:tcPr>
          <w:p w14:paraId="23DD6102"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 xml:space="preserve">Lo correcto: De las personas internas </w:t>
            </w:r>
            <w:r w:rsidRPr="00FD261A">
              <w:rPr>
                <w:rFonts w:ascii="Arial Narrow" w:hAnsi="Arial Narrow" w:cs="Calibri"/>
                <w:b/>
                <w:bCs/>
                <w:color w:val="000000"/>
                <w:sz w:val="22"/>
                <w:szCs w:val="22"/>
                <w:lang w:val="es-CR" w:eastAsia="es-CR"/>
              </w:rPr>
              <w:t>o</w:t>
            </w:r>
            <w:r w:rsidRPr="00FD261A">
              <w:rPr>
                <w:rFonts w:ascii="Arial Narrow" w:hAnsi="Arial Narrow" w:cs="Calibri"/>
                <w:color w:val="000000"/>
                <w:sz w:val="22"/>
                <w:szCs w:val="22"/>
                <w:lang w:val="es-CR" w:eastAsia="es-CR"/>
              </w:rPr>
              <w:t xml:space="preserve"> de las internas y los internos</w:t>
            </w:r>
          </w:p>
        </w:tc>
        <w:tc>
          <w:tcPr>
            <w:tcW w:w="1152" w:type="pct"/>
            <w:vMerge w:val="restart"/>
            <w:tcBorders>
              <w:top w:val="nil"/>
              <w:left w:val="single" w:sz="4" w:space="0" w:color="auto"/>
              <w:bottom w:val="single" w:sz="4" w:space="0" w:color="000000"/>
              <w:right w:val="single" w:sz="4" w:space="0" w:color="auto"/>
            </w:tcBorders>
            <w:shd w:val="clear" w:color="auto" w:fill="auto"/>
            <w:vAlign w:val="center"/>
            <w:hideMark/>
          </w:tcPr>
          <w:p w14:paraId="7EDF4E5B"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Se toma nota de la observación y modifica la redacción.</w:t>
            </w:r>
          </w:p>
        </w:tc>
        <w:tc>
          <w:tcPr>
            <w:tcW w:w="136" w:type="pct"/>
            <w:vAlign w:val="center"/>
            <w:hideMark/>
          </w:tcPr>
          <w:p w14:paraId="57CE07F2" w14:textId="77777777" w:rsidR="00FD261A" w:rsidRPr="00FD261A" w:rsidRDefault="00FD261A" w:rsidP="00FD261A">
            <w:pPr>
              <w:jc w:val="both"/>
              <w:rPr>
                <w:rFonts w:ascii="Arial Narrow" w:hAnsi="Arial Narrow"/>
                <w:sz w:val="22"/>
                <w:szCs w:val="22"/>
                <w:lang w:val="es-CR" w:eastAsia="es-CR"/>
              </w:rPr>
            </w:pPr>
          </w:p>
        </w:tc>
      </w:tr>
      <w:tr w:rsidR="00247F11" w:rsidRPr="00FD261A" w14:paraId="2260DB22" w14:textId="77777777" w:rsidTr="00866166">
        <w:trPr>
          <w:trHeight w:val="490"/>
        </w:trPr>
        <w:tc>
          <w:tcPr>
            <w:tcW w:w="768" w:type="pct"/>
            <w:vMerge/>
            <w:tcBorders>
              <w:top w:val="nil"/>
              <w:left w:val="single" w:sz="4" w:space="0" w:color="auto"/>
              <w:bottom w:val="single" w:sz="4" w:space="0" w:color="auto"/>
              <w:right w:val="single" w:sz="4" w:space="0" w:color="auto"/>
            </w:tcBorders>
            <w:vAlign w:val="center"/>
            <w:hideMark/>
          </w:tcPr>
          <w:p w14:paraId="0D7CABEC" w14:textId="77777777" w:rsidR="00FD261A" w:rsidRPr="00FD261A" w:rsidRDefault="00FD261A" w:rsidP="00FD261A">
            <w:pPr>
              <w:jc w:val="both"/>
              <w:rPr>
                <w:rFonts w:ascii="Arial Narrow" w:hAnsi="Arial Narrow" w:cs="Calibri"/>
                <w:color w:val="000000"/>
                <w:sz w:val="22"/>
                <w:szCs w:val="22"/>
                <w:lang w:val="es-CR" w:eastAsia="es-CR"/>
              </w:rPr>
            </w:pPr>
          </w:p>
        </w:tc>
        <w:tc>
          <w:tcPr>
            <w:tcW w:w="448" w:type="pct"/>
            <w:tcBorders>
              <w:top w:val="nil"/>
              <w:left w:val="nil"/>
              <w:bottom w:val="single" w:sz="4" w:space="0" w:color="auto"/>
              <w:right w:val="single" w:sz="4" w:space="0" w:color="auto"/>
            </w:tcBorders>
            <w:shd w:val="clear" w:color="auto" w:fill="auto"/>
            <w:vAlign w:val="center"/>
            <w:hideMark/>
          </w:tcPr>
          <w:p w14:paraId="02DC438C" w14:textId="77777777" w:rsidR="00FD261A" w:rsidRPr="00FD261A" w:rsidRDefault="00FD261A" w:rsidP="00FD261A">
            <w:pPr>
              <w:jc w:val="center"/>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74</w:t>
            </w:r>
          </w:p>
        </w:tc>
        <w:tc>
          <w:tcPr>
            <w:tcW w:w="1216" w:type="pct"/>
            <w:tcBorders>
              <w:top w:val="nil"/>
              <w:left w:val="nil"/>
              <w:bottom w:val="single" w:sz="4" w:space="0" w:color="auto"/>
              <w:right w:val="single" w:sz="4" w:space="0" w:color="auto"/>
            </w:tcBorders>
            <w:shd w:val="clear" w:color="auto" w:fill="auto"/>
            <w:vAlign w:val="center"/>
            <w:hideMark/>
          </w:tcPr>
          <w:p w14:paraId="5717F7EC"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 xml:space="preserve">Primero </w:t>
            </w:r>
          </w:p>
        </w:tc>
        <w:tc>
          <w:tcPr>
            <w:tcW w:w="1280" w:type="pct"/>
            <w:tcBorders>
              <w:top w:val="nil"/>
              <w:left w:val="nil"/>
              <w:bottom w:val="single" w:sz="4" w:space="0" w:color="auto"/>
              <w:right w:val="single" w:sz="4" w:space="0" w:color="auto"/>
            </w:tcBorders>
            <w:shd w:val="clear" w:color="auto" w:fill="auto"/>
            <w:vAlign w:val="center"/>
            <w:hideMark/>
          </w:tcPr>
          <w:p w14:paraId="4D8EFD11"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Sustituir redacción por: Para el 2021, la Secretaría Técnica de Género presentó los resultados de la investigación “Encuesta breve de uso del tiempo en personal judicial durante pandemia”. Por su parte, la Unidad de Acceso a la Justicia ha dado seguimiento a las acciones establecidas en el Plan Acción de las Políticas Institucionales de Acceso a la Justicia, en coordinación con las oficinas responsables. Por otra parte, con respecto a la Política de Igualdad de Género en el Poder Judicial se mantuvo una reunión con la presidenta ejecutiva del PANI para analizar la participación de la institución a su cargo en el acompañamiento de las PME víctimas de delitos sexuales. En el marco del programa Equipos de Respuesta Rápida a Víctimas de Violación (ERRVV) se realizaron una serie de capacitaciones por medio de Microsoft Teams dirigidas a personal de los diferentes Circuitos Judiciales y reuniones de coordinación, a nivel nacional, para una atención especializada a las personas menores de edad víctimas de violación y delitos sexuales.</w:t>
            </w:r>
          </w:p>
        </w:tc>
        <w:tc>
          <w:tcPr>
            <w:tcW w:w="1152" w:type="pct"/>
            <w:vMerge/>
            <w:tcBorders>
              <w:top w:val="nil"/>
              <w:left w:val="single" w:sz="4" w:space="0" w:color="auto"/>
              <w:bottom w:val="single" w:sz="4" w:space="0" w:color="000000"/>
              <w:right w:val="single" w:sz="4" w:space="0" w:color="auto"/>
            </w:tcBorders>
            <w:vAlign w:val="center"/>
            <w:hideMark/>
          </w:tcPr>
          <w:p w14:paraId="018F47FA" w14:textId="77777777" w:rsidR="00FD261A" w:rsidRPr="00FD261A" w:rsidRDefault="00FD261A" w:rsidP="00FD261A">
            <w:pPr>
              <w:jc w:val="both"/>
              <w:rPr>
                <w:rFonts w:ascii="Arial Narrow" w:hAnsi="Arial Narrow" w:cs="Calibri"/>
                <w:color w:val="000000"/>
                <w:sz w:val="22"/>
                <w:szCs w:val="22"/>
                <w:lang w:val="es-CR" w:eastAsia="es-CR"/>
              </w:rPr>
            </w:pPr>
          </w:p>
        </w:tc>
        <w:tc>
          <w:tcPr>
            <w:tcW w:w="136" w:type="pct"/>
            <w:vAlign w:val="center"/>
            <w:hideMark/>
          </w:tcPr>
          <w:p w14:paraId="70C8EA47" w14:textId="77777777" w:rsidR="00FD261A" w:rsidRPr="00FD261A" w:rsidRDefault="00FD261A" w:rsidP="00FD261A">
            <w:pPr>
              <w:jc w:val="both"/>
              <w:rPr>
                <w:rFonts w:ascii="Arial Narrow" w:hAnsi="Arial Narrow"/>
                <w:sz w:val="22"/>
                <w:szCs w:val="22"/>
                <w:lang w:val="es-CR" w:eastAsia="es-CR"/>
              </w:rPr>
            </w:pPr>
          </w:p>
        </w:tc>
      </w:tr>
      <w:tr w:rsidR="00247F11" w:rsidRPr="00FD261A" w14:paraId="42ECAB67" w14:textId="77777777" w:rsidTr="00866166">
        <w:trPr>
          <w:trHeight w:val="490"/>
        </w:trPr>
        <w:tc>
          <w:tcPr>
            <w:tcW w:w="768" w:type="pct"/>
            <w:vMerge/>
            <w:tcBorders>
              <w:top w:val="nil"/>
              <w:left w:val="single" w:sz="4" w:space="0" w:color="auto"/>
              <w:bottom w:val="single" w:sz="4" w:space="0" w:color="auto"/>
              <w:right w:val="single" w:sz="4" w:space="0" w:color="auto"/>
            </w:tcBorders>
            <w:vAlign w:val="center"/>
            <w:hideMark/>
          </w:tcPr>
          <w:p w14:paraId="6DFB7F3B" w14:textId="77777777" w:rsidR="00FD261A" w:rsidRPr="00FD261A" w:rsidRDefault="00FD261A" w:rsidP="00FD261A">
            <w:pPr>
              <w:jc w:val="both"/>
              <w:rPr>
                <w:rFonts w:ascii="Arial Narrow" w:hAnsi="Arial Narrow" w:cs="Calibri"/>
                <w:color w:val="000000"/>
                <w:sz w:val="22"/>
                <w:szCs w:val="22"/>
                <w:lang w:val="es-CR" w:eastAsia="es-CR"/>
              </w:rPr>
            </w:pPr>
          </w:p>
        </w:tc>
        <w:tc>
          <w:tcPr>
            <w:tcW w:w="448" w:type="pct"/>
            <w:tcBorders>
              <w:top w:val="nil"/>
              <w:left w:val="nil"/>
              <w:bottom w:val="single" w:sz="4" w:space="0" w:color="auto"/>
              <w:right w:val="single" w:sz="4" w:space="0" w:color="auto"/>
            </w:tcBorders>
            <w:shd w:val="clear" w:color="auto" w:fill="auto"/>
            <w:vAlign w:val="center"/>
            <w:hideMark/>
          </w:tcPr>
          <w:p w14:paraId="644CE43B" w14:textId="77777777" w:rsidR="00FD261A" w:rsidRPr="00FD261A" w:rsidRDefault="00FD261A" w:rsidP="00FD261A">
            <w:pPr>
              <w:jc w:val="center"/>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76</w:t>
            </w:r>
          </w:p>
        </w:tc>
        <w:tc>
          <w:tcPr>
            <w:tcW w:w="1216" w:type="pct"/>
            <w:tcBorders>
              <w:top w:val="nil"/>
              <w:left w:val="nil"/>
              <w:bottom w:val="single" w:sz="4" w:space="0" w:color="auto"/>
              <w:right w:val="single" w:sz="4" w:space="0" w:color="auto"/>
            </w:tcBorders>
            <w:shd w:val="clear" w:color="auto" w:fill="auto"/>
            <w:vAlign w:val="center"/>
            <w:hideMark/>
          </w:tcPr>
          <w:p w14:paraId="74DC978D"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primero</w:t>
            </w:r>
          </w:p>
        </w:tc>
        <w:tc>
          <w:tcPr>
            <w:tcW w:w="1280" w:type="pct"/>
            <w:tcBorders>
              <w:top w:val="nil"/>
              <w:left w:val="nil"/>
              <w:bottom w:val="single" w:sz="4" w:space="0" w:color="auto"/>
              <w:right w:val="single" w:sz="4" w:space="0" w:color="auto"/>
            </w:tcBorders>
            <w:shd w:val="clear" w:color="auto" w:fill="auto"/>
            <w:vAlign w:val="center"/>
            <w:hideMark/>
          </w:tcPr>
          <w:p w14:paraId="4DAF008C"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Repetición de palabras (realizados/realizado)</w:t>
            </w:r>
          </w:p>
        </w:tc>
        <w:tc>
          <w:tcPr>
            <w:tcW w:w="1152" w:type="pct"/>
            <w:vMerge/>
            <w:tcBorders>
              <w:top w:val="nil"/>
              <w:left w:val="single" w:sz="4" w:space="0" w:color="auto"/>
              <w:bottom w:val="single" w:sz="4" w:space="0" w:color="000000"/>
              <w:right w:val="single" w:sz="4" w:space="0" w:color="auto"/>
            </w:tcBorders>
            <w:vAlign w:val="center"/>
            <w:hideMark/>
          </w:tcPr>
          <w:p w14:paraId="4DB4CC4E" w14:textId="77777777" w:rsidR="00FD261A" w:rsidRPr="00FD261A" w:rsidRDefault="00FD261A" w:rsidP="00FD261A">
            <w:pPr>
              <w:jc w:val="both"/>
              <w:rPr>
                <w:rFonts w:ascii="Arial Narrow" w:hAnsi="Arial Narrow" w:cs="Calibri"/>
                <w:color w:val="000000"/>
                <w:sz w:val="22"/>
                <w:szCs w:val="22"/>
                <w:lang w:val="es-CR" w:eastAsia="es-CR"/>
              </w:rPr>
            </w:pPr>
          </w:p>
        </w:tc>
        <w:tc>
          <w:tcPr>
            <w:tcW w:w="136" w:type="pct"/>
            <w:vAlign w:val="center"/>
            <w:hideMark/>
          </w:tcPr>
          <w:p w14:paraId="2C0EB72F" w14:textId="77777777" w:rsidR="00FD261A" w:rsidRPr="00FD261A" w:rsidRDefault="00FD261A" w:rsidP="00FD261A">
            <w:pPr>
              <w:jc w:val="both"/>
              <w:rPr>
                <w:rFonts w:ascii="Arial Narrow" w:hAnsi="Arial Narrow"/>
                <w:sz w:val="22"/>
                <w:szCs w:val="22"/>
                <w:lang w:val="es-CR" w:eastAsia="es-CR"/>
              </w:rPr>
            </w:pPr>
          </w:p>
        </w:tc>
      </w:tr>
      <w:tr w:rsidR="00247F11" w:rsidRPr="00FD261A" w14:paraId="05477683" w14:textId="77777777" w:rsidTr="00866166">
        <w:trPr>
          <w:trHeight w:val="490"/>
        </w:trPr>
        <w:tc>
          <w:tcPr>
            <w:tcW w:w="768" w:type="pct"/>
            <w:vMerge/>
            <w:tcBorders>
              <w:top w:val="nil"/>
              <w:left w:val="single" w:sz="4" w:space="0" w:color="auto"/>
              <w:bottom w:val="single" w:sz="4" w:space="0" w:color="auto"/>
              <w:right w:val="single" w:sz="4" w:space="0" w:color="auto"/>
            </w:tcBorders>
            <w:vAlign w:val="center"/>
            <w:hideMark/>
          </w:tcPr>
          <w:p w14:paraId="63072462" w14:textId="77777777" w:rsidR="00FD261A" w:rsidRPr="00FD261A" w:rsidRDefault="00FD261A" w:rsidP="00FD261A">
            <w:pPr>
              <w:jc w:val="both"/>
              <w:rPr>
                <w:rFonts w:ascii="Arial Narrow" w:hAnsi="Arial Narrow" w:cs="Calibri"/>
                <w:color w:val="000000"/>
                <w:sz w:val="22"/>
                <w:szCs w:val="22"/>
                <w:lang w:val="es-CR" w:eastAsia="es-CR"/>
              </w:rPr>
            </w:pPr>
          </w:p>
        </w:tc>
        <w:tc>
          <w:tcPr>
            <w:tcW w:w="448" w:type="pct"/>
            <w:tcBorders>
              <w:top w:val="nil"/>
              <w:left w:val="nil"/>
              <w:bottom w:val="single" w:sz="4" w:space="0" w:color="auto"/>
              <w:right w:val="single" w:sz="4" w:space="0" w:color="auto"/>
            </w:tcBorders>
            <w:shd w:val="clear" w:color="auto" w:fill="auto"/>
            <w:vAlign w:val="center"/>
            <w:hideMark/>
          </w:tcPr>
          <w:p w14:paraId="240BC082" w14:textId="77777777" w:rsidR="00FD261A" w:rsidRPr="00FD261A" w:rsidRDefault="00FD261A" w:rsidP="00FD261A">
            <w:pPr>
              <w:jc w:val="center"/>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79</w:t>
            </w:r>
          </w:p>
        </w:tc>
        <w:tc>
          <w:tcPr>
            <w:tcW w:w="1216" w:type="pct"/>
            <w:tcBorders>
              <w:top w:val="nil"/>
              <w:left w:val="nil"/>
              <w:bottom w:val="single" w:sz="4" w:space="0" w:color="auto"/>
              <w:right w:val="single" w:sz="4" w:space="0" w:color="auto"/>
            </w:tcBorders>
            <w:shd w:val="clear" w:color="auto" w:fill="auto"/>
            <w:vAlign w:val="center"/>
            <w:hideMark/>
          </w:tcPr>
          <w:p w14:paraId="71E50D32"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último</w:t>
            </w:r>
          </w:p>
        </w:tc>
        <w:tc>
          <w:tcPr>
            <w:tcW w:w="1280" w:type="pct"/>
            <w:tcBorders>
              <w:top w:val="nil"/>
              <w:left w:val="nil"/>
              <w:bottom w:val="single" w:sz="4" w:space="0" w:color="auto"/>
              <w:right w:val="single" w:sz="4" w:space="0" w:color="auto"/>
            </w:tcBorders>
            <w:shd w:val="clear" w:color="auto" w:fill="auto"/>
            <w:vAlign w:val="center"/>
            <w:hideMark/>
          </w:tcPr>
          <w:p w14:paraId="7B382C6C"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Repetición de palabras (gestión/gestionar//aprobación/aprobadora)</w:t>
            </w:r>
          </w:p>
        </w:tc>
        <w:tc>
          <w:tcPr>
            <w:tcW w:w="1152" w:type="pct"/>
            <w:vMerge/>
            <w:tcBorders>
              <w:top w:val="nil"/>
              <w:left w:val="single" w:sz="4" w:space="0" w:color="auto"/>
              <w:bottom w:val="single" w:sz="4" w:space="0" w:color="000000"/>
              <w:right w:val="single" w:sz="4" w:space="0" w:color="auto"/>
            </w:tcBorders>
            <w:vAlign w:val="center"/>
            <w:hideMark/>
          </w:tcPr>
          <w:p w14:paraId="350D35C7" w14:textId="77777777" w:rsidR="00FD261A" w:rsidRPr="00FD261A" w:rsidRDefault="00FD261A" w:rsidP="00FD261A">
            <w:pPr>
              <w:jc w:val="both"/>
              <w:rPr>
                <w:rFonts w:ascii="Arial Narrow" w:hAnsi="Arial Narrow" w:cs="Calibri"/>
                <w:color w:val="000000"/>
                <w:sz w:val="22"/>
                <w:szCs w:val="22"/>
                <w:lang w:val="es-CR" w:eastAsia="es-CR"/>
              </w:rPr>
            </w:pPr>
          </w:p>
        </w:tc>
        <w:tc>
          <w:tcPr>
            <w:tcW w:w="136" w:type="pct"/>
            <w:vAlign w:val="center"/>
            <w:hideMark/>
          </w:tcPr>
          <w:p w14:paraId="56D4E796" w14:textId="77777777" w:rsidR="00FD261A" w:rsidRPr="00FD261A" w:rsidRDefault="00FD261A" w:rsidP="00FD261A">
            <w:pPr>
              <w:jc w:val="both"/>
              <w:rPr>
                <w:rFonts w:ascii="Arial Narrow" w:hAnsi="Arial Narrow"/>
                <w:sz w:val="22"/>
                <w:szCs w:val="22"/>
                <w:lang w:val="es-CR" w:eastAsia="es-CR"/>
              </w:rPr>
            </w:pPr>
          </w:p>
        </w:tc>
      </w:tr>
      <w:tr w:rsidR="00247F11" w:rsidRPr="00FD261A" w14:paraId="315E975B" w14:textId="77777777" w:rsidTr="00866166">
        <w:trPr>
          <w:trHeight w:val="490"/>
        </w:trPr>
        <w:tc>
          <w:tcPr>
            <w:tcW w:w="768" w:type="pct"/>
            <w:vMerge/>
            <w:tcBorders>
              <w:top w:val="nil"/>
              <w:left w:val="single" w:sz="4" w:space="0" w:color="auto"/>
              <w:bottom w:val="single" w:sz="4" w:space="0" w:color="auto"/>
              <w:right w:val="single" w:sz="4" w:space="0" w:color="auto"/>
            </w:tcBorders>
            <w:vAlign w:val="center"/>
            <w:hideMark/>
          </w:tcPr>
          <w:p w14:paraId="6C183AA8" w14:textId="77777777" w:rsidR="00FD261A" w:rsidRPr="00FD261A" w:rsidRDefault="00FD261A" w:rsidP="00FD261A">
            <w:pPr>
              <w:jc w:val="both"/>
              <w:rPr>
                <w:rFonts w:ascii="Arial Narrow" w:hAnsi="Arial Narrow" w:cs="Calibri"/>
                <w:color w:val="000000"/>
                <w:sz w:val="22"/>
                <w:szCs w:val="22"/>
                <w:lang w:val="es-CR" w:eastAsia="es-CR"/>
              </w:rPr>
            </w:pPr>
          </w:p>
        </w:tc>
        <w:tc>
          <w:tcPr>
            <w:tcW w:w="448" w:type="pct"/>
            <w:tcBorders>
              <w:top w:val="nil"/>
              <w:left w:val="nil"/>
              <w:bottom w:val="single" w:sz="4" w:space="0" w:color="auto"/>
              <w:right w:val="single" w:sz="4" w:space="0" w:color="auto"/>
            </w:tcBorders>
            <w:shd w:val="clear" w:color="auto" w:fill="auto"/>
            <w:vAlign w:val="center"/>
            <w:hideMark/>
          </w:tcPr>
          <w:p w14:paraId="788F3E42" w14:textId="77777777" w:rsidR="00FD261A" w:rsidRPr="00FD261A" w:rsidRDefault="00FD261A" w:rsidP="00FD261A">
            <w:pPr>
              <w:jc w:val="center"/>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104</w:t>
            </w:r>
          </w:p>
        </w:tc>
        <w:tc>
          <w:tcPr>
            <w:tcW w:w="1216" w:type="pct"/>
            <w:tcBorders>
              <w:top w:val="nil"/>
              <w:left w:val="nil"/>
              <w:bottom w:val="single" w:sz="4" w:space="0" w:color="auto"/>
              <w:right w:val="single" w:sz="4" w:space="0" w:color="auto"/>
            </w:tcBorders>
            <w:shd w:val="clear" w:color="auto" w:fill="auto"/>
            <w:vAlign w:val="center"/>
            <w:hideMark/>
          </w:tcPr>
          <w:p w14:paraId="2A54544D"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primero</w:t>
            </w:r>
          </w:p>
        </w:tc>
        <w:tc>
          <w:tcPr>
            <w:tcW w:w="1280" w:type="pct"/>
            <w:tcBorders>
              <w:top w:val="nil"/>
              <w:left w:val="nil"/>
              <w:bottom w:val="single" w:sz="4" w:space="0" w:color="auto"/>
              <w:right w:val="single" w:sz="4" w:space="0" w:color="auto"/>
            </w:tcBorders>
            <w:shd w:val="clear" w:color="auto" w:fill="auto"/>
            <w:vAlign w:val="center"/>
            <w:hideMark/>
          </w:tcPr>
          <w:p w14:paraId="0032DE3A"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Repetición de palabras (indican/indican)</w:t>
            </w:r>
          </w:p>
        </w:tc>
        <w:tc>
          <w:tcPr>
            <w:tcW w:w="1152" w:type="pct"/>
            <w:vMerge/>
            <w:tcBorders>
              <w:top w:val="nil"/>
              <w:left w:val="single" w:sz="4" w:space="0" w:color="auto"/>
              <w:bottom w:val="single" w:sz="4" w:space="0" w:color="000000"/>
              <w:right w:val="single" w:sz="4" w:space="0" w:color="auto"/>
            </w:tcBorders>
            <w:vAlign w:val="center"/>
            <w:hideMark/>
          </w:tcPr>
          <w:p w14:paraId="3A83F8CA" w14:textId="77777777" w:rsidR="00FD261A" w:rsidRPr="00FD261A" w:rsidRDefault="00FD261A" w:rsidP="00FD261A">
            <w:pPr>
              <w:jc w:val="both"/>
              <w:rPr>
                <w:rFonts w:ascii="Arial Narrow" w:hAnsi="Arial Narrow" w:cs="Calibri"/>
                <w:color w:val="000000"/>
                <w:sz w:val="22"/>
                <w:szCs w:val="22"/>
                <w:lang w:val="es-CR" w:eastAsia="es-CR"/>
              </w:rPr>
            </w:pPr>
          </w:p>
        </w:tc>
        <w:tc>
          <w:tcPr>
            <w:tcW w:w="136" w:type="pct"/>
            <w:vAlign w:val="center"/>
            <w:hideMark/>
          </w:tcPr>
          <w:p w14:paraId="73EC2D2E" w14:textId="77777777" w:rsidR="00FD261A" w:rsidRPr="00FD261A" w:rsidRDefault="00FD261A" w:rsidP="00FD261A">
            <w:pPr>
              <w:jc w:val="both"/>
              <w:rPr>
                <w:rFonts w:ascii="Arial Narrow" w:hAnsi="Arial Narrow"/>
                <w:sz w:val="22"/>
                <w:szCs w:val="22"/>
                <w:lang w:val="es-CR" w:eastAsia="es-CR"/>
              </w:rPr>
            </w:pPr>
          </w:p>
        </w:tc>
      </w:tr>
      <w:tr w:rsidR="00247F11" w:rsidRPr="00FD261A" w14:paraId="3C8E9F1A" w14:textId="77777777" w:rsidTr="00866166">
        <w:trPr>
          <w:trHeight w:val="490"/>
        </w:trPr>
        <w:tc>
          <w:tcPr>
            <w:tcW w:w="768" w:type="pct"/>
            <w:vMerge/>
            <w:tcBorders>
              <w:top w:val="nil"/>
              <w:left w:val="single" w:sz="4" w:space="0" w:color="auto"/>
              <w:bottom w:val="single" w:sz="4" w:space="0" w:color="auto"/>
              <w:right w:val="single" w:sz="4" w:space="0" w:color="auto"/>
            </w:tcBorders>
            <w:vAlign w:val="center"/>
            <w:hideMark/>
          </w:tcPr>
          <w:p w14:paraId="58E47772" w14:textId="77777777" w:rsidR="00FD261A" w:rsidRPr="00FD261A" w:rsidRDefault="00FD261A" w:rsidP="00FD261A">
            <w:pPr>
              <w:jc w:val="both"/>
              <w:rPr>
                <w:rFonts w:ascii="Arial Narrow" w:hAnsi="Arial Narrow" w:cs="Calibri"/>
                <w:color w:val="000000"/>
                <w:sz w:val="22"/>
                <w:szCs w:val="22"/>
                <w:lang w:val="es-CR" w:eastAsia="es-CR"/>
              </w:rPr>
            </w:pPr>
          </w:p>
        </w:tc>
        <w:tc>
          <w:tcPr>
            <w:tcW w:w="448" w:type="pct"/>
            <w:tcBorders>
              <w:top w:val="nil"/>
              <w:left w:val="nil"/>
              <w:bottom w:val="single" w:sz="4" w:space="0" w:color="auto"/>
              <w:right w:val="single" w:sz="4" w:space="0" w:color="auto"/>
            </w:tcBorders>
            <w:shd w:val="clear" w:color="auto" w:fill="auto"/>
            <w:vAlign w:val="center"/>
            <w:hideMark/>
          </w:tcPr>
          <w:p w14:paraId="4FC7478D" w14:textId="77777777" w:rsidR="00FD261A" w:rsidRPr="00FD261A" w:rsidRDefault="00FD261A" w:rsidP="00FD261A">
            <w:pPr>
              <w:jc w:val="center"/>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122</w:t>
            </w:r>
          </w:p>
        </w:tc>
        <w:tc>
          <w:tcPr>
            <w:tcW w:w="1216" w:type="pct"/>
            <w:tcBorders>
              <w:top w:val="nil"/>
              <w:left w:val="nil"/>
              <w:bottom w:val="single" w:sz="4" w:space="0" w:color="auto"/>
              <w:right w:val="single" w:sz="4" w:space="0" w:color="auto"/>
            </w:tcBorders>
            <w:shd w:val="clear" w:color="auto" w:fill="auto"/>
            <w:vAlign w:val="center"/>
            <w:hideMark/>
          </w:tcPr>
          <w:p w14:paraId="2B10BEB8"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primero</w:t>
            </w:r>
          </w:p>
        </w:tc>
        <w:tc>
          <w:tcPr>
            <w:tcW w:w="1280" w:type="pct"/>
            <w:tcBorders>
              <w:top w:val="nil"/>
              <w:left w:val="nil"/>
              <w:bottom w:val="single" w:sz="4" w:space="0" w:color="auto"/>
              <w:right w:val="single" w:sz="4" w:space="0" w:color="auto"/>
            </w:tcBorders>
            <w:shd w:val="clear" w:color="auto" w:fill="auto"/>
            <w:vAlign w:val="center"/>
            <w:hideMark/>
          </w:tcPr>
          <w:p w14:paraId="3C717229"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Primer renglón, eliminar n de tiene; quinto renglón, tildar está</w:t>
            </w:r>
          </w:p>
        </w:tc>
        <w:tc>
          <w:tcPr>
            <w:tcW w:w="1152" w:type="pct"/>
            <w:vMerge/>
            <w:tcBorders>
              <w:top w:val="nil"/>
              <w:left w:val="single" w:sz="4" w:space="0" w:color="auto"/>
              <w:bottom w:val="single" w:sz="4" w:space="0" w:color="000000"/>
              <w:right w:val="single" w:sz="4" w:space="0" w:color="auto"/>
            </w:tcBorders>
            <w:vAlign w:val="center"/>
            <w:hideMark/>
          </w:tcPr>
          <w:p w14:paraId="67355626" w14:textId="77777777" w:rsidR="00FD261A" w:rsidRPr="00FD261A" w:rsidRDefault="00FD261A" w:rsidP="00FD261A">
            <w:pPr>
              <w:jc w:val="both"/>
              <w:rPr>
                <w:rFonts w:ascii="Arial Narrow" w:hAnsi="Arial Narrow" w:cs="Calibri"/>
                <w:color w:val="000000"/>
                <w:sz w:val="22"/>
                <w:szCs w:val="22"/>
                <w:lang w:val="es-CR" w:eastAsia="es-CR"/>
              </w:rPr>
            </w:pPr>
          </w:p>
        </w:tc>
        <w:tc>
          <w:tcPr>
            <w:tcW w:w="136" w:type="pct"/>
            <w:vAlign w:val="center"/>
            <w:hideMark/>
          </w:tcPr>
          <w:p w14:paraId="0436E60C" w14:textId="77777777" w:rsidR="00FD261A" w:rsidRPr="00FD261A" w:rsidRDefault="00FD261A" w:rsidP="00FD261A">
            <w:pPr>
              <w:jc w:val="both"/>
              <w:rPr>
                <w:rFonts w:ascii="Arial Narrow" w:hAnsi="Arial Narrow"/>
                <w:sz w:val="22"/>
                <w:szCs w:val="22"/>
                <w:lang w:val="es-CR" w:eastAsia="es-CR"/>
              </w:rPr>
            </w:pPr>
          </w:p>
        </w:tc>
      </w:tr>
      <w:tr w:rsidR="00247F11" w:rsidRPr="00FD261A" w14:paraId="51601A3A" w14:textId="77777777" w:rsidTr="00866166">
        <w:trPr>
          <w:trHeight w:val="490"/>
        </w:trPr>
        <w:tc>
          <w:tcPr>
            <w:tcW w:w="768" w:type="pct"/>
            <w:vMerge/>
            <w:tcBorders>
              <w:top w:val="nil"/>
              <w:left w:val="single" w:sz="4" w:space="0" w:color="auto"/>
              <w:bottom w:val="single" w:sz="4" w:space="0" w:color="auto"/>
              <w:right w:val="single" w:sz="4" w:space="0" w:color="auto"/>
            </w:tcBorders>
            <w:vAlign w:val="center"/>
            <w:hideMark/>
          </w:tcPr>
          <w:p w14:paraId="051174FD" w14:textId="77777777" w:rsidR="00FD261A" w:rsidRPr="00FD261A" w:rsidRDefault="00FD261A" w:rsidP="00FD261A">
            <w:pPr>
              <w:jc w:val="both"/>
              <w:rPr>
                <w:rFonts w:ascii="Arial Narrow" w:hAnsi="Arial Narrow" w:cs="Calibri"/>
                <w:color w:val="000000"/>
                <w:sz w:val="22"/>
                <w:szCs w:val="22"/>
                <w:lang w:val="es-CR" w:eastAsia="es-CR"/>
              </w:rPr>
            </w:pPr>
          </w:p>
        </w:tc>
        <w:tc>
          <w:tcPr>
            <w:tcW w:w="448" w:type="pct"/>
            <w:tcBorders>
              <w:top w:val="nil"/>
              <w:left w:val="nil"/>
              <w:bottom w:val="single" w:sz="4" w:space="0" w:color="auto"/>
              <w:right w:val="single" w:sz="4" w:space="0" w:color="auto"/>
            </w:tcBorders>
            <w:shd w:val="clear" w:color="auto" w:fill="auto"/>
            <w:vAlign w:val="center"/>
            <w:hideMark/>
          </w:tcPr>
          <w:p w14:paraId="09C1D0AD" w14:textId="77777777" w:rsidR="00FD261A" w:rsidRPr="00FD261A" w:rsidRDefault="00FD261A" w:rsidP="00FD261A">
            <w:pPr>
              <w:jc w:val="center"/>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124</w:t>
            </w:r>
          </w:p>
        </w:tc>
        <w:tc>
          <w:tcPr>
            <w:tcW w:w="1216" w:type="pct"/>
            <w:tcBorders>
              <w:top w:val="nil"/>
              <w:left w:val="nil"/>
              <w:bottom w:val="single" w:sz="4" w:space="0" w:color="auto"/>
              <w:right w:val="single" w:sz="4" w:space="0" w:color="auto"/>
            </w:tcBorders>
            <w:shd w:val="clear" w:color="auto" w:fill="auto"/>
            <w:vAlign w:val="center"/>
            <w:hideMark/>
          </w:tcPr>
          <w:p w14:paraId="6B6F2A40"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último</w:t>
            </w:r>
          </w:p>
        </w:tc>
        <w:tc>
          <w:tcPr>
            <w:tcW w:w="1280" w:type="pct"/>
            <w:tcBorders>
              <w:top w:val="nil"/>
              <w:left w:val="nil"/>
              <w:bottom w:val="single" w:sz="4" w:space="0" w:color="auto"/>
              <w:right w:val="single" w:sz="4" w:space="0" w:color="auto"/>
            </w:tcBorders>
            <w:shd w:val="clear" w:color="auto" w:fill="auto"/>
            <w:vAlign w:val="center"/>
            <w:hideMark/>
          </w:tcPr>
          <w:p w14:paraId="22B4DC4D"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Lenguaje inclusivo: a la persona analista evaluadora</w:t>
            </w:r>
          </w:p>
        </w:tc>
        <w:tc>
          <w:tcPr>
            <w:tcW w:w="1152" w:type="pct"/>
            <w:vMerge/>
            <w:tcBorders>
              <w:top w:val="nil"/>
              <w:left w:val="single" w:sz="4" w:space="0" w:color="auto"/>
              <w:bottom w:val="single" w:sz="4" w:space="0" w:color="000000"/>
              <w:right w:val="single" w:sz="4" w:space="0" w:color="auto"/>
            </w:tcBorders>
            <w:vAlign w:val="center"/>
            <w:hideMark/>
          </w:tcPr>
          <w:p w14:paraId="0F7443FA" w14:textId="77777777" w:rsidR="00FD261A" w:rsidRPr="00FD261A" w:rsidRDefault="00FD261A" w:rsidP="00FD261A">
            <w:pPr>
              <w:jc w:val="both"/>
              <w:rPr>
                <w:rFonts w:ascii="Arial Narrow" w:hAnsi="Arial Narrow" w:cs="Calibri"/>
                <w:color w:val="000000"/>
                <w:sz w:val="22"/>
                <w:szCs w:val="22"/>
                <w:lang w:val="es-CR" w:eastAsia="es-CR"/>
              </w:rPr>
            </w:pPr>
          </w:p>
        </w:tc>
        <w:tc>
          <w:tcPr>
            <w:tcW w:w="136" w:type="pct"/>
            <w:vAlign w:val="center"/>
            <w:hideMark/>
          </w:tcPr>
          <w:p w14:paraId="7A6084AA" w14:textId="77777777" w:rsidR="00FD261A" w:rsidRPr="00FD261A" w:rsidRDefault="00FD261A" w:rsidP="00FD261A">
            <w:pPr>
              <w:jc w:val="both"/>
              <w:rPr>
                <w:rFonts w:ascii="Arial Narrow" w:hAnsi="Arial Narrow"/>
                <w:sz w:val="22"/>
                <w:szCs w:val="22"/>
                <w:lang w:val="es-CR" w:eastAsia="es-CR"/>
              </w:rPr>
            </w:pPr>
          </w:p>
        </w:tc>
      </w:tr>
      <w:tr w:rsidR="00247F11" w:rsidRPr="00FD261A" w14:paraId="6B41B7CA" w14:textId="77777777" w:rsidTr="00866166">
        <w:trPr>
          <w:trHeight w:val="490"/>
        </w:trPr>
        <w:tc>
          <w:tcPr>
            <w:tcW w:w="768" w:type="pct"/>
            <w:vMerge/>
            <w:tcBorders>
              <w:top w:val="nil"/>
              <w:left w:val="single" w:sz="4" w:space="0" w:color="auto"/>
              <w:bottom w:val="single" w:sz="4" w:space="0" w:color="auto"/>
              <w:right w:val="single" w:sz="4" w:space="0" w:color="auto"/>
            </w:tcBorders>
            <w:vAlign w:val="center"/>
            <w:hideMark/>
          </w:tcPr>
          <w:p w14:paraId="0123CAB4" w14:textId="77777777" w:rsidR="00FD261A" w:rsidRPr="00FD261A" w:rsidRDefault="00FD261A" w:rsidP="00FD261A">
            <w:pPr>
              <w:jc w:val="both"/>
              <w:rPr>
                <w:rFonts w:ascii="Arial Narrow" w:hAnsi="Arial Narrow" w:cs="Calibri"/>
                <w:color w:val="000000"/>
                <w:sz w:val="22"/>
                <w:szCs w:val="22"/>
                <w:lang w:val="es-CR" w:eastAsia="es-CR"/>
              </w:rPr>
            </w:pPr>
          </w:p>
        </w:tc>
        <w:tc>
          <w:tcPr>
            <w:tcW w:w="448" w:type="pct"/>
            <w:tcBorders>
              <w:top w:val="nil"/>
              <w:left w:val="nil"/>
              <w:bottom w:val="single" w:sz="4" w:space="0" w:color="auto"/>
              <w:right w:val="single" w:sz="4" w:space="0" w:color="auto"/>
            </w:tcBorders>
            <w:shd w:val="clear" w:color="auto" w:fill="auto"/>
            <w:vAlign w:val="center"/>
            <w:hideMark/>
          </w:tcPr>
          <w:p w14:paraId="55241B14" w14:textId="77777777" w:rsidR="00FD261A" w:rsidRPr="00FD261A" w:rsidRDefault="00FD261A" w:rsidP="00FD261A">
            <w:pPr>
              <w:jc w:val="center"/>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128</w:t>
            </w:r>
          </w:p>
        </w:tc>
        <w:tc>
          <w:tcPr>
            <w:tcW w:w="1216" w:type="pct"/>
            <w:tcBorders>
              <w:top w:val="nil"/>
              <w:left w:val="nil"/>
              <w:bottom w:val="single" w:sz="4" w:space="0" w:color="auto"/>
              <w:right w:val="single" w:sz="4" w:space="0" w:color="auto"/>
            </w:tcBorders>
            <w:shd w:val="clear" w:color="auto" w:fill="auto"/>
            <w:vAlign w:val="center"/>
            <w:hideMark/>
          </w:tcPr>
          <w:p w14:paraId="652FB73D"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Columna retos</w:t>
            </w:r>
          </w:p>
        </w:tc>
        <w:tc>
          <w:tcPr>
            <w:tcW w:w="1280" w:type="pct"/>
            <w:tcBorders>
              <w:top w:val="nil"/>
              <w:left w:val="nil"/>
              <w:bottom w:val="single" w:sz="4" w:space="0" w:color="auto"/>
              <w:right w:val="single" w:sz="4" w:space="0" w:color="auto"/>
            </w:tcBorders>
            <w:shd w:val="clear" w:color="auto" w:fill="auto"/>
            <w:vAlign w:val="center"/>
            <w:hideMark/>
          </w:tcPr>
          <w:p w14:paraId="729596D1"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Tildar energético</w:t>
            </w:r>
          </w:p>
        </w:tc>
        <w:tc>
          <w:tcPr>
            <w:tcW w:w="1152" w:type="pct"/>
            <w:vMerge/>
            <w:tcBorders>
              <w:top w:val="nil"/>
              <w:left w:val="single" w:sz="4" w:space="0" w:color="auto"/>
              <w:bottom w:val="single" w:sz="4" w:space="0" w:color="000000"/>
              <w:right w:val="single" w:sz="4" w:space="0" w:color="auto"/>
            </w:tcBorders>
            <w:vAlign w:val="center"/>
            <w:hideMark/>
          </w:tcPr>
          <w:p w14:paraId="6FC7D333" w14:textId="77777777" w:rsidR="00FD261A" w:rsidRPr="00FD261A" w:rsidRDefault="00FD261A" w:rsidP="00FD261A">
            <w:pPr>
              <w:jc w:val="both"/>
              <w:rPr>
                <w:rFonts w:ascii="Arial Narrow" w:hAnsi="Arial Narrow" w:cs="Calibri"/>
                <w:color w:val="000000"/>
                <w:sz w:val="22"/>
                <w:szCs w:val="22"/>
                <w:lang w:val="es-CR" w:eastAsia="es-CR"/>
              </w:rPr>
            </w:pPr>
          </w:p>
        </w:tc>
        <w:tc>
          <w:tcPr>
            <w:tcW w:w="136" w:type="pct"/>
            <w:vAlign w:val="center"/>
            <w:hideMark/>
          </w:tcPr>
          <w:p w14:paraId="5FFE2E5B" w14:textId="77777777" w:rsidR="00FD261A" w:rsidRPr="00FD261A" w:rsidRDefault="00FD261A" w:rsidP="00FD261A">
            <w:pPr>
              <w:jc w:val="both"/>
              <w:rPr>
                <w:rFonts w:ascii="Arial Narrow" w:hAnsi="Arial Narrow"/>
                <w:sz w:val="22"/>
                <w:szCs w:val="22"/>
                <w:lang w:val="es-CR" w:eastAsia="es-CR"/>
              </w:rPr>
            </w:pPr>
          </w:p>
        </w:tc>
      </w:tr>
      <w:tr w:rsidR="00247F11" w:rsidRPr="00FD261A" w14:paraId="360C697A" w14:textId="77777777" w:rsidTr="00866166">
        <w:trPr>
          <w:trHeight w:val="490"/>
        </w:trPr>
        <w:tc>
          <w:tcPr>
            <w:tcW w:w="768" w:type="pct"/>
            <w:vMerge/>
            <w:tcBorders>
              <w:top w:val="nil"/>
              <w:left w:val="single" w:sz="4" w:space="0" w:color="auto"/>
              <w:bottom w:val="single" w:sz="4" w:space="0" w:color="auto"/>
              <w:right w:val="single" w:sz="4" w:space="0" w:color="auto"/>
            </w:tcBorders>
            <w:vAlign w:val="center"/>
            <w:hideMark/>
          </w:tcPr>
          <w:p w14:paraId="3E1CCC6E" w14:textId="77777777" w:rsidR="00FD261A" w:rsidRPr="00FD261A" w:rsidRDefault="00FD261A" w:rsidP="00FD261A">
            <w:pPr>
              <w:jc w:val="both"/>
              <w:rPr>
                <w:rFonts w:ascii="Arial Narrow" w:hAnsi="Arial Narrow" w:cs="Calibri"/>
                <w:color w:val="000000"/>
                <w:sz w:val="22"/>
                <w:szCs w:val="22"/>
                <w:lang w:val="es-CR" w:eastAsia="es-CR"/>
              </w:rPr>
            </w:pPr>
          </w:p>
        </w:tc>
        <w:tc>
          <w:tcPr>
            <w:tcW w:w="448" w:type="pct"/>
            <w:tcBorders>
              <w:top w:val="nil"/>
              <w:left w:val="nil"/>
              <w:bottom w:val="single" w:sz="4" w:space="0" w:color="auto"/>
              <w:right w:val="single" w:sz="4" w:space="0" w:color="auto"/>
            </w:tcBorders>
            <w:shd w:val="clear" w:color="auto" w:fill="auto"/>
            <w:vAlign w:val="center"/>
            <w:hideMark/>
          </w:tcPr>
          <w:p w14:paraId="71DB68A8" w14:textId="77777777" w:rsidR="00FD261A" w:rsidRPr="00FD261A" w:rsidRDefault="00FD261A" w:rsidP="00FD261A">
            <w:pPr>
              <w:jc w:val="center"/>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129</w:t>
            </w:r>
          </w:p>
        </w:tc>
        <w:tc>
          <w:tcPr>
            <w:tcW w:w="1216" w:type="pct"/>
            <w:tcBorders>
              <w:top w:val="nil"/>
              <w:left w:val="nil"/>
              <w:bottom w:val="single" w:sz="4" w:space="0" w:color="auto"/>
              <w:right w:val="single" w:sz="4" w:space="0" w:color="auto"/>
            </w:tcBorders>
            <w:shd w:val="clear" w:color="auto" w:fill="auto"/>
            <w:vAlign w:val="center"/>
            <w:hideMark/>
          </w:tcPr>
          <w:p w14:paraId="094AE6ED"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Columna retos</w:t>
            </w:r>
          </w:p>
        </w:tc>
        <w:tc>
          <w:tcPr>
            <w:tcW w:w="1280" w:type="pct"/>
            <w:tcBorders>
              <w:top w:val="nil"/>
              <w:left w:val="nil"/>
              <w:bottom w:val="single" w:sz="4" w:space="0" w:color="auto"/>
              <w:right w:val="single" w:sz="4" w:space="0" w:color="auto"/>
            </w:tcBorders>
            <w:shd w:val="clear" w:color="auto" w:fill="auto"/>
            <w:vAlign w:val="center"/>
            <w:hideMark/>
          </w:tcPr>
          <w:p w14:paraId="1989C92C"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Tildar planificación y corregir palabra estratégica</w:t>
            </w:r>
          </w:p>
        </w:tc>
        <w:tc>
          <w:tcPr>
            <w:tcW w:w="1152" w:type="pct"/>
            <w:vMerge/>
            <w:tcBorders>
              <w:top w:val="nil"/>
              <w:left w:val="single" w:sz="4" w:space="0" w:color="auto"/>
              <w:bottom w:val="single" w:sz="4" w:space="0" w:color="000000"/>
              <w:right w:val="single" w:sz="4" w:space="0" w:color="auto"/>
            </w:tcBorders>
            <w:vAlign w:val="center"/>
            <w:hideMark/>
          </w:tcPr>
          <w:p w14:paraId="55F763DE" w14:textId="77777777" w:rsidR="00FD261A" w:rsidRPr="00FD261A" w:rsidRDefault="00FD261A" w:rsidP="00FD261A">
            <w:pPr>
              <w:jc w:val="both"/>
              <w:rPr>
                <w:rFonts w:ascii="Arial Narrow" w:hAnsi="Arial Narrow" w:cs="Calibri"/>
                <w:color w:val="000000"/>
                <w:sz w:val="22"/>
                <w:szCs w:val="22"/>
                <w:lang w:val="es-CR" w:eastAsia="es-CR"/>
              </w:rPr>
            </w:pPr>
          </w:p>
        </w:tc>
        <w:tc>
          <w:tcPr>
            <w:tcW w:w="136" w:type="pct"/>
            <w:vAlign w:val="center"/>
            <w:hideMark/>
          </w:tcPr>
          <w:p w14:paraId="0EBF0F0C" w14:textId="77777777" w:rsidR="00FD261A" w:rsidRPr="00FD261A" w:rsidRDefault="00FD261A" w:rsidP="00FD261A">
            <w:pPr>
              <w:jc w:val="both"/>
              <w:rPr>
                <w:rFonts w:ascii="Arial Narrow" w:hAnsi="Arial Narrow"/>
                <w:sz w:val="22"/>
                <w:szCs w:val="22"/>
                <w:lang w:val="es-CR" w:eastAsia="es-CR"/>
              </w:rPr>
            </w:pPr>
          </w:p>
        </w:tc>
      </w:tr>
      <w:tr w:rsidR="00247F11" w:rsidRPr="00FD261A" w14:paraId="53996139" w14:textId="77777777" w:rsidTr="00866166">
        <w:trPr>
          <w:trHeight w:val="490"/>
        </w:trPr>
        <w:tc>
          <w:tcPr>
            <w:tcW w:w="768" w:type="pct"/>
            <w:vMerge/>
            <w:tcBorders>
              <w:top w:val="nil"/>
              <w:left w:val="single" w:sz="4" w:space="0" w:color="auto"/>
              <w:bottom w:val="single" w:sz="4" w:space="0" w:color="auto"/>
              <w:right w:val="single" w:sz="4" w:space="0" w:color="auto"/>
            </w:tcBorders>
            <w:vAlign w:val="center"/>
            <w:hideMark/>
          </w:tcPr>
          <w:p w14:paraId="6A55226B" w14:textId="77777777" w:rsidR="00FD261A" w:rsidRPr="00FD261A" w:rsidRDefault="00FD261A" w:rsidP="00FD261A">
            <w:pPr>
              <w:jc w:val="both"/>
              <w:rPr>
                <w:rFonts w:ascii="Arial Narrow" w:hAnsi="Arial Narrow" w:cs="Calibri"/>
                <w:color w:val="000000"/>
                <w:sz w:val="22"/>
                <w:szCs w:val="22"/>
                <w:lang w:val="es-CR" w:eastAsia="es-CR"/>
              </w:rPr>
            </w:pPr>
          </w:p>
        </w:tc>
        <w:tc>
          <w:tcPr>
            <w:tcW w:w="448" w:type="pct"/>
            <w:tcBorders>
              <w:top w:val="nil"/>
              <w:left w:val="nil"/>
              <w:bottom w:val="single" w:sz="4" w:space="0" w:color="auto"/>
              <w:right w:val="single" w:sz="4" w:space="0" w:color="auto"/>
            </w:tcBorders>
            <w:shd w:val="clear" w:color="auto" w:fill="auto"/>
            <w:vAlign w:val="center"/>
            <w:hideMark/>
          </w:tcPr>
          <w:p w14:paraId="5F165D9A" w14:textId="77777777" w:rsidR="00FD261A" w:rsidRPr="00FD261A" w:rsidRDefault="00FD261A" w:rsidP="00FD261A">
            <w:pPr>
              <w:jc w:val="center"/>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134</w:t>
            </w:r>
          </w:p>
        </w:tc>
        <w:tc>
          <w:tcPr>
            <w:tcW w:w="1216" w:type="pct"/>
            <w:tcBorders>
              <w:top w:val="nil"/>
              <w:left w:val="nil"/>
              <w:bottom w:val="single" w:sz="4" w:space="0" w:color="auto"/>
              <w:right w:val="single" w:sz="4" w:space="0" w:color="auto"/>
            </w:tcBorders>
            <w:shd w:val="clear" w:color="auto" w:fill="auto"/>
            <w:vAlign w:val="center"/>
            <w:hideMark/>
          </w:tcPr>
          <w:p w14:paraId="7811CB03"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Párrafo 12.3</w:t>
            </w:r>
          </w:p>
        </w:tc>
        <w:tc>
          <w:tcPr>
            <w:tcW w:w="1280" w:type="pct"/>
            <w:tcBorders>
              <w:top w:val="nil"/>
              <w:left w:val="nil"/>
              <w:bottom w:val="single" w:sz="4" w:space="0" w:color="auto"/>
              <w:right w:val="single" w:sz="4" w:space="0" w:color="auto"/>
            </w:tcBorders>
            <w:shd w:val="clear" w:color="auto" w:fill="auto"/>
            <w:vAlign w:val="center"/>
            <w:hideMark/>
          </w:tcPr>
          <w:p w14:paraId="5DA62BC6"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Eliminar punto en 2021</w:t>
            </w:r>
          </w:p>
        </w:tc>
        <w:tc>
          <w:tcPr>
            <w:tcW w:w="1152" w:type="pct"/>
            <w:vMerge/>
            <w:tcBorders>
              <w:top w:val="nil"/>
              <w:left w:val="single" w:sz="4" w:space="0" w:color="auto"/>
              <w:bottom w:val="single" w:sz="4" w:space="0" w:color="000000"/>
              <w:right w:val="single" w:sz="4" w:space="0" w:color="auto"/>
            </w:tcBorders>
            <w:vAlign w:val="center"/>
            <w:hideMark/>
          </w:tcPr>
          <w:p w14:paraId="4AEA242B" w14:textId="77777777" w:rsidR="00FD261A" w:rsidRPr="00FD261A" w:rsidRDefault="00FD261A" w:rsidP="00FD261A">
            <w:pPr>
              <w:jc w:val="both"/>
              <w:rPr>
                <w:rFonts w:ascii="Arial Narrow" w:hAnsi="Arial Narrow" w:cs="Calibri"/>
                <w:color w:val="000000"/>
                <w:sz w:val="22"/>
                <w:szCs w:val="22"/>
                <w:lang w:val="es-CR" w:eastAsia="es-CR"/>
              </w:rPr>
            </w:pPr>
          </w:p>
        </w:tc>
        <w:tc>
          <w:tcPr>
            <w:tcW w:w="136" w:type="pct"/>
            <w:vAlign w:val="center"/>
            <w:hideMark/>
          </w:tcPr>
          <w:p w14:paraId="137A6C47" w14:textId="77777777" w:rsidR="00FD261A" w:rsidRPr="00FD261A" w:rsidRDefault="00FD261A" w:rsidP="00FD261A">
            <w:pPr>
              <w:jc w:val="both"/>
              <w:rPr>
                <w:rFonts w:ascii="Arial Narrow" w:hAnsi="Arial Narrow"/>
                <w:sz w:val="22"/>
                <w:szCs w:val="22"/>
                <w:lang w:val="es-CR" w:eastAsia="es-CR"/>
              </w:rPr>
            </w:pPr>
          </w:p>
        </w:tc>
      </w:tr>
      <w:tr w:rsidR="00247F11" w:rsidRPr="00FD261A" w14:paraId="3A049AA8" w14:textId="77777777" w:rsidTr="00866166">
        <w:trPr>
          <w:trHeight w:val="490"/>
        </w:trPr>
        <w:tc>
          <w:tcPr>
            <w:tcW w:w="768" w:type="pct"/>
            <w:vMerge/>
            <w:tcBorders>
              <w:top w:val="nil"/>
              <w:left w:val="single" w:sz="4" w:space="0" w:color="auto"/>
              <w:bottom w:val="single" w:sz="4" w:space="0" w:color="auto"/>
              <w:right w:val="single" w:sz="4" w:space="0" w:color="auto"/>
            </w:tcBorders>
            <w:vAlign w:val="center"/>
            <w:hideMark/>
          </w:tcPr>
          <w:p w14:paraId="297659D4" w14:textId="77777777" w:rsidR="00FD261A" w:rsidRPr="00FD261A" w:rsidRDefault="00FD261A" w:rsidP="00FD261A">
            <w:pPr>
              <w:jc w:val="both"/>
              <w:rPr>
                <w:rFonts w:ascii="Arial Narrow" w:hAnsi="Arial Narrow" w:cs="Calibri"/>
                <w:color w:val="000000"/>
                <w:sz w:val="22"/>
                <w:szCs w:val="22"/>
                <w:lang w:val="es-CR" w:eastAsia="es-CR"/>
              </w:rPr>
            </w:pPr>
          </w:p>
        </w:tc>
        <w:tc>
          <w:tcPr>
            <w:tcW w:w="448" w:type="pct"/>
            <w:tcBorders>
              <w:top w:val="nil"/>
              <w:left w:val="nil"/>
              <w:bottom w:val="single" w:sz="4" w:space="0" w:color="auto"/>
              <w:right w:val="single" w:sz="4" w:space="0" w:color="auto"/>
            </w:tcBorders>
            <w:shd w:val="clear" w:color="auto" w:fill="auto"/>
            <w:vAlign w:val="center"/>
            <w:hideMark/>
          </w:tcPr>
          <w:p w14:paraId="3C60DB94" w14:textId="77777777" w:rsidR="00FD261A" w:rsidRPr="00FD261A" w:rsidRDefault="00FD261A" w:rsidP="00FD261A">
            <w:pPr>
              <w:jc w:val="center"/>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135</w:t>
            </w:r>
          </w:p>
        </w:tc>
        <w:tc>
          <w:tcPr>
            <w:tcW w:w="1216" w:type="pct"/>
            <w:tcBorders>
              <w:top w:val="nil"/>
              <w:left w:val="nil"/>
              <w:bottom w:val="single" w:sz="4" w:space="0" w:color="auto"/>
              <w:right w:val="single" w:sz="4" w:space="0" w:color="auto"/>
            </w:tcBorders>
            <w:shd w:val="clear" w:color="auto" w:fill="auto"/>
            <w:vAlign w:val="center"/>
            <w:hideMark/>
          </w:tcPr>
          <w:p w14:paraId="6AD49421"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Párrafo 12.5</w:t>
            </w:r>
          </w:p>
        </w:tc>
        <w:tc>
          <w:tcPr>
            <w:tcW w:w="1280" w:type="pct"/>
            <w:tcBorders>
              <w:top w:val="nil"/>
              <w:left w:val="nil"/>
              <w:bottom w:val="single" w:sz="4" w:space="0" w:color="auto"/>
              <w:right w:val="single" w:sz="4" w:space="0" w:color="auto"/>
            </w:tcBorders>
            <w:shd w:val="clear" w:color="auto" w:fill="auto"/>
            <w:vAlign w:val="center"/>
            <w:hideMark/>
          </w:tcPr>
          <w:p w14:paraId="7843AE3F"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Tildar está</w:t>
            </w:r>
          </w:p>
        </w:tc>
        <w:tc>
          <w:tcPr>
            <w:tcW w:w="1152" w:type="pct"/>
            <w:vMerge/>
            <w:tcBorders>
              <w:top w:val="nil"/>
              <w:left w:val="single" w:sz="4" w:space="0" w:color="auto"/>
              <w:bottom w:val="single" w:sz="4" w:space="0" w:color="000000"/>
              <w:right w:val="single" w:sz="4" w:space="0" w:color="auto"/>
            </w:tcBorders>
            <w:vAlign w:val="center"/>
            <w:hideMark/>
          </w:tcPr>
          <w:p w14:paraId="57809541" w14:textId="77777777" w:rsidR="00FD261A" w:rsidRPr="00FD261A" w:rsidRDefault="00FD261A" w:rsidP="00FD261A">
            <w:pPr>
              <w:jc w:val="both"/>
              <w:rPr>
                <w:rFonts w:ascii="Arial Narrow" w:hAnsi="Arial Narrow" w:cs="Calibri"/>
                <w:color w:val="000000"/>
                <w:sz w:val="22"/>
                <w:szCs w:val="22"/>
                <w:lang w:val="es-CR" w:eastAsia="es-CR"/>
              </w:rPr>
            </w:pPr>
          </w:p>
        </w:tc>
        <w:tc>
          <w:tcPr>
            <w:tcW w:w="136" w:type="pct"/>
            <w:vAlign w:val="center"/>
            <w:hideMark/>
          </w:tcPr>
          <w:p w14:paraId="7AEACDE1" w14:textId="77777777" w:rsidR="00FD261A" w:rsidRPr="00FD261A" w:rsidRDefault="00FD261A" w:rsidP="00FD261A">
            <w:pPr>
              <w:jc w:val="both"/>
              <w:rPr>
                <w:rFonts w:ascii="Arial Narrow" w:hAnsi="Arial Narrow"/>
                <w:sz w:val="22"/>
                <w:szCs w:val="22"/>
                <w:lang w:val="es-CR" w:eastAsia="es-CR"/>
              </w:rPr>
            </w:pPr>
          </w:p>
        </w:tc>
      </w:tr>
      <w:tr w:rsidR="00247F11" w:rsidRPr="00FD261A" w14:paraId="6894E4BA" w14:textId="77777777" w:rsidTr="00866166">
        <w:trPr>
          <w:trHeight w:val="490"/>
        </w:trPr>
        <w:tc>
          <w:tcPr>
            <w:tcW w:w="768" w:type="pct"/>
            <w:vMerge/>
            <w:tcBorders>
              <w:top w:val="nil"/>
              <w:left w:val="single" w:sz="4" w:space="0" w:color="auto"/>
              <w:bottom w:val="single" w:sz="4" w:space="0" w:color="auto"/>
              <w:right w:val="single" w:sz="4" w:space="0" w:color="auto"/>
            </w:tcBorders>
            <w:vAlign w:val="center"/>
            <w:hideMark/>
          </w:tcPr>
          <w:p w14:paraId="378350AF" w14:textId="77777777" w:rsidR="00FD261A" w:rsidRPr="00FD261A" w:rsidRDefault="00FD261A" w:rsidP="00FD261A">
            <w:pPr>
              <w:jc w:val="both"/>
              <w:rPr>
                <w:rFonts w:ascii="Arial Narrow" w:hAnsi="Arial Narrow" w:cs="Calibri"/>
                <w:color w:val="000000"/>
                <w:sz w:val="22"/>
                <w:szCs w:val="22"/>
                <w:lang w:val="es-CR" w:eastAsia="es-CR"/>
              </w:rPr>
            </w:pPr>
          </w:p>
        </w:tc>
        <w:tc>
          <w:tcPr>
            <w:tcW w:w="448" w:type="pct"/>
            <w:tcBorders>
              <w:top w:val="nil"/>
              <w:left w:val="nil"/>
              <w:bottom w:val="single" w:sz="4" w:space="0" w:color="auto"/>
              <w:right w:val="single" w:sz="4" w:space="0" w:color="auto"/>
            </w:tcBorders>
            <w:shd w:val="clear" w:color="auto" w:fill="auto"/>
            <w:vAlign w:val="center"/>
            <w:hideMark/>
          </w:tcPr>
          <w:p w14:paraId="43BB0FDB" w14:textId="77777777" w:rsidR="00FD261A" w:rsidRPr="00FD261A" w:rsidRDefault="00FD261A" w:rsidP="00FD261A">
            <w:pPr>
              <w:jc w:val="center"/>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138</w:t>
            </w:r>
          </w:p>
        </w:tc>
        <w:tc>
          <w:tcPr>
            <w:tcW w:w="1216" w:type="pct"/>
            <w:tcBorders>
              <w:top w:val="nil"/>
              <w:left w:val="nil"/>
              <w:bottom w:val="single" w:sz="4" w:space="0" w:color="auto"/>
              <w:right w:val="single" w:sz="4" w:space="0" w:color="auto"/>
            </w:tcBorders>
            <w:shd w:val="clear" w:color="auto" w:fill="auto"/>
            <w:vAlign w:val="center"/>
            <w:hideMark/>
          </w:tcPr>
          <w:p w14:paraId="7A5C2CEE"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Párrafo 12.17</w:t>
            </w:r>
          </w:p>
        </w:tc>
        <w:tc>
          <w:tcPr>
            <w:tcW w:w="1280" w:type="pct"/>
            <w:tcBorders>
              <w:top w:val="nil"/>
              <w:left w:val="nil"/>
              <w:bottom w:val="single" w:sz="4" w:space="0" w:color="auto"/>
              <w:right w:val="single" w:sz="4" w:space="0" w:color="auto"/>
            </w:tcBorders>
            <w:shd w:val="clear" w:color="auto" w:fill="auto"/>
            <w:vAlign w:val="center"/>
            <w:hideMark/>
          </w:tcPr>
          <w:p w14:paraId="3D34A7A3"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Corregir: puedan</w:t>
            </w:r>
          </w:p>
        </w:tc>
        <w:tc>
          <w:tcPr>
            <w:tcW w:w="1152" w:type="pct"/>
            <w:vMerge/>
            <w:tcBorders>
              <w:top w:val="nil"/>
              <w:left w:val="single" w:sz="4" w:space="0" w:color="auto"/>
              <w:bottom w:val="single" w:sz="4" w:space="0" w:color="000000"/>
              <w:right w:val="single" w:sz="4" w:space="0" w:color="auto"/>
            </w:tcBorders>
            <w:vAlign w:val="center"/>
            <w:hideMark/>
          </w:tcPr>
          <w:p w14:paraId="280FF7C0" w14:textId="77777777" w:rsidR="00FD261A" w:rsidRPr="00FD261A" w:rsidRDefault="00FD261A" w:rsidP="00FD261A">
            <w:pPr>
              <w:jc w:val="both"/>
              <w:rPr>
                <w:rFonts w:ascii="Arial Narrow" w:hAnsi="Arial Narrow" w:cs="Calibri"/>
                <w:color w:val="000000"/>
                <w:sz w:val="22"/>
                <w:szCs w:val="22"/>
                <w:lang w:val="es-CR" w:eastAsia="es-CR"/>
              </w:rPr>
            </w:pPr>
          </w:p>
        </w:tc>
        <w:tc>
          <w:tcPr>
            <w:tcW w:w="136" w:type="pct"/>
            <w:vAlign w:val="center"/>
            <w:hideMark/>
          </w:tcPr>
          <w:p w14:paraId="07A04AEF" w14:textId="77777777" w:rsidR="00FD261A" w:rsidRPr="00FD261A" w:rsidRDefault="00FD261A" w:rsidP="00FD261A">
            <w:pPr>
              <w:jc w:val="both"/>
              <w:rPr>
                <w:rFonts w:ascii="Arial Narrow" w:hAnsi="Arial Narrow"/>
                <w:sz w:val="22"/>
                <w:szCs w:val="22"/>
                <w:lang w:val="es-CR" w:eastAsia="es-CR"/>
              </w:rPr>
            </w:pPr>
          </w:p>
        </w:tc>
      </w:tr>
      <w:tr w:rsidR="00247F11" w:rsidRPr="00FD261A" w14:paraId="49B96C75" w14:textId="77777777" w:rsidTr="00866166">
        <w:trPr>
          <w:trHeight w:val="490"/>
        </w:trPr>
        <w:tc>
          <w:tcPr>
            <w:tcW w:w="768" w:type="pct"/>
            <w:vMerge/>
            <w:tcBorders>
              <w:top w:val="nil"/>
              <w:left w:val="single" w:sz="4" w:space="0" w:color="auto"/>
              <w:bottom w:val="single" w:sz="4" w:space="0" w:color="auto"/>
              <w:right w:val="single" w:sz="4" w:space="0" w:color="auto"/>
            </w:tcBorders>
            <w:vAlign w:val="center"/>
            <w:hideMark/>
          </w:tcPr>
          <w:p w14:paraId="37C9B549" w14:textId="77777777" w:rsidR="00FD261A" w:rsidRPr="00FD261A" w:rsidRDefault="00FD261A" w:rsidP="00FD261A">
            <w:pPr>
              <w:jc w:val="both"/>
              <w:rPr>
                <w:rFonts w:ascii="Arial Narrow" w:hAnsi="Arial Narrow" w:cs="Calibri"/>
                <w:color w:val="000000"/>
                <w:sz w:val="22"/>
                <w:szCs w:val="22"/>
                <w:lang w:val="es-CR" w:eastAsia="es-CR"/>
              </w:rPr>
            </w:pPr>
          </w:p>
        </w:tc>
        <w:tc>
          <w:tcPr>
            <w:tcW w:w="448" w:type="pct"/>
            <w:tcBorders>
              <w:top w:val="nil"/>
              <w:left w:val="nil"/>
              <w:bottom w:val="single" w:sz="4" w:space="0" w:color="auto"/>
              <w:right w:val="single" w:sz="4" w:space="0" w:color="auto"/>
            </w:tcBorders>
            <w:shd w:val="clear" w:color="auto" w:fill="auto"/>
            <w:vAlign w:val="center"/>
            <w:hideMark/>
          </w:tcPr>
          <w:p w14:paraId="503C7E2C" w14:textId="77777777" w:rsidR="00FD261A" w:rsidRPr="00FD261A" w:rsidRDefault="00FD261A" w:rsidP="00FD261A">
            <w:pPr>
              <w:jc w:val="center"/>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144</w:t>
            </w:r>
          </w:p>
        </w:tc>
        <w:tc>
          <w:tcPr>
            <w:tcW w:w="1216" w:type="pct"/>
            <w:tcBorders>
              <w:top w:val="nil"/>
              <w:left w:val="nil"/>
              <w:bottom w:val="single" w:sz="4" w:space="0" w:color="auto"/>
              <w:right w:val="single" w:sz="4" w:space="0" w:color="auto"/>
            </w:tcBorders>
            <w:shd w:val="clear" w:color="auto" w:fill="auto"/>
            <w:vAlign w:val="center"/>
            <w:hideMark/>
          </w:tcPr>
          <w:p w14:paraId="3BC130DB"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Último cuadro</w:t>
            </w:r>
          </w:p>
        </w:tc>
        <w:tc>
          <w:tcPr>
            <w:tcW w:w="1280" w:type="pct"/>
            <w:tcBorders>
              <w:top w:val="nil"/>
              <w:left w:val="nil"/>
              <w:bottom w:val="single" w:sz="4" w:space="0" w:color="auto"/>
              <w:right w:val="single" w:sz="4" w:space="0" w:color="auto"/>
            </w:tcBorders>
            <w:shd w:val="clear" w:color="auto" w:fill="auto"/>
            <w:vAlign w:val="center"/>
            <w:hideMark/>
          </w:tcPr>
          <w:p w14:paraId="7D7C1759"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Lenguaje inclusivo: jefa</w:t>
            </w:r>
          </w:p>
        </w:tc>
        <w:tc>
          <w:tcPr>
            <w:tcW w:w="1152" w:type="pct"/>
            <w:vMerge/>
            <w:tcBorders>
              <w:top w:val="nil"/>
              <w:left w:val="single" w:sz="4" w:space="0" w:color="auto"/>
              <w:bottom w:val="single" w:sz="4" w:space="0" w:color="000000"/>
              <w:right w:val="single" w:sz="4" w:space="0" w:color="auto"/>
            </w:tcBorders>
            <w:vAlign w:val="center"/>
            <w:hideMark/>
          </w:tcPr>
          <w:p w14:paraId="1C98B0B6" w14:textId="77777777" w:rsidR="00FD261A" w:rsidRPr="00FD261A" w:rsidRDefault="00FD261A" w:rsidP="00FD261A">
            <w:pPr>
              <w:jc w:val="both"/>
              <w:rPr>
                <w:rFonts w:ascii="Arial Narrow" w:hAnsi="Arial Narrow" w:cs="Calibri"/>
                <w:color w:val="000000"/>
                <w:sz w:val="22"/>
                <w:szCs w:val="22"/>
                <w:lang w:val="es-CR" w:eastAsia="es-CR"/>
              </w:rPr>
            </w:pPr>
          </w:p>
        </w:tc>
        <w:tc>
          <w:tcPr>
            <w:tcW w:w="136" w:type="pct"/>
            <w:vAlign w:val="center"/>
            <w:hideMark/>
          </w:tcPr>
          <w:p w14:paraId="28C007DE" w14:textId="77777777" w:rsidR="00FD261A" w:rsidRPr="00FD261A" w:rsidRDefault="00FD261A" w:rsidP="00FD261A">
            <w:pPr>
              <w:jc w:val="both"/>
              <w:rPr>
                <w:rFonts w:ascii="Arial Narrow" w:hAnsi="Arial Narrow"/>
                <w:sz w:val="22"/>
                <w:szCs w:val="22"/>
                <w:lang w:val="es-CR" w:eastAsia="es-CR"/>
              </w:rPr>
            </w:pPr>
          </w:p>
        </w:tc>
      </w:tr>
      <w:tr w:rsidR="00247F11" w:rsidRPr="00FD261A" w14:paraId="08DDA6B1" w14:textId="77777777" w:rsidTr="00866166">
        <w:trPr>
          <w:trHeight w:val="600"/>
        </w:trPr>
        <w:tc>
          <w:tcPr>
            <w:tcW w:w="768" w:type="pct"/>
            <w:tcBorders>
              <w:top w:val="nil"/>
              <w:left w:val="single" w:sz="4" w:space="0" w:color="auto"/>
              <w:bottom w:val="single" w:sz="4" w:space="0" w:color="auto"/>
              <w:right w:val="single" w:sz="4" w:space="0" w:color="auto"/>
            </w:tcBorders>
            <w:shd w:val="clear" w:color="auto" w:fill="auto"/>
            <w:vAlign w:val="center"/>
            <w:hideMark/>
          </w:tcPr>
          <w:p w14:paraId="4B7F490C"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Dirección Ejecutiva</w:t>
            </w:r>
          </w:p>
        </w:tc>
        <w:tc>
          <w:tcPr>
            <w:tcW w:w="448" w:type="pct"/>
            <w:tcBorders>
              <w:top w:val="nil"/>
              <w:left w:val="nil"/>
              <w:bottom w:val="single" w:sz="4" w:space="0" w:color="auto"/>
              <w:right w:val="single" w:sz="4" w:space="0" w:color="auto"/>
            </w:tcBorders>
            <w:shd w:val="clear" w:color="auto" w:fill="auto"/>
            <w:vAlign w:val="center"/>
            <w:hideMark/>
          </w:tcPr>
          <w:p w14:paraId="6D221D7C"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Pág. 142</w:t>
            </w:r>
            <w:r w:rsidRPr="00FD261A">
              <w:rPr>
                <w:rFonts w:ascii="Arial Narrow" w:hAnsi="Arial Narrow" w:cs="Calibri"/>
                <w:color w:val="000000"/>
                <w:sz w:val="22"/>
                <w:szCs w:val="22"/>
                <w:lang w:val="es-CR" w:eastAsia="es-CR"/>
              </w:rPr>
              <w:br/>
            </w:r>
            <w:r w:rsidRPr="00FD261A">
              <w:rPr>
                <w:rFonts w:ascii="Arial Narrow" w:hAnsi="Arial Narrow" w:cs="Calibri"/>
                <w:color w:val="000000"/>
                <w:sz w:val="22"/>
                <w:szCs w:val="22"/>
                <w:lang w:val="es-CR" w:eastAsia="es-CR"/>
              </w:rPr>
              <w:br/>
              <w:t>Colaboración interna y externa. Plan Estratégico Institucional (PEI) 2019-2024</w:t>
            </w:r>
          </w:p>
        </w:tc>
        <w:tc>
          <w:tcPr>
            <w:tcW w:w="1216" w:type="pct"/>
            <w:tcBorders>
              <w:top w:val="nil"/>
              <w:left w:val="nil"/>
              <w:bottom w:val="single" w:sz="4" w:space="0" w:color="auto"/>
              <w:right w:val="single" w:sz="4" w:space="0" w:color="auto"/>
            </w:tcBorders>
            <w:shd w:val="clear" w:color="auto" w:fill="auto"/>
            <w:vAlign w:val="center"/>
            <w:hideMark/>
          </w:tcPr>
          <w:p w14:paraId="50D20CDD"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Que al finalizar el 2024, se desarrollen e implementen estrategias institucionales de cooperación nacional e internacional, que propicien el intercambio de buenas prácticas y jurisprudencia innovadora relacionada con estándares internacionales de gestión ambiental y resolución de conflictos asociados a los recursos naturales (50% de cumplimiento para el 2021).</w:t>
            </w:r>
            <w:r w:rsidRPr="00FD261A">
              <w:rPr>
                <w:rFonts w:ascii="Arial Narrow" w:hAnsi="Arial Narrow" w:cs="Calibri"/>
                <w:color w:val="000000"/>
                <w:sz w:val="22"/>
                <w:szCs w:val="22"/>
                <w:lang w:val="es-CR" w:eastAsia="es-CR"/>
              </w:rPr>
              <w:br/>
              <w:t>Ejecutar actividades de sensibilización a la población judicial sobre la implementación de un reciclaje efectivo, ahorro energético y propiciar al Poder Judicial como un gestor y generador de residuos.</w:t>
            </w:r>
          </w:p>
        </w:tc>
        <w:tc>
          <w:tcPr>
            <w:tcW w:w="1280" w:type="pct"/>
            <w:tcBorders>
              <w:top w:val="nil"/>
              <w:left w:val="nil"/>
              <w:bottom w:val="single" w:sz="4" w:space="0" w:color="auto"/>
              <w:right w:val="single" w:sz="4" w:space="0" w:color="auto"/>
            </w:tcBorders>
            <w:shd w:val="clear" w:color="auto" w:fill="auto"/>
            <w:vAlign w:val="center"/>
            <w:hideMark/>
          </w:tcPr>
          <w:p w14:paraId="25446D01" w14:textId="77777777" w:rsidR="00FD261A" w:rsidRPr="0052572B" w:rsidRDefault="00FD261A" w:rsidP="00FD261A">
            <w:pPr>
              <w:jc w:val="both"/>
              <w:rPr>
                <w:rFonts w:ascii="Arial Narrow" w:hAnsi="Arial Narrow" w:cs="Calibri"/>
                <w:color w:val="000000"/>
                <w:sz w:val="22"/>
                <w:szCs w:val="22"/>
                <w:lang w:val="es-CR" w:eastAsia="es-CR"/>
              </w:rPr>
            </w:pPr>
            <w:r w:rsidRPr="0052572B">
              <w:rPr>
                <w:rFonts w:ascii="Arial Narrow" w:hAnsi="Arial Narrow" w:cs="Calibri"/>
                <w:color w:val="000000"/>
                <w:sz w:val="22"/>
                <w:szCs w:val="22"/>
                <w:lang w:val="es-CR" w:eastAsia="es-CR"/>
              </w:rPr>
              <w:t>Se reitera que esta meta debe reasignarse a la Comisión de Gestión Ambiental; tal y como se solicitó mediante oficio N° 1607-DE-2022 de fecha 10 de mayo del 2022, donde se indicó que para el periodo 2022 y en lo sucesivo, se continúe asignando a la Comisión de Gestión Ambiental Institucional por ser de su competencia y no a la Dirección Ejecutiva.</w:t>
            </w:r>
            <w:r w:rsidRPr="0052572B">
              <w:rPr>
                <w:rFonts w:ascii="Arial Narrow" w:hAnsi="Arial Narrow" w:cs="Calibri"/>
                <w:color w:val="000000"/>
                <w:sz w:val="22"/>
                <w:szCs w:val="22"/>
                <w:lang w:val="es-CR" w:eastAsia="es-CR"/>
              </w:rPr>
              <w:br/>
              <w:t>Por lo anterior, se solicita replantear el informe conforme lo indicado en el párrafo anterior.</w:t>
            </w:r>
          </w:p>
        </w:tc>
        <w:tc>
          <w:tcPr>
            <w:tcW w:w="1152" w:type="pct"/>
            <w:tcBorders>
              <w:top w:val="nil"/>
              <w:left w:val="nil"/>
              <w:bottom w:val="single" w:sz="4" w:space="0" w:color="auto"/>
              <w:right w:val="single" w:sz="4" w:space="0" w:color="auto"/>
            </w:tcBorders>
            <w:shd w:val="clear" w:color="auto" w:fill="auto"/>
            <w:vAlign w:val="center"/>
            <w:hideMark/>
          </w:tcPr>
          <w:p w14:paraId="4C067FD7" w14:textId="786AD4AC" w:rsidR="00FD261A" w:rsidRPr="0052572B" w:rsidRDefault="00FD261A" w:rsidP="00FD261A">
            <w:pPr>
              <w:jc w:val="both"/>
              <w:rPr>
                <w:rFonts w:ascii="Arial Narrow" w:hAnsi="Arial Narrow" w:cs="Calibri"/>
                <w:color w:val="000000"/>
                <w:sz w:val="22"/>
                <w:szCs w:val="22"/>
                <w:lang w:val="es-CR" w:eastAsia="es-CR"/>
              </w:rPr>
            </w:pPr>
            <w:r w:rsidRPr="0052572B">
              <w:rPr>
                <w:rFonts w:ascii="Arial Narrow" w:hAnsi="Arial Narrow" w:cs="Calibri"/>
                <w:color w:val="000000"/>
                <w:sz w:val="22"/>
                <w:szCs w:val="22"/>
                <w:lang w:val="es-CR" w:eastAsia="es-CR"/>
              </w:rPr>
              <w:t xml:space="preserve">Se toma nota de la observación, sin embargo, no modifica el contenido del informe esto debido a que la solicitud de reasignación de la meta implica un procedimiento de realineamiento estratégico el cual </w:t>
            </w:r>
            <w:r w:rsidR="00134D01" w:rsidRPr="0052572B">
              <w:rPr>
                <w:rFonts w:ascii="Arial Narrow" w:hAnsi="Arial Narrow" w:cs="Calibri"/>
                <w:color w:val="000000"/>
                <w:sz w:val="22"/>
                <w:szCs w:val="22"/>
                <w:lang w:val="es-CR" w:eastAsia="es-CR"/>
              </w:rPr>
              <w:t>actualmente está siendo analizado por</w:t>
            </w:r>
            <w:r w:rsidRPr="0052572B">
              <w:rPr>
                <w:rFonts w:ascii="Arial Narrow" w:hAnsi="Arial Narrow" w:cs="Calibri"/>
                <w:color w:val="000000"/>
                <w:sz w:val="22"/>
                <w:szCs w:val="22"/>
                <w:lang w:val="es-CR" w:eastAsia="es-CR"/>
              </w:rPr>
              <w:t xml:space="preserve"> el Subproceso de Planificación Estratégica de la Dirección de Planificación. Por lo tanto, de realizarse ese ajuste para el año 2022 se visibilizaría y analizaría en el informe de Evaluación del PEI de cierre del año 2022.</w:t>
            </w:r>
          </w:p>
          <w:p w14:paraId="6C3773F3" w14:textId="77777777" w:rsidR="00E271F3" w:rsidRPr="0052572B" w:rsidRDefault="00E271F3" w:rsidP="00FD261A">
            <w:pPr>
              <w:jc w:val="both"/>
              <w:rPr>
                <w:rFonts w:ascii="Arial Narrow" w:hAnsi="Arial Narrow" w:cs="Calibri"/>
                <w:color w:val="000000"/>
                <w:sz w:val="22"/>
                <w:szCs w:val="22"/>
                <w:lang w:val="es-CR" w:eastAsia="es-CR"/>
              </w:rPr>
            </w:pPr>
          </w:p>
          <w:p w14:paraId="4D16765C" w14:textId="356DBE53" w:rsidR="00E271F3" w:rsidRPr="0052572B" w:rsidRDefault="00E271F3" w:rsidP="00FD261A">
            <w:pPr>
              <w:jc w:val="both"/>
              <w:rPr>
                <w:rFonts w:ascii="Arial Narrow" w:hAnsi="Arial Narrow" w:cs="Calibri"/>
                <w:color w:val="000000"/>
                <w:sz w:val="22"/>
                <w:szCs w:val="22"/>
                <w:lang w:val="es-CR" w:eastAsia="es-CR"/>
              </w:rPr>
            </w:pPr>
          </w:p>
        </w:tc>
        <w:tc>
          <w:tcPr>
            <w:tcW w:w="136" w:type="pct"/>
            <w:vAlign w:val="center"/>
            <w:hideMark/>
          </w:tcPr>
          <w:p w14:paraId="71C78DB2" w14:textId="77777777" w:rsidR="00FD261A" w:rsidRPr="00FD261A" w:rsidRDefault="00FD261A" w:rsidP="00FD261A">
            <w:pPr>
              <w:jc w:val="both"/>
              <w:rPr>
                <w:rFonts w:ascii="Arial Narrow" w:hAnsi="Arial Narrow"/>
                <w:sz w:val="22"/>
                <w:szCs w:val="22"/>
                <w:lang w:val="es-CR" w:eastAsia="es-CR"/>
              </w:rPr>
            </w:pPr>
          </w:p>
        </w:tc>
      </w:tr>
      <w:tr w:rsidR="00247F11" w:rsidRPr="00FD261A" w14:paraId="46B77D78" w14:textId="77777777" w:rsidTr="00866166">
        <w:trPr>
          <w:trHeight w:val="1910"/>
        </w:trPr>
        <w:tc>
          <w:tcPr>
            <w:tcW w:w="768" w:type="pct"/>
            <w:tcBorders>
              <w:top w:val="nil"/>
              <w:left w:val="single" w:sz="4" w:space="0" w:color="auto"/>
              <w:bottom w:val="single" w:sz="4" w:space="0" w:color="auto"/>
              <w:right w:val="single" w:sz="4" w:space="0" w:color="auto"/>
            </w:tcBorders>
            <w:shd w:val="clear" w:color="auto" w:fill="auto"/>
            <w:vAlign w:val="center"/>
            <w:hideMark/>
          </w:tcPr>
          <w:p w14:paraId="378D2B55"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Sala Primera</w:t>
            </w:r>
          </w:p>
        </w:tc>
        <w:tc>
          <w:tcPr>
            <w:tcW w:w="448" w:type="pct"/>
            <w:tcBorders>
              <w:top w:val="nil"/>
              <w:left w:val="nil"/>
              <w:bottom w:val="single" w:sz="4" w:space="0" w:color="auto"/>
              <w:right w:val="single" w:sz="4" w:space="0" w:color="auto"/>
            </w:tcBorders>
            <w:shd w:val="clear" w:color="auto" w:fill="auto"/>
            <w:vAlign w:val="center"/>
            <w:hideMark/>
          </w:tcPr>
          <w:p w14:paraId="3DC41B92"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w:t>
            </w:r>
          </w:p>
        </w:tc>
        <w:tc>
          <w:tcPr>
            <w:tcW w:w="1216" w:type="pct"/>
            <w:tcBorders>
              <w:top w:val="nil"/>
              <w:left w:val="nil"/>
              <w:bottom w:val="single" w:sz="4" w:space="0" w:color="auto"/>
              <w:right w:val="single" w:sz="4" w:space="0" w:color="auto"/>
            </w:tcBorders>
            <w:shd w:val="clear" w:color="auto" w:fill="auto"/>
            <w:vAlign w:val="center"/>
            <w:hideMark/>
          </w:tcPr>
          <w:p w14:paraId="276272A7" w14:textId="77777777" w:rsidR="00FD261A" w:rsidRPr="00FD261A" w:rsidRDefault="00FD261A" w:rsidP="00FD261A">
            <w:pPr>
              <w:jc w:val="both"/>
              <w:rPr>
                <w:rFonts w:ascii="Arial Narrow" w:hAnsi="Arial Narrow" w:cs="Calibri"/>
                <w:i/>
                <w:iCs/>
                <w:color w:val="000000"/>
                <w:sz w:val="22"/>
                <w:szCs w:val="22"/>
                <w:lang w:val="es-CR" w:eastAsia="es-CR"/>
              </w:rPr>
            </w:pPr>
            <w:r w:rsidRPr="00FD261A">
              <w:rPr>
                <w:rFonts w:ascii="Arial Narrow" w:hAnsi="Arial Narrow" w:cs="Calibri"/>
                <w:i/>
                <w:iCs/>
                <w:color w:val="000000"/>
                <w:sz w:val="22"/>
                <w:szCs w:val="22"/>
                <w:lang w:val="es-CR" w:eastAsia="es-CR"/>
              </w:rPr>
              <w:t>“Por su parte, los datos reflejados por parte de la Sala Primera con respecto a los casos terminados se da una marcada variación en los 3 años del PEI, esto principalmente, a que, en el 2019, se presentó un ingreso masivo de asuntos por parte de varios despachos, en relación con el tema de conflictos de competencia debido a la implementación del Código Procesal Civil, lo que ocasionó que la Sala tuviera que tramitar un ingreso adicional de asuntos, los cuales lograron atender de manera exitosa. Para el 2021, la mayor cantidad de casos terminados estuvieron relacionados con temas vinculados a los recursos de casación, los cuales son expedientes más complejos en su trámite y resolución, y de igual manera superaron el parámetro esperado. Se sugiere modificar el valor esperado de la meta y adecuarlo a la realidad de la Sala, la cual está en capacidad de terminar más expedientes de lo que fue planeado, según la revisión de los 3 años del PEI.”</w:t>
            </w:r>
          </w:p>
          <w:p w14:paraId="06D53681" w14:textId="77777777" w:rsidR="00FD261A" w:rsidRPr="00FD261A" w:rsidRDefault="00FD261A" w:rsidP="00FD261A">
            <w:pPr>
              <w:jc w:val="both"/>
              <w:rPr>
                <w:rFonts w:ascii="Arial Narrow" w:hAnsi="Arial Narrow" w:cs="Calibri"/>
                <w:i/>
                <w:iCs/>
                <w:color w:val="000000"/>
                <w:sz w:val="22"/>
                <w:szCs w:val="22"/>
                <w:lang w:val="es-CR" w:eastAsia="es-CR"/>
              </w:rPr>
            </w:pPr>
          </w:p>
          <w:p w14:paraId="3C98B16E" w14:textId="77777777" w:rsidR="00FD261A" w:rsidRPr="00FD261A" w:rsidRDefault="00FD261A" w:rsidP="00FD261A">
            <w:pPr>
              <w:jc w:val="both"/>
              <w:rPr>
                <w:rFonts w:ascii="Arial Narrow" w:hAnsi="Arial Narrow" w:cs="Calibri"/>
                <w:i/>
                <w:iCs/>
                <w:color w:val="000000"/>
                <w:sz w:val="22"/>
                <w:szCs w:val="22"/>
                <w:lang w:val="es-CR" w:eastAsia="es-CR"/>
              </w:rPr>
            </w:pPr>
          </w:p>
          <w:p w14:paraId="48DB9623" w14:textId="77777777" w:rsidR="00FD261A" w:rsidRPr="00FD261A" w:rsidRDefault="00FD261A" w:rsidP="00FD261A">
            <w:pPr>
              <w:jc w:val="both"/>
              <w:rPr>
                <w:rFonts w:ascii="Arial Narrow" w:hAnsi="Arial Narrow" w:cs="Calibri"/>
                <w:i/>
                <w:iCs/>
                <w:color w:val="000000"/>
                <w:sz w:val="22"/>
                <w:szCs w:val="22"/>
                <w:lang w:val="es-CR" w:eastAsia="es-CR"/>
              </w:rPr>
            </w:pPr>
          </w:p>
          <w:p w14:paraId="2B1B9A01" w14:textId="77777777" w:rsidR="00FD261A" w:rsidRPr="00FD261A" w:rsidRDefault="00FD261A" w:rsidP="00FD261A">
            <w:pPr>
              <w:jc w:val="both"/>
              <w:rPr>
                <w:rFonts w:ascii="Arial Narrow" w:hAnsi="Arial Narrow" w:cs="Calibri"/>
                <w:i/>
                <w:iCs/>
                <w:color w:val="000000"/>
                <w:sz w:val="22"/>
                <w:szCs w:val="22"/>
                <w:lang w:val="es-CR" w:eastAsia="es-CR"/>
              </w:rPr>
            </w:pPr>
          </w:p>
          <w:p w14:paraId="5CEFD14F" w14:textId="77777777" w:rsidR="00FD261A" w:rsidRPr="00FD261A" w:rsidRDefault="00FD261A" w:rsidP="00FD261A">
            <w:pPr>
              <w:jc w:val="both"/>
              <w:rPr>
                <w:rFonts w:ascii="Arial Narrow" w:hAnsi="Arial Narrow" w:cs="Calibri"/>
                <w:i/>
                <w:iCs/>
                <w:color w:val="000000"/>
                <w:sz w:val="22"/>
                <w:szCs w:val="22"/>
                <w:lang w:val="es-CR" w:eastAsia="es-CR"/>
              </w:rPr>
            </w:pPr>
          </w:p>
          <w:p w14:paraId="773D9F55" w14:textId="77777777" w:rsidR="00FD261A" w:rsidRPr="00FD261A" w:rsidRDefault="00FD261A" w:rsidP="00FD261A">
            <w:pPr>
              <w:jc w:val="both"/>
              <w:rPr>
                <w:rFonts w:ascii="Arial Narrow" w:hAnsi="Arial Narrow" w:cs="Calibri"/>
                <w:i/>
                <w:iCs/>
                <w:color w:val="000000"/>
                <w:sz w:val="22"/>
                <w:szCs w:val="22"/>
                <w:lang w:val="es-CR" w:eastAsia="es-CR"/>
              </w:rPr>
            </w:pPr>
          </w:p>
          <w:p w14:paraId="121685B4" w14:textId="77777777" w:rsidR="00FD261A" w:rsidRPr="00FD261A" w:rsidRDefault="00FD261A" w:rsidP="00FD261A">
            <w:pPr>
              <w:jc w:val="both"/>
              <w:rPr>
                <w:rFonts w:ascii="Arial Narrow" w:hAnsi="Arial Narrow" w:cs="Calibri"/>
                <w:i/>
                <w:iCs/>
                <w:color w:val="000000"/>
                <w:sz w:val="22"/>
                <w:szCs w:val="22"/>
                <w:lang w:val="es-CR" w:eastAsia="es-CR"/>
              </w:rPr>
            </w:pPr>
          </w:p>
          <w:p w14:paraId="05140DC1" w14:textId="77777777" w:rsidR="00FD261A" w:rsidRPr="00FD261A" w:rsidRDefault="00FD261A" w:rsidP="00FD261A">
            <w:pPr>
              <w:jc w:val="both"/>
              <w:rPr>
                <w:rFonts w:ascii="Arial Narrow" w:hAnsi="Arial Narrow" w:cs="Calibri"/>
                <w:i/>
                <w:iCs/>
                <w:color w:val="000000"/>
                <w:sz w:val="22"/>
                <w:szCs w:val="22"/>
                <w:lang w:val="es-CR" w:eastAsia="es-CR"/>
              </w:rPr>
            </w:pPr>
          </w:p>
          <w:p w14:paraId="6D6063E7" w14:textId="77777777" w:rsidR="00FD261A" w:rsidRPr="00FD261A" w:rsidRDefault="00FD261A" w:rsidP="00FD261A">
            <w:pPr>
              <w:jc w:val="both"/>
              <w:rPr>
                <w:rFonts w:ascii="Arial Narrow" w:hAnsi="Arial Narrow" w:cs="Calibri"/>
                <w:i/>
                <w:iCs/>
                <w:color w:val="000000"/>
                <w:sz w:val="22"/>
                <w:szCs w:val="22"/>
                <w:lang w:val="es-CR" w:eastAsia="es-CR"/>
              </w:rPr>
            </w:pPr>
          </w:p>
          <w:p w14:paraId="25E57700" w14:textId="77777777" w:rsidR="00FD261A" w:rsidRPr="00FD261A" w:rsidRDefault="00FD261A" w:rsidP="00FD261A">
            <w:pPr>
              <w:jc w:val="both"/>
              <w:rPr>
                <w:rFonts w:ascii="Arial Narrow" w:hAnsi="Arial Narrow" w:cs="Calibri"/>
                <w:i/>
                <w:iCs/>
                <w:color w:val="000000"/>
                <w:sz w:val="22"/>
                <w:szCs w:val="22"/>
                <w:lang w:val="es-CR" w:eastAsia="es-CR"/>
              </w:rPr>
            </w:pPr>
          </w:p>
          <w:p w14:paraId="6F130BFF" w14:textId="77777777" w:rsidR="00FD261A" w:rsidRPr="00FD261A" w:rsidRDefault="00FD261A" w:rsidP="00FD261A">
            <w:pPr>
              <w:jc w:val="both"/>
              <w:rPr>
                <w:rFonts w:ascii="Arial Narrow" w:hAnsi="Arial Narrow" w:cs="Calibri"/>
                <w:i/>
                <w:iCs/>
                <w:color w:val="000000"/>
                <w:sz w:val="22"/>
                <w:szCs w:val="22"/>
                <w:lang w:val="es-CR" w:eastAsia="es-CR"/>
              </w:rPr>
            </w:pPr>
          </w:p>
          <w:p w14:paraId="48C01D0A" w14:textId="77777777" w:rsidR="00FD261A" w:rsidRPr="00FD261A" w:rsidRDefault="00FD261A" w:rsidP="00FD261A">
            <w:pPr>
              <w:jc w:val="both"/>
              <w:rPr>
                <w:rFonts w:ascii="Arial Narrow" w:hAnsi="Arial Narrow" w:cs="Calibri"/>
                <w:i/>
                <w:iCs/>
                <w:color w:val="000000"/>
                <w:sz w:val="22"/>
                <w:szCs w:val="22"/>
                <w:lang w:val="es-CR" w:eastAsia="es-CR"/>
              </w:rPr>
            </w:pPr>
          </w:p>
          <w:p w14:paraId="0D26D596" w14:textId="77777777" w:rsidR="00FD261A" w:rsidRPr="00FD261A" w:rsidRDefault="00FD261A" w:rsidP="00FD261A">
            <w:pPr>
              <w:jc w:val="both"/>
              <w:rPr>
                <w:rFonts w:ascii="Arial Narrow" w:hAnsi="Arial Narrow" w:cs="Calibri"/>
                <w:i/>
                <w:iCs/>
                <w:color w:val="000000"/>
                <w:sz w:val="22"/>
                <w:szCs w:val="22"/>
                <w:lang w:val="es-CR" w:eastAsia="es-CR"/>
              </w:rPr>
            </w:pPr>
          </w:p>
          <w:p w14:paraId="25DCA3E0" w14:textId="77777777" w:rsidR="00FD261A" w:rsidRPr="00FD261A" w:rsidRDefault="00FD261A" w:rsidP="00FD261A">
            <w:pPr>
              <w:jc w:val="both"/>
              <w:rPr>
                <w:rFonts w:ascii="Arial Narrow" w:hAnsi="Arial Narrow" w:cs="Calibri"/>
                <w:i/>
                <w:iCs/>
                <w:color w:val="000000"/>
                <w:sz w:val="22"/>
                <w:szCs w:val="22"/>
                <w:lang w:val="es-CR" w:eastAsia="es-CR"/>
              </w:rPr>
            </w:pPr>
          </w:p>
        </w:tc>
        <w:tc>
          <w:tcPr>
            <w:tcW w:w="1280" w:type="pct"/>
            <w:tcBorders>
              <w:top w:val="nil"/>
              <w:left w:val="nil"/>
              <w:bottom w:val="single" w:sz="4" w:space="0" w:color="auto"/>
              <w:right w:val="single" w:sz="4" w:space="0" w:color="auto"/>
            </w:tcBorders>
            <w:shd w:val="clear" w:color="auto" w:fill="auto"/>
            <w:vAlign w:val="center"/>
            <w:hideMark/>
          </w:tcPr>
          <w:p w14:paraId="1C878DB0"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Al respecto, en efecto la Sala Primera ha superado las metas anuales de casos terminados establecidas dentro del PEI 2019-2024, según se ha reportado en los Planes Anuales Operativos.  El comportamiento observado en esta variable, tiene como base el buen desempeño que han mostrado cada una de las áreas de trabajo, de admisión, competencias y fondo, que también ha permitido la disminución en el circulante. Otro de los aspectos que han contribuido al crecimiento de los casos terminados, ha sido la identificación de casos de conflictos de competencia con características similares (como por ejemplo en cobro judicial), que ha permitido realizar proyectos de resolución que se tramitan en forma masiva; sin embargo, cada vez es menos frecuente que se ubiquen grupos de casos con características idénticas.</w:t>
            </w:r>
            <w:r w:rsidRPr="00FD261A">
              <w:rPr>
                <w:rFonts w:ascii="Arial Narrow" w:hAnsi="Arial Narrow" w:cs="Calibri"/>
                <w:color w:val="000000"/>
                <w:sz w:val="22"/>
                <w:szCs w:val="22"/>
                <w:lang w:val="es-CR" w:eastAsia="es-CR"/>
              </w:rPr>
              <w:br/>
              <w:t xml:space="preserve">En vista de que la recomendación del informe es que se haga una modificación de la meta, se solicita que la propuesta sea puesta previamente en conocimiento de la Sala Primera, no solo en cuanto al dato estimado, sino en lo que respecta a la metodología y la base datos utilizada para su construcción. Asimismo, es importante que, para la construcción de un pronóstico de casos terminados, se estudie el histórico de esta variable por tipo de asunto, así como la correlación existente con la composición del circulante por tipo de asunto (casación, competencias, arbitrales) para determinar la complejidad de los casos existente y tener más precisión sobre potencial de productividad que podría asumir esta Sala en los próximos años. </w:t>
            </w:r>
          </w:p>
        </w:tc>
        <w:tc>
          <w:tcPr>
            <w:tcW w:w="1152" w:type="pct"/>
            <w:tcBorders>
              <w:top w:val="nil"/>
              <w:left w:val="nil"/>
              <w:bottom w:val="single" w:sz="4" w:space="0" w:color="auto"/>
              <w:right w:val="single" w:sz="4" w:space="0" w:color="auto"/>
            </w:tcBorders>
            <w:shd w:val="clear" w:color="auto" w:fill="auto"/>
            <w:vAlign w:val="center"/>
            <w:hideMark/>
          </w:tcPr>
          <w:p w14:paraId="17534D17"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 xml:space="preserve">Se toma nota de la observación  de la Sala Primera y se contesta lo siguiente: </w:t>
            </w:r>
            <w:r w:rsidRPr="00FD261A">
              <w:rPr>
                <w:rFonts w:ascii="Arial Narrow" w:hAnsi="Arial Narrow" w:cs="Calibri"/>
                <w:color w:val="000000"/>
                <w:sz w:val="22"/>
                <w:szCs w:val="22"/>
                <w:lang w:val="es-CR" w:eastAsia="es-CR"/>
              </w:rPr>
              <w:br/>
            </w:r>
            <w:r w:rsidRPr="00FD261A">
              <w:rPr>
                <w:rFonts w:ascii="Arial Narrow" w:hAnsi="Arial Narrow" w:cs="Calibri"/>
                <w:color w:val="000000"/>
                <w:sz w:val="22"/>
                <w:szCs w:val="22"/>
                <w:lang w:val="es-CR" w:eastAsia="es-CR"/>
              </w:rPr>
              <w:br/>
              <w:t xml:space="preserve">Con respecto a modificación y ajustes a la línea base de la meta estratégica se tiene el informe 1281-PLA-PE-2021 realizado por el Subproceso de Planificación Estratégica, por medio del cual se recomienda valorar el ajuste en los objetivos y metas del Plan Estratégico Institucional 2019-2024, relacionados con los “casos terminados” de las instancias primeras y superiores del ámbito jurisdiccional, dado que en este informe se estimó un incremento de 25% el valor de meta para el 2021, por lo que proponen tomar como nueva línea base la cantidad de casos terminados 2021 y que se establezca como meta para los años 2022, 2023 y 2024 un incremento en un 1% adicional con relación a la meta de años anteriores, el cual se le envió copia del informe definitivo a la Sala Primera el 09 de noviembre del 2021 y  se encuentra pendiente de ser aprobado por el Corte Plena. </w:t>
            </w:r>
          </w:p>
        </w:tc>
        <w:tc>
          <w:tcPr>
            <w:tcW w:w="136" w:type="pct"/>
            <w:vAlign w:val="center"/>
            <w:hideMark/>
          </w:tcPr>
          <w:p w14:paraId="71C12F03" w14:textId="77777777" w:rsidR="00FD261A" w:rsidRPr="00FD261A" w:rsidRDefault="00FD261A" w:rsidP="00FD261A">
            <w:pPr>
              <w:jc w:val="both"/>
              <w:rPr>
                <w:rFonts w:ascii="Arial Narrow" w:hAnsi="Arial Narrow"/>
                <w:sz w:val="22"/>
                <w:szCs w:val="22"/>
                <w:lang w:val="es-CR" w:eastAsia="es-CR"/>
              </w:rPr>
            </w:pPr>
          </w:p>
        </w:tc>
      </w:tr>
      <w:tr w:rsidR="00247F11" w:rsidRPr="00FD261A" w14:paraId="667E137D" w14:textId="77777777" w:rsidTr="00866166">
        <w:trPr>
          <w:trHeight w:val="3500"/>
        </w:trPr>
        <w:tc>
          <w:tcPr>
            <w:tcW w:w="768" w:type="pct"/>
            <w:vMerge w:val="restart"/>
            <w:tcBorders>
              <w:top w:val="nil"/>
              <w:left w:val="single" w:sz="4" w:space="0" w:color="auto"/>
              <w:bottom w:val="single" w:sz="4" w:space="0" w:color="auto"/>
              <w:right w:val="single" w:sz="4" w:space="0" w:color="auto"/>
            </w:tcBorders>
            <w:shd w:val="clear" w:color="auto" w:fill="auto"/>
            <w:vAlign w:val="center"/>
            <w:hideMark/>
          </w:tcPr>
          <w:p w14:paraId="6F8D5BA5"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Departamento de Trabajo Social y Psicología</w:t>
            </w:r>
          </w:p>
        </w:tc>
        <w:tc>
          <w:tcPr>
            <w:tcW w:w="448" w:type="pct"/>
            <w:tcBorders>
              <w:top w:val="nil"/>
              <w:left w:val="nil"/>
              <w:bottom w:val="single" w:sz="4" w:space="0" w:color="auto"/>
              <w:right w:val="single" w:sz="4" w:space="0" w:color="auto"/>
            </w:tcBorders>
            <w:shd w:val="clear" w:color="auto" w:fill="auto"/>
            <w:vAlign w:val="center"/>
            <w:hideMark/>
          </w:tcPr>
          <w:p w14:paraId="1D01A94D" w14:textId="77777777" w:rsidR="00FD261A" w:rsidRPr="00FD261A" w:rsidRDefault="00FD261A" w:rsidP="00FD261A">
            <w:pPr>
              <w:jc w:val="center"/>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43</w:t>
            </w:r>
          </w:p>
        </w:tc>
        <w:tc>
          <w:tcPr>
            <w:tcW w:w="1216" w:type="pct"/>
            <w:tcBorders>
              <w:top w:val="nil"/>
              <w:left w:val="nil"/>
              <w:bottom w:val="single" w:sz="4" w:space="0" w:color="auto"/>
              <w:right w:val="single" w:sz="4" w:space="0" w:color="auto"/>
            </w:tcBorders>
            <w:shd w:val="clear" w:color="auto" w:fill="auto"/>
            <w:hideMark/>
          </w:tcPr>
          <w:p w14:paraId="63C8B93A" w14:textId="77777777" w:rsidR="00FD261A" w:rsidRPr="00FD261A" w:rsidRDefault="00FD261A" w:rsidP="00FD261A">
            <w:pPr>
              <w:jc w:val="center"/>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3</w:t>
            </w:r>
          </w:p>
        </w:tc>
        <w:tc>
          <w:tcPr>
            <w:tcW w:w="1280" w:type="pct"/>
            <w:tcBorders>
              <w:top w:val="nil"/>
              <w:left w:val="nil"/>
              <w:bottom w:val="single" w:sz="4" w:space="0" w:color="auto"/>
              <w:right w:val="single" w:sz="4" w:space="0" w:color="auto"/>
            </w:tcBorders>
            <w:shd w:val="clear" w:color="auto" w:fill="auto"/>
            <w:vAlign w:val="center"/>
            <w:hideMark/>
          </w:tcPr>
          <w:p w14:paraId="2676C023"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 xml:space="preserve">Se indica que 4 oficinas no lograron el 100%, siendo una de estas la oficina de Trabajo Social y Psicología de San Carlos, de la cual se justificó que “no se da el cumplimento debido a que, en varias ocasiones de incapacidad, ascensos u otros no se contó con la sustitución requerida, generando una disminución en la cantidad de informes realizados”, aspecto que efectivamente podría estar incidiendo, pero que también debe considerarse los cierres de la oficina para limpieza por casos sospechosos o confirmados por COVID-19, lo que generó suspensión del servicio y reprogramación de citas. Asimismo, considerar que algunas de las incapacidades o ascensos que no se pudieron sustituir fue porque la cantidad de días no alcanzaba a 7 hábiles que es el mínimo autorizado para sustitución de conformidad con el Plan de Vacaciones Institucional. </w:t>
            </w:r>
          </w:p>
        </w:tc>
        <w:tc>
          <w:tcPr>
            <w:tcW w:w="1152" w:type="pct"/>
            <w:tcBorders>
              <w:top w:val="nil"/>
              <w:left w:val="nil"/>
              <w:bottom w:val="single" w:sz="4" w:space="0" w:color="auto"/>
              <w:right w:val="single" w:sz="4" w:space="0" w:color="auto"/>
            </w:tcBorders>
            <w:shd w:val="clear" w:color="auto" w:fill="auto"/>
            <w:vAlign w:val="bottom"/>
            <w:hideMark/>
          </w:tcPr>
          <w:p w14:paraId="34B5BEEE"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Se toma nota de la observación y se procede a ampliar la redacción de la meta estratégica.</w:t>
            </w:r>
          </w:p>
          <w:p w14:paraId="3B6A7D7D" w14:textId="77777777" w:rsidR="00FD261A" w:rsidRPr="00FD261A" w:rsidRDefault="00FD261A" w:rsidP="00FD261A">
            <w:pPr>
              <w:jc w:val="both"/>
              <w:rPr>
                <w:rFonts w:ascii="Arial Narrow" w:hAnsi="Arial Narrow" w:cs="Calibri"/>
                <w:color w:val="000000"/>
                <w:sz w:val="22"/>
                <w:szCs w:val="22"/>
                <w:lang w:val="es-CR" w:eastAsia="es-CR"/>
              </w:rPr>
            </w:pPr>
          </w:p>
          <w:p w14:paraId="7F5CF3C1" w14:textId="77777777" w:rsidR="00FD261A" w:rsidRPr="00FD261A" w:rsidRDefault="00FD261A" w:rsidP="00FD261A">
            <w:pPr>
              <w:jc w:val="both"/>
              <w:rPr>
                <w:rFonts w:ascii="Arial Narrow" w:hAnsi="Arial Narrow" w:cs="Calibri"/>
                <w:color w:val="000000"/>
                <w:sz w:val="22"/>
                <w:szCs w:val="22"/>
                <w:lang w:val="es-CR" w:eastAsia="es-CR"/>
              </w:rPr>
            </w:pPr>
          </w:p>
          <w:p w14:paraId="2C004107" w14:textId="77777777" w:rsidR="00FD261A" w:rsidRPr="00FD261A" w:rsidRDefault="00FD261A" w:rsidP="00FD261A">
            <w:pPr>
              <w:jc w:val="both"/>
              <w:rPr>
                <w:rFonts w:ascii="Arial Narrow" w:hAnsi="Arial Narrow" w:cs="Calibri"/>
                <w:color w:val="000000"/>
                <w:sz w:val="22"/>
                <w:szCs w:val="22"/>
                <w:lang w:val="es-CR" w:eastAsia="es-CR"/>
              </w:rPr>
            </w:pPr>
          </w:p>
          <w:p w14:paraId="20CB8495" w14:textId="77777777" w:rsidR="00FD261A" w:rsidRPr="00FD261A" w:rsidRDefault="00FD261A" w:rsidP="00FD261A">
            <w:pPr>
              <w:jc w:val="both"/>
              <w:rPr>
                <w:rFonts w:ascii="Arial Narrow" w:hAnsi="Arial Narrow" w:cs="Calibri"/>
                <w:color w:val="000000"/>
                <w:sz w:val="22"/>
                <w:szCs w:val="22"/>
                <w:lang w:val="es-CR" w:eastAsia="es-CR"/>
              </w:rPr>
            </w:pPr>
          </w:p>
          <w:p w14:paraId="3AAA1634" w14:textId="77777777" w:rsidR="00FD261A" w:rsidRPr="00FD261A" w:rsidRDefault="00FD261A" w:rsidP="00FD261A">
            <w:pPr>
              <w:jc w:val="both"/>
              <w:rPr>
                <w:rFonts w:ascii="Arial Narrow" w:hAnsi="Arial Narrow" w:cs="Calibri"/>
                <w:color w:val="000000"/>
                <w:sz w:val="22"/>
                <w:szCs w:val="22"/>
                <w:lang w:val="es-CR" w:eastAsia="es-CR"/>
              </w:rPr>
            </w:pPr>
          </w:p>
          <w:p w14:paraId="2A22AD12" w14:textId="77777777" w:rsidR="00FD261A" w:rsidRPr="00FD261A" w:rsidRDefault="00FD261A" w:rsidP="00FD261A">
            <w:pPr>
              <w:jc w:val="both"/>
              <w:rPr>
                <w:rFonts w:ascii="Arial Narrow" w:hAnsi="Arial Narrow" w:cs="Calibri"/>
                <w:color w:val="000000"/>
                <w:sz w:val="22"/>
                <w:szCs w:val="22"/>
                <w:lang w:val="es-CR" w:eastAsia="es-CR"/>
              </w:rPr>
            </w:pPr>
          </w:p>
          <w:p w14:paraId="0F565FC3" w14:textId="77777777" w:rsidR="00FD261A" w:rsidRPr="00FD261A" w:rsidRDefault="00FD261A" w:rsidP="00FD261A">
            <w:pPr>
              <w:jc w:val="both"/>
              <w:rPr>
                <w:rFonts w:ascii="Arial Narrow" w:hAnsi="Arial Narrow" w:cs="Calibri"/>
                <w:color w:val="000000"/>
                <w:sz w:val="22"/>
                <w:szCs w:val="22"/>
                <w:lang w:val="es-CR" w:eastAsia="es-CR"/>
              </w:rPr>
            </w:pPr>
          </w:p>
          <w:p w14:paraId="7FA4759B" w14:textId="77777777" w:rsidR="00FD261A" w:rsidRPr="00FD261A" w:rsidRDefault="00FD261A" w:rsidP="00FD261A">
            <w:pPr>
              <w:jc w:val="both"/>
              <w:rPr>
                <w:rFonts w:ascii="Arial Narrow" w:hAnsi="Arial Narrow" w:cs="Calibri"/>
                <w:color w:val="000000"/>
                <w:sz w:val="22"/>
                <w:szCs w:val="22"/>
                <w:lang w:val="es-CR" w:eastAsia="es-CR"/>
              </w:rPr>
            </w:pPr>
          </w:p>
        </w:tc>
        <w:tc>
          <w:tcPr>
            <w:tcW w:w="136" w:type="pct"/>
            <w:vAlign w:val="center"/>
            <w:hideMark/>
          </w:tcPr>
          <w:p w14:paraId="6340BD3C" w14:textId="77777777" w:rsidR="00FD261A" w:rsidRPr="00FD261A" w:rsidRDefault="00FD261A" w:rsidP="00FD261A">
            <w:pPr>
              <w:jc w:val="both"/>
              <w:rPr>
                <w:rFonts w:ascii="Arial Narrow" w:hAnsi="Arial Narrow"/>
                <w:sz w:val="22"/>
                <w:szCs w:val="22"/>
                <w:lang w:val="es-CR" w:eastAsia="es-CR"/>
              </w:rPr>
            </w:pPr>
          </w:p>
        </w:tc>
      </w:tr>
      <w:tr w:rsidR="00247F11" w:rsidRPr="00FD261A" w14:paraId="5FAAB78C" w14:textId="77777777" w:rsidTr="00866166">
        <w:trPr>
          <w:trHeight w:val="4490"/>
        </w:trPr>
        <w:tc>
          <w:tcPr>
            <w:tcW w:w="768" w:type="pct"/>
            <w:vMerge/>
            <w:tcBorders>
              <w:top w:val="nil"/>
              <w:left w:val="single" w:sz="4" w:space="0" w:color="auto"/>
              <w:bottom w:val="single" w:sz="4" w:space="0" w:color="auto"/>
              <w:right w:val="single" w:sz="4" w:space="0" w:color="auto"/>
            </w:tcBorders>
            <w:vAlign w:val="center"/>
            <w:hideMark/>
          </w:tcPr>
          <w:p w14:paraId="6C2DC0F4" w14:textId="77777777" w:rsidR="00FD261A" w:rsidRPr="00FD261A" w:rsidRDefault="00FD261A" w:rsidP="00FD261A">
            <w:pPr>
              <w:jc w:val="both"/>
              <w:rPr>
                <w:rFonts w:ascii="Arial Narrow" w:hAnsi="Arial Narrow" w:cs="Calibri"/>
                <w:color w:val="000000"/>
                <w:sz w:val="22"/>
                <w:szCs w:val="22"/>
                <w:lang w:val="es-CR" w:eastAsia="es-CR"/>
              </w:rPr>
            </w:pPr>
          </w:p>
        </w:tc>
        <w:tc>
          <w:tcPr>
            <w:tcW w:w="448" w:type="pct"/>
            <w:tcBorders>
              <w:top w:val="nil"/>
              <w:left w:val="nil"/>
              <w:bottom w:val="single" w:sz="4" w:space="0" w:color="auto"/>
              <w:right w:val="single" w:sz="4" w:space="0" w:color="auto"/>
            </w:tcBorders>
            <w:shd w:val="clear" w:color="auto" w:fill="auto"/>
            <w:vAlign w:val="center"/>
            <w:hideMark/>
          </w:tcPr>
          <w:p w14:paraId="3250459B" w14:textId="77777777" w:rsidR="00FD261A" w:rsidRPr="00FD261A" w:rsidRDefault="00FD261A" w:rsidP="00FD261A">
            <w:pPr>
              <w:jc w:val="center"/>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120</w:t>
            </w:r>
          </w:p>
        </w:tc>
        <w:tc>
          <w:tcPr>
            <w:tcW w:w="1216" w:type="pct"/>
            <w:tcBorders>
              <w:top w:val="nil"/>
              <w:left w:val="nil"/>
              <w:bottom w:val="single" w:sz="4" w:space="0" w:color="auto"/>
              <w:right w:val="single" w:sz="4" w:space="0" w:color="auto"/>
            </w:tcBorders>
            <w:shd w:val="clear" w:color="auto" w:fill="auto"/>
            <w:hideMark/>
          </w:tcPr>
          <w:p w14:paraId="4C8B139D"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Tabla 3, línea 23</w:t>
            </w:r>
          </w:p>
        </w:tc>
        <w:tc>
          <w:tcPr>
            <w:tcW w:w="1280" w:type="pct"/>
            <w:tcBorders>
              <w:top w:val="nil"/>
              <w:left w:val="nil"/>
              <w:bottom w:val="single" w:sz="4" w:space="0" w:color="auto"/>
              <w:right w:val="single" w:sz="4" w:space="0" w:color="auto"/>
            </w:tcBorders>
            <w:shd w:val="clear" w:color="auto" w:fill="auto"/>
            <w:vAlign w:val="center"/>
            <w:hideMark/>
          </w:tcPr>
          <w:p w14:paraId="0E7C52BE"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De acuerdo con lo reportado en este cuadro de que el Departamento de Trabajo Social y Psicología cumplió en el 2021 con el 97% de la meta estratégica, surge la inquietud si el porcentaje es el correcto, debido a que en la página 43 al referirse a las metas estratégicas de celeridad judicial y su cumplimiento para el 2021, en el último párrafo se indica que se cumplió con el 100%:</w:t>
            </w:r>
            <w:r w:rsidRPr="00FD261A">
              <w:rPr>
                <w:rFonts w:ascii="Arial Narrow" w:hAnsi="Arial Narrow" w:cs="Calibri"/>
                <w:color w:val="000000"/>
                <w:sz w:val="22"/>
                <w:szCs w:val="22"/>
                <w:lang w:val="es-CR" w:eastAsia="es-CR"/>
              </w:rPr>
              <w:br/>
            </w:r>
            <w:r w:rsidRPr="00FD261A">
              <w:rPr>
                <w:rFonts w:ascii="Arial Narrow" w:hAnsi="Arial Narrow" w:cs="Calibri"/>
                <w:color w:val="000000"/>
                <w:sz w:val="22"/>
                <w:szCs w:val="22"/>
                <w:lang w:val="es-CR" w:eastAsia="es-CR"/>
              </w:rPr>
              <w:br/>
              <w:t xml:space="preserve"> “Con respecto a la meta sobre la cantidad de informes periciales elaborados o rendidos en las oficinas del Departamento de Trabajo Social y Psicología por año, … para el 2021 se registra el dato más alto del periodo con 16.584 informes periciales elaborados o rendidos en las oficinas, lo que representa de igual manera un cumplimiento del 100%. </w:t>
            </w:r>
          </w:p>
          <w:p w14:paraId="527EFB4B" w14:textId="77777777" w:rsidR="00FD261A" w:rsidRPr="00FD261A" w:rsidRDefault="00FD261A" w:rsidP="00FD261A">
            <w:pPr>
              <w:jc w:val="both"/>
              <w:rPr>
                <w:rFonts w:ascii="Arial Narrow" w:hAnsi="Arial Narrow" w:cs="Calibri"/>
                <w:color w:val="000000"/>
                <w:sz w:val="22"/>
                <w:szCs w:val="22"/>
                <w:lang w:val="es-CR" w:eastAsia="es-CR"/>
              </w:rPr>
            </w:pPr>
          </w:p>
          <w:p w14:paraId="6C7B55E5" w14:textId="77777777" w:rsidR="00FD261A" w:rsidRPr="00FD261A" w:rsidRDefault="00FD261A" w:rsidP="00FD261A">
            <w:pPr>
              <w:jc w:val="both"/>
              <w:rPr>
                <w:rFonts w:ascii="Arial Narrow" w:hAnsi="Arial Narrow" w:cs="Calibri"/>
                <w:color w:val="000000"/>
                <w:sz w:val="22"/>
                <w:szCs w:val="22"/>
                <w:lang w:val="es-CR" w:eastAsia="es-CR"/>
              </w:rPr>
            </w:pPr>
          </w:p>
          <w:p w14:paraId="529B1060" w14:textId="77777777" w:rsidR="00FD261A" w:rsidRPr="00FD261A" w:rsidRDefault="00FD261A" w:rsidP="00FD261A">
            <w:pPr>
              <w:jc w:val="both"/>
              <w:rPr>
                <w:rFonts w:ascii="Arial Narrow" w:hAnsi="Arial Narrow" w:cs="Calibri"/>
                <w:color w:val="000000"/>
                <w:sz w:val="22"/>
                <w:szCs w:val="22"/>
                <w:lang w:val="es-CR" w:eastAsia="es-CR"/>
              </w:rPr>
            </w:pPr>
          </w:p>
          <w:p w14:paraId="21D01927" w14:textId="77777777" w:rsidR="00FD261A" w:rsidRPr="00FD261A" w:rsidRDefault="00FD261A" w:rsidP="00FD261A">
            <w:pPr>
              <w:jc w:val="both"/>
              <w:rPr>
                <w:rFonts w:ascii="Arial Narrow" w:hAnsi="Arial Narrow" w:cs="Calibri"/>
                <w:color w:val="000000"/>
                <w:sz w:val="22"/>
                <w:szCs w:val="22"/>
                <w:lang w:val="es-CR" w:eastAsia="es-CR"/>
              </w:rPr>
            </w:pPr>
          </w:p>
        </w:tc>
        <w:tc>
          <w:tcPr>
            <w:tcW w:w="1152" w:type="pct"/>
            <w:tcBorders>
              <w:top w:val="nil"/>
              <w:left w:val="nil"/>
              <w:bottom w:val="single" w:sz="4" w:space="0" w:color="auto"/>
              <w:right w:val="single" w:sz="4" w:space="0" w:color="auto"/>
            </w:tcBorders>
            <w:shd w:val="clear" w:color="auto" w:fill="auto"/>
            <w:vAlign w:val="bottom"/>
            <w:hideMark/>
          </w:tcPr>
          <w:p w14:paraId="4761C4AF" w14:textId="77777777" w:rsidR="00FD261A" w:rsidRPr="00FD261A" w:rsidRDefault="00FD261A" w:rsidP="00FD261A">
            <w:pPr>
              <w:jc w:val="both"/>
              <w:rPr>
                <w:rFonts w:ascii="Arial Narrow" w:hAnsi="Arial Narrow" w:cs="Calibri"/>
                <w:i/>
                <w:iCs/>
                <w:color w:val="000000"/>
                <w:sz w:val="22"/>
                <w:szCs w:val="22"/>
                <w:lang w:val="es-CR" w:eastAsia="es-CR"/>
              </w:rPr>
            </w:pPr>
            <w:r w:rsidRPr="00FD261A">
              <w:rPr>
                <w:rFonts w:ascii="Arial Narrow" w:hAnsi="Arial Narrow" w:cs="Calibri"/>
                <w:color w:val="000000"/>
                <w:sz w:val="22"/>
                <w:szCs w:val="22"/>
                <w:lang w:val="es-CR" w:eastAsia="es-CR"/>
              </w:rPr>
              <w:t>Se toma nota de la observación y se procede a aclarar y ampliar en el informe lo siguiente:</w:t>
            </w:r>
            <w:r w:rsidRPr="00FD261A">
              <w:rPr>
                <w:rFonts w:ascii="Arial Narrow" w:hAnsi="Arial Narrow" w:cs="Calibri"/>
                <w:color w:val="000000"/>
                <w:sz w:val="22"/>
                <w:szCs w:val="22"/>
                <w:lang w:val="es-CR" w:eastAsia="es-CR"/>
              </w:rPr>
              <w:br/>
            </w:r>
            <w:r w:rsidRPr="00FD261A">
              <w:rPr>
                <w:rFonts w:ascii="Arial Narrow" w:hAnsi="Arial Narrow" w:cs="Calibri"/>
                <w:i/>
                <w:iCs/>
                <w:color w:val="000000"/>
                <w:sz w:val="22"/>
                <w:szCs w:val="22"/>
                <w:lang w:val="es-CR" w:eastAsia="es-CR"/>
              </w:rPr>
              <w:br/>
              <w:t>"Con respecto al 97% reportado por el Departamento de Trabajo Social y Psicología para el año 2021, se debe a que cuatro oficinas indicadas anteriormente no lograron cumplir la meta en su totalidad. Cabe aclarar que este Departamento para el 2021 logró sobrepasar la meta esperada en un 4%, sin embargo, al no darse el cumplimiento por parte de esas cuatro oficinas la meta estratégica vinculada directamente al sistema reflejó un 97% equivalente al cumplimiento anual del PEI para el año 2021 (el cumplimiento acumulado si refleja a un 100%)."</w:t>
            </w:r>
          </w:p>
          <w:p w14:paraId="0CC34D69" w14:textId="77777777" w:rsidR="00FD261A" w:rsidRPr="00FD261A" w:rsidRDefault="00FD261A" w:rsidP="00FD261A">
            <w:pPr>
              <w:jc w:val="both"/>
              <w:rPr>
                <w:rFonts w:ascii="Arial Narrow" w:hAnsi="Arial Narrow" w:cs="Calibri"/>
                <w:color w:val="000000"/>
                <w:sz w:val="22"/>
                <w:szCs w:val="22"/>
                <w:lang w:val="es-CR" w:eastAsia="es-CR"/>
              </w:rPr>
            </w:pPr>
          </w:p>
          <w:p w14:paraId="3B7D74D6" w14:textId="77777777" w:rsidR="00FD261A" w:rsidRPr="00FD261A" w:rsidRDefault="00FD261A" w:rsidP="00FD261A">
            <w:pPr>
              <w:jc w:val="both"/>
              <w:rPr>
                <w:rFonts w:ascii="Arial Narrow" w:hAnsi="Arial Narrow" w:cs="Calibri"/>
                <w:color w:val="000000"/>
                <w:sz w:val="22"/>
                <w:szCs w:val="22"/>
                <w:lang w:val="es-CR" w:eastAsia="es-CR"/>
              </w:rPr>
            </w:pPr>
          </w:p>
          <w:p w14:paraId="56F7F85A" w14:textId="77777777" w:rsidR="00FD261A" w:rsidRPr="00FD261A" w:rsidRDefault="00FD261A" w:rsidP="00FD261A">
            <w:pPr>
              <w:jc w:val="both"/>
              <w:rPr>
                <w:rFonts w:ascii="Arial Narrow" w:hAnsi="Arial Narrow" w:cs="Calibri"/>
                <w:color w:val="000000"/>
                <w:sz w:val="22"/>
                <w:szCs w:val="22"/>
                <w:lang w:val="es-CR" w:eastAsia="es-CR"/>
              </w:rPr>
            </w:pPr>
          </w:p>
        </w:tc>
        <w:tc>
          <w:tcPr>
            <w:tcW w:w="136" w:type="pct"/>
            <w:vAlign w:val="center"/>
            <w:hideMark/>
          </w:tcPr>
          <w:p w14:paraId="01FF80E5" w14:textId="77777777" w:rsidR="00FD261A" w:rsidRPr="00FD261A" w:rsidRDefault="00FD261A" w:rsidP="00FD261A">
            <w:pPr>
              <w:jc w:val="both"/>
              <w:rPr>
                <w:rFonts w:ascii="Arial Narrow" w:hAnsi="Arial Narrow"/>
                <w:sz w:val="22"/>
                <w:szCs w:val="22"/>
                <w:lang w:val="es-CR" w:eastAsia="es-CR"/>
              </w:rPr>
            </w:pPr>
          </w:p>
        </w:tc>
      </w:tr>
      <w:tr w:rsidR="00247F11" w:rsidRPr="00FD261A" w14:paraId="7515EEB6" w14:textId="77777777" w:rsidTr="00645122">
        <w:trPr>
          <w:trHeight w:val="1710"/>
        </w:trPr>
        <w:tc>
          <w:tcPr>
            <w:tcW w:w="768" w:type="pct"/>
            <w:tcBorders>
              <w:top w:val="nil"/>
              <w:left w:val="single" w:sz="4" w:space="0" w:color="auto"/>
              <w:bottom w:val="single" w:sz="4" w:space="0" w:color="auto"/>
              <w:right w:val="single" w:sz="4" w:space="0" w:color="auto"/>
            </w:tcBorders>
            <w:shd w:val="clear" w:color="auto" w:fill="auto"/>
            <w:vAlign w:val="center"/>
            <w:hideMark/>
          </w:tcPr>
          <w:p w14:paraId="2A97D2A8"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 xml:space="preserve">Dirección de Gestión Humana </w:t>
            </w:r>
          </w:p>
        </w:tc>
        <w:tc>
          <w:tcPr>
            <w:tcW w:w="448" w:type="pct"/>
            <w:tcBorders>
              <w:top w:val="nil"/>
              <w:left w:val="nil"/>
              <w:bottom w:val="single" w:sz="4" w:space="0" w:color="auto"/>
              <w:right w:val="single" w:sz="4" w:space="0" w:color="auto"/>
            </w:tcBorders>
            <w:shd w:val="clear" w:color="auto" w:fill="auto"/>
            <w:vAlign w:val="center"/>
            <w:hideMark/>
          </w:tcPr>
          <w:p w14:paraId="1D7944F6" w14:textId="77777777" w:rsidR="00FD261A" w:rsidRPr="00FD261A" w:rsidRDefault="00FD261A" w:rsidP="00FD261A">
            <w:pPr>
              <w:jc w:val="center"/>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ES" w:eastAsia="es-CR"/>
              </w:rPr>
              <w:t>88</w:t>
            </w:r>
          </w:p>
        </w:tc>
        <w:tc>
          <w:tcPr>
            <w:tcW w:w="1216" w:type="pct"/>
            <w:tcBorders>
              <w:top w:val="nil"/>
              <w:left w:val="nil"/>
              <w:bottom w:val="single" w:sz="4" w:space="0" w:color="auto"/>
              <w:right w:val="single" w:sz="4" w:space="0" w:color="auto"/>
            </w:tcBorders>
            <w:shd w:val="clear" w:color="auto" w:fill="auto"/>
            <w:vAlign w:val="center"/>
            <w:hideMark/>
          </w:tcPr>
          <w:p w14:paraId="5057413F" w14:textId="77777777" w:rsidR="00FD261A" w:rsidRPr="00FD261A" w:rsidRDefault="00FD261A" w:rsidP="00FD261A">
            <w:pPr>
              <w:jc w:val="both"/>
              <w:rPr>
                <w:rFonts w:ascii="Arial Narrow" w:hAnsi="Arial Narrow" w:cs="Calibri"/>
                <w:color w:val="000000"/>
                <w:sz w:val="22"/>
                <w:szCs w:val="22"/>
                <w:lang w:val="es-CR" w:eastAsia="es-CR"/>
              </w:rPr>
            </w:pPr>
            <w:bookmarkStart w:id="219" w:name="RANGE!E41"/>
            <w:r w:rsidRPr="00FD261A">
              <w:rPr>
                <w:rFonts w:ascii="Arial Narrow" w:hAnsi="Arial Narrow" w:cs="Calibri"/>
                <w:color w:val="000000"/>
                <w:sz w:val="22"/>
                <w:szCs w:val="22"/>
                <w:lang w:val="es-ES" w:eastAsia="es-CR"/>
              </w:rPr>
              <w:t>… Esto será abordado en la construcción de la Política de Teletrabajo por una Comisión especial conformada de Magistrados y algunas personas integrantes de la Comisión Institucional de Teletrabajo; ya se dispone acta de la Comisión Institucional de Teletrabajo donde se conoce el primer avance de dicha Política. Finalmente, se han realizado las comunicaciones necesarias a la población judicial mediante cápsulas informáticas sobre el Programa de Teletrabajo, como por ejemplo la circular PJ-DGH-C-014-2021, donde se comunica la nueva declaración jurada de condiciones laborales para el Teletrabajo, entre otras comunicaciones.</w:t>
            </w:r>
            <w:bookmarkEnd w:id="219"/>
          </w:p>
        </w:tc>
        <w:tc>
          <w:tcPr>
            <w:tcW w:w="1280" w:type="pct"/>
            <w:tcBorders>
              <w:top w:val="nil"/>
              <w:left w:val="nil"/>
              <w:bottom w:val="single" w:sz="4" w:space="0" w:color="auto"/>
              <w:right w:val="single" w:sz="4" w:space="0" w:color="auto"/>
            </w:tcBorders>
            <w:shd w:val="clear" w:color="auto" w:fill="auto"/>
            <w:vAlign w:val="center"/>
            <w:hideMark/>
          </w:tcPr>
          <w:p w14:paraId="3E6EEA59"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ES" w:eastAsia="es-CR"/>
              </w:rPr>
              <w:t>Se requiere indicar lo mencionado en el documento adjunto “Informe Cumplimiento PEI – Política de teletrabajo” en donde se indica el avance a la fecha del proyecto de la política.</w:t>
            </w:r>
          </w:p>
        </w:tc>
        <w:tc>
          <w:tcPr>
            <w:tcW w:w="1152" w:type="pct"/>
            <w:tcBorders>
              <w:top w:val="nil"/>
              <w:left w:val="nil"/>
              <w:bottom w:val="single" w:sz="4" w:space="0" w:color="auto"/>
              <w:right w:val="single" w:sz="4" w:space="0" w:color="auto"/>
            </w:tcBorders>
            <w:shd w:val="clear" w:color="auto" w:fill="auto"/>
            <w:vAlign w:val="center"/>
            <w:hideMark/>
          </w:tcPr>
          <w:p w14:paraId="402137B7" w14:textId="77777777" w:rsidR="00FD261A" w:rsidRPr="00FD261A" w:rsidRDefault="00FD261A" w:rsidP="00FD261A">
            <w:pPr>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Se toma nota de la observación, no modifica el contenido del informe, sin embargo, será tomado en cuenta para los informes posteriores debido a que son esfuerzos realizados en el 2021 y los que se planean realizar a futuro a partir del 2022.</w:t>
            </w:r>
          </w:p>
        </w:tc>
        <w:tc>
          <w:tcPr>
            <w:tcW w:w="136" w:type="pct"/>
            <w:vAlign w:val="center"/>
            <w:hideMark/>
          </w:tcPr>
          <w:p w14:paraId="55634A16" w14:textId="77777777" w:rsidR="00FD261A" w:rsidRPr="00FD261A" w:rsidRDefault="00FD261A" w:rsidP="00FD261A">
            <w:pPr>
              <w:jc w:val="both"/>
              <w:rPr>
                <w:rFonts w:ascii="Arial Narrow" w:hAnsi="Arial Narrow"/>
                <w:sz w:val="22"/>
                <w:szCs w:val="22"/>
                <w:lang w:val="es-CR" w:eastAsia="es-CR"/>
              </w:rPr>
            </w:pPr>
          </w:p>
        </w:tc>
      </w:tr>
      <w:tr w:rsidR="00247F11" w:rsidRPr="00FD261A" w14:paraId="58526A1A" w14:textId="77777777" w:rsidTr="00645122">
        <w:trPr>
          <w:trHeight w:val="1710"/>
        </w:trPr>
        <w:tc>
          <w:tcPr>
            <w:tcW w:w="768" w:type="pct"/>
            <w:tcBorders>
              <w:top w:val="single" w:sz="4" w:space="0" w:color="auto"/>
              <w:left w:val="single" w:sz="4" w:space="0" w:color="auto"/>
              <w:bottom w:val="single" w:sz="4" w:space="0" w:color="auto"/>
              <w:right w:val="single" w:sz="4" w:space="0" w:color="auto"/>
            </w:tcBorders>
            <w:shd w:val="clear" w:color="auto" w:fill="auto"/>
            <w:vAlign w:val="center"/>
          </w:tcPr>
          <w:p w14:paraId="438DD2B2" w14:textId="16507EE0" w:rsidR="00645122" w:rsidRPr="00FD261A" w:rsidRDefault="00645122" w:rsidP="00FD261A">
            <w:pPr>
              <w:jc w:val="both"/>
              <w:rPr>
                <w:rFonts w:ascii="Arial Narrow" w:hAnsi="Arial Narrow" w:cs="Calibri"/>
                <w:color w:val="000000"/>
                <w:sz w:val="22"/>
                <w:szCs w:val="22"/>
                <w:lang w:val="es-CR" w:eastAsia="es-CR"/>
              </w:rPr>
            </w:pPr>
            <w:r>
              <w:rPr>
                <w:rFonts w:ascii="Arial Narrow" w:hAnsi="Arial Narrow" w:cs="Calibri"/>
                <w:color w:val="000000"/>
                <w:sz w:val="22"/>
                <w:szCs w:val="22"/>
                <w:lang w:val="es-CR" w:eastAsia="es-CR"/>
              </w:rPr>
              <w:t xml:space="preserve">Comisión de la Jurisdicción Penal </w:t>
            </w:r>
          </w:p>
        </w:tc>
        <w:tc>
          <w:tcPr>
            <w:tcW w:w="448" w:type="pct"/>
            <w:tcBorders>
              <w:top w:val="single" w:sz="4" w:space="0" w:color="auto"/>
              <w:left w:val="nil"/>
              <w:bottom w:val="single" w:sz="4" w:space="0" w:color="auto"/>
              <w:right w:val="single" w:sz="4" w:space="0" w:color="auto"/>
            </w:tcBorders>
            <w:shd w:val="clear" w:color="auto" w:fill="auto"/>
            <w:vAlign w:val="center"/>
          </w:tcPr>
          <w:p w14:paraId="32D8C963" w14:textId="344E1177" w:rsidR="00645122" w:rsidRPr="00FD261A" w:rsidRDefault="00105145" w:rsidP="00FD261A">
            <w:pPr>
              <w:jc w:val="center"/>
              <w:rPr>
                <w:rFonts w:ascii="Arial Narrow" w:hAnsi="Arial Narrow" w:cs="Calibri"/>
                <w:color w:val="000000"/>
                <w:sz w:val="22"/>
                <w:szCs w:val="22"/>
                <w:lang w:val="es-ES" w:eastAsia="es-CR"/>
              </w:rPr>
            </w:pPr>
            <w:r>
              <w:rPr>
                <w:rFonts w:ascii="Arial Narrow" w:hAnsi="Arial Narrow" w:cs="Calibri"/>
                <w:color w:val="000000"/>
                <w:sz w:val="22"/>
                <w:szCs w:val="22"/>
                <w:lang w:val="es-ES" w:eastAsia="es-CR"/>
              </w:rPr>
              <w:t>28 y 33</w:t>
            </w:r>
          </w:p>
        </w:tc>
        <w:tc>
          <w:tcPr>
            <w:tcW w:w="1216" w:type="pct"/>
            <w:tcBorders>
              <w:top w:val="single" w:sz="4" w:space="0" w:color="auto"/>
              <w:left w:val="nil"/>
              <w:bottom w:val="single" w:sz="4" w:space="0" w:color="auto"/>
              <w:right w:val="single" w:sz="4" w:space="0" w:color="auto"/>
            </w:tcBorders>
            <w:shd w:val="clear" w:color="auto" w:fill="auto"/>
            <w:vAlign w:val="center"/>
          </w:tcPr>
          <w:p w14:paraId="41B2A2D2" w14:textId="545E1AD3" w:rsidR="00645122" w:rsidRPr="00FD261A" w:rsidRDefault="003C4482" w:rsidP="00345B2C">
            <w:pPr>
              <w:jc w:val="center"/>
              <w:rPr>
                <w:rFonts w:ascii="Arial Narrow" w:hAnsi="Arial Narrow" w:cs="Calibri"/>
                <w:color w:val="000000"/>
                <w:sz w:val="22"/>
                <w:szCs w:val="22"/>
                <w:lang w:val="es-ES" w:eastAsia="es-CR"/>
              </w:rPr>
            </w:pPr>
            <w:r>
              <w:rPr>
                <w:rFonts w:ascii="Arial Narrow" w:hAnsi="Arial Narrow" w:cs="Calibri"/>
                <w:color w:val="000000"/>
                <w:sz w:val="22"/>
                <w:szCs w:val="22"/>
                <w:lang w:val="es-ES" w:eastAsia="es-CR"/>
              </w:rPr>
              <w:t>-</w:t>
            </w:r>
          </w:p>
        </w:tc>
        <w:tc>
          <w:tcPr>
            <w:tcW w:w="1280" w:type="pct"/>
            <w:tcBorders>
              <w:top w:val="single" w:sz="4" w:space="0" w:color="auto"/>
              <w:left w:val="nil"/>
              <w:bottom w:val="single" w:sz="4" w:space="0" w:color="auto"/>
              <w:right w:val="single" w:sz="4" w:space="0" w:color="auto"/>
            </w:tcBorders>
            <w:shd w:val="clear" w:color="auto" w:fill="auto"/>
            <w:vAlign w:val="center"/>
          </w:tcPr>
          <w:p w14:paraId="7D1D338B" w14:textId="64DF297A" w:rsidR="00645122" w:rsidRPr="00FD261A" w:rsidRDefault="00A97E56" w:rsidP="00345B2C">
            <w:pPr>
              <w:jc w:val="center"/>
              <w:rPr>
                <w:rFonts w:ascii="Arial Narrow" w:hAnsi="Arial Narrow" w:cs="Calibri"/>
                <w:color w:val="000000"/>
                <w:sz w:val="22"/>
                <w:szCs w:val="22"/>
                <w:lang w:val="es-ES" w:eastAsia="es-CR"/>
              </w:rPr>
            </w:pPr>
            <w:r>
              <w:rPr>
                <w:rFonts w:ascii="Arial Narrow" w:hAnsi="Arial Narrow" w:cs="Calibri"/>
                <w:color w:val="000000"/>
                <w:sz w:val="22"/>
                <w:szCs w:val="22"/>
                <w:lang w:val="es-ES" w:eastAsia="es-CR"/>
              </w:rPr>
              <w:object w:dxaOrig="1508" w:dyaOrig="984" w14:anchorId="3CA23E64">
                <v:shape id="_x0000_i1041" type="#_x0000_t75" style="width:75.85pt;height:48.9pt" o:ole="">
                  <v:imagedata r:id="rId134" o:title=""/>
                </v:shape>
                <o:OLEObject Type="Embed" ProgID="Acrobat.Document.DC" ShapeID="_x0000_i1041" DrawAspect="Icon" ObjectID="_1723023856" r:id="rId135"/>
              </w:object>
            </w:r>
          </w:p>
        </w:tc>
        <w:tc>
          <w:tcPr>
            <w:tcW w:w="1152" w:type="pct"/>
            <w:tcBorders>
              <w:top w:val="single" w:sz="4" w:space="0" w:color="auto"/>
              <w:left w:val="nil"/>
              <w:bottom w:val="single" w:sz="4" w:space="0" w:color="auto"/>
              <w:right w:val="single" w:sz="4" w:space="0" w:color="auto"/>
            </w:tcBorders>
            <w:shd w:val="clear" w:color="auto" w:fill="auto"/>
            <w:vAlign w:val="center"/>
          </w:tcPr>
          <w:p w14:paraId="2365A4B7" w14:textId="3A707ED5" w:rsidR="00247F11" w:rsidRPr="00345B2C" w:rsidRDefault="003C4482" w:rsidP="00247F11">
            <w:pPr>
              <w:spacing w:line="276" w:lineRule="auto"/>
              <w:jc w:val="both"/>
              <w:rPr>
                <w:rFonts w:ascii="Arial Narrow" w:hAnsi="Arial Narrow" w:cs="Calibri"/>
                <w:color w:val="000000"/>
                <w:sz w:val="22"/>
                <w:szCs w:val="22"/>
                <w:lang w:val="es-CR" w:eastAsia="es-CR"/>
              </w:rPr>
            </w:pPr>
            <w:r w:rsidRPr="00FD261A">
              <w:rPr>
                <w:rFonts w:ascii="Arial Narrow" w:hAnsi="Arial Narrow" w:cs="Calibri"/>
                <w:color w:val="000000"/>
                <w:sz w:val="22"/>
                <w:szCs w:val="22"/>
                <w:lang w:val="es-CR" w:eastAsia="es-CR"/>
              </w:rPr>
              <w:t xml:space="preserve">Se toma nota de la observación  de </w:t>
            </w:r>
            <w:r>
              <w:rPr>
                <w:rFonts w:ascii="Arial Narrow" w:hAnsi="Arial Narrow" w:cs="Calibri"/>
                <w:color w:val="000000"/>
                <w:sz w:val="22"/>
                <w:szCs w:val="22"/>
                <w:lang w:val="es-CR" w:eastAsia="es-CR"/>
              </w:rPr>
              <w:t>la Comisión de la Jurisdicción Penal</w:t>
            </w:r>
            <w:r w:rsidRPr="00FD261A">
              <w:rPr>
                <w:rFonts w:ascii="Arial Narrow" w:hAnsi="Arial Narrow" w:cs="Calibri"/>
                <w:color w:val="000000"/>
                <w:sz w:val="22"/>
                <w:szCs w:val="22"/>
                <w:lang w:val="es-CR" w:eastAsia="es-CR"/>
              </w:rPr>
              <w:t xml:space="preserve"> y se contesta lo siguiente: </w:t>
            </w:r>
            <w:r w:rsidRPr="00FD261A">
              <w:rPr>
                <w:rFonts w:ascii="Arial Narrow" w:hAnsi="Arial Narrow" w:cs="Calibri"/>
                <w:color w:val="000000"/>
                <w:sz w:val="22"/>
                <w:szCs w:val="22"/>
                <w:lang w:val="es-CR" w:eastAsia="es-CR"/>
              </w:rPr>
              <w:br/>
            </w:r>
            <w:r w:rsidRPr="00FD261A">
              <w:rPr>
                <w:rFonts w:ascii="Arial Narrow" w:hAnsi="Arial Narrow" w:cs="Calibri"/>
                <w:color w:val="000000"/>
                <w:sz w:val="22"/>
                <w:szCs w:val="22"/>
                <w:lang w:val="es-CR" w:eastAsia="es-CR"/>
              </w:rPr>
              <w:br/>
              <w:t xml:space="preserve">Con respecto a modificación y ajustes a la línea base de la meta estratégica se tiene el informe 1281-PLA-PE-2021 realizado por el Subproceso de Planificación Estratégica, por medio del cual se recomienda valorar el ajuste en los objetivos y metas del Plan </w:t>
            </w:r>
            <w:r w:rsidRPr="00773395">
              <w:rPr>
                <w:rFonts w:ascii="Arial Narrow" w:hAnsi="Arial Narrow" w:cs="Calibri"/>
                <w:color w:val="000000"/>
                <w:sz w:val="22"/>
                <w:szCs w:val="22"/>
                <w:lang w:val="es-CR" w:eastAsia="es-CR"/>
              </w:rPr>
              <w:t xml:space="preserve">Estratégico Institucional 2019-2024, relacionados con los “casos terminados” de las instancias primeras y superiores del ámbito </w:t>
            </w:r>
            <w:r w:rsidR="00247F11" w:rsidRPr="00773395">
              <w:rPr>
                <w:rFonts w:ascii="Arial Narrow" w:hAnsi="Arial Narrow" w:cs="Calibri"/>
                <w:color w:val="000000"/>
                <w:sz w:val="22"/>
                <w:szCs w:val="22"/>
                <w:lang w:val="es-CR" w:eastAsia="es-CR"/>
              </w:rPr>
              <w:t>jurisdiccional</w:t>
            </w:r>
            <w:r w:rsidR="00247F11">
              <w:rPr>
                <w:rFonts w:ascii="Arial Narrow" w:hAnsi="Arial Narrow" w:cs="Calibri"/>
                <w:color w:val="000000"/>
                <w:sz w:val="22"/>
                <w:szCs w:val="22"/>
                <w:lang w:val="es-CR" w:eastAsia="es-CR"/>
              </w:rPr>
              <w:t xml:space="preserve"> donde se indica lo siguiente:</w:t>
            </w:r>
            <w:r w:rsidR="00247F11" w:rsidRPr="00345B2C">
              <w:rPr>
                <w:rFonts w:ascii="Arial Narrow" w:hAnsi="Arial Narrow" w:cs="Calibri"/>
                <w:color w:val="000000"/>
                <w:sz w:val="22"/>
                <w:szCs w:val="22"/>
                <w:lang w:val="es-CR" w:eastAsia="es-CR"/>
              </w:rPr>
              <w:t xml:space="preserve"> Penal Juvenil Primera Instancia: Al momento de establecer la línea base de la materia penal de los Juzgados Penales Juveniles en el 2017, se tenía un total de terminados de 10040, sin embargo, en el 2018 los terminados disminuyeron a 9679 y así por los siguientes años, siendo los datos del 2019 y 2020 más estables y representativos de esta materia. Asimismo, se logra determinar que la línea base para el PEI 2019-2024 para esta materia se consignó como por error material un total de 11697 en el oficio 1463-PLA-2018, sin embargo, a nivel de Sistema PEI las metas anuales se han consignado conforme el comportamiento estadístico, pero manteniendo la misma lógica de incrementar un 1% anual cada año, según lo aprobado por la Corte Plena.  Por tanto, dado que la proyección de terminados para el 2021 representa una disminución del 34% en comparación con los terminados reales en el 2019; y aunado a la proyección de entrados en el que se prevé una disminución en un 37% es que se considera tomar como nueva línea base la proyección de casos terminados 2021 y que se establezca como meta para los siguientes años 2022, 2023 y 2024 un incremento en un 1% adicional con relación a la meta del año anterior. Además, se destaca que en el 2021, esta materia ha tenido apoyo extraordinario con personas juzgadoras, según el dato provisto por el CACMFJ, que ha representado un total de 25 asuntos resueltos, el cual fueron excluidos en el cálculo de las proyecciones.</w:t>
            </w:r>
          </w:p>
          <w:p w14:paraId="0D6CB35C" w14:textId="77777777" w:rsidR="00247F11" w:rsidRPr="00345B2C" w:rsidRDefault="00247F11" w:rsidP="00247F11">
            <w:pPr>
              <w:spacing w:line="276" w:lineRule="auto"/>
              <w:ind w:left="1440"/>
              <w:jc w:val="both"/>
              <w:rPr>
                <w:rFonts w:ascii="Arial Narrow" w:hAnsi="Arial Narrow" w:cs="Calibri"/>
                <w:color w:val="000000"/>
                <w:sz w:val="22"/>
                <w:szCs w:val="22"/>
                <w:lang w:val="es-CR" w:eastAsia="es-CR"/>
              </w:rPr>
            </w:pPr>
          </w:p>
          <w:p w14:paraId="644F52DB" w14:textId="5A061BD3" w:rsidR="00645122" w:rsidRPr="00FD261A" w:rsidRDefault="00247F11" w:rsidP="00247F11">
            <w:pPr>
              <w:jc w:val="both"/>
              <w:rPr>
                <w:rFonts w:ascii="Arial Narrow" w:hAnsi="Arial Narrow" w:cs="Calibri"/>
                <w:color w:val="000000"/>
                <w:sz w:val="22"/>
                <w:szCs w:val="22"/>
                <w:lang w:val="es-CR" w:eastAsia="es-CR"/>
              </w:rPr>
            </w:pPr>
            <w:r w:rsidRPr="00345B2C">
              <w:rPr>
                <w:rFonts w:ascii="Arial Narrow" w:hAnsi="Arial Narrow" w:cs="Calibri"/>
                <w:color w:val="000000"/>
                <w:sz w:val="22"/>
                <w:szCs w:val="22"/>
                <w:lang w:val="es-CR" w:eastAsia="es-CR"/>
              </w:rPr>
              <w:t xml:space="preserve">Penal Juvenil Segunda Instancia:   Al momento de establecer la línea base de la materia Penal Juvenil en Segunda Instancia en el 2017, se tenía un total de terminados de 415, sin embargo, en el 2018 los terminados disminuyeron a 343 y así por los siguientes años, siendo los datos del 2019 y 2020 más estables y representativos de esta materia.  Asimismo, se destaca que los asuntos entrados se proyecta una disminución de un 21% al finalizar el 2021, al compararlo con el dato del 2019. Asimismo, se observa que el nivel de circulante al finalizar septiembre de 2021 es de solo 8 asuntos; lo que implica que no se tenga carga de trabajo suficiente para el logro de la meta establecida de 427 asuntos. Por tanto, dado que la proyección de terminados para el 2021 se estima que se disminuya en un 28% el valor de meta para el 2021; es que se considera tomar como nueva línea base la proyección de casos terminados 2021 y que se establezca como meta para los siguientes años 2022, 2023 y 2024 un incremento en un 1% adicional con relación a la meta del año anterior,el </w:t>
            </w:r>
            <w:r w:rsidR="003C4482" w:rsidRPr="00773395">
              <w:rPr>
                <w:rFonts w:ascii="Arial Narrow" w:hAnsi="Arial Narrow" w:cs="Calibri"/>
                <w:color w:val="000000"/>
                <w:sz w:val="22"/>
                <w:szCs w:val="22"/>
                <w:lang w:val="es-CR" w:eastAsia="es-CR"/>
              </w:rPr>
              <w:t xml:space="preserve"> cual se le envió copia del informe definitivo a la Comisión de la Jurisdicción Penal el 09 de noviembre del 2021 y  se encuentra pendiente de ser aprobado por el Corte Plena</w:t>
            </w:r>
            <w:r w:rsidR="003C4482" w:rsidRPr="00FD261A">
              <w:rPr>
                <w:rFonts w:ascii="Arial Narrow" w:hAnsi="Arial Narrow" w:cs="Calibri"/>
                <w:color w:val="000000"/>
                <w:sz w:val="22"/>
                <w:szCs w:val="22"/>
                <w:lang w:val="es-CR" w:eastAsia="es-CR"/>
              </w:rPr>
              <w:t>.</w:t>
            </w:r>
          </w:p>
        </w:tc>
        <w:tc>
          <w:tcPr>
            <w:tcW w:w="136" w:type="pct"/>
            <w:vAlign w:val="center"/>
          </w:tcPr>
          <w:p w14:paraId="522A8309" w14:textId="77777777" w:rsidR="00645122" w:rsidRPr="00FD261A" w:rsidRDefault="00645122" w:rsidP="00FD261A">
            <w:pPr>
              <w:jc w:val="both"/>
              <w:rPr>
                <w:rFonts w:ascii="Arial Narrow" w:hAnsi="Arial Narrow"/>
                <w:sz w:val="22"/>
                <w:szCs w:val="22"/>
                <w:lang w:val="es-CR" w:eastAsia="es-CR"/>
              </w:rPr>
            </w:pPr>
          </w:p>
        </w:tc>
      </w:tr>
    </w:tbl>
    <w:p w14:paraId="1E3914C9" w14:textId="77777777" w:rsidR="00AB5922" w:rsidRPr="000B4845" w:rsidRDefault="00AB5922" w:rsidP="00AB5922">
      <w:pPr>
        <w:rPr>
          <w:rFonts w:ascii="Arial Narrow" w:eastAsia="Calibri" w:hAnsi="Arial Narrow"/>
          <w:sz w:val="28"/>
          <w:szCs w:val="28"/>
          <w:lang w:eastAsia="en-US"/>
        </w:rPr>
      </w:pPr>
    </w:p>
    <w:p w14:paraId="0EDF35AB" w14:textId="5483A074" w:rsidR="00AB5922" w:rsidRDefault="7D631D9E" w:rsidP="000C6F8D">
      <w:pPr>
        <w:pStyle w:val="Ttulo1"/>
      </w:pPr>
      <w:bookmarkStart w:id="220" w:name="_Toc76061964"/>
      <w:bookmarkStart w:id="221" w:name="_Toc76062192"/>
      <w:bookmarkStart w:id="222" w:name="_Toc76066150"/>
      <w:bookmarkStart w:id="223" w:name="_Toc76069218"/>
      <w:bookmarkStart w:id="224" w:name="_Toc76061965"/>
      <w:bookmarkStart w:id="225" w:name="_Toc76062193"/>
      <w:bookmarkStart w:id="226" w:name="_Toc76066151"/>
      <w:bookmarkStart w:id="227" w:name="_Toc76069219"/>
      <w:bookmarkStart w:id="228" w:name="_Toc76061966"/>
      <w:bookmarkStart w:id="229" w:name="_Toc76062194"/>
      <w:bookmarkStart w:id="230" w:name="_Toc76066152"/>
      <w:bookmarkStart w:id="231" w:name="_Toc76069220"/>
      <w:bookmarkStart w:id="232" w:name="_Toc76061967"/>
      <w:bookmarkStart w:id="233" w:name="_Toc76062195"/>
      <w:bookmarkStart w:id="234" w:name="_Toc76066153"/>
      <w:bookmarkStart w:id="235" w:name="_Toc76069221"/>
      <w:bookmarkStart w:id="236" w:name="_Toc76061968"/>
      <w:bookmarkStart w:id="237" w:name="_Toc76062196"/>
      <w:bookmarkStart w:id="238" w:name="_Toc76066154"/>
      <w:bookmarkStart w:id="239" w:name="_Toc76069222"/>
      <w:bookmarkStart w:id="240" w:name="_Toc76061969"/>
      <w:bookmarkStart w:id="241" w:name="_Toc76062197"/>
      <w:bookmarkStart w:id="242" w:name="_Toc76066155"/>
      <w:bookmarkStart w:id="243" w:name="_Toc76069223"/>
      <w:bookmarkStart w:id="244" w:name="_Toc76061970"/>
      <w:bookmarkStart w:id="245" w:name="_Toc76062198"/>
      <w:bookmarkStart w:id="246" w:name="_Toc76066156"/>
      <w:bookmarkStart w:id="247" w:name="_Toc76069224"/>
      <w:bookmarkStart w:id="248" w:name="_Toc76061971"/>
      <w:bookmarkStart w:id="249" w:name="_Toc76062199"/>
      <w:bookmarkStart w:id="250" w:name="_Toc76066157"/>
      <w:bookmarkStart w:id="251" w:name="_Toc76069225"/>
      <w:bookmarkStart w:id="252" w:name="_Toc76061972"/>
      <w:bookmarkStart w:id="253" w:name="_Toc76062200"/>
      <w:bookmarkStart w:id="254" w:name="_Toc76066158"/>
      <w:bookmarkStart w:id="255" w:name="_Toc76069226"/>
      <w:bookmarkStart w:id="256" w:name="_Toc76061973"/>
      <w:bookmarkStart w:id="257" w:name="_Toc76062201"/>
      <w:bookmarkStart w:id="258" w:name="_Toc76066159"/>
      <w:bookmarkStart w:id="259" w:name="_Toc76069227"/>
      <w:bookmarkStart w:id="260" w:name="_Toc76061974"/>
      <w:bookmarkStart w:id="261" w:name="_Toc76062202"/>
      <w:bookmarkStart w:id="262" w:name="_Toc76066160"/>
      <w:bookmarkStart w:id="263" w:name="_Toc76069228"/>
      <w:bookmarkStart w:id="264" w:name="_Toc76061975"/>
      <w:bookmarkStart w:id="265" w:name="_Toc76062203"/>
      <w:bookmarkStart w:id="266" w:name="_Toc76066161"/>
      <w:bookmarkStart w:id="267" w:name="_Toc76069229"/>
      <w:bookmarkStart w:id="268" w:name="_Toc76061976"/>
      <w:bookmarkStart w:id="269" w:name="_Toc76062204"/>
      <w:bookmarkStart w:id="270" w:name="_Toc76066162"/>
      <w:bookmarkStart w:id="271" w:name="_Toc76069230"/>
      <w:bookmarkStart w:id="272" w:name="_Toc76061977"/>
      <w:bookmarkStart w:id="273" w:name="_Toc76062205"/>
      <w:bookmarkStart w:id="274" w:name="_Toc76066163"/>
      <w:bookmarkStart w:id="275" w:name="_Toc76069231"/>
      <w:bookmarkStart w:id="276" w:name="_Toc76061978"/>
      <w:bookmarkStart w:id="277" w:name="_Toc76062206"/>
      <w:bookmarkStart w:id="278" w:name="_Toc76066164"/>
      <w:bookmarkStart w:id="279" w:name="_Toc76069232"/>
      <w:bookmarkStart w:id="280" w:name="_Toc76061979"/>
      <w:bookmarkStart w:id="281" w:name="_Toc76062207"/>
      <w:bookmarkStart w:id="282" w:name="_Toc76066165"/>
      <w:bookmarkStart w:id="283" w:name="_Toc76069233"/>
      <w:bookmarkStart w:id="284" w:name="_Toc76061980"/>
      <w:bookmarkStart w:id="285" w:name="_Toc76062208"/>
      <w:bookmarkStart w:id="286" w:name="_Toc76066166"/>
      <w:bookmarkStart w:id="287" w:name="_Toc76069234"/>
      <w:bookmarkStart w:id="288" w:name="_Toc76061981"/>
      <w:bookmarkStart w:id="289" w:name="_Toc76062209"/>
      <w:bookmarkStart w:id="290" w:name="_Toc76066167"/>
      <w:bookmarkStart w:id="291" w:name="_Toc76069235"/>
      <w:bookmarkStart w:id="292" w:name="_Toc76061982"/>
      <w:bookmarkStart w:id="293" w:name="_Toc76062210"/>
      <w:bookmarkStart w:id="294" w:name="_Toc76066168"/>
      <w:bookmarkStart w:id="295" w:name="_Toc76069236"/>
      <w:bookmarkStart w:id="296" w:name="_Toc76061983"/>
      <w:bookmarkStart w:id="297" w:name="_Toc76062211"/>
      <w:bookmarkStart w:id="298" w:name="_Toc76066169"/>
      <w:bookmarkStart w:id="299" w:name="_Toc76069237"/>
      <w:bookmarkStart w:id="300" w:name="_Toc76061984"/>
      <w:bookmarkStart w:id="301" w:name="_Toc76062212"/>
      <w:bookmarkStart w:id="302" w:name="_Toc76066170"/>
      <w:bookmarkStart w:id="303" w:name="_Toc76069238"/>
      <w:bookmarkStart w:id="304" w:name="_Toc76061985"/>
      <w:bookmarkStart w:id="305" w:name="_Toc76062213"/>
      <w:bookmarkStart w:id="306" w:name="_Toc76066171"/>
      <w:bookmarkStart w:id="307" w:name="_Toc76069239"/>
      <w:bookmarkStart w:id="308" w:name="_Toc76061986"/>
      <w:bookmarkStart w:id="309" w:name="_Toc76062214"/>
      <w:bookmarkStart w:id="310" w:name="_Toc76066172"/>
      <w:bookmarkStart w:id="311" w:name="_Toc76069240"/>
      <w:bookmarkStart w:id="312" w:name="_Toc76061987"/>
      <w:bookmarkStart w:id="313" w:name="_Toc76062215"/>
      <w:bookmarkStart w:id="314" w:name="_Toc76066173"/>
      <w:bookmarkStart w:id="315" w:name="_Toc76069241"/>
      <w:bookmarkStart w:id="316" w:name="_Toc76061988"/>
      <w:bookmarkStart w:id="317" w:name="_Toc76062216"/>
      <w:bookmarkStart w:id="318" w:name="_Toc76066174"/>
      <w:bookmarkStart w:id="319" w:name="_Toc76069242"/>
      <w:bookmarkStart w:id="320" w:name="_Toc76061989"/>
      <w:bookmarkStart w:id="321" w:name="_Toc76062217"/>
      <w:bookmarkStart w:id="322" w:name="_Toc76066175"/>
      <w:bookmarkStart w:id="323" w:name="_Toc76069243"/>
      <w:bookmarkStart w:id="324" w:name="_Toc76061990"/>
      <w:bookmarkStart w:id="325" w:name="_Toc76062218"/>
      <w:bookmarkStart w:id="326" w:name="_Toc76066176"/>
      <w:bookmarkStart w:id="327" w:name="_Toc76069244"/>
      <w:bookmarkStart w:id="328" w:name="_Toc76061991"/>
      <w:bookmarkStart w:id="329" w:name="_Toc76062219"/>
      <w:bookmarkStart w:id="330" w:name="_Toc76066177"/>
      <w:bookmarkStart w:id="331" w:name="_Toc76069245"/>
      <w:bookmarkStart w:id="332" w:name="_Toc76061992"/>
      <w:bookmarkStart w:id="333" w:name="_Toc76062220"/>
      <w:bookmarkStart w:id="334" w:name="_Toc76066178"/>
      <w:bookmarkStart w:id="335" w:name="_Toc76069246"/>
      <w:bookmarkStart w:id="336" w:name="_Toc83621725"/>
      <w:bookmarkStart w:id="337" w:name="_Toc83621771"/>
      <w:bookmarkStart w:id="338" w:name="_Toc83630192"/>
      <w:bookmarkStart w:id="339" w:name="_Toc106355304"/>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r>
        <w:t>Recomendaciones</w:t>
      </w:r>
      <w:bookmarkEnd w:id="339"/>
    </w:p>
    <w:p w14:paraId="58AF663E" w14:textId="1BAF375A" w:rsidR="00517DC3" w:rsidRDefault="00517DC3" w:rsidP="00322D9B">
      <w:pPr>
        <w:rPr>
          <w:b/>
          <w:bCs/>
          <w:iCs/>
        </w:rPr>
      </w:pPr>
    </w:p>
    <w:p w14:paraId="2BEB38CF" w14:textId="77777777" w:rsidR="00304C2E" w:rsidRPr="00322D9B" w:rsidRDefault="00304C2E" w:rsidP="00322D9B">
      <w:pPr>
        <w:rPr>
          <w:b/>
          <w:bCs/>
          <w:iCs/>
        </w:rPr>
      </w:pPr>
    </w:p>
    <w:p w14:paraId="2CC60C1B" w14:textId="79EF311E" w:rsidR="00AB5922" w:rsidRDefault="13811230" w:rsidP="00322D9B">
      <w:pPr>
        <w:pStyle w:val="Ttulo2"/>
      </w:pPr>
      <w:bookmarkStart w:id="340" w:name="_Toc104979140"/>
      <w:bookmarkStart w:id="341" w:name="_Toc106355305"/>
      <w:bookmarkEnd w:id="340"/>
      <w:r w:rsidRPr="00895A80">
        <w:t>Recomendaciones al Consejo Superior</w:t>
      </w:r>
      <w:bookmarkEnd w:id="341"/>
      <w:r w:rsidRPr="00895A80">
        <w:t xml:space="preserve"> </w:t>
      </w:r>
    </w:p>
    <w:p w14:paraId="683C3685" w14:textId="77777777" w:rsidR="00304C2E" w:rsidRPr="00304C2E" w:rsidRDefault="00304C2E" w:rsidP="00304C2E">
      <w:pPr>
        <w:rPr>
          <w:lang w:val="es-CR" w:eastAsia="en-US"/>
        </w:rPr>
      </w:pPr>
    </w:p>
    <w:p w14:paraId="2F782982" w14:textId="77777777" w:rsidR="00014370" w:rsidRPr="0025402E" w:rsidRDefault="00014370" w:rsidP="00322D9B">
      <w:pPr>
        <w:ind w:left="709" w:hanging="50"/>
        <w:jc w:val="both"/>
        <w:rPr>
          <w:rFonts w:ascii="Arial Narrow" w:eastAsia="Calibri" w:hAnsi="Arial Narrow"/>
          <w:lang w:val="es-CR"/>
        </w:rPr>
      </w:pPr>
    </w:p>
    <w:p w14:paraId="19B0AC5B" w14:textId="216CEBD3" w:rsidR="00014370" w:rsidRPr="00345B2C" w:rsidRDefault="008B2D51" w:rsidP="00345B2C">
      <w:pPr>
        <w:jc w:val="both"/>
        <w:rPr>
          <w:rFonts w:ascii="Arial Narrow" w:eastAsia="Calibri" w:hAnsi="Arial Narrow"/>
          <w:lang w:val="es-CR"/>
        </w:rPr>
      </w:pPr>
      <w:r>
        <w:rPr>
          <w:rFonts w:ascii="Arial Narrow" w:eastAsia="Calibri" w:hAnsi="Arial Narrow"/>
          <w:lang w:val="es-CR"/>
        </w:rPr>
        <w:t xml:space="preserve">14.1.1 </w:t>
      </w:r>
      <w:r w:rsidR="00014370" w:rsidRPr="00345B2C">
        <w:rPr>
          <w:rFonts w:ascii="Arial Narrow" w:eastAsia="Calibri" w:hAnsi="Arial Narrow"/>
          <w:lang w:val="es-CR"/>
        </w:rPr>
        <w:t>Aprobar el presente informe de evaluación del Plan Estratégico Institucional del año 2021 y sus resultados.</w:t>
      </w:r>
    </w:p>
    <w:p w14:paraId="518AEE3D" w14:textId="77777777" w:rsidR="0045588C" w:rsidRPr="00322D9B" w:rsidRDefault="0045588C" w:rsidP="00322D9B">
      <w:pPr>
        <w:pStyle w:val="Prrafodelista"/>
        <w:ind w:left="720"/>
        <w:jc w:val="both"/>
        <w:rPr>
          <w:rFonts w:ascii="Arial Narrow" w:eastAsia="Calibri" w:hAnsi="Arial Narrow"/>
          <w:lang w:val="es-CR"/>
        </w:rPr>
      </w:pPr>
    </w:p>
    <w:p w14:paraId="3401F987" w14:textId="30F94A87" w:rsidR="3BB553A1" w:rsidRPr="00345B2C" w:rsidRDefault="006841C5" w:rsidP="00345B2C">
      <w:pPr>
        <w:jc w:val="both"/>
        <w:rPr>
          <w:rFonts w:ascii="Arial Narrow" w:eastAsia="Calibri" w:hAnsi="Arial Narrow"/>
          <w:lang w:val="es-CR"/>
        </w:rPr>
      </w:pPr>
      <w:r>
        <w:rPr>
          <w:rFonts w:ascii="Arial Narrow" w:eastAsia="Calibri" w:hAnsi="Arial Narrow"/>
          <w:lang w:val="es-CR"/>
        </w:rPr>
        <w:t xml:space="preserve">14.1.2 </w:t>
      </w:r>
      <w:r w:rsidR="3BB553A1" w:rsidRPr="00345B2C">
        <w:rPr>
          <w:rFonts w:ascii="Arial Narrow" w:eastAsia="Calibri" w:hAnsi="Arial Narrow"/>
          <w:lang w:val="es-CR"/>
        </w:rPr>
        <w:t xml:space="preserve">Solicitar a las oficinas y despachos judiciales responsables y Centros de Responsabilidad el deber de cumplir con los avances en los objetivos y metas de manera oportuna en el Sistema PAO con especial énfasis en aquellas metas que se encuentran vinculadas al Plan Estratégico Instruccional y que por lo tanto tienen una incidencia directa en el cumplimiento del PEI. </w:t>
      </w:r>
    </w:p>
    <w:p w14:paraId="215F6535" w14:textId="77777777" w:rsidR="0045588C" w:rsidRPr="0080354E" w:rsidRDefault="0045588C" w:rsidP="0045588C">
      <w:pPr>
        <w:pStyle w:val="Textoindependiente2"/>
        <w:spacing w:line="240" w:lineRule="auto"/>
        <w:rPr>
          <w:rFonts w:ascii="Arial Narrow" w:hAnsi="Arial Narrow" w:cs="Calibri"/>
          <w:b w:val="0"/>
          <w:bCs w:val="0"/>
          <w:color w:val="000000"/>
          <w:lang w:val="es-CR" w:eastAsia="es-CR"/>
        </w:rPr>
      </w:pPr>
    </w:p>
    <w:p w14:paraId="7BE70E46" w14:textId="77777777" w:rsidR="000F53E3" w:rsidRDefault="000F53E3" w:rsidP="00322D9B">
      <w:pPr>
        <w:ind w:left="349"/>
        <w:jc w:val="both"/>
        <w:rPr>
          <w:rFonts w:ascii="Arial Narrow" w:eastAsia="Calibri" w:hAnsi="Arial Narrow"/>
          <w:highlight w:val="cyan"/>
          <w:lang w:val="es-CR"/>
        </w:rPr>
      </w:pPr>
    </w:p>
    <w:p w14:paraId="0D4C06C2" w14:textId="0FED0902" w:rsidR="6B6F0889" w:rsidRDefault="6B6F0889" w:rsidP="00322D9B">
      <w:pPr>
        <w:ind w:left="349"/>
        <w:jc w:val="both"/>
        <w:rPr>
          <w:rFonts w:ascii="Arial Narrow" w:hAnsi="Arial Narrow"/>
          <w:lang w:eastAsia="en-US"/>
        </w:rPr>
      </w:pPr>
    </w:p>
    <w:p w14:paraId="4340BEE2" w14:textId="2D47B3CF" w:rsidR="00AB5922" w:rsidRPr="003376A2" w:rsidRDefault="0D75D695" w:rsidP="00322D9B">
      <w:pPr>
        <w:pStyle w:val="Ttulo2"/>
      </w:pPr>
      <w:bookmarkStart w:id="342" w:name="_Toc104974505"/>
      <w:bookmarkStart w:id="343" w:name="_Toc104979142"/>
      <w:bookmarkStart w:id="344" w:name="_Toc76069249"/>
      <w:bookmarkStart w:id="345" w:name="_Toc76069250"/>
      <w:bookmarkStart w:id="346" w:name="_Toc76069251"/>
      <w:bookmarkStart w:id="347" w:name="_Toc76069252"/>
      <w:bookmarkStart w:id="348" w:name="_Toc106355306"/>
      <w:bookmarkEnd w:id="342"/>
      <w:bookmarkEnd w:id="343"/>
      <w:bookmarkEnd w:id="344"/>
      <w:bookmarkEnd w:id="345"/>
      <w:bookmarkEnd w:id="346"/>
      <w:bookmarkEnd w:id="347"/>
      <w:r w:rsidRPr="003376A2">
        <w:t xml:space="preserve">Recomendaciones a los </w:t>
      </w:r>
      <w:r w:rsidR="00C91F6B">
        <w:t>R</w:t>
      </w:r>
      <w:r w:rsidR="00C91F6B" w:rsidRPr="003376A2">
        <w:t xml:space="preserve">esponsables </w:t>
      </w:r>
      <w:r w:rsidRPr="003376A2">
        <w:t>Estratégicos</w:t>
      </w:r>
      <w:bookmarkEnd w:id="348"/>
    </w:p>
    <w:p w14:paraId="7487416A" w14:textId="69047870" w:rsidR="00C00254" w:rsidRDefault="00C00254">
      <w:pPr>
        <w:rPr>
          <w:rFonts w:eastAsia="Calibri"/>
          <w:lang w:val="es-CR" w:eastAsia="en-US"/>
        </w:rPr>
      </w:pPr>
    </w:p>
    <w:p w14:paraId="6B8D3EA5" w14:textId="77777777" w:rsidR="00304C2E" w:rsidRDefault="00304C2E">
      <w:pPr>
        <w:rPr>
          <w:rFonts w:eastAsia="Calibri"/>
          <w:lang w:val="es-CR" w:eastAsia="en-US"/>
        </w:rPr>
      </w:pPr>
    </w:p>
    <w:p w14:paraId="7D2610D8" w14:textId="2BB64E75" w:rsidR="00014370" w:rsidRPr="00345B2C" w:rsidRDefault="006841C5" w:rsidP="00345B2C">
      <w:pPr>
        <w:ind w:left="720"/>
        <w:jc w:val="both"/>
        <w:rPr>
          <w:rFonts w:ascii="Arial Narrow" w:eastAsia="Calibri" w:hAnsi="Arial Narrow"/>
          <w:lang w:val="es-CR"/>
        </w:rPr>
      </w:pPr>
      <w:r>
        <w:rPr>
          <w:rFonts w:ascii="Arial Narrow" w:eastAsia="Calibri" w:hAnsi="Arial Narrow"/>
          <w:lang w:val="es-CR"/>
        </w:rPr>
        <w:t xml:space="preserve">14.2.1 </w:t>
      </w:r>
      <w:r w:rsidR="4C6B23A0" w:rsidRPr="00345B2C">
        <w:rPr>
          <w:rFonts w:ascii="Arial Narrow" w:eastAsia="Calibri" w:hAnsi="Arial Narrow"/>
          <w:lang w:val="es-CR"/>
        </w:rPr>
        <w:t xml:space="preserve">Revisar las metas estratégicas </w:t>
      </w:r>
      <w:r w:rsidR="007E722D" w:rsidRPr="00345B2C">
        <w:rPr>
          <w:rFonts w:ascii="Arial Narrow" w:eastAsia="Calibri" w:hAnsi="Arial Narrow"/>
          <w:lang w:val="es-CR"/>
        </w:rPr>
        <w:t>a su cargo,</w:t>
      </w:r>
      <w:r w:rsidR="4C6B23A0" w:rsidRPr="00345B2C">
        <w:rPr>
          <w:rFonts w:ascii="Arial Narrow" w:eastAsia="Calibri" w:hAnsi="Arial Narrow"/>
          <w:lang w:val="es-CR"/>
        </w:rPr>
        <w:t xml:space="preserve"> con el fin de determinar si se requiere la confección de un plan de </w:t>
      </w:r>
      <w:r w:rsidR="00C91F6B" w:rsidRPr="00345B2C">
        <w:rPr>
          <w:rFonts w:ascii="Arial Narrow" w:eastAsia="Calibri" w:hAnsi="Arial Narrow"/>
          <w:lang w:val="es-CR"/>
        </w:rPr>
        <w:t xml:space="preserve">acción o </w:t>
      </w:r>
      <w:r w:rsidR="4C6B23A0" w:rsidRPr="00345B2C">
        <w:rPr>
          <w:rFonts w:ascii="Arial Narrow" w:eastAsia="Calibri" w:hAnsi="Arial Narrow"/>
          <w:lang w:val="es-CR"/>
        </w:rPr>
        <w:t>mejora</w:t>
      </w:r>
      <w:r w:rsidR="00C91F6B" w:rsidRPr="00345B2C">
        <w:rPr>
          <w:rFonts w:ascii="Arial Narrow" w:eastAsia="Calibri" w:hAnsi="Arial Narrow"/>
          <w:lang w:val="es-CR"/>
        </w:rPr>
        <w:t>,</w:t>
      </w:r>
      <w:r w:rsidR="4C6B23A0" w:rsidRPr="00345B2C">
        <w:rPr>
          <w:rFonts w:ascii="Arial Narrow" w:eastAsia="Calibri" w:hAnsi="Arial Narrow"/>
          <w:lang w:val="es-CR"/>
        </w:rPr>
        <w:t xml:space="preserve"> que permita su cumplimiento o bien realinearlas o reprogramarlas, para que sea factible su cumplimiento para años posteriores, como parte de la ejecución del PEI, de acuerdo con los expuesto en el </w:t>
      </w:r>
      <w:r w:rsidR="4C6B23A0" w:rsidRPr="00345B2C">
        <w:rPr>
          <w:rFonts w:ascii="Arial Narrow" w:eastAsia="Calibri" w:hAnsi="Arial Narrow"/>
          <w:b/>
          <w:bCs/>
          <w:i/>
          <w:iCs/>
          <w:lang w:val="es-CR"/>
        </w:rPr>
        <w:t>apartado 11. Hallazgos de la Evaluación</w:t>
      </w:r>
      <w:r w:rsidR="4C6B23A0" w:rsidRPr="00345B2C">
        <w:rPr>
          <w:rFonts w:ascii="Arial Narrow" w:eastAsia="Calibri" w:hAnsi="Arial Narrow"/>
          <w:lang w:val="es-CR"/>
        </w:rPr>
        <w:t>.</w:t>
      </w:r>
    </w:p>
    <w:p w14:paraId="0CCC1F5B" w14:textId="0DDBB03E" w:rsidR="00297BD0" w:rsidRDefault="00297BD0" w:rsidP="00297BD0">
      <w:pPr>
        <w:pStyle w:val="Prrafodelista"/>
        <w:spacing w:line="360" w:lineRule="auto"/>
        <w:ind w:left="1440"/>
        <w:jc w:val="both"/>
      </w:pPr>
    </w:p>
    <w:tbl>
      <w:tblPr>
        <w:tblW w:w="9310"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49"/>
        <w:gridCol w:w="137"/>
        <w:gridCol w:w="2864"/>
        <w:gridCol w:w="65"/>
        <w:gridCol w:w="3411"/>
        <w:gridCol w:w="13"/>
        <w:gridCol w:w="1371"/>
      </w:tblGrid>
      <w:tr w:rsidR="00F466D6" w:rsidRPr="006D080A" w14:paraId="43CF75AF" w14:textId="77777777" w:rsidTr="004C3FA6">
        <w:trPr>
          <w:trHeight w:val="290"/>
        </w:trPr>
        <w:tc>
          <w:tcPr>
            <w:tcW w:w="1586" w:type="dxa"/>
            <w:gridSpan w:val="2"/>
            <w:shd w:val="clear" w:color="auto" w:fill="auto"/>
            <w:noWrap/>
            <w:vAlign w:val="center"/>
            <w:hideMark/>
          </w:tcPr>
          <w:p w14:paraId="07E1DA24" w14:textId="77F2F99B" w:rsidR="00F466D6" w:rsidRPr="003C1F88" w:rsidRDefault="00F466D6" w:rsidP="00F466D6">
            <w:pPr>
              <w:jc w:val="center"/>
              <w:rPr>
                <w:rFonts w:ascii="Arial Narrow" w:hAnsi="Arial Narrow" w:cs="Calibri"/>
                <w:b/>
                <w:bCs/>
                <w:color w:val="000000"/>
                <w:sz w:val="20"/>
                <w:szCs w:val="20"/>
                <w:lang w:val="es-CR" w:eastAsia="es-CR"/>
              </w:rPr>
            </w:pPr>
            <w:r w:rsidRPr="006D080A">
              <w:rPr>
                <w:rFonts w:ascii="Arial Narrow" w:hAnsi="Arial Narrow" w:cs="Calibri"/>
                <w:b/>
                <w:bCs/>
                <w:color w:val="000000"/>
                <w:sz w:val="20"/>
                <w:szCs w:val="20"/>
                <w:lang w:val="es-CR" w:eastAsia="es-CR"/>
              </w:rPr>
              <w:t>Acción estratégica</w:t>
            </w:r>
          </w:p>
        </w:tc>
        <w:tc>
          <w:tcPr>
            <w:tcW w:w="2929" w:type="dxa"/>
            <w:gridSpan w:val="2"/>
            <w:shd w:val="clear" w:color="auto" w:fill="auto"/>
            <w:noWrap/>
            <w:vAlign w:val="center"/>
            <w:hideMark/>
          </w:tcPr>
          <w:p w14:paraId="7E7A40BC" w14:textId="77777777" w:rsidR="00F466D6" w:rsidRPr="00854BC8" w:rsidRDefault="00F466D6" w:rsidP="00F466D6">
            <w:pPr>
              <w:jc w:val="center"/>
              <w:rPr>
                <w:rFonts w:ascii="Arial Narrow" w:hAnsi="Arial Narrow" w:cs="Calibri"/>
                <w:b/>
                <w:bCs/>
                <w:color w:val="000000"/>
                <w:sz w:val="20"/>
                <w:szCs w:val="20"/>
                <w:lang w:val="es-CR" w:eastAsia="es-CR"/>
              </w:rPr>
            </w:pPr>
            <w:r w:rsidRPr="003C1F88">
              <w:rPr>
                <w:rFonts w:ascii="Arial Narrow" w:hAnsi="Arial Narrow" w:cs="Calibri"/>
                <w:b/>
                <w:bCs/>
                <w:color w:val="000000"/>
                <w:sz w:val="20"/>
                <w:szCs w:val="20"/>
                <w:lang w:val="es-CR" w:eastAsia="es-CR"/>
              </w:rPr>
              <w:t>Metas estratégicas</w:t>
            </w:r>
          </w:p>
        </w:tc>
        <w:tc>
          <w:tcPr>
            <w:tcW w:w="3424" w:type="dxa"/>
            <w:gridSpan w:val="2"/>
            <w:shd w:val="clear" w:color="auto" w:fill="auto"/>
            <w:noWrap/>
            <w:vAlign w:val="center"/>
            <w:hideMark/>
          </w:tcPr>
          <w:p w14:paraId="33126C33" w14:textId="77777777" w:rsidR="00F466D6" w:rsidRPr="006D080A" w:rsidRDefault="00F466D6" w:rsidP="00F466D6">
            <w:pPr>
              <w:jc w:val="center"/>
              <w:rPr>
                <w:rFonts w:ascii="Arial Narrow" w:hAnsi="Arial Narrow" w:cs="Calibri"/>
                <w:b/>
                <w:bCs/>
                <w:color w:val="000000"/>
                <w:sz w:val="20"/>
                <w:szCs w:val="20"/>
                <w:lang w:val="es-CR" w:eastAsia="es-CR"/>
              </w:rPr>
            </w:pPr>
            <w:r w:rsidRPr="006D080A">
              <w:rPr>
                <w:rFonts w:ascii="Arial Narrow" w:hAnsi="Arial Narrow" w:cs="Calibri"/>
                <w:b/>
                <w:bCs/>
                <w:color w:val="000000"/>
                <w:sz w:val="20"/>
                <w:szCs w:val="20"/>
                <w:lang w:val="es-CR" w:eastAsia="es-CR"/>
              </w:rPr>
              <w:t>Retos</w:t>
            </w:r>
          </w:p>
        </w:tc>
        <w:tc>
          <w:tcPr>
            <w:tcW w:w="1371" w:type="dxa"/>
            <w:shd w:val="clear" w:color="auto" w:fill="auto"/>
            <w:noWrap/>
            <w:vAlign w:val="center"/>
            <w:hideMark/>
          </w:tcPr>
          <w:p w14:paraId="64CDBCC3" w14:textId="77777777" w:rsidR="00F466D6" w:rsidRPr="006D080A" w:rsidRDefault="00F466D6" w:rsidP="00F466D6">
            <w:pPr>
              <w:jc w:val="center"/>
              <w:rPr>
                <w:rFonts w:ascii="Arial Narrow" w:hAnsi="Arial Narrow" w:cs="Calibri"/>
                <w:b/>
                <w:bCs/>
                <w:color w:val="000000"/>
                <w:sz w:val="20"/>
                <w:szCs w:val="20"/>
                <w:lang w:val="es-CR" w:eastAsia="es-CR"/>
              </w:rPr>
            </w:pPr>
            <w:r w:rsidRPr="006D080A">
              <w:rPr>
                <w:rFonts w:ascii="Arial Narrow" w:hAnsi="Arial Narrow" w:cs="Calibri"/>
                <w:b/>
                <w:bCs/>
                <w:color w:val="000000"/>
                <w:sz w:val="20"/>
                <w:szCs w:val="20"/>
                <w:lang w:val="es-CR" w:eastAsia="es-CR"/>
              </w:rPr>
              <w:t>Responsable Estratégico</w:t>
            </w:r>
          </w:p>
        </w:tc>
      </w:tr>
      <w:tr w:rsidR="00F466D6" w:rsidRPr="006D080A" w14:paraId="48C7803D" w14:textId="77777777" w:rsidTr="004C3FA6">
        <w:trPr>
          <w:trHeight w:val="290"/>
        </w:trPr>
        <w:tc>
          <w:tcPr>
            <w:tcW w:w="1586" w:type="dxa"/>
            <w:gridSpan w:val="2"/>
            <w:vMerge w:val="restart"/>
            <w:shd w:val="clear" w:color="auto" w:fill="auto"/>
            <w:vAlign w:val="center"/>
            <w:hideMark/>
          </w:tcPr>
          <w:p w14:paraId="08E2832F" w14:textId="77777777" w:rsidR="00F466D6" w:rsidRPr="006D080A" w:rsidRDefault="00F466D6" w:rsidP="00F466D6">
            <w:pPr>
              <w:jc w:val="center"/>
              <w:rPr>
                <w:rFonts w:ascii="Arial Narrow" w:hAnsi="Arial Narrow" w:cs="Calibri"/>
                <w:b/>
                <w:bCs/>
                <w:color w:val="000000"/>
                <w:sz w:val="20"/>
                <w:szCs w:val="20"/>
                <w:lang w:val="es-CR" w:eastAsia="es-CR"/>
              </w:rPr>
            </w:pPr>
            <w:r w:rsidRPr="006D080A">
              <w:rPr>
                <w:rFonts w:ascii="Arial Narrow" w:hAnsi="Arial Narrow" w:cs="Calibri"/>
                <w:b/>
                <w:bCs/>
                <w:color w:val="000000"/>
                <w:sz w:val="20"/>
                <w:szCs w:val="20"/>
                <w:lang w:val="es-CR" w:eastAsia="es-CR"/>
              </w:rPr>
              <w:t>Celeridad Judicial</w:t>
            </w:r>
          </w:p>
        </w:tc>
        <w:tc>
          <w:tcPr>
            <w:tcW w:w="2929" w:type="dxa"/>
            <w:gridSpan w:val="2"/>
            <w:shd w:val="clear" w:color="auto" w:fill="auto"/>
            <w:vAlign w:val="center"/>
            <w:hideMark/>
          </w:tcPr>
          <w:p w14:paraId="74CF55EC" w14:textId="398D1B9E" w:rsidR="00F466D6" w:rsidRPr="006D080A" w:rsidRDefault="00F466D6" w:rsidP="00132A44">
            <w:pPr>
              <w:jc w:val="both"/>
              <w:rPr>
                <w:rFonts w:ascii="Arial Narrow" w:hAnsi="Arial Narrow" w:cs="Calibri"/>
                <w:color w:val="000000"/>
                <w:sz w:val="20"/>
                <w:szCs w:val="20"/>
                <w:lang w:val="es-CR" w:eastAsia="es-CR"/>
              </w:rPr>
            </w:pPr>
            <w:r w:rsidRPr="006D080A">
              <w:rPr>
                <w:rFonts w:ascii="Arial Narrow" w:hAnsi="Arial Narrow" w:cs="Calibri"/>
                <w:color w:val="000000"/>
                <w:sz w:val="20"/>
                <w:szCs w:val="20"/>
                <w:lang w:val="es-CR" w:eastAsia="es-CR"/>
              </w:rPr>
              <w:t>Que al finalizar el 2024, se haya incrementado la cantidad de casos terminados en materia Penal Juvenil año, en primera instancia (67,10% de cumplimiento para el 2021)</w:t>
            </w:r>
          </w:p>
        </w:tc>
        <w:tc>
          <w:tcPr>
            <w:tcW w:w="3424" w:type="dxa"/>
            <w:gridSpan w:val="2"/>
            <w:vMerge w:val="restart"/>
            <w:shd w:val="clear" w:color="auto" w:fill="auto"/>
            <w:vAlign w:val="center"/>
            <w:hideMark/>
          </w:tcPr>
          <w:p w14:paraId="5120333F" w14:textId="77777777" w:rsidR="00F466D6" w:rsidRPr="006D080A" w:rsidRDefault="00F466D6" w:rsidP="00132A44">
            <w:pPr>
              <w:jc w:val="both"/>
              <w:rPr>
                <w:rFonts w:ascii="Arial Narrow" w:hAnsi="Arial Narrow" w:cs="Calibri"/>
                <w:color w:val="000000"/>
                <w:sz w:val="20"/>
                <w:szCs w:val="20"/>
                <w:lang w:val="es-CR" w:eastAsia="es-CR"/>
              </w:rPr>
            </w:pPr>
            <w:r w:rsidRPr="006D080A">
              <w:rPr>
                <w:rFonts w:ascii="Arial Narrow" w:hAnsi="Arial Narrow" w:cs="Calibri"/>
                <w:color w:val="000000"/>
                <w:sz w:val="20"/>
                <w:szCs w:val="20"/>
                <w:lang w:val="es-CR" w:eastAsia="es-CR"/>
              </w:rPr>
              <w:t>Analizar las estrategias y proyecciones estadísticas de ingreso y salida de asuntos que permitan cumplir con la cantidad de casos terminados con base en la meta formulada, y desde la planificación revisar en conjunto las metas y sus valores finales propuestos, con el fin de poder cumplir a cabalidad lo establecido en esta meta. Tomar en consideración que para varias metas de esta acción estratégica se podría experimentar un ajuste en 2022 en caso de aprobarse el informe 1281-PLA-PE-2021 que propone modificación respecto a los valores esperados de casos terminados en ciertas materias.  Ese oficio 1281-PLA-PE-2021 está en proceso de ser conocido por Corte Plena.</w:t>
            </w:r>
          </w:p>
        </w:tc>
        <w:tc>
          <w:tcPr>
            <w:tcW w:w="1371" w:type="dxa"/>
            <w:vMerge w:val="restart"/>
            <w:shd w:val="clear" w:color="auto" w:fill="auto"/>
            <w:vAlign w:val="center"/>
            <w:hideMark/>
          </w:tcPr>
          <w:p w14:paraId="5B5AE31C" w14:textId="002F1C72" w:rsidR="00F466D6" w:rsidRPr="006D080A" w:rsidRDefault="00F466D6" w:rsidP="00132A44">
            <w:pPr>
              <w:jc w:val="both"/>
              <w:rPr>
                <w:rFonts w:ascii="Arial Narrow" w:hAnsi="Arial Narrow" w:cs="Calibri"/>
                <w:color w:val="000000"/>
                <w:sz w:val="20"/>
                <w:szCs w:val="20"/>
                <w:lang w:val="es-CR" w:eastAsia="es-CR"/>
              </w:rPr>
            </w:pPr>
            <w:r w:rsidRPr="006D080A">
              <w:rPr>
                <w:rFonts w:ascii="Arial Narrow" w:hAnsi="Arial Narrow" w:cs="Calibri"/>
                <w:color w:val="000000"/>
                <w:sz w:val="20"/>
                <w:szCs w:val="20"/>
                <w:lang w:val="es-CR" w:eastAsia="es-CR"/>
              </w:rPr>
              <w:t xml:space="preserve">Centro de Apoyo, </w:t>
            </w:r>
            <w:r w:rsidRPr="00322D9B">
              <w:rPr>
                <w:rFonts w:ascii="Arial Narrow" w:hAnsi="Arial Narrow" w:cs="Calibri"/>
                <w:color w:val="000000"/>
                <w:sz w:val="20"/>
                <w:szCs w:val="20"/>
                <w:lang w:val="es-CR" w:eastAsia="es-CR"/>
              </w:rPr>
              <w:t xml:space="preserve">Coordinación y Mejoramiento de la Función Jurisdiccional, en coordinación con </w:t>
            </w:r>
            <w:r w:rsidR="00EF29A2" w:rsidRPr="00322D9B">
              <w:rPr>
                <w:rFonts w:ascii="Arial Narrow" w:hAnsi="Arial Narrow" w:cs="Calibri"/>
                <w:color w:val="000000"/>
                <w:sz w:val="20"/>
                <w:szCs w:val="20"/>
                <w:lang w:val="es-CR" w:eastAsia="es-CR"/>
              </w:rPr>
              <w:t xml:space="preserve">el Subproceso de Planificación Estratégica de la </w:t>
            </w:r>
            <w:r w:rsidRPr="00322D9B">
              <w:rPr>
                <w:rFonts w:ascii="Arial Narrow" w:hAnsi="Arial Narrow" w:cs="Calibri"/>
                <w:color w:val="000000"/>
                <w:sz w:val="20"/>
                <w:szCs w:val="20"/>
                <w:lang w:val="es-CR" w:eastAsia="es-CR"/>
              </w:rPr>
              <w:t>Dirección de Planificación y Comisiones.</w:t>
            </w:r>
          </w:p>
        </w:tc>
      </w:tr>
      <w:tr w:rsidR="00F466D6" w:rsidRPr="006D080A" w14:paraId="1A88C73F" w14:textId="77777777" w:rsidTr="004C3FA6">
        <w:trPr>
          <w:trHeight w:val="290"/>
        </w:trPr>
        <w:tc>
          <w:tcPr>
            <w:tcW w:w="1586" w:type="dxa"/>
            <w:gridSpan w:val="2"/>
            <w:vMerge/>
            <w:shd w:val="clear" w:color="auto" w:fill="auto"/>
            <w:vAlign w:val="center"/>
            <w:hideMark/>
          </w:tcPr>
          <w:p w14:paraId="288F808C" w14:textId="77777777" w:rsidR="00F466D6" w:rsidRPr="006D080A" w:rsidRDefault="00F466D6" w:rsidP="00F466D6">
            <w:pPr>
              <w:jc w:val="center"/>
              <w:rPr>
                <w:rFonts w:ascii="Arial Narrow" w:hAnsi="Arial Narrow" w:cs="Calibri"/>
                <w:color w:val="000000"/>
                <w:sz w:val="20"/>
                <w:szCs w:val="20"/>
                <w:lang w:val="es-CR" w:eastAsia="es-CR"/>
              </w:rPr>
            </w:pPr>
          </w:p>
        </w:tc>
        <w:tc>
          <w:tcPr>
            <w:tcW w:w="2929" w:type="dxa"/>
            <w:gridSpan w:val="2"/>
            <w:shd w:val="clear" w:color="auto" w:fill="auto"/>
            <w:vAlign w:val="center"/>
            <w:hideMark/>
          </w:tcPr>
          <w:p w14:paraId="24435347" w14:textId="75694E98" w:rsidR="00F466D6" w:rsidRPr="006D080A" w:rsidRDefault="00F466D6" w:rsidP="00132A44">
            <w:pPr>
              <w:jc w:val="both"/>
              <w:rPr>
                <w:rFonts w:ascii="Arial Narrow" w:hAnsi="Arial Narrow" w:cs="Calibri"/>
                <w:color w:val="000000"/>
                <w:sz w:val="20"/>
                <w:szCs w:val="20"/>
                <w:lang w:val="es-CR" w:eastAsia="es-CR"/>
              </w:rPr>
            </w:pPr>
            <w:r w:rsidRPr="006D080A">
              <w:rPr>
                <w:rFonts w:ascii="Arial Narrow" w:hAnsi="Arial Narrow" w:cs="Calibri"/>
                <w:color w:val="000000"/>
                <w:sz w:val="20"/>
                <w:szCs w:val="20"/>
                <w:lang w:val="es-CR" w:eastAsia="es-CR"/>
              </w:rPr>
              <w:t>Que al finalizar el 2024, se haya incrementado la cantidad de casos terminados en materia Civil por año, en primera instancia, (75,34% de cumplimiento para el 2021)</w:t>
            </w:r>
          </w:p>
        </w:tc>
        <w:tc>
          <w:tcPr>
            <w:tcW w:w="3424" w:type="dxa"/>
            <w:gridSpan w:val="2"/>
            <w:vMerge/>
            <w:shd w:val="clear" w:color="auto" w:fill="auto"/>
            <w:vAlign w:val="center"/>
            <w:hideMark/>
          </w:tcPr>
          <w:p w14:paraId="45DE8B28" w14:textId="77777777" w:rsidR="00F466D6" w:rsidRPr="006D080A" w:rsidRDefault="00F466D6" w:rsidP="00132A44">
            <w:pPr>
              <w:jc w:val="both"/>
              <w:rPr>
                <w:rFonts w:ascii="Arial Narrow" w:hAnsi="Arial Narrow" w:cs="Calibri"/>
                <w:color w:val="000000"/>
                <w:sz w:val="20"/>
                <w:szCs w:val="20"/>
                <w:lang w:val="es-CR" w:eastAsia="es-CR"/>
              </w:rPr>
            </w:pPr>
          </w:p>
        </w:tc>
        <w:tc>
          <w:tcPr>
            <w:tcW w:w="1371" w:type="dxa"/>
            <w:vMerge/>
            <w:shd w:val="clear" w:color="auto" w:fill="auto"/>
            <w:vAlign w:val="center"/>
            <w:hideMark/>
          </w:tcPr>
          <w:p w14:paraId="058D5880" w14:textId="77777777" w:rsidR="00F466D6" w:rsidRPr="006D080A" w:rsidRDefault="00F466D6" w:rsidP="00132A44">
            <w:pPr>
              <w:jc w:val="both"/>
              <w:rPr>
                <w:rFonts w:ascii="Arial Narrow" w:hAnsi="Arial Narrow" w:cs="Calibri"/>
                <w:color w:val="000000"/>
                <w:sz w:val="20"/>
                <w:szCs w:val="20"/>
                <w:lang w:val="es-CR" w:eastAsia="es-CR"/>
              </w:rPr>
            </w:pPr>
          </w:p>
        </w:tc>
      </w:tr>
      <w:tr w:rsidR="00F466D6" w:rsidRPr="006D080A" w14:paraId="5C3002EA" w14:textId="77777777" w:rsidTr="004C3FA6">
        <w:trPr>
          <w:trHeight w:val="290"/>
        </w:trPr>
        <w:tc>
          <w:tcPr>
            <w:tcW w:w="1586" w:type="dxa"/>
            <w:gridSpan w:val="2"/>
            <w:vMerge/>
            <w:shd w:val="clear" w:color="auto" w:fill="auto"/>
            <w:vAlign w:val="center"/>
            <w:hideMark/>
          </w:tcPr>
          <w:p w14:paraId="0C507DD4" w14:textId="77777777" w:rsidR="00F466D6" w:rsidRPr="006D080A" w:rsidRDefault="00F466D6" w:rsidP="00F466D6">
            <w:pPr>
              <w:jc w:val="center"/>
              <w:rPr>
                <w:rFonts w:ascii="Arial Narrow" w:hAnsi="Arial Narrow" w:cs="Calibri"/>
                <w:color w:val="000000"/>
                <w:sz w:val="20"/>
                <w:szCs w:val="20"/>
                <w:lang w:val="es-CR" w:eastAsia="es-CR"/>
              </w:rPr>
            </w:pPr>
          </w:p>
        </w:tc>
        <w:tc>
          <w:tcPr>
            <w:tcW w:w="2929" w:type="dxa"/>
            <w:gridSpan w:val="2"/>
            <w:shd w:val="clear" w:color="auto" w:fill="auto"/>
            <w:vAlign w:val="center"/>
            <w:hideMark/>
          </w:tcPr>
          <w:p w14:paraId="06F7DB80" w14:textId="63F90105" w:rsidR="00F466D6" w:rsidRPr="006D080A" w:rsidRDefault="00F466D6" w:rsidP="00132A44">
            <w:pPr>
              <w:jc w:val="both"/>
              <w:rPr>
                <w:rFonts w:ascii="Arial Narrow" w:hAnsi="Arial Narrow" w:cs="Calibri"/>
                <w:color w:val="000000"/>
                <w:sz w:val="20"/>
                <w:szCs w:val="20"/>
                <w:lang w:val="es-CR" w:eastAsia="es-CR"/>
              </w:rPr>
            </w:pPr>
            <w:r w:rsidRPr="006D080A">
              <w:rPr>
                <w:rFonts w:ascii="Arial Narrow" w:hAnsi="Arial Narrow" w:cs="Calibri"/>
                <w:color w:val="000000"/>
                <w:sz w:val="20"/>
                <w:szCs w:val="20"/>
                <w:lang w:val="es-CR" w:eastAsia="es-CR"/>
              </w:rPr>
              <w:t>Que al finalizar el 2024, se haya incrementado la cantidad de casos terminados en materia de Tránsito por año, en primera instancia (80,32% de cumplimiento para el 2021)</w:t>
            </w:r>
          </w:p>
        </w:tc>
        <w:tc>
          <w:tcPr>
            <w:tcW w:w="3424" w:type="dxa"/>
            <w:gridSpan w:val="2"/>
            <w:vMerge/>
            <w:shd w:val="clear" w:color="auto" w:fill="auto"/>
            <w:vAlign w:val="center"/>
            <w:hideMark/>
          </w:tcPr>
          <w:p w14:paraId="6DAC7ACA" w14:textId="77777777" w:rsidR="00F466D6" w:rsidRPr="006D080A" w:rsidRDefault="00F466D6" w:rsidP="00132A44">
            <w:pPr>
              <w:jc w:val="both"/>
              <w:rPr>
                <w:rFonts w:ascii="Arial Narrow" w:hAnsi="Arial Narrow" w:cs="Calibri"/>
                <w:color w:val="000000"/>
                <w:sz w:val="20"/>
                <w:szCs w:val="20"/>
                <w:lang w:val="es-CR" w:eastAsia="es-CR"/>
              </w:rPr>
            </w:pPr>
          </w:p>
        </w:tc>
        <w:tc>
          <w:tcPr>
            <w:tcW w:w="1371" w:type="dxa"/>
            <w:vMerge/>
            <w:shd w:val="clear" w:color="auto" w:fill="auto"/>
            <w:vAlign w:val="center"/>
            <w:hideMark/>
          </w:tcPr>
          <w:p w14:paraId="0CEF878E" w14:textId="77777777" w:rsidR="00F466D6" w:rsidRPr="006D080A" w:rsidRDefault="00F466D6" w:rsidP="00132A44">
            <w:pPr>
              <w:jc w:val="both"/>
              <w:rPr>
                <w:rFonts w:ascii="Arial Narrow" w:hAnsi="Arial Narrow" w:cs="Calibri"/>
                <w:color w:val="000000"/>
                <w:sz w:val="20"/>
                <w:szCs w:val="20"/>
                <w:lang w:val="es-CR" w:eastAsia="es-CR"/>
              </w:rPr>
            </w:pPr>
          </w:p>
        </w:tc>
      </w:tr>
      <w:tr w:rsidR="00F466D6" w:rsidRPr="006D080A" w14:paraId="485E57BF" w14:textId="77777777" w:rsidTr="004C3FA6">
        <w:trPr>
          <w:trHeight w:val="290"/>
        </w:trPr>
        <w:tc>
          <w:tcPr>
            <w:tcW w:w="1586" w:type="dxa"/>
            <w:gridSpan w:val="2"/>
            <w:vMerge/>
            <w:shd w:val="clear" w:color="auto" w:fill="auto"/>
            <w:vAlign w:val="center"/>
            <w:hideMark/>
          </w:tcPr>
          <w:p w14:paraId="38ECAAEB" w14:textId="77777777" w:rsidR="00F466D6" w:rsidRPr="006D080A" w:rsidRDefault="00F466D6" w:rsidP="00F466D6">
            <w:pPr>
              <w:jc w:val="center"/>
              <w:rPr>
                <w:rFonts w:ascii="Arial Narrow" w:hAnsi="Arial Narrow" w:cs="Calibri"/>
                <w:color w:val="000000"/>
                <w:sz w:val="20"/>
                <w:szCs w:val="20"/>
                <w:lang w:val="es-CR" w:eastAsia="es-CR"/>
              </w:rPr>
            </w:pPr>
          </w:p>
        </w:tc>
        <w:tc>
          <w:tcPr>
            <w:tcW w:w="2929" w:type="dxa"/>
            <w:gridSpan w:val="2"/>
            <w:shd w:val="clear" w:color="auto" w:fill="auto"/>
            <w:vAlign w:val="center"/>
            <w:hideMark/>
          </w:tcPr>
          <w:p w14:paraId="6A65C007" w14:textId="62A91AEB" w:rsidR="00F466D6" w:rsidRPr="006D080A" w:rsidRDefault="00F466D6" w:rsidP="00132A44">
            <w:pPr>
              <w:jc w:val="both"/>
              <w:rPr>
                <w:rFonts w:ascii="Arial Narrow" w:hAnsi="Arial Narrow" w:cs="Calibri"/>
                <w:color w:val="000000"/>
                <w:sz w:val="20"/>
                <w:szCs w:val="20"/>
                <w:lang w:val="es-CR" w:eastAsia="es-CR"/>
              </w:rPr>
            </w:pPr>
            <w:r w:rsidRPr="006D080A">
              <w:rPr>
                <w:rFonts w:ascii="Arial Narrow" w:hAnsi="Arial Narrow" w:cs="Calibri"/>
                <w:color w:val="000000"/>
                <w:sz w:val="20"/>
                <w:szCs w:val="20"/>
                <w:lang w:val="es-CR" w:eastAsia="es-CR"/>
              </w:rPr>
              <w:t>Que al finalizar el 2024, se haya incrementado la cantidad de casos terminados en la jurisdicción Contenciosa Administrativa por año, en segunda instancia (81% de cumplimiento para el 2021)</w:t>
            </w:r>
          </w:p>
        </w:tc>
        <w:tc>
          <w:tcPr>
            <w:tcW w:w="3424" w:type="dxa"/>
            <w:gridSpan w:val="2"/>
            <w:vMerge/>
            <w:shd w:val="clear" w:color="auto" w:fill="auto"/>
            <w:vAlign w:val="center"/>
            <w:hideMark/>
          </w:tcPr>
          <w:p w14:paraId="5C84B165" w14:textId="77777777" w:rsidR="00F466D6" w:rsidRPr="006D080A" w:rsidRDefault="00F466D6" w:rsidP="00132A44">
            <w:pPr>
              <w:jc w:val="both"/>
              <w:rPr>
                <w:rFonts w:ascii="Arial Narrow" w:hAnsi="Arial Narrow" w:cs="Calibri"/>
                <w:color w:val="000000"/>
                <w:sz w:val="20"/>
                <w:szCs w:val="20"/>
                <w:lang w:val="es-CR" w:eastAsia="es-CR"/>
              </w:rPr>
            </w:pPr>
          </w:p>
        </w:tc>
        <w:tc>
          <w:tcPr>
            <w:tcW w:w="1371" w:type="dxa"/>
            <w:vMerge/>
            <w:shd w:val="clear" w:color="auto" w:fill="auto"/>
            <w:vAlign w:val="center"/>
            <w:hideMark/>
          </w:tcPr>
          <w:p w14:paraId="69965C43" w14:textId="77777777" w:rsidR="00F466D6" w:rsidRPr="006D080A" w:rsidRDefault="00F466D6" w:rsidP="00132A44">
            <w:pPr>
              <w:jc w:val="both"/>
              <w:rPr>
                <w:rFonts w:ascii="Arial Narrow" w:hAnsi="Arial Narrow" w:cs="Calibri"/>
                <w:color w:val="000000"/>
                <w:sz w:val="20"/>
                <w:szCs w:val="20"/>
                <w:lang w:val="es-CR" w:eastAsia="es-CR"/>
              </w:rPr>
            </w:pPr>
          </w:p>
        </w:tc>
      </w:tr>
      <w:tr w:rsidR="00F466D6" w:rsidRPr="006D080A" w14:paraId="5D2A7438" w14:textId="77777777" w:rsidTr="004C3FA6">
        <w:trPr>
          <w:trHeight w:val="290"/>
        </w:trPr>
        <w:tc>
          <w:tcPr>
            <w:tcW w:w="1586" w:type="dxa"/>
            <w:gridSpan w:val="2"/>
            <w:vMerge/>
            <w:shd w:val="clear" w:color="auto" w:fill="auto"/>
            <w:vAlign w:val="center"/>
            <w:hideMark/>
          </w:tcPr>
          <w:p w14:paraId="66591952" w14:textId="77777777" w:rsidR="00F466D6" w:rsidRPr="006D080A" w:rsidRDefault="00F466D6" w:rsidP="00F466D6">
            <w:pPr>
              <w:jc w:val="center"/>
              <w:rPr>
                <w:rFonts w:ascii="Arial Narrow" w:hAnsi="Arial Narrow" w:cs="Calibri"/>
                <w:color w:val="000000"/>
                <w:sz w:val="20"/>
                <w:szCs w:val="20"/>
                <w:lang w:val="es-CR" w:eastAsia="es-CR"/>
              </w:rPr>
            </w:pPr>
          </w:p>
        </w:tc>
        <w:tc>
          <w:tcPr>
            <w:tcW w:w="2929" w:type="dxa"/>
            <w:gridSpan w:val="2"/>
            <w:shd w:val="clear" w:color="auto" w:fill="auto"/>
            <w:vAlign w:val="center"/>
            <w:hideMark/>
          </w:tcPr>
          <w:p w14:paraId="032D3DF4" w14:textId="0C7A9E1D" w:rsidR="00F466D6" w:rsidRPr="006D080A" w:rsidRDefault="00F466D6" w:rsidP="00132A44">
            <w:pPr>
              <w:jc w:val="both"/>
              <w:rPr>
                <w:rFonts w:ascii="Arial Narrow" w:hAnsi="Arial Narrow" w:cs="Calibri"/>
                <w:color w:val="000000"/>
                <w:sz w:val="20"/>
                <w:szCs w:val="20"/>
                <w:lang w:val="es-CR" w:eastAsia="es-CR"/>
              </w:rPr>
            </w:pPr>
            <w:r w:rsidRPr="006D080A">
              <w:rPr>
                <w:rFonts w:ascii="Arial Narrow" w:hAnsi="Arial Narrow" w:cs="Calibri"/>
                <w:color w:val="000000"/>
                <w:sz w:val="20"/>
                <w:szCs w:val="20"/>
                <w:lang w:val="es-CR" w:eastAsia="es-CR"/>
              </w:rPr>
              <w:t>Que al finalizar el 2024, se haya incrementado la cantidad de casos terminados en materia Penal Juvenil por año, en segunda instancia (69% de cumplimiento para el 2021)</w:t>
            </w:r>
          </w:p>
        </w:tc>
        <w:tc>
          <w:tcPr>
            <w:tcW w:w="3424" w:type="dxa"/>
            <w:gridSpan w:val="2"/>
            <w:vMerge/>
            <w:shd w:val="clear" w:color="auto" w:fill="auto"/>
            <w:vAlign w:val="center"/>
            <w:hideMark/>
          </w:tcPr>
          <w:p w14:paraId="79AE60FA" w14:textId="77777777" w:rsidR="00F466D6" w:rsidRPr="006D080A" w:rsidRDefault="00F466D6" w:rsidP="00F466D6">
            <w:pPr>
              <w:jc w:val="center"/>
              <w:rPr>
                <w:rFonts w:ascii="Arial Narrow" w:hAnsi="Arial Narrow" w:cs="Calibri"/>
                <w:color w:val="000000"/>
                <w:sz w:val="20"/>
                <w:szCs w:val="20"/>
                <w:lang w:val="es-CR" w:eastAsia="es-CR"/>
              </w:rPr>
            </w:pPr>
          </w:p>
        </w:tc>
        <w:tc>
          <w:tcPr>
            <w:tcW w:w="1371" w:type="dxa"/>
            <w:vMerge/>
            <w:shd w:val="clear" w:color="auto" w:fill="auto"/>
            <w:vAlign w:val="center"/>
            <w:hideMark/>
          </w:tcPr>
          <w:p w14:paraId="31CB3E86" w14:textId="77777777" w:rsidR="00F466D6" w:rsidRPr="006D080A" w:rsidRDefault="00F466D6" w:rsidP="00F466D6">
            <w:pPr>
              <w:jc w:val="center"/>
              <w:rPr>
                <w:rFonts w:ascii="Arial Narrow" w:hAnsi="Arial Narrow" w:cs="Calibri"/>
                <w:color w:val="000000"/>
                <w:sz w:val="20"/>
                <w:szCs w:val="20"/>
                <w:lang w:val="es-CR" w:eastAsia="es-CR"/>
              </w:rPr>
            </w:pPr>
          </w:p>
        </w:tc>
      </w:tr>
      <w:tr w:rsidR="00F466D6" w:rsidRPr="006D080A" w14:paraId="21087483" w14:textId="77777777" w:rsidTr="004C3FA6">
        <w:trPr>
          <w:trHeight w:val="290"/>
        </w:trPr>
        <w:tc>
          <w:tcPr>
            <w:tcW w:w="1586" w:type="dxa"/>
            <w:gridSpan w:val="2"/>
            <w:vMerge/>
            <w:shd w:val="clear" w:color="auto" w:fill="auto"/>
            <w:vAlign w:val="center"/>
            <w:hideMark/>
          </w:tcPr>
          <w:p w14:paraId="40B96481" w14:textId="77777777" w:rsidR="00F466D6" w:rsidRPr="006D080A" w:rsidRDefault="00F466D6" w:rsidP="00F466D6">
            <w:pPr>
              <w:jc w:val="center"/>
              <w:rPr>
                <w:rFonts w:ascii="Arial Narrow" w:hAnsi="Arial Narrow" w:cs="Calibri"/>
                <w:color w:val="000000"/>
                <w:sz w:val="20"/>
                <w:szCs w:val="20"/>
                <w:lang w:val="es-CR" w:eastAsia="es-CR"/>
              </w:rPr>
            </w:pPr>
          </w:p>
        </w:tc>
        <w:tc>
          <w:tcPr>
            <w:tcW w:w="2929" w:type="dxa"/>
            <w:gridSpan w:val="2"/>
            <w:shd w:val="clear" w:color="auto" w:fill="auto"/>
            <w:vAlign w:val="center"/>
            <w:hideMark/>
          </w:tcPr>
          <w:p w14:paraId="235192BD" w14:textId="571071DC" w:rsidR="00F466D6" w:rsidRPr="006D080A" w:rsidRDefault="00F466D6" w:rsidP="00132A44">
            <w:pPr>
              <w:jc w:val="both"/>
              <w:rPr>
                <w:rFonts w:ascii="Arial Narrow" w:hAnsi="Arial Narrow" w:cs="Calibri"/>
                <w:color w:val="000000"/>
                <w:sz w:val="20"/>
                <w:szCs w:val="20"/>
                <w:lang w:val="es-CR" w:eastAsia="es-CR"/>
              </w:rPr>
            </w:pPr>
            <w:r w:rsidRPr="006D080A">
              <w:rPr>
                <w:rFonts w:ascii="Arial Narrow" w:hAnsi="Arial Narrow" w:cs="Calibri"/>
                <w:color w:val="000000"/>
                <w:sz w:val="20"/>
                <w:szCs w:val="20"/>
                <w:lang w:val="es-CR" w:eastAsia="es-CR"/>
              </w:rPr>
              <w:t>Que al finalizar el 2024, se haya incrementado la cantidad de casos terminados en materia Contravencional por año, en segunda instancia (63,44% de cumplimiento para el 2021)</w:t>
            </w:r>
          </w:p>
        </w:tc>
        <w:tc>
          <w:tcPr>
            <w:tcW w:w="3424" w:type="dxa"/>
            <w:gridSpan w:val="2"/>
            <w:vMerge/>
            <w:shd w:val="clear" w:color="auto" w:fill="auto"/>
            <w:vAlign w:val="center"/>
            <w:hideMark/>
          </w:tcPr>
          <w:p w14:paraId="0B772964" w14:textId="77777777" w:rsidR="00F466D6" w:rsidRPr="006D080A" w:rsidRDefault="00F466D6" w:rsidP="00F466D6">
            <w:pPr>
              <w:jc w:val="center"/>
              <w:rPr>
                <w:rFonts w:ascii="Arial Narrow" w:hAnsi="Arial Narrow" w:cs="Calibri"/>
                <w:color w:val="000000"/>
                <w:sz w:val="20"/>
                <w:szCs w:val="20"/>
                <w:lang w:val="es-CR" w:eastAsia="es-CR"/>
              </w:rPr>
            </w:pPr>
          </w:p>
        </w:tc>
        <w:tc>
          <w:tcPr>
            <w:tcW w:w="1371" w:type="dxa"/>
            <w:vMerge/>
            <w:shd w:val="clear" w:color="auto" w:fill="auto"/>
            <w:vAlign w:val="center"/>
            <w:hideMark/>
          </w:tcPr>
          <w:p w14:paraId="757B94CD" w14:textId="77777777" w:rsidR="00F466D6" w:rsidRPr="006D080A" w:rsidRDefault="00F466D6" w:rsidP="00F466D6">
            <w:pPr>
              <w:jc w:val="center"/>
              <w:rPr>
                <w:rFonts w:ascii="Arial Narrow" w:hAnsi="Arial Narrow" w:cs="Calibri"/>
                <w:color w:val="000000"/>
                <w:sz w:val="20"/>
                <w:szCs w:val="20"/>
                <w:lang w:val="es-CR" w:eastAsia="es-CR"/>
              </w:rPr>
            </w:pPr>
          </w:p>
        </w:tc>
      </w:tr>
      <w:tr w:rsidR="00F466D6" w:rsidRPr="006D080A" w14:paraId="12167F0D" w14:textId="77777777" w:rsidTr="004C3FA6">
        <w:trPr>
          <w:trHeight w:val="290"/>
        </w:trPr>
        <w:tc>
          <w:tcPr>
            <w:tcW w:w="1586" w:type="dxa"/>
            <w:gridSpan w:val="2"/>
            <w:vMerge/>
            <w:shd w:val="clear" w:color="auto" w:fill="auto"/>
            <w:vAlign w:val="center"/>
            <w:hideMark/>
          </w:tcPr>
          <w:p w14:paraId="5C6A78C4" w14:textId="77777777" w:rsidR="00F466D6" w:rsidRPr="006D080A" w:rsidRDefault="00F466D6" w:rsidP="00F466D6">
            <w:pPr>
              <w:jc w:val="center"/>
              <w:rPr>
                <w:rFonts w:ascii="Arial Narrow" w:hAnsi="Arial Narrow" w:cs="Calibri"/>
                <w:color w:val="000000"/>
                <w:sz w:val="20"/>
                <w:szCs w:val="20"/>
                <w:lang w:val="es-CR" w:eastAsia="es-CR"/>
              </w:rPr>
            </w:pPr>
          </w:p>
        </w:tc>
        <w:tc>
          <w:tcPr>
            <w:tcW w:w="2929" w:type="dxa"/>
            <w:gridSpan w:val="2"/>
            <w:shd w:val="clear" w:color="auto" w:fill="auto"/>
            <w:vAlign w:val="center"/>
            <w:hideMark/>
          </w:tcPr>
          <w:p w14:paraId="7BA7D35D" w14:textId="2CECEF06" w:rsidR="00F466D6" w:rsidRPr="006D080A" w:rsidRDefault="00F466D6" w:rsidP="00132A44">
            <w:pPr>
              <w:jc w:val="both"/>
              <w:rPr>
                <w:rFonts w:ascii="Arial Narrow" w:hAnsi="Arial Narrow" w:cs="Calibri"/>
                <w:color w:val="000000"/>
                <w:sz w:val="20"/>
                <w:szCs w:val="20"/>
                <w:lang w:val="es-CR" w:eastAsia="es-CR"/>
              </w:rPr>
            </w:pPr>
            <w:r w:rsidRPr="006D080A">
              <w:rPr>
                <w:rFonts w:ascii="Arial Narrow" w:hAnsi="Arial Narrow" w:cs="Calibri"/>
                <w:color w:val="000000"/>
                <w:sz w:val="20"/>
                <w:szCs w:val="20"/>
                <w:lang w:val="es-CR" w:eastAsia="es-CR"/>
              </w:rPr>
              <w:t>Que al finalizar el 2024, se haya incrementado la cantidad de casos terminados en materia de Tránsito por año, en segunda instancia (59,14% de cumplimiento para el 2021)</w:t>
            </w:r>
          </w:p>
        </w:tc>
        <w:tc>
          <w:tcPr>
            <w:tcW w:w="3424" w:type="dxa"/>
            <w:gridSpan w:val="2"/>
            <w:vMerge/>
            <w:shd w:val="clear" w:color="auto" w:fill="auto"/>
            <w:vAlign w:val="center"/>
            <w:hideMark/>
          </w:tcPr>
          <w:p w14:paraId="706480A8" w14:textId="77777777" w:rsidR="00F466D6" w:rsidRPr="006D080A" w:rsidRDefault="00F466D6" w:rsidP="00F466D6">
            <w:pPr>
              <w:jc w:val="center"/>
              <w:rPr>
                <w:rFonts w:ascii="Arial Narrow" w:hAnsi="Arial Narrow" w:cs="Calibri"/>
                <w:color w:val="000000"/>
                <w:sz w:val="20"/>
                <w:szCs w:val="20"/>
                <w:lang w:val="es-CR" w:eastAsia="es-CR"/>
              </w:rPr>
            </w:pPr>
          </w:p>
        </w:tc>
        <w:tc>
          <w:tcPr>
            <w:tcW w:w="1371" w:type="dxa"/>
            <w:vMerge/>
            <w:shd w:val="clear" w:color="auto" w:fill="auto"/>
            <w:vAlign w:val="center"/>
            <w:hideMark/>
          </w:tcPr>
          <w:p w14:paraId="5AA8A032" w14:textId="77777777" w:rsidR="00F466D6" w:rsidRPr="006D080A" w:rsidRDefault="00F466D6" w:rsidP="00F466D6">
            <w:pPr>
              <w:jc w:val="center"/>
              <w:rPr>
                <w:rFonts w:ascii="Arial Narrow" w:hAnsi="Arial Narrow" w:cs="Calibri"/>
                <w:color w:val="000000"/>
                <w:sz w:val="20"/>
                <w:szCs w:val="20"/>
                <w:lang w:val="es-CR" w:eastAsia="es-CR"/>
              </w:rPr>
            </w:pPr>
          </w:p>
        </w:tc>
      </w:tr>
      <w:tr w:rsidR="00F466D6" w:rsidRPr="006D080A" w14:paraId="03845B24" w14:textId="77777777" w:rsidTr="004C3FA6">
        <w:trPr>
          <w:trHeight w:val="290"/>
        </w:trPr>
        <w:tc>
          <w:tcPr>
            <w:tcW w:w="1586" w:type="dxa"/>
            <w:gridSpan w:val="2"/>
            <w:vMerge/>
            <w:shd w:val="clear" w:color="auto" w:fill="auto"/>
            <w:vAlign w:val="center"/>
            <w:hideMark/>
          </w:tcPr>
          <w:p w14:paraId="0414C3E2" w14:textId="77777777" w:rsidR="00F466D6" w:rsidRPr="006D080A" w:rsidRDefault="00F466D6" w:rsidP="00F466D6">
            <w:pPr>
              <w:jc w:val="center"/>
              <w:rPr>
                <w:rFonts w:ascii="Arial Narrow" w:hAnsi="Arial Narrow" w:cs="Calibri"/>
                <w:color w:val="000000"/>
                <w:sz w:val="20"/>
                <w:szCs w:val="20"/>
                <w:lang w:val="es-CR" w:eastAsia="es-CR"/>
              </w:rPr>
            </w:pPr>
          </w:p>
        </w:tc>
        <w:tc>
          <w:tcPr>
            <w:tcW w:w="2929" w:type="dxa"/>
            <w:gridSpan w:val="2"/>
            <w:shd w:val="clear" w:color="auto" w:fill="auto"/>
            <w:vAlign w:val="center"/>
            <w:hideMark/>
          </w:tcPr>
          <w:p w14:paraId="2BAB6462" w14:textId="189A7473" w:rsidR="00F466D6" w:rsidRPr="006D080A" w:rsidRDefault="00F466D6" w:rsidP="00132A44">
            <w:pPr>
              <w:jc w:val="both"/>
              <w:rPr>
                <w:rFonts w:ascii="Arial Narrow" w:hAnsi="Arial Narrow" w:cs="Calibri"/>
                <w:color w:val="000000"/>
                <w:sz w:val="20"/>
                <w:szCs w:val="20"/>
                <w:lang w:val="es-CR" w:eastAsia="es-CR"/>
              </w:rPr>
            </w:pPr>
            <w:r w:rsidRPr="006D080A">
              <w:rPr>
                <w:rFonts w:ascii="Arial Narrow" w:hAnsi="Arial Narrow" w:cs="Calibri"/>
                <w:color w:val="000000"/>
                <w:sz w:val="20"/>
                <w:szCs w:val="20"/>
                <w:lang w:val="es-CR" w:eastAsia="es-CR"/>
              </w:rPr>
              <w:t>Que al finalizar el 2024, se haya incrementado la cantidad de casos terminados en materia Contenciosa por año, en primera instancia instancia (45,33% de cumplimiento para el 2021)</w:t>
            </w:r>
          </w:p>
        </w:tc>
        <w:tc>
          <w:tcPr>
            <w:tcW w:w="3424" w:type="dxa"/>
            <w:gridSpan w:val="2"/>
            <w:vMerge/>
            <w:shd w:val="clear" w:color="auto" w:fill="auto"/>
            <w:vAlign w:val="center"/>
            <w:hideMark/>
          </w:tcPr>
          <w:p w14:paraId="6936CEAD" w14:textId="77777777" w:rsidR="00F466D6" w:rsidRPr="006D080A" w:rsidRDefault="00F466D6" w:rsidP="00F466D6">
            <w:pPr>
              <w:jc w:val="center"/>
              <w:rPr>
                <w:rFonts w:ascii="Arial Narrow" w:hAnsi="Arial Narrow" w:cs="Calibri"/>
                <w:color w:val="000000"/>
                <w:sz w:val="20"/>
                <w:szCs w:val="20"/>
                <w:lang w:val="es-CR" w:eastAsia="es-CR"/>
              </w:rPr>
            </w:pPr>
          </w:p>
        </w:tc>
        <w:tc>
          <w:tcPr>
            <w:tcW w:w="1371" w:type="dxa"/>
            <w:vMerge/>
            <w:shd w:val="clear" w:color="auto" w:fill="auto"/>
            <w:vAlign w:val="center"/>
            <w:hideMark/>
          </w:tcPr>
          <w:p w14:paraId="76A3C332" w14:textId="77777777" w:rsidR="00F466D6" w:rsidRPr="006D080A" w:rsidRDefault="00F466D6" w:rsidP="00F466D6">
            <w:pPr>
              <w:jc w:val="center"/>
              <w:rPr>
                <w:rFonts w:ascii="Arial Narrow" w:hAnsi="Arial Narrow" w:cs="Calibri"/>
                <w:color w:val="000000"/>
                <w:sz w:val="20"/>
                <w:szCs w:val="20"/>
                <w:lang w:val="es-CR" w:eastAsia="es-CR"/>
              </w:rPr>
            </w:pPr>
          </w:p>
        </w:tc>
      </w:tr>
      <w:tr w:rsidR="00F466D6" w:rsidRPr="006D080A" w14:paraId="783904B1" w14:textId="77777777" w:rsidTr="004C3FA6">
        <w:trPr>
          <w:trHeight w:val="290"/>
        </w:trPr>
        <w:tc>
          <w:tcPr>
            <w:tcW w:w="1586" w:type="dxa"/>
            <w:gridSpan w:val="2"/>
            <w:vMerge/>
            <w:shd w:val="clear" w:color="auto" w:fill="auto"/>
            <w:vAlign w:val="center"/>
            <w:hideMark/>
          </w:tcPr>
          <w:p w14:paraId="07A91EDE" w14:textId="77777777" w:rsidR="00F466D6" w:rsidRPr="006D080A" w:rsidRDefault="00F466D6" w:rsidP="00F466D6">
            <w:pPr>
              <w:jc w:val="center"/>
              <w:rPr>
                <w:rFonts w:ascii="Arial Narrow" w:hAnsi="Arial Narrow" w:cs="Calibri"/>
                <w:color w:val="000000"/>
                <w:sz w:val="20"/>
                <w:szCs w:val="20"/>
                <w:lang w:val="es-CR" w:eastAsia="es-CR"/>
              </w:rPr>
            </w:pPr>
          </w:p>
        </w:tc>
        <w:tc>
          <w:tcPr>
            <w:tcW w:w="2929" w:type="dxa"/>
            <w:gridSpan w:val="2"/>
            <w:shd w:val="clear" w:color="auto" w:fill="auto"/>
            <w:vAlign w:val="center"/>
            <w:hideMark/>
          </w:tcPr>
          <w:p w14:paraId="7E11D342" w14:textId="78722D40" w:rsidR="00F466D6" w:rsidRPr="006D080A" w:rsidRDefault="00F466D6" w:rsidP="00132A44">
            <w:pPr>
              <w:jc w:val="both"/>
              <w:rPr>
                <w:rFonts w:ascii="Arial Narrow" w:hAnsi="Arial Narrow" w:cs="Calibri"/>
                <w:color w:val="000000"/>
                <w:sz w:val="20"/>
                <w:szCs w:val="20"/>
                <w:lang w:val="es-CR" w:eastAsia="es-CR"/>
              </w:rPr>
            </w:pPr>
            <w:r w:rsidRPr="006D080A">
              <w:rPr>
                <w:rFonts w:ascii="Arial Narrow" w:hAnsi="Arial Narrow" w:cs="Calibri"/>
                <w:color w:val="000000"/>
                <w:sz w:val="20"/>
                <w:szCs w:val="20"/>
                <w:lang w:val="es-CR" w:eastAsia="es-CR"/>
              </w:rPr>
              <w:t>Que al finalizar el 2024, se haya incrementado la cantidad de casos terminados en materia de Pensiones Alimentarias por año, en primera instancia (85,25% de cumplimiento para el 2021)</w:t>
            </w:r>
          </w:p>
        </w:tc>
        <w:tc>
          <w:tcPr>
            <w:tcW w:w="3424" w:type="dxa"/>
            <w:gridSpan w:val="2"/>
            <w:vMerge/>
            <w:shd w:val="clear" w:color="auto" w:fill="auto"/>
            <w:vAlign w:val="center"/>
            <w:hideMark/>
          </w:tcPr>
          <w:p w14:paraId="0CE2760D" w14:textId="77777777" w:rsidR="00F466D6" w:rsidRPr="006D080A" w:rsidRDefault="00F466D6" w:rsidP="00F466D6">
            <w:pPr>
              <w:jc w:val="center"/>
              <w:rPr>
                <w:rFonts w:ascii="Arial Narrow" w:hAnsi="Arial Narrow" w:cs="Calibri"/>
                <w:color w:val="000000"/>
                <w:sz w:val="20"/>
                <w:szCs w:val="20"/>
                <w:lang w:val="es-CR" w:eastAsia="es-CR"/>
              </w:rPr>
            </w:pPr>
          </w:p>
        </w:tc>
        <w:tc>
          <w:tcPr>
            <w:tcW w:w="1371" w:type="dxa"/>
            <w:vMerge/>
            <w:shd w:val="clear" w:color="auto" w:fill="auto"/>
            <w:vAlign w:val="center"/>
            <w:hideMark/>
          </w:tcPr>
          <w:p w14:paraId="66D799ED" w14:textId="77777777" w:rsidR="00F466D6" w:rsidRPr="006D080A" w:rsidRDefault="00F466D6" w:rsidP="00F466D6">
            <w:pPr>
              <w:jc w:val="center"/>
              <w:rPr>
                <w:rFonts w:ascii="Arial Narrow" w:hAnsi="Arial Narrow" w:cs="Calibri"/>
                <w:color w:val="000000"/>
                <w:sz w:val="20"/>
                <w:szCs w:val="20"/>
                <w:lang w:val="es-CR" w:eastAsia="es-CR"/>
              </w:rPr>
            </w:pPr>
          </w:p>
        </w:tc>
      </w:tr>
      <w:tr w:rsidR="00F466D6" w:rsidRPr="006D080A" w14:paraId="15955E39" w14:textId="77777777" w:rsidTr="004C3FA6">
        <w:trPr>
          <w:trHeight w:val="290"/>
        </w:trPr>
        <w:tc>
          <w:tcPr>
            <w:tcW w:w="1586" w:type="dxa"/>
            <w:gridSpan w:val="2"/>
            <w:vMerge/>
            <w:shd w:val="clear" w:color="auto" w:fill="auto"/>
            <w:vAlign w:val="center"/>
            <w:hideMark/>
          </w:tcPr>
          <w:p w14:paraId="3E75F436" w14:textId="77777777" w:rsidR="00F466D6" w:rsidRPr="006D080A" w:rsidRDefault="00F466D6" w:rsidP="00F466D6">
            <w:pPr>
              <w:jc w:val="center"/>
              <w:rPr>
                <w:rFonts w:ascii="Arial Narrow" w:hAnsi="Arial Narrow" w:cs="Calibri"/>
                <w:color w:val="000000"/>
                <w:sz w:val="20"/>
                <w:szCs w:val="20"/>
                <w:lang w:val="es-CR" w:eastAsia="es-CR"/>
              </w:rPr>
            </w:pPr>
          </w:p>
        </w:tc>
        <w:tc>
          <w:tcPr>
            <w:tcW w:w="2929" w:type="dxa"/>
            <w:gridSpan w:val="2"/>
            <w:shd w:val="clear" w:color="auto" w:fill="auto"/>
            <w:vAlign w:val="center"/>
            <w:hideMark/>
          </w:tcPr>
          <w:p w14:paraId="4E268379" w14:textId="259B5750" w:rsidR="00F466D6" w:rsidRPr="006D080A" w:rsidRDefault="00F466D6" w:rsidP="00132A44">
            <w:pPr>
              <w:jc w:val="both"/>
              <w:rPr>
                <w:rFonts w:ascii="Arial Narrow" w:hAnsi="Arial Narrow" w:cs="Calibri"/>
                <w:color w:val="000000"/>
                <w:sz w:val="20"/>
                <w:szCs w:val="20"/>
                <w:lang w:val="es-CR" w:eastAsia="es-CR"/>
              </w:rPr>
            </w:pPr>
            <w:r w:rsidRPr="006D080A">
              <w:rPr>
                <w:rFonts w:ascii="Arial Narrow" w:hAnsi="Arial Narrow" w:cs="Calibri"/>
                <w:color w:val="000000"/>
                <w:sz w:val="20"/>
                <w:szCs w:val="20"/>
                <w:lang w:val="es-CR" w:eastAsia="es-CR"/>
              </w:rPr>
              <w:t>Que al finalizar el 2024, se haya incrementado la cantidad de casos terminados en materia Penal por año, en primera instancia por los tribunales de juicio penales (87,26% de cumplimiento para el 2021)</w:t>
            </w:r>
          </w:p>
        </w:tc>
        <w:tc>
          <w:tcPr>
            <w:tcW w:w="3424" w:type="dxa"/>
            <w:gridSpan w:val="2"/>
            <w:vMerge/>
            <w:shd w:val="clear" w:color="auto" w:fill="auto"/>
            <w:vAlign w:val="center"/>
            <w:hideMark/>
          </w:tcPr>
          <w:p w14:paraId="368E9A37" w14:textId="77777777" w:rsidR="00F466D6" w:rsidRPr="006D080A" w:rsidRDefault="00F466D6" w:rsidP="00F466D6">
            <w:pPr>
              <w:jc w:val="center"/>
              <w:rPr>
                <w:rFonts w:ascii="Arial Narrow" w:hAnsi="Arial Narrow" w:cs="Calibri"/>
                <w:color w:val="000000"/>
                <w:sz w:val="20"/>
                <w:szCs w:val="20"/>
                <w:lang w:val="es-CR" w:eastAsia="es-CR"/>
              </w:rPr>
            </w:pPr>
          </w:p>
        </w:tc>
        <w:tc>
          <w:tcPr>
            <w:tcW w:w="1371" w:type="dxa"/>
            <w:vMerge/>
            <w:shd w:val="clear" w:color="auto" w:fill="auto"/>
            <w:vAlign w:val="center"/>
            <w:hideMark/>
          </w:tcPr>
          <w:p w14:paraId="17BF00FB" w14:textId="77777777" w:rsidR="00F466D6" w:rsidRPr="006D080A" w:rsidRDefault="00F466D6" w:rsidP="00F466D6">
            <w:pPr>
              <w:jc w:val="center"/>
              <w:rPr>
                <w:rFonts w:ascii="Arial Narrow" w:hAnsi="Arial Narrow" w:cs="Calibri"/>
                <w:color w:val="000000"/>
                <w:sz w:val="20"/>
                <w:szCs w:val="20"/>
                <w:lang w:val="es-CR" w:eastAsia="es-CR"/>
              </w:rPr>
            </w:pPr>
          </w:p>
        </w:tc>
      </w:tr>
      <w:tr w:rsidR="00F466D6" w:rsidRPr="006D080A" w14:paraId="6C01EB65" w14:textId="77777777" w:rsidTr="004C3FA6">
        <w:trPr>
          <w:trHeight w:val="290"/>
        </w:trPr>
        <w:tc>
          <w:tcPr>
            <w:tcW w:w="1586" w:type="dxa"/>
            <w:gridSpan w:val="2"/>
            <w:vMerge/>
            <w:shd w:val="clear" w:color="auto" w:fill="auto"/>
            <w:vAlign w:val="center"/>
            <w:hideMark/>
          </w:tcPr>
          <w:p w14:paraId="1E4C7DA9" w14:textId="77777777" w:rsidR="00F466D6" w:rsidRPr="006D080A" w:rsidRDefault="00F466D6" w:rsidP="00F466D6">
            <w:pPr>
              <w:jc w:val="center"/>
              <w:rPr>
                <w:rFonts w:ascii="Arial Narrow" w:hAnsi="Arial Narrow" w:cs="Calibri"/>
                <w:color w:val="000000"/>
                <w:sz w:val="20"/>
                <w:szCs w:val="20"/>
                <w:lang w:val="es-CR" w:eastAsia="es-CR"/>
              </w:rPr>
            </w:pPr>
          </w:p>
        </w:tc>
        <w:tc>
          <w:tcPr>
            <w:tcW w:w="2929" w:type="dxa"/>
            <w:gridSpan w:val="2"/>
            <w:shd w:val="clear" w:color="auto" w:fill="auto"/>
            <w:vAlign w:val="center"/>
            <w:hideMark/>
          </w:tcPr>
          <w:p w14:paraId="777D84C6" w14:textId="4F3EE969" w:rsidR="00F466D6" w:rsidRPr="006D080A" w:rsidRDefault="00F466D6" w:rsidP="00132A44">
            <w:pPr>
              <w:jc w:val="both"/>
              <w:rPr>
                <w:rFonts w:ascii="Arial Narrow" w:hAnsi="Arial Narrow" w:cs="Calibri"/>
                <w:color w:val="000000"/>
                <w:sz w:val="20"/>
                <w:szCs w:val="20"/>
                <w:lang w:val="es-CR" w:eastAsia="es-CR"/>
              </w:rPr>
            </w:pPr>
            <w:r w:rsidRPr="006D080A">
              <w:rPr>
                <w:rFonts w:ascii="Arial Narrow" w:hAnsi="Arial Narrow" w:cs="Calibri"/>
                <w:color w:val="000000"/>
                <w:sz w:val="20"/>
                <w:szCs w:val="20"/>
                <w:lang w:val="es-CR" w:eastAsia="es-CR"/>
              </w:rPr>
              <w:t>Que al finalizar el 2024, se haya incrementado la cantidad de casos terminados en materia Laboral por año, en primera instancia penales (88,72% de cumplimiento para el 2021)</w:t>
            </w:r>
          </w:p>
        </w:tc>
        <w:tc>
          <w:tcPr>
            <w:tcW w:w="3424" w:type="dxa"/>
            <w:gridSpan w:val="2"/>
            <w:vMerge/>
            <w:shd w:val="clear" w:color="auto" w:fill="auto"/>
            <w:vAlign w:val="center"/>
            <w:hideMark/>
          </w:tcPr>
          <w:p w14:paraId="255B8B9B" w14:textId="77777777" w:rsidR="00F466D6" w:rsidRPr="006D080A" w:rsidRDefault="00F466D6" w:rsidP="00F466D6">
            <w:pPr>
              <w:jc w:val="center"/>
              <w:rPr>
                <w:rFonts w:ascii="Arial Narrow" w:hAnsi="Arial Narrow" w:cs="Calibri"/>
                <w:color w:val="000000"/>
                <w:sz w:val="20"/>
                <w:szCs w:val="20"/>
                <w:lang w:val="es-CR" w:eastAsia="es-CR"/>
              </w:rPr>
            </w:pPr>
          </w:p>
        </w:tc>
        <w:tc>
          <w:tcPr>
            <w:tcW w:w="1371" w:type="dxa"/>
            <w:vMerge/>
            <w:shd w:val="clear" w:color="auto" w:fill="auto"/>
            <w:vAlign w:val="center"/>
            <w:hideMark/>
          </w:tcPr>
          <w:p w14:paraId="44076D89" w14:textId="77777777" w:rsidR="00F466D6" w:rsidRPr="006D080A" w:rsidRDefault="00F466D6" w:rsidP="00F466D6">
            <w:pPr>
              <w:jc w:val="center"/>
              <w:rPr>
                <w:rFonts w:ascii="Arial Narrow" w:hAnsi="Arial Narrow" w:cs="Calibri"/>
                <w:color w:val="000000"/>
                <w:sz w:val="20"/>
                <w:szCs w:val="20"/>
                <w:lang w:val="es-CR" w:eastAsia="es-CR"/>
              </w:rPr>
            </w:pPr>
          </w:p>
        </w:tc>
      </w:tr>
      <w:tr w:rsidR="00F466D6" w:rsidRPr="006D080A" w14:paraId="5B78C99F" w14:textId="77777777" w:rsidTr="004C3FA6">
        <w:trPr>
          <w:trHeight w:val="290"/>
        </w:trPr>
        <w:tc>
          <w:tcPr>
            <w:tcW w:w="1586" w:type="dxa"/>
            <w:gridSpan w:val="2"/>
            <w:vMerge w:val="restart"/>
            <w:shd w:val="clear" w:color="auto" w:fill="auto"/>
            <w:vAlign w:val="center"/>
            <w:hideMark/>
          </w:tcPr>
          <w:p w14:paraId="20B07E99" w14:textId="77777777" w:rsidR="00F466D6" w:rsidRPr="006D080A" w:rsidRDefault="00F466D6" w:rsidP="00F466D6">
            <w:pPr>
              <w:jc w:val="center"/>
              <w:rPr>
                <w:rFonts w:ascii="Arial Narrow" w:hAnsi="Arial Narrow" w:cs="Calibri"/>
                <w:b/>
                <w:bCs/>
                <w:color w:val="000000"/>
                <w:sz w:val="20"/>
                <w:szCs w:val="20"/>
                <w:lang w:val="es-CR" w:eastAsia="es-CR"/>
              </w:rPr>
            </w:pPr>
            <w:r w:rsidRPr="006D080A">
              <w:rPr>
                <w:rFonts w:ascii="Arial Narrow" w:hAnsi="Arial Narrow" w:cs="Calibri"/>
                <w:b/>
                <w:bCs/>
                <w:color w:val="000000"/>
                <w:sz w:val="20"/>
                <w:szCs w:val="20"/>
                <w:lang w:val="es-CR" w:eastAsia="es-CR"/>
              </w:rPr>
              <w:t>Medidas Alternas</w:t>
            </w:r>
          </w:p>
        </w:tc>
        <w:tc>
          <w:tcPr>
            <w:tcW w:w="2929" w:type="dxa"/>
            <w:gridSpan w:val="2"/>
            <w:shd w:val="clear" w:color="auto" w:fill="auto"/>
            <w:vAlign w:val="center"/>
            <w:hideMark/>
          </w:tcPr>
          <w:p w14:paraId="2DF585A1" w14:textId="3B8D300B" w:rsidR="00F466D6" w:rsidRPr="006D080A" w:rsidRDefault="00F466D6" w:rsidP="00132A44">
            <w:pPr>
              <w:jc w:val="both"/>
              <w:rPr>
                <w:rFonts w:ascii="Arial Narrow" w:hAnsi="Arial Narrow" w:cs="Calibri"/>
                <w:color w:val="000000"/>
                <w:sz w:val="20"/>
                <w:szCs w:val="20"/>
                <w:lang w:val="es-CR" w:eastAsia="es-CR"/>
              </w:rPr>
            </w:pPr>
            <w:r w:rsidRPr="006D080A">
              <w:rPr>
                <w:rFonts w:ascii="Arial Narrow" w:hAnsi="Arial Narrow" w:cs="Calibri"/>
                <w:color w:val="000000"/>
                <w:sz w:val="20"/>
                <w:szCs w:val="20"/>
                <w:lang w:val="es-CR" w:eastAsia="es-CR"/>
              </w:rPr>
              <w:t>Que al finalizar el 2024, se haya incrementado la cantidad de casos terminados, mediante la aplicación de medidas alternas, en materia laboral por año, en primera instancia (79% de cumplimiento para el 2021)</w:t>
            </w:r>
          </w:p>
        </w:tc>
        <w:tc>
          <w:tcPr>
            <w:tcW w:w="3424" w:type="dxa"/>
            <w:gridSpan w:val="2"/>
            <w:vMerge w:val="restart"/>
            <w:shd w:val="clear" w:color="auto" w:fill="auto"/>
            <w:vAlign w:val="center"/>
            <w:hideMark/>
          </w:tcPr>
          <w:p w14:paraId="3F14475B" w14:textId="77777777" w:rsidR="00F466D6" w:rsidRPr="006D080A" w:rsidRDefault="00F466D6" w:rsidP="00132A44">
            <w:pPr>
              <w:jc w:val="both"/>
              <w:rPr>
                <w:rFonts w:ascii="Arial Narrow" w:hAnsi="Arial Narrow" w:cs="Calibri"/>
                <w:color w:val="000000"/>
                <w:sz w:val="20"/>
                <w:szCs w:val="20"/>
                <w:lang w:val="es-CR" w:eastAsia="es-CR"/>
              </w:rPr>
            </w:pPr>
            <w:r w:rsidRPr="006D080A">
              <w:rPr>
                <w:rFonts w:ascii="Arial Narrow" w:hAnsi="Arial Narrow" w:cs="Calibri"/>
                <w:color w:val="000000"/>
                <w:sz w:val="20"/>
                <w:szCs w:val="20"/>
                <w:lang w:eastAsia="es-CR"/>
              </w:rPr>
              <w:t>Para las 11 metas estratégicas indicadas de previo, se debe efectuar un análisis de las posibles estrategias y tendencias estadísticas de ingreso y salida de asuntos mediante medidas alternas, con el objetivo de que se logre alcanzar la cantidad de casos terminados desde la meta formulada, y desde la óptica de la planificación revisar en conjunto con los responsables las metas y sus valores finales propuestos, con el fin de poder cumplir a cabalidad lo establecido en cada meta</w:t>
            </w:r>
          </w:p>
        </w:tc>
        <w:tc>
          <w:tcPr>
            <w:tcW w:w="1371" w:type="dxa"/>
            <w:vMerge w:val="restart"/>
            <w:shd w:val="clear" w:color="auto" w:fill="auto"/>
            <w:vAlign w:val="center"/>
            <w:hideMark/>
          </w:tcPr>
          <w:p w14:paraId="08024E0C" w14:textId="2A62F9B0" w:rsidR="00F466D6" w:rsidRPr="00322D9B" w:rsidRDefault="00F466D6" w:rsidP="00132A44">
            <w:pPr>
              <w:jc w:val="both"/>
              <w:rPr>
                <w:rFonts w:ascii="Arial Narrow" w:hAnsi="Arial Narrow" w:cs="Calibri"/>
                <w:color w:val="000000"/>
                <w:sz w:val="20"/>
                <w:szCs w:val="20"/>
                <w:lang w:val="es-CR" w:eastAsia="es-CR"/>
              </w:rPr>
            </w:pPr>
            <w:r w:rsidRPr="00322D9B">
              <w:rPr>
                <w:rFonts w:ascii="Arial Narrow" w:hAnsi="Arial Narrow" w:cs="Calibri"/>
                <w:color w:val="000000"/>
                <w:sz w:val="20"/>
                <w:szCs w:val="20"/>
                <w:lang w:val="es-CR" w:eastAsia="es-CR"/>
              </w:rPr>
              <w:t xml:space="preserve">Centro de Apoyo, Coordinación y Mejoramiento de la Función Jurisdiccional, </w:t>
            </w:r>
            <w:r w:rsidR="00EF29A2" w:rsidRPr="00322D9B">
              <w:rPr>
                <w:rFonts w:ascii="Arial Narrow" w:hAnsi="Arial Narrow" w:cs="Calibri"/>
                <w:color w:val="000000"/>
                <w:sz w:val="20"/>
                <w:szCs w:val="20"/>
                <w:lang w:val="es-CR" w:eastAsia="es-CR"/>
              </w:rPr>
              <w:t>en coordinación con el Subproceso de Planificación Estratégica de la Dirección de Planificación</w:t>
            </w:r>
            <w:r w:rsidRPr="00322D9B">
              <w:rPr>
                <w:rFonts w:ascii="Arial Narrow" w:hAnsi="Arial Narrow" w:cs="Calibri"/>
                <w:color w:val="000000"/>
                <w:sz w:val="20"/>
                <w:szCs w:val="20"/>
                <w:lang w:val="es-CR" w:eastAsia="es-CR"/>
              </w:rPr>
              <w:t xml:space="preserve"> y Comisiones.</w:t>
            </w:r>
          </w:p>
        </w:tc>
      </w:tr>
      <w:tr w:rsidR="00F466D6" w:rsidRPr="006D080A" w14:paraId="5D9A7A5F" w14:textId="77777777" w:rsidTr="004C3FA6">
        <w:trPr>
          <w:trHeight w:val="290"/>
        </w:trPr>
        <w:tc>
          <w:tcPr>
            <w:tcW w:w="1586" w:type="dxa"/>
            <w:gridSpan w:val="2"/>
            <w:vMerge/>
            <w:shd w:val="clear" w:color="auto" w:fill="auto"/>
            <w:vAlign w:val="center"/>
            <w:hideMark/>
          </w:tcPr>
          <w:p w14:paraId="43DBB97F" w14:textId="77777777" w:rsidR="00F466D6" w:rsidRPr="006D080A" w:rsidRDefault="00F466D6" w:rsidP="00F466D6">
            <w:pPr>
              <w:jc w:val="center"/>
              <w:rPr>
                <w:rFonts w:ascii="Arial Narrow" w:hAnsi="Arial Narrow" w:cs="Calibri"/>
                <w:color w:val="000000"/>
                <w:sz w:val="20"/>
                <w:szCs w:val="20"/>
                <w:lang w:val="es-CR" w:eastAsia="es-CR"/>
              </w:rPr>
            </w:pPr>
          </w:p>
        </w:tc>
        <w:tc>
          <w:tcPr>
            <w:tcW w:w="2929" w:type="dxa"/>
            <w:gridSpan w:val="2"/>
            <w:shd w:val="clear" w:color="auto" w:fill="auto"/>
            <w:vAlign w:val="center"/>
            <w:hideMark/>
          </w:tcPr>
          <w:p w14:paraId="5F6803B8" w14:textId="3278FA1A" w:rsidR="00F466D6" w:rsidRPr="006D080A" w:rsidRDefault="00F466D6" w:rsidP="00132A44">
            <w:pPr>
              <w:jc w:val="both"/>
              <w:rPr>
                <w:rFonts w:ascii="Arial Narrow" w:hAnsi="Arial Narrow" w:cs="Calibri"/>
                <w:color w:val="000000"/>
                <w:sz w:val="20"/>
                <w:szCs w:val="20"/>
                <w:lang w:val="es-CR" w:eastAsia="es-CR"/>
              </w:rPr>
            </w:pPr>
            <w:r w:rsidRPr="006D080A">
              <w:rPr>
                <w:rFonts w:ascii="Arial Narrow" w:hAnsi="Arial Narrow" w:cs="Calibri"/>
                <w:color w:val="000000"/>
                <w:sz w:val="20"/>
                <w:szCs w:val="20"/>
                <w:lang w:val="es-CR" w:eastAsia="es-CR"/>
              </w:rPr>
              <w:t>Que al finalizar el 2024, se haya incrementado la cantidad de casos terminados, mediante la aplicación de medidas alternas, en juzgados penales (85% de cumplimiento para el 2021)</w:t>
            </w:r>
          </w:p>
        </w:tc>
        <w:tc>
          <w:tcPr>
            <w:tcW w:w="3424" w:type="dxa"/>
            <w:gridSpan w:val="2"/>
            <w:vMerge/>
            <w:shd w:val="clear" w:color="auto" w:fill="auto"/>
            <w:vAlign w:val="center"/>
            <w:hideMark/>
          </w:tcPr>
          <w:p w14:paraId="346387BB" w14:textId="77777777" w:rsidR="00F466D6" w:rsidRPr="006D080A" w:rsidRDefault="00F466D6" w:rsidP="00F466D6">
            <w:pPr>
              <w:jc w:val="center"/>
              <w:rPr>
                <w:rFonts w:ascii="Arial Narrow" w:hAnsi="Arial Narrow" w:cs="Calibri"/>
                <w:color w:val="000000"/>
                <w:sz w:val="20"/>
                <w:szCs w:val="20"/>
                <w:lang w:val="es-CR" w:eastAsia="es-CR"/>
              </w:rPr>
            </w:pPr>
          </w:p>
        </w:tc>
        <w:tc>
          <w:tcPr>
            <w:tcW w:w="1371" w:type="dxa"/>
            <w:vMerge/>
            <w:shd w:val="clear" w:color="auto" w:fill="auto"/>
            <w:vAlign w:val="center"/>
            <w:hideMark/>
          </w:tcPr>
          <w:p w14:paraId="695ADB43" w14:textId="77777777" w:rsidR="00F466D6" w:rsidRPr="006D080A" w:rsidRDefault="00F466D6" w:rsidP="00F466D6">
            <w:pPr>
              <w:jc w:val="center"/>
              <w:rPr>
                <w:rFonts w:ascii="Arial Narrow" w:hAnsi="Arial Narrow" w:cs="Calibri"/>
                <w:color w:val="000000"/>
                <w:sz w:val="20"/>
                <w:szCs w:val="20"/>
                <w:lang w:val="es-CR" w:eastAsia="es-CR"/>
              </w:rPr>
            </w:pPr>
          </w:p>
        </w:tc>
      </w:tr>
      <w:tr w:rsidR="00F466D6" w:rsidRPr="006D080A" w14:paraId="0F8B759D" w14:textId="77777777" w:rsidTr="004C3FA6">
        <w:trPr>
          <w:trHeight w:val="290"/>
        </w:trPr>
        <w:tc>
          <w:tcPr>
            <w:tcW w:w="1586" w:type="dxa"/>
            <w:gridSpan w:val="2"/>
            <w:vMerge/>
            <w:shd w:val="clear" w:color="auto" w:fill="auto"/>
            <w:vAlign w:val="center"/>
            <w:hideMark/>
          </w:tcPr>
          <w:p w14:paraId="0A5570F9" w14:textId="77777777" w:rsidR="00F466D6" w:rsidRPr="006D080A" w:rsidRDefault="00F466D6" w:rsidP="00F466D6">
            <w:pPr>
              <w:jc w:val="center"/>
              <w:rPr>
                <w:rFonts w:ascii="Arial Narrow" w:hAnsi="Arial Narrow" w:cs="Calibri"/>
                <w:color w:val="000000"/>
                <w:sz w:val="20"/>
                <w:szCs w:val="20"/>
                <w:lang w:val="es-CR" w:eastAsia="es-CR"/>
              </w:rPr>
            </w:pPr>
          </w:p>
        </w:tc>
        <w:tc>
          <w:tcPr>
            <w:tcW w:w="2929" w:type="dxa"/>
            <w:gridSpan w:val="2"/>
            <w:shd w:val="clear" w:color="auto" w:fill="auto"/>
            <w:vAlign w:val="center"/>
            <w:hideMark/>
          </w:tcPr>
          <w:p w14:paraId="0ADBA780" w14:textId="661F84B2" w:rsidR="00F466D6" w:rsidRPr="006D080A" w:rsidRDefault="00F466D6" w:rsidP="00132A44">
            <w:pPr>
              <w:jc w:val="both"/>
              <w:rPr>
                <w:rFonts w:ascii="Arial Narrow" w:hAnsi="Arial Narrow" w:cs="Calibri"/>
                <w:color w:val="000000"/>
                <w:sz w:val="20"/>
                <w:szCs w:val="20"/>
                <w:lang w:val="es-CR" w:eastAsia="es-CR"/>
              </w:rPr>
            </w:pPr>
            <w:r w:rsidRPr="006D080A">
              <w:rPr>
                <w:rFonts w:ascii="Arial Narrow" w:hAnsi="Arial Narrow" w:cs="Calibri"/>
                <w:color w:val="000000"/>
                <w:sz w:val="20"/>
                <w:szCs w:val="20"/>
                <w:lang w:val="es-CR" w:eastAsia="es-CR"/>
              </w:rPr>
              <w:t>Que al finalizar el 2024, se haya incrementado la cantidad de casos terminados, mediante la aplicación de medidas alternas, en materia Penal Juvenil por año, en primera instancia (72% de cumplimiento para el 2021)</w:t>
            </w:r>
          </w:p>
        </w:tc>
        <w:tc>
          <w:tcPr>
            <w:tcW w:w="3424" w:type="dxa"/>
            <w:gridSpan w:val="2"/>
            <w:vMerge/>
            <w:shd w:val="clear" w:color="auto" w:fill="auto"/>
            <w:vAlign w:val="center"/>
            <w:hideMark/>
          </w:tcPr>
          <w:p w14:paraId="27B57EF7" w14:textId="77777777" w:rsidR="00F466D6" w:rsidRPr="006D080A" w:rsidRDefault="00F466D6" w:rsidP="00F466D6">
            <w:pPr>
              <w:jc w:val="center"/>
              <w:rPr>
                <w:rFonts w:ascii="Arial Narrow" w:hAnsi="Arial Narrow" w:cs="Calibri"/>
                <w:color w:val="000000"/>
                <w:sz w:val="20"/>
                <w:szCs w:val="20"/>
                <w:lang w:val="es-CR" w:eastAsia="es-CR"/>
              </w:rPr>
            </w:pPr>
          </w:p>
        </w:tc>
        <w:tc>
          <w:tcPr>
            <w:tcW w:w="1371" w:type="dxa"/>
            <w:vMerge/>
            <w:shd w:val="clear" w:color="auto" w:fill="auto"/>
            <w:vAlign w:val="center"/>
            <w:hideMark/>
          </w:tcPr>
          <w:p w14:paraId="78D49CAC" w14:textId="77777777" w:rsidR="00F466D6" w:rsidRPr="006D080A" w:rsidRDefault="00F466D6" w:rsidP="00F466D6">
            <w:pPr>
              <w:jc w:val="center"/>
              <w:rPr>
                <w:rFonts w:ascii="Arial Narrow" w:hAnsi="Arial Narrow" w:cs="Calibri"/>
                <w:color w:val="000000"/>
                <w:sz w:val="20"/>
                <w:szCs w:val="20"/>
                <w:lang w:val="es-CR" w:eastAsia="es-CR"/>
              </w:rPr>
            </w:pPr>
          </w:p>
        </w:tc>
      </w:tr>
      <w:tr w:rsidR="00F466D6" w:rsidRPr="006D080A" w14:paraId="3EB115D0" w14:textId="77777777" w:rsidTr="004C3FA6">
        <w:trPr>
          <w:trHeight w:val="290"/>
        </w:trPr>
        <w:tc>
          <w:tcPr>
            <w:tcW w:w="1586" w:type="dxa"/>
            <w:gridSpan w:val="2"/>
            <w:vMerge/>
            <w:shd w:val="clear" w:color="auto" w:fill="auto"/>
            <w:vAlign w:val="center"/>
            <w:hideMark/>
          </w:tcPr>
          <w:p w14:paraId="742BB6B6" w14:textId="77777777" w:rsidR="00F466D6" w:rsidRPr="006D080A" w:rsidRDefault="00F466D6" w:rsidP="00F466D6">
            <w:pPr>
              <w:jc w:val="center"/>
              <w:rPr>
                <w:rFonts w:ascii="Arial Narrow" w:hAnsi="Arial Narrow" w:cs="Calibri"/>
                <w:color w:val="000000"/>
                <w:sz w:val="20"/>
                <w:szCs w:val="20"/>
                <w:lang w:val="es-CR" w:eastAsia="es-CR"/>
              </w:rPr>
            </w:pPr>
          </w:p>
        </w:tc>
        <w:tc>
          <w:tcPr>
            <w:tcW w:w="2929" w:type="dxa"/>
            <w:gridSpan w:val="2"/>
            <w:shd w:val="clear" w:color="auto" w:fill="auto"/>
            <w:vAlign w:val="center"/>
            <w:hideMark/>
          </w:tcPr>
          <w:p w14:paraId="4C0D6A8A" w14:textId="623284EB" w:rsidR="00F466D6" w:rsidRPr="006D080A" w:rsidRDefault="00F466D6" w:rsidP="00132A44">
            <w:pPr>
              <w:jc w:val="both"/>
              <w:rPr>
                <w:rFonts w:ascii="Arial Narrow" w:hAnsi="Arial Narrow" w:cs="Calibri"/>
                <w:color w:val="000000"/>
                <w:sz w:val="20"/>
                <w:szCs w:val="20"/>
                <w:lang w:val="es-CR" w:eastAsia="es-CR"/>
              </w:rPr>
            </w:pPr>
            <w:r w:rsidRPr="006D080A">
              <w:rPr>
                <w:rFonts w:ascii="Arial Narrow" w:hAnsi="Arial Narrow" w:cs="Calibri"/>
                <w:color w:val="000000"/>
                <w:sz w:val="20"/>
                <w:szCs w:val="20"/>
                <w:lang w:val="es-CR" w:eastAsia="es-CR"/>
              </w:rPr>
              <w:t>Que al finalizar el 2024, se haya incrementado la cantidad de casos terminados, mediante la aplicación de medidas alternas, en materia Contravencional por año, en primera instancia (83% de cumplimiento para el 2021)</w:t>
            </w:r>
          </w:p>
        </w:tc>
        <w:tc>
          <w:tcPr>
            <w:tcW w:w="3424" w:type="dxa"/>
            <w:gridSpan w:val="2"/>
            <w:vMerge/>
            <w:shd w:val="clear" w:color="auto" w:fill="auto"/>
            <w:vAlign w:val="center"/>
            <w:hideMark/>
          </w:tcPr>
          <w:p w14:paraId="39BD04E1" w14:textId="77777777" w:rsidR="00F466D6" w:rsidRPr="006D080A" w:rsidRDefault="00F466D6" w:rsidP="00F466D6">
            <w:pPr>
              <w:jc w:val="center"/>
              <w:rPr>
                <w:rFonts w:ascii="Arial Narrow" w:hAnsi="Arial Narrow" w:cs="Calibri"/>
                <w:color w:val="000000"/>
                <w:sz w:val="20"/>
                <w:szCs w:val="20"/>
                <w:lang w:val="es-CR" w:eastAsia="es-CR"/>
              </w:rPr>
            </w:pPr>
          </w:p>
        </w:tc>
        <w:tc>
          <w:tcPr>
            <w:tcW w:w="1371" w:type="dxa"/>
            <w:vMerge/>
            <w:shd w:val="clear" w:color="auto" w:fill="auto"/>
            <w:vAlign w:val="center"/>
            <w:hideMark/>
          </w:tcPr>
          <w:p w14:paraId="2370EFED" w14:textId="77777777" w:rsidR="00F466D6" w:rsidRPr="006D080A" w:rsidRDefault="00F466D6" w:rsidP="00F466D6">
            <w:pPr>
              <w:jc w:val="center"/>
              <w:rPr>
                <w:rFonts w:ascii="Arial Narrow" w:hAnsi="Arial Narrow" w:cs="Calibri"/>
                <w:color w:val="000000"/>
                <w:sz w:val="20"/>
                <w:szCs w:val="20"/>
                <w:lang w:val="es-CR" w:eastAsia="es-CR"/>
              </w:rPr>
            </w:pPr>
          </w:p>
        </w:tc>
      </w:tr>
      <w:tr w:rsidR="00F466D6" w:rsidRPr="006D080A" w14:paraId="59DBE70F" w14:textId="77777777" w:rsidTr="004C3FA6">
        <w:trPr>
          <w:trHeight w:val="290"/>
        </w:trPr>
        <w:tc>
          <w:tcPr>
            <w:tcW w:w="1586" w:type="dxa"/>
            <w:gridSpan w:val="2"/>
            <w:vMerge/>
            <w:shd w:val="clear" w:color="auto" w:fill="auto"/>
            <w:vAlign w:val="center"/>
            <w:hideMark/>
          </w:tcPr>
          <w:p w14:paraId="2A9EA7AD" w14:textId="77777777" w:rsidR="00F466D6" w:rsidRPr="006D080A" w:rsidRDefault="00F466D6" w:rsidP="00F466D6">
            <w:pPr>
              <w:jc w:val="center"/>
              <w:rPr>
                <w:rFonts w:ascii="Arial Narrow" w:hAnsi="Arial Narrow" w:cs="Calibri"/>
                <w:color w:val="000000"/>
                <w:sz w:val="20"/>
                <w:szCs w:val="20"/>
                <w:lang w:val="es-CR" w:eastAsia="es-CR"/>
              </w:rPr>
            </w:pPr>
          </w:p>
        </w:tc>
        <w:tc>
          <w:tcPr>
            <w:tcW w:w="2929" w:type="dxa"/>
            <w:gridSpan w:val="2"/>
            <w:shd w:val="clear" w:color="auto" w:fill="auto"/>
            <w:vAlign w:val="center"/>
            <w:hideMark/>
          </w:tcPr>
          <w:p w14:paraId="23936CE5" w14:textId="057E9E6C" w:rsidR="00F466D6" w:rsidRPr="006D080A" w:rsidRDefault="00F466D6" w:rsidP="00132A44">
            <w:pPr>
              <w:jc w:val="both"/>
              <w:rPr>
                <w:rFonts w:ascii="Arial Narrow" w:hAnsi="Arial Narrow" w:cs="Calibri"/>
                <w:color w:val="000000"/>
                <w:sz w:val="20"/>
                <w:szCs w:val="20"/>
                <w:lang w:val="es-CR" w:eastAsia="es-CR"/>
              </w:rPr>
            </w:pPr>
            <w:r w:rsidRPr="006D080A">
              <w:rPr>
                <w:rFonts w:ascii="Arial Narrow" w:hAnsi="Arial Narrow" w:cs="Calibri"/>
                <w:color w:val="000000"/>
                <w:sz w:val="20"/>
                <w:szCs w:val="20"/>
                <w:lang w:val="es-CR" w:eastAsia="es-CR"/>
              </w:rPr>
              <w:t>Que al finalizar el 2024, se haya incrementado la cantidad de casos terminados, mediante la aplicación de medidas alternas, en materia Tránsito por año, en primera instancia</w:t>
            </w:r>
            <w:r w:rsidR="0025402E" w:rsidRPr="006D080A">
              <w:rPr>
                <w:rFonts w:ascii="Arial Narrow" w:hAnsi="Arial Narrow" w:cs="Calibri"/>
                <w:color w:val="000000"/>
                <w:sz w:val="20"/>
                <w:szCs w:val="20"/>
                <w:lang w:val="es-CR" w:eastAsia="es-CR"/>
              </w:rPr>
              <w:t xml:space="preserve"> </w:t>
            </w:r>
            <w:r w:rsidRPr="006D080A">
              <w:rPr>
                <w:rFonts w:ascii="Arial Narrow" w:hAnsi="Arial Narrow" w:cs="Calibri"/>
                <w:color w:val="000000"/>
                <w:sz w:val="20"/>
                <w:szCs w:val="20"/>
                <w:lang w:val="es-CR" w:eastAsia="es-CR"/>
              </w:rPr>
              <w:t>(83% de cumplimiento para el 2021)</w:t>
            </w:r>
          </w:p>
        </w:tc>
        <w:tc>
          <w:tcPr>
            <w:tcW w:w="3424" w:type="dxa"/>
            <w:gridSpan w:val="2"/>
            <w:vMerge/>
            <w:shd w:val="clear" w:color="auto" w:fill="auto"/>
            <w:vAlign w:val="center"/>
            <w:hideMark/>
          </w:tcPr>
          <w:p w14:paraId="69C546E2" w14:textId="77777777" w:rsidR="00F466D6" w:rsidRPr="006D080A" w:rsidRDefault="00F466D6" w:rsidP="00F466D6">
            <w:pPr>
              <w:jc w:val="center"/>
              <w:rPr>
                <w:rFonts w:ascii="Arial Narrow" w:hAnsi="Arial Narrow" w:cs="Calibri"/>
                <w:color w:val="000000"/>
                <w:sz w:val="20"/>
                <w:szCs w:val="20"/>
                <w:lang w:val="es-CR" w:eastAsia="es-CR"/>
              </w:rPr>
            </w:pPr>
          </w:p>
        </w:tc>
        <w:tc>
          <w:tcPr>
            <w:tcW w:w="1371" w:type="dxa"/>
            <w:vMerge/>
            <w:shd w:val="clear" w:color="auto" w:fill="auto"/>
            <w:vAlign w:val="center"/>
            <w:hideMark/>
          </w:tcPr>
          <w:p w14:paraId="503D470F" w14:textId="77777777" w:rsidR="00F466D6" w:rsidRPr="006D080A" w:rsidRDefault="00F466D6" w:rsidP="00F466D6">
            <w:pPr>
              <w:jc w:val="center"/>
              <w:rPr>
                <w:rFonts w:ascii="Arial Narrow" w:hAnsi="Arial Narrow" w:cs="Calibri"/>
                <w:color w:val="000000"/>
                <w:sz w:val="20"/>
                <w:szCs w:val="20"/>
                <w:lang w:val="es-CR" w:eastAsia="es-CR"/>
              </w:rPr>
            </w:pPr>
          </w:p>
        </w:tc>
      </w:tr>
      <w:tr w:rsidR="00F466D6" w:rsidRPr="006D080A" w14:paraId="74AB30FE" w14:textId="77777777" w:rsidTr="004C3FA6">
        <w:trPr>
          <w:trHeight w:val="290"/>
        </w:trPr>
        <w:tc>
          <w:tcPr>
            <w:tcW w:w="1586" w:type="dxa"/>
            <w:gridSpan w:val="2"/>
            <w:vMerge/>
            <w:shd w:val="clear" w:color="auto" w:fill="auto"/>
            <w:vAlign w:val="center"/>
            <w:hideMark/>
          </w:tcPr>
          <w:p w14:paraId="643C17C5" w14:textId="77777777" w:rsidR="00F466D6" w:rsidRPr="006D080A" w:rsidRDefault="00F466D6" w:rsidP="00F466D6">
            <w:pPr>
              <w:jc w:val="center"/>
              <w:rPr>
                <w:rFonts w:ascii="Arial Narrow" w:hAnsi="Arial Narrow" w:cs="Calibri"/>
                <w:color w:val="000000"/>
                <w:sz w:val="20"/>
                <w:szCs w:val="20"/>
                <w:lang w:val="es-CR" w:eastAsia="es-CR"/>
              </w:rPr>
            </w:pPr>
          </w:p>
        </w:tc>
        <w:tc>
          <w:tcPr>
            <w:tcW w:w="2929" w:type="dxa"/>
            <w:gridSpan w:val="2"/>
            <w:shd w:val="clear" w:color="auto" w:fill="auto"/>
            <w:vAlign w:val="center"/>
            <w:hideMark/>
          </w:tcPr>
          <w:p w14:paraId="7068BAED" w14:textId="43AE4544" w:rsidR="00F466D6" w:rsidRPr="006D080A" w:rsidRDefault="00F466D6" w:rsidP="00132A44">
            <w:pPr>
              <w:jc w:val="both"/>
              <w:rPr>
                <w:rFonts w:ascii="Arial Narrow" w:hAnsi="Arial Narrow" w:cs="Calibri"/>
                <w:color w:val="000000"/>
                <w:sz w:val="20"/>
                <w:szCs w:val="20"/>
                <w:lang w:val="es-CR" w:eastAsia="es-CR"/>
              </w:rPr>
            </w:pPr>
            <w:r w:rsidRPr="006D080A">
              <w:rPr>
                <w:rFonts w:ascii="Arial Narrow" w:hAnsi="Arial Narrow" w:cs="Calibri"/>
                <w:color w:val="000000"/>
                <w:sz w:val="20"/>
                <w:szCs w:val="20"/>
                <w:lang w:val="es-CR" w:eastAsia="es-CR"/>
              </w:rPr>
              <w:t>Que al finalizar el 2024, se haya incrementado anualmente la cantidad de casos terminados por el Centro de Conciliación del Poder Judicial (87% de cumplimiento para el 2021)</w:t>
            </w:r>
          </w:p>
        </w:tc>
        <w:tc>
          <w:tcPr>
            <w:tcW w:w="3424" w:type="dxa"/>
            <w:gridSpan w:val="2"/>
            <w:vMerge/>
            <w:shd w:val="clear" w:color="auto" w:fill="auto"/>
            <w:vAlign w:val="center"/>
            <w:hideMark/>
          </w:tcPr>
          <w:p w14:paraId="7CD8188B" w14:textId="77777777" w:rsidR="00F466D6" w:rsidRPr="006D080A" w:rsidRDefault="00F466D6" w:rsidP="00F466D6">
            <w:pPr>
              <w:jc w:val="center"/>
              <w:rPr>
                <w:rFonts w:ascii="Arial Narrow" w:hAnsi="Arial Narrow" w:cs="Calibri"/>
                <w:color w:val="000000"/>
                <w:sz w:val="20"/>
                <w:szCs w:val="20"/>
                <w:lang w:val="es-CR" w:eastAsia="es-CR"/>
              </w:rPr>
            </w:pPr>
          </w:p>
        </w:tc>
        <w:tc>
          <w:tcPr>
            <w:tcW w:w="1371" w:type="dxa"/>
            <w:vMerge/>
            <w:shd w:val="clear" w:color="auto" w:fill="auto"/>
            <w:vAlign w:val="center"/>
            <w:hideMark/>
          </w:tcPr>
          <w:p w14:paraId="093295D8" w14:textId="77777777" w:rsidR="00F466D6" w:rsidRPr="006D080A" w:rsidRDefault="00F466D6" w:rsidP="00F466D6">
            <w:pPr>
              <w:jc w:val="center"/>
              <w:rPr>
                <w:rFonts w:ascii="Arial Narrow" w:hAnsi="Arial Narrow" w:cs="Calibri"/>
                <w:color w:val="000000"/>
                <w:sz w:val="20"/>
                <w:szCs w:val="20"/>
                <w:lang w:val="es-CR" w:eastAsia="es-CR"/>
              </w:rPr>
            </w:pPr>
          </w:p>
        </w:tc>
      </w:tr>
      <w:tr w:rsidR="00F466D6" w:rsidRPr="006D080A" w14:paraId="515D0B7A" w14:textId="77777777" w:rsidTr="004C3FA6">
        <w:trPr>
          <w:trHeight w:val="290"/>
        </w:trPr>
        <w:tc>
          <w:tcPr>
            <w:tcW w:w="1586" w:type="dxa"/>
            <w:gridSpan w:val="2"/>
            <w:vMerge/>
            <w:shd w:val="clear" w:color="auto" w:fill="auto"/>
            <w:vAlign w:val="center"/>
            <w:hideMark/>
          </w:tcPr>
          <w:p w14:paraId="668382F2" w14:textId="77777777" w:rsidR="00F466D6" w:rsidRPr="006D080A" w:rsidRDefault="00F466D6" w:rsidP="00F466D6">
            <w:pPr>
              <w:jc w:val="center"/>
              <w:rPr>
                <w:rFonts w:ascii="Arial Narrow" w:hAnsi="Arial Narrow" w:cs="Calibri"/>
                <w:color w:val="000000"/>
                <w:sz w:val="20"/>
                <w:szCs w:val="20"/>
                <w:lang w:val="es-CR" w:eastAsia="es-CR"/>
              </w:rPr>
            </w:pPr>
          </w:p>
        </w:tc>
        <w:tc>
          <w:tcPr>
            <w:tcW w:w="2929" w:type="dxa"/>
            <w:gridSpan w:val="2"/>
            <w:shd w:val="clear" w:color="auto" w:fill="auto"/>
            <w:vAlign w:val="center"/>
            <w:hideMark/>
          </w:tcPr>
          <w:p w14:paraId="5E4375B9" w14:textId="18B06F65" w:rsidR="00F466D6" w:rsidRPr="006D080A" w:rsidRDefault="00F466D6" w:rsidP="00132A44">
            <w:pPr>
              <w:jc w:val="both"/>
              <w:rPr>
                <w:rFonts w:ascii="Arial Narrow" w:hAnsi="Arial Narrow" w:cs="Calibri"/>
                <w:color w:val="000000"/>
                <w:sz w:val="20"/>
                <w:szCs w:val="20"/>
                <w:lang w:val="es-CR" w:eastAsia="es-CR"/>
              </w:rPr>
            </w:pPr>
            <w:r w:rsidRPr="006D080A">
              <w:rPr>
                <w:rFonts w:ascii="Arial Narrow" w:hAnsi="Arial Narrow" w:cs="Calibri"/>
                <w:color w:val="000000"/>
                <w:sz w:val="20"/>
                <w:szCs w:val="20"/>
                <w:lang w:val="es-CR" w:eastAsia="es-CR"/>
              </w:rPr>
              <w:t>Que al finalizar el 2024, se haya incrementado la cantidad de casos terminados, mediante la aplicación de medidas alternas, en materia agraria por año, en primera instancia (84% de cumplimiento para el 2021)</w:t>
            </w:r>
          </w:p>
        </w:tc>
        <w:tc>
          <w:tcPr>
            <w:tcW w:w="3424" w:type="dxa"/>
            <w:gridSpan w:val="2"/>
            <w:vMerge/>
            <w:shd w:val="clear" w:color="auto" w:fill="auto"/>
            <w:vAlign w:val="center"/>
            <w:hideMark/>
          </w:tcPr>
          <w:p w14:paraId="5D08250E" w14:textId="77777777" w:rsidR="00F466D6" w:rsidRPr="006D080A" w:rsidRDefault="00F466D6" w:rsidP="00F466D6">
            <w:pPr>
              <w:jc w:val="center"/>
              <w:rPr>
                <w:rFonts w:ascii="Arial Narrow" w:hAnsi="Arial Narrow" w:cs="Calibri"/>
                <w:color w:val="000000"/>
                <w:sz w:val="20"/>
                <w:szCs w:val="20"/>
                <w:lang w:val="es-CR" w:eastAsia="es-CR"/>
              </w:rPr>
            </w:pPr>
          </w:p>
        </w:tc>
        <w:tc>
          <w:tcPr>
            <w:tcW w:w="1371" w:type="dxa"/>
            <w:vMerge/>
            <w:shd w:val="clear" w:color="auto" w:fill="auto"/>
            <w:vAlign w:val="center"/>
            <w:hideMark/>
          </w:tcPr>
          <w:p w14:paraId="1C8264AD" w14:textId="77777777" w:rsidR="00F466D6" w:rsidRPr="006D080A" w:rsidRDefault="00F466D6" w:rsidP="00F466D6">
            <w:pPr>
              <w:jc w:val="center"/>
              <w:rPr>
                <w:rFonts w:ascii="Arial Narrow" w:hAnsi="Arial Narrow" w:cs="Calibri"/>
                <w:color w:val="000000"/>
                <w:sz w:val="20"/>
                <w:szCs w:val="20"/>
                <w:lang w:val="es-CR" w:eastAsia="es-CR"/>
              </w:rPr>
            </w:pPr>
          </w:p>
        </w:tc>
      </w:tr>
      <w:tr w:rsidR="00F466D6" w:rsidRPr="006D080A" w14:paraId="573CAFB7" w14:textId="77777777" w:rsidTr="004C3FA6">
        <w:trPr>
          <w:trHeight w:val="290"/>
        </w:trPr>
        <w:tc>
          <w:tcPr>
            <w:tcW w:w="1586" w:type="dxa"/>
            <w:gridSpan w:val="2"/>
            <w:vMerge/>
            <w:shd w:val="clear" w:color="auto" w:fill="auto"/>
            <w:vAlign w:val="center"/>
            <w:hideMark/>
          </w:tcPr>
          <w:p w14:paraId="798E1DDC" w14:textId="77777777" w:rsidR="00F466D6" w:rsidRPr="006D080A" w:rsidRDefault="00F466D6" w:rsidP="00F466D6">
            <w:pPr>
              <w:jc w:val="center"/>
              <w:rPr>
                <w:rFonts w:ascii="Arial Narrow" w:hAnsi="Arial Narrow" w:cs="Calibri"/>
                <w:color w:val="000000"/>
                <w:sz w:val="20"/>
                <w:szCs w:val="20"/>
                <w:lang w:val="es-CR" w:eastAsia="es-CR"/>
              </w:rPr>
            </w:pPr>
          </w:p>
        </w:tc>
        <w:tc>
          <w:tcPr>
            <w:tcW w:w="2929" w:type="dxa"/>
            <w:gridSpan w:val="2"/>
            <w:shd w:val="clear" w:color="auto" w:fill="auto"/>
            <w:vAlign w:val="center"/>
            <w:hideMark/>
          </w:tcPr>
          <w:p w14:paraId="5C1C7941" w14:textId="18E15CC3" w:rsidR="00F466D6" w:rsidRPr="006D080A" w:rsidRDefault="00F466D6" w:rsidP="00132A44">
            <w:pPr>
              <w:jc w:val="both"/>
              <w:rPr>
                <w:rFonts w:ascii="Arial Narrow" w:hAnsi="Arial Narrow" w:cs="Calibri"/>
                <w:color w:val="000000"/>
                <w:sz w:val="20"/>
                <w:szCs w:val="20"/>
                <w:lang w:val="es-CR" w:eastAsia="es-CR"/>
              </w:rPr>
            </w:pPr>
            <w:r w:rsidRPr="006D080A">
              <w:rPr>
                <w:rFonts w:ascii="Arial Narrow" w:hAnsi="Arial Narrow" w:cs="Calibri"/>
                <w:color w:val="000000"/>
                <w:sz w:val="20"/>
                <w:szCs w:val="20"/>
                <w:lang w:val="es-CR" w:eastAsia="es-CR"/>
              </w:rPr>
              <w:t>Que al finalizar el 2024, se haya incrementado la cantidad de casos terminados, mediante la aplicación de medidas alternas, en Tribunales penales (73% de cumplimiento para el 2021)</w:t>
            </w:r>
          </w:p>
        </w:tc>
        <w:tc>
          <w:tcPr>
            <w:tcW w:w="3424" w:type="dxa"/>
            <w:gridSpan w:val="2"/>
            <w:vMerge/>
            <w:shd w:val="clear" w:color="auto" w:fill="auto"/>
            <w:vAlign w:val="center"/>
            <w:hideMark/>
          </w:tcPr>
          <w:p w14:paraId="4B64A807" w14:textId="77777777" w:rsidR="00F466D6" w:rsidRPr="006D080A" w:rsidRDefault="00F466D6" w:rsidP="00F466D6">
            <w:pPr>
              <w:jc w:val="center"/>
              <w:rPr>
                <w:rFonts w:ascii="Arial Narrow" w:hAnsi="Arial Narrow" w:cs="Calibri"/>
                <w:color w:val="000000"/>
                <w:sz w:val="20"/>
                <w:szCs w:val="20"/>
                <w:lang w:val="es-CR" w:eastAsia="es-CR"/>
              </w:rPr>
            </w:pPr>
          </w:p>
        </w:tc>
        <w:tc>
          <w:tcPr>
            <w:tcW w:w="1371" w:type="dxa"/>
            <w:vMerge/>
            <w:shd w:val="clear" w:color="auto" w:fill="auto"/>
            <w:vAlign w:val="center"/>
            <w:hideMark/>
          </w:tcPr>
          <w:p w14:paraId="6F8EE038" w14:textId="77777777" w:rsidR="00F466D6" w:rsidRPr="006D080A" w:rsidRDefault="00F466D6" w:rsidP="00F466D6">
            <w:pPr>
              <w:jc w:val="center"/>
              <w:rPr>
                <w:rFonts w:ascii="Arial Narrow" w:hAnsi="Arial Narrow" w:cs="Calibri"/>
                <w:color w:val="000000"/>
                <w:sz w:val="20"/>
                <w:szCs w:val="20"/>
                <w:lang w:val="es-CR" w:eastAsia="es-CR"/>
              </w:rPr>
            </w:pPr>
          </w:p>
        </w:tc>
      </w:tr>
      <w:tr w:rsidR="00F466D6" w:rsidRPr="006D080A" w14:paraId="4BB0EA24" w14:textId="77777777" w:rsidTr="004C3FA6">
        <w:trPr>
          <w:trHeight w:val="290"/>
        </w:trPr>
        <w:tc>
          <w:tcPr>
            <w:tcW w:w="1586" w:type="dxa"/>
            <w:gridSpan w:val="2"/>
            <w:vMerge/>
            <w:shd w:val="clear" w:color="auto" w:fill="auto"/>
            <w:vAlign w:val="center"/>
            <w:hideMark/>
          </w:tcPr>
          <w:p w14:paraId="4E2DE48F" w14:textId="77777777" w:rsidR="00F466D6" w:rsidRPr="006D080A" w:rsidRDefault="00F466D6" w:rsidP="00F466D6">
            <w:pPr>
              <w:jc w:val="center"/>
              <w:rPr>
                <w:rFonts w:ascii="Arial Narrow" w:hAnsi="Arial Narrow" w:cs="Calibri"/>
                <w:color w:val="000000"/>
                <w:sz w:val="20"/>
                <w:szCs w:val="20"/>
                <w:lang w:val="es-CR" w:eastAsia="es-CR"/>
              </w:rPr>
            </w:pPr>
          </w:p>
        </w:tc>
        <w:tc>
          <w:tcPr>
            <w:tcW w:w="2929" w:type="dxa"/>
            <w:gridSpan w:val="2"/>
            <w:shd w:val="clear" w:color="auto" w:fill="auto"/>
            <w:vAlign w:val="center"/>
            <w:hideMark/>
          </w:tcPr>
          <w:p w14:paraId="51A61D10" w14:textId="1D95BD1E" w:rsidR="00F466D6" w:rsidRPr="006D080A" w:rsidRDefault="00F466D6" w:rsidP="00132A44">
            <w:pPr>
              <w:jc w:val="both"/>
              <w:rPr>
                <w:rFonts w:ascii="Arial Narrow" w:hAnsi="Arial Narrow" w:cs="Calibri"/>
                <w:color w:val="000000"/>
                <w:sz w:val="20"/>
                <w:szCs w:val="20"/>
                <w:lang w:val="es-CR" w:eastAsia="es-CR"/>
              </w:rPr>
            </w:pPr>
            <w:r w:rsidRPr="006D080A">
              <w:rPr>
                <w:rFonts w:ascii="Arial Narrow" w:hAnsi="Arial Narrow" w:cs="Calibri"/>
                <w:color w:val="000000"/>
                <w:sz w:val="20"/>
                <w:szCs w:val="20"/>
                <w:lang w:val="es-CR" w:eastAsia="es-CR"/>
              </w:rPr>
              <w:t>Que al finalizar el 2024, se haya incrementado la cantidad de casos terminados, mediante la aplicación de medidas alternas, en materia civil por año, en primera instancia (78% de cumplimiento para el 2021).</w:t>
            </w:r>
          </w:p>
        </w:tc>
        <w:tc>
          <w:tcPr>
            <w:tcW w:w="3424" w:type="dxa"/>
            <w:gridSpan w:val="2"/>
            <w:vMerge/>
            <w:shd w:val="clear" w:color="auto" w:fill="auto"/>
            <w:vAlign w:val="center"/>
            <w:hideMark/>
          </w:tcPr>
          <w:p w14:paraId="6CB5C3DB" w14:textId="77777777" w:rsidR="00F466D6" w:rsidRPr="006D080A" w:rsidRDefault="00F466D6" w:rsidP="00F466D6">
            <w:pPr>
              <w:jc w:val="center"/>
              <w:rPr>
                <w:rFonts w:ascii="Arial Narrow" w:hAnsi="Arial Narrow" w:cs="Calibri"/>
                <w:color w:val="000000"/>
                <w:sz w:val="20"/>
                <w:szCs w:val="20"/>
                <w:lang w:val="es-CR" w:eastAsia="es-CR"/>
              </w:rPr>
            </w:pPr>
          </w:p>
        </w:tc>
        <w:tc>
          <w:tcPr>
            <w:tcW w:w="1371" w:type="dxa"/>
            <w:vMerge/>
            <w:shd w:val="clear" w:color="auto" w:fill="auto"/>
            <w:vAlign w:val="center"/>
            <w:hideMark/>
          </w:tcPr>
          <w:p w14:paraId="1427889F" w14:textId="77777777" w:rsidR="00F466D6" w:rsidRPr="006D080A" w:rsidRDefault="00F466D6" w:rsidP="00F466D6">
            <w:pPr>
              <w:jc w:val="center"/>
              <w:rPr>
                <w:rFonts w:ascii="Arial Narrow" w:hAnsi="Arial Narrow" w:cs="Calibri"/>
                <w:color w:val="000000"/>
                <w:sz w:val="20"/>
                <w:szCs w:val="20"/>
                <w:lang w:val="es-CR" w:eastAsia="es-CR"/>
              </w:rPr>
            </w:pPr>
          </w:p>
        </w:tc>
      </w:tr>
      <w:tr w:rsidR="00F466D6" w:rsidRPr="006D080A" w14:paraId="3D2676D7" w14:textId="77777777" w:rsidTr="004C3FA6">
        <w:trPr>
          <w:trHeight w:val="290"/>
        </w:trPr>
        <w:tc>
          <w:tcPr>
            <w:tcW w:w="1586" w:type="dxa"/>
            <w:gridSpan w:val="2"/>
            <w:vMerge/>
            <w:shd w:val="clear" w:color="auto" w:fill="auto"/>
            <w:vAlign w:val="center"/>
            <w:hideMark/>
          </w:tcPr>
          <w:p w14:paraId="5D1351A0" w14:textId="77777777" w:rsidR="00F466D6" w:rsidRPr="006D080A" w:rsidRDefault="00F466D6" w:rsidP="00F466D6">
            <w:pPr>
              <w:jc w:val="center"/>
              <w:rPr>
                <w:rFonts w:ascii="Arial Narrow" w:hAnsi="Arial Narrow" w:cs="Calibri"/>
                <w:color w:val="000000"/>
                <w:sz w:val="20"/>
                <w:szCs w:val="20"/>
                <w:lang w:val="es-CR" w:eastAsia="es-CR"/>
              </w:rPr>
            </w:pPr>
          </w:p>
        </w:tc>
        <w:tc>
          <w:tcPr>
            <w:tcW w:w="2929" w:type="dxa"/>
            <w:gridSpan w:val="2"/>
            <w:shd w:val="clear" w:color="auto" w:fill="auto"/>
            <w:vAlign w:val="center"/>
            <w:hideMark/>
          </w:tcPr>
          <w:p w14:paraId="492F4C34" w14:textId="2531BBA3" w:rsidR="00F466D6" w:rsidRPr="006D080A" w:rsidRDefault="00F466D6" w:rsidP="00132A44">
            <w:pPr>
              <w:jc w:val="both"/>
              <w:rPr>
                <w:rFonts w:ascii="Arial Narrow" w:hAnsi="Arial Narrow" w:cs="Calibri"/>
                <w:color w:val="000000"/>
                <w:sz w:val="20"/>
                <w:szCs w:val="20"/>
                <w:lang w:val="es-CR" w:eastAsia="es-CR"/>
              </w:rPr>
            </w:pPr>
            <w:r w:rsidRPr="006D080A">
              <w:rPr>
                <w:rFonts w:ascii="Arial Narrow" w:hAnsi="Arial Narrow" w:cs="Calibri"/>
                <w:color w:val="000000"/>
                <w:sz w:val="20"/>
                <w:szCs w:val="20"/>
                <w:lang w:val="es-CR" w:eastAsia="es-CR"/>
              </w:rPr>
              <w:t>Que al finalizar el 2024, se haya incrementado la cantidad de casos terminados, mediante la aplicación de medidas alternas, en materia contenciosa administrativa por año, en primera instancia (1% de cumplimiento para el 2021)</w:t>
            </w:r>
          </w:p>
        </w:tc>
        <w:tc>
          <w:tcPr>
            <w:tcW w:w="3424" w:type="dxa"/>
            <w:gridSpan w:val="2"/>
            <w:vMerge/>
            <w:shd w:val="clear" w:color="auto" w:fill="auto"/>
            <w:vAlign w:val="center"/>
            <w:hideMark/>
          </w:tcPr>
          <w:p w14:paraId="368B4201" w14:textId="77777777" w:rsidR="00F466D6" w:rsidRPr="006D080A" w:rsidRDefault="00F466D6" w:rsidP="00F466D6">
            <w:pPr>
              <w:jc w:val="center"/>
              <w:rPr>
                <w:rFonts w:ascii="Arial Narrow" w:hAnsi="Arial Narrow" w:cs="Calibri"/>
                <w:color w:val="000000"/>
                <w:sz w:val="20"/>
                <w:szCs w:val="20"/>
                <w:lang w:val="es-CR" w:eastAsia="es-CR"/>
              </w:rPr>
            </w:pPr>
          </w:p>
        </w:tc>
        <w:tc>
          <w:tcPr>
            <w:tcW w:w="1371" w:type="dxa"/>
            <w:vMerge/>
            <w:shd w:val="clear" w:color="auto" w:fill="auto"/>
            <w:vAlign w:val="center"/>
            <w:hideMark/>
          </w:tcPr>
          <w:p w14:paraId="176FF569" w14:textId="77777777" w:rsidR="00F466D6" w:rsidRPr="006D080A" w:rsidRDefault="00F466D6" w:rsidP="00F466D6">
            <w:pPr>
              <w:jc w:val="center"/>
              <w:rPr>
                <w:rFonts w:ascii="Arial Narrow" w:hAnsi="Arial Narrow" w:cs="Calibri"/>
                <w:color w:val="000000"/>
                <w:sz w:val="20"/>
                <w:szCs w:val="20"/>
                <w:lang w:val="es-CR" w:eastAsia="es-CR"/>
              </w:rPr>
            </w:pPr>
          </w:p>
        </w:tc>
      </w:tr>
      <w:tr w:rsidR="00F466D6" w:rsidRPr="006D080A" w14:paraId="18E0AD71" w14:textId="77777777" w:rsidTr="004C3FA6">
        <w:trPr>
          <w:trHeight w:val="290"/>
        </w:trPr>
        <w:tc>
          <w:tcPr>
            <w:tcW w:w="1586" w:type="dxa"/>
            <w:gridSpan w:val="2"/>
            <w:vMerge/>
            <w:shd w:val="clear" w:color="auto" w:fill="auto"/>
            <w:vAlign w:val="center"/>
            <w:hideMark/>
          </w:tcPr>
          <w:p w14:paraId="07A9EAB4" w14:textId="77777777" w:rsidR="00F466D6" w:rsidRPr="006D080A" w:rsidRDefault="00F466D6" w:rsidP="00F466D6">
            <w:pPr>
              <w:jc w:val="center"/>
              <w:rPr>
                <w:rFonts w:ascii="Arial Narrow" w:hAnsi="Arial Narrow" w:cs="Calibri"/>
                <w:color w:val="000000"/>
                <w:sz w:val="20"/>
                <w:szCs w:val="20"/>
                <w:lang w:val="es-CR" w:eastAsia="es-CR"/>
              </w:rPr>
            </w:pPr>
          </w:p>
        </w:tc>
        <w:tc>
          <w:tcPr>
            <w:tcW w:w="2929" w:type="dxa"/>
            <w:gridSpan w:val="2"/>
            <w:shd w:val="clear" w:color="auto" w:fill="auto"/>
            <w:vAlign w:val="center"/>
            <w:hideMark/>
          </w:tcPr>
          <w:p w14:paraId="1C9DB1A4" w14:textId="1484ED0F" w:rsidR="00F466D6" w:rsidRPr="006D080A" w:rsidRDefault="00F466D6" w:rsidP="00132A44">
            <w:pPr>
              <w:jc w:val="both"/>
              <w:rPr>
                <w:rFonts w:ascii="Arial Narrow" w:hAnsi="Arial Narrow" w:cs="Calibri"/>
                <w:color w:val="000000"/>
                <w:sz w:val="20"/>
                <w:szCs w:val="20"/>
                <w:lang w:val="es-CR" w:eastAsia="es-CR"/>
              </w:rPr>
            </w:pPr>
            <w:r w:rsidRPr="006D080A">
              <w:rPr>
                <w:rFonts w:ascii="Arial Narrow" w:hAnsi="Arial Narrow" w:cs="Calibri"/>
                <w:color w:val="000000"/>
                <w:sz w:val="20"/>
                <w:szCs w:val="20"/>
                <w:lang w:val="es-CR" w:eastAsia="es-CR"/>
              </w:rPr>
              <w:t>Que al finalizar el 2024, se haya incrementado la cantidad de casos terminados, mediante la aplicación de medidas alternas, en materia Cobro por año, en primera instancia (37% de cumplimiento para el 2021).</w:t>
            </w:r>
          </w:p>
        </w:tc>
        <w:tc>
          <w:tcPr>
            <w:tcW w:w="3424" w:type="dxa"/>
            <w:gridSpan w:val="2"/>
            <w:vMerge/>
            <w:shd w:val="clear" w:color="auto" w:fill="auto"/>
            <w:vAlign w:val="center"/>
            <w:hideMark/>
          </w:tcPr>
          <w:p w14:paraId="68B4A788" w14:textId="77777777" w:rsidR="00F466D6" w:rsidRPr="006D080A" w:rsidRDefault="00F466D6" w:rsidP="00F466D6">
            <w:pPr>
              <w:jc w:val="center"/>
              <w:rPr>
                <w:rFonts w:ascii="Arial Narrow" w:hAnsi="Arial Narrow" w:cs="Calibri"/>
                <w:color w:val="000000"/>
                <w:sz w:val="20"/>
                <w:szCs w:val="20"/>
                <w:lang w:val="es-CR" w:eastAsia="es-CR"/>
              </w:rPr>
            </w:pPr>
          </w:p>
        </w:tc>
        <w:tc>
          <w:tcPr>
            <w:tcW w:w="1371" w:type="dxa"/>
            <w:vMerge/>
            <w:shd w:val="clear" w:color="auto" w:fill="auto"/>
            <w:vAlign w:val="center"/>
            <w:hideMark/>
          </w:tcPr>
          <w:p w14:paraId="758C0D21" w14:textId="77777777" w:rsidR="00F466D6" w:rsidRPr="006D080A" w:rsidRDefault="00F466D6" w:rsidP="00F466D6">
            <w:pPr>
              <w:jc w:val="center"/>
              <w:rPr>
                <w:rFonts w:ascii="Arial Narrow" w:hAnsi="Arial Narrow" w:cs="Calibri"/>
                <w:color w:val="000000"/>
                <w:sz w:val="20"/>
                <w:szCs w:val="20"/>
                <w:lang w:val="es-CR" w:eastAsia="es-CR"/>
              </w:rPr>
            </w:pPr>
          </w:p>
        </w:tc>
      </w:tr>
      <w:tr w:rsidR="00F466D6" w:rsidRPr="006D080A" w14:paraId="31FD1BEE" w14:textId="77777777" w:rsidTr="004C3FA6">
        <w:trPr>
          <w:trHeight w:val="290"/>
        </w:trPr>
        <w:tc>
          <w:tcPr>
            <w:tcW w:w="1449" w:type="dxa"/>
            <w:shd w:val="clear" w:color="auto" w:fill="auto"/>
            <w:vAlign w:val="center"/>
            <w:hideMark/>
          </w:tcPr>
          <w:p w14:paraId="7E6A84AA" w14:textId="77777777" w:rsidR="00F466D6" w:rsidRPr="006D080A" w:rsidRDefault="00F466D6" w:rsidP="00F466D6">
            <w:pPr>
              <w:jc w:val="center"/>
              <w:rPr>
                <w:rFonts w:ascii="Arial Narrow" w:hAnsi="Arial Narrow" w:cs="Calibri"/>
                <w:b/>
                <w:bCs/>
                <w:color w:val="000000"/>
                <w:sz w:val="20"/>
                <w:szCs w:val="20"/>
                <w:lang w:val="es-CR" w:eastAsia="es-CR"/>
              </w:rPr>
            </w:pPr>
            <w:r w:rsidRPr="006D080A">
              <w:rPr>
                <w:rFonts w:ascii="Arial Narrow" w:hAnsi="Arial Narrow" w:cs="Calibri"/>
                <w:b/>
                <w:bCs/>
                <w:color w:val="000000"/>
                <w:sz w:val="20"/>
                <w:szCs w:val="20"/>
                <w:lang w:val="es-CR" w:eastAsia="es-CR"/>
              </w:rPr>
              <w:t>Colaboración interna y externa</w:t>
            </w:r>
          </w:p>
        </w:tc>
        <w:tc>
          <w:tcPr>
            <w:tcW w:w="3001" w:type="dxa"/>
            <w:gridSpan w:val="2"/>
            <w:shd w:val="clear" w:color="auto" w:fill="auto"/>
            <w:vAlign w:val="center"/>
            <w:hideMark/>
          </w:tcPr>
          <w:p w14:paraId="57706BF0" w14:textId="7FF81D79" w:rsidR="00F466D6" w:rsidRPr="006D080A" w:rsidRDefault="00F466D6" w:rsidP="00132A44">
            <w:pPr>
              <w:jc w:val="both"/>
              <w:rPr>
                <w:rFonts w:ascii="Arial Narrow" w:hAnsi="Arial Narrow" w:cs="Calibri"/>
                <w:color w:val="000000"/>
                <w:sz w:val="20"/>
                <w:szCs w:val="20"/>
                <w:lang w:val="es-CR" w:eastAsia="es-CR"/>
              </w:rPr>
            </w:pPr>
            <w:r w:rsidRPr="006D080A">
              <w:rPr>
                <w:rFonts w:ascii="Arial Narrow" w:hAnsi="Arial Narrow" w:cs="Calibri"/>
                <w:color w:val="000000"/>
                <w:sz w:val="20"/>
                <w:szCs w:val="20"/>
                <w:lang w:val="es-CR" w:eastAsia="es-CR"/>
              </w:rPr>
              <w:t>Que al finalizar el 2024, se desarrollen e implementen estrategias institucionales de cooperación nacional e internacional, que propicien el intercambio de buenas prácticas y jurisprudencia innovadora relacionada con estándares internacionales de gestión ambiental y resolución de conflictos asociados a los recursos naturales (50% de cumplimiento para el 2021)</w:t>
            </w:r>
          </w:p>
        </w:tc>
        <w:tc>
          <w:tcPr>
            <w:tcW w:w="3476" w:type="dxa"/>
            <w:gridSpan w:val="2"/>
            <w:shd w:val="clear" w:color="auto" w:fill="auto"/>
            <w:noWrap/>
            <w:vAlign w:val="center"/>
            <w:hideMark/>
          </w:tcPr>
          <w:p w14:paraId="0EE9AB89" w14:textId="6EF3D4BF" w:rsidR="00F466D6" w:rsidRPr="006D080A" w:rsidRDefault="00F466D6" w:rsidP="00132A44">
            <w:pPr>
              <w:jc w:val="both"/>
              <w:rPr>
                <w:rFonts w:ascii="Arial Narrow" w:hAnsi="Arial Narrow" w:cs="Calibri"/>
                <w:color w:val="000000"/>
                <w:sz w:val="20"/>
                <w:szCs w:val="20"/>
                <w:lang w:val="es-CR" w:eastAsia="es-CR"/>
              </w:rPr>
            </w:pPr>
            <w:r w:rsidRPr="006D080A">
              <w:rPr>
                <w:rFonts w:ascii="Arial Narrow" w:hAnsi="Arial Narrow" w:cs="Calibri"/>
                <w:color w:val="000000"/>
                <w:sz w:val="20"/>
                <w:szCs w:val="20"/>
                <w:lang w:val="es-CR" w:eastAsia="es-CR"/>
              </w:rPr>
              <w:t>Ejecutar actividades de sensibilización a la población judicial sobre la implementación de un reciclaje efectivo, ahorro energético y propiciar al Poder Judicial como un gestor y generador de residuos.</w:t>
            </w:r>
          </w:p>
        </w:tc>
        <w:tc>
          <w:tcPr>
            <w:tcW w:w="1384" w:type="dxa"/>
            <w:gridSpan w:val="2"/>
            <w:shd w:val="clear" w:color="auto" w:fill="auto"/>
            <w:noWrap/>
            <w:vAlign w:val="center"/>
            <w:hideMark/>
          </w:tcPr>
          <w:p w14:paraId="356655FA" w14:textId="77777777" w:rsidR="00F466D6" w:rsidRPr="006D080A" w:rsidRDefault="00F466D6" w:rsidP="00132A44">
            <w:pPr>
              <w:jc w:val="both"/>
              <w:rPr>
                <w:rFonts w:ascii="Arial Narrow" w:hAnsi="Arial Narrow" w:cs="Calibri"/>
                <w:color w:val="000000"/>
                <w:sz w:val="20"/>
                <w:szCs w:val="20"/>
                <w:lang w:val="es-CR" w:eastAsia="es-CR"/>
              </w:rPr>
            </w:pPr>
            <w:r w:rsidRPr="006D080A">
              <w:rPr>
                <w:rFonts w:ascii="Arial Narrow" w:hAnsi="Arial Narrow" w:cs="Calibri"/>
                <w:color w:val="000000"/>
                <w:sz w:val="20"/>
                <w:szCs w:val="20"/>
                <w:lang w:val="es-CR" w:eastAsia="es-CR"/>
              </w:rPr>
              <w:t>Dirección Ejecutiva</w:t>
            </w:r>
          </w:p>
        </w:tc>
      </w:tr>
      <w:tr w:rsidR="00F466D6" w:rsidRPr="006D080A" w14:paraId="3B46FF56" w14:textId="77777777" w:rsidTr="004C3FA6">
        <w:trPr>
          <w:trHeight w:val="290"/>
        </w:trPr>
        <w:tc>
          <w:tcPr>
            <w:tcW w:w="1449" w:type="dxa"/>
            <w:shd w:val="clear" w:color="auto" w:fill="auto"/>
            <w:vAlign w:val="center"/>
            <w:hideMark/>
          </w:tcPr>
          <w:p w14:paraId="56255792" w14:textId="2838595A" w:rsidR="00F466D6" w:rsidRPr="006D080A" w:rsidRDefault="00F466D6" w:rsidP="00F466D6">
            <w:pPr>
              <w:jc w:val="center"/>
              <w:rPr>
                <w:rFonts w:ascii="Arial Narrow" w:hAnsi="Arial Narrow" w:cs="Calibri"/>
                <w:b/>
                <w:bCs/>
                <w:color w:val="000000"/>
                <w:sz w:val="20"/>
                <w:szCs w:val="20"/>
                <w:lang w:val="es-CR" w:eastAsia="es-CR"/>
              </w:rPr>
            </w:pPr>
            <w:r w:rsidRPr="006D080A">
              <w:rPr>
                <w:rFonts w:ascii="Arial Narrow" w:hAnsi="Arial Narrow" w:cs="Calibri"/>
                <w:b/>
                <w:bCs/>
                <w:color w:val="000000"/>
                <w:sz w:val="20"/>
                <w:szCs w:val="20"/>
                <w:lang w:val="es-CR" w:eastAsia="es-CR"/>
              </w:rPr>
              <w:t>Comunicación y proyección institucional</w:t>
            </w:r>
          </w:p>
        </w:tc>
        <w:tc>
          <w:tcPr>
            <w:tcW w:w="3001" w:type="dxa"/>
            <w:gridSpan w:val="2"/>
            <w:shd w:val="clear" w:color="auto" w:fill="auto"/>
            <w:noWrap/>
            <w:vAlign w:val="center"/>
            <w:hideMark/>
          </w:tcPr>
          <w:p w14:paraId="719D5B45" w14:textId="1B3598F4" w:rsidR="00F466D6" w:rsidRPr="006D080A" w:rsidRDefault="00F466D6" w:rsidP="00132A44">
            <w:pPr>
              <w:jc w:val="both"/>
              <w:rPr>
                <w:rFonts w:ascii="Arial Narrow" w:hAnsi="Arial Narrow" w:cs="Calibri"/>
                <w:color w:val="000000"/>
                <w:sz w:val="20"/>
                <w:szCs w:val="20"/>
                <w:lang w:val="es-CR" w:eastAsia="es-CR"/>
              </w:rPr>
            </w:pPr>
            <w:r w:rsidRPr="006D080A">
              <w:rPr>
                <w:rFonts w:ascii="Arial Narrow" w:hAnsi="Arial Narrow" w:cs="Calibri"/>
                <w:color w:val="000000"/>
                <w:sz w:val="20"/>
                <w:szCs w:val="20"/>
                <w:lang w:val="es-CR" w:eastAsia="es-CR"/>
              </w:rPr>
              <w:t>Que al finalizar el 2024, se haya aprobado la Política de Comunicación Organizacional (25% de cumplimiento para el 2021).</w:t>
            </w:r>
          </w:p>
        </w:tc>
        <w:tc>
          <w:tcPr>
            <w:tcW w:w="3476" w:type="dxa"/>
            <w:gridSpan w:val="2"/>
            <w:shd w:val="clear" w:color="auto" w:fill="auto"/>
            <w:noWrap/>
            <w:vAlign w:val="center"/>
            <w:hideMark/>
          </w:tcPr>
          <w:p w14:paraId="3CC36119" w14:textId="77777777" w:rsidR="00F466D6" w:rsidRPr="006D080A" w:rsidRDefault="00F466D6" w:rsidP="00132A44">
            <w:pPr>
              <w:jc w:val="both"/>
              <w:rPr>
                <w:rFonts w:ascii="Arial Narrow" w:hAnsi="Arial Narrow" w:cs="Calibri"/>
                <w:color w:val="000000"/>
                <w:sz w:val="20"/>
                <w:szCs w:val="20"/>
                <w:lang w:val="es-CR" w:eastAsia="es-CR"/>
              </w:rPr>
            </w:pPr>
            <w:r w:rsidRPr="006D080A">
              <w:rPr>
                <w:rFonts w:ascii="Arial Narrow" w:hAnsi="Arial Narrow" w:cs="Calibri"/>
                <w:color w:val="000000"/>
                <w:sz w:val="20"/>
                <w:szCs w:val="20"/>
                <w:lang w:val="es-CR" w:eastAsia="es-CR"/>
              </w:rPr>
              <w:t>Realizar las gestiones necesarias y esfuerzos para lograr obtener colaboración que permita el diseño de la política institucional y la posterior aprobación de la Política de Comunicación Organizacional.</w:t>
            </w:r>
          </w:p>
        </w:tc>
        <w:tc>
          <w:tcPr>
            <w:tcW w:w="1384" w:type="dxa"/>
            <w:gridSpan w:val="2"/>
            <w:shd w:val="clear" w:color="auto" w:fill="auto"/>
            <w:noWrap/>
            <w:vAlign w:val="center"/>
            <w:hideMark/>
          </w:tcPr>
          <w:p w14:paraId="2E70DFD0" w14:textId="77777777" w:rsidR="00F466D6" w:rsidRPr="006D080A" w:rsidRDefault="00F466D6" w:rsidP="00132A44">
            <w:pPr>
              <w:jc w:val="both"/>
              <w:rPr>
                <w:rFonts w:ascii="Arial Narrow" w:hAnsi="Arial Narrow" w:cs="Calibri"/>
                <w:color w:val="000000"/>
                <w:sz w:val="20"/>
                <w:szCs w:val="20"/>
                <w:lang w:val="es-CR" w:eastAsia="es-CR"/>
              </w:rPr>
            </w:pPr>
            <w:r w:rsidRPr="006D080A">
              <w:rPr>
                <w:rFonts w:ascii="Arial Narrow" w:hAnsi="Arial Narrow" w:cs="Calibri"/>
                <w:color w:val="000000"/>
                <w:sz w:val="20"/>
                <w:szCs w:val="20"/>
                <w:lang w:val="es-CR" w:eastAsia="es-CR"/>
              </w:rPr>
              <w:t>Departamento de Prensa y Comunicación Organizacional</w:t>
            </w:r>
          </w:p>
        </w:tc>
      </w:tr>
      <w:tr w:rsidR="00F466D6" w:rsidRPr="006D080A" w14:paraId="0CF9A08E" w14:textId="77777777" w:rsidTr="004C3FA6">
        <w:trPr>
          <w:trHeight w:val="290"/>
        </w:trPr>
        <w:tc>
          <w:tcPr>
            <w:tcW w:w="1449" w:type="dxa"/>
            <w:shd w:val="clear" w:color="auto" w:fill="auto"/>
            <w:vAlign w:val="center"/>
            <w:hideMark/>
          </w:tcPr>
          <w:p w14:paraId="2DBE58BD" w14:textId="77777777" w:rsidR="00F466D6" w:rsidRPr="006D080A" w:rsidRDefault="00F466D6" w:rsidP="00F466D6">
            <w:pPr>
              <w:jc w:val="center"/>
              <w:rPr>
                <w:rFonts w:ascii="Arial Narrow" w:hAnsi="Arial Narrow" w:cs="Calibri"/>
                <w:b/>
                <w:bCs/>
                <w:color w:val="000000"/>
                <w:sz w:val="20"/>
                <w:szCs w:val="20"/>
                <w:lang w:val="es-CR" w:eastAsia="es-CR"/>
              </w:rPr>
            </w:pPr>
            <w:r w:rsidRPr="006D080A">
              <w:rPr>
                <w:rFonts w:ascii="Arial Narrow" w:hAnsi="Arial Narrow" w:cs="Calibri"/>
                <w:b/>
                <w:bCs/>
                <w:color w:val="000000"/>
                <w:sz w:val="20"/>
                <w:szCs w:val="20"/>
                <w:lang w:val="es-CR" w:eastAsia="es-CR"/>
              </w:rPr>
              <w:t>Desarrollo y optimización de servicios y procesos judiciales</w:t>
            </w:r>
          </w:p>
        </w:tc>
        <w:tc>
          <w:tcPr>
            <w:tcW w:w="3001" w:type="dxa"/>
            <w:gridSpan w:val="2"/>
            <w:shd w:val="clear" w:color="auto" w:fill="auto"/>
            <w:vAlign w:val="center"/>
            <w:hideMark/>
          </w:tcPr>
          <w:p w14:paraId="7A5F23F9" w14:textId="77777777" w:rsidR="00F466D6" w:rsidRPr="006D080A" w:rsidRDefault="00F466D6" w:rsidP="00132A44">
            <w:pPr>
              <w:jc w:val="both"/>
              <w:rPr>
                <w:rFonts w:ascii="Arial Narrow" w:hAnsi="Arial Narrow" w:cs="Calibri"/>
                <w:color w:val="000000"/>
                <w:sz w:val="20"/>
                <w:szCs w:val="20"/>
                <w:lang w:val="es-CR" w:eastAsia="es-CR"/>
              </w:rPr>
            </w:pPr>
            <w:r w:rsidRPr="006D080A">
              <w:rPr>
                <w:rFonts w:ascii="Arial Narrow" w:hAnsi="Arial Narrow" w:cs="Calibri"/>
                <w:color w:val="000000"/>
                <w:sz w:val="20"/>
                <w:szCs w:val="20"/>
                <w:lang w:val="es-CR" w:eastAsia="es-CR"/>
              </w:rPr>
              <w:t>Que al finalizar el 2024, se haya implementado el proyecto de abordaje a la entrada en vigencia del Código Procesal Agrario. (0% de cumplimiento para el 2021)</w:t>
            </w:r>
          </w:p>
        </w:tc>
        <w:tc>
          <w:tcPr>
            <w:tcW w:w="3476" w:type="dxa"/>
            <w:gridSpan w:val="2"/>
            <w:shd w:val="clear" w:color="auto" w:fill="auto"/>
            <w:noWrap/>
            <w:vAlign w:val="center"/>
            <w:hideMark/>
          </w:tcPr>
          <w:p w14:paraId="2EF3F514" w14:textId="77777777" w:rsidR="00F466D6" w:rsidRPr="006D080A" w:rsidRDefault="00F466D6" w:rsidP="00132A44">
            <w:pPr>
              <w:jc w:val="both"/>
              <w:rPr>
                <w:rFonts w:ascii="Arial Narrow" w:hAnsi="Arial Narrow" w:cs="Calibri"/>
                <w:color w:val="000000"/>
                <w:sz w:val="20"/>
                <w:szCs w:val="20"/>
                <w:lang w:val="es-CR" w:eastAsia="es-CR"/>
              </w:rPr>
            </w:pPr>
            <w:r w:rsidRPr="006D080A">
              <w:rPr>
                <w:rFonts w:ascii="Arial Narrow" w:hAnsi="Arial Narrow" w:cs="Calibri"/>
                <w:color w:val="000000"/>
                <w:sz w:val="20"/>
                <w:szCs w:val="20"/>
                <w:lang w:val="es-CR" w:eastAsia="es-CR"/>
              </w:rPr>
              <w:t>Coordinar la asignación de un gestor o gestora para la materia Agraria quien se encargue de las tareas relacionadas con las estrategias que permitan avanzar con el proyecto de abordaje a la entrada en vigencia del Código Procesal Agrario.</w:t>
            </w:r>
          </w:p>
        </w:tc>
        <w:tc>
          <w:tcPr>
            <w:tcW w:w="1384" w:type="dxa"/>
            <w:gridSpan w:val="2"/>
            <w:shd w:val="clear" w:color="auto" w:fill="auto"/>
            <w:noWrap/>
            <w:vAlign w:val="center"/>
            <w:hideMark/>
          </w:tcPr>
          <w:p w14:paraId="600DD036" w14:textId="620F2F1E" w:rsidR="00F466D6" w:rsidRPr="006D080A" w:rsidRDefault="06F9992E" w:rsidP="00132A44">
            <w:pPr>
              <w:jc w:val="both"/>
              <w:rPr>
                <w:rFonts w:ascii="Arial Narrow" w:hAnsi="Arial Narrow" w:cs="Calibri"/>
                <w:color w:val="000000"/>
                <w:sz w:val="20"/>
                <w:szCs w:val="20"/>
                <w:lang w:val="es-CR" w:eastAsia="es-CR"/>
              </w:rPr>
            </w:pPr>
            <w:r w:rsidRPr="00322D9B">
              <w:rPr>
                <w:rFonts w:ascii="Arial Narrow" w:hAnsi="Arial Narrow" w:cs="Calibri"/>
                <w:color w:val="000000" w:themeColor="text1"/>
                <w:sz w:val="20"/>
                <w:szCs w:val="20"/>
                <w:lang w:val="es-CR" w:eastAsia="es-CR"/>
              </w:rPr>
              <w:t xml:space="preserve">Comisión de la Jurisdicción Agraria en coordinación con la </w:t>
            </w:r>
            <w:r w:rsidR="439D9C73" w:rsidRPr="006D080A">
              <w:rPr>
                <w:rFonts w:ascii="Arial Narrow" w:hAnsi="Arial Narrow" w:cs="Calibri"/>
                <w:color w:val="000000" w:themeColor="text1"/>
                <w:sz w:val="20"/>
                <w:szCs w:val="20"/>
                <w:lang w:val="es-CR" w:eastAsia="es-CR"/>
              </w:rPr>
              <w:t xml:space="preserve">Dirección de </w:t>
            </w:r>
            <w:r w:rsidR="00CE3A15" w:rsidRPr="006D080A">
              <w:rPr>
                <w:rFonts w:ascii="Arial Narrow" w:hAnsi="Arial Narrow" w:cs="Calibri"/>
                <w:color w:val="000000" w:themeColor="text1"/>
                <w:sz w:val="20"/>
                <w:szCs w:val="20"/>
                <w:lang w:val="es-CR" w:eastAsia="es-CR"/>
              </w:rPr>
              <w:t>Planificación</w:t>
            </w:r>
            <w:r w:rsidR="00CE3A15" w:rsidRPr="003C1F88">
              <w:rPr>
                <w:rFonts w:ascii="Arial Narrow" w:hAnsi="Arial Narrow" w:cs="Calibri"/>
                <w:color w:val="000000" w:themeColor="text1"/>
                <w:sz w:val="20"/>
                <w:szCs w:val="20"/>
                <w:lang w:val="es-CR" w:eastAsia="es-CR"/>
              </w:rPr>
              <w:t xml:space="preserve"> </w:t>
            </w:r>
            <w:r w:rsidR="00CE3A15" w:rsidRPr="006D080A">
              <w:rPr>
                <w:rFonts w:ascii="Arial Narrow" w:hAnsi="Arial Narrow" w:cs="Calibri"/>
                <w:color w:val="000000" w:themeColor="text1"/>
                <w:sz w:val="20"/>
                <w:szCs w:val="20"/>
                <w:lang w:val="es-CR" w:eastAsia="es-CR"/>
              </w:rPr>
              <w:t>en</w:t>
            </w:r>
            <w:r w:rsidR="439D9C73" w:rsidRPr="006D080A">
              <w:rPr>
                <w:rFonts w:ascii="Arial Narrow" w:hAnsi="Arial Narrow" w:cs="Calibri"/>
                <w:color w:val="000000" w:themeColor="text1"/>
                <w:sz w:val="20"/>
                <w:szCs w:val="20"/>
                <w:lang w:val="es-CR" w:eastAsia="es-CR"/>
              </w:rPr>
              <w:t xml:space="preserve"> coordinación con la Comisión de la Jurisdicción Agraria.</w:t>
            </w:r>
          </w:p>
        </w:tc>
      </w:tr>
      <w:tr w:rsidR="00F466D6" w:rsidRPr="006D080A" w14:paraId="2BB7307F" w14:textId="77777777" w:rsidTr="004C3FA6">
        <w:trPr>
          <w:trHeight w:val="290"/>
        </w:trPr>
        <w:tc>
          <w:tcPr>
            <w:tcW w:w="1449" w:type="dxa"/>
            <w:shd w:val="clear" w:color="auto" w:fill="auto"/>
            <w:vAlign w:val="center"/>
            <w:hideMark/>
          </w:tcPr>
          <w:p w14:paraId="5F912181" w14:textId="77777777" w:rsidR="00F466D6" w:rsidRPr="006D080A" w:rsidRDefault="00F466D6" w:rsidP="00F466D6">
            <w:pPr>
              <w:jc w:val="center"/>
              <w:rPr>
                <w:rFonts w:ascii="Arial Narrow" w:hAnsi="Arial Narrow" w:cs="Calibri"/>
                <w:b/>
                <w:bCs/>
                <w:color w:val="000000"/>
                <w:sz w:val="20"/>
                <w:szCs w:val="20"/>
                <w:lang w:val="es-CR" w:eastAsia="es-CR"/>
              </w:rPr>
            </w:pPr>
            <w:r w:rsidRPr="006D080A">
              <w:rPr>
                <w:rFonts w:ascii="Arial Narrow" w:hAnsi="Arial Narrow" w:cs="Calibri"/>
                <w:b/>
                <w:bCs/>
                <w:color w:val="000000"/>
                <w:sz w:val="20"/>
                <w:szCs w:val="20"/>
                <w:lang w:val="es-CR" w:eastAsia="es-CR"/>
              </w:rPr>
              <w:t>Leyes y reformas</w:t>
            </w:r>
          </w:p>
        </w:tc>
        <w:tc>
          <w:tcPr>
            <w:tcW w:w="3001" w:type="dxa"/>
            <w:gridSpan w:val="2"/>
            <w:shd w:val="clear" w:color="auto" w:fill="auto"/>
            <w:noWrap/>
            <w:vAlign w:val="center"/>
            <w:hideMark/>
          </w:tcPr>
          <w:p w14:paraId="5DBF3B5C" w14:textId="77777777" w:rsidR="00F466D6" w:rsidRPr="006D080A" w:rsidRDefault="00F466D6" w:rsidP="00132A44">
            <w:pPr>
              <w:jc w:val="both"/>
              <w:rPr>
                <w:rFonts w:ascii="Arial Narrow" w:hAnsi="Arial Narrow" w:cs="Calibri"/>
                <w:color w:val="000000"/>
                <w:sz w:val="20"/>
                <w:szCs w:val="20"/>
                <w:lang w:val="es-CR" w:eastAsia="es-CR"/>
              </w:rPr>
            </w:pPr>
            <w:r w:rsidRPr="006D080A">
              <w:rPr>
                <w:rFonts w:ascii="Arial Narrow" w:hAnsi="Arial Narrow" w:cs="Calibri"/>
                <w:color w:val="000000"/>
                <w:sz w:val="20"/>
                <w:szCs w:val="20"/>
                <w:lang w:val="es-CR" w:eastAsia="es-CR"/>
              </w:rPr>
              <w:t>Que al finalizar el 2024, se haya presentado ante el órgano aprobador, la propuesta del reglamento de la Ley 8720: Ley de protección a víctimas, testigos y demás sujetos intervinientes en el proceso penal, reformas y adición al Código Procesal Penal y al Código Penal</w:t>
            </w:r>
          </w:p>
        </w:tc>
        <w:tc>
          <w:tcPr>
            <w:tcW w:w="3476" w:type="dxa"/>
            <w:gridSpan w:val="2"/>
            <w:shd w:val="clear" w:color="auto" w:fill="auto"/>
            <w:noWrap/>
            <w:vAlign w:val="center"/>
            <w:hideMark/>
          </w:tcPr>
          <w:p w14:paraId="0C552F09" w14:textId="4A872507" w:rsidR="00F466D6" w:rsidRPr="006D080A" w:rsidRDefault="00F466D6" w:rsidP="00132A44">
            <w:pPr>
              <w:jc w:val="both"/>
              <w:rPr>
                <w:rFonts w:ascii="Arial Narrow" w:hAnsi="Arial Narrow" w:cs="Calibri"/>
                <w:color w:val="000000"/>
                <w:sz w:val="20"/>
                <w:szCs w:val="20"/>
                <w:lang w:val="es-CR" w:eastAsia="es-CR"/>
              </w:rPr>
            </w:pPr>
            <w:r w:rsidRPr="006D080A">
              <w:rPr>
                <w:rFonts w:ascii="Arial Narrow" w:hAnsi="Arial Narrow" w:cs="Calibri"/>
                <w:color w:val="000000"/>
                <w:sz w:val="20"/>
                <w:szCs w:val="20"/>
                <w:lang w:val="es-CR" w:eastAsia="es-CR"/>
              </w:rPr>
              <w:t>Realizar los esfuerzos necesarios para que el reglamento sea conocido por la Dirección Jurídica dado que se recomienda realizar dos reglamentos, uno ejecutivo y uno autónomo. Se insta a continuar con el seguimiento a la Dirección Jurídica para rendir la revisión del reglamento con el fin de ser elevado a las dependencias de Atención y Protección.</w:t>
            </w:r>
          </w:p>
        </w:tc>
        <w:tc>
          <w:tcPr>
            <w:tcW w:w="1384" w:type="dxa"/>
            <w:gridSpan w:val="2"/>
            <w:shd w:val="clear" w:color="auto" w:fill="auto"/>
            <w:noWrap/>
            <w:vAlign w:val="center"/>
            <w:hideMark/>
          </w:tcPr>
          <w:p w14:paraId="3AFA345A" w14:textId="77777777" w:rsidR="00F466D6" w:rsidRPr="006D080A" w:rsidRDefault="00F466D6" w:rsidP="00132A44">
            <w:pPr>
              <w:jc w:val="both"/>
              <w:rPr>
                <w:rFonts w:ascii="Arial Narrow" w:hAnsi="Arial Narrow" w:cs="Calibri"/>
                <w:color w:val="000000"/>
                <w:sz w:val="20"/>
                <w:szCs w:val="20"/>
                <w:lang w:val="es-CR" w:eastAsia="es-CR"/>
              </w:rPr>
            </w:pPr>
            <w:r w:rsidRPr="006D080A">
              <w:rPr>
                <w:rFonts w:ascii="Arial Narrow" w:hAnsi="Arial Narrow" w:cs="Calibri"/>
                <w:color w:val="000000"/>
                <w:sz w:val="20"/>
                <w:szCs w:val="20"/>
                <w:lang w:val="es-CR" w:eastAsia="es-CR"/>
              </w:rPr>
              <w:t>Oficina de Atención a la Victima del Delito en coordinación con la Dirección Jurídica.</w:t>
            </w:r>
          </w:p>
        </w:tc>
      </w:tr>
      <w:tr w:rsidR="00F466D6" w:rsidRPr="00F466D6" w14:paraId="1190BC60" w14:textId="77777777" w:rsidTr="004C3FA6">
        <w:trPr>
          <w:trHeight w:val="290"/>
        </w:trPr>
        <w:tc>
          <w:tcPr>
            <w:tcW w:w="1449" w:type="dxa"/>
            <w:shd w:val="clear" w:color="auto" w:fill="auto"/>
            <w:vAlign w:val="center"/>
            <w:hideMark/>
          </w:tcPr>
          <w:p w14:paraId="2DCC3CC6" w14:textId="77777777" w:rsidR="00F466D6" w:rsidRPr="006D080A" w:rsidRDefault="00F466D6" w:rsidP="00F466D6">
            <w:pPr>
              <w:jc w:val="center"/>
              <w:rPr>
                <w:rFonts w:ascii="Arial Narrow" w:hAnsi="Arial Narrow" w:cs="Calibri"/>
                <w:b/>
                <w:bCs/>
                <w:color w:val="000000"/>
                <w:sz w:val="20"/>
                <w:szCs w:val="20"/>
                <w:lang w:val="es-CR" w:eastAsia="es-CR"/>
              </w:rPr>
            </w:pPr>
            <w:r w:rsidRPr="006D080A">
              <w:rPr>
                <w:rFonts w:ascii="Arial Narrow" w:hAnsi="Arial Narrow" w:cs="Calibri"/>
                <w:b/>
                <w:bCs/>
                <w:color w:val="000000"/>
                <w:sz w:val="20"/>
                <w:szCs w:val="20"/>
                <w:lang w:val="es-CR" w:eastAsia="es-CR"/>
              </w:rPr>
              <w:t>Capacitación</w:t>
            </w:r>
          </w:p>
        </w:tc>
        <w:tc>
          <w:tcPr>
            <w:tcW w:w="3001" w:type="dxa"/>
            <w:gridSpan w:val="2"/>
            <w:shd w:val="clear" w:color="auto" w:fill="auto"/>
            <w:vAlign w:val="center"/>
            <w:hideMark/>
          </w:tcPr>
          <w:p w14:paraId="0F443A18" w14:textId="77777777" w:rsidR="00F466D6" w:rsidRPr="006D080A" w:rsidRDefault="00F466D6" w:rsidP="00132A44">
            <w:pPr>
              <w:jc w:val="both"/>
              <w:rPr>
                <w:rFonts w:ascii="Arial Narrow" w:hAnsi="Arial Narrow" w:cs="Calibri"/>
                <w:color w:val="000000"/>
                <w:sz w:val="20"/>
                <w:szCs w:val="20"/>
                <w:lang w:val="es-CR" w:eastAsia="es-CR"/>
              </w:rPr>
            </w:pPr>
            <w:r w:rsidRPr="006D080A">
              <w:rPr>
                <w:rFonts w:ascii="Arial Narrow" w:hAnsi="Arial Narrow" w:cs="Calibri"/>
                <w:color w:val="000000"/>
                <w:sz w:val="20"/>
                <w:szCs w:val="20"/>
                <w:lang w:val="es-CR" w:eastAsia="es-CR"/>
              </w:rPr>
              <w:t>Que al finalizar el 2024, se hayan atendido de manera integral en los distintos ámbitos judiciales, aquellas actividades de capacitación que respondan a los temas de interés institucionales, que hayan sido identificados por las entidades superiores de la institución (67% de cumplimiento para el 2021).</w:t>
            </w:r>
          </w:p>
        </w:tc>
        <w:tc>
          <w:tcPr>
            <w:tcW w:w="3476" w:type="dxa"/>
            <w:gridSpan w:val="2"/>
            <w:shd w:val="clear" w:color="auto" w:fill="auto"/>
            <w:vAlign w:val="center"/>
            <w:hideMark/>
          </w:tcPr>
          <w:p w14:paraId="47756D1B" w14:textId="77777777" w:rsidR="00F466D6" w:rsidRPr="006D080A" w:rsidRDefault="00F466D6" w:rsidP="00132A44">
            <w:pPr>
              <w:jc w:val="both"/>
              <w:rPr>
                <w:rFonts w:ascii="Arial Narrow" w:hAnsi="Arial Narrow" w:cs="Calibri"/>
                <w:color w:val="000000"/>
                <w:sz w:val="20"/>
                <w:szCs w:val="20"/>
                <w:lang w:val="es-CR" w:eastAsia="es-CR"/>
              </w:rPr>
            </w:pPr>
            <w:r w:rsidRPr="006D080A">
              <w:rPr>
                <w:rFonts w:ascii="Arial Narrow" w:hAnsi="Arial Narrow" w:cs="Calibri"/>
                <w:color w:val="000000"/>
                <w:sz w:val="20"/>
                <w:szCs w:val="20"/>
                <w:lang w:val="es-CR" w:eastAsia="es-CR"/>
              </w:rPr>
              <w:t>Elaborar un plan de Trabajo para realizar acciones formativas que respondan a las necesidades institucionales, identificadas por las instancias superiores.</w:t>
            </w:r>
          </w:p>
        </w:tc>
        <w:tc>
          <w:tcPr>
            <w:tcW w:w="1384" w:type="dxa"/>
            <w:gridSpan w:val="2"/>
            <w:shd w:val="clear" w:color="auto" w:fill="auto"/>
            <w:noWrap/>
            <w:vAlign w:val="center"/>
            <w:hideMark/>
          </w:tcPr>
          <w:p w14:paraId="7EE77C19" w14:textId="77777777" w:rsidR="00F466D6" w:rsidRPr="00F466D6" w:rsidRDefault="00F466D6" w:rsidP="00132A44">
            <w:pPr>
              <w:jc w:val="both"/>
              <w:rPr>
                <w:rFonts w:ascii="Arial Narrow" w:hAnsi="Arial Narrow" w:cs="Calibri"/>
                <w:color w:val="000000"/>
                <w:sz w:val="20"/>
                <w:szCs w:val="20"/>
                <w:lang w:val="es-CR" w:eastAsia="es-CR"/>
              </w:rPr>
            </w:pPr>
            <w:r w:rsidRPr="006D080A">
              <w:rPr>
                <w:rFonts w:ascii="Arial Narrow" w:hAnsi="Arial Narrow" w:cs="Calibri"/>
                <w:color w:val="000000"/>
                <w:sz w:val="20"/>
                <w:szCs w:val="20"/>
                <w:lang w:val="es-CR" w:eastAsia="es-CR"/>
              </w:rPr>
              <w:t>Escuela Judicial</w:t>
            </w:r>
          </w:p>
        </w:tc>
      </w:tr>
    </w:tbl>
    <w:p w14:paraId="622EEBE9" w14:textId="77777777" w:rsidR="008F0B82" w:rsidRPr="008F0B82" w:rsidRDefault="008F0B82" w:rsidP="00DA48B0">
      <w:pPr>
        <w:jc w:val="center"/>
        <w:rPr>
          <w:rFonts w:ascii="Arial Narrow" w:eastAsia="Batang" w:hAnsi="Arial Narrow"/>
          <w:sz w:val="18"/>
          <w:szCs w:val="18"/>
          <w:lang w:eastAsia="en-US"/>
        </w:rPr>
      </w:pPr>
      <w:r w:rsidRPr="008F0B82">
        <w:rPr>
          <w:rFonts w:ascii="Arial Narrow" w:eastAsia="Batang" w:hAnsi="Arial Narrow"/>
          <w:sz w:val="18"/>
          <w:szCs w:val="18"/>
          <w:lang w:eastAsia="en-US"/>
        </w:rPr>
        <w:t>Fuente: elaboración propia con base en el análisis de hallazgos de la evaluación.</w:t>
      </w:r>
    </w:p>
    <w:p w14:paraId="3D1D27D4" w14:textId="77777777" w:rsidR="008F0B82" w:rsidRPr="008F0B82" w:rsidRDefault="008F0B82" w:rsidP="008F0B82">
      <w:pPr>
        <w:ind w:left="720"/>
        <w:jc w:val="both"/>
        <w:rPr>
          <w:rFonts w:ascii="Arial Narrow" w:eastAsia="Batang" w:hAnsi="Arial Narrow"/>
          <w:sz w:val="18"/>
          <w:szCs w:val="18"/>
          <w:lang w:eastAsia="en-US"/>
        </w:rPr>
      </w:pPr>
    </w:p>
    <w:p w14:paraId="2132439B" w14:textId="77777777" w:rsidR="008F0B82" w:rsidRDefault="008F0B82" w:rsidP="00322D9B">
      <w:pPr>
        <w:shd w:val="clear" w:color="auto" w:fill="D5DCE4" w:themeFill="text2" w:themeFillTint="33"/>
        <w:jc w:val="both"/>
        <w:rPr>
          <w:rFonts w:ascii="Arial Narrow" w:hAnsi="Arial Narrow"/>
          <w:b/>
        </w:rPr>
      </w:pPr>
    </w:p>
    <w:p w14:paraId="4271D128" w14:textId="435B50A9" w:rsidR="007E722D" w:rsidRPr="00584708" w:rsidRDefault="007E722D" w:rsidP="00322D9B">
      <w:pPr>
        <w:shd w:val="clear" w:color="auto" w:fill="D5DCE4" w:themeFill="text2" w:themeFillTint="33"/>
        <w:jc w:val="both"/>
        <w:rPr>
          <w:rFonts w:ascii="Arial Narrow" w:hAnsi="Arial Narrow"/>
        </w:rPr>
      </w:pPr>
      <w:r>
        <w:rPr>
          <w:rFonts w:ascii="Arial Narrow" w:hAnsi="Arial Narrow"/>
          <w:b/>
        </w:rPr>
        <w:t xml:space="preserve">Para lo anterior, cada responsable estratégico deberá considerar los alcances del informe </w:t>
      </w:r>
      <w:r w:rsidRPr="009B2F63">
        <w:rPr>
          <w:rFonts w:ascii="Arial Narrow" w:hAnsi="Arial Narrow"/>
          <w:b/>
        </w:rPr>
        <w:t xml:space="preserve">1281-PLA-PE-2021 relacionado con el análisis de los casos terminados durante el 2019, 2020 y el primer semestre de 2021, </w:t>
      </w:r>
      <w:r>
        <w:rPr>
          <w:rFonts w:ascii="Arial Narrow" w:hAnsi="Arial Narrow"/>
          <w:b/>
        </w:rPr>
        <w:t>pendiente de ser conocido por Corte Plena</w:t>
      </w:r>
      <w:r w:rsidRPr="009B2F63">
        <w:rPr>
          <w:rFonts w:ascii="Arial Narrow" w:hAnsi="Arial Narrow"/>
          <w:b/>
        </w:rPr>
        <w:t xml:space="preserve">. </w:t>
      </w:r>
      <w:r>
        <w:rPr>
          <w:rFonts w:ascii="Arial Narrow" w:hAnsi="Arial Narrow"/>
        </w:rPr>
        <w:t xml:space="preserve"> </w:t>
      </w:r>
    </w:p>
    <w:p w14:paraId="7CB18CC1" w14:textId="77777777" w:rsidR="007E722D" w:rsidRDefault="007E722D">
      <w:pPr>
        <w:jc w:val="both"/>
        <w:rPr>
          <w:rFonts w:ascii="Arial Narrow" w:eastAsia="Calibri" w:hAnsi="Arial Narrow"/>
          <w:lang w:val="es-CR" w:eastAsia="en-US"/>
        </w:rPr>
      </w:pPr>
    </w:p>
    <w:p w14:paraId="20289BAF" w14:textId="036C93E4" w:rsidR="005E6E68" w:rsidRDefault="13FB310D">
      <w:pPr>
        <w:jc w:val="both"/>
        <w:rPr>
          <w:rFonts w:ascii="Arial Narrow" w:hAnsi="Arial Narrow"/>
          <w:lang w:eastAsia="en-US"/>
        </w:rPr>
      </w:pPr>
      <w:r w:rsidRPr="0F07E111">
        <w:rPr>
          <w:rFonts w:ascii="Arial Narrow" w:eastAsia="Calibri" w:hAnsi="Arial Narrow"/>
          <w:lang w:val="es-CR" w:eastAsia="en-US"/>
        </w:rPr>
        <w:t>Estas metas serán revisadas por parte del Subproceso de Evaluación para el informe de seguimiento semestral del 2022 del PEI y se analizará el porcentaje de cumplimiento para ese periodo</w:t>
      </w:r>
      <w:r w:rsidR="37829DF1" w:rsidRPr="0F07E111">
        <w:rPr>
          <w:rFonts w:ascii="Arial Narrow" w:hAnsi="Arial Narrow"/>
          <w:lang w:eastAsia="en-US"/>
        </w:rPr>
        <w:t xml:space="preserve"> con base en los resultados y hallazgos del informe</w:t>
      </w:r>
      <w:r w:rsidR="006E52D3">
        <w:rPr>
          <w:rFonts w:ascii="Arial Narrow" w:hAnsi="Arial Narrow"/>
          <w:lang w:eastAsia="en-US"/>
        </w:rPr>
        <w:t>.</w:t>
      </w:r>
      <w:r w:rsidR="37829DF1" w:rsidRPr="0F07E111">
        <w:rPr>
          <w:rFonts w:ascii="Arial Narrow" w:hAnsi="Arial Narrow"/>
          <w:lang w:eastAsia="en-US"/>
        </w:rPr>
        <w:t xml:space="preserve">  </w:t>
      </w:r>
    </w:p>
    <w:p w14:paraId="1EB47044" w14:textId="77777777" w:rsidR="005E6E68" w:rsidRDefault="005E6E68">
      <w:pPr>
        <w:jc w:val="both"/>
        <w:rPr>
          <w:rFonts w:ascii="Arial Narrow" w:hAnsi="Arial Narrow"/>
          <w:lang w:eastAsia="en-US"/>
        </w:rPr>
      </w:pPr>
    </w:p>
    <w:p w14:paraId="22559CD5" w14:textId="24A9379B" w:rsidR="00F466D6" w:rsidRPr="00F466D6" w:rsidRDefault="006E52D3" w:rsidP="00322D9B">
      <w:pPr>
        <w:jc w:val="both"/>
        <w:rPr>
          <w:rFonts w:ascii="Arial Narrow" w:hAnsi="Arial Narrow"/>
          <w:lang w:val="es-MX" w:eastAsia="en-US"/>
        </w:rPr>
      </w:pPr>
      <w:r>
        <w:rPr>
          <w:rFonts w:ascii="Arial Narrow" w:hAnsi="Arial Narrow"/>
          <w:lang w:eastAsia="en-US"/>
        </w:rPr>
        <w:t>Con base en el informe de seguimiento del primer semestre de 2022, l</w:t>
      </w:r>
      <w:r w:rsidR="005E6E68">
        <w:rPr>
          <w:rFonts w:ascii="Arial Narrow" w:hAnsi="Arial Narrow"/>
          <w:lang w:eastAsia="en-US"/>
        </w:rPr>
        <w:t>o</w:t>
      </w:r>
      <w:r w:rsidR="620D42EE" w:rsidRPr="0F07E111">
        <w:rPr>
          <w:rFonts w:ascii="Arial Narrow" w:hAnsi="Arial Narrow"/>
          <w:lang w:eastAsia="en-US"/>
        </w:rPr>
        <w:t xml:space="preserve">s </w:t>
      </w:r>
      <w:r w:rsidR="0026374B" w:rsidRPr="0F07E111">
        <w:rPr>
          <w:rFonts w:ascii="Arial Narrow" w:hAnsi="Arial Narrow"/>
          <w:lang w:eastAsia="en-US"/>
        </w:rPr>
        <w:t xml:space="preserve">responsables </w:t>
      </w:r>
      <w:r w:rsidR="005E6E68">
        <w:rPr>
          <w:rFonts w:ascii="Arial Narrow" w:hAnsi="Arial Narrow"/>
          <w:lang w:eastAsia="en-US"/>
        </w:rPr>
        <w:t xml:space="preserve">estratégicos </w:t>
      </w:r>
      <w:r>
        <w:rPr>
          <w:rFonts w:ascii="Arial Narrow" w:hAnsi="Arial Narrow"/>
          <w:lang w:eastAsia="en-US"/>
        </w:rPr>
        <w:t xml:space="preserve">que se determinen deberán </w:t>
      </w:r>
      <w:r w:rsidR="005E6E68" w:rsidRPr="00322D9B">
        <w:rPr>
          <w:rFonts w:ascii="Arial Narrow" w:hAnsi="Arial Narrow"/>
          <w:lang w:eastAsia="en-US"/>
        </w:rPr>
        <w:t>elaborar un</w:t>
      </w:r>
      <w:r w:rsidR="37829DF1" w:rsidRPr="00322D9B">
        <w:rPr>
          <w:rFonts w:ascii="Arial Narrow" w:hAnsi="Arial Narrow"/>
          <w:lang w:eastAsia="en-US"/>
        </w:rPr>
        <w:t xml:space="preserve"> plan de acción del PEI que incluirá un plan para las metas con rezago o con cumplimiento medio-bajo que detallará actividades</w:t>
      </w:r>
      <w:r w:rsidR="37829DF1" w:rsidRPr="0F07E111">
        <w:rPr>
          <w:rFonts w:ascii="Arial Narrow" w:hAnsi="Arial Narrow"/>
          <w:lang w:eastAsia="en-US"/>
        </w:rPr>
        <w:t>, responsables y plazos, y posteriormente, será evaluado en el año 2023 al rendir la evaluación del PEI del año 2022.</w:t>
      </w:r>
      <w:r>
        <w:rPr>
          <w:rFonts w:ascii="Arial Narrow" w:hAnsi="Arial Narrow"/>
          <w:lang w:eastAsia="en-US"/>
        </w:rPr>
        <w:t xml:space="preserve">   </w:t>
      </w:r>
      <w:r w:rsidR="240EAF40" w:rsidRPr="7F5490C3">
        <w:rPr>
          <w:rFonts w:ascii="Arial Narrow" w:eastAsia="Calibri" w:hAnsi="Arial Narrow"/>
          <w:lang w:val="es-CR" w:eastAsia="en-US"/>
        </w:rPr>
        <w:t xml:space="preserve">Lo anterior en apego con lo dispuesto </w:t>
      </w:r>
      <w:r w:rsidR="370A3040" w:rsidRPr="7F5490C3">
        <w:rPr>
          <w:rFonts w:ascii="Arial Narrow" w:hAnsi="Arial Narrow"/>
          <w:lang w:val="es-CR" w:eastAsia="en-US"/>
        </w:rPr>
        <w:t>el procedimiento</w:t>
      </w:r>
      <w:r w:rsidR="7F5490C3" w:rsidRPr="7F5490C3">
        <w:rPr>
          <w:rFonts w:ascii="Arial Narrow" w:hAnsi="Arial Narrow"/>
          <w:lang w:eastAsia="en-US"/>
        </w:rPr>
        <w:t xml:space="preserve"> contenido en el </w:t>
      </w:r>
      <w:r w:rsidR="0026374B" w:rsidRPr="7F5490C3">
        <w:rPr>
          <w:rFonts w:ascii="Arial Narrow" w:hAnsi="Arial Narrow"/>
          <w:lang w:eastAsia="en-US"/>
        </w:rPr>
        <w:t>informe</w:t>
      </w:r>
      <w:r w:rsidR="009F6BDC">
        <w:rPr>
          <w:rFonts w:ascii="Arial Narrow" w:hAnsi="Arial Narrow"/>
          <w:lang w:eastAsia="en-US"/>
        </w:rPr>
        <w:t xml:space="preserve"> N</w:t>
      </w:r>
      <w:r w:rsidR="7F5490C3" w:rsidRPr="7F5490C3">
        <w:rPr>
          <w:rFonts w:ascii="Arial Narrow" w:hAnsi="Arial Narrow"/>
          <w:lang w:val="es" w:eastAsia="en-US"/>
        </w:rPr>
        <w:t>° 91-PLA-PE-2022 del 28 de enero de 2022, aprobado en sesión 14-2022 celebrada el 17 de febrero del 2022, articulo XLVIII,</w:t>
      </w:r>
    </w:p>
    <w:p w14:paraId="64EB6B51" w14:textId="3680E64E" w:rsidR="007E722D" w:rsidRDefault="007E722D" w:rsidP="00297BD0">
      <w:pPr>
        <w:rPr>
          <w:rFonts w:eastAsia="Calibri"/>
          <w:lang w:val="es-CR" w:eastAsia="en-US"/>
        </w:rPr>
      </w:pPr>
    </w:p>
    <w:p w14:paraId="12890DC4" w14:textId="77777777" w:rsidR="0070231C" w:rsidRDefault="0070231C" w:rsidP="00297BD0">
      <w:pPr>
        <w:rPr>
          <w:rFonts w:eastAsia="Calibri"/>
          <w:lang w:val="es-CR" w:eastAsia="en-US"/>
        </w:rPr>
      </w:pPr>
    </w:p>
    <w:p w14:paraId="44399517" w14:textId="77777777" w:rsidR="00EF29A2" w:rsidRDefault="00EF29A2" w:rsidP="00297BD0">
      <w:pPr>
        <w:rPr>
          <w:rFonts w:eastAsia="Calibri"/>
          <w:lang w:val="es-CR" w:eastAsia="en-US"/>
        </w:rPr>
      </w:pPr>
    </w:p>
    <w:p w14:paraId="40697861" w14:textId="7B8F8848" w:rsidR="00C00254" w:rsidRPr="00895A80" w:rsidRDefault="4CA5D848" w:rsidP="00322D9B">
      <w:pPr>
        <w:pStyle w:val="Ttulo2"/>
      </w:pPr>
      <w:bookmarkStart w:id="349" w:name="_Toc106355307"/>
      <w:bookmarkStart w:id="350" w:name="_Hlk105140089"/>
      <w:r w:rsidRPr="003376A2">
        <w:t xml:space="preserve">Recomendaciones al </w:t>
      </w:r>
      <w:r w:rsidR="688C875B" w:rsidRPr="003376A2">
        <w:t>Subproceso de Plan</w:t>
      </w:r>
      <w:r w:rsidR="1839DE3C" w:rsidRPr="003376A2">
        <w:t xml:space="preserve">ificación </w:t>
      </w:r>
      <w:r w:rsidR="688C875B" w:rsidRPr="00895A80">
        <w:t>Estratégica</w:t>
      </w:r>
      <w:r w:rsidR="2014B759" w:rsidRPr="00895A80">
        <w:t xml:space="preserve"> de la Dirección de Planificación</w:t>
      </w:r>
      <w:bookmarkEnd w:id="349"/>
    </w:p>
    <w:p w14:paraId="31B61006" w14:textId="38646BC3" w:rsidR="0025402E" w:rsidRDefault="0025402E" w:rsidP="0025402E">
      <w:pPr>
        <w:ind w:firstLine="142"/>
        <w:rPr>
          <w:rFonts w:eastAsia="Calibri"/>
          <w:lang w:val="es-CR" w:eastAsia="en-US"/>
        </w:rPr>
      </w:pPr>
    </w:p>
    <w:p w14:paraId="78E845C0" w14:textId="6B395A55" w:rsidR="0070231C" w:rsidRPr="00345B2C" w:rsidRDefault="006841C5" w:rsidP="00345B2C">
      <w:pPr>
        <w:ind w:left="720"/>
        <w:jc w:val="both"/>
        <w:rPr>
          <w:rFonts w:ascii="Arial Narrow" w:eastAsia="Calibri" w:hAnsi="Arial Narrow"/>
          <w:lang w:val="es-ES"/>
        </w:rPr>
      </w:pPr>
      <w:r>
        <w:rPr>
          <w:rFonts w:ascii="Arial Narrow" w:eastAsia="Calibri" w:hAnsi="Arial Narrow"/>
          <w:lang w:val="es-ES"/>
        </w:rPr>
        <w:t xml:space="preserve">14.3.1 </w:t>
      </w:r>
      <w:r w:rsidR="0070231C" w:rsidRPr="00345B2C">
        <w:rPr>
          <w:rFonts w:ascii="Arial Narrow" w:eastAsia="Calibri" w:hAnsi="Arial Narrow"/>
          <w:lang w:val="es-ES"/>
        </w:rPr>
        <w:t xml:space="preserve">Realizar un estudio y valoración de los parámetros y valores esperados de las diferentes metas asociadas a los casos terminados mediante la aplicación de Medidas Alternas, con la finalidad de determinar los ajustes que correspondan, lo anterior, de acuerdo con el detalle del Anexo 2. </w:t>
      </w:r>
    </w:p>
    <w:p w14:paraId="7F86FB44" w14:textId="77777777" w:rsidR="0070231C" w:rsidRPr="0025402E" w:rsidRDefault="0070231C" w:rsidP="0025402E">
      <w:pPr>
        <w:ind w:firstLine="142"/>
        <w:rPr>
          <w:rFonts w:eastAsia="Calibri"/>
          <w:lang w:val="es-CR" w:eastAsia="en-US"/>
        </w:rPr>
      </w:pPr>
    </w:p>
    <w:p w14:paraId="644B8D5B" w14:textId="525C799F" w:rsidR="03BF0815" w:rsidRPr="00345B2C" w:rsidRDefault="006841C5" w:rsidP="00345B2C">
      <w:pPr>
        <w:ind w:left="720"/>
        <w:jc w:val="both"/>
        <w:rPr>
          <w:rFonts w:ascii="Arial Narrow" w:eastAsia="Calibri" w:hAnsi="Arial Narrow"/>
          <w:lang w:val="es-ES"/>
        </w:rPr>
      </w:pPr>
      <w:r>
        <w:rPr>
          <w:rFonts w:ascii="Arial Narrow" w:eastAsia="Calibri" w:hAnsi="Arial Narrow"/>
          <w:lang w:val="es-ES"/>
        </w:rPr>
        <w:t xml:space="preserve">13.3.2 </w:t>
      </w:r>
      <w:r w:rsidR="3D2ED716" w:rsidRPr="00345B2C">
        <w:rPr>
          <w:rFonts w:ascii="Arial Narrow" w:eastAsia="Calibri" w:hAnsi="Arial Narrow"/>
          <w:lang w:val="es-ES"/>
        </w:rPr>
        <w:t>Identificar y definir indicadores de resultados e impacto sobre los efectos que generan el cumplimiento de las metas estratégicas del Plan Estratégico Institucional vigente.</w:t>
      </w:r>
    </w:p>
    <w:bookmarkEnd w:id="350"/>
    <w:p w14:paraId="22EC5108" w14:textId="77777777" w:rsidR="006D080A" w:rsidRDefault="006D080A" w:rsidP="00322D9B">
      <w:pPr>
        <w:jc w:val="both"/>
        <w:rPr>
          <w:rFonts w:ascii="Arial Narrow" w:hAnsi="Arial Narrow" w:cs="Arial"/>
          <w:b/>
          <w:bCs/>
          <w:color w:val="000000"/>
        </w:rPr>
      </w:pPr>
    </w:p>
    <w:p w14:paraId="2C606F3E" w14:textId="5476BC53" w:rsidR="004C3FA6" w:rsidRDefault="004C3FA6">
      <w:pPr>
        <w:rPr>
          <w:rFonts w:ascii="Arial Narrow" w:hAnsi="Arial Narrow" w:cs="Arial"/>
          <w:b/>
          <w:bCs/>
          <w:color w:val="000000"/>
        </w:rPr>
      </w:pPr>
      <w:r>
        <w:rPr>
          <w:rFonts w:ascii="Arial Narrow" w:hAnsi="Arial Narrow" w:cs="Arial"/>
          <w:b/>
          <w:bCs/>
          <w:color w:val="000000"/>
        </w:rPr>
        <w:br w:type="page"/>
      </w:r>
    </w:p>
    <w:p w14:paraId="4796AAE7" w14:textId="0431B05C" w:rsidR="00AB5922" w:rsidRDefault="7D631D9E" w:rsidP="00345B2C">
      <w:pPr>
        <w:pStyle w:val="Ttulo1"/>
        <w:numPr>
          <w:ilvl w:val="0"/>
          <w:numId w:val="151"/>
        </w:numPr>
      </w:pPr>
      <w:bookmarkStart w:id="351" w:name="_Toc106355308"/>
      <w:r>
        <w:t>Anexos</w:t>
      </w:r>
      <w:bookmarkEnd w:id="351"/>
    </w:p>
    <w:p w14:paraId="7A2736D5" w14:textId="77777777" w:rsidR="00AB5922" w:rsidRDefault="00AB5922" w:rsidP="00AB5922">
      <w:pPr>
        <w:rPr>
          <w:lang w:eastAsia="en-US"/>
        </w:rPr>
      </w:pPr>
    </w:p>
    <w:p w14:paraId="4D6F7E31" w14:textId="77777777" w:rsidR="00AB5922" w:rsidRPr="00CC279A" w:rsidRDefault="00AB5922" w:rsidP="00AB5922">
      <w:pPr>
        <w:widowControl w:val="0"/>
        <w:jc w:val="center"/>
        <w:rPr>
          <w:rFonts w:ascii="Arial Narrow" w:hAnsi="Arial Narrow"/>
          <w:b/>
          <w:bCs/>
          <w:lang w:eastAsia="en-US"/>
        </w:rPr>
      </w:pPr>
    </w:p>
    <w:tbl>
      <w:tblPr>
        <w:tblStyle w:val="Tablaconcuadrcula"/>
        <w:tblW w:w="0" w:type="auto"/>
        <w:tblLook w:val="04A0" w:firstRow="1" w:lastRow="0" w:firstColumn="1" w:lastColumn="0" w:noHBand="0" w:noVBand="1"/>
      </w:tblPr>
      <w:tblGrid>
        <w:gridCol w:w="4601"/>
        <w:gridCol w:w="4602"/>
      </w:tblGrid>
      <w:tr w:rsidR="00FE5A60" w14:paraId="30989BC2" w14:textId="77777777" w:rsidTr="00FE5A60">
        <w:tc>
          <w:tcPr>
            <w:tcW w:w="4601" w:type="dxa"/>
          </w:tcPr>
          <w:p w14:paraId="6D9D4C78" w14:textId="77777777" w:rsidR="00FE5A60" w:rsidRPr="00FE5A60" w:rsidRDefault="00FE5A60" w:rsidP="00AB5922">
            <w:pPr>
              <w:widowControl w:val="0"/>
              <w:spacing w:line="276" w:lineRule="auto"/>
              <w:jc w:val="center"/>
              <w:rPr>
                <w:rFonts w:ascii="Arial Narrow" w:hAnsi="Arial Narrow" w:cs="Arial"/>
                <w:b/>
                <w:bCs/>
              </w:rPr>
            </w:pPr>
            <w:r w:rsidRPr="00FE5A60">
              <w:rPr>
                <w:rFonts w:ascii="Arial Narrow" w:hAnsi="Arial Narrow" w:cs="Arial"/>
                <w:b/>
                <w:bCs/>
              </w:rPr>
              <w:t>Anexo 1</w:t>
            </w:r>
          </w:p>
          <w:p w14:paraId="6F5797F6" w14:textId="77777777" w:rsidR="00FE5A60" w:rsidRDefault="00FE5A60" w:rsidP="00AB5922">
            <w:pPr>
              <w:widowControl w:val="0"/>
              <w:spacing w:line="276" w:lineRule="auto"/>
              <w:jc w:val="center"/>
              <w:rPr>
                <w:rFonts w:ascii="Arial Narrow" w:hAnsi="Arial Narrow" w:cs="Arial"/>
              </w:rPr>
            </w:pPr>
          </w:p>
          <w:p w14:paraId="00900F27" w14:textId="34CFA06D" w:rsidR="00FE5A60" w:rsidRDefault="00FE5A60" w:rsidP="00AB5922">
            <w:pPr>
              <w:widowControl w:val="0"/>
              <w:spacing w:line="276" w:lineRule="auto"/>
              <w:jc w:val="center"/>
              <w:rPr>
                <w:rFonts w:ascii="Arial Narrow" w:hAnsi="Arial Narrow" w:cs="Arial"/>
              </w:rPr>
            </w:pPr>
            <w:r>
              <w:rPr>
                <w:rFonts w:ascii="Arial Narrow" w:hAnsi="Arial Narrow" w:cs="Arial"/>
              </w:rPr>
              <w:t xml:space="preserve">Matriz </w:t>
            </w:r>
            <w:r w:rsidR="00992B21">
              <w:rPr>
                <w:rFonts w:ascii="Arial Narrow" w:hAnsi="Arial Narrow" w:cs="Arial"/>
              </w:rPr>
              <w:t xml:space="preserve">PEI </w:t>
            </w:r>
            <w:r>
              <w:rPr>
                <w:rFonts w:ascii="Arial Narrow" w:hAnsi="Arial Narrow" w:cs="Arial"/>
              </w:rPr>
              <w:t>versión 5 - 2021</w:t>
            </w:r>
          </w:p>
        </w:tc>
        <w:tc>
          <w:tcPr>
            <w:tcW w:w="4602" w:type="dxa"/>
          </w:tcPr>
          <w:p w14:paraId="31A20B4F" w14:textId="0BD84DD3" w:rsidR="00FE5A60" w:rsidRDefault="00532B98" w:rsidP="00AB5922">
            <w:pPr>
              <w:widowControl w:val="0"/>
              <w:spacing w:line="276" w:lineRule="auto"/>
              <w:jc w:val="center"/>
              <w:rPr>
                <w:rFonts w:ascii="Arial Narrow" w:hAnsi="Arial Narrow" w:cs="Arial"/>
              </w:rPr>
            </w:pPr>
            <w:r>
              <w:rPr>
                <w:rFonts w:ascii="Arial Narrow" w:hAnsi="Arial Narrow" w:cs="Arial"/>
              </w:rPr>
              <w:object w:dxaOrig="1100" w:dyaOrig="729" w14:anchorId="2FE50ADF">
                <v:shape id="_x0000_i1042" type="#_x0000_t75" style="width:56.2pt;height:37.35pt" o:ole="">
                  <v:imagedata r:id="rId136" o:title=""/>
                </v:shape>
                <o:OLEObject Type="Embed" ProgID="Excel.Sheet.12" ShapeID="_x0000_i1042" DrawAspect="Icon" ObjectID="_1723023857" r:id="rId137"/>
              </w:object>
            </w:r>
          </w:p>
        </w:tc>
      </w:tr>
      <w:tr w:rsidR="00FE5A60" w14:paraId="71904204" w14:textId="77777777" w:rsidTr="00FE5A60">
        <w:tc>
          <w:tcPr>
            <w:tcW w:w="4601" w:type="dxa"/>
          </w:tcPr>
          <w:p w14:paraId="4368C6FC" w14:textId="7E483159" w:rsidR="00FE5A60" w:rsidRDefault="001A1BE7" w:rsidP="00AB5922">
            <w:pPr>
              <w:widowControl w:val="0"/>
              <w:spacing w:line="276" w:lineRule="auto"/>
              <w:jc w:val="center"/>
              <w:rPr>
                <w:rFonts w:ascii="Arial Narrow" w:hAnsi="Arial Narrow" w:cs="Arial"/>
                <w:b/>
                <w:bCs/>
              </w:rPr>
            </w:pPr>
            <w:r w:rsidRPr="001A1BE7">
              <w:rPr>
                <w:rFonts w:ascii="Arial Narrow" w:hAnsi="Arial Narrow" w:cs="Arial"/>
                <w:b/>
                <w:bCs/>
              </w:rPr>
              <w:t>Anexo 2</w:t>
            </w:r>
          </w:p>
          <w:p w14:paraId="329A197F" w14:textId="77777777" w:rsidR="001A1BE7" w:rsidRPr="001A1BE7" w:rsidRDefault="001A1BE7" w:rsidP="00AB5922">
            <w:pPr>
              <w:widowControl w:val="0"/>
              <w:spacing w:line="276" w:lineRule="auto"/>
              <w:jc w:val="center"/>
              <w:rPr>
                <w:rFonts w:ascii="Arial Narrow" w:hAnsi="Arial Narrow" w:cs="Arial"/>
                <w:b/>
                <w:bCs/>
              </w:rPr>
            </w:pPr>
          </w:p>
          <w:p w14:paraId="699C4072" w14:textId="45AEC41B" w:rsidR="001A1BE7" w:rsidRDefault="001A1BE7" w:rsidP="00AB5922">
            <w:pPr>
              <w:widowControl w:val="0"/>
              <w:spacing w:line="276" w:lineRule="auto"/>
              <w:jc w:val="center"/>
              <w:rPr>
                <w:rFonts w:ascii="Arial Narrow" w:hAnsi="Arial Narrow" w:cs="Arial"/>
              </w:rPr>
            </w:pPr>
            <w:r>
              <w:rPr>
                <w:rFonts w:ascii="Arial Narrow" w:hAnsi="Arial Narrow" w:cs="Arial"/>
              </w:rPr>
              <w:t>Detalle de metas estratégicas de Celeridad Judicial y Medidas alternas pendientes de analizar</w:t>
            </w:r>
          </w:p>
        </w:tc>
        <w:bookmarkStart w:id="352" w:name="_MON_1710256397"/>
        <w:bookmarkEnd w:id="352"/>
        <w:tc>
          <w:tcPr>
            <w:tcW w:w="4602" w:type="dxa"/>
          </w:tcPr>
          <w:p w14:paraId="2A614B3E" w14:textId="17282477" w:rsidR="00FE5A60" w:rsidRDefault="00532B98" w:rsidP="00AB5922">
            <w:pPr>
              <w:widowControl w:val="0"/>
              <w:spacing w:line="276" w:lineRule="auto"/>
              <w:jc w:val="center"/>
              <w:rPr>
                <w:rFonts w:ascii="Arial Narrow" w:hAnsi="Arial Narrow" w:cs="Arial"/>
              </w:rPr>
            </w:pPr>
            <w:r>
              <w:rPr>
                <w:rFonts w:ascii="Arial Narrow" w:hAnsi="Arial Narrow" w:cs="Arial"/>
              </w:rPr>
              <w:object w:dxaOrig="1100" w:dyaOrig="729" w14:anchorId="26615009">
                <v:shape id="_x0000_i1043" type="#_x0000_t75" style="width:56.2pt;height:37.35pt" o:ole="">
                  <v:imagedata r:id="rId138" o:title=""/>
                </v:shape>
                <o:OLEObject Type="Embed" ProgID="Excel.Sheet.12" ShapeID="_x0000_i1043" DrawAspect="Icon" ObjectID="_1723023858" r:id="rId139"/>
              </w:object>
            </w:r>
          </w:p>
        </w:tc>
      </w:tr>
    </w:tbl>
    <w:p w14:paraId="4948FE88" w14:textId="77777777" w:rsidR="00AB5922" w:rsidRDefault="00AB5922" w:rsidP="00AB5922">
      <w:pPr>
        <w:widowControl w:val="0"/>
        <w:spacing w:line="276" w:lineRule="auto"/>
        <w:jc w:val="center"/>
        <w:rPr>
          <w:rFonts w:ascii="Arial Narrow" w:hAnsi="Arial Narrow" w:cs="Arial"/>
        </w:rPr>
      </w:pPr>
    </w:p>
    <w:p w14:paraId="30D18579" w14:textId="77777777" w:rsidR="00AB5922" w:rsidRDefault="00AB5922" w:rsidP="00AB5922">
      <w:pPr>
        <w:widowControl w:val="0"/>
        <w:spacing w:line="276" w:lineRule="auto"/>
        <w:jc w:val="center"/>
        <w:rPr>
          <w:rFonts w:ascii="Arial Narrow" w:hAnsi="Arial Narrow" w:cs="Arial"/>
        </w:rPr>
      </w:pPr>
    </w:p>
    <w:p w14:paraId="4C004BE3" w14:textId="77777777" w:rsidR="004B00D0" w:rsidRPr="005D5FB2" w:rsidRDefault="004B00D0" w:rsidP="004B00D0">
      <w:pPr>
        <w:suppressAutoHyphens/>
        <w:jc w:val="both"/>
        <w:rPr>
          <w:rFonts w:ascii="Book Antiqua" w:hAnsi="Book Antiqua" w:cs="Book Antiqua"/>
          <w:lang w:val="es-ES" w:eastAsia="ar-SA"/>
        </w:rPr>
      </w:pPr>
      <w:r w:rsidRPr="005D5FB2">
        <w:rPr>
          <w:rFonts w:ascii="Book Antiqua" w:hAnsi="Book Antiqua" w:cs="Book Antiqua"/>
          <w:i/>
          <w:iCs/>
          <w:lang w:val="es-ES" w:eastAsia="ar-SA"/>
        </w:rPr>
        <w:t>Este informe cuenta con las revisiones y ajustes correspondientes de las jefaturas indicadas</w:t>
      </w:r>
      <w:r w:rsidRPr="005D5FB2">
        <w:rPr>
          <w:rFonts w:ascii="Book Antiqua" w:hAnsi="Book Antiqua" w:cs="Book Antiqua"/>
          <w:lang w:val="es-ES" w:eastAsia="ar-SA"/>
        </w:rPr>
        <w:t>.</w:t>
      </w:r>
    </w:p>
    <w:p w14:paraId="426C2FF6" w14:textId="77777777" w:rsidR="004B00D0" w:rsidRPr="005D5FB2" w:rsidRDefault="004B00D0" w:rsidP="004B00D0">
      <w:pPr>
        <w:suppressAutoHyphens/>
        <w:jc w:val="both"/>
        <w:rPr>
          <w:rFonts w:ascii="Book Antiqua" w:hAnsi="Book Antiqua" w:cs="Book Antiqua"/>
          <w:lang w:val="es-ES" w:eastAsia="ar-SA"/>
        </w:rPr>
      </w:pPr>
    </w:p>
    <w:tbl>
      <w:tblPr>
        <w:tblW w:w="5937"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65"/>
        <w:gridCol w:w="3840"/>
        <w:gridCol w:w="4723"/>
      </w:tblGrid>
      <w:tr w:rsidR="004B00D0" w:rsidRPr="00472F66" w14:paraId="6D941854" w14:textId="77777777" w:rsidTr="00F31CA8">
        <w:trPr>
          <w:trHeight w:val="300"/>
          <w:jc w:val="center"/>
        </w:trPr>
        <w:tc>
          <w:tcPr>
            <w:tcW w:w="1082" w:type="pct"/>
            <w:shd w:val="clear" w:color="auto" w:fill="2F5496" w:themeFill="accent1" w:themeFillShade="BF"/>
            <w:vAlign w:val="center"/>
          </w:tcPr>
          <w:p w14:paraId="4B78CACE" w14:textId="77777777" w:rsidR="004B00D0" w:rsidRPr="00472F66" w:rsidRDefault="004B00D0" w:rsidP="00F31CA8">
            <w:pPr>
              <w:widowControl w:val="0"/>
              <w:autoSpaceDE w:val="0"/>
              <w:autoSpaceDN w:val="0"/>
              <w:adjustRightInd w:val="0"/>
              <w:spacing w:line="276" w:lineRule="auto"/>
              <w:jc w:val="center"/>
              <w:rPr>
                <w:rFonts w:ascii="Book Antiqua" w:hAnsi="Book Antiqua" w:cs="Arial"/>
                <w:b/>
                <w:color w:val="FFFFFF" w:themeColor="background1"/>
                <w:sz w:val="20"/>
                <w:szCs w:val="20"/>
                <w:lang w:val="es-ES" w:eastAsia="es-CR"/>
              </w:rPr>
            </w:pPr>
            <w:r w:rsidRPr="00472F66">
              <w:rPr>
                <w:rFonts w:ascii="Book Antiqua" w:hAnsi="Book Antiqua" w:cs="Arial"/>
                <w:b/>
                <w:color w:val="FFFFFF" w:themeColor="background1"/>
                <w:sz w:val="20"/>
                <w:szCs w:val="20"/>
                <w:lang w:val="es-ES" w:eastAsia="es-CR"/>
              </w:rPr>
              <w:t>INFORME</w:t>
            </w:r>
          </w:p>
        </w:tc>
        <w:tc>
          <w:tcPr>
            <w:tcW w:w="1757" w:type="pct"/>
            <w:shd w:val="clear" w:color="auto" w:fill="2F5496" w:themeFill="accent1" w:themeFillShade="BF"/>
            <w:vAlign w:val="center"/>
          </w:tcPr>
          <w:p w14:paraId="740923E3" w14:textId="77777777" w:rsidR="004B00D0" w:rsidRPr="00472F66" w:rsidRDefault="004B00D0" w:rsidP="00F31CA8">
            <w:pPr>
              <w:widowControl w:val="0"/>
              <w:autoSpaceDE w:val="0"/>
              <w:autoSpaceDN w:val="0"/>
              <w:adjustRightInd w:val="0"/>
              <w:spacing w:line="276" w:lineRule="auto"/>
              <w:jc w:val="center"/>
              <w:rPr>
                <w:rFonts w:ascii="Book Antiqua" w:hAnsi="Book Antiqua" w:cs="Arial"/>
                <w:b/>
                <w:color w:val="FFFFFF" w:themeColor="background1"/>
                <w:sz w:val="20"/>
                <w:szCs w:val="20"/>
                <w:lang w:val="es-ES"/>
              </w:rPr>
            </w:pPr>
            <w:r w:rsidRPr="00472F66">
              <w:rPr>
                <w:rFonts w:ascii="Book Antiqua" w:hAnsi="Book Antiqua" w:cs="Arial"/>
                <w:b/>
                <w:color w:val="FFFFFF" w:themeColor="background1"/>
                <w:sz w:val="20"/>
                <w:szCs w:val="20"/>
                <w:lang w:val="es-ES"/>
              </w:rPr>
              <w:t>NOMBRE</w:t>
            </w:r>
          </w:p>
        </w:tc>
        <w:tc>
          <w:tcPr>
            <w:tcW w:w="2161" w:type="pct"/>
            <w:shd w:val="clear" w:color="auto" w:fill="2F5496" w:themeFill="accent1" w:themeFillShade="BF"/>
            <w:vAlign w:val="center"/>
          </w:tcPr>
          <w:p w14:paraId="1DB2C09D" w14:textId="77777777" w:rsidR="004B00D0" w:rsidRPr="00472F66" w:rsidRDefault="004B00D0" w:rsidP="00F31CA8">
            <w:pPr>
              <w:widowControl w:val="0"/>
              <w:autoSpaceDE w:val="0"/>
              <w:autoSpaceDN w:val="0"/>
              <w:adjustRightInd w:val="0"/>
              <w:spacing w:line="276" w:lineRule="auto"/>
              <w:jc w:val="center"/>
              <w:rPr>
                <w:rFonts w:ascii="Book Antiqua" w:hAnsi="Book Antiqua" w:cs="Arial"/>
                <w:b/>
                <w:color w:val="FFFFFF" w:themeColor="background1"/>
                <w:sz w:val="20"/>
                <w:szCs w:val="20"/>
                <w:lang w:val="es-ES"/>
              </w:rPr>
            </w:pPr>
            <w:r w:rsidRPr="00472F66">
              <w:rPr>
                <w:rFonts w:ascii="Book Antiqua" w:hAnsi="Book Antiqua" w:cs="Arial"/>
                <w:b/>
                <w:color w:val="FFFFFF" w:themeColor="background1"/>
                <w:sz w:val="20"/>
                <w:szCs w:val="20"/>
                <w:lang w:val="es-ES"/>
              </w:rPr>
              <w:t>PUESTO</w:t>
            </w:r>
          </w:p>
        </w:tc>
      </w:tr>
      <w:tr w:rsidR="004B00D0" w:rsidRPr="00472F66" w14:paraId="47DD5D82" w14:textId="77777777" w:rsidTr="00F31CA8">
        <w:trPr>
          <w:trHeight w:val="632"/>
          <w:jc w:val="center"/>
        </w:trPr>
        <w:tc>
          <w:tcPr>
            <w:tcW w:w="1082" w:type="pct"/>
            <w:shd w:val="clear" w:color="auto" w:fill="F2F2F2"/>
            <w:vAlign w:val="center"/>
          </w:tcPr>
          <w:p w14:paraId="657651CA" w14:textId="77777777" w:rsidR="004B00D0" w:rsidRPr="00472F66" w:rsidRDefault="004B00D0" w:rsidP="00F31CA8">
            <w:pPr>
              <w:widowControl w:val="0"/>
              <w:autoSpaceDE w:val="0"/>
              <w:autoSpaceDN w:val="0"/>
              <w:adjustRightInd w:val="0"/>
              <w:spacing w:line="276" w:lineRule="auto"/>
              <w:jc w:val="center"/>
              <w:rPr>
                <w:rFonts w:ascii="Book Antiqua" w:hAnsi="Book Antiqua" w:cs="Arial"/>
                <w:b/>
                <w:color w:val="000000"/>
                <w:lang w:val="es-ES" w:eastAsia="es-CR"/>
              </w:rPr>
            </w:pPr>
            <w:r w:rsidRPr="00472F66">
              <w:rPr>
                <w:rFonts w:ascii="Book Antiqua" w:hAnsi="Book Antiqua" w:cs="Arial"/>
                <w:b/>
                <w:color w:val="000000"/>
                <w:lang w:val="es-ES" w:eastAsia="es-CR"/>
              </w:rPr>
              <w:t>Elaborado por:</w:t>
            </w:r>
          </w:p>
        </w:tc>
        <w:tc>
          <w:tcPr>
            <w:tcW w:w="1757" w:type="pct"/>
            <w:vAlign w:val="center"/>
          </w:tcPr>
          <w:p w14:paraId="76DD6333" w14:textId="693B1EEC" w:rsidR="004B00D0" w:rsidRPr="00472F66" w:rsidRDefault="004B00D0" w:rsidP="004B00D0">
            <w:pPr>
              <w:jc w:val="both"/>
              <w:rPr>
                <w:rFonts w:ascii="Book Antiqua" w:hAnsi="Book Antiqua" w:cs="Arial"/>
              </w:rPr>
            </w:pPr>
            <w:r w:rsidRPr="00472F66">
              <w:rPr>
                <w:rFonts w:ascii="Book Antiqua" w:hAnsi="Book Antiqua" w:cs="Arial"/>
              </w:rPr>
              <w:t xml:space="preserve">Licda. Karla Calvo Jiménez </w:t>
            </w:r>
          </w:p>
          <w:p w14:paraId="072C9538" w14:textId="26338028" w:rsidR="004B00D0" w:rsidRPr="00472F66" w:rsidRDefault="004B00D0" w:rsidP="00F31CA8">
            <w:pPr>
              <w:widowControl w:val="0"/>
              <w:autoSpaceDE w:val="0"/>
              <w:autoSpaceDN w:val="0"/>
              <w:adjustRightInd w:val="0"/>
              <w:spacing w:line="276" w:lineRule="auto"/>
              <w:rPr>
                <w:rFonts w:ascii="Book Antiqua" w:hAnsi="Book Antiqua" w:cs="Arial"/>
                <w:lang w:val="es-ES"/>
              </w:rPr>
            </w:pPr>
          </w:p>
        </w:tc>
        <w:tc>
          <w:tcPr>
            <w:tcW w:w="2161" w:type="pct"/>
            <w:vAlign w:val="center"/>
          </w:tcPr>
          <w:p w14:paraId="546528DC" w14:textId="77777777" w:rsidR="004B00D0" w:rsidRPr="00472F66" w:rsidRDefault="004B00D0" w:rsidP="00F31CA8">
            <w:pPr>
              <w:widowControl w:val="0"/>
              <w:autoSpaceDE w:val="0"/>
              <w:autoSpaceDN w:val="0"/>
              <w:adjustRightInd w:val="0"/>
              <w:spacing w:line="276" w:lineRule="auto"/>
              <w:rPr>
                <w:rFonts w:ascii="Book Antiqua" w:hAnsi="Book Antiqua" w:cs="Arial"/>
                <w:lang w:val="es-ES"/>
              </w:rPr>
            </w:pPr>
            <w:r w:rsidRPr="00472F66">
              <w:rPr>
                <w:rFonts w:ascii="Book Antiqua" w:hAnsi="Book Antiqua" w:cs="Arial"/>
                <w:lang w:val="es-ES"/>
              </w:rPr>
              <w:t>Profesional 2</w:t>
            </w:r>
          </w:p>
        </w:tc>
      </w:tr>
      <w:tr w:rsidR="004B00D0" w:rsidRPr="00472F66" w14:paraId="08721C80" w14:textId="77777777" w:rsidTr="00F31CA8">
        <w:trPr>
          <w:trHeight w:val="632"/>
          <w:jc w:val="center"/>
        </w:trPr>
        <w:tc>
          <w:tcPr>
            <w:tcW w:w="1082" w:type="pct"/>
            <w:shd w:val="clear" w:color="auto" w:fill="F2F2F2"/>
            <w:vAlign w:val="center"/>
          </w:tcPr>
          <w:p w14:paraId="1259190C" w14:textId="77777777" w:rsidR="004B00D0" w:rsidRPr="00472F66" w:rsidRDefault="004B00D0" w:rsidP="00F31CA8">
            <w:pPr>
              <w:widowControl w:val="0"/>
              <w:autoSpaceDE w:val="0"/>
              <w:autoSpaceDN w:val="0"/>
              <w:adjustRightInd w:val="0"/>
              <w:spacing w:line="276" w:lineRule="auto"/>
              <w:ind w:right="-114"/>
              <w:jc w:val="center"/>
              <w:rPr>
                <w:rFonts w:ascii="Book Antiqua" w:hAnsi="Book Antiqua" w:cs="Arial"/>
                <w:b/>
                <w:color w:val="000000"/>
                <w:lang w:val="es-ES" w:eastAsia="es-CR"/>
              </w:rPr>
            </w:pPr>
            <w:r w:rsidRPr="00472F66">
              <w:rPr>
                <w:rFonts w:ascii="Book Antiqua" w:hAnsi="Book Antiqua" w:cs="Arial"/>
                <w:b/>
                <w:color w:val="000000"/>
                <w:lang w:val="es-ES" w:eastAsia="es-CR"/>
              </w:rPr>
              <w:t>Revisado por:   /             En coordinación con:</w:t>
            </w:r>
          </w:p>
        </w:tc>
        <w:tc>
          <w:tcPr>
            <w:tcW w:w="1757" w:type="pct"/>
            <w:vAlign w:val="center"/>
          </w:tcPr>
          <w:p w14:paraId="7F22AC82" w14:textId="0EE63DBC" w:rsidR="004B00D0" w:rsidRPr="00472F66" w:rsidRDefault="00117DFD" w:rsidP="00F31CA8">
            <w:pPr>
              <w:widowControl w:val="0"/>
              <w:autoSpaceDE w:val="0"/>
              <w:autoSpaceDN w:val="0"/>
              <w:adjustRightInd w:val="0"/>
              <w:spacing w:line="276" w:lineRule="auto"/>
              <w:rPr>
                <w:rFonts w:ascii="Book Antiqua" w:hAnsi="Book Antiqua" w:cs="Arial"/>
                <w:lang w:val="es-ES"/>
              </w:rPr>
            </w:pPr>
            <w:r>
              <w:rPr>
                <w:rFonts w:ascii="Book Antiqua" w:hAnsi="Book Antiqua" w:cs="Arial"/>
              </w:rPr>
              <w:t>L</w:t>
            </w:r>
            <w:r w:rsidR="004B00D0" w:rsidRPr="00472F66">
              <w:rPr>
                <w:rFonts w:ascii="Book Antiqua" w:hAnsi="Book Antiqua" w:cs="Arial"/>
              </w:rPr>
              <w:t>icda. Melissa Mesén Trejos</w:t>
            </w:r>
          </w:p>
        </w:tc>
        <w:tc>
          <w:tcPr>
            <w:tcW w:w="2161" w:type="pct"/>
            <w:vAlign w:val="center"/>
          </w:tcPr>
          <w:p w14:paraId="7040FE8B" w14:textId="55640807" w:rsidR="004B00D0" w:rsidRPr="00472F66" w:rsidRDefault="004B00D0" w:rsidP="00F31CA8">
            <w:pPr>
              <w:widowControl w:val="0"/>
              <w:autoSpaceDE w:val="0"/>
              <w:autoSpaceDN w:val="0"/>
              <w:adjustRightInd w:val="0"/>
              <w:spacing w:line="276" w:lineRule="auto"/>
              <w:rPr>
                <w:rFonts w:ascii="Book Antiqua" w:hAnsi="Book Antiqua" w:cs="Arial"/>
                <w:lang w:val="es-ES"/>
              </w:rPr>
            </w:pPr>
            <w:r w:rsidRPr="00472F66">
              <w:rPr>
                <w:rFonts w:ascii="Book Antiqua" w:hAnsi="Book Antiqua" w:cs="Arial"/>
                <w:lang w:val="es-ES"/>
              </w:rPr>
              <w:t>Coordinador</w:t>
            </w:r>
            <w:r w:rsidR="00472F66" w:rsidRPr="00472F66">
              <w:rPr>
                <w:rFonts w:ascii="Book Antiqua" w:hAnsi="Book Antiqua" w:cs="Arial"/>
                <w:lang w:val="es-ES"/>
              </w:rPr>
              <w:t>a</w:t>
            </w:r>
            <w:r w:rsidRPr="00472F66">
              <w:rPr>
                <w:rFonts w:ascii="Book Antiqua" w:hAnsi="Book Antiqua" w:cs="Arial"/>
                <w:lang w:val="es-ES"/>
              </w:rPr>
              <w:t xml:space="preserve"> de Unidad</w:t>
            </w:r>
          </w:p>
        </w:tc>
      </w:tr>
      <w:tr w:rsidR="004B00D0" w:rsidRPr="00472F66" w14:paraId="087AA0F9" w14:textId="77777777" w:rsidTr="00F31CA8">
        <w:trPr>
          <w:trHeight w:val="632"/>
          <w:jc w:val="center"/>
        </w:trPr>
        <w:tc>
          <w:tcPr>
            <w:tcW w:w="1082" w:type="pct"/>
            <w:shd w:val="clear" w:color="auto" w:fill="F2F2F2"/>
            <w:vAlign w:val="center"/>
          </w:tcPr>
          <w:p w14:paraId="1CBC13AC" w14:textId="77777777" w:rsidR="004B00D0" w:rsidRPr="00472F66" w:rsidRDefault="004B00D0" w:rsidP="00F31CA8">
            <w:pPr>
              <w:widowControl w:val="0"/>
              <w:autoSpaceDE w:val="0"/>
              <w:autoSpaceDN w:val="0"/>
              <w:adjustRightInd w:val="0"/>
              <w:spacing w:line="276" w:lineRule="auto"/>
              <w:jc w:val="center"/>
              <w:rPr>
                <w:rFonts w:ascii="Book Antiqua" w:hAnsi="Book Antiqua" w:cs="Arial"/>
                <w:b/>
                <w:color w:val="000000"/>
                <w:lang w:val="es-ES" w:eastAsia="es-CR"/>
              </w:rPr>
            </w:pPr>
            <w:r w:rsidRPr="00472F66">
              <w:rPr>
                <w:rFonts w:ascii="Book Antiqua" w:hAnsi="Book Antiqua" w:cs="Arial"/>
                <w:b/>
                <w:color w:val="000000"/>
                <w:lang w:val="es-ES" w:eastAsia="es-CR"/>
              </w:rPr>
              <w:t>Aprobado por:</w:t>
            </w:r>
          </w:p>
        </w:tc>
        <w:tc>
          <w:tcPr>
            <w:tcW w:w="1757" w:type="pct"/>
            <w:vAlign w:val="center"/>
          </w:tcPr>
          <w:p w14:paraId="764B77A9" w14:textId="2F24A228" w:rsidR="004B00D0" w:rsidRPr="00472F66" w:rsidRDefault="004B00D0" w:rsidP="00F31CA8">
            <w:pPr>
              <w:widowControl w:val="0"/>
              <w:autoSpaceDE w:val="0"/>
              <w:autoSpaceDN w:val="0"/>
              <w:adjustRightInd w:val="0"/>
              <w:spacing w:line="276" w:lineRule="auto"/>
              <w:rPr>
                <w:rFonts w:ascii="Book Antiqua" w:hAnsi="Book Antiqua" w:cs="Arial"/>
                <w:color w:val="000000"/>
                <w:lang w:val="es-ES" w:eastAsia="es-CR"/>
              </w:rPr>
            </w:pPr>
            <w:r w:rsidRPr="00472F66">
              <w:rPr>
                <w:rFonts w:ascii="Book Antiqua" w:hAnsi="Book Antiqua" w:cs="Arial"/>
                <w:color w:val="000000"/>
                <w:lang w:eastAsia="es-CR"/>
              </w:rPr>
              <w:t>Inga. Elena Gabriela Picado González</w:t>
            </w:r>
          </w:p>
        </w:tc>
        <w:tc>
          <w:tcPr>
            <w:tcW w:w="2161" w:type="pct"/>
            <w:vAlign w:val="center"/>
          </w:tcPr>
          <w:p w14:paraId="483A87DA" w14:textId="6EC46717" w:rsidR="004B00D0" w:rsidRPr="00472F66" w:rsidRDefault="004B00D0" w:rsidP="00F31CA8">
            <w:pPr>
              <w:widowControl w:val="0"/>
              <w:autoSpaceDE w:val="0"/>
              <w:autoSpaceDN w:val="0"/>
              <w:adjustRightInd w:val="0"/>
              <w:spacing w:line="276" w:lineRule="auto"/>
              <w:rPr>
                <w:rFonts w:ascii="Book Antiqua" w:hAnsi="Book Antiqua" w:cs="Arial"/>
                <w:color w:val="000000"/>
                <w:lang w:val="es-ES" w:eastAsia="es-CR"/>
              </w:rPr>
            </w:pPr>
            <w:r w:rsidRPr="00472F66">
              <w:rPr>
                <w:rFonts w:ascii="Book Antiqua" w:hAnsi="Book Antiqua" w:cs="Arial"/>
                <w:color w:val="000000"/>
                <w:lang w:val="es-ES" w:eastAsia="es-CR"/>
              </w:rPr>
              <w:t>Jef</w:t>
            </w:r>
            <w:r w:rsidR="00117DFD">
              <w:rPr>
                <w:rFonts w:ascii="Book Antiqua" w:hAnsi="Book Antiqua" w:cs="Arial"/>
                <w:color w:val="000000"/>
                <w:lang w:val="es-ES" w:eastAsia="es-CR"/>
              </w:rPr>
              <w:t>a a.i.</w:t>
            </w:r>
            <w:r w:rsidRPr="00472F66">
              <w:rPr>
                <w:rFonts w:ascii="Book Antiqua" w:hAnsi="Book Antiqua" w:cs="Arial"/>
                <w:color w:val="000000"/>
                <w:lang w:val="es-ES" w:eastAsia="es-CR"/>
              </w:rPr>
              <w:t xml:space="preserve">  Subproceso de </w:t>
            </w:r>
            <w:r w:rsidR="00472F66" w:rsidRPr="00472F66">
              <w:rPr>
                <w:rFonts w:ascii="Book Antiqua" w:hAnsi="Book Antiqua" w:cs="Arial"/>
                <w:color w:val="000000"/>
                <w:lang w:val="es-ES" w:eastAsia="es-CR"/>
              </w:rPr>
              <w:t>Evaluación</w:t>
            </w:r>
          </w:p>
        </w:tc>
      </w:tr>
      <w:tr w:rsidR="004B00D0" w:rsidRPr="00472F66" w14:paraId="13F5A697" w14:textId="77777777" w:rsidTr="00F31CA8">
        <w:trPr>
          <w:trHeight w:val="510"/>
          <w:jc w:val="center"/>
        </w:trPr>
        <w:tc>
          <w:tcPr>
            <w:tcW w:w="1082" w:type="pct"/>
            <w:shd w:val="clear" w:color="auto" w:fill="F2F2F2"/>
            <w:vAlign w:val="center"/>
          </w:tcPr>
          <w:p w14:paraId="637E1DB6" w14:textId="77777777" w:rsidR="004B00D0" w:rsidRPr="00472F66" w:rsidRDefault="004B00D0" w:rsidP="00F31CA8">
            <w:pPr>
              <w:widowControl w:val="0"/>
              <w:autoSpaceDE w:val="0"/>
              <w:autoSpaceDN w:val="0"/>
              <w:adjustRightInd w:val="0"/>
              <w:spacing w:line="276" w:lineRule="auto"/>
              <w:jc w:val="center"/>
              <w:rPr>
                <w:rFonts w:ascii="Book Antiqua" w:hAnsi="Book Antiqua" w:cs="Arial"/>
                <w:b/>
                <w:color w:val="000000"/>
                <w:lang w:val="es-ES" w:eastAsia="es-CR"/>
              </w:rPr>
            </w:pPr>
            <w:r w:rsidRPr="00472F66">
              <w:rPr>
                <w:rFonts w:ascii="Book Antiqua" w:hAnsi="Book Antiqua" w:cs="Arial"/>
                <w:b/>
                <w:color w:val="000000"/>
                <w:lang w:val="es-ES" w:eastAsia="es-CR"/>
              </w:rPr>
              <w:t>Visto Bueno:</w:t>
            </w:r>
          </w:p>
        </w:tc>
        <w:tc>
          <w:tcPr>
            <w:tcW w:w="1757" w:type="pct"/>
            <w:vAlign w:val="center"/>
          </w:tcPr>
          <w:p w14:paraId="7846C43A" w14:textId="166BF98A" w:rsidR="004B00D0" w:rsidRPr="00472F66" w:rsidRDefault="00472F66" w:rsidP="00F31CA8">
            <w:pPr>
              <w:widowControl w:val="0"/>
              <w:autoSpaceDE w:val="0"/>
              <w:autoSpaceDN w:val="0"/>
              <w:adjustRightInd w:val="0"/>
              <w:spacing w:line="276" w:lineRule="auto"/>
              <w:rPr>
                <w:rFonts w:ascii="Book Antiqua" w:hAnsi="Book Antiqua" w:cs="Arial"/>
                <w:lang w:val="es-ES" w:eastAsia="es-CR"/>
              </w:rPr>
            </w:pPr>
            <w:r w:rsidRPr="00472F66">
              <w:rPr>
                <w:rFonts w:ascii="Book Antiqua" w:hAnsi="Book Antiqua"/>
                <w:lang w:eastAsia="es-CR"/>
              </w:rPr>
              <w:t>Máster Erick Antonio Mora Leiva</w:t>
            </w:r>
          </w:p>
        </w:tc>
        <w:tc>
          <w:tcPr>
            <w:tcW w:w="2161" w:type="pct"/>
            <w:vAlign w:val="center"/>
          </w:tcPr>
          <w:p w14:paraId="4DE2E19A" w14:textId="7456267A" w:rsidR="004B00D0" w:rsidRPr="00472F66" w:rsidRDefault="004B00D0" w:rsidP="00F31CA8">
            <w:pPr>
              <w:widowControl w:val="0"/>
              <w:autoSpaceDE w:val="0"/>
              <w:autoSpaceDN w:val="0"/>
              <w:adjustRightInd w:val="0"/>
              <w:spacing w:line="276" w:lineRule="auto"/>
              <w:rPr>
                <w:rFonts w:ascii="Book Antiqua" w:hAnsi="Book Antiqua" w:cs="Arial"/>
                <w:color w:val="000000"/>
                <w:lang w:val="es-ES" w:eastAsia="es-CR"/>
              </w:rPr>
            </w:pPr>
            <w:r w:rsidRPr="00472F66">
              <w:rPr>
                <w:rFonts w:ascii="Book Antiqua" w:hAnsi="Book Antiqua" w:cs="Arial"/>
                <w:lang w:val="es-ES" w:eastAsia="es-CR"/>
              </w:rPr>
              <w:t xml:space="preserve">Jefe Proceso </w:t>
            </w:r>
            <w:r w:rsidR="00472F66" w:rsidRPr="00472F66">
              <w:rPr>
                <w:rFonts w:ascii="Book Antiqua" w:hAnsi="Book Antiqua" w:cs="Arial"/>
                <w:lang w:val="es-ES" w:eastAsia="es-CR"/>
              </w:rPr>
              <w:t>Planeación y Evaluación</w:t>
            </w:r>
          </w:p>
        </w:tc>
      </w:tr>
    </w:tbl>
    <w:p w14:paraId="5204B9EF" w14:textId="77777777" w:rsidR="004B00D0" w:rsidRPr="005D5FB2" w:rsidRDefault="004B00D0" w:rsidP="004B00D0">
      <w:pPr>
        <w:widowControl w:val="0"/>
        <w:autoSpaceDE w:val="0"/>
        <w:autoSpaceDN w:val="0"/>
        <w:adjustRightInd w:val="0"/>
        <w:rPr>
          <w:rFonts w:ascii="Arial" w:hAnsi="Arial" w:cs="Arial"/>
          <w:lang w:val="es-ES"/>
        </w:rPr>
      </w:pPr>
    </w:p>
    <w:p w14:paraId="70DD7F4C" w14:textId="5275AAE7" w:rsidR="00A51396" w:rsidRPr="000B4845" w:rsidRDefault="004C54E1" w:rsidP="00320D32">
      <w:pPr>
        <w:tabs>
          <w:tab w:val="left" w:pos="2260"/>
        </w:tabs>
        <w:rPr>
          <w:rFonts w:ascii="Arial Narrow" w:hAnsi="Arial Narrow" w:cs="Arial"/>
        </w:rPr>
      </w:pPr>
      <w:r>
        <w:rPr>
          <w:rFonts w:ascii="Arial Narrow" w:eastAsia="Calibri" w:hAnsi="Arial Narrow"/>
          <w:szCs w:val="28"/>
          <w:lang w:eastAsia="en-US"/>
        </w:rPr>
        <w:tab/>
      </w:r>
      <w:bookmarkStart w:id="353" w:name="_Toc52979170"/>
      <w:bookmarkStart w:id="354" w:name="_Toc52979171"/>
      <w:bookmarkStart w:id="355" w:name="_Toc52979172"/>
      <w:bookmarkStart w:id="356" w:name="_Toc52979173"/>
      <w:bookmarkStart w:id="357" w:name="_Toc52979174"/>
      <w:bookmarkStart w:id="358" w:name="_Toc52979176"/>
      <w:bookmarkStart w:id="359" w:name="_Toc52979177"/>
      <w:bookmarkStart w:id="360" w:name="_Toc52979234"/>
      <w:bookmarkStart w:id="361" w:name="_Toc52979235"/>
      <w:bookmarkStart w:id="362" w:name="_Toc52979236"/>
      <w:bookmarkEnd w:id="353"/>
      <w:bookmarkEnd w:id="354"/>
      <w:bookmarkEnd w:id="355"/>
      <w:bookmarkEnd w:id="356"/>
      <w:bookmarkEnd w:id="357"/>
      <w:bookmarkEnd w:id="358"/>
      <w:bookmarkEnd w:id="359"/>
      <w:bookmarkEnd w:id="360"/>
      <w:bookmarkEnd w:id="361"/>
      <w:bookmarkEnd w:id="362"/>
    </w:p>
    <w:sectPr w:rsidR="00A51396" w:rsidRPr="000B4845" w:rsidSect="00EA4FFC">
      <w:headerReference w:type="even" r:id="rId140"/>
      <w:headerReference w:type="default" r:id="rId141"/>
      <w:footerReference w:type="even" r:id="rId142"/>
      <w:footerReference w:type="default" r:id="rId143"/>
      <w:headerReference w:type="first" r:id="rId144"/>
      <w:pgSz w:w="12242" w:h="15842" w:code="1"/>
      <w:pgMar w:top="719" w:right="1469" w:bottom="719" w:left="156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4DFFEA" w14:textId="77777777" w:rsidR="00D75A72" w:rsidRDefault="00D75A72" w:rsidP="00067C87">
      <w:r>
        <w:separator/>
      </w:r>
    </w:p>
  </w:endnote>
  <w:endnote w:type="continuationSeparator" w:id="0">
    <w:p w14:paraId="6A2E3967" w14:textId="77777777" w:rsidR="00D75A72" w:rsidRDefault="00D75A72" w:rsidP="00067C87">
      <w:r>
        <w:continuationSeparator/>
      </w:r>
    </w:p>
  </w:endnote>
  <w:endnote w:type="continuationNotice" w:id="1">
    <w:p w14:paraId="3127C6E2" w14:textId="77777777" w:rsidR="00D75A72" w:rsidRDefault="00D75A7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Liberation Serif">
    <w:panose1 w:val="02020603050405020304"/>
    <w:charset w:val="00"/>
    <w:family w:val="roman"/>
    <w:pitch w:val="variable"/>
    <w:sig w:usb0="E0000AFF" w:usb1="500078FF" w:usb2="00000021" w:usb3="00000000" w:csb0="000001BF" w:csb1="00000000"/>
  </w:font>
  <w:font w:name="NSimSun">
    <w:panose1 w:val="02010609030101010101"/>
    <w:charset w:val="86"/>
    <w:family w:val="modern"/>
    <w:pitch w:val="fixed"/>
    <w:sig w:usb0="0000028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Bookman Old Style">
    <w:panose1 w:val="02050604050505020204"/>
    <w:charset w:val="00"/>
    <w:family w:val="roman"/>
    <w:pitch w:val="variable"/>
    <w:sig w:usb0="00000287" w:usb1="00000000" w:usb2="00000000" w:usb3="00000000" w:csb0="0000009F" w:csb1="00000000"/>
  </w:font>
  <w:font w:name="Yu Mincho">
    <w:charset w:val="80"/>
    <w:family w:val="roman"/>
    <w:pitch w:val="variable"/>
    <w:sig w:usb0="800002E7" w:usb1="2AC7FCFF" w:usb2="00000012" w:usb3="00000000" w:csb0="0002009F" w:csb1="00000000"/>
  </w:font>
  <w:font w:name="Webdings">
    <w:panose1 w:val="05030102010509060703"/>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CDA9E1" w14:textId="77777777" w:rsidR="00D75A72" w:rsidRDefault="00D75A72" w:rsidP="0075408A">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6BFAC45F" w14:textId="77777777" w:rsidR="00D75A72" w:rsidRDefault="00D75A72" w:rsidP="003F6BA5">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0E4856" w14:textId="2DC03D00" w:rsidR="00D75A72" w:rsidRDefault="00D75A72" w:rsidP="0075408A">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298</w:t>
    </w:r>
    <w:r>
      <w:rPr>
        <w:rStyle w:val="Nmerodepgina"/>
      </w:rPr>
      <w:fldChar w:fldCharType="end"/>
    </w:r>
  </w:p>
  <w:p w14:paraId="0CF9C4A4" w14:textId="77777777" w:rsidR="00D75A72" w:rsidRDefault="00D75A72" w:rsidP="00AF696C">
    <w:pPr>
      <w:pBdr>
        <w:top w:val="single" w:sz="4" w:space="1" w:color="auto"/>
      </w:pBdr>
      <w:jc w:val="center"/>
      <w:rPr>
        <w:rFonts w:ascii="Book Antiqua" w:hAnsi="Book Antiqua"/>
        <w:b/>
        <w:bCs/>
        <w:color w:val="000000"/>
      </w:rPr>
    </w:pPr>
    <w:r w:rsidRPr="00AF696C">
      <w:rPr>
        <w:rFonts w:ascii="Book Antiqua" w:hAnsi="Book Antiqua"/>
        <w:b/>
        <w:bCs/>
        <w:color w:val="000000"/>
      </w:rPr>
      <w:t>Trabajamos por el desarrollo de la administración de justicia</w:t>
    </w:r>
  </w:p>
  <w:p w14:paraId="64F9804C" w14:textId="77777777" w:rsidR="00D75A72" w:rsidRPr="00AF696C" w:rsidRDefault="00D75A72" w:rsidP="00AF696C">
    <w:pPr>
      <w:pBdr>
        <w:top w:val="single" w:sz="4" w:space="1" w:color="auto"/>
      </w:pBdr>
      <w:jc w:val="center"/>
      <w:rPr>
        <w:rFonts w:ascii="Book Antiqua" w:hAnsi="Book Antiqua"/>
        <w:b/>
        <w:bCs/>
        <w:color w:val="000000"/>
      </w:rPr>
    </w:pPr>
    <w:r w:rsidRPr="00AF696C">
      <w:rPr>
        <w:rFonts w:ascii="Book Antiqua" w:hAnsi="Book Antiqua"/>
        <w:b/>
        <w:bCs/>
        <w:color w:val="000000"/>
      </w:rPr>
      <w:t>con proyección e innovación</w:t>
    </w:r>
  </w:p>
  <w:p w14:paraId="52BBD0B4" w14:textId="77777777" w:rsidR="00D75A72" w:rsidRDefault="00D75A72" w:rsidP="00AF696C">
    <w:pPr>
      <w:pStyle w:val="Piedep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C86AFC" w14:textId="77777777" w:rsidR="00D75A72" w:rsidRDefault="00D75A72" w:rsidP="00067C87">
      <w:r>
        <w:separator/>
      </w:r>
    </w:p>
  </w:footnote>
  <w:footnote w:type="continuationSeparator" w:id="0">
    <w:p w14:paraId="663B6A53" w14:textId="77777777" w:rsidR="00D75A72" w:rsidRDefault="00D75A72" w:rsidP="00067C87">
      <w:r>
        <w:continuationSeparator/>
      </w:r>
    </w:p>
  </w:footnote>
  <w:footnote w:type="continuationNotice" w:id="1">
    <w:p w14:paraId="6E5CA735" w14:textId="77777777" w:rsidR="00D75A72" w:rsidRDefault="00D75A7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91C4A7" w14:textId="59486A47" w:rsidR="00D75A72" w:rsidRDefault="00D75A72">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F658F8" w14:textId="4A220B05" w:rsidR="00D75A72" w:rsidRPr="001D7A5E" w:rsidRDefault="00D75A72" w:rsidP="001D7A5E">
    <w:pPr>
      <w:tabs>
        <w:tab w:val="center" w:pos="8804"/>
        <w:tab w:val="right" w:pos="8875"/>
      </w:tabs>
      <w:jc w:val="center"/>
      <w:rPr>
        <w:rFonts w:ascii="Book Antiqua" w:hAnsi="Book Antiqua" w:cs="Book Antiqua"/>
        <w:i/>
        <w:iCs/>
        <w:sz w:val="18"/>
        <w:szCs w:val="18"/>
      </w:rPr>
    </w:pPr>
    <w:r w:rsidRPr="596C5A54">
      <w:rPr>
        <w:rFonts w:ascii="Book Antiqua" w:hAnsi="Book Antiqua" w:cs="Book Antiqua"/>
        <w:i/>
        <w:iCs/>
        <w:sz w:val="18"/>
        <w:szCs w:val="18"/>
      </w:rPr>
      <w:t>Dirección de Planificación</w:t>
    </w:r>
    <w:r>
      <w:rPr>
        <w:noProof/>
        <w:lang w:val="es-CR" w:eastAsia="es-CR"/>
      </w:rPr>
      <w:drawing>
        <wp:inline distT="0" distB="0" distL="0" distR="0" wp14:anchorId="32978112" wp14:editId="40ABC00A">
          <wp:extent cx="314325" cy="409575"/>
          <wp:effectExtent l="0" t="0" r="9525"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1"/>
                  <pic:cNvPicPr/>
                </pic:nvPicPr>
                <pic:blipFill>
                  <a:blip r:embed="rId1">
                    <a:extLst>
                      <a:ext uri="{28A0092B-C50C-407E-A947-70E740481C1C}">
                        <a14:useLocalDpi xmlns:a14="http://schemas.microsoft.com/office/drawing/2010/main" val="0"/>
                      </a:ext>
                    </a:extLst>
                  </a:blip>
                  <a:stretch>
                    <a:fillRect/>
                  </a:stretch>
                </pic:blipFill>
                <pic:spPr>
                  <a:xfrm>
                    <a:off x="0" y="0"/>
                    <a:ext cx="314325" cy="409575"/>
                  </a:xfrm>
                  <a:prstGeom prst="rect">
                    <a:avLst/>
                  </a:prstGeom>
                </pic:spPr>
              </pic:pic>
            </a:graphicData>
          </a:graphic>
        </wp:inline>
      </w:drawing>
    </w:r>
  </w:p>
  <w:p w14:paraId="5DBFF50A" w14:textId="1FC64DEF" w:rsidR="00D75A72" w:rsidRPr="001D7A5E" w:rsidRDefault="00D75A72" w:rsidP="001D7A5E">
    <w:pPr>
      <w:tabs>
        <w:tab w:val="center" w:pos="4252"/>
        <w:tab w:val="right" w:pos="8875"/>
      </w:tabs>
      <w:jc w:val="center"/>
      <w:rPr>
        <w:rFonts w:ascii="Book Antiqua" w:hAnsi="Book Antiqua" w:cs="Book Antiqua"/>
        <w:i/>
        <w:iCs/>
        <w:sz w:val="18"/>
        <w:szCs w:val="18"/>
      </w:rPr>
    </w:pPr>
    <w:r w:rsidRPr="001D7A5E">
      <w:rPr>
        <w:rFonts w:ascii="Book Antiqua" w:hAnsi="Book Antiqua" w:cs="Book Antiqua"/>
        <w:i/>
        <w:iCs/>
        <w:sz w:val="18"/>
        <w:szCs w:val="18"/>
      </w:rPr>
      <w:t>San José - Costa Rica</w:t>
    </w:r>
  </w:p>
  <w:p w14:paraId="28285D65" w14:textId="6DC945AF" w:rsidR="00D75A72" w:rsidRPr="001D7A5E" w:rsidRDefault="00CE3A15" w:rsidP="001D7A5E">
    <w:pPr>
      <w:tabs>
        <w:tab w:val="center" w:pos="4252"/>
        <w:tab w:val="right" w:pos="8504"/>
      </w:tabs>
      <w:jc w:val="center"/>
      <w:rPr>
        <w:rFonts w:ascii="Times New Roman" w:hAnsi="Times New Roman"/>
        <w:sz w:val="20"/>
        <w:szCs w:val="20"/>
        <w:lang w:val="en-US"/>
      </w:rPr>
    </w:pPr>
    <w:r w:rsidRPr="001D7A5E">
      <w:rPr>
        <w:rFonts w:ascii="Book Antiqua" w:hAnsi="Book Antiqua" w:cs="Book Antiqua"/>
        <w:i/>
        <w:iCs/>
        <w:sz w:val="18"/>
        <w:szCs w:val="18"/>
        <w:lang w:val="en-US"/>
      </w:rPr>
      <w:t>Tel</w:t>
    </w:r>
    <w:r w:rsidR="00D75A72" w:rsidRPr="001D7A5E">
      <w:rPr>
        <w:rFonts w:ascii="Book Antiqua" w:hAnsi="Book Antiqua" w:cs="Book Antiqua"/>
        <w:i/>
        <w:iCs/>
        <w:sz w:val="18"/>
        <w:szCs w:val="18"/>
        <w:lang w:val="en-US"/>
      </w:rPr>
      <w:t>.   2295-3600 / 3599 / Apdo.  95-1003 / planificacion@poder-judicial.go.cr</w:t>
    </w:r>
  </w:p>
  <w:p w14:paraId="2F93C096" w14:textId="77777777" w:rsidR="00D75A72" w:rsidRPr="001D7A5E" w:rsidRDefault="00D75A72" w:rsidP="001D7A5E">
    <w:pPr>
      <w:pBdr>
        <w:bottom w:val="single" w:sz="6" w:space="0" w:color="auto"/>
      </w:pBdr>
      <w:spacing w:after="20"/>
      <w:jc w:val="center"/>
      <w:rPr>
        <w:rFonts w:ascii="Times New Roman" w:hAnsi="Times New Roman"/>
        <w:sz w:val="20"/>
        <w:szCs w:val="20"/>
        <w:lang w:val="en-US"/>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CA092D" w14:textId="16E48ED6" w:rsidR="00D75A72" w:rsidRDefault="00D75A72">
    <w:pPr>
      <w:pStyle w:val="Encabezado"/>
    </w:pPr>
  </w:p>
</w:hdr>
</file>

<file path=word/intelligence.xml><?xml version="1.0" encoding="utf-8"?>
<int:Intelligence xmlns:int="http://schemas.microsoft.com/office/intelligence/2019/intelligence">
  <int:IntelligenceSettings/>
  <int:Manifest>
    <int:WordHash hashCode="ZTpWQAbj4H4Lxf" id="gvY8pS3t"/>
  </int:Manifest>
  <int:Observations>
    <int:Content id="gvY8pS3t">
      <int:Rejection type="LegacyProofing"/>
    </int:Content>
  </int:Observations>
</int: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A464FD5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 w15:restartNumberingAfterBreak="0">
    <w:nsid w:val="00000002"/>
    <w:multiLevelType w:val="singleLevel"/>
    <w:tmpl w:val="00000002"/>
    <w:name w:val="WW8Num2"/>
    <w:lvl w:ilvl="0">
      <w:start w:val="1"/>
      <w:numFmt w:val="decimal"/>
      <w:lvlText w:val="%1."/>
      <w:lvlJc w:val="left"/>
      <w:pPr>
        <w:tabs>
          <w:tab w:val="num" w:pos="0"/>
        </w:tabs>
        <w:ind w:left="720" w:hanging="360"/>
      </w:pPr>
      <w:rPr>
        <w:rFonts w:cs="Calibri"/>
        <w:lang w:val="es-ES"/>
      </w:rPr>
    </w:lvl>
  </w:abstractNum>
  <w:abstractNum w:abstractNumId="2" w15:restartNumberingAfterBreak="0">
    <w:nsid w:val="01735862"/>
    <w:multiLevelType w:val="multilevel"/>
    <w:tmpl w:val="E1AC302C"/>
    <w:lvl w:ilvl="0">
      <w:start w:val="7"/>
      <w:numFmt w:val="decimal"/>
      <w:lvlText w:val="%1."/>
      <w:lvlJc w:val="left"/>
      <w:pPr>
        <w:ind w:left="488" w:hanging="488"/>
      </w:pPr>
      <w:rPr>
        <w:rFonts w:hint="default"/>
      </w:rPr>
    </w:lvl>
    <w:lvl w:ilvl="1">
      <w:start w:val="2"/>
      <w:numFmt w:val="decimal"/>
      <w:lvlText w:val="%1.%2."/>
      <w:lvlJc w:val="left"/>
      <w:pPr>
        <w:ind w:left="488" w:hanging="488"/>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29969C1"/>
    <w:multiLevelType w:val="multilevel"/>
    <w:tmpl w:val="30989A00"/>
    <w:lvl w:ilvl="0">
      <w:start w:val="1"/>
      <w:numFmt w:val="decimal"/>
      <w:lvlText w:val="%1."/>
      <w:lvlJc w:val="left"/>
      <w:pPr>
        <w:ind w:left="357" w:hanging="357"/>
      </w:pPr>
      <w:rPr>
        <w:rFonts w:hint="default"/>
      </w:rPr>
    </w:lvl>
    <w:lvl w:ilvl="1">
      <w:start w:val="1"/>
      <w:numFmt w:val="none"/>
      <w:lvlText w:val="7.1 "/>
      <w:lvlJc w:val="left"/>
      <w:pPr>
        <w:ind w:left="714" w:hanging="357"/>
      </w:pPr>
      <w:rPr>
        <w:rFonts w:hint="default"/>
      </w:rPr>
    </w:lvl>
    <w:lvl w:ilvl="2">
      <w:start w:val="1"/>
      <w:numFmt w:val="decimal"/>
      <w:lvlText w:val="%1.%2.%3."/>
      <w:lvlJc w:val="left"/>
      <w:pPr>
        <w:ind w:left="1071" w:hanging="357"/>
      </w:pPr>
      <w:rPr>
        <w:rFonts w:hint="default"/>
      </w:rPr>
    </w:lvl>
    <w:lvl w:ilvl="3">
      <w:start w:val="1"/>
      <w:numFmt w:val="decimal"/>
      <w:lvlText w:val="%1.%2.%3.%4."/>
      <w:lvlJc w:val="left"/>
      <w:pPr>
        <w:ind w:left="1428" w:hanging="357"/>
      </w:pPr>
      <w:rPr>
        <w:rFonts w:hint="default"/>
      </w:rPr>
    </w:lvl>
    <w:lvl w:ilvl="4">
      <w:start w:val="1"/>
      <w:numFmt w:val="decimal"/>
      <w:lvlText w:val="%1.%2.%3.%4.%5."/>
      <w:lvlJc w:val="left"/>
      <w:pPr>
        <w:ind w:left="1785" w:hanging="357"/>
      </w:pPr>
      <w:rPr>
        <w:rFonts w:hint="default"/>
      </w:rPr>
    </w:lvl>
    <w:lvl w:ilvl="5">
      <w:start w:val="1"/>
      <w:numFmt w:val="decimal"/>
      <w:lvlText w:val="%1.%2.%3.%4.%5.%6."/>
      <w:lvlJc w:val="left"/>
      <w:pPr>
        <w:ind w:left="2142" w:hanging="357"/>
      </w:pPr>
      <w:rPr>
        <w:rFonts w:hint="default"/>
      </w:rPr>
    </w:lvl>
    <w:lvl w:ilvl="6">
      <w:start w:val="1"/>
      <w:numFmt w:val="decimal"/>
      <w:lvlText w:val="%1.%2.%3.%4.%5.%6.%7."/>
      <w:lvlJc w:val="left"/>
      <w:pPr>
        <w:ind w:left="2499" w:hanging="357"/>
      </w:pPr>
      <w:rPr>
        <w:rFonts w:hint="default"/>
      </w:rPr>
    </w:lvl>
    <w:lvl w:ilvl="7">
      <w:start w:val="1"/>
      <w:numFmt w:val="decimal"/>
      <w:lvlText w:val="%1.%2.%3.%4.%5.%6.%7.%8."/>
      <w:lvlJc w:val="left"/>
      <w:pPr>
        <w:ind w:left="2856" w:hanging="357"/>
      </w:pPr>
      <w:rPr>
        <w:rFonts w:hint="default"/>
      </w:rPr>
    </w:lvl>
    <w:lvl w:ilvl="8">
      <w:start w:val="1"/>
      <w:numFmt w:val="decimal"/>
      <w:lvlText w:val="%1.%2.%3.%4.%5.%6.%7.%8.%9."/>
      <w:lvlJc w:val="left"/>
      <w:pPr>
        <w:ind w:left="3213" w:hanging="357"/>
      </w:pPr>
      <w:rPr>
        <w:rFonts w:hint="default"/>
      </w:rPr>
    </w:lvl>
  </w:abstractNum>
  <w:abstractNum w:abstractNumId="4" w15:restartNumberingAfterBreak="0">
    <w:nsid w:val="02EF3D2A"/>
    <w:multiLevelType w:val="hybridMultilevel"/>
    <w:tmpl w:val="FFFFFFFF"/>
    <w:lvl w:ilvl="0" w:tplc="4A9CD7D4">
      <w:start w:val="1"/>
      <w:numFmt w:val="decimal"/>
      <w:lvlText w:val="%1.."/>
      <w:lvlJc w:val="left"/>
      <w:pPr>
        <w:ind w:left="720" w:hanging="360"/>
      </w:pPr>
    </w:lvl>
    <w:lvl w:ilvl="1" w:tplc="6B40F072">
      <w:start w:val="1"/>
      <w:numFmt w:val="lowerLetter"/>
      <w:lvlText w:val="%2."/>
      <w:lvlJc w:val="left"/>
      <w:pPr>
        <w:ind w:left="1440" w:hanging="360"/>
      </w:pPr>
    </w:lvl>
    <w:lvl w:ilvl="2" w:tplc="E7B48630">
      <w:start w:val="1"/>
      <w:numFmt w:val="lowerRoman"/>
      <w:lvlText w:val="%3."/>
      <w:lvlJc w:val="right"/>
      <w:pPr>
        <w:ind w:left="2160" w:hanging="180"/>
      </w:pPr>
    </w:lvl>
    <w:lvl w:ilvl="3" w:tplc="74184A52">
      <w:start w:val="1"/>
      <w:numFmt w:val="decimal"/>
      <w:lvlText w:val="%4."/>
      <w:lvlJc w:val="left"/>
      <w:pPr>
        <w:ind w:left="2880" w:hanging="360"/>
      </w:pPr>
    </w:lvl>
    <w:lvl w:ilvl="4" w:tplc="A8B4AA5A">
      <w:start w:val="1"/>
      <w:numFmt w:val="lowerLetter"/>
      <w:lvlText w:val="%5."/>
      <w:lvlJc w:val="left"/>
      <w:pPr>
        <w:ind w:left="3600" w:hanging="360"/>
      </w:pPr>
    </w:lvl>
    <w:lvl w:ilvl="5" w:tplc="DCEE1E0C">
      <w:start w:val="1"/>
      <w:numFmt w:val="lowerRoman"/>
      <w:lvlText w:val="%6."/>
      <w:lvlJc w:val="right"/>
      <w:pPr>
        <w:ind w:left="4320" w:hanging="180"/>
      </w:pPr>
    </w:lvl>
    <w:lvl w:ilvl="6" w:tplc="0DEA3AC6">
      <w:start w:val="1"/>
      <w:numFmt w:val="decimal"/>
      <w:lvlText w:val="%7."/>
      <w:lvlJc w:val="left"/>
      <w:pPr>
        <w:ind w:left="5040" w:hanging="360"/>
      </w:pPr>
    </w:lvl>
    <w:lvl w:ilvl="7" w:tplc="36E65DAA">
      <w:start w:val="1"/>
      <w:numFmt w:val="lowerLetter"/>
      <w:lvlText w:val="%8."/>
      <w:lvlJc w:val="left"/>
      <w:pPr>
        <w:ind w:left="5760" w:hanging="360"/>
      </w:pPr>
    </w:lvl>
    <w:lvl w:ilvl="8" w:tplc="D2221028">
      <w:start w:val="1"/>
      <w:numFmt w:val="lowerRoman"/>
      <w:lvlText w:val="%9."/>
      <w:lvlJc w:val="right"/>
      <w:pPr>
        <w:ind w:left="6480" w:hanging="180"/>
      </w:pPr>
    </w:lvl>
  </w:abstractNum>
  <w:abstractNum w:abstractNumId="5" w15:restartNumberingAfterBreak="0">
    <w:nsid w:val="02FB7BAB"/>
    <w:multiLevelType w:val="multilevel"/>
    <w:tmpl w:val="72AEF9D2"/>
    <w:lvl w:ilvl="0">
      <w:start w:val="1"/>
      <w:numFmt w:val="bullet"/>
      <w:lvlText w:val=""/>
      <w:lvlJc w:val="left"/>
      <w:pPr>
        <w:ind w:left="1210" w:hanging="360"/>
      </w:pPr>
      <w:rPr>
        <w:rFonts w:ascii="Symbol" w:hAnsi="Symbol" w:hint="default"/>
        <w:color w:val="000000"/>
        <w:sz w:val="36"/>
        <w:szCs w:val="48"/>
      </w:rPr>
    </w:lvl>
    <w:lvl w:ilvl="1">
      <w:start w:val="1"/>
      <w:numFmt w:val="decimal"/>
      <w:isLgl/>
      <w:lvlText w:val="%1.%2"/>
      <w:lvlJc w:val="left"/>
      <w:pPr>
        <w:ind w:left="1099" w:hanging="390"/>
      </w:pPr>
      <w:rPr>
        <w:rFonts w:hint="default"/>
        <w:b/>
        <w:bCs/>
      </w:rPr>
    </w:lvl>
    <w:lvl w:ilvl="2">
      <w:start w:val="1"/>
      <w:numFmt w:val="decimal"/>
      <w:isLgl/>
      <w:lvlText w:val="%1.%2.%3"/>
      <w:lvlJc w:val="left"/>
      <w:pPr>
        <w:ind w:left="1429" w:hanging="720"/>
      </w:pPr>
      <w:rPr>
        <w:rFonts w:ascii="Arial Narrow" w:hAnsi="Arial Narrow"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149" w:hanging="1440"/>
      </w:pPr>
      <w:rPr>
        <w:rFonts w:hint="default"/>
      </w:rPr>
    </w:lvl>
  </w:abstractNum>
  <w:abstractNum w:abstractNumId="6" w15:restartNumberingAfterBreak="0">
    <w:nsid w:val="03433DA8"/>
    <w:multiLevelType w:val="multilevel"/>
    <w:tmpl w:val="13306C6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03FA42F3"/>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054E2713"/>
    <w:multiLevelType w:val="hybridMultilevel"/>
    <w:tmpl w:val="09345E1A"/>
    <w:lvl w:ilvl="0" w:tplc="6956683E">
      <w:start w:val="1"/>
      <w:numFmt w:val="decimal"/>
      <w:lvlText w:val="3.4.%1."/>
      <w:lvlJc w:val="left"/>
      <w:pPr>
        <w:ind w:left="1440" w:hanging="360"/>
      </w:pPr>
    </w:lvl>
    <w:lvl w:ilvl="1" w:tplc="140A0019" w:tentative="1">
      <w:start w:val="1"/>
      <w:numFmt w:val="lowerLetter"/>
      <w:lvlText w:val="%2."/>
      <w:lvlJc w:val="left"/>
      <w:pPr>
        <w:ind w:left="2160" w:hanging="360"/>
      </w:pPr>
    </w:lvl>
    <w:lvl w:ilvl="2" w:tplc="140A001B" w:tentative="1">
      <w:start w:val="1"/>
      <w:numFmt w:val="lowerRoman"/>
      <w:lvlText w:val="%3."/>
      <w:lvlJc w:val="right"/>
      <w:pPr>
        <w:ind w:left="2880" w:hanging="180"/>
      </w:pPr>
    </w:lvl>
    <w:lvl w:ilvl="3" w:tplc="140A000F" w:tentative="1">
      <w:start w:val="1"/>
      <w:numFmt w:val="decimal"/>
      <w:lvlText w:val="%4."/>
      <w:lvlJc w:val="left"/>
      <w:pPr>
        <w:ind w:left="3600" w:hanging="360"/>
      </w:pPr>
    </w:lvl>
    <w:lvl w:ilvl="4" w:tplc="140A0019" w:tentative="1">
      <w:start w:val="1"/>
      <w:numFmt w:val="lowerLetter"/>
      <w:lvlText w:val="%5."/>
      <w:lvlJc w:val="left"/>
      <w:pPr>
        <w:ind w:left="4320" w:hanging="360"/>
      </w:pPr>
    </w:lvl>
    <w:lvl w:ilvl="5" w:tplc="140A001B" w:tentative="1">
      <w:start w:val="1"/>
      <w:numFmt w:val="lowerRoman"/>
      <w:lvlText w:val="%6."/>
      <w:lvlJc w:val="right"/>
      <w:pPr>
        <w:ind w:left="5040" w:hanging="180"/>
      </w:pPr>
    </w:lvl>
    <w:lvl w:ilvl="6" w:tplc="140A000F" w:tentative="1">
      <w:start w:val="1"/>
      <w:numFmt w:val="decimal"/>
      <w:lvlText w:val="%7."/>
      <w:lvlJc w:val="left"/>
      <w:pPr>
        <w:ind w:left="5760" w:hanging="360"/>
      </w:pPr>
    </w:lvl>
    <w:lvl w:ilvl="7" w:tplc="140A0019" w:tentative="1">
      <w:start w:val="1"/>
      <w:numFmt w:val="lowerLetter"/>
      <w:lvlText w:val="%8."/>
      <w:lvlJc w:val="left"/>
      <w:pPr>
        <w:ind w:left="6480" w:hanging="360"/>
      </w:pPr>
    </w:lvl>
    <w:lvl w:ilvl="8" w:tplc="140A001B" w:tentative="1">
      <w:start w:val="1"/>
      <w:numFmt w:val="lowerRoman"/>
      <w:lvlText w:val="%9."/>
      <w:lvlJc w:val="right"/>
      <w:pPr>
        <w:ind w:left="7200" w:hanging="180"/>
      </w:pPr>
    </w:lvl>
  </w:abstractNum>
  <w:abstractNum w:abstractNumId="9" w15:restartNumberingAfterBreak="0">
    <w:nsid w:val="081C3C08"/>
    <w:multiLevelType w:val="hybridMultilevel"/>
    <w:tmpl w:val="0270C002"/>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0" w15:restartNumberingAfterBreak="0">
    <w:nsid w:val="09896F09"/>
    <w:multiLevelType w:val="multilevel"/>
    <w:tmpl w:val="3E76B394"/>
    <w:lvl w:ilvl="0">
      <w:start w:val="1"/>
      <w:numFmt w:val="none"/>
      <w:lvlText w:val="7.1.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0AAF02F3"/>
    <w:multiLevelType w:val="hybridMultilevel"/>
    <w:tmpl w:val="997A4C84"/>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2" w15:restartNumberingAfterBreak="0">
    <w:nsid w:val="0AF04743"/>
    <w:multiLevelType w:val="multilevel"/>
    <w:tmpl w:val="1570CC5C"/>
    <w:lvl w:ilvl="0">
      <w:start w:val="7"/>
      <w:numFmt w:val="decimal"/>
      <w:lvlText w:val="%1"/>
      <w:lvlJc w:val="left"/>
      <w:pPr>
        <w:ind w:left="480" w:hanging="480"/>
      </w:pPr>
      <w:rPr>
        <w:rFonts w:hint="default"/>
      </w:rPr>
    </w:lvl>
    <w:lvl w:ilvl="1">
      <w:start w:val="4"/>
      <w:numFmt w:val="decimal"/>
      <w:lvlText w:val="%1.%2"/>
      <w:lvlJc w:val="left"/>
      <w:pPr>
        <w:ind w:left="1200" w:hanging="48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3" w15:restartNumberingAfterBreak="0">
    <w:nsid w:val="0BB144FF"/>
    <w:multiLevelType w:val="multilevel"/>
    <w:tmpl w:val="FC82B910"/>
    <w:lvl w:ilvl="0">
      <w:start w:val="12"/>
      <w:numFmt w:val="decimal"/>
      <w:lvlText w:val="%1"/>
      <w:lvlJc w:val="left"/>
      <w:pPr>
        <w:ind w:left="560" w:hanging="560"/>
      </w:pPr>
      <w:rPr>
        <w:rFonts w:hint="default"/>
      </w:rPr>
    </w:lvl>
    <w:lvl w:ilvl="1">
      <w:start w:val="1"/>
      <w:numFmt w:val="decimal"/>
      <w:lvlText w:val="%1.%2"/>
      <w:lvlJc w:val="left"/>
      <w:pPr>
        <w:ind w:left="560" w:hanging="560"/>
      </w:pPr>
      <w:rPr>
        <w:rFonts w:hint="default"/>
        <w:b/>
        <w:bCs/>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4" w15:restartNumberingAfterBreak="0">
    <w:nsid w:val="0C275ECC"/>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12A2728D"/>
    <w:multiLevelType w:val="multilevel"/>
    <w:tmpl w:val="BC5E1154"/>
    <w:lvl w:ilvl="0">
      <w:start w:val="7"/>
      <w:numFmt w:val="decimal"/>
      <w:lvlText w:val="%1"/>
      <w:lvlJc w:val="left"/>
      <w:pPr>
        <w:ind w:left="450" w:hanging="450"/>
      </w:pPr>
      <w:rPr>
        <w:rFonts w:hint="default"/>
      </w:rPr>
    </w:lvl>
    <w:lvl w:ilvl="1">
      <w:start w:val="2"/>
      <w:numFmt w:val="decimal"/>
      <w:lvlText w:val="%1.%2"/>
      <w:lvlJc w:val="left"/>
      <w:pPr>
        <w:ind w:left="1170" w:hanging="45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6" w15:restartNumberingAfterBreak="0">
    <w:nsid w:val="152B49B1"/>
    <w:multiLevelType w:val="hybridMultilevel"/>
    <w:tmpl w:val="E10C2528"/>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17" w15:restartNumberingAfterBreak="0">
    <w:nsid w:val="164B5F78"/>
    <w:multiLevelType w:val="multilevel"/>
    <w:tmpl w:val="2B72401C"/>
    <w:lvl w:ilvl="0">
      <w:start w:val="1"/>
      <w:numFmt w:val="decimal"/>
      <w:lvlText w:val="%1."/>
      <w:lvlJc w:val="left"/>
      <w:pPr>
        <w:ind w:left="1210" w:hanging="360"/>
      </w:pPr>
      <w:rPr>
        <w:rFonts w:hint="default"/>
        <w:color w:val="000000"/>
        <w:sz w:val="36"/>
        <w:szCs w:val="48"/>
      </w:rPr>
    </w:lvl>
    <w:lvl w:ilvl="1">
      <w:start w:val="1"/>
      <w:numFmt w:val="decimal"/>
      <w:isLgl/>
      <w:lvlText w:val="%1.%2"/>
      <w:lvlJc w:val="left"/>
      <w:pPr>
        <w:ind w:left="1099" w:hanging="390"/>
      </w:pPr>
      <w:rPr>
        <w:rFonts w:hint="default"/>
        <w:b/>
        <w:bCs/>
      </w:rPr>
    </w:lvl>
    <w:lvl w:ilvl="2">
      <w:start w:val="1"/>
      <w:numFmt w:val="decimal"/>
      <w:isLgl/>
      <w:lvlText w:val="%1.%2.%3"/>
      <w:lvlJc w:val="left"/>
      <w:pPr>
        <w:ind w:left="1429" w:hanging="720"/>
      </w:pPr>
      <w:rPr>
        <w:rFonts w:ascii="Arial Narrow" w:hAnsi="Arial Narrow"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149" w:hanging="1440"/>
      </w:pPr>
      <w:rPr>
        <w:rFonts w:hint="default"/>
      </w:rPr>
    </w:lvl>
  </w:abstractNum>
  <w:abstractNum w:abstractNumId="18" w15:restartNumberingAfterBreak="0">
    <w:nsid w:val="1780333A"/>
    <w:multiLevelType w:val="multilevel"/>
    <w:tmpl w:val="0F66F874"/>
    <w:lvl w:ilvl="0">
      <w:start w:val="13"/>
      <w:numFmt w:val="decimal"/>
      <w:lvlText w:val="%1"/>
      <w:lvlJc w:val="left"/>
      <w:pPr>
        <w:ind w:left="560" w:hanging="560"/>
      </w:pPr>
      <w:rPr>
        <w:rFonts w:hint="default"/>
      </w:rPr>
    </w:lvl>
    <w:lvl w:ilvl="1">
      <w:start w:val="3"/>
      <w:numFmt w:val="decimal"/>
      <w:lvlText w:val="%1.%2"/>
      <w:lvlJc w:val="left"/>
      <w:pPr>
        <w:ind w:left="920" w:hanging="560"/>
      </w:pPr>
      <w:rPr>
        <w:rFonts w:hint="default"/>
      </w:rPr>
    </w:lvl>
    <w:lvl w:ilvl="2">
      <w:start w:val="1"/>
      <w:numFmt w:val="decimal"/>
      <w:lvlText w:val="%1.%2.%3"/>
      <w:lvlJc w:val="left"/>
      <w:pPr>
        <w:ind w:left="1440" w:hanging="720"/>
      </w:pPr>
      <w:rPr>
        <w:rFonts w:hint="default"/>
        <w:b/>
        <w:bCs/>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198F2703"/>
    <w:multiLevelType w:val="hybridMultilevel"/>
    <w:tmpl w:val="BAA4CDE4"/>
    <w:lvl w:ilvl="0" w:tplc="140A0011">
      <w:start w:val="1"/>
      <w:numFmt w:val="decimal"/>
      <w:lvlText w:val="%1)"/>
      <w:lvlJc w:val="left"/>
      <w:pPr>
        <w:ind w:left="1287" w:hanging="360"/>
      </w:pPr>
    </w:lvl>
    <w:lvl w:ilvl="1" w:tplc="140A0019" w:tentative="1">
      <w:start w:val="1"/>
      <w:numFmt w:val="lowerLetter"/>
      <w:lvlText w:val="%2."/>
      <w:lvlJc w:val="left"/>
      <w:pPr>
        <w:ind w:left="2007" w:hanging="360"/>
      </w:pPr>
    </w:lvl>
    <w:lvl w:ilvl="2" w:tplc="140A001B" w:tentative="1">
      <w:start w:val="1"/>
      <w:numFmt w:val="lowerRoman"/>
      <w:lvlText w:val="%3."/>
      <w:lvlJc w:val="right"/>
      <w:pPr>
        <w:ind w:left="2727" w:hanging="180"/>
      </w:pPr>
    </w:lvl>
    <w:lvl w:ilvl="3" w:tplc="140A000F" w:tentative="1">
      <w:start w:val="1"/>
      <w:numFmt w:val="decimal"/>
      <w:lvlText w:val="%4."/>
      <w:lvlJc w:val="left"/>
      <w:pPr>
        <w:ind w:left="3447" w:hanging="360"/>
      </w:pPr>
    </w:lvl>
    <w:lvl w:ilvl="4" w:tplc="140A0019" w:tentative="1">
      <w:start w:val="1"/>
      <w:numFmt w:val="lowerLetter"/>
      <w:lvlText w:val="%5."/>
      <w:lvlJc w:val="left"/>
      <w:pPr>
        <w:ind w:left="4167" w:hanging="360"/>
      </w:pPr>
    </w:lvl>
    <w:lvl w:ilvl="5" w:tplc="140A001B" w:tentative="1">
      <w:start w:val="1"/>
      <w:numFmt w:val="lowerRoman"/>
      <w:lvlText w:val="%6."/>
      <w:lvlJc w:val="right"/>
      <w:pPr>
        <w:ind w:left="4887" w:hanging="180"/>
      </w:pPr>
    </w:lvl>
    <w:lvl w:ilvl="6" w:tplc="140A000F" w:tentative="1">
      <w:start w:val="1"/>
      <w:numFmt w:val="decimal"/>
      <w:lvlText w:val="%7."/>
      <w:lvlJc w:val="left"/>
      <w:pPr>
        <w:ind w:left="5607" w:hanging="360"/>
      </w:pPr>
    </w:lvl>
    <w:lvl w:ilvl="7" w:tplc="140A0019" w:tentative="1">
      <w:start w:val="1"/>
      <w:numFmt w:val="lowerLetter"/>
      <w:lvlText w:val="%8."/>
      <w:lvlJc w:val="left"/>
      <w:pPr>
        <w:ind w:left="6327" w:hanging="360"/>
      </w:pPr>
    </w:lvl>
    <w:lvl w:ilvl="8" w:tplc="140A001B" w:tentative="1">
      <w:start w:val="1"/>
      <w:numFmt w:val="lowerRoman"/>
      <w:lvlText w:val="%9."/>
      <w:lvlJc w:val="right"/>
      <w:pPr>
        <w:ind w:left="7047" w:hanging="180"/>
      </w:pPr>
    </w:lvl>
  </w:abstractNum>
  <w:abstractNum w:abstractNumId="20" w15:restartNumberingAfterBreak="0">
    <w:nsid w:val="1CF21A12"/>
    <w:multiLevelType w:val="hybridMultilevel"/>
    <w:tmpl w:val="C6901EB0"/>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1" w15:restartNumberingAfterBreak="0">
    <w:nsid w:val="1DC2490D"/>
    <w:multiLevelType w:val="hybridMultilevel"/>
    <w:tmpl w:val="74ECF3DA"/>
    <w:lvl w:ilvl="0" w:tplc="BA12F658">
      <w:start w:val="1"/>
      <w:numFmt w:val="bullet"/>
      <w:lvlText w:val="•"/>
      <w:lvlJc w:val="left"/>
      <w:pPr>
        <w:tabs>
          <w:tab w:val="num" w:pos="720"/>
        </w:tabs>
        <w:ind w:left="720" w:hanging="360"/>
      </w:pPr>
      <w:rPr>
        <w:rFonts w:ascii="Arial" w:hAnsi="Arial" w:hint="default"/>
      </w:rPr>
    </w:lvl>
    <w:lvl w:ilvl="1" w:tplc="0F8A7DFE" w:tentative="1">
      <w:start w:val="1"/>
      <w:numFmt w:val="bullet"/>
      <w:lvlText w:val="•"/>
      <w:lvlJc w:val="left"/>
      <w:pPr>
        <w:tabs>
          <w:tab w:val="num" w:pos="1440"/>
        </w:tabs>
        <w:ind w:left="1440" w:hanging="360"/>
      </w:pPr>
      <w:rPr>
        <w:rFonts w:ascii="Arial" w:hAnsi="Arial" w:hint="default"/>
      </w:rPr>
    </w:lvl>
    <w:lvl w:ilvl="2" w:tplc="0F68551C" w:tentative="1">
      <w:start w:val="1"/>
      <w:numFmt w:val="bullet"/>
      <w:lvlText w:val="•"/>
      <w:lvlJc w:val="left"/>
      <w:pPr>
        <w:tabs>
          <w:tab w:val="num" w:pos="2160"/>
        </w:tabs>
        <w:ind w:left="2160" w:hanging="360"/>
      </w:pPr>
      <w:rPr>
        <w:rFonts w:ascii="Arial" w:hAnsi="Arial" w:hint="default"/>
      </w:rPr>
    </w:lvl>
    <w:lvl w:ilvl="3" w:tplc="AD424BD4" w:tentative="1">
      <w:start w:val="1"/>
      <w:numFmt w:val="bullet"/>
      <w:lvlText w:val="•"/>
      <w:lvlJc w:val="left"/>
      <w:pPr>
        <w:tabs>
          <w:tab w:val="num" w:pos="2880"/>
        </w:tabs>
        <w:ind w:left="2880" w:hanging="360"/>
      </w:pPr>
      <w:rPr>
        <w:rFonts w:ascii="Arial" w:hAnsi="Arial" w:hint="default"/>
      </w:rPr>
    </w:lvl>
    <w:lvl w:ilvl="4" w:tplc="966C41AA" w:tentative="1">
      <w:start w:val="1"/>
      <w:numFmt w:val="bullet"/>
      <w:lvlText w:val="•"/>
      <w:lvlJc w:val="left"/>
      <w:pPr>
        <w:tabs>
          <w:tab w:val="num" w:pos="3600"/>
        </w:tabs>
        <w:ind w:left="3600" w:hanging="360"/>
      </w:pPr>
      <w:rPr>
        <w:rFonts w:ascii="Arial" w:hAnsi="Arial" w:hint="default"/>
      </w:rPr>
    </w:lvl>
    <w:lvl w:ilvl="5" w:tplc="71C63162" w:tentative="1">
      <w:start w:val="1"/>
      <w:numFmt w:val="bullet"/>
      <w:lvlText w:val="•"/>
      <w:lvlJc w:val="left"/>
      <w:pPr>
        <w:tabs>
          <w:tab w:val="num" w:pos="4320"/>
        </w:tabs>
        <w:ind w:left="4320" w:hanging="360"/>
      </w:pPr>
      <w:rPr>
        <w:rFonts w:ascii="Arial" w:hAnsi="Arial" w:hint="default"/>
      </w:rPr>
    </w:lvl>
    <w:lvl w:ilvl="6" w:tplc="0C4286F4" w:tentative="1">
      <w:start w:val="1"/>
      <w:numFmt w:val="bullet"/>
      <w:lvlText w:val="•"/>
      <w:lvlJc w:val="left"/>
      <w:pPr>
        <w:tabs>
          <w:tab w:val="num" w:pos="5040"/>
        </w:tabs>
        <w:ind w:left="5040" w:hanging="360"/>
      </w:pPr>
      <w:rPr>
        <w:rFonts w:ascii="Arial" w:hAnsi="Arial" w:hint="default"/>
      </w:rPr>
    </w:lvl>
    <w:lvl w:ilvl="7" w:tplc="D676172C" w:tentative="1">
      <w:start w:val="1"/>
      <w:numFmt w:val="bullet"/>
      <w:lvlText w:val="•"/>
      <w:lvlJc w:val="left"/>
      <w:pPr>
        <w:tabs>
          <w:tab w:val="num" w:pos="5760"/>
        </w:tabs>
        <w:ind w:left="5760" w:hanging="360"/>
      </w:pPr>
      <w:rPr>
        <w:rFonts w:ascii="Arial" w:hAnsi="Arial" w:hint="default"/>
      </w:rPr>
    </w:lvl>
    <w:lvl w:ilvl="8" w:tplc="32A0A2A8"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1DED3AC5"/>
    <w:multiLevelType w:val="hybridMultilevel"/>
    <w:tmpl w:val="C590A83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 w15:restartNumberingAfterBreak="0">
    <w:nsid w:val="1E07223D"/>
    <w:multiLevelType w:val="hybridMultilevel"/>
    <w:tmpl w:val="4DC4BD48"/>
    <w:lvl w:ilvl="0" w:tplc="FFFFFFFF">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 w15:restartNumberingAfterBreak="0">
    <w:nsid w:val="1FB649A4"/>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21AC0C15"/>
    <w:multiLevelType w:val="multilevel"/>
    <w:tmpl w:val="A38E0A2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none"/>
      <w:lvlText w:val="7.1.1."/>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221A07D0"/>
    <w:multiLevelType w:val="multilevel"/>
    <w:tmpl w:val="2206CC5A"/>
    <w:lvl w:ilvl="0">
      <w:start w:val="7"/>
      <w:numFmt w:val="decimal"/>
      <w:lvlText w:val="%1"/>
      <w:lvlJc w:val="left"/>
      <w:pPr>
        <w:ind w:left="450" w:hanging="450"/>
      </w:pPr>
      <w:rPr>
        <w:rFonts w:hint="default"/>
      </w:rPr>
    </w:lvl>
    <w:lvl w:ilvl="1">
      <w:start w:val="1"/>
      <w:numFmt w:val="decimal"/>
      <w:lvlText w:val="%1.%2"/>
      <w:lvlJc w:val="left"/>
      <w:pPr>
        <w:ind w:left="1170" w:hanging="45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27" w15:restartNumberingAfterBreak="0">
    <w:nsid w:val="22FB24A8"/>
    <w:multiLevelType w:val="hybridMultilevel"/>
    <w:tmpl w:val="7A5C859C"/>
    <w:lvl w:ilvl="0" w:tplc="18A498E8">
      <w:start w:val="1"/>
      <w:numFmt w:val="bullet"/>
      <w:lvlText w:val=""/>
      <w:lvlJc w:val="left"/>
      <w:pPr>
        <w:ind w:left="720" w:hanging="360"/>
      </w:pPr>
      <w:rPr>
        <w:rFonts w:ascii="Symbol" w:hAnsi="Symbol" w:hint="default"/>
        <w:sz w:val="24"/>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8" w15:restartNumberingAfterBreak="0">
    <w:nsid w:val="2493630D"/>
    <w:multiLevelType w:val="hybridMultilevel"/>
    <w:tmpl w:val="612E8DB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9" w15:restartNumberingAfterBreak="0">
    <w:nsid w:val="28C126C2"/>
    <w:multiLevelType w:val="hybridMultilevel"/>
    <w:tmpl w:val="1B3E6F3C"/>
    <w:lvl w:ilvl="0" w:tplc="C772EF68">
      <w:start w:val="1"/>
      <w:numFmt w:val="bullet"/>
      <w:lvlText w:val="•"/>
      <w:lvlJc w:val="left"/>
      <w:pPr>
        <w:tabs>
          <w:tab w:val="num" w:pos="720"/>
        </w:tabs>
        <w:ind w:left="720" w:hanging="360"/>
      </w:pPr>
      <w:rPr>
        <w:rFonts w:ascii="Arial" w:hAnsi="Arial" w:hint="default"/>
      </w:rPr>
    </w:lvl>
    <w:lvl w:ilvl="1" w:tplc="E6FAC080" w:tentative="1">
      <w:start w:val="1"/>
      <w:numFmt w:val="bullet"/>
      <w:lvlText w:val="•"/>
      <w:lvlJc w:val="left"/>
      <w:pPr>
        <w:tabs>
          <w:tab w:val="num" w:pos="1440"/>
        </w:tabs>
        <w:ind w:left="1440" w:hanging="360"/>
      </w:pPr>
      <w:rPr>
        <w:rFonts w:ascii="Arial" w:hAnsi="Arial" w:hint="default"/>
      </w:rPr>
    </w:lvl>
    <w:lvl w:ilvl="2" w:tplc="8DF6936E" w:tentative="1">
      <w:start w:val="1"/>
      <w:numFmt w:val="bullet"/>
      <w:lvlText w:val="•"/>
      <w:lvlJc w:val="left"/>
      <w:pPr>
        <w:tabs>
          <w:tab w:val="num" w:pos="2160"/>
        </w:tabs>
        <w:ind w:left="2160" w:hanging="360"/>
      </w:pPr>
      <w:rPr>
        <w:rFonts w:ascii="Arial" w:hAnsi="Arial" w:hint="default"/>
      </w:rPr>
    </w:lvl>
    <w:lvl w:ilvl="3" w:tplc="8BA6CAB2" w:tentative="1">
      <w:start w:val="1"/>
      <w:numFmt w:val="bullet"/>
      <w:lvlText w:val="•"/>
      <w:lvlJc w:val="left"/>
      <w:pPr>
        <w:tabs>
          <w:tab w:val="num" w:pos="2880"/>
        </w:tabs>
        <w:ind w:left="2880" w:hanging="360"/>
      </w:pPr>
      <w:rPr>
        <w:rFonts w:ascii="Arial" w:hAnsi="Arial" w:hint="default"/>
      </w:rPr>
    </w:lvl>
    <w:lvl w:ilvl="4" w:tplc="A3F20412" w:tentative="1">
      <w:start w:val="1"/>
      <w:numFmt w:val="bullet"/>
      <w:lvlText w:val="•"/>
      <w:lvlJc w:val="left"/>
      <w:pPr>
        <w:tabs>
          <w:tab w:val="num" w:pos="3600"/>
        </w:tabs>
        <w:ind w:left="3600" w:hanging="360"/>
      </w:pPr>
      <w:rPr>
        <w:rFonts w:ascii="Arial" w:hAnsi="Arial" w:hint="default"/>
      </w:rPr>
    </w:lvl>
    <w:lvl w:ilvl="5" w:tplc="91D879F0" w:tentative="1">
      <w:start w:val="1"/>
      <w:numFmt w:val="bullet"/>
      <w:lvlText w:val="•"/>
      <w:lvlJc w:val="left"/>
      <w:pPr>
        <w:tabs>
          <w:tab w:val="num" w:pos="4320"/>
        </w:tabs>
        <w:ind w:left="4320" w:hanging="360"/>
      </w:pPr>
      <w:rPr>
        <w:rFonts w:ascii="Arial" w:hAnsi="Arial" w:hint="default"/>
      </w:rPr>
    </w:lvl>
    <w:lvl w:ilvl="6" w:tplc="60F075C8" w:tentative="1">
      <w:start w:val="1"/>
      <w:numFmt w:val="bullet"/>
      <w:lvlText w:val="•"/>
      <w:lvlJc w:val="left"/>
      <w:pPr>
        <w:tabs>
          <w:tab w:val="num" w:pos="5040"/>
        </w:tabs>
        <w:ind w:left="5040" w:hanging="360"/>
      </w:pPr>
      <w:rPr>
        <w:rFonts w:ascii="Arial" w:hAnsi="Arial" w:hint="default"/>
      </w:rPr>
    </w:lvl>
    <w:lvl w:ilvl="7" w:tplc="19AEAE4C" w:tentative="1">
      <w:start w:val="1"/>
      <w:numFmt w:val="bullet"/>
      <w:lvlText w:val="•"/>
      <w:lvlJc w:val="left"/>
      <w:pPr>
        <w:tabs>
          <w:tab w:val="num" w:pos="5760"/>
        </w:tabs>
        <w:ind w:left="5760" w:hanging="360"/>
      </w:pPr>
      <w:rPr>
        <w:rFonts w:ascii="Arial" w:hAnsi="Arial" w:hint="default"/>
      </w:rPr>
    </w:lvl>
    <w:lvl w:ilvl="8" w:tplc="3AA685C6"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2B6E5BF8"/>
    <w:multiLevelType w:val="hybridMultilevel"/>
    <w:tmpl w:val="0980F0E8"/>
    <w:lvl w:ilvl="0" w:tplc="140A0001">
      <w:start w:val="1"/>
      <w:numFmt w:val="bullet"/>
      <w:lvlText w:val=""/>
      <w:lvlJc w:val="left"/>
      <w:pPr>
        <w:ind w:left="1287" w:hanging="360"/>
      </w:pPr>
      <w:rPr>
        <w:rFonts w:ascii="Symbol" w:hAnsi="Symbol" w:hint="default"/>
      </w:rPr>
    </w:lvl>
    <w:lvl w:ilvl="1" w:tplc="140A0003" w:tentative="1">
      <w:start w:val="1"/>
      <w:numFmt w:val="bullet"/>
      <w:lvlText w:val="o"/>
      <w:lvlJc w:val="left"/>
      <w:pPr>
        <w:ind w:left="2007" w:hanging="360"/>
      </w:pPr>
      <w:rPr>
        <w:rFonts w:ascii="Courier New" w:hAnsi="Courier New" w:cs="Courier New" w:hint="default"/>
      </w:rPr>
    </w:lvl>
    <w:lvl w:ilvl="2" w:tplc="140A0005" w:tentative="1">
      <w:start w:val="1"/>
      <w:numFmt w:val="bullet"/>
      <w:lvlText w:val=""/>
      <w:lvlJc w:val="left"/>
      <w:pPr>
        <w:ind w:left="2727" w:hanging="360"/>
      </w:pPr>
      <w:rPr>
        <w:rFonts w:ascii="Wingdings" w:hAnsi="Wingdings" w:hint="default"/>
      </w:rPr>
    </w:lvl>
    <w:lvl w:ilvl="3" w:tplc="140A0001" w:tentative="1">
      <w:start w:val="1"/>
      <w:numFmt w:val="bullet"/>
      <w:lvlText w:val=""/>
      <w:lvlJc w:val="left"/>
      <w:pPr>
        <w:ind w:left="3447" w:hanging="360"/>
      </w:pPr>
      <w:rPr>
        <w:rFonts w:ascii="Symbol" w:hAnsi="Symbol" w:hint="default"/>
      </w:rPr>
    </w:lvl>
    <w:lvl w:ilvl="4" w:tplc="140A0003" w:tentative="1">
      <w:start w:val="1"/>
      <w:numFmt w:val="bullet"/>
      <w:lvlText w:val="o"/>
      <w:lvlJc w:val="left"/>
      <w:pPr>
        <w:ind w:left="4167" w:hanging="360"/>
      </w:pPr>
      <w:rPr>
        <w:rFonts w:ascii="Courier New" w:hAnsi="Courier New" w:cs="Courier New" w:hint="default"/>
      </w:rPr>
    </w:lvl>
    <w:lvl w:ilvl="5" w:tplc="140A0005" w:tentative="1">
      <w:start w:val="1"/>
      <w:numFmt w:val="bullet"/>
      <w:lvlText w:val=""/>
      <w:lvlJc w:val="left"/>
      <w:pPr>
        <w:ind w:left="4887" w:hanging="360"/>
      </w:pPr>
      <w:rPr>
        <w:rFonts w:ascii="Wingdings" w:hAnsi="Wingdings" w:hint="default"/>
      </w:rPr>
    </w:lvl>
    <w:lvl w:ilvl="6" w:tplc="140A0001" w:tentative="1">
      <w:start w:val="1"/>
      <w:numFmt w:val="bullet"/>
      <w:lvlText w:val=""/>
      <w:lvlJc w:val="left"/>
      <w:pPr>
        <w:ind w:left="5607" w:hanging="360"/>
      </w:pPr>
      <w:rPr>
        <w:rFonts w:ascii="Symbol" w:hAnsi="Symbol" w:hint="default"/>
      </w:rPr>
    </w:lvl>
    <w:lvl w:ilvl="7" w:tplc="140A0003" w:tentative="1">
      <w:start w:val="1"/>
      <w:numFmt w:val="bullet"/>
      <w:lvlText w:val="o"/>
      <w:lvlJc w:val="left"/>
      <w:pPr>
        <w:ind w:left="6327" w:hanging="360"/>
      </w:pPr>
      <w:rPr>
        <w:rFonts w:ascii="Courier New" w:hAnsi="Courier New" w:cs="Courier New" w:hint="default"/>
      </w:rPr>
    </w:lvl>
    <w:lvl w:ilvl="8" w:tplc="140A0005" w:tentative="1">
      <w:start w:val="1"/>
      <w:numFmt w:val="bullet"/>
      <w:lvlText w:val=""/>
      <w:lvlJc w:val="left"/>
      <w:pPr>
        <w:ind w:left="7047" w:hanging="360"/>
      </w:pPr>
      <w:rPr>
        <w:rFonts w:ascii="Wingdings" w:hAnsi="Wingdings" w:hint="default"/>
      </w:rPr>
    </w:lvl>
  </w:abstractNum>
  <w:abstractNum w:abstractNumId="31" w15:restartNumberingAfterBreak="0">
    <w:nsid w:val="2C167238"/>
    <w:multiLevelType w:val="hybridMultilevel"/>
    <w:tmpl w:val="19C84F30"/>
    <w:lvl w:ilvl="0" w:tplc="6638F766">
      <w:start w:val="1"/>
      <w:numFmt w:val="bullet"/>
      <w:lvlText w:val="o"/>
      <w:lvlJc w:val="left"/>
      <w:pPr>
        <w:ind w:left="720" w:hanging="360"/>
      </w:pPr>
      <w:rPr>
        <w:rFonts w:ascii="Symbol" w:hAnsi="Symbol" w:hint="default"/>
      </w:rPr>
    </w:lvl>
    <w:lvl w:ilvl="1" w:tplc="867E1196">
      <w:start w:val="1"/>
      <w:numFmt w:val="bullet"/>
      <w:lvlText w:val="o"/>
      <w:lvlJc w:val="left"/>
      <w:pPr>
        <w:ind w:left="1440" w:hanging="360"/>
      </w:pPr>
      <w:rPr>
        <w:rFonts w:ascii="Courier New" w:hAnsi="Courier New" w:hint="default"/>
      </w:rPr>
    </w:lvl>
    <w:lvl w:ilvl="2" w:tplc="1DA6F00C">
      <w:start w:val="1"/>
      <w:numFmt w:val="bullet"/>
      <w:lvlText w:val=""/>
      <w:lvlJc w:val="left"/>
      <w:pPr>
        <w:ind w:left="2160" w:hanging="360"/>
      </w:pPr>
      <w:rPr>
        <w:rFonts w:ascii="Wingdings" w:hAnsi="Wingdings" w:hint="default"/>
      </w:rPr>
    </w:lvl>
    <w:lvl w:ilvl="3" w:tplc="A49EF006">
      <w:start w:val="1"/>
      <w:numFmt w:val="bullet"/>
      <w:lvlText w:val=""/>
      <w:lvlJc w:val="left"/>
      <w:pPr>
        <w:ind w:left="2880" w:hanging="360"/>
      </w:pPr>
      <w:rPr>
        <w:rFonts w:ascii="Symbol" w:hAnsi="Symbol" w:hint="default"/>
      </w:rPr>
    </w:lvl>
    <w:lvl w:ilvl="4" w:tplc="C1E280CC">
      <w:start w:val="1"/>
      <w:numFmt w:val="bullet"/>
      <w:lvlText w:val="o"/>
      <w:lvlJc w:val="left"/>
      <w:pPr>
        <w:ind w:left="3600" w:hanging="360"/>
      </w:pPr>
      <w:rPr>
        <w:rFonts w:ascii="Courier New" w:hAnsi="Courier New" w:hint="default"/>
      </w:rPr>
    </w:lvl>
    <w:lvl w:ilvl="5" w:tplc="98069790">
      <w:start w:val="1"/>
      <w:numFmt w:val="bullet"/>
      <w:lvlText w:val=""/>
      <w:lvlJc w:val="left"/>
      <w:pPr>
        <w:ind w:left="4320" w:hanging="360"/>
      </w:pPr>
      <w:rPr>
        <w:rFonts w:ascii="Wingdings" w:hAnsi="Wingdings" w:hint="default"/>
      </w:rPr>
    </w:lvl>
    <w:lvl w:ilvl="6" w:tplc="151EA8B8">
      <w:start w:val="1"/>
      <w:numFmt w:val="bullet"/>
      <w:lvlText w:val=""/>
      <w:lvlJc w:val="left"/>
      <w:pPr>
        <w:ind w:left="5040" w:hanging="360"/>
      </w:pPr>
      <w:rPr>
        <w:rFonts w:ascii="Symbol" w:hAnsi="Symbol" w:hint="default"/>
      </w:rPr>
    </w:lvl>
    <w:lvl w:ilvl="7" w:tplc="38347BA2">
      <w:start w:val="1"/>
      <w:numFmt w:val="bullet"/>
      <w:lvlText w:val="o"/>
      <w:lvlJc w:val="left"/>
      <w:pPr>
        <w:ind w:left="5760" w:hanging="360"/>
      </w:pPr>
      <w:rPr>
        <w:rFonts w:ascii="Courier New" w:hAnsi="Courier New" w:hint="default"/>
      </w:rPr>
    </w:lvl>
    <w:lvl w:ilvl="8" w:tplc="7704396E">
      <w:start w:val="1"/>
      <w:numFmt w:val="bullet"/>
      <w:lvlText w:val=""/>
      <w:lvlJc w:val="left"/>
      <w:pPr>
        <w:ind w:left="6480" w:hanging="360"/>
      </w:pPr>
      <w:rPr>
        <w:rFonts w:ascii="Wingdings" w:hAnsi="Wingdings" w:hint="default"/>
      </w:rPr>
    </w:lvl>
  </w:abstractNum>
  <w:abstractNum w:abstractNumId="32" w15:restartNumberingAfterBreak="0">
    <w:nsid w:val="2DBC489A"/>
    <w:multiLevelType w:val="multilevel"/>
    <w:tmpl w:val="BD2CBFB8"/>
    <w:lvl w:ilvl="0">
      <w:start w:val="1"/>
      <w:numFmt w:val="decimal"/>
      <w:pStyle w:val="Ttulo1"/>
      <w:lvlText w:val="%1."/>
      <w:lvlJc w:val="left"/>
      <w:pPr>
        <w:ind w:left="1800" w:hanging="360"/>
      </w:pPr>
      <w:rPr>
        <w:rFonts w:hint="default"/>
      </w:rPr>
    </w:lvl>
    <w:lvl w:ilvl="1">
      <w:start w:val="1"/>
      <w:numFmt w:val="decimal"/>
      <w:pStyle w:val="Ttulo2"/>
      <w:isLgl/>
      <w:lvlText w:val="%1.%2"/>
      <w:lvlJc w:val="left"/>
      <w:pPr>
        <w:ind w:left="1920" w:hanging="480"/>
      </w:pPr>
      <w:rPr>
        <w:rFonts w:hint="default"/>
      </w:rPr>
    </w:lvl>
    <w:lvl w:ilvl="2">
      <w:start w:val="1"/>
      <w:numFmt w:val="none"/>
      <w:isLgl/>
      <w:lvlText w:val="7.2.2"/>
      <w:lvlJc w:val="left"/>
      <w:pPr>
        <w:ind w:left="216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52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2880" w:hanging="1440"/>
      </w:pPr>
      <w:rPr>
        <w:rFonts w:hint="default"/>
      </w:rPr>
    </w:lvl>
    <w:lvl w:ilvl="8">
      <w:start w:val="1"/>
      <w:numFmt w:val="decimal"/>
      <w:isLgl/>
      <w:lvlText w:val="%1.%2.%3.%4.%5.%6.%7.%8.%9"/>
      <w:lvlJc w:val="left"/>
      <w:pPr>
        <w:ind w:left="3240" w:hanging="1800"/>
      </w:pPr>
      <w:rPr>
        <w:rFonts w:hint="default"/>
      </w:rPr>
    </w:lvl>
  </w:abstractNum>
  <w:abstractNum w:abstractNumId="33" w15:restartNumberingAfterBreak="0">
    <w:nsid w:val="2EAB06E1"/>
    <w:multiLevelType w:val="hybridMultilevel"/>
    <w:tmpl w:val="2AFEDADA"/>
    <w:lvl w:ilvl="0" w:tplc="D5A0E86C">
      <w:start w:val="1"/>
      <w:numFmt w:val="decimal"/>
      <w:lvlText w:val="18.%1."/>
      <w:lvlJc w:val="left"/>
      <w:pPr>
        <w:ind w:left="720"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4" w15:restartNumberingAfterBreak="0">
    <w:nsid w:val="31F95610"/>
    <w:multiLevelType w:val="hybridMultilevel"/>
    <w:tmpl w:val="EF286BCA"/>
    <w:lvl w:ilvl="0" w:tplc="140A000D">
      <w:start w:val="1"/>
      <w:numFmt w:val="bullet"/>
      <w:lvlText w:val=""/>
      <w:lvlJc w:val="left"/>
      <w:pPr>
        <w:ind w:left="720" w:hanging="360"/>
      </w:pPr>
      <w:rPr>
        <w:rFonts w:ascii="Wingdings" w:hAnsi="Wingdings" w:cs="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5" w15:restartNumberingAfterBreak="0">
    <w:nsid w:val="3278662E"/>
    <w:multiLevelType w:val="hybridMultilevel"/>
    <w:tmpl w:val="943E95CC"/>
    <w:lvl w:ilvl="0" w:tplc="0D667CAC">
      <w:start w:val="1"/>
      <w:numFmt w:val="decimal"/>
      <w:lvlText w:val="8.%1."/>
      <w:lvlJc w:val="left"/>
      <w:pPr>
        <w:ind w:left="1287" w:hanging="360"/>
      </w:pPr>
      <w:rPr>
        <w:rFonts w:hint="default"/>
      </w:rPr>
    </w:lvl>
    <w:lvl w:ilvl="1" w:tplc="140A0019" w:tentative="1">
      <w:start w:val="1"/>
      <w:numFmt w:val="lowerLetter"/>
      <w:lvlText w:val="%2."/>
      <w:lvlJc w:val="left"/>
      <w:pPr>
        <w:ind w:left="2007" w:hanging="360"/>
      </w:pPr>
    </w:lvl>
    <w:lvl w:ilvl="2" w:tplc="140A001B" w:tentative="1">
      <w:start w:val="1"/>
      <w:numFmt w:val="lowerRoman"/>
      <w:lvlText w:val="%3."/>
      <w:lvlJc w:val="right"/>
      <w:pPr>
        <w:ind w:left="2727" w:hanging="180"/>
      </w:pPr>
    </w:lvl>
    <w:lvl w:ilvl="3" w:tplc="140A000F" w:tentative="1">
      <w:start w:val="1"/>
      <w:numFmt w:val="decimal"/>
      <w:lvlText w:val="%4."/>
      <w:lvlJc w:val="left"/>
      <w:pPr>
        <w:ind w:left="3447" w:hanging="360"/>
      </w:pPr>
    </w:lvl>
    <w:lvl w:ilvl="4" w:tplc="140A0019" w:tentative="1">
      <w:start w:val="1"/>
      <w:numFmt w:val="lowerLetter"/>
      <w:lvlText w:val="%5."/>
      <w:lvlJc w:val="left"/>
      <w:pPr>
        <w:ind w:left="4167" w:hanging="360"/>
      </w:pPr>
    </w:lvl>
    <w:lvl w:ilvl="5" w:tplc="140A001B" w:tentative="1">
      <w:start w:val="1"/>
      <w:numFmt w:val="lowerRoman"/>
      <w:lvlText w:val="%6."/>
      <w:lvlJc w:val="right"/>
      <w:pPr>
        <w:ind w:left="4887" w:hanging="180"/>
      </w:pPr>
    </w:lvl>
    <w:lvl w:ilvl="6" w:tplc="140A000F" w:tentative="1">
      <w:start w:val="1"/>
      <w:numFmt w:val="decimal"/>
      <w:lvlText w:val="%7."/>
      <w:lvlJc w:val="left"/>
      <w:pPr>
        <w:ind w:left="5607" w:hanging="360"/>
      </w:pPr>
    </w:lvl>
    <w:lvl w:ilvl="7" w:tplc="140A0019" w:tentative="1">
      <w:start w:val="1"/>
      <w:numFmt w:val="lowerLetter"/>
      <w:lvlText w:val="%8."/>
      <w:lvlJc w:val="left"/>
      <w:pPr>
        <w:ind w:left="6327" w:hanging="360"/>
      </w:pPr>
    </w:lvl>
    <w:lvl w:ilvl="8" w:tplc="140A001B" w:tentative="1">
      <w:start w:val="1"/>
      <w:numFmt w:val="lowerRoman"/>
      <w:lvlText w:val="%9."/>
      <w:lvlJc w:val="right"/>
      <w:pPr>
        <w:ind w:left="7047" w:hanging="180"/>
      </w:pPr>
    </w:lvl>
  </w:abstractNum>
  <w:abstractNum w:abstractNumId="36" w15:restartNumberingAfterBreak="0">
    <w:nsid w:val="35280413"/>
    <w:multiLevelType w:val="multilevel"/>
    <w:tmpl w:val="7392287C"/>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15:restartNumberingAfterBreak="0">
    <w:nsid w:val="37B9759E"/>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8" w15:restartNumberingAfterBreak="0">
    <w:nsid w:val="38665A20"/>
    <w:multiLevelType w:val="multilevel"/>
    <w:tmpl w:val="863C0C6C"/>
    <w:lvl w:ilvl="0">
      <w:start w:val="7"/>
      <w:numFmt w:val="decimal"/>
      <w:lvlText w:val="%1."/>
      <w:lvlJc w:val="left"/>
      <w:pPr>
        <w:ind w:left="488" w:hanging="488"/>
      </w:pPr>
      <w:rPr>
        <w:rFonts w:hint="default"/>
      </w:rPr>
    </w:lvl>
    <w:lvl w:ilvl="1">
      <w:start w:val="1"/>
      <w:numFmt w:val="decimal"/>
      <w:lvlText w:val="%1.%2."/>
      <w:lvlJc w:val="left"/>
      <w:pPr>
        <w:ind w:left="488" w:hanging="488"/>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38D92983"/>
    <w:multiLevelType w:val="hybridMultilevel"/>
    <w:tmpl w:val="58F04A36"/>
    <w:lvl w:ilvl="0" w:tplc="4E8E1612">
      <w:start w:val="1"/>
      <w:numFmt w:val="decimal"/>
      <w:lvlText w:val="%1."/>
      <w:lvlJc w:val="left"/>
      <w:pPr>
        <w:ind w:left="1440" w:hanging="360"/>
      </w:pPr>
      <w:rPr>
        <w:rFonts w:hint="default"/>
      </w:rPr>
    </w:lvl>
    <w:lvl w:ilvl="1" w:tplc="140A0019" w:tentative="1">
      <w:start w:val="1"/>
      <w:numFmt w:val="lowerLetter"/>
      <w:lvlText w:val="%2."/>
      <w:lvlJc w:val="left"/>
      <w:pPr>
        <w:ind w:left="2160" w:hanging="360"/>
      </w:pPr>
    </w:lvl>
    <w:lvl w:ilvl="2" w:tplc="140A001B" w:tentative="1">
      <w:start w:val="1"/>
      <w:numFmt w:val="lowerRoman"/>
      <w:lvlText w:val="%3."/>
      <w:lvlJc w:val="right"/>
      <w:pPr>
        <w:ind w:left="2880" w:hanging="180"/>
      </w:pPr>
    </w:lvl>
    <w:lvl w:ilvl="3" w:tplc="140A000F" w:tentative="1">
      <w:start w:val="1"/>
      <w:numFmt w:val="decimal"/>
      <w:lvlText w:val="%4."/>
      <w:lvlJc w:val="left"/>
      <w:pPr>
        <w:ind w:left="3600" w:hanging="360"/>
      </w:pPr>
    </w:lvl>
    <w:lvl w:ilvl="4" w:tplc="140A0019" w:tentative="1">
      <w:start w:val="1"/>
      <w:numFmt w:val="lowerLetter"/>
      <w:lvlText w:val="%5."/>
      <w:lvlJc w:val="left"/>
      <w:pPr>
        <w:ind w:left="4320" w:hanging="360"/>
      </w:pPr>
    </w:lvl>
    <w:lvl w:ilvl="5" w:tplc="140A001B" w:tentative="1">
      <w:start w:val="1"/>
      <w:numFmt w:val="lowerRoman"/>
      <w:lvlText w:val="%6."/>
      <w:lvlJc w:val="right"/>
      <w:pPr>
        <w:ind w:left="5040" w:hanging="180"/>
      </w:pPr>
    </w:lvl>
    <w:lvl w:ilvl="6" w:tplc="140A000F" w:tentative="1">
      <w:start w:val="1"/>
      <w:numFmt w:val="decimal"/>
      <w:lvlText w:val="%7."/>
      <w:lvlJc w:val="left"/>
      <w:pPr>
        <w:ind w:left="5760" w:hanging="360"/>
      </w:pPr>
    </w:lvl>
    <w:lvl w:ilvl="7" w:tplc="140A0019" w:tentative="1">
      <w:start w:val="1"/>
      <w:numFmt w:val="lowerLetter"/>
      <w:lvlText w:val="%8."/>
      <w:lvlJc w:val="left"/>
      <w:pPr>
        <w:ind w:left="6480" w:hanging="360"/>
      </w:pPr>
    </w:lvl>
    <w:lvl w:ilvl="8" w:tplc="140A001B" w:tentative="1">
      <w:start w:val="1"/>
      <w:numFmt w:val="lowerRoman"/>
      <w:lvlText w:val="%9."/>
      <w:lvlJc w:val="right"/>
      <w:pPr>
        <w:ind w:left="7200" w:hanging="180"/>
      </w:pPr>
    </w:lvl>
  </w:abstractNum>
  <w:abstractNum w:abstractNumId="40" w15:restartNumberingAfterBreak="0">
    <w:nsid w:val="39A76BE9"/>
    <w:multiLevelType w:val="multilevel"/>
    <w:tmpl w:val="019652C0"/>
    <w:lvl w:ilvl="0">
      <w:start w:val="13"/>
      <w:numFmt w:val="decimal"/>
      <w:lvlText w:val="%1"/>
      <w:lvlJc w:val="left"/>
      <w:pPr>
        <w:ind w:left="560" w:hanging="560"/>
      </w:pPr>
      <w:rPr>
        <w:rFonts w:hint="default"/>
      </w:rPr>
    </w:lvl>
    <w:lvl w:ilvl="1">
      <w:start w:val="2"/>
      <w:numFmt w:val="decimal"/>
      <w:lvlText w:val="%1.%2"/>
      <w:lvlJc w:val="left"/>
      <w:pPr>
        <w:ind w:left="920" w:hanging="560"/>
      </w:pPr>
      <w:rPr>
        <w:rFonts w:hint="default"/>
      </w:rPr>
    </w:lvl>
    <w:lvl w:ilvl="2">
      <w:start w:val="1"/>
      <w:numFmt w:val="decimal"/>
      <w:lvlText w:val="%1.%2.%3"/>
      <w:lvlJc w:val="left"/>
      <w:pPr>
        <w:ind w:left="1440" w:hanging="720"/>
      </w:pPr>
      <w:rPr>
        <w:rFonts w:hint="default"/>
        <w:b/>
        <w:bCs/>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41" w15:restartNumberingAfterBreak="0">
    <w:nsid w:val="3A8E2B41"/>
    <w:multiLevelType w:val="multilevel"/>
    <w:tmpl w:val="6AC47D5E"/>
    <w:lvl w:ilvl="0">
      <w:start w:val="13"/>
      <w:numFmt w:val="decimal"/>
      <w:lvlText w:val="%1"/>
      <w:lvlJc w:val="left"/>
      <w:pPr>
        <w:ind w:left="560" w:hanging="560"/>
      </w:pPr>
      <w:rPr>
        <w:rFonts w:hint="default"/>
      </w:rPr>
    </w:lvl>
    <w:lvl w:ilvl="1">
      <w:start w:val="1"/>
      <w:numFmt w:val="decimal"/>
      <w:lvlText w:val="%1.%2"/>
      <w:lvlJc w:val="left"/>
      <w:pPr>
        <w:ind w:left="560" w:hanging="56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2" w15:restartNumberingAfterBreak="0">
    <w:nsid w:val="3AC269D1"/>
    <w:multiLevelType w:val="hybridMultilevel"/>
    <w:tmpl w:val="8B52580C"/>
    <w:lvl w:ilvl="0" w:tplc="140A0001">
      <w:start w:val="1"/>
      <w:numFmt w:val="bullet"/>
      <w:lvlText w:val=""/>
      <w:lvlJc w:val="left"/>
      <w:pPr>
        <w:ind w:left="1429" w:hanging="360"/>
      </w:pPr>
      <w:rPr>
        <w:rFonts w:ascii="Symbol" w:hAnsi="Symbol" w:hint="default"/>
      </w:rPr>
    </w:lvl>
    <w:lvl w:ilvl="1" w:tplc="140A0003" w:tentative="1">
      <w:start w:val="1"/>
      <w:numFmt w:val="bullet"/>
      <w:lvlText w:val="o"/>
      <w:lvlJc w:val="left"/>
      <w:pPr>
        <w:ind w:left="2149" w:hanging="360"/>
      </w:pPr>
      <w:rPr>
        <w:rFonts w:ascii="Courier New" w:hAnsi="Courier New" w:cs="Courier New" w:hint="default"/>
      </w:rPr>
    </w:lvl>
    <w:lvl w:ilvl="2" w:tplc="140A0005" w:tentative="1">
      <w:start w:val="1"/>
      <w:numFmt w:val="bullet"/>
      <w:lvlText w:val=""/>
      <w:lvlJc w:val="left"/>
      <w:pPr>
        <w:ind w:left="2869" w:hanging="360"/>
      </w:pPr>
      <w:rPr>
        <w:rFonts w:ascii="Wingdings" w:hAnsi="Wingdings" w:hint="default"/>
      </w:rPr>
    </w:lvl>
    <w:lvl w:ilvl="3" w:tplc="140A0001" w:tentative="1">
      <w:start w:val="1"/>
      <w:numFmt w:val="bullet"/>
      <w:lvlText w:val=""/>
      <w:lvlJc w:val="left"/>
      <w:pPr>
        <w:ind w:left="3589" w:hanging="360"/>
      </w:pPr>
      <w:rPr>
        <w:rFonts w:ascii="Symbol" w:hAnsi="Symbol" w:hint="default"/>
      </w:rPr>
    </w:lvl>
    <w:lvl w:ilvl="4" w:tplc="140A0003" w:tentative="1">
      <w:start w:val="1"/>
      <w:numFmt w:val="bullet"/>
      <w:lvlText w:val="o"/>
      <w:lvlJc w:val="left"/>
      <w:pPr>
        <w:ind w:left="4309" w:hanging="360"/>
      </w:pPr>
      <w:rPr>
        <w:rFonts w:ascii="Courier New" w:hAnsi="Courier New" w:cs="Courier New" w:hint="default"/>
      </w:rPr>
    </w:lvl>
    <w:lvl w:ilvl="5" w:tplc="140A0005" w:tentative="1">
      <w:start w:val="1"/>
      <w:numFmt w:val="bullet"/>
      <w:lvlText w:val=""/>
      <w:lvlJc w:val="left"/>
      <w:pPr>
        <w:ind w:left="5029" w:hanging="360"/>
      </w:pPr>
      <w:rPr>
        <w:rFonts w:ascii="Wingdings" w:hAnsi="Wingdings" w:hint="default"/>
      </w:rPr>
    </w:lvl>
    <w:lvl w:ilvl="6" w:tplc="140A0001" w:tentative="1">
      <w:start w:val="1"/>
      <w:numFmt w:val="bullet"/>
      <w:lvlText w:val=""/>
      <w:lvlJc w:val="left"/>
      <w:pPr>
        <w:ind w:left="5749" w:hanging="360"/>
      </w:pPr>
      <w:rPr>
        <w:rFonts w:ascii="Symbol" w:hAnsi="Symbol" w:hint="default"/>
      </w:rPr>
    </w:lvl>
    <w:lvl w:ilvl="7" w:tplc="140A0003" w:tentative="1">
      <w:start w:val="1"/>
      <w:numFmt w:val="bullet"/>
      <w:lvlText w:val="o"/>
      <w:lvlJc w:val="left"/>
      <w:pPr>
        <w:ind w:left="6469" w:hanging="360"/>
      </w:pPr>
      <w:rPr>
        <w:rFonts w:ascii="Courier New" w:hAnsi="Courier New" w:cs="Courier New" w:hint="default"/>
      </w:rPr>
    </w:lvl>
    <w:lvl w:ilvl="8" w:tplc="140A0005" w:tentative="1">
      <w:start w:val="1"/>
      <w:numFmt w:val="bullet"/>
      <w:lvlText w:val=""/>
      <w:lvlJc w:val="left"/>
      <w:pPr>
        <w:ind w:left="7189" w:hanging="360"/>
      </w:pPr>
      <w:rPr>
        <w:rFonts w:ascii="Wingdings" w:hAnsi="Wingdings" w:hint="default"/>
      </w:rPr>
    </w:lvl>
  </w:abstractNum>
  <w:abstractNum w:abstractNumId="43" w15:restartNumberingAfterBreak="0">
    <w:nsid w:val="3B741E3F"/>
    <w:multiLevelType w:val="multilevel"/>
    <w:tmpl w:val="43929188"/>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4" w15:restartNumberingAfterBreak="0">
    <w:nsid w:val="3E6900C6"/>
    <w:multiLevelType w:val="hybridMultilevel"/>
    <w:tmpl w:val="FFFFFFFF"/>
    <w:lvl w:ilvl="0" w:tplc="B8F8B726">
      <w:start w:val="1"/>
      <w:numFmt w:val="bullet"/>
      <w:lvlText w:val=""/>
      <w:lvlJc w:val="left"/>
      <w:pPr>
        <w:ind w:left="720" w:hanging="360"/>
      </w:pPr>
      <w:rPr>
        <w:rFonts w:ascii="Symbol" w:hAnsi="Symbol" w:hint="default"/>
      </w:rPr>
    </w:lvl>
    <w:lvl w:ilvl="1" w:tplc="E1B0C69E">
      <w:start w:val="1"/>
      <w:numFmt w:val="bullet"/>
      <w:lvlText w:val="o"/>
      <w:lvlJc w:val="left"/>
      <w:pPr>
        <w:ind w:left="1440" w:hanging="360"/>
      </w:pPr>
      <w:rPr>
        <w:rFonts w:ascii="Courier New" w:hAnsi="Courier New" w:hint="default"/>
      </w:rPr>
    </w:lvl>
    <w:lvl w:ilvl="2" w:tplc="52D4F18A">
      <w:start w:val="1"/>
      <w:numFmt w:val="bullet"/>
      <w:lvlText w:val=""/>
      <w:lvlJc w:val="left"/>
      <w:pPr>
        <w:ind w:left="2160" w:hanging="360"/>
      </w:pPr>
      <w:rPr>
        <w:rFonts w:ascii="Wingdings" w:hAnsi="Wingdings" w:hint="default"/>
      </w:rPr>
    </w:lvl>
    <w:lvl w:ilvl="3" w:tplc="D0221F2C">
      <w:start w:val="1"/>
      <w:numFmt w:val="bullet"/>
      <w:lvlText w:val=""/>
      <w:lvlJc w:val="left"/>
      <w:pPr>
        <w:ind w:left="2880" w:hanging="360"/>
      </w:pPr>
      <w:rPr>
        <w:rFonts w:ascii="Symbol" w:hAnsi="Symbol" w:hint="default"/>
      </w:rPr>
    </w:lvl>
    <w:lvl w:ilvl="4" w:tplc="5D32B738">
      <w:start w:val="1"/>
      <w:numFmt w:val="bullet"/>
      <w:lvlText w:val="o"/>
      <w:lvlJc w:val="left"/>
      <w:pPr>
        <w:ind w:left="3600" w:hanging="360"/>
      </w:pPr>
      <w:rPr>
        <w:rFonts w:ascii="Courier New" w:hAnsi="Courier New" w:hint="default"/>
      </w:rPr>
    </w:lvl>
    <w:lvl w:ilvl="5" w:tplc="783C0228">
      <w:start w:val="1"/>
      <w:numFmt w:val="bullet"/>
      <w:lvlText w:val=""/>
      <w:lvlJc w:val="left"/>
      <w:pPr>
        <w:ind w:left="4320" w:hanging="360"/>
      </w:pPr>
      <w:rPr>
        <w:rFonts w:ascii="Wingdings" w:hAnsi="Wingdings" w:hint="default"/>
      </w:rPr>
    </w:lvl>
    <w:lvl w:ilvl="6" w:tplc="1954EA6E">
      <w:start w:val="1"/>
      <w:numFmt w:val="bullet"/>
      <w:lvlText w:val=""/>
      <w:lvlJc w:val="left"/>
      <w:pPr>
        <w:ind w:left="5040" w:hanging="360"/>
      </w:pPr>
      <w:rPr>
        <w:rFonts w:ascii="Symbol" w:hAnsi="Symbol" w:hint="default"/>
      </w:rPr>
    </w:lvl>
    <w:lvl w:ilvl="7" w:tplc="FEDE24A8">
      <w:start w:val="1"/>
      <w:numFmt w:val="bullet"/>
      <w:lvlText w:val="o"/>
      <w:lvlJc w:val="left"/>
      <w:pPr>
        <w:ind w:left="5760" w:hanging="360"/>
      </w:pPr>
      <w:rPr>
        <w:rFonts w:ascii="Courier New" w:hAnsi="Courier New" w:hint="default"/>
      </w:rPr>
    </w:lvl>
    <w:lvl w:ilvl="8" w:tplc="827AF814">
      <w:start w:val="1"/>
      <w:numFmt w:val="bullet"/>
      <w:lvlText w:val=""/>
      <w:lvlJc w:val="left"/>
      <w:pPr>
        <w:ind w:left="6480" w:hanging="360"/>
      </w:pPr>
      <w:rPr>
        <w:rFonts w:ascii="Wingdings" w:hAnsi="Wingdings" w:hint="default"/>
      </w:rPr>
    </w:lvl>
  </w:abstractNum>
  <w:abstractNum w:abstractNumId="45" w15:restartNumberingAfterBreak="0">
    <w:nsid w:val="3E993086"/>
    <w:multiLevelType w:val="multilevel"/>
    <w:tmpl w:val="7C52C086"/>
    <w:lvl w:ilvl="0">
      <w:start w:val="1"/>
      <w:numFmt w:val="decimal"/>
      <w:lvlText w:val="%1."/>
      <w:lvlJc w:val="left"/>
      <w:pPr>
        <w:ind w:left="357" w:hanging="357"/>
      </w:pPr>
      <w:rPr>
        <w:rFonts w:hint="default"/>
      </w:rPr>
    </w:lvl>
    <w:lvl w:ilvl="1">
      <w:start w:val="1"/>
      <w:numFmt w:val="none"/>
      <w:lvlText w:val="7.1 "/>
      <w:lvlJc w:val="left"/>
      <w:pPr>
        <w:ind w:left="714" w:hanging="357"/>
      </w:pPr>
      <w:rPr>
        <w:rFonts w:hint="default"/>
      </w:rPr>
    </w:lvl>
    <w:lvl w:ilvl="2">
      <w:start w:val="1"/>
      <w:numFmt w:val="decimal"/>
      <w:lvlText w:val="%1.%2.%3."/>
      <w:lvlJc w:val="left"/>
      <w:pPr>
        <w:ind w:left="1071" w:hanging="357"/>
      </w:pPr>
      <w:rPr>
        <w:rFonts w:hint="default"/>
      </w:rPr>
    </w:lvl>
    <w:lvl w:ilvl="3">
      <w:start w:val="1"/>
      <w:numFmt w:val="decimal"/>
      <w:lvlText w:val="%1.%2.%3.%4."/>
      <w:lvlJc w:val="left"/>
      <w:pPr>
        <w:ind w:left="1428" w:hanging="357"/>
      </w:pPr>
      <w:rPr>
        <w:rFonts w:hint="default"/>
      </w:rPr>
    </w:lvl>
    <w:lvl w:ilvl="4">
      <w:start w:val="1"/>
      <w:numFmt w:val="decimal"/>
      <w:lvlText w:val="%1.%2.%3.%4.%5."/>
      <w:lvlJc w:val="left"/>
      <w:pPr>
        <w:ind w:left="1785" w:hanging="357"/>
      </w:pPr>
      <w:rPr>
        <w:rFonts w:hint="default"/>
      </w:rPr>
    </w:lvl>
    <w:lvl w:ilvl="5">
      <w:start w:val="1"/>
      <w:numFmt w:val="decimal"/>
      <w:lvlText w:val="%1.%2.%3.%4.%5.%6."/>
      <w:lvlJc w:val="left"/>
      <w:pPr>
        <w:ind w:left="2142" w:hanging="357"/>
      </w:pPr>
      <w:rPr>
        <w:rFonts w:hint="default"/>
      </w:rPr>
    </w:lvl>
    <w:lvl w:ilvl="6">
      <w:start w:val="1"/>
      <w:numFmt w:val="decimal"/>
      <w:lvlText w:val="%1.%2.%3.%4.%5.%6.%7."/>
      <w:lvlJc w:val="left"/>
      <w:pPr>
        <w:ind w:left="2499" w:hanging="357"/>
      </w:pPr>
      <w:rPr>
        <w:rFonts w:hint="default"/>
      </w:rPr>
    </w:lvl>
    <w:lvl w:ilvl="7">
      <w:start w:val="1"/>
      <w:numFmt w:val="decimal"/>
      <w:lvlText w:val="%1.%2.%3.%4.%5.%6.%7.%8."/>
      <w:lvlJc w:val="left"/>
      <w:pPr>
        <w:ind w:left="2856" w:hanging="357"/>
      </w:pPr>
      <w:rPr>
        <w:rFonts w:hint="default"/>
      </w:rPr>
    </w:lvl>
    <w:lvl w:ilvl="8">
      <w:start w:val="1"/>
      <w:numFmt w:val="decimal"/>
      <w:lvlText w:val="%1.%2.%3.%4.%5.%6.%7.%8.%9."/>
      <w:lvlJc w:val="left"/>
      <w:pPr>
        <w:ind w:left="3213" w:hanging="357"/>
      </w:pPr>
      <w:rPr>
        <w:rFonts w:hint="default"/>
      </w:rPr>
    </w:lvl>
  </w:abstractNum>
  <w:abstractNum w:abstractNumId="46" w15:restartNumberingAfterBreak="0">
    <w:nsid w:val="3EC55B34"/>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7" w15:restartNumberingAfterBreak="0">
    <w:nsid w:val="3F7108C7"/>
    <w:multiLevelType w:val="hybridMultilevel"/>
    <w:tmpl w:val="FFFFFFFF"/>
    <w:lvl w:ilvl="0" w:tplc="E962E2F8">
      <w:start w:val="1"/>
      <w:numFmt w:val="decimal"/>
      <w:lvlText w:val="%1.."/>
      <w:lvlJc w:val="left"/>
      <w:pPr>
        <w:ind w:left="720" w:hanging="360"/>
      </w:pPr>
    </w:lvl>
    <w:lvl w:ilvl="1" w:tplc="DB389D4A">
      <w:start w:val="1"/>
      <w:numFmt w:val="lowerLetter"/>
      <w:lvlText w:val="%2."/>
      <w:lvlJc w:val="left"/>
      <w:pPr>
        <w:ind w:left="1440" w:hanging="360"/>
      </w:pPr>
    </w:lvl>
    <w:lvl w:ilvl="2" w:tplc="BF2ED8F4">
      <w:start w:val="1"/>
      <w:numFmt w:val="lowerRoman"/>
      <w:lvlText w:val="%3."/>
      <w:lvlJc w:val="right"/>
      <w:pPr>
        <w:ind w:left="2160" w:hanging="180"/>
      </w:pPr>
    </w:lvl>
    <w:lvl w:ilvl="3" w:tplc="B48AC502">
      <w:start w:val="1"/>
      <w:numFmt w:val="decimal"/>
      <w:lvlText w:val="%4."/>
      <w:lvlJc w:val="left"/>
      <w:pPr>
        <w:ind w:left="2880" w:hanging="360"/>
      </w:pPr>
    </w:lvl>
    <w:lvl w:ilvl="4" w:tplc="86D05516">
      <w:start w:val="1"/>
      <w:numFmt w:val="lowerLetter"/>
      <w:lvlText w:val="%5."/>
      <w:lvlJc w:val="left"/>
      <w:pPr>
        <w:ind w:left="3600" w:hanging="360"/>
      </w:pPr>
    </w:lvl>
    <w:lvl w:ilvl="5" w:tplc="C13A419C">
      <w:start w:val="1"/>
      <w:numFmt w:val="lowerRoman"/>
      <w:lvlText w:val="%6."/>
      <w:lvlJc w:val="right"/>
      <w:pPr>
        <w:ind w:left="4320" w:hanging="180"/>
      </w:pPr>
    </w:lvl>
    <w:lvl w:ilvl="6" w:tplc="741267E0">
      <w:start w:val="1"/>
      <w:numFmt w:val="decimal"/>
      <w:lvlText w:val="%7."/>
      <w:lvlJc w:val="left"/>
      <w:pPr>
        <w:ind w:left="5040" w:hanging="360"/>
      </w:pPr>
    </w:lvl>
    <w:lvl w:ilvl="7" w:tplc="5860BE00">
      <w:start w:val="1"/>
      <w:numFmt w:val="lowerLetter"/>
      <w:lvlText w:val="%8."/>
      <w:lvlJc w:val="left"/>
      <w:pPr>
        <w:ind w:left="5760" w:hanging="360"/>
      </w:pPr>
    </w:lvl>
    <w:lvl w:ilvl="8" w:tplc="A92A32F4">
      <w:start w:val="1"/>
      <w:numFmt w:val="lowerRoman"/>
      <w:lvlText w:val="%9."/>
      <w:lvlJc w:val="right"/>
      <w:pPr>
        <w:ind w:left="6480" w:hanging="180"/>
      </w:pPr>
    </w:lvl>
  </w:abstractNum>
  <w:abstractNum w:abstractNumId="48" w15:restartNumberingAfterBreak="0">
    <w:nsid w:val="401767BE"/>
    <w:multiLevelType w:val="hybridMultilevel"/>
    <w:tmpl w:val="84B48742"/>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9" w15:restartNumberingAfterBreak="0">
    <w:nsid w:val="408D2FDD"/>
    <w:multiLevelType w:val="multilevel"/>
    <w:tmpl w:val="C8AC094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43ED1B52"/>
    <w:multiLevelType w:val="multilevel"/>
    <w:tmpl w:val="6E705490"/>
    <w:lvl w:ilvl="0">
      <w:start w:val="1"/>
      <w:numFmt w:val="decimal"/>
      <w:lvlText w:val="%1."/>
      <w:lvlJc w:val="left"/>
      <w:pPr>
        <w:ind w:left="357" w:hanging="357"/>
      </w:pPr>
      <w:rPr>
        <w:rFonts w:hint="default"/>
      </w:rPr>
    </w:lvl>
    <w:lvl w:ilvl="1">
      <w:start w:val="1"/>
      <w:numFmt w:val="none"/>
      <w:lvlText w:val="7.1 "/>
      <w:lvlJc w:val="left"/>
      <w:pPr>
        <w:ind w:left="714" w:hanging="357"/>
      </w:pPr>
      <w:rPr>
        <w:rFonts w:hint="default"/>
      </w:rPr>
    </w:lvl>
    <w:lvl w:ilvl="2">
      <w:start w:val="1"/>
      <w:numFmt w:val="none"/>
      <w:lvlText w:val="7.1.1"/>
      <w:lvlJc w:val="left"/>
      <w:pPr>
        <w:ind w:left="1071" w:hanging="357"/>
      </w:pPr>
      <w:rPr>
        <w:rFonts w:hint="default"/>
      </w:rPr>
    </w:lvl>
    <w:lvl w:ilvl="3">
      <w:start w:val="1"/>
      <w:numFmt w:val="decimal"/>
      <w:lvlText w:val="%1.%2.%3.%4."/>
      <w:lvlJc w:val="left"/>
      <w:pPr>
        <w:ind w:left="1428" w:hanging="357"/>
      </w:pPr>
      <w:rPr>
        <w:rFonts w:hint="default"/>
      </w:rPr>
    </w:lvl>
    <w:lvl w:ilvl="4">
      <w:start w:val="1"/>
      <w:numFmt w:val="decimal"/>
      <w:lvlText w:val="%1.%2.%3.%4.%5."/>
      <w:lvlJc w:val="left"/>
      <w:pPr>
        <w:ind w:left="1785" w:hanging="357"/>
      </w:pPr>
      <w:rPr>
        <w:rFonts w:hint="default"/>
      </w:rPr>
    </w:lvl>
    <w:lvl w:ilvl="5">
      <w:start w:val="1"/>
      <w:numFmt w:val="decimal"/>
      <w:lvlText w:val="%1.%2.%3.%4.%5.%6."/>
      <w:lvlJc w:val="left"/>
      <w:pPr>
        <w:ind w:left="2142" w:hanging="357"/>
      </w:pPr>
      <w:rPr>
        <w:rFonts w:hint="default"/>
      </w:rPr>
    </w:lvl>
    <w:lvl w:ilvl="6">
      <w:start w:val="1"/>
      <w:numFmt w:val="decimal"/>
      <w:lvlText w:val="%1.%2.%3.%4.%5.%6.%7."/>
      <w:lvlJc w:val="left"/>
      <w:pPr>
        <w:ind w:left="2499" w:hanging="357"/>
      </w:pPr>
      <w:rPr>
        <w:rFonts w:hint="default"/>
      </w:rPr>
    </w:lvl>
    <w:lvl w:ilvl="7">
      <w:start w:val="1"/>
      <w:numFmt w:val="decimal"/>
      <w:lvlText w:val="%1.%2.%3.%4.%5.%6.%7.%8."/>
      <w:lvlJc w:val="left"/>
      <w:pPr>
        <w:ind w:left="2856" w:hanging="357"/>
      </w:pPr>
      <w:rPr>
        <w:rFonts w:hint="default"/>
      </w:rPr>
    </w:lvl>
    <w:lvl w:ilvl="8">
      <w:start w:val="1"/>
      <w:numFmt w:val="decimal"/>
      <w:lvlText w:val="%1.%2.%3.%4.%5.%6.%7.%8.%9."/>
      <w:lvlJc w:val="left"/>
      <w:pPr>
        <w:ind w:left="3213" w:hanging="357"/>
      </w:pPr>
      <w:rPr>
        <w:rFonts w:hint="default"/>
      </w:rPr>
    </w:lvl>
  </w:abstractNum>
  <w:abstractNum w:abstractNumId="51" w15:restartNumberingAfterBreak="0">
    <w:nsid w:val="45CC60B2"/>
    <w:multiLevelType w:val="hybridMultilevel"/>
    <w:tmpl w:val="D20EDE34"/>
    <w:lvl w:ilvl="0" w:tplc="FFFFFFFF">
      <w:numFmt w:val="none"/>
      <w:lvlText w:val=""/>
      <w:lvlJc w:val="left"/>
      <w:pPr>
        <w:tabs>
          <w:tab w:val="num" w:pos="360"/>
        </w:tabs>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52" w15:restartNumberingAfterBreak="0">
    <w:nsid w:val="4A2233A3"/>
    <w:multiLevelType w:val="hybridMultilevel"/>
    <w:tmpl w:val="7D78FC60"/>
    <w:lvl w:ilvl="0" w:tplc="140A0011">
      <w:start w:val="1"/>
      <w:numFmt w:val="decimal"/>
      <w:lvlText w:val="%1)"/>
      <w:lvlJc w:val="left"/>
      <w:pPr>
        <w:ind w:left="1287" w:hanging="360"/>
      </w:pPr>
    </w:lvl>
    <w:lvl w:ilvl="1" w:tplc="140A0019" w:tentative="1">
      <w:start w:val="1"/>
      <w:numFmt w:val="lowerLetter"/>
      <w:lvlText w:val="%2."/>
      <w:lvlJc w:val="left"/>
      <w:pPr>
        <w:ind w:left="2007" w:hanging="360"/>
      </w:pPr>
    </w:lvl>
    <w:lvl w:ilvl="2" w:tplc="140A001B" w:tentative="1">
      <w:start w:val="1"/>
      <w:numFmt w:val="lowerRoman"/>
      <w:lvlText w:val="%3."/>
      <w:lvlJc w:val="right"/>
      <w:pPr>
        <w:ind w:left="2727" w:hanging="180"/>
      </w:pPr>
    </w:lvl>
    <w:lvl w:ilvl="3" w:tplc="140A000F" w:tentative="1">
      <w:start w:val="1"/>
      <w:numFmt w:val="decimal"/>
      <w:lvlText w:val="%4."/>
      <w:lvlJc w:val="left"/>
      <w:pPr>
        <w:ind w:left="3447" w:hanging="360"/>
      </w:pPr>
    </w:lvl>
    <w:lvl w:ilvl="4" w:tplc="140A0019" w:tentative="1">
      <w:start w:val="1"/>
      <w:numFmt w:val="lowerLetter"/>
      <w:lvlText w:val="%5."/>
      <w:lvlJc w:val="left"/>
      <w:pPr>
        <w:ind w:left="4167" w:hanging="360"/>
      </w:pPr>
    </w:lvl>
    <w:lvl w:ilvl="5" w:tplc="140A001B" w:tentative="1">
      <w:start w:val="1"/>
      <w:numFmt w:val="lowerRoman"/>
      <w:lvlText w:val="%6."/>
      <w:lvlJc w:val="right"/>
      <w:pPr>
        <w:ind w:left="4887" w:hanging="180"/>
      </w:pPr>
    </w:lvl>
    <w:lvl w:ilvl="6" w:tplc="140A000F" w:tentative="1">
      <w:start w:val="1"/>
      <w:numFmt w:val="decimal"/>
      <w:lvlText w:val="%7."/>
      <w:lvlJc w:val="left"/>
      <w:pPr>
        <w:ind w:left="5607" w:hanging="360"/>
      </w:pPr>
    </w:lvl>
    <w:lvl w:ilvl="7" w:tplc="140A0019" w:tentative="1">
      <w:start w:val="1"/>
      <w:numFmt w:val="lowerLetter"/>
      <w:lvlText w:val="%8."/>
      <w:lvlJc w:val="left"/>
      <w:pPr>
        <w:ind w:left="6327" w:hanging="360"/>
      </w:pPr>
    </w:lvl>
    <w:lvl w:ilvl="8" w:tplc="140A001B" w:tentative="1">
      <w:start w:val="1"/>
      <w:numFmt w:val="lowerRoman"/>
      <w:lvlText w:val="%9."/>
      <w:lvlJc w:val="right"/>
      <w:pPr>
        <w:ind w:left="7047" w:hanging="180"/>
      </w:pPr>
    </w:lvl>
  </w:abstractNum>
  <w:abstractNum w:abstractNumId="53" w15:restartNumberingAfterBreak="0">
    <w:nsid w:val="4A7229FD"/>
    <w:multiLevelType w:val="hybridMultilevel"/>
    <w:tmpl w:val="FB20C368"/>
    <w:lvl w:ilvl="0" w:tplc="140A000D">
      <w:start w:val="1"/>
      <w:numFmt w:val="bullet"/>
      <w:lvlText w:val=""/>
      <w:lvlJc w:val="left"/>
      <w:pPr>
        <w:ind w:left="720" w:hanging="360"/>
      </w:pPr>
      <w:rPr>
        <w:rFonts w:ascii="Wingdings" w:hAnsi="Wingdings" w:cs="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4" w15:restartNumberingAfterBreak="0">
    <w:nsid w:val="4B37509D"/>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5" w15:restartNumberingAfterBreak="0">
    <w:nsid w:val="4EBD74B8"/>
    <w:multiLevelType w:val="hybridMultilevel"/>
    <w:tmpl w:val="052844C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6" w15:restartNumberingAfterBreak="0">
    <w:nsid w:val="4F1F0DA4"/>
    <w:multiLevelType w:val="hybridMultilevel"/>
    <w:tmpl w:val="01D6E978"/>
    <w:lvl w:ilvl="0" w:tplc="3914246C">
      <w:start w:val="1"/>
      <w:numFmt w:val="decimal"/>
      <w:lvlText w:val="%1."/>
      <w:lvlJc w:val="left"/>
      <w:pPr>
        <w:ind w:left="1570" w:hanging="360"/>
      </w:pPr>
    </w:lvl>
    <w:lvl w:ilvl="1" w:tplc="140A0019" w:tentative="1">
      <w:start w:val="1"/>
      <w:numFmt w:val="lowerLetter"/>
      <w:lvlText w:val="%2."/>
      <w:lvlJc w:val="left"/>
      <w:pPr>
        <w:ind w:left="2290" w:hanging="360"/>
      </w:pPr>
    </w:lvl>
    <w:lvl w:ilvl="2" w:tplc="140A001B" w:tentative="1">
      <w:start w:val="1"/>
      <w:numFmt w:val="lowerRoman"/>
      <w:lvlText w:val="%3."/>
      <w:lvlJc w:val="right"/>
      <w:pPr>
        <w:ind w:left="3010" w:hanging="180"/>
      </w:pPr>
    </w:lvl>
    <w:lvl w:ilvl="3" w:tplc="140A000F" w:tentative="1">
      <w:start w:val="1"/>
      <w:numFmt w:val="decimal"/>
      <w:lvlText w:val="%4."/>
      <w:lvlJc w:val="left"/>
      <w:pPr>
        <w:ind w:left="3730" w:hanging="360"/>
      </w:pPr>
    </w:lvl>
    <w:lvl w:ilvl="4" w:tplc="140A0019" w:tentative="1">
      <w:start w:val="1"/>
      <w:numFmt w:val="lowerLetter"/>
      <w:lvlText w:val="%5."/>
      <w:lvlJc w:val="left"/>
      <w:pPr>
        <w:ind w:left="4450" w:hanging="360"/>
      </w:pPr>
    </w:lvl>
    <w:lvl w:ilvl="5" w:tplc="140A001B" w:tentative="1">
      <w:start w:val="1"/>
      <w:numFmt w:val="lowerRoman"/>
      <w:lvlText w:val="%6."/>
      <w:lvlJc w:val="right"/>
      <w:pPr>
        <w:ind w:left="5170" w:hanging="180"/>
      </w:pPr>
    </w:lvl>
    <w:lvl w:ilvl="6" w:tplc="140A000F" w:tentative="1">
      <w:start w:val="1"/>
      <w:numFmt w:val="decimal"/>
      <w:lvlText w:val="%7."/>
      <w:lvlJc w:val="left"/>
      <w:pPr>
        <w:ind w:left="5890" w:hanging="360"/>
      </w:pPr>
    </w:lvl>
    <w:lvl w:ilvl="7" w:tplc="140A0019" w:tentative="1">
      <w:start w:val="1"/>
      <w:numFmt w:val="lowerLetter"/>
      <w:lvlText w:val="%8."/>
      <w:lvlJc w:val="left"/>
      <w:pPr>
        <w:ind w:left="6610" w:hanging="360"/>
      </w:pPr>
    </w:lvl>
    <w:lvl w:ilvl="8" w:tplc="140A001B" w:tentative="1">
      <w:start w:val="1"/>
      <w:numFmt w:val="lowerRoman"/>
      <w:lvlText w:val="%9."/>
      <w:lvlJc w:val="right"/>
      <w:pPr>
        <w:ind w:left="7330" w:hanging="180"/>
      </w:pPr>
    </w:lvl>
  </w:abstractNum>
  <w:abstractNum w:abstractNumId="57" w15:restartNumberingAfterBreak="0">
    <w:nsid w:val="4F287977"/>
    <w:multiLevelType w:val="hybridMultilevel"/>
    <w:tmpl w:val="4D7E6F54"/>
    <w:lvl w:ilvl="0" w:tplc="FFFFFFFF">
      <w:numFmt w:val="none"/>
      <w:lvlText w:val=""/>
      <w:lvlJc w:val="left"/>
      <w:pPr>
        <w:tabs>
          <w:tab w:val="num" w:pos="360"/>
        </w:tabs>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58" w15:restartNumberingAfterBreak="0">
    <w:nsid w:val="4FD562FA"/>
    <w:multiLevelType w:val="hybridMultilevel"/>
    <w:tmpl w:val="FFFFFFFF"/>
    <w:lvl w:ilvl="0" w:tplc="DA4E811E">
      <w:start w:val="1"/>
      <w:numFmt w:val="decimal"/>
      <w:lvlText w:val="%1."/>
      <w:lvlJc w:val="left"/>
      <w:pPr>
        <w:ind w:left="720" w:hanging="360"/>
      </w:pPr>
    </w:lvl>
    <w:lvl w:ilvl="1" w:tplc="D8E69B32">
      <w:start w:val="1"/>
      <w:numFmt w:val="lowerLetter"/>
      <w:lvlText w:val="%2."/>
      <w:lvlJc w:val="left"/>
      <w:pPr>
        <w:ind w:left="1440" w:hanging="360"/>
      </w:pPr>
    </w:lvl>
    <w:lvl w:ilvl="2" w:tplc="7B08607A">
      <w:start w:val="1"/>
      <w:numFmt w:val="lowerRoman"/>
      <w:lvlText w:val="%3."/>
      <w:lvlJc w:val="right"/>
      <w:pPr>
        <w:ind w:left="2160" w:hanging="180"/>
      </w:pPr>
    </w:lvl>
    <w:lvl w:ilvl="3" w:tplc="A92C6A9A">
      <w:start w:val="1"/>
      <w:numFmt w:val="decimal"/>
      <w:lvlText w:val="%4."/>
      <w:lvlJc w:val="left"/>
      <w:pPr>
        <w:ind w:left="2880" w:hanging="360"/>
      </w:pPr>
    </w:lvl>
    <w:lvl w:ilvl="4" w:tplc="2F121588">
      <w:start w:val="1"/>
      <w:numFmt w:val="lowerLetter"/>
      <w:lvlText w:val="%5."/>
      <w:lvlJc w:val="left"/>
      <w:pPr>
        <w:ind w:left="3600" w:hanging="360"/>
      </w:pPr>
    </w:lvl>
    <w:lvl w:ilvl="5" w:tplc="88444180">
      <w:start w:val="1"/>
      <w:numFmt w:val="lowerRoman"/>
      <w:lvlText w:val="%6."/>
      <w:lvlJc w:val="right"/>
      <w:pPr>
        <w:ind w:left="4320" w:hanging="180"/>
      </w:pPr>
    </w:lvl>
    <w:lvl w:ilvl="6" w:tplc="55B8E41E">
      <w:start w:val="1"/>
      <w:numFmt w:val="decimal"/>
      <w:lvlText w:val="%7."/>
      <w:lvlJc w:val="left"/>
      <w:pPr>
        <w:ind w:left="5040" w:hanging="360"/>
      </w:pPr>
    </w:lvl>
    <w:lvl w:ilvl="7" w:tplc="D6AE659C">
      <w:start w:val="1"/>
      <w:numFmt w:val="lowerLetter"/>
      <w:lvlText w:val="%8."/>
      <w:lvlJc w:val="left"/>
      <w:pPr>
        <w:ind w:left="5760" w:hanging="360"/>
      </w:pPr>
    </w:lvl>
    <w:lvl w:ilvl="8" w:tplc="A18E73E4">
      <w:start w:val="1"/>
      <w:numFmt w:val="lowerRoman"/>
      <w:lvlText w:val="%9."/>
      <w:lvlJc w:val="right"/>
      <w:pPr>
        <w:ind w:left="6480" w:hanging="180"/>
      </w:pPr>
    </w:lvl>
  </w:abstractNum>
  <w:abstractNum w:abstractNumId="59" w15:restartNumberingAfterBreak="0">
    <w:nsid w:val="500E7A39"/>
    <w:multiLevelType w:val="multilevel"/>
    <w:tmpl w:val="2B72401C"/>
    <w:lvl w:ilvl="0">
      <w:start w:val="1"/>
      <w:numFmt w:val="decimal"/>
      <w:lvlText w:val="%1."/>
      <w:lvlJc w:val="left"/>
      <w:pPr>
        <w:ind w:left="1210" w:hanging="360"/>
      </w:pPr>
      <w:rPr>
        <w:rFonts w:hint="default"/>
        <w:color w:val="000000"/>
        <w:sz w:val="36"/>
        <w:szCs w:val="48"/>
      </w:rPr>
    </w:lvl>
    <w:lvl w:ilvl="1">
      <w:start w:val="1"/>
      <w:numFmt w:val="decimal"/>
      <w:isLgl/>
      <w:lvlText w:val="%1.%2"/>
      <w:lvlJc w:val="left"/>
      <w:pPr>
        <w:ind w:left="1099" w:hanging="390"/>
      </w:pPr>
      <w:rPr>
        <w:rFonts w:hint="default"/>
        <w:b/>
        <w:bCs/>
      </w:rPr>
    </w:lvl>
    <w:lvl w:ilvl="2">
      <w:start w:val="1"/>
      <w:numFmt w:val="decimal"/>
      <w:isLgl/>
      <w:lvlText w:val="%1.%2.%3"/>
      <w:lvlJc w:val="left"/>
      <w:pPr>
        <w:ind w:left="1429" w:hanging="720"/>
      </w:pPr>
      <w:rPr>
        <w:rFonts w:ascii="Arial Narrow" w:hAnsi="Arial Narrow"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149" w:hanging="1440"/>
      </w:pPr>
      <w:rPr>
        <w:rFonts w:hint="default"/>
      </w:rPr>
    </w:lvl>
  </w:abstractNum>
  <w:abstractNum w:abstractNumId="60" w15:restartNumberingAfterBreak="0">
    <w:nsid w:val="503B2D7C"/>
    <w:multiLevelType w:val="hybridMultilevel"/>
    <w:tmpl w:val="33C440D6"/>
    <w:lvl w:ilvl="0" w:tplc="140A000F">
      <w:start w:val="1"/>
      <w:numFmt w:val="decimal"/>
      <w:lvlText w:val="%1."/>
      <w:lvlJc w:val="left"/>
      <w:pPr>
        <w:ind w:left="1430" w:hanging="360"/>
      </w:pPr>
    </w:lvl>
    <w:lvl w:ilvl="1" w:tplc="140A0019" w:tentative="1">
      <w:start w:val="1"/>
      <w:numFmt w:val="lowerLetter"/>
      <w:lvlText w:val="%2."/>
      <w:lvlJc w:val="left"/>
      <w:pPr>
        <w:ind w:left="2150" w:hanging="360"/>
      </w:pPr>
    </w:lvl>
    <w:lvl w:ilvl="2" w:tplc="140A001B" w:tentative="1">
      <w:start w:val="1"/>
      <w:numFmt w:val="lowerRoman"/>
      <w:lvlText w:val="%3."/>
      <w:lvlJc w:val="right"/>
      <w:pPr>
        <w:ind w:left="2870" w:hanging="180"/>
      </w:pPr>
    </w:lvl>
    <w:lvl w:ilvl="3" w:tplc="140A000F" w:tentative="1">
      <w:start w:val="1"/>
      <w:numFmt w:val="decimal"/>
      <w:lvlText w:val="%4."/>
      <w:lvlJc w:val="left"/>
      <w:pPr>
        <w:ind w:left="3590" w:hanging="360"/>
      </w:pPr>
    </w:lvl>
    <w:lvl w:ilvl="4" w:tplc="140A0019" w:tentative="1">
      <w:start w:val="1"/>
      <w:numFmt w:val="lowerLetter"/>
      <w:lvlText w:val="%5."/>
      <w:lvlJc w:val="left"/>
      <w:pPr>
        <w:ind w:left="4310" w:hanging="360"/>
      </w:pPr>
    </w:lvl>
    <w:lvl w:ilvl="5" w:tplc="140A001B" w:tentative="1">
      <w:start w:val="1"/>
      <w:numFmt w:val="lowerRoman"/>
      <w:lvlText w:val="%6."/>
      <w:lvlJc w:val="right"/>
      <w:pPr>
        <w:ind w:left="5030" w:hanging="180"/>
      </w:pPr>
    </w:lvl>
    <w:lvl w:ilvl="6" w:tplc="140A000F" w:tentative="1">
      <w:start w:val="1"/>
      <w:numFmt w:val="decimal"/>
      <w:lvlText w:val="%7."/>
      <w:lvlJc w:val="left"/>
      <w:pPr>
        <w:ind w:left="5750" w:hanging="360"/>
      </w:pPr>
    </w:lvl>
    <w:lvl w:ilvl="7" w:tplc="140A0019" w:tentative="1">
      <w:start w:val="1"/>
      <w:numFmt w:val="lowerLetter"/>
      <w:lvlText w:val="%8."/>
      <w:lvlJc w:val="left"/>
      <w:pPr>
        <w:ind w:left="6470" w:hanging="360"/>
      </w:pPr>
    </w:lvl>
    <w:lvl w:ilvl="8" w:tplc="140A001B" w:tentative="1">
      <w:start w:val="1"/>
      <w:numFmt w:val="lowerRoman"/>
      <w:lvlText w:val="%9."/>
      <w:lvlJc w:val="right"/>
      <w:pPr>
        <w:ind w:left="7190" w:hanging="180"/>
      </w:pPr>
    </w:lvl>
  </w:abstractNum>
  <w:abstractNum w:abstractNumId="61" w15:restartNumberingAfterBreak="0">
    <w:nsid w:val="504C2B87"/>
    <w:multiLevelType w:val="hybridMultilevel"/>
    <w:tmpl w:val="01E4E8AA"/>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62" w15:restartNumberingAfterBreak="0">
    <w:nsid w:val="50853887"/>
    <w:multiLevelType w:val="hybridMultilevel"/>
    <w:tmpl w:val="A7FC0F84"/>
    <w:lvl w:ilvl="0" w:tplc="BC04916E">
      <w:start w:val="1"/>
      <w:numFmt w:val="bullet"/>
      <w:lvlText w:val="•"/>
      <w:lvlJc w:val="left"/>
      <w:pPr>
        <w:tabs>
          <w:tab w:val="num" w:pos="720"/>
        </w:tabs>
        <w:ind w:left="720" w:hanging="360"/>
      </w:pPr>
      <w:rPr>
        <w:rFonts w:ascii="Arial" w:hAnsi="Arial" w:hint="default"/>
      </w:rPr>
    </w:lvl>
    <w:lvl w:ilvl="1" w:tplc="B8227660" w:tentative="1">
      <w:start w:val="1"/>
      <w:numFmt w:val="bullet"/>
      <w:lvlText w:val="•"/>
      <w:lvlJc w:val="left"/>
      <w:pPr>
        <w:tabs>
          <w:tab w:val="num" w:pos="1440"/>
        </w:tabs>
        <w:ind w:left="1440" w:hanging="360"/>
      </w:pPr>
      <w:rPr>
        <w:rFonts w:ascii="Arial" w:hAnsi="Arial" w:hint="default"/>
      </w:rPr>
    </w:lvl>
    <w:lvl w:ilvl="2" w:tplc="A654968C" w:tentative="1">
      <w:start w:val="1"/>
      <w:numFmt w:val="bullet"/>
      <w:lvlText w:val="•"/>
      <w:lvlJc w:val="left"/>
      <w:pPr>
        <w:tabs>
          <w:tab w:val="num" w:pos="2160"/>
        </w:tabs>
        <w:ind w:left="2160" w:hanging="360"/>
      </w:pPr>
      <w:rPr>
        <w:rFonts w:ascii="Arial" w:hAnsi="Arial" w:hint="default"/>
      </w:rPr>
    </w:lvl>
    <w:lvl w:ilvl="3" w:tplc="0A6E949E" w:tentative="1">
      <w:start w:val="1"/>
      <w:numFmt w:val="bullet"/>
      <w:lvlText w:val="•"/>
      <w:lvlJc w:val="left"/>
      <w:pPr>
        <w:tabs>
          <w:tab w:val="num" w:pos="2880"/>
        </w:tabs>
        <w:ind w:left="2880" w:hanging="360"/>
      </w:pPr>
      <w:rPr>
        <w:rFonts w:ascii="Arial" w:hAnsi="Arial" w:hint="default"/>
      </w:rPr>
    </w:lvl>
    <w:lvl w:ilvl="4" w:tplc="D42E7B84" w:tentative="1">
      <w:start w:val="1"/>
      <w:numFmt w:val="bullet"/>
      <w:lvlText w:val="•"/>
      <w:lvlJc w:val="left"/>
      <w:pPr>
        <w:tabs>
          <w:tab w:val="num" w:pos="3600"/>
        </w:tabs>
        <w:ind w:left="3600" w:hanging="360"/>
      </w:pPr>
      <w:rPr>
        <w:rFonts w:ascii="Arial" w:hAnsi="Arial" w:hint="default"/>
      </w:rPr>
    </w:lvl>
    <w:lvl w:ilvl="5" w:tplc="E19EEEBE" w:tentative="1">
      <w:start w:val="1"/>
      <w:numFmt w:val="bullet"/>
      <w:lvlText w:val="•"/>
      <w:lvlJc w:val="left"/>
      <w:pPr>
        <w:tabs>
          <w:tab w:val="num" w:pos="4320"/>
        </w:tabs>
        <w:ind w:left="4320" w:hanging="360"/>
      </w:pPr>
      <w:rPr>
        <w:rFonts w:ascii="Arial" w:hAnsi="Arial" w:hint="default"/>
      </w:rPr>
    </w:lvl>
    <w:lvl w:ilvl="6" w:tplc="83942C5E" w:tentative="1">
      <w:start w:val="1"/>
      <w:numFmt w:val="bullet"/>
      <w:lvlText w:val="•"/>
      <w:lvlJc w:val="left"/>
      <w:pPr>
        <w:tabs>
          <w:tab w:val="num" w:pos="5040"/>
        </w:tabs>
        <w:ind w:left="5040" w:hanging="360"/>
      </w:pPr>
      <w:rPr>
        <w:rFonts w:ascii="Arial" w:hAnsi="Arial" w:hint="default"/>
      </w:rPr>
    </w:lvl>
    <w:lvl w:ilvl="7" w:tplc="7F30FB5A" w:tentative="1">
      <w:start w:val="1"/>
      <w:numFmt w:val="bullet"/>
      <w:lvlText w:val="•"/>
      <w:lvlJc w:val="left"/>
      <w:pPr>
        <w:tabs>
          <w:tab w:val="num" w:pos="5760"/>
        </w:tabs>
        <w:ind w:left="5760" w:hanging="360"/>
      </w:pPr>
      <w:rPr>
        <w:rFonts w:ascii="Arial" w:hAnsi="Arial" w:hint="default"/>
      </w:rPr>
    </w:lvl>
    <w:lvl w:ilvl="8" w:tplc="54F21CB6" w:tentative="1">
      <w:start w:val="1"/>
      <w:numFmt w:val="bullet"/>
      <w:lvlText w:val="•"/>
      <w:lvlJc w:val="left"/>
      <w:pPr>
        <w:tabs>
          <w:tab w:val="num" w:pos="6480"/>
        </w:tabs>
        <w:ind w:left="6480" w:hanging="360"/>
      </w:pPr>
      <w:rPr>
        <w:rFonts w:ascii="Arial" w:hAnsi="Arial" w:hint="default"/>
      </w:rPr>
    </w:lvl>
  </w:abstractNum>
  <w:abstractNum w:abstractNumId="63" w15:restartNumberingAfterBreak="0">
    <w:nsid w:val="51B4342B"/>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4" w15:restartNumberingAfterBreak="0">
    <w:nsid w:val="539948E3"/>
    <w:multiLevelType w:val="hybridMultilevel"/>
    <w:tmpl w:val="BD505028"/>
    <w:lvl w:ilvl="0" w:tplc="D5A0E86C">
      <w:start w:val="1"/>
      <w:numFmt w:val="decimal"/>
      <w:lvlText w:val="18.%1."/>
      <w:lvlJc w:val="left"/>
      <w:pPr>
        <w:ind w:left="720" w:hanging="360"/>
      </w:pPr>
      <w:rPr>
        <w:rFonts w:hint="default"/>
        <w:b/>
        <w:bCs/>
      </w:r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5" w15:restartNumberingAfterBreak="0">
    <w:nsid w:val="541C053D"/>
    <w:multiLevelType w:val="multilevel"/>
    <w:tmpl w:val="4B6E376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6" w15:restartNumberingAfterBreak="0">
    <w:nsid w:val="55FE3627"/>
    <w:multiLevelType w:val="hybridMultilevel"/>
    <w:tmpl w:val="BA48CBE8"/>
    <w:lvl w:ilvl="0" w:tplc="140A0001">
      <w:start w:val="1"/>
      <w:numFmt w:val="bullet"/>
      <w:lvlText w:val=""/>
      <w:lvlJc w:val="left"/>
      <w:pPr>
        <w:ind w:left="1800" w:hanging="360"/>
      </w:pPr>
      <w:rPr>
        <w:rFonts w:ascii="Symbol" w:hAnsi="Symbol" w:hint="default"/>
      </w:rPr>
    </w:lvl>
    <w:lvl w:ilvl="1" w:tplc="140A0003" w:tentative="1">
      <w:start w:val="1"/>
      <w:numFmt w:val="bullet"/>
      <w:lvlText w:val="o"/>
      <w:lvlJc w:val="left"/>
      <w:pPr>
        <w:ind w:left="2520" w:hanging="360"/>
      </w:pPr>
      <w:rPr>
        <w:rFonts w:ascii="Courier New" w:hAnsi="Courier New" w:cs="Courier New" w:hint="default"/>
      </w:rPr>
    </w:lvl>
    <w:lvl w:ilvl="2" w:tplc="140A0005" w:tentative="1">
      <w:start w:val="1"/>
      <w:numFmt w:val="bullet"/>
      <w:lvlText w:val=""/>
      <w:lvlJc w:val="left"/>
      <w:pPr>
        <w:ind w:left="3240" w:hanging="360"/>
      </w:pPr>
      <w:rPr>
        <w:rFonts w:ascii="Wingdings" w:hAnsi="Wingdings" w:hint="default"/>
      </w:rPr>
    </w:lvl>
    <w:lvl w:ilvl="3" w:tplc="140A0001" w:tentative="1">
      <w:start w:val="1"/>
      <w:numFmt w:val="bullet"/>
      <w:lvlText w:val=""/>
      <w:lvlJc w:val="left"/>
      <w:pPr>
        <w:ind w:left="3960" w:hanging="360"/>
      </w:pPr>
      <w:rPr>
        <w:rFonts w:ascii="Symbol" w:hAnsi="Symbol" w:hint="default"/>
      </w:rPr>
    </w:lvl>
    <w:lvl w:ilvl="4" w:tplc="140A0003" w:tentative="1">
      <w:start w:val="1"/>
      <w:numFmt w:val="bullet"/>
      <w:lvlText w:val="o"/>
      <w:lvlJc w:val="left"/>
      <w:pPr>
        <w:ind w:left="4680" w:hanging="360"/>
      </w:pPr>
      <w:rPr>
        <w:rFonts w:ascii="Courier New" w:hAnsi="Courier New" w:cs="Courier New" w:hint="default"/>
      </w:rPr>
    </w:lvl>
    <w:lvl w:ilvl="5" w:tplc="140A0005" w:tentative="1">
      <w:start w:val="1"/>
      <w:numFmt w:val="bullet"/>
      <w:lvlText w:val=""/>
      <w:lvlJc w:val="left"/>
      <w:pPr>
        <w:ind w:left="5400" w:hanging="360"/>
      </w:pPr>
      <w:rPr>
        <w:rFonts w:ascii="Wingdings" w:hAnsi="Wingdings" w:hint="default"/>
      </w:rPr>
    </w:lvl>
    <w:lvl w:ilvl="6" w:tplc="140A0001" w:tentative="1">
      <w:start w:val="1"/>
      <w:numFmt w:val="bullet"/>
      <w:lvlText w:val=""/>
      <w:lvlJc w:val="left"/>
      <w:pPr>
        <w:ind w:left="6120" w:hanging="360"/>
      </w:pPr>
      <w:rPr>
        <w:rFonts w:ascii="Symbol" w:hAnsi="Symbol" w:hint="default"/>
      </w:rPr>
    </w:lvl>
    <w:lvl w:ilvl="7" w:tplc="140A0003" w:tentative="1">
      <w:start w:val="1"/>
      <w:numFmt w:val="bullet"/>
      <w:lvlText w:val="o"/>
      <w:lvlJc w:val="left"/>
      <w:pPr>
        <w:ind w:left="6840" w:hanging="360"/>
      </w:pPr>
      <w:rPr>
        <w:rFonts w:ascii="Courier New" w:hAnsi="Courier New" w:cs="Courier New" w:hint="default"/>
      </w:rPr>
    </w:lvl>
    <w:lvl w:ilvl="8" w:tplc="140A0005" w:tentative="1">
      <w:start w:val="1"/>
      <w:numFmt w:val="bullet"/>
      <w:lvlText w:val=""/>
      <w:lvlJc w:val="left"/>
      <w:pPr>
        <w:ind w:left="7560" w:hanging="360"/>
      </w:pPr>
      <w:rPr>
        <w:rFonts w:ascii="Wingdings" w:hAnsi="Wingdings" w:hint="default"/>
      </w:rPr>
    </w:lvl>
  </w:abstractNum>
  <w:abstractNum w:abstractNumId="67" w15:restartNumberingAfterBreak="0">
    <w:nsid w:val="58E21724"/>
    <w:multiLevelType w:val="hybridMultilevel"/>
    <w:tmpl w:val="F042C70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8" w15:restartNumberingAfterBreak="0">
    <w:nsid w:val="5A9D763A"/>
    <w:multiLevelType w:val="multilevel"/>
    <w:tmpl w:val="B90210D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9" w15:restartNumberingAfterBreak="0">
    <w:nsid w:val="5B424F8E"/>
    <w:multiLevelType w:val="multilevel"/>
    <w:tmpl w:val="01184F5A"/>
    <w:lvl w:ilvl="0">
      <w:start w:val="1"/>
      <w:numFmt w:val="decimal"/>
      <w:lvlText w:val="%1."/>
      <w:lvlJc w:val="left"/>
      <w:pPr>
        <w:ind w:left="1800" w:hanging="360"/>
      </w:pPr>
      <w:rPr>
        <w:rFonts w:hint="default"/>
      </w:rPr>
    </w:lvl>
    <w:lvl w:ilvl="1">
      <w:start w:val="1"/>
      <w:numFmt w:val="decimal"/>
      <w:isLgl/>
      <w:lvlText w:val="%1.%2"/>
      <w:lvlJc w:val="left"/>
      <w:pPr>
        <w:ind w:left="1920" w:hanging="480"/>
      </w:pPr>
      <w:rPr>
        <w:rFonts w:hint="default"/>
      </w:rPr>
    </w:lvl>
    <w:lvl w:ilvl="2">
      <w:start w:val="1"/>
      <w:numFmt w:val="none"/>
      <w:isLgl/>
      <w:lvlText w:val="7.2.2"/>
      <w:lvlJc w:val="left"/>
      <w:pPr>
        <w:ind w:left="216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52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2880" w:hanging="1440"/>
      </w:pPr>
      <w:rPr>
        <w:rFonts w:hint="default"/>
      </w:rPr>
    </w:lvl>
    <w:lvl w:ilvl="8">
      <w:start w:val="1"/>
      <w:numFmt w:val="decimal"/>
      <w:isLgl/>
      <w:lvlText w:val="%1.%2.%3.%4.%5.%6.%7.%8.%9"/>
      <w:lvlJc w:val="left"/>
      <w:pPr>
        <w:ind w:left="3240" w:hanging="1800"/>
      </w:pPr>
      <w:rPr>
        <w:rFonts w:hint="default"/>
      </w:rPr>
    </w:lvl>
  </w:abstractNum>
  <w:abstractNum w:abstractNumId="70" w15:restartNumberingAfterBreak="0">
    <w:nsid w:val="5C9B7D65"/>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1" w15:restartNumberingAfterBreak="0">
    <w:nsid w:val="5DBA6C25"/>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2" w15:restartNumberingAfterBreak="0">
    <w:nsid w:val="5DD80116"/>
    <w:multiLevelType w:val="hybridMultilevel"/>
    <w:tmpl w:val="BA8E8950"/>
    <w:lvl w:ilvl="0" w:tplc="AEA68A0C">
      <w:start w:val="1"/>
      <w:numFmt w:val="decimal"/>
      <w:lvlText w:val="14.%1."/>
      <w:lvlJc w:val="left"/>
      <w:pPr>
        <w:ind w:left="720" w:hanging="360"/>
      </w:pPr>
      <w:rPr>
        <w:rFonts w:ascii="Book Antiqua" w:hAnsi="Book Antiqua" w:hint="default"/>
        <w:b/>
        <w:bCs/>
      </w:r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3" w15:restartNumberingAfterBreak="0">
    <w:nsid w:val="5EC16D3C"/>
    <w:multiLevelType w:val="hybridMultilevel"/>
    <w:tmpl w:val="C9D0DCD6"/>
    <w:lvl w:ilvl="0" w:tplc="87DEC476">
      <w:start w:val="1"/>
      <w:numFmt w:val="bullet"/>
      <w:lvlText w:val="•"/>
      <w:lvlJc w:val="left"/>
      <w:pPr>
        <w:tabs>
          <w:tab w:val="num" w:pos="720"/>
        </w:tabs>
        <w:ind w:left="720" w:hanging="360"/>
      </w:pPr>
      <w:rPr>
        <w:rFonts w:ascii="Arial" w:hAnsi="Arial" w:hint="default"/>
      </w:rPr>
    </w:lvl>
    <w:lvl w:ilvl="1" w:tplc="78B658DA" w:tentative="1">
      <w:start w:val="1"/>
      <w:numFmt w:val="bullet"/>
      <w:lvlText w:val="•"/>
      <w:lvlJc w:val="left"/>
      <w:pPr>
        <w:tabs>
          <w:tab w:val="num" w:pos="1440"/>
        </w:tabs>
        <w:ind w:left="1440" w:hanging="360"/>
      </w:pPr>
      <w:rPr>
        <w:rFonts w:ascii="Arial" w:hAnsi="Arial" w:hint="default"/>
      </w:rPr>
    </w:lvl>
    <w:lvl w:ilvl="2" w:tplc="08F61BD2" w:tentative="1">
      <w:start w:val="1"/>
      <w:numFmt w:val="bullet"/>
      <w:lvlText w:val="•"/>
      <w:lvlJc w:val="left"/>
      <w:pPr>
        <w:tabs>
          <w:tab w:val="num" w:pos="2160"/>
        </w:tabs>
        <w:ind w:left="2160" w:hanging="360"/>
      </w:pPr>
      <w:rPr>
        <w:rFonts w:ascii="Arial" w:hAnsi="Arial" w:hint="default"/>
      </w:rPr>
    </w:lvl>
    <w:lvl w:ilvl="3" w:tplc="C73CD3AA" w:tentative="1">
      <w:start w:val="1"/>
      <w:numFmt w:val="bullet"/>
      <w:lvlText w:val="•"/>
      <w:lvlJc w:val="left"/>
      <w:pPr>
        <w:tabs>
          <w:tab w:val="num" w:pos="2880"/>
        </w:tabs>
        <w:ind w:left="2880" w:hanging="360"/>
      </w:pPr>
      <w:rPr>
        <w:rFonts w:ascii="Arial" w:hAnsi="Arial" w:hint="default"/>
      </w:rPr>
    </w:lvl>
    <w:lvl w:ilvl="4" w:tplc="DB0C1E9E" w:tentative="1">
      <w:start w:val="1"/>
      <w:numFmt w:val="bullet"/>
      <w:lvlText w:val="•"/>
      <w:lvlJc w:val="left"/>
      <w:pPr>
        <w:tabs>
          <w:tab w:val="num" w:pos="3600"/>
        </w:tabs>
        <w:ind w:left="3600" w:hanging="360"/>
      </w:pPr>
      <w:rPr>
        <w:rFonts w:ascii="Arial" w:hAnsi="Arial" w:hint="default"/>
      </w:rPr>
    </w:lvl>
    <w:lvl w:ilvl="5" w:tplc="EDAED698" w:tentative="1">
      <w:start w:val="1"/>
      <w:numFmt w:val="bullet"/>
      <w:lvlText w:val="•"/>
      <w:lvlJc w:val="left"/>
      <w:pPr>
        <w:tabs>
          <w:tab w:val="num" w:pos="4320"/>
        </w:tabs>
        <w:ind w:left="4320" w:hanging="360"/>
      </w:pPr>
      <w:rPr>
        <w:rFonts w:ascii="Arial" w:hAnsi="Arial" w:hint="default"/>
      </w:rPr>
    </w:lvl>
    <w:lvl w:ilvl="6" w:tplc="27B23ABC" w:tentative="1">
      <w:start w:val="1"/>
      <w:numFmt w:val="bullet"/>
      <w:lvlText w:val="•"/>
      <w:lvlJc w:val="left"/>
      <w:pPr>
        <w:tabs>
          <w:tab w:val="num" w:pos="5040"/>
        </w:tabs>
        <w:ind w:left="5040" w:hanging="360"/>
      </w:pPr>
      <w:rPr>
        <w:rFonts w:ascii="Arial" w:hAnsi="Arial" w:hint="default"/>
      </w:rPr>
    </w:lvl>
    <w:lvl w:ilvl="7" w:tplc="A200709A" w:tentative="1">
      <w:start w:val="1"/>
      <w:numFmt w:val="bullet"/>
      <w:lvlText w:val="•"/>
      <w:lvlJc w:val="left"/>
      <w:pPr>
        <w:tabs>
          <w:tab w:val="num" w:pos="5760"/>
        </w:tabs>
        <w:ind w:left="5760" w:hanging="360"/>
      </w:pPr>
      <w:rPr>
        <w:rFonts w:ascii="Arial" w:hAnsi="Arial" w:hint="default"/>
      </w:rPr>
    </w:lvl>
    <w:lvl w:ilvl="8" w:tplc="4192EE6A" w:tentative="1">
      <w:start w:val="1"/>
      <w:numFmt w:val="bullet"/>
      <w:lvlText w:val="•"/>
      <w:lvlJc w:val="left"/>
      <w:pPr>
        <w:tabs>
          <w:tab w:val="num" w:pos="6480"/>
        </w:tabs>
        <w:ind w:left="6480" w:hanging="360"/>
      </w:pPr>
      <w:rPr>
        <w:rFonts w:ascii="Arial" w:hAnsi="Arial" w:hint="default"/>
      </w:rPr>
    </w:lvl>
  </w:abstractNum>
  <w:abstractNum w:abstractNumId="74" w15:restartNumberingAfterBreak="0">
    <w:nsid w:val="5F0C0DBD"/>
    <w:multiLevelType w:val="hybridMultilevel"/>
    <w:tmpl w:val="7478A8C2"/>
    <w:lvl w:ilvl="0" w:tplc="D5A0E86C">
      <w:start w:val="1"/>
      <w:numFmt w:val="decimal"/>
      <w:lvlText w:val="18.%1."/>
      <w:lvlJc w:val="left"/>
      <w:pPr>
        <w:ind w:left="720"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5" w15:restartNumberingAfterBreak="0">
    <w:nsid w:val="5F697CCB"/>
    <w:multiLevelType w:val="hybridMultilevel"/>
    <w:tmpl w:val="838E6024"/>
    <w:lvl w:ilvl="0" w:tplc="140A0001">
      <w:start w:val="1"/>
      <w:numFmt w:val="bullet"/>
      <w:lvlText w:val=""/>
      <w:lvlJc w:val="left"/>
      <w:pPr>
        <w:ind w:left="720" w:hanging="360"/>
      </w:pPr>
      <w:rPr>
        <w:rFonts w:ascii="Symbol" w:hAnsi="Symbol" w:hint="default"/>
      </w:r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76" w15:restartNumberingAfterBreak="0">
    <w:nsid w:val="606259C1"/>
    <w:multiLevelType w:val="hybridMultilevel"/>
    <w:tmpl w:val="F81616E8"/>
    <w:lvl w:ilvl="0" w:tplc="57EC86BE">
      <w:start w:val="1"/>
      <w:numFmt w:val="decimal"/>
      <w:lvlText w:val="19.%1."/>
      <w:lvlJc w:val="left"/>
      <w:pPr>
        <w:ind w:left="360" w:hanging="360"/>
      </w:pPr>
      <w:rPr>
        <w:rFonts w:hint="default"/>
        <w:b/>
        <w:bCs/>
        <w:sz w:val="24"/>
        <w:szCs w:val="24"/>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77" w15:restartNumberingAfterBreak="0">
    <w:nsid w:val="60BD0142"/>
    <w:multiLevelType w:val="multilevel"/>
    <w:tmpl w:val="2552435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none"/>
      <w:lvlText w:val="7.3.1."/>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8" w15:restartNumberingAfterBreak="0">
    <w:nsid w:val="60E1582C"/>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9" w15:restartNumberingAfterBreak="0">
    <w:nsid w:val="61C16CBB"/>
    <w:multiLevelType w:val="hybridMultilevel"/>
    <w:tmpl w:val="F40ABA16"/>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0" w15:restartNumberingAfterBreak="0">
    <w:nsid w:val="61CC1F48"/>
    <w:multiLevelType w:val="hybridMultilevel"/>
    <w:tmpl w:val="65EA1A2A"/>
    <w:lvl w:ilvl="0" w:tplc="140A000D">
      <w:start w:val="1"/>
      <w:numFmt w:val="bullet"/>
      <w:lvlText w:val=""/>
      <w:lvlJc w:val="left"/>
      <w:pPr>
        <w:ind w:left="720" w:hanging="360"/>
      </w:pPr>
      <w:rPr>
        <w:rFonts w:ascii="Wingdings" w:hAnsi="Wingdings" w:cs="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1" w15:restartNumberingAfterBreak="0">
    <w:nsid w:val="637A1C8C"/>
    <w:multiLevelType w:val="multilevel"/>
    <w:tmpl w:val="C69A99C4"/>
    <w:lvl w:ilvl="0">
      <w:start w:val="7"/>
      <w:numFmt w:val="decimal"/>
      <w:lvlText w:val="%1"/>
      <w:lvlJc w:val="left"/>
      <w:pPr>
        <w:ind w:left="480" w:hanging="480"/>
      </w:pPr>
      <w:rPr>
        <w:rFonts w:hint="default"/>
      </w:rPr>
    </w:lvl>
    <w:lvl w:ilvl="1">
      <w:start w:val="5"/>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2" w15:restartNumberingAfterBreak="0">
    <w:nsid w:val="63E80B7A"/>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3" w15:restartNumberingAfterBreak="0">
    <w:nsid w:val="641C5DBA"/>
    <w:multiLevelType w:val="hybridMultilevel"/>
    <w:tmpl w:val="D65E74FC"/>
    <w:lvl w:ilvl="0" w:tplc="8D5C760E">
      <w:start w:val="1"/>
      <w:numFmt w:val="bullet"/>
      <w:lvlText w:val="•"/>
      <w:lvlJc w:val="left"/>
      <w:pPr>
        <w:tabs>
          <w:tab w:val="num" w:pos="720"/>
        </w:tabs>
        <w:ind w:left="720" w:hanging="360"/>
      </w:pPr>
      <w:rPr>
        <w:rFonts w:ascii="Arial" w:hAnsi="Arial" w:hint="default"/>
      </w:rPr>
    </w:lvl>
    <w:lvl w:ilvl="1" w:tplc="77B86D34" w:tentative="1">
      <w:start w:val="1"/>
      <w:numFmt w:val="bullet"/>
      <w:lvlText w:val="•"/>
      <w:lvlJc w:val="left"/>
      <w:pPr>
        <w:tabs>
          <w:tab w:val="num" w:pos="1440"/>
        </w:tabs>
        <w:ind w:left="1440" w:hanging="360"/>
      </w:pPr>
      <w:rPr>
        <w:rFonts w:ascii="Arial" w:hAnsi="Arial" w:hint="default"/>
      </w:rPr>
    </w:lvl>
    <w:lvl w:ilvl="2" w:tplc="D38060B2" w:tentative="1">
      <w:start w:val="1"/>
      <w:numFmt w:val="bullet"/>
      <w:lvlText w:val="•"/>
      <w:lvlJc w:val="left"/>
      <w:pPr>
        <w:tabs>
          <w:tab w:val="num" w:pos="2160"/>
        </w:tabs>
        <w:ind w:left="2160" w:hanging="360"/>
      </w:pPr>
      <w:rPr>
        <w:rFonts w:ascii="Arial" w:hAnsi="Arial" w:hint="default"/>
      </w:rPr>
    </w:lvl>
    <w:lvl w:ilvl="3" w:tplc="07965A2E" w:tentative="1">
      <w:start w:val="1"/>
      <w:numFmt w:val="bullet"/>
      <w:lvlText w:val="•"/>
      <w:lvlJc w:val="left"/>
      <w:pPr>
        <w:tabs>
          <w:tab w:val="num" w:pos="2880"/>
        </w:tabs>
        <w:ind w:left="2880" w:hanging="360"/>
      </w:pPr>
      <w:rPr>
        <w:rFonts w:ascii="Arial" w:hAnsi="Arial" w:hint="default"/>
      </w:rPr>
    </w:lvl>
    <w:lvl w:ilvl="4" w:tplc="FD4AC5DE" w:tentative="1">
      <w:start w:val="1"/>
      <w:numFmt w:val="bullet"/>
      <w:lvlText w:val="•"/>
      <w:lvlJc w:val="left"/>
      <w:pPr>
        <w:tabs>
          <w:tab w:val="num" w:pos="3600"/>
        </w:tabs>
        <w:ind w:left="3600" w:hanging="360"/>
      </w:pPr>
      <w:rPr>
        <w:rFonts w:ascii="Arial" w:hAnsi="Arial" w:hint="default"/>
      </w:rPr>
    </w:lvl>
    <w:lvl w:ilvl="5" w:tplc="71682912" w:tentative="1">
      <w:start w:val="1"/>
      <w:numFmt w:val="bullet"/>
      <w:lvlText w:val="•"/>
      <w:lvlJc w:val="left"/>
      <w:pPr>
        <w:tabs>
          <w:tab w:val="num" w:pos="4320"/>
        </w:tabs>
        <w:ind w:left="4320" w:hanging="360"/>
      </w:pPr>
      <w:rPr>
        <w:rFonts w:ascii="Arial" w:hAnsi="Arial" w:hint="default"/>
      </w:rPr>
    </w:lvl>
    <w:lvl w:ilvl="6" w:tplc="001CB3F4" w:tentative="1">
      <w:start w:val="1"/>
      <w:numFmt w:val="bullet"/>
      <w:lvlText w:val="•"/>
      <w:lvlJc w:val="left"/>
      <w:pPr>
        <w:tabs>
          <w:tab w:val="num" w:pos="5040"/>
        </w:tabs>
        <w:ind w:left="5040" w:hanging="360"/>
      </w:pPr>
      <w:rPr>
        <w:rFonts w:ascii="Arial" w:hAnsi="Arial" w:hint="default"/>
      </w:rPr>
    </w:lvl>
    <w:lvl w:ilvl="7" w:tplc="2C261594" w:tentative="1">
      <w:start w:val="1"/>
      <w:numFmt w:val="bullet"/>
      <w:lvlText w:val="•"/>
      <w:lvlJc w:val="left"/>
      <w:pPr>
        <w:tabs>
          <w:tab w:val="num" w:pos="5760"/>
        </w:tabs>
        <w:ind w:left="5760" w:hanging="360"/>
      </w:pPr>
      <w:rPr>
        <w:rFonts w:ascii="Arial" w:hAnsi="Arial" w:hint="default"/>
      </w:rPr>
    </w:lvl>
    <w:lvl w:ilvl="8" w:tplc="3488A4BA" w:tentative="1">
      <w:start w:val="1"/>
      <w:numFmt w:val="bullet"/>
      <w:lvlText w:val="•"/>
      <w:lvlJc w:val="left"/>
      <w:pPr>
        <w:tabs>
          <w:tab w:val="num" w:pos="6480"/>
        </w:tabs>
        <w:ind w:left="6480" w:hanging="360"/>
      </w:pPr>
      <w:rPr>
        <w:rFonts w:ascii="Arial" w:hAnsi="Arial" w:hint="default"/>
      </w:rPr>
    </w:lvl>
  </w:abstractNum>
  <w:abstractNum w:abstractNumId="84" w15:restartNumberingAfterBreak="0">
    <w:nsid w:val="64E15F22"/>
    <w:multiLevelType w:val="multilevel"/>
    <w:tmpl w:val="2552435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none"/>
      <w:lvlText w:val="7.3.1."/>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5" w15:restartNumberingAfterBreak="0">
    <w:nsid w:val="653F65A3"/>
    <w:multiLevelType w:val="hybridMultilevel"/>
    <w:tmpl w:val="E9E48EAC"/>
    <w:lvl w:ilvl="0" w:tplc="FFFFFFFF">
      <w:numFmt w:val="none"/>
      <w:lvlText w:val=""/>
      <w:lvlJc w:val="left"/>
      <w:pPr>
        <w:tabs>
          <w:tab w:val="num" w:pos="360"/>
        </w:tabs>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86" w15:restartNumberingAfterBreak="0">
    <w:nsid w:val="68751FA7"/>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7" w15:restartNumberingAfterBreak="0">
    <w:nsid w:val="6A645417"/>
    <w:multiLevelType w:val="multilevel"/>
    <w:tmpl w:val="F55C63CA"/>
    <w:lvl w:ilvl="0">
      <w:start w:val="1"/>
      <w:numFmt w:val="decimal"/>
      <w:lvlText w:val="%1."/>
      <w:lvlJc w:val="left"/>
      <w:pPr>
        <w:ind w:left="357" w:hanging="357"/>
      </w:pPr>
      <w:rPr>
        <w:rFonts w:hint="default"/>
      </w:rPr>
    </w:lvl>
    <w:lvl w:ilvl="1">
      <w:start w:val="1"/>
      <w:numFmt w:val="none"/>
      <w:lvlText w:val="7.1 "/>
      <w:lvlJc w:val="left"/>
      <w:pPr>
        <w:ind w:left="714" w:hanging="357"/>
      </w:pPr>
      <w:rPr>
        <w:rFonts w:hint="default"/>
      </w:rPr>
    </w:lvl>
    <w:lvl w:ilvl="2">
      <w:start w:val="1"/>
      <w:numFmt w:val="none"/>
      <w:lvlText w:val="7.1.1"/>
      <w:lvlJc w:val="left"/>
      <w:pPr>
        <w:ind w:left="1071" w:hanging="357"/>
      </w:pPr>
      <w:rPr>
        <w:rFonts w:hint="default"/>
      </w:rPr>
    </w:lvl>
    <w:lvl w:ilvl="3">
      <w:start w:val="1"/>
      <w:numFmt w:val="decimal"/>
      <w:lvlText w:val="%1.%2.%3.%4."/>
      <w:lvlJc w:val="left"/>
      <w:pPr>
        <w:ind w:left="1428" w:hanging="357"/>
      </w:pPr>
      <w:rPr>
        <w:rFonts w:hint="default"/>
      </w:rPr>
    </w:lvl>
    <w:lvl w:ilvl="4">
      <w:start w:val="1"/>
      <w:numFmt w:val="decimal"/>
      <w:lvlText w:val="%1.%2.%3.%4.%5."/>
      <w:lvlJc w:val="left"/>
      <w:pPr>
        <w:ind w:left="1785" w:hanging="357"/>
      </w:pPr>
      <w:rPr>
        <w:rFonts w:hint="default"/>
      </w:rPr>
    </w:lvl>
    <w:lvl w:ilvl="5">
      <w:start w:val="1"/>
      <w:numFmt w:val="decimal"/>
      <w:lvlText w:val="%1.%2.%3.%4.%5.%6."/>
      <w:lvlJc w:val="left"/>
      <w:pPr>
        <w:ind w:left="2142" w:hanging="357"/>
      </w:pPr>
      <w:rPr>
        <w:rFonts w:hint="default"/>
      </w:rPr>
    </w:lvl>
    <w:lvl w:ilvl="6">
      <w:start w:val="1"/>
      <w:numFmt w:val="decimal"/>
      <w:lvlText w:val="%1.%2.%3.%4.%5.%6.%7."/>
      <w:lvlJc w:val="left"/>
      <w:pPr>
        <w:ind w:left="2499" w:hanging="357"/>
      </w:pPr>
      <w:rPr>
        <w:rFonts w:hint="default"/>
      </w:rPr>
    </w:lvl>
    <w:lvl w:ilvl="7">
      <w:start w:val="1"/>
      <w:numFmt w:val="decimal"/>
      <w:lvlText w:val="%1.%2.%3.%4.%5.%6.%7.%8."/>
      <w:lvlJc w:val="left"/>
      <w:pPr>
        <w:ind w:left="2856" w:hanging="357"/>
      </w:pPr>
      <w:rPr>
        <w:rFonts w:hint="default"/>
      </w:rPr>
    </w:lvl>
    <w:lvl w:ilvl="8">
      <w:start w:val="1"/>
      <w:numFmt w:val="decimal"/>
      <w:lvlText w:val="%1.%2.%3.%4.%5.%6.%7.%8.%9."/>
      <w:lvlJc w:val="left"/>
      <w:pPr>
        <w:ind w:left="3213" w:hanging="357"/>
      </w:pPr>
      <w:rPr>
        <w:rFonts w:hint="default"/>
      </w:rPr>
    </w:lvl>
  </w:abstractNum>
  <w:abstractNum w:abstractNumId="88" w15:restartNumberingAfterBreak="0">
    <w:nsid w:val="6B031BDE"/>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9" w15:restartNumberingAfterBreak="0">
    <w:nsid w:val="6B2C57A4"/>
    <w:multiLevelType w:val="hybridMultilevel"/>
    <w:tmpl w:val="D6B0A6F6"/>
    <w:lvl w:ilvl="0" w:tplc="CEDECEF2">
      <w:start w:val="1"/>
      <w:numFmt w:val="decimal"/>
      <w:lvlText w:val="%1."/>
      <w:lvlJc w:val="left"/>
      <w:pPr>
        <w:ind w:left="850" w:hanging="360"/>
      </w:pPr>
      <w:rPr>
        <w:rFonts w:hint="default"/>
        <w:sz w:val="24"/>
      </w:rPr>
    </w:lvl>
    <w:lvl w:ilvl="1" w:tplc="140A0019" w:tentative="1">
      <w:start w:val="1"/>
      <w:numFmt w:val="lowerLetter"/>
      <w:lvlText w:val="%2."/>
      <w:lvlJc w:val="left"/>
      <w:pPr>
        <w:ind w:left="1570" w:hanging="360"/>
      </w:pPr>
    </w:lvl>
    <w:lvl w:ilvl="2" w:tplc="140A001B" w:tentative="1">
      <w:start w:val="1"/>
      <w:numFmt w:val="lowerRoman"/>
      <w:lvlText w:val="%3."/>
      <w:lvlJc w:val="right"/>
      <w:pPr>
        <w:ind w:left="2290" w:hanging="180"/>
      </w:pPr>
    </w:lvl>
    <w:lvl w:ilvl="3" w:tplc="140A000F" w:tentative="1">
      <w:start w:val="1"/>
      <w:numFmt w:val="decimal"/>
      <w:lvlText w:val="%4."/>
      <w:lvlJc w:val="left"/>
      <w:pPr>
        <w:ind w:left="3010" w:hanging="360"/>
      </w:pPr>
    </w:lvl>
    <w:lvl w:ilvl="4" w:tplc="140A0019" w:tentative="1">
      <w:start w:val="1"/>
      <w:numFmt w:val="lowerLetter"/>
      <w:lvlText w:val="%5."/>
      <w:lvlJc w:val="left"/>
      <w:pPr>
        <w:ind w:left="3730" w:hanging="360"/>
      </w:pPr>
    </w:lvl>
    <w:lvl w:ilvl="5" w:tplc="140A001B" w:tentative="1">
      <w:start w:val="1"/>
      <w:numFmt w:val="lowerRoman"/>
      <w:lvlText w:val="%6."/>
      <w:lvlJc w:val="right"/>
      <w:pPr>
        <w:ind w:left="4450" w:hanging="180"/>
      </w:pPr>
    </w:lvl>
    <w:lvl w:ilvl="6" w:tplc="140A000F" w:tentative="1">
      <w:start w:val="1"/>
      <w:numFmt w:val="decimal"/>
      <w:lvlText w:val="%7."/>
      <w:lvlJc w:val="left"/>
      <w:pPr>
        <w:ind w:left="5170" w:hanging="360"/>
      </w:pPr>
    </w:lvl>
    <w:lvl w:ilvl="7" w:tplc="140A0019" w:tentative="1">
      <w:start w:val="1"/>
      <w:numFmt w:val="lowerLetter"/>
      <w:lvlText w:val="%8."/>
      <w:lvlJc w:val="left"/>
      <w:pPr>
        <w:ind w:left="5890" w:hanging="360"/>
      </w:pPr>
    </w:lvl>
    <w:lvl w:ilvl="8" w:tplc="140A001B" w:tentative="1">
      <w:start w:val="1"/>
      <w:numFmt w:val="lowerRoman"/>
      <w:lvlText w:val="%9."/>
      <w:lvlJc w:val="right"/>
      <w:pPr>
        <w:ind w:left="6610" w:hanging="180"/>
      </w:pPr>
    </w:lvl>
  </w:abstractNum>
  <w:abstractNum w:abstractNumId="90" w15:restartNumberingAfterBreak="0">
    <w:nsid w:val="6B3F2C78"/>
    <w:multiLevelType w:val="multilevel"/>
    <w:tmpl w:val="2B72401C"/>
    <w:lvl w:ilvl="0">
      <w:start w:val="1"/>
      <w:numFmt w:val="decimal"/>
      <w:lvlText w:val="%1."/>
      <w:lvlJc w:val="left"/>
      <w:pPr>
        <w:ind w:left="1210" w:hanging="360"/>
      </w:pPr>
      <w:rPr>
        <w:rFonts w:hint="default"/>
        <w:color w:val="000000"/>
        <w:sz w:val="36"/>
        <w:szCs w:val="48"/>
      </w:rPr>
    </w:lvl>
    <w:lvl w:ilvl="1">
      <w:start w:val="1"/>
      <w:numFmt w:val="decimal"/>
      <w:isLgl/>
      <w:lvlText w:val="%1.%2"/>
      <w:lvlJc w:val="left"/>
      <w:pPr>
        <w:ind w:left="1099" w:hanging="390"/>
      </w:pPr>
      <w:rPr>
        <w:rFonts w:hint="default"/>
        <w:b/>
        <w:bCs/>
      </w:rPr>
    </w:lvl>
    <w:lvl w:ilvl="2">
      <w:start w:val="1"/>
      <w:numFmt w:val="decimal"/>
      <w:isLgl/>
      <w:lvlText w:val="%1.%2.%3"/>
      <w:lvlJc w:val="left"/>
      <w:pPr>
        <w:ind w:left="1429" w:hanging="720"/>
      </w:pPr>
      <w:rPr>
        <w:rFonts w:ascii="Arial Narrow" w:hAnsi="Arial Narrow"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149" w:hanging="1440"/>
      </w:pPr>
      <w:rPr>
        <w:rFonts w:hint="default"/>
      </w:rPr>
    </w:lvl>
  </w:abstractNum>
  <w:abstractNum w:abstractNumId="91" w15:restartNumberingAfterBreak="0">
    <w:nsid w:val="6BD46DDF"/>
    <w:multiLevelType w:val="multilevel"/>
    <w:tmpl w:val="AF700D26"/>
    <w:lvl w:ilvl="0">
      <w:start w:val="7"/>
      <w:numFmt w:val="decimal"/>
      <w:lvlText w:val="%1"/>
      <w:lvlJc w:val="left"/>
      <w:pPr>
        <w:ind w:left="480" w:hanging="480"/>
      </w:pPr>
      <w:rPr>
        <w:rFonts w:hint="default"/>
      </w:rPr>
    </w:lvl>
    <w:lvl w:ilvl="1">
      <w:start w:val="3"/>
      <w:numFmt w:val="decimal"/>
      <w:lvlText w:val="%1.%2"/>
      <w:lvlJc w:val="left"/>
      <w:pPr>
        <w:ind w:left="1200" w:hanging="48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92" w15:restartNumberingAfterBreak="0">
    <w:nsid w:val="6CA4214A"/>
    <w:multiLevelType w:val="hybridMultilevel"/>
    <w:tmpl w:val="7B1AF8CC"/>
    <w:lvl w:ilvl="0" w:tplc="71CE740C">
      <w:start w:val="1"/>
      <w:numFmt w:val="bullet"/>
      <w:lvlText w:val="•"/>
      <w:lvlJc w:val="left"/>
      <w:pPr>
        <w:tabs>
          <w:tab w:val="num" w:pos="720"/>
        </w:tabs>
        <w:ind w:left="720" w:hanging="360"/>
      </w:pPr>
      <w:rPr>
        <w:rFonts w:ascii="Arial" w:hAnsi="Arial" w:hint="default"/>
      </w:rPr>
    </w:lvl>
    <w:lvl w:ilvl="1" w:tplc="68FE6702" w:tentative="1">
      <w:start w:val="1"/>
      <w:numFmt w:val="bullet"/>
      <w:lvlText w:val="•"/>
      <w:lvlJc w:val="left"/>
      <w:pPr>
        <w:tabs>
          <w:tab w:val="num" w:pos="1440"/>
        </w:tabs>
        <w:ind w:left="1440" w:hanging="360"/>
      </w:pPr>
      <w:rPr>
        <w:rFonts w:ascii="Arial" w:hAnsi="Arial" w:hint="default"/>
      </w:rPr>
    </w:lvl>
    <w:lvl w:ilvl="2" w:tplc="343E9392" w:tentative="1">
      <w:start w:val="1"/>
      <w:numFmt w:val="bullet"/>
      <w:lvlText w:val="•"/>
      <w:lvlJc w:val="left"/>
      <w:pPr>
        <w:tabs>
          <w:tab w:val="num" w:pos="2160"/>
        </w:tabs>
        <w:ind w:left="2160" w:hanging="360"/>
      </w:pPr>
      <w:rPr>
        <w:rFonts w:ascii="Arial" w:hAnsi="Arial" w:hint="default"/>
      </w:rPr>
    </w:lvl>
    <w:lvl w:ilvl="3" w:tplc="BA6EB730" w:tentative="1">
      <w:start w:val="1"/>
      <w:numFmt w:val="bullet"/>
      <w:lvlText w:val="•"/>
      <w:lvlJc w:val="left"/>
      <w:pPr>
        <w:tabs>
          <w:tab w:val="num" w:pos="2880"/>
        </w:tabs>
        <w:ind w:left="2880" w:hanging="360"/>
      </w:pPr>
      <w:rPr>
        <w:rFonts w:ascii="Arial" w:hAnsi="Arial" w:hint="default"/>
      </w:rPr>
    </w:lvl>
    <w:lvl w:ilvl="4" w:tplc="26FCDF20" w:tentative="1">
      <w:start w:val="1"/>
      <w:numFmt w:val="bullet"/>
      <w:lvlText w:val="•"/>
      <w:lvlJc w:val="left"/>
      <w:pPr>
        <w:tabs>
          <w:tab w:val="num" w:pos="3600"/>
        </w:tabs>
        <w:ind w:left="3600" w:hanging="360"/>
      </w:pPr>
      <w:rPr>
        <w:rFonts w:ascii="Arial" w:hAnsi="Arial" w:hint="default"/>
      </w:rPr>
    </w:lvl>
    <w:lvl w:ilvl="5" w:tplc="8C1A53BA" w:tentative="1">
      <w:start w:val="1"/>
      <w:numFmt w:val="bullet"/>
      <w:lvlText w:val="•"/>
      <w:lvlJc w:val="left"/>
      <w:pPr>
        <w:tabs>
          <w:tab w:val="num" w:pos="4320"/>
        </w:tabs>
        <w:ind w:left="4320" w:hanging="360"/>
      </w:pPr>
      <w:rPr>
        <w:rFonts w:ascii="Arial" w:hAnsi="Arial" w:hint="default"/>
      </w:rPr>
    </w:lvl>
    <w:lvl w:ilvl="6" w:tplc="58DA22F4" w:tentative="1">
      <w:start w:val="1"/>
      <w:numFmt w:val="bullet"/>
      <w:lvlText w:val="•"/>
      <w:lvlJc w:val="left"/>
      <w:pPr>
        <w:tabs>
          <w:tab w:val="num" w:pos="5040"/>
        </w:tabs>
        <w:ind w:left="5040" w:hanging="360"/>
      </w:pPr>
      <w:rPr>
        <w:rFonts w:ascii="Arial" w:hAnsi="Arial" w:hint="default"/>
      </w:rPr>
    </w:lvl>
    <w:lvl w:ilvl="7" w:tplc="66FEA8A8" w:tentative="1">
      <w:start w:val="1"/>
      <w:numFmt w:val="bullet"/>
      <w:lvlText w:val="•"/>
      <w:lvlJc w:val="left"/>
      <w:pPr>
        <w:tabs>
          <w:tab w:val="num" w:pos="5760"/>
        </w:tabs>
        <w:ind w:left="5760" w:hanging="360"/>
      </w:pPr>
      <w:rPr>
        <w:rFonts w:ascii="Arial" w:hAnsi="Arial" w:hint="default"/>
      </w:rPr>
    </w:lvl>
    <w:lvl w:ilvl="8" w:tplc="B364A8A6" w:tentative="1">
      <w:start w:val="1"/>
      <w:numFmt w:val="bullet"/>
      <w:lvlText w:val="•"/>
      <w:lvlJc w:val="left"/>
      <w:pPr>
        <w:tabs>
          <w:tab w:val="num" w:pos="6480"/>
        </w:tabs>
        <w:ind w:left="6480" w:hanging="360"/>
      </w:pPr>
      <w:rPr>
        <w:rFonts w:ascii="Arial" w:hAnsi="Arial" w:hint="default"/>
      </w:rPr>
    </w:lvl>
  </w:abstractNum>
  <w:abstractNum w:abstractNumId="93" w15:restartNumberingAfterBreak="0">
    <w:nsid w:val="6F987390"/>
    <w:multiLevelType w:val="hybridMultilevel"/>
    <w:tmpl w:val="5D7A77B4"/>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4" w15:restartNumberingAfterBreak="0">
    <w:nsid w:val="74D02D85"/>
    <w:multiLevelType w:val="hybridMultilevel"/>
    <w:tmpl w:val="35A45ACE"/>
    <w:lvl w:ilvl="0" w:tplc="57EC86BE">
      <w:start w:val="1"/>
      <w:numFmt w:val="decimal"/>
      <w:lvlText w:val="19.%1."/>
      <w:lvlJc w:val="left"/>
      <w:pPr>
        <w:ind w:left="360" w:hanging="360"/>
      </w:pPr>
      <w:rPr>
        <w:rFonts w:hint="default"/>
        <w:b/>
        <w:bCs/>
        <w:sz w:val="24"/>
        <w:szCs w:val="24"/>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95" w15:restartNumberingAfterBreak="0">
    <w:nsid w:val="75F9264C"/>
    <w:multiLevelType w:val="hybridMultilevel"/>
    <w:tmpl w:val="F8FA483E"/>
    <w:lvl w:ilvl="0" w:tplc="E9842382">
      <w:start w:val="1"/>
      <w:numFmt w:val="decimal"/>
      <w:lvlText w:val="3.4.%1."/>
      <w:lvlJc w:val="left"/>
      <w:pPr>
        <w:ind w:left="1287" w:hanging="360"/>
      </w:pPr>
      <w:rPr>
        <w:rFonts w:hint="default"/>
      </w:rPr>
    </w:lvl>
    <w:lvl w:ilvl="1" w:tplc="140A0019" w:tentative="1">
      <w:start w:val="1"/>
      <w:numFmt w:val="lowerLetter"/>
      <w:lvlText w:val="%2."/>
      <w:lvlJc w:val="left"/>
      <w:pPr>
        <w:ind w:left="2007" w:hanging="360"/>
      </w:pPr>
    </w:lvl>
    <w:lvl w:ilvl="2" w:tplc="140A001B" w:tentative="1">
      <w:start w:val="1"/>
      <w:numFmt w:val="lowerRoman"/>
      <w:lvlText w:val="%3."/>
      <w:lvlJc w:val="right"/>
      <w:pPr>
        <w:ind w:left="2727" w:hanging="180"/>
      </w:pPr>
    </w:lvl>
    <w:lvl w:ilvl="3" w:tplc="140A000F" w:tentative="1">
      <w:start w:val="1"/>
      <w:numFmt w:val="decimal"/>
      <w:lvlText w:val="%4."/>
      <w:lvlJc w:val="left"/>
      <w:pPr>
        <w:ind w:left="3447" w:hanging="360"/>
      </w:pPr>
    </w:lvl>
    <w:lvl w:ilvl="4" w:tplc="140A0019" w:tentative="1">
      <w:start w:val="1"/>
      <w:numFmt w:val="lowerLetter"/>
      <w:lvlText w:val="%5."/>
      <w:lvlJc w:val="left"/>
      <w:pPr>
        <w:ind w:left="4167" w:hanging="360"/>
      </w:pPr>
    </w:lvl>
    <w:lvl w:ilvl="5" w:tplc="140A001B" w:tentative="1">
      <w:start w:val="1"/>
      <w:numFmt w:val="lowerRoman"/>
      <w:lvlText w:val="%6."/>
      <w:lvlJc w:val="right"/>
      <w:pPr>
        <w:ind w:left="4887" w:hanging="180"/>
      </w:pPr>
    </w:lvl>
    <w:lvl w:ilvl="6" w:tplc="140A000F" w:tentative="1">
      <w:start w:val="1"/>
      <w:numFmt w:val="decimal"/>
      <w:lvlText w:val="%7."/>
      <w:lvlJc w:val="left"/>
      <w:pPr>
        <w:ind w:left="5607" w:hanging="360"/>
      </w:pPr>
    </w:lvl>
    <w:lvl w:ilvl="7" w:tplc="140A0019" w:tentative="1">
      <w:start w:val="1"/>
      <w:numFmt w:val="lowerLetter"/>
      <w:lvlText w:val="%8."/>
      <w:lvlJc w:val="left"/>
      <w:pPr>
        <w:ind w:left="6327" w:hanging="360"/>
      </w:pPr>
    </w:lvl>
    <w:lvl w:ilvl="8" w:tplc="140A001B" w:tentative="1">
      <w:start w:val="1"/>
      <w:numFmt w:val="lowerRoman"/>
      <w:lvlText w:val="%9."/>
      <w:lvlJc w:val="right"/>
      <w:pPr>
        <w:ind w:left="7047" w:hanging="180"/>
      </w:pPr>
    </w:lvl>
  </w:abstractNum>
  <w:abstractNum w:abstractNumId="96" w15:restartNumberingAfterBreak="0">
    <w:nsid w:val="76195CD0"/>
    <w:multiLevelType w:val="hybridMultilevel"/>
    <w:tmpl w:val="57E4221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7" w15:restartNumberingAfterBreak="0">
    <w:nsid w:val="787A2D4A"/>
    <w:multiLevelType w:val="multilevel"/>
    <w:tmpl w:val="2552435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none"/>
      <w:lvlText w:val="7.3.1."/>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8" w15:restartNumberingAfterBreak="0">
    <w:nsid w:val="793B2E13"/>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9" w15:restartNumberingAfterBreak="0">
    <w:nsid w:val="79E80F41"/>
    <w:multiLevelType w:val="multilevel"/>
    <w:tmpl w:val="232EF32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none"/>
      <w:lvlText w:val="7.2.1."/>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0" w15:restartNumberingAfterBreak="0">
    <w:nsid w:val="7B3C0B9E"/>
    <w:multiLevelType w:val="hybridMultilevel"/>
    <w:tmpl w:val="DFEAD9C2"/>
    <w:lvl w:ilvl="0" w:tplc="821250D0">
      <w:start w:val="1"/>
      <w:numFmt w:val="bullet"/>
      <w:lvlText w:val="•"/>
      <w:lvlJc w:val="left"/>
      <w:pPr>
        <w:tabs>
          <w:tab w:val="num" w:pos="720"/>
        </w:tabs>
        <w:ind w:left="720" w:hanging="360"/>
      </w:pPr>
      <w:rPr>
        <w:rFonts w:ascii="Arial" w:hAnsi="Arial" w:hint="default"/>
      </w:rPr>
    </w:lvl>
    <w:lvl w:ilvl="1" w:tplc="C5CA864E" w:tentative="1">
      <w:start w:val="1"/>
      <w:numFmt w:val="bullet"/>
      <w:lvlText w:val="•"/>
      <w:lvlJc w:val="left"/>
      <w:pPr>
        <w:tabs>
          <w:tab w:val="num" w:pos="1440"/>
        </w:tabs>
        <w:ind w:left="1440" w:hanging="360"/>
      </w:pPr>
      <w:rPr>
        <w:rFonts w:ascii="Arial" w:hAnsi="Arial" w:hint="default"/>
      </w:rPr>
    </w:lvl>
    <w:lvl w:ilvl="2" w:tplc="05F626C2" w:tentative="1">
      <w:start w:val="1"/>
      <w:numFmt w:val="bullet"/>
      <w:lvlText w:val="•"/>
      <w:lvlJc w:val="left"/>
      <w:pPr>
        <w:tabs>
          <w:tab w:val="num" w:pos="2160"/>
        </w:tabs>
        <w:ind w:left="2160" w:hanging="360"/>
      </w:pPr>
      <w:rPr>
        <w:rFonts w:ascii="Arial" w:hAnsi="Arial" w:hint="default"/>
      </w:rPr>
    </w:lvl>
    <w:lvl w:ilvl="3" w:tplc="4170C828" w:tentative="1">
      <w:start w:val="1"/>
      <w:numFmt w:val="bullet"/>
      <w:lvlText w:val="•"/>
      <w:lvlJc w:val="left"/>
      <w:pPr>
        <w:tabs>
          <w:tab w:val="num" w:pos="2880"/>
        </w:tabs>
        <w:ind w:left="2880" w:hanging="360"/>
      </w:pPr>
      <w:rPr>
        <w:rFonts w:ascii="Arial" w:hAnsi="Arial" w:hint="default"/>
      </w:rPr>
    </w:lvl>
    <w:lvl w:ilvl="4" w:tplc="5130F62C" w:tentative="1">
      <w:start w:val="1"/>
      <w:numFmt w:val="bullet"/>
      <w:lvlText w:val="•"/>
      <w:lvlJc w:val="left"/>
      <w:pPr>
        <w:tabs>
          <w:tab w:val="num" w:pos="3600"/>
        </w:tabs>
        <w:ind w:left="3600" w:hanging="360"/>
      </w:pPr>
      <w:rPr>
        <w:rFonts w:ascii="Arial" w:hAnsi="Arial" w:hint="default"/>
      </w:rPr>
    </w:lvl>
    <w:lvl w:ilvl="5" w:tplc="8A9AC83C" w:tentative="1">
      <w:start w:val="1"/>
      <w:numFmt w:val="bullet"/>
      <w:lvlText w:val="•"/>
      <w:lvlJc w:val="left"/>
      <w:pPr>
        <w:tabs>
          <w:tab w:val="num" w:pos="4320"/>
        </w:tabs>
        <w:ind w:left="4320" w:hanging="360"/>
      </w:pPr>
      <w:rPr>
        <w:rFonts w:ascii="Arial" w:hAnsi="Arial" w:hint="default"/>
      </w:rPr>
    </w:lvl>
    <w:lvl w:ilvl="6" w:tplc="5E288F66" w:tentative="1">
      <w:start w:val="1"/>
      <w:numFmt w:val="bullet"/>
      <w:lvlText w:val="•"/>
      <w:lvlJc w:val="left"/>
      <w:pPr>
        <w:tabs>
          <w:tab w:val="num" w:pos="5040"/>
        </w:tabs>
        <w:ind w:left="5040" w:hanging="360"/>
      </w:pPr>
      <w:rPr>
        <w:rFonts w:ascii="Arial" w:hAnsi="Arial" w:hint="default"/>
      </w:rPr>
    </w:lvl>
    <w:lvl w:ilvl="7" w:tplc="D46A91FC" w:tentative="1">
      <w:start w:val="1"/>
      <w:numFmt w:val="bullet"/>
      <w:lvlText w:val="•"/>
      <w:lvlJc w:val="left"/>
      <w:pPr>
        <w:tabs>
          <w:tab w:val="num" w:pos="5760"/>
        </w:tabs>
        <w:ind w:left="5760" w:hanging="360"/>
      </w:pPr>
      <w:rPr>
        <w:rFonts w:ascii="Arial" w:hAnsi="Arial" w:hint="default"/>
      </w:rPr>
    </w:lvl>
    <w:lvl w:ilvl="8" w:tplc="06E00FE8" w:tentative="1">
      <w:start w:val="1"/>
      <w:numFmt w:val="bullet"/>
      <w:lvlText w:val="•"/>
      <w:lvlJc w:val="left"/>
      <w:pPr>
        <w:tabs>
          <w:tab w:val="num" w:pos="6480"/>
        </w:tabs>
        <w:ind w:left="6480" w:hanging="360"/>
      </w:pPr>
      <w:rPr>
        <w:rFonts w:ascii="Arial" w:hAnsi="Arial" w:hint="default"/>
      </w:rPr>
    </w:lvl>
  </w:abstractNum>
  <w:abstractNum w:abstractNumId="101" w15:restartNumberingAfterBreak="0">
    <w:nsid w:val="7B997399"/>
    <w:multiLevelType w:val="multilevel"/>
    <w:tmpl w:val="4C1E8760"/>
    <w:lvl w:ilvl="0">
      <w:start w:val="1"/>
      <w:numFmt w:val="decimal"/>
      <w:lvlText w:val="%1."/>
      <w:lvlJc w:val="left"/>
      <w:pPr>
        <w:ind w:left="357" w:hanging="357"/>
      </w:pPr>
      <w:rPr>
        <w:rFonts w:hint="default"/>
      </w:rPr>
    </w:lvl>
    <w:lvl w:ilvl="1">
      <w:start w:val="1"/>
      <w:numFmt w:val="none"/>
      <w:lvlText w:val="7.1 "/>
      <w:lvlJc w:val="left"/>
      <w:pPr>
        <w:ind w:left="714" w:hanging="357"/>
      </w:pPr>
      <w:rPr>
        <w:rFonts w:hint="default"/>
      </w:rPr>
    </w:lvl>
    <w:lvl w:ilvl="2">
      <w:start w:val="1"/>
      <w:numFmt w:val="decimal"/>
      <w:lvlText w:val="%1.%2.%3."/>
      <w:lvlJc w:val="left"/>
      <w:pPr>
        <w:ind w:left="1071" w:hanging="357"/>
      </w:pPr>
      <w:rPr>
        <w:rFonts w:hint="default"/>
      </w:rPr>
    </w:lvl>
    <w:lvl w:ilvl="3">
      <w:start w:val="1"/>
      <w:numFmt w:val="decimal"/>
      <w:lvlText w:val="%1.%2.%3.%4."/>
      <w:lvlJc w:val="left"/>
      <w:pPr>
        <w:ind w:left="1428" w:hanging="357"/>
      </w:pPr>
      <w:rPr>
        <w:rFonts w:hint="default"/>
      </w:rPr>
    </w:lvl>
    <w:lvl w:ilvl="4">
      <w:start w:val="1"/>
      <w:numFmt w:val="decimal"/>
      <w:lvlText w:val="%1.%2.%3.%4.%5."/>
      <w:lvlJc w:val="left"/>
      <w:pPr>
        <w:ind w:left="1785" w:hanging="357"/>
      </w:pPr>
      <w:rPr>
        <w:rFonts w:hint="default"/>
      </w:rPr>
    </w:lvl>
    <w:lvl w:ilvl="5">
      <w:start w:val="1"/>
      <w:numFmt w:val="decimal"/>
      <w:lvlText w:val="%1.%2.%3.%4.%5.%6."/>
      <w:lvlJc w:val="left"/>
      <w:pPr>
        <w:ind w:left="2142" w:hanging="357"/>
      </w:pPr>
      <w:rPr>
        <w:rFonts w:hint="default"/>
      </w:rPr>
    </w:lvl>
    <w:lvl w:ilvl="6">
      <w:start w:val="1"/>
      <w:numFmt w:val="decimal"/>
      <w:lvlText w:val="%1.%2.%3.%4.%5.%6.%7."/>
      <w:lvlJc w:val="left"/>
      <w:pPr>
        <w:ind w:left="2499" w:hanging="357"/>
      </w:pPr>
      <w:rPr>
        <w:rFonts w:hint="default"/>
      </w:rPr>
    </w:lvl>
    <w:lvl w:ilvl="7">
      <w:start w:val="1"/>
      <w:numFmt w:val="decimal"/>
      <w:lvlText w:val="%1.%2.%3.%4.%5.%6.%7.%8."/>
      <w:lvlJc w:val="left"/>
      <w:pPr>
        <w:ind w:left="2856" w:hanging="357"/>
      </w:pPr>
      <w:rPr>
        <w:rFonts w:hint="default"/>
      </w:rPr>
    </w:lvl>
    <w:lvl w:ilvl="8">
      <w:start w:val="1"/>
      <w:numFmt w:val="decimal"/>
      <w:lvlText w:val="%1.%2.%3.%4.%5.%6.%7.%8.%9."/>
      <w:lvlJc w:val="left"/>
      <w:pPr>
        <w:ind w:left="3213" w:hanging="357"/>
      </w:pPr>
      <w:rPr>
        <w:rFonts w:hint="default"/>
      </w:rPr>
    </w:lvl>
  </w:abstractNum>
  <w:abstractNum w:abstractNumId="102" w15:restartNumberingAfterBreak="0">
    <w:nsid w:val="7BEF4019"/>
    <w:multiLevelType w:val="multilevel"/>
    <w:tmpl w:val="70481A0C"/>
    <w:lvl w:ilvl="0">
      <w:start w:val="11"/>
      <w:numFmt w:val="decimal"/>
      <w:lvlText w:val="%1"/>
      <w:lvlJc w:val="left"/>
      <w:pPr>
        <w:ind w:left="500" w:hanging="500"/>
      </w:pPr>
      <w:rPr>
        <w:rFonts w:hint="default"/>
      </w:rPr>
    </w:lvl>
    <w:lvl w:ilvl="1">
      <w:start w:val="16"/>
      <w:numFmt w:val="decimal"/>
      <w:lvlText w:val="%1.%2"/>
      <w:lvlJc w:val="left"/>
      <w:pPr>
        <w:ind w:left="1209" w:hanging="50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112" w:hanging="1440"/>
      </w:pPr>
      <w:rPr>
        <w:rFonts w:hint="default"/>
      </w:rPr>
    </w:lvl>
  </w:abstractNum>
  <w:abstractNum w:abstractNumId="103" w15:restartNumberingAfterBreak="0">
    <w:nsid w:val="7E4E55DD"/>
    <w:multiLevelType w:val="multilevel"/>
    <w:tmpl w:val="36BACAB4"/>
    <w:lvl w:ilvl="0">
      <w:start w:val="1"/>
      <w:numFmt w:val="none"/>
      <w:lvlText w:val="7.2."/>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4" w15:restartNumberingAfterBreak="0">
    <w:nsid w:val="7F315C82"/>
    <w:multiLevelType w:val="hybridMultilevel"/>
    <w:tmpl w:val="6FFEFA9E"/>
    <w:lvl w:ilvl="0" w:tplc="FFFFFFFF">
      <w:numFmt w:val="none"/>
      <w:lvlText w:val=""/>
      <w:lvlJc w:val="left"/>
      <w:pPr>
        <w:tabs>
          <w:tab w:val="num" w:pos="360"/>
        </w:tabs>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05" w15:restartNumberingAfterBreak="0">
    <w:nsid w:val="7F763578"/>
    <w:multiLevelType w:val="hybridMultilevel"/>
    <w:tmpl w:val="D7963178"/>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16cid:durableId="1822111981">
    <w:abstractNumId w:val="85"/>
  </w:num>
  <w:num w:numId="2" w16cid:durableId="2069374718">
    <w:abstractNumId w:val="104"/>
  </w:num>
  <w:num w:numId="3" w16cid:durableId="1835607277">
    <w:abstractNumId w:val="58"/>
  </w:num>
  <w:num w:numId="4" w16cid:durableId="2024890479">
    <w:abstractNumId w:val="44"/>
  </w:num>
  <w:num w:numId="5" w16cid:durableId="1088503013">
    <w:abstractNumId w:val="57"/>
  </w:num>
  <w:num w:numId="6" w16cid:durableId="1902784668">
    <w:abstractNumId w:val="51"/>
  </w:num>
  <w:num w:numId="7" w16cid:durableId="1782912666">
    <w:abstractNumId w:val="31"/>
  </w:num>
  <w:num w:numId="8" w16cid:durableId="2049141359">
    <w:abstractNumId w:val="0"/>
  </w:num>
  <w:num w:numId="9" w16cid:durableId="1472088798">
    <w:abstractNumId w:val="79"/>
  </w:num>
  <w:num w:numId="10" w16cid:durableId="1766807866">
    <w:abstractNumId w:val="53"/>
  </w:num>
  <w:num w:numId="11" w16cid:durableId="451829467">
    <w:abstractNumId w:val="34"/>
  </w:num>
  <w:num w:numId="12" w16cid:durableId="114642934">
    <w:abstractNumId w:val="94"/>
  </w:num>
  <w:num w:numId="13" w16cid:durableId="439223257">
    <w:abstractNumId w:val="66"/>
  </w:num>
  <w:num w:numId="14" w16cid:durableId="494037090">
    <w:abstractNumId w:val="96"/>
  </w:num>
  <w:num w:numId="15" w16cid:durableId="98382338">
    <w:abstractNumId w:val="59"/>
  </w:num>
  <w:num w:numId="16" w16cid:durableId="846139485">
    <w:abstractNumId w:val="55"/>
  </w:num>
  <w:num w:numId="17" w16cid:durableId="34157206">
    <w:abstractNumId w:val="93"/>
  </w:num>
  <w:num w:numId="18" w16cid:durableId="1286545971">
    <w:abstractNumId w:val="83"/>
  </w:num>
  <w:num w:numId="19" w16cid:durableId="581911165">
    <w:abstractNumId w:val="100"/>
  </w:num>
  <w:num w:numId="20" w16cid:durableId="1611939190">
    <w:abstractNumId w:val="29"/>
  </w:num>
  <w:num w:numId="21" w16cid:durableId="852257716">
    <w:abstractNumId w:val="92"/>
  </w:num>
  <w:num w:numId="22" w16cid:durableId="465468446">
    <w:abstractNumId w:val="73"/>
  </w:num>
  <w:num w:numId="23" w16cid:durableId="182667653">
    <w:abstractNumId w:val="21"/>
  </w:num>
  <w:num w:numId="24" w16cid:durableId="1312831596">
    <w:abstractNumId w:val="62"/>
  </w:num>
  <w:num w:numId="25" w16cid:durableId="1839229127">
    <w:abstractNumId w:val="22"/>
  </w:num>
  <w:num w:numId="26" w16cid:durableId="1614052740">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357462543">
    <w:abstractNumId w:val="80"/>
  </w:num>
  <w:num w:numId="28" w16cid:durableId="1677222456">
    <w:abstractNumId w:val="59"/>
  </w:num>
  <w:num w:numId="29" w16cid:durableId="172664247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373694979">
    <w:abstractNumId w:val="1"/>
    <w:lvlOverride w:ilvl="0">
      <w:startOverride w:val="1"/>
    </w:lvlOverride>
  </w:num>
  <w:num w:numId="31" w16cid:durableId="52001736">
    <w:abstractNumId w:val="49"/>
  </w:num>
  <w:num w:numId="32" w16cid:durableId="1277373123">
    <w:abstractNumId w:val="9"/>
  </w:num>
  <w:num w:numId="33" w16cid:durableId="186647922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681085722">
    <w:abstractNumId w:val="23"/>
  </w:num>
  <w:num w:numId="35" w16cid:durableId="1403021670">
    <w:abstractNumId w:val="61"/>
  </w:num>
  <w:num w:numId="36" w16cid:durableId="163672068">
    <w:abstractNumId w:val="105"/>
  </w:num>
  <w:num w:numId="37" w16cid:durableId="151020539">
    <w:abstractNumId w:val="76"/>
  </w:num>
  <w:num w:numId="38" w16cid:durableId="394165803">
    <w:abstractNumId w:val="38"/>
  </w:num>
  <w:num w:numId="39" w16cid:durableId="1334140727">
    <w:abstractNumId w:val="2"/>
  </w:num>
  <w:num w:numId="40" w16cid:durableId="1500539852">
    <w:abstractNumId w:val="59"/>
    <w:lvlOverride w:ilvl="0">
      <w:startOverride w:val="7"/>
    </w:lvlOverride>
    <w:lvlOverride w:ilvl="1">
      <w:startOverride w:val="2"/>
    </w:lvlOverride>
    <w:lvlOverride w:ilvl="2">
      <w:startOverride w:val="3"/>
    </w:lvlOverride>
  </w:num>
  <w:num w:numId="41" w16cid:durableId="1639533130">
    <w:abstractNumId w:val="59"/>
    <w:lvlOverride w:ilvl="0">
      <w:startOverride w:val="7"/>
    </w:lvlOverride>
    <w:lvlOverride w:ilvl="1">
      <w:startOverride w:val="2"/>
    </w:lvlOverride>
    <w:lvlOverride w:ilvl="2">
      <w:startOverride w:val="3"/>
    </w:lvlOverride>
  </w:num>
  <w:num w:numId="42" w16cid:durableId="1110275388">
    <w:abstractNumId w:val="59"/>
    <w:lvlOverride w:ilvl="0">
      <w:startOverride w:val="7"/>
    </w:lvlOverride>
    <w:lvlOverride w:ilvl="1">
      <w:startOverride w:val="2"/>
    </w:lvlOverride>
    <w:lvlOverride w:ilvl="2">
      <w:startOverride w:val="3"/>
    </w:lvlOverride>
  </w:num>
  <w:num w:numId="43" w16cid:durableId="1546990112">
    <w:abstractNumId w:val="59"/>
    <w:lvlOverride w:ilvl="0">
      <w:startOverride w:val="7"/>
    </w:lvlOverride>
    <w:lvlOverride w:ilvl="1">
      <w:startOverride w:val="2"/>
    </w:lvlOverride>
    <w:lvlOverride w:ilvl="2">
      <w:startOverride w:val="3"/>
    </w:lvlOverride>
  </w:num>
  <w:num w:numId="44" w16cid:durableId="1365204400">
    <w:abstractNumId w:val="72"/>
  </w:num>
  <w:num w:numId="45" w16cid:durableId="550456918">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119571602">
    <w:abstractNumId w:val="7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467162480">
    <w:abstractNumId w:val="67"/>
  </w:num>
  <w:num w:numId="48" w16cid:durableId="151526345">
    <w:abstractNumId w:val="64"/>
  </w:num>
  <w:num w:numId="49" w16cid:durableId="1376655787">
    <w:abstractNumId w:val="65"/>
  </w:num>
  <w:num w:numId="50" w16cid:durableId="1746032915">
    <w:abstractNumId w:val="42"/>
  </w:num>
  <w:num w:numId="51" w16cid:durableId="626207500">
    <w:abstractNumId w:val="74"/>
  </w:num>
  <w:num w:numId="52" w16cid:durableId="1875996804">
    <w:abstractNumId w:val="33"/>
  </w:num>
  <w:num w:numId="53" w16cid:durableId="1230655530">
    <w:abstractNumId w:val="20"/>
  </w:num>
  <w:num w:numId="54" w16cid:durableId="901060926">
    <w:abstractNumId w:val="5"/>
  </w:num>
  <w:num w:numId="55" w16cid:durableId="997459138">
    <w:abstractNumId w:val="47"/>
  </w:num>
  <w:num w:numId="56" w16cid:durableId="1256786461">
    <w:abstractNumId w:val="4"/>
  </w:num>
  <w:num w:numId="57" w16cid:durableId="1238437812">
    <w:abstractNumId w:val="59"/>
  </w:num>
  <w:num w:numId="58" w16cid:durableId="579171417">
    <w:abstractNumId w:val="59"/>
  </w:num>
  <w:num w:numId="59" w16cid:durableId="1266960565">
    <w:abstractNumId w:val="59"/>
  </w:num>
  <w:num w:numId="60" w16cid:durableId="1907255443">
    <w:abstractNumId w:val="59"/>
  </w:num>
  <w:num w:numId="61" w16cid:durableId="322858937">
    <w:abstractNumId w:val="59"/>
  </w:num>
  <w:num w:numId="62" w16cid:durableId="703796394">
    <w:abstractNumId w:val="59"/>
  </w:num>
  <w:num w:numId="63" w16cid:durableId="115678554">
    <w:abstractNumId w:val="89"/>
  </w:num>
  <w:num w:numId="64" w16cid:durableId="2012096681">
    <w:abstractNumId w:val="103"/>
  </w:num>
  <w:num w:numId="65" w16cid:durableId="1368214774">
    <w:abstractNumId w:val="102"/>
  </w:num>
  <w:num w:numId="66" w16cid:durableId="388652789">
    <w:abstractNumId w:val="37"/>
  </w:num>
  <w:num w:numId="67" w16cid:durableId="834610487">
    <w:abstractNumId w:val="56"/>
  </w:num>
  <w:num w:numId="68" w16cid:durableId="426926563">
    <w:abstractNumId w:val="56"/>
  </w:num>
  <w:num w:numId="69" w16cid:durableId="483476351">
    <w:abstractNumId w:val="56"/>
  </w:num>
  <w:num w:numId="70" w16cid:durableId="1138916792">
    <w:abstractNumId w:val="56"/>
  </w:num>
  <w:num w:numId="71" w16cid:durableId="672680560">
    <w:abstractNumId w:val="56"/>
  </w:num>
  <w:num w:numId="72" w16cid:durableId="864750541">
    <w:abstractNumId w:val="56"/>
  </w:num>
  <w:num w:numId="73" w16cid:durableId="1223829522">
    <w:abstractNumId w:val="3"/>
  </w:num>
  <w:num w:numId="74" w16cid:durableId="808090042">
    <w:abstractNumId w:val="45"/>
  </w:num>
  <w:num w:numId="75" w16cid:durableId="737482479">
    <w:abstractNumId w:val="101"/>
  </w:num>
  <w:num w:numId="76" w16cid:durableId="1579292309">
    <w:abstractNumId w:val="87"/>
  </w:num>
  <w:num w:numId="77" w16cid:durableId="2061173325">
    <w:abstractNumId w:val="50"/>
  </w:num>
  <w:num w:numId="78" w16cid:durableId="1419016501">
    <w:abstractNumId w:val="27"/>
  </w:num>
  <w:num w:numId="79" w16cid:durableId="283314533">
    <w:abstractNumId w:val="27"/>
    <w:lvlOverride w:ilvl="0">
      <w:startOverride w:val="2"/>
    </w:lvlOverride>
  </w:num>
  <w:num w:numId="80" w16cid:durableId="620260067">
    <w:abstractNumId w:val="8"/>
  </w:num>
  <w:num w:numId="81" w16cid:durableId="2097089339">
    <w:abstractNumId w:val="39"/>
  </w:num>
  <w:num w:numId="82" w16cid:durableId="158690834">
    <w:abstractNumId w:val="36"/>
  </w:num>
  <w:num w:numId="83" w16cid:durableId="989217117">
    <w:abstractNumId w:val="43"/>
  </w:num>
  <w:num w:numId="84" w16cid:durableId="924729633">
    <w:abstractNumId w:val="17"/>
  </w:num>
  <w:num w:numId="85" w16cid:durableId="2146270664">
    <w:abstractNumId w:val="39"/>
  </w:num>
  <w:num w:numId="86" w16cid:durableId="1201093224">
    <w:abstractNumId w:val="39"/>
  </w:num>
  <w:num w:numId="87" w16cid:durableId="891187188">
    <w:abstractNumId w:val="10"/>
  </w:num>
  <w:num w:numId="88" w16cid:durableId="1930432540">
    <w:abstractNumId w:val="39"/>
  </w:num>
  <w:num w:numId="89" w16cid:durableId="909852755">
    <w:abstractNumId w:val="39"/>
  </w:num>
  <w:num w:numId="90" w16cid:durableId="1145974293">
    <w:abstractNumId w:val="39"/>
  </w:num>
  <w:num w:numId="91" w16cid:durableId="1457286380">
    <w:abstractNumId w:val="6"/>
  </w:num>
  <w:num w:numId="92" w16cid:durableId="40525383">
    <w:abstractNumId w:val="68"/>
  </w:num>
  <w:num w:numId="93" w16cid:durableId="833910972">
    <w:abstractNumId w:val="69"/>
  </w:num>
  <w:num w:numId="94" w16cid:durableId="1655836991">
    <w:abstractNumId w:val="68"/>
  </w:num>
  <w:num w:numId="95" w16cid:durableId="1609923210">
    <w:abstractNumId w:val="69"/>
  </w:num>
  <w:num w:numId="96" w16cid:durableId="952400879">
    <w:abstractNumId w:val="69"/>
  </w:num>
  <w:num w:numId="97" w16cid:durableId="1221282677">
    <w:abstractNumId w:val="69"/>
  </w:num>
  <w:num w:numId="98" w16cid:durableId="358626873">
    <w:abstractNumId w:val="69"/>
  </w:num>
  <w:num w:numId="99" w16cid:durableId="711727838">
    <w:abstractNumId w:val="69"/>
  </w:num>
  <w:num w:numId="100" w16cid:durableId="1181819830">
    <w:abstractNumId w:val="103"/>
  </w:num>
  <w:num w:numId="101" w16cid:durableId="983510755">
    <w:abstractNumId w:val="25"/>
  </w:num>
  <w:num w:numId="102" w16cid:durableId="1593660112">
    <w:abstractNumId w:val="99"/>
  </w:num>
  <w:num w:numId="103" w16cid:durableId="1715419766">
    <w:abstractNumId w:val="69"/>
    <w:lvlOverride w:ilvl="0">
      <w:startOverride w:val="7"/>
    </w:lvlOverride>
    <w:lvlOverride w:ilvl="1">
      <w:startOverride w:val="2"/>
    </w:lvlOverride>
    <w:lvlOverride w:ilvl="2">
      <w:startOverride w:val="1"/>
    </w:lvlOverride>
  </w:num>
  <w:num w:numId="104" w16cid:durableId="1008144272">
    <w:abstractNumId w:val="69"/>
  </w:num>
  <w:num w:numId="105" w16cid:durableId="377053065">
    <w:abstractNumId w:val="69"/>
  </w:num>
  <w:num w:numId="106" w16cid:durableId="1664966819">
    <w:abstractNumId w:val="26"/>
  </w:num>
  <w:num w:numId="107" w16cid:durableId="601767431">
    <w:abstractNumId w:val="26"/>
    <w:lvlOverride w:ilvl="0">
      <w:startOverride w:val="7"/>
    </w:lvlOverride>
    <w:lvlOverride w:ilvl="1">
      <w:startOverride w:val="2"/>
    </w:lvlOverride>
    <w:lvlOverride w:ilvl="2">
      <w:startOverride w:val="2"/>
    </w:lvlOverride>
  </w:num>
  <w:num w:numId="108" w16cid:durableId="151723333">
    <w:abstractNumId w:val="26"/>
  </w:num>
  <w:num w:numId="109" w16cid:durableId="1509977371">
    <w:abstractNumId w:val="77"/>
  </w:num>
  <w:num w:numId="110" w16cid:durableId="129321878">
    <w:abstractNumId w:val="26"/>
    <w:lvlOverride w:ilvl="0">
      <w:startOverride w:val="7"/>
    </w:lvlOverride>
    <w:lvlOverride w:ilvl="1">
      <w:startOverride w:val="3"/>
    </w:lvlOverride>
    <w:lvlOverride w:ilvl="2">
      <w:startOverride w:val="2"/>
    </w:lvlOverride>
  </w:num>
  <w:num w:numId="111" w16cid:durableId="575749074">
    <w:abstractNumId w:val="26"/>
  </w:num>
  <w:num w:numId="112" w16cid:durableId="814831031">
    <w:abstractNumId w:val="69"/>
  </w:num>
  <w:num w:numId="113" w16cid:durableId="375080346">
    <w:abstractNumId w:val="69"/>
  </w:num>
  <w:num w:numId="114" w16cid:durableId="1658682265">
    <w:abstractNumId w:val="69"/>
  </w:num>
  <w:num w:numId="115" w16cid:durableId="1004212531">
    <w:abstractNumId w:val="69"/>
  </w:num>
  <w:num w:numId="116" w16cid:durableId="1548949222">
    <w:abstractNumId w:val="69"/>
  </w:num>
  <w:num w:numId="117" w16cid:durableId="1974408248">
    <w:abstractNumId w:val="69"/>
  </w:num>
  <w:num w:numId="118" w16cid:durableId="600842440">
    <w:abstractNumId w:val="88"/>
  </w:num>
  <w:num w:numId="119" w16cid:durableId="1064573309">
    <w:abstractNumId w:val="98"/>
  </w:num>
  <w:num w:numId="120" w16cid:durableId="2013952899">
    <w:abstractNumId w:val="78"/>
  </w:num>
  <w:num w:numId="121" w16cid:durableId="1695619571">
    <w:abstractNumId w:val="82"/>
  </w:num>
  <w:num w:numId="122" w16cid:durableId="729698069">
    <w:abstractNumId w:val="69"/>
    <w:lvlOverride w:ilvl="0">
      <w:startOverride w:val="11"/>
    </w:lvlOverride>
    <w:lvlOverride w:ilvl="1">
      <w:startOverride w:val="3"/>
    </w:lvlOverride>
  </w:num>
  <w:num w:numId="123" w16cid:durableId="920530374">
    <w:abstractNumId w:val="15"/>
  </w:num>
  <w:num w:numId="124" w16cid:durableId="1221213921">
    <w:abstractNumId w:val="91"/>
  </w:num>
  <w:num w:numId="125" w16cid:durableId="2059551470">
    <w:abstractNumId w:val="12"/>
  </w:num>
  <w:num w:numId="126" w16cid:durableId="1051080414">
    <w:abstractNumId w:val="63"/>
  </w:num>
  <w:num w:numId="127" w16cid:durableId="892809490">
    <w:abstractNumId w:val="24"/>
  </w:num>
  <w:num w:numId="128" w16cid:durableId="993877260">
    <w:abstractNumId w:val="46"/>
  </w:num>
  <w:num w:numId="129" w16cid:durableId="173738162">
    <w:abstractNumId w:val="86"/>
  </w:num>
  <w:num w:numId="130" w16cid:durableId="531724012">
    <w:abstractNumId w:val="81"/>
  </w:num>
  <w:num w:numId="131" w16cid:durableId="995260187">
    <w:abstractNumId w:val="84"/>
  </w:num>
  <w:num w:numId="132" w16cid:durableId="693774992">
    <w:abstractNumId w:val="97"/>
  </w:num>
  <w:num w:numId="133" w16cid:durableId="385222253">
    <w:abstractNumId w:val="48"/>
  </w:num>
  <w:num w:numId="134" w16cid:durableId="996112115">
    <w:abstractNumId w:val="54"/>
  </w:num>
  <w:num w:numId="135" w16cid:durableId="1630359460">
    <w:abstractNumId w:val="7"/>
  </w:num>
  <w:num w:numId="136" w16cid:durableId="657613669">
    <w:abstractNumId w:val="35"/>
  </w:num>
  <w:num w:numId="137" w16cid:durableId="1080560747">
    <w:abstractNumId w:val="32"/>
  </w:num>
  <w:num w:numId="138" w16cid:durableId="832986247">
    <w:abstractNumId w:val="30"/>
  </w:num>
  <w:num w:numId="139" w16cid:durableId="774984582">
    <w:abstractNumId w:val="95"/>
  </w:num>
  <w:num w:numId="140" w16cid:durableId="457182031">
    <w:abstractNumId w:val="19"/>
  </w:num>
  <w:num w:numId="141" w16cid:durableId="1941792033">
    <w:abstractNumId w:val="52"/>
  </w:num>
  <w:num w:numId="142" w16cid:durableId="1528985083">
    <w:abstractNumId w:val="71"/>
  </w:num>
  <w:num w:numId="143" w16cid:durableId="2048214352">
    <w:abstractNumId w:val="90"/>
  </w:num>
  <w:num w:numId="144" w16cid:durableId="1476292813">
    <w:abstractNumId w:val="11"/>
  </w:num>
  <w:num w:numId="145" w16cid:durableId="44329347">
    <w:abstractNumId w:val="60"/>
  </w:num>
  <w:num w:numId="146" w16cid:durableId="412362918">
    <w:abstractNumId w:val="14"/>
  </w:num>
  <w:num w:numId="147" w16cid:durableId="2040085343">
    <w:abstractNumId w:val="41"/>
  </w:num>
  <w:num w:numId="148" w16cid:durableId="743604006">
    <w:abstractNumId w:val="32"/>
  </w:num>
  <w:num w:numId="149" w16cid:durableId="1156654122">
    <w:abstractNumId w:val="70"/>
  </w:num>
  <w:num w:numId="150" w16cid:durableId="1533685040">
    <w:abstractNumId w:val="40"/>
  </w:num>
  <w:num w:numId="151" w16cid:durableId="1152065074">
    <w:abstractNumId w:val="18"/>
  </w:num>
  <w:num w:numId="152" w16cid:durableId="2021539482">
    <w:abstractNumId w:val="13"/>
  </w:num>
  <w:num w:numId="153" w16cid:durableId="1881547232">
    <w:abstractNumId w:val="18"/>
    <w:lvlOverride w:ilvl="0">
      <w:startOverride w:val="13"/>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16cid:durableId="574316001">
    <w:abstractNumId w:val="28"/>
  </w:num>
  <w:num w:numId="155" w16cid:durableId="978652948">
    <w:abstractNumId w:val="32"/>
  </w:num>
  <w:numIdMacAtCleanup w:val="1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activeWritingStyle w:appName="MSWord" w:lang="pt-BR" w:vendorID="64" w:dllVersion="0" w:nlCheck="1" w:checkStyle="0"/>
  <w:activeWritingStyle w:appName="MSWord" w:lang="es-CR" w:vendorID="64" w:dllVersion="4096" w:nlCheck="1" w:checkStyle="0"/>
  <w:activeWritingStyle w:appName="MSWord" w:lang="es-ES_tradnl" w:vendorID="64" w:dllVersion="4096" w:nlCheck="1" w:checkStyle="0"/>
  <w:activeWritingStyle w:appName="MSWord" w:lang="pt-BR" w:vendorID="64" w:dllVersion="4096" w:nlCheck="1" w:checkStyle="0"/>
  <w:activeWritingStyle w:appName="MSWord" w:lang="es-ES" w:vendorID="64" w:dllVersion="4096" w:nlCheck="1" w:checkStyle="0"/>
  <w:activeWritingStyle w:appName="MSWord" w:lang="en-US" w:vendorID="64" w:dllVersion="4096" w:nlCheck="1" w:checkStyle="0"/>
  <w:activeWritingStyle w:appName="MSWord" w:lang="es-ES_tradnl" w:vendorID="64" w:dllVersion="0" w:nlCheck="1" w:checkStyle="0"/>
  <w:activeWritingStyle w:appName="MSWord" w:lang="es-CR" w:vendorID="64" w:dllVersion="0" w:nlCheck="1" w:checkStyle="0"/>
  <w:activeWritingStyle w:appName="MSWord" w:lang="en-US" w:vendorID="64" w:dllVersion="0" w:nlCheck="1" w:checkStyle="0"/>
  <w:activeWritingStyle w:appName="MSWord" w:lang="es-ES" w:vendorID="64" w:dllVersion="0" w:nlCheck="1" w:checkStyle="0"/>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mailMerge>
    <w:mainDocumentType w:val="formLetters"/>
    <w:dataType w:val="textFile"/>
    <w:activeRecord w:val="-1"/>
    <w:odso/>
  </w:mailMerge>
  <w:defaultTabStop w:val="708"/>
  <w:hyphenationZone w:val="425"/>
  <w:characterSpacingControl w:val="doNotCompress"/>
  <w:hdrShapeDefaults>
    <o:shapedefaults v:ext="edit" spidmax="40550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D56AF"/>
    <w:rsid w:val="000009EB"/>
    <w:rsid w:val="00000C80"/>
    <w:rsid w:val="00000F73"/>
    <w:rsid w:val="000014A5"/>
    <w:rsid w:val="00001756"/>
    <w:rsid w:val="00001A06"/>
    <w:rsid w:val="00003A11"/>
    <w:rsid w:val="00004DEC"/>
    <w:rsid w:val="00005656"/>
    <w:rsid w:val="00006558"/>
    <w:rsid w:val="00006B4D"/>
    <w:rsid w:val="000073E4"/>
    <w:rsid w:val="00007DE1"/>
    <w:rsid w:val="000101C2"/>
    <w:rsid w:val="000102B8"/>
    <w:rsid w:val="00010417"/>
    <w:rsid w:val="0001093C"/>
    <w:rsid w:val="00010B3A"/>
    <w:rsid w:val="000119ED"/>
    <w:rsid w:val="00011B1A"/>
    <w:rsid w:val="00012764"/>
    <w:rsid w:val="00013376"/>
    <w:rsid w:val="00014370"/>
    <w:rsid w:val="00014398"/>
    <w:rsid w:val="00014573"/>
    <w:rsid w:val="000163B8"/>
    <w:rsid w:val="000163F9"/>
    <w:rsid w:val="00016790"/>
    <w:rsid w:val="00016898"/>
    <w:rsid w:val="000174EC"/>
    <w:rsid w:val="000175EB"/>
    <w:rsid w:val="00020113"/>
    <w:rsid w:val="00020732"/>
    <w:rsid w:val="00020B91"/>
    <w:rsid w:val="00020EE9"/>
    <w:rsid w:val="000212B7"/>
    <w:rsid w:val="000214DF"/>
    <w:rsid w:val="00021BE4"/>
    <w:rsid w:val="00023113"/>
    <w:rsid w:val="0002353C"/>
    <w:rsid w:val="00023844"/>
    <w:rsid w:val="0002392B"/>
    <w:rsid w:val="00023AC8"/>
    <w:rsid w:val="00023FF3"/>
    <w:rsid w:val="00024D75"/>
    <w:rsid w:val="0002575E"/>
    <w:rsid w:val="00025C8D"/>
    <w:rsid w:val="00026C38"/>
    <w:rsid w:val="000303B8"/>
    <w:rsid w:val="00030863"/>
    <w:rsid w:val="000311E8"/>
    <w:rsid w:val="0003182C"/>
    <w:rsid w:val="000322C4"/>
    <w:rsid w:val="00032340"/>
    <w:rsid w:val="000323E7"/>
    <w:rsid w:val="000324DF"/>
    <w:rsid w:val="00032B35"/>
    <w:rsid w:val="000335C4"/>
    <w:rsid w:val="000339FB"/>
    <w:rsid w:val="000342C3"/>
    <w:rsid w:val="000343D8"/>
    <w:rsid w:val="000348BB"/>
    <w:rsid w:val="00034B75"/>
    <w:rsid w:val="00034C19"/>
    <w:rsid w:val="000354F3"/>
    <w:rsid w:val="00035954"/>
    <w:rsid w:val="00035CAC"/>
    <w:rsid w:val="00036C0C"/>
    <w:rsid w:val="00036D2F"/>
    <w:rsid w:val="00036F94"/>
    <w:rsid w:val="00037369"/>
    <w:rsid w:val="00037538"/>
    <w:rsid w:val="0004005C"/>
    <w:rsid w:val="000400DC"/>
    <w:rsid w:val="00040E7E"/>
    <w:rsid w:val="000410A9"/>
    <w:rsid w:val="000417F1"/>
    <w:rsid w:val="00041B93"/>
    <w:rsid w:val="000425E8"/>
    <w:rsid w:val="000436F7"/>
    <w:rsid w:val="00043C4B"/>
    <w:rsid w:val="00044166"/>
    <w:rsid w:val="000442F4"/>
    <w:rsid w:val="000470B4"/>
    <w:rsid w:val="0004780B"/>
    <w:rsid w:val="00050152"/>
    <w:rsid w:val="000502D8"/>
    <w:rsid w:val="000503C0"/>
    <w:rsid w:val="00051E56"/>
    <w:rsid w:val="000538A9"/>
    <w:rsid w:val="00053944"/>
    <w:rsid w:val="0005449D"/>
    <w:rsid w:val="00054846"/>
    <w:rsid w:val="00054FE9"/>
    <w:rsid w:val="0005532E"/>
    <w:rsid w:val="0005551F"/>
    <w:rsid w:val="000557E7"/>
    <w:rsid w:val="00056DF2"/>
    <w:rsid w:val="00056F48"/>
    <w:rsid w:val="00057206"/>
    <w:rsid w:val="0005734A"/>
    <w:rsid w:val="00060401"/>
    <w:rsid w:val="000606DA"/>
    <w:rsid w:val="00060833"/>
    <w:rsid w:val="00060C02"/>
    <w:rsid w:val="00060F3F"/>
    <w:rsid w:val="00060F98"/>
    <w:rsid w:val="0006142B"/>
    <w:rsid w:val="00061747"/>
    <w:rsid w:val="00061CF7"/>
    <w:rsid w:val="00063227"/>
    <w:rsid w:val="00063960"/>
    <w:rsid w:val="00064D5E"/>
    <w:rsid w:val="00065324"/>
    <w:rsid w:val="000655DD"/>
    <w:rsid w:val="00065B5E"/>
    <w:rsid w:val="00066133"/>
    <w:rsid w:val="00066747"/>
    <w:rsid w:val="00066A3B"/>
    <w:rsid w:val="00066B2F"/>
    <w:rsid w:val="000670C2"/>
    <w:rsid w:val="00067C87"/>
    <w:rsid w:val="00070821"/>
    <w:rsid w:val="00070914"/>
    <w:rsid w:val="00070BEC"/>
    <w:rsid w:val="00070CF1"/>
    <w:rsid w:val="00071199"/>
    <w:rsid w:val="00071470"/>
    <w:rsid w:val="000717FB"/>
    <w:rsid w:val="00071801"/>
    <w:rsid w:val="00071D90"/>
    <w:rsid w:val="00071E4D"/>
    <w:rsid w:val="00072FBA"/>
    <w:rsid w:val="00074838"/>
    <w:rsid w:val="00074C15"/>
    <w:rsid w:val="00074E16"/>
    <w:rsid w:val="00076048"/>
    <w:rsid w:val="0007609E"/>
    <w:rsid w:val="000762ED"/>
    <w:rsid w:val="0007699F"/>
    <w:rsid w:val="00076B0D"/>
    <w:rsid w:val="00076F3C"/>
    <w:rsid w:val="00077BF3"/>
    <w:rsid w:val="00077C8A"/>
    <w:rsid w:val="00081448"/>
    <w:rsid w:val="000819A8"/>
    <w:rsid w:val="000819C1"/>
    <w:rsid w:val="0008267A"/>
    <w:rsid w:val="00082DF7"/>
    <w:rsid w:val="00083A8F"/>
    <w:rsid w:val="00084148"/>
    <w:rsid w:val="000843D6"/>
    <w:rsid w:val="0008523C"/>
    <w:rsid w:val="0008541E"/>
    <w:rsid w:val="00085601"/>
    <w:rsid w:val="00085C80"/>
    <w:rsid w:val="000864F6"/>
    <w:rsid w:val="00087167"/>
    <w:rsid w:val="000875D6"/>
    <w:rsid w:val="00087CD1"/>
    <w:rsid w:val="000908C5"/>
    <w:rsid w:val="00090B00"/>
    <w:rsid w:val="00090B5B"/>
    <w:rsid w:val="00090D41"/>
    <w:rsid w:val="00090EA9"/>
    <w:rsid w:val="0009117C"/>
    <w:rsid w:val="00091D09"/>
    <w:rsid w:val="0009256A"/>
    <w:rsid w:val="00092CC3"/>
    <w:rsid w:val="00093527"/>
    <w:rsid w:val="00093AAE"/>
    <w:rsid w:val="00094158"/>
    <w:rsid w:val="000948A2"/>
    <w:rsid w:val="000950D6"/>
    <w:rsid w:val="00095B08"/>
    <w:rsid w:val="00095B6E"/>
    <w:rsid w:val="00095C74"/>
    <w:rsid w:val="00095C99"/>
    <w:rsid w:val="00096DD9"/>
    <w:rsid w:val="00097516"/>
    <w:rsid w:val="00097810"/>
    <w:rsid w:val="000978E8"/>
    <w:rsid w:val="00097941"/>
    <w:rsid w:val="00097DDC"/>
    <w:rsid w:val="000A0A16"/>
    <w:rsid w:val="000A0DEB"/>
    <w:rsid w:val="000A17AF"/>
    <w:rsid w:val="000A1A03"/>
    <w:rsid w:val="000A1B07"/>
    <w:rsid w:val="000A1BD0"/>
    <w:rsid w:val="000A1C6D"/>
    <w:rsid w:val="000A2597"/>
    <w:rsid w:val="000A476C"/>
    <w:rsid w:val="000A4B3D"/>
    <w:rsid w:val="000A50FC"/>
    <w:rsid w:val="000A6D30"/>
    <w:rsid w:val="000A6DCC"/>
    <w:rsid w:val="000A70E2"/>
    <w:rsid w:val="000A757C"/>
    <w:rsid w:val="000A7635"/>
    <w:rsid w:val="000A7A29"/>
    <w:rsid w:val="000B0449"/>
    <w:rsid w:val="000B05FB"/>
    <w:rsid w:val="000B082C"/>
    <w:rsid w:val="000B0FEA"/>
    <w:rsid w:val="000B1638"/>
    <w:rsid w:val="000B1944"/>
    <w:rsid w:val="000B1BF6"/>
    <w:rsid w:val="000B22DF"/>
    <w:rsid w:val="000B2F4A"/>
    <w:rsid w:val="000B4067"/>
    <w:rsid w:val="000B4812"/>
    <w:rsid w:val="000B4845"/>
    <w:rsid w:val="000B51CB"/>
    <w:rsid w:val="000B6B81"/>
    <w:rsid w:val="000B6DD0"/>
    <w:rsid w:val="000B7059"/>
    <w:rsid w:val="000B7E03"/>
    <w:rsid w:val="000B7EC2"/>
    <w:rsid w:val="000C0C43"/>
    <w:rsid w:val="000C0DC6"/>
    <w:rsid w:val="000C0EC5"/>
    <w:rsid w:val="000C25F3"/>
    <w:rsid w:val="000C2838"/>
    <w:rsid w:val="000C35A1"/>
    <w:rsid w:val="000C3E9C"/>
    <w:rsid w:val="000C42E5"/>
    <w:rsid w:val="000C439A"/>
    <w:rsid w:val="000C4B27"/>
    <w:rsid w:val="000C4C59"/>
    <w:rsid w:val="000C6F2D"/>
    <w:rsid w:val="000C6F8D"/>
    <w:rsid w:val="000C7620"/>
    <w:rsid w:val="000D137B"/>
    <w:rsid w:val="000D169A"/>
    <w:rsid w:val="000D172D"/>
    <w:rsid w:val="000D364F"/>
    <w:rsid w:val="000D3F0D"/>
    <w:rsid w:val="000D3F86"/>
    <w:rsid w:val="000D4194"/>
    <w:rsid w:val="000D4808"/>
    <w:rsid w:val="000D4B15"/>
    <w:rsid w:val="000D52DB"/>
    <w:rsid w:val="000D56AF"/>
    <w:rsid w:val="000D5893"/>
    <w:rsid w:val="000D59E4"/>
    <w:rsid w:val="000D5FAC"/>
    <w:rsid w:val="000D6BB3"/>
    <w:rsid w:val="000D6E49"/>
    <w:rsid w:val="000D7411"/>
    <w:rsid w:val="000D747A"/>
    <w:rsid w:val="000D7971"/>
    <w:rsid w:val="000E003E"/>
    <w:rsid w:val="000E095D"/>
    <w:rsid w:val="000E0C25"/>
    <w:rsid w:val="000E0C7E"/>
    <w:rsid w:val="000E1793"/>
    <w:rsid w:val="000E21B0"/>
    <w:rsid w:val="000E3BA4"/>
    <w:rsid w:val="000E3BF1"/>
    <w:rsid w:val="000E3C86"/>
    <w:rsid w:val="000E3CAB"/>
    <w:rsid w:val="000E40F4"/>
    <w:rsid w:val="000E42EA"/>
    <w:rsid w:val="000E453D"/>
    <w:rsid w:val="000E499A"/>
    <w:rsid w:val="000E4B54"/>
    <w:rsid w:val="000E59B1"/>
    <w:rsid w:val="000E5DFD"/>
    <w:rsid w:val="000E6B20"/>
    <w:rsid w:val="000E72BC"/>
    <w:rsid w:val="000E75C6"/>
    <w:rsid w:val="000E75E2"/>
    <w:rsid w:val="000E78E7"/>
    <w:rsid w:val="000E7BC7"/>
    <w:rsid w:val="000E7D50"/>
    <w:rsid w:val="000E7E27"/>
    <w:rsid w:val="000F0956"/>
    <w:rsid w:val="000F0B64"/>
    <w:rsid w:val="000F13EF"/>
    <w:rsid w:val="000F1DB4"/>
    <w:rsid w:val="000F1EA3"/>
    <w:rsid w:val="000F2620"/>
    <w:rsid w:val="000F26B1"/>
    <w:rsid w:val="000F3826"/>
    <w:rsid w:val="000F42FC"/>
    <w:rsid w:val="000F500A"/>
    <w:rsid w:val="000F5293"/>
    <w:rsid w:val="000F53E3"/>
    <w:rsid w:val="000F58D4"/>
    <w:rsid w:val="000F5AD5"/>
    <w:rsid w:val="000F6A3E"/>
    <w:rsid w:val="000F74A5"/>
    <w:rsid w:val="000F762F"/>
    <w:rsid w:val="00100134"/>
    <w:rsid w:val="001010E0"/>
    <w:rsid w:val="00101A4B"/>
    <w:rsid w:val="001024DE"/>
    <w:rsid w:val="00102766"/>
    <w:rsid w:val="00102CE5"/>
    <w:rsid w:val="00103399"/>
    <w:rsid w:val="00103B59"/>
    <w:rsid w:val="00105145"/>
    <w:rsid w:val="00105339"/>
    <w:rsid w:val="0010558F"/>
    <w:rsid w:val="00105AA6"/>
    <w:rsid w:val="00105F7C"/>
    <w:rsid w:val="00105FDF"/>
    <w:rsid w:val="00106F8C"/>
    <w:rsid w:val="00110C75"/>
    <w:rsid w:val="00110EB0"/>
    <w:rsid w:val="00111565"/>
    <w:rsid w:val="00111CD1"/>
    <w:rsid w:val="0011207C"/>
    <w:rsid w:val="00112420"/>
    <w:rsid w:val="00112B9E"/>
    <w:rsid w:val="00112DD7"/>
    <w:rsid w:val="00113750"/>
    <w:rsid w:val="0011388D"/>
    <w:rsid w:val="00113B68"/>
    <w:rsid w:val="00113FFD"/>
    <w:rsid w:val="001141CD"/>
    <w:rsid w:val="001141EF"/>
    <w:rsid w:val="001143D0"/>
    <w:rsid w:val="00114713"/>
    <w:rsid w:val="00114CAB"/>
    <w:rsid w:val="001155E2"/>
    <w:rsid w:val="00116391"/>
    <w:rsid w:val="00117DFD"/>
    <w:rsid w:val="00120FBD"/>
    <w:rsid w:val="00121C1E"/>
    <w:rsid w:val="00121CA5"/>
    <w:rsid w:val="001223A8"/>
    <w:rsid w:val="00122544"/>
    <w:rsid w:val="00122A92"/>
    <w:rsid w:val="00122C6F"/>
    <w:rsid w:val="001251DB"/>
    <w:rsid w:val="001257CB"/>
    <w:rsid w:val="00125CC8"/>
    <w:rsid w:val="00125E7D"/>
    <w:rsid w:val="00126421"/>
    <w:rsid w:val="001267C7"/>
    <w:rsid w:val="00126E18"/>
    <w:rsid w:val="00127857"/>
    <w:rsid w:val="00130714"/>
    <w:rsid w:val="00130B2C"/>
    <w:rsid w:val="00130DF2"/>
    <w:rsid w:val="001314EB"/>
    <w:rsid w:val="00131A05"/>
    <w:rsid w:val="00131EA6"/>
    <w:rsid w:val="0013267D"/>
    <w:rsid w:val="00132A44"/>
    <w:rsid w:val="00132C5B"/>
    <w:rsid w:val="001337D2"/>
    <w:rsid w:val="0013426D"/>
    <w:rsid w:val="0013429B"/>
    <w:rsid w:val="001349DB"/>
    <w:rsid w:val="00134D01"/>
    <w:rsid w:val="00135C05"/>
    <w:rsid w:val="00136C09"/>
    <w:rsid w:val="00136F13"/>
    <w:rsid w:val="0014009E"/>
    <w:rsid w:val="0014072F"/>
    <w:rsid w:val="001407A3"/>
    <w:rsid w:val="001409A6"/>
    <w:rsid w:val="001409FD"/>
    <w:rsid w:val="0014192B"/>
    <w:rsid w:val="00142858"/>
    <w:rsid w:val="001428E7"/>
    <w:rsid w:val="00142A5D"/>
    <w:rsid w:val="00143776"/>
    <w:rsid w:val="00143845"/>
    <w:rsid w:val="00143A08"/>
    <w:rsid w:val="0014436F"/>
    <w:rsid w:val="001449DE"/>
    <w:rsid w:val="00144CBF"/>
    <w:rsid w:val="0014519F"/>
    <w:rsid w:val="00145CF2"/>
    <w:rsid w:val="001466BE"/>
    <w:rsid w:val="001468AC"/>
    <w:rsid w:val="001468E4"/>
    <w:rsid w:val="0015010A"/>
    <w:rsid w:val="00150511"/>
    <w:rsid w:val="001508F1"/>
    <w:rsid w:val="00151BB1"/>
    <w:rsid w:val="00151BBA"/>
    <w:rsid w:val="00152212"/>
    <w:rsid w:val="001522DA"/>
    <w:rsid w:val="0015356C"/>
    <w:rsid w:val="00154669"/>
    <w:rsid w:val="00154B60"/>
    <w:rsid w:val="001551AE"/>
    <w:rsid w:val="00155224"/>
    <w:rsid w:val="00155522"/>
    <w:rsid w:val="00155E08"/>
    <w:rsid w:val="0015684F"/>
    <w:rsid w:val="00156AC9"/>
    <w:rsid w:val="00157E64"/>
    <w:rsid w:val="00160086"/>
    <w:rsid w:val="00160492"/>
    <w:rsid w:val="001606E1"/>
    <w:rsid w:val="00161DA9"/>
    <w:rsid w:val="00162437"/>
    <w:rsid w:val="0016243D"/>
    <w:rsid w:val="00164572"/>
    <w:rsid w:val="00164A1F"/>
    <w:rsid w:val="00164D52"/>
    <w:rsid w:val="00165848"/>
    <w:rsid w:val="00165901"/>
    <w:rsid w:val="00165C08"/>
    <w:rsid w:val="00165F6F"/>
    <w:rsid w:val="00166273"/>
    <w:rsid w:val="0016666E"/>
    <w:rsid w:val="00166682"/>
    <w:rsid w:val="001672CC"/>
    <w:rsid w:val="00167677"/>
    <w:rsid w:val="00167828"/>
    <w:rsid w:val="00167FD7"/>
    <w:rsid w:val="00170D9B"/>
    <w:rsid w:val="00171431"/>
    <w:rsid w:val="00172EA7"/>
    <w:rsid w:val="00173390"/>
    <w:rsid w:val="00173506"/>
    <w:rsid w:val="00173AB7"/>
    <w:rsid w:val="00173B1D"/>
    <w:rsid w:val="00173C61"/>
    <w:rsid w:val="00175FED"/>
    <w:rsid w:val="00176922"/>
    <w:rsid w:val="00176B97"/>
    <w:rsid w:val="00176CB1"/>
    <w:rsid w:val="00176D2E"/>
    <w:rsid w:val="001801EB"/>
    <w:rsid w:val="00181654"/>
    <w:rsid w:val="00181AE6"/>
    <w:rsid w:val="001820B3"/>
    <w:rsid w:val="001822D8"/>
    <w:rsid w:val="00183314"/>
    <w:rsid w:val="00183343"/>
    <w:rsid w:val="0018408F"/>
    <w:rsid w:val="0018425C"/>
    <w:rsid w:val="0018450B"/>
    <w:rsid w:val="001849A2"/>
    <w:rsid w:val="00184EB0"/>
    <w:rsid w:val="00185365"/>
    <w:rsid w:val="00185837"/>
    <w:rsid w:val="00185978"/>
    <w:rsid w:val="00186189"/>
    <w:rsid w:val="00186574"/>
    <w:rsid w:val="001866A8"/>
    <w:rsid w:val="00187018"/>
    <w:rsid w:val="001872F2"/>
    <w:rsid w:val="00187509"/>
    <w:rsid w:val="00187915"/>
    <w:rsid w:val="00187CB4"/>
    <w:rsid w:val="001907A3"/>
    <w:rsid w:val="001915F8"/>
    <w:rsid w:val="00191682"/>
    <w:rsid w:val="001918E6"/>
    <w:rsid w:val="00191F44"/>
    <w:rsid w:val="001921D6"/>
    <w:rsid w:val="00192968"/>
    <w:rsid w:val="00192F3C"/>
    <w:rsid w:val="00193621"/>
    <w:rsid w:val="00193A55"/>
    <w:rsid w:val="001940D2"/>
    <w:rsid w:val="00194BB6"/>
    <w:rsid w:val="00194C7D"/>
    <w:rsid w:val="00195026"/>
    <w:rsid w:val="001954BC"/>
    <w:rsid w:val="0019633C"/>
    <w:rsid w:val="001A019C"/>
    <w:rsid w:val="001A0450"/>
    <w:rsid w:val="001A0608"/>
    <w:rsid w:val="001A0969"/>
    <w:rsid w:val="001A1178"/>
    <w:rsid w:val="001A1859"/>
    <w:rsid w:val="001A1BE7"/>
    <w:rsid w:val="001A2D24"/>
    <w:rsid w:val="001A35F5"/>
    <w:rsid w:val="001A3BAD"/>
    <w:rsid w:val="001A4915"/>
    <w:rsid w:val="001A4DD7"/>
    <w:rsid w:val="001A4DEB"/>
    <w:rsid w:val="001A4DF3"/>
    <w:rsid w:val="001A4E91"/>
    <w:rsid w:val="001A4ECD"/>
    <w:rsid w:val="001A54D5"/>
    <w:rsid w:val="001A5BC5"/>
    <w:rsid w:val="001A5DD2"/>
    <w:rsid w:val="001A60A6"/>
    <w:rsid w:val="001A6496"/>
    <w:rsid w:val="001A7DC5"/>
    <w:rsid w:val="001B00FB"/>
    <w:rsid w:val="001B087E"/>
    <w:rsid w:val="001B0BB4"/>
    <w:rsid w:val="001B1274"/>
    <w:rsid w:val="001B1876"/>
    <w:rsid w:val="001B22A8"/>
    <w:rsid w:val="001B2436"/>
    <w:rsid w:val="001B2ACF"/>
    <w:rsid w:val="001B2FCE"/>
    <w:rsid w:val="001B32B7"/>
    <w:rsid w:val="001B3E0C"/>
    <w:rsid w:val="001B3ED2"/>
    <w:rsid w:val="001B3F8B"/>
    <w:rsid w:val="001B4175"/>
    <w:rsid w:val="001B45A7"/>
    <w:rsid w:val="001B5A52"/>
    <w:rsid w:val="001B5D49"/>
    <w:rsid w:val="001B627C"/>
    <w:rsid w:val="001B6800"/>
    <w:rsid w:val="001B6D55"/>
    <w:rsid w:val="001B6E23"/>
    <w:rsid w:val="001B75A0"/>
    <w:rsid w:val="001B7C13"/>
    <w:rsid w:val="001C0348"/>
    <w:rsid w:val="001C0CDA"/>
    <w:rsid w:val="001C0E31"/>
    <w:rsid w:val="001C10B4"/>
    <w:rsid w:val="001C1DC9"/>
    <w:rsid w:val="001C25D7"/>
    <w:rsid w:val="001C26AB"/>
    <w:rsid w:val="001C29EC"/>
    <w:rsid w:val="001C2CF8"/>
    <w:rsid w:val="001C32B3"/>
    <w:rsid w:val="001C39F6"/>
    <w:rsid w:val="001C3C8E"/>
    <w:rsid w:val="001C3DD9"/>
    <w:rsid w:val="001C3F27"/>
    <w:rsid w:val="001C3F77"/>
    <w:rsid w:val="001C515E"/>
    <w:rsid w:val="001C5B1C"/>
    <w:rsid w:val="001C6D86"/>
    <w:rsid w:val="001C73D4"/>
    <w:rsid w:val="001C79F6"/>
    <w:rsid w:val="001D038F"/>
    <w:rsid w:val="001D0F4C"/>
    <w:rsid w:val="001D109D"/>
    <w:rsid w:val="001D15BA"/>
    <w:rsid w:val="001D2422"/>
    <w:rsid w:val="001D2592"/>
    <w:rsid w:val="001D2618"/>
    <w:rsid w:val="001D2C88"/>
    <w:rsid w:val="001D400D"/>
    <w:rsid w:val="001D4E74"/>
    <w:rsid w:val="001D703A"/>
    <w:rsid w:val="001D7A5E"/>
    <w:rsid w:val="001D7B35"/>
    <w:rsid w:val="001D7C42"/>
    <w:rsid w:val="001E11E9"/>
    <w:rsid w:val="001E1391"/>
    <w:rsid w:val="001E1D2E"/>
    <w:rsid w:val="001E1FB9"/>
    <w:rsid w:val="001E267D"/>
    <w:rsid w:val="001E277A"/>
    <w:rsid w:val="001E2C3B"/>
    <w:rsid w:val="001E3166"/>
    <w:rsid w:val="001E3648"/>
    <w:rsid w:val="001E3B03"/>
    <w:rsid w:val="001E4074"/>
    <w:rsid w:val="001E487D"/>
    <w:rsid w:val="001E510B"/>
    <w:rsid w:val="001E67C5"/>
    <w:rsid w:val="001E6C9F"/>
    <w:rsid w:val="001E6EE7"/>
    <w:rsid w:val="001E6FD8"/>
    <w:rsid w:val="001E7DB1"/>
    <w:rsid w:val="001F0311"/>
    <w:rsid w:val="001F0C69"/>
    <w:rsid w:val="001F1741"/>
    <w:rsid w:val="001F1878"/>
    <w:rsid w:val="001F1C71"/>
    <w:rsid w:val="001F1D7C"/>
    <w:rsid w:val="001F24D6"/>
    <w:rsid w:val="001F2771"/>
    <w:rsid w:val="001F305F"/>
    <w:rsid w:val="001F34EB"/>
    <w:rsid w:val="001F4693"/>
    <w:rsid w:val="001F46CC"/>
    <w:rsid w:val="001F55C5"/>
    <w:rsid w:val="001F55EC"/>
    <w:rsid w:val="001F5B02"/>
    <w:rsid w:val="001F6778"/>
    <w:rsid w:val="001F7B48"/>
    <w:rsid w:val="001F7D06"/>
    <w:rsid w:val="00200C48"/>
    <w:rsid w:val="002016B0"/>
    <w:rsid w:val="0020218F"/>
    <w:rsid w:val="00203DC7"/>
    <w:rsid w:val="002043B8"/>
    <w:rsid w:val="0020442C"/>
    <w:rsid w:val="002048D4"/>
    <w:rsid w:val="00204CA3"/>
    <w:rsid w:val="00204E45"/>
    <w:rsid w:val="002050BF"/>
    <w:rsid w:val="00205936"/>
    <w:rsid w:val="00205AFD"/>
    <w:rsid w:val="002068F7"/>
    <w:rsid w:val="00206BDA"/>
    <w:rsid w:val="00206C84"/>
    <w:rsid w:val="002070C1"/>
    <w:rsid w:val="00207493"/>
    <w:rsid w:val="00207E49"/>
    <w:rsid w:val="00207E4B"/>
    <w:rsid w:val="002100DF"/>
    <w:rsid w:val="0021026A"/>
    <w:rsid w:val="00210642"/>
    <w:rsid w:val="00211B03"/>
    <w:rsid w:val="00211E0A"/>
    <w:rsid w:val="00211EEA"/>
    <w:rsid w:val="00212608"/>
    <w:rsid w:val="00212E59"/>
    <w:rsid w:val="002130D1"/>
    <w:rsid w:val="00214CE8"/>
    <w:rsid w:val="00215E3B"/>
    <w:rsid w:val="00215EF9"/>
    <w:rsid w:val="0021640A"/>
    <w:rsid w:val="002168BA"/>
    <w:rsid w:val="002168F8"/>
    <w:rsid w:val="00216C17"/>
    <w:rsid w:val="00216CA1"/>
    <w:rsid w:val="00217134"/>
    <w:rsid w:val="0021744F"/>
    <w:rsid w:val="00217A84"/>
    <w:rsid w:val="00220A74"/>
    <w:rsid w:val="00221DBA"/>
    <w:rsid w:val="00222ACE"/>
    <w:rsid w:val="00223C67"/>
    <w:rsid w:val="0022490C"/>
    <w:rsid w:val="002263CD"/>
    <w:rsid w:val="00227125"/>
    <w:rsid w:val="00227897"/>
    <w:rsid w:val="00227EA5"/>
    <w:rsid w:val="00230326"/>
    <w:rsid w:val="00230646"/>
    <w:rsid w:val="00230DE4"/>
    <w:rsid w:val="002313A6"/>
    <w:rsid w:val="00231D45"/>
    <w:rsid w:val="00232DB0"/>
    <w:rsid w:val="00233003"/>
    <w:rsid w:val="00233569"/>
    <w:rsid w:val="002336BE"/>
    <w:rsid w:val="00233BA0"/>
    <w:rsid w:val="00233EC0"/>
    <w:rsid w:val="00234049"/>
    <w:rsid w:val="0023408D"/>
    <w:rsid w:val="002340D5"/>
    <w:rsid w:val="00235C14"/>
    <w:rsid w:val="00235F88"/>
    <w:rsid w:val="00237A94"/>
    <w:rsid w:val="00237DD3"/>
    <w:rsid w:val="00237F85"/>
    <w:rsid w:val="00240389"/>
    <w:rsid w:val="0024194E"/>
    <w:rsid w:val="00241EB2"/>
    <w:rsid w:val="002430C9"/>
    <w:rsid w:val="00243E11"/>
    <w:rsid w:val="002442BF"/>
    <w:rsid w:val="00244F38"/>
    <w:rsid w:val="00245262"/>
    <w:rsid w:val="002453C9"/>
    <w:rsid w:val="0024581E"/>
    <w:rsid w:val="00245858"/>
    <w:rsid w:val="002463A7"/>
    <w:rsid w:val="00246775"/>
    <w:rsid w:val="0024684C"/>
    <w:rsid w:val="00246A37"/>
    <w:rsid w:val="00247908"/>
    <w:rsid w:val="00247F11"/>
    <w:rsid w:val="00250ABD"/>
    <w:rsid w:val="00250D32"/>
    <w:rsid w:val="002511D4"/>
    <w:rsid w:val="002512E9"/>
    <w:rsid w:val="00252123"/>
    <w:rsid w:val="00253301"/>
    <w:rsid w:val="00253947"/>
    <w:rsid w:val="00253F1D"/>
    <w:rsid w:val="0025402E"/>
    <w:rsid w:val="00254B68"/>
    <w:rsid w:val="0025557F"/>
    <w:rsid w:val="0025618E"/>
    <w:rsid w:val="00257253"/>
    <w:rsid w:val="00257376"/>
    <w:rsid w:val="0025787B"/>
    <w:rsid w:val="00257A51"/>
    <w:rsid w:val="00260263"/>
    <w:rsid w:val="002603F2"/>
    <w:rsid w:val="00260711"/>
    <w:rsid w:val="0026099A"/>
    <w:rsid w:val="00260A6A"/>
    <w:rsid w:val="00260BD2"/>
    <w:rsid w:val="002615F3"/>
    <w:rsid w:val="002617A8"/>
    <w:rsid w:val="00261963"/>
    <w:rsid w:val="0026287C"/>
    <w:rsid w:val="00262A5F"/>
    <w:rsid w:val="00262ADF"/>
    <w:rsid w:val="00262CE9"/>
    <w:rsid w:val="0026374B"/>
    <w:rsid w:val="0026389D"/>
    <w:rsid w:val="002641A1"/>
    <w:rsid w:val="00265A41"/>
    <w:rsid w:val="00265A70"/>
    <w:rsid w:val="0026604E"/>
    <w:rsid w:val="00266097"/>
    <w:rsid w:val="002669E4"/>
    <w:rsid w:val="00266A8F"/>
    <w:rsid w:val="00266E45"/>
    <w:rsid w:val="0027016A"/>
    <w:rsid w:val="0027073F"/>
    <w:rsid w:val="00270C0D"/>
    <w:rsid w:val="00270DAA"/>
    <w:rsid w:val="00271259"/>
    <w:rsid w:val="00271D70"/>
    <w:rsid w:val="00271F84"/>
    <w:rsid w:val="00272251"/>
    <w:rsid w:val="0027246A"/>
    <w:rsid w:val="00272F17"/>
    <w:rsid w:val="00273753"/>
    <w:rsid w:val="00273C8B"/>
    <w:rsid w:val="00273DDB"/>
    <w:rsid w:val="002746BF"/>
    <w:rsid w:val="002754FE"/>
    <w:rsid w:val="002756A5"/>
    <w:rsid w:val="002767DA"/>
    <w:rsid w:val="00276A06"/>
    <w:rsid w:val="0028000C"/>
    <w:rsid w:val="002809D8"/>
    <w:rsid w:val="00280B3E"/>
    <w:rsid w:val="00280EFE"/>
    <w:rsid w:val="00281048"/>
    <w:rsid w:val="00282386"/>
    <w:rsid w:val="00282F79"/>
    <w:rsid w:val="00283694"/>
    <w:rsid w:val="002837C4"/>
    <w:rsid w:val="00284C8A"/>
    <w:rsid w:val="002857FE"/>
    <w:rsid w:val="00285939"/>
    <w:rsid w:val="00286485"/>
    <w:rsid w:val="0028687E"/>
    <w:rsid w:val="00286B70"/>
    <w:rsid w:val="00286D0A"/>
    <w:rsid w:val="00287356"/>
    <w:rsid w:val="002875C0"/>
    <w:rsid w:val="002906D4"/>
    <w:rsid w:val="0029096E"/>
    <w:rsid w:val="00291B54"/>
    <w:rsid w:val="002926F1"/>
    <w:rsid w:val="002934B4"/>
    <w:rsid w:val="00293E9A"/>
    <w:rsid w:val="00293EF7"/>
    <w:rsid w:val="00294732"/>
    <w:rsid w:val="002949E1"/>
    <w:rsid w:val="002952CB"/>
    <w:rsid w:val="0029558C"/>
    <w:rsid w:val="00295A28"/>
    <w:rsid w:val="00295B79"/>
    <w:rsid w:val="00295E94"/>
    <w:rsid w:val="0029636E"/>
    <w:rsid w:val="00296540"/>
    <w:rsid w:val="00296634"/>
    <w:rsid w:val="00296A57"/>
    <w:rsid w:val="002974DE"/>
    <w:rsid w:val="002979B7"/>
    <w:rsid w:val="00297AFF"/>
    <w:rsid w:val="00297B55"/>
    <w:rsid w:val="00297BD0"/>
    <w:rsid w:val="002A0821"/>
    <w:rsid w:val="002A1107"/>
    <w:rsid w:val="002A1DA5"/>
    <w:rsid w:val="002A20EB"/>
    <w:rsid w:val="002A2426"/>
    <w:rsid w:val="002A2576"/>
    <w:rsid w:val="002A279D"/>
    <w:rsid w:val="002A3649"/>
    <w:rsid w:val="002A37E5"/>
    <w:rsid w:val="002A4B51"/>
    <w:rsid w:val="002A56C9"/>
    <w:rsid w:val="002A5CA1"/>
    <w:rsid w:val="002A606F"/>
    <w:rsid w:val="002A7BD3"/>
    <w:rsid w:val="002A7C6A"/>
    <w:rsid w:val="002B0446"/>
    <w:rsid w:val="002B1136"/>
    <w:rsid w:val="002B1A8A"/>
    <w:rsid w:val="002B1B4D"/>
    <w:rsid w:val="002B1E23"/>
    <w:rsid w:val="002B1F8A"/>
    <w:rsid w:val="002B2187"/>
    <w:rsid w:val="002B25AC"/>
    <w:rsid w:val="002B25D7"/>
    <w:rsid w:val="002B260B"/>
    <w:rsid w:val="002B2D2D"/>
    <w:rsid w:val="002B333D"/>
    <w:rsid w:val="002B4031"/>
    <w:rsid w:val="002B4670"/>
    <w:rsid w:val="002B5417"/>
    <w:rsid w:val="002B55E1"/>
    <w:rsid w:val="002B56AC"/>
    <w:rsid w:val="002B5CC3"/>
    <w:rsid w:val="002B6256"/>
    <w:rsid w:val="002B68C8"/>
    <w:rsid w:val="002B6AC0"/>
    <w:rsid w:val="002B739B"/>
    <w:rsid w:val="002B7718"/>
    <w:rsid w:val="002B77F1"/>
    <w:rsid w:val="002C1700"/>
    <w:rsid w:val="002C1DC1"/>
    <w:rsid w:val="002C3010"/>
    <w:rsid w:val="002C43A2"/>
    <w:rsid w:val="002C47A2"/>
    <w:rsid w:val="002C49EA"/>
    <w:rsid w:val="002C4A11"/>
    <w:rsid w:val="002C5179"/>
    <w:rsid w:val="002C518D"/>
    <w:rsid w:val="002C5AF4"/>
    <w:rsid w:val="002C6573"/>
    <w:rsid w:val="002C65FE"/>
    <w:rsid w:val="002C67F5"/>
    <w:rsid w:val="002C6D21"/>
    <w:rsid w:val="002C78A6"/>
    <w:rsid w:val="002D0DB9"/>
    <w:rsid w:val="002D0E95"/>
    <w:rsid w:val="002D17E5"/>
    <w:rsid w:val="002D1BBF"/>
    <w:rsid w:val="002D2458"/>
    <w:rsid w:val="002D25A1"/>
    <w:rsid w:val="002D2CB6"/>
    <w:rsid w:val="002D31CF"/>
    <w:rsid w:val="002D3D4D"/>
    <w:rsid w:val="002D4086"/>
    <w:rsid w:val="002D42D4"/>
    <w:rsid w:val="002D4CC2"/>
    <w:rsid w:val="002D54F7"/>
    <w:rsid w:val="002D6149"/>
    <w:rsid w:val="002D6FBC"/>
    <w:rsid w:val="002D709C"/>
    <w:rsid w:val="002D7184"/>
    <w:rsid w:val="002D733F"/>
    <w:rsid w:val="002D7C59"/>
    <w:rsid w:val="002E06C5"/>
    <w:rsid w:val="002E1748"/>
    <w:rsid w:val="002E2C54"/>
    <w:rsid w:val="002E4264"/>
    <w:rsid w:val="002E4525"/>
    <w:rsid w:val="002E4EA5"/>
    <w:rsid w:val="002E529A"/>
    <w:rsid w:val="002E5D93"/>
    <w:rsid w:val="002E6574"/>
    <w:rsid w:val="002E68D1"/>
    <w:rsid w:val="002E6A88"/>
    <w:rsid w:val="002E6FE5"/>
    <w:rsid w:val="002E7784"/>
    <w:rsid w:val="002F0496"/>
    <w:rsid w:val="002F1057"/>
    <w:rsid w:val="002F10E3"/>
    <w:rsid w:val="002F1C2A"/>
    <w:rsid w:val="002F232B"/>
    <w:rsid w:val="002F2521"/>
    <w:rsid w:val="002F27BA"/>
    <w:rsid w:val="002F3692"/>
    <w:rsid w:val="002F3D43"/>
    <w:rsid w:val="002F3DFE"/>
    <w:rsid w:val="002F401F"/>
    <w:rsid w:val="002F4234"/>
    <w:rsid w:val="002F481B"/>
    <w:rsid w:val="002F49AB"/>
    <w:rsid w:val="002F520A"/>
    <w:rsid w:val="002F555A"/>
    <w:rsid w:val="002F5A78"/>
    <w:rsid w:val="002F5CA5"/>
    <w:rsid w:val="002F62B6"/>
    <w:rsid w:val="002F697E"/>
    <w:rsid w:val="002F75F2"/>
    <w:rsid w:val="002F7761"/>
    <w:rsid w:val="00300223"/>
    <w:rsid w:val="00300771"/>
    <w:rsid w:val="00301ADA"/>
    <w:rsid w:val="00302450"/>
    <w:rsid w:val="00302826"/>
    <w:rsid w:val="003028DA"/>
    <w:rsid w:val="00302DC0"/>
    <w:rsid w:val="00303179"/>
    <w:rsid w:val="0030409C"/>
    <w:rsid w:val="00304406"/>
    <w:rsid w:val="00304C2E"/>
    <w:rsid w:val="00305036"/>
    <w:rsid w:val="00305398"/>
    <w:rsid w:val="003053BE"/>
    <w:rsid w:val="00305578"/>
    <w:rsid w:val="003058ED"/>
    <w:rsid w:val="00305CAF"/>
    <w:rsid w:val="003062FA"/>
    <w:rsid w:val="00306749"/>
    <w:rsid w:val="00310A61"/>
    <w:rsid w:val="0031174C"/>
    <w:rsid w:val="00312E6B"/>
    <w:rsid w:val="00312ED9"/>
    <w:rsid w:val="0031317E"/>
    <w:rsid w:val="00313AA1"/>
    <w:rsid w:val="00314ED5"/>
    <w:rsid w:val="00314F5D"/>
    <w:rsid w:val="003157FB"/>
    <w:rsid w:val="00315998"/>
    <w:rsid w:val="00315A7B"/>
    <w:rsid w:val="00315FFA"/>
    <w:rsid w:val="003165A2"/>
    <w:rsid w:val="00316920"/>
    <w:rsid w:val="00317CA6"/>
    <w:rsid w:val="00317D73"/>
    <w:rsid w:val="00317DE4"/>
    <w:rsid w:val="00317FC1"/>
    <w:rsid w:val="0032029D"/>
    <w:rsid w:val="00320D32"/>
    <w:rsid w:val="00320EFD"/>
    <w:rsid w:val="00321579"/>
    <w:rsid w:val="00322115"/>
    <w:rsid w:val="00322D96"/>
    <w:rsid w:val="00322D9B"/>
    <w:rsid w:val="003233D4"/>
    <w:rsid w:val="00323492"/>
    <w:rsid w:val="00323EB3"/>
    <w:rsid w:val="003240D3"/>
    <w:rsid w:val="00324178"/>
    <w:rsid w:val="00324853"/>
    <w:rsid w:val="00326285"/>
    <w:rsid w:val="0032656A"/>
    <w:rsid w:val="0032684D"/>
    <w:rsid w:val="00326E19"/>
    <w:rsid w:val="00326F51"/>
    <w:rsid w:val="00327159"/>
    <w:rsid w:val="0032764E"/>
    <w:rsid w:val="00330B3C"/>
    <w:rsid w:val="00331788"/>
    <w:rsid w:val="0033193A"/>
    <w:rsid w:val="00332763"/>
    <w:rsid w:val="00332E41"/>
    <w:rsid w:val="00333758"/>
    <w:rsid w:val="00333A94"/>
    <w:rsid w:val="003347CF"/>
    <w:rsid w:val="00334943"/>
    <w:rsid w:val="00334B35"/>
    <w:rsid w:val="003352A8"/>
    <w:rsid w:val="003356C2"/>
    <w:rsid w:val="003363B9"/>
    <w:rsid w:val="00336586"/>
    <w:rsid w:val="00336CB3"/>
    <w:rsid w:val="00337047"/>
    <w:rsid w:val="00337313"/>
    <w:rsid w:val="0033731D"/>
    <w:rsid w:val="003376A2"/>
    <w:rsid w:val="00337B09"/>
    <w:rsid w:val="00337C8C"/>
    <w:rsid w:val="00337FE8"/>
    <w:rsid w:val="003411C5"/>
    <w:rsid w:val="00342AA0"/>
    <w:rsid w:val="00342D99"/>
    <w:rsid w:val="0034388E"/>
    <w:rsid w:val="00343A4D"/>
    <w:rsid w:val="00343A52"/>
    <w:rsid w:val="00343F86"/>
    <w:rsid w:val="0034553E"/>
    <w:rsid w:val="00345B2C"/>
    <w:rsid w:val="00345DBB"/>
    <w:rsid w:val="00345F29"/>
    <w:rsid w:val="003463D5"/>
    <w:rsid w:val="00346857"/>
    <w:rsid w:val="00346BBE"/>
    <w:rsid w:val="00346FE1"/>
    <w:rsid w:val="00351529"/>
    <w:rsid w:val="003518D1"/>
    <w:rsid w:val="00351D12"/>
    <w:rsid w:val="003523F6"/>
    <w:rsid w:val="00352B45"/>
    <w:rsid w:val="003532FB"/>
    <w:rsid w:val="00353B39"/>
    <w:rsid w:val="00353B96"/>
    <w:rsid w:val="00356026"/>
    <w:rsid w:val="0035645B"/>
    <w:rsid w:val="0035656B"/>
    <w:rsid w:val="00357B2A"/>
    <w:rsid w:val="00360237"/>
    <w:rsid w:val="003615B4"/>
    <w:rsid w:val="00361700"/>
    <w:rsid w:val="00362573"/>
    <w:rsid w:val="003627FA"/>
    <w:rsid w:val="00362C49"/>
    <w:rsid w:val="00362CAD"/>
    <w:rsid w:val="00363AD6"/>
    <w:rsid w:val="0036458A"/>
    <w:rsid w:val="00364DE5"/>
    <w:rsid w:val="00364FCF"/>
    <w:rsid w:val="00365111"/>
    <w:rsid w:val="00365F01"/>
    <w:rsid w:val="00367CC4"/>
    <w:rsid w:val="003708B1"/>
    <w:rsid w:val="00370DEB"/>
    <w:rsid w:val="0037143E"/>
    <w:rsid w:val="003714C7"/>
    <w:rsid w:val="00371EAB"/>
    <w:rsid w:val="003724EF"/>
    <w:rsid w:val="00373051"/>
    <w:rsid w:val="003732AD"/>
    <w:rsid w:val="00374637"/>
    <w:rsid w:val="003746DB"/>
    <w:rsid w:val="0037472A"/>
    <w:rsid w:val="00375000"/>
    <w:rsid w:val="0037535A"/>
    <w:rsid w:val="00375CC7"/>
    <w:rsid w:val="0037610D"/>
    <w:rsid w:val="00377226"/>
    <w:rsid w:val="00380532"/>
    <w:rsid w:val="0038143C"/>
    <w:rsid w:val="00381E8E"/>
    <w:rsid w:val="00383638"/>
    <w:rsid w:val="0038388E"/>
    <w:rsid w:val="00383A50"/>
    <w:rsid w:val="00383BA4"/>
    <w:rsid w:val="00383C95"/>
    <w:rsid w:val="0038507F"/>
    <w:rsid w:val="00386F33"/>
    <w:rsid w:val="003871E0"/>
    <w:rsid w:val="00387625"/>
    <w:rsid w:val="00387DF8"/>
    <w:rsid w:val="00390107"/>
    <w:rsid w:val="003907E2"/>
    <w:rsid w:val="00390BC4"/>
    <w:rsid w:val="00390BC8"/>
    <w:rsid w:val="00390C48"/>
    <w:rsid w:val="003915DC"/>
    <w:rsid w:val="003919C7"/>
    <w:rsid w:val="00391BD4"/>
    <w:rsid w:val="00391F12"/>
    <w:rsid w:val="00392060"/>
    <w:rsid w:val="00392994"/>
    <w:rsid w:val="00392DB9"/>
    <w:rsid w:val="0039319E"/>
    <w:rsid w:val="00394363"/>
    <w:rsid w:val="00394B52"/>
    <w:rsid w:val="00394BEB"/>
    <w:rsid w:val="00394F6C"/>
    <w:rsid w:val="003959F3"/>
    <w:rsid w:val="00395A7B"/>
    <w:rsid w:val="00396FC0"/>
    <w:rsid w:val="003976F3"/>
    <w:rsid w:val="00397807"/>
    <w:rsid w:val="00397AAA"/>
    <w:rsid w:val="00397E82"/>
    <w:rsid w:val="00397F92"/>
    <w:rsid w:val="003A00B4"/>
    <w:rsid w:val="003A0F45"/>
    <w:rsid w:val="003A124C"/>
    <w:rsid w:val="003A1967"/>
    <w:rsid w:val="003A20AE"/>
    <w:rsid w:val="003A2A41"/>
    <w:rsid w:val="003A2AFB"/>
    <w:rsid w:val="003A3319"/>
    <w:rsid w:val="003A3A50"/>
    <w:rsid w:val="003A3D13"/>
    <w:rsid w:val="003A4EE6"/>
    <w:rsid w:val="003A543B"/>
    <w:rsid w:val="003A72C6"/>
    <w:rsid w:val="003A7ADB"/>
    <w:rsid w:val="003B02E9"/>
    <w:rsid w:val="003B049D"/>
    <w:rsid w:val="003B09C8"/>
    <w:rsid w:val="003B0B41"/>
    <w:rsid w:val="003B0D37"/>
    <w:rsid w:val="003B21C7"/>
    <w:rsid w:val="003B25EE"/>
    <w:rsid w:val="003B27B1"/>
    <w:rsid w:val="003B29E3"/>
    <w:rsid w:val="003B31AA"/>
    <w:rsid w:val="003B3201"/>
    <w:rsid w:val="003B392D"/>
    <w:rsid w:val="003B3FD3"/>
    <w:rsid w:val="003B44A8"/>
    <w:rsid w:val="003B46E0"/>
    <w:rsid w:val="003B4843"/>
    <w:rsid w:val="003B5836"/>
    <w:rsid w:val="003B5A7A"/>
    <w:rsid w:val="003B63D9"/>
    <w:rsid w:val="003B6457"/>
    <w:rsid w:val="003B6ADA"/>
    <w:rsid w:val="003B7211"/>
    <w:rsid w:val="003B7E34"/>
    <w:rsid w:val="003C0099"/>
    <w:rsid w:val="003C0596"/>
    <w:rsid w:val="003C1D46"/>
    <w:rsid w:val="003C1F88"/>
    <w:rsid w:val="003C2139"/>
    <w:rsid w:val="003C2184"/>
    <w:rsid w:val="003C3208"/>
    <w:rsid w:val="003C35A0"/>
    <w:rsid w:val="003C3C55"/>
    <w:rsid w:val="003C4482"/>
    <w:rsid w:val="003C4CC1"/>
    <w:rsid w:val="003C51BA"/>
    <w:rsid w:val="003C56EC"/>
    <w:rsid w:val="003C65F0"/>
    <w:rsid w:val="003C66DD"/>
    <w:rsid w:val="003C7232"/>
    <w:rsid w:val="003D0430"/>
    <w:rsid w:val="003D06EB"/>
    <w:rsid w:val="003D19B1"/>
    <w:rsid w:val="003D2CDD"/>
    <w:rsid w:val="003D31E6"/>
    <w:rsid w:val="003D3879"/>
    <w:rsid w:val="003D38D9"/>
    <w:rsid w:val="003D4046"/>
    <w:rsid w:val="003D449F"/>
    <w:rsid w:val="003D48C3"/>
    <w:rsid w:val="003D6151"/>
    <w:rsid w:val="003D63A6"/>
    <w:rsid w:val="003D680E"/>
    <w:rsid w:val="003D6922"/>
    <w:rsid w:val="003D6ACA"/>
    <w:rsid w:val="003D6B89"/>
    <w:rsid w:val="003D6D63"/>
    <w:rsid w:val="003D7C27"/>
    <w:rsid w:val="003D7E92"/>
    <w:rsid w:val="003E03F5"/>
    <w:rsid w:val="003E0562"/>
    <w:rsid w:val="003E1858"/>
    <w:rsid w:val="003E1B7D"/>
    <w:rsid w:val="003E2551"/>
    <w:rsid w:val="003E3457"/>
    <w:rsid w:val="003E4536"/>
    <w:rsid w:val="003E5A2C"/>
    <w:rsid w:val="003E5AA3"/>
    <w:rsid w:val="003E5AEB"/>
    <w:rsid w:val="003E6521"/>
    <w:rsid w:val="003E6CE7"/>
    <w:rsid w:val="003E6E10"/>
    <w:rsid w:val="003E7DC2"/>
    <w:rsid w:val="003E7F4C"/>
    <w:rsid w:val="003F18BC"/>
    <w:rsid w:val="003F1D30"/>
    <w:rsid w:val="003F274A"/>
    <w:rsid w:val="003F2DFE"/>
    <w:rsid w:val="003F2F8D"/>
    <w:rsid w:val="003F3A7A"/>
    <w:rsid w:val="003F44B5"/>
    <w:rsid w:val="003F4B7C"/>
    <w:rsid w:val="003F50F3"/>
    <w:rsid w:val="003F6BA5"/>
    <w:rsid w:val="003F6BC2"/>
    <w:rsid w:val="003F70CA"/>
    <w:rsid w:val="003F70E6"/>
    <w:rsid w:val="003F7AB4"/>
    <w:rsid w:val="004000E9"/>
    <w:rsid w:val="00400122"/>
    <w:rsid w:val="00400327"/>
    <w:rsid w:val="004004A9"/>
    <w:rsid w:val="0040098F"/>
    <w:rsid w:val="0040124F"/>
    <w:rsid w:val="004016D0"/>
    <w:rsid w:val="00401F8A"/>
    <w:rsid w:val="004029CD"/>
    <w:rsid w:val="0040392F"/>
    <w:rsid w:val="00404437"/>
    <w:rsid w:val="0040454C"/>
    <w:rsid w:val="004060DB"/>
    <w:rsid w:val="0040713C"/>
    <w:rsid w:val="00407C4C"/>
    <w:rsid w:val="00410150"/>
    <w:rsid w:val="0041071D"/>
    <w:rsid w:val="004107C4"/>
    <w:rsid w:val="0041141E"/>
    <w:rsid w:val="004117D4"/>
    <w:rsid w:val="0041226F"/>
    <w:rsid w:val="004124F9"/>
    <w:rsid w:val="00412880"/>
    <w:rsid w:val="00412F31"/>
    <w:rsid w:val="004155DE"/>
    <w:rsid w:val="00415930"/>
    <w:rsid w:val="00416954"/>
    <w:rsid w:val="004170DB"/>
    <w:rsid w:val="00417416"/>
    <w:rsid w:val="00420475"/>
    <w:rsid w:val="004208BB"/>
    <w:rsid w:val="0042105C"/>
    <w:rsid w:val="0042124D"/>
    <w:rsid w:val="00421AB8"/>
    <w:rsid w:val="0042271D"/>
    <w:rsid w:val="0042306C"/>
    <w:rsid w:val="00423688"/>
    <w:rsid w:val="004238D3"/>
    <w:rsid w:val="0042411A"/>
    <w:rsid w:val="00425385"/>
    <w:rsid w:val="00425683"/>
    <w:rsid w:val="004261C8"/>
    <w:rsid w:val="00426764"/>
    <w:rsid w:val="0042685F"/>
    <w:rsid w:val="00427891"/>
    <w:rsid w:val="00427AC8"/>
    <w:rsid w:val="00430577"/>
    <w:rsid w:val="00430EAE"/>
    <w:rsid w:val="0043225B"/>
    <w:rsid w:val="00432632"/>
    <w:rsid w:val="00432695"/>
    <w:rsid w:val="00432A7E"/>
    <w:rsid w:val="00432E15"/>
    <w:rsid w:val="00433346"/>
    <w:rsid w:val="00433A5A"/>
    <w:rsid w:val="00433E4D"/>
    <w:rsid w:val="00434A36"/>
    <w:rsid w:val="00435AC6"/>
    <w:rsid w:val="00435CBE"/>
    <w:rsid w:val="00435D9E"/>
    <w:rsid w:val="00435DAD"/>
    <w:rsid w:val="00435F9A"/>
    <w:rsid w:val="00436548"/>
    <w:rsid w:val="004369FB"/>
    <w:rsid w:val="00436E27"/>
    <w:rsid w:val="0043731A"/>
    <w:rsid w:val="0043769D"/>
    <w:rsid w:val="00437CA8"/>
    <w:rsid w:val="00440259"/>
    <w:rsid w:val="004407AB"/>
    <w:rsid w:val="00440F36"/>
    <w:rsid w:val="0044140E"/>
    <w:rsid w:val="00441745"/>
    <w:rsid w:val="00441D03"/>
    <w:rsid w:val="004423F9"/>
    <w:rsid w:val="00442AF4"/>
    <w:rsid w:val="00442DCC"/>
    <w:rsid w:val="00444073"/>
    <w:rsid w:val="0044415C"/>
    <w:rsid w:val="00444A18"/>
    <w:rsid w:val="004451EB"/>
    <w:rsid w:val="004461A4"/>
    <w:rsid w:val="004463AB"/>
    <w:rsid w:val="00446454"/>
    <w:rsid w:val="00446FCB"/>
    <w:rsid w:val="00450F21"/>
    <w:rsid w:val="00452122"/>
    <w:rsid w:val="004545BF"/>
    <w:rsid w:val="00454CAC"/>
    <w:rsid w:val="004552A3"/>
    <w:rsid w:val="00455510"/>
    <w:rsid w:val="0045588C"/>
    <w:rsid w:val="00455E82"/>
    <w:rsid w:val="00455EBF"/>
    <w:rsid w:val="00456044"/>
    <w:rsid w:val="0045618F"/>
    <w:rsid w:val="00456314"/>
    <w:rsid w:val="00456FAA"/>
    <w:rsid w:val="00457808"/>
    <w:rsid w:val="00457DCE"/>
    <w:rsid w:val="00457DEE"/>
    <w:rsid w:val="004600FA"/>
    <w:rsid w:val="00460A69"/>
    <w:rsid w:val="00460FBA"/>
    <w:rsid w:val="00461274"/>
    <w:rsid w:val="00461555"/>
    <w:rsid w:val="004617D7"/>
    <w:rsid w:val="004619C9"/>
    <w:rsid w:val="0046259A"/>
    <w:rsid w:val="004637FB"/>
    <w:rsid w:val="0046471B"/>
    <w:rsid w:val="00464D7C"/>
    <w:rsid w:val="00464F53"/>
    <w:rsid w:val="00465093"/>
    <w:rsid w:val="00467211"/>
    <w:rsid w:val="004674A2"/>
    <w:rsid w:val="00470221"/>
    <w:rsid w:val="00470575"/>
    <w:rsid w:val="00470A41"/>
    <w:rsid w:val="004710AE"/>
    <w:rsid w:val="00472B87"/>
    <w:rsid w:val="00472F66"/>
    <w:rsid w:val="00473A13"/>
    <w:rsid w:val="00473B41"/>
    <w:rsid w:val="00474141"/>
    <w:rsid w:val="0047459D"/>
    <w:rsid w:val="00474CD3"/>
    <w:rsid w:val="00475460"/>
    <w:rsid w:val="00475731"/>
    <w:rsid w:val="00476D71"/>
    <w:rsid w:val="00476DFD"/>
    <w:rsid w:val="00476F5F"/>
    <w:rsid w:val="004771BF"/>
    <w:rsid w:val="0047736C"/>
    <w:rsid w:val="00477DBE"/>
    <w:rsid w:val="00480351"/>
    <w:rsid w:val="00480376"/>
    <w:rsid w:val="00481057"/>
    <w:rsid w:val="00481590"/>
    <w:rsid w:val="00481778"/>
    <w:rsid w:val="00481957"/>
    <w:rsid w:val="00481B70"/>
    <w:rsid w:val="00481D2F"/>
    <w:rsid w:val="00481D79"/>
    <w:rsid w:val="00482E0E"/>
    <w:rsid w:val="00483903"/>
    <w:rsid w:val="004849D9"/>
    <w:rsid w:val="00484B53"/>
    <w:rsid w:val="00484CC1"/>
    <w:rsid w:val="00484FD3"/>
    <w:rsid w:val="0048520C"/>
    <w:rsid w:val="00485239"/>
    <w:rsid w:val="004852BC"/>
    <w:rsid w:val="004853EA"/>
    <w:rsid w:val="004867D1"/>
    <w:rsid w:val="0048695C"/>
    <w:rsid w:val="00486E7F"/>
    <w:rsid w:val="00486F54"/>
    <w:rsid w:val="00486F82"/>
    <w:rsid w:val="00487478"/>
    <w:rsid w:val="00490BC1"/>
    <w:rsid w:val="0049222F"/>
    <w:rsid w:val="004922B1"/>
    <w:rsid w:val="00492AB3"/>
    <w:rsid w:val="00492F26"/>
    <w:rsid w:val="00493029"/>
    <w:rsid w:val="00493217"/>
    <w:rsid w:val="00493789"/>
    <w:rsid w:val="00493DA1"/>
    <w:rsid w:val="0049439E"/>
    <w:rsid w:val="0049447D"/>
    <w:rsid w:val="0049495B"/>
    <w:rsid w:val="00495144"/>
    <w:rsid w:val="00495234"/>
    <w:rsid w:val="00495D8F"/>
    <w:rsid w:val="0049673D"/>
    <w:rsid w:val="0049722C"/>
    <w:rsid w:val="004972F0"/>
    <w:rsid w:val="00497538"/>
    <w:rsid w:val="0049772D"/>
    <w:rsid w:val="0049785F"/>
    <w:rsid w:val="00497ADF"/>
    <w:rsid w:val="00497E55"/>
    <w:rsid w:val="00497FC4"/>
    <w:rsid w:val="004A004D"/>
    <w:rsid w:val="004A08CF"/>
    <w:rsid w:val="004A0A77"/>
    <w:rsid w:val="004A1B8B"/>
    <w:rsid w:val="004A2107"/>
    <w:rsid w:val="004A2FE9"/>
    <w:rsid w:val="004A31D1"/>
    <w:rsid w:val="004A3288"/>
    <w:rsid w:val="004A3512"/>
    <w:rsid w:val="004A352F"/>
    <w:rsid w:val="004A43D5"/>
    <w:rsid w:val="004A4467"/>
    <w:rsid w:val="004A4C60"/>
    <w:rsid w:val="004A57C2"/>
    <w:rsid w:val="004A64E7"/>
    <w:rsid w:val="004A6CE5"/>
    <w:rsid w:val="004A730A"/>
    <w:rsid w:val="004A7D1F"/>
    <w:rsid w:val="004A7FB6"/>
    <w:rsid w:val="004B00D0"/>
    <w:rsid w:val="004B0813"/>
    <w:rsid w:val="004B092B"/>
    <w:rsid w:val="004B0A31"/>
    <w:rsid w:val="004B17A4"/>
    <w:rsid w:val="004B1DD6"/>
    <w:rsid w:val="004B2ACF"/>
    <w:rsid w:val="004B32C9"/>
    <w:rsid w:val="004B3694"/>
    <w:rsid w:val="004B4199"/>
    <w:rsid w:val="004B433D"/>
    <w:rsid w:val="004B4F8B"/>
    <w:rsid w:val="004B58CA"/>
    <w:rsid w:val="004B5AB5"/>
    <w:rsid w:val="004B63EC"/>
    <w:rsid w:val="004B7652"/>
    <w:rsid w:val="004C007A"/>
    <w:rsid w:val="004C06A1"/>
    <w:rsid w:val="004C1279"/>
    <w:rsid w:val="004C243D"/>
    <w:rsid w:val="004C2D89"/>
    <w:rsid w:val="004C3109"/>
    <w:rsid w:val="004C37E1"/>
    <w:rsid w:val="004C3B49"/>
    <w:rsid w:val="004C3D62"/>
    <w:rsid w:val="004C3FA6"/>
    <w:rsid w:val="004C4D18"/>
    <w:rsid w:val="004C5319"/>
    <w:rsid w:val="004C54E1"/>
    <w:rsid w:val="004C5806"/>
    <w:rsid w:val="004C5C28"/>
    <w:rsid w:val="004C6123"/>
    <w:rsid w:val="004C64D3"/>
    <w:rsid w:val="004C705F"/>
    <w:rsid w:val="004C766C"/>
    <w:rsid w:val="004C7BCE"/>
    <w:rsid w:val="004D0934"/>
    <w:rsid w:val="004D0D89"/>
    <w:rsid w:val="004D107F"/>
    <w:rsid w:val="004D1089"/>
    <w:rsid w:val="004D1F0E"/>
    <w:rsid w:val="004D25DC"/>
    <w:rsid w:val="004D3630"/>
    <w:rsid w:val="004D39E9"/>
    <w:rsid w:val="004D3C2D"/>
    <w:rsid w:val="004D3CA6"/>
    <w:rsid w:val="004D61D6"/>
    <w:rsid w:val="004D637C"/>
    <w:rsid w:val="004D69C2"/>
    <w:rsid w:val="004D70FA"/>
    <w:rsid w:val="004D7735"/>
    <w:rsid w:val="004E049F"/>
    <w:rsid w:val="004E08DE"/>
    <w:rsid w:val="004E0CCF"/>
    <w:rsid w:val="004E1887"/>
    <w:rsid w:val="004E2E9C"/>
    <w:rsid w:val="004E3D71"/>
    <w:rsid w:val="004E3F80"/>
    <w:rsid w:val="004E4204"/>
    <w:rsid w:val="004E43C3"/>
    <w:rsid w:val="004E44F8"/>
    <w:rsid w:val="004E5105"/>
    <w:rsid w:val="004E5658"/>
    <w:rsid w:val="004E6C69"/>
    <w:rsid w:val="004F181C"/>
    <w:rsid w:val="004F223E"/>
    <w:rsid w:val="004F22C7"/>
    <w:rsid w:val="004F2C11"/>
    <w:rsid w:val="004F2FBB"/>
    <w:rsid w:val="004F34F5"/>
    <w:rsid w:val="004F3948"/>
    <w:rsid w:val="004F4780"/>
    <w:rsid w:val="004F4956"/>
    <w:rsid w:val="004F4F11"/>
    <w:rsid w:val="004F572A"/>
    <w:rsid w:val="004F7259"/>
    <w:rsid w:val="004F75A6"/>
    <w:rsid w:val="004F795E"/>
    <w:rsid w:val="004F7A09"/>
    <w:rsid w:val="0050034B"/>
    <w:rsid w:val="00500727"/>
    <w:rsid w:val="005017E9"/>
    <w:rsid w:val="00501BF0"/>
    <w:rsid w:val="00502370"/>
    <w:rsid w:val="005025D0"/>
    <w:rsid w:val="00502A14"/>
    <w:rsid w:val="0050326C"/>
    <w:rsid w:val="00503AF7"/>
    <w:rsid w:val="0050484E"/>
    <w:rsid w:val="00504873"/>
    <w:rsid w:val="0050564C"/>
    <w:rsid w:val="00505753"/>
    <w:rsid w:val="00505979"/>
    <w:rsid w:val="005059CE"/>
    <w:rsid w:val="00505A06"/>
    <w:rsid w:val="00505BE6"/>
    <w:rsid w:val="00505CCA"/>
    <w:rsid w:val="00505DE8"/>
    <w:rsid w:val="005060FE"/>
    <w:rsid w:val="00506B17"/>
    <w:rsid w:val="00510719"/>
    <w:rsid w:val="00510ABD"/>
    <w:rsid w:val="00510C47"/>
    <w:rsid w:val="00511533"/>
    <w:rsid w:val="0051168B"/>
    <w:rsid w:val="00512397"/>
    <w:rsid w:val="00512F1F"/>
    <w:rsid w:val="00513053"/>
    <w:rsid w:val="00513602"/>
    <w:rsid w:val="00513BBB"/>
    <w:rsid w:val="0051564B"/>
    <w:rsid w:val="00515752"/>
    <w:rsid w:val="0051596B"/>
    <w:rsid w:val="00515A0F"/>
    <w:rsid w:val="00515ECF"/>
    <w:rsid w:val="00515F8E"/>
    <w:rsid w:val="00516277"/>
    <w:rsid w:val="00516DD0"/>
    <w:rsid w:val="00517DC3"/>
    <w:rsid w:val="00517F14"/>
    <w:rsid w:val="0052189F"/>
    <w:rsid w:val="0052193C"/>
    <w:rsid w:val="00521BA3"/>
    <w:rsid w:val="00521BD2"/>
    <w:rsid w:val="00522044"/>
    <w:rsid w:val="005220CE"/>
    <w:rsid w:val="005221C9"/>
    <w:rsid w:val="0052351A"/>
    <w:rsid w:val="0052402B"/>
    <w:rsid w:val="0052446D"/>
    <w:rsid w:val="0052489E"/>
    <w:rsid w:val="00524C25"/>
    <w:rsid w:val="00524C75"/>
    <w:rsid w:val="00524E97"/>
    <w:rsid w:val="00524EFA"/>
    <w:rsid w:val="005250A7"/>
    <w:rsid w:val="00525254"/>
    <w:rsid w:val="0052572B"/>
    <w:rsid w:val="005260BE"/>
    <w:rsid w:val="00526C2C"/>
    <w:rsid w:val="00527035"/>
    <w:rsid w:val="005277AD"/>
    <w:rsid w:val="00527DB3"/>
    <w:rsid w:val="005305D8"/>
    <w:rsid w:val="0053129A"/>
    <w:rsid w:val="00531E25"/>
    <w:rsid w:val="00531E2E"/>
    <w:rsid w:val="0053265A"/>
    <w:rsid w:val="00532697"/>
    <w:rsid w:val="00532837"/>
    <w:rsid w:val="00532B98"/>
    <w:rsid w:val="00534E2A"/>
    <w:rsid w:val="00534F43"/>
    <w:rsid w:val="00535167"/>
    <w:rsid w:val="00535A53"/>
    <w:rsid w:val="00535FE5"/>
    <w:rsid w:val="005368AA"/>
    <w:rsid w:val="005369DD"/>
    <w:rsid w:val="00537430"/>
    <w:rsid w:val="00537946"/>
    <w:rsid w:val="00537B98"/>
    <w:rsid w:val="00537C65"/>
    <w:rsid w:val="00540113"/>
    <w:rsid w:val="00540143"/>
    <w:rsid w:val="0054084B"/>
    <w:rsid w:val="005419A8"/>
    <w:rsid w:val="00541BC6"/>
    <w:rsid w:val="00541C05"/>
    <w:rsid w:val="0054249E"/>
    <w:rsid w:val="0054274A"/>
    <w:rsid w:val="00542C7B"/>
    <w:rsid w:val="00542EAF"/>
    <w:rsid w:val="00542FD7"/>
    <w:rsid w:val="005431E1"/>
    <w:rsid w:val="005435E0"/>
    <w:rsid w:val="00544696"/>
    <w:rsid w:val="005455DD"/>
    <w:rsid w:val="005459D4"/>
    <w:rsid w:val="00546204"/>
    <w:rsid w:val="0054620C"/>
    <w:rsid w:val="00550000"/>
    <w:rsid w:val="00551A73"/>
    <w:rsid w:val="00553568"/>
    <w:rsid w:val="005539F6"/>
    <w:rsid w:val="00553EA3"/>
    <w:rsid w:val="0055407F"/>
    <w:rsid w:val="005543E0"/>
    <w:rsid w:val="00554B0C"/>
    <w:rsid w:val="00554CD4"/>
    <w:rsid w:val="00554EDF"/>
    <w:rsid w:val="0055504B"/>
    <w:rsid w:val="005555D6"/>
    <w:rsid w:val="005565B3"/>
    <w:rsid w:val="00556BE0"/>
    <w:rsid w:val="00556DE3"/>
    <w:rsid w:val="0055789A"/>
    <w:rsid w:val="00557C90"/>
    <w:rsid w:val="0056021B"/>
    <w:rsid w:val="005605CC"/>
    <w:rsid w:val="005607B2"/>
    <w:rsid w:val="00562207"/>
    <w:rsid w:val="0056405A"/>
    <w:rsid w:val="005645FE"/>
    <w:rsid w:val="005649CE"/>
    <w:rsid w:val="00565001"/>
    <w:rsid w:val="00565CF0"/>
    <w:rsid w:val="00566133"/>
    <w:rsid w:val="00566F1D"/>
    <w:rsid w:val="005679F5"/>
    <w:rsid w:val="00567BA2"/>
    <w:rsid w:val="005702B0"/>
    <w:rsid w:val="00570C94"/>
    <w:rsid w:val="00571241"/>
    <w:rsid w:val="00571390"/>
    <w:rsid w:val="00571472"/>
    <w:rsid w:val="005716FE"/>
    <w:rsid w:val="005720FF"/>
    <w:rsid w:val="00572188"/>
    <w:rsid w:val="0057279C"/>
    <w:rsid w:val="00572ADA"/>
    <w:rsid w:val="00572D8D"/>
    <w:rsid w:val="00572F7D"/>
    <w:rsid w:val="00573291"/>
    <w:rsid w:val="0057360B"/>
    <w:rsid w:val="005736FB"/>
    <w:rsid w:val="00573AD9"/>
    <w:rsid w:val="00574446"/>
    <w:rsid w:val="005747DF"/>
    <w:rsid w:val="00574DDE"/>
    <w:rsid w:val="005751C3"/>
    <w:rsid w:val="005753CC"/>
    <w:rsid w:val="00575433"/>
    <w:rsid w:val="0057595F"/>
    <w:rsid w:val="00576491"/>
    <w:rsid w:val="005765C1"/>
    <w:rsid w:val="0057678E"/>
    <w:rsid w:val="0057694A"/>
    <w:rsid w:val="00576CAD"/>
    <w:rsid w:val="00576F96"/>
    <w:rsid w:val="005802B0"/>
    <w:rsid w:val="0058042E"/>
    <w:rsid w:val="0058178B"/>
    <w:rsid w:val="00581821"/>
    <w:rsid w:val="00581985"/>
    <w:rsid w:val="00581A6E"/>
    <w:rsid w:val="00581C62"/>
    <w:rsid w:val="00583305"/>
    <w:rsid w:val="00583892"/>
    <w:rsid w:val="00584930"/>
    <w:rsid w:val="00584B23"/>
    <w:rsid w:val="005851C7"/>
    <w:rsid w:val="00585249"/>
    <w:rsid w:val="00586A79"/>
    <w:rsid w:val="005872B4"/>
    <w:rsid w:val="00587E64"/>
    <w:rsid w:val="00590158"/>
    <w:rsid w:val="005909B9"/>
    <w:rsid w:val="00592159"/>
    <w:rsid w:val="005930A5"/>
    <w:rsid w:val="00593E57"/>
    <w:rsid w:val="005940C6"/>
    <w:rsid w:val="00594999"/>
    <w:rsid w:val="00594AD5"/>
    <w:rsid w:val="00595E8E"/>
    <w:rsid w:val="00595EAF"/>
    <w:rsid w:val="005965AC"/>
    <w:rsid w:val="005968FF"/>
    <w:rsid w:val="005977DF"/>
    <w:rsid w:val="00597C76"/>
    <w:rsid w:val="00597E2B"/>
    <w:rsid w:val="005A001B"/>
    <w:rsid w:val="005A00AA"/>
    <w:rsid w:val="005A153C"/>
    <w:rsid w:val="005A2A2F"/>
    <w:rsid w:val="005A2BDC"/>
    <w:rsid w:val="005A372C"/>
    <w:rsid w:val="005A3D03"/>
    <w:rsid w:val="005A44A2"/>
    <w:rsid w:val="005A49C7"/>
    <w:rsid w:val="005A4F1A"/>
    <w:rsid w:val="005A58D9"/>
    <w:rsid w:val="005A59E3"/>
    <w:rsid w:val="005A64DE"/>
    <w:rsid w:val="005A6558"/>
    <w:rsid w:val="005A698C"/>
    <w:rsid w:val="005B015D"/>
    <w:rsid w:val="005B0D32"/>
    <w:rsid w:val="005B0D54"/>
    <w:rsid w:val="005B121C"/>
    <w:rsid w:val="005B2FF6"/>
    <w:rsid w:val="005B3799"/>
    <w:rsid w:val="005B3909"/>
    <w:rsid w:val="005B50CE"/>
    <w:rsid w:val="005B5258"/>
    <w:rsid w:val="005B6B58"/>
    <w:rsid w:val="005B6B8C"/>
    <w:rsid w:val="005B6D31"/>
    <w:rsid w:val="005B6EF8"/>
    <w:rsid w:val="005B7AC3"/>
    <w:rsid w:val="005C02D9"/>
    <w:rsid w:val="005C0F90"/>
    <w:rsid w:val="005C1D40"/>
    <w:rsid w:val="005C34F2"/>
    <w:rsid w:val="005C41C2"/>
    <w:rsid w:val="005C4C02"/>
    <w:rsid w:val="005C5D18"/>
    <w:rsid w:val="005C5F07"/>
    <w:rsid w:val="005C61BC"/>
    <w:rsid w:val="005C6398"/>
    <w:rsid w:val="005C6DA7"/>
    <w:rsid w:val="005D000B"/>
    <w:rsid w:val="005D00B4"/>
    <w:rsid w:val="005D0CD7"/>
    <w:rsid w:val="005D1BF1"/>
    <w:rsid w:val="005D22EF"/>
    <w:rsid w:val="005D2801"/>
    <w:rsid w:val="005D40A6"/>
    <w:rsid w:val="005D4247"/>
    <w:rsid w:val="005D4A52"/>
    <w:rsid w:val="005D4FC4"/>
    <w:rsid w:val="005D573C"/>
    <w:rsid w:val="005D6442"/>
    <w:rsid w:val="005D7175"/>
    <w:rsid w:val="005D7DB3"/>
    <w:rsid w:val="005E0346"/>
    <w:rsid w:val="005E0483"/>
    <w:rsid w:val="005E067A"/>
    <w:rsid w:val="005E30C1"/>
    <w:rsid w:val="005E38BA"/>
    <w:rsid w:val="005E3BF0"/>
    <w:rsid w:val="005E4324"/>
    <w:rsid w:val="005E4899"/>
    <w:rsid w:val="005E4935"/>
    <w:rsid w:val="005E52E3"/>
    <w:rsid w:val="005E54CC"/>
    <w:rsid w:val="005E62CF"/>
    <w:rsid w:val="005E647E"/>
    <w:rsid w:val="005E6880"/>
    <w:rsid w:val="005E6E68"/>
    <w:rsid w:val="005E79DD"/>
    <w:rsid w:val="005F0AE7"/>
    <w:rsid w:val="005F0CCD"/>
    <w:rsid w:val="005F14EC"/>
    <w:rsid w:val="005F1B33"/>
    <w:rsid w:val="005F1FCE"/>
    <w:rsid w:val="005F204C"/>
    <w:rsid w:val="005F3010"/>
    <w:rsid w:val="005F362D"/>
    <w:rsid w:val="005F43FB"/>
    <w:rsid w:val="005F58AA"/>
    <w:rsid w:val="005F58C4"/>
    <w:rsid w:val="005F5929"/>
    <w:rsid w:val="005F679B"/>
    <w:rsid w:val="005F6874"/>
    <w:rsid w:val="005F71CA"/>
    <w:rsid w:val="005F7B80"/>
    <w:rsid w:val="005F7F25"/>
    <w:rsid w:val="006005B6"/>
    <w:rsid w:val="006022F3"/>
    <w:rsid w:val="00602589"/>
    <w:rsid w:val="00602A98"/>
    <w:rsid w:val="00603ADC"/>
    <w:rsid w:val="00604168"/>
    <w:rsid w:val="00604402"/>
    <w:rsid w:val="00604C08"/>
    <w:rsid w:val="00604C4B"/>
    <w:rsid w:val="00605527"/>
    <w:rsid w:val="00605BF0"/>
    <w:rsid w:val="00605E76"/>
    <w:rsid w:val="006062B7"/>
    <w:rsid w:val="006063DA"/>
    <w:rsid w:val="00606DFA"/>
    <w:rsid w:val="00607958"/>
    <w:rsid w:val="006108C2"/>
    <w:rsid w:val="00610E48"/>
    <w:rsid w:val="00610FF5"/>
    <w:rsid w:val="006114AE"/>
    <w:rsid w:val="0061213C"/>
    <w:rsid w:val="006123AF"/>
    <w:rsid w:val="006128B3"/>
    <w:rsid w:val="00612BB9"/>
    <w:rsid w:val="00613158"/>
    <w:rsid w:val="00614FA7"/>
    <w:rsid w:val="006153A6"/>
    <w:rsid w:val="0061552A"/>
    <w:rsid w:val="00615614"/>
    <w:rsid w:val="006157A3"/>
    <w:rsid w:val="00616CB2"/>
    <w:rsid w:val="00617123"/>
    <w:rsid w:val="00617B69"/>
    <w:rsid w:val="00620975"/>
    <w:rsid w:val="0062177F"/>
    <w:rsid w:val="0062290C"/>
    <w:rsid w:val="006237A9"/>
    <w:rsid w:val="0062384C"/>
    <w:rsid w:val="0062464D"/>
    <w:rsid w:val="006251FF"/>
    <w:rsid w:val="006255F2"/>
    <w:rsid w:val="00626B83"/>
    <w:rsid w:val="00626D40"/>
    <w:rsid w:val="00627C59"/>
    <w:rsid w:val="00630259"/>
    <w:rsid w:val="006318C2"/>
    <w:rsid w:val="0063228E"/>
    <w:rsid w:val="00633212"/>
    <w:rsid w:val="00633C36"/>
    <w:rsid w:val="006344C7"/>
    <w:rsid w:val="0063468C"/>
    <w:rsid w:val="006346C1"/>
    <w:rsid w:val="00634F98"/>
    <w:rsid w:val="006353AE"/>
    <w:rsid w:val="006358B6"/>
    <w:rsid w:val="00635967"/>
    <w:rsid w:val="00636620"/>
    <w:rsid w:val="006367E1"/>
    <w:rsid w:val="00636D60"/>
    <w:rsid w:val="006378FE"/>
    <w:rsid w:val="00637EB7"/>
    <w:rsid w:val="00640698"/>
    <w:rsid w:val="00640C42"/>
    <w:rsid w:val="006419BB"/>
    <w:rsid w:val="006419ED"/>
    <w:rsid w:val="00641D9E"/>
    <w:rsid w:val="00641FF2"/>
    <w:rsid w:val="006424EE"/>
    <w:rsid w:val="00645122"/>
    <w:rsid w:val="00645687"/>
    <w:rsid w:val="00645B38"/>
    <w:rsid w:val="00645BE8"/>
    <w:rsid w:val="00645CFC"/>
    <w:rsid w:val="00645EE5"/>
    <w:rsid w:val="006462BC"/>
    <w:rsid w:val="0064646B"/>
    <w:rsid w:val="00646A1C"/>
    <w:rsid w:val="00646EFC"/>
    <w:rsid w:val="006479DD"/>
    <w:rsid w:val="00650137"/>
    <w:rsid w:val="0065085A"/>
    <w:rsid w:val="00650CA4"/>
    <w:rsid w:val="006514A9"/>
    <w:rsid w:val="00651A00"/>
    <w:rsid w:val="00652A12"/>
    <w:rsid w:val="006530A6"/>
    <w:rsid w:val="00653173"/>
    <w:rsid w:val="0065468C"/>
    <w:rsid w:val="006551F0"/>
    <w:rsid w:val="006564B3"/>
    <w:rsid w:val="00656D92"/>
    <w:rsid w:val="006573B3"/>
    <w:rsid w:val="00657D9D"/>
    <w:rsid w:val="006608F5"/>
    <w:rsid w:val="00660B3C"/>
    <w:rsid w:val="006635F1"/>
    <w:rsid w:val="00663E01"/>
    <w:rsid w:val="00664484"/>
    <w:rsid w:val="006650B5"/>
    <w:rsid w:val="00665190"/>
    <w:rsid w:val="00665905"/>
    <w:rsid w:val="00665D61"/>
    <w:rsid w:val="00665FB1"/>
    <w:rsid w:val="006660F3"/>
    <w:rsid w:val="00667421"/>
    <w:rsid w:val="00667857"/>
    <w:rsid w:val="006678F9"/>
    <w:rsid w:val="00667C96"/>
    <w:rsid w:val="00670029"/>
    <w:rsid w:val="0067048D"/>
    <w:rsid w:val="006704C2"/>
    <w:rsid w:val="006709AC"/>
    <w:rsid w:val="00670D0B"/>
    <w:rsid w:val="00670FAA"/>
    <w:rsid w:val="006713AB"/>
    <w:rsid w:val="00672E99"/>
    <w:rsid w:val="0067320E"/>
    <w:rsid w:val="00673A57"/>
    <w:rsid w:val="006756E7"/>
    <w:rsid w:val="0067663F"/>
    <w:rsid w:val="00677151"/>
    <w:rsid w:val="0067784F"/>
    <w:rsid w:val="006801FD"/>
    <w:rsid w:val="00680768"/>
    <w:rsid w:val="00680DC9"/>
    <w:rsid w:val="00680F73"/>
    <w:rsid w:val="00680FF2"/>
    <w:rsid w:val="00681599"/>
    <w:rsid w:val="00681BE3"/>
    <w:rsid w:val="00681E75"/>
    <w:rsid w:val="006827D5"/>
    <w:rsid w:val="006836D3"/>
    <w:rsid w:val="00683968"/>
    <w:rsid w:val="00683BEF"/>
    <w:rsid w:val="006841C5"/>
    <w:rsid w:val="00686A78"/>
    <w:rsid w:val="0068739E"/>
    <w:rsid w:val="006906A5"/>
    <w:rsid w:val="006919FC"/>
    <w:rsid w:val="00691AA1"/>
    <w:rsid w:val="00691ED5"/>
    <w:rsid w:val="00691FF9"/>
    <w:rsid w:val="00692B05"/>
    <w:rsid w:val="006933C3"/>
    <w:rsid w:val="00693C93"/>
    <w:rsid w:val="006940BD"/>
    <w:rsid w:val="0069562B"/>
    <w:rsid w:val="00696422"/>
    <w:rsid w:val="00696737"/>
    <w:rsid w:val="00696A32"/>
    <w:rsid w:val="00696AFA"/>
    <w:rsid w:val="006A1117"/>
    <w:rsid w:val="006A1325"/>
    <w:rsid w:val="006A1350"/>
    <w:rsid w:val="006A146B"/>
    <w:rsid w:val="006A212A"/>
    <w:rsid w:val="006A24AB"/>
    <w:rsid w:val="006A3597"/>
    <w:rsid w:val="006A456D"/>
    <w:rsid w:val="006A48E4"/>
    <w:rsid w:val="006A4A35"/>
    <w:rsid w:val="006A5DD5"/>
    <w:rsid w:val="006A6104"/>
    <w:rsid w:val="006A6A39"/>
    <w:rsid w:val="006A6FA6"/>
    <w:rsid w:val="006A7336"/>
    <w:rsid w:val="006B14DC"/>
    <w:rsid w:val="006B2739"/>
    <w:rsid w:val="006B3BFC"/>
    <w:rsid w:val="006B42DD"/>
    <w:rsid w:val="006B497D"/>
    <w:rsid w:val="006B5635"/>
    <w:rsid w:val="006B587F"/>
    <w:rsid w:val="006B5F59"/>
    <w:rsid w:val="006B6861"/>
    <w:rsid w:val="006B74D6"/>
    <w:rsid w:val="006B7A6B"/>
    <w:rsid w:val="006B7AB9"/>
    <w:rsid w:val="006B7C1B"/>
    <w:rsid w:val="006C0E4A"/>
    <w:rsid w:val="006C1117"/>
    <w:rsid w:val="006C17F0"/>
    <w:rsid w:val="006C19EC"/>
    <w:rsid w:val="006C1EEC"/>
    <w:rsid w:val="006C2130"/>
    <w:rsid w:val="006C213A"/>
    <w:rsid w:val="006C27F2"/>
    <w:rsid w:val="006C3057"/>
    <w:rsid w:val="006C306B"/>
    <w:rsid w:val="006C3A6B"/>
    <w:rsid w:val="006C3A79"/>
    <w:rsid w:val="006C3C12"/>
    <w:rsid w:val="006C4730"/>
    <w:rsid w:val="006C475F"/>
    <w:rsid w:val="006C6103"/>
    <w:rsid w:val="006C6358"/>
    <w:rsid w:val="006C6923"/>
    <w:rsid w:val="006C6F1A"/>
    <w:rsid w:val="006C776C"/>
    <w:rsid w:val="006C7D5E"/>
    <w:rsid w:val="006D0368"/>
    <w:rsid w:val="006D080A"/>
    <w:rsid w:val="006D0940"/>
    <w:rsid w:val="006D1711"/>
    <w:rsid w:val="006D1834"/>
    <w:rsid w:val="006D1A8E"/>
    <w:rsid w:val="006D1B08"/>
    <w:rsid w:val="006D2088"/>
    <w:rsid w:val="006D21FA"/>
    <w:rsid w:val="006D3057"/>
    <w:rsid w:val="006D349B"/>
    <w:rsid w:val="006D406B"/>
    <w:rsid w:val="006D4727"/>
    <w:rsid w:val="006D49DE"/>
    <w:rsid w:val="006D4C5B"/>
    <w:rsid w:val="006D4D5B"/>
    <w:rsid w:val="006D4F10"/>
    <w:rsid w:val="006D5397"/>
    <w:rsid w:val="006D5C4E"/>
    <w:rsid w:val="006D6D31"/>
    <w:rsid w:val="006D6EE5"/>
    <w:rsid w:val="006D6FF3"/>
    <w:rsid w:val="006D71F4"/>
    <w:rsid w:val="006E04FD"/>
    <w:rsid w:val="006E1FEE"/>
    <w:rsid w:val="006E2DE5"/>
    <w:rsid w:val="006E3699"/>
    <w:rsid w:val="006E37B2"/>
    <w:rsid w:val="006E387B"/>
    <w:rsid w:val="006E3A18"/>
    <w:rsid w:val="006E3CA1"/>
    <w:rsid w:val="006E3FA1"/>
    <w:rsid w:val="006E43C6"/>
    <w:rsid w:val="006E52D3"/>
    <w:rsid w:val="006E559F"/>
    <w:rsid w:val="006E58B0"/>
    <w:rsid w:val="006E5CA9"/>
    <w:rsid w:val="006E679A"/>
    <w:rsid w:val="006E7C3E"/>
    <w:rsid w:val="006F0725"/>
    <w:rsid w:val="006F0769"/>
    <w:rsid w:val="006F0788"/>
    <w:rsid w:val="006F0FFB"/>
    <w:rsid w:val="006F1274"/>
    <w:rsid w:val="006F1D38"/>
    <w:rsid w:val="006F249E"/>
    <w:rsid w:val="006F29AA"/>
    <w:rsid w:val="006F33A5"/>
    <w:rsid w:val="006F3725"/>
    <w:rsid w:val="006F3970"/>
    <w:rsid w:val="006F4058"/>
    <w:rsid w:val="006F409B"/>
    <w:rsid w:val="006F442C"/>
    <w:rsid w:val="006F4FB2"/>
    <w:rsid w:val="006F4FDD"/>
    <w:rsid w:val="006F5564"/>
    <w:rsid w:val="006F5F0C"/>
    <w:rsid w:val="006F60ED"/>
    <w:rsid w:val="006F6388"/>
    <w:rsid w:val="006F6B5E"/>
    <w:rsid w:val="006F6F9D"/>
    <w:rsid w:val="006F741F"/>
    <w:rsid w:val="006F78E2"/>
    <w:rsid w:val="007001D4"/>
    <w:rsid w:val="0070038C"/>
    <w:rsid w:val="00700621"/>
    <w:rsid w:val="0070097F"/>
    <w:rsid w:val="007009FD"/>
    <w:rsid w:val="007019CD"/>
    <w:rsid w:val="00701F24"/>
    <w:rsid w:val="0070231C"/>
    <w:rsid w:val="00702C89"/>
    <w:rsid w:val="007030D6"/>
    <w:rsid w:val="007043E9"/>
    <w:rsid w:val="007044E8"/>
    <w:rsid w:val="00704B08"/>
    <w:rsid w:val="00705D20"/>
    <w:rsid w:val="00706BB1"/>
    <w:rsid w:val="00710035"/>
    <w:rsid w:val="00710469"/>
    <w:rsid w:val="00710BF6"/>
    <w:rsid w:val="00711654"/>
    <w:rsid w:val="00711862"/>
    <w:rsid w:val="00711A59"/>
    <w:rsid w:val="00711C4F"/>
    <w:rsid w:val="00712114"/>
    <w:rsid w:val="0071277C"/>
    <w:rsid w:val="007129DF"/>
    <w:rsid w:val="00712AF8"/>
    <w:rsid w:val="0071315F"/>
    <w:rsid w:val="007134E9"/>
    <w:rsid w:val="007138EA"/>
    <w:rsid w:val="0071394D"/>
    <w:rsid w:val="00714E55"/>
    <w:rsid w:val="00715084"/>
    <w:rsid w:val="00715D13"/>
    <w:rsid w:val="00716820"/>
    <w:rsid w:val="00716F5C"/>
    <w:rsid w:val="00717FCC"/>
    <w:rsid w:val="00720316"/>
    <w:rsid w:val="0072115A"/>
    <w:rsid w:val="00721B6C"/>
    <w:rsid w:val="00721D3C"/>
    <w:rsid w:val="0072272D"/>
    <w:rsid w:val="00722C33"/>
    <w:rsid w:val="00724A76"/>
    <w:rsid w:val="00725483"/>
    <w:rsid w:val="00725536"/>
    <w:rsid w:val="00725E8A"/>
    <w:rsid w:val="00726416"/>
    <w:rsid w:val="0072678A"/>
    <w:rsid w:val="00726F89"/>
    <w:rsid w:val="00727311"/>
    <w:rsid w:val="00727703"/>
    <w:rsid w:val="00727A97"/>
    <w:rsid w:val="00727C75"/>
    <w:rsid w:val="00727D05"/>
    <w:rsid w:val="00731052"/>
    <w:rsid w:val="00731788"/>
    <w:rsid w:val="00731899"/>
    <w:rsid w:val="00731D25"/>
    <w:rsid w:val="00731E09"/>
    <w:rsid w:val="00731EA4"/>
    <w:rsid w:val="007323B7"/>
    <w:rsid w:val="0073265F"/>
    <w:rsid w:val="00733BF3"/>
    <w:rsid w:val="00735C79"/>
    <w:rsid w:val="00736221"/>
    <w:rsid w:val="00736477"/>
    <w:rsid w:val="00736591"/>
    <w:rsid w:val="00737301"/>
    <w:rsid w:val="00737550"/>
    <w:rsid w:val="0073766D"/>
    <w:rsid w:val="00737FDD"/>
    <w:rsid w:val="007406C1"/>
    <w:rsid w:val="0074155E"/>
    <w:rsid w:val="007418F3"/>
    <w:rsid w:val="00741AE4"/>
    <w:rsid w:val="00741F98"/>
    <w:rsid w:val="007426DD"/>
    <w:rsid w:val="0074299B"/>
    <w:rsid w:val="00743AC8"/>
    <w:rsid w:val="007440D8"/>
    <w:rsid w:val="00744EC1"/>
    <w:rsid w:val="0074555C"/>
    <w:rsid w:val="00745DEB"/>
    <w:rsid w:val="00745F72"/>
    <w:rsid w:val="007465B0"/>
    <w:rsid w:val="0074694B"/>
    <w:rsid w:val="00746BAD"/>
    <w:rsid w:val="00747957"/>
    <w:rsid w:val="00747F14"/>
    <w:rsid w:val="00750BC4"/>
    <w:rsid w:val="00750DFB"/>
    <w:rsid w:val="0075109F"/>
    <w:rsid w:val="007510A5"/>
    <w:rsid w:val="00751AB2"/>
    <w:rsid w:val="00751E60"/>
    <w:rsid w:val="00753252"/>
    <w:rsid w:val="0075408A"/>
    <w:rsid w:val="00754961"/>
    <w:rsid w:val="00754B6F"/>
    <w:rsid w:val="0076111E"/>
    <w:rsid w:val="00761151"/>
    <w:rsid w:val="007613B3"/>
    <w:rsid w:val="00762596"/>
    <w:rsid w:val="007628E4"/>
    <w:rsid w:val="00763F6A"/>
    <w:rsid w:val="00764F45"/>
    <w:rsid w:val="0076678D"/>
    <w:rsid w:val="00766A01"/>
    <w:rsid w:val="00766AC6"/>
    <w:rsid w:val="00766F1A"/>
    <w:rsid w:val="00766FDC"/>
    <w:rsid w:val="0076714F"/>
    <w:rsid w:val="00767635"/>
    <w:rsid w:val="0076787A"/>
    <w:rsid w:val="00767F1A"/>
    <w:rsid w:val="00767FDB"/>
    <w:rsid w:val="00770453"/>
    <w:rsid w:val="0077091C"/>
    <w:rsid w:val="007713EF"/>
    <w:rsid w:val="00771C1B"/>
    <w:rsid w:val="00771FAC"/>
    <w:rsid w:val="007729EF"/>
    <w:rsid w:val="00772C37"/>
    <w:rsid w:val="00773395"/>
    <w:rsid w:val="007733E2"/>
    <w:rsid w:val="00773B69"/>
    <w:rsid w:val="00773F31"/>
    <w:rsid w:val="0077446C"/>
    <w:rsid w:val="007748AB"/>
    <w:rsid w:val="00774B59"/>
    <w:rsid w:val="0077519C"/>
    <w:rsid w:val="00775D4E"/>
    <w:rsid w:val="00776138"/>
    <w:rsid w:val="0077626D"/>
    <w:rsid w:val="00776286"/>
    <w:rsid w:val="00776FD2"/>
    <w:rsid w:val="00777187"/>
    <w:rsid w:val="007775F7"/>
    <w:rsid w:val="00777A0A"/>
    <w:rsid w:val="00781E32"/>
    <w:rsid w:val="007827CE"/>
    <w:rsid w:val="00782BE8"/>
    <w:rsid w:val="00782CEE"/>
    <w:rsid w:val="00782D2B"/>
    <w:rsid w:val="00783604"/>
    <w:rsid w:val="00783C8C"/>
    <w:rsid w:val="00784223"/>
    <w:rsid w:val="00785332"/>
    <w:rsid w:val="007866A8"/>
    <w:rsid w:val="007874C5"/>
    <w:rsid w:val="007876CA"/>
    <w:rsid w:val="0079146D"/>
    <w:rsid w:val="007918F3"/>
    <w:rsid w:val="00791E77"/>
    <w:rsid w:val="00791F6C"/>
    <w:rsid w:val="00792709"/>
    <w:rsid w:val="00792A7F"/>
    <w:rsid w:val="00792BB6"/>
    <w:rsid w:val="00792FA6"/>
    <w:rsid w:val="007932C0"/>
    <w:rsid w:val="0079378C"/>
    <w:rsid w:val="00795CA6"/>
    <w:rsid w:val="00795D58"/>
    <w:rsid w:val="00796ECB"/>
    <w:rsid w:val="007A00F0"/>
    <w:rsid w:val="007A0DB4"/>
    <w:rsid w:val="007A13C8"/>
    <w:rsid w:val="007A1D54"/>
    <w:rsid w:val="007A2F91"/>
    <w:rsid w:val="007A3187"/>
    <w:rsid w:val="007A3842"/>
    <w:rsid w:val="007A3F0E"/>
    <w:rsid w:val="007A50C0"/>
    <w:rsid w:val="007A5C7C"/>
    <w:rsid w:val="007A625C"/>
    <w:rsid w:val="007A6297"/>
    <w:rsid w:val="007A7882"/>
    <w:rsid w:val="007A78AA"/>
    <w:rsid w:val="007A78E7"/>
    <w:rsid w:val="007B0929"/>
    <w:rsid w:val="007B09F0"/>
    <w:rsid w:val="007B1623"/>
    <w:rsid w:val="007B2308"/>
    <w:rsid w:val="007B2359"/>
    <w:rsid w:val="007B2F3D"/>
    <w:rsid w:val="007B34A1"/>
    <w:rsid w:val="007B38B3"/>
    <w:rsid w:val="007B3A2B"/>
    <w:rsid w:val="007B42AE"/>
    <w:rsid w:val="007B4DE9"/>
    <w:rsid w:val="007B4E4C"/>
    <w:rsid w:val="007B5A08"/>
    <w:rsid w:val="007B5CC8"/>
    <w:rsid w:val="007B5DAD"/>
    <w:rsid w:val="007B682D"/>
    <w:rsid w:val="007B6A4B"/>
    <w:rsid w:val="007B73D0"/>
    <w:rsid w:val="007B7B2D"/>
    <w:rsid w:val="007B7DBE"/>
    <w:rsid w:val="007B7FCD"/>
    <w:rsid w:val="007C03D2"/>
    <w:rsid w:val="007C06A5"/>
    <w:rsid w:val="007C0E5F"/>
    <w:rsid w:val="007C0FBC"/>
    <w:rsid w:val="007C26E4"/>
    <w:rsid w:val="007C276A"/>
    <w:rsid w:val="007C2AFF"/>
    <w:rsid w:val="007C3722"/>
    <w:rsid w:val="007C4162"/>
    <w:rsid w:val="007C4C13"/>
    <w:rsid w:val="007C5313"/>
    <w:rsid w:val="007C56BE"/>
    <w:rsid w:val="007C5F8C"/>
    <w:rsid w:val="007C5FBF"/>
    <w:rsid w:val="007C6AC0"/>
    <w:rsid w:val="007C7213"/>
    <w:rsid w:val="007D0A68"/>
    <w:rsid w:val="007D0C49"/>
    <w:rsid w:val="007D0EB3"/>
    <w:rsid w:val="007D15C4"/>
    <w:rsid w:val="007D246D"/>
    <w:rsid w:val="007D485C"/>
    <w:rsid w:val="007D67C6"/>
    <w:rsid w:val="007D75EE"/>
    <w:rsid w:val="007D772E"/>
    <w:rsid w:val="007D7C86"/>
    <w:rsid w:val="007D7D15"/>
    <w:rsid w:val="007E14DA"/>
    <w:rsid w:val="007E15A7"/>
    <w:rsid w:val="007E1632"/>
    <w:rsid w:val="007E186B"/>
    <w:rsid w:val="007E34D1"/>
    <w:rsid w:val="007E364C"/>
    <w:rsid w:val="007E3A86"/>
    <w:rsid w:val="007E4C4E"/>
    <w:rsid w:val="007E4E37"/>
    <w:rsid w:val="007E63F9"/>
    <w:rsid w:val="007E722D"/>
    <w:rsid w:val="007E7292"/>
    <w:rsid w:val="007E7519"/>
    <w:rsid w:val="007E76B2"/>
    <w:rsid w:val="007E79FA"/>
    <w:rsid w:val="007F0199"/>
    <w:rsid w:val="007F05D7"/>
    <w:rsid w:val="007F07F5"/>
    <w:rsid w:val="007F0B8E"/>
    <w:rsid w:val="007F1086"/>
    <w:rsid w:val="007F131D"/>
    <w:rsid w:val="007F21CD"/>
    <w:rsid w:val="007F2B44"/>
    <w:rsid w:val="007F3359"/>
    <w:rsid w:val="007F3481"/>
    <w:rsid w:val="007F37FB"/>
    <w:rsid w:val="007F3B37"/>
    <w:rsid w:val="007F3E43"/>
    <w:rsid w:val="007F40B0"/>
    <w:rsid w:val="007F40FA"/>
    <w:rsid w:val="007F45BD"/>
    <w:rsid w:val="007F46BD"/>
    <w:rsid w:val="007F48B8"/>
    <w:rsid w:val="007F5C44"/>
    <w:rsid w:val="007F6B8D"/>
    <w:rsid w:val="007F7159"/>
    <w:rsid w:val="007F76AD"/>
    <w:rsid w:val="008012ED"/>
    <w:rsid w:val="00801485"/>
    <w:rsid w:val="00801B63"/>
    <w:rsid w:val="00802A77"/>
    <w:rsid w:val="00803003"/>
    <w:rsid w:val="0080354E"/>
    <w:rsid w:val="00803B79"/>
    <w:rsid w:val="00803CAE"/>
    <w:rsid w:val="00803E02"/>
    <w:rsid w:val="00803EF6"/>
    <w:rsid w:val="00804EA6"/>
    <w:rsid w:val="008055A5"/>
    <w:rsid w:val="008060B3"/>
    <w:rsid w:val="00806F7F"/>
    <w:rsid w:val="00807026"/>
    <w:rsid w:val="00807889"/>
    <w:rsid w:val="00810305"/>
    <w:rsid w:val="008107A2"/>
    <w:rsid w:val="00810E02"/>
    <w:rsid w:val="008115C3"/>
    <w:rsid w:val="00811782"/>
    <w:rsid w:val="00813492"/>
    <w:rsid w:val="00813C6E"/>
    <w:rsid w:val="008157C4"/>
    <w:rsid w:val="00816727"/>
    <w:rsid w:val="00816C8E"/>
    <w:rsid w:val="008173A1"/>
    <w:rsid w:val="00817953"/>
    <w:rsid w:val="0082025F"/>
    <w:rsid w:val="00820505"/>
    <w:rsid w:val="00820BD4"/>
    <w:rsid w:val="00821261"/>
    <w:rsid w:val="008215B8"/>
    <w:rsid w:val="008216CA"/>
    <w:rsid w:val="00821811"/>
    <w:rsid w:val="00821C1D"/>
    <w:rsid w:val="00821F12"/>
    <w:rsid w:val="00822538"/>
    <w:rsid w:val="00822B3B"/>
    <w:rsid w:val="00822C00"/>
    <w:rsid w:val="00822D80"/>
    <w:rsid w:val="008235C0"/>
    <w:rsid w:val="00823634"/>
    <w:rsid w:val="00823ADB"/>
    <w:rsid w:val="00824D55"/>
    <w:rsid w:val="00825044"/>
    <w:rsid w:val="008254FA"/>
    <w:rsid w:val="008262E0"/>
    <w:rsid w:val="00826637"/>
    <w:rsid w:val="00826E32"/>
    <w:rsid w:val="00827234"/>
    <w:rsid w:val="00827702"/>
    <w:rsid w:val="00827D7F"/>
    <w:rsid w:val="00827E70"/>
    <w:rsid w:val="008310EB"/>
    <w:rsid w:val="008317B1"/>
    <w:rsid w:val="00831CE6"/>
    <w:rsid w:val="00832E25"/>
    <w:rsid w:val="00833BF7"/>
    <w:rsid w:val="00833D12"/>
    <w:rsid w:val="00833DF5"/>
    <w:rsid w:val="0083442C"/>
    <w:rsid w:val="0083446E"/>
    <w:rsid w:val="0083447B"/>
    <w:rsid w:val="00834C39"/>
    <w:rsid w:val="00835E3C"/>
    <w:rsid w:val="0083608D"/>
    <w:rsid w:val="00836695"/>
    <w:rsid w:val="0083726F"/>
    <w:rsid w:val="00837855"/>
    <w:rsid w:val="008379B8"/>
    <w:rsid w:val="0084020E"/>
    <w:rsid w:val="0084065E"/>
    <w:rsid w:val="00840E44"/>
    <w:rsid w:val="00841863"/>
    <w:rsid w:val="00841CA2"/>
    <w:rsid w:val="00843255"/>
    <w:rsid w:val="00844142"/>
    <w:rsid w:val="00844714"/>
    <w:rsid w:val="00845F07"/>
    <w:rsid w:val="0084614E"/>
    <w:rsid w:val="0084670C"/>
    <w:rsid w:val="00846937"/>
    <w:rsid w:val="00847007"/>
    <w:rsid w:val="008474F0"/>
    <w:rsid w:val="00847990"/>
    <w:rsid w:val="00850B0E"/>
    <w:rsid w:val="00850CA5"/>
    <w:rsid w:val="0085192C"/>
    <w:rsid w:val="0085202D"/>
    <w:rsid w:val="008520D6"/>
    <w:rsid w:val="0085275D"/>
    <w:rsid w:val="00852B39"/>
    <w:rsid w:val="00853672"/>
    <w:rsid w:val="00853DF3"/>
    <w:rsid w:val="008540B0"/>
    <w:rsid w:val="008540D1"/>
    <w:rsid w:val="00854BC8"/>
    <w:rsid w:val="00854FA3"/>
    <w:rsid w:val="008551C8"/>
    <w:rsid w:val="00855D50"/>
    <w:rsid w:val="008566B8"/>
    <w:rsid w:val="008568D3"/>
    <w:rsid w:val="00856EB0"/>
    <w:rsid w:val="0085759F"/>
    <w:rsid w:val="00857AD1"/>
    <w:rsid w:val="00861889"/>
    <w:rsid w:val="00861AB4"/>
    <w:rsid w:val="008623B6"/>
    <w:rsid w:val="008623E9"/>
    <w:rsid w:val="00862C1C"/>
    <w:rsid w:val="00862F60"/>
    <w:rsid w:val="008633B9"/>
    <w:rsid w:val="00864828"/>
    <w:rsid w:val="00864B82"/>
    <w:rsid w:val="00864DAE"/>
    <w:rsid w:val="00864EC4"/>
    <w:rsid w:val="00864FBB"/>
    <w:rsid w:val="008653E2"/>
    <w:rsid w:val="00866166"/>
    <w:rsid w:val="00870895"/>
    <w:rsid w:val="00870B0F"/>
    <w:rsid w:val="0087119D"/>
    <w:rsid w:val="00871ACD"/>
    <w:rsid w:val="00871F3D"/>
    <w:rsid w:val="00873229"/>
    <w:rsid w:val="0087494B"/>
    <w:rsid w:val="00874A53"/>
    <w:rsid w:val="00875919"/>
    <w:rsid w:val="00875C00"/>
    <w:rsid w:val="008763E5"/>
    <w:rsid w:val="00876603"/>
    <w:rsid w:val="00876E2F"/>
    <w:rsid w:val="00877B80"/>
    <w:rsid w:val="00877E1E"/>
    <w:rsid w:val="00880B81"/>
    <w:rsid w:val="00880CED"/>
    <w:rsid w:val="0088155D"/>
    <w:rsid w:val="00881605"/>
    <w:rsid w:val="00881783"/>
    <w:rsid w:val="008818D2"/>
    <w:rsid w:val="00882330"/>
    <w:rsid w:val="0088236E"/>
    <w:rsid w:val="00882991"/>
    <w:rsid w:val="00882DD2"/>
    <w:rsid w:val="00882F81"/>
    <w:rsid w:val="0088306F"/>
    <w:rsid w:val="008834FB"/>
    <w:rsid w:val="00883AD4"/>
    <w:rsid w:val="00883E2E"/>
    <w:rsid w:val="0088514B"/>
    <w:rsid w:val="00885E17"/>
    <w:rsid w:val="00886A92"/>
    <w:rsid w:val="00886FDA"/>
    <w:rsid w:val="00887694"/>
    <w:rsid w:val="00887A09"/>
    <w:rsid w:val="00887AFE"/>
    <w:rsid w:val="0089040A"/>
    <w:rsid w:val="00890837"/>
    <w:rsid w:val="00890CB3"/>
    <w:rsid w:val="00891750"/>
    <w:rsid w:val="00891843"/>
    <w:rsid w:val="00891D25"/>
    <w:rsid w:val="00892274"/>
    <w:rsid w:val="008927C9"/>
    <w:rsid w:val="00892938"/>
    <w:rsid w:val="00892D0E"/>
    <w:rsid w:val="008952BD"/>
    <w:rsid w:val="0089538E"/>
    <w:rsid w:val="008954F3"/>
    <w:rsid w:val="00895A80"/>
    <w:rsid w:val="00895B3E"/>
    <w:rsid w:val="00896690"/>
    <w:rsid w:val="008979F8"/>
    <w:rsid w:val="00897DB6"/>
    <w:rsid w:val="008A00B0"/>
    <w:rsid w:val="008A04F0"/>
    <w:rsid w:val="008A12A3"/>
    <w:rsid w:val="008A2947"/>
    <w:rsid w:val="008A2A20"/>
    <w:rsid w:val="008A2C5C"/>
    <w:rsid w:val="008A37ED"/>
    <w:rsid w:val="008A3805"/>
    <w:rsid w:val="008A501C"/>
    <w:rsid w:val="008A5378"/>
    <w:rsid w:val="008A5429"/>
    <w:rsid w:val="008A6A42"/>
    <w:rsid w:val="008A6FB7"/>
    <w:rsid w:val="008A76DD"/>
    <w:rsid w:val="008A7BDD"/>
    <w:rsid w:val="008A7E94"/>
    <w:rsid w:val="008B0275"/>
    <w:rsid w:val="008B0FDD"/>
    <w:rsid w:val="008B1504"/>
    <w:rsid w:val="008B22D4"/>
    <w:rsid w:val="008B25BA"/>
    <w:rsid w:val="008B2BA7"/>
    <w:rsid w:val="008B2D51"/>
    <w:rsid w:val="008B2EA5"/>
    <w:rsid w:val="008B34D4"/>
    <w:rsid w:val="008B3B75"/>
    <w:rsid w:val="008B4649"/>
    <w:rsid w:val="008B46D6"/>
    <w:rsid w:val="008B4E6D"/>
    <w:rsid w:val="008B52CA"/>
    <w:rsid w:val="008B6366"/>
    <w:rsid w:val="008B6611"/>
    <w:rsid w:val="008B6812"/>
    <w:rsid w:val="008B6C88"/>
    <w:rsid w:val="008B7CD0"/>
    <w:rsid w:val="008C1467"/>
    <w:rsid w:val="008C376E"/>
    <w:rsid w:val="008C3E56"/>
    <w:rsid w:val="008C3F0A"/>
    <w:rsid w:val="008C43E7"/>
    <w:rsid w:val="008C5318"/>
    <w:rsid w:val="008C531B"/>
    <w:rsid w:val="008C5551"/>
    <w:rsid w:val="008C5658"/>
    <w:rsid w:val="008C57DB"/>
    <w:rsid w:val="008C58F3"/>
    <w:rsid w:val="008C7CC1"/>
    <w:rsid w:val="008D15EE"/>
    <w:rsid w:val="008D1E04"/>
    <w:rsid w:val="008D1EFA"/>
    <w:rsid w:val="008D2F9D"/>
    <w:rsid w:val="008D33D6"/>
    <w:rsid w:val="008D3502"/>
    <w:rsid w:val="008D3E8A"/>
    <w:rsid w:val="008D51F9"/>
    <w:rsid w:val="008D5C68"/>
    <w:rsid w:val="008D6119"/>
    <w:rsid w:val="008D6A84"/>
    <w:rsid w:val="008D7433"/>
    <w:rsid w:val="008D74E8"/>
    <w:rsid w:val="008D78E5"/>
    <w:rsid w:val="008D795F"/>
    <w:rsid w:val="008D7E15"/>
    <w:rsid w:val="008E07C9"/>
    <w:rsid w:val="008E0D04"/>
    <w:rsid w:val="008E2723"/>
    <w:rsid w:val="008E2D83"/>
    <w:rsid w:val="008E4872"/>
    <w:rsid w:val="008E4FD4"/>
    <w:rsid w:val="008E5DA9"/>
    <w:rsid w:val="008E5E1F"/>
    <w:rsid w:val="008E6035"/>
    <w:rsid w:val="008E6365"/>
    <w:rsid w:val="008E660F"/>
    <w:rsid w:val="008E6926"/>
    <w:rsid w:val="008E6C19"/>
    <w:rsid w:val="008E7190"/>
    <w:rsid w:val="008E7984"/>
    <w:rsid w:val="008E7ADE"/>
    <w:rsid w:val="008F0500"/>
    <w:rsid w:val="008F0B82"/>
    <w:rsid w:val="008F1708"/>
    <w:rsid w:val="008F1F56"/>
    <w:rsid w:val="008F2472"/>
    <w:rsid w:val="008F2925"/>
    <w:rsid w:val="008F3543"/>
    <w:rsid w:val="008F3829"/>
    <w:rsid w:val="008F4C79"/>
    <w:rsid w:val="0090031A"/>
    <w:rsid w:val="00901E05"/>
    <w:rsid w:val="00902BBD"/>
    <w:rsid w:val="00903313"/>
    <w:rsid w:val="00903AE9"/>
    <w:rsid w:val="00904587"/>
    <w:rsid w:val="00904AF1"/>
    <w:rsid w:val="00904C92"/>
    <w:rsid w:val="009053FC"/>
    <w:rsid w:val="00905924"/>
    <w:rsid w:val="0090635B"/>
    <w:rsid w:val="009065B4"/>
    <w:rsid w:val="009073EB"/>
    <w:rsid w:val="00907875"/>
    <w:rsid w:val="009100F7"/>
    <w:rsid w:val="00910816"/>
    <w:rsid w:val="00910FF3"/>
    <w:rsid w:val="00911FFB"/>
    <w:rsid w:val="00912A08"/>
    <w:rsid w:val="009132CF"/>
    <w:rsid w:val="00913E57"/>
    <w:rsid w:val="00915F3C"/>
    <w:rsid w:val="009162C4"/>
    <w:rsid w:val="009163AF"/>
    <w:rsid w:val="009168E7"/>
    <w:rsid w:val="00916E2E"/>
    <w:rsid w:val="00917518"/>
    <w:rsid w:val="009204AB"/>
    <w:rsid w:val="00920A8F"/>
    <w:rsid w:val="00920E85"/>
    <w:rsid w:val="00920ED9"/>
    <w:rsid w:val="009219A3"/>
    <w:rsid w:val="009219CB"/>
    <w:rsid w:val="009221BF"/>
    <w:rsid w:val="0092267A"/>
    <w:rsid w:val="00923428"/>
    <w:rsid w:val="00923B0A"/>
    <w:rsid w:val="00923BB7"/>
    <w:rsid w:val="00924373"/>
    <w:rsid w:val="009244CD"/>
    <w:rsid w:val="0092590E"/>
    <w:rsid w:val="00925EB4"/>
    <w:rsid w:val="00925F0E"/>
    <w:rsid w:val="009260F2"/>
    <w:rsid w:val="009269E4"/>
    <w:rsid w:val="00927580"/>
    <w:rsid w:val="0092765F"/>
    <w:rsid w:val="009277DE"/>
    <w:rsid w:val="00927FF5"/>
    <w:rsid w:val="0093005D"/>
    <w:rsid w:val="00930787"/>
    <w:rsid w:val="00930903"/>
    <w:rsid w:val="009309F0"/>
    <w:rsid w:val="00931790"/>
    <w:rsid w:val="00931C50"/>
    <w:rsid w:val="00932DDF"/>
    <w:rsid w:val="00932E8C"/>
    <w:rsid w:val="00933981"/>
    <w:rsid w:val="00933E8C"/>
    <w:rsid w:val="009344D3"/>
    <w:rsid w:val="009354A8"/>
    <w:rsid w:val="009358BE"/>
    <w:rsid w:val="00935D7F"/>
    <w:rsid w:val="00936497"/>
    <w:rsid w:val="00937A4A"/>
    <w:rsid w:val="00937CAD"/>
    <w:rsid w:val="00937F30"/>
    <w:rsid w:val="00937F8A"/>
    <w:rsid w:val="00940240"/>
    <w:rsid w:val="009406DE"/>
    <w:rsid w:val="00941095"/>
    <w:rsid w:val="00941B93"/>
    <w:rsid w:val="00941CC8"/>
    <w:rsid w:val="00941E3D"/>
    <w:rsid w:val="00942080"/>
    <w:rsid w:val="009423B1"/>
    <w:rsid w:val="00942675"/>
    <w:rsid w:val="009426C1"/>
    <w:rsid w:val="009429B8"/>
    <w:rsid w:val="00942EA6"/>
    <w:rsid w:val="00943079"/>
    <w:rsid w:val="00943139"/>
    <w:rsid w:val="009432B0"/>
    <w:rsid w:val="00943591"/>
    <w:rsid w:val="009441B2"/>
    <w:rsid w:val="00944A74"/>
    <w:rsid w:val="00945244"/>
    <w:rsid w:val="00945410"/>
    <w:rsid w:val="009456D6"/>
    <w:rsid w:val="00946176"/>
    <w:rsid w:val="00947ABC"/>
    <w:rsid w:val="0095033E"/>
    <w:rsid w:val="00951329"/>
    <w:rsid w:val="0095277B"/>
    <w:rsid w:val="009527D1"/>
    <w:rsid w:val="0095297E"/>
    <w:rsid w:val="00952C97"/>
    <w:rsid w:val="00953361"/>
    <w:rsid w:val="00953495"/>
    <w:rsid w:val="009547D6"/>
    <w:rsid w:val="00954BD0"/>
    <w:rsid w:val="00955200"/>
    <w:rsid w:val="00955233"/>
    <w:rsid w:val="0095558E"/>
    <w:rsid w:val="00955877"/>
    <w:rsid w:val="00955C66"/>
    <w:rsid w:val="009560D3"/>
    <w:rsid w:val="009563C1"/>
    <w:rsid w:val="0095673E"/>
    <w:rsid w:val="00956879"/>
    <w:rsid w:val="00956E15"/>
    <w:rsid w:val="009573F5"/>
    <w:rsid w:val="00960460"/>
    <w:rsid w:val="00960829"/>
    <w:rsid w:val="00960E52"/>
    <w:rsid w:val="00961669"/>
    <w:rsid w:val="00962774"/>
    <w:rsid w:val="00963265"/>
    <w:rsid w:val="00963A56"/>
    <w:rsid w:val="00963F72"/>
    <w:rsid w:val="00964758"/>
    <w:rsid w:val="00965351"/>
    <w:rsid w:val="009665EE"/>
    <w:rsid w:val="00966DA8"/>
    <w:rsid w:val="00966EAB"/>
    <w:rsid w:val="009677F1"/>
    <w:rsid w:val="00967B34"/>
    <w:rsid w:val="00967D77"/>
    <w:rsid w:val="00970352"/>
    <w:rsid w:val="0097070C"/>
    <w:rsid w:val="009711AD"/>
    <w:rsid w:val="0097122A"/>
    <w:rsid w:val="00971C0E"/>
    <w:rsid w:val="00972AB8"/>
    <w:rsid w:val="00972DF9"/>
    <w:rsid w:val="00973361"/>
    <w:rsid w:val="009739A5"/>
    <w:rsid w:val="00973A0F"/>
    <w:rsid w:val="0097438A"/>
    <w:rsid w:val="00974A24"/>
    <w:rsid w:val="00974E3F"/>
    <w:rsid w:val="00974F26"/>
    <w:rsid w:val="00975E7C"/>
    <w:rsid w:val="00975FCD"/>
    <w:rsid w:val="009766F2"/>
    <w:rsid w:val="009767EC"/>
    <w:rsid w:val="00976DDE"/>
    <w:rsid w:val="00976F07"/>
    <w:rsid w:val="00980D6E"/>
    <w:rsid w:val="00980F87"/>
    <w:rsid w:val="009814D6"/>
    <w:rsid w:val="0098222F"/>
    <w:rsid w:val="00982279"/>
    <w:rsid w:val="009826B3"/>
    <w:rsid w:val="00983CC9"/>
    <w:rsid w:val="00985231"/>
    <w:rsid w:val="0098537A"/>
    <w:rsid w:val="00985880"/>
    <w:rsid w:val="00987134"/>
    <w:rsid w:val="00987CD4"/>
    <w:rsid w:val="009900C0"/>
    <w:rsid w:val="00990578"/>
    <w:rsid w:val="00991477"/>
    <w:rsid w:val="009915C4"/>
    <w:rsid w:val="00991A9F"/>
    <w:rsid w:val="00991B35"/>
    <w:rsid w:val="00991F3C"/>
    <w:rsid w:val="009922B8"/>
    <w:rsid w:val="00992B21"/>
    <w:rsid w:val="00992D93"/>
    <w:rsid w:val="009933A9"/>
    <w:rsid w:val="00993C9F"/>
    <w:rsid w:val="009954D5"/>
    <w:rsid w:val="00996052"/>
    <w:rsid w:val="00996AD2"/>
    <w:rsid w:val="00996F32"/>
    <w:rsid w:val="0099749D"/>
    <w:rsid w:val="00997667"/>
    <w:rsid w:val="00997809"/>
    <w:rsid w:val="00997C19"/>
    <w:rsid w:val="00997CC7"/>
    <w:rsid w:val="009A07C1"/>
    <w:rsid w:val="009A16A4"/>
    <w:rsid w:val="009A1C47"/>
    <w:rsid w:val="009A1FE8"/>
    <w:rsid w:val="009A27DC"/>
    <w:rsid w:val="009A38AF"/>
    <w:rsid w:val="009A549B"/>
    <w:rsid w:val="009A57A7"/>
    <w:rsid w:val="009A5F37"/>
    <w:rsid w:val="009A64D0"/>
    <w:rsid w:val="009A65F3"/>
    <w:rsid w:val="009A6857"/>
    <w:rsid w:val="009A6858"/>
    <w:rsid w:val="009A6DD6"/>
    <w:rsid w:val="009A7781"/>
    <w:rsid w:val="009B1599"/>
    <w:rsid w:val="009B20E4"/>
    <w:rsid w:val="009B24F8"/>
    <w:rsid w:val="009B2DA3"/>
    <w:rsid w:val="009B2E0B"/>
    <w:rsid w:val="009B34F4"/>
    <w:rsid w:val="009B40EF"/>
    <w:rsid w:val="009B4A60"/>
    <w:rsid w:val="009B4E00"/>
    <w:rsid w:val="009B4FA3"/>
    <w:rsid w:val="009B5C5B"/>
    <w:rsid w:val="009B602C"/>
    <w:rsid w:val="009B6713"/>
    <w:rsid w:val="009B6F0C"/>
    <w:rsid w:val="009B70CA"/>
    <w:rsid w:val="009B7B0A"/>
    <w:rsid w:val="009B7BD8"/>
    <w:rsid w:val="009B7D23"/>
    <w:rsid w:val="009C07C1"/>
    <w:rsid w:val="009C07FF"/>
    <w:rsid w:val="009C1300"/>
    <w:rsid w:val="009C1F63"/>
    <w:rsid w:val="009C2DDA"/>
    <w:rsid w:val="009C3226"/>
    <w:rsid w:val="009C4213"/>
    <w:rsid w:val="009C4265"/>
    <w:rsid w:val="009C4956"/>
    <w:rsid w:val="009C4D33"/>
    <w:rsid w:val="009C5D4C"/>
    <w:rsid w:val="009C60BE"/>
    <w:rsid w:val="009C66BD"/>
    <w:rsid w:val="009C68D6"/>
    <w:rsid w:val="009C68DA"/>
    <w:rsid w:val="009C6C41"/>
    <w:rsid w:val="009D0E86"/>
    <w:rsid w:val="009D106D"/>
    <w:rsid w:val="009D15AA"/>
    <w:rsid w:val="009D1F9A"/>
    <w:rsid w:val="009D24A3"/>
    <w:rsid w:val="009D287E"/>
    <w:rsid w:val="009D2F1D"/>
    <w:rsid w:val="009D344E"/>
    <w:rsid w:val="009D3A38"/>
    <w:rsid w:val="009D555E"/>
    <w:rsid w:val="009D5823"/>
    <w:rsid w:val="009D5CAD"/>
    <w:rsid w:val="009D6BAB"/>
    <w:rsid w:val="009D716A"/>
    <w:rsid w:val="009E0EDC"/>
    <w:rsid w:val="009E1332"/>
    <w:rsid w:val="009E15F7"/>
    <w:rsid w:val="009E2D3C"/>
    <w:rsid w:val="009E4848"/>
    <w:rsid w:val="009E4C23"/>
    <w:rsid w:val="009E502F"/>
    <w:rsid w:val="009E6317"/>
    <w:rsid w:val="009E643F"/>
    <w:rsid w:val="009E6DA2"/>
    <w:rsid w:val="009E6E98"/>
    <w:rsid w:val="009E70AC"/>
    <w:rsid w:val="009E73BD"/>
    <w:rsid w:val="009F03CA"/>
    <w:rsid w:val="009F0582"/>
    <w:rsid w:val="009F066E"/>
    <w:rsid w:val="009F122C"/>
    <w:rsid w:val="009F1316"/>
    <w:rsid w:val="009F16F9"/>
    <w:rsid w:val="009F1763"/>
    <w:rsid w:val="009F3895"/>
    <w:rsid w:val="009F3C80"/>
    <w:rsid w:val="009F4071"/>
    <w:rsid w:val="009F40EA"/>
    <w:rsid w:val="009F46FE"/>
    <w:rsid w:val="009F69FF"/>
    <w:rsid w:val="009F6BDC"/>
    <w:rsid w:val="009F6ECB"/>
    <w:rsid w:val="009F7A58"/>
    <w:rsid w:val="009F7E53"/>
    <w:rsid w:val="00A0056D"/>
    <w:rsid w:val="00A008D4"/>
    <w:rsid w:val="00A00E43"/>
    <w:rsid w:val="00A01543"/>
    <w:rsid w:val="00A0177A"/>
    <w:rsid w:val="00A01A56"/>
    <w:rsid w:val="00A01AA6"/>
    <w:rsid w:val="00A01FFE"/>
    <w:rsid w:val="00A0317B"/>
    <w:rsid w:val="00A04008"/>
    <w:rsid w:val="00A04841"/>
    <w:rsid w:val="00A05916"/>
    <w:rsid w:val="00A05B5D"/>
    <w:rsid w:val="00A06E40"/>
    <w:rsid w:val="00A07446"/>
    <w:rsid w:val="00A07BEA"/>
    <w:rsid w:val="00A07C93"/>
    <w:rsid w:val="00A10049"/>
    <w:rsid w:val="00A1020C"/>
    <w:rsid w:val="00A10425"/>
    <w:rsid w:val="00A105E0"/>
    <w:rsid w:val="00A11352"/>
    <w:rsid w:val="00A12692"/>
    <w:rsid w:val="00A12A78"/>
    <w:rsid w:val="00A12CF5"/>
    <w:rsid w:val="00A12F69"/>
    <w:rsid w:val="00A1357F"/>
    <w:rsid w:val="00A1399F"/>
    <w:rsid w:val="00A13E72"/>
    <w:rsid w:val="00A14152"/>
    <w:rsid w:val="00A146A8"/>
    <w:rsid w:val="00A14D40"/>
    <w:rsid w:val="00A156B3"/>
    <w:rsid w:val="00A16555"/>
    <w:rsid w:val="00A17707"/>
    <w:rsid w:val="00A178CB"/>
    <w:rsid w:val="00A17B55"/>
    <w:rsid w:val="00A209D4"/>
    <w:rsid w:val="00A214BD"/>
    <w:rsid w:val="00A22006"/>
    <w:rsid w:val="00A22296"/>
    <w:rsid w:val="00A22ECA"/>
    <w:rsid w:val="00A23172"/>
    <w:rsid w:val="00A236C1"/>
    <w:rsid w:val="00A23CFD"/>
    <w:rsid w:val="00A23E92"/>
    <w:rsid w:val="00A25046"/>
    <w:rsid w:val="00A2578E"/>
    <w:rsid w:val="00A2579B"/>
    <w:rsid w:val="00A25ABD"/>
    <w:rsid w:val="00A26808"/>
    <w:rsid w:val="00A268CD"/>
    <w:rsid w:val="00A2723A"/>
    <w:rsid w:val="00A276B3"/>
    <w:rsid w:val="00A27C97"/>
    <w:rsid w:val="00A31044"/>
    <w:rsid w:val="00A31105"/>
    <w:rsid w:val="00A31D8E"/>
    <w:rsid w:val="00A31FD5"/>
    <w:rsid w:val="00A32C39"/>
    <w:rsid w:val="00A32E28"/>
    <w:rsid w:val="00A33632"/>
    <w:rsid w:val="00A33B1E"/>
    <w:rsid w:val="00A33BB4"/>
    <w:rsid w:val="00A34358"/>
    <w:rsid w:val="00A34EED"/>
    <w:rsid w:val="00A35125"/>
    <w:rsid w:val="00A35A49"/>
    <w:rsid w:val="00A35B50"/>
    <w:rsid w:val="00A37072"/>
    <w:rsid w:val="00A371EC"/>
    <w:rsid w:val="00A37200"/>
    <w:rsid w:val="00A37D20"/>
    <w:rsid w:val="00A4005A"/>
    <w:rsid w:val="00A401C0"/>
    <w:rsid w:val="00A40F67"/>
    <w:rsid w:val="00A42955"/>
    <w:rsid w:val="00A42B39"/>
    <w:rsid w:val="00A43723"/>
    <w:rsid w:val="00A4387A"/>
    <w:rsid w:val="00A4481F"/>
    <w:rsid w:val="00A4523E"/>
    <w:rsid w:val="00A457A9"/>
    <w:rsid w:val="00A46086"/>
    <w:rsid w:val="00A4611B"/>
    <w:rsid w:val="00A461A8"/>
    <w:rsid w:val="00A4633B"/>
    <w:rsid w:val="00A46C30"/>
    <w:rsid w:val="00A4708F"/>
    <w:rsid w:val="00A472BA"/>
    <w:rsid w:val="00A472D1"/>
    <w:rsid w:val="00A47BD4"/>
    <w:rsid w:val="00A502A4"/>
    <w:rsid w:val="00A5068B"/>
    <w:rsid w:val="00A50C26"/>
    <w:rsid w:val="00A50E28"/>
    <w:rsid w:val="00A50FF2"/>
    <w:rsid w:val="00A51396"/>
    <w:rsid w:val="00A51766"/>
    <w:rsid w:val="00A5186A"/>
    <w:rsid w:val="00A52489"/>
    <w:rsid w:val="00A538F4"/>
    <w:rsid w:val="00A53D29"/>
    <w:rsid w:val="00A55858"/>
    <w:rsid w:val="00A55C8D"/>
    <w:rsid w:val="00A60213"/>
    <w:rsid w:val="00A60AAD"/>
    <w:rsid w:val="00A60B16"/>
    <w:rsid w:val="00A6101E"/>
    <w:rsid w:val="00A6118D"/>
    <w:rsid w:val="00A6145D"/>
    <w:rsid w:val="00A61BEA"/>
    <w:rsid w:val="00A63985"/>
    <w:rsid w:val="00A63CEB"/>
    <w:rsid w:val="00A63E1C"/>
    <w:rsid w:val="00A64784"/>
    <w:rsid w:val="00A649EE"/>
    <w:rsid w:val="00A64E47"/>
    <w:rsid w:val="00A65803"/>
    <w:rsid w:val="00A65A4C"/>
    <w:rsid w:val="00A66629"/>
    <w:rsid w:val="00A66AA5"/>
    <w:rsid w:val="00A66DBA"/>
    <w:rsid w:val="00A671FC"/>
    <w:rsid w:val="00A67ECD"/>
    <w:rsid w:val="00A70B40"/>
    <w:rsid w:val="00A70BB4"/>
    <w:rsid w:val="00A714B2"/>
    <w:rsid w:val="00A733C0"/>
    <w:rsid w:val="00A736EB"/>
    <w:rsid w:val="00A74216"/>
    <w:rsid w:val="00A74717"/>
    <w:rsid w:val="00A75670"/>
    <w:rsid w:val="00A75E4D"/>
    <w:rsid w:val="00A761B8"/>
    <w:rsid w:val="00A76516"/>
    <w:rsid w:val="00A76B3A"/>
    <w:rsid w:val="00A771CF"/>
    <w:rsid w:val="00A77D8C"/>
    <w:rsid w:val="00A77F00"/>
    <w:rsid w:val="00A802FE"/>
    <w:rsid w:val="00A808C0"/>
    <w:rsid w:val="00A80A4E"/>
    <w:rsid w:val="00A80D25"/>
    <w:rsid w:val="00A819DD"/>
    <w:rsid w:val="00A82AB0"/>
    <w:rsid w:val="00A83E82"/>
    <w:rsid w:val="00A83F8F"/>
    <w:rsid w:val="00A84035"/>
    <w:rsid w:val="00A844DE"/>
    <w:rsid w:val="00A84FC0"/>
    <w:rsid w:val="00A86140"/>
    <w:rsid w:val="00A862F4"/>
    <w:rsid w:val="00A868F2"/>
    <w:rsid w:val="00A86CAF"/>
    <w:rsid w:val="00A86F53"/>
    <w:rsid w:val="00A872DA"/>
    <w:rsid w:val="00A900B2"/>
    <w:rsid w:val="00A903B7"/>
    <w:rsid w:val="00A903F4"/>
    <w:rsid w:val="00A90924"/>
    <w:rsid w:val="00A90D7B"/>
    <w:rsid w:val="00A91AB1"/>
    <w:rsid w:val="00A92828"/>
    <w:rsid w:val="00A92D74"/>
    <w:rsid w:val="00A93216"/>
    <w:rsid w:val="00A932B0"/>
    <w:rsid w:val="00A93670"/>
    <w:rsid w:val="00A93B40"/>
    <w:rsid w:val="00A9420D"/>
    <w:rsid w:val="00A94267"/>
    <w:rsid w:val="00A943BA"/>
    <w:rsid w:val="00A94ACC"/>
    <w:rsid w:val="00A97459"/>
    <w:rsid w:val="00A974A4"/>
    <w:rsid w:val="00A97BD2"/>
    <w:rsid w:val="00A97E56"/>
    <w:rsid w:val="00A97EA3"/>
    <w:rsid w:val="00AA1335"/>
    <w:rsid w:val="00AA1D72"/>
    <w:rsid w:val="00AA2904"/>
    <w:rsid w:val="00AA3189"/>
    <w:rsid w:val="00AA3474"/>
    <w:rsid w:val="00AA351A"/>
    <w:rsid w:val="00AA36FA"/>
    <w:rsid w:val="00AA39CE"/>
    <w:rsid w:val="00AA3DF7"/>
    <w:rsid w:val="00AA5869"/>
    <w:rsid w:val="00AA5A31"/>
    <w:rsid w:val="00AA5BD2"/>
    <w:rsid w:val="00AA64E9"/>
    <w:rsid w:val="00AA6520"/>
    <w:rsid w:val="00AA65CB"/>
    <w:rsid w:val="00AA6C72"/>
    <w:rsid w:val="00AA745A"/>
    <w:rsid w:val="00AA7D68"/>
    <w:rsid w:val="00AAC23A"/>
    <w:rsid w:val="00AB00DB"/>
    <w:rsid w:val="00AB0176"/>
    <w:rsid w:val="00AB0636"/>
    <w:rsid w:val="00AB0E36"/>
    <w:rsid w:val="00AB0F87"/>
    <w:rsid w:val="00AB1EBB"/>
    <w:rsid w:val="00AB213E"/>
    <w:rsid w:val="00AB3FFE"/>
    <w:rsid w:val="00AB459A"/>
    <w:rsid w:val="00AB4BDB"/>
    <w:rsid w:val="00AB5161"/>
    <w:rsid w:val="00AB54CB"/>
    <w:rsid w:val="00AB5922"/>
    <w:rsid w:val="00AB5F7B"/>
    <w:rsid w:val="00AB67FB"/>
    <w:rsid w:val="00AB6B92"/>
    <w:rsid w:val="00AB78AD"/>
    <w:rsid w:val="00AC016D"/>
    <w:rsid w:val="00AC02E3"/>
    <w:rsid w:val="00AC057A"/>
    <w:rsid w:val="00AC0694"/>
    <w:rsid w:val="00AC14E2"/>
    <w:rsid w:val="00AC19CF"/>
    <w:rsid w:val="00AC2236"/>
    <w:rsid w:val="00AC2465"/>
    <w:rsid w:val="00AC5BEE"/>
    <w:rsid w:val="00AC5F48"/>
    <w:rsid w:val="00AC63A3"/>
    <w:rsid w:val="00AC66A5"/>
    <w:rsid w:val="00AC6F0F"/>
    <w:rsid w:val="00AD05B3"/>
    <w:rsid w:val="00AD0ED9"/>
    <w:rsid w:val="00AD129B"/>
    <w:rsid w:val="00AD1A95"/>
    <w:rsid w:val="00AD1FFF"/>
    <w:rsid w:val="00AD228E"/>
    <w:rsid w:val="00AD25F5"/>
    <w:rsid w:val="00AD2BF7"/>
    <w:rsid w:val="00AD2C18"/>
    <w:rsid w:val="00AD2EF4"/>
    <w:rsid w:val="00AD3147"/>
    <w:rsid w:val="00AD3A09"/>
    <w:rsid w:val="00AD4220"/>
    <w:rsid w:val="00AD508C"/>
    <w:rsid w:val="00AD6CD5"/>
    <w:rsid w:val="00AD6EC3"/>
    <w:rsid w:val="00AE1BAD"/>
    <w:rsid w:val="00AE1E5D"/>
    <w:rsid w:val="00AE20F0"/>
    <w:rsid w:val="00AE2254"/>
    <w:rsid w:val="00AE23CA"/>
    <w:rsid w:val="00AE248F"/>
    <w:rsid w:val="00AE2EF4"/>
    <w:rsid w:val="00AE315E"/>
    <w:rsid w:val="00AE3719"/>
    <w:rsid w:val="00AE3A8F"/>
    <w:rsid w:val="00AE3F2A"/>
    <w:rsid w:val="00AE58CC"/>
    <w:rsid w:val="00AE6480"/>
    <w:rsid w:val="00AE7240"/>
    <w:rsid w:val="00AE730B"/>
    <w:rsid w:val="00AF1858"/>
    <w:rsid w:val="00AF1DB5"/>
    <w:rsid w:val="00AF2666"/>
    <w:rsid w:val="00AF26DA"/>
    <w:rsid w:val="00AF3A93"/>
    <w:rsid w:val="00AF3F8D"/>
    <w:rsid w:val="00AF41E8"/>
    <w:rsid w:val="00AF4550"/>
    <w:rsid w:val="00AF479D"/>
    <w:rsid w:val="00AF5173"/>
    <w:rsid w:val="00AF58FB"/>
    <w:rsid w:val="00AF5A31"/>
    <w:rsid w:val="00AF5B3C"/>
    <w:rsid w:val="00AF5C8C"/>
    <w:rsid w:val="00AF696C"/>
    <w:rsid w:val="00AF6AE5"/>
    <w:rsid w:val="00AF6C85"/>
    <w:rsid w:val="00AF76AD"/>
    <w:rsid w:val="00B00484"/>
    <w:rsid w:val="00B006DB"/>
    <w:rsid w:val="00B00FAA"/>
    <w:rsid w:val="00B01427"/>
    <w:rsid w:val="00B01769"/>
    <w:rsid w:val="00B0285E"/>
    <w:rsid w:val="00B02C65"/>
    <w:rsid w:val="00B02EBB"/>
    <w:rsid w:val="00B0300B"/>
    <w:rsid w:val="00B03202"/>
    <w:rsid w:val="00B03F50"/>
    <w:rsid w:val="00B04368"/>
    <w:rsid w:val="00B0549C"/>
    <w:rsid w:val="00B057E1"/>
    <w:rsid w:val="00B059CB"/>
    <w:rsid w:val="00B05AED"/>
    <w:rsid w:val="00B06079"/>
    <w:rsid w:val="00B063BE"/>
    <w:rsid w:val="00B06AAC"/>
    <w:rsid w:val="00B07D93"/>
    <w:rsid w:val="00B10EDE"/>
    <w:rsid w:val="00B11287"/>
    <w:rsid w:val="00B11EF4"/>
    <w:rsid w:val="00B12B02"/>
    <w:rsid w:val="00B12E40"/>
    <w:rsid w:val="00B13127"/>
    <w:rsid w:val="00B13362"/>
    <w:rsid w:val="00B137AF"/>
    <w:rsid w:val="00B142AA"/>
    <w:rsid w:val="00B14447"/>
    <w:rsid w:val="00B149F9"/>
    <w:rsid w:val="00B1508A"/>
    <w:rsid w:val="00B15CA3"/>
    <w:rsid w:val="00B15F6F"/>
    <w:rsid w:val="00B15FD7"/>
    <w:rsid w:val="00B16140"/>
    <w:rsid w:val="00B17348"/>
    <w:rsid w:val="00B1755A"/>
    <w:rsid w:val="00B1762D"/>
    <w:rsid w:val="00B201B6"/>
    <w:rsid w:val="00B2095D"/>
    <w:rsid w:val="00B214B3"/>
    <w:rsid w:val="00B218F5"/>
    <w:rsid w:val="00B2223D"/>
    <w:rsid w:val="00B235D0"/>
    <w:rsid w:val="00B23A0C"/>
    <w:rsid w:val="00B23B2A"/>
    <w:rsid w:val="00B23DE9"/>
    <w:rsid w:val="00B2481C"/>
    <w:rsid w:val="00B24B12"/>
    <w:rsid w:val="00B25754"/>
    <w:rsid w:val="00B26069"/>
    <w:rsid w:val="00B2625C"/>
    <w:rsid w:val="00B26F8F"/>
    <w:rsid w:val="00B272F1"/>
    <w:rsid w:val="00B27431"/>
    <w:rsid w:val="00B2759A"/>
    <w:rsid w:val="00B27C26"/>
    <w:rsid w:val="00B27DCF"/>
    <w:rsid w:val="00B27E35"/>
    <w:rsid w:val="00B30116"/>
    <w:rsid w:val="00B302C1"/>
    <w:rsid w:val="00B31DCB"/>
    <w:rsid w:val="00B32375"/>
    <w:rsid w:val="00B328AC"/>
    <w:rsid w:val="00B3299E"/>
    <w:rsid w:val="00B32B35"/>
    <w:rsid w:val="00B32EEC"/>
    <w:rsid w:val="00B32F20"/>
    <w:rsid w:val="00B336CA"/>
    <w:rsid w:val="00B34F3A"/>
    <w:rsid w:val="00B35293"/>
    <w:rsid w:val="00B3533B"/>
    <w:rsid w:val="00B37CDE"/>
    <w:rsid w:val="00B40474"/>
    <w:rsid w:val="00B40972"/>
    <w:rsid w:val="00B4145B"/>
    <w:rsid w:val="00B41FDE"/>
    <w:rsid w:val="00B422C2"/>
    <w:rsid w:val="00B425E9"/>
    <w:rsid w:val="00B42E39"/>
    <w:rsid w:val="00B434A5"/>
    <w:rsid w:val="00B44CFF"/>
    <w:rsid w:val="00B4524D"/>
    <w:rsid w:val="00B453E7"/>
    <w:rsid w:val="00B458D5"/>
    <w:rsid w:val="00B46BB3"/>
    <w:rsid w:val="00B46F5C"/>
    <w:rsid w:val="00B477B4"/>
    <w:rsid w:val="00B47C8B"/>
    <w:rsid w:val="00B47FDE"/>
    <w:rsid w:val="00B5050D"/>
    <w:rsid w:val="00B50722"/>
    <w:rsid w:val="00B5094A"/>
    <w:rsid w:val="00B5126A"/>
    <w:rsid w:val="00B51B6E"/>
    <w:rsid w:val="00B521A1"/>
    <w:rsid w:val="00B524BE"/>
    <w:rsid w:val="00B5374E"/>
    <w:rsid w:val="00B53934"/>
    <w:rsid w:val="00B53EF1"/>
    <w:rsid w:val="00B54439"/>
    <w:rsid w:val="00B54F38"/>
    <w:rsid w:val="00B55372"/>
    <w:rsid w:val="00B5547A"/>
    <w:rsid w:val="00B5596C"/>
    <w:rsid w:val="00B5604F"/>
    <w:rsid w:val="00B5653F"/>
    <w:rsid w:val="00B56A16"/>
    <w:rsid w:val="00B56F6C"/>
    <w:rsid w:val="00B575C6"/>
    <w:rsid w:val="00B57988"/>
    <w:rsid w:val="00B604B3"/>
    <w:rsid w:val="00B62918"/>
    <w:rsid w:val="00B62D61"/>
    <w:rsid w:val="00B62F1D"/>
    <w:rsid w:val="00B6350C"/>
    <w:rsid w:val="00B63970"/>
    <w:rsid w:val="00B63C0C"/>
    <w:rsid w:val="00B64B9A"/>
    <w:rsid w:val="00B64E2F"/>
    <w:rsid w:val="00B6578F"/>
    <w:rsid w:val="00B66C1B"/>
    <w:rsid w:val="00B70239"/>
    <w:rsid w:val="00B7030D"/>
    <w:rsid w:val="00B70FB1"/>
    <w:rsid w:val="00B714D3"/>
    <w:rsid w:val="00B717B9"/>
    <w:rsid w:val="00B718E3"/>
    <w:rsid w:val="00B7243E"/>
    <w:rsid w:val="00B7348B"/>
    <w:rsid w:val="00B73783"/>
    <w:rsid w:val="00B74343"/>
    <w:rsid w:val="00B743BC"/>
    <w:rsid w:val="00B74586"/>
    <w:rsid w:val="00B748B7"/>
    <w:rsid w:val="00B74A12"/>
    <w:rsid w:val="00B76023"/>
    <w:rsid w:val="00B76759"/>
    <w:rsid w:val="00B80007"/>
    <w:rsid w:val="00B80011"/>
    <w:rsid w:val="00B80255"/>
    <w:rsid w:val="00B803F1"/>
    <w:rsid w:val="00B808F1"/>
    <w:rsid w:val="00B81038"/>
    <w:rsid w:val="00B83019"/>
    <w:rsid w:val="00B83291"/>
    <w:rsid w:val="00B841ED"/>
    <w:rsid w:val="00B84297"/>
    <w:rsid w:val="00B85695"/>
    <w:rsid w:val="00B86232"/>
    <w:rsid w:val="00B87126"/>
    <w:rsid w:val="00B8745E"/>
    <w:rsid w:val="00B87B9F"/>
    <w:rsid w:val="00B87C2F"/>
    <w:rsid w:val="00B87E09"/>
    <w:rsid w:val="00B901D1"/>
    <w:rsid w:val="00B9052C"/>
    <w:rsid w:val="00B9108D"/>
    <w:rsid w:val="00B91241"/>
    <w:rsid w:val="00B91380"/>
    <w:rsid w:val="00B930FB"/>
    <w:rsid w:val="00B939A7"/>
    <w:rsid w:val="00B93D3D"/>
    <w:rsid w:val="00B94745"/>
    <w:rsid w:val="00B94ECA"/>
    <w:rsid w:val="00B963AA"/>
    <w:rsid w:val="00B96D52"/>
    <w:rsid w:val="00B97C38"/>
    <w:rsid w:val="00B97CC0"/>
    <w:rsid w:val="00B97E8E"/>
    <w:rsid w:val="00BA061A"/>
    <w:rsid w:val="00BA09AB"/>
    <w:rsid w:val="00BA20ED"/>
    <w:rsid w:val="00BA26DF"/>
    <w:rsid w:val="00BA2B30"/>
    <w:rsid w:val="00BA2B53"/>
    <w:rsid w:val="00BA2E91"/>
    <w:rsid w:val="00BA3EE5"/>
    <w:rsid w:val="00BA52E2"/>
    <w:rsid w:val="00BA63F9"/>
    <w:rsid w:val="00BA6461"/>
    <w:rsid w:val="00BA6ECC"/>
    <w:rsid w:val="00BA723D"/>
    <w:rsid w:val="00BA750E"/>
    <w:rsid w:val="00BA76EC"/>
    <w:rsid w:val="00BA7946"/>
    <w:rsid w:val="00BA7CCD"/>
    <w:rsid w:val="00BB074E"/>
    <w:rsid w:val="00BB0806"/>
    <w:rsid w:val="00BB1093"/>
    <w:rsid w:val="00BB1858"/>
    <w:rsid w:val="00BB1F43"/>
    <w:rsid w:val="00BB287D"/>
    <w:rsid w:val="00BB2F98"/>
    <w:rsid w:val="00BB329B"/>
    <w:rsid w:val="00BB381A"/>
    <w:rsid w:val="00BB3994"/>
    <w:rsid w:val="00BB3C4F"/>
    <w:rsid w:val="00BB4FDB"/>
    <w:rsid w:val="00BB5244"/>
    <w:rsid w:val="00BB6830"/>
    <w:rsid w:val="00BB72FA"/>
    <w:rsid w:val="00BB7508"/>
    <w:rsid w:val="00BB78A7"/>
    <w:rsid w:val="00BB7CB7"/>
    <w:rsid w:val="00BB7D77"/>
    <w:rsid w:val="00BC1D41"/>
    <w:rsid w:val="00BC2062"/>
    <w:rsid w:val="00BC2392"/>
    <w:rsid w:val="00BC28CF"/>
    <w:rsid w:val="00BC3410"/>
    <w:rsid w:val="00BC3906"/>
    <w:rsid w:val="00BC3BF5"/>
    <w:rsid w:val="00BC3FF6"/>
    <w:rsid w:val="00BC438D"/>
    <w:rsid w:val="00BC7AC3"/>
    <w:rsid w:val="00BC7C45"/>
    <w:rsid w:val="00BC7E69"/>
    <w:rsid w:val="00BD11F6"/>
    <w:rsid w:val="00BD191F"/>
    <w:rsid w:val="00BD2019"/>
    <w:rsid w:val="00BD2408"/>
    <w:rsid w:val="00BD25B6"/>
    <w:rsid w:val="00BD403D"/>
    <w:rsid w:val="00BD48D2"/>
    <w:rsid w:val="00BD4DAC"/>
    <w:rsid w:val="00BD53EB"/>
    <w:rsid w:val="00BD6ACF"/>
    <w:rsid w:val="00BD7E78"/>
    <w:rsid w:val="00BE0940"/>
    <w:rsid w:val="00BE09C7"/>
    <w:rsid w:val="00BE0F0A"/>
    <w:rsid w:val="00BE0F14"/>
    <w:rsid w:val="00BE17DF"/>
    <w:rsid w:val="00BE23ED"/>
    <w:rsid w:val="00BE28D0"/>
    <w:rsid w:val="00BE2D70"/>
    <w:rsid w:val="00BE3CBC"/>
    <w:rsid w:val="00BE400F"/>
    <w:rsid w:val="00BE443D"/>
    <w:rsid w:val="00BE6BCC"/>
    <w:rsid w:val="00BE71A5"/>
    <w:rsid w:val="00BE7232"/>
    <w:rsid w:val="00BE7239"/>
    <w:rsid w:val="00BE774E"/>
    <w:rsid w:val="00BE7C90"/>
    <w:rsid w:val="00BF0722"/>
    <w:rsid w:val="00BF1F43"/>
    <w:rsid w:val="00BF339D"/>
    <w:rsid w:val="00BF39C9"/>
    <w:rsid w:val="00BF3D26"/>
    <w:rsid w:val="00BF3E4E"/>
    <w:rsid w:val="00BF486B"/>
    <w:rsid w:val="00BF51D7"/>
    <w:rsid w:val="00BF574C"/>
    <w:rsid w:val="00BF5848"/>
    <w:rsid w:val="00BF5D73"/>
    <w:rsid w:val="00BF61D2"/>
    <w:rsid w:val="00BF66C9"/>
    <w:rsid w:val="00BF6E93"/>
    <w:rsid w:val="00BF7300"/>
    <w:rsid w:val="00BF7360"/>
    <w:rsid w:val="00C00210"/>
    <w:rsid w:val="00C00254"/>
    <w:rsid w:val="00C00362"/>
    <w:rsid w:val="00C00782"/>
    <w:rsid w:val="00C0168E"/>
    <w:rsid w:val="00C016AF"/>
    <w:rsid w:val="00C02363"/>
    <w:rsid w:val="00C0281C"/>
    <w:rsid w:val="00C02889"/>
    <w:rsid w:val="00C02919"/>
    <w:rsid w:val="00C02DE0"/>
    <w:rsid w:val="00C02DE1"/>
    <w:rsid w:val="00C036E1"/>
    <w:rsid w:val="00C03B19"/>
    <w:rsid w:val="00C03F90"/>
    <w:rsid w:val="00C04871"/>
    <w:rsid w:val="00C056F2"/>
    <w:rsid w:val="00C05ED7"/>
    <w:rsid w:val="00C06BA8"/>
    <w:rsid w:val="00C0716E"/>
    <w:rsid w:val="00C079EB"/>
    <w:rsid w:val="00C10B15"/>
    <w:rsid w:val="00C10DEC"/>
    <w:rsid w:val="00C1238D"/>
    <w:rsid w:val="00C12986"/>
    <w:rsid w:val="00C12C81"/>
    <w:rsid w:val="00C144A3"/>
    <w:rsid w:val="00C14B3D"/>
    <w:rsid w:val="00C15B38"/>
    <w:rsid w:val="00C16779"/>
    <w:rsid w:val="00C16A5B"/>
    <w:rsid w:val="00C1734A"/>
    <w:rsid w:val="00C174AA"/>
    <w:rsid w:val="00C17ADE"/>
    <w:rsid w:val="00C20178"/>
    <w:rsid w:val="00C201B2"/>
    <w:rsid w:val="00C20B59"/>
    <w:rsid w:val="00C2177D"/>
    <w:rsid w:val="00C23ABE"/>
    <w:rsid w:val="00C240A8"/>
    <w:rsid w:val="00C241EC"/>
    <w:rsid w:val="00C2588D"/>
    <w:rsid w:val="00C25DE0"/>
    <w:rsid w:val="00C26415"/>
    <w:rsid w:val="00C26522"/>
    <w:rsid w:val="00C27EA7"/>
    <w:rsid w:val="00C3082D"/>
    <w:rsid w:val="00C309AC"/>
    <w:rsid w:val="00C30A12"/>
    <w:rsid w:val="00C30E3B"/>
    <w:rsid w:val="00C31483"/>
    <w:rsid w:val="00C31CF8"/>
    <w:rsid w:val="00C32507"/>
    <w:rsid w:val="00C33219"/>
    <w:rsid w:val="00C33361"/>
    <w:rsid w:val="00C33A56"/>
    <w:rsid w:val="00C34B8B"/>
    <w:rsid w:val="00C350D3"/>
    <w:rsid w:val="00C35E8D"/>
    <w:rsid w:val="00C35F9A"/>
    <w:rsid w:val="00C367EA"/>
    <w:rsid w:val="00C37A94"/>
    <w:rsid w:val="00C37B69"/>
    <w:rsid w:val="00C37F50"/>
    <w:rsid w:val="00C37FB0"/>
    <w:rsid w:val="00C40EA7"/>
    <w:rsid w:val="00C41057"/>
    <w:rsid w:val="00C42081"/>
    <w:rsid w:val="00C42A42"/>
    <w:rsid w:val="00C43708"/>
    <w:rsid w:val="00C44970"/>
    <w:rsid w:val="00C4589E"/>
    <w:rsid w:val="00C459EA"/>
    <w:rsid w:val="00C45AA7"/>
    <w:rsid w:val="00C46361"/>
    <w:rsid w:val="00C46767"/>
    <w:rsid w:val="00C46923"/>
    <w:rsid w:val="00C479CA"/>
    <w:rsid w:val="00C5006B"/>
    <w:rsid w:val="00C5044E"/>
    <w:rsid w:val="00C51D2B"/>
    <w:rsid w:val="00C51FFC"/>
    <w:rsid w:val="00C53494"/>
    <w:rsid w:val="00C536FC"/>
    <w:rsid w:val="00C538A1"/>
    <w:rsid w:val="00C556AD"/>
    <w:rsid w:val="00C57178"/>
    <w:rsid w:val="00C572D3"/>
    <w:rsid w:val="00C60034"/>
    <w:rsid w:val="00C601E2"/>
    <w:rsid w:val="00C60C8E"/>
    <w:rsid w:val="00C619D0"/>
    <w:rsid w:val="00C62848"/>
    <w:rsid w:val="00C62A16"/>
    <w:rsid w:val="00C62C80"/>
    <w:rsid w:val="00C631E9"/>
    <w:rsid w:val="00C63759"/>
    <w:rsid w:val="00C63B8C"/>
    <w:rsid w:val="00C642E6"/>
    <w:rsid w:val="00C64AAE"/>
    <w:rsid w:val="00C6523B"/>
    <w:rsid w:val="00C655CD"/>
    <w:rsid w:val="00C65F03"/>
    <w:rsid w:val="00C65F5E"/>
    <w:rsid w:val="00C66942"/>
    <w:rsid w:val="00C669A1"/>
    <w:rsid w:val="00C66B60"/>
    <w:rsid w:val="00C66BEA"/>
    <w:rsid w:val="00C66C63"/>
    <w:rsid w:val="00C66D33"/>
    <w:rsid w:val="00C673FA"/>
    <w:rsid w:val="00C67C21"/>
    <w:rsid w:val="00C67FAF"/>
    <w:rsid w:val="00C715FF"/>
    <w:rsid w:val="00C71735"/>
    <w:rsid w:val="00C742C0"/>
    <w:rsid w:val="00C74CF5"/>
    <w:rsid w:val="00C74DC5"/>
    <w:rsid w:val="00C75038"/>
    <w:rsid w:val="00C755AA"/>
    <w:rsid w:val="00C75C22"/>
    <w:rsid w:val="00C75C6A"/>
    <w:rsid w:val="00C75D8A"/>
    <w:rsid w:val="00C7658C"/>
    <w:rsid w:val="00C76806"/>
    <w:rsid w:val="00C77182"/>
    <w:rsid w:val="00C77A52"/>
    <w:rsid w:val="00C77A73"/>
    <w:rsid w:val="00C801FF"/>
    <w:rsid w:val="00C802A5"/>
    <w:rsid w:val="00C80335"/>
    <w:rsid w:val="00C808B5"/>
    <w:rsid w:val="00C81759"/>
    <w:rsid w:val="00C817F1"/>
    <w:rsid w:val="00C81CD1"/>
    <w:rsid w:val="00C8209D"/>
    <w:rsid w:val="00C83022"/>
    <w:rsid w:val="00C83030"/>
    <w:rsid w:val="00C83841"/>
    <w:rsid w:val="00C83B90"/>
    <w:rsid w:val="00C83FE6"/>
    <w:rsid w:val="00C842F8"/>
    <w:rsid w:val="00C847FC"/>
    <w:rsid w:val="00C84C87"/>
    <w:rsid w:val="00C85733"/>
    <w:rsid w:val="00C857BA"/>
    <w:rsid w:val="00C85B54"/>
    <w:rsid w:val="00C85D35"/>
    <w:rsid w:val="00C86204"/>
    <w:rsid w:val="00C86B72"/>
    <w:rsid w:val="00C86E1C"/>
    <w:rsid w:val="00C875A4"/>
    <w:rsid w:val="00C90364"/>
    <w:rsid w:val="00C91E41"/>
    <w:rsid w:val="00C91F6B"/>
    <w:rsid w:val="00C9308F"/>
    <w:rsid w:val="00C9351B"/>
    <w:rsid w:val="00C93C31"/>
    <w:rsid w:val="00C93C9D"/>
    <w:rsid w:val="00C94002"/>
    <w:rsid w:val="00C941C3"/>
    <w:rsid w:val="00C94431"/>
    <w:rsid w:val="00C94E2C"/>
    <w:rsid w:val="00C959B8"/>
    <w:rsid w:val="00C95BFE"/>
    <w:rsid w:val="00C970B1"/>
    <w:rsid w:val="00C9711A"/>
    <w:rsid w:val="00CA0C82"/>
    <w:rsid w:val="00CA10BF"/>
    <w:rsid w:val="00CA1CBA"/>
    <w:rsid w:val="00CA1D75"/>
    <w:rsid w:val="00CA275F"/>
    <w:rsid w:val="00CA27D1"/>
    <w:rsid w:val="00CA2CC6"/>
    <w:rsid w:val="00CA4625"/>
    <w:rsid w:val="00CA4BD5"/>
    <w:rsid w:val="00CA4CF1"/>
    <w:rsid w:val="00CA4E77"/>
    <w:rsid w:val="00CA6324"/>
    <w:rsid w:val="00CA68A1"/>
    <w:rsid w:val="00CA6EFE"/>
    <w:rsid w:val="00CA709F"/>
    <w:rsid w:val="00CA74B7"/>
    <w:rsid w:val="00CA7A69"/>
    <w:rsid w:val="00CAC541"/>
    <w:rsid w:val="00CB07C4"/>
    <w:rsid w:val="00CB0FF4"/>
    <w:rsid w:val="00CB1B09"/>
    <w:rsid w:val="00CB1B3D"/>
    <w:rsid w:val="00CB203E"/>
    <w:rsid w:val="00CB27BA"/>
    <w:rsid w:val="00CB33CF"/>
    <w:rsid w:val="00CB3D13"/>
    <w:rsid w:val="00CB3DAB"/>
    <w:rsid w:val="00CB5227"/>
    <w:rsid w:val="00CB5AE6"/>
    <w:rsid w:val="00CB5E5D"/>
    <w:rsid w:val="00CB6037"/>
    <w:rsid w:val="00CB6B1C"/>
    <w:rsid w:val="00CB75DA"/>
    <w:rsid w:val="00CC11BA"/>
    <w:rsid w:val="00CC16F0"/>
    <w:rsid w:val="00CC196C"/>
    <w:rsid w:val="00CC19F0"/>
    <w:rsid w:val="00CC279A"/>
    <w:rsid w:val="00CC3693"/>
    <w:rsid w:val="00CC43D0"/>
    <w:rsid w:val="00CC45D4"/>
    <w:rsid w:val="00CC5FDB"/>
    <w:rsid w:val="00CC61DD"/>
    <w:rsid w:val="00CC639F"/>
    <w:rsid w:val="00CC6674"/>
    <w:rsid w:val="00CC749A"/>
    <w:rsid w:val="00CC77B6"/>
    <w:rsid w:val="00CD066D"/>
    <w:rsid w:val="00CD082B"/>
    <w:rsid w:val="00CD08F5"/>
    <w:rsid w:val="00CD1C1D"/>
    <w:rsid w:val="00CD1DE9"/>
    <w:rsid w:val="00CD1EE0"/>
    <w:rsid w:val="00CD20F4"/>
    <w:rsid w:val="00CD2535"/>
    <w:rsid w:val="00CD2B60"/>
    <w:rsid w:val="00CD2E06"/>
    <w:rsid w:val="00CD3954"/>
    <w:rsid w:val="00CD52C6"/>
    <w:rsid w:val="00CD5960"/>
    <w:rsid w:val="00CD6782"/>
    <w:rsid w:val="00CD7A1C"/>
    <w:rsid w:val="00CD7DDB"/>
    <w:rsid w:val="00CE0916"/>
    <w:rsid w:val="00CE0D0A"/>
    <w:rsid w:val="00CE114C"/>
    <w:rsid w:val="00CE1F57"/>
    <w:rsid w:val="00CE228C"/>
    <w:rsid w:val="00CE2B73"/>
    <w:rsid w:val="00CE2C54"/>
    <w:rsid w:val="00CE3290"/>
    <w:rsid w:val="00CE33C1"/>
    <w:rsid w:val="00CE3A15"/>
    <w:rsid w:val="00CE3B58"/>
    <w:rsid w:val="00CE3B74"/>
    <w:rsid w:val="00CE3E76"/>
    <w:rsid w:val="00CE4F11"/>
    <w:rsid w:val="00CE5D75"/>
    <w:rsid w:val="00CE665B"/>
    <w:rsid w:val="00CE71E1"/>
    <w:rsid w:val="00CF09A4"/>
    <w:rsid w:val="00CF2478"/>
    <w:rsid w:val="00CF2AF3"/>
    <w:rsid w:val="00CF32CB"/>
    <w:rsid w:val="00CF35AD"/>
    <w:rsid w:val="00CF4E84"/>
    <w:rsid w:val="00CF510A"/>
    <w:rsid w:val="00CF556C"/>
    <w:rsid w:val="00CF6278"/>
    <w:rsid w:val="00CF62C0"/>
    <w:rsid w:val="00CF7668"/>
    <w:rsid w:val="00D0067D"/>
    <w:rsid w:val="00D013F6"/>
    <w:rsid w:val="00D01745"/>
    <w:rsid w:val="00D02E3C"/>
    <w:rsid w:val="00D03005"/>
    <w:rsid w:val="00D03932"/>
    <w:rsid w:val="00D03D3F"/>
    <w:rsid w:val="00D03F2F"/>
    <w:rsid w:val="00D047DF"/>
    <w:rsid w:val="00D04CAE"/>
    <w:rsid w:val="00D060DA"/>
    <w:rsid w:val="00D06533"/>
    <w:rsid w:val="00D06895"/>
    <w:rsid w:val="00D07695"/>
    <w:rsid w:val="00D07B55"/>
    <w:rsid w:val="00D07B73"/>
    <w:rsid w:val="00D07EB5"/>
    <w:rsid w:val="00D1013B"/>
    <w:rsid w:val="00D10BF3"/>
    <w:rsid w:val="00D10C04"/>
    <w:rsid w:val="00D10D4F"/>
    <w:rsid w:val="00D10E54"/>
    <w:rsid w:val="00D11572"/>
    <w:rsid w:val="00D119C9"/>
    <w:rsid w:val="00D126E0"/>
    <w:rsid w:val="00D12DD3"/>
    <w:rsid w:val="00D13224"/>
    <w:rsid w:val="00D139B1"/>
    <w:rsid w:val="00D13DAB"/>
    <w:rsid w:val="00D13ED5"/>
    <w:rsid w:val="00D1475C"/>
    <w:rsid w:val="00D15AE9"/>
    <w:rsid w:val="00D15B66"/>
    <w:rsid w:val="00D160AF"/>
    <w:rsid w:val="00D168BA"/>
    <w:rsid w:val="00D1749D"/>
    <w:rsid w:val="00D176FE"/>
    <w:rsid w:val="00D202C3"/>
    <w:rsid w:val="00D20A57"/>
    <w:rsid w:val="00D20BD1"/>
    <w:rsid w:val="00D20E47"/>
    <w:rsid w:val="00D21536"/>
    <w:rsid w:val="00D2246B"/>
    <w:rsid w:val="00D2332F"/>
    <w:rsid w:val="00D23957"/>
    <w:rsid w:val="00D23CD1"/>
    <w:rsid w:val="00D24125"/>
    <w:rsid w:val="00D25A6D"/>
    <w:rsid w:val="00D25E5A"/>
    <w:rsid w:val="00D2602C"/>
    <w:rsid w:val="00D2631B"/>
    <w:rsid w:val="00D264B4"/>
    <w:rsid w:val="00D26694"/>
    <w:rsid w:val="00D272A6"/>
    <w:rsid w:val="00D27B75"/>
    <w:rsid w:val="00D27E0F"/>
    <w:rsid w:val="00D306E7"/>
    <w:rsid w:val="00D30EFD"/>
    <w:rsid w:val="00D32031"/>
    <w:rsid w:val="00D32E30"/>
    <w:rsid w:val="00D330C0"/>
    <w:rsid w:val="00D3370B"/>
    <w:rsid w:val="00D34BB7"/>
    <w:rsid w:val="00D34EB1"/>
    <w:rsid w:val="00D3519D"/>
    <w:rsid w:val="00D3525D"/>
    <w:rsid w:val="00D35B60"/>
    <w:rsid w:val="00D3669C"/>
    <w:rsid w:val="00D371B0"/>
    <w:rsid w:val="00D371D8"/>
    <w:rsid w:val="00D372AC"/>
    <w:rsid w:val="00D37585"/>
    <w:rsid w:val="00D40731"/>
    <w:rsid w:val="00D40B6A"/>
    <w:rsid w:val="00D4112D"/>
    <w:rsid w:val="00D435CC"/>
    <w:rsid w:val="00D439A3"/>
    <w:rsid w:val="00D43D39"/>
    <w:rsid w:val="00D44186"/>
    <w:rsid w:val="00D45FF8"/>
    <w:rsid w:val="00D462DE"/>
    <w:rsid w:val="00D46867"/>
    <w:rsid w:val="00D46B66"/>
    <w:rsid w:val="00D475A9"/>
    <w:rsid w:val="00D47913"/>
    <w:rsid w:val="00D47DF3"/>
    <w:rsid w:val="00D47E52"/>
    <w:rsid w:val="00D5047E"/>
    <w:rsid w:val="00D50B72"/>
    <w:rsid w:val="00D52345"/>
    <w:rsid w:val="00D52359"/>
    <w:rsid w:val="00D53624"/>
    <w:rsid w:val="00D543D0"/>
    <w:rsid w:val="00D54B18"/>
    <w:rsid w:val="00D54BCE"/>
    <w:rsid w:val="00D5594F"/>
    <w:rsid w:val="00D56470"/>
    <w:rsid w:val="00D568F9"/>
    <w:rsid w:val="00D57825"/>
    <w:rsid w:val="00D57C06"/>
    <w:rsid w:val="00D57E2E"/>
    <w:rsid w:val="00D60CED"/>
    <w:rsid w:val="00D60F44"/>
    <w:rsid w:val="00D616C8"/>
    <w:rsid w:val="00D62541"/>
    <w:rsid w:val="00D6325F"/>
    <w:rsid w:val="00D63459"/>
    <w:rsid w:val="00D637F2"/>
    <w:rsid w:val="00D63F11"/>
    <w:rsid w:val="00D65737"/>
    <w:rsid w:val="00D657CE"/>
    <w:rsid w:val="00D6670F"/>
    <w:rsid w:val="00D66CDB"/>
    <w:rsid w:val="00D6721C"/>
    <w:rsid w:val="00D703EA"/>
    <w:rsid w:val="00D70418"/>
    <w:rsid w:val="00D70F25"/>
    <w:rsid w:val="00D71359"/>
    <w:rsid w:val="00D718F0"/>
    <w:rsid w:val="00D721F6"/>
    <w:rsid w:val="00D72581"/>
    <w:rsid w:val="00D72A19"/>
    <w:rsid w:val="00D72B3D"/>
    <w:rsid w:val="00D73200"/>
    <w:rsid w:val="00D73EE1"/>
    <w:rsid w:val="00D74515"/>
    <w:rsid w:val="00D7529E"/>
    <w:rsid w:val="00D75865"/>
    <w:rsid w:val="00D75A72"/>
    <w:rsid w:val="00D75F10"/>
    <w:rsid w:val="00D76856"/>
    <w:rsid w:val="00D76B28"/>
    <w:rsid w:val="00D77029"/>
    <w:rsid w:val="00D803A7"/>
    <w:rsid w:val="00D807B4"/>
    <w:rsid w:val="00D80DA7"/>
    <w:rsid w:val="00D80DAB"/>
    <w:rsid w:val="00D80E30"/>
    <w:rsid w:val="00D813B7"/>
    <w:rsid w:val="00D825EF"/>
    <w:rsid w:val="00D8270E"/>
    <w:rsid w:val="00D834FB"/>
    <w:rsid w:val="00D83509"/>
    <w:rsid w:val="00D8368A"/>
    <w:rsid w:val="00D83D77"/>
    <w:rsid w:val="00D84959"/>
    <w:rsid w:val="00D85CAC"/>
    <w:rsid w:val="00D861C0"/>
    <w:rsid w:val="00D86485"/>
    <w:rsid w:val="00D8772B"/>
    <w:rsid w:val="00D87D95"/>
    <w:rsid w:val="00D87F71"/>
    <w:rsid w:val="00D9087A"/>
    <w:rsid w:val="00D910D2"/>
    <w:rsid w:val="00D9131C"/>
    <w:rsid w:val="00D9131F"/>
    <w:rsid w:val="00D928D4"/>
    <w:rsid w:val="00D92A96"/>
    <w:rsid w:val="00D934D7"/>
    <w:rsid w:val="00D935DA"/>
    <w:rsid w:val="00D936D8"/>
    <w:rsid w:val="00D946DF"/>
    <w:rsid w:val="00D953C1"/>
    <w:rsid w:val="00D95909"/>
    <w:rsid w:val="00D961BC"/>
    <w:rsid w:val="00D965BE"/>
    <w:rsid w:val="00D96716"/>
    <w:rsid w:val="00D974CA"/>
    <w:rsid w:val="00DA0985"/>
    <w:rsid w:val="00DA0B32"/>
    <w:rsid w:val="00DA143C"/>
    <w:rsid w:val="00DA1752"/>
    <w:rsid w:val="00DA263D"/>
    <w:rsid w:val="00DA2A81"/>
    <w:rsid w:val="00DA326A"/>
    <w:rsid w:val="00DA3907"/>
    <w:rsid w:val="00DA3D4F"/>
    <w:rsid w:val="00DA48B0"/>
    <w:rsid w:val="00DA4F06"/>
    <w:rsid w:val="00DA5620"/>
    <w:rsid w:val="00DA64DA"/>
    <w:rsid w:val="00DA6A1F"/>
    <w:rsid w:val="00DA7225"/>
    <w:rsid w:val="00DA7AF1"/>
    <w:rsid w:val="00DA7CF7"/>
    <w:rsid w:val="00DB0009"/>
    <w:rsid w:val="00DB0160"/>
    <w:rsid w:val="00DB09FD"/>
    <w:rsid w:val="00DB131C"/>
    <w:rsid w:val="00DB1D36"/>
    <w:rsid w:val="00DB1E0E"/>
    <w:rsid w:val="00DB209A"/>
    <w:rsid w:val="00DB278E"/>
    <w:rsid w:val="00DB29D5"/>
    <w:rsid w:val="00DB2B77"/>
    <w:rsid w:val="00DB3F75"/>
    <w:rsid w:val="00DB4AE6"/>
    <w:rsid w:val="00DB4E29"/>
    <w:rsid w:val="00DB5762"/>
    <w:rsid w:val="00DB5D99"/>
    <w:rsid w:val="00DB6112"/>
    <w:rsid w:val="00DB6253"/>
    <w:rsid w:val="00DB6D67"/>
    <w:rsid w:val="00DB7ABA"/>
    <w:rsid w:val="00DB7B3B"/>
    <w:rsid w:val="00DC0264"/>
    <w:rsid w:val="00DC06A4"/>
    <w:rsid w:val="00DC1170"/>
    <w:rsid w:val="00DC1295"/>
    <w:rsid w:val="00DC18EF"/>
    <w:rsid w:val="00DC1C49"/>
    <w:rsid w:val="00DC1ED0"/>
    <w:rsid w:val="00DC3469"/>
    <w:rsid w:val="00DC37B2"/>
    <w:rsid w:val="00DC443D"/>
    <w:rsid w:val="00DC47FE"/>
    <w:rsid w:val="00DC4A84"/>
    <w:rsid w:val="00DC508A"/>
    <w:rsid w:val="00DC5143"/>
    <w:rsid w:val="00DC5E9C"/>
    <w:rsid w:val="00DC5F4E"/>
    <w:rsid w:val="00DC7249"/>
    <w:rsid w:val="00DC7684"/>
    <w:rsid w:val="00DD01B4"/>
    <w:rsid w:val="00DD08E9"/>
    <w:rsid w:val="00DD11E1"/>
    <w:rsid w:val="00DD12A0"/>
    <w:rsid w:val="00DD1669"/>
    <w:rsid w:val="00DD2BFA"/>
    <w:rsid w:val="00DD2F95"/>
    <w:rsid w:val="00DD31DA"/>
    <w:rsid w:val="00DD34D5"/>
    <w:rsid w:val="00DD3583"/>
    <w:rsid w:val="00DD396E"/>
    <w:rsid w:val="00DD4259"/>
    <w:rsid w:val="00DD4AD1"/>
    <w:rsid w:val="00DD501A"/>
    <w:rsid w:val="00DD6043"/>
    <w:rsid w:val="00DD605E"/>
    <w:rsid w:val="00DD6B33"/>
    <w:rsid w:val="00DD735C"/>
    <w:rsid w:val="00DE137F"/>
    <w:rsid w:val="00DE1881"/>
    <w:rsid w:val="00DE241D"/>
    <w:rsid w:val="00DE2594"/>
    <w:rsid w:val="00DE30FD"/>
    <w:rsid w:val="00DE3581"/>
    <w:rsid w:val="00DE40A0"/>
    <w:rsid w:val="00DE4ACB"/>
    <w:rsid w:val="00DE505D"/>
    <w:rsid w:val="00DE5862"/>
    <w:rsid w:val="00DE5966"/>
    <w:rsid w:val="00DE68B8"/>
    <w:rsid w:val="00DE6E63"/>
    <w:rsid w:val="00DE6FEE"/>
    <w:rsid w:val="00DE73E2"/>
    <w:rsid w:val="00DE75B0"/>
    <w:rsid w:val="00DF0190"/>
    <w:rsid w:val="00DF01A9"/>
    <w:rsid w:val="00DF05B2"/>
    <w:rsid w:val="00DF1118"/>
    <w:rsid w:val="00DF1162"/>
    <w:rsid w:val="00DF140C"/>
    <w:rsid w:val="00DF1750"/>
    <w:rsid w:val="00DF18F7"/>
    <w:rsid w:val="00DF258F"/>
    <w:rsid w:val="00DF2A9D"/>
    <w:rsid w:val="00DF39D9"/>
    <w:rsid w:val="00DF4733"/>
    <w:rsid w:val="00DF519C"/>
    <w:rsid w:val="00DF7295"/>
    <w:rsid w:val="00DF7CD3"/>
    <w:rsid w:val="00DF7D8F"/>
    <w:rsid w:val="00E00982"/>
    <w:rsid w:val="00E00BDE"/>
    <w:rsid w:val="00E00FD7"/>
    <w:rsid w:val="00E012B0"/>
    <w:rsid w:val="00E0164E"/>
    <w:rsid w:val="00E017AF"/>
    <w:rsid w:val="00E018AE"/>
    <w:rsid w:val="00E01C4C"/>
    <w:rsid w:val="00E02C61"/>
    <w:rsid w:val="00E04260"/>
    <w:rsid w:val="00E0466F"/>
    <w:rsid w:val="00E048D9"/>
    <w:rsid w:val="00E048E6"/>
    <w:rsid w:val="00E049FA"/>
    <w:rsid w:val="00E04A3B"/>
    <w:rsid w:val="00E05849"/>
    <w:rsid w:val="00E05ABB"/>
    <w:rsid w:val="00E067CE"/>
    <w:rsid w:val="00E07443"/>
    <w:rsid w:val="00E07475"/>
    <w:rsid w:val="00E079BB"/>
    <w:rsid w:val="00E07A24"/>
    <w:rsid w:val="00E07D3C"/>
    <w:rsid w:val="00E1020A"/>
    <w:rsid w:val="00E10947"/>
    <w:rsid w:val="00E11060"/>
    <w:rsid w:val="00E11212"/>
    <w:rsid w:val="00E118B8"/>
    <w:rsid w:val="00E11D21"/>
    <w:rsid w:val="00E1230E"/>
    <w:rsid w:val="00E136A7"/>
    <w:rsid w:val="00E13746"/>
    <w:rsid w:val="00E13D51"/>
    <w:rsid w:val="00E13F3C"/>
    <w:rsid w:val="00E14CB2"/>
    <w:rsid w:val="00E1500B"/>
    <w:rsid w:val="00E152E8"/>
    <w:rsid w:val="00E15AA5"/>
    <w:rsid w:val="00E1625A"/>
    <w:rsid w:val="00E1651C"/>
    <w:rsid w:val="00E165D7"/>
    <w:rsid w:val="00E16960"/>
    <w:rsid w:val="00E20841"/>
    <w:rsid w:val="00E21017"/>
    <w:rsid w:val="00E22BED"/>
    <w:rsid w:val="00E23992"/>
    <w:rsid w:val="00E23A2C"/>
    <w:rsid w:val="00E24237"/>
    <w:rsid w:val="00E24953"/>
    <w:rsid w:val="00E25513"/>
    <w:rsid w:val="00E26029"/>
    <w:rsid w:val="00E271F3"/>
    <w:rsid w:val="00E27636"/>
    <w:rsid w:val="00E30BA9"/>
    <w:rsid w:val="00E317DB"/>
    <w:rsid w:val="00E326DE"/>
    <w:rsid w:val="00E32725"/>
    <w:rsid w:val="00E32A03"/>
    <w:rsid w:val="00E32B57"/>
    <w:rsid w:val="00E32E17"/>
    <w:rsid w:val="00E32E37"/>
    <w:rsid w:val="00E33DE7"/>
    <w:rsid w:val="00E34184"/>
    <w:rsid w:val="00E348DB"/>
    <w:rsid w:val="00E34F04"/>
    <w:rsid w:val="00E35455"/>
    <w:rsid w:val="00E357C8"/>
    <w:rsid w:val="00E35959"/>
    <w:rsid w:val="00E36569"/>
    <w:rsid w:val="00E36969"/>
    <w:rsid w:val="00E36AA4"/>
    <w:rsid w:val="00E37438"/>
    <w:rsid w:val="00E37CC6"/>
    <w:rsid w:val="00E37DB5"/>
    <w:rsid w:val="00E40F9D"/>
    <w:rsid w:val="00E41145"/>
    <w:rsid w:val="00E4223C"/>
    <w:rsid w:val="00E42245"/>
    <w:rsid w:val="00E42372"/>
    <w:rsid w:val="00E4253A"/>
    <w:rsid w:val="00E42DE0"/>
    <w:rsid w:val="00E43057"/>
    <w:rsid w:val="00E433CC"/>
    <w:rsid w:val="00E43F7B"/>
    <w:rsid w:val="00E440B1"/>
    <w:rsid w:val="00E4426B"/>
    <w:rsid w:val="00E442F0"/>
    <w:rsid w:val="00E44694"/>
    <w:rsid w:val="00E452E4"/>
    <w:rsid w:val="00E457C0"/>
    <w:rsid w:val="00E459B1"/>
    <w:rsid w:val="00E45B74"/>
    <w:rsid w:val="00E45B7E"/>
    <w:rsid w:val="00E46624"/>
    <w:rsid w:val="00E47462"/>
    <w:rsid w:val="00E4790A"/>
    <w:rsid w:val="00E50993"/>
    <w:rsid w:val="00E50BBA"/>
    <w:rsid w:val="00E51B19"/>
    <w:rsid w:val="00E51E2D"/>
    <w:rsid w:val="00E52172"/>
    <w:rsid w:val="00E52349"/>
    <w:rsid w:val="00E52AD3"/>
    <w:rsid w:val="00E52F19"/>
    <w:rsid w:val="00E538AA"/>
    <w:rsid w:val="00E53978"/>
    <w:rsid w:val="00E53B15"/>
    <w:rsid w:val="00E54C1C"/>
    <w:rsid w:val="00E54EB3"/>
    <w:rsid w:val="00E55380"/>
    <w:rsid w:val="00E555F1"/>
    <w:rsid w:val="00E57B5C"/>
    <w:rsid w:val="00E60083"/>
    <w:rsid w:val="00E608F6"/>
    <w:rsid w:val="00E6095D"/>
    <w:rsid w:val="00E60DED"/>
    <w:rsid w:val="00E60EED"/>
    <w:rsid w:val="00E61094"/>
    <w:rsid w:val="00E618A8"/>
    <w:rsid w:val="00E61B05"/>
    <w:rsid w:val="00E61DA1"/>
    <w:rsid w:val="00E61F78"/>
    <w:rsid w:val="00E61FBF"/>
    <w:rsid w:val="00E6327A"/>
    <w:rsid w:val="00E640A1"/>
    <w:rsid w:val="00E64BAE"/>
    <w:rsid w:val="00E64E49"/>
    <w:rsid w:val="00E659ED"/>
    <w:rsid w:val="00E65AA6"/>
    <w:rsid w:val="00E65B4D"/>
    <w:rsid w:val="00E65C75"/>
    <w:rsid w:val="00E66134"/>
    <w:rsid w:val="00E661B9"/>
    <w:rsid w:val="00E6727A"/>
    <w:rsid w:val="00E673F8"/>
    <w:rsid w:val="00E67DCD"/>
    <w:rsid w:val="00E70344"/>
    <w:rsid w:val="00E70681"/>
    <w:rsid w:val="00E72515"/>
    <w:rsid w:val="00E7253E"/>
    <w:rsid w:val="00E727E0"/>
    <w:rsid w:val="00E73187"/>
    <w:rsid w:val="00E738AE"/>
    <w:rsid w:val="00E73E60"/>
    <w:rsid w:val="00E759BE"/>
    <w:rsid w:val="00E806D7"/>
    <w:rsid w:val="00E80E7F"/>
    <w:rsid w:val="00E829D0"/>
    <w:rsid w:val="00E8355B"/>
    <w:rsid w:val="00E83FAF"/>
    <w:rsid w:val="00E8486A"/>
    <w:rsid w:val="00E84969"/>
    <w:rsid w:val="00E86441"/>
    <w:rsid w:val="00E8649B"/>
    <w:rsid w:val="00E87F9E"/>
    <w:rsid w:val="00E9329D"/>
    <w:rsid w:val="00E9389A"/>
    <w:rsid w:val="00E93D84"/>
    <w:rsid w:val="00E94E77"/>
    <w:rsid w:val="00E95835"/>
    <w:rsid w:val="00E96096"/>
    <w:rsid w:val="00E96ABA"/>
    <w:rsid w:val="00E9700D"/>
    <w:rsid w:val="00E97B68"/>
    <w:rsid w:val="00EA01FF"/>
    <w:rsid w:val="00EA082D"/>
    <w:rsid w:val="00EA0B6A"/>
    <w:rsid w:val="00EA0F3C"/>
    <w:rsid w:val="00EA1698"/>
    <w:rsid w:val="00EA184C"/>
    <w:rsid w:val="00EA1EBE"/>
    <w:rsid w:val="00EA2062"/>
    <w:rsid w:val="00EA2B39"/>
    <w:rsid w:val="00EA3083"/>
    <w:rsid w:val="00EA3B9B"/>
    <w:rsid w:val="00EA4726"/>
    <w:rsid w:val="00EA4FFC"/>
    <w:rsid w:val="00EA5390"/>
    <w:rsid w:val="00EA53AF"/>
    <w:rsid w:val="00EA613D"/>
    <w:rsid w:val="00EA68F9"/>
    <w:rsid w:val="00EA6ACA"/>
    <w:rsid w:val="00EA6FD5"/>
    <w:rsid w:val="00EA7448"/>
    <w:rsid w:val="00EA7C36"/>
    <w:rsid w:val="00EB043E"/>
    <w:rsid w:val="00EB05F5"/>
    <w:rsid w:val="00EB0905"/>
    <w:rsid w:val="00EB14C3"/>
    <w:rsid w:val="00EB1B27"/>
    <w:rsid w:val="00EB1B91"/>
    <w:rsid w:val="00EB237A"/>
    <w:rsid w:val="00EB335A"/>
    <w:rsid w:val="00EB379B"/>
    <w:rsid w:val="00EB491A"/>
    <w:rsid w:val="00EB4FCE"/>
    <w:rsid w:val="00EB54E1"/>
    <w:rsid w:val="00EB6429"/>
    <w:rsid w:val="00EB662A"/>
    <w:rsid w:val="00EB666B"/>
    <w:rsid w:val="00EB7389"/>
    <w:rsid w:val="00EB7445"/>
    <w:rsid w:val="00EB773B"/>
    <w:rsid w:val="00EB7E6E"/>
    <w:rsid w:val="00EB7E93"/>
    <w:rsid w:val="00EC0E0A"/>
    <w:rsid w:val="00EC10AA"/>
    <w:rsid w:val="00EC1918"/>
    <w:rsid w:val="00EC1947"/>
    <w:rsid w:val="00EC1EFB"/>
    <w:rsid w:val="00EC2994"/>
    <w:rsid w:val="00EC2C69"/>
    <w:rsid w:val="00EC2D62"/>
    <w:rsid w:val="00EC3013"/>
    <w:rsid w:val="00EC3429"/>
    <w:rsid w:val="00EC36C0"/>
    <w:rsid w:val="00EC3D41"/>
    <w:rsid w:val="00EC3F20"/>
    <w:rsid w:val="00EC45D7"/>
    <w:rsid w:val="00EC51AB"/>
    <w:rsid w:val="00EC5972"/>
    <w:rsid w:val="00EC5DE6"/>
    <w:rsid w:val="00EC7003"/>
    <w:rsid w:val="00EC7E15"/>
    <w:rsid w:val="00ED0297"/>
    <w:rsid w:val="00ED07A4"/>
    <w:rsid w:val="00ED1267"/>
    <w:rsid w:val="00ED12B4"/>
    <w:rsid w:val="00ED22D7"/>
    <w:rsid w:val="00ED2B38"/>
    <w:rsid w:val="00ED2E5E"/>
    <w:rsid w:val="00ED312C"/>
    <w:rsid w:val="00ED32D5"/>
    <w:rsid w:val="00ED38A7"/>
    <w:rsid w:val="00ED393D"/>
    <w:rsid w:val="00ED47DA"/>
    <w:rsid w:val="00ED4D9F"/>
    <w:rsid w:val="00ED523B"/>
    <w:rsid w:val="00ED5598"/>
    <w:rsid w:val="00ED5BF2"/>
    <w:rsid w:val="00ED67DB"/>
    <w:rsid w:val="00ED6A5E"/>
    <w:rsid w:val="00ED6A66"/>
    <w:rsid w:val="00ED6C1E"/>
    <w:rsid w:val="00ED6F35"/>
    <w:rsid w:val="00ED7011"/>
    <w:rsid w:val="00ED7602"/>
    <w:rsid w:val="00ED764C"/>
    <w:rsid w:val="00EE08B9"/>
    <w:rsid w:val="00EE0ABF"/>
    <w:rsid w:val="00EE0D7A"/>
    <w:rsid w:val="00EE16F2"/>
    <w:rsid w:val="00EE177A"/>
    <w:rsid w:val="00EE1881"/>
    <w:rsid w:val="00EE1F58"/>
    <w:rsid w:val="00EE2BA5"/>
    <w:rsid w:val="00EE31B6"/>
    <w:rsid w:val="00EE3A35"/>
    <w:rsid w:val="00EE3CD3"/>
    <w:rsid w:val="00EE4A00"/>
    <w:rsid w:val="00EE6580"/>
    <w:rsid w:val="00EE6899"/>
    <w:rsid w:val="00EE6AFB"/>
    <w:rsid w:val="00EE6C8B"/>
    <w:rsid w:val="00EE718A"/>
    <w:rsid w:val="00EF174C"/>
    <w:rsid w:val="00EF23E8"/>
    <w:rsid w:val="00EF29A2"/>
    <w:rsid w:val="00EF2FF0"/>
    <w:rsid w:val="00EF390B"/>
    <w:rsid w:val="00EF3B2B"/>
    <w:rsid w:val="00EF431A"/>
    <w:rsid w:val="00EF6362"/>
    <w:rsid w:val="00EF637A"/>
    <w:rsid w:val="00EF6D23"/>
    <w:rsid w:val="00EF7B77"/>
    <w:rsid w:val="00F0006A"/>
    <w:rsid w:val="00F00569"/>
    <w:rsid w:val="00F014AD"/>
    <w:rsid w:val="00F01EDC"/>
    <w:rsid w:val="00F02887"/>
    <w:rsid w:val="00F03026"/>
    <w:rsid w:val="00F03723"/>
    <w:rsid w:val="00F0386C"/>
    <w:rsid w:val="00F0394A"/>
    <w:rsid w:val="00F0399A"/>
    <w:rsid w:val="00F03A42"/>
    <w:rsid w:val="00F041E9"/>
    <w:rsid w:val="00F045FF"/>
    <w:rsid w:val="00F04641"/>
    <w:rsid w:val="00F04750"/>
    <w:rsid w:val="00F060A9"/>
    <w:rsid w:val="00F06361"/>
    <w:rsid w:val="00F07BBD"/>
    <w:rsid w:val="00F10B04"/>
    <w:rsid w:val="00F10D32"/>
    <w:rsid w:val="00F11BF7"/>
    <w:rsid w:val="00F120C5"/>
    <w:rsid w:val="00F12A1E"/>
    <w:rsid w:val="00F137AC"/>
    <w:rsid w:val="00F13A4F"/>
    <w:rsid w:val="00F13ED0"/>
    <w:rsid w:val="00F14592"/>
    <w:rsid w:val="00F15081"/>
    <w:rsid w:val="00F1562E"/>
    <w:rsid w:val="00F15ADB"/>
    <w:rsid w:val="00F164F5"/>
    <w:rsid w:val="00F16578"/>
    <w:rsid w:val="00F175E7"/>
    <w:rsid w:val="00F17B20"/>
    <w:rsid w:val="00F17B33"/>
    <w:rsid w:val="00F209E7"/>
    <w:rsid w:val="00F21203"/>
    <w:rsid w:val="00F21750"/>
    <w:rsid w:val="00F21A41"/>
    <w:rsid w:val="00F22159"/>
    <w:rsid w:val="00F22E46"/>
    <w:rsid w:val="00F23433"/>
    <w:rsid w:val="00F23A43"/>
    <w:rsid w:val="00F240AA"/>
    <w:rsid w:val="00F24383"/>
    <w:rsid w:val="00F2522E"/>
    <w:rsid w:val="00F25504"/>
    <w:rsid w:val="00F25D79"/>
    <w:rsid w:val="00F26878"/>
    <w:rsid w:val="00F26C8C"/>
    <w:rsid w:val="00F26F52"/>
    <w:rsid w:val="00F30B0F"/>
    <w:rsid w:val="00F30F6E"/>
    <w:rsid w:val="00F310E0"/>
    <w:rsid w:val="00F312EA"/>
    <w:rsid w:val="00F32350"/>
    <w:rsid w:val="00F358E9"/>
    <w:rsid w:val="00F35989"/>
    <w:rsid w:val="00F3617E"/>
    <w:rsid w:val="00F370A5"/>
    <w:rsid w:val="00F4009D"/>
    <w:rsid w:val="00F404E8"/>
    <w:rsid w:val="00F4085F"/>
    <w:rsid w:val="00F40A6B"/>
    <w:rsid w:val="00F40BEE"/>
    <w:rsid w:val="00F40EEE"/>
    <w:rsid w:val="00F41A79"/>
    <w:rsid w:val="00F41CF2"/>
    <w:rsid w:val="00F41E1C"/>
    <w:rsid w:val="00F4225E"/>
    <w:rsid w:val="00F4257F"/>
    <w:rsid w:val="00F4329A"/>
    <w:rsid w:val="00F434D3"/>
    <w:rsid w:val="00F4446F"/>
    <w:rsid w:val="00F44635"/>
    <w:rsid w:val="00F446A7"/>
    <w:rsid w:val="00F4582E"/>
    <w:rsid w:val="00F46159"/>
    <w:rsid w:val="00F46315"/>
    <w:rsid w:val="00F46458"/>
    <w:rsid w:val="00F466D6"/>
    <w:rsid w:val="00F46D1A"/>
    <w:rsid w:val="00F471E8"/>
    <w:rsid w:val="00F472D5"/>
    <w:rsid w:val="00F474BE"/>
    <w:rsid w:val="00F47524"/>
    <w:rsid w:val="00F478C8"/>
    <w:rsid w:val="00F5079D"/>
    <w:rsid w:val="00F50A4E"/>
    <w:rsid w:val="00F5129B"/>
    <w:rsid w:val="00F51E63"/>
    <w:rsid w:val="00F521B2"/>
    <w:rsid w:val="00F523AC"/>
    <w:rsid w:val="00F524DD"/>
    <w:rsid w:val="00F5332A"/>
    <w:rsid w:val="00F53566"/>
    <w:rsid w:val="00F535B8"/>
    <w:rsid w:val="00F53902"/>
    <w:rsid w:val="00F53FD0"/>
    <w:rsid w:val="00F5403E"/>
    <w:rsid w:val="00F5427D"/>
    <w:rsid w:val="00F54674"/>
    <w:rsid w:val="00F54A90"/>
    <w:rsid w:val="00F55091"/>
    <w:rsid w:val="00F555BA"/>
    <w:rsid w:val="00F55B08"/>
    <w:rsid w:val="00F56147"/>
    <w:rsid w:val="00F56E98"/>
    <w:rsid w:val="00F60F4B"/>
    <w:rsid w:val="00F6114E"/>
    <w:rsid w:val="00F616B0"/>
    <w:rsid w:val="00F62407"/>
    <w:rsid w:val="00F628CA"/>
    <w:rsid w:val="00F637D2"/>
    <w:rsid w:val="00F63C12"/>
    <w:rsid w:val="00F6472C"/>
    <w:rsid w:val="00F6564F"/>
    <w:rsid w:val="00F6691E"/>
    <w:rsid w:val="00F675DD"/>
    <w:rsid w:val="00F67A73"/>
    <w:rsid w:val="00F67C57"/>
    <w:rsid w:val="00F67FEA"/>
    <w:rsid w:val="00F706EF"/>
    <w:rsid w:val="00F70927"/>
    <w:rsid w:val="00F70B16"/>
    <w:rsid w:val="00F717AC"/>
    <w:rsid w:val="00F72B7A"/>
    <w:rsid w:val="00F73520"/>
    <w:rsid w:val="00F7354D"/>
    <w:rsid w:val="00F73DAB"/>
    <w:rsid w:val="00F75253"/>
    <w:rsid w:val="00F77489"/>
    <w:rsid w:val="00F80089"/>
    <w:rsid w:val="00F80527"/>
    <w:rsid w:val="00F80794"/>
    <w:rsid w:val="00F80BE4"/>
    <w:rsid w:val="00F817C4"/>
    <w:rsid w:val="00F81BD1"/>
    <w:rsid w:val="00F8239B"/>
    <w:rsid w:val="00F8263C"/>
    <w:rsid w:val="00F8271D"/>
    <w:rsid w:val="00F8313C"/>
    <w:rsid w:val="00F8318C"/>
    <w:rsid w:val="00F838C7"/>
    <w:rsid w:val="00F83A42"/>
    <w:rsid w:val="00F84180"/>
    <w:rsid w:val="00F84C65"/>
    <w:rsid w:val="00F8518F"/>
    <w:rsid w:val="00F8569D"/>
    <w:rsid w:val="00F856E1"/>
    <w:rsid w:val="00F85E49"/>
    <w:rsid w:val="00F85F1B"/>
    <w:rsid w:val="00F85F6A"/>
    <w:rsid w:val="00F87412"/>
    <w:rsid w:val="00F8747B"/>
    <w:rsid w:val="00F902F6"/>
    <w:rsid w:val="00F90575"/>
    <w:rsid w:val="00F9090D"/>
    <w:rsid w:val="00F91CEC"/>
    <w:rsid w:val="00F91F69"/>
    <w:rsid w:val="00F92E24"/>
    <w:rsid w:val="00F9381B"/>
    <w:rsid w:val="00F93EBE"/>
    <w:rsid w:val="00F95006"/>
    <w:rsid w:val="00F95306"/>
    <w:rsid w:val="00F954D3"/>
    <w:rsid w:val="00F95FFE"/>
    <w:rsid w:val="00F962A4"/>
    <w:rsid w:val="00F976DF"/>
    <w:rsid w:val="00FA057B"/>
    <w:rsid w:val="00FA09D3"/>
    <w:rsid w:val="00FA0D10"/>
    <w:rsid w:val="00FA0EAE"/>
    <w:rsid w:val="00FA17A6"/>
    <w:rsid w:val="00FA2931"/>
    <w:rsid w:val="00FA3334"/>
    <w:rsid w:val="00FA3736"/>
    <w:rsid w:val="00FA38BE"/>
    <w:rsid w:val="00FA3934"/>
    <w:rsid w:val="00FA3A10"/>
    <w:rsid w:val="00FA4685"/>
    <w:rsid w:val="00FA48AC"/>
    <w:rsid w:val="00FA6C1B"/>
    <w:rsid w:val="00FA6D41"/>
    <w:rsid w:val="00FB0257"/>
    <w:rsid w:val="00FB1F54"/>
    <w:rsid w:val="00FB29C8"/>
    <w:rsid w:val="00FB2A20"/>
    <w:rsid w:val="00FB2AD4"/>
    <w:rsid w:val="00FB3C62"/>
    <w:rsid w:val="00FB40F9"/>
    <w:rsid w:val="00FB52F7"/>
    <w:rsid w:val="00FB53EE"/>
    <w:rsid w:val="00FB6908"/>
    <w:rsid w:val="00FB6D9E"/>
    <w:rsid w:val="00FB7281"/>
    <w:rsid w:val="00FB7807"/>
    <w:rsid w:val="00FB7DD4"/>
    <w:rsid w:val="00FB7FE4"/>
    <w:rsid w:val="00FC03BC"/>
    <w:rsid w:val="00FC0818"/>
    <w:rsid w:val="00FC08EC"/>
    <w:rsid w:val="00FC269B"/>
    <w:rsid w:val="00FC3EAC"/>
    <w:rsid w:val="00FC4092"/>
    <w:rsid w:val="00FC5B96"/>
    <w:rsid w:val="00FC6577"/>
    <w:rsid w:val="00FC6601"/>
    <w:rsid w:val="00FC6912"/>
    <w:rsid w:val="00FC7007"/>
    <w:rsid w:val="00FC7A0C"/>
    <w:rsid w:val="00FD01D3"/>
    <w:rsid w:val="00FD0224"/>
    <w:rsid w:val="00FD024B"/>
    <w:rsid w:val="00FD0AF7"/>
    <w:rsid w:val="00FD0B19"/>
    <w:rsid w:val="00FD121F"/>
    <w:rsid w:val="00FD2125"/>
    <w:rsid w:val="00FD2201"/>
    <w:rsid w:val="00FD23CD"/>
    <w:rsid w:val="00FD261A"/>
    <w:rsid w:val="00FD4846"/>
    <w:rsid w:val="00FD4B55"/>
    <w:rsid w:val="00FD5419"/>
    <w:rsid w:val="00FD5B9F"/>
    <w:rsid w:val="00FD5C53"/>
    <w:rsid w:val="00FD5F7A"/>
    <w:rsid w:val="00FD6457"/>
    <w:rsid w:val="00FD69A2"/>
    <w:rsid w:val="00FD70F3"/>
    <w:rsid w:val="00FD7439"/>
    <w:rsid w:val="00FD7771"/>
    <w:rsid w:val="00FD7A49"/>
    <w:rsid w:val="00FD7BA1"/>
    <w:rsid w:val="00FE1DAB"/>
    <w:rsid w:val="00FE2769"/>
    <w:rsid w:val="00FE29FC"/>
    <w:rsid w:val="00FE2A60"/>
    <w:rsid w:val="00FE2C1D"/>
    <w:rsid w:val="00FE37A1"/>
    <w:rsid w:val="00FE3A56"/>
    <w:rsid w:val="00FE4277"/>
    <w:rsid w:val="00FE5023"/>
    <w:rsid w:val="00FE559B"/>
    <w:rsid w:val="00FE594C"/>
    <w:rsid w:val="00FE5A60"/>
    <w:rsid w:val="00FE61D5"/>
    <w:rsid w:val="00FE6961"/>
    <w:rsid w:val="00FE6A78"/>
    <w:rsid w:val="00FE6CF6"/>
    <w:rsid w:val="00FE6DBB"/>
    <w:rsid w:val="00FE74C7"/>
    <w:rsid w:val="00FF071F"/>
    <w:rsid w:val="00FF16BB"/>
    <w:rsid w:val="00FF277C"/>
    <w:rsid w:val="00FF3906"/>
    <w:rsid w:val="00FF3C8F"/>
    <w:rsid w:val="00FF5B17"/>
    <w:rsid w:val="00FF6197"/>
    <w:rsid w:val="00FF62EE"/>
    <w:rsid w:val="00FF673B"/>
    <w:rsid w:val="00FF7172"/>
    <w:rsid w:val="0143AD2A"/>
    <w:rsid w:val="016CB12D"/>
    <w:rsid w:val="0189010C"/>
    <w:rsid w:val="01913544"/>
    <w:rsid w:val="01D4FD43"/>
    <w:rsid w:val="01DDE4AF"/>
    <w:rsid w:val="01ED9397"/>
    <w:rsid w:val="0203062D"/>
    <w:rsid w:val="022180FC"/>
    <w:rsid w:val="022B4290"/>
    <w:rsid w:val="025399BF"/>
    <w:rsid w:val="025662A4"/>
    <w:rsid w:val="02730929"/>
    <w:rsid w:val="028B1F23"/>
    <w:rsid w:val="028F8F89"/>
    <w:rsid w:val="02969ADB"/>
    <w:rsid w:val="02A5F2CD"/>
    <w:rsid w:val="02A89291"/>
    <w:rsid w:val="02E3CB4A"/>
    <w:rsid w:val="031064FD"/>
    <w:rsid w:val="0334C123"/>
    <w:rsid w:val="0343065B"/>
    <w:rsid w:val="035E2674"/>
    <w:rsid w:val="038E7484"/>
    <w:rsid w:val="03968617"/>
    <w:rsid w:val="03BF0815"/>
    <w:rsid w:val="040F2BEB"/>
    <w:rsid w:val="0418DB12"/>
    <w:rsid w:val="0421F5F5"/>
    <w:rsid w:val="0426FB58"/>
    <w:rsid w:val="043509A8"/>
    <w:rsid w:val="043B4777"/>
    <w:rsid w:val="04470D6D"/>
    <w:rsid w:val="0447A9AD"/>
    <w:rsid w:val="04483BE3"/>
    <w:rsid w:val="04EE1DB9"/>
    <w:rsid w:val="05029C7D"/>
    <w:rsid w:val="0516D1DD"/>
    <w:rsid w:val="05325678"/>
    <w:rsid w:val="0557DD9E"/>
    <w:rsid w:val="057DB7E3"/>
    <w:rsid w:val="05947456"/>
    <w:rsid w:val="05AFE0BF"/>
    <w:rsid w:val="05B69100"/>
    <w:rsid w:val="05BB87FE"/>
    <w:rsid w:val="05BF28AF"/>
    <w:rsid w:val="05DA8B99"/>
    <w:rsid w:val="05DBD64D"/>
    <w:rsid w:val="05E5CC42"/>
    <w:rsid w:val="05E6C040"/>
    <w:rsid w:val="05FABF97"/>
    <w:rsid w:val="06016A38"/>
    <w:rsid w:val="065F0D27"/>
    <w:rsid w:val="0664A667"/>
    <w:rsid w:val="06C92E25"/>
    <w:rsid w:val="06D5D346"/>
    <w:rsid w:val="06F20CE8"/>
    <w:rsid w:val="06F9992E"/>
    <w:rsid w:val="072A2188"/>
    <w:rsid w:val="072CC293"/>
    <w:rsid w:val="078D90E9"/>
    <w:rsid w:val="0833257C"/>
    <w:rsid w:val="084CDB19"/>
    <w:rsid w:val="08618F57"/>
    <w:rsid w:val="086C001E"/>
    <w:rsid w:val="0886576B"/>
    <w:rsid w:val="088F0D68"/>
    <w:rsid w:val="08C00246"/>
    <w:rsid w:val="091BA103"/>
    <w:rsid w:val="091C7654"/>
    <w:rsid w:val="092443F6"/>
    <w:rsid w:val="09481956"/>
    <w:rsid w:val="099CB81F"/>
    <w:rsid w:val="09A2A18B"/>
    <w:rsid w:val="09AF2610"/>
    <w:rsid w:val="09C81DEE"/>
    <w:rsid w:val="09D0F70A"/>
    <w:rsid w:val="09E02E16"/>
    <w:rsid w:val="0A05D923"/>
    <w:rsid w:val="0A37CDF1"/>
    <w:rsid w:val="0A599389"/>
    <w:rsid w:val="0A64D207"/>
    <w:rsid w:val="0A699681"/>
    <w:rsid w:val="0AB0C9DB"/>
    <w:rsid w:val="0AB77D67"/>
    <w:rsid w:val="0ABEDDEA"/>
    <w:rsid w:val="0AC1E30D"/>
    <w:rsid w:val="0AC3A2E1"/>
    <w:rsid w:val="0AD30C55"/>
    <w:rsid w:val="0AD5E84E"/>
    <w:rsid w:val="0B00132B"/>
    <w:rsid w:val="0B18779B"/>
    <w:rsid w:val="0B294A97"/>
    <w:rsid w:val="0B64ECA6"/>
    <w:rsid w:val="0BB3EB69"/>
    <w:rsid w:val="0BC98282"/>
    <w:rsid w:val="0BE318D3"/>
    <w:rsid w:val="0BFB5A6B"/>
    <w:rsid w:val="0C325D9D"/>
    <w:rsid w:val="0C73863F"/>
    <w:rsid w:val="0C8C3686"/>
    <w:rsid w:val="0CB84435"/>
    <w:rsid w:val="0CE81472"/>
    <w:rsid w:val="0D0EC093"/>
    <w:rsid w:val="0D3DBC7E"/>
    <w:rsid w:val="0D75D695"/>
    <w:rsid w:val="0DA4833F"/>
    <w:rsid w:val="0DC31C04"/>
    <w:rsid w:val="0DE624EA"/>
    <w:rsid w:val="0DFB4FA5"/>
    <w:rsid w:val="0E07F496"/>
    <w:rsid w:val="0E2130D5"/>
    <w:rsid w:val="0E2BE084"/>
    <w:rsid w:val="0E32E628"/>
    <w:rsid w:val="0E54D263"/>
    <w:rsid w:val="0E66568E"/>
    <w:rsid w:val="0E85B610"/>
    <w:rsid w:val="0EA42CE2"/>
    <w:rsid w:val="0EBC2F2E"/>
    <w:rsid w:val="0ED0345D"/>
    <w:rsid w:val="0ED810C8"/>
    <w:rsid w:val="0EDC5992"/>
    <w:rsid w:val="0EF5B55A"/>
    <w:rsid w:val="0EF84613"/>
    <w:rsid w:val="0EFDC977"/>
    <w:rsid w:val="0F07E111"/>
    <w:rsid w:val="0F2E4C3A"/>
    <w:rsid w:val="0F3B63BC"/>
    <w:rsid w:val="0F453E27"/>
    <w:rsid w:val="0F7B7BDC"/>
    <w:rsid w:val="0F8D2599"/>
    <w:rsid w:val="0FD6E76A"/>
    <w:rsid w:val="0FDC1EE3"/>
    <w:rsid w:val="0FE98724"/>
    <w:rsid w:val="0FEF5B37"/>
    <w:rsid w:val="10119AEF"/>
    <w:rsid w:val="103CA97C"/>
    <w:rsid w:val="10449F4D"/>
    <w:rsid w:val="10A708FF"/>
    <w:rsid w:val="10AFF56A"/>
    <w:rsid w:val="10AFF91A"/>
    <w:rsid w:val="111E88F4"/>
    <w:rsid w:val="1143C8EC"/>
    <w:rsid w:val="11808B34"/>
    <w:rsid w:val="1198ADED"/>
    <w:rsid w:val="123B19D9"/>
    <w:rsid w:val="123C9028"/>
    <w:rsid w:val="12613C61"/>
    <w:rsid w:val="126FE9CB"/>
    <w:rsid w:val="12811A03"/>
    <w:rsid w:val="12A17462"/>
    <w:rsid w:val="12BA5955"/>
    <w:rsid w:val="12F7F49D"/>
    <w:rsid w:val="1302E464"/>
    <w:rsid w:val="130B57A0"/>
    <w:rsid w:val="13229097"/>
    <w:rsid w:val="1342884A"/>
    <w:rsid w:val="135100FE"/>
    <w:rsid w:val="135978B3"/>
    <w:rsid w:val="136AC3F8"/>
    <w:rsid w:val="13811230"/>
    <w:rsid w:val="13A4136C"/>
    <w:rsid w:val="13A47453"/>
    <w:rsid w:val="13AA037A"/>
    <w:rsid w:val="13B37981"/>
    <w:rsid w:val="13CF5F95"/>
    <w:rsid w:val="13FB310D"/>
    <w:rsid w:val="1406E4AC"/>
    <w:rsid w:val="14195A06"/>
    <w:rsid w:val="144906FB"/>
    <w:rsid w:val="145956A7"/>
    <w:rsid w:val="1495BDED"/>
    <w:rsid w:val="14AF8CE2"/>
    <w:rsid w:val="14D9F076"/>
    <w:rsid w:val="14FC432F"/>
    <w:rsid w:val="15099972"/>
    <w:rsid w:val="15132A93"/>
    <w:rsid w:val="1523CADF"/>
    <w:rsid w:val="152B3C89"/>
    <w:rsid w:val="153D34A6"/>
    <w:rsid w:val="156F2028"/>
    <w:rsid w:val="15A4EA60"/>
    <w:rsid w:val="15A7DA54"/>
    <w:rsid w:val="15C25C39"/>
    <w:rsid w:val="15C30B3F"/>
    <w:rsid w:val="15CBE60D"/>
    <w:rsid w:val="15E7AF93"/>
    <w:rsid w:val="15E880DD"/>
    <w:rsid w:val="15EEFAD7"/>
    <w:rsid w:val="166394E9"/>
    <w:rsid w:val="16659831"/>
    <w:rsid w:val="1670DF7C"/>
    <w:rsid w:val="16735251"/>
    <w:rsid w:val="16750915"/>
    <w:rsid w:val="1683DF18"/>
    <w:rsid w:val="1688D496"/>
    <w:rsid w:val="16895DC7"/>
    <w:rsid w:val="168CFA93"/>
    <w:rsid w:val="16D0757A"/>
    <w:rsid w:val="16FC03F9"/>
    <w:rsid w:val="17119CC8"/>
    <w:rsid w:val="174F83EB"/>
    <w:rsid w:val="176F847E"/>
    <w:rsid w:val="1784CFA7"/>
    <w:rsid w:val="17A494DC"/>
    <w:rsid w:val="17A7E157"/>
    <w:rsid w:val="17B25FD4"/>
    <w:rsid w:val="17BD368A"/>
    <w:rsid w:val="17C79F93"/>
    <w:rsid w:val="17C8A4FB"/>
    <w:rsid w:val="17DDC243"/>
    <w:rsid w:val="180F2DBF"/>
    <w:rsid w:val="180FF70D"/>
    <w:rsid w:val="1815B23C"/>
    <w:rsid w:val="182C077E"/>
    <w:rsid w:val="1839DE3C"/>
    <w:rsid w:val="183C1065"/>
    <w:rsid w:val="185D5D64"/>
    <w:rsid w:val="1876FF79"/>
    <w:rsid w:val="187CABF5"/>
    <w:rsid w:val="188C3F63"/>
    <w:rsid w:val="18AC6D71"/>
    <w:rsid w:val="18F15630"/>
    <w:rsid w:val="190A6B1D"/>
    <w:rsid w:val="19443A0E"/>
    <w:rsid w:val="1945C30D"/>
    <w:rsid w:val="1964644F"/>
    <w:rsid w:val="198A75A3"/>
    <w:rsid w:val="198E75BC"/>
    <w:rsid w:val="19B5F918"/>
    <w:rsid w:val="19CA67E3"/>
    <w:rsid w:val="19DE9826"/>
    <w:rsid w:val="1A029E28"/>
    <w:rsid w:val="1A18E1BC"/>
    <w:rsid w:val="1A2BF83F"/>
    <w:rsid w:val="1A494353"/>
    <w:rsid w:val="1A5289DA"/>
    <w:rsid w:val="1A8E4669"/>
    <w:rsid w:val="1AC254CD"/>
    <w:rsid w:val="1AF0A137"/>
    <w:rsid w:val="1B0D2B98"/>
    <w:rsid w:val="1B498575"/>
    <w:rsid w:val="1B559067"/>
    <w:rsid w:val="1B7F5C23"/>
    <w:rsid w:val="1BA8F441"/>
    <w:rsid w:val="1BCD899E"/>
    <w:rsid w:val="1BCEC637"/>
    <w:rsid w:val="1BE40345"/>
    <w:rsid w:val="1C09A3C0"/>
    <w:rsid w:val="1C25D0D1"/>
    <w:rsid w:val="1C3DA8D0"/>
    <w:rsid w:val="1C9B66B9"/>
    <w:rsid w:val="1CAA9A28"/>
    <w:rsid w:val="1CDCE9E7"/>
    <w:rsid w:val="1CDD1CE5"/>
    <w:rsid w:val="1D05D28C"/>
    <w:rsid w:val="1D74110E"/>
    <w:rsid w:val="1DB45EB2"/>
    <w:rsid w:val="1DC2752A"/>
    <w:rsid w:val="1DE4E7CE"/>
    <w:rsid w:val="1DED4886"/>
    <w:rsid w:val="1E330BCD"/>
    <w:rsid w:val="1E3AB8E0"/>
    <w:rsid w:val="1E7168FE"/>
    <w:rsid w:val="1E875E81"/>
    <w:rsid w:val="1E9CA5B4"/>
    <w:rsid w:val="1EA67A30"/>
    <w:rsid w:val="1ECF2BA1"/>
    <w:rsid w:val="1EF75A99"/>
    <w:rsid w:val="1EFE5F5A"/>
    <w:rsid w:val="1F2C8053"/>
    <w:rsid w:val="1F5EF7D8"/>
    <w:rsid w:val="1FA62024"/>
    <w:rsid w:val="1FB4785A"/>
    <w:rsid w:val="1FE3AADA"/>
    <w:rsid w:val="1FEA8686"/>
    <w:rsid w:val="20101CE6"/>
    <w:rsid w:val="201071A0"/>
    <w:rsid w:val="2014B759"/>
    <w:rsid w:val="201B08F2"/>
    <w:rsid w:val="203667FA"/>
    <w:rsid w:val="203CE2FE"/>
    <w:rsid w:val="20518EB5"/>
    <w:rsid w:val="20599534"/>
    <w:rsid w:val="2062A1A5"/>
    <w:rsid w:val="20923F93"/>
    <w:rsid w:val="20994551"/>
    <w:rsid w:val="20C1E38E"/>
    <w:rsid w:val="214EDCAD"/>
    <w:rsid w:val="214F0E10"/>
    <w:rsid w:val="216E8FDB"/>
    <w:rsid w:val="217B56DE"/>
    <w:rsid w:val="2199954B"/>
    <w:rsid w:val="21C6DF56"/>
    <w:rsid w:val="22475607"/>
    <w:rsid w:val="2259988D"/>
    <w:rsid w:val="22672E56"/>
    <w:rsid w:val="226D6DB5"/>
    <w:rsid w:val="22A294AA"/>
    <w:rsid w:val="22E8CCFE"/>
    <w:rsid w:val="22EC88AD"/>
    <w:rsid w:val="232D8AFB"/>
    <w:rsid w:val="233BC0E4"/>
    <w:rsid w:val="23483057"/>
    <w:rsid w:val="23489B20"/>
    <w:rsid w:val="236F79AA"/>
    <w:rsid w:val="23798DD8"/>
    <w:rsid w:val="23B49EA7"/>
    <w:rsid w:val="23CE3607"/>
    <w:rsid w:val="23D1FAAC"/>
    <w:rsid w:val="23E32668"/>
    <w:rsid w:val="23F4162D"/>
    <w:rsid w:val="240EAF40"/>
    <w:rsid w:val="241AF516"/>
    <w:rsid w:val="243D8D95"/>
    <w:rsid w:val="2451E95B"/>
    <w:rsid w:val="2465089E"/>
    <w:rsid w:val="246B4035"/>
    <w:rsid w:val="246F5309"/>
    <w:rsid w:val="2477BA7F"/>
    <w:rsid w:val="24B1B48A"/>
    <w:rsid w:val="24FE661B"/>
    <w:rsid w:val="25148191"/>
    <w:rsid w:val="251890B6"/>
    <w:rsid w:val="25486A81"/>
    <w:rsid w:val="25746BE4"/>
    <w:rsid w:val="25C6CD44"/>
    <w:rsid w:val="25C95FB4"/>
    <w:rsid w:val="25CB9C92"/>
    <w:rsid w:val="25F6CC16"/>
    <w:rsid w:val="26147332"/>
    <w:rsid w:val="2639AE2D"/>
    <w:rsid w:val="26440B41"/>
    <w:rsid w:val="26440B4A"/>
    <w:rsid w:val="26A1EC39"/>
    <w:rsid w:val="26BE0A04"/>
    <w:rsid w:val="26DC8BC0"/>
    <w:rsid w:val="26E4D4AB"/>
    <w:rsid w:val="270E9809"/>
    <w:rsid w:val="272B73B4"/>
    <w:rsid w:val="273B09EB"/>
    <w:rsid w:val="27E8F65D"/>
    <w:rsid w:val="27F80130"/>
    <w:rsid w:val="27F859A0"/>
    <w:rsid w:val="2801329F"/>
    <w:rsid w:val="28126176"/>
    <w:rsid w:val="2825F03A"/>
    <w:rsid w:val="282F5A4B"/>
    <w:rsid w:val="28407FAE"/>
    <w:rsid w:val="28A1A72A"/>
    <w:rsid w:val="28A5A339"/>
    <w:rsid w:val="28AD0D3E"/>
    <w:rsid w:val="28B659F2"/>
    <w:rsid w:val="28C19BB8"/>
    <w:rsid w:val="28C968B3"/>
    <w:rsid w:val="28E27FB2"/>
    <w:rsid w:val="293EB158"/>
    <w:rsid w:val="2964094C"/>
    <w:rsid w:val="296B6364"/>
    <w:rsid w:val="29AA4CDA"/>
    <w:rsid w:val="29B946FB"/>
    <w:rsid w:val="29D40C99"/>
    <w:rsid w:val="2A1F5CE1"/>
    <w:rsid w:val="2A24C63F"/>
    <w:rsid w:val="2A2510C8"/>
    <w:rsid w:val="2A5898EF"/>
    <w:rsid w:val="2A657746"/>
    <w:rsid w:val="2A8A6A2C"/>
    <w:rsid w:val="2A9ECDE6"/>
    <w:rsid w:val="2AE665AE"/>
    <w:rsid w:val="2B09C80E"/>
    <w:rsid w:val="2B14F00D"/>
    <w:rsid w:val="2B159B88"/>
    <w:rsid w:val="2B2E4B07"/>
    <w:rsid w:val="2B2E4D79"/>
    <w:rsid w:val="2B339C59"/>
    <w:rsid w:val="2B6919E3"/>
    <w:rsid w:val="2B777ADA"/>
    <w:rsid w:val="2B86B56E"/>
    <w:rsid w:val="2B97F9B0"/>
    <w:rsid w:val="2BC41202"/>
    <w:rsid w:val="2BD20B85"/>
    <w:rsid w:val="2C02759C"/>
    <w:rsid w:val="2C127887"/>
    <w:rsid w:val="2C8942E0"/>
    <w:rsid w:val="2C95966E"/>
    <w:rsid w:val="2CA6B11D"/>
    <w:rsid w:val="2CA8976A"/>
    <w:rsid w:val="2CB84F6C"/>
    <w:rsid w:val="2CC84A68"/>
    <w:rsid w:val="2D20419B"/>
    <w:rsid w:val="2D39C084"/>
    <w:rsid w:val="2D4BBEDA"/>
    <w:rsid w:val="2D4E99B2"/>
    <w:rsid w:val="2D562247"/>
    <w:rsid w:val="2DA0519B"/>
    <w:rsid w:val="2DC78251"/>
    <w:rsid w:val="2E0BEAE4"/>
    <w:rsid w:val="2E0C61F5"/>
    <w:rsid w:val="2E25E791"/>
    <w:rsid w:val="2E3B4AA6"/>
    <w:rsid w:val="2E65EBC9"/>
    <w:rsid w:val="2E8D40C4"/>
    <w:rsid w:val="2E9149B9"/>
    <w:rsid w:val="2E96974E"/>
    <w:rsid w:val="2EC73E3F"/>
    <w:rsid w:val="2ECBE593"/>
    <w:rsid w:val="2ED28C97"/>
    <w:rsid w:val="2ED3486B"/>
    <w:rsid w:val="2EE460D2"/>
    <w:rsid w:val="2EFA187F"/>
    <w:rsid w:val="2F015220"/>
    <w:rsid w:val="2F279F77"/>
    <w:rsid w:val="2F3FBC66"/>
    <w:rsid w:val="2F6D1430"/>
    <w:rsid w:val="2F72C30D"/>
    <w:rsid w:val="2F94827E"/>
    <w:rsid w:val="2F9EF427"/>
    <w:rsid w:val="2FA325BA"/>
    <w:rsid w:val="2FA52CF5"/>
    <w:rsid w:val="2FA7BB45"/>
    <w:rsid w:val="2FB89194"/>
    <w:rsid w:val="2FE4FBA7"/>
    <w:rsid w:val="2FF62D2D"/>
    <w:rsid w:val="3017C877"/>
    <w:rsid w:val="3043FF7F"/>
    <w:rsid w:val="305E7746"/>
    <w:rsid w:val="306562D2"/>
    <w:rsid w:val="3083AE53"/>
    <w:rsid w:val="30D4B8CA"/>
    <w:rsid w:val="312D0614"/>
    <w:rsid w:val="315B3070"/>
    <w:rsid w:val="316D437A"/>
    <w:rsid w:val="31738D09"/>
    <w:rsid w:val="318615A5"/>
    <w:rsid w:val="31A06442"/>
    <w:rsid w:val="31B6C8E6"/>
    <w:rsid w:val="31C6F2BE"/>
    <w:rsid w:val="31D4EAA3"/>
    <w:rsid w:val="31F1671F"/>
    <w:rsid w:val="31F6589F"/>
    <w:rsid w:val="31FE9BA2"/>
    <w:rsid w:val="322A5115"/>
    <w:rsid w:val="3249B591"/>
    <w:rsid w:val="3266100C"/>
    <w:rsid w:val="326857F2"/>
    <w:rsid w:val="326A946A"/>
    <w:rsid w:val="327F309C"/>
    <w:rsid w:val="32B7DAA4"/>
    <w:rsid w:val="32C8D55A"/>
    <w:rsid w:val="32DF5C07"/>
    <w:rsid w:val="32F20337"/>
    <w:rsid w:val="330624EB"/>
    <w:rsid w:val="33423547"/>
    <w:rsid w:val="335B0885"/>
    <w:rsid w:val="3360BD5D"/>
    <w:rsid w:val="338F0FC1"/>
    <w:rsid w:val="33B7FAE4"/>
    <w:rsid w:val="33D15EFC"/>
    <w:rsid w:val="33DA6F52"/>
    <w:rsid w:val="33F5B584"/>
    <w:rsid w:val="34006496"/>
    <w:rsid w:val="348D3825"/>
    <w:rsid w:val="34951861"/>
    <w:rsid w:val="34A6CE0A"/>
    <w:rsid w:val="34B9E7AD"/>
    <w:rsid w:val="34F08047"/>
    <w:rsid w:val="350A5549"/>
    <w:rsid w:val="35295B5B"/>
    <w:rsid w:val="352F9A53"/>
    <w:rsid w:val="356F5A0A"/>
    <w:rsid w:val="3572C998"/>
    <w:rsid w:val="358423D8"/>
    <w:rsid w:val="35A74B58"/>
    <w:rsid w:val="35E47F20"/>
    <w:rsid w:val="36065644"/>
    <w:rsid w:val="360CF291"/>
    <w:rsid w:val="36263498"/>
    <w:rsid w:val="3629AB32"/>
    <w:rsid w:val="3636A516"/>
    <w:rsid w:val="364C4D4C"/>
    <w:rsid w:val="368AE0E6"/>
    <w:rsid w:val="36B6545E"/>
    <w:rsid w:val="36C590F1"/>
    <w:rsid w:val="370A3040"/>
    <w:rsid w:val="370BD6EC"/>
    <w:rsid w:val="372C15D0"/>
    <w:rsid w:val="373FD645"/>
    <w:rsid w:val="3772DEAB"/>
    <w:rsid w:val="37829DF1"/>
    <w:rsid w:val="37A14577"/>
    <w:rsid w:val="37FDA074"/>
    <w:rsid w:val="38081E68"/>
    <w:rsid w:val="386AA7E9"/>
    <w:rsid w:val="387843C0"/>
    <w:rsid w:val="38B90144"/>
    <w:rsid w:val="38BD2217"/>
    <w:rsid w:val="38D77791"/>
    <w:rsid w:val="38F2FDC4"/>
    <w:rsid w:val="39223C67"/>
    <w:rsid w:val="394B806E"/>
    <w:rsid w:val="39522017"/>
    <w:rsid w:val="397A874D"/>
    <w:rsid w:val="3987F32C"/>
    <w:rsid w:val="398CDBC5"/>
    <w:rsid w:val="39CC635A"/>
    <w:rsid w:val="39D88F83"/>
    <w:rsid w:val="39FCCC7E"/>
    <w:rsid w:val="3A13514A"/>
    <w:rsid w:val="3A1446DF"/>
    <w:rsid w:val="3A1B62C4"/>
    <w:rsid w:val="3A32CC9C"/>
    <w:rsid w:val="3A6272B3"/>
    <w:rsid w:val="3A83D205"/>
    <w:rsid w:val="3A870BAC"/>
    <w:rsid w:val="3AA2EAC5"/>
    <w:rsid w:val="3AC6682B"/>
    <w:rsid w:val="3AEE8947"/>
    <w:rsid w:val="3B22F7B4"/>
    <w:rsid w:val="3B3848CE"/>
    <w:rsid w:val="3B4187A6"/>
    <w:rsid w:val="3B5584BF"/>
    <w:rsid w:val="3B60FE12"/>
    <w:rsid w:val="3B7E9202"/>
    <w:rsid w:val="3BB553A1"/>
    <w:rsid w:val="3BC1599D"/>
    <w:rsid w:val="3BDCBEED"/>
    <w:rsid w:val="3BF99EBC"/>
    <w:rsid w:val="3BFE9F27"/>
    <w:rsid w:val="3C2435A8"/>
    <w:rsid w:val="3CA2C618"/>
    <w:rsid w:val="3CDF15CF"/>
    <w:rsid w:val="3CF44F0D"/>
    <w:rsid w:val="3D055AC1"/>
    <w:rsid w:val="3D2ED716"/>
    <w:rsid w:val="3D316D37"/>
    <w:rsid w:val="3D4ECC04"/>
    <w:rsid w:val="3D4EF576"/>
    <w:rsid w:val="3D56E2EE"/>
    <w:rsid w:val="3D5E7513"/>
    <w:rsid w:val="3D614E7B"/>
    <w:rsid w:val="3DAE5237"/>
    <w:rsid w:val="3DC7F152"/>
    <w:rsid w:val="3E0D2043"/>
    <w:rsid w:val="3E234E9D"/>
    <w:rsid w:val="3E5F1425"/>
    <w:rsid w:val="3E6593AB"/>
    <w:rsid w:val="3E6A8856"/>
    <w:rsid w:val="3EFAE52B"/>
    <w:rsid w:val="3EFB3752"/>
    <w:rsid w:val="3EFBA3F1"/>
    <w:rsid w:val="3F1CCD3D"/>
    <w:rsid w:val="3F20371D"/>
    <w:rsid w:val="3F3AE14F"/>
    <w:rsid w:val="3F453163"/>
    <w:rsid w:val="3F55451A"/>
    <w:rsid w:val="3F58F14A"/>
    <w:rsid w:val="3F613283"/>
    <w:rsid w:val="3F86BF28"/>
    <w:rsid w:val="3F878E40"/>
    <w:rsid w:val="3F977F38"/>
    <w:rsid w:val="3FA6E988"/>
    <w:rsid w:val="3FB549E0"/>
    <w:rsid w:val="3FC8DC89"/>
    <w:rsid w:val="3FD47C9C"/>
    <w:rsid w:val="3FD60570"/>
    <w:rsid w:val="3FF82031"/>
    <w:rsid w:val="400002EB"/>
    <w:rsid w:val="400C5C01"/>
    <w:rsid w:val="40213295"/>
    <w:rsid w:val="40316866"/>
    <w:rsid w:val="4036D575"/>
    <w:rsid w:val="40B03010"/>
    <w:rsid w:val="40BBCA15"/>
    <w:rsid w:val="40CBEE00"/>
    <w:rsid w:val="40E56333"/>
    <w:rsid w:val="40F8635D"/>
    <w:rsid w:val="410F83AA"/>
    <w:rsid w:val="411DB748"/>
    <w:rsid w:val="415C1086"/>
    <w:rsid w:val="4164ACEA"/>
    <w:rsid w:val="4180D43C"/>
    <w:rsid w:val="41852ADD"/>
    <w:rsid w:val="41B201B8"/>
    <w:rsid w:val="41C222CC"/>
    <w:rsid w:val="41C29965"/>
    <w:rsid w:val="41D0A1F0"/>
    <w:rsid w:val="41D6155A"/>
    <w:rsid w:val="422047F1"/>
    <w:rsid w:val="423852B6"/>
    <w:rsid w:val="423CEFF3"/>
    <w:rsid w:val="424C0071"/>
    <w:rsid w:val="425F44A6"/>
    <w:rsid w:val="4264F2D0"/>
    <w:rsid w:val="4286121E"/>
    <w:rsid w:val="4299FBCE"/>
    <w:rsid w:val="42E89DCB"/>
    <w:rsid w:val="430612FF"/>
    <w:rsid w:val="43090693"/>
    <w:rsid w:val="430E145A"/>
    <w:rsid w:val="4336AED1"/>
    <w:rsid w:val="4340ADC9"/>
    <w:rsid w:val="4345CE76"/>
    <w:rsid w:val="434B5D69"/>
    <w:rsid w:val="4393C4DB"/>
    <w:rsid w:val="439D9C73"/>
    <w:rsid w:val="4454DB21"/>
    <w:rsid w:val="44A8224F"/>
    <w:rsid w:val="44AFA1BF"/>
    <w:rsid w:val="44C58467"/>
    <w:rsid w:val="44EA719E"/>
    <w:rsid w:val="44F19F8E"/>
    <w:rsid w:val="44F52F65"/>
    <w:rsid w:val="4543E791"/>
    <w:rsid w:val="45631E8C"/>
    <w:rsid w:val="458FED23"/>
    <w:rsid w:val="45930476"/>
    <w:rsid w:val="45C17F7D"/>
    <w:rsid w:val="45ED83A2"/>
    <w:rsid w:val="45F563B5"/>
    <w:rsid w:val="461D5827"/>
    <w:rsid w:val="4646A7E5"/>
    <w:rsid w:val="467F65F3"/>
    <w:rsid w:val="46820CA8"/>
    <w:rsid w:val="46C775B6"/>
    <w:rsid w:val="46CA5D22"/>
    <w:rsid w:val="46D30032"/>
    <w:rsid w:val="46D5C6C8"/>
    <w:rsid w:val="46D8E3BF"/>
    <w:rsid w:val="46F03829"/>
    <w:rsid w:val="471F1785"/>
    <w:rsid w:val="4720E386"/>
    <w:rsid w:val="475F3B6C"/>
    <w:rsid w:val="47B4F977"/>
    <w:rsid w:val="47DF2344"/>
    <w:rsid w:val="481F0BF5"/>
    <w:rsid w:val="48548013"/>
    <w:rsid w:val="48832C10"/>
    <w:rsid w:val="48AC36A1"/>
    <w:rsid w:val="48BA245D"/>
    <w:rsid w:val="48C9B42B"/>
    <w:rsid w:val="48CBB68B"/>
    <w:rsid w:val="48DE07BF"/>
    <w:rsid w:val="48E3BE98"/>
    <w:rsid w:val="48FE8AE5"/>
    <w:rsid w:val="49302C91"/>
    <w:rsid w:val="493478FF"/>
    <w:rsid w:val="4937D8A7"/>
    <w:rsid w:val="4953F698"/>
    <w:rsid w:val="496CAEDC"/>
    <w:rsid w:val="49727D3E"/>
    <w:rsid w:val="49762968"/>
    <w:rsid w:val="49D260A3"/>
    <w:rsid w:val="49E6CA4D"/>
    <w:rsid w:val="4A3573C0"/>
    <w:rsid w:val="4A449290"/>
    <w:rsid w:val="4A658805"/>
    <w:rsid w:val="4A995CD0"/>
    <w:rsid w:val="4AD114F7"/>
    <w:rsid w:val="4AE57220"/>
    <w:rsid w:val="4AF64D2C"/>
    <w:rsid w:val="4B0DB54F"/>
    <w:rsid w:val="4B409097"/>
    <w:rsid w:val="4B4FE2A7"/>
    <w:rsid w:val="4B56ACB7"/>
    <w:rsid w:val="4B5CA225"/>
    <w:rsid w:val="4B6104B5"/>
    <w:rsid w:val="4B64D874"/>
    <w:rsid w:val="4B6A4B1F"/>
    <w:rsid w:val="4B952279"/>
    <w:rsid w:val="4BC7CCCD"/>
    <w:rsid w:val="4BCDA6D2"/>
    <w:rsid w:val="4BCDAA69"/>
    <w:rsid w:val="4C4C45F5"/>
    <w:rsid w:val="4C6B23A0"/>
    <w:rsid w:val="4C982065"/>
    <w:rsid w:val="4CA5D848"/>
    <w:rsid w:val="4CD526D6"/>
    <w:rsid w:val="4CEAEB57"/>
    <w:rsid w:val="4CEDB025"/>
    <w:rsid w:val="4CEF6D5E"/>
    <w:rsid w:val="4D575AA9"/>
    <w:rsid w:val="4D5913F2"/>
    <w:rsid w:val="4D60B121"/>
    <w:rsid w:val="4D764C1B"/>
    <w:rsid w:val="4D76BB9A"/>
    <w:rsid w:val="4D86716A"/>
    <w:rsid w:val="4DDCFE98"/>
    <w:rsid w:val="4DFC7881"/>
    <w:rsid w:val="4DFD1AB9"/>
    <w:rsid w:val="4DFD9DE3"/>
    <w:rsid w:val="4E04450A"/>
    <w:rsid w:val="4E8D08E7"/>
    <w:rsid w:val="4EACC7A1"/>
    <w:rsid w:val="4ED5B6C6"/>
    <w:rsid w:val="4EE32EAA"/>
    <w:rsid w:val="4EE81907"/>
    <w:rsid w:val="4EFF2448"/>
    <w:rsid w:val="4F415606"/>
    <w:rsid w:val="4F51AF67"/>
    <w:rsid w:val="4F97BD25"/>
    <w:rsid w:val="4FC0FC01"/>
    <w:rsid w:val="4FCB6DAA"/>
    <w:rsid w:val="4FCE613E"/>
    <w:rsid w:val="4FEF0135"/>
    <w:rsid w:val="4FFFAFC6"/>
    <w:rsid w:val="5061794E"/>
    <w:rsid w:val="507E2D43"/>
    <w:rsid w:val="508172FD"/>
    <w:rsid w:val="50971AA3"/>
    <w:rsid w:val="50AB64EA"/>
    <w:rsid w:val="50AB87FE"/>
    <w:rsid w:val="50BF309D"/>
    <w:rsid w:val="51165321"/>
    <w:rsid w:val="513AB0AA"/>
    <w:rsid w:val="513BB15F"/>
    <w:rsid w:val="5140B031"/>
    <w:rsid w:val="514E6E29"/>
    <w:rsid w:val="515714E4"/>
    <w:rsid w:val="51688307"/>
    <w:rsid w:val="5210D9FD"/>
    <w:rsid w:val="5244B4C0"/>
    <w:rsid w:val="524F8F29"/>
    <w:rsid w:val="52610B5D"/>
    <w:rsid w:val="526FB314"/>
    <w:rsid w:val="52A109AA"/>
    <w:rsid w:val="52B22382"/>
    <w:rsid w:val="52B80D1E"/>
    <w:rsid w:val="52C2A470"/>
    <w:rsid w:val="52C943DB"/>
    <w:rsid w:val="52E836B4"/>
    <w:rsid w:val="52FE64D3"/>
    <w:rsid w:val="53110651"/>
    <w:rsid w:val="531366B2"/>
    <w:rsid w:val="5323BCA3"/>
    <w:rsid w:val="535436D8"/>
    <w:rsid w:val="5363DD42"/>
    <w:rsid w:val="5371CB09"/>
    <w:rsid w:val="53929526"/>
    <w:rsid w:val="539831A8"/>
    <w:rsid w:val="5400DD98"/>
    <w:rsid w:val="544676F2"/>
    <w:rsid w:val="5451B756"/>
    <w:rsid w:val="546AF682"/>
    <w:rsid w:val="5493C874"/>
    <w:rsid w:val="5498E931"/>
    <w:rsid w:val="54ACD6B2"/>
    <w:rsid w:val="54AEF647"/>
    <w:rsid w:val="54D54C40"/>
    <w:rsid w:val="54D84126"/>
    <w:rsid w:val="54FD8EFD"/>
    <w:rsid w:val="54FFB027"/>
    <w:rsid w:val="550DEBCD"/>
    <w:rsid w:val="5522DC62"/>
    <w:rsid w:val="5532EC8D"/>
    <w:rsid w:val="554BE1E1"/>
    <w:rsid w:val="5554676B"/>
    <w:rsid w:val="55961791"/>
    <w:rsid w:val="55C9E70C"/>
    <w:rsid w:val="55FD34E9"/>
    <w:rsid w:val="55FD90E6"/>
    <w:rsid w:val="560E1294"/>
    <w:rsid w:val="56171528"/>
    <w:rsid w:val="561CAA31"/>
    <w:rsid w:val="56397DB6"/>
    <w:rsid w:val="5696B772"/>
    <w:rsid w:val="56A2B391"/>
    <w:rsid w:val="56A45D05"/>
    <w:rsid w:val="56CD05C6"/>
    <w:rsid w:val="56E5B57B"/>
    <w:rsid w:val="57052DA7"/>
    <w:rsid w:val="5748F5A6"/>
    <w:rsid w:val="57577015"/>
    <w:rsid w:val="57781B5E"/>
    <w:rsid w:val="57961593"/>
    <w:rsid w:val="579830C1"/>
    <w:rsid w:val="57B2E589"/>
    <w:rsid w:val="57CB40E8"/>
    <w:rsid w:val="57E47774"/>
    <w:rsid w:val="57F62755"/>
    <w:rsid w:val="5811A1E6"/>
    <w:rsid w:val="5828F0FC"/>
    <w:rsid w:val="582ACA43"/>
    <w:rsid w:val="583DFF13"/>
    <w:rsid w:val="58466A96"/>
    <w:rsid w:val="58652E1F"/>
    <w:rsid w:val="58777AA3"/>
    <w:rsid w:val="58A645F1"/>
    <w:rsid w:val="58C19CDA"/>
    <w:rsid w:val="58FC55FC"/>
    <w:rsid w:val="58FD3451"/>
    <w:rsid w:val="596C5A54"/>
    <w:rsid w:val="5998A2A2"/>
    <w:rsid w:val="59B55FCD"/>
    <w:rsid w:val="59B7D7C3"/>
    <w:rsid w:val="59BC3FC9"/>
    <w:rsid w:val="59DBACCA"/>
    <w:rsid w:val="59E3D25B"/>
    <w:rsid w:val="59E74451"/>
    <w:rsid w:val="59EE96AF"/>
    <w:rsid w:val="59F0B9C2"/>
    <w:rsid w:val="5A486AFD"/>
    <w:rsid w:val="5A4CEA86"/>
    <w:rsid w:val="5A67D932"/>
    <w:rsid w:val="5A825F94"/>
    <w:rsid w:val="5AE85C1E"/>
    <w:rsid w:val="5B044506"/>
    <w:rsid w:val="5B27A6C1"/>
    <w:rsid w:val="5B2E5A4D"/>
    <w:rsid w:val="5B53A824"/>
    <w:rsid w:val="5B55B8EB"/>
    <w:rsid w:val="5B7694A0"/>
    <w:rsid w:val="5B828239"/>
    <w:rsid w:val="5BB22478"/>
    <w:rsid w:val="5BB3A99C"/>
    <w:rsid w:val="5C720FF4"/>
    <w:rsid w:val="5C7ECC13"/>
    <w:rsid w:val="5C867289"/>
    <w:rsid w:val="5C87642F"/>
    <w:rsid w:val="5CB4F931"/>
    <w:rsid w:val="5CD22243"/>
    <w:rsid w:val="5CE90F18"/>
    <w:rsid w:val="5CED008F"/>
    <w:rsid w:val="5CF486EB"/>
    <w:rsid w:val="5D126905"/>
    <w:rsid w:val="5D175D16"/>
    <w:rsid w:val="5D287482"/>
    <w:rsid w:val="5D616784"/>
    <w:rsid w:val="5D9B8436"/>
    <w:rsid w:val="5DAA7D23"/>
    <w:rsid w:val="5E08E4DD"/>
    <w:rsid w:val="5E0C1B78"/>
    <w:rsid w:val="5E1CED29"/>
    <w:rsid w:val="5E30D591"/>
    <w:rsid w:val="5E3D8234"/>
    <w:rsid w:val="5E3E1CDF"/>
    <w:rsid w:val="5E40918A"/>
    <w:rsid w:val="5E44B557"/>
    <w:rsid w:val="5E6085E6"/>
    <w:rsid w:val="5E68F816"/>
    <w:rsid w:val="5E717EF9"/>
    <w:rsid w:val="5E88D0F0"/>
    <w:rsid w:val="5E96468D"/>
    <w:rsid w:val="5EA8BE25"/>
    <w:rsid w:val="5EBD4900"/>
    <w:rsid w:val="5ED4F851"/>
    <w:rsid w:val="5EE88847"/>
    <w:rsid w:val="5F1A31B3"/>
    <w:rsid w:val="5F614165"/>
    <w:rsid w:val="5F94B892"/>
    <w:rsid w:val="5FC006EA"/>
    <w:rsid w:val="5FC647C9"/>
    <w:rsid w:val="5FD71FCB"/>
    <w:rsid w:val="5FDCABC1"/>
    <w:rsid w:val="6051CAF7"/>
    <w:rsid w:val="606B3706"/>
    <w:rsid w:val="6072B7BF"/>
    <w:rsid w:val="608CE2CF"/>
    <w:rsid w:val="60B38662"/>
    <w:rsid w:val="60C14655"/>
    <w:rsid w:val="60D1C5AE"/>
    <w:rsid w:val="60F57797"/>
    <w:rsid w:val="60FB62A1"/>
    <w:rsid w:val="61090938"/>
    <w:rsid w:val="610E41E0"/>
    <w:rsid w:val="61263C58"/>
    <w:rsid w:val="6165B38C"/>
    <w:rsid w:val="62029CFE"/>
    <w:rsid w:val="620D42EE"/>
    <w:rsid w:val="621726C5"/>
    <w:rsid w:val="6231DE29"/>
    <w:rsid w:val="623C9349"/>
    <w:rsid w:val="626D61B2"/>
    <w:rsid w:val="62941235"/>
    <w:rsid w:val="6295FE39"/>
    <w:rsid w:val="62AD2E01"/>
    <w:rsid w:val="62BB5C23"/>
    <w:rsid w:val="62F3696D"/>
    <w:rsid w:val="62F59830"/>
    <w:rsid w:val="62F9C6F7"/>
    <w:rsid w:val="62FED861"/>
    <w:rsid w:val="631B090F"/>
    <w:rsid w:val="632FD091"/>
    <w:rsid w:val="63CA7E3B"/>
    <w:rsid w:val="63DA83C5"/>
    <w:rsid w:val="63F2EA0D"/>
    <w:rsid w:val="6406FF8D"/>
    <w:rsid w:val="641D714A"/>
    <w:rsid w:val="642445F2"/>
    <w:rsid w:val="64523F93"/>
    <w:rsid w:val="64AFD275"/>
    <w:rsid w:val="651824A9"/>
    <w:rsid w:val="65204055"/>
    <w:rsid w:val="65247F31"/>
    <w:rsid w:val="6558A048"/>
    <w:rsid w:val="656FF0EE"/>
    <w:rsid w:val="6595BF6A"/>
    <w:rsid w:val="65A3A26E"/>
    <w:rsid w:val="65A806E7"/>
    <w:rsid w:val="65B53566"/>
    <w:rsid w:val="65F6A282"/>
    <w:rsid w:val="664C550A"/>
    <w:rsid w:val="6669DB2C"/>
    <w:rsid w:val="666EE2E5"/>
    <w:rsid w:val="6676AB0B"/>
    <w:rsid w:val="66E27AE6"/>
    <w:rsid w:val="6781F2A6"/>
    <w:rsid w:val="6785FD82"/>
    <w:rsid w:val="678DBFBE"/>
    <w:rsid w:val="67967976"/>
    <w:rsid w:val="67A1C729"/>
    <w:rsid w:val="67BDF4AF"/>
    <w:rsid w:val="67C90953"/>
    <w:rsid w:val="67DBE33B"/>
    <w:rsid w:val="6804FBE8"/>
    <w:rsid w:val="68253AE0"/>
    <w:rsid w:val="6834ED99"/>
    <w:rsid w:val="6839DB49"/>
    <w:rsid w:val="68872E02"/>
    <w:rsid w:val="688C875B"/>
    <w:rsid w:val="68C2A52E"/>
    <w:rsid w:val="68D5F4A3"/>
    <w:rsid w:val="68DC724D"/>
    <w:rsid w:val="68E95F3A"/>
    <w:rsid w:val="68EC8F7A"/>
    <w:rsid w:val="68FF6829"/>
    <w:rsid w:val="6968F0E5"/>
    <w:rsid w:val="69973007"/>
    <w:rsid w:val="69A17BEE"/>
    <w:rsid w:val="69A77EA0"/>
    <w:rsid w:val="69B01F46"/>
    <w:rsid w:val="69B5A766"/>
    <w:rsid w:val="69EE8490"/>
    <w:rsid w:val="6A17F0E6"/>
    <w:rsid w:val="6A3115FF"/>
    <w:rsid w:val="6A943AB2"/>
    <w:rsid w:val="6AD942CD"/>
    <w:rsid w:val="6ADF5E58"/>
    <w:rsid w:val="6AE58A58"/>
    <w:rsid w:val="6AF6D5A2"/>
    <w:rsid w:val="6B2C2642"/>
    <w:rsid w:val="6B6F0889"/>
    <w:rsid w:val="6B87662D"/>
    <w:rsid w:val="6BC6FB2E"/>
    <w:rsid w:val="6BDFFA63"/>
    <w:rsid w:val="6BEE8F53"/>
    <w:rsid w:val="6C0F6166"/>
    <w:rsid w:val="6C10EE8E"/>
    <w:rsid w:val="6C1CB70E"/>
    <w:rsid w:val="6C39340F"/>
    <w:rsid w:val="6C4E035B"/>
    <w:rsid w:val="6C5ABA0D"/>
    <w:rsid w:val="6C8D2BBA"/>
    <w:rsid w:val="6C9305CE"/>
    <w:rsid w:val="6C968A55"/>
    <w:rsid w:val="6CADAE81"/>
    <w:rsid w:val="6CC82070"/>
    <w:rsid w:val="6CD821B9"/>
    <w:rsid w:val="6CF2203E"/>
    <w:rsid w:val="6D0D4C6C"/>
    <w:rsid w:val="6D5066E1"/>
    <w:rsid w:val="6D855500"/>
    <w:rsid w:val="6D98683F"/>
    <w:rsid w:val="6DCCCA5A"/>
    <w:rsid w:val="6DD25693"/>
    <w:rsid w:val="6DE1019C"/>
    <w:rsid w:val="6E018157"/>
    <w:rsid w:val="6E44AC6A"/>
    <w:rsid w:val="6E54AB8E"/>
    <w:rsid w:val="6E6E57DD"/>
    <w:rsid w:val="6E6F6C44"/>
    <w:rsid w:val="6E8C03F4"/>
    <w:rsid w:val="6EE03107"/>
    <w:rsid w:val="6EEB7E25"/>
    <w:rsid w:val="6EFCEF2A"/>
    <w:rsid w:val="6F04A682"/>
    <w:rsid w:val="6F0FFC8A"/>
    <w:rsid w:val="6F179444"/>
    <w:rsid w:val="6F1E6439"/>
    <w:rsid w:val="6F1EA52F"/>
    <w:rsid w:val="6F5A8EF5"/>
    <w:rsid w:val="6F726B40"/>
    <w:rsid w:val="6F782C62"/>
    <w:rsid w:val="6F9750CD"/>
    <w:rsid w:val="6FA59A85"/>
    <w:rsid w:val="6FA938EA"/>
    <w:rsid w:val="6FCBAD47"/>
    <w:rsid w:val="6FCD5709"/>
    <w:rsid w:val="6FD69A6F"/>
    <w:rsid w:val="704501C0"/>
    <w:rsid w:val="707DB63E"/>
    <w:rsid w:val="70AC5B9C"/>
    <w:rsid w:val="70CC5A38"/>
    <w:rsid w:val="70F83324"/>
    <w:rsid w:val="712E358E"/>
    <w:rsid w:val="71353FF7"/>
    <w:rsid w:val="71509EE6"/>
    <w:rsid w:val="7162D4F1"/>
    <w:rsid w:val="7165054F"/>
    <w:rsid w:val="716AC987"/>
    <w:rsid w:val="717C9E7C"/>
    <w:rsid w:val="717F1BC8"/>
    <w:rsid w:val="718AF186"/>
    <w:rsid w:val="719A4FAF"/>
    <w:rsid w:val="71A9ECA0"/>
    <w:rsid w:val="71C9E3E8"/>
    <w:rsid w:val="71E0FAF8"/>
    <w:rsid w:val="72139933"/>
    <w:rsid w:val="726D422E"/>
    <w:rsid w:val="7286243A"/>
    <w:rsid w:val="72B0557F"/>
    <w:rsid w:val="72B5D71F"/>
    <w:rsid w:val="72CEF18F"/>
    <w:rsid w:val="72D15C48"/>
    <w:rsid w:val="730D89C8"/>
    <w:rsid w:val="731333AD"/>
    <w:rsid w:val="73193818"/>
    <w:rsid w:val="732A14EF"/>
    <w:rsid w:val="73306729"/>
    <w:rsid w:val="7352C704"/>
    <w:rsid w:val="73577D82"/>
    <w:rsid w:val="7394CC10"/>
    <w:rsid w:val="73D817A5"/>
    <w:rsid w:val="7402147C"/>
    <w:rsid w:val="7421F49B"/>
    <w:rsid w:val="74284DD9"/>
    <w:rsid w:val="7462FC20"/>
    <w:rsid w:val="7469829D"/>
    <w:rsid w:val="7472C30C"/>
    <w:rsid w:val="748608DB"/>
    <w:rsid w:val="74869DA5"/>
    <w:rsid w:val="748BD9F1"/>
    <w:rsid w:val="748C2F39"/>
    <w:rsid w:val="749A642B"/>
    <w:rsid w:val="749BF7C2"/>
    <w:rsid w:val="74B7666C"/>
    <w:rsid w:val="74BC42ED"/>
    <w:rsid w:val="74D4A8CB"/>
    <w:rsid w:val="74DA2586"/>
    <w:rsid w:val="74EC1C1B"/>
    <w:rsid w:val="75313BC5"/>
    <w:rsid w:val="7555F7A4"/>
    <w:rsid w:val="755B1406"/>
    <w:rsid w:val="756C81AE"/>
    <w:rsid w:val="75946576"/>
    <w:rsid w:val="75ADAE7D"/>
    <w:rsid w:val="75DF174D"/>
    <w:rsid w:val="75EB0B61"/>
    <w:rsid w:val="75ECC32B"/>
    <w:rsid w:val="75FD4B84"/>
    <w:rsid w:val="76026243"/>
    <w:rsid w:val="7611C8FE"/>
    <w:rsid w:val="76C03E04"/>
    <w:rsid w:val="76D66C1C"/>
    <w:rsid w:val="76DC3F24"/>
    <w:rsid w:val="76DCFF28"/>
    <w:rsid w:val="77000A93"/>
    <w:rsid w:val="770E2355"/>
    <w:rsid w:val="770FB867"/>
    <w:rsid w:val="7742E6F7"/>
    <w:rsid w:val="777E2008"/>
    <w:rsid w:val="7789219C"/>
    <w:rsid w:val="77914A2B"/>
    <w:rsid w:val="77960499"/>
    <w:rsid w:val="77A4EF81"/>
    <w:rsid w:val="7819A41B"/>
    <w:rsid w:val="7844988C"/>
    <w:rsid w:val="785BC7A0"/>
    <w:rsid w:val="788C3126"/>
    <w:rsid w:val="78AB4348"/>
    <w:rsid w:val="78CBF5E8"/>
    <w:rsid w:val="78E85232"/>
    <w:rsid w:val="78EA1CAC"/>
    <w:rsid w:val="78F47345"/>
    <w:rsid w:val="78F565BE"/>
    <w:rsid w:val="7904C3D8"/>
    <w:rsid w:val="790F446C"/>
    <w:rsid w:val="791CF310"/>
    <w:rsid w:val="79425A8D"/>
    <w:rsid w:val="795A565F"/>
    <w:rsid w:val="795AEB49"/>
    <w:rsid w:val="796DAAEA"/>
    <w:rsid w:val="7992A856"/>
    <w:rsid w:val="79969ECD"/>
    <w:rsid w:val="799ADE0F"/>
    <w:rsid w:val="79AD78B7"/>
    <w:rsid w:val="79CAEE82"/>
    <w:rsid w:val="79D0C8D2"/>
    <w:rsid w:val="79FFA881"/>
    <w:rsid w:val="7A2D5278"/>
    <w:rsid w:val="7A305EF9"/>
    <w:rsid w:val="7A37AB55"/>
    <w:rsid w:val="7A38AE87"/>
    <w:rsid w:val="7A3B42A4"/>
    <w:rsid w:val="7A44A17B"/>
    <w:rsid w:val="7A51DE27"/>
    <w:rsid w:val="7A552241"/>
    <w:rsid w:val="7A5CAEB7"/>
    <w:rsid w:val="7A91361F"/>
    <w:rsid w:val="7ADC9043"/>
    <w:rsid w:val="7B11A3C2"/>
    <w:rsid w:val="7B2C8B11"/>
    <w:rsid w:val="7B9C6FC8"/>
    <w:rsid w:val="7BC224A0"/>
    <w:rsid w:val="7BDF899D"/>
    <w:rsid w:val="7BFC50FF"/>
    <w:rsid w:val="7BFF2942"/>
    <w:rsid w:val="7C1BFEEA"/>
    <w:rsid w:val="7C2291C6"/>
    <w:rsid w:val="7C506C51"/>
    <w:rsid w:val="7C5F3DD5"/>
    <w:rsid w:val="7CD2F554"/>
    <w:rsid w:val="7CE36278"/>
    <w:rsid w:val="7CFEBD29"/>
    <w:rsid w:val="7D1AAE60"/>
    <w:rsid w:val="7D631D9E"/>
    <w:rsid w:val="7D785666"/>
    <w:rsid w:val="7D7BAC28"/>
    <w:rsid w:val="7DACC150"/>
    <w:rsid w:val="7DB416C9"/>
    <w:rsid w:val="7DC2E00C"/>
    <w:rsid w:val="7DD703A7"/>
    <w:rsid w:val="7E0155CE"/>
    <w:rsid w:val="7E02ABFC"/>
    <w:rsid w:val="7E11DFF1"/>
    <w:rsid w:val="7E508D08"/>
    <w:rsid w:val="7E565C27"/>
    <w:rsid w:val="7EAF861E"/>
    <w:rsid w:val="7EC1466D"/>
    <w:rsid w:val="7ECB1B2F"/>
    <w:rsid w:val="7ECC5A02"/>
    <w:rsid w:val="7EDE4634"/>
    <w:rsid w:val="7EF2D4FC"/>
    <w:rsid w:val="7F077C11"/>
    <w:rsid w:val="7F13526C"/>
    <w:rsid w:val="7F17978B"/>
    <w:rsid w:val="7F2636F2"/>
    <w:rsid w:val="7F3B6866"/>
    <w:rsid w:val="7F5490C3"/>
    <w:rsid w:val="7F5B3DB8"/>
    <w:rsid w:val="7F768ABD"/>
    <w:rsid w:val="7F77FA8F"/>
    <w:rsid w:val="7F99DB2D"/>
    <w:rsid w:val="7F9E7C5D"/>
    <w:rsid w:val="7FA6BD6A"/>
    <w:rsid w:val="7FA87AD4"/>
    <w:rsid w:val="7FD3A679"/>
    <w:rsid w:val="7FD88E58"/>
  </w:rsids>
  <m:mathPr>
    <m:mathFont m:val="Cambria Math"/>
    <m:brkBin m:val="before"/>
    <m:brkBinSub m:val="--"/>
    <m:smallFrac m:val="0"/>
    <m:dispDef/>
    <m:lMargin m:val="0"/>
    <m:rMargin m:val="0"/>
    <m:defJc m:val="centerGroup"/>
    <m:wrapIndent m:val="1440"/>
    <m:intLim m:val="subSup"/>
    <m:naryLim m:val="undOvr"/>
  </m:mathPr>
  <w:themeFontLang w:val="es-C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405505"/>
    <o:shapelayout v:ext="edit">
      <o:idmap v:ext="edit" data="1"/>
    </o:shapelayout>
  </w:shapeDefaults>
  <w:decimalSymbol w:val=","/>
  <w:listSeparator w:val=";"/>
  <w14:docId w14:val="793FD64B"/>
  <w15:docId w15:val="{2CD6E25A-B97D-4B6E-A6BC-EA7D9CFA40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CR" w:eastAsia="es-CR"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annotation text" w:uiPriority="99"/>
    <w:lsdException w:name="caption" w:uiPriority="35" w:qFormat="1"/>
    <w:lsdException w:name="table of figures" w:uiPriority="99"/>
    <w:lsdException w:name="annotation reference" w:uiPriority="99"/>
    <w:lsdException w:name="Title" w:qFormat="1"/>
    <w:lsdException w:name="Subtitle" w:qFormat="1"/>
    <w:lsdException w:name="Hyperlink" w:uiPriority="99"/>
    <w:lsdException w:name="Strong" w:uiPriority="22" w:qFormat="1"/>
    <w:lsdException w:name="Emphasis" w:qFormat="1"/>
    <w:lsdException w:name="Normal (Web)" w:uiPriority="99" w:qFormat="1"/>
    <w:lsdException w:name="HTML Definition" w:semiHidden="1" w:unhideWhenUsed="1"/>
    <w:lsdException w:name="HTML Keyboard"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F0B82"/>
    <w:rPr>
      <w:rFonts w:ascii="Calibri" w:hAnsi="Calibri"/>
      <w:sz w:val="24"/>
      <w:szCs w:val="24"/>
      <w:lang w:val="es-ES_tradnl" w:eastAsia="es-ES"/>
    </w:rPr>
  </w:style>
  <w:style w:type="paragraph" w:styleId="Ttulo1">
    <w:name w:val="heading 1"/>
    <w:basedOn w:val="Normal"/>
    <w:next w:val="Normal"/>
    <w:autoRedefine/>
    <w:qFormat/>
    <w:rsid w:val="000C6F8D"/>
    <w:pPr>
      <w:keepNext/>
      <w:widowControl w:val="0"/>
      <w:numPr>
        <w:numId w:val="137"/>
      </w:numPr>
      <w:autoSpaceDN w:val="0"/>
      <w:adjustRightInd w:val="0"/>
      <w:outlineLvl w:val="0"/>
    </w:pPr>
    <w:rPr>
      <w:rFonts w:ascii="Arial Narrow" w:hAnsi="Arial Narrow" w:cs="Arial"/>
      <w:b/>
      <w:bCs/>
      <w:kern w:val="32"/>
      <w:sz w:val="32"/>
      <w:szCs w:val="32"/>
      <w:lang w:eastAsia="en-US"/>
    </w:rPr>
  </w:style>
  <w:style w:type="paragraph" w:styleId="Ttulo2">
    <w:name w:val="heading 2"/>
    <w:basedOn w:val="Normal"/>
    <w:next w:val="Normal"/>
    <w:link w:val="Ttulo2Car"/>
    <w:autoRedefine/>
    <w:qFormat/>
    <w:rsid w:val="00711862"/>
    <w:pPr>
      <w:keepNext/>
      <w:widowControl w:val="0"/>
      <w:numPr>
        <w:ilvl w:val="1"/>
        <w:numId w:val="137"/>
      </w:numPr>
      <w:autoSpaceDN w:val="0"/>
      <w:adjustRightInd w:val="0"/>
      <w:outlineLvl w:val="1"/>
    </w:pPr>
    <w:rPr>
      <w:rFonts w:ascii="Arial Narrow" w:eastAsia="Calibri" w:hAnsi="Arial Narrow"/>
      <w:b/>
      <w:bCs/>
      <w:iCs/>
      <w:lang w:val="es-CR" w:eastAsia="en-US"/>
    </w:rPr>
  </w:style>
  <w:style w:type="paragraph" w:styleId="Ttulo3">
    <w:name w:val="heading 3"/>
    <w:basedOn w:val="Normal"/>
    <w:next w:val="Normal"/>
    <w:link w:val="Ttulo3Car"/>
    <w:qFormat/>
    <w:rsid w:val="00440F36"/>
    <w:pPr>
      <w:keepNext/>
      <w:widowControl w:val="0"/>
      <w:spacing w:before="240" w:after="60"/>
      <w:jc w:val="both"/>
      <w:outlineLvl w:val="2"/>
    </w:pPr>
    <w:rPr>
      <w:b/>
      <w:bCs/>
      <w:szCs w:val="26"/>
      <w:lang w:val="en-US" w:eastAsia="en-US"/>
    </w:rPr>
  </w:style>
  <w:style w:type="paragraph" w:styleId="Ttulo4">
    <w:name w:val="heading 4"/>
    <w:basedOn w:val="Normal"/>
    <w:next w:val="Normal"/>
    <w:link w:val="Ttulo4Car"/>
    <w:qFormat/>
    <w:rsid w:val="00440F36"/>
    <w:pPr>
      <w:keepNext/>
      <w:widowControl w:val="0"/>
      <w:spacing w:before="240" w:after="60"/>
      <w:jc w:val="both"/>
      <w:outlineLvl w:val="3"/>
    </w:pPr>
    <w:rPr>
      <w:b/>
      <w:bCs/>
      <w:szCs w:val="28"/>
      <w:lang w:val="en-US" w:eastAsia="en-US"/>
    </w:rPr>
  </w:style>
  <w:style w:type="paragraph" w:styleId="Ttulo5">
    <w:name w:val="heading 5"/>
    <w:basedOn w:val="Normal"/>
    <w:next w:val="Normal"/>
    <w:qFormat/>
    <w:rsid w:val="002857FE"/>
    <w:pPr>
      <w:widowControl w:val="0"/>
      <w:numPr>
        <w:ilvl w:val="4"/>
        <w:numId w:val="8"/>
      </w:numPr>
      <w:spacing w:before="240" w:after="60"/>
      <w:jc w:val="both"/>
      <w:outlineLvl w:val="4"/>
    </w:pPr>
    <w:rPr>
      <w:rFonts w:ascii="Arial" w:hAnsi="Arial"/>
      <w:b/>
      <w:bCs/>
      <w:i/>
      <w:iCs/>
      <w:szCs w:val="26"/>
      <w:lang w:val="en-US" w:eastAsia="en-US"/>
    </w:rPr>
  </w:style>
  <w:style w:type="paragraph" w:styleId="Ttulo6">
    <w:name w:val="heading 6"/>
    <w:basedOn w:val="Normal"/>
    <w:next w:val="Normal"/>
    <w:qFormat/>
    <w:rsid w:val="002857FE"/>
    <w:pPr>
      <w:widowControl w:val="0"/>
      <w:numPr>
        <w:ilvl w:val="5"/>
        <w:numId w:val="8"/>
      </w:numPr>
      <w:spacing w:before="240" w:after="60"/>
      <w:jc w:val="both"/>
      <w:outlineLvl w:val="5"/>
    </w:pPr>
    <w:rPr>
      <w:rFonts w:ascii="Arial" w:hAnsi="Arial"/>
      <w:b/>
      <w:bCs/>
      <w:sz w:val="22"/>
      <w:szCs w:val="22"/>
      <w:lang w:val="en-US" w:eastAsia="en-US"/>
    </w:rPr>
  </w:style>
  <w:style w:type="paragraph" w:styleId="Ttulo7">
    <w:name w:val="heading 7"/>
    <w:basedOn w:val="Normal"/>
    <w:next w:val="Normal"/>
    <w:qFormat/>
    <w:rsid w:val="002857FE"/>
    <w:pPr>
      <w:widowControl w:val="0"/>
      <w:numPr>
        <w:ilvl w:val="6"/>
        <w:numId w:val="8"/>
      </w:numPr>
      <w:spacing w:before="240" w:after="60"/>
      <w:jc w:val="both"/>
      <w:outlineLvl w:val="6"/>
    </w:pPr>
    <w:rPr>
      <w:rFonts w:ascii="Arial" w:hAnsi="Arial"/>
      <w:sz w:val="22"/>
      <w:szCs w:val="20"/>
      <w:lang w:val="en-US" w:eastAsia="en-US"/>
    </w:rPr>
  </w:style>
  <w:style w:type="paragraph" w:styleId="Ttulo8">
    <w:name w:val="heading 8"/>
    <w:basedOn w:val="Normal"/>
    <w:next w:val="Normal"/>
    <w:qFormat/>
    <w:rsid w:val="002857FE"/>
    <w:pPr>
      <w:widowControl w:val="0"/>
      <w:numPr>
        <w:ilvl w:val="7"/>
        <w:numId w:val="8"/>
      </w:numPr>
      <w:spacing w:before="240" w:after="60"/>
      <w:jc w:val="both"/>
      <w:outlineLvl w:val="7"/>
    </w:pPr>
    <w:rPr>
      <w:rFonts w:ascii="Arial" w:hAnsi="Arial"/>
      <w:i/>
      <w:iCs/>
      <w:sz w:val="22"/>
      <w:szCs w:val="20"/>
      <w:lang w:val="en-US" w:eastAsia="en-US"/>
    </w:rPr>
  </w:style>
  <w:style w:type="paragraph" w:styleId="Ttulo9">
    <w:name w:val="heading 9"/>
    <w:basedOn w:val="Normal"/>
    <w:next w:val="Normal"/>
    <w:qFormat/>
    <w:rsid w:val="002857FE"/>
    <w:pPr>
      <w:widowControl w:val="0"/>
      <w:numPr>
        <w:ilvl w:val="8"/>
        <w:numId w:val="8"/>
      </w:numPr>
      <w:spacing w:before="240" w:after="60"/>
      <w:jc w:val="both"/>
      <w:outlineLvl w:val="8"/>
    </w:pPr>
    <w:rPr>
      <w:rFonts w:ascii="Arial" w:hAnsi="Arial" w:cs="Arial"/>
      <w:sz w:val="22"/>
      <w:szCs w:val="22"/>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rsid w:val="00711862"/>
    <w:rPr>
      <w:rFonts w:ascii="Arial Narrow" w:eastAsia="Calibri" w:hAnsi="Arial Narrow"/>
      <w:b/>
      <w:bCs/>
      <w:iCs/>
      <w:sz w:val="24"/>
      <w:szCs w:val="24"/>
      <w:lang w:eastAsia="en-US"/>
    </w:rPr>
  </w:style>
  <w:style w:type="character" w:customStyle="1" w:styleId="Ttulo3Car">
    <w:name w:val="Título 3 Car"/>
    <w:link w:val="Ttulo3"/>
    <w:rsid w:val="00440F36"/>
    <w:rPr>
      <w:rFonts w:ascii="Calibri" w:hAnsi="Calibri"/>
      <w:b/>
      <w:bCs/>
      <w:sz w:val="24"/>
      <w:szCs w:val="26"/>
      <w:lang w:val="en-US" w:eastAsia="en-US" w:bidi="ar-SA"/>
    </w:rPr>
  </w:style>
  <w:style w:type="character" w:customStyle="1" w:styleId="Ttulo4Car">
    <w:name w:val="Título 4 Car"/>
    <w:link w:val="Ttulo4"/>
    <w:rsid w:val="00440F36"/>
    <w:rPr>
      <w:rFonts w:ascii="Calibri" w:hAnsi="Calibri"/>
      <w:b/>
      <w:bCs/>
      <w:sz w:val="24"/>
      <w:szCs w:val="28"/>
      <w:lang w:val="en-US" w:eastAsia="en-US"/>
    </w:rPr>
  </w:style>
  <w:style w:type="paragraph" w:styleId="Encabezado">
    <w:name w:val="header"/>
    <w:aliases w:val="encabezado"/>
    <w:basedOn w:val="Normal"/>
    <w:link w:val="EncabezadoCar"/>
    <w:rsid w:val="006713AB"/>
    <w:pPr>
      <w:tabs>
        <w:tab w:val="center" w:pos="4252"/>
        <w:tab w:val="right" w:pos="8504"/>
      </w:tabs>
    </w:pPr>
    <w:rPr>
      <w:rFonts w:ascii="Times New Roman" w:hAnsi="Times New Roman"/>
    </w:rPr>
  </w:style>
  <w:style w:type="character" w:customStyle="1" w:styleId="EncabezadoCar">
    <w:name w:val="Encabezado Car"/>
    <w:aliases w:val="encabezado Car"/>
    <w:link w:val="Encabezado"/>
    <w:rsid w:val="006713AB"/>
    <w:rPr>
      <w:sz w:val="24"/>
      <w:szCs w:val="24"/>
      <w:lang w:val="es-ES" w:eastAsia="es-ES" w:bidi="ar-SA"/>
    </w:rPr>
  </w:style>
  <w:style w:type="paragraph" w:styleId="Piedepgina">
    <w:name w:val="footer"/>
    <w:basedOn w:val="Normal"/>
    <w:link w:val="PiedepginaCar"/>
    <w:rsid w:val="006713AB"/>
    <w:pPr>
      <w:tabs>
        <w:tab w:val="center" w:pos="4252"/>
        <w:tab w:val="right" w:pos="8504"/>
      </w:tabs>
    </w:pPr>
  </w:style>
  <w:style w:type="paragraph" w:customStyle="1" w:styleId="Car">
    <w:name w:val="Car"/>
    <w:basedOn w:val="Normal"/>
    <w:semiHidden/>
    <w:rsid w:val="006713AB"/>
    <w:pPr>
      <w:spacing w:after="160" w:line="240" w:lineRule="exact"/>
    </w:pPr>
    <w:rPr>
      <w:rFonts w:ascii="Verdana" w:hAnsi="Verdana" w:cs="Verdana"/>
      <w:sz w:val="20"/>
      <w:szCs w:val="20"/>
      <w:lang w:val="en-AU" w:eastAsia="en-US"/>
    </w:rPr>
  </w:style>
  <w:style w:type="table" w:styleId="Tablaconcuadrcula">
    <w:name w:val="Table Grid"/>
    <w:basedOn w:val="Tablanormal"/>
    <w:rsid w:val="006713A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link w:val="NormalWebCar"/>
    <w:uiPriority w:val="99"/>
    <w:qFormat/>
    <w:rsid w:val="00CE1F57"/>
    <w:pPr>
      <w:spacing w:before="100" w:beforeAutospacing="1" w:after="100" w:afterAutospacing="1"/>
    </w:pPr>
  </w:style>
  <w:style w:type="character" w:customStyle="1" w:styleId="NormalWebCar">
    <w:name w:val="Normal (Web) Car"/>
    <w:link w:val="NormalWeb"/>
    <w:locked/>
    <w:rsid w:val="002E7784"/>
    <w:rPr>
      <w:rFonts w:ascii="Calibri" w:hAnsi="Calibri"/>
      <w:sz w:val="24"/>
      <w:szCs w:val="24"/>
      <w:lang w:val="es-ES" w:eastAsia="es-ES" w:bidi="ar-SA"/>
    </w:rPr>
  </w:style>
  <w:style w:type="paragraph" w:customStyle="1" w:styleId="Prrafodelista1">
    <w:name w:val="Párrafo de lista1"/>
    <w:basedOn w:val="Normal"/>
    <w:qFormat/>
    <w:rsid w:val="002B4031"/>
    <w:pPr>
      <w:ind w:left="708"/>
    </w:pPr>
  </w:style>
  <w:style w:type="paragraph" w:styleId="Textoindependiente2">
    <w:name w:val="Body Text 2"/>
    <w:basedOn w:val="Normal"/>
    <w:link w:val="Textoindependiente2Car"/>
    <w:rsid w:val="003157FB"/>
    <w:pPr>
      <w:spacing w:line="480" w:lineRule="auto"/>
      <w:jc w:val="both"/>
    </w:pPr>
    <w:rPr>
      <w:rFonts w:ascii="Batang" w:eastAsia="Batang" w:hAnsi="Batang"/>
      <w:b/>
      <w:bCs/>
    </w:rPr>
  </w:style>
  <w:style w:type="paragraph" w:styleId="Ttulo">
    <w:name w:val="Title"/>
    <w:basedOn w:val="Normal"/>
    <w:next w:val="Normal"/>
    <w:link w:val="TtuloCar"/>
    <w:qFormat/>
    <w:rsid w:val="00CB1B09"/>
    <w:pPr>
      <w:pBdr>
        <w:bottom w:val="single" w:sz="8" w:space="4" w:color="4F81BD"/>
      </w:pBdr>
      <w:spacing w:after="300"/>
      <w:contextualSpacing/>
    </w:pPr>
    <w:rPr>
      <w:rFonts w:ascii="Cambria" w:hAnsi="Cambria"/>
      <w:color w:val="17365D"/>
      <w:spacing w:val="5"/>
      <w:kern w:val="28"/>
      <w:sz w:val="52"/>
      <w:szCs w:val="52"/>
      <w:lang w:val="es-MX" w:eastAsia="en-US"/>
    </w:rPr>
  </w:style>
  <w:style w:type="character" w:customStyle="1" w:styleId="TtuloCar">
    <w:name w:val="Título Car"/>
    <w:link w:val="Ttulo"/>
    <w:locked/>
    <w:rsid w:val="00CB1B09"/>
    <w:rPr>
      <w:rFonts w:ascii="Cambria" w:hAnsi="Cambria"/>
      <w:color w:val="17365D"/>
      <w:spacing w:val="5"/>
      <w:kern w:val="28"/>
      <w:sz w:val="52"/>
      <w:szCs w:val="52"/>
      <w:lang w:val="es-MX" w:eastAsia="en-US" w:bidi="ar-SA"/>
    </w:rPr>
  </w:style>
  <w:style w:type="paragraph" w:styleId="Prrafodelista">
    <w:name w:val="List Paragraph"/>
    <w:aliases w:val="Lista vistosa - Énfasis 11,Footnote,List Paragraph2,Bullet 1,Use Case List Paragraph,Párrafo de lista Car Car Car,Lista multicolor - Énfasis 11,Segundo nivel de viñetas,Bullet List,numbered,FooterText,Titulo 1,lp1,Paragraphe de liste1,3"/>
    <w:basedOn w:val="Normal"/>
    <w:link w:val="PrrafodelistaCar"/>
    <w:uiPriority w:val="34"/>
    <w:qFormat/>
    <w:rsid w:val="00BF51D7"/>
    <w:pPr>
      <w:ind w:left="708"/>
    </w:pPr>
  </w:style>
  <w:style w:type="paragraph" w:styleId="Descripcin">
    <w:name w:val="caption"/>
    <w:aliases w:val="Epígrafe"/>
    <w:basedOn w:val="Normal"/>
    <w:next w:val="Normal"/>
    <w:uiPriority w:val="35"/>
    <w:qFormat/>
    <w:rsid w:val="006D5C4E"/>
    <w:rPr>
      <w:b/>
      <w:bCs/>
      <w:sz w:val="20"/>
      <w:szCs w:val="20"/>
    </w:rPr>
  </w:style>
  <w:style w:type="paragraph" w:styleId="Textodeglobo">
    <w:name w:val="Balloon Text"/>
    <w:basedOn w:val="Normal"/>
    <w:semiHidden/>
    <w:rsid w:val="0070097F"/>
    <w:rPr>
      <w:rFonts w:ascii="Tahoma" w:hAnsi="Tahoma" w:cs="Tahoma"/>
      <w:sz w:val="16"/>
      <w:szCs w:val="16"/>
    </w:rPr>
  </w:style>
  <w:style w:type="paragraph" w:styleId="Textonotapie">
    <w:name w:val="footnote text"/>
    <w:basedOn w:val="Normal"/>
    <w:semiHidden/>
    <w:rsid w:val="00020732"/>
    <w:rPr>
      <w:sz w:val="20"/>
      <w:szCs w:val="20"/>
    </w:rPr>
  </w:style>
  <w:style w:type="character" w:styleId="Refdenotaalpie">
    <w:name w:val="footnote reference"/>
    <w:semiHidden/>
    <w:rsid w:val="00020732"/>
    <w:rPr>
      <w:vertAlign w:val="superscript"/>
    </w:rPr>
  </w:style>
  <w:style w:type="character" w:styleId="Nmerodepgina">
    <w:name w:val="page number"/>
    <w:basedOn w:val="Fuentedeprrafopredeter"/>
    <w:rsid w:val="003F6BA5"/>
  </w:style>
  <w:style w:type="paragraph" w:customStyle="1" w:styleId="default">
    <w:name w:val="default"/>
    <w:basedOn w:val="Normal"/>
    <w:rsid w:val="00904587"/>
    <w:pPr>
      <w:spacing w:before="100" w:beforeAutospacing="1" w:after="100" w:afterAutospacing="1"/>
    </w:pPr>
    <w:rPr>
      <w:color w:val="000000"/>
    </w:rPr>
  </w:style>
  <w:style w:type="paragraph" w:styleId="TDC1">
    <w:name w:val="toc 1"/>
    <w:basedOn w:val="Normal"/>
    <w:next w:val="Normal"/>
    <w:autoRedefine/>
    <w:uiPriority w:val="39"/>
    <w:rsid w:val="00576CAD"/>
    <w:pPr>
      <w:tabs>
        <w:tab w:val="left" w:pos="660"/>
        <w:tab w:val="right" w:leader="dot" w:pos="9203"/>
      </w:tabs>
    </w:pPr>
  </w:style>
  <w:style w:type="paragraph" w:styleId="TDC2">
    <w:name w:val="toc 2"/>
    <w:basedOn w:val="Normal"/>
    <w:next w:val="Normal"/>
    <w:autoRedefine/>
    <w:uiPriority w:val="39"/>
    <w:rsid w:val="006F1D38"/>
    <w:pPr>
      <w:tabs>
        <w:tab w:val="left" w:pos="660"/>
        <w:tab w:val="right" w:leader="dot" w:pos="9203"/>
      </w:tabs>
      <w:ind w:left="240"/>
    </w:pPr>
  </w:style>
  <w:style w:type="paragraph" w:styleId="TDC3">
    <w:name w:val="toc 3"/>
    <w:basedOn w:val="Normal"/>
    <w:next w:val="Normal"/>
    <w:autoRedefine/>
    <w:uiPriority w:val="39"/>
    <w:rsid w:val="003028DA"/>
    <w:pPr>
      <w:ind w:left="480"/>
    </w:pPr>
  </w:style>
  <w:style w:type="character" w:styleId="Hipervnculo">
    <w:name w:val="Hyperlink"/>
    <w:uiPriority w:val="99"/>
    <w:rsid w:val="003028DA"/>
    <w:rPr>
      <w:color w:val="0000FF"/>
      <w:u w:val="single"/>
    </w:rPr>
  </w:style>
  <w:style w:type="paragraph" w:styleId="Textonotaalfinal">
    <w:name w:val="endnote text"/>
    <w:basedOn w:val="Normal"/>
    <w:link w:val="TextonotaalfinalCar"/>
    <w:rsid w:val="00B26F8F"/>
    <w:rPr>
      <w:rFonts w:ascii="Times New Roman" w:hAnsi="Times New Roman"/>
      <w:sz w:val="20"/>
      <w:szCs w:val="20"/>
    </w:rPr>
  </w:style>
  <w:style w:type="character" w:customStyle="1" w:styleId="TextonotaalfinalCar">
    <w:name w:val="Texto nota al final Car"/>
    <w:link w:val="Textonotaalfinal"/>
    <w:rsid w:val="00B26F8F"/>
    <w:rPr>
      <w:lang w:val="es-ES" w:eastAsia="es-ES"/>
    </w:rPr>
  </w:style>
  <w:style w:type="character" w:styleId="Refdenotaalfinal">
    <w:name w:val="endnote reference"/>
    <w:rsid w:val="00B26F8F"/>
    <w:rPr>
      <w:vertAlign w:val="superscript"/>
    </w:rPr>
  </w:style>
  <w:style w:type="paragraph" w:styleId="Textoindependiente">
    <w:name w:val="Body Text"/>
    <w:basedOn w:val="Normal"/>
    <w:rsid w:val="002E7784"/>
    <w:pPr>
      <w:spacing w:after="120"/>
    </w:pPr>
  </w:style>
  <w:style w:type="paragraph" w:styleId="Saludo">
    <w:name w:val="Salutation"/>
    <w:basedOn w:val="Normal"/>
    <w:next w:val="Normal"/>
    <w:rsid w:val="002E7784"/>
    <w:rPr>
      <w:rFonts w:ascii="Times New Roman" w:hAnsi="Times New Roman"/>
    </w:rPr>
  </w:style>
  <w:style w:type="paragraph" w:styleId="Fecha">
    <w:name w:val="Date"/>
    <w:basedOn w:val="Normal"/>
    <w:next w:val="Normal"/>
    <w:rsid w:val="002E7784"/>
    <w:rPr>
      <w:rFonts w:ascii="Times New Roman" w:hAnsi="Times New Roman"/>
    </w:rPr>
  </w:style>
  <w:style w:type="paragraph" w:customStyle="1" w:styleId="Direccininterior">
    <w:name w:val="Dirección interior"/>
    <w:basedOn w:val="Normal"/>
    <w:rsid w:val="002E7784"/>
    <w:rPr>
      <w:rFonts w:ascii="Times New Roman" w:hAnsi="Times New Roman"/>
    </w:rPr>
  </w:style>
  <w:style w:type="paragraph" w:customStyle="1" w:styleId="xmsonormal">
    <w:name w:val="x_msonormal"/>
    <w:basedOn w:val="Normal"/>
    <w:rsid w:val="007A0DB4"/>
    <w:pPr>
      <w:spacing w:before="100" w:beforeAutospacing="1" w:after="100" w:afterAutospacing="1"/>
    </w:pPr>
    <w:rPr>
      <w:rFonts w:ascii="Times New Roman" w:hAnsi="Times New Roman"/>
      <w:lang w:eastAsia="es-CR"/>
    </w:rPr>
  </w:style>
  <w:style w:type="character" w:styleId="Refdecomentario">
    <w:name w:val="annotation reference"/>
    <w:uiPriority w:val="99"/>
    <w:unhideWhenUsed/>
    <w:rsid w:val="0054084B"/>
    <w:rPr>
      <w:sz w:val="16"/>
      <w:szCs w:val="16"/>
    </w:rPr>
  </w:style>
  <w:style w:type="paragraph" w:styleId="Textocomentario">
    <w:name w:val="annotation text"/>
    <w:basedOn w:val="Normal"/>
    <w:link w:val="TextocomentarioCar"/>
    <w:uiPriority w:val="99"/>
    <w:unhideWhenUsed/>
    <w:rsid w:val="0054084B"/>
    <w:pPr>
      <w:spacing w:after="160"/>
    </w:pPr>
    <w:rPr>
      <w:rFonts w:eastAsia="Calibri"/>
      <w:sz w:val="20"/>
      <w:szCs w:val="20"/>
      <w:lang w:eastAsia="en-US"/>
    </w:rPr>
  </w:style>
  <w:style w:type="character" w:customStyle="1" w:styleId="TextocomentarioCar">
    <w:name w:val="Texto comentario Car"/>
    <w:link w:val="Textocomentario"/>
    <w:uiPriority w:val="99"/>
    <w:rsid w:val="0054084B"/>
    <w:rPr>
      <w:rFonts w:ascii="Calibri" w:eastAsia="Calibri" w:hAnsi="Calibri"/>
      <w:lang w:val="es-ES" w:eastAsia="en-US"/>
    </w:rPr>
  </w:style>
  <w:style w:type="paragraph" w:styleId="Revisin">
    <w:name w:val="Revision"/>
    <w:hidden/>
    <w:uiPriority w:val="99"/>
    <w:semiHidden/>
    <w:rsid w:val="00E60EED"/>
    <w:rPr>
      <w:rFonts w:ascii="Calibri" w:hAnsi="Calibri"/>
      <w:sz w:val="24"/>
      <w:szCs w:val="24"/>
      <w:lang w:val="es-ES" w:eastAsia="es-ES"/>
    </w:rPr>
  </w:style>
  <w:style w:type="paragraph" w:customStyle="1" w:styleId="Prrafodelista2">
    <w:name w:val="Párrafo de lista2"/>
    <w:basedOn w:val="Normal"/>
    <w:qFormat/>
    <w:rsid w:val="001D7A5E"/>
    <w:pPr>
      <w:ind w:left="720"/>
    </w:pPr>
    <w:rPr>
      <w:rFonts w:ascii="Times New Roman" w:hAnsi="Times New Roman"/>
    </w:rPr>
  </w:style>
  <w:style w:type="paragraph" w:styleId="TtuloTDC">
    <w:name w:val="TOC Heading"/>
    <w:basedOn w:val="Ttulo1"/>
    <w:next w:val="Normal"/>
    <w:uiPriority w:val="39"/>
    <w:unhideWhenUsed/>
    <w:qFormat/>
    <w:rsid w:val="005543E0"/>
    <w:pPr>
      <w:keepLines/>
      <w:widowControl/>
      <w:autoSpaceDN/>
      <w:adjustRightInd/>
      <w:spacing w:before="240" w:line="259" w:lineRule="auto"/>
      <w:outlineLvl w:val="9"/>
    </w:pPr>
    <w:rPr>
      <w:rFonts w:asciiTheme="majorHAnsi" w:eastAsiaTheme="majorEastAsia" w:hAnsiTheme="majorHAnsi" w:cstheme="majorBidi"/>
      <w:b w:val="0"/>
      <w:bCs w:val="0"/>
      <w:color w:val="2F5496" w:themeColor="accent1" w:themeShade="BF"/>
      <w:kern w:val="0"/>
      <w:lang w:val="es-CR" w:eastAsia="es-CR"/>
    </w:rPr>
  </w:style>
  <w:style w:type="character" w:customStyle="1" w:styleId="Mencinsinresolver1">
    <w:name w:val="Mención sin resolver1"/>
    <w:basedOn w:val="Fuentedeprrafopredeter"/>
    <w:uiPriority w:val="99"/>
    <w:semiHidden/>
    <w:unhideWhenUsed/>
    <w:rsid w:val="00353B39"/>
    <w:rPr>
      <w:color w:val="605E5C"/>
      <w:shd w:val="clear" w:color="auto" w:fill="E1DFDD"/>
    </w:rPr>
  </w:style>
  <w:style w:type="paragraph" w:styleId="Asuntodelcomentario">
    <w:name w:val="annotation subject"/>
    <w:basedOn w:val="Textocomentario"/>
    <w:next w:val="Textocomentario"/>
    <w:link w:val="AsuntodelcomentarioCar"/>
    <w:semiHidden/>
    <w:unhideWhenUsed/>
    <w:rsid w:val="00C65F5E"/>
    <w:pPr>
      <w:spacing w:after="0"/>
    </w:pPr>
    <w:rPr>
      <w:rFonts w:eastAsia="Times New Roman"/>
      <w:b/>
      <w:bCs/>
      <w:lang w:eastAsia="es-ES"/>
    </w:rPr>
  </w:style>
  <w:style w:type="character" w:customStyle="1" w:styleId="AsuntodelcomentarioCar">
    <w:name w:val="Asunto del comentario Car"/>
    <w:basedOn w:val="TextocomentarioCar"/>
    <w:link w:val="Asuntodelcomentario"/>
    <w:semiHidden/>
    <w:rsid w:val="00C65F5E"/>
    <w:rPr>
      <w:rFonts w:ascii="Calibri" w:eastAsia="Calibri" w:hAnsi="Calibri"/>
      <w:b/>
      <w:bCs/>
      <w:lang w:val="es-ES" w:eastAsia="es-ES"/>
    </w:rPr>
  </w:style>
  <w:style w:type="paragraph" w:customStyle="1" w:styleId="Default0">
    <w:name w:val="Default"/>
    <w:rsid w:val="006F0725"/>
    <w:pPr>
      <w:autoSpaceDE w:val="0"/>
      <w:autoSpaceDN w:val="0"/>
      <w:adjustRightInd w:val="0"/>
    </w:pPr>
    <w:rPr>
      <w:rFonts w:ascii="Calibri" w:hAnsi="Calibri" w:cs="Calibri"/>
      <w:color w:val="000000"/>
      <w:sz w:val="24"/>
      <w:szCs w:val="24"/>
    </w:rPr>
  </w:style>
  <w:style w:type="paragraph" w:styleId="Tabladeilustraciones">
    <w:name w:val="table of figures"/>
    <w:basedOn w:val="Normal"/>
    <w:next w:val="Normal"/>
    <w:uiPriority w:val="99"/>
    <w:rsid w:val="00665D61"/>
  </w:style>
  <w:style w:type="character" w:styleId="Hipervnculovisitado">
    <w:name w:val="FollowedHyperlink"/>
    <w:basedOn w:val="Fuentedeprrafopredeter"/>
    <w:rsid w:val="00571472"/>
    <w:rPr>
      <w:color w:val="954F72" w:themeColor="followedHyperlink"/>
      <w:u w:val="single"/>
    </w:rPr>
  </w:style>
  <w:style w:type="paragraph" w:customStyle="1" w:styleId="msonormal0">
    <w:name w:val="msonormal"/>
    <w:basedOn w:val="Normal"/>
    <w:rsid w:val="008D6A84"/>
    <w:pPr>
      <w:spacing w:before="100" w:beforeAutospacing="1" w:after="100" w:afterAutospacing="1"/>
    </w:pPr>
    <w:rPr>
      <w:rFonts w:ascii="Times New Roman" w:hAnsi="Times New Roman"/>
      <w:lang w:eastAsia="es-CR"/>
    </w:rPr>
  </w:style>
  <w:style w:type="paragraph" w:customStyle="1" w:styleId="xl66">
    <w:name w:val="xl66"/>
    <w:basedOn w:val="Normal"/>
    <w:rsid w:val="008D6A84"/>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Narrow" w:hAnsi="Arial Narrow"/>
      <w:sz w:val="20"/>
      <w:szCs w:val="20"/>
      <w:lang w:eastAsia="es-CR"/>
    </w:rPr>
  </w:style>
  <w:style w:type="paragraph" w:customStyle="1" w:styleId="xl67">
    <w:name w:val="xl67"/>
    <w:basedOn w:val="Normal"/>
    <w:rsid w:val="008D6A8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Narrow" w:hAnsi="Arial Narrow"/>
      <w:sz w:val="20"/>
      <w:szCs w:val="20"/>
      <w:lang w:eastAsia="es-CR"/>
    </w:rPr>
  </w:style>
  <w:style w:type="paragraph" w:customStyle="1" w:styleId="xl68">
    <w:name w:val="xl68"/>
    <w:basedOn w:val="Normal"/>
    <w:rsid w:val="008D6A84"/>
    <w:pPr>
      <w:spacing w:before="100" w:beforeAutospacing="1" w:after="100" w:afterAutospacing="1"/>
      <w:jc w:val="center"/>
      <w:textAlignment w:val="center"/>
    </w:pPr>
    <w:rPr>
      <w:rFonts w:ascii="Times New Roman" w:hAnsi="Times New Roman"/>
      <w:lang w:eastAsia="es-CR"/>
    </w:rPr>
  </w:style>
  <w:style w:type="paragraph" w:customStyle="1" w:styleId="xl69">
    <w:name w:val="xl69"/>
    <w:basedOn w:val="Normal"/>
    <w:rsid w:val="008D6A8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20"/>
      <w:szCs w:val="20"/>
      <w:lang w:eastAsia="es-CR"/>
    </w:rPr>
  </w:style>
  <w:style w:type="paragraph" w:customStyle="1" w:styleId="xl70">
    <w:name w:val="xl70"/>
    <w:basedOn w:val="Normal"/>
    <w:rsid w:val="008D6A8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 w:val="20"/>
      <w:szCs w:val="20"/>
      <w:lang w:eastAsia="es-CR"/>
    </w:rPr>
  </w:style>
  <w:style w:type="paragraph" w:customStyle="1" w:styleId="xl71">
    <w:name w:val="xl71"/>
    <w:basedOn w:val="Normal"/>
    <w:rsid w:val="008D6A8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20"/>
      <w:szCs w:val="20"/>
      <w:lang w:eastAsia="es-CR"/>
    </w:rPr>
  </w:style>
  <w:style w:type="paragraph" w:customStyle="1" w:styleId="xl72">
    <w:name w:val="xl72"/>
    <w:basedOn w:val="Normal"/>
    <w:rsid w:val="008D6A84"/>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Narrow" w:hAnsi="Arial Narrow"/>
      <w:sz w:val="20"/>
      <w:szCs w:val="20"/>
      <w:lang w:eastAsia="es-CR"/>
    </w:rPr>
  </w:style>
  <w:style w:type="paragraph" w:customStyle="1" w:styleId="xl73">
    <w:name w:val="xl73"/>
    <w:basedOn w:val="Normal"/>
    <w:rsid w:val="008D6A8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Narrow" w:hAnsi="Arial Narrow"/>
      <w:sz w:val="20"/>
      <w:szCs w:val="20"/>
      <w:lang w:eastAsia="es-CR"/>
    </w:rPr>
  </w:style>
  <w:style w:type="paragraph" w:customStyle="1" w:styleId="xl74">
    <w:name w:val="xl74"/>
    <w:basedOn w:val="Normal"/>
    <w:rsid w:val="008D6A8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Narrow" w:hAnsi="Arial Narrow"/>
      <w:sz w:val="20"/>
      <w:szCs w:val="20"/>
      <w:lang w:eastAsia="es-CR"/>
    </w:rPr>
  </w:style>
  <w:style w:type="paragraph" w:customStyle="1" w:styleId="xl75">
    <w:name w:val="xl75"/>
    <w:basedOn w:val="Normal"/>
    <w:rsid w:val="008D6A84"/>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Narrow" w:hAnsi="Arial Narrow"/>
      <w:sz w:val="20"/>
      <w:szCs w:val="20"/>
      <w:lang w:eastAsia="es-CR"/>
    </w:rPr>
  </w:style>
  <w:style w:type="paragraph" w:customStyle="1" w:styleId="xl76">
    <w:name w:val="xl76"/>
    <w:basedOn w:val="Normal"/>
    <w:rsid w:val="008D6A8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rFonts w:ascii="Arial Narrow" w:hAnsi="Arial Narrow"/>
      <w:color w:val="FFFFFF"/>
      <w:sz w:val="20"/>
      <w:szCs w:val="20"/>
      <w:lang w:eastAsia="es-CR"/>
    </w:rPr>
  </w:style>
  <w:style w:type="paragraph" w:customStyle="1" w:styleId="xl77">
    <w:name w:val="xl77"/>
    <w:basedOn w:val="Normal"/>
    <w:rsid w:val="008D6A8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 w:val="20"/>
      <w:szCs w:val="20"/>
      <w:lang w:eastAsia="es-CR"/>
    </w:rPr>
  </w:style>
  <w:style w:type="paragraph" w:customStyle="1" w:styleId="xl78">
    <w:name w:val="xl78"/>
    <w:basedOn w:val="Normal"/>
    <w:rsid w:val="008D6A8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20"/>
      <w:szCs w:val="20"/>
      <w:lang w:eastAsia="es-CR"/>
    </w:rPr>
  </w:style>
  <w:style w:type="paragraph" w:customStyle="1" w:styleId="xl79">
    <w:name w:val="xl79"/>
    <w:basedOn w:val="Normal"/>
    <w:rsid w:val="008D6A8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20"/>
      <w:szCs w:val="20"/>
      <w:lang w:eastAsia="es-CR"/>
    </w:rPr>
  </w:style>
  <w:style w:type="paragraph" w:customStyle="1" w:styleId="xl80">
    <w:name w:val="xl80"/>
    <w:basedOn w:val="Normal"/>
    <w:rsid w:val="008D6A8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Narrow" w:hAnsi="Arial Narrow"/>
      <w:sz w:val="20"/>
      <w:szCs w:val="20"/>
      <w:lang w:eastAsia="es-CR"/>
    </w:rPr>
  </w:style>
  <w:style w:type="paragraph" w:customStyle="1" w:styleId="xl81">
    <w:name w:val="xl81"/>
    <w:basedOn w:val="Normal"/>
    <w:rsid w:val="008D6A84"/>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Narrow" w:hAnsi="Arial Narrow"/>
      <w:sz w:val="20"/>
      <w:szCs w:val="20"/>
      <w:lang w:eastAsia="es-CR"/>
    </w:rPr>
  </w:style>
  <w:style w:type="paragraph" w:customStyle="1" w:styleId="xl82">
    <w:name w:val="xl82"/>
    <w:basedOn w:val="Normal"/>
    <w:rsid w:val="008D6A8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 w:val="20"/>
      <w:szCs w:val="20"/>
      <w:lang w:eastAsia="es-CR"/>
    </w:rPr>
  </w:style>
  <w:style w:type="paragraph" w:customStyle="1" w:styleId="xl83">
    <w:name w:val="xl83"/>
    <w:basedOn w:val="Normal"/>
    <w:rsid w:val="008D6A8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20"/>
      <w:szCs w:val="20"/>
      <w:lang w:eastAsia="es-CR"/>
    </w:rPr>
  </w:style>
  <w:style w:type="paragraph" w:customStyle="1" w:styleId="xl84">
    <w:name w:val="xl84"/>
    <w:basedOn w:val="Normal"/>
    <w:rsid w:val="008D6A8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20"/>
      <w:szCs w:val="20"/>
      <w:lang w:eastAsia="es-CR"/>
    </w:rPr>
  </w:style>
  <w:style w:type="paragraph" w:customStyle="1" w:styleId="xl85">
    <w:name w:val="xl85"/>
    <w:basedOn w:val="Normal"/>
    <w:rsid w:val="008D6A8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Narrow" w:hAnsi="Arial Narrow"/>
      <w:sz w:val="20"/>
      <w:szCs w:val="20"/>
      <w:lang w:eastAsia="es-CR"/>
    </w:rPr>
  </w:style>
  <w:style w:type="paragraph" w:customStyle="1" w:styleId="xl86">
    <w:name w:val="xl86"/>
    <w:basedOn w:val="Normal"/>
    <w:rsid w:val="008D6A8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Narrow" w:hAnsi="Arial Narrow"/>
      <w:sz w:val="20"/>
      <w:szCs w:val="20"/>
      <w:lang w:eastAsia="es-CR"/>
    </w:rPr>
  </w:style>
  <w:style w:type="paragraph" w:customStyle="1" w:styleId="xl87">
    <w:name w:val="xl87"/>
    <w:basedOn w:val="Normal"/>
    <w:rsid w:val="008D6A8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20"/>
      <w:szCs w:val="20"/>
      <w:lang w:eastAsia="es-CR"/>
    </w:rPr>
  </w:style>
  <w:style w:type="paragraph" w:customStyle="1" w:styleId="xl88">
    <w:name w:val="xl88"/>
    <w:basedOn w:val="Normal"/>
    <w:rsid w:val="008D6A8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20"/>
      <w:szCs w:val="20"/>
      <w:lang w:eastAsia="es-CR"/>
    </w:rPr>
  </w:style>
  <w:style w:type="paragraph" w:customStyle="1" w:styleId="xl89">
    <w:name w:val="xl89"/>
    <w:basedOn w:val="Normal"/>
    <w:rsid w:val="008D6A8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rFonts w:ascii="Arial Narrow" w:hAnsi="Arial Narrow"/>
      <w:color w:val="FFFFFF"/>
      <w:sz w:val="20"/>
      <w:szCs w:val="20"/>
      <w:lang w:eastAsia="es-CR"/>
    </w:rPr>
  </w:style>
  <w:style w:type="paragraph" w:customStyle="1" w:styleId="xl90">
    <w:name w:val="xl90"/>
    <w:basedOn w:val="Normal"/>
    <w:rsid w:val="008D6A8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20"/>
      <w:szCs w:val="20"/>
      <w:lang w:eastAsia="es-CR"/>
    </w:rPr>
  </w:style>
  <w:style w:type="paragraph" w:customStyle="1" w:styleId="xl91">
    <w:name w:val="xl91"/>
    <w:basedOn w:val="Normal"/>
    <w:rsid w:val="008D6A8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 w:val="20"/>
      <w:szCs w:val="20"/>
      <w:lang w:eastAsia="es-CR"/>
    </w:rPr>
  </w:style>
  <w:style w:type="paragraph" w:customStyle="1" w:styleId="xl92">
    <w:name w:val="xl92"/>
    <w:basedOn w:val="Normal"/>
    <w:rsid w:val="008D6A8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rFonts w:ascii="Arial Narrow" w:hAnsi="Arial Narrow"/>
      <w:color w:val="FFFFFF"/>
      <w:sz w:val="20"/>
      <w:szCs w:val="20"/>
      <w:lang w:eastAsia="es-CR"/>
    </w:rPr>
  </w:style>
  <w:style w:type="paragraph" w:customStyle="1" w:styleId="xl93">
    <w:name w:val="xl93"/>
    <w:basedOn w:val="Normal"/>
    <w:rsid w:val="008D6A84"/>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Narrow" w:hAnsi="Arial Narrow"/>
      <w:sz w:val="20"/>
      <w:szCs w:val="20"/>
      <w:lang w:eastAsia="es-CR"/>
    </w:rPr>
  </w:style>
  <w:style w:type="paragraph" w:customStyle="1" w:styleId="xl94">
    <w:name w:val="xl94"/>
    <w:basedOn w:val="Normal"/>
    <w:rsid w:val="008D6A8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Narrow" w:hAnsi="Arial Narrow"/>
      <w:sz w:val="20"/>
      <w:szCs w:val="20"/>
      <w:lang w:eastAsia="es-CR"/>
    </w:rPr>
  </w:style>
  <w:style w:type="paragraph" w:customStyle="1" w:styleId="xl95">
    <w:name w:val="xl95"/>
    <w:basedOn w:val="Normal"/>
    <w:rsid w:val="008D6A8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 w:val="20"/>
      <w:szCs w:val="20"/>
      <w:lang w:eastAsia="es-CR"/>
    </w:rPr>
  </w:style>
  <w:style w:type="paragraph" w:customStyle="1" w:styleId="xl96">
    <w:name w:val="xl96"/>
    <w:basedOn w:val="Normal"/>
    <w:rsid w:val="008D6A8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20"/>
      <w:szCs w:val="20"/>
      <w:lang w:eastAsia="es-CR"/>
    </w:rPr>
  </w:style>
  <w:style w:type="paragraph" w:customStyle="1" w:styleId="xl97">
    <w:name w:val="xl97"/>
    <w:basedOn w:val="Normal"/>
    <w:rsid w:val="008D6A8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 w:val="20"/>
      <w:szCs w:val="20"/>
      <w:lang w:eastAsia="es-CR"/>
    </w:rPr>
  </w:style>
  <w:style w:type="paragraph" w:customStyle="1" w:styleId="xl98">
    <w:name w:val="xl98"/>
    <w:basedOn w:val="Normal"/>
    <w:rsid w:val="008D6A8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 w:val="20"/>
      <w:szCs w:val="20"/>
      <w:lang w:eastAsia="es-CR"/>
    </w:rPr>
  </w:style>
  <w:style w:type="paragraph" w:customStyle="1" w:styleId="xl99">
    <w:name w:val="xl99"/>
    <w:basedOn w:val="Normal"/>
    <w:rsid w:val="008D6A8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 w:val="20"/>
      <w:szCs w:val="20"/>
      <w:lang w:eastAsia="es-CR"/>
    </w:rPr>
  </w:style>
  <w:style w:type="paragraph" w:customStyle="1" w:styleId="xl100">
    <w:name w:val="xl100"/>
    <w:basedOn w:val="Normal"/>
    <w:rsid w:val="008D6A84"/>
    <w:pPr>
      <w:spacing w:before="100" w:beforeAutospacing="1" w:after="100" w:afterAutospacing="1"/>
    </w:pPr>
    <w:rPr>
      <w:rFonts w:ascii="Times New Roman" w:hAnsi="Times New Roman"/>
      <w:lang w:eastAsia="es-CR"/>
    </w:rPr>
  </w:style>
  <w:style w:type="paragraph" w:customStyle="1" w:styleId="xl101">
    <w:name w:val="xl101"/>
    <w:basedOn w:val="Normal"/>
    <w:rsid w:val="008D6A84"/>
    <w:pPr>
      <w:pBdr>
        <w:top w:val="single" w:sz="4" w:space="0" w:color="auto"/>
        <w:right w:val="single" w:sz="4" w:space="0" w:color="auto"/>
      </w:pBdr>
      <w:shd w:val="clear" w:color="000000" w:fill="D9D9D9"/>
      <w:spacing w:before="100" w:beforeAutospacing="1" w:after="100" w:afterAutospacing="1"/>
      <w:jc w:val="center"/>
      <w:textAlignment w:val="center"/>
    </w:pPr>
    <w:rPr>
      <w:rFonts w:ascii="Arial Narrow" w:hAnsi="Arial Narrow"/>
      <w:b/>
      <w:bCs/>
      <w:lang w:eastAsia="es-CR"/>
    </w:rPr>
  </w:style>
  <w:style w:type="paragraph" w:customStyle="1" w:styleId="xl102">
    <w:name w:val="xl102"/>
    <w:basedOn w:val="Normal"/>
    <w:rsid w:val="008D6A84"/>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rFonts w:ascii="Arial Narrow" w:hAnsi="Arial Narrow"/>
      <w:b/>
      <w:bCs/>
      <w:lang w:eastAsia="es-CR"/>
    </w:rPr>
  </w:style>
  <w:style w:type="paragraph" w:customStyle="1" w:styleId="xl103">
    <w:name w:val="xl103"/>
    <w:basedOn w:val="Normal"/>
    <w:rsid w:val="008D6A84"/>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rFonts w:ascii="Arial Narrow" w:hAnsi="Arial Narrow"/>
      <w:b/>
      <w:bCs/>
      <w:lang w:eastAsia="es-CR"/>
    </w:rPr>
  </w:style>
  <w:style w:type="paragraph" w:customStyle="1" w:styleId="xl104">
    <w:name w:val="xl104"/>
    <w:basedOn w:val="Normal"/>
    <w:rsid w:val="008D6A84"/>
    <w:pPr>
      <w:pBdr>
        <w:top w:val="single" w:sz="4" w:space="0" w:color="auto"/>
        <w:right w:val="single" w:sz="4" w:space="0" w:color="auto"/>
      </w:pBdr>
      <w:shd w:val="clear" w:color="000000" w:fill="D9D9D9"/>
      <w:spacing w:before="100" w:beforeAutospacing="1" w:after="100" w:afterAutospacing="1"/>
      <w:jc w:val="center"/>
      <w:textAlignment w:val="center"/>
    </w:pPr>
    <w:rPr>
      <w:rFonts w:ascii="Arial Narrow" w:hAnsi="Arial Narrow"/>
      <w:b/>
      <w:bCs/>
      <w:lang w:eastAsia="es-CR"/>
    </w:rPr>
  </w:style>
  <w:style w:type="paragraph" w:customStyle="1" w:styleId="xl105">
    <w:name w:val="xl105"/>
    <w:basedOn w:val="Normal"/>
    <w:rsid w:val="008D6A84"/>
    <w:pPr>
      <w:pBdr>
        <w:right w:val="single" w:sz="4" w:space="0" w:color="auto"/>
      </w:pBdr>
      <w:shd w:val="clear" w:color="000000" w:fill="D9D9D9"/>
      <w:spacing w:before="100" w:beforeAutospacing="1" w:after="100" w:afterAutospacing="1"/>
      <w:jc w:val="center"/>
      <w:textAlignment w:val="center"/>
    </w:pPr>
    <w:rPr>
      <w:rFonts w:ascii="Arial Narrow" w:hAnsi="Arial Narrow"/>
      <w:b/>
      <w:bCs/>
      <w:lang w:eastAsia="es-CR"/>
    </w:rPr>
  </w:style>
  <w:style w:type="paragraph" w:customStyle="1" w:styleId="xl106">
    <w:name w:val="xl106"/>
    <w:basedOn w:val="Normal"/>
    <w:rsid w:val="008D6A84"/>
    <w:pPr>
      <w:pBdr>
        <w:left w:val="single" w:sz="4" w:space="0" w:color="auto"/>
        <w:right w:val="single" w:sz="4" w:space="0" w:color="auto"/>
      </w:pBdr>
      <w:shd w:val="clear" w:color="000000" w:fill="D9D9D9"/>
      <w:spacing w:before="100" w:beforeAutospacing="1" w:after="100" w:afterAutospacing="1"/>
      <w:jc w:val="center"/>
      <w:textAlignment w:val="center"/>
    </w:pPr>
    <w:rPr>
      <w:rFonts w:ascii="Arial Narrow" w:hAnsi="Arial Narrow"/>
      <w:b/>
      <w:bCs/>
      <w:lang w:eastAsia="es-CR"/>
    </w:rPr>
  </w:style>
  <w:style w:type="paragraph" w:customStyle="1" w:styleId="xl107">
    <w:name w:val="xl107"/>
    <w:basedOn w:val="Normal"/>
    <w:rsid w:val="008D6A84"/>
    <w:pPr>
      <w:pBdr>
        <w:left w:val="single" w:sz="4" w:space="0" w:color="auto"/>
        <w:right w:val="single" w:sz="4" w:space="0" w:color="auto"/>
      </w:pBdr>
      <w:shd w:val="clear" w:color="000000" w:fill="D9D9D9"/>
      <w:spacing w:before="100" w:beforeAutospacing="1" w:after="100" w:afterAutospacing="1"/>
      <w:jc w:val="center"/>
      <w:textAlignment w:val="center"/>
    </w:pPr>
    <w:rPr>
      <w:rFonts w:ascii="Arial Narrow" w:hAnsi="Arial Narrow"/>
      <w:b/>
      <w:bCs/>
      <w:lang w:eastAsia="es-CR"/>
    </w:rPr>
  </w:style>
  <w:style w:type="paragraph" w:customStyle="1" w:styleId="xl108">
    <w:name w:val="xl108"/>
    <w:basedOn w:val="Normal"/>
    <w:rsid w:val="008D6A84"/>
    <w:pPr>
      <w:pBdr>
        <w:right w:val="single" w:sz="4" w:space="0" w:color="auto"/>
      </w:pBdr>
      <w:shd w:val="clear" w:color="000000" w:fill="D9D9D9"/>
      <w:spacing w:before="100" w:beforeAutospacing="1" w:after="100" w:afterAutospacing="1"/>
      <w:jc w:val="center"/>
      <w:textAlignment w:val="center"/>
    </w:pPr>
    <w:rPr>
      <w:rFonts w:ascii="Arial Narrow" w:hAnsi="Arial Narrow"/>
      <w:b/>
      <w:bCs/>
      <w:lang w:eastAsia="es-CR"/>
    </w:rPr>
  </w:style>
  <w:style w:type="paragraph" w:customStyle="1" w:styleId="xl109">
    <w:name w:val="xl109"/>
    <w:basedOn w:val="Normal"/>
    <w:rsid w:val="008D6A84"/>
    <w:pPr>
      <w:pBdr>
        <w:bottom w:val="single" w:sz="4" w:space="0" w:color="auto"/>
        <w:right w:val="single" w:sz="4" w:space="0" w:color="auto"/>
      </w:pBdr>
      <w:shd w:val="clear" w:color="000000" w:fill="D9D9D9"/>
      <w:spacing w:before="100" w:beforeAutospacing="1" w:after="100" w:afterAutospacing="1"/>
      <w:jc w:val="center"/>
      <w:textAlignment w:val="center"/>
    </w:pPr>
    <w:rPr>
      <w:rFonts w:ascii="Arial Narrow" w:hAnsi="Arial Narrow"/>
      <w:b/>
      <w:bCs/>
      <w:lang w:eastAsia="es-CR"/>
    </w:rPr>
  </w:style>
  <w:style w:type="paragraph" w:customStyle="1" w:styleId="xl110">
    <w:name w:val="xl110"/>
    <w:basedOn w:val="Normal"/>
    <w:rsid w:val="008D6A84"/>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Arial Narrow" w:hAnsi="Arial Narrow"/>
      <w:b/>
      <w:bCs/>
      <w:lang w:eastAsia="es-CR"/>
    </w:rPr>
  </w:style>
  <w:style w:type="paragraph" w:customStyle="1" w:styleId="xl111">
    <w:name w:val="xl111"/>
    <w:basedOn w:val="Normal"/>
    <w:rsid w:val="008D6A84"/>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Arial Narrow" w:hAnsi="Arial Narrow"/>
      <w:b/>
      <w:bCs/>
      <w:lang w:eastAsia="es-CR"/>
    </w:rPr>
  </w:style>
  <w:style w:type="paragraph" w:customStyle="1" w:styleId="xl112">
    <w:name w:val="xl112"/>
    <w:basedOn w:val="Normal"/>
    <w:rsid w:val="008D6A84"/>
    <w:pPr>
      <w:pBdr>
        <w:bottom w:val="single" w:sz="4" w:space="0" w:color="auto"/>
        <w:right w:val="single" w:sz="4" w:space="0" w:color="auto"/>
      </w:pBdr>
      <w:shd w:val="clear" w:color="000000" w:fill="D9D9D9"/>
      <w:spacing w:before="100" w:beforeAutospacing="1" w:after="100" w:afterAutospacing="1"/>
      <w:jc w:val="center"/>
      <w:textAlignment w:val="center"/>
    </w:pPr>
    <w:rPr>
      <w:rFonts w:ascii="Arial Narrow" w:hAnsi="Arial Narrow"/>
      <w:b/>
      <w:bCs/>
      <w:lang w:eastAsia="es-CR"/>
    </w:rPr>
  </w:style>
  <w:style w:type="paragraph" w:customStyle="1" w:styleId="Prrafodelista3">
    <w:name w:val="Párrafo de lista3"/>
    <w:basedOn w:val="Normal"/>
    <w:qFormat/>
    <w:rsid w:val="00FD69A2"/>
    <w:pPr>
      <w:ind w:left="720"/>
    </w:pPr>
    <w:rPr>
      <w:rFonts w:ascii="Times New Roman" w:hAnsi="Times New Roman"/>
      <w:lang w:val="es-ES"/>
    </w:rPr>
  </w:style>
  <w:style w:type="paragraph" w:customStyle="1" w:styleId="xxmsonormal">
    <w:name w:val="x_x_msonormal"/>
    <w:basedOn w:val="Normal"/>
    <w:rsid w:val="00070BEC"/>
    <w:rPr>
      <w:rFonts w:eastAsiaTheme="minorHAnsi" w:cs="Calibri"/>
      <w:sz w:val="22"/>
      <w:szCs w:val="22"/>
      <w:lang w:val="es-CR" w:eastAsia="es-CR"/>
    </w:rPr>
  </w:style>
  <w:style w:type="paragraph" w:customStyle="1" w:styleId="xxmsolistparagraph">
    <w:name w:val="x_x_msolistparagraph"/>
    <w:basedOn w:val="Normal"/>
    <w:rsid w:val="00070BEC"/>
    <w:pPr>
      <w:spacing w:before="100" w:beforeAutospacing="1" w:after="100" w:afterAutospacing="1"/>
    </w:pPr>
    <w:rPr>
      <w:rFonts w:eastAsiaTheme="minorHAnsi" w:cs="Calibri"/>
      <w:sz w:val="22"/>
      <w:szCs w:val="22"/>
      <w:lang w:val="es-CR" w:eastAsia="es-CR"/>
    </w:rPr>
  </w:style>
  <w:style w:type="table" w:styleId="Tablaconcuadrcula4-nfasis1">
    <w:name w:val="Grid Table 4 Accent 1"/>
    <w:basedOn w:val="Tablanormal"/>
    <w:uiPriority w:val="49"/>
    <w:rsid w:val="009739A5"/>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styleId="Textoennegrita">
    <w:name w:val="Strong"/>
    <w:basedOn w:val="Fuentedeprrafopredeter"/>
    <w:uiPriority w:val="22"/>
    <w:qFormat/>
    <w:rsid w:val="00DE30FD"/>
    <w:rPr>
      <w:b/>
      <w:bCs/>
    </w:rPr>
  </w:style>
  <w:style w:type="character" w:customStyle="1" w:styleId="apple-converted-space">
    <w:name w:val="apple-converted-space"/>
    <w:basedOn w:val="Fuentedeprrafopredeter"/>
    <w:rsid w:val="00F56E98"/>
  </w:style>
  <w:style w:type="character" w:customStyle="1" w:styleId="SinespaciadoCar">
    <w:name w:val="Sin espaciado Car"/>
    <w:basedOn w:val="Fuentedeprrafopredeter"/>
    <w:link w:val="Sinespaciado"/>
    <w:uiPriority w:val="1"/>
    <w:locked/>
    <w:rsid w:val="005E4899"/>
    <w:rPr>
      <w:rFonts w:asciiTheme="minorHAnsi" w:eastAsiaTheme="minorHAnsi" w:hAnsiTheme="minorHAnsi" w:cstheme="minorBidi"/>
      <w:sz w:val="22"/>
      <w:szCs w:val="22"/>
      <w:lang w:eastAsia="en-US"/>
    </w:rPr>
  </w:style>
  <w:style w:type="paragraph" w:styleId="Sinespaciado">
    <w:name w:val="No Spacing"/>
    <w:link w:val="SinespaciadoCar"/>
    <w:uiPriority w:val="1"/>
    <w:qFormat/>
    <w:rsid w:val="005E4899"/>
    <w:rPr>
      <w:rFonts w:asciiTheme="minorHAnsi" w:eastAsiaTheme="minorHAnsi" w:hAnsiTheme="minorHAnsi" w:cstheme="minorBidi"/>
      <w:sz w:val="22"/>
      <w:szCs w:val="22"/>
      <w:lang w:eastAsia="en-US"/>
    </w:rPr>
  </w:style>
  <w:style w:type="paragraph" w:customStyle="1" w:styleId="Standard">
    <w:name w:val="Standard"/>
    <w:rsid w:val="00803EF6"/>
    <w:pPr>
      <w:suppressAutoHyphens/>
      <w:autoSpaceDN w:val="0"/>
    </w:pPr>
    <w:rPr>
      <w:rFonts w:ascii="Liberation Serif" w:eastAsia="NSimSun" w:hAnsi="Liberation Serif" w:cs="Lucida Sans"/>
      <w:kern w:val="3"/>
      <w:sz w:val="24"/>
      <w:szCs w:val="24"/>
      <w:lang w:eastAsia="zh-CN" w:bidi="hi-IN"/>
    </w:rPr>
  </w:style>
  <w:style w:type="character" w:customStyle="1" w:styleId="PrrafodelistaCar">
    <w:name w:val="Párrafo de lista Car"/>
    <w:aliases w:val="Lista vistosa - Énfasis 11 Car,Footnote Car,List Paragraph2 Car,Bullet 1 Car,Use Case List Paragraph Car,Párrafo de lista Car Car Car Car,Lista multicolor - Énfasis 11 Car,Segundo nivel de viñetas Car,Bullet List Car,numbered Car"/>
    <w:link w:val="Prrafodelista"/>
    <w:uiPriority w:val="34"/>
    <w:qFormat/>
    <w:locked/>
    <w:rsid w:val="009B7B0A"/>
    <w:rPr>
      <w:rFonts w:ascii="Calibri" w:hAnsi="Calibri"/>
      <w:sz w:val="24"/>
      <w:szCs w:val="24"/>
      <w:lang w:val="es-ES_tradnl" w:eastAsia="es-ES"/>
    </w:rPr>
  </w:style>
  <w:style w:type="character" w:customStyle="1" w:styleId="Mencinsinresolver2">
    <w:name w:val="Mención sin resolver2"/>
    <w:basedOn w:val="Fuentedeprrafopredeter"/>
    <w:uiPriority w:val="99"/>
    <w:semiHidden/>
    <w:unhideWhenUsed/>
    <w:rsid w:val="00441D03"/>
    <w:rPr>
      <w:color w:val="605E5C"/>
      <w:shd w:val="clear" w:color="auto" w:fill="E1DFDD"/>
    </w:rPr>
  </w:style>
  <w:style w:type="character" w:customStyle="1" w:styleId="PiedepginaCar">
    <w:name w:val="Pie de página Car"/>
    <w:basedOn w:val="Fuentedeprrafopredeter"/>
    <w:link w:val="Piedepgina"/>
    <w:uiPriority w:val="99"/>
    <w:rsid w:val="00813C6E"/>
    <w:rPr>
      <w:rFonts w:ascii="Calibri" w:hAnsi="Calibri"/>
      <w:sz w:val="24"/>
      <w:szCs w:val="24"/>
      <w:lang w:val="es-ES_tradnl" w:eastAsia="es-ES"/>
    </w:rPr>
  </w:style>
  <w:style w:type="character" w:styleId="Mencinsinresolver">
    <w:name w:val="Unresolved Mention"/>
    <w:basedOn w:val="Fuentedeprrafopredeter"/>
    <w:uiPriority w:val="99"/>
    <w:semiHidden/>
    <w:unhideWhenUsed/>
    <w:rsid w:val="008A6FB7"/>
    <w:rPr>
      <w:color w:val="605E5C"/>
      <w:shd w:val="clear" w:color="auto" w:fill="E1DFDD"/>
    </w:rPr>
  </w:style>
  <w:style w:type="paragraph" w:customStyle="1" w:styleId="Ttulo31">
    <w:name w:val="Título 31"/>
    <w:next w:val="Normal"/>
    <w:rsid w:val="00157E64"/>
    <w:pPr>
      <w:widowControl w:val="0"/>
      <w:shd w:val="clear" w:color="auto" w:fill="FFFFFF"/>
      <w:tabs>
        <w:tab w:val="num" w:pos="0"/>
      </w:tabs>
      <w:suppressAutoHyphens/>
      <w:outlineLvl w:val="2"/>
    </w:pPr>
    <w:rPr>
      <w:rFonts w:eastAsia="Arial Unicode MS"/>
      <w:sz w:val="24"/>
      <w:szCs w:val="24"/>
      <w:u w:val="single"/>
      <w:lang w:val="es-ES_tradnl" w:eastAsia="es-ES"/>
    </w:rPr>
  </w:style>
  <w:style w:type="paragraph" w:customStyle="1" w:styleId="SUBPROGRAMA">
    <w:name w:val="SUBPROGRAMA"/>
    <w:basedOn w:val="Ttulo1"/>
    <w:next w:val="Normal"/>
    <w:rsid w:val="00157E64"/>
    <w:pPr>
      <w:widowControl/>
      <w:tabs>
        <w:tab w:val="num" w:pos="360"/>
      </w:tabs>
      <w:autoSpaceDN/>
      <w:adjustRightInd/>
      <w:spacing w:before="240" w:after="60"/>
      <w:jc w:val="both"/>
    </w:pPr>
    <w:rPr>
      <w:rFonts w:ascii="Bookman Old Style" w:hAnsi="Bookman Old Style" w:cs="Times New Roman"/>
      <w:bCs w:val="0"/>
      <w:smallCaps/>
      <w:color w:val="000080"/>
      <w:kern w:val="28"/>
      <w:szCs w:val="20"/>
      <w:u w:val="single"/>
      <w:lang w:val="es-ES" w:eastAsia="es-ES"/>
    </w:rPr>
  </w:style>
  <w:style w:type="character" w:customStyle="1" w:styleId="markedcontent">
    <w:name w:val="markedcontent"/>
    <w:basedOn w:val="Fuentedeprrafopredeter"/>
    <w:rsid w:val="00721B6C"/>
  </w:style>
  <w:style w:type="table" w:customStyle="1" w:styleId="Tablaconcuadrcula1">
    <w:name w:val="Tabla con cuadrícula1"/>
    <w:basedOn w:val="Tablanormal"/>
    <w:next w:val="Tablaconcuadrcula"/>
    <w:uiPriority w:val="39"/>
    <w:rsid w:val="0033704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59"/>
    <w:rsid w:val="004930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oindependiente2Car">
    <w:name w:val="Texto independiente 2 Car"/>
    <w:basedOn w:val="Fuentedeprrafopredeter"/>
    <w:link w:val="Textoindependiente2"/>
    <w:rsid w:val="001A1178"/>
    <w:rPr>
      <w:rFonts w:ascii="Batang" w:eastAsia="Batang" w:hAnsi="Batang"/>
      <w:b/>
      <w:bCs/>
      <w:sz w:val="24"/>
      <w:szCs w:val="24"/>
      <w:lang w:val="es-ES_tradnl"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876979">
      <w:bodyDiv w:val="1"/>
      <w:marLeft w:val="0"/>
      <w:marRight w:val="0"/>
      <w:marTop w:val="0"/>
      <w:marBottom w:val="0"/>
      <w:divBdr>
        <w:top w:val="none" w:sz="0" w:space="0" w:color="auto"/>
        <w:left w:val="none" w:sz="0" w:space="0" w:color="auto"/>
        <w:bottom w:val="none" w:sz="0" w:space="0" w:color="auto"/>
        <w:right w:val="none" w:sz="0" w:space="0" w:color="auto"/>
      </w:divBdr>
    </w:div>
    <w:div w:id="19864616">
      <w:bodyDiv w:val="1"/>
      <w:marLeft w:val="0"/>
      <w:marRight w:val="0"/>
      <w:marTop w:val="0"/>
      <w:marBottom w:val="0"/>
      <w:divBdr>
        <w:top w:val="none" w:sz="0" w:space="0" w:color="auto"/>
        <w:left w:val="none" w:sz="0" w:space="0" w:color="auto"/>
        <w:bottom w:val="none" w:sz="0" w:space="0" w:color="auto"/>
        <w:right w:val="none" w:sz="0" w:space="0" w:color="auto"/>
      </w:divBdr>
    </w:div>
    <w:div w:id="24062988">
      <w:bodyDiv w:val="1"/>
      <w:marLeft w:val="0"/>
      <w:marRight w:val="0"/>
      <w:marTop w:val="0"/>
      <w:marBottom w:val="0"/>
      <w:divBdr>
        <w:top w:val="none" w:sz="0" w:space="0" w:color="auto"/>
        <w:left w:val="none" w:sz="0" w:space="0" w:color="auto"/>
        <w:bottom w:val="none" w:sz="0" w:space="0" w:color="auto"/>
        <w:right w:val="none" w:sz="0" w:space="0" w:color="auto"/>
      </w:divBdr>
    </w:div>
    <w:div w:id="30618667">
      <w:bodyDiv w:val="1"/>
      <w:marLeft w:val="0"/>
      <w:marRight w:val="0"/>
      <w:marTop w:val="0"/>
      <w:marBottom w:val="0"/>
      <w:divBdr>
        <w:top w:val="none" w:sz="0" w:space="0" w:color="auto"/>
        <w:left w:val="none" w:sz="0" w:space="0" w:color="auto"/>
        <w:bottom w:val="none" w:sz="0" w:space="0" w:color="auto"/>
        <w:right w:val="none" w:sz="0" w:space="0" w:color="auto"/>
      </w:divBdr>
      <w:divsChild>
        <w:div w:id="293799886">
          <w:marLeft w:val="0"/>
          <w:marRight w:val="0"/>
          <w:marTop w:val="0"/>
          <w:marBottom w:val="0"/>
          <w:divBdr>
            <w:top w:val="none" w:sz="0" w:space="0" w:color="auto"/>
            <w:left w:val="none" w:sz="0" w:space="0" w:color="auto"/>
            <w:bottom w:val="none" w:sz="0" w:space="0" w:color="auto"/>
            <w:right w:val="none" w:sz="0" w:space="0" w:color="auto"/>
          </w:divBdr>
        </w:div>
      </w:divsChild>
    </w:div>
    <w:div w:id="34472346">
      <w:bodyDiv w:val="1"/>
      <w:marLeft w:val="0"/>
      <w:marRight w:val="0"/>
      <w:marTop w:val="0"/>
      <w:marBottom w:val="0"/>
      <w:divBdr>
        <w:top w:val="none" w:sz="0" w:space="0" w:color="auto"/>
        <w:left w:val="none" w:sz="0" w:space="0" w:color="auto"/>
        <w:bottom w:val="none" w:sz="0" w:space="0" w:color="auto"/>
        <w:right w:val="none" w:sz="0" w:space="0" w:color="auto"/>
      </w:divBdr>
    </w:div>
    <w:div w:id="38020509">
      <w:bodyDiv w:val="1"/>
      <w:marLeft w:val="0"/>
      <w:marRight w:val="0"/>
      <w:marTop w:val="0"/>
      <w:marBottom w:val="0"/>
      <w:divBdr>
        <w:top w:val="none" w:sz="0" w:space="0" w:color="auto"/>
        <w:left w:val="none" w:sz="0" w:space="0" w:color="auto"/>
        <w:bottom w:val="none" w:sz="0" w:space="0" w:color="auto"/>
        <w:right w:val="none" w:sz="0" w:space="0" w:color="auto"/>
      </w:divBdr>
    </w:div>
    <w:div w:id="42680236">
      <w:marLeft w:val="0"/>
      <w:marRight w:val="0"/>
      <w:marTop w:val="0"/>
      <w:marBottom w:val="0"/>
      <w:divBdr>
        <w:top w:val="none" w:sz="0" w:space="0" w:color="auto"/>
        <w:left w:val="none" w:sz="0" w:space="0" w:color="auto"/>
        <w:bottom w:val="none" w:sz="0" w:space="0" w:color="auto"/>
        <w:right w:val="none" w:sz="0" w:space="0" w:color="auto"/>
      </w:divBdr>
      <w:divsChild>
        <w:div w:id="2088459844">
          <w:marLeft w:val="0"/>
          <w:marRight w:val="0"/>
          <w:marTop w:val="0"/>
          <w:marBottom w:val="0"/>
          <w:divBdr>
            <w:top w:val="none" w:sz="0" w:space="0" w:color="auto"/>
            <w:left w:val="none" w:sz="0" w:space="0" w:color="auto"/>
            <w:bottom w:val="none" w:sz="0" w:space="0" w:color="auto"/>
            <w:right w:val="none" w:sz="0" w:space="0" w:color="auto"/>
          </w:divBdr>
        </w:div>
      </w:divsChild>
    </w:div>
    <w:div w:id="46999477">
      <w:marLeft w:val="0"/>
      <w:marRight w:val="0"/>
      <w:marTop w:val="0"/>
      <w:marBottom w:val="0"/>
      <w:divBdr>
        <w:top w:val="none" w:sz="0" w:space="0" w:color="auto"/>
        <w:left w:val="none" w:sz="0" w:space="0" w:color="auto"/>
        <w:bottom w:val="none" w:sz="0" w:space="0" w:color="auto"/>
        <w:right w:val="none" w:sz="0" w:space="0" w:color="auto"/>
      </w:divBdr>
      <w:divsChild>
        <w:div w:id="1824006880">
          <w:marLeft w:val="0"/>
          <w:marRight w:val="0"/>
          <w:marTop w:val="0"/>
          <w:marBottom w:val="0"/>
          <w:divBdr>
            <w:top w:val="none" w:sz="0" w:space="0" w:color="auto"/>
            <w:left w:val="none" w:sz="0" w:space="0" w:color="auto"/>
            <w:bottom w:val="none" w:sz="0" w:space="0" w:color="auto"/>
            <w:right w:val="none" w:sz="0" w:space="0" w:color="auto"/>
          </w:divBdr>
        </w:div>
      </w:divsChild>
    </w:div>
    <w:div w:id="47344290">
      <w:marLeft w:val="0"/>
      <w:marRight w:val="0"/>
      <w:marTop w:val="0"/>
      <w:marBottom w:val="0"/>
      <w:divBdr>
        <w:top w:val="none" w:sz="0" w:space="0" w:color="auto"/>
        <w:left w:val="none" w:sz="0" w:space="0" w:color="auto"/>
        <w:bottom w:val="none" w:sz="0" w:space="0" w:color="auto"/>
        <w:right w:val="none" w:sz="0" w:space="0" w:color="auto"/>
      </w:divBdr>
      <w:divsChild>
        <w:div w:id="1563755133">
          <w:marLeft w:val="0"/>
          <w:marRight w:val="0"/>
          <w:marTop w:val="0"/>
          <w:marBottom w:val="0"/>
          <w:divBdr>
            <w:top w:val="none" w:sz="0" w:space="0" w:color="auto"/>
            <w:left w:val="none" w:sz="0" w:space="0" w:color="auto"/>
            <w:bottom w:val="none" w:sz="0" w:space="0" w:color="auto"/>
            <w:right w:val="none" w:sz="0" w:space="0" w:color="auto"/>
          </w:divBdr>
        </w:div>
      </w:divsChild>
    </w:div>
    <w:div w:id="48891721">
      <w:bodyDiv w:val="1"/>
      <w:marLeft w:val="0"/>
      <w:marRight w:val="0"/>
      <w:marTop w:val="0"/>
      <w:marBottom w:val="0"/>
      <w:divBdr>
        <w:top w:val="none" w:sz="0" w:space="0" w:color="auto"/>
        <w:left w:val="none" w:sz="0" w:space="0" w:color="auto"/>
        <w:bottom w:val="none" w:sz="0" w:space="0" w:color="auto"/>
        <w:right w:val="none" w:sz="0" w:space="0" w:color="auto"/>
      </w:divBdr>
    </w:div>
    <w:div w:id="57439126">
      <w:bodyDiv w:val="1"/>
      <w:marLeft w:val="0"/>
      <w:marRight w:val="0"/>
      <w:marTop w:val="0"/>
      <w:marBottom w:val="0"/>
      <w:divBdr>
        <w:top w:val="none" w:sz="0" w:space="0" w:color="auto"/>
        <w:left w:val="none" w:sz="0" w:space="0" w:color="auto"/>
        <w:bottom w:val="none" w:sz="0" w:space="0" w:color="auto"/>
        <w:right w:val="none" w:sz="0" w:space="0" w:color="auto"/>
      </w:divBdr>
    </w:div>
    <w:div w:id="58983456">
      <w:bodyDiv w:val="1"/>
      <w:marLeft w:val="0"/>
      <w:marRight w:val="0"/>
      <w:marTop w:val="0"/>
      <w:marBottom w:val="0"/>
      <w:divBdr>
        <w:top w:val="none" w:sz="0" w:space="0" w:color="auto"/>
        <w:left w:val="none" w:sz="0" w:space="0" w:color="auto"/>
        <w:bottom w:val="none" w:sz="0" w:space="0" w:color="auto"/>
        <w:right w:val="none" w:sz="0" w:space="0" w:color="auto"/>
      </w:divBdr>
    </w:div>
    <w:div w:id="71586454">
      <w:bodyDiv w:val="1"/>
      <w:marLeft w:val="0"/>
      <w:marRight w:val="0"/>
      <w:marTop w:val="0"/>
      <w:marBottom w:val="0"/>
      <w:divBdr>
        <w:top w:val="none" w:sz="0" w:space="0" w:color="auto"/>
        <w:left w:val="none" w:sz="0" w:space="0" w:color="auto"/>
        <w:bottom w:val="none" w:sz="0" w:space="0" w:color="auto"/>
        <w:right w:val="none" w:sz="0" w:space="0" w:color="auto"/>
      </w:divBdr>
    </w:div>
    <w:div w:id="79760214">
      <w:bodyDiv w:val="1"/>
      <w:marLeft w:val="0"/>
      <w:marRight w:val="0"/>
      <w:marTop w:val="0"/>
      <w:marBottom w:val="0"/>
      <w:divBdr>
        <w:top w:val="none" w:sz="0" w:space="0" w:color="auto"/>
        <w:left w:val="none" w:sz="0" w:space="0" w:color="auto"/>
        <w:bottom w:val="none" w:sz="0" w:space="0" w:color="auto"/>
        <w:right w:val="none" w:sz="0" w:space="0" w:color="auto"/>
      </w:divBdr>
      <w:divsChild>
        <w:div w:id="1058474118">
          <w:marLeft w:val="0"/>
          <w:marRight w:val="0"/>
          <w:marTop w:val="0"/>
          <w:marBottom w:val="0"/>
          <w:divBdr>
            <w:top w:val="none" w:sz="0" w:space="0" w:color="auto"/>
            <w:left w:val="none" w:sz="0" w:space="0" w:color="auto"/>
            <w:bottom w:val="none" w:sz="0" w:space="0" w:color="auto"/>
            <w:right w:val="none" w:sz="0" w:space="0" w:color="auto"/>
          </w:divBdr>
        </w:div>
      </w:divsChild>
    </w:div>
    <w:div w:id="97719361">
      <w:bodyDiv w:val="1"/>
      <w:marLeft w:val="0"/>
      <w:marRight w:val="0"/>
      <w:marTop w:val="0"/>
      <w:marBottom w:val="0"/>
      <w:divBdr>
        <w:top w:val="none" w:sz="0" w:space="0" w:color="auto"/>
        <w:left w:val="none" w:sz="0" w:space="0" w:color="auto"/>
        <w:bottom w:val="none" w:sz="0" w:space="0" w:color="auto"/>
        <w:right w:val="none" w:sz="0" w:space="0" w:color="auto"/>
      </w:divBdr>
    </w:div>
    <w:div w:id="100340195">
      <w:bodyDiv w:val="1"/>
      <w:marLeft w:val="0"/>
      <w:marRight w:val="0"/>
      <w:marTop w:val="0"/>
      <w:marBottom w:val="0"/>
      <w:divBdr>
        <w:top w:val="none" w:sz="0" w:space="0" w:color="auto"/>
        <w:left w:val="none" w:sz="0" w:space="0" w:color="auto"/>
        <w:bottom w:val="none" w:sz="0" w:space="0" w:color="auto"/>
        <w:right w:val="none" w:sz="0" w:space="0" w:color="auto"/>
      </w:divBdr>
    </w:div>
    <w:div w:id="100536684">
      <w:bodyDiv w:val="1"/>
      <w:marLeft w:val="0"/>
      <w:marRight w:val="0"/>
      <w:marTop w:val="0"/>
      <w:marBottom w:val="0"/>
      <w:divBdr>
        <w:top w:val="none" w:sz="0" w:space="0" w:color="auto"/>
        <w:left w:val="none" w:sz="0" w:space="0" w:color="auto"/>
        <w:bottom w:val="none" w:sz="0" w:space="0" w:color="auto"/>
        <w:right w:val="none" w:sz="0" w:space="0" w:color="auto"/>
      </w:divBdr>
      <w:divsChild>
        <w:div w:id="409238056">
          <w:marLeft w:val="0"/>
          <w:marRight w:val="0"/>
          <w:marTop w:val="0"/>
          <w:marBottom w:val="0"/>
          <w:divBdr>
            <w:top w:val="none" w:sz="0" w:space="0" w:color="auto"/>
            <w:left w:val="none" w:sz="0" w:space="0" w:color="auto"/>
            <w:bottom w:val="none" w:sz="0" w:space="0" w:color="auto"/>
            <w:right w:val="none" w:sz="0" w:space="0" w:color="auto"/>
          </w:divBdr>
        </w:div>
      </w:divsChild>
    </w:div>
    <w:div w:id="100758873">
      <w:bodyDiv w:val="1"/>
      <w:marLeft w:val="0"/>
      <w:marRight w:val="0"/>
      <w:marTop w:val="0"/>
      <w:marBottom w:val="0"/>
      <w:divBdr>
        <w:top w:val="none" w:sz="0" w:space="0" w:color="auto"/>
        <w:left w:val="none" w:sz="0" w:space="0" w:color="auto"/>
        <w:bottom w:val="none" w:sz="0" w:space="0" w:color="auto"/>
        <w:right w:val="none" w:sz="0" w:space="0" w:color="auto"/>
      </w:divBdr>
    </w:div>
    <w:div w:id="104008316">
      <w:bodyDiv w:val="1"/>
      <w:marLeft w:val="0"/>
      <w:marRight w:val="0"/>
      <w:marTop w:val="0"/>
      <w:marBottom w:val="0"/>
      <w:divBdr>
        <w:top w:val="none" w:sz="0" w:space="0" w:color="auto"/>
        <w:left w:val="none" w:sz="0" w:space="0" w:color="auto"/>
        <w:bottom w:val="none" w:sz="0" w:space="0" w:color="auto"/>
        <w:right w:val="none" w:sz="0" w:space="0" w:color="auto"/>
      </w:divBdr>
      <w:divsChild>
        <w:div w:id="204296321">
          <w:marLeft w:val="360"/>
          <w:marRight w:val="0"/>
          <w:marTop w:val="200"/>
          <w:marBottom w:val="0"/>
          <w:divBdr>
            <w:top w:val="none" w:sz="0" w:space="0" w:color="auto"/>
            <w:left w:val="none" w:sz="0" w:space="0" w:color="auto"/>
            <w:bottom w:val="none" w:sz="0" w:space="0" w:color="auto"/>
            <w:right w:val="none" w:sz="0" w:space="0" w:color="auto"/>
          </w:divBdr>
        </w:div>
        <w:div w:id="1020934618">
          <w:marLeft w:val="360"/>
          <w:marRight w:val="0"/>
          <w:marTop w:val="200"/>
          <w:marBottom w:val="0"/>
          <w:divBdr>
            <w:top w:val="none" w:sz="0" w:space="0" w:color="auto"/>
            <w:left w:val="none" w:sz="0" w:space="0" w:color="auto"/>
            <w:bottom w:val="none" w:sz="0" w:space="0" w:color="auto"/>
            <w:right w:val="none" w:sz="0" w:space="0" w:color="auto"/>
          </w:divBdr>
        </w:div>
        <w:div w:id="1321075741">
          <w:marLeft w:val="360"/>
          <w:marRight w:val="0"/>
          <w:marTop w:val="200"/>
          <w:marBottom w:val="0"/>
          <w:divBdr>
            <w:top w:val="none" w:sz="0" w:space="0" w:color="auto"/>
            <w:left w:val="none" w:sz="0" w:space="0" w:color="auto"/>
            <w:bottom w:val="none" w:sz="0" w:space="0" w:color="auto"/>
            <w:right w:val="none" w:sz="0" w:space="0" w:color="auto"/>
          </w:divBdr>
        </w:div>
        <w:div w:id="1831562356">
          <w:marLeft w:val="360"/>
          <w:marRight w:val="0"/>
          <w:marTop w:val="200"/>
          <w:marBottom w:val="0"/>
          <w:divBdr>
            <w:top w:val="none" w:sz="0" w:space="0" w:color="auto"/>
            <w:left w:val="none" w:sz="0" w:space="0" w:color="auto"/>
            <w:bottom w:val="none" w:sz="0" w:space="0" w:color="auto"/>
            <w:right w:val="none" w:sz="0" w:space="0" w:color="auto"/>
          </w:divBdr>
        </w:div>
      </w:divsChild>
    </w:div>
    <w:div w:id="113135286">
      <w:bodyDiv w:val="1"/>
      <w:marLeft w:val="0"/>
      <w:marRight w:val="0"/>
      <w:marTop w:val="0"/>
      <w:marBottom w:val="0"/>
      <w:divBdr>
        <w:top w:val="none" w:sz="0" w:space="0" w:color="auto"/>
        <w:left w:val="none" w:sz="0" w:space="0" w:color="auto"/>
        <w:bottom w:val="none" w:sz="0" w:space="0" w:color="auto"/>
        <w:right w:val="none" w:sz="0" w:space="0" w:color="auto"/>
      </w:divBdr>
      <w:divsChild>
        <w:div w:id="142044705">
          <w:marLeft w:val="0"/>
          <w:marRight w:val="0"/>
          <w:marTop w:val="0"/>
          <w:marBottom w:val="0"/>
          <w:divBdr>
            <w:top w:val="none" w:sz="0" w:space="0" w:color="auto"/>
            <w:left w:val="none" w:sz="0" w:space="0" w:color="auto"/>
            <w:bottom w:val="none" w:sz="0" w:space="0" w:color="auto"/>
            <w:right w:val="none" w:sz="0" w:space="0" w:color="auto"/>
          </w:divBdr>
        </w:div>
      </w:divsChild>
    </w:div>
    <w:div w:id="117912820">
      <w:bodyDiv w:val="1"/>
      <w:marLeft w:val="0"/>
      <w:marRight w:val="0"/>
      <w:marTop w:val="0"/>
      <w:marBottom w:val="0"/>
      <w:divBdr>
        <w:top w:val="none" w:sz="0" w:space="0" w:color="auto"/>
        <w:left w:val="none" w:sz="0" w:space="0" w:color="auto"/>
        <w:bottom w:val="none" w:sz="0" w:space="0" w:color="auto"/>
        <w:right w:val="none" w:sz="0" w:space="0" w:color="auto"/>
      </w:divBdr>
    </w:div>
    <w:div w:id="121269283">
      <w:bodyDiv w:val="1"/>
      <w:marLeft w:val="0"/>
      <w:marRight w:val="0"/>
      <w:marTop w:val="0"/>
      <w:marBottom w:val="0"/>
      <w:divBdr>
        <w:top w:val="none" w:sz="0" w:space="0" w:color="auto"/>
        <w:left w:val="none" w:sz="0" w:space="0" w:color="auto"/>
        <w:bottom w:val="none" w:sz="0" w:space="0" w:color="auto"/>
        <w:right w:val="none" w:sz="0" w:space="0" w:color="auto"/>
      </w:divBdr>
    </w:div>
    <w:div w:id="121307781">
      <w:marLeft w:val="0"/>
      <w:marRight w:val="0"/>
      <w:marTop w:val="0"/>
      <w:marBottom w:val="0"/>
      <w:divBdr>
        <w:top w:val="none" w:sz="0" w:space="0" w:color="auto"/>
        <w:left w:val="none" w:sz="0" w:space="0" w:color="auto"/>
        <w:bottom w:val="none" w:sz="0" w:space="0" w:color="auto"/>
        <w:right w:val="none" w:sz="0" w:space="0" w:color="auto"/>
      </w:divBdr>
      <w:divsChild>
        <w:div w:id="1209605993">
          <w:marLeft w:val="0"/>
          <w:marRight w:val="0"/>
          <w:marTop w:val="0"/>
          <w:marBottom w:val="0"/>
          <w:divBdr>
            <w:top w:val="none" w:sz="0" w:space="0" w:color="auto"/>
            <w:left w:val="none" w:sz="0" w:space="0" w:color="auto"/>
            <w:bottom w:val="none" w:sz="0" w:space="0" w:color="auto"/>
            <w:right w:val="none" w:sz="0" w:space="0" w:color="auto"/>
          </w:divBdr>
        </w:div>
      </w:divsChild>
    </w:div>
    <w:div w:id="128717733">
      <w:bodyDiv w:val="1"/>
      <w:marLeft w:val="0"/>
      <w:marRight w:val="0"/>
      <w:marTop w:val="0"/>
      <w:marBottom w:val="0"/>
      <w:divBdr>
        <w:top w:val="none" w:sz="0" w:space="0" w:color="auto"/>
        <w:left w:val="none" w:sz="0" w:space="0" w:color="auto"/>
        <w:bottom w:val="none" w:sz="0" w:space="0" w:color="auto"/>
        <w:right w:val="none" w:sz="0" w:space="0" w:color="auto"/>
      </w:divBdr>
      <w:divsChild>
        <w:div w:id="1566065012">
          <w:marLeft w:val="0"/>
          <w:marRight w:val="0"/>
          <w:marTop w:val="0"/>
          <w:marBottom w:val="0"/>
          <w:divBdr>
            <w:top w:val="none" w:sz="0" w:space="0" w:color="auto"/>
            <w:left w:val="none" w:sz="0" w:space="0" w:color="auto"/>
            <w:bottom w:val="none" w:sz="0" w:space="0" w:color="auto"/>
            <w:right w:val="none" w:sz="0" w:space="0" w:color="auto"/>
          </w:divBdr>
        </w:div>
      </w:divsChild>
    </w:div>
    <w:div w:id="134875652">
      <w:bodyDiv w:val="1"/>
      <w:marLeft w:val="0"/>
      <w:marRight w:val="0"/>
      <w:marTop w:val="0"/>
      <w:marBottom w:val="0"/>
      <w:divBdr>
        <w:top w:val="none" w:sz="0" w:space="0" w:color="auto"/>
        <w:left w:val="none" w:sz="0" w:space="0" w:color="auto"/>
        <w:bottom w:val="none" w:sz="0" w:space="0" w:color="auto"/>
        <w:right w:val="none" w:sz="0" w:space="0" w:color="auto"/>
      </w:divBdr>
      <w:divsChild>
        <w:div w:id="1131165910">
          <w:marLeft w:val="0"/>
          <w:marRight w:val="0"/>
          <w:marTop w:val="0"/>
          <w:marBottom w:val="0"/>
          <w:divBdr>
            <w:top w:val="none" w:sz="0" w:space="0" w:color="auto"/>
            <w:left w:val="none" w:sz="0" w:space="0" w:color="auto"/>
            <w:bottom w:val="none" w:sz="0" w:space="0" w:color="auto"/>
            <w:right w:val="none" w:sz="0" w:space="0" w:color="auto"/>
          </w:divBdr>
        </w:div>
      </w:divsChild>
    </w:div>
    <w:div w:id="139273440">
      <w:bodyDiv w:val="1"/>
      <w:marLeft w:val="0"/>
      <w:marRight w:val="0"/>
      <w:marTop w:val="0"/>
      <w:marBottom w:val="0"/>
      <w:divBdr>
        <w:top w:val="none" w:sz="0" w:space="0" w:color="auto"/>
        <w:left w:val="none" w:sz="0" w:space="0" w:color="auto"/>
        <w:bottom w:val="none" w:sz="0" w:space="0" w:color="auto"/>
        <w:right w:val="none" w:sz="0" w:space="0" w:color="auto"/>
      </w:divBdr>
    </w:div>
    <w:div w:id="150412899">
      <w:bodyDiv w:val="1"/>
      <w:marLeft w:val="0"/>
      <w:marRight w:val="0"/>
      <w:marTop w:val="0"/>
      <w:marBottom w:val="0"/>
      <w:divBdr>
        <w:top w:val="none" w:sz="0" w:space="0" w:color="auto"/>
        <w:left w:val="none" w:sz="0" w:space="0" w:color="auto"/>
        <w:bottom w:val="none" w:sz="0" w:space="0" w:color="auto"/>
        <w:right w:val="none" w:sz="0" w:space="0" w:color="auto"/>
      </w:divBdr>
    </w:div>
    <w:div w:id="153959295">
      <w:bodyDiv w:val="1"/>
      <w:marLeft w:val="0"/>
      <w:marRight w:val="0"/>
      <w:marTop w:val="0"/>
      <w:marBottom w:val="0"/>
      <w:divBdr>
        <w:top w:val="none" w:sz="0" w:space="0" w:color="auto"/>
        <w:left w:val="none" w:sz="0" w:space="0" w:color="auto"/>
        <w:bottom w:val="none" w:sz="0" w:space="0" w:color="auto"/>
        <w:right w:val="none" w:sz="0" w:space="0" w:color="auto"/>
      </w:divBdr>
      <w:divsChild>
        <w:div w:id="1123382554">
          <w:marLeft w:val="0"/>
          <w:marRight w:val="0"/>
          <w:marTop w:val="0"/>
          <w:marBottom w:val="0"/>
          <w:divBdr>
            <w:top w:val="none" w:sz="0" w:space="0" w:color="auto"/>
            <w:left w:val="none" w:sz="0" w:space="0" w:color="auto"/>
            <w:bottom w:val="none" w:sz="0" w:space="0" w:color="auto"/>
            <w:right w:val="none" w:sz="0" w:space="0" w:color="auto"/>
          </w:divBdr>
        </w:div>
      </w:divsChild>
    </w:div>
    <w:div w:id="162938848">
      <w:bodyDiv w:val="1"/>
      <w:marLeft w:val="0"/>
      <w:marRight w:val="0"/>
      <w:marTop w:val="0"/>
      <w:marBottom w:val="0"/>
      <w:divBdr>
        <w:top w:val="none" w:sz="0" w:space="0" w:color="auto"/>
        <w:left w:val="none" w:sz="0" w:space="0" w:color="auto"/>
        <w:bottom w:val="none" w:sz="0" w:space="0" w:color="auto"/>
        <w:right w:val="none" w:sz="0" w:space="0" w:color="auto"/>
      </w:divBdr>
      <w:divsChild>
        <w:div w:id="165096017">
          <w:marLeft w:val="0"/>
          <w:marRight w:val="0"/>
          <w:marTop w:val="0"/>
          <w:marBottom w:val="0"/>
          <w:divBdr>
            <w:top w:val="none" w:sz="0" w:space="0" w:color="auto"/>
            <w:left w:val="none" w:sz="0" w:space="0" w:color="auto"/>
            <w:bottom w:val="none" w:sz="0" w:space="0" w:color="auto"/>
            <w:right w:val="none" w:sz="0" w:space="0" w:color="auto"/>
          </w:divBdr>
        </w:div>
      </w:divsChild>
    </w:div>
    <w:div w:id="164129898">
      <w:bodyDiv w:val="1"/>
      <w:marLeft w:val="0"/>
      <w:marRight w:val="0"/>
      <w:marTop w:val="0"/>
      <w:marBottom w:val="0"/>
      <w:divBdr>
        <w:top w:val="none" w:sz="0" w:space="0" w:color="auto"/>
        <w:left w:val="none" w:sz="0" w:space="0" w:color="auto"/>
        <w:bottom w:val="none" w:sz="0" w:space="0" w:color="auto"/>
        <w:right w:val="none" w:sz="0" w:space="0" w:color="auto"/>
      </w:divBdr>
    </w:div>
    <w:div w:id="164783831">
      <w:bodyDiv w:val="1"/>
      <w:marLeft w:val="0"/>
      <w:marRight w:val="0"/>
      <w:marTop w:val="0"/>
      <w:marBottom w:val="0"/>
      <w:divBdr>
        <w:top w:val="none" w:sz="0" w:space="0" w:color="auto"/>
        <w:left w:val="none" w:sz="0" w:space="0" w:color="auto"/>
        <w:bottom w:val="none" w:sz="0" w:space="0" w:color="auto"/>
        <w:right w:val="none" w:sz="0" w:space="0" w:color="auto"/>
      </w:divBdr>
    </w:div>
    <w:div w:id="179900088">
      <w:bodyDiv w:val="1"/>
      <w:marLeft w:val="0"/>
      <w:marRight w:val="0"/>
      <w:marTop w:val="0"/>
      <w:marBottom w:val="0"/>
      <w:divBdr>
        <w:top w:val="none" w:sz="0" w:space="0" w:color="auto"/>
        <w:left w:val="none" w:sz="0" w:space="0" w:color="auto"/>
        <w:bottom w:val="none" w:sz="0" w:space="0" w:color="auto"/>
        <w:right w:val="none" w:sz="0" w:space="0" w:color="auto"/>
      </w:divBdr>
    </w:div>
    <w:div w:id="181477460">
      <w:bodyDiv w:val="1"/>
      <w:marLeft w:val="0"/>
      <w:marRight w:val="0"/>
      <w:marTop w:val="0"/>
      <w:marBottom w:val="0"/>
      <w:divBdr>
        <w:top w:val="none" w:sz="0" w:space="0" w:color="auto"/>
        <w:left w:val="none" w:sz="0" w:space="0" w:color="auto"/>
        <w:bottom w:val="none" w:sz="0" w:space="0" w:color="auto"/>
        <w:right w:val="none" w:sz="0" w:space="0" w:color="auto"/>
      </w:divBdr>
    </w:div>
    <w:div w:id="182256714">
      <w:bodyDiv w:val="1"/>
      <w:marLeft w:val="0"/>
      <w:marRight w:val="0"/>
      <w:marTop w:val="0"/>
      <w:marBottom w:val="0"/>
      <w:divBdr>
        <w:top w:val="none" w:sz="0" w:space="0" w:color="auto"/>
        <w:left w:val="none" w:sz="0" w:space="0" w:color="auto"/>
        <w:bottom w:val="none" w:sz="0" w:space="0" w:color="auto"/>
        <w:right w:val="none" w:sz="0" w:space="0" w:color="auto"/>
      </w:divBdr>
    </w:div>
    <w:div w:id="182717188">
      <w:bodyDiv w:val="1"/>
      <w:marLeft w:val="0"/>
      <w:marRight w:val="0"/>
      <w:marTop w:val="0"/>
      <w:marBottom w:val="0"/>
      <w:divBdr>
        <w:top w:val="none" w:sz="0" w:space="0" w:color="auto"/>
        <w:left w:val="none" w:sz="0" w:space="0" w:color="auto"/>
        <w:bottom w:val="none" w:sz="0" w:space="0" w:color="auto"/>
        <w:right w:val="none" w:sz="0" w:space="0" w:color="auto"/>
      </w:divBdr>
      <w:divsChild>
        <w:div w:id="702286235">
          <w:marLeft w:val="0"/>
          <w:marRight w:val="0"/>
          <w:marTop w:val="0"/>
          <w:marBottom w:val="0"/>
          <w:divBdr>
            <w:top w:val="none" w:sz="0" w:space="0" w:color="auto"/>
            <w:left w:val="none" w:sz="0" w:space="0" w:color="auto"/>
            <w:bottom w:val="none" w:sz="0" w:space="0" w:color="auto"/>
            <w:right w:val="none" w:sz="0" w:space="0" w:color="auto"/>
          </w:divBdr>
        </w:div>
      </w:divsChild>
    </w:div>
    <w:div w:id="186600644">
      <w:bodyDiv w:val="1"/>
      <w:marLeft w:val="0"/>
      <w:marRight w:val="0"/>
      <w:marTop w:val="0"/>
      <w:marBottom w:val="0"/>
      <w:divBdr>
        <w:top w:val="none" w:sz="0" w:space="0" w:color="auto"/>
        <w:left w:val="none" w:sz="0" w:space="0" w:color="auto"/>
        <w:bottom w:val="none" w:sz="0" w:space="0" w:color="auto"/>
        <w:right w:val="none" w:sz="0" w:space="0" w:color="auto"/>
      </w:divBdr>
      <w:divsChild>
        <w:div w:id="352652052">
          <w:marLeft w:val="0"/>
          <w:marRight w:val="0"/>
          <w:marTop w:val="0"/>
          <w:marBottom w:val="0"/>
          <w:divBdr>
            <w:top w:val="none" w:sz="0" w:space="0" w:color="auto"/>
            <w:left w:val="none" w:sz="0" w:space="0" w:color="auto"/>
            <w:bottom w:val="none" w:sz="0" w:space="0" w:color="auto"/>
            <w:right w:val="none" w:sz="0" w:space="0" w:color="auto"/>
          </w:divBdr>
        </w:div>
      </w:divsChild>
    </w:div>
    <w:div w:id="186919085">
      <w:bodyDiv w:val="1"/>
      <w:marLeft w:val="0"/>
      <w:marRight w:val="0"/>
      <w:marTop w:val="0"/>
      <w:marBottom w:val="0"/>
      <w:divBdr>
        <w:top w:val="none" w:sz="0" w:space="0" w:color="auto"/>
        <w:left w:val="none" w:sz="0" w:space="0" w:color="auto"/>
        <w:bottom w:val="none" w:sz="0" w:space="0" w:color="auto"/>
        <w:right w:val="none" w:sz="0" w:space="0" w:color="auto"/>
      </w:divBdr>
      <w:divsChild>
        <w:div w:id="1164856899">
          <w:marLeft w:val="0"/>
          <w:marRight w:val="0"/>
          <w:marTop w:val="0"/>
          <w:marBottom w:val="0"/>
          <w:divBdr>
            <w:top w:val="none" w:sz="0" w:space="0" w:color="auto"/>
            <w:left w:val="none" w:sz="0" w:space="0" w:color="auto"/>
            <w:bottom w:val="none" w:sz="0" w:space="0" w:color="auto"/>
            <w:right w:val="none" w:sz="0" w:space="0" w:color="auto"/>
          </w:divBdr>
        </w:div>
      </w:divsChild>
    </w:div>
    <w:div w:id="191500936">
      <w:marLeft w:val="0"/>
      <w:marRight w:val="0"/>
      <w:marTop w:val="0"/>
      <w:marBottom w:val="0"/>
      <w:divBdr>
        <w:top w:val="none" w:sz="0" w:space="0" w:color="auto"/>
        <w:left w:val="none" w:sz="0" w:space="0" w:color="auto"/>
        <w:bottom w:val="none" w:sz="0" w:space="0" w:color="auto"/>
        <w:right w:val="none" w:sz="0" w:space="0" w:color="auto"/>
      </w:divBdr>
      <w:divsChild>
        <w:div w:id="706490348">
          <w:marLeft w:val="0"/>
          <w:marRight w:val="0"/>
          <w:marTop w:val="0"/>
          <w:marBottom w:val="0"/>
          <w:divBdr>
            <w:top w:val="none" w:sz="0" w:space="0" w:color="auto"/>
            <w:left w:val="none" w:sz="0" w:space="0" w:color="auto"/>
            <w:bottom w:val="none" w:sz="0" w:space="0" w:color="auto"/>
            <w:right w:val="none" w:sz="0" w:space="0" w:color="auto"/>
          </w:divBdr>
        </w:div>
      </w:divsChild>
    </w:div>
    <w:div w:id="194779392">
      <w:marLeft w:val="0"/>
      <w:marRight w:val="0"/>
      <w:marTop w:val="0"/>
      <w:marBottom w:val="0"/>
      <w:divBdr>
        <w:top w:val="none" w:sz="0" w:space="0" w:color="auto"/>
        <w:left w:val="none" w:sz="0" w:space="0" w:color="auto"/>
        <w:bottom w:val="none" w:sz="0" w:space="0" w:color="auto"/>
        <w:right w:val="none" w:sz="0" w:space="0" w:color="auto"/>
      </w:divBdr>
      <w:divsChild>
        <w:div w:id="1484926846">
          <w:marLeft w:val="0"/>
          <w:marRight w:val="0"/>
          <w:marTop w:val="0"/>
          <w:marBottom w:val="0"/>
          <w:divBdr>
            <w:top w:val="none" w:sz="0" w:space="0" w:color="auto"/>
            <w:left w:val="none" w:sz="0" w:space="0" w:color="auto"/>
            <w:bottom w:val="none" w:sz="0" w:space="0" w:color="auto"/>
            <w:right w:val="none" w:sz="0" w:space="0" w:color="auto"/>
          </w:divBdr>
        </w:div>
      </w:divsChild>
    </w:div>
    <w:div w:id="198204951">
      <w:bodyDiv w:val="1"/>
      <w:marLeft w:val="0"/>
      <w:marRight w:val="0"/>
      <w:marTop w:val="0"/>
      <w:marBottom w:val="0"/>
      <w:divBdr>
        <w:top w:val="none" w:sz="0" w:space="0" w:color="auto"/>
        <w:left w:val="none" w:sz="0" w:space="0" w:color="auto"/>
        <w:bottom w:val="none" w:sz="0" w:space="0" w:color="auto"/>
        <w:right w:val="none" w:sz="0" w:space="0" w:color="auto"/>
      </w:divBdr>
    </w:div>
    <w:div w:id="199632511">
      <w:marLeft w:val="0"/>
      <w:marRight w:val="0"/>
      <w:marTop w:val="0"/>
      <w:marBottom w:val="0"/>
      <w:divBdr>
        <w:top w:val="none" w:sz="0" w:space="0" w:color="auto"/>
        <w:left w:val="none" w:sz="0" w:space="0" w:color="auto"/>
        <w:bottom w:val="none" w:sz="0" w:space="0" w:color="auto"/>
        <w:right w:val="none" w:sz="0" w:space="0" w:color="auto"/>
      </w:divBdr>
      <w:divsChild>
        <w:div w:id="882986590">
          <w:marLeft w:val="0"/>
          <w:marRight w:val="0"/>
          <w:marTop w:val="0"/>
          <w:marBottom w:val="0"/>
          <w:divBdr>
            <w:top w:val="none" w:sz="0" w:space="0" w:color="auto"/>
            <w:left w:val="none" w:sz="0" w:space="0" w:color="auto"/>
            <w:bottom w:val="none" w:sz="0" w:space="0" w:color="auto"/>
            <w:right w:val="none" w:sz="0" w:space="0" w:color="auto"/>
          </w:divBdr>
        </w:div>
      </w:divsChild>
    </w:div>
    <w:div w:id="202064945">
      <w:bodyDiv w:val="1"/>
      <w:marLeft w:val="0"/>
      <w:marRight w:val="0"/>
      <w:marTop w:val="0"/>
      <w:marBottom w:val="0"/>
      <w:divBdr>
        <w:top w:val="none" w:sz="0" w:space="0" w:color="auto"/>
        <w:left w:val="none" w:sz="0" w:space="0" w:color="auto"/>
        <w:bottom w:val="none" w:sz="0" w:space="0" w:color="auto"/>
        <w:right w:val="none" w:sz="0" w:space="0" w:color="auto"/>
      </w:divBdr>
      <w:divsChild>
        <w:div w:id="1844516068">
          <w:marLeft w:val="0"/>
          <w:marRight w:val="0"/>
          <w:marTop w:val="0"/>
          <w:marBottom w:val="0"/>
          <w:divBdr>
            <w:top w:val="none" w:sz="0" w:space="0" w:color="auto"/>
            <w:left w:val="none" w:sz="0" w:space="0" w:color="auto"/>
            <w:bottom w:val="none" w:sz="0" w:space="0" w:color="auto"/>
            <w:right w:val="none" w:sz="0" w:space="0" w:color="auto"/>
          </w:divBdr>
        </w:div>
      </w:divsChild>
    </w:div>
    <w:div w:id="205140879">
      <w:bodyDiv w:val="1"/>
      <w:marLeft w:val="0"/>
      <w:marRight w:val="0"/>
      <w:marTop w:val="0"/>
      <w:marBottom w:val="0"/>
      <w:divBdr>
        <w:top w:val="none" w:sz="0" w:space="0" w:color="auto"/>
        <w:left w:val="none" w:sz="0" w:space="0" w:color="auto"/>
        <w:bottom w:val="none" w:sz="0" w:space="0" w:color="auto"/>
        <w:right w:val="none" w:sz="0" w:space="0" w:color="auto"/>
      </w:divBdr>
    </w:div>
    <w:div w:id="231426970">
      <w:bodyDiv w:val="1"/>
      <w:marLeft w:val="0"/>
      <w:marRight w:val="0"/>
      <w:marTop w:val="0"/>
      <w:marBottom w:val="0"/>
      <w:divBdr>
        <w:top w:val="none" w:sz="0" w:space="0" w:color="auto"/>
        <w:left w:val="none" w:sz="0" w:space="0" w:color="auto"/>
        <w:bottom w:val="none" w:sz="0" w:space="0" w:color="auto"/>
        <w:right w:val="none" w:sz="0" w:space="0" w:color="auto"/>
      </w:divBdr>
    </w:div>
    <w:div w:id="235476917">
      <w:marLeft w:val="0"/>
      <w:marRight w:val="0"/>
      <w:marTop w:val="0"/>
      <w:marBottom w:val="0"/>
      <w:divBdr>
        <w:top w:val="none" w:sz="0" w:space="0" w:color="auto"/>
        <w:left w:val="none" w:sz="0" w:space="0" w:color="auto"/>
        <w:bottom w:val="none" w:sz="0" w:space="0" w:color="auto"/>
        <w:right w:val="none" w:sz="0" w:space="0" w:color="auto"/>
      </w:divBdr>
      <w:divsChild>
        <w:div w:id="1488204303">
          <w:marLeft w:val="0"/>
          <w:marRight w:val="0"/>
          <w:marTop w:val="0"/>
          <w:marBottom w:val="0"/>
          <w:divBdr>
            <w:top w:val="none" w:sz="0" w:space="0" w:color="auto"/>
            <w:left w:val="none" w:sz="0" w:space="0" w:color="auto"/>
            <w:bottom w:val="none" w:sz="0" w:space="0" w:color="auto"/>
            <w:right w:val="none" w:sz="0" w:space="0" w:color="auto"/>
          </w:divBdr>
        </w:div>
      </w:divsChild>
    </w:div>
    <w:div w:id="240867676">
      <w:bodyDiv w:val="1"/>
      <w:marLeft w:val="0"/>
      <w:marRight w:val="0"/>
      <w:marTop w:val="0"/>
      <w:marBottom w:val="0"/>
      <w:divBdr>
        <w:top w:val="none" w:sz="0" w:space="0" w:color="auto"/>
        <w:left w:val="none" w:sz="0" w:space="0" w:color="auto"/>
        <w:bottom w:val="none" w:sz="0" w:space="0" w:color="auto"/>
        <w:right w:val="none" w:sz="0" w:space="0" w:color="auto"/>
      </w:divBdr>
    </w:div>
    <w:div w:id="248662041">
      <w:marLeft w:val="0"/>
      <w:marRight w:val="0"/>
      <w:marTop w:val="0"/>
      <w:marBottom w:val="0"/>
      <w:divBdr>
        <w:top w:val="none" w:sz="0" w:space="0" w:color="auto"/>
        <w:left w:val="none" w:sz="0" w:space="0" w:color="auto"/>
        <w:bottom w:val="none" w:sz="0" w:space="0" w:color="auto"/>
        <w:right w:val="none" w:sz="0" w:space="0" w:color="auto"/>
      </w:divBdr>
      <w:divsChild>
        <w:div w:id="1195650565">
          <w:marLeft w:val="0"/>
          <w:marRight w:val="0"/>
          <w:marTop w:val="0"/>
          <w:marBottom w:val="0"/>
          <w:divBdr>
            <w:top w:val="none" w:sz="0" w:space="0" w:color="auto"/>
            <w:left w:val="none" w:sz="0" w:space="0" w:color="auto"/>
            <w:bottom w:val="none" w:sz="0" w:space="0" w:color="auto"/>
            <w:right w:val="none" w:sz="0" w:space="0" w:color="auto"/>
          </w:divBdr>
        </w:div>
      </w:divsChild>
    </w:div>
    <w:div w:id="252905808">
      <w:bodyDiv w:val="1"/>
      <w:marLeft w:val="0"/>
      <w:marRight w:val="0"/>
      <w:marTop w:val="0"/>
      <w:marBottom w:val="0"/>
      <w:divBdr>
        <w:top w:val="none" w:sz="0" w:space="0" w:color="auto"/>
        <w:left w:val="none" w:sz="0" w:space="0" w:color="auto"/>
        <w:bottom w:val="none" w:sz="0" w:space="0" w:color="auto"/>
        <w:right w:val="none" w:sz="0" w:space="0" w:color="auto"/>
      </w:divBdr>
      <w:divsChild>
        <w:div w:id="1944804302">
          <w:marLeft w:val="0"/>
          <w:marRight w:val="0"/>
          <w:marTop w:val="0"/>
          <w:marBottom w:val="0"/>
          <w:divBdr>
            <w:top w:val="none" w:sz="0" w:space="0" w:color="auto"/>
            <w:left w:val="none" w:sz="0" w:space="0" w:color="auto"/>
            <w:bottom w:val="none" w:sz="0" w:space="0" w:color="auto"/>
            <w:right w:val="none" w:sz="0" w:space="0" w:color="auto"/>
          </w:divBdr>
        </w:div>
      </w:divsChild>
    </w:div>
    <w:div w:id="261181173">
      <w:bodyDiv w:val="1"/>
      <w:marLeft w:val="0"/>
      <w:marRight w:val="0"/>
      <w:marTop w:val="0"/>
      <w:marBottom w:val="0"/>
      <w:divBdr>
        <w:top w:val="none" w:sz="0" w:space="0" w:color="auto"/>
        <w:left w:val="none" w:sz="0" w:space="0" w:color="auto"/>
        <w:bottom w:val="none" w:sz="0" w:space="0" w:color="auto"/>
        <w:right w:val="none" w:sz="0" w:space="0" w:color="auto"/>
      </w:divBdr>
    </w:div>
    <w:div w:id="261645387">
      <w:marLeft w:val="0"/>
      <w:marRight w:val="0"/>
      <w:marTop w:val="0"/>
      <w:marBottom w:val="0"/>
      <w:divBdr>
        <w:top w:val="none" w:sz="0" w:space="0" w:color="auto"/>
        <w:left w:val="none" w:sz="0" w:space="0" w:color="auto"/>
        <w:bottom w:val="none" w:sz="0" w:space="0" w:color="auto"/>
        <w:right w:val="none" w:sz="0" w:space="0" w:color="auto"/>
      </w:divBdr>
      <w:divsChild>
        <w:div w:id="616833677">
          <w:marLeft w:val="0"/>
          <w:marRight w:val="0"/>
          <w:marTop w:val="0"/>
          <w:marBottom w:val="0"/>
          <w:divBdr>
            <w:top w:val="none" w:sz="0" w:space="0" w:color="auto"/>
            <w:left w:val="none" w:sz="0" w:space="0" w:color="auto"/>
            <w:bottom w:val="none" w:sz="0" w:space="0" w:color="auto"/>
            <w:right w:val="none" w:sz="0" w:space="0" w:color="auto"/>
          </w:divBdr>
        </w:div>
      </w:divsChild>
    </w:div>
    <w:div w:id="273100100">
      <w:bodyDiv w:val="1"/>
      <w:marLeft w:val="0"/>
      <w:marRight w:val="0"/>
      <w:marTop w:val="0"/>
      <w:marBottom w:val="0"/>
      <w:divBdr>
        <w:top w:val="none" w:sz="0" w:space="0" w:color="auto"/>
        <w:left w:val="none" w:sz="0" w:space="0" w:color="auto"/>
        <w:bottom w:val="none" w:sz="0" w:space="0" w:color="auto"/>
        <w:right w:val="none" w:sz="0" w:space="0" w:color="auto"/>
      </w:divBdr>
    </w:div>
    <w:div w:id="274560125">
      <w:bodyDiv w:val="1"/>
      <w:marLeft w:val="0"/>
      <w:marRight w:val="0"/>
      <w:marTop w:val="0"/>
      <w:marBottom w:val="0"/>
      <w:divBdr>
        <w:top w:val="none" w:sz="0" w:space="0" w:color="auto"/>
        <w:left w:val="none" w:sz="0" w:space="0" w:color="auto"/>
        <w:bottom w:val="none" w:sz="0" w:space="0" w:color="auto"/>
        <w:right w:val="none" w:sz="0" w:space="0" w:color="auto"/>
      </w:divBdr>
    </w:div>
    <w:div w:id="275718751">
      <w:bodyDiv w:val="1"/>
      <w:marLeft w:val="0"/>
      <w:marRight w:val="0"/>
      <w:marTop w:val="0"/>
      <w:marBottom w:val="0"/>
      <w:divBdr>
        <w:top w:val="none" w:sz="0" w:space="0" w:color="auto"/>
        <w:left w:val="none" w:sz="0" w:space="0" w:color="auto"/>
        <w:bottom w:val="none" w:sz="0" w:space="0" w:color="auto"/>
        <w:right w:val="none" w:sz="0" w:space="0" w:color="auto"/>
      </w:divBdr>
      <w:divsChild>
        <w:div w:id="945817858">
          <w:marLeft w:val="0"/>
          <w:marRight w:val="0"/>
          <w:marTop w:val="0"/>
          <w:marBottom w:val="0"/>
          <w:divBdr>
            <w:top w:val="none" w:sz="0" w:space="0" w:color="auto"/>
            <w:left w:val="none" w:sz="0" w:space="0" w:color="auto"/>
            <w:bottom w:val="none" w:sz="0" w:space="0" w:color="auto"/>
            <w:right w:val="none" w:sz="0" w:space="0" w:color="auto"/>
          </w:divBdr>
        </w:div>
      </w:divsChild>
    </w:div>
    <w:div w:id="277294736">
      <w:bodyDiv w:val="1"/>
      <w:marLeft w:val="0"/>
      <w:marRight w:val="0"/>
      <w:marTop w:val="0"/>
      <w:marBottom w:val="0"/>
      <w:divBdr>
        <w:top w:val="none" w:sz="0" w:space="0" w:color="auto"/>
        <w:left w:val="none" w:sz="0" w:space="0" w:color="auto"/>
        <w:bottom w:val="none" w:sz="0" w:space="0" w:color="auto"/>
        <w:right w:val="none" w:sz="0" w:space="0" w:color="auto"/>
      </w:divBdr>
    </w:div>
    <w:div w:id="282001691">
      <w:bodyDiv w:val="1"/>
      <w:marLeft w:val="0"/>
      <w:marRight w:val="0"/>
      <w:marTop w:val="0"/>
      <w:marBottom w:val="0"/>
      <w:divBdr>
        <w:top w:val="none" w:sz="0" w:space="0" w:color="auto"/>
        <w:left w:val="none" w:sz="0" w:space="0" w:color="auto"/>
        <w:bottom w:val="none" w:sz="0" w:space="0" w:color="auto"/>
        <w:right w:val="none" w:sz="0" w:space="0" w:color="auto"/>
      </w:divBdr>
    </w:div>
    <w:div w:id="285817018">
      <w:bodyDiv w:val="1"/>
      <w:marLeft w:val="0"/>
      <w:marRight w:val="0"/>
      <w:marTop w:val="0"/>
      <w:marBottom w:val="0"/>
      <w:divBdr>
        <w:top w:val="none" w:sz="0" w:space="0" w:color="auto"/>
        <w:left w:val="none" w:sz="0" w:space="0" w:color="auto"/>
        <w:bottom w:val="none" w:sz="0" w:space="0" w:color="auto"/>
        <w:right w:val="none" w:sz="0" w:space="0" w:color="auto"/>
      </w:divBdr>
    </w:div>
    <w:div w:id="295529896">
      <w:bodyDiv w:val="1"/>
      <w:marLeft w:val="0"/>
      <w:marRight w:val="0"/>
      <w:marTop w:val="0"/>
      <w:marBottom w:val="0"/>
      <w:divBdr>
        <w:top w:val="none" w:sz="0" w:space="0" w:color="auto"/>
        <w:left w:val="none" w:sz="0" w:space="0" w:color="auto"/>
        <w:bottom w:val="none" w:sz="0" w:space="0" w:color="auto"/>
        <w:right w:val="none" w:sz="0" w:space="0" w:color="auto"/>
      </w:divBdr>
      <w:divsChild>
        <w:div w:id="957225145">
          <w:marLeft w:val="0"/>
          <w:marRight w:val="0"/>
          <w:marTop w:val="0"/>
          <w:marBottom w:val="0"/>
          <w:divBdr>
            <w:top w:val="none" w:sz="0" w:space="0" w:color="auto"/>
            <w:left w:val="none" w:sz="0" w:space="0" w:color="auto"/>
            <w:bottom w:val="none" w:sz="0" w:space="0" w:color="auto"/>
            <w:right w:val="none" w:sz="0" w:space="0" w:color="auto"/>
          </w:divBdr>
        </w:div>
      </w:divsChild>
    </w:div>
    <w:div w:id="295651086">
      <w:bodyDiv w:val="1"/>
      <w:marLeft w:val="0"/>
      <w:marRight w:val="0"/>
      <w:marTop w:val="0"/>
      <w:marBottom w:val="0"/>
      <w:divBdr>
        <w:top w:val="none" w:sz="0" w:space="0" w:color="auto"/>
        <w:left w:val="none" w:sz="0" w:space="0" w:color="auto"/>
        <w:bottom w:val="none" w:sz="0" w:space="0" w:color="auto"/>
        <w:right w:val="none" w:sz="0" w:space="0" w:color="auto"/>
      </w:divBdr>
    </w:div>
    <w:div w:id="298654292">
      <w:bodyDiv w:val="1"/>
      <w:marLeft w:val="0"/>
      <w:marRight w:val="0"/>
      <w:marTop w:val="0"/>
      <w:marBottom w:val="0"/>
      <w:divBdr>
        <w:top w:val="none" w:sz="0" w:space="0" w:color="auto"/>
        <w:left w:val="none" w:sz="0" w:space="0" w:color="auto"/>
        <w:bottom w:val="none" w:sz="0" w:space="0" w:color="auto"/>
        <w:right w:val="none" w:sz="0" w:space="0" w:color="auto"/>
      </w:divBdr>
    </w:div>
    <w:div w:id="299309733">
      <w:bodyDiv w:val="1"/>
      <w:marLeft w:val="0"/>
      <w:marRight w:val="0"/>
      <w:marTop w:val="0"/>
      <w:marBottom w:val="0"/>
      <w:divBdr>
        <w:top w:val="none" w:sz="0" w:space="0" w:color="auto"/>
        <w:left w:val="none" w:sz="0" w:space="0" w:color="auto"/>
        <w:bottom w:val="none" w:sz="0" w:space="0" w:color="auto"/>
        <w:right w:val="none" w:sz="0" w:space="0" w:color="auto"/>
      </w:divBdr>
    </w:div>
    <w:div w:id="308949627">
      <w:bodyDiv w:val="1"/>
      <w:marLeft w:val="0"/>
      <w:marRight w:val="0"/>
      <w:marTop w:val="0"/>
      <w:marBottom w:val="0"/>
      <w:divBdr>
        <w:top w:val="none" w:sz="0" w:space="0" w:color="auto"/>
        <w:left w:val="none" w:sz="0" w:space="0" w:color="auto"/>
        <w:bottom w:val="none" w:sz="0" w:space="0" w:color="auto"/>
        <w:right w:val="none" w:sz="0" w:space="0" w:color="auto"/>
      </w:divBdr>
    </w:div>
    <w:div w:id="318506618">
      <w:bodyDiv w:val="1"/>
      <w:marLeft w:val="0"/>
      <w:marRight w:val="0"/>
      <w:marTop w:val="0"/>
      <w:marBottom w:val="0"/>
      <w:divBdr>
        <w:top w:val="none" w:sz="0" w:space="0" w:color="auto"/>
        <w:left w:val="none" w:sz="0" w:space="0" w:color="auto"/>
        <w:bottom w:val="none" w:sz="0" w:space="0" w:color="auto"/>
        <w:right w:val="none" w:sz="0" w:space="0" w:color="auto"/>
      </w:divBdr>
    </w:div>
    <w:div w:id="320087514">
      <w:bodyDiv w:val="1"/>
      <w:marLeft w:val="0"/>
      <w:marRight w:val="0"/>
      <w:marTop w:val="0"/>
      <w:marBottom w:val="0"/>
      <w:divBdr>
        <w:top w:val="none" w:sz="0" w:space="0" w:color="auto"/>
        <w:left w:val="none" w:sz="0" w:space="0" w:color="auto"/>
        <w:bottom w:val="none" w:sz="0" w:space="0" w:color="auto"/>
        <w:right w:val="none" w:sz="0" w:space="0" w:color="auto"/>
      </w:divBdr>
      <w:divsChild>
        <w:div w:id="50660980">
          <w:marLeft w:val="0"/>
          <w:marRight w:val="0"/>
          <w:marTop w:val="0"/>
          <w:marBottom w:val="0"/>
          <w:divBdr>
            <w:top w:val="none" w:sz="0" w:space="0" w:color="auto"/>
            <w:left w:val="none" w:sz="0" w:space="0" w:color="auto"/>
            <w:bottom w:val="none" w:sz="0" w:space="0" w:color="auto"/>
            <w:right w:val="none" w:sz="0" w:space="0" w:color="auto"/>
          </w:divBdr>
        </w:div>
      </w:divsChild>
    </w:div>
    <w:div w:id="321857923">
      <w:bodyDiv w:val="1"/>
      <w:marLeft w:val="0"/>
      <w:marRight w:val="0"/>
      <w:marTop w:val="0"/>
      <w:marBottom w:val="0"/>
      <w:divBdr>
        <w:top w:val="none" w:sz="0" w:space="0" w:color="auto"/>
        <w:left w:val="none" w:sz="0" w:space="0" w:color="auto"/>
        <w:bottom w:val="none" w:sz="0" w:space="0" w:color="auto"/>
        <w:right w:val="none" w:sz="0" w:space="0" w:color="auto"/>
      </w:divBdr>
      <w:divsChild>
        <w:div w:id="290327869">
          <w:marLeft w:val="0"/>
          <w:marRight w:val="0"/>
          <w:marTop w:val="0"/>
          <w:marBottom w:val="0"/>
          <w:divBdr>
            <w:top w:val="none" w:sz="0" w:space="0" w:color="auto"/>
            <w:left w:val="none" w:sz="0" w:space="0" w:color="auto"/>
            <w:bottom w:val="none" w:sz="0" w:space="0" w:color="auto"/>
            <w:right w:val="none" w:sz="0" w:space="0" w:color="auto"/>
          </w:divBdr>
        </w:div>
      </w:divsChild>
    </w:div>
    <w:div w:id="327293464">
      <w:bodyDiv w:val="1"/>
      <w:marLeft w:val="0"/>
      <w:marRight w:val="0"/>
      <w:marTop w:val="0"/>
      <w:marBottom w:val="0"/>
      <w:divBdr>
        <w:top w:val="none" w:sz="0" w:space="0" w:color="auto"/>
        <w:left w:val="none" w:sz="0" w:space="0" w:color="auto"/>
        <w:bottom w:val="none" w:sz="0" w:space="0" w:color="auto"/>
        <w:right w:val="none" w:sz="0" w:space="0" w:color="auto"/>
      </w:divBdr>
    </w:div>
    <w:div w:id="329338195">
      <w:bodyDiv w:val="1"/>
      <w:marLeft w:val="0"/>
      <w:marRight w:val="0"/>
      <w:marTop w:val="0"/>
      <w:marBottom w:val="0"/>
      <w:divBdr>
        <w:top w:val="none" w:sz="0" w:space="0" w:color="auto"/>
        <w:left w:val="none" w:sz="0" w:space="0" w:color="auto"/>
        <w:bottom w:val="none" w:sz="0" w:space="0" w:color="auto"/>
        <w:right w:val="none" w:sz="0" w:space="0" w:color="auto"/>
      </w:divBdr>
      <w:divsChild>
        <w:div w:id="1623415208">
          <w:marLeft w:val="0"/>
          <w:marRight w:val="0"/>
          <w:marTop w:val="0"/>
          <w:marBottom w:val="0"/>
          <w:divBdr>
            <w:top w:val="none" w:sz="0" w:space="0" w:color="auto"/>
            <w:left w:val="none" w:sz="0" w:space="0" w:color="auto"/>
            <w:bottom w:val="none" w:sz="0" w:space="0" w:color="auto"/>
            <w:right w:val="none" w:sz="0" w:space="0" w:color="auto"/>
          </w:divBdr>
        </w:div>
      </w:divsChild>
    </w:div>
    <w:div w:id="331567701">
      <w:bodyDiv w:val="1"/>
      <w:marLeft w:val="0"/>
      <w:marRight w:val="0"/>
      <w:marTop w:val="0"/>
      <w:marBottom w:val="0"/>
      <w:divBdr>
        <w:top w:val="none" w:sz="0" w:space="0" w:color="auto"/>
        <w:left w:val="none" w:sz="0" w:space="0" w:color="auto"/>
        <w:bottom w:val="none" w:sz="0" w:space="0" w:color="auto"/>
        <w:right w:val="none" w:sz="0" w:space="0" w:color="auto"/>
      </w:divBdr>
    </w:div>
    <w:div w:id="335576876">
      <w:bodyDiv w:val="1"/>
      <w:marLeft w:val="0"/>
      <w:marRight w:val="0"/>
      <w:marTop w:val="0"/>
      <w:marBottom w:val="0"/>
      <w:divBdr>
        <w:top w:val="none" w:sz="0" w:space="0" w:color="auto"/>
        <w:left w:val="none" w:sz="0" w:space="0" w:color="auto"/>
        <w:bottom w:val="none" w:sz="0" w:space="0" w:color="auto"/>
        <w:right w:val="none" w:sz="0" w:space="0" w:color="auto"/>
      </w:divBdr>
      <w:divsChild>
        <w:div w:id="1843349016">
          <w:marLeft w:val="0"/>
          <w:marRight w:val="0"/>
          <w:marTop w:val="0"/>
          <w:marBottom w:val="0"/>
          <w:divBdr>
            <w:top w:val="none" w:sz="0" w:space="0" w:color="auto"/>
            <w:left w:val="none" w:sz="0" w:space="0" w:color="auto"/>
            <w:bottom w:val="none" w:sz="0" w:space="0" w:color="auto"/>
            <w:right w:val="none" w:sz="0" w:space="0" w:color="auto"/>
          </w:divBdr>
        </w:div>
      </w:divsChild>
    </w:div>
    <w:div w:id="342322124">
      <w:bodyDiv w:val="1"/>
      <w:marLeft w:val="0"/>
      <w:marRight w:val="0"/>
      <w:marTop w:val="0"/>
      <w:marBottom w:val="0"/>
      <w:divBdr>
        <w:top w:val="none" w:sz="0" w:space="0" w:color="auto"/>
        <w:left w:val="none" w:sz="0" w:space="0" w:color="auto"/>
        <w:bottom w:val="none" w:sz="0" w:space="0" w:color="auto"/>
        <w:right w:val="none" w:sz="0" w:space="0" w:color="auto"/>
      </w:divBdr>
      <w:divsChild>
        <w:div w:id="294337864">
          <w:marLeft w:val="0"/>
          <w:marRight w:val="0"/>
          <w:marTop w:val="0"/>
          <w:marBottom w:val="0"/>
          <w:divBdr>
            <w:top w:val="none" w:sz="0" w:space="0" w:color="auto"/>
            <w:left w:val="none" w:sz="0" w:space="0" w:color="auto"/>
            <w:bottom w:val="none" w:sz="0" w:space="0" w:color="auto"/>
            <w:right w:val="none" w:sz="0" w:space="0" w:color="auto"/>
          </w:divBdr>
        </w:div>
        <w:div w:id="451361276">
          <w:marLeft w:val="0"/>
          <w:marRight w:val="0"/>
          <w:marTop w:val="0"/>
          <w:marBottom w:val="0"/>
          <w:divBdr>
            <w:top w:val="none" w:sz="0" w:space="0" w:color="auto"/>
            <w:left w:val="none" w:sz="0" w:space="0" w:color="auto"/>
            <w:bottom w:val="none" w:sz="0" w:space="0" w:color="auto"/>
            <w:right w:val="none" w:sz="0" w:space="0" w:color="auto"/>
          </w:divBdr>
        </w:div>
        <w:div w:id="1141463794">
          <w:marLeft w:val="0"/>
          <w:marRight w:val="0"/>
          <w:marTop w:val="0"/>
          <w:marBottom w:val="0"/>
          <w:divBdr>
            <w:top w:val="none" w:sz="0" w:space="0" w:color="auto"/>
            <w:left w:val="none" w:sz="0" w:space="0" w:color="auto"/>
            <w:bottom w:val="none" w:sz="0" w:space="0" w:color="auto"/>
            <w:right w:val="none" w:sz="0" w:space="0" w:color="auto"/>
          </w:divBdr>
        </w:div>
        <w:div w:id="1556044925">
          <w:marLeft w:val="0"/>
          <w:marRight w:val="0"/>
          <w:marTop w:val="0"/>
          <w:marBottom w:val="0"/>
          <w:divBdr>
            <w:top w:val="none" w:sz="0" w:space="0" w:color="auto"/>
            <w:left w:val="none" w:sz="0" w:space="0" w:color="auto"/>
            <w:bottom w:val="none" w:sz="0" w:space="0" w:color="auto"/>
            <w:right w:val="none" w:sz="0" w:space="0" w:color="auto"/>
          </w:divBdr>
        </w:div>
        <w:div w:id="2111460841">
          <w:marLeft w:val="0"/>
          <w:marRight w:val="0"/>
          <w:marTop w:val="0"/>
          <w:marBottom w:val="0"/>
          <w:divBdr>
            <w:top w:val="none" w:sz="0" w:space="0" w:color="auto"/>
            <w:left w:val="none" w:sz="0" w:space="0" w:color="auto"/>
            <w:bottom w:val="none" w:sz="0" w:space="0" w:color="auto"/>
            <w:right w:val="none" w:sz="0" w:space="0" w:color="auto"/>
          </w:divBdr>
        </w:div>
      </w:divsChild>
    </w:div>
    <w:div w:id="342322319">
      <w:bodyDiv w:val="1"/>
      <w:marLeft w:val="0"/>
      <w:marRight w:val="0"/>
      <w:marTop w:val="0"/>
      <w:marBottom w:val="0"/>
      <w:divBdr>
        <w:top w:val="none" w:sz="0" w:space="0" w:color="auto"/>
        <w:left w:val="none" w:sz="0" w:space="0" w:color="auto"/>
        <w:bottom w:val="none" w:sz="0" w:space="0" w:color="auto"/>
        <w:right w:val="none" w:sz="0" w:space="0" w:color="auto"/>
      </w:divBdr>
      <w:divsChild>
        <w:div w:id="35664233">
          <w:marLeft w:val="0"/>
          <w:marRight w:val="0"/>
          <w:marTop w:val="0"/>
          <w:marBottom w:val="0"/>
          <w:divBdr>
            <w:top w:val="none" w:sz="0" w:space="0" w:color="auto"/>
            <w:left w:val="none" w:sz="0" w:space="0" w:color="auto"/>
            <w:bottom w:val="none" w:sz="0" w:space="0" w:color="auto"/>
            <w:right w:val="none" w:sz="0" w:space="0" w:color="auto"/>
          </w:divBdr>
        </w:div>
      </w:divsChild>
    </w:div>
    <w:div w:id="347563163">
      <w:bodyDiv w:val="1"/>
      <w:marLeft w:val="0"/>
      <w:marRight w:val="0"/>
      <w:marTop w:val="0"/>
      <w:marBottom w:val="0"/>
      <w:divBdr>
        <w:top w:val="none" w:sz="0" w:space="0" w:color="auto"/>
        <w:left w:val="none" w:sz="0" w:space="0" w:color="auto"/>
        <w:bottom w:val="none" w:sz="0" w:space="0" w:color="auto"/>
        <w:right w:val="none" w:sz="0" w:space="0" w:color="auto"/>
      </w:divBdr>
    </w:div>
    <w:div w:id="360980887">
      <w:bodyDiv w:val="1"/>
      <w:marLeft w:val="0"/>
      <w:marRight w:val="0"/>
      <w:marTop w:val="0"/>
      <w:marBottom w:val="0"/>
      <w:divBdr>
        <w:top w:val="none" w:sz="0" w:space="0" w:color="auto"/>
        <w:left w:val="none" w:sz="0" w:space="0" w:color="auto"/>
        <w:bottom w:val="none" w:sz="0" w:space="0" w:color="auto"/>
        <w:right w:val="none" w:sz="0" w:space="0" w:color="auto"/>
      </w:divBdr>
      <w:divsChild>
        <w:div w:id="1656688955">
          <w:marLeft w:val="0"/>
          <w:marRight w:val="0"/>
          <w:marTop w:val="0"/>
          <w:marBottom w:val="0"/>
          <w:divBdr>
            <w:top w:val="none" w:sz="0" w:space="0" w:color="auto"/>
            <w:left w:val="none" w:sz="0" w:space="0" w:color="auto"/>
            <w:bottom w:val="none" w:sz="0" w:space="0" w:color="auto"/>
            <w:right w:val="none" w:sz="0" w:space="0" w:color="auto"/>
          </w:divBdr>
          <w:divsChild>
            <w:div w:id="349529311">
              <w:marLeft w:val="0"/>
              <w:marRight w:val="0"/>
              <w:marTop w:val="0"/>
              <w:marBottom w:val="0"/>
              <w:divBdr>
                <w:top w:val="none" w:sz="0" w:space="0" w:color="auto"/>
                <w:left w:val="none" w:sz="0" w:space="0" w:color="auto"/>
                <w:bottom w:val="none" w:sz="0" w:space="0" w:color="auto"/>
                <w:right w:val="none" w:sz="0" w:space="0" w:color="auto"/>
              </w:divBdr>
              <w:divsChild>
                <w:div w:id="1865555447">
                  <w:marLeft w:val="0"/>
                  <w:marRight w:val="0"/>
                  <w:marTop w:val="0"/>
                  <w:marBottom w:val="0"/>
                  <w:divBdr>
                    <w:top w:val="none" w:sz="0" w:space="0" w:color="auto"/>
                    <w:left w:val="none" w:sz="0" w:space="0" w:color="auto"/>
                    <w:bottom w:val="none" w:sz="0" w:space="0" w:color="auto"/>
                    <w:right w:val="none" w:sz="0" w:space="0" w:color="auto"/>
                  </w:divBdr>
                  <w:divsChild>
                    <w:div w:id="1338116390">
                      <w:marLeft w:val="0"/>
                      <w:marRight w:val="0"/>
                      <w:marTop w:val="0"/>
                      <w:marBottom w:val="0"/>
                      <w:divBdr>
                        <w:top w:val="none" w:sz="0" w:space="0" w:color="auto"/>
                        <w:left w:val="none" w:sz="0" w:space="0" w:color="auto"/>
                        <w:bottom w:val="none" w:sz="0" w:space="0" w:color="auto"/>
                        <w:right w:val="none" w:sz="0" w:space="0" w:color="auto"/>
                      </w:divBdr>
                      <w:divsChild>
                        <w:div w:id="539317956">
                          <w:marLeft w:val="0"/>
                          <w:marRight w:val="0"/>
                          <w:marTop w:val="0"/>
                          <w:marBottom w:val="0"/>
                          <w:divBdr>
                            <w:top w:val="none" w:sz="0" w:space="0" w:color="auto"/>
                            <w:left w:val="none" w:sz="0" w:space="0" w:color="auto"/>
                            <w:bottom w:val="none" w:sz="0" w:space="0" w:color="auto"/>
                            <w:right w:val="none" w:sz="0" w:space="0" w:color="auto"/>
                          </w:divBdr>
                          <w:divsChild>
                            <w:div w:id="1714191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62364634">
      <w:bodyDiv w:val="1"/>
      <w:marLeft w:val="0"/>
      <w:marRight w:val="0"/>
      <w:marTop w:val="0"/>
      <w:marBottom w:val="0"/>
      <w:divBdr>
        <w:top w:val="none" w:sz="0" w:space="0" w:color="auto"/>
        <w:left w:val="none" w:sz="0" w:space="0" w:color="auto"/>
        <w:bottom w:val="none" w:sz="0" w:space="0" w:color="auto"/>
        <w:right w:val="none" w:sz="0" w:space="0" w:color="auto"/>
      </w:divBdr>
      <w:divsChild>
        <w:div w:id="1391614703">
          <w:marLeft w:val="0"/>
          <w:marRight w:val="0"/>
          <w:marTop w:val="0"/>
          <w:marBottom w:val="0"/>
          <w:divBdr>
            <w:top w:val="none" w:sz="0" w:space="0" w:color="auto"/>
            <w:left w:val="none" w:sz="0" w:space="0" w:color="auto"/>
            <w:bottom w:val="none" w:sz="0" w:space="0" w:color="auto"/>
            <w:right w:val="none" w:sz="0" w:space="0" w:color="auto"/>
          </w:divBdr>
        </w:div>
      </w:divsChild>
    </w:div>
    <w:div w:id="369497747">
      <w:bodyDiv w:val="1"/>
      <w:marLeft w:val="0"/>
      <w:marRight w:val="0"/>
      <w:marTop w:val="0"/>
      <w:marBottom w:val="0"/>
      <w:divBdr>
        <w:top w:val="none" w:sz="0" w:space="0" w:color="auto"/>
        <w:left w:val="none" w:sz="0" w:space="0" w:color="auto"/>
        <w:bottom w:val="none" w:sz="0" w:space="0" w:color="auto"/>
        <w:right w:val="none" w:sz="0" w:space="0" w:color="auto"/>
      </w:divBdr>
    </w:div>
    <w:div w:id="372729530">
      <w:bodyDiv w:val="1"/>
      <w:marLeft w:val="0"/>
      <w:marRight w:val="0"/>
      <w:marTop w:val="0"/>
      <w:marBottom w:val="0"/>
      <w:divBdr>
        <w:top w:val="none" w:sz="0" w:space="0" w:color="auto"/>
        <w:left w:val="none" w:sz="0" w:space="0" w:color="auto"/>
        <w:bottom w:val="none" w:sz="0" w:space="0" w:color="auto"/>
        <w:right w:val="none" w:sz="0" w:space="0" w:color="auto"/>
      </w:divBdr>
    </w:div>
    <w:div w:id="374669559">
      <w:bodyDiv w:val="1"/>
      <w:marLeft w:val="0"/>
      <w:marRight w:val="0"/>
      <w:marTop w:val="0"/>
      <w:marBottom w:val="0"/>
      <w:divBdr>
        <w:top w:val="none" w:sz="0" w:space="0" w:color="auto"/>
        <w:left w:val="none" w:sz="0" w:space="0" w:color="auto"/>
        <w:bottom w:val="none" w:sz="0" w:space="0" w:color="auto"/>
        <w:right w:val="none" w:sz="0" w:space="0" w:color="auto"/>
      </w:divBdr>
    </w:div>
    <w:div w:id="377896106">
      <w:marLeft w:val="0"/>
      <w:marRight w:val="0"/>
      <w:marTop w:val="0"/>
      <w:marBottom w:val="0"/>
      <w:divBdr>
        <w:top w:val="none" w:sz="0" w:space="0" w:color="auto"/>
        <w:left w:val="none" w:sz="0" w:space="0" w:color="auto"/>
        <w:bottom w:val="none" w:sz="0" w:space="0" w:color="auto"/>
        <w:right w:val="none" w:sz="0" w:space="0" w:color="auto"/>
      </w:divBdr>
      <w:divsChild>
        <w:div w:id="1195315789">
          <w:marLeft w:val="0"/>
          <w:marRight w:val="0"/>
          <w:marTop w:val="0"/>
          <w:marBottom w:val="0"/>
          <w:divBdr>
            <w:top w:val="none" w:sz="0" w:space="0" w:color="auto"/>
            <w:left w:val="none" w:sz="0" w:space="0" w:color="auto"/>
            <w:bottom w:val="none" w:sz="0" w:space="0" w:color="auto"/>
            <w:right w:val="none" w:sz="0" w:space="0" w:color="auto"/>
          </w:divBdr>
        </w:div>
      </w:divsChild>
    </w:div>
    <w:div w:id="380712067">
      <w:bodyDiv w:val="1"/>
      <w:marLeft w:val="0"/>
      <w:marRight w:val="0"/>
      <w:marTop w:val="0"/>
      <w:marBottom w:val="0"/>
      <w:divBdr>
        <w:top w:val="none" w:sz="0" w:space="0" w:color="auto"/>
        <w:left w:val="none" w:sz="0" w:space="0" w:color="auto"/>
        <w:bottom w:val="none" w:sz="0" w:space="0" w:color="auto"/>
        <w:right w:val="none" w:sz="0" w:space="0" w:color="auto"/>
      </w:divBdr>
      <w:divsChild>
        <w:div w:id="499808275">
          <w:marLeft w:val="0"/>
          <w:marRight w:val="0"/>
          <w:marTop w:val="0"/>
          <w:marBottom w:val="0"/>
          <w:divBdr>
            <w:top w:val="none" w:sz="0" w:space="0" w:color="auto"/>
            <w:left w:val="none" w:sz="0" w:space="0" w:color="auto"/>
            <w:bottom w:val="none" w:sz="0" w:space="0" w:color="auto"/>
            <w:right w:val="none" w:sz="0" w:space="0" w:color="auto"/>
          </w:divBdr>
        </w:div>
      </w:divsChild>
    </w:div>
    <w:div w:id="389963516">
      <w:bodyDiv w:val="1"/>
      <w:marLeft w:val="0"/>
      <w:marRight w:val="0"/>
      <w:marTop w:val="0"/>
      <w:marBottom w:val="0"/>
      <w:divBdr>
        <w:top w:val="none" w:sz="0" w:space="0" w:color="auto"/>
        <w:left w:val="none" w:sz="0" w:space="0" w:color="auto"/>
        <w:bottom w:val="none" w:sz="0" w:space="0" w:color="auto"/>
        <w:right w:val="none" w:sz="0" w:space="0" w:color="auto"/>
      </w:divBdr>
    </w:div>
    <w:div w:id="391927270">
      <w:bodyDiv w:val="1"/>
      <w:marLeft w:val="0"/>
      <w:marRight w:val="0"/>
      <w:marTop w:val="0"/>
      <w:marBottom w:val="0"/>
      <w:divBdr>
        <w:top w:val="none" w:sz="0" w:space="0" w:color="auto"/>
        <w:left w:val="none" w:sz="0" w:space="0" w:color="auto"/>
        <w:bottom w:val="none" w:sz="0" w:space="0" w:color="auto"/>
        <w:right w:val="none" w:sz="0" w:space="0" w:color="auto"/>
      </w:divBdr>
    </w:div>
    <w:div w:id="391971940">
      <w:bodyDiv w:val="1"/>
      <w:marLeft w:val="0"/>
      <w:marRight w:val="0"/>
      <w:marTop w:val="0"/>
      <w:marBottom w:val="0"/>
      <w:divBdr>
        <w:top w:val="none" w:sz="0" w:space="0" w:color="auto"/>
        <w:left w:val="none" w:sz="0" w:space="0" w:color="auto"/>
        <w:bottom w:val="none" w:sz="0" w:space="0" w:color="auto"/>
        <w:right w:val="none" w:sz="0" w:space="0" w:color="auto"/>
      </w:divBdr>
    </w:div>
    <w:div w:id="396978840">
      <w:bodyDiv w:val="1"/>
      <w:marLeft w:val="0"/>
      <w:marRight w:val="0"/>
      <w:marTop w:val="0"/>
      <w:marBottom w:val="0"/>
      <w:divBdr>
        <w:top w:val="none" w:sz="0" w:space="0" w:color="auto"/>
        <w:left w:val="none" w:sz="0" w:space="0" w:color="auto"/>
        <w:bottom w:val="none" w:sz="0" w:space="0" w:color="auto"/>
        <w:right w:val="none" w:sz="0" w:space="0" w:color="auto"/>
      </w:divBdr>
    </w:div>
    <w:div w:id="397243494">
      <w:bodyDiv w:val="1"/>
      <w:marLeft w:val="0"/>
      <w:marRight w:val="0"/>
      <w:marTop w:val="0"/>
      <w:marBottom w:val="0"/>
      <w:divBdr>
        <w:top w:val="none" w:sz="0" w:space="0" w:color="auto"/>
        <w:left w:val="none" w:sz="0" w:space="0" w:color="auto"/>
        <w:bottom w:val="none" w:sz="0" w:space="0" w:color="auto"/>
        <w:right w:val="none" w:sz="0" w:space="0" w:color="auto"/>
      </w:divBdr>
    </w:div>
    <w:div w:id="397291206">
      <w:bodyDiv w:val="1"/>
      <w:marLeft w:val="0"/>
      <w:marRight w:val="0"/>
      <w:marTop w:val="0"/>
      <w:marBottom w:val="0"/>
      <w:divBdr>
        <w:top w:val="none" w:sz="0" w:space="0" w:color="auto"/>
        <w:left w:val="none" w:sz="0" w:space="0" w:color="auto"/>
        <w:bottom w:val="none" w:sz="0" w:space="0" w:color="auto"/>
        <w:right w:val="none" w:sz="0" w:space="0" w:color="auto"/>
      </w:divBdr>
      <w:divsChild>
        <w:div w:id="638191451">
          <w:marLeft w:val="0"/>
          <w:marRight w:val="0"/>
          <w:marTop w:val="0"/>
          <w:marBottom w:val="0"/>
          <w:divBdr>
            <w:top w:val="none" w:sz="0" w:space="0" w:color="auto"/>
            <w:left w:val="none" w:sz="0" w:space="0" w:color="auto"/>
            <w:bottom w:val="none" w:sz="0" w:space="0" w:color="auto"/>
            <w:right w:val="none" w:sz="0" w:space="0" w:color="auto"/>
          </w:divBdr>
        </w:div>
        <w:div w:id="1092513496">
          <w:marLeft w:val="0"/>
          <w:marRight w:val="0"/>
          <w:marTop w:val="0"/>
          <w:marBottom w:val="0"/>
          <w:divBdr>
            <w:top w:val="none" w:sz="0" w:space="0" w:color="auto"/>
            <w:left w:val="none" w:sz="0" w:space="0" w:color="auto"/>
            <w:bottom w:val="none" w:sz="0" w:space="0" w:color="auto"/>
            <w:right w:val="none" w:sz="0" w:space="0" w:color="auto"/>
          </w:divBdr>
        </w:div>
      </w:divsChild>
    </w:div>
    <w:div w:id="399788589">
      <w:bodyDiv w:val="1"/>
      <w:marLeft w:val="0"/>
      <w:marRight w:val="0"/>
      <w:marTop w:val="0"/>
      <w:marBottom w:val="0"/>
      <w:divBdr>
        <w:top w:val="none" w:sz="0" w:space="0" w:color="auto"/>
        <w:left w:val="none" w:sz="0" w:space="0" w:color="auto"/>
        <w:bottom w:val="none" w:sz="0" w:space="0" w:color="auto"/>
        <w:right w:val="none" w:sz="0" w:space="0" w:color="auto"/>
      </w:divBdr>
      <w:divsChild>
        <w:div w:id="2069915315">
          <w:marLeft w:val="0"/>
          <w:marRight w:val="0"/>
          <w:marTop w:val="0"/>
          <w:marBottom w:val="0"/>
          <w:divBdr>
            <w:top w:val="none" w:sz="0" w:space="0" w:color="auto"/>
            <w:left w:val="none" w:sz="0" w:space="0" w:color="auto"/>
            <w:bottom w:val="none" w:sz="0" w:space="0" w:color="auto"/>
            <w:right w:val="none" w:sz="0" w:space="0" w:color="auto"/>
          </w:divBdr>
        </w:div>
      </w:divsChild>
    </w:div>
    <w:div w:id="404307524">
      <w:bodyDiv w:val="1"/>
      <w:marLeft w:val="0"/>
      <w:marRight w:val="0"/>
      <w:marTop w:val="0"/>
      <w:marBottom w:val="0"/>
      <w:divBdr>
        <w:top w:val="none" w:sz="0" w:space="0" w:color="auto"/>
        <w:left w:val="none" w:sz="0" w:space="0" w:color="auto"/>
        <w:bottom w:val="none" w:sz="0" w:space="0" w:color="auto"/>
        <w:right w:val="none" w:sz="0" w:space="0" w:color="auto"/>
      </w:divBdr>
    </w:div>
    <w:div w:id="405884162">
      <w:bodyDiv w:val="1"/>
      <w:marLeft w:val="0"/>
      <w:marRight w:val="0"/>
      <w:marTop w:val="0"/>
      <w:marBottom w:val="0"/>
      <w:divBdr>
        <w:top w:val="none" w:sz="0" w:space="0" w:color="auto"/>
        <w:left w:val="none" w:sz="0" w:space="0" w:color="auto"/>
        <w:bottom w:val="none" w:sz="0" w:space="0" w:color="auto"/>
        <w:right w:val="none" w:sz="0" w:space="0" w:color="auto"/>
      </w:divBdr>
      <w:divsChild>
        <w:div w:id="65226834">
          <w:marLeft w:val="0"/>
          <w:marRight w:val="0"/>
          <w:marTop w:val="0"/>
          <w:marBottom w:val="0"/>
          <w:divBdr>
            <w:top w:val="none" w:sz="0" w:space="0" w:color="auto"/>
            <w:left w:val="none" w:sz="0" w:space="0" w:color="auto"/>
            <w:bottom w:val="none" w:sz="0" w:space="0" w:color="auto"/>
            <w:right w:val="none" w:sz="0" w:space="0" w:color="auto"/>
          </w:divBdr>
        </w:div>
      </w:divsChild>
    </w:div>
    <w:div w:id="406810155">
      <w:bodyDiv w:val="1"/>
      <w:marLeft w:val="0"/>
      <w:marRight w:val="0"/>
      <w:marTop w:val="0"/>
      <w:marBottom w:val="0"/>
      <w:divBdr>
        <w:top w:val="none" w:sz="0" w:space="0" w:color="auto"/>
        <w:left w:val="none" w:sz="0" w:space="0" w:color="auto"/>
        <w:bottom w:val="none" w:sz="0" w:space="0" w:color="auto"/>
        <w:right w:val="none" w:sz="0" w:space="0" w:color="auto"/>
      </w:divBdr>
    </w:div>
    <w:div w:id="411044480">
      <w:bodyDiv w:val="1"/>
      <w:marLeft w:val="0"/>
      <w:marRight w:val="0"/>
      <w:marTop w:val="0"/>
      <w:marBottom w:val="0"/>
      <w:divBdr>
        <w:top w:val="none" w:sz="0" w:space="0" w:color="auto"/>
        <w:left w:val="none" w:sz="0" w:space="0" w:color="auto"/>
        <w:bottom w:val="none" w:sz="0" w:space="0" w:color="auto"/>
        <w:right w:val="none" w:sz="0" w:space="0" w:color="auto"/>
      </w:divBdr>
    </w:div>
    <w:div w:id="413406197">
      <w:bodyDiv w:val="1"/>
      <w:marLeft w:val="0"/>
      <w:marRight w:val="0"/>
      <w:marTop w:val="0"/>
      <w:marBottom w:val="0"/>
      <w:divBdr>
        <w:top w:val="none" w:sz="0" w:space="0" w:color="auto"/>
        <w:left w:val="none" w:sz="0" w:space="0" w:color="auto"/>
        <w:bottom w:val="none" w:sz="0" w:space="0" w:color="auto"/>
        <w:right w:val="none" w:sz="0" w:space="0" w:color="auto"/>
      </w:divBdr>
    </w:div>
    <w:div w:id="415323544">
      <w:bodyDiv w:val="1"/>
      <w:marLeft w:val="0"/>
      <w:marRight w:val="0"/>
      <w:marTop w:val="0"/>
      <w:marBottom w:val="0"/>
      <w:divBdr>
        <w:top w:val="none" w:sz="0" w:space="0" w:color="auto"/>
        <w:left w:val="none" w:sz="0" w:space="0" w:color="auto"/>
        <w:bottom w:val="none" w:sz="0" w:space="0" w:color="auto"/>
        <w:right w:val="none" w:sz="0" w:space="0" w:color="auto"/>
      </w:divBdr>
    </w:div>
    <w:div w:id="424151870">
      <w:marLeft w:val="0"/>
      <w:marRight w:val="0"/>
      <w:marTop w:val="0"/>
      <w:marBottom w:val="0"/>
      <w:divBdr>
        <w:top w:val="none" w:sz="0" w:space="0" w:color="auto"/>
        <w:left w:val="none" w:sz="0" w:space="0" w:color="auto"/>
        <w:bottom w:val="none" w:sz="0" w:space="0" w:color="auto"/>
        <w:right w:val="none" w:sz="0" w:space="0" w:color="auto"/>
      </w:divBdr>
      <w:divsChild>
        <w:div w:id="1770618826">
          <w:marLeft w:val="0"/>
          <w:marRight w:val="0"/>
          <w:marTop w:val="0"/>
          <w:marBottom w:val="0"/>
          <w:divBdr>
            <w:top w:val="none" w:sz="0" w:space="0" w:color="auto"/>
            <w:left w:val="none" w:sz="0" w:space="0" w:color="auto"/>
            <w:bottom w:val="none" w:sz="0" w:space="0" w:color="auto"/>
            <w:right w:val="none" w:sz="0" w:space="0" w:color="auto"/>
          </w:divBdr>
        </w:div>
      </w:divsChild>
    </w:div>
    <w:div w:id="424956596">
      <w:marLeft w:val="0"/>
      <w:marRight w:val="0"/>
      <w:marTop w:val="0"/>
      <w:marBottom w:val="0"/>
      <w:divBdr>
        <w:top w:val="none" w:sz="0" w:space="0" w:color="auto"/>
        <w:left w:val="none" w:sz="0" w:space="0" w:color="auto"/>
        <w:bottom w:val="none" w:sz="0" w:space="0" w:color="auto"/>
        <w:right w:val="none" w:sz="0" w:space="0" w:color="auto"/>
      </w:divBdr>
      <w:divsChild>
        <w:div w:id="1089614992">
          <w:marLeft w:val="0"/>
          <w:marRight w:val="0"/>
          <w:marTop w:val="0"/>
          <w:marBottom w:val="0"/>
          <w:divBdr>
            <w:top w:val="none" w:sz="0" w:space="0" w:color="auto"/>
            <w:left w:val="none" w:sz="0" w:space="0" w:color="auto"/>
            <w:bottom w:val="none" w:sz="0" w:space="0" w:color="auto"/>
            <w:right w:val="none" w:sz="0" w:space="0" w:color="auto"/>
          </w:divBdr>
        </w:div>
      </w:divsChild>
    </w:div>
    <w:div w:id="434908582">
      <w:marLeft w:val="0"/>
      <w:marRight w:val="0"/>
      <w:marTop w:val="0"/>
      <w:marBottom w:val="0"/>
      <w:divBdr>
        <w:top w:val="none" w:sz="0" w:space="0" w:color="auto"/>
        <w:left w:val="none" w:sz="0" w:space="0" w:color="auto"/>
        <w:bottom w:val="none" w:sz="0" w:space="0" w:color="auto"/>
        <w:right w:val="none" w:sz="0" w:space="0" w:color="auto"/>
      </w:divBdr>
      <w:divsChild>
        <w:div w:id="1281034198">
          <w:marLeft w:val="0"/>
          <w:marRight w:val="0"/>
          <w:marTop w:val="0"/>
          <w:marBottom w:val="0"/>
          <w:divBdr>
            <w:top w:val="none" w:sz="0" w:space="0" w:color="auto"/>
            <w:left w:val="none" w:sz="0" w:space="0" w:color="auto"/>
            <w:bottom w:val="none" w:sz="0" w:space="0" w:color="auto"/>
            <w:right w:val="none" w:sz="0" w:space="0" w:color="auto"/>
          </w:divBdr>
        </w:div>
      </w:divsChild>
    </w:div>
    <w:div w:id="440497371">
      <w:bodyDiv w:val="1"/>
      <w:marLeft w:val="0"/>
      <w:marRight w:val="0"/>
      <w:marTop w:val="0"/>
      <w:marBottom w:val="0"/>
      <w:divBdr>
        <w:top w:val="none" w:sz="0" w:space="0" w:color="auto"/>
        <w:left w:val="none" w:sz="0" w:space="0" w:color="auto"/>
        <w:bottom w:val="none" w:sz="0" w:space="0" w:color="auto"/>
        <w:right w:val="none" w:sz="0" w:space="0" w:color="auto"/>
      </w:divBdr>
    </w:div>
    <w:div w:id="443426694">
      <w:marLeft w:val="0"/>
      <w:marRight w:val="0"/>
      <w:marTop w:val="0"/>
      <w:marBottom w:val="0"/>
      <w:divBdr>
        <w:top w:val="none" w:sz="0" w:space="0" w:color="auto"/>
        <w:left w:val="none" w:sz="0" w:space="0" w:color="auto"/>
        <w:bottom w:val="none" w:sz="0" w:space="0" w:color="auto"/>
        <w:right w:val="none" w:sz="0" w:space="0" w:color="auto"/>
      </w:divBdr>
      <w:divsChild>
        <w:div w:id="805972435">
          <w:marLeft w:val="0"/>
          <w:marRight w:val="0"/>
          <w:marTop w:val="0"/>
          <w:marBottom w:val="0"/>
          <w:divBdr>
            <w:top w:val="none" w:sz="0" w:space="0" w:color="auto"/>
            <w:left w:val="none" w:sz="0" w:space="0" w:color="auto"/>
            <w:bottom w:val="none" w:sz="0" w:space="0" w:color="auto"/>
            <w:right w:val="none" w:sz="0" w:space="0" w:color="auto"/>
          </w:divBdr>
        </w:div>
      </w:divsChild>
    </w:div>
    <w:div w:id="446897827">
      <w:bodyDiv w:val="1"/>
      <w:marLeft w:val="0"/>
      <w:marRight w:val="0"/>
      <w:marTop w:val="0"/>
      <w:marBottom w:val="0"/>
      <w:divBdr>
        <w:top w:val="none" w:sz="0" w:space="0" w:color="auto"/>
        <w:left w:val="none" w:sz="0" w:space="0" w:color="auto"/>
        <w:bottom w:val="none" w:sz="0" w:space="0" w:color="auto"/>
        <w:right w:val="none" w:sz="0" w:space="0" w:color="auto"/>
      </w:divBdr>
    </w:div>
    <w:div w:id="447431312">
      <w:bodyDiv w:val="1"/>
      <w:marLeft w:val="0"/>
      <w:marRight w:val="0"/>
      <w:marTop w:val="0"/>
      <w:marBottom w:val="0"/>
      <w:divBdr>
        <w:top w:val="none" w:sz="0" w:space="0" w:color="auto"/>
        <w:left w:val="none" w:sz="0" w:space="0" w:color="auto"/>
        <w:bottom w:val="none" w:sz="0" w:space="0" w:color="auto"/>
        <w:right w:val="none" w:sz="0" w:space="0" w:color="auto"/>
      </w:divBdr>
    </w:div>
    <w:div w:id="452017884">
      <w:bodyDiv w:val="1"/>
      <w:marLeft w:val="0"/>
      <w:marRight w:val="0"/>
      <w:marTop w:val="0"/>
      <w:marBottom w:val="0"/>
      <w:divBdr>
        <w:top w:val="none" w:sz="0" w:space="0" w:color="auto"/>
        <w:left w:val="none" w:sz="0" w:space="0" w:color="auto"/>
        <w:bottom w:val="none" w:sz="0" w:space="0" w:color="auto"/>
        <w:right w:val="none" w:sz="0" w:space="0" w:color="auto"/>
      </w:divBdr>
      <w:divsChild>
        <w:div w:id="810053295">
          <w:marLeft w:val="0"/>
          <w:marRight w:val="0"/>
          <w:marTop w:val="0"/>
          <w:marBottom w:val="0"/>
          <w:divBdr>
            <w:top w:val="none" w:sz="0" w:space="0" w:color="auto"/>
            <w:left w:val="none" w:sz="0" w:space="0" w:color="auto"/>
            <w:bottom w:val="none" w:sz="0" w:space="0" w:color="auto"/>
            <w:right w:val="none" w:sz="0" w:space="0" w:color="auto"/>
          </w:divBdr>
        </w:div>
      </w:divsChild>
    </w:div>
    <w:div w:id="452599914">
      <w:bodyDiv w:val="1"/>
      <w:marLeft w:val="0"/>
      <w:marRight w:val="0"/>
      <w:marTop w:val="0"/>
      <w:marBottom w:val="0"/>
      <w:divBdr>
        <w:top w:val="none" w:sz="0" w:space="0" w:color="auto"/>
        <w:left w:val="none" w:sz="0" w:space="0" w:color="auto"/>
        <w:bottom w:val="none" w:sz="0" w:space="0" w:color="auto"/>
        <w:right w:val="none" w:sz="0" w:space="0" w:color="auto"/>
      </w:divBdr>
      <w:divsChild>
        <w:div w:id="593317624">
          <w:marLeft w:val="0"/>
          <w:marRight w:val="0"/>
          <w:marTop w:val="0"/>
          <w:marBottom w:val="0"/>
          <w:divBdr>
            <w:top w:val="none" w:sz="0" w:space="0" w:color="auto"/>
            <w:left w:val="none" w:sz="0" w:space="0" w:color="auto"/>
            <w:bottom w:val="none" w:sz="0" w:space="0" w:color="auto"/>
            <w:right w:val="none" w:sz="0" w:space="0" w:color="auto"/>
          </w:divBdr>
        </w:div>
      </w:divsChild>
    </w:div>
    <w:div w:id="455753141">
      <w:bodyDiv w:val="1"/>
      <w:marLeft w:val="0"/>
      <w:marRight w:val="0"/>
      <w:marTop w:val="0"/>
      <w:marBottom w:val="0"/>
      <w:divBdr>
        <w:top w:val="none" w:sz="0" w:space="0" w:color="auto"/>
        <w:left w:val="none" w:sz="0" w:space="0" w:color="auto"/>
        <w:bottom w:val="none" w:sz="0" w:space="0" w:color="auto"/>
        <w:right w:val="none" w:sz="0" w:space="0" w:color="auto"/>
      </w:divBdr>
    </w:div>
    <w:div w:id="456218645">
      <w:bodyDiv w:val="1"/>
      <w:marLeft w:val="0"/>
      <w:marRight w:val="0"/>
      <w:marTop w:val="0"/>
      <w:marBottom w:val="0"/>
      <w:divBdr>
        <w:top w:val="none" w:sz="0" w:space="0" w:color="auto"/>
        <w:left w:val="none" w:sz="0" w:space="0" w:color="auto"/>
        <w:bottom w:val="none" w:sz="0" w:space="0" w:color="auto"/>
        <w:right w:val="none" w:sz="0" w:space="0" w:color="auto"/>
      </w:divBdr>
    </w:div>
    <w:div w:id="456337419">
      <w:bodyDiv w:val="1"/>
      <w:marLeft w:val="0"/>
      <w:marRight w:val="0"/>
      <w:marTop w:val="0"/>
      <w:marBottom w:val="0"/>
      <w:divBdr>
        <w:top w:val="none" w:sz="0" w:space="0" w:color="auto"/>
        <w:left w:val="none" w:sz="0" w:space="0" w:color="auto"/>
        <w:bottom w:val="none" w:sz="0" w:space="0" w:color="auto"/>
        <w:right w:val="none" w:sz="0" w:space="0" w:color="auto"/>
      </w:divBdr>
    </w:div>
    <w:div w:id="459037632">
      <w:bodyDiv w:val="1"/>
      <w:marLeft w:val="0"/>
      <w:marRight w:val="0"/>
      <w:marTop w:val="0"/>
      <w:marBottom w:val="0"/>
      <w:divBdr>
        <w:top w:val="none" w:sz="0" w:space="0" w:color="auto"/>
        <w:left w:val="none" w:sz="0" w:space="0" w:color="auto"/>
        <w:bottom w:val="none" w:sz="0" w:space="0" w:color="auto"/>
        <w:right w:val="none" w:sz="0" w:space="0" w:color="auto"/>
      </w:divBdr>
      <w:divsChild>
        <w:div w:id="1392994175">
          <w:marLeft w:val="0"/>
          <w:marRight w:val="0"/>
          <w:marTop w:val="0"/>
          <w:marBottom w:val="0"/>
          <w:divBdr>
            <w:top w:val="none" w:sz="0" w:space="0" w:color="auto"/>
            <w:left w:val="none" w:sz="0" w:space="0" w:color="auto"/>
            <w:bottom w:val="none" w:sz="0" w:space="0" w:color="auto"/>
            <w:right w:val="none" w:sz="0" w:space="0" w:color="auto"/>
          </w:divBdr>
        </w:div>
      </w:divsChild>
    </w:div>
    <w:div w:id="459081668">
      <w:bodyDiv w:val="1"/>
      <w:marLeft w:val="0"/>
      <w:marRight w:val="0"/>
      <w:marTop w:val="0"/>
      <w:marBottom w:val="0"/>
      <w:divBdr>
        <w:top w:val="none" w:sz="0" w:space="0" w:color="auto"/>
        <w:left w:val="none" w:sz="0" w:space="0" w:color="auto"/>
        <w:bottom w:val="none" w:sz="0" w:space="0" w:color="auto"/>
        <w:right w:val="none" w:sz="0" w:space="0" w:color="auto"/>
      </w:divBdr>
    </w:div>
    <w:div w:id="460879437">
      <w:bodyDiv w:val="1"/>
      <w:marLeft w:val="0"/>
      <w:marRight w:val="0"/>
      <w:marTop w:val="0"/>
      <w:marBottom w:val="0"/>
      <w:divBdr>
        <w:top w:val="none" w:sz="0" w:space="0" w:color="auto"/>
        <w:left w:val="none" w:sz="0" w:space="0" w:color="auto"/>
        <w:bottom w:val="none" w:sz="0" w:space="0" w:color="auto"/>
        <w:right w:val="none" w:sz="0" w:space="0" w:color="auto"/>
      </w:divBdr>
    </w:div>
    <w:div w:id="462119070">
      <w:bodyDiv w:val="1"/>
      <w:marLeft w:val="0"/>
      <w:marRight w:val="0"/>
      <w:marTop w:val="0"/>
      <w:marBottom w:val="0"/>
      <w:divBdr>
        <w:top w:val="none" w:sz="0" w:space="0" w:color="auto"/>
        <w:left w:val="none" w:sz="0" w:space="0" w:color="auto"/>
        <w:bottom w:val="none" w:sz="0" w:space="0" w:color="auto"/>
        <w:right w:val="none" w:sz="0" w:space="0" w:color="auto"/>
      </w:divBdr>
    </w:div>
    <w:div w:id="467820375">
      <w:bodyDiv w:val="1"/>
      <w:marLeft w:val="0"/>
      <w:marRight w:val="0"/>
      <w:marTop w:val="0"/>
      <w:marBottom w:val="0"/>
      <w:divBdr>
        <w:top w:val="none" w:sz="0" w:space="0" w:color="auto"/>
        <w:left w:val="none" w:sz="0" w:space="0" w:color="auto"/>
        <w:bottom w:val="none" w:sz="0" w:space="0" w:color="auto"/>
        <w:right w:val="none" w:sz="0" w:space="0" w:color="auto"/>
      </w:divBdr>
    </w:div>
    <w:div w:id="469128979">
      <w:bodyDiv w:val="1"/>
      <w:marLeft w:val="0"/>
      <w:marRight w:val="0"/>
      <w:marTop w:val="0"/>
      <w:marBottom w:val="0"/>
      <w:divBdr>
        <w:top w:val="none" w:sz="0" w:space="0" w:color="auto"/>
        <w:left w:val="none" w:sz="0" w:space="0" w:color="auto"/>
        <w:bottom w:val="none" w:sz="0" w:space="0" w:color="auto"/>
        <w:right w:val="none" w:sz="0" w:space="0" w:color="auto"/>
      </w:divBdr>
    </w:div>
    <w:div w:id="477500551">
      <w:bodyDiv w:val="1"/>
      <w:marLeft w:val="0"/>
      <w:marRight w:val="0"/>
      <w:marTop w:val="0"/>
      <w:marBottom w:val="0"/>
      <w:divBdr>
        <w:top w:val="none" w:sz="0" w:space="0" w:color="auto"/>
        <w:left w:val="none" w:sz="0" w:space="0" w:color="auto"/>
        <w:bottom w:val="none" w:sz="0" w:space="0" w:color="auto"/>
        <w:right w:val="none" w:sz="0" w:space="0" w:color="auto"/>
      </w:divBdr>
    </w:div>
    <w:div w:id="477571870">
      <w:bodyDiv w:val="1"/>
      <w:marLeft w:val="0"/>
      <w:marRight w:val="0"/>
      <w:marTop w:val="0"/>
      <w:marBottom w:val="0"/>
      <w:divBdr>
        <w:top w:val="none" w:sz="0" w:space="0" w:color="auto"/>
        <w:left w:val="none" w:sz="0" w:space="0" w:color="auto"/>
        <w:bottom w:val="none" w:sz="0" w:space="0" w:color="auto"/>
        <w:right w:val="none" w:sz="0" w:space="0" w:color="auto"/>
      </w:divBdr>
    </w:div>
    <w:div w:id="482746794">
      <w:marLeft w:val="0"/>
      <w:marRight w:val="0"/>
      <w:marTop w:val="0"/>
      <w:marBottom w:val="0"/>
      <w:divBdr>
        <w:top w:val="none" w:sz="0" w:space="0" w:color="auto"/>
        <w:left w:val="none" w:sz="0" w:space="0" w:color="auto"/>
        <w:bottom w:val="none" w:sz="0" w:space="0" w:color="auto"/>
        <w:right w:val="none" w:sz="0" w:space="0" w:color="auto"/>
      </w:divBdr>
      <w:divsChild>
        <w:div w:id="574169378">
          <w:marLeft w:val="0"/>
          <w:marRight w:val="0"/>
          <w:marTop w:val="0"/>
          <w:marBottom w:val="0"/>
          <w:divBdr>
            <w:top w:val="none" w:sz="0" w:space="0" w:color="auto"/>
            <w:left w:val="none" w:sz="0" w:space="0" w:color="auto"/>
            <w:bottom w:val="none" w:sz="0" w:space="0" w:color="auto"/>
            <w:right w:val="none" w:sz="0" w:space="0" w:color="auto"/>
          </w:divBdr>
        </w:div>
      </w:divsChild>
    </w:div>
    <w:div w:id="482890654">
      <w:bodyDiv w:val="1"/>
      <w:marLeft w:val="0"/>
      <w:marRight w:val="0"/>
      <w:marTop w:val="0"/>
      <w:marBottom w:val="0"/>
      <w:divBdr>
        <w:top w:val="none" w:sz="0" w:space="0" w:color="auto"/>
        <w:left w:val="none" w:sz="0" w:space="0" w:color="auto"/>
        <w:bottom w:val="none" w:sz="0" w:space="0" w:color="auto"/>
        <w:right w:val="none" w:sz="0" w:space="0" w:color="auto"/>
      </w:divBdr>
    </w:div>
    <w:div w:id="483160696">
      <w:bodyDiv w:val="1"/>
      <w:marLeft w:val="0"/>
      <w:marRight w:val="0"/>
      <w:marTop w:val="0"/>
      <w:marBottom w:val="0"/>
      <w:divBdr>
        <w:top w:val="none" w:sz="0" w:space="0" w:color="auto"/>
        <w:left w:val="none" w:sz="0" w:space="0" w:color="auto"/>
        <w:bottom w:val="none" w:sz="0" w:space="0" w:color="auto"/>
        <w:right w:val="none" w:sz="0" w:space="0" w:color="auto"/>
      </w:divBdr>
    </w:div>
    <w:div w:id="496309492">
      <w:bodyDiv w:val="1"/>
      <w:marLeft w:val="0"/>
      <w:marRight w:val="0"/>
      <w:marTop w:val="0"/>
      <w:marBottom w:val="0"/>
      <w:divBdr>
        <w:top w:val="none" w:sz="0" w:space="0" w:color="auto"/>
        <w:left w:val="none" w:sz="0" w:space="0" w:color="auto"/>
        <w:bottom w:val="none" w:sz="0" w:space="0" w:color="auto"/>
        <w:right w:val="none" w:sz="0" w:space="0" w:color="auto"/>
      </w:divBdr>
    </w:div>
    <w:div w:id="502549256">
      <w:bodyDiv w:val="1"/>
      <w:marLeft w:val="0"/>
      <w:marRight w:val="0"/>
      <w:marTop w:val="0"/>
      <w:marBottom w:val="0"/>
      <w:divBdr>
        <w:top w:val="none" w:sz="0" w:space="0" w:color="auto"/>
        <w:left w:val="none" w:sz="0" w:space="0" w:color="auto"/>
        <w:bottom w:val="none" w:sz="0" w:space="0" w:color="auto"/>
        <w:right w:val="none" w:sz="0" w:space="0" w:color="auto"/>
      </w:divBdr>
    </w:div>
    <w:div w:id="509806133">
      <w:bodyDiv w:val="1"/>
      <w:marLeft w:val="0"/>
      <w:marRight w:val="0"/>
      <w:marTop w:val="0"/>
      <w:marBottom w:val="0"/>
      <w:divBdr>
        <w:top w:val="none" w:sz="0" w:space="0" w:color="auto"/>
        <w:left w:val="none" w:sz="0" w:space="0" w:color="auto"/>
        <w:bottom w:val="none" w:sz="0" w:space="0" w:color="auto"/>
        <w:right w:val="none" w:sz="0" w:space="0" w:color="auto"/>
      </w:divBdr>
    </w:div>
    <w:div w:id="510071130">
      <w:bodyDiv w:val="1"/>
      <w:marLeft w:val="0"/>
      <w:marRight w:val="0"/>
      <w:marTop w:val="0"/>
      <w:marBottom w:val="0"/>
      <w:divBdr>
        <w:top w:val="none" w:sz="0" w:space="0" w:color="auto"/>
        <w:left w:val="none" w:sz="0" w:space="0" w:color="auto"/>
        <w:bottom w:val="none" w:sz="0" w:space="0" w:color="auto"/>
        <w:right w:val="none" w:sz="0" w:space="0" w:color="auto"/>
      </w:divBdr>
    </w:div>
    <w:div w:id="510293435">
      <w:bodyDiv w:val="1"/>
      <w:marLeft w:val="0"/>
      <w:marRight w:val="0"/>
      <w:marTop w:val="0"/>
      <w:marBottom w:val="0"/>
      <w:divBdr>
        <w:top w:val="none" w:sz="0" w:space="0" w:color="auto"/>
        <w:left w:val="none" w:sz="0" w:space="0" w:color="auto"/>
        <w:bottom w:val="none" w:sz="0" w:space="0" w:color="auto"/>
        <w:right w:val="none" w:sz="0" w:space="0" w:color="auto"/>
      </w:divBdr>
    </w:div>
    <w:div w:id="510487868">
      <w:bodyDiv w:val="1"/>
      <w:marLeft w:val="0"/>
      <w:marRight w:val="0"/>
      <w:marTop w:val="0"/>
      <w:marBottom w:val="0"/>
      <w:divBdr>
        <w:top w:val="none" w:sz="0" w:space="0" w:color="auto"/>
        <w:left w:val="none" w:sz="0" w:space="0" w:color="auto"/>
        <w:bottom w:val="none" w:sz="0" w:space="0" w:color="auto"/>
        <w:right w:val="none" w:sz="0" w:space="0" w:color="auto"/>
      </w:divBdr>
    </w:div>
    <w:div w:id="515579422">
      <w:bodyDiv w:val="1"/>
      <w:marLeft w:val="0"/>
      <w:marRight w:val="0"/>
      <w:marTop w:val="0"/>
      <w:marBottom w:val="0"/>
      <w:divBdr>
        <w:top w:val="none" w:sz="0" w:space="0" w:color="auto"/>
        <w:left w:val="none" w:sz="0" w:space="0" w:color="auto"/>
        <w:bottom w:val="none" w:sz="0" w:space="0" w:color="auto"/>
        <w:right w:val="none" w:sz="0" w:space="0" w:color="auto"/>
      </w:divBdr>
    </w:div>
    <w:div w:id="516042392">
      <w:bodyDiv w:val="1"/>
      <w:marLeft w:val="0"/>
      <w:marRight w:val="0"/>
      <w:marTop w:val="0"/>
      <w:marBottom w:val="0"/>
      <w:divBdr>
        <w:top w:val="none" w:sz="0" w:space="0" w:color="auto"/>
        <w:left w:val="none" w:sz="0" w:space="0" w:color="auto"/>
        <w:bottom w:val="none" w:sz="0" w:space="0" w:color="auto"/>
        <w:right w:val="none" w:sz="0" w:space="0" w:color="auto"/>
      </w:divBdr>
      <w:divsChild>
        <w:div w:id="123666533">
          <w:marLeft w:val="0"/>
          <w:marRight w:val="0"/>
          <w:marTop w:val="0"/>
          <w:marBottom w:val="0"/>
          <w:divBdr>
            <w:top w:val="none" w:sz="0" w:space="0" w:color="auto"/>
            <w:left w:val="none" w:sz="0" w:space="0" w:color="auto"/>
            <w:bottom w:val="none" w:sz="0" w:space="0" w:color="auto"/>
            <w:right w:val="none" w:sz="0" w:space="0" w:color="auto"/>
          </w:divBdr>
        </w:div>
      </w:divsChild>
    </w:div>
    <w:div w:id="517694807">
      <w:bodyDiv w:val="1"/>
      <w:marLeft w:val="0"/>
      <w:marRight w:val="0"/>
      <w:marTop w:val="0"/>
      <w:marBottom w:val="0"/>
      <w:divBdr>
        <w:top w:val="none" w:sz="0" w:space="0" w:color="auto"/>
        <w:left w:val="none" w:sz="0" w:space="0" w:color="auto"/>
        <w:bottom w:val="none" w:sz="0" w:space="0" w:color="auto"/>
        <w:right w:val="none" w:sz="0" w:space="0" w:color="auto"/>
      </w:divBdr>
    </w:div>
    <w:div w:id="521826973">
      <w:bodyDiv w:val="1"/>
      <w:marLeft w:val="0"/>
      <w:marRight w:val="0"/>
      <w:marTop w:val="0"/>
      <w:marBottom w:val="0"/>
      <w:divBdr>
        <w:top w:val="none" w:sz="0" w:space="0" w:color="auto"/>
        <w:left w:val="none" w:sz="0" w:space="0" w:color="auto"/>
        <w:bottom w:val="none" w:sz="0" w:space="0" w:color="auto"/>
        <w:right w:val="none" w:sz="0" w:space="0" w:color="auto"/>
      </w:divBdr>
      <w:divsChild>
        <w:div w:id="1313950025">
          <w:marLeft w:val="0"/>
          <w:marRight w:val="0"/>
          <w:marTop w:val="0"/>
          <w:marBottom w:val="0"/>
          <w:divBdr>
            <w:top w:val="none" w:sz="0" w:space="0" w:color="auto"/>
            <w:left w:val="none" w:sz="0" w:space="0" w:color="auto"/>
            <w:bottom w:val="none" w:sz="0" w:space="0" w:color="auto"/>
            <w:right w:val="none" w:sz="0" w:space="0" w:color="auto"/>
          </w:divBdr>
        </w:div>
      </w:divsChild>
    </w:div>
    <w:div w:id="528302521">
      <w:marLeft w:val="0"/>
      <w:marRight w:val="0"/>
      <w:marTop w:val="0"/>
      <w:marBottom w:val="0"/>
      <w:divBdr>
        <w:top w:val="none" w:sz="0" w:space="0" w:color="auto"/>
        <w:left w:val="none" w:sz="0" w:space="0" w:color="auto"/>
        <w:bottom w:val="none" w:sz="0" w:space="0" w:color="auto"/>
        <w:right w:val="none" w:sz="0" w:space="0" w:color="auto"/>
      </w:divBdr>
      <w:divsChild>
        <w:div w:id="2119250291">
          <w:marLeft w:val="0"/>
          <w:marRight w:val="0"/>
          <w:marTop w:val="0"/>
          <w:marBottom w:val="0"/>
          <w:divBdr>
            <w:top w:val="none" w:sz="0" w:space="0" w:color="auto"/>
            <w:left w:val="none" w:sz="0" w:space="0" w:color="auto"/>
            <w:bottom w:val="none" w:sz="0" w:space="0" w:color="auto"/>
            <w:right w:val="none" w:sz="0" w:space="0" w:color="auto"/>
          </w:divBdr>
        </w:div>
      </w:divsChild>
    </w:div>
    <w:div w:id="539824304">
      <w:bodyDiv w:val="1"/>
      <w:marLeft w:val="0"/>
      <w:marRight w:val="0"/>
      <w:marTop w:val="0"/>
      <w:marBottom w:val="0"/>
      <w:divBdr>
        <w:top w:val="none" w:sz="0" w:space="0" w:color="auto"/>
        <w:left w:val="none" w:sz="0" w:space="0" w:color="auto"/>
        <w:bottom w:val="none" w:sz="0" w:space="0" w:color="auto"/>
        <w:right w:val="none" w:sz="0" w:space="0" w:color="auto"/>
      </w:divBdr>
    </w:div>
    <w:div w:id="566763053">
      <w:bodyDiv w:val="1"/>
      <w:marLeft w:val="0"/>
      <w:marRight w:val="0"/>
      <w:marTop w:val="0"/>
      <w:marBottom w:val="0"/>
      <w:divBdr>
        <w:top w:val="none" w:sz="0" w:space="0" w:color="auto"/>
        <w:left w:val="none" w:sz="0" w:space="0" w:color="auto"/>
        <w:bottom w:val="none" w:sz="0" w:space="0" w:color="auto"/>
        <w:right w:val="none" w:sz="0" w:space="0" w:color="auto"/>
      </w:divBdr>
    </w:div>
    <w:div w:id="567694942">
      <w:bodyDiv w:val="1"/>
      <w:marLeft w:val="0"/>
      <w:marRight w:val="0"/>
      <w:marTop w:val="0"/>
      <w:marBottom w:val="0"/>
      <w:divBdr>
        <w:top w:val="none" w:sz="0" w:space="0" w:color="auto"/>
        <w:left w:val="none" w:sz="0" w:space="0" w:color="auto"/>
        <w:bottom w:val="none" w:sz="0" w:space="0" w:color="auto"/>
        <w:right w:val="none" w:sz="0" w:space="0" w:color="auto"/>
      </w:divBdr>
    </w:div>
    <w:div w:id="588468114">
      <w:bodyDiv w:val="1"/>
      <w:marLeft w:val="0"/>
      <w:marRight w:val="0"/>
      <w:marTop w:val="0"/>
      <w:marBottom w:val="0"/>
      <w:divBdr>
        <w:top w:val="none" w:sz="0" w:space="0" w:color="auto"/>
        <w:left w:val="none" w:sz="0" w:space="0" w:color="auto"/>
        <w:bottom w:val="none" w:sz="0" w:space="0" w:color="auto"/>
        <w:right w:val="none" w:sz="0" w:space="0" w:color="auto"/>
      </w:divBdr>
    </w:div>
    <w:div w:id="588782270">
      <w:bodyDiv w:val="1"/>
      <w:marLeft w:val="0"/>
      <w:marRight w:val="0"/>
      <w:marTop w:val="0"/>
      <w:marBottom w:val="0"/>
      <w:divBdr>
        <w:top w:val="none" w:sz="0" w:space="0" w:color="auto"/>
        <w:left w:val="none" w:sz="0" w:space="0" w:color="auto"/>
        <w:bottom w:val="none" w:sz="0" w:space="0" w:color="auto"/>
        <w:right w:val="none" w:sz="0" w:space="0" w:color="auto"/>
      </w:divBdr>
    </w:div>
    <w:div w:id="589773770">
      <w:bodyDiv w:val="1"/>
      <w:marLeft w:val="0"/>
      <w:marRight w:val="0"/>
      <w:marTop w:val="0"/>
      <w:marBottom w:val="0"/>
      <w:divBdr>
        <w:top w:val="none" w:sz="0" w:space="0" w:color="auto"/>
        <w:left w:val="none" w:sz="0" w:space="0" w:color="auto"/>
        <w:bottom w:val="none" w:sz="0" w:space="0" w:color="auto"/>
        <w:right w:val="none" w:sz="0" w:space="0" w:color="auto"/>
      </w:divBdr>
    </w:div>
    <w:div w:id="589896775">
      <w:bodyDiv w:val="1"/>
      <w:marLeft w:val="0"/>
      <w:marRight w:val="0"/>
      <w:marTop w:val="0"/>
      <w:marBottom w:val="0"/>
      <w:divBdr>
        <w:top w:val="none" w:sz="0" w:space="0" w:color="auto"/>
        <w:left w:val="none" w:sz="0" w:space="0" w:color="auto"/>
        <w:bottom w:val="none" w:sz="0" w:space="0" w:color="auto"/>
        <w:right w:val="none" w:sz="0" w:space="0" w:color="auto"/>
      </w:divBdr>
    </w:div>
    <w:div w:id="592740219">
      <w:bodyDiv w:val="1"/>
      <w:marLeft w:val="0"/>
      <w:marRight w:val="0"/>
      <w:marTop w:val="0"/>
      <w:marBottom w:val="0"/>
      <w:divBdr>
        <w:top w:val="none" w:sz="0" w:space="0" w:color="auto"/>
        <w:left w:val="none" w:sz="0" w:space="0" w:color="auto"/>
        <w:bottom w:val="none" w:sz="0" w:space="0" w:color="auto"/>
        <w:right w:val="none" w:sz="0" w:space="0" w:color="auto"/>
      </w:divBdr>
      <w:divsChild>
        <w:div w:id="1467241135">
          <w:marLeft w:val="0"/>
          <w:marRight w:val="0"/>
          <w:marTop w:val="0"/>
          <w:marBottom w:val="0"/>
          <w:divBdr>
            <w:top w:val="none" w:sz="0" w:space="0" w:color="auto"/>
            <w:left w:val="none" w:sz="0" w:space="0" w:color="auto"/>
            <w:bottom w:val="none" w:sz="0" w:space="0" w:color="auto"/>
            <w:right w:val="none" w:sz="0" w:space="0" w:color="auto"/>
          </w:divBdr>
        </w:div>
      </w:divsChild>
    </w:div>
    <w:div w:id="598758157">
      <w:bodyDiv w:val="1"/>
      <w:marLeft w:val="0"/>
      <w:marRight w:val="0"/>
      <w:marTop w:val="0"/>
      <w:marBottom w:val="0"/>
      <w:divBdr>
        <w:top w:val="none" w:sz="0" w:space="0" w:color="auto"/>
        <w:left w:val="none" w:sz="0" w:space="0" w:color="auto"/>
        <w:bottom w:val="none" w:sz="0" w:space="0" w:color="auto"/>
        <w:right w:val="none" w:sz="0" w:space="0" w:color="auto"/>
      </w:divBdr>
    </w:div>
    <w:div w:id="598955082">
      <w:bodyDiv w:val="1"/>
      <w:marLeft w:val="0"/>
      <w:marRight w:val="0"/>
      <w:marTop w:val="0"/>
      <w:marBottom w:val="0"/>
      <w:divBdr>
        <w:top w:val="none" w:sz="0" w:space="0" w:color="auto"/>
        <w:left w:val="none" w:sz="0" w:space="0" w:color="auto"/>
        <w:bottom w:val="none" w:sz="0" w:space="0" w:color="auto"/>
        <w:right w:val="none" w:sz="0" w:space="0" w:color="auto"/>
      </w:divBdr>
    </w:div>
    <w:div w:id="600838533">
      <w:bodyDiv w:val="1"/>
      <w:marLeft w:val="0"/>
      <w:marRight w:val="0"/>
      <w:marTop w:val="0"/>
      <w:marBottom w:val="0"/>
      <w:divBdr>
        <w:top w:val="none" w:sz="0" w:space="0" w:color="auto"/>
        <w:left w:val="none" w:sz="0" w:space="0" w:color="auto"/>
        <w:bottom w:val="none" w:sz="0" w:space="0" w:color="auto"/>
        <w:right w:val="none" w:sz="0" w:space="0" w:color="auto"/>
      </w:divBdr>
    </w:div>
    <w:div w:id="601962150">
      <w:bodyDiv w:val="1"/>
      <w:marLeft w:val="0"/>
      <w:marRight w:val="0"/>
      <w:marTop w:val="0"/>
      <w:marBottom w:val="0"/>
      <w:divBdr>
        <w:top w:val="none" w:sz="0" w:space="0" w:color="auto"/>
        <w:left w:val="none" w:sz="0" w:space="0" w:color="auto"/>
        <w:bottom w:val="none" w:sz="0" w:space="0" w:color="auto"/>
        <w:right w:val="none" w:sz="0" w:space="0" w:color="auto"/>
      </w:divBdr>
    </w:div>
    <w:div w:id="603804545">
      <w:bodyDiv w:val="1"/>
      <w:marLeft w:val="0"/>
      <w:marRight w:val="0"/>
      <w:marTop w:val="0"/>
      <w:marBottom w:val="0"/>
      <w:divBdr>
        <w:top w:val="none" w:sz="0" w:space="0" w:color="auto"/>
        <w:left w:val="none" w:sz="0" w:space="0" w:color="auto"/>
        <w:bottom w:val="none" w:sz="0" w:space="0" w:color="auto"/>
        <w:right w:val="none" w:sz="0" w:space="0" w:color="auto"/>
      </w:divBdr>
    </w:div>
    <w:div w:id="610864291">
      <w:marLeft w:val="0"/>
      <w:marRight w:val="0"/>
      <w:marTop w:val="0"/>
      <w:marBottom w:val="0"/>
      <w:divBdr>
        <w:top w:val="none" w:sz="0" w:space="0" w:color="auto"/>
        <w:left w:val="none" w:sz="0" w:space="0" w:color="auto"/>
        <w:bottom w:val="none" w:sz="0" w:space="0" w:color="auto"/>
        <w:right w:val="none" w:sz="0" w:space="0" w:color="auto"/>
      </w:divBdr>
      <w:divsChild>
        <w:div w:id="1297180527">
          <w:marLeft w:val="0"/>
          <w:marRight w:val="0"/>
          <w:marTop w:val="0"/>
          <w:marBottom w:val="0"/>
          <w:divBdr>
            <w:top w:val="none" w:sz="0" w:space="0" w:color="auto"/>
            <w:left w:val="none" w:sz="0" w:space="0" w:color="auto"/>
            <w:bottom w:val="none" w:sz="0" w:space="0" w:color="auto"/>
            <w:right w:val="none" w:sz="0" w:space="0" w:color="auto"/>
          </w:divBdr>
        </w:div>
      </w:divsChild>
    </w:div>
    <w:div w:id="611085998">
      <w:marLeft w:val="0"/>
      <w:marRight w:val="0"/>
      <w:marTop w:val="0"/>
      <w:marBottom w:val="0"/>
      <w:divBdr>
        <w:top w:val="none" w:sz="0" w:space="0" w:color="auto"/>
        <w:left w:val="none" w:sz="0" w:space="0" w:color="auto"/>
        <w:bottom w:val="none" w:sz="0" w:space="0" w:color="auto"/>
        <w:right w:val="none" w:sz="0" w:space="0" w:color="auto"/>
      </w:divBdr>
      <w:divsChild>
        <w:div w:id="863665629">
          <w:marLeft w:val="0"/>
          <w:marRight w:val="0"/>
          <w:marTop w:val="0"/>
          <w:marBottom w:val="0"/>
          <w:divBdr>
            <w:top w:val="none" w:sz="0" w:space="0" w:color="auto"/>
            <w:left w:val="none" w:sz="0" w:space="0" w:color="auto"/>
            <w:bottom w:val="none" w:sz="0" w:space="0" w:color="auto"/>
            <w:right w:val="none" w:sz="0" w:space="0" w:color="auto"/>
          </w:divBdr>
        </w:div>
      </w:divsChild>
    </w:div>
    <w:div w:id="617566234">
      <w:bodyDiv w:val="1"/>
      <w:marLeft w:val="0"/>
      <w:marRight w:val="0"/>
      <w:marTop w:val="0"/>
      <w:marBottom w:val="0"/>
      <w:divBdr>
        <w:top w:val="none" w:sz="0" w:space="0" w:color="auto"/>
        <w:left w:val="none" w:sz="0" w:space="0" w:color="auto"/>
        <w:bottom w:val="none" w:sz="0" w:space="0" w:color="auto"/>
        <w:right w:val="none" w:sz="0" w:space="0" w:color="auto"/>
      </w:divBdr>
    </w:div>
    <w:div w:id="629283875">
      <w:bodyDiv w:val="1"/>
      <w:marLeft w:val="0"/>
      <w:marRight w:val="0"/>
      <w:marTop w:val="0"/>
      <w:marBottom w:val="0"/>
      <w:divBdr>
        <w:top w:val="none" w:sz="0" w:space="0" w:color="auto"/>
        <w:left w:val="none" w:sz="0" w:space="0" w:color="auto"/>
        <w:bottom w:val="none" w:sz="0" w:space="0" w:color="auto"/>
        <w:right w:val="none" w:sz="0" w:space="0" w:color="auto"/>
      </w:divBdr>
    </w:div>
    <w:div w:id="632180267">
      <w:bodyDiv w:val="1"/>
      <w:marLeft w:val="0"/>
      <w:marRight w:val="0"/>
      <w:marTop w:val="0"/>
      <w:marBottom w:val="0"/>
      <w:divBdr>
        <w:top w:val="none" w:sz="0" w:space="0" w:color="auto"/>
        <w:left w:val="none" w:sz="0" w:space="0" w:color="auto"/>
        <w:bottom w:val="none" w:sz="0" w:space="0" w:color="auto"/>
        <w:right w:val="none" w:sz="0" w:space="0" w:color="auto"/>
      </w:divBdr>
    </w:div>
    <w:div w:id="632365295">
      <w:bodyDiv w:val="1"/>
      <w:marLeft w:val="0"/>
      <w:marRight w:val="0"/>
      <w:marTop w:val="0"/>
      <w:marBottom w:val="0"/>
      <w:divBdr>
        <w:top w:val="none" w:sz="0" w:space="0" w:color="auto"/>
        <w:left w:val="none" w:sz="0" w:space="0" w:color="auto"/>
        <w:bottom w:val="none" w:sz="0" w:space="0" w:color="auto"/>
        <w:right w:val="none" w:sz="0" w:space="0" w:color="auto"/>
      </w:divBdr>
    </w:div>
    <w:div w:id="632517682">
      <w:bodyDiv w:val="1"/>
      <w:marLeft w:val="0"/>
      <w:marRight w:val="0"/>
      <w:marTop w:val="0"/>
      <w:marBottom w:val="0"/>
      <w:divBdr>
        <w:top w:val="none" w:sz="0" w:space="0" w:color="auto"/>
        <w:left w:val="none" w:sz="0" w:space="0" w:color="auto"/>
        <w:bottom w:val="none" w:sz="0" w:space="0" w:color="auto"/>
        <w:right w:val="none" w:sz="0" w:space="0" w:color="auto"/>
      </w:divBdr>
    </w:div>
    <w:div w:id="633027712">
      <w:bodyDiv w:val="1"/>
      <w:marLeft w:val="0"/>
      <w:marRight w:val="0"/>
      <w:marTop w:val="0"/>
      <w:marBottom w:val="0"/>
      <w:divBdr>
        <w:top w:val="none" w:sz="0" w:space="0" w:color="auto"/>
        <w:left w:val="none" w:sz="0" w:space="0" w:color="auto"/>
        <w:bottom w:val="none" w:sz="0" w:space="0" w:color="auto"/>
        <w:right w:val="none" w:sz="0" w:space="0" w:color="auto"/>
      </w:divBdr>
    </w:div>
    <w:div w:id="634212849">
      <w:bodyDiv w:val="1"/>
      <w:marLeft w:val="0"/>
      <w:marRight w:val="0"/>
      <w:marTop w:val="0"/>
      <w:marBottom w:val="0"/>
      <w:divBdr>
        <w:top w:val="none" w:sz="0" w:space="0" w:color="auto"/>
        <w:left w:val="none" w:sz="0" w:space="0" w:color="auto"/>
        <w:bottom w:val="none" w:sz="0" w:space="0" w:color="auto"/>
        <w:right w:val="none" w:sz="0" w:space="0" w:color="auto"/>
      </w:divBdr>
    </w:div>
    <w:div w:id="635185732">
      <w:marLeft w:val="0"/>
      <w:marRight w:val="0"/>
      <w:marTop w:val="0"/>
      <w:marBottom w:val="0"/>
      <w:divBdr>
        <w:top w:val="none" w:sz="0" w:space="0" w:color="auto"/>
        <w:left w:val="none" w:sz="0" w:space="0" w:color="auto"/>
        <w:bottom w:val="none" w:sz="0" w:space="0" w:color="auto"/>
        <w:right w:val="none" w:sz="0" w:space="0" w:color="auto"/>
      </w:divBdr>
      <w:divsChild>
        <w:div w:id="1122842689">
          <w:marLeft w:val="0"/>
          <w:marRight w:val="0"/>
          <w:marTop w:val="0"/>
          <w:marBottom w:val="0"/>
          <w:divBdr>
            <w:top w:val="none" w:sz="0" w:space="0" w:color="auto"/>
            <w:left w:val="none" w:sz="0" w:space="0" w:color="auto"/>
            <w:bottom w:val="none" w:sz="0" w:space="0" w:color="auto"/>
            <w:right w:val="none" w:sz="0" w:space="0" w:color="auto"/>
          </w:divBdr>
        </w:div>
      </w:divsChild>
    </w:div>
    <w:div w:id="639842772">
      <w:bodyDiv w:val="1"/>
      <w:marLeft w:val="0"/>
      <w:marRight w:val="0"/>
      <w:marTop w:val="0"/>
      <w:marBottom w:val="0"/>
      <w:divBdr>
        <w:top w:val="none" w:sz="0" w:space="0" w:color="auto"/>
        <w:left w:val="none" w:sz="0" w:space="0" w:color="auto"/>
        <w:bottom w:val="none" w:sz="0" w:space="0" w:color="auto"/>
        <w:right w:val="none" w:sz="0" w:space="0" w:color="auto"/>
      </w:divBdr>
    </w:div>
    <w:div w:id="642197516">
      <w:bodyDiv w:val="1"/>
      <w:marLeft w:val="0"/>
      <w:marRight w:val="0"/>
      <w:marTop w:val="0"/>
      <w:marBottom w:val="0"/>
      <w:divBdr>
        <w:top w:val="none" w:sz="0" w:space="0" w:color="auto"/>
        <w:left w:val="none" w:sz="0" w:space="0" w:color="auto"/>
        <w:bottom w:val="none" w:sz="0" w:space="0" w:color="auto"/>
        <w:right w:val="none" w:sz="0" w:space="0" w:color="auto"/>
      </w:divBdr>
    </w:div>
    <w:div w:id="649165684">
      <w:bodyDiv w:val="1"/>
      <w:marLeft w:val="0"/>
      <w:marRight w:val="0"/>
      <w:marTop w:val="0"/>
      <w:marBottom w:val="0"/>
      <w:divBdr>
        <w:top w:val="none" w:sz="0" w:space="0" w:color="auto"/>
        <w:left w:val="none" w:sz="0" w:space="0" w:color="auto"/>
        <w:bottom w:val="none" w:sz="0" w:space="0" w:color="auto"/>
        <w:right w:val="none" w:sz="0" w:space="0" w:color="auto"/>
      </w:divBdr>
      <w:divsChild>
        <w:div w:id="1224097831">
          <w:marLeft w:val="0"/>
          <w:marRight w:val="0"/>
          <w:marTop w:val="0"/>
          <w:marBottom w:val="0"/>
          <w:divBdr>
            <w:top w:val="none" w:sz="0" w:space="0" w:color="auto"/>
            <w:left w:val="none" w:sz="0" w:space="0" w:color="auto"/>
            <w:bottom w:val="none" w:sz="0" w:space="0" w:color="auto"/>
            <w:right w:val="none" w:sz="0" w:space="0" w:color="auto"/>
          </w:divBdr>
        </w:div>
      </w:divsChild>
    </w:div>
    <w:div w:id="650838835">
      <w:bodyDiv w:val="1"/>
      <w:marLeft w:val="0"/>
      <w:marRight w:val="0"/>
      <w:marTop w:val="0"/>
      <w:marBottom w:val="0"/>
      <w:divBdr>
        <w:top w:val="none" w:sz="0" w:space="0" w:color="auto"/>
        <w:left w:val="none" w:sz="0" w:space="0" w:color="auto"/>
        <w:bottom w:val="none" w:sz="0" w:space="0" w:color="auto"/>
        <w:right w:val="none" w:sz="0" w:space="0" w:color="auto"/>
      </w:divBdr>
      <w:divsChild>
        <w:div w:id="442843385">
          <w:marLeft w:val="0"/>
          <w:marRight w:val="0"/>
          <w:marTop w:val="0"/>
          <w:marBottom w:val="0"/>
          <w:divBdr>
            <w:top w:val="none" w:sz="0" w:space="0" w:color="auto"/>
            <w:left w:val="none" w:sz="0" w:space="0" w:color="auto"/>
            <w:bottom w:val="none" w:sz="0" w:space="0" w:color="auto"/>
            <w:right w:val="none" w:sz="0" w:space="0" w:color="auto"/>
          </w:divBdr>
          <w:divsChild>
            <w:div w:id="172770947">
              <w:marLeft w:val="0"/>
              <w:marRight w:val="0"/>
              <w:marTop w:val="0"/>
              <w:marBottom w:val="0"/>
              <w:divBdr>
                <w:top w:val="none" w:sz="0" w:space="0" w:color="auto"/>
                <w:left w:val="none" w:sz="0" w:space="0" w:color="auto"/>
                <w:bottom w:val="none" w:sz="0" w:space="0" w:color="auto"/>
                <w:right w:val="none" w:sz="0" w:space="0" w:color="auto"/>
              </w:divBdr>
              <w:divsChild>
                <w:div w:id="2109504301">
                  <w:marLeft w:val="0"/>
                  <w:marRight w:val="0"/>
                  <w:marTop w:val="0"/>
                  <w:marBottom w:val="0"/>
                  <w:divBdr>
                    <w:top w:val="none" w:sz="0" w:space="0" w:color="auto"/>
                    <w:left w:val="none" w:sz="0" w:space="0" w:color="auto"/>
                    <w:bottom w:val="none" w:sz="0" w:space="0" w:color="auto"/>
                    <w:right w:val="none" w:sz="0" w:space="0" w:color="auto"/>
                  </w:divBdr>
                  <w:divsChild>
                    <w:div w:id="1656762578">
                      <w:marLeft w:val="0"/>
                      <w:marRight w:val="0"/>
                      <w:marTop w:val="0"/>
                      <w:marBottom w:val="0"/>
                      <w:divBdr>
                        <w:top w:val="none" w:sz="0" w:space="0" w:color="auto"/>
                        <w:left w:val="none" w:sz="0" w:space="0" w:color="auto"/>
                        <w:bottom w:val="none" w:sz="0" w:space="0" w:color="auto"/>
                        <w:right w:val="none" w:sz="0" w:space="0" w:color="auto"/>
                      </w:divBdr>
                      <w:divsChild>
                        <w:div w:id="97533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2679882">
      <w:bodyDiv w:val="1"/>
      <w:marLeft w:val="0"/>
      <w:marRight w:val="0"/>
      <w:marTop w:val="0"/>
      <w:marBottom w:val="0"/>
      <w:divBdr>
        <w:top w:val="none" w:sz="0" w:space="0" w:color="auto"/>
        <w:left w:val="none" w:sz="0" w:space="0" w:color="auto"/>
        <w:bottom w:val="none" w:sz="0" w:space="0" w:color="auto"/>
        <w:right w:val="none" w:sz="0" w:space="0" w:color="auto"/>
      </w:divBdr>
    </w:div>
    <w:div w:id="656689262">
      <w:bodyDiv w:val="1"/>
      <w:marLeft w:val="0"/>
      <w:marRight w:val="0"/>
      <w:marTop w:val="0"/>
      <w:marBottom w:val="0"/>
      <w:divBdr>
        <w:top w:val="none" w:sz="0" w:space="0" w:color="auto"/>
        <w:left w:val="none" w:sz="0" w:space="0" w:color="auto"/>
        <w:bottom w:val="none" w:sz="0" w:space="0" w:color="auto"/>
        <w:right w:val="none" w:sz="0" w:space="0" w:color="auto"/>
      </w:divBdr>
      <w:divsChild>
        <w:div w:id="918369992">
          <w:marLeft w:val="0"/>
          <w:marRight w:val="0"/>
          <w:marTop w:val="0"/>
          <w:marBottom w:val="0"/>
          <w:divBdr>
            <w:top w:val="none" w:sz="0" w:space="0" w:color="auto"/>
            <w:left w:val="none" w:sz="0" w:space="0" w:color="auto"/>
            <w:bottom w:val="none" w:sz="0" w:space="0" w:color="auto"/>
            <w:right w:val="none" w:sz="0" w:space="0" w:color="auto"/>
          </w:divBdr>
          <w:divsChild>
            <w:div w:id="1129860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3973578">
      <w:bodyDiv w:val="1"/>
      <w:marLeft w:val="0"/>
      <w:marRight w:val="0"/>
      <w:marTop w:val="0"/>
      <w:marBottom w:val="0"/>
      <w:divBdr>
        <w:top w:val="none" w:sz="0" w:space="0" w:color="auto"/>
        <w:left w:val="none" w:sz="0" w:space="0" w:color="auto"/>
        <w:bottom w:val="none" w:sz="0" w:space="0" w:color="auto"/>
        <w:right w:val="none" w:sz="0" w:space="0" w:color="auto"/>
      </w:divBdr>
    </w:div>
    <w:div w:id="666784734">
      <w:bodyDiv w:val="1"/>
      <w:marLeft w:val="0"/>
      <w:marRight w:val="0"/>
      <w:marTop w:val="0"/>
      <w:marBottom w:val="0"/>
      <w:divBdr>
        <w:top w:val="none" w:sz="0" w:space="0" w:color="auto"/>
        <w:left w:val="none" w:sz="0" w:space="0" w:color="auto"/>
        <w:bottom w:val="none" w:sz="0" w:space="0" w:color="auto"/>
        <w:right w:val="none" w:sz="0" w:space="0" w:color="auto"/>
      </w:divBdr>
    </w:div>
    <w:div w:id="675612838">
      <w:bodyDiv w:val="1"/>
      <w:marLeft w:val="0"/>
      <w:marRight w:val="0"/>
      <w:marTop w:val="0"/>
      <w:marBottom w:val="0"/>
      <w:divBdr>
        <w:top w:val="none" w:sz="0" w:space="0" w:color="auto"/>
        <w:left w:val="none" w:sz="0" w:space="0" w:color="auto"/>
        <w:bottom w:val="none" w:sz="0" w:space="0" w:color="auto"/>
        <w:right w:val="none" w:sz="0" w:space="0" w:color="auto"/>
      </w:divBdr>
    </w:div>
    <w:div w:id="683169368">
      <w:bodyDiv w:val="1"/>
      <w:marLeft w:val="0"/>
      <w:marRight w:val="0"/>
      <w:marTop w:val="0"/>
      <w:marBottom w:val="0"/>
      <w:divBdr>
        <w:top w:val="none" w:sz="0" w:space="0" w:color="auto"/>
        <w:left w:val="none" w:sz="0" w:space="0" w:color="auto"/>
        <w:bottom w:val="none" w:sz="0" w:space="0" w:color="auto"/>
        <w:right w:val="none" w:sz="0" w:space="0" w:color="auto"/>
      </w:divBdr>
      <w:divsChild>
        <w:div w:id="1855145326">
          <w:marLeft w:val="0"/>
          <w:marRight w:val="0"/>
          <w:marTop w:val="0"/>
          <w:marBottom w:val="0"/>
          <w:divBdr>
            <w:top w:val="none" w:sz="0" w:space="0" w:color="auto"/>
            <w:left w:val="none" w:sz="0" w:space="0" w:color="auto"/>
            <w:bottom w:val="none" w:sz="0" w:space="0" w:color="auto"/>
            <w:right w:val="none" w:sz="0" w:space="0" w:color="auto"/>
          </w:divBdr>
        </w:div>
      </w:divsChild>
    </w:div>
    <w:div w:id="685406588">
      <w:bodyDiv w:val="1"/>
      <w:marLeft w:val="0"/>
      <w:marRight w:val="0"/>
      <w:marTop w:val="0"/>
      <w:marBottom w:val="0"/>
      <w:divBdr>
        <w:top w:val="none" w:sz="0" w:space="0" w:color="auto"/>
        <w:left w:val="none" w:sz="0" w:space="0" w:color="auto"/>
        <w:bottom w:val="none" w:sz="0" w:space="0" w:color="auto"/>
        <w:right w:val="none" w:sz="0" w:space="0" w:color="auto"/>
      </w:divBdr>
    </w:div>
    <w:div w:id="691222412">
      <w:bodyDiv w:val="1"/>
      <w:marLeft w:val="0"/>
      <w:marRight w:val="0"/>
      <w:marTop w:val="0"/>
      <w:marBottom w:val="0"/>
      <w:divBdr>
        <w:top w:val="none" w:sz="0" w:space="0" w:color="auto"/>
        <w:left w:val="none" w:sz="0" w:space="0" w:color="auto"/>
        <w:bottom w:val="none" w:sz="0" w:space="0" w:color="auto"/>
        <w:right w:val="none" w:sz="0" w:space="0" w:color="auto"/>
      </w:divBdr>
      <w:divsChild>
        <w:div w:id="991981910">
          <w:marLeft w:val="0"/>
          <w:marRight w:val="0"/>
          <w:marTop w:val="0"/>
          <w:marBottom w:val="0"/>
          <w:divBdr>
            <w:top w:val="none" w:sz="0" w:space="0" w:color="auto"/>
            <w:left w:val="none" w:sz="0" w:space="0" w:color="auto"/>
            <w:bottom w:val="none" w:sz="0" w:space="0" w:color="auto"/>
            <w:right w:val="none" w:sz="0" w:space="0" w:color="auto"/>
          </w:divBdr>
        </w:div>
      </w:divsChild>
    </w:div>
    <w:div w:id="692651021">
      <w:bodyDiv w:val="1"/>
      <w:marLeft w:val="0"/>
      <w:marRight w:val="0"/>
      <w:marTop w:val="0"/>
      <w:marBottom w:val="0"/>
      <w:divBdr>
        <w:top w:val="none" w:sz="0" w:space="0" w:color="auto"/>
        <w:left w:val="none" w:sz="0" w:space="0" w:color="auto"/>
        <w:bottom w:val="none" w:sz="0" w:space="0" w:color="auto"/>
        <w:right w:val="none" w:sz="0" w:space="0" w:color="auto"/>
      </w:divBdr>
    </w:div>
    <w:div w:id="694036730">
      <w:bodyDiv w:val="1"/>
      <w:marLeft w:val="0"/>
      <w:marRight w:val="0"/>
      <w:marTop w:val="0"/>
      <w:marBottom w:val="0"/>
      <w:divBdr>
        <w:top w:val="none" w:sz="0" w:space="0" w:color="auto"/>
        <w:left w:val="none" w:sz="0" w:space="0" w:color="auto"/>
        <w:bottom w:val="none" w:sz="0" w:space="0" w:color="auto"/>
        <w:right w:val="none" w:sz="0" w:space="0" w:color="auto"/>
      </w:divBdr>
    </w:div>
    <w:div w:id="696808808">
      <w:bodyDiv w:val="1"/>
      <w:marLeft w:val="0"/>
      <w:marRight w:val="0"/>
      <w:marTop w:val="0"/>
      <w:marBottom w:val="0"/>
      <w:divBdr>
        <w:top w:val="none" w:sz="0" w:space="0" w:color="auto"/>
        <w:left w:val="none" w:sz="0" w:space="0" w:color="auto"/>
        <w:bottom w:val="none" w:sz="0" w:space="0" w:color="auto"/>
        <w:right w:val="none" w:sz="0" w:space="0" w:color="auto"/>
      </w:divBdr>
    </w:div>
    <w:div w:id="696850208">
      <w:bodyDiv w:val="1"/>
      <w:marLeft w:val="0"/>
      <w:marRight w:val="0"/>
      <w:marTop w:val="0"/>
      <w:marBottom w:val="0"/>
      <w:divBdr>
        <w:top w:val="none" w:sz="0" w:space="0" w:color="auto"/>
        <w:left w:val="none" w:sz="0" w:space="0" w:color="auto"/>
        <w:bottom w:val="none" w:sz="0" w:space="0" w:color="auto"/>
        <w:right w:val="none" w:sz="0" w:space="0" w:color="auto"/>
      </w:divBdr>
    </w:div>
    <w:div w:id="698241474">
      <w:bodyDiv w:val="1"/>
      <w:marLeft w:val="0"/>
      <w:marRight w:val="0"/>
      <w:marTop w:val="0"/>
      <w:marBottom w:val="0"/>
      <w:divBdr>
        <w:top w:val="none" w:sz="0" w:space="0" w:color="auto"/>
        <w:left w:val="none" w:sz="0" w:space="0" w:color="auto"/>
        <w:bottom w:val="none" w:sz="0" w:space="0" w:color="auto"/>
        <w:right w:val="none" w:sz="0" w:space="0" w:color="auto"/>
      </w:divBdr>
    </w:div>
    <w:div w:id="698555337">
      <w:bodyDiv w:val="1"/>
      <w:marLeft w:val="0"/>
      <w:marRight w:val="0"/>
      <w:marTop w:val="0"/>
      <w:marBottom w:val="0"/>
      <w:divBdr>
        <w:top w:val="none" w:sz="0" w:space="0" w:color="auto"/>
        <w:left w:val="none" w:sz="0" w:space="0" w:color="auto"/>
        <w:bottom w:val="none" w:sz="0" w:space="0" w:color="auto"/>
        <w:right w:val="none" w:sz="0" w:space="0" w:color="auto"/>
      </w:divBdr>
      <w:divsChild>
        <w:div w:id="512695629">
          <w:marLeft w:val="0"/>
          <w:marRight w:val="0"/>
          <w:marTop w:val="0"/>
          <w:marBottom w:val="0"/>
          <w:divBdr>
            <w:top w:val="none" w:sz="0" w:space="0" w:color="auto"/>
            <w:left w:val="none" w:sz="0" w:space="0" w:color="auto"/>
            <w:bottom w:val="none" w:sz="0" w:space="0" w:color="auto"/>
            <w:right w:val="none" w:sz="0" w:space="0" w:color="auto"/>
          </w:divBdr>
        </w:div>
      </w:divsChild>
    </w:div>
    <w:div w:id="701783441">
      <w:bodyDiv w:val="1"/>
      <w:marLeft w:val="0"/>
      <w:marRight w:val="0"/>
      <w:marTop w:val="0"/>
      <w:marBottom w:val="0"/>
      <w:divBdr>
        <w:top w:val="none" w:sz="0" w:space="0" w:color="auto"/>
        <w:left w:val="none" w:sz="0" w:space="0" w:color="auto"/>
        <w:bottom w:val="none" w:sz="0" w:space="0" w:color="auto"/>
        <w:right w:val="none" w:sz="0" w:space="0" w:color="auto"/>
      </w:divBdr>
      <w:divsChild>
        <w:div w:id="791900088">
          <w:marLeft w:val="0"/>
          <w:marRight w:val="0"/>
          <w:marTop w:val="0"/>
          <w:marBottom w:val="0"/>
          <w:divBdr>
            <w:top w:val="none" w:sz="0" w:space="0" w:color="auto"/>
            <w:left w:val="none" w:sz="0" w:space="0" w:color="auto"/>
            <w:bottom w:val="none" w:sz="0" w:space="0" w:color="auto"/>
            <w:right w:val="none" w:sz="0" w:space="0" w:color="auto"/>
          </w:divBdr>
        </w:div>
      </w:divsChild>
    </w:div>
    <w:div w:id="703604685">
      <w:bodyDiv w:val="1"/>
      <w:marLeft w:val="0"/>
      <w:marRight w:val="0"/>
      <w:marTop w:val="0"/>
      <w:marBottom w:val="0"/>
      <w:divBdr>
        <w:top w:val="none" w:sz="0" w:space="0" w:color="auto"/>
        <w:left w:val="none" w:sz="0" w:space="0" w:color="auto"/>
        <w:bottom w:val="none" w:sz="0" w:space="0" w:color="auto"/>
        <w:right w:val="none" w:sz="0" w:space="0" w:color="auto"/>
      </w:divBdr>
    </w:div>
    <w:div w:id="709376850">
      <w:marLeft w:val="0"/>
      <w:marRight w:val="0"/>
      <w:marTop w:val="0"/>
      <w:marBottom w:val="0"/>
      <w:divBdr>
        <w:top w:val="none" w:sz="0" w:space="0" w:color="auto"/>
        <w:left w:val="none" w:sz="0" w:space="0" w:color="auto"/>
        <w:bottom w:val="none" w:sz="0" w:space="0" w:color="auto"/>
        <w:right w:val="none" w:sz="0" w:space="0" w:color="auto"/>
      </w:divBdr>
      <w:divsChild>
        <w:div w:id="1014382264">
          <w:marLeft w:val="0"/>
          <w:marRight w:val="0"/>
          <w:marTop w:val="0"/>
          <w:marBottom w:val="0"/>
          <w:divBdr>
            <w:top w:val="none" w:sz="0" w:space="0" w:color="auto"/>
            <w:left w:val="none" w:sz="0" w:space="0" w:color="auto"/>
            <w:bottom w:val="none" w:sz="0" w:space="0" w:color="auto"/>
            <w:right w:val="none" w:sz="0" w:space="0" w:color="auto"/>
          </w:divBdr>
        </w:div>
      </w:divsChild>
    </w:div>
    <w:div w:id="711343190">
      <w:bodyDiv w:val="1"/>
      <w:marLeft w:val="0"/>
      <w:marRight w:val="0"/>
      <w:marTop w:val="0"/>
      <w:marBottom w:val="0"/>
      <w:divBdr>
        <w:top w:val="none" w:sz="0" w:space="0" w:color="auto"/>
        <w:left w:val="none" w:sz="0" w:space="0" w:color="auto"/>
        <w:bottom w:val="none" w:sz="0" w:space="0" w:color="auto"/>
        <w:right w:val="none" w:sz="0" w:space="0" w:color="auto"/>
      </w:divBdr>
      <w:divsChild>
        <w:div w:id="156771622">
          <w:marLeft w:val="0"/>
          <w:marRight w:val="0"/>
          <w:marTop w:val="0"/>
          <w:marBottom w:val="0"/>
          <w:divBdr>
            <w:top w:val="none" w:sz="0" w:space="0" w:color="auto"/>
            <w:left w:val="none" w:sz="0" w:space="0" w:color="auto"/>
            <w:bottom w:val="none" w:sz="0" w:space="0" w:color="auto"/>
            <w:right w:val="none" w:sz="0" w:space="0" w:color="auto"/>
          </w:divBdr>
        </w:div>
      </w:divsChild>
    </w:div>
    <w:div w:id="716078685">
      <w:bodyDiv w:val="1"/>
      <w:marLeft w:val="0"/>
      <w:marRight w:val="0"/>
      <w:marTop w:val="0"/>
      <w:marBottom w:val="0"/>
      <w:divBdr>
        <w:top w:val="none" w:sz="0" w:space="0" w:color="auto"/>
        <w:left w:val="none" w:sz="0" w:space="0" w:color="auto"/>
        <w:bottom w:val="none" w:sz="0" w:space="0" w:color="auto"/>
        <w:right w:val="none" w:sz="0" w:space="0" w:color="auto"/>
      </w:divBdr>
    </w:div>
    <w:div w:id="717818799">
      <w:marLeft w:val="0"/>
      <w:marRight w:val="0"/>
      <w:marTop w:val="0"/>
      <w:marBottom w:val="0"/>
      <w:divBdr>
        <w:top w:val="none" w:sz="0" w:space="0" w:color="auto"/>
        <w:left w:val="none" w:sz="0" w:space="0" w:color="auto"/>
        <w:bottom w:val="none" w:sz="0" w:space="0" w:color="auto"/>
        <w:right w:val="none" w:sz="0" w:space="0" w:color="auto"/>
      </w:divBdr>
      <w:divsChild>
        <w:div w:id="1379206812">
          <w:marLeft w:val="0"/>
          <w:marRight w:val="0"/>
          <w:marTop w:val="0"/>
          <w:marBottom w:val="0"/>
          <w:divBdr>
            <w:top w:val="none" w:sz="0" w:space="0" w:color="auto"/>
            <w:left w:val="none" w:sz="0" w:space="0" w:color="auto"/>
            <w:bottom w:val="none" w:sz="0" w:space="0" w:color="auto"/>
            <w:right w:val="none" w:sz="0" w:space="0" w:color="auto"/>
          </w:divBdr>
        </w:div>
      </w:divsChild>
    </w:div>
    <w:div w:id="721294724">
      <w:bodyDiv w:val="1"/>
      <w:marLeft w:val="0"/>
      <w:marRight w:val="0"/>
      <w:marTop w:val="0"/>
      <w:marBottom w:val="0"/>
      <w:divBdr>
        <w:top w:val="none" w:sz="0" w:space="0" w:color="auto"/>
        <w:left w:val="none" w:sz="0" w:space="0" w:color="auto"/>
        <w:bottom w:val="none" w:sz="0" w:space="0" w:color="auto"/>
        <w:right w:val="none" w:sz="0" w:space="0" w:color="auto"/>
      </w:divBdr>
      <w:divsChild>
        <w:div w:id="529299495">
          <w:marLeft w:val="0"/>
          <w:marRight w:val="0"/>
          <w:marTop w:val="0"/>
          <w:marBottom w:val="0"/>
          <w:divBdr>
            <w:top w:val="none" w:sz="0" w:space="0" w:color="auto"/>
            <w:left w:val="none" w:sz="0" w:space="0" w:color="auto"/>
            <w:bottom w:val="none" w:sz="0" w:space="0" w:color="auto"/>
            <w:right w:val="none" w:sz="0" w:space="0" w:color="auto"/>
          </w:divBdr>
        </w:div>
      </w:divsChild>
    </w:div>
    <w:div w:id="727647592">
      <w:bodyDiv w:val="1"/>
      <w:marLeft w:val="0"/>
      <w:marRight w:val="0"/>
      <w:marTop w:val="0"/>
      <w:marBottom w:val="0"/>
      <w:divBdr>
        <w:top w:val="none" w:sz="0" w:space="0" w:color="auto"/>
        <w:left w:val="none" w:sz="0" w:space="0" w:color="auto"/>
        <w:bottom w:val="none" w:sz="0" w:space="0" w:color="auto"/>
        <w:right w:val="none" w:sz="0" w:space="0" w:color="auto"/>
      </w:divBdr>
    </w:div>
    <w:div w:id="731733570">
      <w:bodyDiv w:val="1"/>
      <w:marLeft w:val="0"/>
      <w:marRight w:val="0"/>
      <w:marTop w:val="0"/>
      <w:marBottom w:val="0"/>
      <w:divBdr>
        <w:top w:val="none" w:sz="0" w:space="0" w:color="auto"/>
        <w:left w:val="none" w:sz="0" w:space="0" w:color="auto"/>
        <w:bottom w:val="none" w:sz="0" w:space="0" w:color="auto"/>
        <w:right w:val="none" w:sz="0" w:space="0" w:color="auto"/>
      </w:divBdr>
    </w:div>
    <w:div w:id="739403437">
      <w:bodyDiv w:val="1"/>
      <w:marLeft w:val="0"/>
      <w:marRight w:val="0"/>
      <w:marTop w:val="0"/>
      <w:marBottom w:val="0"/>
      <w:divBdr>
        <w:top w:val="none" w:sz="0" w:space="0" w:color="auto"/>
        <w:left w:val="none" w:sz="0" w:space="0" w:color="auto"/>
        <w:bottom w:val="none" w:sz="0" w:space="0" w:color="auto"/>
        <w:right w:val="none" w:sz="0" w:space="0" w:color="auto"/>
      </w:divBdr>
    </w:div>
    <w:div w:id="743182519">
      <w:bodyDiv w:val="1"/>
      <w:marLeft w:val="0"/>
      <w:marRight w:val="0"/>
      <w:marTop w:val="0"/>
      <w:marBottom w:val="0"/>
      <w:divBdr>
        <w:top w:val="none" w:sz="0" w:space="0" w:color="auto"/>
        <w:left w:val="none" w:sz="0" w:space="0" w:color="auto"/>
        <w:bottom w:val="none" w:sz="0" w:space="0" w:color="auto"/>
        <w:right w:val="none" w:sz="0" w:space="0" w:color="auto"/>
      </w:divBdr>
    </w:div>
    <w:div w:id="749697270">
      <w:bodyDiv w:val="1"/>
      <w:marLeft w:val="0"/>
      <w:marRight w:val="0"/>
      <w:marTop w:val="0"/>
      <w:marBottom w:val="0"/>
      <w:divBdr>
        <w:top w:val="none" w:sz="0" w:space="0" w:color="auto"/>
        <w:left w:val="none" w:sz="0" w:space="0" w:color="auto"/>
        <w:bottom w:val="none" w:sz="0" w:space="0" w:color="auto"/>
        <w:right w:val="none" w:sz="0" w:space="0" w:color="auto"/>
      </w:divBdr>
      <w:divsChild>
        <w:div w:id="263151000">
          <w:marLeft w:val="0"/>
          <w:marRight w:val="0"/>
          <w:marTop w:val="0"/>
          <w:marBottom w:val="0"/>
          <w:divBdr>
            <w:top w:val="none" w:sz="0" w:space="0" w:color="auto"/>
            <w:left w:val="none" w:sz="0" w:space="0" w:color="auto"/>
            <w:bottom w:val="none" w:sz="0" w:space="0" w:color="auto"/>
            <w:right w:val="none" w:sz="0" w:space="0" w:color="auto"/>
          </w:divBdr>
        </w:div>
      </w:divsChild>
    </w:div>
    <w:div w:id="750128774">
      <w:bodyDiv w:val="1"/>
      <w:marLeft w:val="0"/>
      <w:marRight w:val="0"/>
      <w:marTop w:val="0"/>
      <w:marBottom w:val="0"/>
      <w:divBdr>
        <w:top w:val="none" w:sz="0" w:space="0" w:color="auto"/>
        <w:left w:val="none" w:sz="0" w:space="0" w:color="auto"/>
        <w:bottom w:val="none" w:sz="0" w:space="0" w:color="auto"/>
        <w:right w:val="none" w:sz="0" w:space="0" w:color="auto"/>
      </w:divBdr>
    </w:div>
    <w:div w:id="753018762">
      <w:bodyDiv w:val="1"/>
      <w:marLeft w:val="0"/>
      <w:marRight w:val="0"/>
      <w:marTop w:val="0"/>
      <w:marBottom w:val="0"/>
      <w:divBdr>
        <w:top w:val="none" w:sz="0" w:space="0" w:color="auto"/>
        <w:left w:val="none" w:sz="0" w:space="0" w:color="auto"/>
        <w:bottom w:val="none" w:sz="0" w:space="0" w:color="auto"/>
        <w:right w:val="none" w:sz="0" w:space="0" w:color="auto"/>
      </w:divBdr>
      <w:divsChild>
        <w:div w:id="716053110">
          <w:marLeft w:val="0"/>
          <w:marRight w:val="0"/>
          <w:marTop w:val="0"/>
          <w:marBottom w:val="0"/>
          <w:divBdr>
            <w:top w:val="none" w:sz="0" w:space="0" w:color="auto"/>
            <w:left w:val="none" w:sz="0" w:space="0" w:color="auto"/>
            <w:bottom w:val="none" w:sz="0" w:space="0" w:color="auto"/>
            <w:right w:val="none" w:sz="0" w:space="0" w:color="auto"/>
          </w:divBdr>
          <w:divsChild>
            <w:div w:id="65231592">
              <w:marLeft w:val="0"/>
              <w:marRight w:val="0"/>
              <w:marTop w:val="0"/>
              <w:marBottom w:val="0"/>
              <w:divBdr>
                <w:top w:val="none" w:sz="0" w:space="0" w:color="auto"/>
                <w:left w:val="none" w:sz="0" w:space="0" w:color="auto"/>
                <w:bottom w:val="none" w:sz="0" w:space="0" w:color="auto"/>
                <w:right w:val="none" w:sz="0" w:space="0" w:color="auto"/>
              </w:divBdr>
              <w:divsChild>
                <w:div w:id="1522010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4089384">
          <w:marLeft w:val="0"/>
          <w:marRight w:val="0"/>
          <w:marTop w:val="0"/>
          <w:marBottom w:val="450"/>
          <w:divBdr>
            <w:top w:val="none" w:sz="0" w:space="0" w:color="auto"/>
            <w:left w:val="none" w:sz="0" w:space="0" w:color="auto"/>
            <w:bottom w:val="none" w:sz="0" w:space="0" w:color="auto"/>
            <w:right w:val="none" w:sz="0" w:space="0" w:color="auto"/>
          </w:divBdr>
          <w:divsChild>
            <w:div w:id="105464485">
              <w:marLeft w:val="0"/>
              <w:marRight w:val="0"/>
              <w:marTop w:val="0"/>
              <w:marBottom w:val="0"/>
              <w:divBdr>
                <w:top w:val="none" w:sz="0" w:space="0" w:color="auto"/>
                <w:left w:val="none" w:sz="0" w:space="0" w:color="auto"/>
                <w:bottom w:val="none" w:sz="0" w:space="0" w:color="auto"/>
                <w:right w:val="none" w:sz="0" w:space="0" w:color="auto"/>
              </w:divBdr>
              <w:divsChild>
                <w:div w:id="1865242960">
                  <w:marLeft w:val="0"/>
                  <w:marRight w:val="0"/>
                  <w:marTop w:val="0"/>
                  <w:marBottom w:val="0"/>
                  <w:divBdr>
                    <w:top w:val="none" w:sz="0" w:space="0" w:color="auto"/>
                    <w:left w:val="none" w:sz="0" w:space="0" w:color="auto"/>
                    <w:bottom w:val="none" w:sz="0" w:space="0" w:color="auto"/>
                    <w:right w:val="none" w:sz="0" w:space="0" w:color="auto"/>
                  </w:divBdr>
                  <w:divsChild>
                    <w:div w:id="590623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7520786">
          <w:marLeft w:val="0"/>
          <w:marRight w:val="0"/>
          <w:marTop w:val="0"/>
          <w:marBottom w:val="0"/>
          <w:divBdr>
            <w:top w:val="none" w:sz="0" w:space="0" w:color="auto"/>
            <w:left w:val="none" w:sz="0" w:space="0" w:color="auto"/>
            <w:bottom w:val="none" w:sz="0" w:space="0" w:color="auto"/>
            <w:right w:val="none" w:sz="0" w:space="0" w:color="auto"/>
          </w:divBdr>
          <w:divsChild>
            <w:div w:id="424345929">
              <w:marLeft w:val="0"/>
              <w:marRight w:val="0"/>
              <w:marTop w:val="0"/>
              <w:marBottom w:val="0"/>
              <w:divBdr>
                <w:top w:val="none" w:sz="0" w:space="0" w:color="auto"/>
                <w:left w:val="none" w:sz="0" w:space="0" w:color="auto"/>
                <w:bottom w:val="none" w:sz="0" w:space="0" w:color="auto"/>
                <w:right w:val="none" w:sz="0" w:space="0" w:color="auto"/>
              </w:divBdr>
              <w:divsChild>
                <w:div w:id="387269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3626368">
      <w:bodyDiv w:val="1"/>
      <w:marLeft w:val="0"/>
      <w:marRight w:val="0"/>
      <w:marTop w:val="0"/>
      <w:marBottom w:val="0"/>
      <w:divBdr>
        <w:top w:val="none" w:sz="0" w:space="0" w:color="auto"/>
        <w:left w:val="none" w:sz="0" w:space="0" w:color="auto"/>
        <w:bottom w:val="none" w:sz="0" w:space="0" w:color="auto"/>
        <w:right w:val="none" w:sz="0" w:space="0" w:color="auto"/>
      </w:divBdr>
      <w:divsChild>
        <w:div w:id="1977684437">
          <w:marLeft w:val="0"/>
          <w:marRight w:val="0"/>
          <w:marTop w:val="0"/>
          <w:marBottom w:val="0"/>
          <w:divBdr>
            <w:top w:val="none" w:sz="0" w:space="0" w:color="auto"/>
            <w:left w:val="none" w:sz="0" w:space="0" w:color="auto"/>
            <w:bottom w:val="none" w:sz="0" w:space="0" w:color="auto"/>
            <w:right w:val="none" w:sz="0" w:space="0" w:color="auto"/>
          </w:divBdr>
        </w:div>
      </w:divsChild>
    </w:div>
    <w:div w:id="758141953">
      <w:bodyDiv w:val="1"/>
      <w:marLeft w:val="0"/>
      <w:marRight w:val="0"/>
      <w:marTop w:val="0"/>
      <w:marBottom w:val="0"/>
      <w:divBdr>
        <w:top w:val="none" w:sz="0" w:space="0" w:color="auto"/>
        <w:left w:val="none" w:sz="0" w:space="0" w:color="auto"/>
        <w:bottom w:val="none" w:sz="0" w:space="0" w:color="auto"/>
        <w:right w:val="none" w:sz="0" w:space="0" w:color="auto"/>
      </w:divBdr>
    </w:div>
    <w:div w:id="762578268">
      <w:marLeft w:val="0"/>
      <w:marRight w:val="0"/>
      <w:marTop w:val="0"/>
      <w:marBottom w:val="0"/>
      <w:divBdr>
        <w:top w:val="none" w:sz="0" w:space="0" w:color="auto"/>
        <w:left w:val="none" w:sz="0" w:space="0" w:color="auto"/>
        <w:bottom w:val="none" w:sz="0" w:space="0" w:color="auto"/>
        <w:right w:val="none" w:sz="0" w:space="0" w:color="auto"/>
      </w:divBdr>
      <w:divsChild>
        <w:div w:id="986974403">
          <w:marLeft w:val="0"/>
          <w:marRight w:val="0"/>
          <w:marTop w:val="0"/>
          <w:marBottom w:val="0"/>
          <w:divBdr>
            <w:top w:val="none" w:sz="0" w:space="0" w:color="auto"/>
            <w:left w:val="none" w:sz="0" w:space="0" w:color="auto"/>
            <w:bottom w:val="none" w:sz="0" w:space="0" w:color="auto"/>
            <w:right w:val="none" w:sz="0" w:space="0" w:color="auto"/>
          </w:divBdr>
        </w:div>
      </w:divsChild>
    </w:div>
    <w:div w:id="762992251">
      <w:bodyDiv w:val="1"/>
      <w:marLeft w:val="0"/>
      <w:marRight w:val="0"/>
      <w:marTop w:val="0"/>
      <w:marBottom w:val="0"/>
      <w:divBdr>
        <w:top w:val="none" w:sz="0" w:space="0" w:color="auto"/>
        <w:left w:val="none" w:sz="0" w:space="0" w:color="auto"/>
        <w:bottom w:val="none" w:sz="0" w:space="0" w:color="auto"/>
        <w:right w:val="none" w:sz="0" w:space="0" w:color="auto"/>
      </w:divBdr>
      <w:divsChild>
        <w:div w:id="1812138519">
          <w:marLeft w:val="0"/>
          <w:marRight w:val="0"/>
          <w:marTop w:val="0"/>
          <w:marBottom w:val="0"/>
          <w:divBdr>
            <w:top w:val="none" w:sz="0" w:space="0" w:color="auto"/>
            <w:left w:val="none" w:sz="0" w:space="0" w:color="auto"/>
            <w:bottom w:val="none" w:sz="0" w:space="0" w:color="auto"/>
            <w:right w:val="none" w:sz="0" w:space="0" w:color="auto"/>
          </w:divBdr>
        </w:div>
      </w:divsChild>
    </w:div>
    <w:div w:id="778990450">
      <w:bodyDiv w:val="1"/>
      <w:marLeft w:val="0"/>
      <w:marRight w:val="0"/>
      <w:marTop w:val="0"/>
      <w:marBottom w:val="0"/>
      <w:divBdr>
        <w:top w:val="none" w:sz="0" w:space="0" w:color="auto"/>
        <w:left w:val="none" w:sz="0" w:space="0" w:color="auto"/>
        <w:bottom w:val="none" w:sz="0" w:space="0" w:color="auto"/>
        <w:right w:val="none" w:sz="0" w:space="0" w:color="auto"/>
      </w:divBdr>
    </w:div>
    <w:div w:id="779179802">
      <w:bodyDiv w:val="1"/>
      <w:marLeft w:val="0"/>
      <w:marRight w:val="0"/>
      <w:marTop w:val="0"/>
      <w:marBottom w:val="0"/>
      <w:divBdr>
        <w:top w:val="none" w:sz="0" w:space="0" w:color="auto"/>
        <w:left w:val="none" w:sz="0" w:space="0" w:color="auto"/>
        <w:bottom w:val="none" w:sz="0" w:space="0" w:color="auto"/>
        <w:right w:val="none" w:sz="0" w:space="0" w:color="auto"/>
      </w:divBdr>
      <w:divsChild>
        <w:div w:id="1758936792">
          <w:marLeft w:val="0"/>
          <w:marRight w:val="0"/>
          <w:marTop w:val="0"/>
          <w:marBottom w:val="0"/>
          <w:divBdr>
            <w:top w:val="none" w:sz="0" w:space="0" w:color="auto"/>
            <w:left w:val="none" w:sz="0" w:space="0" w:color="auto"/>
            <w:bottom w:val="none" w:sz="0" w:space="0" w:color="auto"/>
            <w:right w:val="none" w:sz="0" w:space="0" w:color="auto"/>
          </w:divBdr>
          <w:divsChild>
            <w:div w:id="1995252060">
              <w:marLeft w:val="0"/>
              <w:marRight w:val="0"/>
              <w:marTop w:val="0"/>
              <w:marBottom w:val="0"/>
              <w:divBdr>
                <w:top w:val="none" w:sz="0" w:space="0" w:color="auto"/>
                <w:left w:val="none" w:sz="0" w:space="0" w:color="auto"/>
                <w:bottom w:val="none" w:sz="0" w:space="0" w:color="auto"/>
                <w:right w:val="none" w:sz="0" w:space="0" w:color="auto"/>
              </w:divBdr>
              <w:divsChild>
                <w:div w:id="240649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9690120">
          <w:marLeft w:val="0"/>
          <w:marRight w:val="0"/>
          <w:marTop w:val="0"/>
          <w:marBottom w:val="450"/>
          <w:divBdr>
            <w:top w:val="none" w:sz="0" w:space="0" w:color="auto"/>
            <w:left w:val="none" w:sz="0" w:space="0" w:color="auto"/>
            <w:bottom w:val="none" w:sz="0" w:space="0" w:color="auto"/>
            <w:right w:val="none" w:sz="0" w:space="0" w:color="auto"/>
          </w:divBdr>
          <w:divsChild>
            <w:div w:id="489566154">
              <w:marLeft w:val="0"/>
              <w:marRight w:val="0"/>
              <w:marTop w:val="0"/>
              <w:marBottom w:val="0"/>
              <w:divBdr>
                <w:top w:val="none" w:sz="0" w:space="0" w:color="auto"/>
                <w:left w:val="none" w:sz="0" w:space="0" w:color="auto"/>
                <w:bottom w:val="none" w:sz="0" w:space="0" w:color="auto"/>
                <w:right w:val="none" w:sz="0" w:space="0" w:color="auto"/>
              </w:divBdr>
              <w:divsChild>
                <w:div w:id="1952779242">
                  <w:marLeft w:val="0"/>
                  <w:marRight w:val="0"/>
                  <w:marTop w:val="0"/>
                  <w:marBottom w:val="0"/>
                  <w:divBdr>
                    <w:top w:val="none" w:sz="0" w:space="0" w:color="auto"/>
                    <w:left w:val="none" w:sz="0" w:space="0" w:color="auto"/>
                    <w:bottom w:val="none" w:sz="0" w:space="0" w:color="auto"/>
                    <w:right w:val="none" w:sz="0" w:space="0" w:color="auto"/>
                  </w:divBdr>
                  <w:divsChild>
                    <w:div w:id="172186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3140919">
      <w:bodyDiv w:val="1"/>
      <w:marLeft w:val="0"/>
      <w:marRight w:val="0"/>
      <w:marTop w:val="0"/>
      <w:marBottom w:val="0"/>
      <w:divBdr>
        <w:top w:val="none" w:sz="0" w:space="0" w:color="auto"/>
        <w:left w:val="none" w:sz="0" w:space="0" w:color="auto"/>
        <w:bottom w:val="none" w:sz="0" w:space="0" w:color="auto"/>
        <w:right w:val="none" w:sz="0" w:space="0" w:color="auto"/>
      </w:divBdr>
    </w:div>
    <w:div w:id="806631967">
      <w:bodyDiv w:val="1"/>
      <w:marLeft w:val="0"/>
      <w:marRight w:val="0"/>
      <w:marTop w:val="0"/>
      <w:marBottom w:val="0"/>
      <w:divBdr>
        <w:top w:val="none" w:sz="0" w:space="0" w:color="auto"/>
        <w:left w:val="none" w:sz="0" w:space="0" w:color="auto"/>
        <w:bottom w:val="none" w:sz="0" w:space="0" w:color="auto"/>
        <w:right w:val="none" w:sz="0" w:space="0" w:color="auto"/>
      </w:divBdr>
    </w:div>
    <w:div w:id="811363579">
      <w:bodyDiv w:val="1"/>
      <w:marLeft w:val="0"/>
      <w:marRight w:val="0"/>
      <w:marTop w:val="0"/>
      <w:marBottom w:val="0"/>
      <w:divBdr>
        <w:top w:val="none" w:sz="0" w:space="0" w:color="auto"/>
        <w:left w:val="none" w:sz="0" w:space="0" w:color="auto"/>
        <w:bottom w:val="none" w:sz="0" w:space="0" w:color="auto"/>
        <w:right w:val="none" w:sz="0" w:space="0" w:color="auto"/>
      </w:divBdr>
    </w:div>
    <w:div w:id="814831690">
      <w:bodyDiv w:val="1"/>
      <w:marLeft w:val="0"/>
      <w:marRight w:val="0"/>
      <w:marTop w:val="0"/>
      <w:marBottom w:val="0"/>
      <w:divBdr>
        <w:top w:val="none" w:sz="0" w:space="0" w:color="auto"/>
        <w:left w:val="none" w:sz="0" w:space="0" w:color="auto"/>
        <w:bottom w:val="none" w:sz="0" w:space="0" w:color="auto"/>
        <w:right w:val="none" w:sz="0" w:space="0" w:color="auto"/>
      </w:divBdr>
      <w:divsChild>
        <w:div w:id="754322780">
          <w:marLeft w:val="0"/>
          <w:marRight w:val="0"/>
          <w:marTop w:val="0"/>
          <w:marBottom w:val="0"/>
          <w:divBdr>
            <w:top w:val="none" w:sz="0" w:space="0" w:color="auto"/>
            <w:left w:val="none" w:sz="0" w:space="0" w:color="auto"/>
            <w:bottom w:val="none" w:sz="0" w:space="0" w:color="auto"/>
            <w:right w:val="none" w:sz="0" w:space="0" w:color="auto"/>
          </w:divBdr>
        </w:div>
      </w:divsChild>
    </w:div>
    <w:div w:id="814875105">
      <w:bodyDiv w:val="1"/>
      <w:marLeft w:val="0"/>
      <w:marRight w:val="0"/>
      <w:marTop w:val="0"/>
      <w:marBottom w:val="0"/>
      <w:divBdr>
        <w:top w:val="none" w:sz="0" w:space="0" w:color="auto"/>
        <w:left w:val="none" w:sz="0" w:space="0" w:color="auto"/>
        <w:bottom w:val="none" w:sz="0" w:space="0" w:color="auto"/>
        <w:right w:val="none" w:sz="0" w:space="0" w:color="auto"/>
      </w:divBdr>
      <w:divsChild>
        <w:div w:id="945120855">
          <w:marLeft w:val="547"/>
          <w:marRight w:val="0"/>
          <w:marTop w:val="86"/>
          <w:marBottom w:val="0"/>
          <w:divBdr>
            <w:top w:val="none" w:sz="0" w:space="0" w:color="auto"/>
            <w:left w:val="none" w:sz="0" w:space="0" w:color="auto"/>
            <w:bottom w:val="none" w:sz="0" w:space="0" w:color="auto"/>
            <w:right w:val="none" w:sz="0" w:space="0" w:color="auto"/>
          </w:divBdr>
        </w:div>
        <w:div w:id="1187332369">
          <w:marLeft w:val="547"/>
          <w:marRight w:val="0"/>
          <w:marTop w:val="86"/>
          <w:marBottom w:val="0"/>
          <w:divBdr>
            <w:top w:val="none" w:sz="0" w:space="0" w:color="auto"/>
            <w:left w:val="none" w:sz="0" w:space="0" w:color="auto"/>
            <w:bottom w:val="none" w:sz="0" w:space="0" w:color="auto"/>
            <w:right w:val="none" w:sz="0" w:space="0" w:color="auto"/>
          </w:divBdr>
        </w:div>
      </w:divsChild>
    </w:div>
    <w:div w:id="817185308">
      <w:bodyDiv w:val="1"/>
      <w:marLeft w:val="0"/>
      <w:marRight w:val="0"/>
      <w:marTop w:val="0"/>
      <w:marBottom w:val="0"/>
      <w:divBdr>
        <w:top w:val="none" w:sz="0" w:space="0" w:color="auto"/>
        <w:left w:val="none" w:sz="0" w:space="0" w:color="auto"/>
        <w:bottom w:val="none" w:sz="0" w:space="0" w:color="auto"/>
        <w:right w:val="none" w:sz="0" w:space="0" w:color="auto"/>
      </w:divBdr>
      <w:divsChild>
        <w:div w:id="518810883">
          <w:marLeft w:val="360"/>
          <w:marRight w:val="0"/>
          <w:marTop w:val="200"/>
          <w:marBottom w:val="0"/>
          <w:divBdr>
            <w:top w:val="none" w:sz="0" w:space="0" w:color="auto"/>
            <w:left w:val="none" w:sz="0" w:space="0" w:color="auto"/>
            <w:bottom w:val="none" w:sz="0" w:space="0" w:color="auto"/>
            <w:right w:val="none" w:sz="0" w:space="0" w:color="auto"/>
          </w:divBdr>
        </w:div>
      </w:divsChild>
    </w:div>
    <w:div w:id="818234651">
      <w:bodyDiv w:val="1"/>
      <w:marLeft w:val="0"/>
      <w:marRight w:val="0"/>
      <w:marTop w:val="0"/>
      <w:marBottom w:val="0"/>
      <w:divBdr>
        <w:top w:val="none" w:sz="0" w:space="0" w:color="auto"/>
        <w:left w:val="none" w:sz="0" w:space="0" w:color="auto"/>
        <w:bottom w:val="none" w:sz="0" w:space="0" w:color="auto"/>
        <w:right w:val="none" w:sz="0" w:space="0" w:color="auto"/>
      </w:divBdr>
    </w:div>
    <w:div w:id="822895744">
      <w:bodyDiv w:val="1"/>
      <w:marLeft w:val="0"/>
      <w:marRight w:val="0"/>
      <w:marTop w:val="0"/>
      <w:marBottom w:val="0"/>
      <w:divBdr>
        <w:top w:val="none" w:sz="0" w:space="0" w:color="auto"/>
        <w:left w:val="none" w:sz="0" w:space="0" w:color="auto"/>
        <w:bottom w:val="none" w:sz="0" w:space="0" w:color="auto"/>
        <w:right w:val="none" w:sz="0" w:space="0" w:color="auto"/>
      </w:divBdr>
    </w:div>
    <w:div w:id="822966195">
      <w:bodyDiv w:val="1"/>
      <w:marLeft w:val="0"/>
      <w:marRight w:val="0"/>
      <w:marTop w:val="0"/>
      <w:marBottom w:val="0"/>
      <w:divBdr>
        <w:top w:val="none" w:sz="0" w:space="0" w:color="auto"/>
        <w:left w:val="none" w:sz="0" w:space="0" w:color="auto"/>
        <w:bottom w:val="none" w:sz="0" w:space="0" w:color="auto"/>
        <w:right w:val="none" w:sz="0" w:space="0" w:color="auto"/>
      </w:divBdr>
    </w:div>
    <w:div w:id="825053764">
      <w:bodyDiv w:val="1"/>
      <w:marLeft w:val="0"/>
      <w:marRight w:val="0"/>
      <w:marTop w:val="0"/>
      <w:marBottom w:val="0"/>
      <w:divBdr>
        <w:top w:val="none" w:sz="0" w:space="0" w:color="auto"/>
        <w:left w:val="none" w:sz="0" w:space="0" w:color="auto"/>
        <w:bottom w:val="none" w:sz="0" w:space="0" w:color="auto"/>
        <w:right w:val="none" w:sz="0" w:space="0" w:color="auto"/>
      </w:divBdr>
      <w:divsChild>
        <w:div w:id="1238321225">
          <w:marLeft w:val="0"/>
          <w:marRight w:val="0"/>
          <w:marTop w:val="0"/>
          <w:marBottom w:val="0"/>
          <w:divBdr>
            <w:top w:val="none" w:sz="0" w:space="0" w:color="auto"/>
            <w:left w:val="none" w:sz="0" w:space="0" w:color="auto"/>
            <w:bottom w:val="none" w:sz="0" w:space="0" w:color="auto"/>
            <w:right w:val="none" w:sz="0" w:space="0" w:color="auto"/>
          </w:divBdr>
        </w:div>
      </w:divsChild>
    </w:div>
    <w:div w:id="826558213">
      <w:bodyDiv w:val="1"/>
      <w:marLeft w:val="0"/>
      <w:marRight w:val="0"/>
      <w:marTop w:val="0"/>
      <w:marBottom w:val="0"/>
      <w:divBdr>
        <w:top w:val="none" w:sz="0" w:space="0" w:color="auto"/>
        <w:left w:val="none" w:sz="0" w:space="0" w:color="auto"/>
        <w:bottom w:val="none" w:sz="0" w:space="0" w:color="auto"/>
        <w:right w:val="none" w:sz="0" w:space="0" w:color="auto"/>
      </w:divBdr>
      <w:divsChild>
        <w:div w:id="471677407">
          <w:marLeft w:val="0"/>
          <w:marRight w:val="0"/>
          <w:marTop w:val="0"/>
          <w:marBottom w:val="0"/>
          <w:divBdr>
            <w:top w:val="none" w:sz="0" w:space="0" w:color="auto"/>
            <w:left w:val="none" w:sz="0" w:space="0" w:color="auto"/>
            <w:bottom w:val="none" w:sz="0" w:space="0" w:color="auto"/>
            <w:right w:val="none" w:sz="0" w:space="0" w:color="auto"/>
          </w:divBdr>
        </w:div>
      </w:divsChild>
    </w:div>
    <w:div w:id="827096912">
      <w:bodyDiv w:val="1"/>
      <w:marLeft w:val="0"/>
      <w:marRight w:val="0"/>
      <w:marTop w:val="0"/>
      <w:marBottom w:val="0"/>
      <w:divBdr>
        <w:top w:val="none" w:sz="0" w:space="0" w:color="auto"/>
        <w:left w:val="none" w:sz="0" w:space="0" w:color="auto"/>
        <w:bottom w:val="none" w:sz="0" w:space="0" w:color="auto"/>
        <w:right w:val="none" w:sz="0" w:space="0" w:color="auto"/>
      </w:divBdr>
    </w:div>
    <w:div w:id="829752487">
      <w:bodyDiv w:val="1"/>
      <w:marLeft w:val="0"/>
      <w:marRight w:val="0"/>
      <w:marTop w:val="0"/>
      <w:marBottom w:val="0"/>
      <w:divBdr>
        <w:top w:val="none" w:sz="0" w:space="0" w:color="auto"/>
        <w:left w:val="none" w:sz="0" w:space="0" w:color="auto"/>
        <w:bottom w:val="none" w:sz="0" w:space="0" w:color="auto"/>
        <w:right w:val="none" w:sz="0" w:space="0" w:color="auto"/>
      </w:divBdr>
      <w:divsChild>
        <w:div w:id="1970278222">
          <w:marLeft w:val="0"/>
          <w:marRight w:val="0"/>
          <w:marTop w:val="0"/>
          <w:marBottom w:val="0"/>
          <w:divBdr>
            <w:top w:val="none" w:sz="0" w:space="0" w:color="auto"/>
            <w:left w:val="none" w:sz="0" w:space="0" w:color="auto"/>
            <w:bottom w:val="none" w:sz="0" w:space="0" w:color="auto"/>
            <w:right w:val="none" w:sz="0" w:space="0" w:color="auto"/>
          </w:divBdr>
        </w:div>
      </w:divsChild>
    </w:div>
    <w:div w:id="831988800">
      <w:bodyDiv w:val="1"/>
      <w:marLeft w:val="0"/>
      <w:marRight w:val="0"/>
      <w:marTop w:val="0"/>
      <w:marBottom w:val="0"/>
      <w:divBdr>
        <w:top w:val="none" w:sz="0" w:space="0" w:color="auto"/>
        <w:left w:val="none" w:sz="0" w:space="0" w:color="auto"/>
        <w:bottom w:val="none" w:sz="0" w:space="0" w:color="auto"/>
        <w:right w:val="none" w:sz="0" w:space="0" w:color="auto"/>
      </w:divBdr>
      <w:divsChild>
        <w:div w:id="1802530508">
          <w:marLeft w:val="0"/>
          <w:marRight w:val="0"/>
          <w:marTop w:val="0"/>
          <w:marBottom w:val="0"/>
          <w:divBdr>
            <w:top w:val="none" w:sz="0" w:space="0" w:color="auto"/>
            <w:left w:val="none" w:sz="0" w:space="0" w:color="auto"/>
            <w:bottom w:val="none" w:sz="0" w:space="0" w:color="auto"/>
            <w:right w:val="none" w:sz="0" w:space="0" w:color="auto"/>
          </w:divBdr>
        </w:div>
      </w:divsChild>
    </w:div>
    <w:div w:id="832179041">
      <w:bodyDiv w:val="1"/>
      <w:marLeft w:val="0"/>
      <w:marRight w:val="0"/>
      <w:marTop w:val="0"/>
      <w:marBottom w:val="0"/>
      <w:divBdr>
        <w:top w:val="none" w:sz="0" w:space="0" w:color="auto"/>
        <w:left w:val="none" w:sz="0" w:space="0" w:color="auto"/>
        <w:bottom w:val="none" w:sz="0" w:space="0" w:color="auto"/>
        <w:right w:val="none" w:sz="0" w:space="0" w:color="auto"/>
      </w:divBdr>
    </w:div>
    <w:div w:id="837429742">
      <w:bodyDiv w:val="1"/>
      <w:marLeft w:val="0"/>
      <w:marRight w:val="0"/>
      <w:marTop w:val="0"/>
      <w:marBottom w:val="0"/>
      <w:divBdr>
        <w:top w:val="none" w:sz="0" w:space="0" w:color="auto"/>
        <w:left w:val="none" w:sz="0" w:space="0" w:color="auto"/>
        <w:bottom w:val="none" w:sz="0" w:space="0" w:color="auto"/>
        <w:right w:val="none" w:sz="0" w:space="0" w:color="auto"/>
      </w:divBdr>
      <w:divsChild>
        <w:div w:id="379597735">
          <w:marLeft w:val="0"/>
          <w:marRight w:val="0"/>
          <w:marTop w:val="0"/>
          <w:marBottom w:val="0"/>
          <w:divBdr>
            <w:top w:val="none" w:sz="0" w:space="0" w:color="auto"/>
            <w:left w:val="none" w:sz="0" w:space="0" w:color="auto"/>
            <w:bottom w:val="none" w:sz="0" w:space="0" w:color="auto"/>
            <w:right w:val="none" w:sz="0" w:space="0" w:color="auto"/>
          </w:divBdr>
        </w:div>
      </w:divsChild>
    </w:div>
    <w:div w:id="837694753">
      <w:bodyDiv w:val="1"/>
      <w:marLeft w:val="0"/>
      <w:marRight w:val="0"/>
      <w:marTop w:val="0"/>
      <w:marBottom w:val="0"/>
      <w:divBdr>
        <w:top w:val="none" w:sz="0" w:space="0" w:color="auto"/>
        <w:left w:val="none" w:sz="0" w:space="0" w:color="auto"/>
        <w:bottom w:val="none" w:sz="0" w:space="0" w:color="auto"/>
        <w:right w:val="none" w:sz="0" w:space="0" w:color="auto"/>
      </w:divBdr>
    </w:div>
    <w:div w:id="837697115">
      <w:bodyDiv w:val="1"/>
      <w:marLeft w:val="0"/>
      <w:marRight w:val="0"/>
      <w:marTop w:val="0"/>
      <w:marBottom w:val="0"/>
      <w:divBdr>
        <w:top w:val="none" w:sz="0" w:space="0" w:color="auto"/>
        <w:left w:val="none" w:sz="0" w:space="0" w:color="auto"/>
        <w:bottom w:val="none" w:sz="0" w:space="0" w:color="auto"/>
        <w:right w:val="none" w:sz="0" w:space="0" w:color="auto"/>
      </w:divBdr>
    </w:div>
    <w:div w:id="840388426">
      <w:bodyDiv w:val="1"/>
      <w:marLeft w:val="0"/>
      <w:marRight w:val="0"/>
      <w:marTop w:val="0"/>
      <w:marBottom w:val="0"/>
      <w:divBdr>
        <w:top w:val="none" w:sz="0" w:space="0" w:color="auto"/>
        <w:left w:val="none" w:sz="0" w:space="0" w:color="auto"/>
        <w:bottom w:val="none" w:sz="0" w:space="0" w:color="auto"/>
        <w:right w:val="none" w:sz="0" w:space="0" w:color="auto"/>
      </w:divBdr>
    </w:div>
    <w:div w:id="842161060">
      <w:bodyDiv w:val="1"/>
      <w:marLeft w:val="0"/>
      <w:marRight w:val="0"/>
      <w:marTop w:val="0"/>
      <w:marBottom w:val="0"/>
      <w:divBdr>
        <w:top w:val="none" w:sz="0" w:space="0" w:color="auto"/>
        <w:left w:val="none" w:sz="0" w:space="0" w:color="auto"/>
        <w:bottom w:val="none" w:sz="0" w:space="0" w:color="auto"/>
        <w:right w:val="none" w:sz="0" w:space="0" w:color="auto"/>
      </w:divBdr>
    </w:div>
    <w:div w:id="848981303">
      <w:marLeft w:val="0"/>
      <w:marRight w:val="0"/>
      <w:marTop w:val="0"/>
      <w:marBottom w:val="0"/>
      <w:divBdr>
        <w:top w:val="none" w:sz="0" w:space="0" w:color="auto"/>
        <w:left w:val="none" w:sz="0" w:space="0" w:color="auto"/>
        <w:bottom w:val="none" w:sz="0" w:space="0" w:color="auto"/>
        <w:right w:val="none" w:sz="0" w:space="0" w:color="auto"/>
      </w:divBdr>
      <w:divsChild>
        <w:div w:id="344095620">
          <w:marLeft w:val="0"/>
          <w:marRight w:val="0"/>
          <w:marTop w:val="0"/>
          <w:marBottom w:val="0"/>
          <w:divBdr>
            <w:top w:val="none" w:sz="0" w:space="0" w:color="auto"/>
            <w:left w:val="none" w:sz="0" w:space="0" w:color="auto"/>
            <w:bottom w:val="none" w:sz="0" w:space="0" w:color="auto"/>
            <w:right w:val="none" w:sz="0" w:space="0" w:color="auto"/>
          </w:divBdr>
        </w:div>
      </w:divsChild>
    </w:div>
    <w:div w:id="849412745">
      <w:bodyDiv w:val="1"/>
      <w:marLeft w:val="0"/>
      <w:marRight w:val="0"/>
      <w:marTop w:val="0"/>
      <w:marBottom w:val="0"/>
      <w:divBdr>
        <w:top w:val="none" w:sz="0" w:space="0" w:color="auto"/>
        <w:left w:val="none" w:sz="0" w:space="0" w:color="auto"/>
        <w:bottom w:val="none" w:sz="0" w:space="0" w:color="auto"/>
        <w:right w:val="none" w:sz="0" w:space="0" w:color="auto"/>
      </w:divBdr>
    </w:div>
    <w:div w:id="856043522">
      <w:bodyDiv w:val="1"/>
      <w:marLeft w:val="0"/>
      <w:marRight w:val="0"/>
      <w:marTop w:val="0"/>
      <w:marBottom w:val="0"/>
      <w:divBdr>
        <w:top w:val="none" w:sz="0" w:space="0" w:color="auto"/>
        <w:left w:val="none" w:sz="0" w:space="0" w:color="auto"/>
        <w:bottom w:val="none" w:sz="0" w:space="0" w:color="auto"/>
        <w:right w:val="none" w:sz="0" w:space="0" w:color="auto"/>
      </w:divBdr>
    </w:div>
    <w:div w:id="856122232">
      <w:bodyDiv w:val="1"/>
      <w:marLeft w:val="0"/>
      <w:marRight w:val="0"/>
      <w:marTop w:val="0"/>
      <w:marBottom w:val="0"/>
      <w:divBdr>
        <w:top w:val="none" w:sz="0" w:space="0" w:color="auto"/>
        <w:left w:val="none" w:sz="0" w:space="0" w:color="auto"/>
        <w:bottom w:val="none" w:sz="0" w:space="0" w:color="auto"/>
        <w:right w:val="none" w:sz="0" w:space="0" w:color="auto"/>
      </w:divBdr>
    </w:div>
    <w:div w:id="859590838">
      <w:bodyDiv w:val="1"/>
      <w:marLeft w:val="0"/>
      <w:marRight w:val="0"/>
      <w:marTop w:val="0"/>
      <w:marBottom w:val="0"/>
      <w:divBdr>
        <w:top w:val="none" w:sz="0" w:space="0" w:color="auto"/>
        <w:left w:val="none" w:sz="0" w:space="0" w:color="auto"/>
        <w:bottom w:val="none" w:sz="0" w:space="0" w:color="auto"/>
        <w:right w:val="none" w:sz="0" w:space="0" w:color="auto"/>
      </w:divBdr>
    </w:div>
    <w:div w:id="861817915">
      <w:bodyDiv w:val="1"/>
      <w:marLeft w:val="0"/>
      <w:marRight w:val="0"/>
      <w:marTop w:val="0"/>
      <w:marBottom w:val="0"/>
      <w:divBdr>
        <w:top w:val="none" w:sz="0" w:space="0" w:color="auto"/>
        <w:left w:val="none" w:sz="0" w:space="0" w:color="auto"/>
        <w:bottom w:val="none" w:sz="0" w:space="0" w:color="auto"/>
        <w:right w:val="none" w:sz="0" w:space="0" w:color="auto"/>
      </w:divBdr>
      <w:divsChild>
        <w:div w:id="433331240">
          <w:marLeft w:val="0"/>
          <w:marRight w:val="0"/>
          <w:marTop w:val="0"/>
          <w:marBottom w:val="0"/>
          <w:divBdr>
            <w:top w:val="none" w:sz="0" w:space="0" w:color="auto"/>
            <w:left w:val="none" w:sz="0" w:space="0" w:color="auto"/>
            <w:bottom w:val="none" w:sz="0" w:space="0" w:color="auto"/>
            <w:right w:val="none" w:sz="0" w:space="0" w:color="auto"/>
          </w:divBdr>
        </w:div>
      </w:divsChild>
    </w:div>
    <w:div w:id="861818251">
      <w:bodyDiv w:val="1"/>
      <w:marLeft w:val="0"/>
      <w:marRight w:val="0"/>
      <w:marTop w:val="0"/>
      <w:marBottom w:val="0"/>
      <w:divBdr>
        <w:top w:val="none" w:sz="0" w:space="0" w:color="auto"/>
        <w:left w:val="none" w:sz="0" w:space="0" w:color="auto"/>
        <w:bottom w:val="none" w:sz="0" w:space="0" w:color="auto"/>
        <w:right w:val="none" w:sz="0" w:space="0" w:color="auto"/>
      </w:divBdr>
      <w:divsChild>
        <w:div w:id="1037782616">
          <w:marLeft w:val="0"/>
          <w:marRight w:val="0"/>
          <w:marTop w:val="0"/>
          <w:marBottom w:val="0"/>
          <w:divBdr>
            <w:top w:val="none" w:sz="0" w:space="0" w:color="auto"/>
            <w:left w:val="none" w:sz="0" w:space="0" w:color="auto"/>
            <w:bottom w:val="none" w:sz="0" w:space="0" w:color="auto"/>
            <w:right w:val="none" w:sz="0" w:space="0" w:color="auto"/>
          </w:divBdr>
        </w:div>
      </w:divsChild>
    </w:div>
    <w:div w:id="864366541">
      <w:bodyDiv w:val="1"/>
      <w:marLeft w:val="0"/>
      <w:marRight w:val="0"/>
      <w:marTop w:val="0"/>
      <w:marBottom w:val="0"/>
      <w:divBdr>
        <w:top w:val="none" w:sz="0" w:space="0" w:color="auto"/>
        <w:left w:val="none" w:sz="0" w:space="0" w:color="auto"/>
        <w:bottom w:val="none" w:sz="0" w:space="0" w:color="auto"/>
        <w:right w:val="none" w:sz="0" w:space="0" w:color="auto"/>
      </w:divBdr>
    </w:div>
    <w:div w:id="865866875">
      <w:bodyDiv w:val="1"/>
      <w:marLeft w:val="0"/>
      <w:marRight w:val="0"/>
      <w:marTop w:val="0"/>
      <w:marBottom w:val="0"/>
      <w:divBdr>
        <w:top w:val="none" w:sz="0" w:space="0" w:color="auto"/>
        <w:left w:val="none" w:sz="0" w:space="0" w:color="auto"/>
        <w:bottom w:val="none" w:sz="0" w:space="0" w:color="auto"/>
        <w:right w:val="none" w:sz="0" w:space="0" w:color="auto"/>
      </w:divBdr>
    </w:div>
    <w:div w:id="866407918">
      <w:marLeft w:val="0"/>
      <w:marRight w:val="0"/>
      <w:marTop w:val="0"/>
      <w:marBottom w:val="0"/>
      <w:divBdr>
        <w:top w:val="none" w:sz="0" w:space="0" w:color="auto"/>
        <w:left w:val="none" w:sz="0" w:space="0" w:color="auto"/>
        <w:bottom w:val="none" w:sz="0" w:space="0" w:color="auto"/>
        <w:right w:val="none" w:sz="0" w:space="0" w:color="auto"/>
      </w:divBdr>
      <w:divsChild>
        <w:div w:id="524096338">
          <w:marLeft w:val="0"/>
          <w:marRight w:val="0"/>
          <w:marTop w:val="0"/>
          <w:marBottom w:val="0"/>
          <w:divBdr>
            <w:top w:val="none" w:sz="0" w:space="0" w:color="auto"/>
            <w:left w:val="none" w:sz="0" w:space="0" w:color="auto"/>
            <w:bottom w:val="none" w:sz="0" w:space="0" w:color="auto"/>
            <w:right w:val="none" w:sz="0" w:space="0" w:color="auto"/>
          </w:divBdr>
        </w:div>
      </w:divsChild>
    </w:div>
    <w:div w:id="867568870">
      <w:bodyDiv w:val="1"/>
      <w:marLeft w:val="0"/>
      <w:marRight w:val="0"/>
      <w:marTop w:val="0"/>
      <w:marBottom w:val="0"/>
      <w:divBdr>
        <w:top w:val="none" w:sz="0" w:space="0" w:color="auto"/>
        <w:left w:val="none" w:sz="0" w:space="0" w:color="auto"/>
        <w:bottom w:val="none" w:sz="0" w:space="0" w:color="auto"/>
        <w:right w:val="none" w:sz="0" w:space="0" w:color="auto"/>
      </w:divBdr>
    </w:div>
    <w:div w:id="873729891">
      <w:bodyDiv w:val="1"/>
      <w:marLeft w:val="0"/>
      <w:marRight w:val="0"/>
      <w:marTop w:val="0"/>
      <w:marBottom w:val="0"/>
      <w:divBdr>
        <w:top w:val="none" w:sz="0" w:space="0" w:color="auto"/>
        <w:left w:val="none" w:sz="0" w:space="0" w:color="auto"/>
        <w:bottom w:val="none" w:sz="0" w:space="0" w:color="auto"/>
        <w:right w:val="none" w:sz="0" w:space="0" w:color="auto"/>
      </w:divBdr>
    </w:div>
    <w:div w:id="877006892">
      <w:bodyDiv w:val="1"/>
      <w:marLeft w:val="0"/>
      <w:marRight w:val="0"/>
      <w:marTop w:val="0"/>
      <w:marBottom w:val="0"/>
      <w:divBdr>
        <w:top w:val="none" w:sz="0" w:space="0" w:color="auto"/>
        <w:left w:val="none" w:sz="0" w:space="0" w:color="auto"/>
        <w:bottom w:val="none" w:sz="0" w:space="0" w:color="auto"/>
        <w:right w:val="none" w:sz="0" w:space="0" w:color="auto"/>
      </w:divBdr>
    </w:div>
    <w:div w:id="882248729">
      <w:bodyDiv w:val="1"/>
      <w:marLeft w:val="0"/>
      <w:marRight w:val="0"/>
      <w:marTop w:val="0"/>
      <w:marBottom w:val="0"/>
      <w:divBdr>
        <w:top w:val="none" w:sz="0" w:space="0" w:color="auto"/>
        <w:left w:val="none" w:sz="0" w:space="0" w:color="auto"/>
        <w:bottom w:val="none" w:sz="0" w:space="0" w:color="auto"/>
        <w:right w:val="none" w:sz="0" w:space="0" w:color="auto"/>
      </w:divBdr>
    </w:div>
    <w:div w:id="886918934">
      <w:bodyDiv w:val="1"/>
      <w:marLeft w:val="0"/>
      <w:marRight w:val="0"/>
      <w:marTop w:val="0"/>
      <w:marBottom w:val="0"/>
      <w:divBdr>
        <w:top w:val="none" w:sz="0" w:space="0" w:color="auto"/>
        <w:left w:val="none" w:sz="0" w:space="0" w:color="auto"/>
        <w:bottom w:val="none" w:sz="0" w:space="0" w:color="auto"/>
        <w:right w:val="none" w:sz="0" w:space="0" w:color="auto"/>
      </w:divBdr>
    </w:div>
    <w:div w:id="887959117">
      <w:marLeft w:val="0"/>
      <w:marRight w:val="0"/>
      <w:marTop w:val="0"/>
      <w:marBottom w:val="0"/>
      <w:divBdr>
        <w:top w:val="none" w:sz="0" w:space="0" w:color="auto"/>
        <w:left w:val="none" w:sz="0" w:space="0" w:color="auto"/>
        <w:bottom w:val="none" w:sz="0" w:space="0" w:color="auto"/>
        <w:right w:val="none" w:sz="0" w:space="0" w:color="auto"/>
      </w:divBdr>
      <w:divsChild>
        <w:div w:id="353581018">
          <w:marLeft w:val="0"/>
          <w:marRight w:val="0"/>
          <w:marTop w:val="0"/>
          <w:marBottom w:val="0"/>
          <w:divBdr>
            <w:top w:val="none" w:sz="0" w:space="0" w:color="auto"/>
            <w:left w:val="none" w:sz="0" w:space="0" w:color="auto"/>
            <w:bottom w:val="none" w:sz="0" w:space="0" w:color="auto"/>
            <w:right w:val="none" w:sz="0" w:space="0" w:color="auto"/>
          </w:divBdr>
        </w:div>
      </w:divsChild>
    </w:div>
    <w:div w:id="895971567">
      <w:bodyDiv w:val="1"/>
      <w:marLeft w:val="0"/>
      <w:marRight w:val="0"/>
      <w:marTop w:val="0"/>
      <w:marBottom w:val="0"/>
      <w:divBdr>
        <w:top w:val="none" w:sz="0" w:space="0" w:color="auto"/>
        <w:left w:val="none" w:sz="0" w:space="0" w:color="auto"/>
        <w:bottom w:val="none" w:sz="0" w:space="0" w:color="auto"/>
        <w:right w:val="none" w:sz="0" w:space="0" w:color="auto"/>
      </w:divBdr>
      <w:divsChild>
        <w:div w:id="1690057783">
          <w:marLeft w:val="0"/>
          <w:marRight w:val="0"/>
          <w:marTop w:val="0"/>
          <w:marBottom w:val="0"/>
          <w:divBdr>
            <w:top w:val="none" w:sz="0" w:space="0" w:color="auto"/>
            <w:left w:val="none" w:sz="0" w:space="0" w:color="auto"/>
            <w:bottom w:val="none" w:sz="0" w:space="0" w:color="auto"/>
            <w:right w:val="none" w:sz="0" w:space="0" w:color="auto"/>
          </w:divBdr>
        </w:div>
      </w:divsChild>
    </w:div>
    <w:div w:id="897131653">
      <w:bodyDiv w:val="1"/>
      <w:marLeft w:val="0"/>
      <w:marRight w:val="0"/>
      <w:marTop w:val="0"/>
      <w:marBottom w:val="0"/>
      <w:divBdr>
        <w:top w:val="none" w:sz="0" w:space="0" w:color="auto"/>
        <w:left w:val="none" w:sz="0" w:space="0" w:color="auto"/>
        <w:bottom w:val="none" w:sz="0" w:space="0" w:color="auto"/>
        <w:right w:val="none" w:sz="0" w:space="0" w:color="auto"/>
      </w:divBdr>
    </w:div>
    <w:div w:id="901140860">
      <w:bodyDiv w:val="1"/>
      <w:marLeft w:val="0"/>
      <w:marRight w:val="0"/>
      <w:marTop w:val="0"/>
      <w:marBottom w:val="0"/>
      <w:divBdr>
        <w:top w:val="none" w:sz="0" w:space="0" w:color="auto"/>
        <w:left w:val="none" w:sz="0" w:space="0" w:color="auto"/>
        <w:bottom w:val="none" w:sz="0" w:space="0" w:color="auto"/>
        <w:right w:val="none" w:sz="0" w:space="0" w:color="auto"/>
      </w:divBdr>
    </w:div>
    <w:div w:id="904681269">
      <w:bodyDiv w:val="1"/>
      <w:marLeft w:val="0"/>
      <w:marRight w:val="0"/>
      <w:marTop w:val="0"/>
      <w:marBottom w:val="0"/>
      <w:divBdr>
        <w:top w:val="none" w:sz="0" w:space="0" w:color="auto"/>
        <w:left w:val="none" w:sz="0" w:space="0" w:color="auto"/>
        <w:bottom w:val="none" w:sz="0" w:space="0" w:color="auto"/>
        <w:right w:val="none" w:sz="0" w:space="0" w:color="auto"/>
      </w:divBdr>
    </w:div>
    <w:div w:id="907181938">
      <w:bodyDiv w:val="1"/>
      <w:marLeft w:val="0"/>
      <w:marRight w:val="0"/>
      <w:marTop w:val="0"/>
      <w:marBottom w:val="0"/>
      <w:divBdr>
        <w:top w:val="none" w:sz="0" w:space="0" w:color="auto"/>
        <w:left w:val="none" w:sz="0" w:space="0" w:color="auto"/>
        <w:bottom w:val="none" w:sz="0" w:space="0" w:color="auto"/>
        <w:right w:val="none" w:sz="0" w:space="0" w:color="auto"/>
      </w:divBdr>
    </w:div>
    <w:div w:id="914625638">
      <w:bodyDiv w:val="1"/>
      <w:marLeft w:val="0"/>
      <w:marRight w:val="0"/>
      <w:marTop w:val="0"/>
      <w:marBottom w:val="0"/>
      <w:divBdr>
        <w:top w:val="none" w:sz="0" w:space="0" w:color="auto"/>
        <w:left w:val="none" w:sz="0" w:space="0" w:color="auto"/>
        <w:bottom w:val="none" w:sz="0" w:space="0" w:color="auto"/>
        <w:right w:val="none" w:sz="0" w:space="0" w:color="auto"/>
      </w:divBdr>
    </w:div>
    <w:div w:id="914706327">
      <w:bodyDiv w:val="1"/>
      <w:marLeft w:val="0"/>
      <w:marRight w:val="0"/>
      <w:marTop w:val="0"/>
      <w:marBottom w:val="0"/>
      <w:divBdr>
        <w:top w:val="none" w:sz="0" w:space="0" w:color="auto"/>
        <w:left w:val="none" w:sz="0" w:space="0" w:color="auto"/>
        <w:bottom w:val="none" w:sz="0" w:space="0" w:color="auto"/>
        <w:right w:val="none" w:sz="0" w:space="0" w:color="auto"/>
      </w:divBdr>
    </w:div>
    <w:div w:id="922762659">
      <w:bodyDiv w:val="1"/>
      <w:marLeft w:val="0"/>
      <w:marRight w:val="0"/>
      <w:marTop w:val="0"/>
      <w:marBottom w:val="0"/>
      <w:divBdr>
        <w:top w:val="none" w:sz="0" w:space="0" w:color="auto"/>
        <w:left w:val="none" w:sz="0" w:space="0" w:color="auto"/>
        <w:bottom w:val="none" w:sz="0" w:space="0" w:color="auto"/>
        <w:right w:val="none" w:sz="0" w:space="0" w:color="auto"/>
      </w:divBdr>
    </w:div>
    <w:div w:id="923026637">
      <w:bodyDiv w:val="1"/>
      <w:marLeft w:val="0"/>
      <w:marRight w:val="0"/>
      <w:marTop w:val="0"/>
      <w:marBottom w:val="0"/>
      <w:divBdr>
        <w:top w:val="none" w:sz="0" w:space="0" w:color="auto"/>
        <w:left w:val="none" w:sz="0" w:space="0" w:color="auto"/>
        <w:bottom w:val="none" w:sz="0" w:space="0" w:color="auto"/>
        <w:right w:val="none" w:sz="0" w:space="0" w:color="auto"/>
      </w:divBdr>
    </w:div>
    <w:div w:id="925572152">
      <w:bodyDiv w:val="1"/>
      <w:marLeft w:val="0"/>
      <w:marRight w:val="0"/>
      <w:marTop w:val="0"/>
      <w:marBottom w:val="0"/>
      <w:divBdr>
        <w:top w:val="none" w:sz="0" w:space="0" w:color="auto"/>
        <w:left w:val="none" w:sz="0" w:space="0" w:color="auto"/>
        <w:bottom w:val="none" w:sz="0" w:space="0" w:color="auto"/>
        <w:right w:val="none" w:sz="0" w:space="0" w:color="auto"/>
      </w:divBdr>
      <w:divsChild>
        <w:div w:id="1085960898">
          <w:marLeft w:val="0"/>
          <w:marRight w:val="0"/>
          <w:marTop w:val="0"/>
          <w:marBottom w:val="0"/>
          <w:divBdr>
            <w:top w:val="none" w:sz="0" w:space="0" w:color="auto"/>
            <w:left w:val="none" w:sz="0" w:space="0" w:color="auto"/>
            <w:bottom w:val="none" w:sz="0" w:space="0" w:color="auto"/>
            <w:right w:val="none" w:sz="0" w:space="0" w:color="auto"/>
          </w:divBdr>
        </w:div>
      </w:divsChild>
    </w:div>
    <w:div w:id="934947798">
      <w:bodyDiv w:val="1"/>
      <w:marLeft w:val="0"/>
      <w:marRight w:val="0"/>
      <w:marTop w:val="0"/>
      <w:marBottom w:val="0"/>
      <w:divBdr>
        <w:top w:val="none" w:sz="0" w:space="0" w:color="auto"/>
        <w:left w:val="none" w:sz="0" w:space="0" w:color="auto"/>
        <w:bottom w:val="none" w:sz="0" w:space="0" w:color="auto"/>
        <w:right w:val="none" w:sz="0" w:space="0" w:color="auto"/>
      </w:divBdr>
    </w:div>
    <w:div w:id="937714881">
      <w:bodyDiv w:val="1"/>
      <w:marLeft w:val="0"/>
      <w:marRight w:val="0"/>
      <w:marTop w:val="0"/>
      <w:marBottom w:val="0"/>
      <w:divBdr>
        <w:top w:val="none" w:sz="0" w:space="0" w:color="auto"/>
        <w:left w:val="none" w:sz="0" w:space="0" w:color="auto"/>
        <w:bottom w:val="none" w:sz="0" w:space="0" w:color="auto"/>
        <w:right w:val="none" w:sz="0" w:space="0" w:color="auto"/>
      </w:divBdr>
      <w:divsChild>
        <w:div w:id="2144763147">
          <w:marLeft w:val="0"/>
          <w:marRight w:val="0"/>
          <w:marTop w:val="0"/>
          <w:marBottom w:val="0"/>
          <w:divBdr>
            <w:top w:val="none" w:sz="0" w:space="0" w:color="auto"/>
            <w:left w:val="none" w:sz="0" w:space="0" w:color="auto"/>
            <w:bottom w:val="none" w:sz="0" w:space="0" w:color="auto"/>
            <w:right w:val="none" w:sz="0" w:space="0" w:color="auto"/>
          </w:divBdr>
        </w:div>
      </w:divsChild>
    </w:div>
    <w:div w:id="939870088">
      <w:bodyDiv w:val="1"/>
      <w:marLeft w:val="0"/>
      <w:marRight w:val="0"/>
      <w:marTop w:val="0"/>
      <w:marBottom w:val="0"/>
      <w:divBdr>
        <w:top w:val="none" w:sz="0" w:space="0" w:color="auto"/>
        <w:left w:val="none" w:sz="0" w:space="0" w:color="auto"/>
        <w:bottom w:val="none" w:sz="0" w:space="0" w:color="auto"/>
        <w:right w:val="none" w:sz="0" w:space="0" w:color="auto"/>
      </w:divBdr>
      <w:divsChild>
        <w:div w:id="417286858">
          <w:marLeft w:val="0"/>
          <w:marRight w:val="0"/>
          <w:marTop w:val="0"/>
          <w:marBottom w:val="0"/>
          <w:divBdr>
            <w:top w:val="none" w:sz="0" w:space="0" w:color="auto"/>
            <w:left w:val="none" w:sz="0" w:space="0" w:color="auto"/>
            <w:bottom w:val="none" w:sz="0" w:space="0" w:color="auto"/>
            <w:right w:val="none" w:sz="0" w:space="0" w:color="auto"/>
          </w:divBdr>
        </w:div>
      </w:divsChild>
    </w:div>
    <w:div w:id="941106789">
      <w:bodyDiv w:val="1"/>
      <w:marLeft w:val="0"/>
      <w:marRight w:val="0"/>
      <w:marTop w:val="0"/>
      <w:marBottom w:val="0"/>
      <w:divBdr>
        <w:top w:val="none" w:sz="0" w:space="0" w:color="auto"/>
        <w:left w:val="none" w:sz="0" w:space="0" w:color="auto"/>
        <w:bottom w:val="none" w:sz="0" w:space="0" w:color="auto"/>
        <w:right w:val="none" w:sz="0" w:space="0" w:color="auto"/>
      </w:divBdr>
    </w:div>
    <w:div w:id="949703334">
      <w:bodyDiv w:val="1"/>
      <w:marLeft w:val="0"/>
      <w:marRight w:val="0"/>
      <w:marTop w:val="0"/>
      <w:marBottom w:val="0"/>
      <w:divBdr>
        <w:top w:val="none" w:sz="0" w:space="0" w:color="auto"/>
        <w:left w:val="none" w:sz="0" w:space="0" w:color="auto"/>
        <w:bottom w:val="none" w:sz="0" w:space="0" w:color="auto"/>
        <w:right w:val="none" w:sz="0" w:space="0" w:color="auto"/>
      </w:divBdr>
    </w:div>
    <w:div w:id="952322906">
      <w:bodyDiv w:val="1"/>
      <w:marLeft w:val="0"/>
      <w:marRight w:val="0"/>
      <w:marTop w:val="0"/>
      <w:marBottom w:val="0"/>
      <w:divBdr>
        <w:top w:val="none" w:sz="0" w:space="0" w:color="auto"/>
        <w:left w:val="none" w:sz="0" w:space="0" w:color="auto"/>
        <w:bottom w:val="none" w:sz="0" w:space="0" w:color="auto"/>
        <w:right w:val="none" w:sz="0" w:space="0" w:color="auto"/>
      </w:divBdr>
      <w:divsChild>
        <w:div w:id="186915293">
          <w:marLeft w:val="0"/>
          <w:marRight w:val="0"/>
          <w:marTop w:val="0"/>
          <w:marBottom w:val="0"/>
          <w:divBdr>
            <w:top w:val="none" w:sz="0" w:space="0" w:color="auto"/>
            <w:left w:val="none" w:sz="0" w:space="0" w:color="auto"/>
            <w:bottom w:val="none" w:sz="0" w:space="0" w:color="auto"/>
            <w:right w:val="none" w:sz="0" w:space="0" w:color="auto"/>
          </w:divBdr>
        </w:div>
        <w:div w:id="310141437">
          <w:marLeft w:val="0"/>
          <w:marRight w:val="0"/>
          <w:marTop w:val="0"/>
          <w:marBottom w:val="0"/>
          <w:divBdr>
            <w:top w:val="none" w:sz="0" w:space="0" w:color="auto"/>
            <w:left w:val="none" w:sz="0" w:space="0" w:color="auto"/>
            <w:bottom w:val="none" w:sz="0" w:space="0" w:color="auto"/>
            <w:right w:val="none" w:sz="0" w:space="0" w:color="auto"/>
          </w:divBdr>
        </w:div>
        <w:div w:id="394669521">
          <w:marLeft w:val="0"/>
          <w:marRight w:val="0"/>
          <w:marTop w:val="0"/>
          <w:marBottom w:val="0"/>
          <w:divBdr>
            <w:top w:val="none" w:sz="0" w:space="0" w:color="auto"/>
            <w:left w:val="none" w:sz="0" w:space="0" w:color="auto"/>
            <w:bottom w:val="none" w:sz="0" w:space="0" w:color="auto"/>
            <w:right w:val="none" w:sz="0" w:space="0" w:color="auto"/>
          </w:divBdr>
        </w:div>
        <w:div w:id="983774819">
          <w:marLeft w:val="0"/>
          <w:marRight w:val="0"/>
          <w:marTop w:val="0"/>
          <w:marBottom w:val="0"/>
          <w:divBdr>
            <w:top w:val="none" w:sz="0" w:space="0" w:color="auto"/>
            <w:left w:val="none" w:sz="0" w:space="0" w:color="auto"/>
            <w:bottom w:val="none" w:sz="0" w:space="0" w:color="auto"/>
            <w:right w:val="none" w:sz="0" w:space="0" w:color="auto"/>
          </w:divBdr>
        </w:div>
        <w:div w:id="1060322529">
          <w:marLeft w:val="0"/>
          <w:marRight w:val="0"/>
          <w:marTop w:val="0"/>
          <w:marBottom w:val="0"/>
          <w:divBdr>
            <w:top w:val="none" w:sz="0" w:space="0" w:color="auto"/>
            <w:left w:val="none" w:sz="0" w:space="0" w:color="auto"/>
            <w:bottom w:val="none" w:sz="0" w:space="0" w:color="auto"/>
            <w:right w:val="none" w:sz="0" w:space="0" w:color="auto"/>
          </w:divBdr>
        </w:div>
        <w:div w:id="1141121347">
          <w:marLeft w:val="0"/>
          <w:marRight w:val="0"/>
          <w:marTop w:val="0"/>
          <w:marBottom w:val="0"/>
          <w:divBdr>
            <w:top w:val="none" w:sz="0" w:space="0" w:color="auto"/>
            <w:left w:val="none" w:sz="0" w:space="0" w:color="auto"/>
            <w:bottom w:val="none" w:sz="0" w:space="0" w:color="auto"/>
            <w:right w:val="none" w:sz="0" w:space="0" w:color="auto"/>
          </w:divBdr>
        </w:div>
        <w:div w:id="1255751075">
          <w:marLeft w:val="0"/>
          <w:marRight w:val="0"/>
          <w:marTop w:val="0"/>
          <w:marBottom w:val="0"/>
          <w:divBdr>
            <w:top w:val="none" w:sz="0" w:space="0" w:color="auto"/>
            <w:left w:val="none" w:sz="0" w:space="0" w:color="auto"/>
            <w:bottom w:val="none" w:sz="0" w:space="0" w:color="auto"/>
            <w:right w:val="none" w:sz="0" w:space="0" w:color="auto"/>
          </w:divBdr>
        </w:div>
        <w:div w:id="1317952612">
          <w:marLeft w:val="0"/>
          <w:marRight w:val="0"/>
          <w:marTop w:val="0"/>
          <w:marBottom w:val="0"/>
          <w:divBdr>
            <w:top w:val="none" w:sz="0" w:space="0" w:color="auto"/>
            <w:left w:val="none" w:sz="0" w:space="0" w:color="auto"/>
            <w:bottom w:val="none" w:sz="0" w:space="0" w:color="auto"/>
            <w:right w:val="none" w:sz="0" w:space="0" w:color="auto"/>
          </w:divBdr>
        </w:div>
        <w:div w:id="1394693074">
          <w:marLeft w:val="0"/>
          <w:marRight w:val="0"/>
          <w:marTop w:val="0"/>
          <w:marBottom w:val="0"/>
          <w:divBdr>
            <w:top w:val="none" w:sz="0" w:space="0" w:color="auto"/>
            <w:left w:val="none" w:sz="0" w:space="0" w:color="auto"/>
            <w:bottom w:val="none" w:sz="0" w:space="0" w:color="auto"/>
            <w:right w:val="none" w:sz="0" w:space="0" w:color="auto"/>
          </w:divBdr>
        </w:div>
        <w:div w:id="1730568484">
          <w:marLeft w:val="0"/>
          <w:marRight w:val="0"/>
          <w:marTop w:val="0"/>
          <w:marBottom w:val="0"/>
          <w:divBdr>
            <w:top w:val="none" w:sz="0" w:space="0" w:color="auto"/>
            <w:left w:val="none" w:sz="0" w:space="0" w:color="auto"/>
            <w:bottom w:val="none" w:sz="0" w:space="0" w:color="auto"/>
            <w:right w:val="none" w:sz="0" w:space="0" w:color="auto"/>
          </w:divBdr>
        </w:div>
        <w:div w:id="2046516894">
          <w:marLeft w:val="0"/>
          <w:marRight w:val="0"/>
          <w:marTop w:val="0"/>
          <w:marBottom w:val="0"/>
          <w:divBdr>
            <w:top w:val="none" w:sz="0" w:space="0" w:color="auto"/>
            <w:left w:val="none" w:sz="0" w:space="0" w:color="auto"/>
            <w:bottom w:val="none" w:sz="0" w:space="0" w:color="auto"/>
            <w:right w:val="none" w:sz="0" w:space="0" w:color="auto"/>
          </w:divBdr>
        </w:div>
        <w:div w:id="2056347718">
          <w:marLeft w:val="0"/>
          <w:marRight w:val="0"/>
          <w:marTop w:val="0"/>
          <w:marBottom w:val="0"/>
          <w:divBdr>
            <w:top w:val="none" w:sz="0" w:space="0" w:color="auto"/>
            <w:left w:val="none" w:sz="0" w:space="0" w:color="auto"/>
            <w:bottom w:val="none" w:sz="0" w:space="0" w:color="auto"/>
            <w:right w:val="none" w:sz="0" w:space="0" w:color="auto"/>
          </w:divBdr>
        </w:div>
        <w:div w:id="2083942889">
          <w:marLeft w:val="0"/>
          <w:marRight w:val="0"/>
          <w:marTop w:val="0"/>
          <w:marBottom w:val="0"/>
          <w:divBdr>
            <w:top w:val="none" w:sz="0" w:space="0" w:color="auto"/>
            <w:left w:val="none" w:sz="0" w:space="0" w:color="auto"/>
            <w:bottom w:val="none" w:sz="0" w:space="0" w:color="auto"/>
            <w:right w:val="none" w:sz="0" w:space="0" w:color="auto"/>
          </w:divBdr>
        </w:div>
      </w:divsChild>
    </w:div>
    <w:div w:id="952715622">
      <w:bodyDiv w:val="1"/>
      <w:marLeft w:val="0"/>
      <w:marRight w:val="0"/>
      <w:marTop w:val="0"/>
      <w:marBottom w:val="0"/>
      <w:divBdr>
        <w:top w:val="none" w:sz="0" w:space="0" w:color="auto"/>
        <w:left w:val="none" w:sz="0" w:space="0" w:color="auto"/>
        <w:bottom w:val="none" w:sz="0" w:space="0" w:color="auto"/>
        <w:right w:val="none" w:sz="0" w:space="0" w:color="auto"/>
      </w:divBdr>
    </w:div>
    <w:div w:id="960845945">
      <w:bodyDiv w:val="1"/>
      <w:marLeft w:val="0"/>
      <w:marRight w:val="0"/>
      <w:marTop w:val="0"/>
      <w:marBottom w:val="0"/>
      <w:divBdr>
        <w:top w:val="none" w:sz="0" w:space="0" w:color="auto"/>
        <w:left w:val="none" w:sz="0" w:space="0" w:color="auto"/>
        <w:bottom w:val="none" w:sz="0" w:space="0" w:color="auto"/>
        <w:right w:val="none" w:sz="0" w:space="0" w:color="auto"/>
      </w:divBdr>
      <w:divsChild>
        <w:div w:id="305479848">
          <w:marLeft w:val="360"/>
          <w:marRight w:val="0"/>
          <w:marTop w:val="200"/>
          <w:marBottom w:val="0"/>
          <w:divBdr>
            <w:top w:val="none" w:sz="0" w:space="0" w:color="auto"/>
            <w:left w:val="none" w:sz="0" w:space="0" w:color="auto"/>
            <w:bottom w:val="none" w:sz="0" w:space="0" w:color="auto"/>
            <w:right w:val="none" w:sz="0" w:space="0" w:color="auto"/>
          </w:divBdr>
        </w:div>
        <w:div w:id="457770532">
          <w:marLeft w:val="360"/>
          <w:marRight w:val="0"/>
          <w:marTop w:val="200"/>
          <w:marBottom w:val="0"/>
          <w:divBdr>
            <w:top w:val="none" w:sz="0" w:space="0" w:color="auto"/>
            <w:left w:val="none" w:sz="0" w:space="0" w:color="auto"/>
            <w:bottom w:val="none" w:sz="0" w:space="0" w:color="auto"/>
            <w:right w:val="none" w:sz="0" w:space="0" w:color="auto"/>
          </w:divBdr>
        </w:div>
        <w:div w:id="490877180">
          <w:marLeft w:val="360"/>
          <w:marRight w:val="0"/>
          <w:marTop w:val="200"/>
          <w:marBottom w:val="0"/>
          <w:divBdr>
            <w:top w:val="none" w:sz="0" w:space="0" w:color="auto"/>
            <w:left w:val="none" w:sz="0" w:space="0" w:color="auto"/>
            <w:bottom w:val="none" w:sz="0" w:space="0" w:color="auto"/>
            <w:right w:val="none" w:sz="0" w:space="0" w:color="auto"/>
          </w:divBdr>
        </w:div>
        <w:div w:id="1149401081">
          <w:marLeft w:val="360"/>
          <w:marRight w:val="0"/>
          <w:marTop w:val="200"/>
          <w:marBottom w:val="0"/>
          <w:divBdr>
            <w:top w:val="none" w:sz="0" w:space="0" w:color="auto"/>
            <w:left w:val="none" w:sz="0" w:space="0" w:color="auto"/>
            <w:bottom w:val="none" w:sz="0" w:space="0" w:color="auto"/>
            <w:right w:val="none" w:sz="0" w:space="0" w:color="auto"/>
          </w:divBdr>
        </w:div>
        <w:div w:id="1459226932">
          <w:marLeft w:val="360"/>
          <w:marRight w:val="0"/>
          <w:marTop w:val="200"/>
          <w:marBottom w:val="0"/>
          <w:divBdr>
            <w:top w:val="none" w:sz="0" w:space="0" w:color="auto"/>
            <w:left w:val="none" w:sz="0" w:space="0" w:color="auto"/>
            <w:bottom w:val="none" w:sz="0" w:space="0" w:color="auto"/>
            <w:right w:val="none" w:sz="0" w:space="0" w:color="auto"/>
          </w:divBdr>
        </w:div>
        <w:div w:id="1576167409">
          <w:marLeft w:val="360"/>
          <w:marRight w:val="0"/>
          <w:marTop w:val="200"/>
          <w:marBottom w:val="0"/>
          <w:divBdr>
            <w:top w:val="none" w:sz="0" w:space="0" w:color="auto"/>
            <w:left w:val="none" w:sz="0" w:space="0" w:color="auto"/>
            <w:bottom w:val="none" w:sz="0" w:space="0" w:color="auto"/>
            <w:right w:val="none" w:sz="0" w:space="0" w:color="auto"/>
          </w:divBdr>
        </w:div>
      </w:divsChild>
    </w:div>
    <w:div w:id="973176714">
      <w:bodyDiv w:val="1"/>
      <w:marLeft w:val="0"/>
      <w:marRight w:val="0"/>
      <w:marTop w:val="0"/>
      <w:marBottom w:val="0"/>
      <w:divBdr>
        <w:top w:val="none" w:sz="0" w:space="0" w:color="auto"/>
        <w:left w:val="none" w:sz="0" w:space="0" w:color="auto"/>
        <w:bottom w:val="none" w:sz="0" w:space="0" w:color="auto"/>
        <w:right w:val="none" w:sz="0" w:space="0" w:color="auto"/>
      </w:divBdr>
      <w:divsChild>
        <w:div w:id="1701281321">
          <w:marLeft w:val="0"/>
          <w:marRight w:val="0"/>
          <w:marTop w:val="0"/>
          <w:marBottom w:val="0"/>
          <w:divBdr>
            <w:top w:val="none" w:sz="0" w:space="0" w:color="auto"/>
            <w:left w:val="none" w:sz="0" w:space="0" w:color="auto"/>
            <w:bottom w:val="none" w:sz="0" w:space="0" w:color="auto"/>
            <w:right w:val="none" w:sz="0" w:space="0" w:color="auto"/>
          </w:divBdr>
        </w:div>
      </w:divsChild>
    </w:div>
    <w:div w:id="973944558">
      <w:bodyDiv w:val="1"/>
      <w:marLeft w:val="0"/>
      <w:marRight w:val="0"/>
      <w:marTop w:val="0"/>
      <w:marBottom w:val="0"/>
      <w:divBdr>
        <w:top w:val="none" w:sz="0" w:space="0" w:color="auto"/>
        <w:left w:val="none" w:sz="0" w:space="0" w:color="auto"/>
        <w:bottom w:val="none" w:sz="0" w:space="0" w:color="auto"/>
        <w:right w:val="none" w:sz="0" w:space="0" w:color="auto"/>
      </w:divBdr>
    </w:div>
    <w:div w:id="977686912">
      <w:bodyDiv w:val="1"/>
      <w:marLeft w:val="0"/>
      <w:marRight w:val="0"/>
      <w:marTop w:val="0"/>
      <w:marBottom w:val="0"/>
      <w:divBdr>
        <w:top w:val="none" w:sz="0" w:space="0" w:color="auto"/>
        <w:left w:val="none" w:sz="0" w:space="0" w:color="auto"/>
        <w:bottom w:val="none" w:sz="0" w:space="0" w:color="auto"/>
        <w:right w:val="none" w:sz="0" w:space="0" w:color="auto"/>
      </w:divBdr>
    </w:div>
    <w:div w:id="983581124">
      <w:bodyDiv w:val="1"/>
      <w:marLeft w:val="0"/>
      <w:marRight w:val="0"/>
      <w:marTop w:val="0"/>
      <w:marBottom w:val="0"/>
      <w:divBdr>
        <w:top w:val="none" w:sz="0" w:space="0" w:color="auto"/>
        <w:left w:val="none" w:sz="0" w:space="0" w:color="auto"/>
        <w:bottom w:val="none" w:sz="0" w:space="0" w:color="auto"/>
        <w:right w:val="none" w:sz="0" w:space="0" w:color="auto"/>
      </w:divBdr>
    </w:div>
    <w:div w:id="994457887">
      <w:bodyDiv w:val="1"/>
      <w:marLeft w:val="0"/>
      <w:marRight w:val="0"/>
      <w:marTop w:val="0"/>
      <w:marBottom w:val="0"/>
      <w:divBdr>
        <w:top w:val="none" w:sz="0" w:space="0" w:color="auto"/>
        <w:left w:val="none" w:sz="0" w:space="0" w:color="auto"/>
        <w:bottom w:val="none" w:sz="0" w:space="0" w:color="auto"/>
        <w:right w:val="none" w:sz="0" w:space="0" w:color="auto"/>
      </w:divBdr>
    </w:div>
    <w:div w:id="1000352195">
      <w:marLeft w:val="0"/>
      <w:marRight w:val="0"/>
      <w:marTop w:val="0"/>
      <w:marBottom w:val="0"/>
      <w:divBdr>
        <w:top w:val="none" w:sz="0" w:space="0" w:color="auto"/>
        <w:left w:val="none" w:sz="0" w:space="0" w:color="auto"/>
        <w:bottom w:val="none" w:sz="0" w:space="0" w:color="auto"/>
        <w:right w:val="none" w:sz="0" w:space="0" w:color="auto"/>
      </w:divBdr>
      <w:divsChild>
        <w:div w:id="1522545826">
          <w:marLeft w:val="0"/>
          <w:marRight w:val="0"/>
          <w:marTop w:val="0"/>
          <w:marBottom w:val="0"/>
          <w:divBdr>
            <w:top w:val="none" w:sz="0" w:space="0" w:color="auto"/>
            <w:left w:val="none" w:sz="0" w:space="0" w:color="auto"/>
            <w:bottom w:val="none" w:sz="0" w:space="0" w:color="auto"/>
            <w:right w:val="none" w:sz="0" w:space="0" w:color="auto"/>
          </w:divBdr>
        </w:div>
      </w:divsChild>
    </w:div>
    <w:div w:id="1006905232">
      <w:bodyDiv w:val="1"/>
      <w:marLeft w:val="0"/>
      <w:marRight w:val="0"/>
      <w:marTop w:val="0"/>
      <w:marBottom w:val="0"/>
      <w:divBdr>
        <w:top w:val="none" w:sz="0" w:space="0" w:color="auto"/>
        <w:left w:val="none" w:sz="0" w:space="0" w:color="auto"/>
        <w:bottom w:val="none" w:sz="0" w:space="0" w:color="auto"/>
        <w:right w:val="none" w:sz="0" w:space="0" w:color="auto"/>
      </w:divBdr>
      <w:divsChild>
        <w:div w:id="224798407">
          <w:marLeft w:val="0"/>
          <w:marRight w:val="0"/>
          <w:marTop w:val="0"/>
          <w:marBottom w:val="0"/>
          <w:divBdr>
            <w:top w:val="none" w:sz="0" w:space="0" w:color="auto"/>
            <w:left w:val="none" w:sz="0" w:space="0" w:color="auto"/>
            <w:bottom w:val="none" w:sz="0" w:space="0" w:color="auto"/>
            <w:right w:val="none" w:sz="0" w:space="0" w:color="auto"/>
          </w:divBdr>
        </w:div>
      </w:divsChild>
    </w:div>
    <w:div w:id="1008826829">
      <w:bodyDiv w:val="1"/>
      <w:marLeft w:val="0"/>
      <w:marRight w:val="0"/>
      <w:marTop w:val="0"/>
      <w:marBottom w:val="0"/>
      <w:divBdr>
        <w:top w:val="none" w:sz="0" w:space="0" w:color="auto"/>
        <w:left w:val="none" w:sz="0" w:space="0" w:color="auto"/>
        <w:bottom w:val="none" w:sz="0" w:space="0" w:color="auto"/>
        <w:right w:val="none" w:sz="0" w:space="0" w:color="auto"/>
      </w:divBdr>
    </w:div>
    <w:div w:id="1013603317">
      <w:bodyDiv w:val="1"/>
      <w:marLeft w:val="0"/>
      <w:marRight w:val="0"/>
      <w:marTop w:val="0"/>
      <w:marBottom w:val="0"/>
      <w:divBdr>
        <w:top w:val="none" w:sz="0" w:space="0" w:color="auto"/>
        <w:left w:val="none" w:sz="0" w:space="0" w:color="auto"/>
        <w:bottom w:val="none" w:sz="0" w:space="0" w:color="auto"/>
        <w:right w:val="none" w:sz="0" w:space="0" w:color="auto"/>
      </w:divBdr>
      <w:divsChild>
        <w:div w:id="734816048">
          <w:marLeft w:val="0"/>
          <w:marRight w:val="0"/>
          <w:marTop w:val="0"/>
          <w:marBottom w:val="0"/>
          <w:divBdr>
            <w:top w:val="none" w:sz="0" w:space="0" w:color="auto"/>
            <w:left w:val="none" w:sz="0" w:space="0" w:color="auto"/>
            <w:bottom w:val="none" w:sz="0" w:space="0" w:color="auto"/>
            <w:right w:val="none" w:sz="0" w:space="0" w:color="auto"/>
          </w:divBdr>
        </w:div>
      </w:divsChild>
    </w:div>
    <w:div w:id="1015498869">
      <w:bodyDiv w:val="1"/>
      <w:marLeft w:val="0"/>
      <w:marRight w:val="0"/>
      <w:marTop w:val="0"/>
      <w:marBottom w:val="0"/>
      <w:divBdr>
        <w:top w:val="none" w:sz="0" w:space="0" w:color="auto"/>
        <w:left w:val="none" w:sz="0" w:space="0" w:color="auto"/>
        <w:bottom w:val="none" w:sz="0" w:space="0" w:color="auto"/>
        <w:right w:val="none" w:sz="0" w:space="0" w:color="auto"/>
      </w:divBdr>
    </w:div>
    <w:div w:id="1030256330">
      <w:bodyDiv w:val="1"/>
      <w:marLeft w:val="0"/>
      <w:marRight w:val="0"/>
      <w:marTop w:val="0"/>
      <w:marBottom w:val="0"/>
      <w:divBdr>
        <w:top w:val="none" w:sz="0" w:space="0" w:color="auto"/>
        <w:left w:val="none" w:sz="0" w:space="0" w:color="auto"/>
        <w:bottom w:val="none" w:sz="0" w:space="0" w:color="auto"/>
        <w:right w:val="none" w:sz="0" w:space="0" w:color="auto"/>
      </w:divBdr>
    </w:div>
    <w:div w:id="1034113815">
      <w:marLeft w:val="0"/>
      <w:marRight w:val="0"/>
      <w:marTop w:val="0"/>
      <w:marBottom w:val="0"/>
      <w:divBdr>
        <w:top w:val="none" w:sz="0" w:space="0" w:color="auto"/>
        <w:left w:val="none" w:sz="0" w:space="0" w:color="auto"/>
        <w:bottom w:val="none" w:sz="0" w:space="0" w:color="auto"/>
        <w:right w:val="none" w:sz="0" w:space="0" w:color="auto"/>
      </w:divBdr>
      <w:divsChild>
        <w:div w:id="681246882">
          <w:marLeft w:val="0"/>
          <w:marRight w:val="0"/>
          <w:marTop w:val="0"/>
          <w:marBottom w:val="0"/>
          <w:divBdr>
            <w:top w:val="none" w:sz="0" w:space="0" w:color="auto"/>
            <w:left w:val="none" w:sz="0" w:space="0" w:color="auto"/>
            <w:bottom w:val="none" w:sz="0" w:space="0" w:color="auto"/>
            <w:right w:val="none" w:sz="0" w:space="0" w:color="auto"/>
          </w:divBdr>
        </w:div>
      </w:divsChild>
    </w:div>
    <w:div w:id="1034573470">
      <w:bodyDiv w:val="1"/>
      <w:marLeft w:val="0"/>
      <w:marRight w:val="0"/>
      <w:marTop w:val="0"/>
      <w:marBottom w:val="0"/>
      <w:divBdr>
        <w:top w:val="none" w:sz="0" w:space="0" w:color="auto"/>
        <w:left w:val="none" w:sz="0" w:space="0" w:color="auto"/>
        <w:bottom w:val="none" w:sz="0" w:space="0" w:color="auto"/>
        <w:right w:val="none" w:sz="0" w:space="0" w:color="auto"/>
      </w:divBdr>
    </w:div>
    <w:div w:id="1042050768">
      <w:bodyDiv w:val="1"/>
      <w:marLeft w:val="0"/>
      <w:marRight w:val="0"/>
      <w:marTop w:val="0"/>
      <w:marBottom w:val="0"/>
      <w:divBdr>
        <w:top w:val="none" w:sz="0" w:space="0" w:color="auto"/>
        <w:left w:val="none" w:sz="0" w:space="0" w:color="auto"/>
        <w:bottom w:val="none" w:sz="0" w:space="0" w:color="auto"/>
        <w:right w:val="none" w:sz="0" w:space="0" w:color="auto"/>
      </w:divBdr>
    </w:div>
    <w:div w:id="1050150169">
      <w:bodyDiv w:val="1"/>
      <w:marLeft w:val="0"/>
      <w:marRight w:val="0"/>
      <w:marTop w:val="0"/>
      <w:marBottom w:val="0"/>
      <w:divBdr>
        <w:top w:val="none" w:sz="0" w:space="0" w:color="auto"/>
        <w:left w:val="none" w:sz="0" w:space="0" w:color="auto"/>
        <w:bottom w:val="none" w:sz="0" w:space="0" w:color="auto"/>
        <w:right w:val="none" w:sz="0" w:space="0" w:color="auto"/>
      </w:divBdr>
    </w:div>
    <w:div w:id="1061446048">
      <w:bodyDiv w:val="1"/>
      <w:marLeft w:val="0"/>
      <w:marRight w:val="0"/>
      <w:marTop w:val="0"/>
      <w:marBottom w:val="0"/>
      <w:divBdr>
        <w:top w:val="none" w:sz="0" w:space="0" w:color="auto"/>
        <w:left w:val="none" w:sz="0" w:space="0" w:color="auto"/>
        <w:bottom w:val="none" w:sz="0" w:space="0" w:color="auto"/>
        <w:right w:val="none" w:sz="0" w:space="0" w:color="auto"/>
      </w:divBdr>
      <w:divsChild>
        <w:div w:id="631593418">
          <w:marLeft w:val="0"/>
          <w:marRight w:val="0"/>
          <w:marTop w:val="0"/>
          <w:marBottom w:val="0"/>
          <w:divBdr>
            <w:top w:val="none" w:sz="0" w:space="0" w:color="auto"/>
            <w:left w:val="none" w:sz="0" w:space="0" w:color="auto"/>
            <w:bottom w:val="none" w:sz="0" w:space="0" w:color="auto"/>
            <w:right w:val="none" w:sz="0" w:space="0" w:color="auto"/>
          </w:divBdr>
        </w:div>
      </w:divsChild>
    </w:div>
    <w:div w:id="1066496176">
      <w:bodyDiv w:val="1"/>
      <w:marLeft w:val="0"/>
      <w:marRight w:val="0"/>
      <w:marTop w:val="0"/>
      <w:marBottom w:val="0"/>
      <w:divBdr>
        <w:top w:val="none" w:sz="0" w:space="0" w:color="auto"/>
        <w:left w:val="none" w:sz="0" w:space="0" w:color="auto"/>
        <w:bottom w:val="none" w:sz="0" w:space="0" w:color="auto"/>
        <w:right w:val="none" w:sz="0" w:space="0" w:color="auto"/>
      </w:divBdr>
    </w:div>
    <w:div w:id="1069383167">
      <w:bodyDiv w:val="1"/>
      <w:marLeft w:val="0"/>
      <w:marRight w:val="0"/>
      <w:marTop w:val="0"/>
      <w:marBottom w:val="0"/>
      <w:divBdr>
        <w:top w:val="none" w:sz="0" w:space="0" w:color="auto"/>
        <w:left w:val="none" w:sz="0" w:space="0" w:color="auto"/>
        <w:bottom w:val="none" w:sz="0" w:space="0" w:color="auto"/>
        <w:right w:val="none" w:sz="0" w:space="0" w:color="auto"/>
      </w:divBdr>
    </w:div>
    <w:div w:id="1073970951">
      <w:bodyDiv w:val="1"/>
      <w:marLeft w:val="0"/>
      <w:marRight w:val="0"/>
      <w:marTop w:val="0"/>
      <w:marBottom w:val="0"/>
      <w:divBdr>
        <w:top w:val="none" w:sz="0" w:space="0" w:color="auto"/>
        <w:left w:val="none" w:sz="0" w:space="0" w:color="auto"/>
        <w:bottom w:val="none" w:sz="0" w:space="0" w:color="auto"/>
        <w:right w:val="none" w:sz="0" w:space="0" w:color="auto"/>
      </w:divBdr>
      <w:divsChild>
        <w:div w:id="284167396">
          <w:marLeft w:val="0"/>
          <w:marRight w:val="0"/>
          <w:marTop w:val="0"/>
          <w:marBottom w:val="0"/>
          <w:divBdr>
            <w:top w:val="none" w:sz="0" w:space="0" w:color="auto"/>
            <w:left w:val="none" w:sz="0" w:space="0" w:color="auto"/>
            <w:bottom w:val="none" w:sz="0" w:space="0" w:color="auto"/>
            <w:right w:val="none" w:sz="0" w:space="0" w:color="auto"/>
          </w:divBdr>
        </w:div>
        <w:div w:id="458956509">
          <w:marLeft w:val="0"/>
          <w:marRight w:val="0"/>
          <w:marTop w:val="0"/>
          <w:marBottom w:val="0"/>
          <w:divBdr>
            <w:top w:val="none" w:sz="0" w:space="0" w:color="auto"/>
            <w:left w:val="none" w:sz="0" w:space="0" w:color="auto"/>
            <w:bottom w:val="none" w:sz="0" w:space="0" w:color="auto"/>
            <w:right w:val="none" w:sz="0" w:space="0" w:color="auto"/>
          </w:divBdr>
        </w:div>
        <w:div w:id="463892665">
          <w:marLeft w:val="0"/>
          <w:marRight w:val="0"/>
          <w:marTop w:val="0"/>
          <w:marBottom w:val="0"/>
          <w:divBdr>
            <w:top w:val="none" w:sz="0" w:space="0" w:color="auto"/>
            <w:left w:val="none" w:sz="0" w:space="0" w:color="auto"/>
            <w:bottom w:val="none" w:sz="0" w:space="0" w:color="auto"/>
            <w:right w:val="none" w:sz="0" w:space="0" w:color="auto"/>
          </w:divBdr>
        </w:div>
        <w:div w:id="481773367">
          <w:marLeft w:val="0"/>
          <w:marRight w:val="0"/>
          <w:marTop w:val="0"/>
          <w:marBottom w:val="0"/>
          <w:divBdr>
            <w:top w:val="none" w:sz="0" w:space="0" w:color="auto"/>
            <w:left w:val="none" w:sz="0" w:space="0" w:color="auto"/>
            <w:bottom w:val="none" w:sz="0" w:space="0" w:color="auto"/>
            <w:right w:val="none" w:sz="0" w:space="0" w:color="auto"/>
          </w:divBdr>
        </w:div>
        <w:div w:id="708409169">
          <w:marLeft w:val="0"/>
          <w:marRight w:val="0"/>
          <w:marTop w:val="0"/>
          <w:marBottom w:val="0"/>
          <w:divBdr>
            <w:top w:val="none" w:sz="0" w:space="0" w:color="auto"/>
            <w:left w:val="none" w:sz="0" w:space="0" w:color="auto"/>
            <w:bottom w:val="none" w:sz="0" w:space="0" w:color="auto"/>
            <w:right w:val="none" w:sz="0" w:space="0" w:color="auto"/>
          </w:divBdr>
        </w:div>
      </w:divsChild>
    </w:div>
    <w:div w:id="1075056957">
      <w:bodyDiv w:val="1"/>
      <w:marLeft w:val="0"/>
      <w:marRight w:val="0"/>
      <w:marTop w:val="0"/>
      <w:marBottom w:val="0"/>
      <w:divBdr>
        <w:top w:val="none" w:sz="0" w:space="0" w:color="auto"/>
        <w:left w:val="none" w:sz="0" w:space="0" w:color="auto"/>
        <w:bottom w:val="none" w:sz="0" w:space="0" w:color="auto"/>
        <w:right w:val="none" w:sz="0" w:space="0" w:color="auto"/>
      </w:divBdr>
    </w:div>
    <w:div w:id="1076974871">
      <w:bodyDiv w:val="1"/>
      <w:marLeft w:val="0"/>
      <w:marRight w:val="0"/>
      <w:marTop w:val="0"/>
      <w:marBottom w:val="0"/>
      <w:divBdr>
        <w:top w:val="none" w:sz="0" w:space="0" w:color="auto"/>
        <w:left w:val="none" w:sz="0" w:space="0" w:color="auto"/>
        <w:bottom w:val="none" w:sz="0" w:space="0" w:color="auto"/>
        <w:right w:val="none" w:sz="0" w:space="0" w:color="auto"/>
      </w:divBdr>
    </w:div>
    <w:div w:id="1077827170">
      <w:bodyDiv w:val="1"/>
      <w:marLeft w:val="0"/>
      <w:marRight w:val="0"/>
      <w:marTop w:val="0"/>
      <w:marBottom w:val="0"/>
      <w:divBdr>
        <w:top w:val="none" w:sz="0" w:space="0" w:color="auto"/>
        <w:left w:val="none" w:sz="0" w:space="0" w:color="auto"/>
        <w:bottom w:val="none" w:sz="0" w:space="0" w:color="auto"/>
        <w:right w:val="none" w:sz="0" w:space="0" w:color="auto"/>
      </w:divBdr>
    </w:div>
    <w:div w:id="1081365124">
      <w:bodyDiv w:val="1"/>
      <w:marLeft w:val="0"/>
      <w:marRight w:val="0"/>
      <w:marTop w:val="0"/>
      <w:marBottom w:val="0"/>
      <w:divBdr>
        <w:top w:val="none" w:sz="0" w:space="0" w:color="auto"/>
        <w:left w:val="none" w:sz="0" w:space="0" w:color="auto"/>
        <w:bottom w:val="none" w:sz="0" w:space="0" w:color="auto"/>
        <w:right w:val="none" w:sz="0" w:space="0" w:color="auto"/>
      </w:divBdr>
    </w:div>
    <w:div w:id="1084108513">
      <w:bodyDiv w:val="1"/>
      <w:marLeft w:val="0"/>
      <w:marRight w:val="0"/>
      <w:marTop w:val="0"/>
      <w:marBottom w:val="0"/>
      <w:divBdr>
        <w:top w:val="none" w:sz="0" w:space="0" w:color="auto"/>
        <w:left w:val="none" w:sz="0" w:space="0" w:color="auto"/>
        <w:bottom w:val="none" w:sz="0" w:space="0" w:color="auto"/>
        <w:right w:val="none" w:sz="0" w:space="0" w:color="auto"/>
      </w:divBdr>
      <w:divsChild>
        <w:div w:id="34158038">
          <w:marLeft w:val="360"/>
          <w:marRight w:val="0"/>
          <w:marTop w:val="200"/>
          <w:marBottom w:val="0"/>
          <w:divBdr>
            <w:top w:val="none" w:sz="0" w:space="0" w:color="auto"/>
            <w:left w:val="none" w:sz="0" w:space="0" w:color="auto"/>
            <w:bottom w:val="none" w:sz="0" w:space="0" w:color="auto"/>
            <w:right w:val="none" w:sz="0" w:space="0" w:color="auto"/>
          </w:divBdr>
        </w:div>
        <w:div w:id="367951386">
          <w:marLeft w:val="360"/>
          <w:marRight w:val="0"/>
          <w:marTop w:val="200"/>
          <w:marBottom w:val="0"/>
          <w:divBdr>
            <w:top w:val="none" w:sz="0" w:space="0" w:color="auto"/>
            <w:left w:val="none" w:sz="0" w:space="0" w:color="auto"/>
            <w:bottom w:val="none" w:sz="0" w:space="0" w:color="auto"/>
            <w:right w:val="none" w:sz="0" w:space="0" w:color="auto"/>
          </w:divBdr>
        </w:div>
        <w:div w:id="1054813943">
          <w:marLeft w:val="360"/>
          <w:marRight w:val="0"/>
          <w:marTop w:val="200"/>
          <w:marBottom w:val="0"/>
          <w:divBdr>
            <w:top w:val="none" w:sz="0" w:space="0" w:color="auto"/>
            <w:left w:val="none" w:sz="0" w:space="0" w:color="auto"/>
            <w:bottom w:val="none" w:sz="0" w:space="0" w:color="auto"/>
            <w:right w:val="none" w:sz="0" w:space="0" w:color="auto"/>
          </w:divBdr>
        </w:div>
        <w:div w:id="1332873580">
          <w:marLeft w:val="360"/>
          <w:marRight w:val="0"/>
          <w:marTop w:val="200"/>
          <w:marBottom w:val="0"/>
          <w:divBdr>
            <w:top w:val="none" w:sz="0" w:space="0" w:color="auto"/>
            <w:left w:val="none" w:sz="0" w:space="0" w:color="auto"/>
            <w:bottom w:val="none" w:sz="0" w:space="0" w:color="auto"/>
            <w:right w:val="none" w:sz="0" w:space="0" w:color="auto"/>
          </w:divBdr>
        </w:div>
        <w:div w:id="1953130505">
          <w:marLeft w:val="360"/>
          <w:marRight w:val="0"/>
          <w:marTop w:val="200"/>
          <w:marBottom w:val="0"/>
          <w:divBdr>
            <w:top w:val="none" w:sz="0" w:space="0" w:color="auto"/>
            <w:left w:val="none" w:sz="0" w:space="0" w:color="auto"/>
            <w:bottom w:val="none" w:sz="0" w:space="0" w:color="auto"/>
            <w:right w:val="none" w:sz="0" w:space="0" w:color="auto"/>
          </w:divBdr>
        </w:div>
        <w:div w:id="2069650804">
          <w:marLeft w:val="360"/>
          <w:marRight w:val="0"/>
          <w:marTop w:val="200"/>
          <w:marBottom w:val="0"/>
          <w:divBdr>
            <w:top w:val="none" w:sz="0" w:space="0" w:color="auto"/>
            <w:left w:val="none" w:sz="0" w:space="0" w:color="auto"/>
            <w:bottom w:val="none" w:sz="0" w:space="0" w:color="auto"/>
            <w:right w:val="none" w:sz="0" w:space="0" w:color="auto"/>
          </w:divBdr>
        </w:div>
      </w:divsChild>
    </w:div>
    <w:div w:id="1093890660">
      <w:bodyDiv w:val="1"/>
      <w:marLeft w:val="0"/>
      <w:marRight w:val="0"/>
      <w:marTop w:val="0"/>
      <w:marBottom w:val="0"/>
      <w:divBdr>
        <w:top w:val="none" w:sz="0" w:space="0" w:color="auto"/>
        <w:left w:val="none" w:sz="0" w:space="0" w:color="auto"/>
        <w:bottom w:val="none" w:sz="0" w:space="0" w:color="auto"/>
        <w:right w:val="none" w:sz="0" w:space="0" w:color="auto"/>
      </w:divBdr>
      <w:divsChild>
        <w:div w:id="1377197731">
          <w:marLeft w:val="0"/>
          <w:marRight w:val="0"/>
          <w:marTop w:val="0"/>
          <w:marBottom w:val="0"/>
          <w:divBdr>
            <w:top w:val="none" w:sz="0" w:space="0" w:color="auto"/>
            <w:left w:val="none" w:sz="0" w:space="0" w:color="auto"/>
            <w:bottom w:val="none" w:sz="0" w:space="0" w:color="auto"/>
            <w:right w:val="none" w:sz="0" w:space="0" w:color="auto"/>
          </w:divBdr>
        </w:div>
      </w:divsChild>
    </w:div>
    <w:div w:id="1100754373">
      <w:bodyDiv w:val="1"/>
      <w:marLeft w:val="0"/>
      <w:marRight w:val="0"/>
      <w:marTop w:val="0"/>
      <w:marBottom w:val="0"/>
      <w:divBdr>
        <w:top w:val="none" w:sz="0" w:space="0" w:color="auto"/>
        <w:left w:val="none" w:sz="0" w:space="0" w:color="auto"/>
        <w:bottom w:val="none" w:sz="0" w:space="0" w:color="auto"/>
        <w:right w:val="none" w:sz="0" w:space="0" w:color="auto"/>
      </w:divBdr>
    </w:div>
    <w:div w:id="1101804948">
      <w:bodyDiv w:val="1"/>
      <w:marLeft w:val="0"/>
      <w:marRight w:val="0"/>
      <w:marTop w:val="0"/>
      <w:marBottom w:val="0"/>
      <w:divBdr>
        <w:top w:val="none" w:sz="0" w:space="0" w:color="auto"/>
        <w:left w:val="none" w:sz="0" w:space="0" w:color="auto"/>
        <w:bottom w:val="none" w:sz="0" w:space="0" w:color="auto"/>
        <w:right w:val="none" w:sz="0" w:space="0" w:color="auto"/>
      </w:divBdr>
    </w:div>
    <w:div w:id="1102804771">
      <w:marLeft w:val="0"/>
      <w:marRight w:val="0"/>
      <w:marTop w:val="0"/>
      <w:marBottom w:val="0"/>
      <w:divBdr>
        <w:top w:val="none" w:sz="0" w:space="0" w:color="auto"/>
        <w:left w:val="none" w:sz="0" w:space="0" w:color="auto"/>
        <w:bottom w:val="none" w:sz="0" w:space="0" w:color="auto"/>
        <w:right w:val="none" w:sz="0" w:space="0" w:color="auto"/>
      </w:divBdr>
      <w:divsChild>
        <w:div w:id="1813019094">
          <w:marLeft w:val="0"/>
          <w:marRight w:val="0"/>
          <w:marTop w:val="0"/>
          <w:marBottom w:val="0"/>
          <w:divBdr>
            <w:top w:val="none" w:sz="0" w:space="0" w:color="auto"/>
            <w:left w:val="none" w:sz="0" w:space="0" w:color="auto"/>
            <w:bottom w:val="none" w:sz="0" w:space="0" w:color="auto"/>
            <w:right w:val="none" w:sz="0" w:space="0" w:color="auto"/>
          </w:divBdr>
        </w:div>
      </w:divsChild>
    </w:div>
    <w:div w:id="1102917458">
      <w:bodyDiv w:val="1"/>
      <w:marLeft w:val="0"/>
      <w:marRight w:val="0"/>
      <w:marTop w:val="0"/>
      <w:marBottom w:val="0"/>
      <w:divBdr>
        <w:top w:val="none" w:sz="0" w:space="0" w:color="auto"/>
        <w:left w:val="none" w:sz="0" w:space="0" w:color="auto"/>
        <w:bottom w:val="none" w:sz="0" w:space="0" w:color="auto"/>
        <w:right w:val="none" w:sz="0" w:space="0" w:color="auto"/>
      </w:divBdr>
    </w:div>
    <w:div w:id="1110784630">
      <w:bodyDiv w:val="1"/>
      <w:marLeft w:val="0"/>
      <w:marRight w:val="0"/>
      <w:marTop w:val="0"/>
      <w:marBottom w:val="0"/>
      <w:divBdr>
        <w:top w:val="none" w:sz="0" w:space="0" w:color="auto"/>
        <w:left w:val="none" w:sz="0" w:space="0" w:color="auto"/>
        <w:bottom w:val="none" w:sz="0" w:space="0" w:color="auto"/>
        <w:right w:val="none" w:sz="0" w:space="0" w:color="auto"/>
      </w:divBdr>
      <w:divsChild>
        <w:div w:id="68769187">
          <w:marLeft w:val="360"/>
          <w:marRight w:val="0"/>
          <w:marTop w:val="200"/>
          <w:marBottom w:val="0"/>
          <w:divBdr>
            <w:top w:val="none" w:sz="0" w:space="0" w:color="auto"/>
            <w:left w:val="none" w:sz="0" w:space="0" w:color="auto"/>
            <w:bottom w:val="none" w:sz="0" w:space="0" w:color="auto"/>
            <w:right w:val="none" w:sz="0" w:space="0" w:color="auto"/>
          </w:divBdr>
        </w:div>
        <w:div w:id="420687582">
          <w:marLeft w:val="360"/>
          <w:marRight w:val="0"/>
          <w:marTop w:val="200"/>
          <w:marBottom w:val="0"/>
          <w:divBdr>
            <w:top w:val="none" w:sz="0" w:space="0" w:color="auto"/>
            <w:left w:val="none" w:sz="0" w:space="0" w:color="auto"/>
            <w:bottom w:val="none" w:sz="0" w:space="0" w:color="auto"/>
            <w:right w:val="none" w:sz="0" w:space="0" w:color="auto"/>
          </w:divBdr>
        </w:div>
        <w:div w:id="630133693">
          <w:marLeft w:val="360"/>
          <w:marRight w:val="0"/>
          <w:marTop w:val="200"/>
          <w:marBottom w:val="0"/>
          <w:divBdr>
            <w:top w:val="none" w:sz="0" w:space="0" w:color="auto"/>
            <w:left w:val="none" w:sz="0" w:space="0" w:color="auto"/>
            <w:bottom w:val="none" w:sz="0" w:space="0" w:color="auto"/>
            <w:right w:val="none" w:sz="0" w:space="0" w:color="auto"/>
          </w:divBdr>
        </w:div>
        <w:div w:id="1171215798">
          <w:marLeft w:val="360"/>
          <w:marRight w:val="0"/>
          <w:marTop w:val="200"/>
          <w:marBottom w:val="0"/>
          <w:divBdr>
            <w:top w:val="none" w:sz="0" w:space="0" w:color="auto"/>
            <w:left w:val="none" w:sz="0" w:space="0" w:color="auto"/>
            <w:bottom w:val="none" w:sz="0" w:space="0" w:color="auto"/>
            <w:right w:val="none" w:sz="0" w:space="0" w:color="auto"/>
          </w:divBdr>
        </w:div>
        <w:div w:id="1531383078">
          <w:marLeft w:val="360"/>
          <w:marRight w:val="0"/>
          <w:marTop w:val="200"/>
          <w:marBottom w:val="0"/>
          <w:divBdr>
            <w:top w:val="none" w:sz="0" w:space="0" w:color="auto"/>
            <w:left w:val="none" w:sz="0" w:space="0" w:color="auto"/>
            <w:bottom w:val="none" w:sz="0" w:space="0" w:color="auto"/>
            <w:right w:val="none" w:sz="0" w:space="0" w:color="auto"/>
          </w:divBdr>
        </w:div>
        <w:div w:id="2027711978">
          <w:marLeft w:val="360"/>
          <w:marRight w:val="0"/>
          <w:marTop w:val="200"/>
          <w:marBottom w:val="0"/>
          <w:divBdr>
            <w:top w:val="none" w:sz="0" w:space="0" w:color="auto"/>
            <w:left w:val="none" w:sz="0" w:space="0" w:color="auto"/>
            <w:bottom w:val="none" w:sz="0" w:space="0" w:color="auto"/>
            <w:right w:val="none" w:sz="0" w:space="0" w:color="auto"/>
          </w:divBdr>
        </w:div>
        <w:div w:id="2085371723">
          <w:marLeft w:val="360"/>
          <w:marRight w:val="0"/>
          <w:marTop w:val="200"/>
          <w:marBottom w:val="0"/>
          <w:divBdr>
            <w:top w:val="none" w:sz="0" w:space="0" w:color="auto"/>
            <w:left w:val="none" w:sz="0" w:space="0" w:color="auto"/>
            <w:bottom w:val="none" w:sz="0" w:space="0" w:color="auto"/>
            <w:right w:val="none" w:sz="0" w:space="0" w:color="auto"/>
          </w:divBdr>
        </w:div>
      </w:divsChild>
    </w:div>
    <w:div w:id="1119910810">
      <w:bodyDiv w:val="1"/>
      <w:marLeft w:val="0"/>
      <w:marRight w:val="0"/>
      <w:marTop w:val="0"/>
      <w:marBottom w:val="0"/>
      <w:divBdr>
        <w:top w:val="none" w:sz="0" w:space="0" w:color="auto"/>
        <w:left w:val="none" w:sz="0" w:space="0" w:color="auto"/>
        <w:bottom w:val="none" w:sz="0" w:space="0" w:color="auto"/>
        <w:right w:val="none" w:sz="0" w:space="0" w:color="auto"/>
      </w:divBdr>
    </w:div>
    <w:div w:id="1120103162">
      <w:bodyDiv w:val="1"/>
      <w:marLeft w:val="0"/>
      <w:marRight w:val="0"/>
      <w:marTop w:val="0"/>
      <w:marBottom w:val="0"/>
      <w:divBdr>
        <w:top w:val="none" w:sz="0" w:space="0" w:color="auto"/>
        <w:left w:val="none" w:sz="0" w:space="0" w:color="auto"/>
        <w:bottom w:val="none" w:sz="0" w:space="0" w:color="auto"/>
        <w:right w:val="none" w:sz="0" w:space="0" w:color="auto"/>
      </w:divBdr>
    </w:div>
    <w:div w:id="1121874270">
      <w:bodyDiv w:val="1"/>
      <w:marLeft w:val="0"/>
      <w:marRight w:val="0"/>
      <w:marTop w:val="0"/>
      <w:marBottom w:val="0"/>
      <w:divBdr>
        <w:top w:val="none" w:sz="0" w:space="0" w:color="auto"/>
        <w:left w:val="none" w:sz="0" w:space="0" w:color="auto"/>
        <w:bottom w:val="none" w:sz="0" w:space="0" w:color="auto"/>
        <w:right w:val="none" w:sz="0" w:space="0" w:color="auto"/>
      </w:divBdr>
    </w:div>
    <w:div w:id="1126436363">
      <w:bodyDiv w:val="1"/>
      <w:marLeft w:val="0"/>
      <w:marRight w:val="0"/>
      <w:marTop w:val="0"/>
      <w:marBottom w:val="0"/>
      <w:divBdr>
        <w:top w:val="none" w:sz="0" w:space="0" w:color="auto"/>
        <w:left w:val="none" w:sz="0" w:space="0" w:color="auto"/>
        <w:bottom w:val="none" w:sz="0" w:space="0" w:color="auto"/>
        <w:right w:val="none" w:sz="0" w:space="0" w:color="auto"/>
      </w:divBdr>
    </w:div>
    <w:div w:id="1129133051">
      <w:bodyDiv w:val="1"/>
      <w:marLeft w:val="0"/>
      <w:marRight w:val="0"/>
      <w:marTop w:val="0"/>
      <w:marBottom w:val="0"/>
      <w:divBdr>
        <w:top w:val="none" w:sz="0" w:space="0" w:color="auto"/>
        <w:left w:val="none" w:sz="0" w:space="0" w:color="auto"/>
        <w:bottom w:val="none" w:sz="0" w:space="0" w:color="auto"/>
        <w:right w:val="none" w:sz="0" w:space="0" w:color="auto"/>
      </w:divBdr>
    </w:div>
    <w:div w:id="1136526836">
      <w:marLeft w:val="0"/>
      <w:marRight w:val="0"/>
      <w:marTop w:val="0"/>
      <w:marBottom w:val="0"/>
      <w:divBdr>
        <w:top w:val="none" w:sz="0" w:space="0" w:color="auto"/>
        <w:left w:val="none" w:sz="0" w:space="0" w:color="auto"/>
        <w:bottom w:val="none" w:sz="0" w:space="0" w:color="auto"/>
        <w:right w:val="none" w:sz="0" w:space="0" w:color="auto"/>
      </w:divBdr>
      <w:divsChild>
        <w:div w:id="1669551101">
          <w:marLeft w:val="0"/>
          <w:marRight w:val="0"/>
          <w:marTop w:val="0"/>
          <w:marBottom w:val="0"/>
          <w:divBdr>
            <w:top w:val="none" w:sz="0" w:space="0" w:color="auto"/>
            <w:left w:val="none" w:sz="0" w:space="0" w:color="auto"/>
            <w:bottom w:val="none" w:sz="0" w:space="0" w:color="auto"/>
            <w:right w:val="none" w:sz="0" w:space="0" w:color="auto"/>
          </w:divBdr>
        </w:div>
      </w:divsChild>
    </w:div>
    <w:div w:id="1139884459">
      <w:marLeft w:val="0"/>
      <w:marRight w:val="0"/>
      <w:marTop w:val="0"/>
      <w:marBottom w:val="0"/>
      <w:divBdr>
        <w:top w:val="none" w:sz="0" w:space="0" w:color="auto"/>
        <w:left w:val="none" w:sz="0" w:space="0" w:color="auto"/>
        <w:bottom w:val="none" w:sz="0" w:space="0" w:color="auto"/>
        <w:right w:val="none" w:sz="0" w:space="0" w:color="auto"/>
      </w:divBdr>
      <w:divsChild>
        <w:div w:id="460003882">
          <w:marLeft w:val="0"/>
          <w:marRight w:val="0"/>
          <w:marTop w:val="0"/>
          <w:marBottom w:val="0"/>
          <w:divBdr>
            <w:top w:val="none" w:sz="0" w:space="0" w:color="auto"/>
            <w:left w:val="none" w:sz="0" w:space="0" w:color="auto"/>
            <w:bottom w:val="none" w:sz="0" w:space="0" w:color="auto"/>
            <w:right w:val="none" w:sz="0" w:space="0" w:color="auto"/>
          </w:divBdr>
        </w:div>
      </w:divsChild>
    </w:div>
    <w:div w:id="1146315245">
      <w:bodyDiv w:val="1"/>
      <w:marLeft w:val="0"/>
      <w:marRight w:val="0"/>
      <w:marTop w:val="0"/>
      <w:marBottom w:val="0"/>
      <w:divBdr>
        <w:top w:val="none" w:sz="0" w:space="0" w:color="auto"/>
        <w:left w:val="none" w:sz="0" w:space="0" w:color="auto"/>
        <w:bottom w:val="none" w:sz="0" w:space="0" w:color="auto"/>
        <w:right w:val="none" w:sz="0" w:space="0" w:color="auto"/>
      </w:divBdr>
    </w:div>
    <w:div w:id="1148787629">
      <w:bodyDiv w:val="1"/>
      <w:marLeft w:val="0"/>
      <w:marRight w:val="0"/>
      <w:marTop w:val="0"/>
      <w:marBottom w:val="0"/>
      <w:divBdr>
        <w:top w:val="none" w:sz="0" w:space="0" w:color="auto"/>
        <w:left w:val="none" w:sz="0" w:space="0" w:color="auto"/>
        <w:bottom w:val="none" w:sz="0" w:space="0" w:color="auto"/>
        <w:right w:val="none" w:sz="0" w:space="0" w:color="auto"/>
      </w:divBdr>
      <w:divsChild>
        <w:div w:id="1258323011">
          <w:marLeft w:val="0"/>
          <w:marRight w:val="0"/>
          <w:marTop w:val="0"/>
          <w:marBottom w:val="0"/>
          <w:divBdr>
            <w:top w:val="none" w:sz="0" w:space="0" w:color="auto"/>
            <w:left w:val="none" w:sz="0" w:space="0" w:color="auto"/>
            <w:bottom w:val="none" w:sz="0" w:space="0" w:color="auto"/>
            <w:right w:val="none" w:sz="0" w:space="0" w:color="auto"/>
          </w:divBdr>
        </w:div>
      </w:divsChild>
    </w:div>
    <w:div w:id="1152984094">
      <w:marLeft w:val="0"/>
      <w:marRight w:val="0"/>
      <w:marTop w:val="0"/>
      <w:marBottom w:val="0"/>
      <w:divBdr>
        <w:top w:val="none" w:sz="0" w:space="0" w:color="auto"/>
        <w:left w:val="none" w:sz="0" w:space="0" w:color="auto"/>
        <w:bottom w:val="none" w:sz="0" w:space="0" w:color="auto"/>
        <w:right w:val="none" w:sz="0" w:space="0" w:color="auto"/>
      </w:divBdr>
      <w:divsChild>
        <w:div w:id="506867070">
          <w:marLeft w:val="0"/>
          <w:marRight w:val="0"/>
          <w:marTop w:val="0"/>
          <w:marBottom w:val="0"/>
          <w:divBdr>
            <w:top w:val="none" w:sz="0" w:space="0" w:color="auto"/>
            <w:left w:val="none" w:sz="0" w:space="0" w:color="auto"/>
            <w:bottom w:val="none" w:sz="0" w:space="0" w:color="auto"/>
            <w:right w:val="none" w:sz="0" w:space="0" w:color="auto"/>
          </w:divBdr>
        </w:div>
      </w:divsChild>
    </w:div>
    <w:div w:id="1156611769">
      <w:bodyDiv w:val="1"/>
      <w:marLeft w:val="0"/>
      <w:marRight w:val="0"/>
      <w:marTop w:val="0"/>
      <w:marBottom w:val="0"/>
      <w:divBdr>
        <w:top w:val="none" w:sz="0" w:space="0" w:color="auto"/>
        <w:left w:val="none" w:sz="0" w:space="0" w:color="auto"/>
        <w:bottom w:val="none" w:sz="0" w:space="0" w:color="auto"/>
        <w:right w:val="none" w:sz="0" w:space="0" w:color="auto"/>
      </w:divBdr>
      <w:divsChild>
        <w:div w:id="1888954002">
          <w:marLeft w:val="0"/>
          <w:marRight w:val="0"/>
          <w:marTop w:val="0"/>
          <w:marBottom w:val="0"/>
          <w:divBdr>
            <w:top w:val="none" w:sz="0" w:space="0" w:color="auto"/>
            <w:left w:val="none" w:sz="0" w:space="0" w:color="auto"/>
            <w:bottom w:val="none" w:sz="0" w:space="0" w:color="auto"/>
            <w:right w:val="none" w:sz="0" w:space="0" w:color="auto"/>
          </w:divBdr>
        </w:div>
      </w:divsChild>
    </w:div>
    <w:div w:id="1160854408">
      <w:marLeft w:val="0"/>
      <w:marRight w:val="0"/>
      <w:marTop w:val="0"/>
      <w:marBottom w:val="0"/>
      <w:divBdr>
        <w:top w:val="none" w:sz="0" w:space="0" w:color="auto"/>
        <w:left w:val="none" w:sz="0" w:space="0" w:color="auto"/>
        <w:bottom w:val="none" w:sz="0" w:space="0" w:color="auto"/>
        <w:right w:val="none" w:sz="0" w:space="0" w:color="auto"/>
      </w:divBdr>
      <w:divsChild>
        <w:div w:id="1192767613">
          <w:marLeft w:val="0"/>
          <w:marRight w:val="0"/>
          <w:marTop w:val="0"/>
          <w:marBottom w:val="0"/>
          <w:divBdr>
            <w:top w:val="none" w:sz="0" w:space="0" w:color="auto"/>
            <w:left w:val="none" w:sz="0" w:space="0" w:color="auto"/>
            <w:bottom w:val="none" w:sz="0" w:space="0" w:color="auto"/>
            <w:right w:val="none" w:sz="0" w:space="0" w:color="auto"/>
          </w:divBdr>
        </w:div>
      </w:divsChild>
    </w:div>
    <w:div w:id="1165900491">
      <w:bodyDiv w:val="1"/>
      <w:marLeft w:val="0"/>
      <w:marRight w:val="0"/>
      <w:marTop w:val="0"/>
      <w:marBottom w:val="0"/>
      <w:divBdr>
        <w:top w:val="none" w:sz="0" w:space="0" w:color="auto"/>
        <w:left w:val="none" w:sz="0" w:space="0" w:color="auto"/>
        <w:bottom w:val="none" w:sz="0" w:space="0" w:color="auto"/>
        <w:right w:val="none" w:sz="0" w:space="0" w:color="auto"/>
      </w:divBdr>
    </w:div>
    <w:div w:id="1168904189">
      <w:marLeft w:val="0"/>
      <w:marRight w:val="0"/>
      <w:marTop w:val="0"/>
      <w:marBottom w:val="0"/>
      <w:divBdr>
        <w:top w:val="none" w:sz="0" w:space="0" w:color="auto"/>
        <w:left w:val="none" w:sz="0" w:space="0" w:color="auto"/>
        <w:bottom w:val="none" w:sz="0" w:space="0" w:color="auto"/>
        <w:right w:val="none" w:sz="0" w:space="0" w:color="auto"/>
      </w:divBdr>
      <w:divsChild>
        <w:div w:id="409236136">
          <w:marLeft w:val="0"/>
          <w:marRight w:val="0"/>
          <w:marTop w:val="0"/>
          <w:marBottom w:val="0"/>
          <w:divBdr>
            <w:top w:val="none" w:sz="0" w:space="0" w:color="auto"/>
            <w:left w:val="none" w:sz="0" w:space="0" w:color="auto"/>
            <w:bottom w:val="none" w:sz="0" w:space="0" w:color="auto"/>
            <w:right w:val="none" w:sz="0" w:space="0" w:color="auto"/>
          </w:divBdr>
        </w:div>
      </w:divsChild>
    </w:div>
    <w:div w:id="1169756338">
      <w:bodyDiv w:val="1"/>
      <w:marLeft w:val="0"/>
      <w:marRight w:val="0"/>
      <w:marTop w:val="0"/>
      <w:marBottom w:val="0"/>
      <w:divBdr>
        <w:top w:val="none" w:sz="0" w:space="0" w:color="auto"/>
        <w:left w:val="none" w:sz="0" w:space="0" w:color="auto"/>
        <w:bottom w:val="none" w:sz="0" w:space="0" w:color="auto"/>
        <w:right w:val="none" w:sz="0" w:space="0" w:color="auto"/>
      </w:divBdr>
    </w:div>
    <w:div w:id="1174108905">
      <w:bodyDiv w:val="1"/>
      <w:marLeft w:val="0"/>
      <w:marRight w:val="0"/>
      <w:marTop w:val="0"/>
      <w:marBottom w:val="0"/>
      <w:divBdr>
        <w:top w:val="none" w:sz="0" w:space="0" w:color="auto"/>
        <w:left w:val="none" w:sz="0" w:space="0" w:color="auto"/>
        <w:bottom w:val="none" w:sz="0" w:space="0" w:color="auto"/>
        <w:right w:val="none" w:sz="0" w:space="0" w:color="auto"/>
      </w:divBdr>
    </w:div>
    <w:div w:id="1175650805">
      <w:bodyDiv w:val="1"/>
      <w:marLeft w:val="0"/>
      <w:marRight w:val="0"/>
      <w:marTop w:val="0"/>
      <w:marBottom w:val="0"/>
      <w:divBdr>
        <w:top w:val="none" w:sz="0" w:space="0" w:color="auto"/>
        <w:left w:val="none" w:sz="0" w:space="0" w:color="auto"/>
        <w:bottom w:val="none" w:sz="0" w:space="0" w:color="auto"/>
        <w:right w:val="none" w:sz="0" w:space="0" w:color="auto"/>
      </w:divBdr>
    </w:div>
    <w:div w:id="1176917972">
      <w:bodyDiv w:val="1"/>
      <w:marLeft w:val="0"/>
      <w:marRight w:val="0"/>
      <w:marTop w:val="0"/>
      <w:marBottom w:val="0"/>
      <w:divBdr>
        <w:top w:val="none" w:sz="0" w:space="0" w:color="auto"/>
        <w:left w:val="none" w:sz="0" w:space="0" w:color="auto"/>
        <w:bottom w:val="none" w:sz="0" w:space="0" w:color="auto"/>
        <w:right w:val="none" w:sz="0" w:space="0" w:color="auto"/>
      </w:divBdr>
    </w:div>
    <w:div w:id="1177773507">
      <w:bodyDiv w:val="1"/>
      <w:marLeft w:val="0"/>
      <w:marRight w:val="0"/>
      <w:marTop w:val="0"/>
      <w:marBottom w:val="0"/>
      <w:divBdr>
        <w:top w:val="none" w:sz="0" w:space="0" w:color="auto"/>
        <w:left w:val="none" w:sz="0" w:space="0" w:color="auto"/>
        <w:bottom w:val="none" w:sz="0" w:space="0" w:color="auto"/>
        <w:right w:val="none" w:sz="0" w:space="0" w:color="auto"/>
      </w:divBdr>
    </w:div>
    <w:div w:id="1177890393">
      <w:marLeft w:val="0"/>
      <w:marRight w:val="0"/>
      <w:marTop w:val="0"/>
      <w:marBottom w:val="0"/>
      <w:divBdr>
        <w:top w:val="none" w:sz="0" w:space="0" w:color="auto"/>
        <w:left w:val="none" w:sz="0" w:space="0" w:color="auto"/>
        <w:bottom w:val="none" w:sz="0" w:space="0" w:color="auto"/>
        <w:right w:val="none" w:sz="0" w:space="0" w:color="auto"/>
      </w:divBdr>
      <w:divsChild>
        <w:div w:id="1710106498">
          <w:marLeft w:val="0"/>
          <w:marRight w:val="0"/>
          <w:marTop w:val="0"/>
          <w:marBottom w:val="0"/>
          <w:divBdr>
            <w:top w:val="none" w:sz="0" w:space="0" w:color="auto"/>
            <w:left w:val="none" w:sz="0" w:space="0" w:color="auto"/>
            <w:bottom w:val="none" w:sz="0" w:space="0" w:color="auto"/>
            <w:right w:val="none" w:sz="0" w:space="0" w:color="auto"/>
          </w:divBdr>
        </w:div>
      </w:divsChild>
    </w:div>
    <w:div w:id="1178080471">
      <w:bodyDiv w:val="1"/>
      <w:marLeft w:val="0"/>
      <w:marRight w:val="0"/>
      <w:marTop w:val="0"/>
      <w:marBottom w:val="0"/>
      <w:divBdr>
        <w:top w:val="none" w:sz="0" w:space="0" w:color="auto"/>
        <w:left w:val="none" w:sz="0" w:space="0" w:color="auto"/>
        <w:bottom w:val="none" w:sz="0" w:space="0" w:color="auto"/>
        <w:right w:val="none" w:sz="0" w:space="0" w:color="auto"/>
      </w:divBdr>
    </w:div>
    <w:div w:id="1180512305">
      <w:bodyDiv w:val="1"/>
      <w:marLeft w:val="0"/>
      <w:marRight w:val="0"/>
      <w:marTop w:val="0"/>
      <w:marBottom w:val="0"/>
      <w:divBdr>
        <w:top w:val="none" w:sz="0" w:space="0" w:color="auto"/>
        <w:left w:val="none" w:sz="0" w:space="0" w:color="auto"/>
        <w:bottom w:val="none" w:sz="0" w:space="0" w:color="auto"/>
        <w:right w:val="none" w:sz="0" w:space="0" w:color="auto"/>
      </w:divBdr>
    </w:div>
    <w:div w:id="1193303769">
      <w:bodyDiv w:val="1"/>
      <w:marLeft w:val="0"/>
      <w:marRight w:val="0"/>
      <w:marTop w:val="0"/>
      <w:marBottom w:val="0"/>
      <w:divBdr>
        <w:top w:val="none" w:sz="0" w:space="0" w:color="auto"/>
        <w:left w:val="none" w:sz="0" w:space="0" w:color="auto"/>
        <w:bottom w:val="none" w:sz="0" w:space="0" w:color="auto"/>
        <w:right w:val="none" w:sz="0" w:space="0" w:color="auto"/>
      </w:divBdr>
    </w:div>
    <w:div w:id="1193878927">
      <w:bodyDiv w:val="1"/>
      <w:marLeft w:val="0"/>
      <w:marRight w:val="0"/>
      <w:marTop w:val="0"/>
      <w:marBottom w:val="0"/>
      <w:divBdr>
        <w:top w:val="none" w:sz="0" w:space="0" w:color="auto"/>
        <w:left w:val="none" w:sz="0" w:space="0" w:color="auto"/>
        <w:bottom w:val="none" w:sz="0" w:space="0" w:color="auto"/>
        <w:right w:val="none" w:sz="0" w:space="0" w:color="auto"/>
      </w:divBdr>
    </w:div>
    <w:div w:id="1197088138">
      <w:bodyDiv w:val="1"/>
      <w:marLeft w:val="0"/>
      <w:marRight w:val="0"/>
      <w:marTop w:val="0"/>
      <w:marBottom w:val="0"/>
      <w:divBdr>
        <w:top w:val="none" w:sz="0" w:space="0" w:color="auto"/>
        <w:left w:val="none" w:sz="0" w:space="0" w:color="auto"/>
        <w:bottom w:val="none" w:sz="0" w:space="0" w:color="auto"/>
        <w:right w:val="none" w:sz="0" w:space="0" w:color="auto"/>
      </w:divBdr>
    </w:div>
    <w:div w:id="1204712121">
      <w:bodyDiv w:val="1"/>
      <w:marLeft w:val="0"/>
      <w:marRight w:val="0"/>
      <w:marTop w:val="0"/>
      <w:marBottom w:val="0"/>
      <w:divBdr>
        <w:top w:val="none" w:sz="0" w:space="0" w:color="auto"/>
        <w:left w:val="none" w:sz="0" w:space="0" w:color="auto"/>
        <w:bottom w:val="none" w:sz="0" w:space="0" w:color="auto"/>
        <w:right w:val="none" w:sz="0" w:space="0" w:color="auto"/>
      </w:divBdr>
    </w:div>
    <w:div w:id="1204824983">
      <w:bodyDiv w:val="1"/>
      <w:marLeft w:val="0"/>
      <w:marRight w:val="0"/>
      <w:marTop w:val="0"/>
      <w:marBottom w:val="0"/>
      <w:divBdr>
        <w:top w:val="none" w:sz="0" w:space="0" w:color="auto"/>
        <w:left w:val="none" w:sz="0" w:space="0" w:color="auto"/>
        <w:bottom w:val="none" w:sz="0" w:space="0" w:color="auto"/>
        <w:right w:val="none" w:sz="0" w:space="0" w:color="auto"/>
      </w:divBdr>
    </w:div>
    <w:div w:id="1205799263">
      <w:bodyDiv w:val="1"/>
      <w:marLeft w:val="0"/>
      <w:marRight w:val="0"/>
      <w:marTop w:val="0"/>
      <w:marBottom w:val="0"/>
      <w:divBdr>
        <w:top w:val="none" w:sz="0" w:space="0" w:color="auto"/>
        <w:left w:val="none" w:sz="0" w:space="0" w:color="auto"/>
        <w:bottom w:val="none" w:sz="0" w:space="0" w:color="auto"/>
        <w:right w:val="none" w:sz="0" w:space="0" w:color="auto"/>
      </w:divBdr>
    </w:div>
    <w:div w:id="1211958010">
      <w:bodyDiv w:val="1"/>
      <w:marLeft w:val="0"/>
      <w:marRight w:val="0"/>
      <w:marTop w:val="0"/>
      <w:marBottom w:val="0"/>
      <w:divBdr>
        <w:top w:val="none" w:sz="0" w:space="0" w:color="auto"/>
        <w:left w:val="none" w:sz="0" w:space="0" w:color="auto"/>
        <w:bottom w:val="none" w:sz="0" w:space="0" w:color="auto"/>
        <w:right w:val="none" w:sz="0" w:space="0" w:color="auto"/>
      </w:divBdr>
    </w:div>
    <w:div w:id="1214803736">
      <w:bodyDiv w:val="1"/>
      <w:marLeft w:val="0"/>
      <w:marRight w:val="0"/>
      <w:marTop w:val="0"/>
      <w:marBottom w:val="0"/>
      <w:divBdr>
        <w:top w:val="none" w:sz="0" w:space="0" w:color="auto"/>
        <w:left w:val="none" w:sz="0" w:space="0" w:color="auto"/>
        <w:bottom w:val="none" w:sz="0" w:space="0" w:color="auto"/>
        <w:right w:val="none" w:sz="0" w:space="0" w:color="auto"/>
      </w:divBdr>
    </w:div>
    <w:div w:id="1215771027">
      <w:bodyDiv w:val="1"/>
      <w:marLeft w:val="0"/>
      <w:marRight w:val="0"/>
      <w:marTop w:val="0"/>
      <w:marBottom w:val="0"/>
      <w:divBdr>
        <w:top w:val="none" w:sz="0" w:space="0" w:color="auto"/>
        <w:left w:val="none" w:sz="0" w:space="0" w:color="auto"/>
        <w:bottom w:val="none" w:sz="0" w:space="0" w:color="auto"/>
        <w:right w:val="none" w:sz="0" w:space="0" w:color="auto"/>
      </w:divBdr>
      <w:divsChild>
        <w:div w:id="791942427">
          <w:marLeft w:val="0"/>
          <w:marRight w:val="0"/>
          <w:marTop w:val="0"/>
          <w:marBottom w:val="0"/>
          <w:divBdr>
            <w:top w:val="none" w:sz="0" w:space="0" w:color="auto"/>
            <w:left w:val="none" w:sz="0" w:space="0" w:color="auto"/>
            <w:bottom w:val="none" w:sz="0" w:space="0" w:color="auto"/>
            <w:right w:val="none" w:sz="0" w:space="0" w:color="auto"/>
          </w:divBdr>
        </w:div>
      </w:divsChild>
    </w:div>
    <w:div w:id="1218198525">
      <w:bodyDiv w:val="1"/>
      <w:marLeft w:val="0"/>
      <w:marRight w:val="0"/>
      <w:marTop w:val="0"/>
      <w:marBottom w:val="0"/>
      <w:divBdr>
        <w:top w:val="none" w:sz="0" w:space="0" w:color="auto"/>
        <w:left w:val="none" w:sz="0" w:space="0" w:color="auto"/>
        <w:bottom w:val="none" w:sz="0" w:space="0" w:color="auto"/>
        <w:right w:val="none" w:sz="0" w:space="0" w:color="auto"/>
      </w:divBdr>
    </w:div>
    <w:div w:id="1227178431">
      <w:bodyDiv w:val="1"/>
      <w:marLeft w:val="0"/>
      <w:marRight w:val="0"/>
      <w:marTop w:val="0"/>
      <w:marBottom w:val="0"/>
      <w:divBdr>
        <w:top w:val="none" w:sz="0" w:space="0" w:color="auto"/>
        <w:left w:val="none" w:sz="0" w:space="0" w:color="auto"/>
        <w:bottom w:val="none" w:sz="0" w:space="0" w:color="auto"/>
        <w:right w:val="none" w:sz="0" w:space="0" w:color="auto"/>
      </w:divBdr>
    </w:div>
    <w:div w:id="1228032322">
      <w:bodyDiv w:val="1"/>
      <w:marLeft w:val="0"/>
      <w:marRight w:val="0"/>
      <w:marTop w:val="0"/>
      <w:marBottom w:val="0"/>
      <w:divBdr>
        <w:top w:val="none" w:sz="0" w:space="0" w:color="auto"/>
        <w:left w:val="none" w:sz="0" w:space="0" w:color="auto"/>
        <w:bottom w:val="none" w:sz="0" w:space="0" w:color="auto"/>
        <w:right w:val="none" w:sz="0" w:space="0" w:color="auto"/>
      </w:divBdr>
      <w:divsChild>
        <w:div w:id="916285272">
          <w:marLeft w:val="0"/>
          <w:marRight w:val="0"/>
          <w:marTop w:val="0"/>
          <w:marBottom w:val="0"/>
          <w:divBdr>
            <w:top w:val="none" w:sz="0" w:space="0" w:color="auto"/>
            <w:left w:val="none" w:sz="0" w:space="0" w:color="auto"/>
            <w:bottom w:val="none" w:sz="0" w:space="0" w:color="auto"/>
            <w:right w:val="none" w:sz="0" w:space="0" w:color="auto"/>
          </w:divBdr>
        </w:div>
      </w:divsChild>
    </w:div>
    <w:div w:id="1237204325">
      <w:bodyDiv w:val="1"/>
      <w:marLeft w:val="0"/>
      <w:marRight w:val="0"/>
      <w:marTop w:val="0"/>
      <w:marBottom w:val="0"/>
      <w:divBdr>
        <w:top w:val="none" w:sz="0" w:space="0" w:color="auto"/>
        <w:left w:val="none" w:sz="0" w:space="0" w:color="auto"/>
        <w:bottom w:val="none" w:sz="0" w:space="0" w:color="auto"/>
        <w:right w:val="none" w:sz="0" w:space="0" w:color="auto"/>
      </w:divBdr>
    </w:div>
    <w:div w:id="1238131793">
      <w:marLeft w:val="0"/>
      <w:marRight w:val="0"/>
      <w:marTop w:val="0"/>
      <w:marBottom w:val="0"/>
      <w:divBdr>
        <w:top w:val="none" w:sz="0" w:space="0" w:color="auto"/>
        <w:left w:val="none" w:sz="0" w:space="0" w:color="auto"/>
        <w:bottom w:val="none" w:sz="0" w:space="0" w:color="auto"/>
        <w:right w:val="none" w:sz="0" w:space="0" w:color="auto"/>
      </w:divBdr>
      <w:divsChild>
        <w:div w:id="1966999991">
          <w:marLeft w:val="0"/>
          <w:marRight w:val="0"/>
          <w:marTop w:val="0"/>
          <w:marBottom w:val="0"/>
          <w:divBdr>
            <w:top w:val="none" w:sz="0" w:space="0" w:color="auto"/>
            <w:left w:val="none" w:sz="0" w:space="0" w:color="auto"/>
            <w:bottom w:val="none" w:sz="0" w:space="0" w:color="auto"/>
            <w:right w:val="none" w:sz="0" w:space="0" w:color="auto"/>
          </w:divBdr>
        </w:div>
      </w:divsChild>
    </w:div>
    <w:div w:id="1246115076">
      <w:bodyDiv w:val="1"/>
      <w:marLeft w:val="0"/>
      <w:marRight w:val="0"/>
      <w:marTop w:val="0"/>
      <w:marBottom w:val="0"/>
      <w:divBdr>
        <w:top w:val="none" w:sz="0" w:space="0" w:color="auto"/>
        <w:left w:val="none" w:sz="0" w:space="0" w:color="auto"/>
        <w:bottom w:val="none" w:sz="0" w:space="0" w:color="auto"/>
        <w:right w:val="none" w:sz="0" w:space="0" w:color="auto"/>
      </w:divBdr>
    </w:div>
    <w:div w:id="1246456939">
      <w:bodyDiv w:val="1"/>
      <w:marLeft w:val="0"/>
      <w:marRight w:val="0"/>
      <w:marTop w:val="0"/>
      <w:marBottom w:val="0"/>
      <w:divBdr>
        <w:top w:val="none" w:sz="0" w:space="0" w:color="auto"/>
        <w:left w:val="none" w:sz="0" w:space="0" w:color="auto"/>
        <w:bottom w:val="none" w:sz="0" w:space="0" w:color="auto"/>
        <w:right w:val="none" w:sz="0" w:space="0" w:color="auto"/>
      </w:divBdr>
      <w:divsChild>
        <w:div w:id="1784035694">
          <w:marLeft w:val="0"/>
          <w:marRight w:val="0"/>
          <w:marTop w:val="0"/>
          <w:marBottom w:val="0"/>
          <w:divBdr>
            <w:top w:val="none" w:sz="0" w:space="0" w:color="auto"/>
            <w:left w:val="none" w:sz="0" w:space="0" w:color="auto"/>
            <w:bottom w:val="none" w:sz="0" w:space="0" w:color="auto"/>
            <w:right w:val="none" w:sz="0" w:space="0" w:color="auto"/>
          </w:divBdr>
        </w:div>
      </w:divsChild>
    </w:div>
    <w:div w:id="1250428766">
      <w:bodyDiv w:val="1"/>
      <w:marLeft w:val="0"/>
      <w:marRight w:val="0"/>
      <w:marTop w:val="0"/>
      <w:marBottom w:val="0"/>
      <w:divBdr>
        <w:top w:val="none" w:sz="0" w:space="0" w:color="auto"/>
        <w:left w:val="none" w:sz="0" w:space="0" w:color="auto"/>
        <w:bottom w:val="none" w:sz="0" w:space="0" w:color="auto"/>
        <w:right w:val="none" w:sz="0" w:space="0" w:color="auto"/>
      </w:divBdr>
    </w:div>
    <w:div w:id="1258060703">
      <w:bodyDiv w:val="1"/>
      <w:marLeft w:val="0"/>
      <w:marRight w:val="0"/>
      <w:marTop w:val="0"/>
      <w:marBottom w:val="0"/>
      <w:divBdr>
        <w:top w:val="none" w:sz="0" w:space="0" w:color="auto"/>
        <w:left w:val="none" w:sz="0" w:space="0" w:color="auto"/>
        <w:bottom w:val="none" w:sz="0" w:space="0" w:color="auto"/>
        <w:right w:val="none" w:sz="0" w:space="0" w:color="auto"/>
      </w:divBdr>
      <w:divsChild>
        <w:div w:id="1796631975">
          <w:marLeft w:val="0"/>
          <w:marRight w:val="0"/>
          <w:marTop w:val="0"/>
          <w:marBottom w:val="0"/>
          <w:divBdr>
            <w:top w:val="none" w:sz="0" w:space="0" w:color="auto"/>
            <w:left w:val="none" w:sz="0" w:space="0" w:color="auto"/>
            <w:bottom w:val="none" w:sz="0" w:space="0" w:color="auto"/>
            <w:right w:val="none" w:sz="0" w:space="0" w:color="auto"/>
          </w:divBdr>
        </w:div>
      </w:divsChild>
    </w:div>
    <w:div w:id="1262646243">
      <w:bodyDiv w:val="1"/>
      <w:marLeft w:val="0"/>
      <w:marRight w:val="0"/>
      <w:marTop w:val="0"/>
      <w:marBottom w:val="0"/>
      <w:divBdr>
        <w:top w:val="none" w:sz="0" w:space="0" w:color="auto"/>
        <w:left w:val="none" w:sz="0" w:space="0" w:color="auto"/>
        <w:bottom w:val="none" w:sz="0" w:space="0" w:color="auto"/>
        <w:right w:val="none" w:sz="0" w:space="0" w:color="auto"/>
      </w:divBdr>
    </w:div>
    <w:div w:id="1268196749">
      <w:bodyDiv w:val="1"/>
      <w:marLeft w:val="0"/>
      <w:marRight w:val="0"/>
      <w:marTop w:val="0"/>
      <w:marBottom w:val="0"/>
      <w:divBdr>
        <w:top w:val="none" w:sz="0" w:space="0" w:color="auto"/>
        <w:left w:val="none" w:sz="0" w:space="0" w:color="auto"/>
        <w:bottom w:val="none" w:sz="0" w:space="0" w:color="auto"/>
        <w:right w:val="none" w:sz="0" w:space="0" w:color="auto"/>
      </w:divBdr>
      <w:divsChild>
        <w:div w:id="4940886">
          <w:marLeft w:val="0"/>
          <w:marRight w:val="0"/>
          <w:marTop w:val="0"/>
          <w:marBottom w:val="0"/>
          <w:divBdr>
            <w:top w:val="none" w:sz="0" w:space="0" w:color="auto"/>
            <w:left w:val="none" w:sz="0" w:space="0" w:color="auto"/>
            <w:bottom w:val="none" w:sz="0" w:space="0" w:color="auto"/>
            <w:right w:val="none" w:sz="0" w:space="0" w:color="auto"/>
          </w:divBdr>
        </w:div>
      </w:divsChild>
    </w:div>
    <w:div w:id="1275555550">
      <w:bodyDiv w:val="1"/>
      <w:marLeft w:val="0"/>
      <w:marRight w:val="0"/>
      <w:marTop w:val="0"/>
      <w:marBottom w:val="0"/>
      <w:divBdr>
        <w:top w:val="none" w:sz="0" w:space="0" w:color="auto"/>
        <w:left w:val="none" w:sz="0" w:space="0" w:color="auto"/>
        <w:bottom w:val="none" w:sz="0" w:space="0" w:color="auto"/>
        <w:right w:val="none" w:sz="0" w:space="0" w:color="auto"/>
      </w:divBdr>
    </w:div>
    <w:div w:id="1279415862">
      <w:marLeft w:val="0"/>
      <w:marRight w:val="0"/>
      <w:marTop w:val="0"/>
      <w:marBottom w:val="0"/>
      <w:divBdr>
        <w:top w:val="none" w:sz="0" w:space="0" w:color="auto"/>
        <w:left w:val="none" w:sz="0" w:space="0" w:color="auto"/>
        <w:bottom w:val="none" w:sz="0" w:space="0" w:color="auto"/>
        <w:right w:val="none" w:sz="0" w:space="0" w:color="auto"/>
      </w:divBdr>
      <w:divsChild>
        <w:div w:id="1089959099">
          <w:marLeft w:val="0"/>
          <w:marRight w:val="0"/>
          <w:marTop w:val="0"/>
          <w:marBottom w:val="0"/>
          <w:divBdr>
            <w:top w:val="none" w:sz="0" w:space="0" w:color="auto"/>
            <w:left w:val="none" w:sz="0" w:space="0" w:color="auto"/>
            <w:bottom w:val="none" w:sz="0" w:space="0" w:color="auto"/>
            <w:right w:val="none" w:sz="0" w:space="0" w:color="auto"/>
          </w:divBdr>
        </w:div>
      </w:divsChild>
    </w:div>
    <w:div w:id="1294559047">
      <w:bodyDiv w:val="1"/>
      <w:marLeft w:val="0"/>
      <w:marRight w:val="0"/>
      <w:marTop w:val="0"/>
      <w:marBottom w:val="0"/>
      <w:divBdr>
        <w:top w:val="none" w:sz="0" w:space="0" w:color="auto"/>
        <w:left w:val="none" w:sz="0" w:space="0" w:color="auto"/>
        <w:bottom w:val="none" w:sz="0" w:space="0" w:color="auto"/>
        <w:right w:val="none" w:sz="0" w:space="0" w:color="auto"/>
      </w:divBdr>
      <w:divsChild>
        <w:div w:id="1756825823">
          <w:marLeft w:val="0"/>
          <w:marRight w:val="0"/>
          <w:marTop w:val="0"/>
          <w:marBottom w:val="0"/>
          <w:divBdr>
            <w:top w:val="none" w:sz="0" w:space="0" w:color="auto"/>
            <w:left w:val="none" w:sz="0" w:space="0" w:color="auto"/>
            <w:bottom w:val="none" w:sz="0" w:space="0" w:color="auto"/>
            <w:right w:val="none" w:sz="0" w:space="0" w:color="auto"/>
          </w:divBdr>
        </w:div>
      </w:divsChild>
    </w:div>
    <w:div w:id="1295713562">
      <w:marLeft w:val="0"/>
      <w:marRight w:val="0"/>
      <w:marTop w:val="0"/>
      <w:marBottom w:val="0"/>
      <w:divBdr>
        <w:top w:val="none" w:sz="0" w:space="0" w:color="auto"/>
        <w:left w:val="none" w:sz="0" w:space="0" w:color="auto"/>
        <w:bottom w:val="none" w:sz="0" w:space="0" w:color="auto"/>
        <w:right w:val="none" w:sz="0" w:space="0" w:color="auto"/>
      </w:divBdr>
      <w:divsChild>
        <w:div w:id="266894350">
          <w:marLeft w:val="0"/>
          <w:marRight w:val="0"/>
          <w:marTop w:val="0"/>
          <w:marBottom w:val="0"/>
          <w:divBdr>
            <w:top w:val="none" w:sz="0" w:space="0" w:color="auto"/>
            <w:left w:val="none" w:sz="0" w:space="0" w:color="auto"/>
            <w:bottom w:val="none" w:sz="0" w:space="0" w:color="auto"/>
            <w:right w:val="none" w:sz="0" w:space="0" w:color="auto"/>
          </w:divBdr>
        </w:div>
      </w:divsChild>
    </w:div>
    <w:div w:id="1297837877">
      <w:bodyDiv w:val="1"/>
      <w:marLeft w:val="0"/>
      <w:marRight w:val="0"/>
      <w:marTop w:val="0"/>
      <w:marBottom w:val="0"/>
      <w:divBdr>
        <w:top w:val="none" w:sz="0" w:space="0" w:color="auto"/>
        <w:left w:val="none" w:sz="0" w:space="0" w:color="auto"/>
        <w:bottom w:val="none" w:sz="0" w:space="0" w:color="auto"/>
        <w:right w:val="none" w:sz="0" w:space="0" w:color="auto"/>
      </w:divBdr>
    </w:div>
    <w:div w:id="1297949142">
      <w:bodyDiv w:val="1"/>
      <w:marLeft w:val="0"/>
      <w:marRight w:val="0"/>
      <w:marTop w:val="0"/>
      <w:marBottom w:val="0"/>
      <w:divBdr>
        <w:top w:val="none" w:sz="0" w:space="0" w:color="auto"/>
        <w:left w:val="none" w:sz="0" w:space="0" w:color="auto"/>
        <w:bottom w:val="none" w:sz="0" w:space="0" w:color="auto"/>
        <w:right w:val="none" w:sz="0" w:space="0" w:color="auto"/>
      </w:divBdr>
      <w:divsChild>
        <w:div w:id="1239752818">
          <w:marLeft w:val="0"/>
          <w:marRight w:val="0"/>
          <w:marTop w:val="0"/>
          <w:marBottom w:val="0"/>
          <w:divBdr>
            <w:top w:val="none" w:sz="0" w:space="0" w:color="auto"/>
            <w:left w:val="none" w:sz="0" w:space="0" w:color="auto"/>
            <w:bottom w:val="none" w:sz="0" w:space="0" w:color="auto"/>
            <w:right w:val="none" w:sz="0" w:space="0" w:color="auto"/>
          </w:divBdr>
        </w:div>
      </w:divsChild>
    </w:div>
    <w:div w:id="1302224039">
      <w:bodyDiv w:val="1"/>
      <w:marLeft w:val="0"/>
      <w:marRight w:val="0"/>
      <w:marTop w:val="0"/>
      <w:marBottom w:val="0"/>
      <w:divBdr>
        <w:top w:val="none" w:sz="0" w:space="0" w:color="auto"/>
        <w:left w:val="none" w:sz="0" w:space="0" w:color="auto"/>
        <w:bottom w:val="none" w:sz="0" w:space="0" w:color="auto"/>
        <w:right w:val="none" w:sz="0" w:space="0" w:color="auto"/>
      </w:divBdr>
    </w:div>
    <w:div w:id="1307197204">
      <w:bodyDiv w:val="1"/>
      <w:marLeft w:val="0"/>
      <w:marRight w:val="0"/>
      <w:marTop w:val="0"/>
      <w:marBottom w:val="0"/>
      <w:divBdr>
        <w:top w:val="none" w:sz="0" w:space="0" w:color="auto"/>
        <w:left w:val="none" w:sz="0" w:space="0" w:color="auto"/>
        <w:bottom w:val="none" w:sz="0" w:space="0" w:color="auto"/>
        <w:right w:val="none" w:sz="0" w:space="0" w:color="auto"/>
      </w:divBdr>
    </w:div>
    <w:div w:id="1311785522">
      <w:bodyDiv w:val="1"/>
      <w:marLeft w:val="0"/>
      <w:marRight w:val="0"/>
      <w:marTop w:val="0"/>
      <w:marBottom w:val="0"/>
      <w:divBdr>
        <w:top w:val="none" w:sz="0" w:space="0" w:color="auto"/>
        <w:left w:val="none" w:sz="0" w:space="0" w:color="auto"/>
        <w:bottom w:val="none" w:sz="0" w:space="0" w:color="auto"/>
        <w:right w:val="none" w:sz="0" w:space="0" w:color="auto"/>
      </w:divBdr>
    </w:div>
    <w:div w:id="1312058507">
      <w:marLeft w:val="0"/>
      <w:marRight w:val="0"/>
      <w:marTop w:val="0"/>
      <w:marBottom w:val="0"/>
      <w:divBdr>
        <w:top w:val="none" w:sz="0" w:space="0" w:color="auto"/>
        <w:left w:val="none" w:sz="0" w:space="0" w:color="auto"/>
        <w:bottom w:val="none" w:sz="0" w:space="0" w:color="auto"/>
        <w:right w:val="none" w:sz="0" w:space="0" w:color="auto"/>
      </w:divBdr>
      <w:divsChild>
        <w:div w:id="1690599044">
          <w:marLeft w:val="0"/>
          <w:marRight w:val="0"/>
          <w:marTop w:val="0"/>
          <w:marBottom w:val="0"/>
          <w:divBdr>
            <w:top w:val="none" w:sz="0" w:space="0" w:color="auto"/>
            <w:left w:val="none" w:sz="0" w:space="0" w:color="auto"/>
            <w:bottom w:val="none" w:sz="0" w:space="0" w:color="auto"/>
            <w:right w:val="none" w:sz="0" w:space="0" w:color="auto"/>
          </w:divBdr>
        </w:div>
      </w:divsChild>
    </w:div>
    <w:div w:id="1324550294">
      <w:bodyDiv w:val="1"/>
      <w:marLeft w:val="0"/>
      <w:marRight w:val="0"/>
      <w:marTop w:val="0"/>
      <w:marBottom w:val="0"/>
      <w:divBdr>
        <w:top w:val="none" w:sz="0" w:space="0" w:color="auto"/>
        <w:left w:val="none" w:sz="0" w:space="0" w:color="auto"/>
        <w:bottom w:val="none" w:sz="0" w:space="0" w:color="auto"/>
        <w:right w:val="none" w:sz="0" w:space="0" w:color="auto"/>
      </w:divBdr>
    </w:div>
    <w:div w:id="1326128068">
      <w:bodyDiv w:val="1"/>
      <w:marLeft w:val="0"/>
      <w:marRight w:val="0"/>
      <w:marTop w:val="0"/>
      <w:marBottom w:val="0"/>
      <w:divBdr>
        <w:top w:val="none" w:sz="0" w:space="0" w:color="auto"/>
        <w:left w:val="none" w:sz="0" w:space="0" w:color="auto"/>
        <w:bottom w:val="none" w:sz="0" w:space="0" w:color="auto"/>
        <w:right w:val="none" w:sz="0" w:space="0" w:color="auto"/>
      </w:divBdr>
    </w:div>
    <w:div w:id="1328482612">
      <w:bodyDiv w:val="1"/>
      <w:marLeft w:val="0"/>
      <w:marRight w:val="0"/>
      <w:marTop w:val="0"/>
      <w:marBottom w:val="0"/>
      <w:divBdr>
        <w:top w:val="none" w:sz="0" w:space="0" w:color="auto"/>
        <w:left w:val="none" w:sz="0" w:space="0" w:color="auto"/>
        <w:bottom w:val="none" w:sz="0" w:space="0" w:color="auto"/>
        <w:right w:val="none" w:sz="0" w:space="0" w:color="auto"/>
      </w:divBdr>
      <w:divsChild>
        <w:div w:id="119880644">
          <w:marLeft w:val="0"/>
          <w:marRight w:val="0"/>
          <w:marTop w:val="0"/>
          <w:marBottom w:val="0"/>
          <w:divBdr>
            <w:top w:val="none" w:sz="0" w:space="0" w:color="auto"/>
            <w:left w:val="none" w:sz="0" w:space="0" w:color="auto"/>
            <w:bottom w:val="none" w:sz="0" w:space="0" w:color="auto"/>
            <w:right w:val="none" w:sz="0" w:space="0" w:color="auto"/>
          </w:divBdr>
        </w:div>
      </w:divsChild>
    </w:div>
    <w:div w:id="1329675828">
      <w:marLeft w:val="0"/>
      <w:marRight w:val="0"/>
      <w:marTop w:val="0"/>
      <w:marBottom w:val="0"/>
      <w:divBdr>
        <w:top w:val="none" w:sz="0" w:space="0" w:color="auto"/>
        <w:left w:val="none" w:sz="0" w:space="0" w:color="auto"/>
        <w:bottom w:val="none" w:sz="0" w:space="0" w:color="auto"/>
        <w:right w:val="none" w:sz="0" w:space="0" w:color="auto"/>
      </w:divBdr>
      <w:divsChild>
        <w:div w:id="865798637">
          <w:marLeft w:val="0"/>
          <w:marRight w:val="0"/>
          <w:marTop w:val="0"/>
          <w:marBottom w:val="0"/>
          <w:divBdr>
            <w:top w:val="none" w:sz="0" w:space="0" w:color="auto"/>
            <w:left w:val="none" w:sz="0" w:space="0" w:color="auto"/>
            <w:bottom w:val="none" w:sz="0" w:space="0" w:color="auto"/>
            <w:right w:val="none" w:sz="0" w:space="0" w:color="auto"/>
          </w:divBdr>
        </w:div>
      </w:divsChild>
    </w:div>
    <w:div w:id="1330134635">
      <w:bodyDiv w:val="1"/>
      <w:marLeft w:val="0"/>
      <w:marRight w:val="0"/>
      <w:marTop w:val="0"/>
      <w:marBottom w:val="0"/>
      <w:divBdr>
        <w:top w:val="none" w:sz="0" w:space="0" w:color="auto"/>
        <w:left w:val="none" w:sz="0" w:space="0" w:color="auto"/>
        <w:bottom w:val="none" w:sz="0" w:space="0" w:color="auto"/>
        <w:right w:val="none" w:sz="0" w:space="0" w:color="auto"/>
      </w:divBdr>
    </w:div>
    <w:div w:id="1335182783">
      <w:bodyDiv w:val="1"/>
      <w:marLeft w:val="0"/>
      <w:marRight w:val="0"/>
      <w:marTop w:val="0"/>
      <w:marBottom w:val="0"/>
      <w:divBdr>
        <w:top w:val="none" w:sz="0" w:space="0" w:color="auto"/>
        <w:left w:val="none" w:sz="0" w:space="0" w:color="auto"/>
        <w:bottom w:val="none" w:sz="0" w:space="0" w:color="auto"/>
        <w:right w:val="none" w:sz="0" w:space="0" w:color="auto"/>
      </w:divBdr>
    </w:div>
    <w:div w:id="1342274220">
      <w:bodyDiv w:val="1"/>
      <w:marLeft w:val="0"/>
      <w:marRight w:val="0"/>
      <w:marTop w:val="0"/>
      <w:marBottom w:val="0"/>
      <w:divBdr>
        <w:top w:val="none" w:sz="0" w:space="0" w:color="auto"/>
        <w:left w:val="none" w:sz="0" w:space="0" w:color="auto"/>
        <w:bottom w:val="none" w:sz="0" w:space="0" w:color="auto"/>
        <w:right w:val="none" w:sz="0" w:space="0" w:color="auto"/>
      </w:divBdr>
      <w:divsChild>
        <w:div w:id="398555957">
          <w:marLeft w:val="0"/>
          <w:marRight w:val="0"/>
          <w:marTop w:val="0"/>
          <w:marBottom w:val="0"/>
          <w:divBdr>
            <w:top w:val="none" w:sz="0" w:space="0" w:color="auto"/>
            <w:left w:val="none" w:sz="0" w:space="0" w:color="auto"/>
            <w:bottom w:val="none" w:sz="0" w:space="0" w:color="auto"/>
            <w:right w:val="none" w:sz="0" w:space="0" w:color="auto"/>
          </w:divBdr>
        </w:div>
      </w:divsChild>
    </w:div>
    <w:div w:id="1350181629">
      <w:marLeft w:val="0"/>
      <w:marRight w:val="0"/>
      <w:marTop w:val="0"/>
      <w:marBottom w:val="0"/>
      <w:divBdr>
        <w:top w:val="none" w:sz="0" w:space="0" w:color="auto"/>
        <w:left w:val="none" w:sz="0" w:space="0" w:color="auto"/>
        <w:bottom w:val="none" w:sz="0" w:space="0" w:color="auto"/>
        <w:right w:val="none" w:sz="0" w:space="0" w:color="auto"/>
      </w:divBdr>
      <w:divsChild>
        <w:div w:id="2132430158">
          <w:marLeft w:val="0"/>
          <w:marRight w:val="0"/>
          <w:marTop w:val="0"/>
          <w:marBottom w:val="0"/>
          <w:divBdr>
            <w:top w:val="none" w:sz="0" w:space="0" w:color="auto"/>
            <w:left w:val="none" w:sz="0" w:space="0" w:color="auto"/>
            <w:bottom w:val="none" w:sz="0" w:space="0" w:color="auto"/>
            <w:right w:val="none" w:sz="0" w:space="0" w:color="auto"/>
          </w:divBdr>
        </w:div>
      </w:divsChild>
    </w:div>
    <w:div w:id="1353141696">
      <w:bodyDiv w:val="1"/>
      <w:marLeft w:val="0"/>
      <w:marRight w:val="0"/>
      <w:marTop w:val="0"/>
      <w:marBottom w:val="0"/>
      <w:divBdr>
        <w:top w:val="none" w:sz="0" w:space="0" w:color="auto"/>
        <w:left w:val="none" w:sz="0" w:space="0" w:color="auto"/>
        <w:bottom w:val="none" w:sz="0" w:space="0" w:color="auto"/>
        <w:right w:val="none" w:sz="0" w:space="0" w:color="auto"/>
      </w:divBdr>
    </w:div>
    <w:div w:id="1354573867">
      <w:bodyDiv w:val="1"/>
      <w:marLeft w:val="0"/>
      <w:marRight w:val="0"/>
      <w:marTop w:val="0"/>
      <w:marBottom w:val="0"/>
      <w:divBdr>
        <w:top w:val="none" w:sz="0" w:space="0" w:color="auto"/>
        <w:left w:val="none" w:sz="0" w:space="0" w:color="auto"/>
        <w:bottom w:val="none" w:sz="0" w:space="0" w:color="auto"/>
        <w:right w:val="none" w:sz="0" w:space="0" w:color="auto"/>
      </w:divBdr>
    </w:div>
    <w:div w:id="1359283202">
      <w:bodyDiv w:val="1"/>
      <w:marLeft w:val="0"/>
      <w:marRight w:val="0"/>
      <w:marTop w:val="0"/>
      <w:marBottom w:val="0"/>
      <w:divBdr>
        <w:top w:val="none" w:sz="0" w:space="0" w:color="auto"/>
        <w:left w:val="none" w:sz="0" w:space="0" w:color="auto"/>
        <w:bottom w:val="none" w:sz="0" w:space="0" w:color="auto"/>
        <w:right w:val="none" w:sz="0" w:space="0" w:color="auto"/>
      </w:divBdr>
    </w:div>
    <w:div w:id="1363820334">
      <w:marLeft w:val="0"/>
      <w:marRight w:val="0"/>
      <w:marTop w:val="0"/>
      <w:marBottom w:val="0"/>
      <w:divBdr>
        <w:top w:val="none" w:sz="0" w:space="0" w:color="auto"/>
        <w:left w:val="none" w:sz="0" w:space="0" w:color="auto"/>
        <w:bottom w:val="none" w:sz="0" w:space="0" w:color="auto"/>
        <w:right w:val="none" w:sz="0" w:space="0" w:color="auto"/>
      </w:divBdr>
      <w:divsChild>
        <w:div w:id="1272204182">
          <w:marLeft w:val="0"/>
          <w:marRight w:val="0"/>
          <w:marTop w:val="0"/>
          <w:marBottom w:val="0"/>
          <w:divBdr>
            <w:top w:val="none" w:sz="0" w:space="0" w:color="auto"/>
            <w:left w:val="none" w:sz="0" w:space="0" w:color="auto"/>
            <w:bottom w:val="none" w:sz="0" w:space="0" w:color="auto"/>
            <w:right w:val="none" w:sz="0" w:space="0" w:color="auto"/>
          </w:divBdr>
        </w:div>
      </w:divsChild>
    </w:div>
    <w:div w:id="1371104500">
      <w:bodyDiv w:val="1"/>
      <w:marLeft w:val="0"/>
      <w:marRight w:val="0"/>
      <w:marTop w:val="0"/>
      <w:marBottom w:val="0"/>
      <w:divBdr>
        <w:top w:val="none" w:sz="0" w:space="0" w:color="auto"/>
        <w:left w:val="none" w:sz="0" w:space="0" w:color="auto"/>
        <w:bottom w:val="none" w:sz="0" w:space="0" w:color="auto"/>
        <w:right w:val="none" w:sz="0" w:space="0" w:color="auto"/>
      </w:divBdr>
    </w:div>
    <w:div w:id="1372221858">
      <w:bodyDiv w:val="1"/>
      <w:marLeft w:val="0"/>
      <w:marRight w:val="0"/>
      <w:marTop w:val="0"/>
      <w:marBottom w:val="0"/>
      <w:divBdr>
        <w:top w:val="none" w:sz="0" w:space="0" w:color="auto"/>
        <w:left w:val="none" w:sz="0" w:space="0" w:color="auto"/>
        <w:bottom w:val="none" w:sz="0" w:space="0" w:color="auto"/>
        <w:right w:val="none" w:sz="0" w:space="0" w:color="auto"/>
      </w:divBdr>
    </w:div>
    <w:div w:id="1390493225">
      <w:bodyDiv w:val="1"/>
      <w:marLeft w:val="0"/>
      <w:marRight w:val="0"/>
      <w:marTop w:val="0"/>
      <w:marBottom w:val="0"/>
      <w:divBdr>
        <w:top w:val="none" w:sz="0" w:space="0" w:color="auto"/>
        <w:left w:val="none" w:sz="0" w:space="0" w:color="auto"/>
        <w:bottom w:val="none" w:sz="0" w:space="0" w:color="auto"/>
        <w:right w:val="none" w:sz="0" w:space="0" w:color="auto"/>
      </w:divBdr>
    </w:div>
    <w:div w:id="1392540178">
      <w:bodyDiv w:val="1"/>
      <w:marLeft w:val="0"/>
      <w:marRight w:val="0"/>
      <w:marTop w:val="0"/>
      <w:marBottom w:val="0"/>
      <w:divBdr>
        <w:top w:val="none" w:sz="0" w:space="0" w:color="auto"/>
        <w:left w:val="none" w:sz="0" w:space="0" w:color="auto"/>
        <w:bottom w:val="none" w:sz="0" w:space="0" w:color="auto"/>
        <w:right w:val="none" w:sz="0" w:space="0" w:color="auto"/>
      </w:divBdr>
    </w:div>
    <w:div w:id="1396508853">
      <w:bodyDiv w:val="1"/>
      <w:marLeft w:val="0"/>
      <w:marRight w:val="0"/>
      <w:marTop w:val="0"/>
      <w:marBottom w:val="0"/>
      <w:divBdr>
        <w:top w:val="none" w:sz="0" w:space="0" w:color="auto"/>
        <w:left w:val="none" w:sz="0" w:space="0" w:color="auto"/>
        <w:bottom w:val="none" w:sz="0" w:space="0" w:color="auto"/>
        <w:right w:val="none" w:sz="0" w:space="0" w:color="auto"/>
      </w:divBdr>
      <w:divsChild>
        <w:div w:id="1119648639">
          <w:marLeft w:val="0"/>
          <w:marRight w:val="0"/>
          <w:marTop w:val="0"/>
          <w:marBottom w:val="0"/>
          <w:divBdr>
            <w:top w:val="none" w:sz="0" w:space="0" w:color="auto"/>
            <w:left w:val="none" w:sz="0" w:space="0" w:color="auto"/>
            <w:bottom w:val="none" w:sz="0" w:space="0" w:color="auto"/>
            <w:right w:val="none" w:sz="0" w:space="0" w:color="auto"/>
          </w:divBdr>
        </w:div>
      </w:divsChild>
    </w:div>
    <w:div w:id="1403329417">
      <w:bodyDiv w:val="1"/>
      <w:marLeft w:val="0"/>
      <w:marRight w:val="0"/>
      <w:marTop w:val="0"/>
      <w:marBottom w:val="0"/>
      <w:divBdr>
        <w:top w:val="none" w:sz="0" w:space="0" w:color="auto"/>
        <w:left w:val="none" w:sz="0" w:space="0" w:color="auto"/>
        <w:bottom w:val="none" w:sz="0" w:space="0" w:color="auto"/>
        <w:right w:val="none" w:sz="0" w:space="0" w:color="auto"/>
      </w:divBdr>
      <w:divsChild>
        <w:div w:id="933364842">
          <w:marLeft w:val="0"/>
          <w:marRight w:val="0"/>
          <w:marTop w:val="0"/>
          <w:marBottom w:val="0"/>
          <w:divBdr>
            <w:top w:val="none" w:sz="0" w:space="0" w:color="auto"/>
            <w:left w:val="none" w:sz="0" w:space="0" w:color="auto"/>
            <w:bottom w:val="none" w:sz="0" w:space="0" w:color="auto"/>
            <w:right w:val="none" w:sz="0" w:space="0" w:color="auto"/>
          </w:divBdr>
        </w:div>
      </w:divsChild>
    </w:div>
    <w:div w:id="1409618540">
      <w:bodyDiv w:val="1"/>
      <w:marLeft w:val="0"/>
      <w:marRight w:val="0"/>
      <w:marTop w:val="0"/>
      <w:marBottom w:val="0"/>
      <w:divBdr>
        <w:top w:val="none" w:sz="0" w:space="0" w:color="auto"/>
        <w:left w:val="none" w:sz="0" w:space="0" w:color="auto"/>
        <w:bottom w:val="none" w:sz="0" w:space="0" w:color="auto"/>
        <w:right w:val="none" w:sz="0" w:space="0" w:color="auto"/>
      </w:divBdr>
    </w:div>
    <w:div w:id="1412003248">
      <w:bodyDiv w:val="1"/>
      <w:marLeft w:val="0"/>
      <w:marRight w:val="0"/>
      <w:marTop w:val="0"/>
      <w:marBottom w:val="0"/>
      <w:divBdr>
        <w:top w:val="none" w:sz="0" w:space="0" w:color="auto"/>
        <w:left w:val="none" w:sz="0" w:space="0" w:color="auto"/>
        <w:bottom w:val="none" w:sz="0" w:space="0" w:color="auto"/>
        <w:right w:val="none" w:sz="0" w:space="0" w:color="auto"/>
      </w:divBdr>
    </w:div>
    <w:div w:id="1413040961">
      <w:bodyDiv w:val="1"/>
      <w:marLeft w:val="0"/>
      <w:marRight w:val="0"/>
      <w:marTop w:val="0"/>
      <w:marBottom w:val="0"/>
      <w:divBdr>
        <w:top w:val="none" w:sz="0" w:space="0" w:color="auto"/>
        <w:left w:val="none" w:sz="0" w:space="0" w:color="auto"/>
        <w:bottom w:val="none" w:sz="0" w:space="0" w:color="auto"/>
        <w:right w:val="none" w:sz="0" w:space="0" w:color="auto"/>
      </w:divBdr>
    </w:div>
    <w:div w:id="1419329573">
      <w:bodyDiv w:val="1"/>
      <w:marLeft w:val="0"/>
      <w:marRight w:val="0"/>
      <w:marTop w:val="0"/>
      <w:marBottom w:val="0"/>
      <w:divBdr>
        <w:top w:val="none" w:sz="0" w:space="0" w:color="auto"/>
        <w:left w:val="none" w:sz="0" w:space="0" w:color="auto"/>
        <w:bottom w:val="none" w:sz="0" w:space="0" w:color="auto"/>
        <w:right w:val="none" w:sz="0" w:space="0" w:color="auto"/>
      </w:divBdr>
    </w:div>
    <w:div w:id="1423406140">
      <w:bodyDiv w:val="1"/>
      <w:marLeft w:val="0"/>
      <w:marRight w:val="0"/>
      <w:marTop w:val="0"/>
      <w:marBottom w:val="0"/>
      <w:divBdr>
        <w:top w:val="none" w:sz="0" w:space="0" w:color="auto"/>
        <w:left w:val="none" w:sz="0" w:space="0" w:color="auto"/>
        <w:bottom w:val="none" w:sz="0" w:space="0" w:color="auto"/>
        <w:right w:val="none" w:sz="0" w:space="0" w:color="auto"/>
      </w:divBdr>
    </w:div>
    <w:div w:id="1430278300">
      <w:bodyDiv w:val="1"/>
      <w:marLeft w:val="0"/>
      <w:marRight w:val="0"/>
      <w:marTop w:val="0"/>
      <w:marBottom w:val="0"/>
      <w:divBdr>
        <w:top w:val="none" w:sz="0" w:space="0" w:color="auto"/>
        <w:left w:val="none" w:sz="0" w:space="0" w:color="auto"/>
        <w:bottom w:val="none" w:sz="0" w:space="0" w:color="auto"/>
        <w:right w:val="none" w:sz="0" w:space="0" w:color="auto"/>
      </w:divBdr>
      <w:divsChild>
        <w:div w:id="1939632428">
          <w:marLeft w:val="0"/>
          <w:marRight w:val="0"/>
          <w:marTop w:val="0"/>
          <w:marBottom w:val="0"/>
          <w:divBdr>
            <w:top w:val="none" w:sz="0" w:space="0" w:color="auto"/>
            <w:left w:val="none" w:sz="0" w:space="0" w:color="auto"/>
            <w:bottom w:val="none" w:sz="0" w:space="0" w:color="auto"/>
            <w:right w:val="none" w:sz="0" w:space="0" w:color="auto"/>
          </w:divBdr>
        </w:div>
      </w:divsChild>
    </w:div>
    <w:div w:id="1437362070">
      <w:bodyDiv w:val="1"/>
      <w:marLeft w:val="0"/>
      <w:marRight w:val="0"/>
      <w:marTop w:val="0"/>
      <w:marBottom w:val="0"/>
      <w:divBdr>
        <w:top w:val="none" w:sz="0" w:space="0" w:color="auto"/>
        <w:left w:val="none" w:sz="0" w:space="0" w:color="auto"/>
        <w:bottom w:val="none" w:sz="0" w:space="0" w:color="auto"/>
        <w:right w:val="none" w:sz="0" w:space="0" w:color="auto"/>
      </w:divBdr>
    </w:div>
    <w:div w:id="1441560832">
      <w:marLeft w:val="0"/>
      <w:marRight w:val="0"/>
      <w:marTop w:val="0"/>
      <w:marBottom w:val="0"/>
      <w:divBdr>
        <w:top w:val="none" w:sz="0" w:space="0" w:color="auto"/>
        <w:left w:val="none" w:sz="0" w:space="0" w:color="auto"/>
        <w:bottom w:val="none" w:sz="0" w:space="0" w:color="auto"/>
        <w:right w:val="none" w:sz="0" w:space="0" w:color="auto"/>
      </w:divBdr>
      <w:divsChild>
        <w:div w:id="1006903964">
          <w:marLeft w:val="0"/>
          <w:marRight w:val="0"/>
          <w:marTop w:val="0"/>
          <w:marBottom w:val="0"/>
          <w:divBdr>
            <w:top w:val="none" w:sz="0" w:space="0" w:color="auto"/>
            <w:left w:val="none" w:sz="0" w:space="0" w:color="auto"/>
            <w:bottom w:val="none" w:sz="0" w:space="0" w:color="auto"/>
            <w:right w:val="none" w:sz="0" w:space="0" w:color="auto"/>
          </w:divBdr>
        </w:div>
      </w:divsChild>
    </w:div>
    <w:div w:id="1442918583">
      <w:bodyDiv w:val="1"/>
      <w:marLeft w:val="0"/>
      <w:marRight w:val="0"/>
      <w:marTop w:val="0"/>
      <w:marBottom w:val="0"/>
      <w:divBdr>
        <w:top w:val="none" w:sz="0" w:space="0" w:color="auto"/>
        <w:left w:val="none" w:sz="0" w:space="0" w:color="auto"/>
        <w:bottom w:val="none" w:sz="0" w:space="0" w:color="auto"/>
        <w:right w:val="none" w:sz="0" w:space="0" w:color="auto"/>
      </w:divBdr>
    </w:div>
    <w:div w:id="1446924765">
      <w:bodyDiv w:val="1"/>
      <w:marLeft w:val="0"/>
      <w:marRight w:val="0"/>
      <w:marTop w:val="0"/>
      <w:marBottom w:val="0"/>
      <w:divBdr>
        <w:top w:val="none" w:sz="0" w:space="0" w:color="auto"/>
        <w:left w:val="none" w:sz="0" w:space="0" w:color="auto"/>
        <w:bottom w:val="none" w:sz="0" w:space="0" w:color="auto"/>
        <w:right w:val="none" w:sz="0" w:space="0" w:color="auto"/>
      </w:divBdr>
    </w:div>
    <w:div w:id="1448701525">
      <w:bodyDiv w:val="1"/>
      <w:marLeft w:val="0"/>
      <w:marRight w:val="0"/>
      <w:marTop w:val="0"/>
      <w:marBottom w:val="0"/>
      <w:divBdr>
        <w:top w:val="none" w:sz="0" w:space="0" w:color="auto"/>
        <w:left w:val="none" w:sz="0" w:space="0" w:color="auto"/>
        <w:bottom w:val="none" w:sz="0" w:space="0" w:color="auto"/>
        <w:right w:val="none" w:sz="0" w:space="0" w:color="auto"/>
      </w:divBdr>
    </w:div>
    <w:div w:id="1451779106">
      <w:bodyDiv w:val="1"/>
      <w:marLeft w:val="0"/>
      <w:marRight w:val="0"/>
      <w:marTop w:val="0"/>
      <w:marBottom w:val="0"/>
      <w:divBdr>
        <w:top w:val="none" w:sz="0" w:space="0" w:color="auto"/>
        <w:left w:val="none" w:sz="0" w:space="0" w:color="auto"/>
        <w:bottom w:val="none" w:sz="0" w:space="0" w:color="auto"/>
        <w:right w:val="none" w:sz="0" w:space="0" w:color="auto"/>
      </w:divBdr>
    </w:div>
    <w:div w:id="1454514459">
      <w:bodyDiv w:val="1"/>
      <w:marLeft w:val="0"/>
      <w:marRight w:val="0"/>
      <w:marTop w:val="0"/>
      <w:marBottom w:val="0"/>
      <w:divBdr>
        <w:top w:val="none" w:sz="0" w:space="0" w:color="auto"/>
        <w:left w:val="none" w:sz="0" w:space="0" w:color="auto"/>
        <w:bottom w:val="none" w:sz="0" w:space="0" w:color="auto"/>
        <w:right w:val="none" w:sz="0" w:space="0" w:color="auto"/>
      </w:divBdr>
    </w:div>
    <w:div w:id="1456676419">
      <w:bodyDiv w:val="1"/>
      <w:marLeft w:val="0"/>
      <w:marRight w:val="0"/>
      <w:marTop w:val="0"/>
      <w:marBottom w:val="0"/>
      <w:divBdr>
        <w:top w:val="none" w:sz="0" w:space="0" w:color="auto"/>
        <w:left w:val="none" w:sz="0" w:space="0" w:color="auto"/>
        <w:bottom w:val="none" w:sz="0" w:space="0" w:color="auto"/>
        <w:right w:val="none" w:sz="0" w:space="0" w:color="auto"/>
      </w:divBdr>
    </w:div>
    <w:div w:id="1470367470">
      <w:bodyDiv w:val="1"/>
      <w:marLeft w:val="0"/>
      <w:marRight w:val="0"/>
      <w:marTop w:val="0"/>
      <w:marBottom w:val="0"/>
      <w:divBdr>
        <w:top w:val="none" w:sz="0" w:space="0" w:color="auto"/>
        <w:left w:val="none" w:sz="0" w:space="0" w:color="auto"/>
        <w:bottom w:val="none" w:sz="0" w:space="0" w:color="auto"/>
        <w:right w:val="none" w:sz="0" w:space="0" w:color="auto"/>
      </w:divBdr>
    </w:div>
    <w:div w:id="1480881142">
      <w:marLeft w:val="0"/>
      <w:marRight w:val="0"/>
      <w:marTop w:val="0"/>
      <w:marBottom w:val="0"/>
      <w:divBdr>
        <w:top w:val="none" w:sz="0" w:space="0" w:color="auto"/>
        <w:left w:val="none" w:sz="0" w:space="0" w:color="auto"/>
        <w:bottom w:val="none" w:sz="0" w:space="0" w:color="auto"/>
        <w:right w:val="none" w:sz="0" w:space="0" w:color="auto"/>
      </w:divBdr>
      <w:divsChild>
        <w:div w:id="1077436051">
          <w:marLeft w:val="0"/>
          <w:marRight w:val="0"/>
          <w:marTop w:val="0"/>
          <w:marBottom w:val="0"/>
          <w:divBdr>
            <w:top w:val="none" w:sz="0" w:space="0" w:color="auto"/>
            <w:left w:val="none" w:sz="0" w:space="0" w:color="auto"/>
            <w:bottom w:val="none" w:sz="0" w:space="0" w:color="auto"/>
            <w:right w:val="none" w:sz="0" w:space="0" w:color="auto"/>
          </w:divBdr>
        </w:div>
      </w:divsChild>
    </w:div>
    <w:div w:id="1485513741">
      <w:bodyDiv w:val="1"/>
      <w:marLeft w:val="0"/>
      <w:marRight w:val="0"/>
      <w:marTop w:val="0"/>
      <w:marBottom w:val="0"/>
      <w:divBdr>
        <w:top w:val="none" w:sz="0" w:space="0" w:color="auto"/>
        <w:left w:val="none" w:sz="0" w:space="0" w:color="auto"/>
        <w:bottom w:val="none" w:sz="0" w:space="0" w:color="auto"/>
        <w:right w:val="none" w:sz="0" w:space="0" w:color="auto"/>
      </w:divBdr>
      <w:divsChild>
        <w:div w:id="382216240">
          <w:marLeft w:val="0"/>
          <w:marRight w:val="0"/>
          <w:marTop w:val="0"/>
          <w:marBottom w:val="0"/>
          <w:divBdr>
            <w:top w:val="none" w:sz="0" w:space="0" w:color="auto"/>
            <w:left w:val="none" w:sz="0" w:space="0" w:color="auto"/>
            <w:bottom w:val="none" w:sz="0" w:space="0" w:color="auto"/>
            <w:right w:val="none" w:sz="0" w:space="0" w:color="auto"/>
          </w:divBdr>
        </w:div>
      </w:divsChild>
    </w:div>
    <w:div w:id="1495873847">
      <w:bodyDiv w:val="1"/>
      <w:marLeft w:val="0"/>
      <w:marRight w:val="0"/>
      <w:marTop w:val="0"/>
      <w:marBottom w:val="0"/>
      <w:divBdr>
        <w:top w:val="none" w:sz="0" w:space="0" w:color="auto"/>
        <w:left w:val="none" w:sz="0" w:space="0" w:color="auto"/>
        <w:bottom w:val="none" w:sz="0" w:space="0" w:color="auto"/>
        <w:right w:val="none" w:sz="0" w:space="0" w:color="auto"/>
      </w:divBdr>
    </w:div>
    <w:div w:id="1497918146">
      <w:bodyDiv w:val="1"/>
      <w:marLeft w:val="0"/>
      <w:marRight w:val="0"/>
      <w:marTop w:val="0"/>
      <w:marBottom w:val="0"/>
      <w:divBdr>
        <w:top w:val="none" w:sz="0" w:space="0" w:color="auto"/>
        <w:left w:val="none" w:sz="0" w:space="0" w:color="auto"/>
        <w:bottom w:val="none" w:sz="0" w:space="0" w:color="auto"/>
        <w:right w:val="none" w:sz="0" w:space="0" w:color="auto"/>
      </w:divBdr>
    </w:div>
    <w:div w:id="1499928442">
      <w:marLeft w:val="0"/>
      <w:marRight w:val="0"/>
      <w:marTop w:val="0"/>
      <w:marBottom w:val="0"/>
      <w:divBdr>
        <w:top w:val="none" w:sz="0" w:space="0" w:color="auto"/>
        <w:left w:val="none" w:sz="0" w:space="0" w:color="auto"/>
        <w:bottom w:val="none" w:sz="0" w:space="0" w:color="auto"/>
        <w:right w:val="none" w:sz="0" w:space="0" w:color="auto"/>
      </w:divBdr>
      <w:divsChild>
        <w:div w:id="1913932184">
          <w:marLeft w:val="0"/>
          <w:marRight w:val="0"/>
          <w:marTop w:val="0"/>
          <w:marBottom w:val="0"/>
          <w:divBdr>
            <w:top w:val="none" w:sz="0" w:space="0" w:color="auto"/>
            <w:left w:val="none" w:sz="0" w:space="0" w:color="auto"/>
            <w:bottom w:val="none" w:sz="0" w:space="0" w:color="auto"/>
            <w:right w:val="none" w:sz="0" w:space="0" w:color="auto"/>
          </w:divBdr>
        </w:div>
      </w:divsChild>
    </w:div>
    <w:div w:id="1503928708">
      <w:bodyDiv w:val="1"/>
      <w:marLeft w:val="0"/>
      <w:marRight w:val="0"/>
      <w:marTop w:val="0"/>
      <w:marBottom w:val="0"/>
      <w:divBdr>
        <w:top w:val="none" w:sz="0" w:space="0" w:color="auto"/>
        <w:left w:val="none" w:sz="0" w:space="0" w:color="auto"/>
        <w:bottom w:val="none" w:sz="0" w:space="0" w:color="auto"/>
        <w:right w:val="none" w:sz="0" w:space="0" w:color="auto"/>
      </w:divBdr>
    </w:div>
    <w:div w:id="1510948672">
      <w:bodyDiv w:val="1"/>
      <w:marLeft w:val="0"/>
      <w:marRight w:val="0"/>
      <w:marTop w:val="0"/>
      <w:marBottom w:val="0"/>
      <w:divBdr>
        <w:top w:val="none" w:sz="0" w:space="0" w:color="auto"/>
        <w:left w:val="none" w:sz="0" w:space="0" w:color="auto"/>
        <w:bottom w:val="none" w:sz="0" w:space="0" w:color="auto"/>
        <w:right w:val="none" w:sz="0" w:space="0" w:color="auto"/>
      </w:divBdr>
      <w:divsChild>
        <w:div w:id="1225798362">
          <w:marLeft w:val="0"/>
          <w:marRight w:val="0"/>
          <w:marTop w:val="0"/>
          <w:marBottom w:val="0"/>
          <w:divBdr>
            <w:top w:val="none" w:sz="0" w:space="0" w:color="auto"/>
            <w:left w:val="none" w:sz="0" w:space="0" w:color="auto"/>
            <w:bottom w:val="none" w:sz="0" w:space="0" w:color="auto"/>
            <w:right w:val="none" w:sz="0" w:space="0" w:color="auto"/>
          </w:divBdr>
        </w:div>
      </w:divsChild>
    </w:div>
    <w:div w:id="1511527709">
      <w:bodyDiv w:val="1"/>
      <w:marLeft w:val="0"/>
      <w:marRight w:val="0"/>
      <w:marTop w:val="0"/>
      <w:marBottom w:val="0"/>
      <w:divBdr>
        <w:top w:val="none" w:sz="0" w:space="0" w:color="auto"/>
        <w:left w:val="none" w:sz="0" w:space="0" w:color="auto"/>
        <w:bottom w:val="none" w:sz="0" w:space="0" w:color="auto"/>
        <w:right w:val="none" w:sz="0" w:space="0" w:color="auto"/>
      </w:divBdr>
      <w:divsChild>
        <w:div w:id="1111170716">
          <w:marLeft w:val="0"/>
          <w:marRight w:val="0"/>
          <w:marTop w:val="0"/>
          <w:marBottom w:val="0"/>
          <w:divBdr>
            <w:top w:val="none" w:sz="0" w:space="0" w:color="auto"/>
            <w:left w:val="none" w:sz="0" w:space="0" w:color="auto"/>
            <w:bottom w:val="none" w:sz="0" w:space="0" w:color="auto"/>
            <w:right w:val="none" w:sz="0" w:space="0" w:color="auto"/>
          </w:divBdr>
        </w:div>
      </w:divsChild>
    </w:div>
    <w:div w:id="1511870660">
      <w:bodyDiv w:val="1"/>
      <w:marLeft w:val="0"/>
      <w:marRight w:val="0"/>
      <w:marTop w:val="0"/>
      <w:marBottom w:val="0"/>
      <w:divBdr>
        <w:top w:val="none" w:sz="0" w:space="0" w:color="auto"/>
        <w:left w:val="none" w:sz="0" w:space="0" w:color="auto"/>
        <w:bottom w:val="none" w:sz="0" w:space="0" w:color="auto"/>
        <w:right w:val="none" w:sz="0" w:space="0" w:color="auto"/>
      </w:divBdr>
    </w:div>
    <w:div w:id="1515336499">
      <w:bodyDiv w:val="1"/>
      <w:marLeft w:val="0"/>
      <w:marRight w:val="0"/>
      <w:marTop w:val="0"/>
      <w:marBottom w:val="0"/>
      <w:divBdr>
        <w:top w:val="none" w:sz="0" w:space="0" w:color="auto"/>
        <w:left w:val="none" w:sz="0" w:space="0" w:color="auto"/>
        <w:bottom w:val="none" w:sz="0" w:space="0" w:color="auto"/>
        <w:right w:val="none" w:sz="0" w:space="0" w:color="auto"/>
      </w:divBdr>
      <w:divsChild>
        <w:div w:id="812990000">
          <w:marLeft w:val="0"/>
          <w:marRight w:val="0"/>
          <w:marTop w:val="0"/>
          <w:marBottom w:val="0"/>
          <w:divBdr>
            <w:top w:val="none" w:sz="0" w:space="0" w:color="auto"/>
            <w:left w:val="none" w:sz="0" w:space="0" w:color="auto"/>
            <w:bottom w:val="none" w:sz="0" w:space="0" w:color="auto"/>
            <w:right w:val="none" w:sz="0" w:space="0" w:color="auto"/>
          </w:divBdr>
        </w:div>
      </w:divsChild>
    </w:div>
    <w:div w:id="1516338457">
      <w:marLeft w:val="0"/>
      <w:marRight w:val="0"/>
      <w:marTop w:val="0"/>
      <w:marBottom w:val="0"/>
      <w:divBdr>
        <w:top w:val="none" w:sz="0" w:space="0" w:color="auto"/>
        <w:left w:val="none" w:sz="0" w:space="0" w:color="auto"/>
        <w:bottom w:val="none" w:sz="0" w:space="0" w:color="auto"/>
        <w:right w:val="none" w:sz="0" w:space="0" w:color="auto"/>
      </w:divBdr>
      <w:divsChild>
        <w:div w:id="2139756084">
          <w:marLeft w:val="0"/>
          <w:marRight w:val="0"/>
          <w:marTop w:val="0"/>
          <w:marBottom w:val="0"/>
          <w:divBdr>
            <w:top w:val="none" w:sz="0" w:space="0" w:color="auto"/>
            <w:left w:val="none" w:sz="0" w:space="0" w:color="auto"/>
            <w:bottom w:val="none" w:sz="0" w:space="0" w:color="auto"/>
            <w:right w:val="none" w:sz="0" w:space="0" w:color="auto"/>
          </w:divBdr>
        </w:div>
      </w:divsChild>
    </w:div>
    <w:div w:id="1524392508">
      <w:bodyDiv w:val="1"/>
      <w:marLeft w:val="0"/>
      <w:marRight w:val="0"/>
      <w:marTop w:val="0"/>
      <w:marBottom w:val="0"/>
      <w:divBdr>
        <w:top w:val="none" w:sz="0" w:space="0" w:color="auto"/>
        <w:left w:val="none" w:sz="0" w:space="0" w:color="auto"/>
        <w:bottom w:val="none" w:sz="0" w:space="0" w:color="auto"/>
        <w:right w:val="none" w:sz="0" w:space="0" w:color="auto"/>
      </w:divBdr>
    </w:div>
    <w:div w:id="1528373660">
      <w:bodyDiv w:val="1"/>
      <w:marLeft w:val="0"/>
      <w:marRight w:val="0"/>
      <w:marTop w:val="0"/>
      <w:marBottom w:val="0"/>
      <w:divBdr>
        <w:top w:val="none" w:sz="0" w:space="0" w:color="auto"/>
        <w:left w:val="none" w:sz="0" w:space="0" w:color="auto"/>
        <w:bottom w:val="none" w:sz="0" w:space="0" w:color="auto"/>
        <w:right w:val="none" w:sz="0" w:space="0" w:color="auto"/>
      </w:divBdr>
    </w:div>
    <w:div w:id="1528910703">
      <w:marLeft w:val="0"/>
      <w:marRight w:val="0"/>
      <w:marTop w:val="0"/>
      <w:marBottom w:val="0"/>
      <w:divBdr>
        <w:top w:val="none" w:sz="0" w:space="0" w:color="auto"/>
        <w:left w:val="none" w:sz="0" w:space="0" w:color="auto"/>
        <w:bottom w:val="none" w:sz="0" w:space="0" w:color="auto"/>
        <w:right w:val="none" w:sz="0" w:space="0" w:color="auto"/>
      </w:divBdr>
      <w:divsChild>
        <w:div w:id="1582177614">
          <w:marLeft w:val="0"/>
          <w:marRight w:val="0"/>
          <w:marTop w:val="0"/>
          <w:marBottom w:val="0"/>
          <w:divBdr>
            <w:top w:val="none" w:sz="0" w:space="0" w:color="auto"/>
            <w:left w:val="none" w:sz="0" w:space="0" w:color="auto"/>
            <w:bottom w:val="none" w:sz="0" w:space="0" w:color="auto"/>
            <w:right w:val="none" w:sz="0" w:space="0" w:color="auto"/>
          </w:divBdr>
        </w:div>
      </w:divsChild>
    </w:div>
    <w:div w:id="1536651121">
      <w:bodyDiv w:val="1"/>
      <w:marLeft w:val="0"/>
      <w:marRight w:val="0"/>
      <w:marTop w:val="0"/>
      <w:marBottom w:val="0"/>
      <w:divBdr>
        <w:top w:val="none" w:sz="0" w:space="0" w:color="auto"/>
        <w:left w:val="none" w:sz="0" w:space="0" w:color="auto"/>
        <w:bottom w:val="none" w:sz="0" w:space="0" w:color="auto"/>
        <w:right w:val="none" w:sz="0" w:space="0" w:color="auto"/>
      </w:divBdr>
    </w:div>
    <w:div w:id="1548178150">
      <w:bodyDiv w:val="1"/>
      <w:marLeft w:val="0"/>
      <w:marRight w:val="0"/>
      <w:marTop w:val="0"/>
      <w:marBottom w:val="0"/>
      <w:divBdr>
        <w:top w:val="none" w:sz="0" w:space="0" w:color="auto"/>
        <w:left w:val="none" w:sz="0" w:space="0" w:color="auto"/>
        <w:bottom w:val="none" w:sz="0" w:space="0" w:color="auto"/>
        <w:right w:val="none" w:sz="0" w:space="0" w:color="auto"/>
      </w:divBdr>
    </w:div>
    <w:div w:id="1548879764">
      <w:bodyDiv w:val="1"/>
      <w:marLeft w:val="0"/>
      <w:marRight w:val="0"/>
      <w:marTop w:val="0"/>
      <w:marBottom w:val="0"/>
      <w:divBdr>
        <w:top w:val="none" w:sz="0" w:space="0" w:color="auto"/>
        <w:left w:val="none" w:sz="0" w:space="0" w:color="auto"/>
        <w:bottom w:val="none" w:sz="0" w:space="0" w:color="auto"/>
        <w:right w:val="none" w:sz="0" w:space="0" w:color="auto"/>
      </w:divBdr>
      <w:divsChild>
        <w:div w:id="835807560">
          <w:marLeft w:val="0"/>
          <w:marRight w:val="0"/>
          <w:marTop w:val="0"/>
          <w:marBottom w:val="0"/>
          <w:divBdr>
            <w:top w:val="none" w:sz="0" w:space="0" w:color="auto"/>
            <w:left w:val="none" w:sz="0" w:space="0" w:color="auto"/>
            <w:bottom w:val="none" w:sz="0" w:space="0" w:color="auto"/>
            <w:right w:val="none" w:sz="0" w:space="0" w:color="auto"/>
          </w:divBdr>
        </w:div>
      </w:divsChild>
    </w:div>
    <w:div w:id="1551963369">
      <w:marLeft w:val="0"/>
      <w:marRight w:val="0"/>
      <w:marTop w:val="0"/>
      <w:marBottom w:val="0"/>
      <w:divBdr>
        <w:top w:val="none" w:sz="0" w:space="0" w:color="auto"/>
        <w:left w:val="none" w:sz="0" w:space="0" w:color="auto"/>
        <w:bottom w:val="none" w:sz="0" w:space="0" w:color="auto"/>
        <w:right w:val="none" w:sz="0" w:space="0" w:color="auto"/>
      </w:divBdr>
      <w:divsChild>
        <w:div w:id="507409021">
          <w:marLeft w:val="0"/>
          <w:marRight w:val="0"/>
          <w:marTop w:val="0"/>
          <w:marBottom w:val="0"/>
          <w:divBdr>
            <w:top w:val="none" w:sz="0" w:space="0" w:color="auto"/>
            <w:left w:val="none" w:sz="0" w:space="0" w:color="auto"/>
            <w:bottom w:val="none" w:sz="0" w:space="0" w:color="auto"/>
            <w:right w:val="none" w:sz="0" w:space="0" w:color="auto"/>
          </w:divBdr>
        </w:div>
      </w:divsChild>
    </w:div>
    <w:div w:id="1557547140">
      <w:bodyDiv w:val="1"/>
      <w:marLeft w:val="0"/>
      <w:marRight w:val="0"/>
      <w:marTop w:val="0"/>
      <w:marBottom w:val="0"/>
      <w:divBdr>
        <w:top w:val="none" w:sz="0" w:space="0" w:color="auto"/>
        <w:left w:val="none" w:sz="0" w:space="0" w:color="auto"/>
        <w:bottom w:val="none" w:sz="0" w:space="0" w:color="auto"/>
        <w:right w:val="none" w:sz="0" w:space="0" w:color="auto"/>
      </w:divBdr>
      <w:divsChild>
        <w:div w:id="1111128775">
          <w:marLeft w:val="0"/>
          <w:marRight w:val="0"/>
          <w:marTop w:val="0"/>
          <w:marBottom w:val="0"/>
          <w:divBdr>
            <w:top w:val="none" w:sz="0" w:space="0" w:color="auto"/>
            <w:left w:val="none" w:sz="0" w:space="0" w:color="auto"/>
            <w:bottom w:val="none" w:sz="0" w:space="0" w:color="auto"/>
            <w:right w:val="none" w:sz="0" w:space="0" w:color="auto"/>
          </w:divBdr>
        </w:div>
      </w:divsChild>
    </w:div>
    <w:div w:id="1563173919">
      <w:bodyDiv w:val="1"/>
      <w:marLeft w:val="0"/>
      <w:marRight w:val="0"/>
      <w:marTop w:val="0"/>
      <w:marBottom w:val="0"/>
      <w:divBdr>
        <w:top w:val="none" w:sz="0" w:space="0" w:color="auto"/>
        <w:left w:val="none" w:sz="0" w:space="0" w:color="auto"/>
        <w:bottom w:val="none" w:sz="0" w:space="0" w:color="auto"/>
        <w:right w:val="none" w:sz="0" w:space="0" w:color="auto"/>
      </w:divBdr>
    </w:div>
    <w:div w:id="1564871224">
      <w:bodyDiv w:val="1"/>
      <w:marLeft w:val="0"/>
      <w:marRight w:val="0"/>
      <w:marTop w:val="0"/>
      <w:marBottom w:val="0"/>
      <w:divBdr>
        <w:top w:val="none" w:sz="0" w:space="0" w:color="auto"/>
        <w:left w:val="none" w:sz="0" w:space="0" w:color="auto"/>
        <w:bottom w:val="none" w:sz="0" w:space="0" w:color="auto"/>
        <w:right w:val="none" w:sz="0" w:space="0" w:color="auto"/>
      </w:divBdr>
    </w:div>
    <w:div w:id="1565723494">
      <w:bodyDiv w:val="1"/>
      <w:marLeft w:val="0"/>
      <w:marRight w:val="0"/>
      <w:marTop w:val="0"/>
      <w:marBottom w:val="0"/>
      <w:divBdr>
        <w:top w:val="none" w:sz="0" w:space="0" w:color="auto"/>
        <w:left w:val="none" w:sz="0" w:space="0" w:color="auto"/>
        <w:bottom w:val="none" w:sz="0" w:space="0" w:color="auto"/>
        <w:right w:val="none" w:sz="0" w:space="0" w:color="auto"/>
      </w:divBdr>
    </w:div>
    <w:div w:id="1567259301">
      <w:bodyDiv w:val="1"/>
      <w:marLeft w:val="0"/>
      <w:marRight w:val="0"/>
      <w:marTop w:val="0"/>
      <w:marBottom w:val="0"/>
      <w:divBdr>
        <w:top w:val="none" w:sz="0" w:space="0" w:color="auto"/>
        <w:left w:val="none" w:sz="0" w:space="0" w:color="auto"/>
        <w:bottom w:val="none" w:sz="0" w:space="0" w:color="auto"/>
        <w:right w:val="none" w:sz="0" w:space="0" w:color="auto"/>
      </w:divBdr>
    </w:div>
    <w:div w:id="1572538472">
      <w:bodyDiv w:val="1"/>
      <w:marLeft w:val="0"/>
      <w:marRight w:val="0"/>
      <w:marTop w:val="0"/>
      <w:marBottom w:val="0"/>
      <w:divBdr>
        <w:top w:val="none" w:sz="0" w:space="0" w:color="auto"/>
        <w:left w:val="none" w:sz="0" w:space="0" w:color="auto"/>
        <w:bottom w:val="none" w:sz="0" w:space="0" w:color="auto"/>
        <w:right w:val="none" w:sz="0" w:space="0" w:color="auto"/>
      </w:divBdr>
    </w:div>
    <w:div w:id="1572885150">
      <w:bodyDiv w:val="1"/>
      <w:marLeft w:val="0"/>
      <w:marRight w:val="0"/>
      <w:marTop w:val="0"/>
      <w:marBottom w:val="0"/>
      <w:divBdr>
        <w:top w:val="none" w:sz="0" w:space="0" w:color="auto"/>
        <w:left w:val="none" w:sz="0" w:space="0" w:color="auto"/>
        <w:bottom w:val="none" w:sz="0" w:space="0" w:color="auto"/>
        <w:right w:val="none" w:sz="0" w:space="0" w:color="auto"/>
      </w:divBdr>
      <w:divsChild>
        <w:div w:id="1373311690">
          <w:marLeft w:val="0"/>
          <w:marRight w:val="0"/>
          <w:marTop w:val="0"/>
          <w:marBottom w:val="0"/>
          <w:divBdr>
            <w:top w:val="none" w:sz="0" w:space="0" w:color="auto"/>
            <w:left w:val="none" w:sz="0" w:space="0" w:color="auto"/>
            <w:bottom w:val="none" w:sz="0" w:space="0" w:color="auto"/>
            <w:right w:val="none" w:sz="0" w:space="0" w:color="auto"/>
          </w:divBdr>
        </w:div>
      </w:divsChild>
    </w:div>
    <w:div w:id="1574393570">
      <w:bodyDiv w:val="1"/>
      <w:marLeft w:val="0"/>
      <w:marRight w:val="0"/>
      <w:marTop w:val="0"/>
      <w:marBottom w:val="0"/>
      <w:divBdr>
        <w:top w:val="none" w:sz="0" w:space="0" w:color="auto"/>
        <w:left w:val="none" w:sz="0" w:space="0" w:color="auto"/>
        <w:bottom w:val="none" w:sz="0" w:space="0" w:color="auto"/>
        <w:right w:val="none" w:sz="0" w:space="0" w:color="auto"/>
      </w:divBdr>
    </w:div>
    <w:div w:id="1575701654">
      <w:bodyDiv w:val="1"/>
      <w:marLeft w:val="0"/>
      <w:marRight w:val="0"/>
      <w:marTop w:val="0"/>
      <w:marBottom w:val="0"/>
      <w:divBdr>
        <w:top w:val="none" w:sz="0" w:space="0" w:color="auto"/>
        <w:left w:val="none" w:sz="0" w:space="0" w:color="auto"/>
        <w:bottom w:val="none" w:sz="0" w:space="0" w:color="auto"/>
        <w:right w:val="none" w:sz="0" w:space="0" w:color="auto"/>
      </w:divBdr>
      <w:divsChild>
        <w:div w:id="1672022336">
          <w:marLeft w:val="0"/>
          <w:marRight w:val="0"/>
          <w:marTop w:val="0"/>
          <w:marBottom w:val="0"/>
          <w:divBdr>
            <w:top w:val="none" w:sz="0" w:space="0" w:color="auto"/>
            <w:left w:val="none" w:sz="0" w:space="0" w:color="auto"/>
            <w:bottom w:val="none" w:sz="0" w:space="0" w:color="auto"/>
            <w:right w:val="none" w:sz="0" w:space="0" w:color="auto"/>
          </w:divBdr>
        </w:div>
      </w:divsChild>
    </w:div>
    <w:div w:id="1586526738">
      <w:bodyDiv w:val="1"/>
      <w:marLeft w:val="0"/>
      <w:marRight w:val="0"/>
      <w:marTop w:val="0"/>
      <w:marBottom w:val="0"/>
      <w:divBdr>
        <w:top w:val="none" w:sz="0" w:space="0" w:color="auto"/>
        <w:left w:val="none" w:sz="0" w:space="0" w:color="auto"/>
        <w:bottom w:val="none" w:sz="0" w:space="0" w:color="auto"/>
        <w:right w:val="none" w:sz="0" w:space="0" w:color="auto"/>
      </w:divBdr>
    </w:div>
    <w:div w:id="1589772504">
      <w:bodyDiv w:val="1"/>
      <w:marLeft w:val="0"/>
      <w:marRight w:val="0"/>
      <w:marTop w:val="0"/>
      <w:marBottom w:val="0"/>
      <w:divBdr>
        <w:top w:val="none" w:sz="0" w:space="0" w:color="auto"/>
        <w:left w:val="none" w:sz="0" w:space="0" w:color="auto"/>
        <w:bottom w:val="none" w:sz="0" w:space="0" w:color="auto"/>
        <w:right w:val="none" w:sz="0" w:space="0" w:color="auto"/>
      </w:divBdr>
      <w:divsChild>
        <w:div w:id="1580169154">
          <w:marLeft w:val="0"/>
          <w:marRight w:val="0"/>
          <w:marTop w:val="0"/>
          <w:marBottom w:val="0"/>
          <w:divBdr>
            <w:top w:val="none" w:sz="0" w:space="0" w:color="auto"/>
            <w:left w:val="none" w:sz="0" w:space="0" w:color="auto"/>
            <w:bottom w:val="none" w:sz="0" w:space="0" w:color="auto"/>
            <w:right w:val="none" w:sz="0" w:space="0" w:color="auto"/>
          </w:divBdr>
        </w:div>
      </w:divsChild>
    </w:div>
    <w:div w:id="1593515865">
      <w:bodyDiv w:val="1"/>
      <w:marLeft w:val="0"/>
      <w:marRight w:val="0"/>
      <w:marTop w:val="0"/>
      <w:marBottom w:val="0"/>
      <w:divBdr>
        <w:top w:val="none" w:sz="0" w:space="0" w:color="auto"/>
        <w:left w:val="none" w:sz="0" w:space="0" w:color="auto"/>
        <w:bottom w:val="none" w:sz="0" w:space="0" w:color="auto"/>
        <w:right w:val="none" w:sz="0" w:space="0" w:color="auto"/>
      </w:divBdr>
    </w:div>
    <w:div w:id="1598709163">
      <w:bodyDiv w:val="1"/>
      <w:marLeft w:val="0"/>
      <w:marRight w:val="0"/>
      <w:marTop w:val="0"/>
      <w:marBottom w:val="0"/>
      <w:divBdr>
        <w:top w:val="none" w:sz="0" w:space="0" w:color="auto"/>
        <w:left w:val="none" w:sz="0" w:space="0" w:color="auto"/>
        <w:bottom w:val="none" w:sz="0" w:space="0" w:color="auto"/>
        <w:right w:val="none" w:sz="0" w:space="0" w:color="auto"/>
      </w:divBdr>
    </w:div>
    <w:div w:id="1611861661">
      <w:bodyDiv w:val="1"/>
      <w:marLeft w:val="0"/>
      <w:marRight w:val="0"/>
      <w:marTop w:val="0"/>
      <w:marBottom w:val="0"/>
      <w:divBdr>
        <w:top w:val="none" w:sz="0" w:space="0" w:color="auto"/>
        <w:left w:val="none" w:sz="0" w:space="0" w:color="auto"/>
        <w:bottom w:val="none" w:sz="0" w:space="0" w:color="auto"/>
        <w:right w:val="none" w:sz="0" w:space="0" w:color="auto"/>
      </w:divBdr>
    </w:div>
    <w:div w:id="1618901676">
      <w:bodyDiv w:val="1"/>
      <w:marLeft w:val="0"/>
      <w:marRight w:val="0"/>
      <w:marTop w:val="0"/>
      <w:marBottom w:val="0"/>
      <w:divBdr>
        <w:top w:val="none" w:sz="0" w:space="0" w:color="auto"/>
        <w:left w:val="none" w:sz="0" w:space="0" w:color="auto"/>
        <w:bottom w:val="none" w:sz="0" w:space="0" w:color="auto"/>
        <w:right w:val="none" w:sz="0" w:space="0" w:color="auto"/>
      </w:divBdr>
      <w:divsChild>
        <w:div w:id="92824751">
          <w:marLeft w:val="547"/>
          <w:marRight w:val="0"/>
          <w:marTop w:val="86"/>
          <w:marBottom w:val="0"/>
          <w:divBdr>
            <w:top w:val="none" w:sz="0" w:space="0" w:color="auto"/>
            <w:left w:val="none" w:sz="0" w:space="0" w:color="auto"/>
            <w:bottom w:val="none" w:sz="0" w:space="0" w:color="auto"/>
            <w:right w:val="none" w:sz="0" w:space="0" w:color="auto"/>
          </w:divBdr>
        </w:div>
        <w:div w:id="276301237">
          <w:marLeft w:val="547"/>
          <w:marRight w:val="0"/>
          <w:marTop w:val="86"/>
          <w:marBottom w:val="0"/>
          <w:divBdr>
            <w:top w:val="none" w:sz="0" w:space="0" w:color="auto"/>
            <w:left w:val="none" w:sz="0" w:space="0" w:color="auto"/>
            <w:bottom w:val="none" w:sz="0" w:space="0" w:color="auto"/>
            <w:right w:val="none" w:sz="0" w:space="0" w:color="auto"/>
          </w:divBdr>
        </w:div>
        <w:div w:id="453601245">
          <w:marLeft w:val="547"/>
          <w:marRight w:val="0"/>
          <w:marTop w:val="86"/>
          <w:marBottom w:val="0"/>
          <w:divBdr>
            <w:top w:val="none" w:sz="0" w:space="0" w:color="auto"/>
            <w:left w:val="none" w:sz="0" w:space="0" w:color="auto"/>
            <w:bottom w:val="none" w:sz="0" w:space="0" w:color="auto"/>
            <w:right w:val="none" w:sz="0" w:space="0" w:color="auto"/>
          </w:divBdr>
        </w:div>
        <w:div w:id="497161529">
          <w:marLeft w:val="547"/>
          <w:marRight w:val="0"/>
          <w:marTop w:val="86"/>
          <w:marBottom w:val="0"/>
          <w:divBdr>
            <w:top w:val="none" w:sz="0" w:space="0" w:color="auto"/>
            <w:left w:val="none" w:sz="0" w:space="0" w:color="auto"/>
            <w:bottom w:val="none" w:sz="0" w:space="0" w:color="auto"/>
            <w:right w:val="none" w:sz="0" w:space="0" w:color="auto"/>
          </w:divBdr>
        </w:div>
        <w:div w:id="644316863">
          <w:marLeft w:val="547"/>
          <w:marRight w:val="0"/>
          <w:marTop w:val="86"/>
          <w:marBottom w:val="0"/>
          <w:divBdr>
            <w:top w:val="none" w:sz="0" w:space="0" w:color="auto"/>
            <w:left w:val="none" w:sz="0" w:space="0" w:color="auto"/>
            <w:bottom w:val="none" w:sz="0" w:space="0" w:color="auto"/>
            <w:right w:val="none" w:sz="0" w:space="0" w:color="auto"/>
          </w:divBdr>
        </w:div>
        <w:div w:id="652755894">
          <w:marLeft w:val="547"/>
          <w:marRight w:val="0"/>
          <w:marTop w:val="86"/>
          <w:marBottom w:val="0"/>
          <w:divBdr>
            <w:top w:val="none" w:sz="0" w:space="0" w:color="auto"/>
            <w:left w:val="none" w:sz="0" w:space="0" w:color="auto"/>
            <w:bottom w:val="none" w:sz="0" w:space="0" w:color="auto"/>
            <w:right w:val="none" w:sz="0" w:space="0" w:color="auto"/>
          </w:divBdr>
        </w:div>
        <w:div w:id="764375021">
          <w:marLeft w:val="547"/>
          <w:marRight w:val="0"/>
          <w:marTop w:val="86"/>
          <w:marBottom w:val="0"/>
          <w:divBdr>
            <w:top w:val="none" w:sz="0" w:space="0" w:color="auto"/>
            <w:left w:val="none" w:sz="0" w:space="0" w:color="auto"/>
            <w:bottom w:val="none" w:sz="0" w:space="0" w:color="auto"/>
            <w:right w:val="none" w:sz="0" w:space="0" w:color="auto"/>
          </w:divBdr>
        </w:div>
        <w:div w:id="872576208">
          <w:marLeft w:val="547"/>
          <w:marRight w:val="0"/>
          <w:marTop w:val="86"/>
          <w:marBottom w:val="0"/>
          <w:divBdr>
            <w:top w:val="none" w:sz="0" w:space="0" w:color="auto"/>
            <w:left w:val="none" w:sz="0" w:space="0" w:color="auto"/>
            <w:bottom w:val="none" w:sz="0" w:space="0" w:color="auto"/>
            <w:right w:val="none" w:sz="0" w:space="0" w:color="auto"/>
          </w:divBdr>
        </w:div>
        <w:div w:id="876159552">
          <w:marLeft w:val="547"/>
          <w:marRight w:val="0"/>
          <w:marTop w:val="86"/>
          <w:marBottom w:val="0"/>
          <w:divBdr>
            <w:top w:val="none" w:sz="0" w:space="0" w:color="auto"/>
            <w:left w:val="none" w:sz="0" w:space="0" w:color="auto"/>
            <w:bottom w:val="none" w:sz="0" w:space="0" w:color="auto"/>
            <w:right w:val="none" w:sz="0" w:space="0" w:color="auto"/>
          </w:divBdr>
        </w:div>
        <w:div w:id="1049501202">
          <w:marLeft w:val="547"/>
          <w:marRight w:val="0"/>
          <w:marTop w:val="86"/>
          <w:marBottom w:val="0"/>
          <w:divBdr>
            <w:top w:val="none" w:sz="0" w:space="0" w:color="auto"/>
            <w:left w:val="none" w:sz="0" w:space="0" w:color="auto"/>
            <w:bottom w:val="none" w:sz="0" w:space="0" w:color="auto"/>
            <w:right w:val="none" w:sz="0" w:space="0" w:color="auto"/>
          </w:divBdr>
        </w:div>
        <w:div w:id="1160996358">
          <w:marLeft w:val="547"/>
          <w:marRight w:val="0"/>
          <w:marTop w:val="86"/>
          <w:marBottom w:val="0"/>
          <w:divBdr>
            <w:top w:val="none" w:sz="0" w:space="0" w:color="auto"/>
            <w:left w:val="none" w:sz="0" w:space="0" w:color="auto"/>
            <w:bottom w:val="none" w:sz="0" w:space="0" w:color="auto"/>
            <w:right w:val="none" w:sz="0" w:space="0" w:color="auto"/>
          </w:divBdr>
        </w:div>
        <w:div w:id="1752386915">
          <w:marLeft w:val="547"/>
          <w:marRight w:val="0"/>
          <w:marTop w:val="86"/>
          <w:marBottom w:val="0"/>
          <w:divBdr>
            <w:top w:val="none" w:sz="0" w:space="0" w:color="auto"/>
            <w:left w:val="none" w:sz="0" w:space="0" w:color="auto"/>
            <w:bottom w:val="none" w:sz="0" w:space="0" w:color="auto"/>
            <w:right w:val="none" w:sz="0" w:space="0" w:color="auto"/>
          </w:divBdr>
        </w:div>
        <w:div w:id="1860049963">
          <w:marLeft w:val="547"/>
          <w:marRight w:val="0"/>
          <w:marTop w:val="86"/>
          <w:marBottom w:val="0"/>
          <w:divBdr>
            <w:top w:val="none" w:sz="0" w:space="0" w:color="auto"/>
            <w:left w:val="none" w:sz="0" w:space="0" w:color="auto"/>
            <w:bottom w:val="none" w:sz="0" w:space="0" w:color="auto"/>
            <w:right w:val="none" w:sz="0" w:space="0" w:color="auto"/>
          </w:divBdr>
        </w:div>
        <w:div w:id="1985113650">
          <w:marLeft w:val="547"/>
          <w:marRight w:val="0"/>
          <w:marTop w:val="86"/>
          <w:marBottom w:val="0"/>
          <w:divBdr>
            <w:top w:val="none" w:sz="0" w:space="0" w:color="auto"/>
            <w:left w:val="none" w:sz="0" w:space="0" w:color="auto"/>
            <w:bottom w:val="none" w:sz="0" w:space="0" w:color="auto"/>
            <w:right w:val="none" w:sz="0" w:space="0" w:color="auto"/>
          </w:divBdr>
        </w:div>
      </w:divsChild>
    </w:div>
    <w:div w:id="1627854335">
      <w:bodyDiv w:val="1"/>
      <w:marLeft w:val="0"/>
      <w:marRight w:val="0"/>
      <w:marTop w:val="0"/>
      <w:marBottom w:val="0"/>
      <w:divBdr>
        <w:top w:val="none" w:sz="0" w:space="0" w:color="auto"/>
        <w:left w:val="none" w:sz="0" w:space="0" w:color="auto"/>
        <w:bottom w:val="none" w:sz="0" w:space="0" w:color="auto"/>
        <w:right w:val="none" w:sz="0" w:space="0" w:color="auto"/>
      </w:divBdr>
    </w:div>
    <w:div w:id="1628320136">
      <w:bodyDiv w:val="1"/>
      <w:marLeft w:val="0"/>
      <w:marRight w:val="0"/>
      <w:marTop w:val="0"/>
      <w:marBottom w:val="0"/>
      <w:divBdr>
        <w:top w:val="none" w:sz="0" w:space="0" w:color="auto"/>
        <w:left w:val="none" w:sz="0" w:space="0" w:color="auto"/>
        <w:bottom w:val="none" w:sz="0" w:space="0" w:color="auto"/>
        <w:right w:val="none" w:sz="0" w:space="0" w:color="auto"/>
      </w:divBdr>
      <w:divsChild>
        <w:div w:id="1557667264">
          <w:marLeft w:val="0"/>
          <w:marRight w:val="0"/>
          <w:marTop w:val="0"/>
          <w:marBottom w:val="0"/>
          <w:divBdr>
            <w:top w:val="none" w:sz="0" w:space="0" w:color="auto"/>
            <w:left w:val="none" w:sz="0" w:space="0" w:color="auto"/>
            <w:bottom w:val="none" w:sz="0" w:space="0" w:color="auto"/>
            <w:right w:val="none" w:sz="0" w:space="0" w:color="auto"/>
          </w:divBdr>
        </w:div>
      </w:divsChild>
    </w:div>
    <w:div w:id="1638753327">
      <w:bodyDiv w:val="1"/>
      <w:marLeft w:val="0"/>
      <w:marRight w:val="0"/>
      <w:marTop w:val="0"/>
      <w:marBottom w:val="0"/>
      <w:divBdr>
        <w:top w:val="none" w:sz="0" w:space="0" w:color="auto"/>
        <w:left w:val="none" w:sz="0" w:space="0" w:color="auto"/>
        <w:bottom w:val="none" w:sz="0" w:space="0" w:color="auto"/>
        <w:right w:val="none" w:sz="0" w:space="0" w:color="auto"/>
      </w:divBdr>
    </w:div>
    <w:div w:id="1638756434">
      <w:marLeft w:val="0"/>
      <w:marRight w:val="0"/>
      <w:marTop w:val="0"/>
      <w:marBottom w:val="0"/>
      <w:divBdr>
        <w:top w:val="none" w:sz="0" w:space="0" w:color="auto"/>
        <w:left w:val="none" w:sz="0" w:space="0" w:color="auto"/>
        <w:bottom w:val="none" w:sz="0" w:space="0" w:color="auto"/>
        <w:right w:val="none" w:sz="0" w:space="0" w:color="auto"/>
      </w:divBdr>
      <w:divsChild>
        <w:div w:id="1446970160">
          <w:marLeft w:val="0"/>
          <w:marRight w:val="0"/>
          <w:marTop w:val="0"/>
          <w:marBottom w:val="0"/>
          <w:divBdr>
            <w:top w:val="none" w:sz="0" w:space="0" w:color="auto"/>
            <w:left w:val="none" w:sz="0" w:space="0" w:color="auto"/>
            <w:bottom w:val="none" w:sz="0" w:space="0" w:color="auto"/>
            <w:right w:val="none" w:sz="0" w:space="0" w:color="auto"/>
          </w:divBdr>
        </w:div>
      </w:divsChild>
    </w:div>
    <w:div w:id="1649820114">
      <w:bodyDiv w:val="1"/>
      <w:marLeft w:val="0"/>
      <w:marRight w:val="0"/>
      <w:marTop w:val="0"/>
      <w:marBottom w:val="0"/>
      <w:divBdr>
        <w:top w:val="none" w:sz="0" w:space="0" w:color="auto"/>
        <w:left w:val="none" w:sz="0" w:space="0" w:color="auto"/>
        <w:bottom w:val="none" w:sz="0" w:space="0" w:color="auto"/>
        <w:right w:val="none" w:sz="0" w:space="0" w:color="auto"/>
      </w:divBdr>
    </w:div>
    <w:div w:id="1653749181">
      <w:bodyDiv w:val="1"/>
      <w:marLeft w:val="0"/>
      <w:marRight w:val="0"/>
      <w:marTop w:val="0"/>
      <w:marBottom w:val="0"/>
      <w:divBdr>
        <w:top w:val="none" w:sz="0" w:space="0" w:color="auto"/>
        <w:left w:val="none" w:sz="0" w:space="0" w:color="auto"/>
        <w:bottom w:val="none" w:sz="0" w:space="0" w:color="auto"/>
        <w:right w:val="none" w:sz="0" w:space="0" w:color="auto"/>
      </w:divBdr>
      <w:divsChild>
        <w:div w:id="516962210">
          <w:marLeft w:val="0"/>
          <w:marRight w:val="0"/>
          <w:marTop w:val="0"/>
          <w:marBottom w:val="0"/>
          <w:divBdr>
            <w:top w:val="none" w:sz="0" w:space="0" w:color="auto"/>
            <w:left w:val="none" w:sz="0" w:space="0" w:color="auto"/>
            <w:bottom w:val="none" w:sz="0" w:space="0" w:color="auto"/>
            <w:right w:val="none" w:sz="0" w:space="0" w:color="auto"/>
          </w:divBdr>
        </w:div>
      </w:divsChild>
    </w:div>
    <w:div w:id="1657490949">
      <w:marLeft w:val="0"/>
      <w:marRight w:val="0"/>
      <w:marTop w:val="0"/>
      <w:marBottom w:val="0"/>
      <w:divBdr>
        <w:top w:val="none" w:sz="0" w:space="0" w:color="auto"/>
        <w:left w:val="none" w:sz="0" w:space="0" w:color="auto"/>
        <w:bottom w:val="none" w:sz="0" w:space="0" w:color="auto"/>
        <w:right w:val="none" w:sz="0" w:space="0" w:color="auto"/>
      </w:divBdr>
      <w:divsChild>
        <w:div w:id="99684636">
          <w:marLeft w:val="0"/>
          <w:marRight w:val="0"/>
          <w:marTop w:val="0"/>
          <w:marBottom w:val="0"/>
          <w:divBdr>
            <w:top w:val="none" w:sz="0" w:space="0" w:color="auto"/>
            <w:left w:val="none" w:sz="0" w:space="0" w:color="auto"/>
            <w:bottom w:val="none" w:sz="0" w:space="0" w:color="auto"/>
            <w:right w:val="none" w:sz="0" w:space="0" w:color="auto"/>
          </w:divBdr>
        </w:div>
      </w:divsChild>
    </w:div>
    <w:div w:id="1662613296">
      <w:marLeft w:val="0"/>
      <w:marRight w:val="0"/>
      <w:marTop w:val="0"/>
      <w:marBottom w:val="0"/>
      <w:divBdr>
        <w:top w:val="none" w:sz="0" w:space="0" w:color="auto"/>
        <w:left w:val="none" w:sz="0" w:space="0" w:color="auto"/>
        <w:bottom w:val="none" w:sz="0" w:space="0" w:color="auto"/>
        <w:right w:val="none" w:sz="0" w:space="0" w:color="auto"/>
      </w:divBdr>
      <w:divsChild>
        <w:div w:id="1758554742">
          <w:marLeft w:val="0"/>
          <w:marRight w:val="0"/>
          <w:marTop w:val="0"/>
          <w:marBottom w:val="0"/>
          <w:divBdr>
            <w:top w:val="none" w:sz="0" w:space="0" w:color="auto"/>
            <w:left w:val="none" w:sz="0" w:space="0" w:color="auto"/>
            <w:bottom w:val="none" w:sz="0" w:space="0" w:color="auto"/>
            <w:right w:val="none" w:sz="0" w:space="0" w:color="auto"/>
          </w:divBdr>
        </w:div>
      </w:divsChild>
    </w:div>
    <w:div w:id="1670789232">
      <w:bodyDiv w:val="1"/>
      <w:marLeft w:val="0"/>
      <w:marRight w:val="0"/>
      <w:marTop w:val="0"/>
      <w:marBottom w:val="0"/>
      <w:divBdr>
        <w:top w:val="none" w:sz="0" w:space="0" w:color="auto"/>
        <w:left w:val="none" w:sz="0" w:space="0" w:color="auto"/>
        <w:bottom w:val="none" w:sz="0" w:space="0" w:color="auto"/>
        <w:right w:val="none" w:sz="0" w:space="0" w:color="auto"/>
      </w:divBdr>
    </w:div>
    <w:div w:id="1671250564">
      <w:bodyDiv w:val="1"/>
      <w:marLeft w:val="0"/>
      <w:marRight w:val="0"/>
      <w:marTop w:val="0"/>
      <w:marBottom w:val="0"/>
      <w:divBdr>
        <w:top w:val="none" w:sz="0" w:space="0" w:color="auto"/>
        <w:left w:val="none" w:sz="0" w:space="0" w:color="auto"/>
        <w:bottom w:val="none" w:sz="0" w:space="0" w:color="auto"/>
        <w:right w:val="none" w:sz="0" w:space="0" w:color="auto"/>
      </w:divBdr>
    </w:div>
    <w:div w:id="1671444356">
      <w:bodyDiv w:val="1"/>
      <w:marLeft w:val="0"/>
      <w:marRight w:val="0"/>
      <w:marTop w:val="0"/>
      <w:marBottom w:val="0"/>
      <w:divBdr>
        <w:top w:val="none" w:sz="0" w:space="0" w:color="auto"/>
        <w:left w:val="none" w:sz="0" w:space="0" w:color="auto"/>
        <w:bottom w:val="none" w:sz="0" w:space="0" w:color="auto"/>
        <w:right w:val="none" w:sz="0" w:space="0" w:color="auto"/>
      </w:divBdr>
    </w:div>
    <w:div w:id="1671713448">
      <w:bodyDiv w:val="1"/>
      <w:marLeft w:val="0"/>
      <w:marRight w:val="0"/>
      <w:marTop w:val="0"/>
      <w:marBottom w:val="0"/>
      <w:divBdr>
        <w:top w:val="none" w:sz="0" w:space="0" w:color="auto"/>
        <w:left w:val="none" w:sz="0" w:space="0" w:color="auto"/>
        <w:bottom w:val="none" w:sz="0" w:space="0" w:color="auto"/>
        <w:right w:val="none" w:sz="0" w:space="0" w:color="auto"/>
      </w:divBdr>
      <w:divsChild>
        <w:div w:id="120736455">
          <w:marLeft w:val="0"/>
          <w:marRight w:val="0"/>
          <w:marTop w:val="0"/>
          <w:marBottom w:val="0"/>
          <w:divBdr>
            <w:top w:val="none" w:sz="0" w:space="0" w:color="auto"/>
            <w:left w:val="none" w:sz="0" w:space="0" w:color="auto"/>
            <w:bottom w:val="none" w:sz="0" w:space="0" w:color="auto"/>
            <w:right w:val="none" w:sz="0" w:space="0" w:color="auto"/>
          </w:divBdr>
          <w:divsChild>
            <w:div w:id="41710841">
              <w:marLeft w:val="0"/>
              <w:marRight w:val="0"/>
              <w:marTop w:val="0"/>
              <w:marBottom w:val="0"/>
              <w:divBdr>
                <w:top w:val="none" w:sz="0" w:space="0" w:color="auto"/>
                <w:left w:val="none" w:sz="0" w:space="0" w:color="auto"/>
                <w:bottom w:val="none" w:sz="0" w:space="0" w:color="auto"/>
                <w:right w:val="none" w:sz="0" w:space="0" w:color="auto"/>
              </w:divBdr>
            </w:div>
            <w:div w:id="336689175">
              <w:marLeft w:val="0"/>
              <w:marRight w:val="0"/>
              <w:marTop w:val="0"/>
              <w:marBottom w:val="0"/>
              <w:divBdr>
                <w:top w:val="none" w:sz="0" w:space="0" w:color="auto"/>
                <w:left w:val="none" w:sz="0" w:space="0" w:color="auto"/>
                <w:bottom w:val="none" w:sz="0" w:space="0" w:color="auto"/>
                <w:right w:val="none" w:sz="0" w:space="0" w:color="auto"/>
              </w:divBdr>
            </w:div>
            <w:div w:id="605693724">
              <w:marLeft w:val="0"/>
              <w:marRight w:val="0"/>
              <w:marTop w:val="0"/>
              <w:marBottom w:val="0"/>
              <w:divBdr>
                <w:top w:val="none" w:sz="0" w:space="0" w:color="auto"/>
                <w:left w:val="none" w:sz="0" w:space="0" w:color="auto"/>
                <w:bottom w:val="none" w:sz="0" w:space="0" w:color="auto"/>
                <w:right w:val="none" w:sz="0" w:space="0" w:color="auto"/>
              </w:divBdr>
              <w:divsChild>
                <w:div w:id="765154498">
                  <w:marLeft w:val="0"/>
                  <w:marRight w:val="0"/>
                  <w:marTop w:val="0"/>
                  <w:marBottom w:val="0"/>
                  <w:divBdr>
                    <w:top w:val="none" w:sz="0" w:space="0" w:color="auto"/>
                    <w:left w:val="none" w:sz="0" w:space="0" w:color="auto"/>
                    <w:bottom w:val="none" w:sz="0" w:space="0" w:color="auto"/>
                    <w:right w:val="none" w:sz="0" w:space="0" w:color="auto"/>
                  </w:divBdr>
                  <w:divsChild>
                    <w:div w:id="829566450">
                      <w:marLeft w:val="0"/>
                      <w:marRight w:val="0"/>
                      <w:marTop w:val="0"/>
                      <w:marBottom w:val="0"/>
                      <w:divBdr>
                        <w:top w:val="none" w:sz="0" w:space="0" w:color="auto"/>
                        <w:left w:val="none" w:sz="0" w:space="0" w:color="auto"/>
                        <w:bottom w:val="none" w:sz="0" w:space="0" w:color="auto"/>
                        <w:right w:val="none" w:sz="0" w:space="0" w:color="auto"/>
                      </w:divBdr>
                      <w:divsChild>
                        <w:div w:id="974869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5164899">
                  <w:marLeft w:val="0"/>
                  <w:marRight w:val="0"/>
                  <w:marTop w:val="0"/>
                  <w:marBottom w:val="0"/>
                  <w:divBdr>
                    <w:top w:val="none" w:sz="0" w:space="0" w:color="auto"/>
                    <w:left w:val="none" w:sz="0" w:space="0" w:color="auto"/>
                    <w:bottom w:val="none" w:sz="0" w:space="0" w:color="auto"/>
                    <w:right w:val="none" w:sz="0" w:space="0" w:color="auto"/>
                  </w:divBdr>
                </w:div>
              </w:divsChild>
            </w:div>
            <w:div w:id="1392924745">
              <w:marLeft w:val="0"/>
              <w:marRight w:val="0"/>
              <w:marTop w:val="0"/>
              <w:marBottom w:val="0"/>
              <w:divBdr>
                <w:top w:val="none" w:sz="0" w:space="0" w:color="auto"/>
                <w:left w:val="none" w:sz="0" w:space="0" w:color="auto"/>
                <w:bottom w:val="none" w:sz="0" w:space="0" w:color="auto"/>
                <w:right w:val="none" w:sz="0" w:space="0" w:color="auto"/>
              </w:divBdr>
              <w:divsChild>
                <w:div w:id="399449779">
                  <w:marLeft w:val="0"/>
                  <w:marRight w:val="0"/>
                  <w:marTop w:val="0"/>
                  <w:marBottom w:val="0"/>
                  <w:divBdr>
                    <w:top w:val="none" w:sz="0" w:space="0" w:color="auto"/>
                    <w:left w:val="none" w:sz="0" w:space="0" w:color="auto"/>
                    <w:bottom w:val="none" w:sz="0" w:space="0" w:color="auto"/>
                    <w:right w:val="none" w:sz="0" w:space="0" w:color="auto"/>
                  </w:divBdr>
                  <w:divsChild>
                    <w:div w:id="957487830">
                      <w:marLeft w:val="0"/>
                      <w:marRight w:val="0"/>
                      <w:marTop w:val="0"/>
                      <w:marBottom w:val="0"/>
                      <w:divBdr>
                        <w:top w:val="none" w:sz="0" w:space="0" w:color="auto"/>
                        <w:left w:val="none" w:sz="0" w:space="0" w:color="auto"/>
                        <w:bottom w:val="none" w:sz="0" w:space="0" w:color="auto"/>
                        <w:right w:val="none" w:sz="0" w:space="0" w:color="auto"/>
                      </w:divBdr>
                      <w:divsChild>
                        <w:div w:id="298073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2735823">
              <w:marLeft w:val="0"/>
              <w:marRight w:val="0"/>
              <w:marTop w:val="0"/>
              <w:marBottom w:val="0"/>
              <w:divBdr>
                <w:top w:val="none" w:sz="0" w:space="0" w:color="auto"/>
                <w:left w:val="none" w:sz="0" w:space="0" w:color="auto"/>
                <w:bottom w:val="none" w:sz="0" w:space="0" w:color="auto"/>
                <w:right w:val="none" w:sz="0" w:space="0" w:color="auto"/>
              </w:divBdr>
              <w:divsChild>
                <w:div w:id="1488862645">
                  <w:marLeft w:val="0"/>
                  <w:marRight w:val="0"/>
                  <w:marTop w:val="0"/>
                  <w:marBottom w:val="0"/>
                  <w:divBdr>
                    <w:top w:val="none" w:sz="0" w:space="0" w:color="auto"/>
                    <w:left w:val="none" w:sz="0" w:space="0" w:color="auto"/>
                    <w:bottom w:val="none" w:sz="0" w:space="0" w:color="auto"/>
                    <w:right w:val="none" w:sz="0" w:space="0" w:color="auto"/>
                  </w:divBdr>
                  <w:divsChild>
                    <w:div w:id="1240366298">
                      <w:marLeft w:val="0"/>
                      <w:marRight w:val="0"/>
                      <w:marTop w:val="0"/>
                      <w:marBottom w:val="0"/>
                      <w:divBdr>
                        <w:top w:val="none" w:sz="0" w:space="0" w:color="auto"/>
                        <w:left w:val="none" w:sz="0" w:space="0" w:color="auto"/>
                        <w:bottom w:val="none" w:sz="0" w:space="0" w:color="auto"/>
                        <w:right w:val="none" w:sz="0" w:space="0" w:color="auto"/>
                      </w:divBdr>
                      <w:divsChild>
                        <w:div w:id="1549025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6521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3216980">
      <w:bodyDiv w:val="1"/>
      <w:marLeft w:val="0"/>
      <w:marRight w:val="0"/>
      <w:marTop w:val="0"/>
      <w:marBottom w:val="0"/>
      <w:divBdr>
        <w:top w:val="none" w:sz="0" w:space="0" w:color="auto"/>
        <w:left w:val="none" w:sz="0" w:space="0" w:color="auto"/>
        <w:bottom w:val="none" w:sz="0" w:space="0" w:color="auto"/>
        <w:right w:val="none" w:sz="0" w:space="0" w:color="auto"/>
      </w:divBdr>
      <w:divsChild>
        <w:div w:id="744376631">
          <w:marLeft w:val="0"/>
          <w:marRight w:val="0"/>
          <w:marTop w:val="0"/>
          <w:marBottom w:val="0"/>
          <w:divBdr>
            <w:top w:val="none" w:sz="0" w:space="0" w:color="auto"/>
            <w:left w:val="none" w:sz="0" w:space="0" w:color="auto"/>
            <w:bottom w:val="none" w:sz="0" w:space="0" w:color="auto"/>
            <w:right w:val="none" w:sz="0" w:space="0" w:color="auto"/>
          </w:divBdr>
        </w:div>
      </w:divsChild>
    </w:div>
    <w:div w:id="1686787097">
      <w:bodyDiv w:val="1"/>
      <w:marLeft w:val="0"/>
      <w:marRight w:val="0"/>
      <w:marTop w:val="0"/>
      <w:marBottom w:val="0"/>
      <w:divBdr>
        <w:top w:val="none" w:sz="0" w:space="0" w:color="auto"/>
        <w:left w:val="none" w:sz="0" w:space="0" w:color="auto"/>
        <w:bottom w:val="none" w:sz="0" w:space="0" w:color="auto"/>
        <w:right w:val="none" w:sz="0" w:space="0" w:color="auto"/>
      </w:divBdr>
    </w:div>
    <w:div w:id="1687632480">
      <w:bodyDiv w:val="1"/>
      <w:marLeft w:val="0"/>
      <w:marRight w:val="0"/>
      <w:marTop w:val="0"/>
      <w:marBottom w:val="0"/>
      <w:divBdr>
        <w:top w:val="none" w:sz="0" w:space="0" w:color="auto"/>
        <w:left w:val="none" w:sz="0" w:space="0" w:color="auto"/>
        <w:bottom w:val="none" w:sz="0" w:space="0" w:color="auto"/>
        <w:right w:val="none" w:sz="0" w:space="0" w:color="auto"/>
      </w:divBdr>
      <w:divsChild>
        <w:div w:id="743259426">
          <w:marLeft w:val="0"/>
          <w:marRight w:val="0"/>
          <w:marTop w:val="0"/>
          <w:marBottom w:val="0"/>
          <w:divBdr>
            <w:top w:val="none" w:sz="0" w:space="0" w:color="auto"/>
            <w:left w:val="none" w:sz="0" w:space="0" w:color="auto"/>
            <w:bottom w:val="none" w:sz="0" w:space="0" w:color="auto"/>
            <w:right w:val="none" w:sz="0" w:space="0" w:color="auto"/>
          </w:divBdr>
        </w:div>
      </w:divsChild>
    </w:div>
    <w:div w:id="1691563064">
      <w:bodyDiv w:val="1"/>
      <w:marLeft w:val="0"/>
      <w:marRight w:val="0"/>
      <w:marTop w:val="0"/>
      <w:marBottom w:val="0"/>
      <w:divBdr>
        <w:top w:val="none" w:sz="0" w:space="0" w:color="auto"/>
        <w:left w:val="none" w:sz="0" w:space="0" w:color="auto"/>
        <w:bottom w:val="none" w:sz="0" w:space="0" w:color="auto"/>
        <w:right w:val="none" w:sz="0" w:space="0" w:color="auto"/>
      </w:divBdr>
      <w:divsChild>
        <w:div w:id="449519687">
          <w:marLeft w:val="0"/>
          <w:marRight w:val="0"/>
          <w:marTop w:val="0"/>
          <w:marBottom w:val="0"/>
          <w:divBdr>
            <w:top w:val="none" w:sz="0" w:space="0" w:color="auto"/>
            <w:left w:val="none" w:sz="0" w:space="0" w:color="auto"/>
            <w:bottom w:val="none" w:sz="0" w:space="0" w:color="auto"/>
            <w:right w:val="none" w:sz="0" w:space="0" w:color="auto"/>
          </w:divBdr>
        </w:div>
      </w:divsChild>
    </w:div>
    <w:div w:id="1694308630">
      <w:bodyDiv w:val="1"/>
      <w:marLeft w:val="0"/>
      <w:marRight w:val="0"/>
      <w:marTop w:val="0"/>
      <w:marBottom w:val="0"/>
      <w:divBdr>
        <w:top w:val="none" w:sz="0" w:space="0" w:color="auto"/>
        <w:left w:val="none" w:sz="0" w:space="0" w:color="auto"/>
        <w:bottom w:val="none" w:sz="0" w:space="0" w:color="auto"/>
        <w:right w:val="none" w:sz="0" w:space="0" w:color="auto"/>
      </w:divBdr>
    </w:div>
    <w:div w:id="1695111657">
      <w:bodyDiv w:val="1"/>
      <w:marLeft w:val="0"/>
      <w:marRight w:val="0"/>
      <w:marTop w:val="0"/>
      <w:marBottom w:val="0"/>
      <w:divBdr>
        <w:top w:val="none" w:sz="0" w:space="0" w:color="auto"/>
        <w:left w:val="none" w:sz="0" w:space="0" w:color="auto"/>
        <w:bottom w:val="none" w:sz="0" w:space="0" w:color="auto"/>
        <w:right w:val="none" w:sz="0" w:space="0" w:color="auto"/>
      </w:divBdr>
      <w:divsChild>
        <w:div w:id="1056900546">
          <w:marLeft w:val="0"/>
          <w:marRight w:val="0"/>
          <w:marTop w:val="0"/>
          <w:marBottom w:val="0"/>
          <w:divBdr>
            <w:top w:val="none" w:sz="0" w:space="0" w:color="auto"/>
            <w:left w:val="none" w:sz="0" w:space="0" w:color="auto"/>
            <w:bottom w:val="none" w:sz="0" w:space="0" w:color="auto"/>
            <w:right w:val="none" w:sz="0" w:space="0" w:color="auto"/>
          </w:divBdr>
        </w:div>
      </w:divsChild>
    </w:div>
    <w:div w:id="1695224469">
      <w:bodyDiv w:val="1"/>
      <w:marLeft w:val="0"/>
      <w:marRight w:val="0"/>
      <w:marTop w:val="0"/>
      <w:marBottom w:val="0"/>
      <w:divBdr>
        <w:top w:val="none" w:sz="0" w:space="0" w:color="auto"/>
        <w:left w:val="none" w:sz="0" w:space="0" w:color="auto"/>
        <w:bottom w:val="none" w:sz="0" w:space="0" w:color="auto"/>
        <w:right w:val="none" w:sz="0" w:space="0" w:color="auto"/>
      </w:divBdr>
    </w:div>
    <w:div w:id="1703021584">
      <w:bodyDiv w:val="1"/>
      <w:marLeft w:val="0"/>
      <w:marRight w:val="0"/>
      <w:marTop w:val="0"/>
      <w:marBottom w:val="0"/>
      <w:divBdr>
        <w:top w:val="none" w:sz="0" w:space="0" w:color="auto"/>
        <w:left w:val="none" w:sz="0" w:space="0" w:color="auto"/>
        <w:bottom w:val="none" w:sz="0" w:space="0" w:color="auto"/>
        <w:right w:val="none" w:sz="0" w:space="0" w:color="auto"/>
      </w:divBdr>
      <w:divsChild>
        <w:div w:id="1456755650">
          <w:marLeft w:val="0"/>
          <w:marRight w:val="0"/>
          <w:marTop w:val="0"/>
          <w:marBottom w:val="0"/>
          <w:divBdr>
            <w:top w:val="none" w:sz="0" w:space="0" w:color="auto"/>
            <w:left w:val="none" w:sz="0" w:space="0" w:color="auto"/>
            <w:bottom w:val="none" w:sz="0" w:space="0" w:color="auto"/>
            <w:right w:val="none" w:sz="0" w:space="0" w:color="auto"/>
          </w:divBdr>
        </w:div>
      </w:divsChild>
    </w:div>
    <w:div w:id="1703356605">
      <w:bodyDiv w:val="1"/>
      <w:marLeft w:val="0"/>
      <w:marRight w:val="0"/>
      <w:marTop w:val="0"/>
      <w:marBottom w:val="0"/>
      <w:divBdr>
        <w:top w:val="none" w:sz="0" w:space="0" w:color="auto"/>
        <w:left w:val="none" w:sz="0" w:space="0" w:color="auto"/>
        <w:bottom w:val="none" w:sz="0" w:space="0" w:color="auto"/>
        <w:right w:val="none" w:sz="0" w:space="0" w:color="auto"/>
      </w:divBdr>
    </w:div>
    <w:div w:id="1705328737">
      <w:bodyDiv w:val="1"/>
      <w:marLeft w:val="0"/>
      <w:marRight w:val="0"/>
      <w:marTop w:val="0"/>
      <w:marBottom w:val="0"/>
      <w:divBdr>
        <w:top w:val="none" w:sz="0" w:space="0" w:color="auto"/>
        <w:left w:val="none" w:sz="0" w:space="0" w:color="auto"/>
        <w:bottom w:val="none" w:sz="0" w:space="0" w:color="auto"/>
        <w:right w:val="none" w:sz="0" w:space="0" w:color="auto"/>
      </w:divBdr>
    </w:div>
    <w:div w:id="1708800711">
      <w:bodyDiv w:val="1"/>
      <w:marLeft w:val="0"/>
      <w:marRight w:val="0"/>
      <w:marTop w:val="0"/>
      <w:marBottom w:val="0"/>
      <w:divBdr>
        <w:top w:val="none" w:sz="0" w:space="0" w:color="auto"/>
        <w:left w:val="none" w:sz="0" w:space="0" w:color="auto"/>
        <w:bottom w:val="none" w:sz="0" w:space="0" w:color="auto"/>
        <w:right w:val="none" w:sz="0" w:space="0" w:color="auto"/>
      </w:divBdr>
      <w:divsChild>
        <w:div w:id="1408268289">
          <w:marLeft w:val="0"/>
          <w:marRight w:val="0"/>
          <w:marTop w:val="0"/>
          <w:marBottom w:val="0"/>
          <w:divBdr>
            <w:top w:val="none" w:sz="0" w:space="0" w:color="auto"/>
            <w:left w:val="none" w:sz="0" w:space="0" w:color="auto"/>
            <w:bottom w:val="none" w:sz="0" w:space="0" w:color="auto"/>
            <w:right w:val="none" w:sz="0" w:space="0" w:color="auto"/>
          </w:divBdr>
        </w:div>
      </w:divsChild>
    </w:div>
    <w:div w:id="1712653793">
      <w:marLeft w:val="0"/>
      <w:marRight w:val="0"/>
      <w:marTop w:val="0"/>
      <w:marBottom w:val="0"/>
      <w:divBdr>
        <w:top w:val="none" w:sz="0" w:space="0" w:color="auto"/>
        <w:left w:val="none" w:sz="0" w:space="0" w:color="auto"/>
        <w:bottom w:val="none" w:sz="0" w:space="0" w:color="auto"/>
        <w:right w:val="none" w:sz="0" w:space="0" w:color="auto"/>
      </w:divBdr>
      <w:divsChild>
        <w:div w:id="562254363">
          <w:marLeft w:val="0"/>
          <w:marRight w:val="0"/>
          <w:marTop w:val="0"/>
          <w:marBottom w:val="0"/>
          <w:divBdr>
            <w:top w:val="none" w:sz="0" w:space="0" w:color="auto"/>
            <w:left w:val="none" w:sz="0" w:space="0" w:color="auto"/>
            <w:bottom w:val="none" w:sz="0" w:space="0" w:color="auto"/>
            <w:right w:val="none" w:sz="0" w:space="0" w:color="auto"/>
          </w:divBdr>
        </w:div>
      </w:divsChild>
    </w:div>
    <w:div w:id="1716082000">
      <w:bodyDiv w:val="1"/>
      <w:marLeft w:val="0"/>
      <w:marRight w:val="0"/>
      <w:marTop w:val="0"/>
      <w:marBottom w:val="0"/>
      <w:divBdr>
        <w:top w:val="none" w:sz="0" w:space="0" w:color="auto"/>
        <w:left w:val="none" w:sz="0" w:space="0" w:color="auto"/>
        <w:bottom w:val="none" w:sz="0" w:space="0" w:color="auto"/>
        <w:right w:val="none" w:sz="0" w:space="0" w:color="auto"/>
      </w:divBdr>
    </w:div>
    <w:div w:id="1716612714">
      <w:bodyDiv w:val="1"/>
      <w:marLeft w:val="0"/>
      <w:marRight w:val="0"/>
      <w:marTop w:val="0"/>
      <w:marBottom w:val="0"/>
      <w:divBdr>
        <w:top w:val="none" w:sz="0" w:space="0" w:color="auto"/>
        <w:left w:val="none" w:sz="0" w:space="0" w:color="auto"/>
        <w:bottom w:val="none" w:sz="0" w:space="0" w:color="auto"/>
        <w:right w:val="none" w:sz="0" w:space="0" w:color="auto"/>
      </w:divBdr>
    </w:div>
    <w:div w:id="1720592255">
      <w:bodyDiv w:val="1"/>
      <w:marLeft w:val="0"/>
      <w:marRight w:val="0"/>
      <w:marTop w:val="0"/>
      <w:marBottom w:val="0"/>
      <w:divBdr>
        <w:top w:val="none" w:sz="0" w:space="0" w:color="auto"/>
        <w:left w:val="none" w:sz="0" w:space="0" w:color="auto"/>
        <w:bottom w:val="none" w:sz="0" w:space="0" w:color="auto"/>
        <w:right w:val="none" w:sz="0" w:space="0" w:color="auto"/>
      </w:divBdr>
    </w:div>
    <w:div w:id="1725446098">
      <w:bodyDiv w:val="1"/>
      <w:marLeft w:val="0"/>
      <w:marRight w:val="0"/>
      <w:marTop w:val="0"/>
      <w:marBottom w:val="0"/>
      <w:divBdr>
        <w:top w:val="none" w:sz="0" w:space="0" w:color="auto"/>
        <w:left w:val="none" w:sz="0" w:space="0" w:color="auto"/>
        <w:bottom w:val="none" w:sz="0" w:space="0" w:color="auto"/>
        <w:right w:val="none" w:sz="0" w:space="0" w:color="auto"/>
      </w:divBdr>
    </w:div>
    <w:div w:id="1725640863">
      <w:bodyDiv w:val="1"/>
      <w:marLeft w:val="0"/>
      <w:marRight w:val="0"/>
      <w:marTop w:val="0"/>
      <w:marBottom w:val="0"/>
      <w:divBdr>
        <w:top w:val="none" w:sz="0" w:space="0" w:color="auto"/>
        <w:left w:val="none" w:sz="0" w:space="0" w:color="auto"/>
        <w:bottom w:val="none" w:sz="0" w:space="0" w:color="auto"/>
        <w:right w:val="none" w:sz="0" w:space="0" w:color="auto"/>
      </w:divBdr>
    </w:div>
    <w:div w:id="1731921352">
      <w:bodyDiv w:val="1"/>
      <w:marLeft w:val="0"/>
      <w:marRight w:val="0"/>
      <w:marTop w:val="0"/>
      <w:marBottom w:val="0"/>
      <w:divBdr>
        <w:top w:val="none" w:sz="0" w:space="0" w:color="auto"/>
        <w:left w:val="none" w:sz="0" w:space="0" w:color="auto"/>
        <w:bottom w:val="none" w:sz="0" w:space="0" w:color="auto"/>
        <w:right w:val="none" w:sz="0" w:space="0" w:color="auto"/>
      </w:divBdr>
    </w:div>
    <w:div w:id="1735396928">
      <w:bodyDiv w:val="1"/>
      <w:marLeft w:val="0"/>
      <w:marRight w:val="0"/>
      <w:marTop w:val="0"/>
      <w:marBottom w:val="0"/>
      <w:divBdr>
        <w:top w:val="none" w:sz="0" w:space="0" w:color="auto"/>
        <w:left w:val="none" w:sz="0" w:space="0" w:color="auto"/>
        <w:bottom w:val="none" w:sz="0" w:space="0" w:color="auto"/>
        <w:right w:val="none" w:sz="0" w:space="0" w:color="auto"/>
      </w:divBdr>
    </w:div>
    <w:div w:id="1745183294">
      <w:bodyDiv w:val="1"/>
      <w:marLeft w:val="0"/>
      <w:marRight w:val="0"/>
      <w:marTop w:val="0"/>
      <w:marBottom w:val="0"/>
      <w:divBdr>
        <w:top w:val="none" w:sz="0" w:space="0" w:color="auto"/>
        <w:left w:val="none" w:sz="0" w:space="0" w:color="auto"/>
        <w:bottom w:val="none" w:sz="0" w:space="0" w:color="auto"/>
        <w:right w:val="none" w:sz="0" w:space="0" w:color="auto"/>
      </w:divBdr>
      <w:divsChild>
        <w:div w:id="1792942852">
          <w:marLeft w:val="0"/>
          <w:marRight w:val="0"/>
          <w:marTop w:val="0"/>
          <w:marBottom w:val="0"/>
          <w:divBdr>
            <w:top w:val="none" w:sz="0" w:space="0" w:color="auto"/>
            <w:left w:val="none" w:sz="0" w:space="0" w:color="auto"/>
            <w:bottom w:val="none" w:sz="0" w:space="0" w:color="auto"/>
            <w:right w:val="none" w:sz="0" w:space="0" w:color="auto"/>
          </w:divBdr>
        </w:div>
      </w:divsChild>
    </w:div>
    <w:div w:id="1757630943">
      <w:bodyDiv w:val="1"/>
      <w:marLeft w:val="0"/>
      <w:marRight w:val="0"/>
      <w:marTop w:val="0"/>
      <w:marBottom w:val="0"/>
      <w:divBdr>
        <w:top w:val="none" w:sz="0" w:space="0" w:color="auto"/>
        <w:left w:val="none" w:sz="0" w:space="0" w:color="auto"/>
        <w:bottom w:val="none" w:sz="0" w:space="0" w:color="auto"/>
        <w:right w:val="none" w:sz="0" w:space="0" w:color="auto"/>
      </w:divBdr>
    </w:div>
    <w:div w:id="1758596087">
      <w:bodyDiv w:val="1"/>
      <w:marLeft w:val="0"/>
      <w:marRight w:val="0"/>
      <w:marTop w:val="0"/>
      <w:marBottom w:val="0"/>
      <w:divBdr>
        <w:top w:val="none" w:sz="0" w:space="0" w:color="auto"/>
        <w:left w:val="none" w:sz="0" w:space="0" w:color="auto"/>
        <w:bottom w:val="none" w:sz="0" w:space="0" w:color="auto"/>
        <w:right w:val="none" w:sz="0" w:space="0" w:color="auto"/>
      </w:divBdr>
    </w:div>
    <w:div w:id="1759130914">
      <w:bodyDiv w:val="1"/>
      <w:marLeft w:val="0"/>
      <w:marRight w:val="0"/>
      <w:marTop w:val="0"/>
      <w:marBottom w:val="0"/>
      <w:divBdr>
        <w:top w:val="none" w:sz="0" w:space="0" w:color="auto"/>
        <w:left w:val="none" w:sz="0" w:space="0" w:color="auto"/>
        <w:bottom w:val="none" w:sz="0" w:space="0" w:color="auto"/>
        <w:right w:val="none" w:sz="0" w:space="0" w:color="auto"/>
      </w:divBdr>
    </w:div>
    <w:div w:id="1762145585">
      <w:bodyDiv w:val="1"/>
      <w:marLeft w:val="0"/>
      <w:marRight w:val="0"/>
      <w:marTop w:val="0"/>
      <w:marBottom w:val="0"/>
      <w:divBdr>
        <w:top w:val="none" w:sz="0" w:space="0" w:color="auto"/>
        <w:left w:val="none" w:sz="0" w:space="0" w:color="auto"/>
        <w:bottom w:val="none" w:sz="0" w:space="0" w:color="auto"/>
        <w:right w:val="none" w:sz="0" w:space="0" w:color="auto"/>
      </w:divBdr>
    </w:div>
    <w:div w:id="1774864952">
      <w:bodyDiv w:val="1"/>
      <w:marLeft w:val="0"/>
      <w:marRight w:val="0"/>
      <w:marTop w:val="0"/>
      <w:marBottom w:val="0"/>
      <w:divBdr>
        <w:top w:val="none" w:sz="0" w:space="0" w:color="auto"/>
        <w:left w:val="none" w:sz="0" w:space="0" w:color="auto"/>
        <w:bottom w:val="none" w:sz="0" w:space="0" w:color="auto"/>
        <w:right w:val="none" w:sz="0" w:space="0" w:color="auto"/>
      </w:divBdr>
      <w:divsChild>
        <w:div w:id="1699355249">
          <w:marLeft w:val="0"/>
          <w:marRight w:val="0"/>
          <w:marTop w:val="0"/>
          <w:marBottom w:val="0"/>
          <w:divBdr>
            <w:top w:val="none" w:sz="0" w:space="0" w:color="auto"/>
            <w:left w:val="none" w:sz="0" w:space="0" w:color="auto"/>
            <w:bottom w:val="none" w:sz="0" w:space="0" w:color="auto"/>
            <w:right w:val="none" w:sz="0" w:space="0" w:color="auto"/>
          </w:divBdr>
        </w:div>
      </w:divsChild>
    </w:div>
    <w:div w:id="1778403689">
      <w:bodyDiv w:val="1"/>
      <w:marLeft w:val="0"/>
      <w:marRight w:val="0"/>
      <w:marTop w:val="0"/>
      <w:marBottom w:val="0"/>
      <w:divBdr>
        <w:top w:val="none" w:sz="0" w:space="0" w:color="auto"/>
        <w:left w:val="none" w:sz="0" w:space="0" w:color="auto"/>
        <w:bottom w:val="none" w:sz="0" w:space="0" w:color="auto"/>
        <w:right w:val="none" w:sz="0" w:space="0" w:color="auto"/>
      </w:divBdr>
    </w:div>
    <w:div w:id="1779373113">
      <w:bodyDiv w:val="1"/>
      <w:marLeft w:val="0"/>
      <w:marRight w:val="0"/>
      <w:marTop w:val="0"/>
      <w:marBottom w:val="0"/>
      <w:divBdr>
        <w:top w:val="none" w:sz="0" w:space="0" w:color="auto"/>
        <w:left w:val="none" w:sz="0" w:space="0" w:color="auto"/>
        <w:bottom w:val="none" w:sz="0" w:space="0" w:color="auto"/>
        <w:right w:val="none" w:sz="0" w:space="0" w:color="auto"/>
      </w:divBdr>
      <w:divsChild>
        <w:div w:id="1954361590">
          <w:marLeft w:val="0"/>
          <w:marRight w:val="0"/>
          <w:marTop w:val="0"/>
          <w:marBottom w:val="0"/>
          <w:divBdr>
            <w:top w:val="none" w:sz="0" w:space="0" w:color="auto"/>
            <w:left w:val="none" w:sz="0" w:space="0" w:color="auto"/>
            <w:bottom w:val="none" w:sz="0" w:space="0" w:color="auto"/>
            <w:right w:val="none" w:sz="0" w:space="0" w:color="auto"/>
          </w:divBdr>
        </w:div>
      </w:divsChild>
    </w:div>
    <w:div w:id="1781413241">
      <w:bodyDiv w:val="1"/>
      <w:marLeft w:val="0"/>
      <w:marRight w:val="0"/>
      <w:marTop w:val="0"/>
      <w:marBottom w:val="0"/>
      <w:divBdr>
        <w:top w:val="none" w:sz="0" w:space="0" w:color="auto"/>
        <w:left w:val="none" w:sz="0" w:space="0" w:color="auto"/>
        <w:bottom w:val="none" w:sz="0" w:space="0" w:color="auto"/>
        <w:right w:val="none" w:sz="0" w:space="0" w:color="auto"/>
      </w:divBdr>
      <w:divsChild>
        <w:div w:id="1163198633">
          <w:marLeft w:val="0"/>
          <w:marRight w:val="0"/>
          <w:marTop w:val="0"/>
          <w:marBottom w:val="0"/>
          <w:divBdr>
            <w:top w:val="none" w:sz="0" w:space="0" w:color="auto"/>
            <w:left w:val="none" w:sz="0" w:space="0" w:color="auto"/>
            <w:bottom w:val="none" w:sz="0" w:space="0" w:color="auto"/>
            <w:right w:val="none" w:sz="0" w:space="0" w:color="auto"/>
          </w:divBdr>
        </w:div>
      </w:divsChild>
    </w:div>
    <w:div w:id="1789347932">
      <w:bodyDiv w:val="1"/>
      <w:marLeft w:val="0"/>
      <w:marRight w:val="0"/>
      <w:marTop w:val="0"/>
      <w:marBottom w:val="0"/>
      <w:divBdr>
        <w:top w:val="none" w:sz="0" w:space="0" w:color="auto"/>
        <w:left w:val="none" w:sz="0" w:space="0" w:color="auto"/>
        <w:bottom w:val="none" w:sz="0" w:space="0" w:color="auto"/>
        <w:right w:val="none" w:sz="0" w:space="0" w:color="auto"/>
      </w:divBdr>
      <w:divsChild>
        <w:div w:id="1577469055">
          <w:marLeft w:val="0"/>
          <w:marRight w:val="0"/>
          <w:marTop w:val="0"/>
          <w:marBottom w:val="0"/>
          <w:divBdr>
            <w:top w:val="none" w:sz="0" w:space="0" w:color="auto"/>
            <w:left w:val="none" w:sz="0" w:space="0" w:color="auto"/>
            <w:bottom w:val="none" w:sz="0" w:space="0" w:color="auto"/>
            <w:right w:val="none" w:sz="0" w:space="0" w:color="auto"/>
          </w:divBdr>
          <w:divsChild>
            <w:div w:id="1981881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1321789">
      <w:bodyDiv w:val="1"/>
      <w:marLeft w:val="0"/>
      <w:marRight w:val="0"/>
      <w:marTop w:val="0"/>
      <w:marBottom w:val="0"/>
      <w:divBdr>
        <w:top w:val="none" w:sz="0" w:space="0" w:color="auto"/>
        <w:left w:val="none" w:sz="0" w:space="0" w:color="auto"/>
        <w:bottom w:val="none" w:sz="0" w:space="0" w:color="auto"/>
        <w:right w:val="none" w:sz="0" w:space="0" w:color="auto"/>
      </w:divBdr>
    </w:div>
    <w:div w:id="1796680922">
      <w:bodyDiv w:val="1"/>
      <w:marLeft w:val="0"/>
      <w:marRight w:val="0"/>
      <w:marTop w:val="0"/>
      <w:marBottom w:val="0"/>
      <w:divBdr>
        <w:top w:val="none" w:sz="0" w:space="0" w:color="auto"/>
        <w:left w:val="none" w:sz="0" w:space="0" w:color="auto"/>
        <w:bottom w:val="none" w:sz="0" w:space="0" w:color="auto"/>
        <w:right w:val="none" w:sz="0" w:space="0" w:color="auto"/>
      </w:divBdr>
    </w:div>
    <w:div w:id="1798715078">
      <w:bodyDiv w:val="1"/>
      <w:marLeft w:val="0"/>
      <w:marRight w:val="0"/>
      <w:marTop w:val="0"/>
      <w:marBottom w:val="0"/>
      <w:divBdr>
        <w:top w:val="none" w:sz="0" w:space="0" w:color="auto"/>
        <w:left w:val="none" w:sz="0" w:space="0" w:color="auto"/>
        <w:bottom w:val="none" w:sz="0" w:space="0" w:color="auto"/>
        <w:right w:val="none" w:sz="0" w:space="0" w:color="auto"/>
      </w:divBdr>
    </w:div>
    <w:div w:id="1808820272">
      <w:bodyDiv w:val="1"/>
      <w:marLeft w:val="0"/>
      <w:marRight w:val="0"/>
      <w:marTop w:val="0"/>
      <w:marBottom w:val="0"/>
      <w:divBdr>
        <w:top w:val="none" w:sz="0" w:space="0" w:color="auto"/>
        <w:left w:val="none" w:sz="0" w:space="0" w:color="auto"/>
        <w:bottom w:val="none" w:sz="0" w:space="0" w:color="auto"/>
        <w:right w:val="none" w:sz="0" w:space="0" w:color="auto"/>
      </w:divBdr>
    </w:div>
    <w:div w:id="1809391463">
      <w:marLeft w:val="0"/>
      <w:marRight w:val="0"/>
      <w:marTop w:val="0"/>
      <w:marBottom w:val="0"/>
      <w:divBdr>
        <w:top w:val="none" w:sz="0" w:space="0" w:color="auto"/>
        <w:left w:val="none" w:sz="0" w:space="0" w:color="auto"/>
        <w:bottom w:val="none" w:sz="0" w:space="0" w:color="auto"/>
        <w:right w:val="none" w:sz="0" w:space="0" w:color="auto"/>
      </w:divBdr>
      <w:divsChild>
        <w:div w:id="2052997978">
          <w:marLeft w:val="0"/>
          <w:marRight w:val="0"/>
          <w:marTop w:val="0"/>
          <w:marBottom w:val="0"/>
          <w:divBdr>
            <w:top w:val="none" w:sz="0" w:space="0" w:color="auto"/>
            <w:left w:val="none" w:sz="0" w:space="0" w:color="auto"/>
            <w:bottom w:val="none" w:sz="0" w:space="0" w:color="auto"/>
            <w:right w:val="none" w:sz="0" w:space="0" w:color="auto"/>
          </w:divBdr>
        </w:div>
      </w:divsChild>
    </w:div>
    <w:div w:id="1814761162">
      <w:bodyDiv w:val="1"/>
      <w:marLeft w:val="0"/>
      <w:marRight w:val="0"/>
      <w:marTop w:val="0"/>
      <w:marBottom w:val="0"/>
      <w:divBdr>
        <w:top w:val="none" w:sz="0" w:space="0" w:color="auto"/>
        <w:left w:val="none" w:sz="0" w:space="0" w:color="auto"/>
        <w:bottom w:val="none" w:sz="0" w:space="0" w:color="auto"/>
        <w:right w:val="none" w:sz="0" w:space="0" w:color="auto"/>
      </w:divBdr>
      <w:divsChild>
        <w:div w:id="2133941841">
          <w:marLeft w:val="0"/>
          <w:marRight w:val="0"/>
          <w:marTop w:val="0"/>
          <w:marBottom w:val="0"/>
          <w:divBdr>
            <w:top w:val="none" w:sz="0" w:space="0" w:color="auto"/>
            <w:left w:val="none" w:sz="0" w:space="0" w:color="auto"/>
            <w:bottom w:val="none" w:sz="0" w:space="0" w:color="auto"/>
            <w:right w:val="none" w:sz="0" w:space="0" w:color="auto"/>
          </w:divBdr>
        </w:div>
      </w:divsChild>
    </w:div>
    <w:div w:id="1818183485">
      <w:bodyDiv w:val="1"/>
      <w:marLeft w:val="0"/>
      <w:marRight w:val="0"/>
      <w:marTop w:val="0"/>
      <w:marBottom w:val="0"/>
      <w:divBdr>
        <w:top w:val="none" w:sz="0" w:space="0" w:color="auto"/>
        <w:left w:val="none" w:sz="0" w:space="0" w:color="auto"/>
        <w:bottom w:val="none" w:sz="0" w:space="0" w:color="auto"/>
        <w:right w:val="none" w:sz="0" w:space="0" w:color="auto"/>
      </w:divBdr>
      <w:divsChild>
        <w:div w:id="1932160731">
          <w:marLeft w:val="0"/>
          <w:marRight w:val="0"/>
          <w:marTop w:val="0"/>
          <w:marBottom w:val="0"/>
          <w:divBdr>
            <w:top w:val="none" w:sz="0" w:space="0" w:color="auto"/>
            <w:left w:val="none" w:sz="0" w:space="0" w:color="auto"/>
            <w:bottom w:val="none" w:sz="0" w:space="0" w:color="auto"/>
            <w:right w:val="none" w:sz="0" w:space="0" w:color="auto"/>
          </w:divBdr>
        </w:div>
      </w:divsChild>
    </w:div>
    <w:div w:id="1818910866">
      <w:bodyDiv w:val="1"/>
      <w:marLeft w:val="0"/>
      <w:marRight w:val="0"/>
      <w:marTop w:val="0"/>
      <w:marBottom w:val="0"/>
      <w:divBdr>
        <w:top w:val="none" w:sz="0" w:space="0" w:color="auto"/>
        <w:left w:val="none" w:sz="0" w:space="0" w:color="auto"/>
        <w:bottom w:val="none" w:sz="0" w:space="0" w:color="auto"/>
        <w:right w:val="none" w:sz="0" w:space="0" w:color="auto"/>
      </w:divBdr>
      <w:divsChild>
        <w:div w:id="1171408944">
          <w:marLeft w:val="0"/>
          <w:marRight w:val="0"/>
          <w:marTop w:val="0"/>
          <w:marBottom w:val="0"/>
          <w:divBdr>
            <w:top w:val="none" w:sz="0" w:space="0" w:color="auto"/>
            <w:left w:val="none" w:sz="0" w:space="0" w:color="auto"/>
            <w:bottom w:val="none" w:sz="0" w:space="0" w:color="auto"/>
            <w:right w:val="none" w:sz="0" w:space="0" w:color="auto"/>
          </w:divBdr>
        </w:div>
      </w:divsChild>
    </w:div>
    <w:div w:id="1837724828">
      <w:bodyDiv w:val="1"/>
      <w:marLeft w:val="0"/>
      <w:marRight w:val="0"/>
      <w:marTop w:val="0"/>
      <w:marBottom w:val="0"/>
      <w:divBdr>
        <w:top w:val="none" w:sz="0" w:space="0" w:color="auto"/>
        <w:left w:val="none" w:sz="0" w:space="0" w:color="auto"/>
        <w:bottom w:val="none" w:sz="0" w:space="0" w:color="auto"/>
        <w:right w:val="none" w:sz="0" w:space="0" w:color="auto"/>
      </w:divBdr>
    </w:div>
    <w:div w:id="1841047071">
      <w:bodyDiv w:val="1"/>
      <w:marLeft w:val="0"/>
      <w:marRight w:val="0"/>
      <w:marTop w:val="0"/>
      <w:marBottom w:val="0"/>
      <w:divBdr>
        <w:top w:val="none" w:sz="0" w:space="0" w:color="auto"/>
        <w:left w:val="none" w:sz="0" w:space="0" w:color="auto"/>
        <w:bottom w:val="none" w:sz="0" w:space="0" w:color="auto"/>
        <w:right w:val="none" w:sz="0" w:space="0" w:color="auto"/>
      </w:divBdr>
    </w:div>
    <w:div w:id="1841312871">
      <w:marLeft w:val="0"/>
      <w:marRight w:val="0"/>
      <w:marTop w:val="0"/>
      <w:marBottom w:val="0"/>
      <w:divBdr>
        <w:top w:val="none" w:sz="0" w:space="0" w:color="auto"/>
        <w:left w:val="none" w:sz="0" w:space="0" w:color="auto"/>
        <w:bottom w:val="none" w:sz="0" w:space="0" w:color="auto"/>
        <w:right w:val="none" w:sz="0" w:space="0" w:color="auto"/>
      </w:divBdr>
      <w:divsChild>
        <w:div w:id="949124097">
          <w:marLeft w:val="0"/>
          <w:marRight w:val="0"/>
          <w:marTop w:val="0"/>
          <w:marBottom w:val="0"/>
          <w:divBdr>
            <w:top w:val="none" w:sz="0" w:space="0" w:color="auto"/>
            <w:left w:val="none" w:sz="0" w:space="0" w:color="auto"/>
            <w:bottom w:val="none" w:sz="0" w:space="0" w:color="auto"/>
            <w:right w:val="none" w:sz="0" w:space="0" w:color="auto"/>
          </w:divBdr>
        </w:div>
      </w:divsChild>
    </w:div>
    <w:div w:id="1844854826">
      <w:bodyDiv w:val="1"/>
      <w:marLeft w:val="0"/>
      <w:marRight w:val="0"/>
      <w:marTop w:val="0"/>
      <w:marBottom w:val="0"/>
      <w:divBdr>
        <w:top w:val="none" w:sz="0" w:space="0" w:color="auto"/>
        <w:left w:val="none" w:sz="0" w:space="0" w:color="auto"/>
        <w:bottom w:val="none" w:sz="0" w:space="0" w:color="auto"/>
        <w:right w:val="none" w:sz="0" w:space="0" w:color="auto"/>
      </w:divBdr>
    </w:div>
    <w:div w:id="1856648954">
      <w:bodyDiv w:val="1"/>
      <w:marLeft w:val="0"/>
      <w:marRight w:val="0"/>
      <w:marTop w:val="0"/>
      <w:marBottom w:val="0"/>
      <w:divBdr>
        <w:top w:val="none" w:sz="0" w:space="0" w:color="auto"/>
        <w:left w:val="none" w:sz="0" w:space="0" w:color="auto"/>
        <w:bottom w:val="none" w:sz="0" w:space="0" w:color="auto"/>
        <w:right w:val="none" w:sz="0" w:space="0" w:color="auto"/>
      </w:divBdr>
    </w:div>
    <w:div w:id="1858501488">
      <w:marLeft w:val="0"/>
      <w:marRight w:val="0"/>
      <w:marTop w:val="0"/>
      <w:marBottom w:val="0"/>
      <w:divBdr>
        <w:top w:val="none" w:sz="0" w:space="0" w:color="auto"/>
        <w:left w:val="none" w:sz="0" w:space="0" w:color="auto"/>
        <w:bottom w:val="none" w:sz="0" w:space="0" w:color="auto"/>
        <w:right w:val="none" w:sz="0" w:space="0" w:color="auto"/>
      </w:divBdr>
      <w:divsChild>
        <w:div w:id="756173115">
          <w:marLeft w:val="0"/>
          <w:marRight w:val="0"/>
          <w:marTop w:val="0"/>
          <w:marBottom w:val="0"/>
          <w:divBdr>
            <w:top w:val="none" w:sz="0" w:space="0" w:color="auto"/>
            <w:left w:val="none" w:sz="0" w:space="0" w:color="auto"/>
            <w:bottom w:val="none" w:sz="0" w:space="0" w:color="auto"/>
            <w:right w:val="none" w:sz="0" w:space="0" w:color="auto"/>
          </w:divBdr>
        </w:div>
      </w:divsChild>
    </w:div>
    <w:div w:id="1861582332">
      <w:bodyDiv w:val="1"/>
      <w:marLeft w:val="0"/>
      <w:marRight w:val="0"/>
      <w:marTop w:val="0"/>
      <w:marBottom w:val="0"/>
      <w:divBdr>
        <w:top w:val="none" w:sz="0" w:space="0" w:color="auto"/>
        <w:left w:val="none" w:sz="0" w:space="0" w:color="auto"/>
        <w:bottom w:val="none" w:sz="0" w:space="0" w:color="auto"/>
        <w:right w:val="none" w:sz="0" w:space="0" w:color="auto"/>
      </w:divBdr>
    </w:div>
    <w:div w:id="1861816531">
      <w:bodyDiv w:val="1"/>
      <w:marLeft w:val="0"/>
      <w:marRight w:val="0"/>
      <w:marTop w:val="0"/>
      <w:marBottom w:val="0"/>
      <w:divBdr>
        <w:top w:val="none" w:sz="0" w:space="0" w:color="auto"/>
        <w:left w:val="none" w:sz="0" w:space="0" w:color="auto"/>
        <w:bottom w:val="none" w:sz="0" w:space="0" w:color="auto"/>
        <w:right w:val="none" w:sz="0" w:space="0" w:color="auto"/>
      </w:divBdr>
    </w:div>
    <w:div w:id="1863981274">
      <w:bodyDiv w:val="1"/>
      <w:marLeft w:val="0"/>
      <w:marRight w:val="0"/>
      <w:marTop w:val="0"/>
      <w:marBottom w:val="0"/>
      <w:divBdr>
        <w:top w:val="none" w:sz="0" w:space="0" w:color="auto"/>
        <w:left w:val="none" w:sz="0" w:space="0" w:color="auto"/>
        <w:bottom w:val="none" w:sz="0" w:space="0" w:color="auto"/>
        <w:right w:val="none" w:sz="0" w:space="0" w:color="auto"/>
      </w:divBdr>
    </w:div>
    <w:div w:id="1864590596">
      <w:bodyDiv w:val="1"/>
      <w:marLeft w:val="0"/>
      <w:marRight w:val="0"/>
      <w:marTop w:val="0"/>
      <w:marBottom w:val="0"/>
      <w:divBdr>
        <w:top w:val="none" w:sz="0" w:space="0" w:color="auto"/>
        <w:left w:val="none" w:sz="0" w:space="0" w:color="auto"/>
        <w:bottom w:val="none" w:sz="0" w:space="0" w:color="auto"/>
        <w:right w:val="none" w:sz="0" w:space="0" w:color="auto"/>
      </w:divBdr>
    </w:div>
    <w:div w:id="1864783282">
      <w:bodyDiv w:val="1"/>
      <w:marLeft w:val="0"/>
      <w:marRight w:val="0"/>
      <w:marTop w:val="0"/>
      <w:marBottom w:val="0"/>
      <w:divBdr>
        <w:top w:val="none" w:sz="0" w:space="0" w:color="auto"/>
        <w:left w:val="none" w:sz="0" w:space="0" w:color="auto"/>
        <w:bottom w:val="none" w:sz="0" w:space="0" w:color="auto"/>
        <w:right w:val="none" w:sz="0" w:space="0" w:color="auto"/>
      </w:divBdr>
    </w:div>
    <w:div w:id="1866479859">
      <w:bodyDiv w:val="1"/>
      <w:marLeft w:val="0"/>
      <w:marRight w:val="0"/>
      <w:marTop w:val="0"/>
      <w:marBottom w:val="0"/>
      <w:divBdr>
        <w:top w:val="none" w:sz="0" w:space="0" w:color="auto"/>
        <w:left w:val="none" w:sz="0" w:space="0" w:color="auto"/>
        <w:bottom w:val="none" w:sz="0" w:space="0" w:color="auto"/>
        <w:right w:val="none" w:sz="0" w:space="0" w:color="auto"/>
      </w:divBdr>
    </w:div>
    <w:div w:id="1866863158">
      <w:bodyDiv w:val="1"/>
      <w:marLeft w:val="0"/>
      <w:marRight w:val="0"/>
      <w:marTop w:val="0"/>
      <w:marBottom w:val="0"/>
      <w:divBdr>
        <w:top w:val="none" w:sz="0" w:space="0" w:color="auto"/>
        <w:left w:val="none" w:sz="0" w:space="0" w:color="auto"/>
        <w:bottom w:val="none" w:sz="0" w:space="0" w:color="auto"/>
        <w:right w:val="none" w:sz="0" w:space="0" w:color="auto"/>
      </w:divBdr>
    </w:div>
    <w:div w:id="1882089070">
      <w:bodyDiv w:val="1"/>
      <w:marLeft w:val="0"/>
      <w:marRight w:val="0"/>
      <w:marTop w:val="0"/>
      <w:marBottom w:val="0"/>
      <w:divBdr>
        <w:top w:val="none" w:sz="0" w:space="0" w:color="auto"/>
        <w:left w:val="none" w:sz="0" w:space="0" w:color="auto"/>
        <w:bottom w:val="none" w:sz="0" w:space="0" w:color="auto"/>
        <w:right w:val="none" w:sz="0" w:space="0" w:color="auto"/>
      </w:divBdr>
    </w:div>
    <w:div w:id="1888831188">
      <w:bodyDiv w:val="1"/>
      <w:marLeft w:val="0"/>
      <w:marRight w:val="0"/>
      <w:marTop w:val="0"/>
      <w:marBottom w:val="0"/>
      <w:divBdr>
        <w:top w:val="none" w:sz="0" w:space="0" w:color="auto"/>
        <w:left w:val="none" w:sz="0" w:space="0" w:color="auto"/>
        <w:bottom w:val="none" w:sz="0" w:space="0" w:color="auto"/>
        <w:right w:val="none" w:sz="0" w:space="0" w:color="auto"/>
      </w:divBdr>
      <w:divsChild>
        <w:div w:id="506873487">
          <w:marLeft w:val="0"/>
          <w:marRight w:val="0"/>
          <w:marTop w:val="0"/>
          <w:marBottom w:val="0"/>
          <w:divBdr>
            <w:top w:val="none" w:sz="0" w:space="0" w:color="auto"/>
            <w:left w:val="none" w:sz="0" w:space="0" w:color="auto"/>
            <w:bottom w:val="none" w:sz="0" w:space="0" w:color="auto"/>
            <w:right w:val="none" w:sz="0" w:space="0" w:color="auto"/>
          </w:divBdr>
        </w:div>
      </w:divsChild>
    </w:div>
    <w:div w:id="1895309539">
      <w:bodyDiv w:val="1"/>
      <w:marLeft w:val="0"/>
      <w:marRight w:val="0"/>
      <w:marTop w:val="0"/>
      <w:marBottom w:val="0"/>
      <w:divBdr>
        <w:top w:val="none" w:sz="0" w:space="0" w:color="auto"/>
        <w:left w:val="none" w:sz="0" w:space="0" w:color="auto"/>
        <w:bottom w:val="none" w:sz="0" w:space="0" w:color="auto"/>
        <w:right w:val="none" w:sz="0" w:space="0" w:color="auto"/>
      </w:divBdr>
      <w:divsChild>
        <w:div w:id="299575922">
          <w:marLeft w:val="0"/>
          <w:marRight w:val="0"/>
          <w:marTop w:val="0"/>
          <w:marBottom w:val="0"/>
          <w:divBdr>
            <w:top w:val="none" w:sz="0" w:space="0" w:color="auto"/>
            <w:left w:val="none" w:sz="0" w:space="0" w:color="auto"/>
            <w:bottom w:val="none" w:sz="0" w:space="0" w:color="auto"/>
            <w:right w:val="none" w:sz="0" w:space="0" w:color="auto"/>
          </w:divBdr>
        </w:div>
      </w:divsChild>
    </w:div>
    <w:div w:id="1895654915">
      <w:bodyDiv w:val="1"/>
      <w:marLeft w:val="0"/>
      <w:marRight w:val="0"/>
      <w:marTop w:val="0"/>
      <w:marBottom w:val="0"/>
      <w:divBdr>
        <w:top w:val="none" w:sz="0" w:space="0" w:color="auto"/>
        <w:left w:val="none" w:sz="0" w:space="0" w:color="auto"/>
        <w:bottom w:val="none" w:sz="0" w:space="0" w:color="auto"/>
        <w:right w:val="none" w:sz="0" w:space="0" w:color="auto"/>
      </w:divBdr>
      <w:divsChild>
        <w:div w:id="701367132">
          <w:marLeft w:val="0"/>
          <w:marRight w:val="0"/>
          <w:marTop w:val="0"/>
          <w:marBottom w:val="0"/>
          <w:divBdr>
            <w:top w:val="none" w:sz="0" w:space="0" w:color="auto"/>
            <w:left w:val="none" w:sz="0" w:space="0" w:color="auto"/>
            <w:bottom w:val="none" w:sz="0" w:space="0" w:color="auto"/>
            <w:right w:val="none" w:sz="0" w:space="0" w:color="auto"/>
          </w:divBdr>
        </w:div>
      </w:divsChild>
    </w:div>
    <w:div w:id="1902666040">
      <w:bodyDiv w:val="1"/>
      <w:marLeft w:val="0"/>
      <w:marRight w:val="0"/>
      <w:marTop w:val="0"/>
      <w:marBottom w:val="0"/>
      <w:divBdr>
        <w:top w:val="none" w:sz="0" w:space="0" w:color="auto"/>
        <w:left w:val="none" w:sz="0" w:space="0" w:color="auto"/>
        <w:bottom w:val="none" w:sz="0" w:space="0" w:color="auto"/>
        <w:right w:val="none" w:sz="0" w:space="0" w:color="auto"/>
      </w:divBdr>
      <w:divsChild>
        <w:div w:id="168638134">
          <w:marLeft w:val="0"/>
          <w:marRight w:val="0"/>
          <w:marTop w:val="0"/>
          <w:marBottom w:val="0"/>
          <w:divBdr>
            <w:top w:val="none" w:sz="0" w:space="0" w:color="auto"/>
            <w:left w:val="none" w:sz="0" w:space="0" w:color="auto"/>
            <w:bottom w:val="none" w:sz="0" w:space="0" w:color="auto"/>
            <w:right w:val="none" w:sz="0" w:space="0" w:color="auto"/>
          </w:divBdr>
        </w:div>
        <w:div w:id="452137858">
          <w:marLeft w:val="0"/>
          <w:marRight w:val="0"/>
          <w:marTop w:val="0"/>
          <w:marBottom w:val="0"/>
          <w:divBdr>
            <w:top w:val="none" w:sz="0" w:space="0" w:color="auto"/>
            <w:left w:val="none" w:sz="0" w:space="0" w:color="auto"/>
            <w:bottom w:val="none" w:sz="0" w:space="0" w:color="auto"/>
            <w:right w:val="none" w:sz="0" w:space="0" w:color="auto"/>
          </w:divBdr>
        </w:div>
        <w:div w:id="839656225">
          <w:marLeft w:val="0"/>
          <w:marRight w:val="0"/>
          <w:marTop w:val="0"/>
          <w:marBottom w:val="0"/>
          <w:divBdr>
            <w:top w:val="none" w:sz="0" w:space="0" w:color="auto"/>
            <w:left w:val="none" w:sz="0" w:space="0" w:color="auto"/>
            <w:bottom w:val="none" w:sz="0" w:space="0" w:color="auto"/>
            <w:right w:val="none" w:sz="0" w:space="0" w:color="auto"/>
          </w:divBdr>
        </w:div>
        <w:div w:id="876698784">
          <w:marLeft w:val="0"/>
          <w:marRight w:val="0"/>
          <w:marTop w:val="0"/>
          <w:marBottom w:val="0"/>
          <w:divBdr>
            <w:top w:val="none" w:sz="0" w:space="0" w:color="auto"/>
            <w:left w:val="none" w:sz="0" w:space="0" w:color="auto"/>
            <w:bottom w:val="none" w:sz="0" w:space="0" w:color="auto"/>
            <w:right w:val="none" w:sz="0" w:space="0" w:color="auto"/>
          </w:divBdr>
        </w:div>
        <w:div w:id="1364553705">
          <w:marLeft w:val="0"/>
          <w:marRight w:val="0"/>
          <w:marTop w:val="0"/>
          <w:marBottom w:val="0"/>
          <w:divBdr>
            <w:top w:val="none" w:sz="0" w:space="0" w:color="auto"/>
            <w:left w:val="none" w:sz="0" w:space="0" w:color="auto"/>
            <w:bottom w:val="none" w:sz="0" w:space="0" w:color="auto"/>
            <w:right w:val="none" w:sz="0" w:space="0" w:color="auto"/>
          </w:divBdr>
        </w:div>
        <w:div w:id="1686587877">
          <w:marLeft w:val="0"/>
          <w:marRight w:val="0"/>
          <w:marTop w:val="0"/>
          <w:marBottom w:val="0"/>
          <w:divBdr>
            <w:top w:val="none" w:sz="0" w:space="0" w:color="auto"/>
            <w:left w:val="none" w:sz="0" w:space="0" w:color="auto"/>
            <w:bottom w:val="none" w:sz="0" w:space="0" w:color="auto"/>
            <w:right w:val="none" w:sz="0" w:space="0" w:color="auto"/>
          </w:divBdr>
        </w:div>
        <w:div w:id="1926651598">
          <w:marLeft w:val="0"/>
          <w:marRight w:val="0"/>
          <w:marTop w:val="0"/>
          <w:marBottom w:val="0"/>
          <w:divBdr>
            <w:top w:val="none" w:sz="0" w:space="0" w:color="auto"/>
            <w:left w:val="none" w:sz="0" w:space="0" w:color="auto"/>
            <w:bottom w:val="none" w:sz="0" w:space="0" w:color="auto"/>
            <w:right w:val="none" w:sz="0" w:space="0" w:color="auto"/>
          </w:divBdr>
        </w:div>
        <w:div w:id="1991594967">
          <w:marLeft w:val="0"/>
          <w:marRight w:val="0"/>
          <w:marTop w:val="0"/>
          <w:marBottom w:val="0"/>
          <w:divBdr>
            <w:top w:val="none" w:sz="0" w:space="0" w:color="auto"/>
            <w:left w:val="none" w:sz="0" w:space="0" w:color="auto"/>
            <w:bottom w:val="none" w:sz="0" w:space="0" w:color="auto"/>
            <w:right w:val="none" w:sz="0" w:space="0" w:color="auto"/>
          </w:divBdr>
        </w:div>
        <w:div w:id="2117869211">
          <w:marLeft w:val="0"/>
          <w:marRight w:val="0"/>
          <w:marTop w:val="0"/>
          <w:marBottom w:val="0"/>
          <w:divBdr>
            <w:top w:val="none" w:sz="0" w:space="0" w:color="auto"/>
            <w:left w:val="none" w:sz="0" w:space="0" w:color="auto"/>
            <w:bottom w:val="none" w:sz="0" w:space="0" w:color="auto"/>
            <w:right w:val="none" w:sz="0" w:space="0" w:color="auto"/>
          </w:divBdr>
        </w:div>
      </w:divsChild>
    </w:div>
    <w:div w:id="1903563782">
      <w:bodyDiv w:val="1"/>
      <w:marLeft w:val="0"/>
      <w:marRight w:val="0"/>
      <w:marTop w:val="0"/>
      <w:marBottom w:val="0"/>
      <w:divBdr>
        <w:top w:val="none" w:sz="0" w:space="0" w:color="auto"/>
        <w:left w:val="none" w:sz="0" w:space="0" w:color="auto"/>
        <w:bottom w:val="none" w:sz="0" w:space="0" w:color="auto"/>
        <w:right w:val="none" w:sz="0" w:space="0" w:color="auto"/>
      </w:divBdr>
    </w:div>
    <w:div w:id="1904829872">
      <w:bodyDiv w:val="1"/>
      <w:marLeft w:val="0"/>
      <w:marRight w:val="0"/>
      <w:marTop w:val="0"/>
      <w:marBottom w:val="0"/>
      <w:divBdr>
        <w:top w:val="none" w:sz="0" w:space="0" w:color="auto"/>
        <w:left w:val="none" w:sz="0" w:space="0" w:color="auto"/>
        <w:bottom w:val="none" w:sz="0" w:space="0" w:color="auto"/>
        <w:right w:val="none" w:sz="0" w:space="0" w:color="auto"/>
      </w:divBdr>
    </w:div>
    <w:div w:id="1907451925">
      <w:bodyDiv w:val="1"/>
      <w:marLeft w:val="0"/>
      <w:marRight w:val="0"/>
      <w:marTop w:val="0"/>
      <w:marBottom w:val="0"/>
      <w:divBdr>
        <w:top w:val="none" w:sz="0" w:space="0" w:color="auto"/>
        <w:left w:val="none" w:sz="0" w:space="0" w:color="auto"/>
        <w:bottom w:val="none" w:sz="0" w:space="0" w:color="auto"/>
        <w:right w:val="none" w:sz="0" w:space="0" w:color="auto"/>
      </w:divBdr>
      <w:divsChild>
        <w:div w:id="1611233673">
          <w:marLeft w:val="0"/>
          <w:marRight w:val="0"/>
          <w:marTop w:val="0"/>
          <w:marBottom w:val="0"/>
          <w:divBdr>
            <w:top w:val="none" w:sz="0" w:space="0" w:color="auto"/>
            <w:left w:val="none" w:sz="0" w:space="0" w:color="auto"/>
            <w:bottom w:val="none" w:sz="0" w:space="0" w:color="auto"/>
            <w:right w:val="none" w:sz="0" w:space="0" w:color="auto"/>
          </w:divBdr>
        </w:div>
      </w:divsChild>
    </w:div>
    <w:div w:id="1913929758">
      <w:bodyDiv w:val="1"/>
      <w:marLeft w:val="0"/>
      <w:marRight w:val="0"/>
      <w:marTop w:val="0"/>
      <w:marBottom w:val="0"/>
      <w:divBdr>
        <w:top w:val="none" w:sz="0" w:space="0" w:color="auto"/>
        <w:left w:val="none" w:sz="0" w:space="0" w:color="auto"/>
        <w:bottom w:val="none" w:sz="0" w:space="0" w:color="auto"/>
        <w:right w:val="none" w:sz="0" w:space="0" w:color="auto"/>
      </w:divBdr>
    </w:div>
    <w:div w:id="1917326825">
      <w:bodyDiv w:val="1"/>
      <w:marLeft w:val="0"/>
      <w:marRight w:val="0"/>
      <w:marTop w:val="0"/>
      <w:marBottom w:val="0"/>
      <w:divBdr>
        <w:top w:val="none" w:sz="0" w:space="0" w:color="auto"/>
        <w:left w:val="none" w:sz="0" w:space="0" w:color="auto"/>
        <w:bottom w:val="none" w:sz="0" w:space="0" w:color="auto"/>
        <w:right w:val="none" w:sz="0" w:space="0" w:color="auto"/>
      </w:divBdr>
    </w:div>
    <w:div w:id="1918589166">
      <w:bodyDiv w:val="1"/>
      <w:marLeft w:val="0"/>
      <w:marRight w:val="0"/>
      <w:marTop w:val="0"/>
      <w:marBottom w:val="0"/>
      <w:divBdr>
        <w:top w:val="none" w:sz="0" w:space="0" w:color="auto"/>
        <w:left w:val="none" w:sz="0" w:space="0" w:color="auto"/>
        <w:bottom w:val="none" w:sz="0" w:space="0" w:color="auto"/>
        <w:right w:val="none" w:sz="0" w:space="0" w:color="auto"/>
      </w:divBdr>
      <w:divsChild>
        <w:div w:id="261962692">
          <w:marLeft w:val="0"/>
          <w:marRight w:val="0"/>
          <w:marTop w:val="0"/>
          <w:marBottom w:val="0"/>
          <w:divBdr>
            <w:top w:val="none" w:sz="0" w:space="0" w:color="auto"/>
            <w:left w:val="none" w:sz="0" w:space="0" w:color="auto"/>
            <w:bottom w:val="none" w:sz="0" w:space="0" w:color="auto"/>
            <w:right w:val="none" w:sz="0" w:space="0" w:color="auto"/>
          </w:divBdr>
        </w:div>
      </w:divsChild>
    </w:div>
    <w:div w:id="1927298256">
      <w:bodyDiv w:val="1"/>
      <w:marLeft w:val="0"/>
      <w:marRight w:val="0"/>
      <w:marTop w:val="0"/>
      <w:marBottom w:val="0"/>
      <w:divBdr>
        <w:top w:val="none" w:sz="0" w:space="0" w:color="auto"/>
        <w:left w:val="none" w:sz="0" w:space="0" w:color="auto"/>
        <w:bottom w:val="none" w:sz="0" w:space="0" w:color="auto"/>
        <w:right w:val="none" w:sz="0" w:space="0" w:color="auto"/>
      </w:divBdr>
    </w:div>
    <w:div w:id="1929381215">
      <w:bodyDiv w:val="1"/>
      <w:marLeft w:val="0"/>
      <w:marRight w:val="0"/>
      <w:marTop w:val="0"/>
      <w:marBottom w:val="0"/>
      <w:divBdr>
        <w:top w:val="none" w:sz="0" w:space="0" w:color="auto"/>
        <w:left w:val="none" w:sz="0" w:space="0" w:color="auto"/>
        <w:bottom w:val="none" w:sz="0" w:space="0" w:color="auto"/>
        <w:right w:val="none" w:sz="0" w:space="0" w:color="auto"/>
      </w:divBdr>
    </w:div>
    <w:div w:id="1932159642">
      <w:bodyDiv w:val="1"/>
      <w:marLeft w:val="0"/>
      <w:marRight w:val="0"/>
      <w:marTop w:val="0"/>
      <w:marBottom w:val="0"/>
      <w:divBdr>
        <w:top w:val="none" w:sz="0" w:space="0" w:color="auto"/>
        <w:left w:val="none" w:sz="0" w:space="0" w:color="auto"/>
        <w:bottom w:val="none" w:sz="0" w:space="0" w:color="auto"/>
        <w:right w:val="none" w:sz="0" w:space="0" w:color="auto"/>
      </w:divBdr>
    </w:div>
    <w:div w:id="1943760645">
      <w:bodyDiv w:val="1"/>
      <w:marLeft w:val="0"/>
      <w:marRight w:val="0"/>
      <w:marTop w:val="0"/>
      <w:marBottom w:val="0"/>
      <w:divBdr>
        <w:top w:val="none" w:sz="0" w:space="0" w:color="auto"/>
        <w:left w:val="none" w:sz="0" w:space="0" w:color="auto"/>
        <w:bottom w:val="none" w:sz="0" w:space="0" w:color="auto"/>
        <w:right w:val="none" w:sz="0" w:space="0" w:color="auto"/>
      </w:divBdr>
    </w:div>
    <w:div w:id="1947733495">
      <w:marLeft w:val="0"/>
      <w:marRight w:val="0"/>
      <w:marTop w:val="0"/>
      <w:marBottom w:val="0"/>
      <w:divBdr>
        <w:top w:val="none" w:sz="0" w:space="0" w:color="auto"/>
        <w:left w:val="none" w:sz="0" w:space="0" w:color="auto"/>
        <w:bottom w:val="none" w:sz="0" w:space="0" w:color="auto"/>
        <w:right w:val="none" w:sz="0" w:space="0" w:color="auto"/>
      </w:divBdr>
      <w:divsChild>
        <w:div w:id="1824347185">
          <w:marLeft w:val="0"/>
          <w:marRight w:val="0"/>
          <w:marTop w:val="0"/>
          <w:marBottom w:val="0"/>
          <w:divBdr>
            <w:top w:val="none" w:sz="0" w:space="0" w:color="auto"/>
            <w:left w:val="none" w:sz="0" w:space="0" w:color="auto"/>
            <w:bottom w:val="none" w:sz="0" w:space="0" w:color="auto"/>
            <w:right w:val="none" w:sz="0" w:space="0" w:color="auto"/>
          </w:divBdr>
        </w:div>
      </w:divsChild>
    </w:div>
    <w:div w:id="1953046225">
      <w:marLeft w:val="0"/>
      <w:marRight w:val="0"/>
      <w:marTop w:val="0"/>
      <w:marBottom w:val="0"/>
      <w:divBdr>
        <w:top w:val="none" w:sz="0" w:space="0" w:color="auto"/>
        <w:left w:val="none" w:sz="0" w:space="0" w:color="auto"/>
        <w:bottom w:val="none" w:sz="0" w:space="0" w:color="auto"/>
        <w:right w:val="none" w:sz="0" w:space="0" w:color="auto"/>
      </w:divBdr>
      <w:divsChild>
        <w:div w:id="1720935881">
          <w:marLeft w:val="0"/>
          <w:marRight w:val="0"/>
          <w:marTop w:val="0"/>
          <w:marBottom w:val="0"/>
          <w:divBdr>
            <w:top w:val="none" w:sz="0" w:space="0" w:color="auto"/>
            <w:left w:val="none" w:sz="0" w:space="0" w:color="auto"/>
            <w:bottom w:val="none" w:sz="0" w:space="0" w:color="auto"/>
            <w:right w:val="none" w:sz="0" w:space="0" w:color="auto"/>
          </w:divBdr>
        </w:div>
      </w:divsChild>
    </w:div>
    <w:div w:id="1954438007">
      <w:bodyDiv w:val="1"/>
      <w:marLeft w:val="0"/>
      <w:marRight w:val="0"/>
      <w:marTop w:val="0"/>
      <w:marBottom w:val="0"/>
      <w:divBdr>
        <w:top w:val="none" w:sz="0" w:space="0" w:color="auto"/>
        <w:left w:val="none" w:sz="0" w:space="0" w:color="auto"/>
        <w:bottom w:val="none" w:sz="0" w:space="0" w:color="auto"/>
        <w:right w:val="none" w:sz="0" w:space="0" w:color="auto"/>
      </w:divBdr>
    </w:div>
    <w:div w:id="1954749975">
      <w:bodyDiv w:val="1"/>
      <w:marLeft w:val="0"/>
      <w:marRight w:val="0"/>
      <w:marTop w:val="0"/>
      <w:marBottom w:val="0"/>
      <w:divBdr>
        <w:top w:val="none" w:sz="0" w:space="0" w:color="auto"/>
        <w:left w:val="none" w:sz="0" w:space="0" w:color="auto"/>
        <w:bottom w:val="none" w:sz="0" w:space="0" w:color="auto"/>
        <w:right w:val="none" w:sz="0" w:space="0" w:color="auto"/>
      </w:divBdr>
    </w:div>
    <w:div w:id="1958369328">
      <w:bodyDiv w:val="1"/>
      <w:marLeft w:val="0"/>
      <w:marRight w:val="0"/>
      <w:marTop w:val="0"/>
      <w:marBottom w:val="0"/>
      <w:divBdr>
        <w:top w:val="none" w:sz="0" w:space="0" w:color="auto"/>
        <w:left w:val="none" w:sz="0" w:space="0" w:color="auto"/>
        <w:bottom w:val="none" w:sz="0" w:space="0" w:color="auto"/>
        <w:right w:val="none" w:sz="0" w:space="0" w:color="auto"/>
      </w:divBdr>
    </w:div>
    <w:div w:id="1969970554">
      <w:bodyDiv w:val="1"/>
      <w:marLeft w:val="0"/>
      <w:marRight w:val="0"/>
      <w:marTop w:val="0"/>
      <w:marBottom w:val="0"/>
      <w:divBdr>
        <w:top w:val="none" w:sz="0" w:space="0" w:color="auto"/>
        <w:left w:val="none" w:sz="0" w:space="0" w:color="auto"/>
        <w:bottom w:val="none" w:sz="0" w:space="0" w:color="auto"/>
        <w:right w:val="none" w:sz="0" w:space="0" w:color="auto"/>
      </w:divBdr>
    </w:div>
    <w:div w:id="1971470125">
      <w:bodyDiv w:val="1"/>
      <w:marLeft w:val="0"/>
      <w:marRight w:val="0"/>
      <w:marTop w:val="0"/>
      <w:marBottom w:val="0"/>
      <w:divBdr>
        <w:top w:val="none" w:sz="0" w:space="0" w:color="auto"/>
        <w:left w:val="none" w:sz="0" w:space="0" w:color="auto"/>
        <w:bottom w:val="none" w:sz="0" w:space="0" w:color="auto"/>
        <w:right w:val="none" w:sz="0" w:space="0" w:color="auto"/>
      </w:divBdr>
    </w:div>
    <w:div w:id="1975790504">
      <w:bodyDiv w:val="1"/>
      <w:marLeft w:val="0"/>
      <w:marRight w:val="0"/>
      <w:marTop w:val="0"/>
      <w:marBottom w:val="0"/>
      <w:divBdr>
        <w:top w:val="none" w:sz="0" w:space="0" w:color="auto"/>
        <w:left w:val="none" w:sz="0" w:space="0" w:color="auto"/>
        <w:bottom w:val="none" w:sz="0" w:space="0" w:color="auto"/>
        <w:right w:val="none" w:sz="0" w:space="0" w:color="auto"/>
      </w:divBdr>
    </w:div>
    <w:div w:id="1979068619">
      <w:bodyDiv w:val="1"/>
      <w:marLeft w:val="0"/>
      <w:marRight w:val="0"/>
      <w:marTop w:val="0"/>
      <w:marBottom w:val="0"/>
      <w:divBdr>
        <w:top w:val="none" w:sz="0" w:space="0" w:color="auto"/>
        <w:left w:val="none" w:sz="0" w:space="0" w:color="auto"/>
        <w:bottom w:val="none" w:sz="0" w:space="0" w:color="auto"/>
        <w:right w:val="none" w:sz="0" w:space="0" w:color="auto"/>
      </w:divBdr>
      <w:divsChild>
        <w:div w:id="1949266294">
          <w:marLeft w:val="0"/>
          <w:marRight w:val="0"/>
          <w:marTop w:val="0"/>
          <w:marBottom w:val="0"/>
          <w:divBdr>
            <w:top w:val="none" w:sz="0" w:space="0" w:color="auto"/>
            <w:left w:val="none" w:sz="0" w:space="0" w:color="auto"/>
            <w:bottom w:val="none" w:sz="0" w:space="0" w:color="auto"/>
            <w:right w:val="none" w:sz="0" w:space="0" w:color="auto"/>
          </w:divBdr>
        </w:div>
      </w:divsChild>
    </w:div>
    <w:div w:id="1985962702">
      <w:bodyDiv w:val="1"/>
      <w:marLeft w:val="0"/>
      <w:marRight w:val="0"/>
      <w:marTop w:val="0"/>
      <w:marBottom w:val="0"/>
      <w:divBdr>
        <w:top w:val="none" w:sz="0" w:space="0" w:color="auto"/>
        <w:left w:val="none" w:sz="0" w:space="0" w:color="auto"/>
        <w:bottom w:val="none" w:sz="0" w:space="0" w:color="auto"/>
        <w:right w:val="none" w:sz="0" w:space="0" w:color="auto"/>
      </w:divBdr>
    </w:div>
    <w:div w:id="1990399936">
      <w:bodyDiv w:val="1"/>
      <w:marLeft w:val="0"/>
      <w:marRight w:val="0"/>
      <w:marTop w:val="0"/>
      <w:marBottom w:val="0"/>
      <w:divBdr>
        <w:top w:val="none" w:sz="0" w:space="0" w:color="auto"/>
        <w:left w:val="none" w:sz="0" w:space="0" w:color="auto"/>
        <w:bottom w:val="none" w:sz="0" w:space="0" w:color="auto"/>
        <w:right w:val="none" w:sz="0" w:space="0" w:color="auto"/>
      </w:divBdr>
    </w:div>
    <w:div w:id="1994601611">
      <w:bodyDiv w:val="1"/>
      <w:marLeft w:val="0"/>
      <w:marRight w:val="0"/>
      <w:marTop w:val="0"/>
      <w:marBottom w:val="0"/>
      <w:divBdr>
        <w:top w:val="none" w:sz="0" w:space="0" w:color="auto"/>
        <w:left w:val="none" w:sz="0" w:space="0" w:color="auto"/>
        <w:bottom w:val="none" w:sz="0" w:space="0" w:color="auto"/>
        <w:right w:val="none" w:sz="0" w:space="0" w:color="auto"/>
      </w:divBdr>
    </w:div>
    <w:div w:id="1998682174">
      <w:bodyDiv w:val="1"/>
      <w:marLeft w:val="0"/>
      <w:marRight w:val="0"/>
      <w:marTop w:val="0"/>
      <w:marBottom w:val="0"/>
      <w:divBdr>
        <w:top w:val="none" w:sz="0" w:space="0" w:color="auto"/>
        <w:left w:val="none" w:sz="0" w:space="0" w:color="auto"/>
        <w:bottom w:val="none" w:sz="0" w:space="0" w:color="auto"/>
        <w:right w:val="none" w:sz="0" w:space="0" w:color="auto"/>
      </w:divBdr>
    </w:div>
    <w:div w:id="2002615047">
      <w:bodyDiv w:val="1"/>
      <w:marLeft w:val="0"/>
      <w:marRight w:val="0"/>
      <w:marTop w:val="0"/>
      <w:marBottom w:val="0"/>
      <w:divBdr>
        <w:top w:val="none" w:sz="0" w:space="0" w:color="auto"/>
        <w:left w:val="none" w:sz="0" w:space="0" w:color="auto"/>
        <w:bottom w:val="none" w:sz="0" w:space="0" w:color="auto"/>
        <w:right w:val="none" w:sz="0" w:space="0" w:color="auto"/>
      </w:divBdr>
    </w:div>
    <w:div w:id="2023891644">
      <w:marLeft w:val="0"/>
      <w:marRight w:val="0"/>
      <w:marTop w:val="0"/>
      <w:marBottom w:val="0"/>
      <w:divBdr>
        <w:top w:val="none" w:sz="0" w:space="0" w:color="auto"/>
        <w:left w:val="none" w:sz="0" w:space="0" w:color="auto"/>
        <w:bottom w:val="none" w:sz="0" w:space="0" w:color="auto"/>
        <w:right w:val="none" w:sz="0" w:space="0" w:color="auto"/>
      </w:divBdr>
      <w:divsChild>
        <w:div w:id="1959408930">
          <w:marLeft w:val="0"/>
          <w:marRight w:val="0"/>
          <w:marTop w:val="0"/>
          <w:marBottom w:val="0"/>
          <w:divBdr>
            <w:top w:val="none" w:sz="0" w:space="0" w:color="auto"/>
            <w:left w:val="none" w:sz="0" w:space="0" w:color="auto"/>
            <w:bottom w:val="none" w:sz="0" w:space="0" w:color="auto"/>
            <w:right w:val="none" w:sz="0" w:space="0" w:color="auto"/>
          </w:divBdr>
        </w:div>
      </w:divsChild>
    </w:div>
    <w:div w:id="2025670656">
      <w:bodyDiv w:val="1"/>
      <w:marLeft w:val="0"/>
      <w:marRight w:val="0"/>
      <w:marTop w:val="0"/>
      <w:marBottom w:val="0"/>
      <w:divBdr>
        <w:top w:val="none" w:sz="0" w:space="0" w:color="auto"/>
        <w:left w:val="none" w:sz="0" w:space="0" w:color="auto"/>
        <w:bottom w:val="none" w:sz="0" w:space="0" w:color="auto"/>
        <w:right w:val="none" w:sz="0" w:space="0" w:color="auto"/>
      </w:divBdr>
    </w:div>
    <w:div w:id="2028360475">
      <w:marLeft w:val="0"/>
      <w:marRight w:val="0"/>
      <w:marTop w:val="0"/>
      <w:marBottom w:val="0"/>
      <w:divBdr>
        <w:top w:val="none" w:sz="0" w:space="0" w:color="auto"/>
        <w:left w:val="none" w:sz="0" w:space="0" w:color="auto"/>
        <w:bottom w:val="none" w:sz="0" w:space="0" w:color="auto"/>
        <w:right w:val="none" w:sz="0" w:space="0" w:color="auto"/>
      </w:divBdr>
      <w:divsChild>
        <w:div w:id="709377178">
          <w:marLeft w:val="0"/>
          <w:marRight w:val="0"/>
          <w:marTop w:val="0"/>
          <w:marBottom w:val="0"/>
          <w:divBdr>
            <w:top w:val="none" w:sz="0" w:space="0" w:color="auto"/>
            <w:left w:val="none" w:sz="0" w:space="0" w:color="auto"/>
            <w:bottom w:val="none" w:sz="0" w:space="0" w:color="auto"/>
            <w:right w:val="none" w:sz="0" w:space="0" w:color="auto"/>
          </w:divBdr>
        </w:div>
      </w:divsChild>
    </w:div>
    <w:div w:id="2041737535">
      <w:bodyDiv w:val="1"/>
      <w:marLeft w:val="0"/>
      <w:marRight w:val="0"/>
      <w:marTop w:val="0"/>
      <w:marBottom w:val="0"/>
      <w:divBdr>
        <w:top w:val="none" w:sz="0" w:space="0" w:color="auto"/>
        <w:left w:val="none" w:sz="0" w:space="0" w:color="auto"/>
        <w:bottom w:val="none" w:sz="0" w:space="0" w:color="auto"/>
        <w:right w:val="none" w:sz="0" w:space="0" w:color="auto"/>
      </w:divBdr>
    </w:div>
    <w:div w:id="2043751329">
      <w:bodyDiv w:val="1"/>
      <w:marLeft w:val="0"/>
      <w:marRight w:val="0"/>
      <w:marTop w:val="0"/>
      <w:marBottom w:val="0"/>
      <w:divBdr>
        <w:top w:val="none" w:sz="0" w:space="0" w:color="auto"/>
        <w:left w:val="none" w:sz="0" w:space="0" w:color="auto"/>
        <w:bottom w:val="none" w:sz="0" w:space="0" w:color="auto"/>
        <w:right w:val="none" w:sz="0" w:space="0" w:color="auto"/>
      </w:divBdr>
    </w:div>
    <w:div w:id="2045982714">
      <w:bodyDiv w:val="1"/>
      <w:marLeft w:val="0"/>
      <w:marRight w:val="0"/>
      <w:marTop w:val="0"/>
      <w:marBottom w:val="0"/>
      <w:divBdr>
        <w:top w:val="none" w:sz="0" w:space="0" w:color="auto"/>
        <w:left w:val="none" w:sz="0" w:space="0" w:color="auto"/>
        <w:bottom w:val="none" w:sz="0" w:space="0" w:color="auto"/>
        <w:right w:val="none" w:sz="0" w:space="0" w:color="auto"/>
      </w:divBdr>
      <w:divsChild>
        <w:div w:id="949120854">
          <w:marLeft w:val="150"/>
          <w:marRight w:val="0"/>
          <w:marTop w:val="150"/>
          <w:marBottom w:val="0"/>
          <w:divBdr>
            <w:top w:val="single" w:sz="6" w:space="0" w:color="EEEEEE"/>
            <w:left w:val="single" w:sz="6" w:space="0" w:color="EEEEEE"/>
            <w:bottom w:val="single" w:sz="6" w:space="0" w:color="EEEEEE"/>
            <w:right w:val="single" w:sz="6" w:space="0" w:color="EEEEEE"/>
          </w:divBdr>
          <w:divsChild>
            <w:div w:id="1603535039">
              <w:marLeft w:val="0"/>
              <w:marRight w:val="0"/>
              <w:marTop w:val="0"/>
              <w:marBottom w:val="0"/>
              <w:divBdr>
                <w:top w:val="none" w:sz="0" w:space="0" w:color="auto"/>
                <w:left w:val="none" w:sz="0" w:space="0" w:color="auto"/>
                <w:bottom w:val="none" w:sz="0" w:space="0" w:color="auto"/>
                <w:right w:val="none" w:sz="0" w:space="0" w:color="auto"/>
              </w:divBdr>
              <w:divsChild>
                <w:div w:id="1399110">
                  <w:marLeft w:val="0"/>
                  <w:marRight w:val="0"/>
                  <w:marTop w:val="0"/>
                  <w:marBottom w:val="0"/>
                  <w:divBdr>
                    <w:top w:val="none" w:sz="0" w:space="0" w:color="auto"/>
                    <w:left w:val="none" w:sz="0" w:space="0" w:color="auto"/>
                    <w:bottom w:val="none" w:sz="0" w:space="0" w:color="auto"/>
                    <w:right w:val="none" w:sz="0" w:space="0" w:color="auto"/>
                  </w:divBdr>
                </w:div>
                <w:div w:id="54671415">
                  <w:marLeft w:val="0"/>
                  <w:marRight w:val="0"/>
                  <w:marTop w:val="0"/>
                  <w:marBottom w:val="0"/>
                  <w:divBdr>
                    <w:top w:val="none" w:sz="0" w:space="0" w:color="auto"/>
                    <w:left w:val="none" w:sz="0" w:space="0" w:color="auto"/>
                    <w:bottom w:val="none" w:sz="0" w:space="0" w:color="auto"/>
                    <w:right w:val="none" w:sz="0" w:space="0" w:color="auto"/>
                  </w:divBdr>
                </w:div>
                <w:div w:id="80763899">
                  <w:marLeft w:val="0"/>
                  <w:marRight w:val="0"/>
                  <w:marTop w:val="0"/>
                  <w:marBottom w:val="0"/>
                  <w:divBdr>
                    <w:top w:val="none" w:sz="0" w:space="0" w:color="auto"/>
                    <w:left w:val="none" w:sz="0" w:space="0" w:color="auto"/>
                    <w:bottom w:val="none" w:sz="0" w:space="0" w:color="auto"/>
                    <w:right w:val="none" w:sz="0" w:space="0" w:color="auto"/>
                  </w:divBdr>
                </w:div>
                <w:div w:id="89857236">
                  <w:marLeft w:val="0"/>
                  <w:marRight w:val="0"/>
                  <w:marTop w:val="0"/>
                  <w:marBottom w:val="0"/>
                  <w:divBdr>
                    <w:top w:val="none" w:sz="0" w:space="0" w:color="auto"/>
                    <w:left w:val="none" w:sz="0" w:space="0" w:color="auto"/>
                    <w:bottom w:val="none" w:sz="0" w:space="0" w:color="auto"/>
                    <w:right w:val="none" w:sz="0" w:space="0" w:color="auto"/>
                  </w:divBdr>
                </w:div>
                <w:div w:id="101532962">
                  <w:marLeft w:val="0"/>
                  <w:marRight w:val="0"/>
                  <w:marTop w:val="0"/>
                  <w:marBottom w:val="0"/>
                  <w:divBdr>
                    <w:top w:val="none" w:sz="0" w:space="0" w:color="auto"/>
                    <w:left w:val="none" w:sz="0" w:space="0" w:color="auto"/>
                    <w:bottom w:val="none" w:sz="0" w:space="0" w:color="auto"/>
                    <w:right w:val="none" w:sz="0" w:space="0" w:color="auto"/>
                  </w:divBdr>
                </w:div>
                <w:div w:id="129713953">
                  <w:marLeft w:val="0"/>
                  <w:marRight w:val="0"/>
                  <w:marTop w:val="0"/>
                  <w:marBottom w:val="0"/>
                  <w:divBdr>
                    <w:top w:val="none" w:sz="0" w:space="0" w:color="auto"/>
                    <w:left w:val="none" w:sz="0" w:space="0" w:color="auto"/>
                    <w:bottom w:val="none" w:sz="0" w:space="0" w:color="auto"/>
                    <w:right w:val="none" w:sz="0" w:space="0" w:color="auto"/>
                  </w:divBdr>
                </w:div>
                <w:div w:id="163713534">
                  <w:marLeft w:val="0"/>
                  <w:marRight w:val="0"/>
                  <w:marTop w:val="0"/>
                  <w:marBottom w:val="0"/>
                  <w:divBdr>
                    <w:top w:val="none" w:sz="0" w:space="0" w:color="auto"/>
                    <w:left w:val="none" w:sz="0" w:space="0" w:color="auto"/>
                    <w:bottom w:val="none" w:sz="0" w:space="0" w:color="auto"/>
                    <w:right w:val="none" w:sz="0" w:space="0" w:color="auto"/>
                  </w:divBdr>
                </w:div>
                <w:div w:id="203097987">
                  <w:marLeft w:val="0"/>
                  <w:marRight w:val="0"/>
                  <w:marTop w:val="0"/>
                  <w:marBottom w:val="0"/>
                  <w:divBdr>
                    <w:top w:val="none" w:sz="0" w:space="0" w:color="auto"/>
                    <w:left w:val="none" w:sz="0" w:space="0" w:color="auto"/>
                    <w:bottom w:val="none" w:sz="0" w:space="0" w:color="auto"/>
                    <w:right w:val="none" w:sz="0" w:space="0" w:color="auto"/>
                  </w:divBdr>
                </w:div>
                <w:div w:id="205680504">
                  <w:marLeft w:val="0"/>
                  <w:marRight w:val="0"/>
                  <w:marTop w:val="0"/>
                  <w:marBottom w:val="0"/>
                  <w:divBdr>
                    <w:top w:val="none" w:sz="0" w:space="0" w:color="auto"/>
                    <w:left w:val="none" w:sz="0" w:space="0" w:color="auto"/>
                    <w:bottom w:val="none" w:sz="0" w:space="0" w:color="auto"/>
                    <w:right w:val="none" w:sz="0" w:space="0" w:color="auto"/>
                  </w:divBdr>
                </w:div>
                <w:div w:id="223955000">
                  <w:marLeft w:val="0"/>
                  <w:marRight w:val="0"/>
                  <w:marTop w:val="0"/>
                  <w:marBottom w:val="0"/>
                  <w:divBdr>
                    <w:top w:val="none" w:sz="0" w:space="0" w:color="auto"/>
                    <w:left w:val="none" w:sz="0" w:space="0" w:color="auto"/>
                    <w:bottom w:val="none" w:sz="0" w:space="0" w:color="auto"/>
                    <w:right w:val="none" w:sz="0" w:space="0" w:color="auto"/>
                  </w:divBdr>
                </w:div>
                <w:div w:id="225070548">
                  <w:marLeft w:val="0"/>
                  <w:marRight w:val="0"/>
                  <w:marTop w:val="0"/>
                  <w:marBottom w:val="0"/>
                  <w:divBdr>
                    <w:top w:val="none" w:sz="0" w:space="0" w:color="auto"/>
                    <w:left w:val="none" w:sz="0" w:space="0" w:color="auto"/>
                    <w:bottom w:val="none" w:sz="0" w:space="0" w:color="auto"/>
                    <w:right w:val="none" w:sz="0" w:space="0" w:color="auto"/>
                  </w:divBdr>
                </w:div>
                <w:div w:id="299505067">
                  <w:marLeft w:val="0"/>
                  <w:marRight w:val="0"/>
                  <w:marTop w:val="0"/>
                  <w:marBottom w:val="0"/>
                  <w:divBdr>
                    <w:top w:val="none" w:sz="0" w:space="0" w:color="auto"/>
                    <w:left w:val="none" w:sz="0" w:space="0" w:color="auto"/>
                    <w:bottom w:val="none" w:sz="0" w:space="0" w:color="auto"/>
                    <w:right w:val="none" w:sz="0" w:space="0" w:color="auto"/>
                  </w:divBdr>
                </w:div>
                <w:div w:id="326979086">
                  <w:marLeft w:val="0"/>
                  <w:marRight w:val="0"/>
                  <w:marTop w:val="0"/>
                  <w:marBottom w:val="0"/>
                  <w:divBdr>
                    <w:top w:val="none" w:sz="0" w:space="0" w:color="auto"/>
                    <w:left w:val="none" w:sz="0" w:space="0" w:color="auto"/>
                    <w:bottom w:val="none" w:sz="0" w:space="0" w:color="auto"/>
                    <w:right w:val="none" w:sz="0" w:space="0" w:color="auto"/>
                  </w:divBdr>
                </w:div>
                <w:div w:id="367876360">
                  <w:marLeft w:val="0"/>
                  <w:marRight w:val="0"/>
                  <w:marTop w:val="0"/>
                  <w:marBottom w:val="0"/>
                  <w:divBdr>
                    <w:top w:val="none" w:sz="0" w:space="0" w:color="auto"/>
                    <w:left w:val="none" w:sz="0" w:space="0" w:color="auto"/>
                    <w:bottom w:val="none" w:sz="0" w:space="0" w:color="auto"/>
                    <w:right w:val="none" w:sz="0" w:space="0" w:color="auto"/>
                  </w:divBdr>
                </w:div>
                <w:div w:id="389034705">
                  <w:marLeft w:val="0"/>
                  <w:marRight w:val="0"/>
                  <w:marTop w:val="0"/>
                  <w:marBottom w:val="0"/>
                  <w:divBdr>
                    <w:top w:val="none" w:sz="0" w:space="0" w:color="auto"/>
                    <w:left w:val="none" w:sz="0" w:space="0" w:color="auto"/>
                    <w:bottom w:val="none" w:sz="0" w:space="0" w:color="auto"/>
                    <w:right w:val="none" w:sz="0" w:space="0" w:color="auto"/>
                  </w:divBdr>
                </w:div>
                <w:div w:id="441153253">
                  <w:marLeft w:val="0"/>
                  <w:marRight w:val="0"/>
                  <w:marTop w:val="0"/>
                  <w:marBottom w:val="0"/>
                  <w:divBdr>
                    <w:top w:val="none" w:sz="0" w:space="0" w:color="auto"/>
                    <w:left w:val="none" w:sz="0" w:space="0" w:color="auto"/>
                    <w:bottom w:val="none" w:sz="0" w:space="0" w:color="auto"/>
                    <w:right w:val="none" w:sz="0" w:space="0" w:color="auto"/>
                  </w:divBdr>
                </w:div>
                <w:div w:id="445393766">
                  <w:marLeft w:val="0"/>
                  <w:marRight w:val="0"/>
                  <w:marTop w:val="0"/>
                  <w:marBottom w:val="0"/>
                  <w:divBdr>
                    <w:top w:val="none" w:sz="0" w:space="0" w:color="auto"/>
                    <w:left w:val="none" w:sz="0" w:space="0" w:color="auto"/>
                    <w:bottom w:val="none" w:sz="0" w:space="0" w:color="auto"/>
                    <w:right w:val="none" w:sz="0" w:space="0" w:color="auto"/>
                  </w:divBdr>
                </w:div>
                <w:div w:id="453642811">
                  <w:marLeft w:val="0"/>
                  <w:marRight w:val="0"/>
                  <w:marTop w:val="0"/>
                  <w:marBottom w:val="0"/>
                  <w:divBdr>
                    <w:top w:val="none" w:sz="0" w:space="0" w:color="auto"/>
                    <w:left w:val="none" w:sz="0" w:space="0" w:color="auto"/>
                    <w:bottom w:val="none" w:sz="0" w:space="0" w:color="auto"/>
                    <w:right w:val="none" w:sz="0" w:space="0" w:color="auto"/>
                  </w:divBdr>
                </w:div>
                <w:div w:id="458843339">
                  <w:marLeft w:val="0"/>
                  <w:marRight w:val="0"/>
                  <w:marTop w:val="0"/>
                  <w:marBottom w:val="0"/>
                  <w:divBdr>
                    <w:top w:val="none" w:sz="0" w:space="0" w:color="auto"/>
                    <w:left w:val="none" w:sz="0" w:space="0" w:color="auto"/>
                    <w:bottom w:val="none" w:sz="0" w:space="0" w:color="auto"/>
                    <w:right w:val="none" w:sz="0" w:space="0" w:color="auto"/>
                  </w:divBdr>
                </w:div>
                <w:div w:id="487593815">
                  <w:marLeft w:val="0"/>
                  <w:marRight w:val="0"/>
                  <w:marTop w:val="0"/>
                  <w:marBottom w:val="0"/>
                  <w:divBdr>
                    <w:top w:val="none" w:sz="0" w:space="0" w:color="auto"/>
                    <w:left w:val="none" w:sz="0" w:space="0" w:color="auto"/>
                    <w:bottom w:val="none" w:sz="0" w:space="0" w:color="auto"/>
                    <w:right w:val="none" w:sz="0" w:space="0" w:color="auto"/>
                  </w:divBdr>
                </w:div>
                <w:div w:id="496112777">
                  <w:marLeft w:val="0"/>
                  <w:marRight w:val="0"/>
                  <w:marTop w:val="0"/>
                  <w:marBottom w:val="0"/>
                  <w:divBdr>
                    <w:top w:val="none" w:sz="0" w:space="0" w:color="auto"/>
                    <w:left w:val="none" w:sz="0" w:space="0" w:color="auto"/>
                    <w:bottom w:val="none" w:sz="0" w:space="0" w:color="auto"/>
                    <w:right w:val="none" w:sz="0" w:space="0" w:color="auto"/>
                  </w:divBdr>
                </w:div>
                <w:div w:id="499006992">
                  <w:marLeft w:val="0"/>
                  <w:marRight w:val="0"/>
                  <w:marTop w:val="0"/>
                  <w:marBottom w:val="0"/>
                  <w:divBdr>
                    <w:top w:val="none" w:sz="0" w:space="0" w:color="auto"/>
                    <w:left w:val="none" w:sz="0" w:space="0" w:color="auto"/>
                    <w:bottom w:val="none" w:sz="0" w:space="0" w:color="auto"/>
                    <w:right w:val="none" w:sz="0" w:space="0" w:color="auto"/>
                  </w:divBdr>
                </w:div>
                <w:div w:id="518738709">
                  <w:marLeft w:val="0"/>
                  <w:marRight w:val="0"/>
                  <w:marTop w:val="0"/>
                  <w:marBottom w:val="0"/>
                  <w:divBdr>
                    <w:top w:val="none" w:sz="0" w:space="0" w:color="auto"/>
                    <w:left w:val="none" w:sz="0" w:space="0" w:color="auto"/>
                    <w:bottom w:val="none" w:sz="0" w:space="0" w:color="auto"/>
                    <w:right w:val="none" w:sz="0" w:space="0" w:color="auto"/>
                  </w:divBdr>
                </w:div>
                <w:div w:id="519928339">
                  <w:marLeft w:val="0"/>
                  <w:marRight w:val="0"/>
                  <w:marTop w:val="0"/>
                  <w:marBottom w:val="0"/>
                  <w:divBdr>
                    <w:top w:val="none" w:sz="0" w:space="0" w:color="auto"/>
                    <w:left w:val="none" w:sz="0" w:space="0" w:color="auto"/>
                    <w:bottom w:val="none" w:sz="0" w:space="0" w:color="auto"/>
                    <w:right w:val="none" w:sz="0" w:space="0" w:color="auto"/>
                  </w:divBdr>
                </w:div>
                <w:div w:id="525214469">
                  <w:marLeft w:val="0"/>
                  <w:marRight w:val="0"/>
                  <w:marTop w:val="0"/>
                  <w:marBottom w:val="0"/>
                  <w:divBdr>
                    <w:top w:val="none" w:sz="0" w:space="0" w:color="auto"/>
                    <w:left w:val="none" w:sz="0" w:space="0" w:color="auto"/>
                    <w:bottom w:val="none" w:sz="0" w:space="0" w:color="auto"/>
                    <w:right w:val="none" w:sz="0" w:space="0" w:color="auto"/>
                  </w:divBdr>
                </w:div>
                <w:div w:id="578443553">
                  <w:marLeft w:val="0"/>
                  <w:marRight w:val="0"/>
                  <w:marTop w:val="0"/>
                  <w:marBottom w:val="0"/>
                  <w:divBdr>
                    <w:top w:val="none" w:sz="0" w:space="0" w:color="auto"/>
                    <w:left w:val="none" w:sz="0" w:space="0" w:color="auto"/>
                    <w:bottom w:val="none" w:sz="0" w:space="0" w:color="auto"/>
                    <w:right w:val="none" w:sz="0" w:space="0" w:color="auto"/>
                  </w:divBdr>
                </w:div>
                <w:div w:id="580456490">
                  <w:marLeft w:val="0"/>
                  <w:marRight w:val="0"/>
                  <w:marTop w:val="0"/>
                  <w:marBottom w:val="0"/>
                  <w:divBdr>
                    <w:top w:val="none" w:sz="0" w:space="0" w:color="auto"/>
                    <w:left w:val="none" w:sz="0" w:space="0" w:color="auto"/>
                    <w:bottom w:val="none" w:sz="0" w:space="0" w:color="auto"/>
                    <w:right w:val="none" w:sz="0" w:space="0" w:color="auto"/>
                  </w:divBdr>
                </w:div>
                <w:div w:id="686447544">
                  <w:marLeft w:val="0"/>
                  <w:marRight w:val="0"/>
                  <w:marTop w:val="0"/>
                  <w:marBottom w:val="0"/>
                  <w:divBdr>
                    <w:top w:val="none" w:sz="0" w:space="0" w:color="auto"/>
                    <w:left w:val="none" w:sz="0" w:space="0" w:color="auto"/>
                    <w:bottom w:val="none" w:sz="0" w:space="0" w:color="auto"/>
                    <w:right w:val="none" w:sz="0" w:space="0" w:color="auto"/>
                  </w:divBdr>
                </w:div>
                <w:div w:id="720517296">
                  <w:marLeft w:val="0"/>
                  <w:marRight w:val="0"/>
                  <w:marTop w:val="0"/>
                  <w:marBottom w:val="0"/>
                  <w:divBdr>
                    <w:top w:val="none" w:sz="0" w:space="0" w:color="auto"/>
                    <w:left w:val="none" w:sz="0" w:space="0" w:color="auto"/>
                    <w:bottom w:val="none" w:sz="0" w:space="0" w:color="auto"/>
                    <w:right w:val="none" w:sz="0" w:space="0" w:color="auto"/>
                  </w:divBdr>
                </w:div>
                <w:div w:id="758988059">
                  <w:marLeft w:val="0"/>
                  <w:marRight w:val="0"/>
                  <w:marTop w:val="0"/>
                  <w:marBottom w:val="0"/>
                  <w:divBdr>
                    <w:top w:val="none" w:sz="0" w:space="0" w:color="auto"/>
                    <w:left w:val="none" w:sz="0" w:space="0" w:color="auto"/>
                    <w:bottom w:val="none" w:sz="0" w:space="0" w:color="auto"/>
                    <w:right w:val="none" w:sz="0" w:space="0" w:color="auto"/>
                  </w:divBdr>
                </w:div>
                <w:div w:id="770586521">
                  <w:marLeft w:val="0"/>
                  <w:marRight w:val="0"/>
                  <w:marTop w:val="0"/>
                  <w:marBottom w:val="0"/>
                  <w:divBdr>
                    <w:top w:val="none" w:sz="0" w:space="0" w:color="auto"/>
                    <w:left w:val="none" w:sz="0" w:space="0" w:color="auto"/>
                    <w:bottom w:val="none" w:sz="0" w:space="0" w:color="auto"/>
                    <w:right w:val="none" w:sz="0" w:space="0" w:color="auto"/>
                  </w:divBdr>
                </w:div>
                <w:div w:id="858273677">
                  <w:marLeft w:val="0"/>
                  <w:marRight w:val="0"/>
                  <w:marTop w:val="0"/>
                  <w:marBottom w:val="0"/>
                  <w:divBdr>
                    <w:top w:val="none" w:sz="0" w:space="0" w:color="auto"/>
                    <w:left w:val="none" w:sz="0" w:space="0" w:color="auto"/>
                    <w:bottom w:val="none" w:sz="0" w:space="0" w:color="auto"/>
                    <w:right w:val="none" w:sz="0" w:space="0" w:color="auto"/>
                  </w:divBdr>
                </w:div>
                <w:div w:id="862789487">
                  <w:marLeft w:val="0"/>
                  <w:marRight w:val="0"/>
                  <w:marTop w:val="0"/>
                  <w:marBottom w:val="0"/>
                  <w:divBdr>
                    <w:top w:val="none" w:sz="0" w:space="0" w:color="auto"/>
                    <w:left w:val="none" w:sz="0" w:space="0" w:color="auto"/>
                    <w:bottom w:val="none" w:sz="0" w:space="0" w:color="auto"/>
                    <w:right w:val="none" w:sz="0" w:space="0" w:color="auto"/>
                  </w:divBdr>
                </w:div>
                <w:div w:id="911475686">
                  <w:marLeft w:val="0"/>
                  <w:marRight w:val="0"/>
                  <w:marTop w:val="0"/>
                  <w:marBottom w:val="0"/>
                  <w:divBdr>
                    <w:top w:val="none" w:sz="0" w:space="0" w:color="auto"/>
                    <w:left w:val="none" w:sz="0" w:space="0" w:color="auto"/>
                    <w:bottom w:val="none" w:sz="0" w:space="0" w:color="auto"/>
                    <w:right w:val="none" w:sz="0" w:space="0" w:color="auto"/>
                  </w:divBdr>
                </w:div>
                <w:div w:id="931549256">
                  <w:marLeft w:val="0"/>
                  <w:marRight w:val="0"/>
                  <w:marTop w:val="0"/>
                  <w:marBottom w:val="0"/>
                  <w:divBdr>
                    <w:top w:val="none" w:sz="0" w:space="0" w:color="auto"/>
                    <w:left w:val="none" w:sz="0" w:space="0" w:color="auto"/>
                    <w:bottom w:val="none" w:sz="0" w:space="0" w:color="auto"/>
                    <w:right w:val="none" w:sz="0" w:space="0" w:color="auto"/>
                  </w:divBdr>
                </w:div>
                <w:div w:id="955478259">
                  <w:marLeft w:val="0"/>
                  <w:marRight w:val="0"/>
                  <w:marTop w:val="0"/>
                  <w:marBottom w:val="0"/>
                  <w:divBdr>
                    <w:top w:val="none" w:sz="0" w:space="0" w:color="auto"/>
                    <w:left w:val="none" w:sz="0" w:space="0" w:color="auto"/>
                    <w:bottom w:val="none" w:sz="0" w:space="0" w:color="auto"/>
                    <w:right w:val="none" w:sz="0" w:space="0" w:color="auto"/>
                  </w:divBdr>
                </w:div>
                <w:div w:id="1032656318">
                  <w:marLeft w:val="0"/>
                  <w:marRight w:val="0"/>
                  <w:marTop w:val="0"/>
                  <w:marBottom w:val="0"/>
                  <w:divBdr>
                    <w:top w:val="none" w:sz="0" w:space="0" w:color="auto"/>
                    <w:left w:val="none" w:sz="0" w:space="0" w:color="auto"/>
                    <w:bottom w:val="none" w:sz="0" w:space="0" w:color="auto"/>
                    <w:right w:val="none" w:sz="0" w:space="0" w:color="auto"/>
                  </w:divBdr>
                </w:div>
                <w:div w:id="1037508907">
                  <w:marLeft w:val="0"/>
                  <w:marRight w:val="0"/>
                  <w:marTop w:val="0"/>
                  <w:marBottom w:val="0"/>
                  <w:divBdr>
                    <w:top w:val="none" w:sz="0" w:space="0" w:color="auto"/>
                    <w:left w:val="none" w:sz="0" w:space="0" w:color="auto"/>
                    <w:bottom w:val="none" w:sz="0" w:space="0" w:color="auto"/>
                    <w:right w:val="none" w:sz="0" w:space="0" w:color="auto"/>
                  </w:divBdr>
                </w:div>
                <w:div w:id="1114666093">
                  <w:marLeft w:val="0"/>
                  <w:marRight w:val="0"/>
                  <w:marTop w:val="0"/>
                  <w:marBottom w:val="0"/>
                  <w:divBdr>
                    <w:top w:val="none" w:sz="0" w:space="0" w:color="auto"/>
                    <w:left w:val="none" w:sz="0" w:space="0" w:color="auto"/>
                    <w:bottom w:val="none" w:sz="0" w:space="0" w:color="auto"/>
                    <w:right w:val="none" w:sz="0" w:space="0" w:color="auto"/>
                  </w:divBdr>
                </w:div>
                <w:div w:id="1116876011">
                  <w:marLeft w:val="0"/>
                  <w:marRight w:val="0"/>
                  <w:marTop w:val="0"/>
                  <w:marBottom w:val="0"/>
                  <w:divBdr>
                    <w:top w:val="none" w:sz="0" w:space="0" w:color="auto"/>
                    <w:left w:val="none" w:sz="0" w:space="0" w:color="auto"/>
                    <w:bottom w:val="none" w:sz="0" w:space="0" w:color="auto"/>
                    <w:right w:val="none" w:sz="0" w:space="0" w:color="auto"/>
                  </w:divBdr>
                </w:div>
                <w:div w:id="1119448504">
                  <w:marLeft w:val="0"/>
                  <w:marRight w:val="0"/>
                  <w:marTop w:val="0"/>
                  <w:marBottom w:val="0"/>
                  <w:divBdr>
                    <w:top w:val="none" w:sz="0" w:space="0" w:color="auto"/>
                    <w:left w:val="none" w:sz="0" w:space="0" w:color="auto"/>
                    <w:bottom w:val="none" w:sz="0" w:space="0" w:color="auto"/>
                    <w:right w:val="none" w:sz="0" w:space="0" w:color="auto"/>
                  </w:divBdr>
                </w:div>
                <w:div w:id="1121192146">
                  <w:marLeft w:val="0"/>
                  <w:marRight w:val="0"/>
                  <w:marTop w:val="0"/>
                  <w:marBottom w:val="0"/>
                  <w:divBdr>
                    <w:top w:val="none" w:sz="0" w:space="0" w:color="auto"/>
                    <w:left w:val="none" w:sz="0" w:space="0" w:color="auto"/>
                    <w:bottom w:val="none" w:sz="0" w:space="0" w:color="auto"/>
                    <w:right w:val="none" w:sz="0" w:space="0" w:color="auto"/>
                  </w:divBdr>
                </w:div>
                <w:div w:id="1122697792">
                  <w:marLeft w:val="0"/>
                  <w:marRight w:val="0"/>
                  <w:marTop w:val="0"/>
                  <w:marBottom w:val="0"/>
                  <w:divBdr>
                    <w:top w:val="none" w:sz="0" w:space="0" w:color="auto"/>
                    <w:left w:val="none" w:sz="0" w:space="0" w:color="auto"/>
                    <w:bottom w:val="none" w:sz="0" w:space="0" w:color="auto"/>
                    <w:right w:val="none" w:sz="0" w:space="0" w:color="auto"/>
                  </w:divBdr>
                </w:div>
                <w:div w:id="1247687630">
                  <w:marLeft w:val="0"/>
                  <w:marRight w:val="0"/>
                  <w:marTop w:val="0"/>
                  <w:marBottom w:val="0"/>
                  <w:divBdr>
                    <w:top w:val="none" w:sz="0" w:space="0" w:color="auto"/>
                    <w:left w:val="none" w:sz="0" w:space="0" w:color="auto"/>
                    <w:bottom w:val="none" w:sz="0" w:space="0" w:color="auto"/>
                    <w:right w:val="none" w:sz="0" w:space="0" w:color="auto"/>
                  </w:divBdr>
                </w:div>
                <w:div w:id="1275016172">
                  <w:marLeft w:val="0"/>
                  <w:marRight w:val="0"/>
                  <w:marTop w:val="0"/>
                  <w:marBottom w:val="0"/>
                  <w:divBdr>
                    <w:top w:val="none" w:sz="0" w:space="0" w:color="auto"/>
                    <w:left w:val="none" w:sz="0" w:space="0" w:color="auto"/>
                    <w:bottom w:val="none" w:sz="0" w:space="0" w:color="auto"/>
                    <w:right w:val="none" w:sz="0" w:space="0" w:color="auto"/>
                  </w:divBdr>
                </w:div>
                <w:div w:id="1277760496">
                  <w:marLeft w:val="0"/>
                  <w:marRight w:val="0"/>
                  <w:marTop w:val="0"/>
                  <w:marBottom w:val="0"/>
                  <w:divBdr>
                    <w:top w:val="none" w:sz="0" w:space="0" w:color="auto"/>
                    <w:left w:val="none" w:sz="0" w:space="0" w:color="auto"/>
                    <w:bottom w:val="none" w:sz="0" w:space="0" w:color="auto"/>
                    <w:right w:val="none" w:sz="0" w:space="0" w:color="auto"/>
                  </w:divBdr>
                </w:div>
                <w:div w:id="1280840461">
                  <w:marLeft w:val="0"/>
                  <w:marRight w:val="0"/>
                  <w:marTop w:val="0"/>
                  <w:marBottom w:val="0"/>
                  <w:divBdr>
                    <w:top w:val="none" w:sz="0" w:space="0" w:color="auto"/>
                    <w:left w:val="none" w:sz="0" w:space="0" w:color="auto"/>
                    <w:bottom w:val="none" w:sz="0" w:space="0" w:color="auto"/>
                    <w:right w:val="none" w:sz="0" w:space="0" w:color="auto"/>
                  </w:divBdr>
                </w:div>
                <w:div w:id="1296716063">
                  <w:marLeft w:val="0"/>
                  <w:marRight w:val="0"/>
                  <w:marTop w:val="0"/>
                  <w:marBottom w:val="0"/>
                  <w:divBdr>
                    <w:top w:val="none" w:sz="0" w:space="0" w:color="auto"/>
                    <w:left w:val="none" w:sz="0" w:space="0" w:color="auto"/>
                    <w:bottom w:val="none" w:sz="0" w:space="0" w:color="auto"/>
                    <w:right w:val="none" w:sz="0" w:space="0" w:color="auto"/>
                  </w:divBdr>
                </w:div>
                <w:div w:id="1351028371">
                  <w:marLeft w:val="0"/>
                  <w:marRight w:val="0"/>
                  <w:marTop w:val="0"/>
                  <w:marBottom w:val="0"/>
                  <w:divBdr>
                    <w:top w:val="none" w:sz="0" w:space="0" w:color="auto"/>
                    <w:left w:val="none" w:sz="0" w:space="0" w:color="auto"/>
                    <w:bottom w:val="none" w:sz="0" w:space="0" w:color="auto"/>
                    <w:right w:val="none" w:sz="0" w:space="0" w:color="auto"/>
                  </w:divBdr>
                </w:div>
                <w:div w:id="1428769570">
                  <w:marLeft w:val="0"/>
                  <w:marRight w:val="0"/>
                  <w:marTop w:val="0"/>
                  <w:marBottom w:val="0"/>
                  <w:divBdr>
                    <w:top w:val="none" w:sz="0" w:space="0" w:color="auto"/>
                    <w:left w:val="none" w:sz="0" w:space="0" w:color="auto"/>
                    <w:bottom w:val="none" w:sz="0" w:space="0" w:color="auto"/>
                    <w:right w:val="none" w:sz="0" w:space="0" w:color="auto"/>
                  </w:divBdr>
                </w:div>
                <w:div w:id="1442148375">
                  <w:marLeft w:val="0"/>
                  <w:marRight w:val="0"/>
                  <w:marTop w:val="0"/>
                  <w:marBottom w:val="0"/>
                  <w:divBdr>
                    <w:top w:val="none" w:sz="0" w:space="0" w:color="auto"/>
                    <w:left w:val="none" w:sz="0" w:space="0" w:color="auto"/>
                    <w:bottom w:val="none" w:sz="0" w:space="0" w:color="auto"/>
                    <w:right w:val="none" w:sz="0" w:space="0" w:color="auto"/>
                  </w:divBdr>
                </w:div>
                <w:div w:id="1456287762">
                  <w:marLeft w:val="0"/>
                  <w:marRight w:val="0"/>
                  <w:marTop w:val="0"/>
                  <w:marBottom w:val="0"/>
                  <w:divBdr>
                    <w:top w:val="none" w:sz="0" w:space="0" w:color="auto"/>
                    <w:left w:val="none" w:sz="0" w:space="0" w:color="auto"/>
                    <w:bottom w:val="none" w:sz="0" w:space="0" w:color="auto"/>
                    <w:right w:val="none" w:sz="0" w:space="0" w:color="auto"/>
                  </w:divBdr>
                </w:div>
                <w:div w:id="1472677501">
                  <w:marLeft w:val="0"/>
                  <w:marRight w:val="0"/>
                  <w:marTop w:val="0"/>
                  <w:marBottom w:val="0"/>
                  <w:divBdr>
                    <w:top w:val="none" w:sz="0" w:space="0" w:color="auto"/>
                    <w:left w:val="none" w:sz="0" w:space="0" w:color="auto"/>
                    <w:bottom w:val="none" w:sz="0" w:space="0" w:color="auto"/>
                    <w:right w:val="none" w:sz="0" w:space="0" w:color="auto"/>
                  </w:divBdr>
                </w:div>
                <w:div w:id="1525558691">
                  <w:marLeft w:val="0"/>
                  <w:marRight w:val="0"/>
                  <w:marTop w:val="0"/>
                  <w:marBottom w:val="0"/>
                  <w:divBdr>
                    <w:top w:val="none" w:sz="0" w:space="0" w:color="auto"/>
                    <w:left w:val="none" w:sz="0" w:space="0" w:color="auto"/>
                    <w:bottom w:val="none" w:sz="0" w:space="0" w:color="auto"/>
                    <w:right w:val="none" w:sz="0" w:space="0" w:color="auto"/>
                  </w:divBdr>
                </w:div>
                <w:div w:id="1554197291">
                  <w:marLeft w:val="0"/>
                  <w:marRight w:val="0"/>
                  <w:marTop w:val="0"/>
                  <w:marBottom w:val="0"/>
                  <w:divBdr>
                    <w:top w:val="none" w:sz="0" w:space="0" w:color="auto"/>
                    <w:left w:val="none" w:sz="0" w:space="0" w:color="auto"/>
                    <w:bottom w:val="none" w:sz="0" w:space="0" w:color="auto"/>
                    <w:right w:val="none" w:sz="0" w:space="0" w:color="auto"/>
                  </w:divBdr>
                </w:div>
                <w:div w:id="1600913755">
                  <w:marLeft w:val="0"/>
                  <w:marRight w:val="0"/>
                  <w:marTop w:val="0"/>
                  <w:marBottom w:val="0"/>
                  <w:divBdr>
                    <w:top w:val="none" w:sz="0" w:space="0" w:color="auto"/>
                    <w:left w:val="none" w:sz="0" w:space="0" w:color="auto"/>
                    <w:bottom w:val="none" w:sz="0" w:space="0" w:color="auto"/>
                    <w:right w:val="none" w:sz="0" w:space="0" w:color="auto"/>
                  </w:divBdr>
                </w:div>
                <w:div w:id="1617784274">
                  <w:marLeft w:val="0"/>
                  <w:marRight w:val="0"/>
                  <w:marTop w:val="0"/>
                  <w:marBottom w:val="0"/>
                  <w:divBdr>
                    <w:top w:val="none" w:sz="0" w:space="0" w:color="auto"/>
                    <w:left w:val="none" w:sz="0" w:space="0" w:color="auto"/>
                    <w:bottom w:val="none" w:sz="0" w:space="0" w:color="auto"/>
                    <w:right w:val="none" w:sz="0" w:space="0" w:color="auto"/>
                  </w:divBdr>
                </w:div>
                <w:div w:id="1667240728">
                  <w:marLeft w:val="0"/>
                  <w:marRight w:val="0"/>
                  <w:marTop w:val="0"/>
                  <w:marBottom w:val="0"/>
                  <w:divBdr>
                    <w:top w:val="none" w:sz="0" w:space="0" w:color="auto"/>
                    <w:left w:val="none" w:sz="0" w:space="0" w:color="auto"/>
                    <w:bottom w:val="none" w:sz="0" w:space="0" w:color="auto"/>
                    <w:right w:val="none" w:sz="0" w:space="0" w:color="auto"/>
                  </w:divBdr>
                </w:div>
                <w:div w:id="1674261509">
                  <w:marLeft w:val="0"/>
                  <w:marRight w:val="0"/>
                  <w:marTop w:val="0"/>
                  <w:marBottom w:val="0"/>
                  <w:divBdr>
                    <w:top w:val="none" w:sz="0" w:space="0" w:color="auto"/>
                    <w:left w:val="none" w:sz="0" w:space="0" w:color="auto"/>
                    <w:bottom w:val="none" w:sz="0" w:space="0" w:color="auto"/>
                    <w:right w:val="none" w:sz="0" w:space="0" w:color="auto"/>
                  </w:divBdr>
                </w:div>
                <w:div w:id="1680034767">
                  <w:marLeft w:val="0"/>
                  <w:marRight w:val="0"/>
                  <w:marTop w:val="0"/>
                  <w:marBottom w:val="0"/>
                  <w:divBdr>
                    <w:top w:val="none" w:sz="0" w:space="0" w:color="auto"/>
                    <w:left w:val="none" w:sz="0" w:space="0" w:color="auto"/>
                    <w:bottom w:val="none" w:sz="0" w:space="0" w:color="auto"/>
                    <w:right w:val="none" w:sz="0" w:space="0" w:color="auto"/>
                  </w:divBdr>
                </w:div>
                <w:div w:id="1714773632">
                  <w:marLeft w:val="0"/>
                  <w:marRight w:val="0"/>
                  <w:marTop w:val="0"/>
                  <w:marBottom w:val="0"/>
                  <w:divBdr>
                    <w:top w:val="none" w:sz="0" w:space="0" w:color="auto"/>
                    <w:left w:val="none" w:sz="0" w:space="0" w:color="auto"/>
                    <w:bottom w:val="none" w:sz="0" w:space="0" w:color="auto"/>
                    <w:right w:val="none" w:sz="0" w:space="0" w:color="auto"/>
                  </w:divBdr>
                </w:div>
                <w:div w:id="1717660296">
                  <w:marLeft w:val="0"/>
                  <w:marRight w:val="0"/>
                  <w:marTop w:val="0"/>
                  <w:marBottom w:val="0"/>
                  <w:divBdr>
                    <w:top w:val="none" w:sz="0" w:space="0" w:color="auto"/>
                    <w:left w:val="none" w:sz="0" w:space="0" w:color="auto"/>
                    <w:bottom w:val="none" w:sz="0" w:space="0" w:color="auto"/>
                    <w:right w:val="none" w:sz="0" w:space="0" w:color="auto"/>
                  </w:divBdr>
                </w:div>
                <w:div w:id="1753548631">
                  <w:marLeft w:val="0"/>
                  <w:marRight w:val="0"/>
                  <w:marTop w:val="0"/>
                  <w:marBottom w:val="0"/>
                  <w:divBdr>
                    <w:top w:val="none" w:sz="0" w:space="0" w:color="auto"/>
                    <w:left w:val="none" w:sz="0" w:space="0" w:color="auto"/>
                    <w:bottom w:val="none" w:sz="0" w:space="0" w:color="auto"/>
                    <w:right w:val="none" w:sz="0" w:space="0" w:color="auto"/>
                  </w:divBdr>
                </w:div>
                <w:div w:id="1782602202">
                  <w:marLeft w:val="0"/>
                  <w:marRight w:val="0"/>
                  <w:marTop w:val="0"/>
                  <w:marBottom w:val="0"/>
                  <w:divBdr>
                    <w:top w:val="none" w:sz="0" w:space="0" w:color="auto"/>
                    <w:left w:val="none" w:sz="0" w:space="0" w:color="auto"/>
                    <w:bottom w:val="none" w:sz="0" w:space="0" w:color="auto"/>
                    <w:right w:val="none" w:sz="0" w:space="0" w:color="auto"/>
                  </w:divBdr>
                </w:div>
                <w:div w:id="1782842469">
                  <w:marLeft w:val="0"/>
                  <w:marRight w:val="0"/>
                  <w:marTop w:val="0"/>
                  <w:marBottom w:val="0"/>
                  <w:divBdr>
                    <w:top w:val="none" w:sz="0" w:space="0" w:color="auto"/>
                    <w:left w:val="none" w:sz="0" w:space="0" w:color="auto"/>
                    <w:bottom w:val="none" w:sz="0" w:space="0" w:color="auto"/>
                    <w:right w:val="none" w:sz="0" w:space="0" w:color="auto"/>
                  </w:divBdr>
                </w:div>
                <w:div w:id="1798334129">
                  <w:marLeft w:val="0"/>
                  <w:marRight w:val="0"/>
                  <w:marTop w:val="0"/>
                  <w:marBottom w:val="0"/>
                  <w:divBdr>
                    <w:top w:val="none" w:sz="0" w:space="0" w:color="auto"/>
                    <w:left w:val="none" w:sz="0" w:space="0" w:color="auto"/>
                    <w:bottom w:val="none" w:sz="0" w:space="0" w:color="auto"/>
                    <w:right w:val="none" w:sz="0" w:space="0" w:color="auto"/>
                  </w:divBdr>
                </w:div>
                <w:div w:id="1808088964">
                  <w:marLeft w:val="0"/>
                  <w:marRight w:val="0"/>
                  <w:marTop w:val="0"/>
                  <w:marBottom w:val="0"/>
                  <w:divBdr>
                    <w:top w:val="none" w:sz="0" w:space="0" w:color="auto"/>
                    <w:left w:val="none" w:sz="0" w:space="0" w:color="auto"/>
                    <w:bottom w:val="none" w:sz="0" w:space="0" w:color="auto"/>
                    <w:right w:val="none" w:sz="0" w:space="0" w:color="auto"/>
                  </w:divBdr>
                </w:div>
                <w:div w:id="1817452116">
                  <w:marLeft w:val="0"/>
                  <w:marRight w:val="0"/>
                  <w:marTop w:val="0"/>
                  <w:marBottom w:val="0"/>
                  <w:divBdr>
                    <w:top w:val="none" w:sz="0" w:space="0" w:color="auto"/>
                    <w:left w:val="none" w:sz="0" w:space="0" w:color="auto"/>
                    <w:bottom w:val="none" w:sz="0" w:space="0" w:color="auto"/>
                    <w:right w:val="none" w:sz="0" w:space="0" w:color="auto"/>
                  </w:divBdr>
                </w:div>
                <w:div w:id="1831748137">
                  <w:marLeft w:val="0"/>
                  <w:marRight w:val="0"/>
                  <w:marTop w:val="0"/>
                  <w:marBottom w:val="0"/>
                  <w:divBdr>
                    <w:top w:val="none" w:sz="0" w:space="0" w:color="auto"/>
                    <w:left w:val="none" w:sz="0" w:space="0" w:color="auto"/>
                    <w:bottom w:val="none" w:sz="0" w:space="0" w:color="auto"/>
                    <w:right w:val="none" w:sz="0" w:space="0" w:color="auto"/>
                  </w:divBdr>
                </w:div>
                <w:div w:id="1845316830">
                  <w:marLeft w:val="0"/>
                  <w:marRight w:val="0"/>
                  <w:marTop w:val="0"/>
                  <w:marBottom w:val="0"/>
                  <w:divBdr>
                    <w:top w:val="none" w:sz="0" w:space="0" w:color="auto"/>
                    <w:left w:val="none" w:sz="0" w:space="0" w:color="auto"/>
                    <w:bottom w:val="none" w:sz="0" w:space="0" w:color="auto"/>
                    <w:right w:val="none" w:sz="0" w:space="0" w:color="auto"/>
                  </w:divBdr>
                </w:div>
                <w:div w:id="1876232698">
                  <w:marLeft w:val="0"/>
                  <w:marRight w:val="0"/>
                  <w:marTop w:val="0"/>
                  <w:marBottom w:val="0"/>
                  <w:divBdr>
                    <w:top w:val="none" w:sz="0" w:space="0" w:color="auto"/>
                    <w:left w:val="none" w:sz="0" w:space="0" w:color="auto"/>
                    <w:bottom w:val="none" w:sz="0" w:space="0" w:color="auto"/>
                    <w:right w:val="none" w:sz="0" w:space="0" w:color="auto"/>
                  </w:divBdr>
                </w:div>
                <w:div w:id="1876841908">
                  <w:marLeft w:val="0"/>
                  <w:marRight w:val="0"/>
                  <w:marTop w:val="0"/>
                  <w:marBottom w:val="0"/>
                  <w:divBdr>
                    <w:top w:val="none" w:sz="0" w:space="0" w:color="auto"/>
                    <w:left w:val="none" w:sz="0" w:space="0" w:color="auto"/>
                    <w:bottom w:val="none" w:sz="0" w:space="0" w:color="auto"/>
                    <w:right w:val="none" w:sz="0" w:space="0" w:color="auto"/>
                  </w:divBdr>
                </w:div>
                <w:div w:id="1896812552">
                  <w:marLeft w:val="0"/>
                  <w:marRight w:val="0"/>
                  <w:marTop w:val="0"/>
                  <w:marBottom w:val="0"/>
                  <w:divBdr>
                    <w:top w:val="none" w:sz="0" w:space="0" w:color="auto"/>
                    <w:left w:val="none" w:sz="0" w:space="0" w:color="auto"/>
                    <w:bottom w:val="none" w:sz="0" w:space="0" w:color="auto"/>
                    <w:right w:val="none" w:sz="0" w:space="0" w:color="auto"/>
                  </w:divBdr>
                </w:div>
                <w:div w:id="1902248917">
                  <w:marLeft w:val="0"/>
                  <w:marRight w:val="0"/>
                  <w:marTop w:val="0"/>
                  <w:marBottom w:val="0"/>
                  <w:divBdr>
                    <w:top w:val="none" w:sz="0" w:space="0" w:color="auto"/>
                    <w:left w:val="none" w:sz="0" w:space="0" w:color="auto"/>
                    <w:bottom w:val="none" w:sz="0" w:space="0" w:color="auto"/>
                    <w:right w:val="none" w:sz="0" w:space="0" w:color="auto"/>
                  </w:divBdr>
                </w:div>
                <w:div w:id="1907643347">
                  <w:marLeft w:val="0"/>
                  <w:marRight w:val="0"/>
                  <w:marTop w:val="0"/>
                  <w:marBottom w:val="0"/>
                  <w:divBdr>
                    <w:top w:val="none" w:sz="0" w:space="0" w:color="auto"/>
                    <w:left w:val="none" w:sz="0" w:space="0" w:color="auto"/>
                    <w:bottom w:val="none" w:sz="0" w:space="0" w:color="auto"/>
                    <w:right w:val="none" w:sz="0" w:space="0" w:color="auto"/>
                  </w:divBdr>
                </w:div>
                <w:div w:id="1952317764">
                  <w:marLeft w:val="0"/>
                  <w:marRight w:val="0"/>
                  <w:marTop w:val="0"/>
                  <w:marBottom w:val="0"/>
                  <w:divBdr>
                    <w:top w:val="none" w:sz="0" w:space="0" w:color="auto"/>
                    <w:left w:val="none" w:sz="0" w:space="0" w:color="auto"/>
                    <w:bottom w:val="none" w:sz="0" w:space="0" w:color="auto"/>
                    <w:right w:val="none" w:sz="0" w:space="0" w:color="auto"/>
                  </w:divBdr>
                </w:div>
                <w:div w:id="1986856706">
                  <w:marLeft w:val="0"/>
                  <w:marRight w:val="0"/>
                  <w:marTop w:val="0"/>
                  <w:marBottom w:val="0"/>
                  <w:divBdr>
                    <w:top w:val="none" w:sz="0" w:space="0" w:color="auto"/>
                    <w:left w:val="none" w:sz="0" w:space="0" w:color="auto"/>
                    <w:bottom w:val="none" w:sz="0" w:space="0" w:color="auto"/>
                    <w:right w:val="none" w:sz="0" w:space="0" w:color="auto"/>
                  </w:divBdr>
                </w:div>
                <w:div w:id="2005039915">
                  <w:marLeft w:val="0"/>
                  <w:marRight w:val="0"/>
                  <w:marTop w:val="0"/>
                  <w:marBottom w:val="0"/>
                  <w:divBdr>
                    <w:top w:val="none" w:sz="0" w:space="0" w:color="auto"/>
                    <w:left w:val="none" w:sz="0" w:space="0" w:color="auto"/>
                    <w:bottom w:val="none" w:sz="0" w:space="0" w:color="auto"/>
                    <w:right w:val="none" w:sz="0" w:space="0" w:color="auto"/>
                  </w:divBdr>
                </w:div>
                <w:div w:id="2060591440">
                  <w:marLeft w:val="0"/>
                  <w:marRight w:val="0"/>
                  <w:marTop w:val="0"/>
                  <w:marBottom w:val="0"/>
                  <w:divBdr>
                    <w:top w:val="none" w:sz="0" w:space="0" w:color="auto"/>
                    <w:left w:val="none" w:sz="0" w:space="0" w:color="auto"/>
                    <w:bottom w:val="none" w:sz="0" w:space="0" w:color="auto"/>
                    <w:right w:val="none" w:sz="0" w:space="0" w:color="auto"/>
                  </w:divBdr>
                </w:div>
                <w:div w:id="2068604769">
                  <w:marLeft w:val="0"/>
                  <w:marRight w:val="0"/>
                  <w:marTop w:val="0"/>
                  <w:marBottom w:val="0"/>
                  <w:divBdr>
                    <w:top w:val="none" w:sz="0" w:space="0" w:color="auto"/>
                    <w:left w:val="none" w:sz="0" w:space="0" w:color="auto"/>
                    <w:bottom w:val="none" w:sz="0" w:space="0" w:color="auto"/>
                    <w:right w:val="none" w:sz="0" w:space="0" w:color="auto"/>
                  </w:divBdr>
                </w:div>
                <w:div w:id="2070690315">
                  <w:marLeft w:val="0"/>
                  <w:marRight w:val="0"/>
                  <w:marTop w:val="0"/>
                  <w:marBottom w:val="0"/>
                  <w:divBdr>
                    <w:top w:val="none" w:sz="0" w:space="0" w:color="auto"/>
                    <w:left w:val="none" w:sz="0" w:space="0" w:color="auto"/>
                    <w:bottom w:val="none" w:sz="0" w:space="0" w:color="auto"/>
                    <w:right w:val="none" w:sz="0" w:space="0" w:color="auto"/>
                  </w:divBdr>
                </w:div>
                <w:div w:id="2071806386">
                  <w:marLeft w:val="0"/>
                  <w:marRight w:val="0"/>
                  <w:marTop w:val="0"/>
                  <w:marBottom w:val="0"/>
                  <w:divBdr>
                    <w:top w:val="none" w:sz="0" w:space="0" w:color="auto"/>
                    <w:left w:val="none" w:sz="0" w:space="0" w:color="auto"/>
                    <w:bottom w:val="none" w:sz="0" w:space="0" w:color="auto"/>
                    <w:right w:val="none" w:sz="0" w:space="0" w:color="auto"/>
                  </w:divBdr>
                </w:div>
                <w:div w:id="2116174141">
                  <w:marLeft w:val="0"/>
                  <w:marRight w:val="0"/>
                  <w:marTop w:val="0"/>
                  <w:marBottom w:val="0"/>
                  <w:divBdr>
                    <w:top w:val="none" w:sz="0" w:space="0" w:color="auto"/>
                    <w:left w:val="none" w:sz="0" w:space="0" w:color="auto"/>
                    <w:bottom w:val="none" w:sz="0" w:space="0" w:color="auto"/>
                    <w:right w:val="none" w:sz="0" w:space="0" w:color="auto"/>
                  </w:divBdr>
                </w:div>
                <w:div w:id="2146462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9974496">
          <w:marLeft w:val="150"/>
          <w:marRight w:val="0"/>
          <w:marTop w:val="150"/>
          <w:marBottom w:val="0"/>
          <w:divBdr>
            <w:top w:val="single" w:sz="6" w:space="0" w:color="AAAAAA"/>
            <w:left w:val="single" w:sz="6" w:space="0" w:color="AAAAAA"/>
            <w:bottom w:val="single" w:sz="6" w:space="0" w:color="AAAAAA"/>
            <w:right w:val="single" w:sz="6" w:space="0" w:color="AAAAAA"/>
          </w:divBdr>
          <w:divsChild>
            <w:div w:id="898320105">
              <w:marLeft w:val="0"/>
              <w:marRight w:val="0"/>
              <w:marTop w:val="0"/>
              <w:marBottom w:val="0"/>
              <w:divBdr>
                <w:top w:val="none" w:sz="0" w:space="0" w:color="auto"/>
                <w:left w:val="none" w:sz="0" w:space="0" w:color="auto"/>
                <w:bottom w:val="none" w:sz="0" w:space="0" w:color="auto"/>
                <w:right w:val="none" w:sz="0" w:space="0" w:color="auto"/>
              </w:divBdr>
              <w:divsChild>
                <w:div w:id="15886822">
                  <w:marLeft w:val="0"/>
                  <w:marRight w:val="0"/>
                  <w:marTop w:val="0"/>
                  <w:marBottom w:val="0"/>
                  <w:divBdr>
                    <w:top w:val="none" w:sz="0" w:space="0" w:color="auto"/>
                    <w:left w:val="none" w:sz="0" w:space="0" w:color="auto"/>
                    <w:bottom w:val="none" w:sz="0" w:space="0" w:color="auto"/>
                    <w:right w:val="none" w:sz="0" w:space="0" w:color="auto"/>
                  </w:divBdr>
                </w:div>
                <w:div w:id="22176146">
                  <w:marLeft w:val="0"/>
                  <w:marRight w:val="0"/>
                  <w:marTop w:val="0"/>
                  <w:marBottom w:val="0"/>
                  <w:divBdr>
                    <w:top w:val="none" w:sz="0" w:space="0" w:color="auto"/>
                    <w:left w:val="none" w:sz="0" w:space="0" w:color="auto"/>
                    <w:bottom w:val="none" w:sz="0" w:space="0" w:color="auto"/>
                    <w:right w:val="none" w:sz="0" w:space="0" w:color="auto"/>
                  </w:divBdr>
                </w:div>
                <w:div w:id="40063388">
                  <w:marLeft w:val="0"/>
                  <w:marRight w:val="0"/>
                  <w:marTop w:val="0"/>
                  <w:marBottom w:val="0"/>
                  <w:divBdr>
                    <w:top w:val="none" w:sz="0" w:space="0" w:color="auto"/>
                    <w:left w:val="none" w:sz="0" w:space="0" w:color="auto"/>
                    <w:bottom w:val="none" w:sz="0" w:space="0" w:color="auto"/>
                    <w:right w:val="none" w:sz="0" w:space="0" w:color="auto"/>
                  </w:divBdr>
                </w:div>
                <w:div w:id="68773445">
                  <w:marLeft w:val="0"/>
                  <w:marRight w:val="0"/>
                  <w:marTop w:val="0"/>
                  <w:marBottom w:val="0"/>
                  <w:divBdr>
                    <w:top w:val="none" w:sz="0" w:space="0" w:color="auto"/>
                    <w:left w:val="none" w:sz="0" w:space="0" w:color="auto"/>
                    <w:bottom w:val="none" w:sz="0" w:space="0" w:color="auto"/>
                    <w:right w:val="none" w:sz="0" w:space="0" w:color="auto"/>
                  </w:divBdr>
                </w:div>
                <w:div w:id="71048822">
                  <w:marLeft w:val="0"/>
                  <w:marRight w:val="0"/>
                  <w:marTop w:val="0"/>
                  <w:marBottom w:val="0"/>
                  <w:divBdr>
                    <w:top w:val="none" w:sz="0" w:space="0" w:color="auto"/>
                    <w:left w:val="none" w:sz="0" w:space="0" w:color="auto"/>
                    <w:bottom w:val="none" w:sz="0" w:space="0" w:color="auto"/>
                    <w:right w:val="none" w:sz="0" w:space="0" w:color="auto"/>
                  </w:divBdr>
                </w:div>
                <w:div w:id="171068469">
                  <w:marLeft w:val="0"/>
                  <w:marRight w:val="0"/>
                  <w:marTop w:val="0"/>
                  <w:marBottom w:val="0"/>
                  <w:divBdr>
                    <w:top w:val="none" w:sz="0" w:space="0" w:color="auto"/>
                    <w:left w:val="none" w:sz="0" w:space="0" w:color="auto"/>
                    <w:bottom w:val="none" w:sz="0" w:space="0" w:color="auto"/>
                    <w:right w:val="none" w:sz="0" w:space="0" w:color="auto"/>
                  </w:divBdr>
                </w:div>
                <w:div w:id="185607200">
                  <w:marLeft w:val="0"/>
                  <w:marRight w:val="0"/>
                  <w:marTop w:val="0"/>
                  <w:marBottom w:val="0"/>
                  <w:divBdr>
                    <w:top w:val="none" w:sz="0" w:space="0" w:color="auto"/>
                    <w:left w:val="none" w:sz="0" w:space="0" w:color="auto"/>
                    <w:bottom w:val="none" w:sz="0" w:space="0" w:color="auto"/>
                    <w:right w:val="none" w:sz="0" w:space="0" w:color="auto"/>
                  </w:divBdr>
                </w:div>
                <w:div w:id="238364509">
                  <w:marLeft w:val="0"/>
                  <w:marRight w:val="0"/>
                  <w:marTop w:val="0"/>
                  <w:marBottom w:val="0"/>
                  <w:divBdr>
                    <w:top w:val="none" w:sz="0" w:space="0" w:color="auto"/>
                    <w:left w:val="none" w:sz="0" w:space="0" w:color="auto"/>
                    <w:bottom w:val="none" w:sz="0" w:space="0" w:color="auto"/>
                    <w:right w:val="none" w:sz="0" w:space="0" w:color="auto"/>
                  </w:divBdr>
                </w:div>
                <w:div w:id="247615390">
                  <w:marLeft w:val="0"/>
                  <w:marRight w:val="0"/>
                  <w:marTop w:val="0"/>
                  <w:marBottom w:val="0"/>
                  <w:divBdr>
                    <w:top w:val="none" w:sz="0" w:space="0" w:color="auto"/>
                    <w:left w:val="none" w:sz="0" w:space="0" w:color="auto"/>
                    <w:bottom w:val="none" w:sz="0" w:space="0" w:color="auto"/>
                    <w:right w:val="none" w:sz="0" w:space="0" w:color="auto"/>
                  </w:divBdr>
                </w:div>
                <w:div w:id="285815179">
                  <w:marLeft w:val="0"/>
                  <w:marRight w:val="0"/>
                  <w:marTop w:val="0"/>
                  <w:marBottom w:val="0"/>
                  <w:divBdr>
                    <w:top w:val="none" w:sz="0" w:space="0" w:color="auto"/>
                    <w:left w:val="none" w:sz="0" w:space="0" w:color="auto"/>
                    <w:bottom w:val="none" w:sz="0" w:space="0" w:color="auto"/>
                    <w:right w:val="none" w:sz="0" w:space="0" w:color="auto"/>
                  </w:divBdr>
                </w:div>
                <w:div w:id="285821053">
                  <w:marLeft w:val="0"/>
                  <w:marRight w:val="0"/>
                  <w:marTop w:val="0"/>
                  <w:marBottom w:val="0"/>
                  <w:divBdr>
                    <w:top w:val="none" w:sz="0" w:space="0" w:color="auto"/>
                    <w:left w:val="none" w:sz="0" w:space="0" w:color="auto"/>
                    <w:bottom w:val="none" w:sz="0" w:space="0" w:color="auto"/>
                    <w:right w:val="none" w:sz="0" w:space="0" w:color="auto"/>
                  </w:divBdr>
                </w:div>
                <w:div w:id="323826119">
                  <w:marLeft w:val="0"/>
                  <w:marRight w:val="0"/>
                  <w:marTop w:val="0"/>
                  <w:marBottom w:val="0"/>
                  <w:divBdr>
                    <w:top w:val="none" w:sz="0" w:space="0" w:color="auto"/>
                    <w:left w:val="none" w:sz="0" w:space="0" w:color="auto"/>
                    <w:bottom w:val="none" w:sz="0" w:space="0" w:color="auto"/>
                    <w:right w:val="none" w:sz="0" w:space="0" w:color="auto"/>
                  </w:divBdr>
                </w:div>
                <w:div w:id="351802790">
                  <w:marLeft w:val="0"/>
                  <w:marRight w:val="0"/>
                  <w:marTop w:val="0"/>
                  <w:marBottom w:val="0"/>
                  <w:divBdr>
                    <w:top w:val="none" w:sz="0" w:space="0" w:color="auto"/>
                    <w:left w:val="none" w:sz="0" w:space="0" w:color="auto"/>
                    <w:bottom w:val="none" w:sz="0" w:space="0" w:color="auto"/>
                    <w:right w:val="none" w:sz="0" w:space="0" w:color="auto"/>
                  </w:divBdr>
                </w:div>
                <w:div w:id="480849873">
                  <w:marLeft w:val="0"/>
                  <w:marRight w:val="0"/>
                  <w:marTop w:val="0"/>
                  <w:marBottom w:val="0"/>
                  <w:divBdr>
                    <w:top w:val="none" w:sz="0" w:space="0" w:color="auto"/>
                    <w:left w:val="none" w:sz="0" w:space="0" w:color="auto"/>
                    <w:bottom w:val="none" w:sz="0" w:space="0" w:color="auto"/>
                    <w:right w:val="none" w:sz="0" w:space="0" w:color="auto"/>
                  </w:divBdr>
                </w:div>
                <w:div w:id="552887707">
                  <w:marLeft w:val="0"/>
                  <w:marRight w:val="0"/>
                  <w:marTop w:val="0"/>
                  <w:marBottom w:val="0"/>
                  <w:divBdr>
                    <w:top w:val="none" w:sz="0" w:space="0" w:color="auto"/>
                    <w:left w:val="none" w:sz="0" w:space="0" w:color="auto"/>
                    <w:bottom w:val="none" w:sz="0" w:space="0" w:color="auto"/>
                    <w:right w:val="none" w:sz="0" w:space="0" w:color="auto"/>
                  </w:divBdr>
                </w:div>
                <w:div w:id="580916862">
                  <w:marLeft w:val="0"/>
                  <w:marRight w:val="0"/>
                  <w:marTop w:val="0"/>
                  <w:marBottom w:val="0"/>
                  <w:divBdr>
                    <w:top w:val="none" w:sz="0" w:space="0" w:color="auto"/>
                    <w:left w:val="none" w:sz="0" w:space="0" w:color="auto"/>
                    <w:bottom w:val="none" w:sz="0" w:space="0" w:color="auto"/>
                    <w:right w:val="none" w:sz="0" w:space="0" w:color="auto"/>
                  </w:divBdr>
                </w:div>
                <w:div w:id="658120864">
                  <w:marLeft w:val="0"/>
                  <w:marRight w:val="0"/>
                  <w:marTop w:val="0"/>
                  <w:marBottom w:val="0"/>
                  <w:divBdr>
                    <w:top w:val="none" w:sz="0" w:space="0" w:color="auto"/>
                    <w:left w:val="none" w:sz="0" w:space="0" w:color="auto"/>
                    <w:bottom w:val="none" w:sz="0" w:space="0" w:color="auto"/>
                    <w:right w:val="none" w:sz="0" w:space="0" w:color="auto"/>
                  </w:divBdr>
                </w:div>
                <w:div w:id="723718072">
                  <w:marLeft w:val="0"/>
                  <w:marRight w:val="0"/>
                  <w:marTop w:val="0"/>
                  <w:marBottom w:val="0"/>
                  <w:divBdr>
                    <w:top w:val="none" w:sz="0" w:space="0" w:color="auto"/>
                    <w:left w:val="none" w:sz="0" w:space="0" w:color="auto"/>
                    <w:bottom w:val="none" w:sz="0" w:space="0" w:color="auto"/>
                    <w:right w:val="none" w:sz="0" w:space="0" w:color="auto"/>
                  </w:divBdr>
                </w:div>
                <w:div w:id="779450509">
                  <w:marLeft w:val="0"/>
                  <w:marRight w:val="0"/>
                  <w:marTop w:val="0"/>
                  <w:marBottom w:val="0"/>
                  <w:divBdr>
                    <w:top w:val="none" w:sz="0" w:space="0" w:color="auto"/>
                    <w:left w:val="none" w:sz="0" w:space="0" w:color="auto"/>
                    <w:bottom w:val="none" w:sz="0" w:space="0" w:color="auto"/>
                    <w:right w:val="none" w:sz="0" w:space="0" w:color="auto"/>
                  </w:divBdr>
                </w:div>
                <w:div w:id="787310096">
                  <w:marLeft w:val="0"/>
                  <w:marRight w:val="0"/>
                  <w:marTop w:val="0"/>
                  <w:marBottom w:val="0"/>
                  <w:divBdr>
                    <w:top w:val="none" w:sz="0" w:space="0" w:color="auto"/>
                    <w:left w:val="none" w:sz="0" w:space="0" w:color="auto"/>
                    <w:bottom w:val="none" w:sz="0" w:space="0" w:color="auto"/>
                    <w:right w:val="none" w:sz="0" w:space="0" w:color="auto"/>
                  </w:divBdr>
                </w:div>
                <w:div w:id="806631010">
                  <w:marLeft w:val="0"/>
                  <w:marRight w:val="0"/>
                  <w:marTop w:val="0"/>
                  <w:marBottom w:val="0"/>
                  <w:divBdr>
                    <w:top w:val="none" w:sz="0" w:space="0" w:color="auto"/>
                    <w:left w:val="none" w:sz="0" w:space="0" w:color="auto"/>
                    <w:bottom w:val="none" w:sz="0" w:space="0" w:color="auto"/>
                    <w:right w:val="none" w:sz="0" w:space="0" w:color="auto"/>
                  </w:divBdr>
                </w:div>
                <w:div w:id="831721857">
                  <w:marLeft w:val="0"/>
                  <w:marRight w:val="0"/>
                  <w:marTop w:val="0"/>
                  <w:marBottom w:val="0"/>
                  <w:divBdr>
                    <w:top w:val="none" w:sz="0" w:space="0" w:color="auto"/>
                    <w:left w:val="none" w:sz="0" w:space="0" w:color="auto"/>
                    <w:bottom w:val="none" w:sz="0" w:space="0" w:color="auto"/>
                    <w:right w:val="none" w:sz="0" w:space="0" w:color="auto"/>
                  </w:divBdr>
                </w:div>
                <w:div w:id="835147882">
                  <w:marLeft w:val="0"/>
                  <w:marRight w:val="0"/>
                  <w:marTop w:val="0"/>
                  <w:marBottom w:val="0"/>
                  <w:divBdr>
                    <w:top w:val="none" w:sz="0" w:space="0" w:color="auto"/>
                    <w:left w:val="none" w:sz="0" w:space="0" w:color="auto"/>
                    <w:bottom w:val="none" w:sz="0" w:space="0" w:color="auto"/>
                    <w:right w:val="none" w:sz="0" w:space="0" w:color="auto"/>
                  </w:divBdr>
                </w:div>
                <w:div w:id="867646777">
                  <w:marLeft w:val="0"/>
                  <w:marRight w:val="0"/>
                  <w:marTop w:val="0"/>
                  <w:marBottom w:val="0"/>
                  <w:divBdr>
                    <w:top w:val="none" w:sz="0" w:space="0" w:color="auto"/>
                    <w:left w:val="none" w:sz="0" w:space="0" w:color="auto"/>
                    <w:bottom w:val="none" w:sz="0" w:space="0" w:color="auto"/>
                    <w:right w:val="none" w:sz="0" w:space="0" w:color="auto"/>
                  </w:divBdr>
                </w:div>
                <w:div w:id="868180510">
                  <w:marLeft w:val="0"/>
                  <w:marRight w:val="0"/>
                  <w:marTop w:val="0"/>
                  <w:marBottom w:val="0"/>
                  <w:divBdr>
                    <w:top w:val="none" w:sz="0" w:space="0" w:color="auto"/>
                    <w:left w:val="none" w:sz="0" w:space="0" w:color="auto"/>
                    <w:bottom w:val="none" w:sz="0" w:space="0" w:color="auto"/>
                    <w:right w:val="none" w:sz="0" w:space="0" w:color="auto"/>
                  </w:divBdr>
                </w:div>
                <w:div w:id="925115913">
                  <w:marLeft w:val="0"/>
                  <w:marRight w:val="0"/>
                  <w:marTop w:val="0"/>
                  <w:marBottom w:val="0"/>
                  <w:divBdr>
                    <w:top w:val="none" w:sz="0" w:space="0" w:color="auto"/>
                    <w:left w:val="none" w:sz="0" w:space="0" w:color="auto"/>
                    <w:bottom w:val="none" w:sz="0" w:space="0" w:color="auto"/>
                    <w:right w:val="none" w:sz="0" w:space="0" w:color="auto"/>
                  </w:divBdr>
                </w:div>
                <w:div w:id="925501234">
                  <w:marLeft w:val="0"/>
                  <w:marRight w:val="0"/>
                  <w:marTop w:val="0"/>
                  <w:marBottom w:val="0"/>
                  <w:divBdr>
                    <w:top w:val="none" w:sz="0" w:space="0" w:color="auto"/>
                    <w:left w:val="none" w:sz="0" w:space="0" w:color="auto"/>
                    <w:bottom w:val="none" w:sz="0" w:space="0" w:color="auto"/>
                    <w:right w:val="none" w:sz="0" w:space="0" w:color="auto"/>
                  </w:divBdr>
                </w:div>
                <w:div w:id="937756791">
                  <w:marLeft w:val="0"/>
                  <w:marRight w:val="0"/>
                  <w:marTop w:val="0"/>
                  <w:marBottom w:val="0"/>
                  <w:divBdr>
                    <w:top w:val="none" w:sz="0" w:space="0" w:color="auto"/>
                    <w:left w:val="none" w:sz="0" w:space="0" w:color="auto"/>
                    <w:bottom w:val="none" w:sz="0" w:space="0" w:color="auto"/>
                    <w:right w:val="none" w:sz="0" w:space="0" w:color="auto"/>
                  </w:divBdr>
                </w:div>
                <w:div w:id="974411719">
                  <w:marLeft w:val="0"/>
                  <w:marRight w:val="0"/>
                  <w:marTop w:val="0"/>
                  <w:marBottom w:val="0"/>
                  <w:divBdr>
                    <w:top w:val="none" w:sz="0" w:space="0" w:color="auto"/>
                    <w:left w:val="none" w:sz="0" w:space="0" w:color="auto"/>
                    <w:bottom w:val="none" w:sz="0" w:space="0" w:color="auto"/>
                    <w:right w:val="none" w:sz="0" w:space="0" w:color="auto"/>
                  </w:divBdr>
                </w:div>
                <w:div w:id="985477213">
                  <w:marLeft w:val="0"/>
                  <w:marRight w:val="0"/>
                  <w:marTop w:val="0"/>
                  <w:marBottom w:val="0"/>
                  <w:divBdr>
                    <w:top w:val="none" w:sz="0" w:space="0" w:color="auto"/>
                    <w:left w:val="none" w:sz="0" w:space="0" w:color="auto"/>
                    <w:bottom w:val="none" w:sz="0" w:space="0" w:color="auto"/>
                    <w:right w:val="none" w:sz="0" w:space="0" w:color="auto"/>
                  </w:divBdr>
                </w:div>
                <w:div w:id="1194075846">
                  <w:marLeft w:val="0"/>
                  <w:marRight w:val="0"/>
                  <w:marTop w:val="0"/>
                  <w:marBottom w:val="0"/>
                  <w:divBdr>
                    <w:top w:val="none" w:sz="0" w:space="0" w:color="auto"/>
                    <w:left w:val="none" w:sz="0" w:space="0" w:color="auto"/>
                    <w:bottom w:val="none" w:sz="0" w:space="0" w:color="auto"/>
                    <w:right w:val="none" w:sz="0" w:space="0" w:color="auto"/>
                  </w:divBdr>
                </w:div>
                <w:div w:id="1204563648">
                  <w:marLeft w:val="0"/>
                  <w:marRight w:val="0"/>
                  <w:marTop w:val="0"/>
                  <w:marBottom w:val="0"/>
                  <w:divBdr>
                    <w:top w:val="none" w:sz="0" w:space="0" w:color="auto"/>
                    <w:left w:val="none" w:sz="0" w:space="0" w:color="auto"/>
                    <w:bottom w:val="none" w:sz="0" w:space="0" w:color="auto"/>
                    <w:right w:val="none" w:sz="0" w:space="0" w:color="auto"/>
                  </w:divBdr>
                </w:div>
                <w:div w:id="1255702258">
                  <w:marLeft w:val="0"/>
                  <w:marRight w:val="0"/>
                  <w:marTop w:val="0"/>
                  <w:marBottom w:val="0"/>
                  <w:divBdr>
                    <w:top w:val="none" w:sz="0" w:space="0" w:color="auto"/>
                    <w:left w:val="none" w:sz="0" w:space="0" w:color="auto"/>
                    <w:bottom w:val="none" w:sz="0" w:space="0" w:color="auto"/>
                    <w:right w:val="none" w:sz="0" w:space="0" w:color="auto"/>
                  </w:divBdr>
                </w:div>
                <w:div w:id="1348289437">
                  <w:marLeft w:val="0"/>
                  <w:marRight w:val="0"/>
                  <w:marTop w:val="0"/>
                  <w:marBottom w:val="0"/>
                  <w:divBdr>
                    <w:top w:val="none" w:sz="0" w:space="0" w:color="auto"/>
                    <w:left w:val="none" w:sz="0" w:space="0" w:color="auto"/>
                    <w:bottom w:val="none" w:sz="0" w:space="0" w:color="auto"/>
                    <w:right w:val="none" w:sz="0" w:space="0" w:color="auto"/>
                  </w:divBdr>
                </w:div>
                <w:div w:id="1383868551">
                  <w:marLeft w:val="0"/>
                  <w:marRight w:val="0"/>
                  <w:marTop w:val="0"/>
                  <w:marBottom w:val="0"/>
                  <w:divBdr>
                    <w:top w:val="none" w:sz="0" w:space="0" w:color="auto"/>
                    <w:left w:val="none" w:sz="0" w:space="0" w:color="auto"/>
                    <w:bottom w:val="none" w:sz="0" w:space="0" w:color="auto"/>
                    <w:right w:val="none" w:sz="0" w:space="0" w:color="auto"/>
                  </w:divBdr>
                </w:div>
                <w:div w:id="1407532351">
                  <w:marLeft w:val="0"/>
                  <w:marRight w:val="0"/>
                  <w:marTop w:val="0"/>
                  <w:marBottom w:val="0"/>
                  <w:divBdr>
                    <w:top w:val="none" w:sz="0" w:space="0" w:color="auto"/>
                    <w:left w:val="none" w:sz="0" w:space="0" w:color="auto"/>
                    <w:bottom w:val="none" w:sz="0" w:space="0" w:color="auto"/>
                    <w:right w:val="none" w:sz="0" w:space="0" w:color="auto"/>
                  </w:divBdr>
                </w:div>
                <w:div w:id="1413576271">
                  <w:marLeft w:val="0"/>
                  <w:marRight w:val="0"/>
                  <w:marTop w:val="0"/>
                  <w:marBottom w:val="0"/>
                  <w:divBdr>
                    <w:top w:val="none" w:sz="0" w:space="0" w:color="auto"/>
                    <w:left w:val="none" w:sz="0" w:space="0" w:color="auto"/>
                    <w:bottom w:val="none" w:sz="0" w:space="0" w:color="auto"/>
                    <w:right w:val="none" w:sz="0" w:space="0" w:color="auto"/>
                  </w:divBdr>
                </w:div>
                <w:div w:id="1455249470">
                  <w:marLeft w:val="0"/>
                  <w:marRight w:val="0"/>
                  <w:marTop w:val="0"/>
                  <w:marBottom w:val="0"/>
                  <w:divBdr>
                    <w:top w:val="none" w:sz="0" w:space="0" w:color="auto"/>
                    <w:left w:val="none" w:sz="0" w:space="0" w:color="auto"/>
                    <w:bottom w:val="none" w:sz="0" w:space="0" w:color="auto"/>
                    <w:right w:val="none" w:sz="0" w:space="0" w:color="auto"/>
                  </w:divBdr>
                </w:div>
                <w:div w:id="1488354474">
                  <w:marLeft w:val="0"/>
                  <w:marRight w:val="0"/>
                  <w:marTop w:val="0"/>
                  <w:marBottom w:val="0"/>
                  <w:divBdr>
                    <w:top w:val="none" w:sz="0" w:space="0" w:color="auto"/>
                    <w:left w:val="none" w:sz="0" w:space="0" w:color="auto"/>
                    <w:bottom w:val="none" w:sz="0" w:space="0" w:color="auto"/>
                    <w:right w:val="none" w:sz="0" w:space="0" w:color="auto"/>
                  </w:divBdr>
                </w:div>
                <w:div w:id="1528525875">
                  <w:marLeft w:val="0"/>
                  <w:marRight w:val="0"/>
                  <w:marTop w:val="0"/>
                  <w:marBottom w:val="0"/>
                  <w:divBdr>
                    <w:top w:val="none" w:sz="0" w:space="0" w:color="auto"/>
                    <w:left w:val="none" w:sz="0" w:space="0" w:color="auto"/>
                    <w:bottom w:val="none" w:sz="0" w:space="0" w:color="auto"/>
                    <w:right w:val="none" w:sz="0" w:space="0" w:color="auto"/>
                  </w:divBdr>
                </w:div>
                <w:div w:id="1549029661">
                  <w:marLeft w:val="0"/>
                  <w:marRight w:val="0"/>
                  <w:marTop w:val="0"/>
                  <w:marBottom w:val="0"/>
                  <w:divBdr>
                    <w:top w:val="none" w:sz="0" w:space="0" w:color="auto"/>
                    <w:left w:val="none" w:sz="0" w:space="0" w:color="auto"/>
                    <w:bottom w:val="none" w:sz="0" w:space="0" w:color="auto"/>
                    <w:right w:val="none" w:sz="0" w:space="0" w:color="auto"/>
                  </w:divBdr>
                </w:div>
                <w:div w:id="1673528748">
                  <w:marLeft w:val="0"/>
                  <w:marRight w:val="0"/>
                  <w:marTop w:val="0"/>
                  <w:marBottom w:val="0"/>
                  <w:divBdr>
                    <w:top w:val="none" w:sz="0" w:space="0" w:color="auto"/>
                    <w:left w:val="none" w:sz="0" w:space="0" w:color="auto"/>
                    <w:bottom w:val="none" w:sz="0" w:space="0" w:color="auto"/>
                    <w:right w:val="none" w:sz="0" w:space="0" w:color="auto"/>
                  </w:divBdr>
                </w:div>
                <w:div w:id="1743868074">
                  <w:marLeft w:val="0"/>
                  <w:marRight w:val="0"/>
                  <w:marTop w:val="0"/>
                  <w:marBottom w:val="0"/>
                  <w:divBdr>
                    <w:top w:val="none" w:sz="0" w:space="0" w:color="auto"/>
                    <w:left w:val="none" w:sz="0" w:space="0" w:color="auto"/>
                    <w:bottom w:val="none" w:sz="0" w:space="0" w:color="auto"/>
                    <w:right w:val="none" w:sz="0" w:space="0" w:color="auto"/>
                  </w:divBdr>
                </w:div>
                <w:div w:id="1833986264">
                  <w:marLeft w:val="0"/>
                  <w:marRight w:val="0"/>
                  <w:marTop w:val="0"/>
                  <w:marBottom w:val="0"/>
                  <w:divBdr>
                    <w:top w:val="none" w:sz="0" w:space="0" w:color="auto"/>
                    <w:left w:val="none" w:sz="0" w:space="0" w:color="auto"/>
                    <w:bottom w:val="none" w:sz="0" w:space="0" w:color="auto"/>
                    <w:right w:val="none" w:sz="0" w:space="0" w:color="auto"/>
                  </w:divBdr>
                </w:div>
                <w:div w:id="1875725307">
                  <w:marLeft w:val="0"/>
                  <w:marRight w:val="0"/>
                  <w:marTop w:val="0"/>
                  <w:marBottom w:val="0"/>
                  <w:divBdr>
                    <w:top w:val="none" w:sz="0" w:space="0" w:color="auto"/>
                    <w:left w:val="none" w:sz="0" w:space="0" w:color="auto"/>
                    <w:bottom w:val="none" w:sz="0" w:space="0" w:color="auto"/>
                    <w:right w:val="none" w:sz="0" w:space="0" w:color="auto"/>
                  </w:divBdr>
                </w:div>
                <w:div w:id="1901091484">
                  <w:marLeft w:val="0"/>
                  <w:marRight w:val="0"/>
                  <w:marTop w:val="0"/>
                  <w:marBottom w:val="0"/>
                  <w:divBdr>
                    <w:top w:val="none" w:sz="0" w:space="0" w:color="auto"/>
                    <w:left w:val="none" w:sz="0" w:space="0" w:color="auto"/>
                    <w:bottom w:val="none" w:sz="0" w:space="0" w:color="auto"/>
                    <w:right w:val="none" w:sz="0" w:space="0" w:color="auto"/>
                  </w:divBdr>
                </w:div>
                <w:div w:id="2002662408">
                  <w:marLeft w:val="0"/>
                  <w:marRight w:val="0"/>
                  <w:marTop w:val="0"/>
                  <w:marBottom w:val="0"/>
                  <w:divBdr>
                    <w:top w:val="none" w:sz="0" w:space="0" w:color="auto"/>
                    <w:left w:val="none" w:sz="0" w:space="0" w:color="auto"/>
                    <w:bottom w:val="none" w:sz="0" w:space="0" w:color="auto"/>
                    <w:right w:val="none" w:sz="0" w:space="0" w:color="auto"/>
                  </w:divBdr>
                </w:div>
                <w:div w:id="2079403070">
                  <w:marLeft w:val="0"/>
                  <w:marRight w:val="0"/>
                  <w:marTop w:val="0"/>
                  <w:marBottom w:val="0"/>
                  <w:divBdr>
                    <w:top w:val="none" w:sz="0" w:space="0" w:color="auto"/>
                    <w:left w:val="none" w:sz="0" w:space="0" w:color="auto"/>
                    <w:bottom w:val="none" w:sz="0" w:space="0" w:color="auto"/>
                    <w:right w:val="none" w:sz="0" w:space="0" w:color="auto"/>
                  </w:divBdr>
                </w:div>
                <w:div w:id="2118987377">
                  <w:marLeft w:val="0"/>
                  <w:marRight w:val="0"/>
                  <w:marTop w:val="0"/>
                  <w:marBottom w:val="0"/>
                  <w:divBdr>
                    <w:top w:val="none" w:sz="0" w:space="0" w:color="auto"/>
                    <w:left w:val="none" w:sz="0" w:space="0" w:color="auto"/>
                    <w:bottom w:val="none" w:sz="0" w:space="0" w:color="auto"/>
                    <w:right w:val="none" w:sz="0" w:space="0" w:color="auto"/>
                  </w:divBdr>
                </w:div>
                <w:div w:id="2126725156">
                  <w:marLeft w:val="0"/>
                  <w:marRight w:val="0"/>
                  <w:marTop w:val="0"/>
                  <w:marBottom w:val="0"/>
                  <w:divBdr>
                    <w:top w:val="none" w:sz="0" w:space="0" w:color="auto"/>
                    <w:left w:val="none" w:sz="0" w:space="0" w:color="auto"/>
                    <w:bottom w:val="none" w:sz="0" w:space="0" w:color="auto"/>
                    <w:right w:val="none" w:sz="0" w:space="0" w:color="auto"/>
                  </w:divBdr>
                </w:div>
                <w:div w:id="2133744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564364">
      <w:bodyDiv w:val="1"/>
      <w:marLeft w:val="0"/>
      <w:marRight w:val="0"/>
      <w:marTop w:val="0"/>
      <w:marBottom w:val="0"/>
      <w:divBdr>
        <w:top w:val="none" w:sz="0" w:space="0" w:color="auto"/>
        <w:left w:val="none" w:sz="0" w:space="0" w:color="auto"/>
        <w:bottom w:val="none" w:sz="0" w:space="0" w:color="auto"/>
        <w:right w:val="none" w:sz="0" w:space="0" w:color="auto"/>
      </w:divBdr>
      <w:divsChild>
        <w:div w:id="140923736">
          <w:marLeft w:val="0"/>
          <w:marRight w:val="0"/>
          <w:marTop w:val="0"/>
          <w:marBottom w:val="0"/>
          <w:divBdr>
            <w:top w:val="none" w:sz="0" w:space="0" w:color="auto"/>
            <w:left w:val="none" w:sz="0" w:space="0" w:color="auto"/>
            <w:bottom w:val="none" w:sz="0" w:space="0" w:color="auto"/>
            <w:right w:val="none" w:sz="0" w:space="0" w:color="auto"/>
          </w:divBdr>
        </w:div>
      </w:divsChild>
    </w:div>
    <w:div w:id="2048721388">
      <w:bodyDiv w:val="1"/>
      <w:marLeft w:val="0"/>
      <w:marRight w:val="0"/>
      <w:marTop w:val="0"/>
      <w:marBottom w:val="0"/>
      <w:divBdr>
        <w:top w:val="none" w:sz="0" w:space="0" w:color="auto"/>
        <w:left w:val="none" w:sz="0" w:space="0" w:color="auto"/>
        <w:bottom w:val="none" w:sz="0" w:space="0" w:color="auto"/>
        <w:right w:val="none" w:sz="0" w:space="0" w:color="auto"/>
      </w:divBdr>
      <w:divsChild>
        <w:div w:id="1835338349">
          <w:marLeft w:val="0"/>
          <w:marRight w:val="0"/>
          <w:marTop w:val="0"/>
          <w:marBottom w:val="0"/>
          <w:divBdr>
            <w:top w:val="none" w:sz="0" w:space="0" w:color="auto"/>
            <w:left w:val="none" w:sz="0" w:space="0" w:color="auto"/>
            <w:bottom w:val="none" w:sz="0" w:space="0" w:color="auto"/>
            <w:right w:val="none" w:sz="0" w:space="0" w:color="auto"/>
          </w:divBdr>
        </w:div>
      </w:divsChild>
    </w:div>
    <w:div w:id="2050763586">
      <w:marLeft w:val="0"/>
      <w:marRight w:val="0"/>
      <w:marTop w:val="0"/>
      <w:marBottom w:val="0"/>
      <w:divBdr>
        <w:top w:val="none" w:sz="0" w:space="0" w:color="auto"/>
        <w:left w:val="none" w:sz="0" w:space="0" w:color="auto"/>
        <w:bottom w:val="none" w:sz="0" w:space="0" w:color="auto"/>
        <w:right w:val="none" w:sz="0" w:space="0" w:color="auto"/>
      </w:divBdr>
      <w:divsChild>
        <w:div w:id="428351900">
          <w:marLeft w:val="0"/>
          <w:marRight w:val="0"/>
          <w:marTop w:val="0"/>
          <w:marBottom w:val="0"/>
          <w:divBdr>
            <w:top w:val="none" w:sz="0" w:space="0" w:color="auto"/>
            <w:left w:val="none" w:sz="0" w:space="0" w:color="auto"/>
            <w:bottom w:val="none" w:sz="0" w:space="0" w:color="auto"/>
            <w:right w:val="none" w:sz="0" w:space="0" w:color="auto"/>
          </w:divBdr>
        </w:div>
      </w:divsChild>
    </w:div>
    <w:div w:id="2054689049">
      <w:bodyDiv w:val="1"/>
      <w:marLeft w:val="0"/>
      <w:marRight w:val="0"/>
      <w:marTop w:val="0"/>
      <w:marBottom w:val="0"/>
      <w:divBdr>
        <w:top w:val="none" w:sz="0" w:space="0" w:color="auto"/>
        <w:left w:val="none" w:sz="0" w:space="0" w:color="auto"/>
        <w:bottom w:val="none" w:sz="0" w:space="0" w:color="auto"/>
        <w:right w:val="none" w:sz="0" w:space="0" w:color="auto"/>
      </w:divBdr>
    </w:div>
    <w:div w:id="2058700513">
      <w:bodyDiv w:val="1"/>
      <w:marLeft w:val="0"/>
      <w:marRight w:val="0"/>
      <w:marTop w:val="0"/>
      <w:marBottom w:val="0"/>
      <w:divBdr>
        <w:top w:val="none" w:sz="0" w:space="0" w:color="auto"/>
        <w:left w:val="none" w:sz="0" w:space="0" w:color="auto"/>
        <w:bottom w:val="none" w:sz="0" w:space="0" w:color="auto"/>
        <w:right w:val="none" w:sz="0" w:space="0" w:color="auto"/>
      </w:divBdr>
    </w:div>
    <w:div w:id="2073959749">
      <w:marLeft w:val="0"/>
      <w:marRight w:val="0"/>
      <w:marTop w:val="0"/>
      <w:marBottom w:val="0"/>
      <w:divBdr>
        <w:top w:val="none" w:sz="0" w:space="0" w:color="auto"/>
        <w:left w:val="none" w:sz="0" w:space="0" w:color="auto"/>
        <w:bottom w:val="none" w:sz="0" w:space="0" w:color="auto"/>
        <w:right w:val="none" w:sz="0" w:space="0" w:color="auto"/>
      </w:divBdr>
      <w:divsChild>
        <w:div w:id="1798330921">
          <w:marLeft w:val="0"/>
          <w:marRight w:val="0"/>
          <w:marTop w:val="0"/>
          <w:marBottom w:val="0"/>
          <w:divBdr>
            <w:top w:val="none" w:sz="0" w:space="0" w:color="auto"/>
            <w:left w:val="none" w:sz="0" w:space="0" w:color="auto"/>
            <w:bottom w:val="none" w:sz="0" w:space="0" w:color="auto"/>
            <w:right w:val="none" w:sz="0" w:space="0" w:color="auto"/>
          </w:divBdr>
        </w:div>
      </w:divsChild>
    </w:div>
    <w:div w:id="2074770602">
      <w:bodyDiv w:val="1"/>
      <w:marLeft w:val="0"/>
      <w:marRight w:val="0"/>
      <w:marTop w:val="0"/>
      <w:marBottom w:val="0"/>
      <w:divBdr>
        <w:top w:val="none" w:sz="0" w:space="0" w:color="auto"/>
        <w:left w:val="none" w:sz="0" w:space="0" w:color="auto"/>
        <w:bottom w:val="none" w:sz="0" w:space="0" w:color="auto"/>
        <w:right w:val="none" w:sz="0" w:space="0" w:color="auto"/>
      </w:divBdr>
    </w:div>
    <w:div w:id="2078890676">
      <w:marLeft w:val="0"/>
      <w:marRight w:val="0"/>
      <w:marTop w:val="0"/>
      <w:marBottom w:val="0"/>
      <w:divBdr>
        <w:top w:val="none" w:sz="0" w:space="0" w:color="auto"/>
        <w:left w:val="none" w:sz="0" w:space="0" w:color="auto"/>
        <w:bottom w:val="none" w:sz="0" w:space="0" w:color="auto"/>
        <w:right w:val="none" w:sz="0" w:space="0" w:color="auto"/>
      </w:divBdr>
      <w:divsChild>
        <w:div w:id="1234773321">
          <w:marLeft w:val="0"/>
          <w:marRight w:val="0"/>
          <w:marTop w:val="0"/>
          <w:marBottom w:val="0"/>
          <w:divBdr>
            <w:top w:val="none" w:sz="0" w:space="0" w:color="auto"/>
            <w:left w:val="none" w:sz="0" w:space="0" w:color="auto"/>
            <w:bottom w:val="none" w:sz="0" w:space="0" w:color="auto"/>
            <w:right w:val="none" w:sz="0" w:space="0" w:color="auto"/>
          </w:divBdr>
        </w:div>
      </w:divsChild>
    </w:div>
    <w:div w:id="2090811180">
      <w:bodyDiv w:val="1"/>
      <w:marLeft w:val="0"/>
      <w:marRight w:val="0"/>
      <w:marTop w:val="0"/>
      <w:marBottom w:val="0"/>
      <w:divBdr>
        <w:top w:val="none" w:sz="0" w:space="0" w:color="auto"/>
        <w:left w:val="none" w:sz="0" w:space="0" w:color="auto"/>
        <w:bottom w:val="none" w:sz="0" w:space="0" w:color="auto"/>
        <w:right w:val="none" w:sz="0" w:space="0" w:color="auto"/>
      </w:divBdr>
      <w:divsChild>
        <w:div w:id="1620575028">
          <w:marLeft w:val="0"/>
          <w:marRight w:val="0"/>
          <w:marTop w:val="0"/>
          <w:marBottom w:val="0"/>
          <w:divBdr>
            <w:top w:val="none" w:sz="0" w:space="0" w:color="auto"/>
            <w:left w:val="none" w:sz="0" w:space="0" w:color="auto"/>
            <w:bottom w:val="none" w:sz="0" w:space="0" w:color="auto"/>
            <w:right w:val="none" w:sz="0" w:space="0" w:color="auto"/>
          </w:divBdr>
        </w:div>
      </w:divsChild>
    </w:div>
    <w:div w:id="2094155367">
      <w:bodyDiv w:val="1"/>
      <w:marLeft w:val="0"/>
      <w:marRight w:val="0"/>
      <w:marTop w:val="0"/>
      <w:marBottom w:val="0"/>
      <w:divBdr>
        <w:top w:val="none" w:sz="0" w:space="0" w:color="auto"/>
        <w:left w:val="none" w:sz="0" w:space="0" w:color="auto"/>
        <w:bottom w:val="none" w:sz="0" w:space="0" w:color="auto"/>
        <w:right w:val="none" w:sz="0" w:space="0" w:color="auto"/>
      </w:divBdr>
    </w:div>
    <w:div w:id="2096046849">
      <w:bodyDiv w:val="1"/>
      <w:marLeft w:val="0"/>
      <w:marRight w:val="0"/>
      <w:marTop w:val="0"/>
      <w:marBottom w:val="0"/>
      <w:divBdr>
        <w:top w:val="none" w:sz="0" w:space="0" w:color="auto"/>
        <w:left w:val="none" w:sz="0" w:space="0" w:color="auto"/>
        <w:bottom w:val="none" w:sz="0" w:space="0" w:color="auto"/>
        <w:right w:val="none" w:sz="0" w:space="0" w:color="auto"/>
      </w:divBdr>
    </w:div>
    <w:div w:id="2110275369">
      <w:bodyDiv w:val="1"/>
      <w:marLeft w:val="0"/>
      <w:marRight w:val="0"/>
      <w:marTop w:val="0"/>
      <w:marBottom w:val="0"/>
      <w:divBdr>
        <w:top w:val="none" w:sz="0" w:space="0" w:color="auto"/>
        <w:left w:val="none" w:sz="0" w:space="0" w:color="auto"/>
        <w:bottom w:val="none" w:sz="0" w:space="0" w:color="auto"/>
        <w:right w:val="none" w:sz="0" w:space="0" w:color="auto"/>
      </w:divBdr>
    </w:div>
    <w:div w:id="2114350888">
      <w:bodyDiv w:val="1"/>
      <w:marLeft w:val="0"/>
      <w:marRight w:val="0"/>
      <w:marTop w:val="0"/>
      <w:marBottom w:val="0"/>
      <w:divBdr>
        <w:top w:val="none" w:sz="0" w:space="0" w:color="auto"/>
        <w:left w:val="none" w:sz="0" w:space="0" w:color="auto"/>
        <w:bottom w:val="none" w:sz="0" w:space="0" w:color="auto"/>
        <w:right w:val="none" w:sz="0" w:space="0" w:color="auto"/>
      </w:divBdr>
    </w:div>
    <w:div w:id="2115439237">
      <w:marLeft w:val="0"/>
      <w:marRight w:val="0"/>
      <w:marTop w:val="0"/>
      <w:marBottom w:val="0"/>
      <w:divBdr>
        <w:top w:val="none" w:sz="0" w:space="0" w:color="auto"/>
        <w:left w:val="none" w:sz="0" w:space="0" w:color="auto"/>
        <w:bottom w:val="none" w:sz="0" w:space="0" w:color="auto"/>
        <w:right w:val="none" w:sz="0" w:space="0" w:color="auto"/>
      </w:divBdr>
      <w:divsChild>
        <w:div w:id="855652092">
          <w:marLeft w:val="0"/>
          <w:marRight w:val="0"/>
          <w:marTop w:val="0"/>
          <w:marBottom w:val="0"/>
          <w:divBdr>
            <w:top w:val="none" w:sz="0" w:space="0" w:color="auto"/>
            <w:left w:val="none" w:sz="0" w:space="0" w:color="auto"/>
            <w:bottom w:val="none" w:sz="0" w:space="0" w:color="auto"/>
            <w:right w:val="none" w:sz="0" w:space="0" w:color="auto"/>
          </w:divBdr>
        </w:div>
      </w:divsChild>
    </w:div>
    <w:div w:id="2127188389">
      <w:bodyDiv w:val="1"/>
      <w:marLeft w:val="0"/>
      <w:marRight w:val="0"/>
      <w:marTop w:val="0"/>
      <w:marBottom w:val="0"/>
      <w:divBdr>
        <w:top w:val="none" w:sz="0" w:space="0" w:color="auto"/>
        <w:left w:val="none" w:sz="0" w:space="0" w:color="auto"/>
        <w:bottom w:val="none" w:sz="0" w:space="0" w:color="auto"/>
        <w:right w:val="none" w:sz="0" w:space="0" w:color="auto"/>
      </w:divBdr>
      <w:divsChild>
        <w:div w:id="712005685">
          <w:marLeft w:val="0"/>
          <w:marRight w:val="0"/>
          <w:marTop w:val="0"/>
          <w:marBottom w:val="0"/>
          <w:divBdr>
            <w:top w:val="none" w:sz="0" w:space="0" w:color="auto"/>
            <w:left w:val="none" w:sz="0" w:space="0" w:color="auto"/>
            <w:bottom w:val="none" w:sz="0" w:space="0" w:color="auto"/>
            <w:right w:val="none" w:sz="0" w:space="0" w:color="auto"/>
          </w:divBdr>
        </w:div>
      </w:divsChild>
    </w:div>
    <w:div w:id="2130590862">
      <w:bodyDiv w:val="1"/>
      <w:marLeft w:val="0"/>
      <w:marRight w:val="0"/>
      <w:marTop w:val="0"/>
      <w:marBottom w:val="0"/>
      <w:divBdr>
        <w:top w:val="none" w:sz="0" w:space="0" w:color="auto"/>
        <w:left w:val="none" w:sz="0" w:space="0" w:color="auto"/>
        <w:bottom w:val="none" w:sz="0" w:space="0" w:color="auto"/>
        <w:right w:val="none" w:sz="0" w:space="0" w:color="auto"/>
      </w:divBdr>
    </w:div>
    <w:div w:id="2131511850">
      <w:bodyDiv w:val="1"/>
      <w:marLeft w:val="0"/>
      <w:marRight w:val="0"/>
      <w:marTop w:val="0"/>
      <w:marBottom w:val="0"/>
      <w:divBdr>
        <w:top w:val="none" w:sz="0" w:space="0" w:color="auto"/>
        <w:left w:val="none" w:sz="0" w:space="0" w:color="auto"/>
        <w:bottom w:val="none" w:sz="0" w:space="0" w:color="auto"/>
        <w:right w:val="none" w:sz="0" w:space="0" w:color="auto"/>
      </w:divBdr>
      <w:divsChild>
        <w:div w:id="478110529">
          <w:marLeft w:val="0"/>
          <w:marRight w:val="0"/>
          <w:marTop w:val="0"/>
          <w:marBottom w:val="0"/>
          <w:divBdr>
            <w:top w:val="none" w:sz="0" w:space="0" w:color="auto"/>
            <w:left w:val="none" w:sz="0" w:space="0" w:color="auto"/>
            <w:bottom w:val="none" w:sz="0" w:space="0" w:color="auto"/>
            <w:right w:val="none" w:sz="0" w:space="0" w:color="auto"/>
          </w:divBdr>
        </w:div>
        <w:div w:id="1802267027">
          <w:marLeft w:val="0"/>
          <w:marRight w:val="0"/>
          <w:marTop w:val="0"/>
          <w:marBottom w:val="0"/>
          <w:divBdr>
            <w:top w:val="none" w:sz="0" w:space="0" w:color="auto"/>
            <w:left w:val="none" w:sz="0" w:space="0" w:color="auto"/>
            <w:bottom w:val="none" w:sz="0" w:space="0" w:color="auto"/>
            <w:right w:val="none" w:sz="0" w:space="0" w:color="auto"/>
          </w:divBdr>
        </w:div>
      </w:divsChild>
    </w:div>
    <w:div w:id="2131630269">
      <w:bodyDiv w:val="1"/>
      <w:marLeft w:val="0"/>
      <w:marRight w:val="0"/>
      <w:marTop w:val="0"/>
      <w:marBottom w:val="0"/>
      <w:divBdr>
        <w:top w:val="none" w:sz="0" w:space="0" w:color="auto"/>
        <w:left w:val="none" w:sz="0" w:space="0" w:color="auto"/>
        <w:bottom w:val="none" w:sz="0" w:space="0" w:color="auto"/>
        <w:right w:val="none" w:sz="0" w:space="0" w:color="auto"/>
      </w:divBdr>
      <w:divsChild>
        <w:div w:id="1866677786">
          <w:marLeft w:val="0"/>
          <w:marRight w:val="0"/>
          <w:marTop w:val="0"/>
          <w:marBottom w:val="0"/>
          <w:divBdr>
            <w:top w:val="none" w:sz="0" w:space="0" w:color="auto"/>
            <w:left w:val="none" w:sz="0" w:space="0" w:color="auto"/>
            <w:bottom w:val="none" w:sz="0" w:space="0" w:color="auto"/>
            <w:right w:val="none" w:sz="0" w:space="0" w:color="auto"/>
          </w:divBdr>
          <w:divsChild>
            <w:div w:id="672029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706543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84.png"/><Relationship Id="rId21" Type="http://schemas.openxmlformats.org/officeDocument/2006/relationships/image" Target="media/image6.emf"/><Relationship Id="rId42" Type="http://schemas.openxmlformats.org/officeDocument/2006/relationships/oleObject" Target="embeddings/oleObject16.bin"/><Relationship Id="rId63" Type="http://schemas.openxmlformats.org/officeDocument/2006/relationships/image" Target="media/image32.png"/><Relationship Id="rId84" Type="http://schemas.openxmlformats.org/officeDocument/2006/relationships/image" Target="media/image53.png"/><Relationship Id="rId138" Type="http://schemas.openxmlformats.org/officeDocument/2006/relationships/image" Target="media/image103.emf"/><Relationship Id="rId107" Type="http://schemas.openxmlformats.org/officeDocument/2006/relationships/image" Target="media/image74.png"/><Relationship Id="rId11" Type="http://schemas.openxmlformats.org/officeDocument/2006/relationships/image" Target="media/image1.emf"/><Relationship Id="rId32" Type="http://schemas.openxmlformats.org/officeDocument/2006/relationships/oleObject" Target="embeddings/oleObject11.bin"/><Relationship Id="rId53" Type="http://schemas.openxmlformats.org/officeDocument/2006/relationships/hyperlink" Target="http://sjodfspro01/Docs_Sice/110/2020/06/15/329907187.docx" TargetMode="External"/><Relationship Id="rId74" Type="http://schemas.openxmlformats.org/officeDocument/2006/relationships/image" Target="media/image43.png"/><Relationship Id="rId128" Type="http://schemas.openxmlformats.org/officeDocument/2006/relationships/image" Target="media/image95.png"/><Relationship Id="rId5" Type="http://schemas.openxmlformats.org/officeDocument/2006/relationships/numbering" Target="numbering.xml"/><Relationship Id="rId90" Type="http://schemas.openxmlformats.org/officeDocument/2006/relationships/image" Target="media/image58.png"/><Relationship Id="rId95" Type="http://schemas.openxmlformats.org/officeDocument/2006/relationships/image" Target="media/image63.png"/><Relationship Id="rId22" Type="http://schemas.openxmlformats.org/officeDocument/2006/relationships/oleObject" Target="embeddings/oleObject6.bin"/><Relationship Id="rId27" Type="http://schemas.openxmlformats.org/officeDocument/2006/relationships/image" Target="media/image9.emf"/><Relationship Id="rId43" Type="http://schemas.openxmlformats.org/officeDocument/2006/relationships/image" Target="media/image17.png"/><Relationship Id="rId48" Type="http://schemas.openxmlformats.org/officeDocument/2006/relationships/image" Target="media/image22.png"/><Relationship Id="rId64" Type="http://schemas.openxmlformats.org/officeDocument/2006/relationships/image" Target="media/image33.png"/><Relationship Id="rId69" Type="http://schemas.openxmlformats.org/officeDocument/2006/relationships/image" Target="media/image38.png"/><Relationship Id="rId113" Type="http://schemas.openxmlformats.org/officeDocument/2006/relationships/image" Target="media/image80.png"/><Relationship Id="rId118" Type="http://schemas.openxmlformats.org/officeDocument/2006/relationships/image" Target="media/image85.png"/><Relationship Id="rId134" Type="http://schemas.openxmlformats.org/officeDocument/2006/relationships/image" Target="media/image101.emf"/><Relationship Id="rId139" Type="http://schemas.openxmlformats.org/officeDocument/2006/relationships/package" Target="embeddings/Microsoft_Excel_Worksheet1.xlsx"/><Relationship Id="rId80" Type="http://schemas.openxmlformats.org/officeDocument/2006/relationships/image" Target="media/image49.png"/><Relationship Id="rId85" Type="http://schemas.openxmlformats.org/officeDocument/2006/relationships/image" Target="media/image54.png"/><Relationship Id="rId12" Type="http://schemas.openxmlformats.org/officeDocument/2006/relationships/oleObject" Target="embeddings/oleObject1.bin"/><Relationship Id="rId17" Type="http://schemas.openxmlformats.org/officeDocument/2006/relationships/image" Target="media/image4.emf"/><Relationship Id="rId33" Type="http://schemas.openxmlformats.org/officeDocument/2006/relationships/image" Target="media/image12.emf"/><Relationship Id="rId38" Type="http://schemas.openxmlformats.org/officeDocument/2006/relationships/oleObject" Target="embeddings/oleObject14.bin"/><Relationship Id="rId59" Type="http://schemas.openxmlformats.org/officeDocument/2006/relationships/image" Target="media/image28.png"/><Relationship Id="rId103" Type="http://schemas.openxmlformats.org/officeDocument/2006/relationships/image" Target="media/image70.png"/><Relationship Id="rId108" Type="http://schemas.openxmlformats.org/officeDocument/2006/relationships/image" Target="media/image75.png"/><Relationship Id="rId124" Type="http://schemas.openxmlformats.org/officeDocument/2006/relationships/image" Target="media/image91.png"/><Relationship Id="rId129" Type="http://schemas.openxmlformats.org/officeDocument/2006/relationships/image" Target="media/image96.png"/><Relationship Id="rId54" Type="http://schemas.openxmlformats.org/officeDocument/2006/relationships/image" Target="media/image23.png"/><Relationship Id="rId70" Type="http://schemas.openxmlformats.org/officeDocument/2006/relationships/image" Target="media/image39.png"/><Relationship Id="rId75" Type="http://schemas.openxmlformats.org/officeDocument/2006/relationships/image" Target="media/image44.png"/><Relationship Id="rId91" Type="http://schemas.openxmlformats.org/officeDocument/2006/relationships/image" Target="media/image59.png"/><Relationship Id="rId96" Type="http://schemas.openxmlformats.org/officeDocument/2006/relationships/hyperlink" Target="https://defensapublica.poder-judicial.go.cr/index.php/noticias-generales" TargetMode="External"/><Relationship Id="rId140" Type="http://schemas.openxmlformats.org/officeDocument/2006/relationships/header" Target="header1.xml"/><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7.emf"/><Relationship Id="rId28" Type="http://schemas.openxmlformats.org/officeDocument/2006/relationships/oleObject" Target="embeddings/oleObject9.bin"/><Relationship Id="rId49" Type="http://schemas.openxmlformats.org/officeDocument/2006/relationships/hyperlink" Target="https://nexuspj.poder-judicial.go.cr/document/act-1-0003-3743-18" TargetMode="External"/><Relationship Id="rId114" Type="http://schemas.openxmlformats.org/officeDocument/2006/relationships/image" Target="media/image81.png"/><Relationship Id="rId119" Type="http://schemas.openxmlformats.org/officeDocument/2006/relationships/image" Target="media/image86.png"/><Relationship Id="rId44" Type="http://schemas.openxmlformats.org/officeDocument/2006/relationships/image" Target="media/image18.png"/><Relationship Id="rId60" Type="http://schemas.openxmlformats.org/officeDocument/2006/relationships/image" Target="media/image29.png"/><Relationship Id="rId65" Type="http://schemas.openxmlformats.org/officeDocument/2006/relationships/image" Target="media/image34.png"/><Relationship Id="rId81" Type="http://schemas.openxmlformats.org/officeDocument/2006/relationships/image" Target="media/image50.png"/><Relationship Id="rId86" Type="http://schemas.openxmlformats.org/officeDocument/2006/relationships/image" Target="media/image55.png"/><Relationship Id="rId130" Type="http://schemas.openxmlformats.org/officeDocument/2006/relationships/image" Target="media/image97.png"/><Relationship Id="rId135" Type="http://schemas.openxmlformats.org/officeDocument/2006/relationships/oleObject" Target="embeddings/oleObject17.bin"/><Relationship Id="rId13" Type="http://schemas.openxmlformats.org/officeDocument/2006/relationships/image" Target="media/image2.emf"/><Relationship Id="rId18" Type="http://schemas.openxmlformats.org/officeDocument/2006/relationships/oleObject" Target="embeddings/oleObject4.bin"/><Relationship Id="rId39" Type="http://schemas.openxmlformats.org/officeDocument/2006/relationships/image" Target="media/image15.emf"/><Relationship Id="rId109" Type="http://schemas.openxmlformats.org/officeDocument/2006/relationships/image" Target="media/image76.png"/><Relationship Id="rId34" Type="http://schemas.openxmlformats.org/officeDocument/2006/relationships/oleObject" Target="embeddings/oleObject12.bin"/><Relationship Id="rId50" Type="http://schemas.openxmlformats.org/officeDocument/2006/relationships/hyperlink" Target="https://nexuspj.poder-judicial.go.cr/document/act-1-0003-3871-30" TargetMode="External"/><Relationship Id="rId55" Type="http://schemas.openxmlformats.org/officeDocument/2006/relationships/image" Target="media/image24.png"/><Relationship Id="rId76" Type="http://schemas.openxmlformats.org/officeDocument/2006/relationships/image" Target="media/image45.png"/><Relationship Id="rId97" Type="http://schemas.openxmlformats.org/officeDocument/2006/relationships/image" Target="media/image64.png"/><Relationship Id="rId104" Type="http://schemas.openxmlformats.org/officeDocument/2006/relationships/image" Target="media/image71.png"/><Relationship Id="rId120" Type="http://schemas.openxmlformats.org/officeDocument/2006/relationships/image" Target="media/image87.png"/><Relationship Id="rId125" Type="http://schemas.openxmlformats.org/officeDocument/2006/relationships/image" Target="media/image92.png"/><Relationship Id="rId141" Type="http://schemas.openxmlformats.org/officeDocument/2006/relationships/header" Target="header2.xml"/><Relationship Id="rId146"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40.png"/><Relationship Id="rId92" Type="http://schemas.openxmlformats.org/officeDocument/2006/relationships/image" Target="media/image60.png"/><Relationship Id="rId2" Type="http://schemas.openxmlformats.org/officeDocument/2006/relationships/customXml" Target="../customXml/item2.xml"/><Relationship Id="rId29" Type="http://schemas.openxmlformats.org/officeDocument/2006/relationships/image" Target="media/image10.emf"/><Relationship Id="rId24" Type="http://schemas.openxmlformats.org/officeDocument/2006/relationships/oleObject" Target="embeddings/oleObject7.bin"/><Relationship Id="rId40" Type="http://schemas.openxmlformats.org/officeDocument/2006/relationships/oleObject" Target="embeddings/oleObject15.bin"/><Relationship Id="rId45" Type="http://schemas.openxmlformats.org/officeDocument/2006/relationships/image" Target="media/image19.png"/><Relationship Id="rId66" Type="http://schemas.openxmlformats.org/officeDocument/2006/relationships/image" Target="media/image35.png"/><Relationship Id="rId87" Type="http://schemas.openxmlformats.org/officeDocument/2006/relationships/image" Target="media/image56.png"/><Relationship Id="rId110" Type="http://schemas.openxmlformats.org/officeDocument/2006/relationships/image" Target="media/image77.png"/><Relationship Id="rId115" Type="http://schemas.openxmlformats.org/officeDocument/2006/relationships/image" Target="media/image82.png"/><Relationship Id="rId131" Type="http://schemas.openxmlformats.org/officeDocument/2006/relationships/image" Target="media/image98.png"/><Relationship Id="rId136" Type="http://schemas.openxmlformats.org/officeDocument/2006/relationships/image" Target="media/image102.emf"/><Relationship Id="rId61" Type="http://schemas.openxmlformats.org/officeDocument/2006/relationships/image" Target="media/image30.png"/><Relationship Id="rId82" Type="http://schemas.openxmlformats.org/officeDocument/2006/relationships/image" Target="media/image51.png"/><Relationship Id="rId19" Type="http://schemas.openxmlformats.org/officeDocument/2006/relationships/image" Target="media/image5.emf"/><Relationship Id="rId14" Type="http://schemas.openxmlformats.org/officeDocument/2006/relationships/oleObject" Target="embeddings/oleObject2.bin"/><Relationship Id="rId30" Type="http://schemas.openxmlformats.org/officeDocument/2006/relationships/oleObject" Target="embeddings/oleObject10.bin"/><Relationship Id="rId35" Type="http://schemas.openxmlformats.org/officeDocument/2006/relationships/image" Target="media/image13.emf"/><Relationship Id="rId56" Type="http://schemas.openxmlformats.org/officeDocument/2006/relationships/image" Target="media/image25.png"/><Relationship Id="rId77" Type="http://schemas.openxmlformats.org/officeDocument/2006/relationships/image" Target="media/image46.png"/><Relationship Id="rId100" Type="http://schemas.openxmlformats.org/officeDocument/2006/relationships/image" Target="media/image67.png"/><Relationship Id="rId105" Type="http://schemas.openxmlformats.org/officeDocument/2006/relationships/image" Target="media/image72.png"/><Relationship Id="rId126" Type="http://schemas.openxmlformats.org/officeDocument/2006/relationships/image" Target="media/image93.png"/><Relationship Id="rId8" Type="http://schemas.openxmlformats.org/officeDocument/2006/relationships/webSettings" Target="webSettings.xml"/><Relationship Id="rId51" Type="http://schemas.openxmlformats.org/officeDocument/2006/relationships/hyperlink" Target="https://nexuspj.poder-judicial.go.cr/document/act-1-0003-4400-18" TargetMode="External"/><Relationship Id="rId72" Type="http://schemas.openxmlformats.org/officeDocument/2006/relationships/image" Target="media/image41.png"/><Relationship Id="rId93" Type="http://schemas.openxmlformats.org/officeDocument/2006/relationships/image" Target="media/image61.png"/><Relationship Id="rId98" Type="http://schemas.openxmlformats.org/officeDocument/2006/relationships/image" Target="media/image65.png"/><Relationship Id="rId121" Type="http://schemas.openxmlformats.org/officeDocument/2006/relationships/image" Target="media/image88.png"/><Relationship Id="rId142" Type="http://schemas.openxmlformats.org/officeDocument/2006/relationships/footer" Target="footer1.xml"/><Relationship Id="rId3" Type="http://schemas.openxmlformats.org/officeDocument/2006/relationships/customXml" Target="../customXml/item3.xml"/><Relationship Id="rId25" Type="http://schemas.openxmlformats.org/officeDocument/2006/relationships/image" Target="media/image8.emf"/><Relationship Id="rId46" Type="http://schemas.openxmlformats.org/officeDocument/2006/relationships/image" Target="media/image20.png"/><Relationship Id="rId67" Type="http://schemas.openxmlformats.org/officeDocument/2006/relationships/image" Target="media/image36.png"/><Relationship Id="rId116" Type="http://schemas.openxmlformats.org/officeDocument/2006/relationships/image" Target="media/image83.png"/><Relationship Id="rId137" Type="http://schemas.openxmlformats.org/officeDocument/2006/relationships/package" Target="embeddings/Microsoft_Excel_Worksheet.xlsx"/><Relationship Id="rId20" Type="http://schemas.openxmlformats.org/officeDocument/2006/relationships/oleObject" Target="embeddings/oleObject5.bin"/><Relationship Id="rId41" Type="http://schemas.openxmlformats.org/officeDocument/2006/relationships/image" Target="media/image16.emf"/><Relationship Id="rId62" Type="http://schemas.openxmlformats.org/officeDocument/2006/relationships/image" Target="media/image31.png"/><Relationship Id="rId83" Type="http://schemas.openxmlformats.org/officeDocument/2006/relationships/image" Target="media/image52.png"/><Relationship Id="rId88" Type="http://schemas.openxmlformats.org/officeDocument/2006/relationships/image" Target="media/image57.png"/><Relationship Id="rId111" Type="http://schemas.openxmlformats.org/officeDocument/2006/relationships/image" Target="media/image78.png"/><Relationship Id="rId132" Type="http://schemas.openxmlformats.org/officeDocument/2006/relationships/image" Target="media/image99.png"/><Relationship Id="R6e225762a6824926" Type="http://schemas.microsoft.com/office/2019/09/relationships/intelligence" Target="intelligence.xml"/><Relationship Id="rId15" Type="http://schemas.openxmlformats.org/officeDocument/2006/relationships/image" Target="media/image3.emf"/><Relationship Id="rId36" Type="http://schemas.openxmlformats.org/officeDocument/2006/relationships/oleObject" Target="embeddings/oleObject13.bin"/><Relationship Id="rId57" Type="http://schemas.openxmlformats.org/officeDocument/2006/relationships/image" Target="media/image26.png"/><Relationship Id="rId106" Type="http://schemas.openxmlformats.org/officeDocument/2006/relationships/image" Target="media/image73.png"/><Relationship Id="rId127" Type="http://schemas.openxmlformats.org/officeDocument/2006/relationships/image" Target="media/image94.png"/><Relationship Id="rId10" Type="http://schemas.openxmlformats.org/officeDocument/2006/relationships/endnotes" Target="endnotes.xml"/><Relationship Id="rId31" Type="http://schemas.openxmlformats.org/officeDocument/2006/relationships/image" Target="media/image11.emf"/><Relationship Id="rId52" Type="http://schemas.openxmlformats.org/officeDocument/2006/relationships/hyperlink" Target="https://www.poder-judicial.go.cr/planificacion/index.php/subproceso-evaluacion/evaluacion-plan-estrategico" TargetMode="External"/><Relationship Id="rId73" Type="http://schemas.openxmlformats.org/officeDocument/2006/relationships/image" Target="media/image42.png"/><Relationship Id="rId78" Type="http://schemas.openxmlformats.org/officeDocument/2006/relationships/image" Target="media/image47.png"/><Relationship Id="rId94" Type="http://schemas.openxmlformats.org/officeDocument/2006/relationships/image" Target="media/image62.png"/><Relationship Id="rId99" Type="http://schemas.openxmlformats.org/officeDocument/2006/relationships/image" Target="media/image66.png"/><Relationship Id="rId101" Type="http://schemas.openxmlformats.org/officeDocument/2006/relationships/image" Target="media/image68.png"/><Relationship Id="rId122" Type="http://schemas.openxmlformats.org/officeDocument/2006/relationships/image" Target="media/image89.png"/><Relationship Id="rId143"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oleObject" Target="embeddings/oleObject8.bin"/><Relationship Id="rId47" Type="http://schemas.openxmlformats.org/officeDocument/2006/relationships/image" Target="media/image21.png"/><Relationship Id="rId68" Type="http://schemas.openxmlformats.org/officeDocument/2006/relationships/image" Target="media/image37.png"/><Relationship Id="rId89" Type="http://schemas.openxmlformats.org/officeDocument/2006/relationships/hyperlink" Target="https://planificacion.poder-judicial.go.cr/" TargetMode="External"/><Relationship Id="rId112" Type="http://schemas.openxmlformats.org/officeDocument/2006/relationships/image" Target="media/image79.png"/><Relationship Id="rId133" Type="http://schemas.openxmlformats.org/officeDocument/2006/relationships/image" Target="media/image100.png"/><Relationship Id="rId16" Type="http://schemas.openxmlformats.org/officeDocument/2006/relationships/oleObject" Target="embeddings/oleObject3.bin"/><Relationship Id="rId37" Type="http://schemas.openxmlformats.org/officeDocument/2006/relationships/image" Target="media/image14.emf"/><Relationship Id="rId58" Type="http://schemas.openxmlformats.org/officeDocument/2006/relationships/image" Target="media/image27.png"/><Relationship Id="rId79" Type="http://schemas.openxmlformats.org/officeDocument/2006/relationships/image" Target="media/image48.png"/><Relationship Id="rId102" Type="http://schemas.openxmlformats.org/officeDocument/2006/relationships/image" Target="media/image69.png"/><Relationship Id="rId123" Type="http://schemas.openxmlformats.org/officeDocument/2006/relationships/image" Target="media/image90.png"/><Relationship Id="rId144" Type="http://schemas.openxmlformats.org/officeDocument/2006/relationships/header" Target="header3.xml"/></Relationships>
</file>

<file path=word/_rels/header2.xml.rels><?xml version="1.0" encoding="UTF-8" standalone="yes"?>
<Relationships xmlns="http://schemas.openxmlformats.org/package/2006/relationships"><Relationship Id="rId1" Type="http://schemas.openxmlformats.org/officeDocument/2006/relationships/image" Target="media/image10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o" ma:contentTypeID="0x010100BA6216A36F2AD94BACDF580B661A31A3" ma:contentTypeVersion="14" ma:contentTypeDescription="Crear nuevo documento." ma:contentTypeScope="" ma:versionID="062463bb7acd584b91cd20b044772dcd">
  <xsd:schema xmlns:xsd="http://www.w3.org/2001/XMLSchema" xmlns:xs="http://www.w3.org/2001/XMLSchema" xmlns:p="http://schemas.microsoft.com/office/2006/metadata/properties" xmlns:ns3="c415f469-33ab-4b7b-ac87-e7153f208fff" xmlns:ns4="c4fda1a9-3b11-4661-a1eb-5a02fe807c50" targetNamespace="http://schemas.microsoft.com/office/2006/metadata/properties" ma:root="true" ma:fieldsID="d4783e8306ad2ff086f2a4d814fc854f" ns3:_="" ns4:_="">
    <xsd:import namespace="c415f469-33ab-4b7b-ac87-e7153f208fff"/>
    <xsd:import namespace="c4fda1a9-3b11-4661-a1eb-5a02fe807c50"/>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OCR" minOccurs="0"/>
                <xsd:element ref="ns3:MediaServiceDateTaken" minOccurs="0"/>
                <xsd:element ref="ns3:MediaServiceGenerationTime" minOccurs="0"/>
                <xsd:element ref="ns3:MediaServiceEventHashCode" minOccurs="0"/>
                <xsd:element ref="ns3:MediaServiceLocation" minOccurs="0"/>
                <xsd:element ref="ns3:MediaServiceAutoKeyPoints" minOccurs="0"/>
                <xsd:element ref="ns3:MediaServiceKeyPoints"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415f469-33ab-4b7b-ac87-e7153f208fff"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c4fda1a9-3b11-4661-a1eb-5a02fe807c50"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5EDAA3D1-74E1-4494-ABFC-35BF023D84E1}">
  <ds:schemaRefs>
    <ds:schemaRef ds:uri="http://schemas.openxmlformats.org/officeDocument/2006/bibliography"/>
  </ds:schemaRefs>
</ds:datastoreItem>
</file>

<file path=customXml/itemProps2.xml><?xml version="1.0" encoding="utf-8"?>
<ds:datastoreItem xmlns:ds="http://schemas.openxmlformats.org/officeDocument/2006/customXml" ds:itemID="{C0234C69-7C48-4559-B0CA-41D8C5C6AA7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415f469-33ab-4b7b-ac87-e7153f208fff"/>
    <ds:schemaRef ds:uri="c4fda1a9-3b11-4661-a1eb-5a02fe807c5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7B18BB8-E453-4525-A7DF-4F7F6B379A33}">
  <ds:schemaRefs>
    <ds:schemaRef ds:uri="http://schemas.microsoft.com/sharepoint/v3/contenttype/forms"/>
  </ds:schemaRefs>
</ds:datastoreItem>
</file>

<file path=customXml/itemProps4.xml><?xml version="1.0" encoding="utf-8"?>
<ds:datastoreItem xmlns:ds="http://schemas.openxmlformats.org/officeDocument/2006/customXml" ds:itemID="{D6C9492A-3AFF-4D54-9526-ADE9C1C0BC23}">
  <ds:schemaRefs>
    <ds:schemaRef ds:uri="http://schemas.microsoft.com/office/2006/metadata/properties"/>
    <ds:schemaRef ds:uri="c4fda1a9-3b11-4661-a1eb-5a02fe807c50"/>
    <ds:schemaRef ds:uri="http://purl.org/dc/terms/"/>
    <ds:schemaRef ds:uri="http://schemas.openxmlformats.org/package/2006/metadata/core-properties"/>
    <ds:schemaRef ds:uri="http://purl.org/dc/dcmitype/"/>
    <ds:schemaRef ds:uri="http://schemas.microsoft.com/office/infopath/2007/PartnerControls"/>
    <ds:schemaRef ds:uri="http://schemas.microsoft.com/office/2006/documentManagement/types"/>
    <ds:schemaRef ds:uri="c415f469-33ab-4b7b-ac87-e7153f208fff"/>
    <ds:schemaRef ds:uri="http://www.w3.org/XML/1998/namespace"/>
    <ds:schemaRef ds:uri="http://purl.org/dc/elements/1.1/"/>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50073</Words>
  <Characters>275405</Characters>
  <Application>Microsoft Office Word</Application>
  <DocSecurity>0</DocSecurity>
  <Lines>2295</Lines>
  <Paragraphs>649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324829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Jorge Fernando Rodríguez Salazar</dc:creator>
  <cp:keywords/>
  <dc:description/>
  <cp:lastModifiedBy>Andrey Mauricio Rojas Monge</cp:lastModifiedBy>
  <cp:revision>2</cp:revision>
  <cp:lastPrinted>2016-04-14T14:22:00Z</cp:lastPrinted>
  <dcterms:created xsi:type="dcterms:W3CDTF">2022-08-26T18:57:00Z</dcterms:created>
  <dcterms:modified xsi:type="dcterms:W3CDTF">2022-08-26T18:57:00Z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0x010100BA6216A36F2AD94BACDF580B661A31A3</vt:lpwstr>
  </property>
</Properties>
</file>